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版本号：ZMZB2025SWDX-529R20260209001</w:t>
      </w:r>
      <w:r>
        <w:br/>
      </w:r>
      <w:r>
        <w:br/>
      </w:r>
      <w:r>
        <w:br/>
      </w:r>
      <w:r>
        <w:br/>
      </w:r>
      <w:r>
        <w:br/>
      </w:r>
    </w:p>
    <w:p>
      <w:pPr>
        <w:pStyle w:val="null3"/>
        <w:jc w:val="center"/>
        <w:outlineLvl w:val="0"/>
      </w:pPr>
      <w:r>
        <w:rPr>
          <w:rFonts w:ascii="仿宋_GB2312" w:hAnsi="仿宋_GB2312" w:cs="仿宋_GB2312" w:eastAsia="仿宋_GB2312"/>
          <w:sz w:val="48"/>
          <w:b/>
        </w:rPr>
        <w:t>磋 商 文 件</w:t>
      </w:r>
      <w:r>
        <w:br/>
      </w:r>
      <w:r>
        <w:br/>
      </w:r>
      <w:r>
        <w:br/>
      </w:r>
    </w:p>
    <w:p>
      <w:pPr>
        <w:pStyle w:val="null3"/>
        <w:jc w:val="center"/>
        <w:outlineLvl w:val="1"/>
      </w:pPr>
      <w:r>
        <w:rPr>
          <w:rFonts w:ascii="仿宋_GB2312" w:hAnsi="仿宋_GB2312" w:cs="仿宋_GB2312" w:eastAsia="仿宋_GB2312"/>
          <w:sz w:val="36"/>
          <w:b/>
        </w:rPr>
        <w:t>（服务类）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2026年多媒体及网络运维服务项目(二次)</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ZMZB2025SWDX-529R</w:t>
      </w:r>
      <w:r>
        <w:br/>
      </w:r>
      <w:r>
        <w:br/>
      </w:r>
      <w:r>
        <w:br/>
      </w:r>
    </w:p>
    <w:p>
      <w:pPr>
        <w:pStyle w:val="null3"/>
        <w:jc w:val="center"/>
        <w:outlineLvl w:val="2"/>
      </w:pPr>
      <w:r>
        <w:rPr>
          <w:rFonts w:ascii="仿宋_GB2312" w:hAnsi="仿宋_GB2312" w:cs="仿宋_GB2312" w:eastAsia="仿宋_GB2312"/>
          <w:sz w:val="28"/>
          <w:b/>
        </w:rPr>
        <w:t>中共陕西省委党校</w:t>
      </w:r>
    </w:p>
    <w:p>
      <w:pPr>
        <w:pStyle w:val="null3"/>
        <w:jc w:val="center"/>
        <w:outlineLvl w:val="2"/>
      </w:pPr>
      <w:r>
        <w:rPr>
          <w:rFonts w:ascii="仿宋_GB2312" w:hAnsi="仿宋_GB2312" w:cs="仿宋_GB2312" w:eastAsia="仿宋_GB2312"/>
          <w:sz w:val="28"/>
          <w:b/>
        </w:rPr>
        <w:t>陕西卓佲项目管理有限公司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2026年02月09日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pPr>
      <w:r>
        <w:rPr>
          <w:rFonts w:ascii="仿宋_GB2312" w:hAnsi="仿宋_GB2312" w:cs="仿宋_GB2312" w:eastAsia="仿宋_GB2312"/>
        </w:rPr>
        <w:t>陕西卓佲项目管理有限公司</w:t>
      </w:r>
      <w:r>
        <w:rPr>
          <w:rFonts w:ascii="仿宋_GB2312" w:hAnsi="仿宋_GB2312" w:cs="仿宋_GB2312" w:eastAsia="仿宋_GB2312"/>
        </w:rPr>
        <w:t>（以下简称“代理机构”）受</w:t>
      </w:r>
      <w:r>
        <w:rPr>
          <w:rFonts w:ascii="仿宋_GB2312" w:hAnsi="仿宋_GB2312" w:cs="仿宋_GB2312" w:eastAsia="仿宋_GB2312"/>
        </w:rPr>
        <w:t>中共陕西省委党校</w:t>
      </w:r>
      <w:r>
        <w:rPr>
          <w:rFonts w:ascii="仿宋_GB2312" w:hAnsi="仿宋_GB2312" w:cs="仿宋_GB2312" w:eastAsia="仿宋_GB2312"/>
        </w:rPr>
        <w:t>委托，拟对</w:t>
      </w:r>
      <w:r>
        <w:rPr>
          <w:rFonts w:ascii="仿宋_GB2312" w:hAnsi="仿宋_GB2312" w:cs="仿宋_GB2312" w:eastAsia="仿宋_GB2312"/>
        </w:rPr>
        <w:t>2026年多媒体及网络运维服务项目(二次)</w:t>
      </w:r>
      <w:r>
        <w:rPr>
          <w:rFonts w:ascii="仿宋_GB2312" w:hAnsi="仿宋_GB2312" w:cs="仿宋_GB2312" w:eastAsia="仿宋_GB2312"/>
        </w:rPr>
        <w:t>采用竞争性磋商采购方式进行采购，兹邀请供应商参加本项目的竞争性磋商。</w:t>
      </w:r>
    </w:p>
    <w:p>
      <w:pPr>
        <w:pStyle w:val="null3"/>
        <w:outlineLvl w:val="2"/>
      </w:pPr>
      <w:r>
        <w:rPr>
          <w:rFonts w:ascii="仿宋_GB2312" w:hAnsi="仿宋_GB2312" w:cs="仿宋_GB2312" w:eastAsia="仿宋_GB2312"/>
          <w:sz w:val="28"/>
          <w:b/>
        </w:rPr>
        <w:t>一、项目编号：</w:t>
      </w:r>
      <w:r>
        <w:rPr>
          <w:rFonts w:ascii="仿宋_GB2312" w:hAnsi="仿宋_GB2312" w:cs="仿宋_GB2312" w:eastAsia="仿宋_GB2312"/>
          <w:sz w:val="28"/>
          <w:b/>
        </w:rPr>
        <w:t>ZMZB2025SWDX-529R</w:t>
      </w:r>
    </w:p>
    <w:p>
      <w:pPr>
        <w:pStyle w:val="null3"/>
        <w:outlineLvl w:val="2"/>
      </w:pPr>
      <w:r>
        <w:rPr>
          <w:rFonts w:ascii="仿宋_GB2312" w:hAnsi="仿宋_GB2312" w:cs="仿宋_GB2312" w:eastAsia="仿宋_GB2312"/>
          <w:sz w:val="28"/>
          <w:b/>
        </w:rPr>
        <w:t>二、项目名称：</w:t>
      </w:r>
      <w:r>
        <w:rPr>
          <w:rFonts w:ascii="仿宋_GB2312" w:hAnsi="仿宋_GB2312" w:cs="仿宋_GB2312" w:eastAsia="仿宋_GB2312"/>
          <w:sz w:val="28"/>
          <w:b/>
        </w:rPr>
        <w:t>2026年多媒体及网络运维服务项目(二次)</w:t>
      </w:r>
    </w:p>
    <w:p>
      <w:pPr>
        <w:pStyle w:val="null3"/>
        <w:outlineLvl w:val="2"/>
      </w:pPr>
      <w:r>
        <w:rPr>
          <w:rFonts w:ascii="仿宋_GB2312" w:hAnsi="仿宋_GB2312" w:cs="仿宋_GB2312" w:eastAsia="仿宋_GB2312"/>
          <w:sz w:val="28"/>
          <w:b/>
        </w:rPr>
        <w:t>三、磋商项目简介</w:t>
      </w:r>
    </w:p>
    <w:p>
      <w:pPr>
        <w:pStyle w:val="null3"/>
        <w:ind w:firstLine="480"/>
      </w:pPr>
      <w:r>
        <w:rPr>
          <w:rFonts w:ascii="仿宋_GB2312" w:hAnsi="仿宋_GB2312" w:cs="仿宋_GB2312" w:eastAsia="仿宋_GB2312"/>
        </w:rPr>
        <w:t>2026年多媒体及网络运维服务项目</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本次采购采取公告征集邀请磋商的供应商。</w:t>
      </w:r>
    </w:p>
    <w:p>
      <w:pPr>
        <w:pStyle w:val="null3"/>
      </w:pPr>
      <w:r>
        <w:rPr>
          <w:rFonts w:ascii="仿宋_GB2312" w:hAnsi="仿宋_GB2312" w:cs="仿宋_GB2312" w:eastAsia="仿宋_GB2312"/>
        </w:rPr>
        <w:t xml:space="preserve"> 公告征集：本次竞争性磋商在“陕西省政府采购网（www.ccgp-shaanxi.gov.cn）”上以公告形式发布，兹邀请符合本次采购要求的供应商参加本项目的竞争性磋商。</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采购包1（2026年多媒体及网络运维服务项目）：属于专门面向中小企业采购。</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2、财务状况证明：供应商提供2024年度经审计完整的财务审计报告（成立时间至提交投标文件截止时间不足一年的可提供成立后任意时段的资产负债表），或其开标前六个月内银行出具的资信证明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6、法定代表人授权书：非法定代表人参加投标的，须提供法定代表人委托授权书及被授权人身份证，法定代表人参加投标时,只需提供法定代表人身份证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8、本项目不接受联合体投标：本项目不接受联合体投标</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七、竞争性磋商文件获取时间、方式及地址</w:t>
      </w:r>
    </w:p>
    <w:p>
      <w:pPr>
        <w:pStyle w:val="null3"/>
        <w:ind w:firstLine="480"/>
      </w:pPr>
      <w:r>
        <w:rPr>
          <w:rFonts w:ascii="仿宋_GB2312" w:hAnsi="仿宋_GB2312" w:cs="仿宋_GB2312" w:eastAsia="仿宋_GB2312"/>
        </w:rPr>
        <w:t>（一）磋商文件获取时间：详见采购公告或邀请书。</w:t>
      </w:r>
    </w:p>
    <w:p>
      <w:pPr>
        <w:pStyle w:val="null3"/>
        <w:ind w:firstLine="480"/>
      </w:pPr>
      <w:r>
        <w:rPr>
          <w:rFonts w:ascii="仿宋_GB2312" w:hAnsi="仿宋_GB2312" w:cs="仿宋_GB2312" w:eastAsia="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null3"/>
        <w:ind w:firstLine="480"/>
      </w:pPr>
      <w:r>
        <w:rPr>
          <w:rFonts w:ascii="仿宋_GB2312" w:hAnsi="仿宋_GB2312" w:cs="仿宋_GB2312" w:eastAsia="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null3"/>
        <w:ind w:firstLine="480"/>
        <w:jc w:val="left"/>
      </w:pPr>
      <w:r>
        <w:rPr>
          <w:rFonts w:ascii="仿宋_GB2312" w:hAnsi="仿宋_GB2312" w:cs="仿宋_GB2312" w:eastAsia="仿宋_GB2312"/>
        </w:rPr>
        <w:t xml:space="preserve"> 注：获取的磋商文件主体格式包括pdf、word两种格式版本，其中以pdf格式为准。</w:t>
      </w:r>
    </w:p>
    <w:p>
      <w:pPr>
        <w:pStyle w:val="null3"/>
        <w:outlineLvl w:val="2"/>
      </w:pPr>
      <w:r>
        <w:rPr>
          <w:rFonts w:ascii="仿宋_GB2312" w:hAnsi="仿宋_GB2312" w:cs="仿宋_GB2312" w:eastAsia="仿宋_GB2312"/>
          <w:sz w:val="28"/>
          <w:b/>
        </w:rPr>
        <w:t>八、首次响应文件提交截止时间及开启时间、地点、方式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九、磋商方式</w:t>
      </w:r>
    </w:p>
    <w:p>
      <w:pPr>
        <w:pStyle w:val="null3"/>
        <w:ind w:firstLine="480"/>
      </w:pPr>
      <w:r>
        <w:rPr>
          <w:rFonts w:ascii="仿宋_GB2312" w:hAnsi="仿宋_GB2312" w:cs="仿宋_GB2312" w:eastAsia="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中共陕西省委党校</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西安市小寨西路119号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高老师</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029-85378239</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陕西卓佲项目管理有限公司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西安市雁塔区科技路30号合力紫郡B座21层</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710065</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魏萌 张倩</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17778966062</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财政厅政府采购管理处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柴老师、杨老师</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029-68936409、029-68936410</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采购包1：560,000.00元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综合评分法(详见第六章)。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如以联合体响应的，联合体各方均应当具备本磋商文件要求的资格条件和能力。</w:t>
            </w:r>
          </w:p>
          <w:p>
            <w:pPr>
              <w:pStyle w:val="null3"/>
            </w:pPr>
            <w:r>
              <w:rPr>
                <w:rFonts w:ascii="仿宋_GB2312" w:hAnsi="仿宋_GB2312" w:cs="仿宋_GB2312" w:eastAsia="仿宋_GB2312"/>
              </w:rPr>
              <w:t xml:space="preserve"> （1）联合体各方均应具有承担本磋商项目必备的条件，如相应的人力、物力、资金等。</w:t>
            </w:r>
          </w:p>
          <w:p>
            <w:pPr>
              <w:pStyle w:val="null3"/>
            </w:pPr>
            <w:r>
              <w:rPr>
                <w:rFonts w:ascii="仿宋_GB2312" w:hAnsi="仿宋_GB2312" w:cs="仿宋_GB2312" w:eastAsia="仿宋_GB2312"/>
              </w:rPr>
              <w:t xml:space="preserve"> （2）磋商文件对供应商资格条件有特殊要求的，联合体各个成员都应当具备规定的相应资格条件。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产品属于节能产品政府采购品目清单中应强制采购的产品范围，供应商应当提供国家确定的认证机构出具的、处于有效期之内的节能产品认证证书，否则作无效响应处理。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产品属于环境标志产品政府采购品目清单中应优先采购的产品范围，评审得分相同的，按供应商提供的优先采购产品认证证书数量由多到少顺序排列。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磋商保证金</w:t>
            </w:r>
          </w:p>
        </w:tc>
        <w:tc>
          <w:tcPr>
            <w:tcW w:type="dxa" w:w="5004"/>
          </w:tcPr>
          <w:p>
            <w:pPr>
              <w:pStyle w:val="null3"/>
            </w:pPr>
            <w:r>
              <w:rPr>
                <w:rFonts w:ascii="仿宋_GB2312" w:hAnsi="仿宋_GB2312" w:cs="仿宋_GB2312" w:eastAsia="仿宋_GB2312"/>
              </w:rPr>
              <w:t>采购包1保证金金额：10,000.00元</w:t>
            </w:r>
          </w:p>
          <w:p>
            <w:pPr>
              <w:pStyle w:val="null3"/>
            </w:pPr>
            <w:r>
              <w:rPr>
                <w:rFonts w:ascii="仿宋_GB2312" w:hAnsi="仿宋_GB2312" w:cs="仿宋_GB2312" w:eastAsia="仿宋_GB2312"/>
              </w:rPr>
              <w:t>缴交渠道：电子保函,转账、支票、汇票等（需通过实体账户、户名及开户行信息）</w:t>
            </w:r>
          </w:p>
          <w:p>
            <w:pPr>
              <w:pStyle w:val="null3"/>
            </w:pPr>
            <w:r>
              <w:rPr>
                <w:rFonts w:ascii="仿宋_GB2312" w:hAnsi="仿宋_GB2312" w:cs="仿宋_GB2312" w:eastAsia="仿宋_GB2312"/>
              </w:rPr>
              <w:t>开户名称：陕西卓佲项目管理有限公司</w:t>
            </w:r>
          </w:p>
          <w:p>
            <w:pPr>
              <w:pStyle w:val="null3"/>
            </w:pPr>
            <w:r>
              <w:rPr>
                <w:rFonts w:ascii="仿宋_GB2312" w:hAnsi="仿宋_GB2312" w:cs="仿宋_GB2312" w:eastAsia="仿宋_GB2312"/>
              </w:rPr>
              <w:t>开户银行：中国民生银行股份有限公司西安高新开发区支行</w:t>
            </w:r>
          </w:p>
          <w:p>
            <w:pPr>
              <w:pStyle w:val="null3"/>
            </w:pPr>
            <w:r>
              <w:rPr>
                <w:rFonts w:ascii="仿宋_GB2312" w:hAnsi="仿宋_GB2312" w:cs="仿宋_GB2312" w:eastAsia="仿宋_GB2312"/>
              </w:rPr>
              <w:t>银行账号：647840417</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采购包1：缴纳</w:t>
            </w:r>
          </w:p>
          <w:p>
            <w:pPr>
              <w:pStyle w:val="null3"/>
            </w:pPr>
            <w:r>
              <w:rPr>
                <w:rFonts w:ascii="仿宋_GB2312" w:hAnsi="仿宋_GB2312" w:cs="仿宋_GB2312" w:eastAsia="仿宋_GB2312"/>
              </w:rPr>
              <w:t>本采购包履约保证金为合同金额的5%</w:t>
            </w:r>
          </w:p>
          <w:p>
            <w:pPr>
              <w:pStyle w:val="null3"/>
            </w:pPr>
            <w:r>
              <w:rPr>
                <w:rFonts w:ascii="仿宋_GB2312" w:hAnsi="仿宋_GB2312" w:cs="仿宋_GB2312" w:eastAsia="仿宋_GB2312"/>
              </w:rPr>
              <w:t>说明：履约保证金约束条款：供应商成交后凭中标通知书向采购人缴纳成交金额的5%作为履约保证金，待合同履约完毕后无息退还，履约保证金可选择使用银行转账、支票（汇票、本票）、保函（保险）等非现金形式缴纳或提交</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提交首次响应文件的截止之日起不少于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招标代理服务费（实质性要求）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参照国家计委颁发的《招标代理服务收费管理暂行办法》（计价格[2002]1980号）和国家发展改革委员会办公厅颁发的《关于招标代理服务收费有关问题的通知》（发改办价格[2003]857号）的标准计算。 供应商将招标代理服务费计入响应报价但不单独列明，成交单位在领取成交通知书前，须向采购代理机构一次性支付招标代理服务费；代理服务费以转账、电汇或现金等形式交纳。</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出现下列情形之一的，采购人或者代理机构应当中止电子化采购活动，并保留相关证明材料备查： </w:t>
            </w:r>
          </w:p>
          <w:p>
            <w:pPr>
              <w:pStyle w:val="null3"/>
            </w:pPr>
            <w:r>
              <w:rPr>
                <w:rFonts w:ascii="仿宋_GB2312" w:hAnsi="仿宋_GB2312" w:cs="仿宋_GB2312" w:eastAsia="仿宋_GB2312"/>
              </w:rPr>
              <w:t>（一）交易系统发生故障（包括感染病毒、应用或数据库出错）而无法正常使用的；</w:t>
            </w:r>
          </w:p>
          <w:p>
            <w:pPr>
              <w:pStyle w:val="null3"/>
            </w:pPr>
            <w:r>
              <w:rPr>
                <w:rFonts w:ascii="仿宋_GB2312" w:hAnsi="仿宋_GB2312" w:cs="仿宋_GB2312" w:eastAsia="仿宋_GB2312"/>
              </w:rPr>
              <w:t>（二）因组织场所停电、断网等原因，导致采购活动无法继续通过交易系统实施的；</w:t>
            </w:r>
          </w:p>
          <w:p>
            <w:pPr>
              <w:pStyle w:val="null3"/>
            </w:pPr>
            <w:r>
              <w:rPr>
                <w:rFonts w:ascii="仿宋_GB2312" w:hAnsi="仿宋_GB2312" w:cs="仿宋_GB2312" w:eastAsia="仿宋_GB2312"/>
              </w:rPr>
              <w:t>（三）其他无法保证电子化交易的公平、公正和安全的情况。</w:t>
            </w:r>
          </w:p>
          <w:p>
            <w:pPr>
              <w:pStyle w:val="null3"/>
            </w:pPr>
            <w:r>
              <w:rPr>
                <w:rFonts w:ascii="仿宋_GB2312" w:hAnsi="仿宋_GB2312" w:cs="仿宋_GB2312" w:eastAsia="仿宋_GB2312"/>
              </w:rPr>
              <w:t>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一、本磋商文件仅适用于本次竞争性磋商采购项目。</w:t>
      </w:r>
    </w:p>
    <w:p>
      <w:pPr>
        <w:pStyle w:val="null3"/>
        <w:ind w:firstLine="480"/>
      </w:pPr>
      <w:r>
        <w:rPr>
          <w:rFonts w:ascii="仿宋_GB2312" w:hAnsi="仿宋_GB2312" w:cs="仿宋_GB2312" w:eastAsia="仿宋_GB2312"/>
        </w:rPr>
        <w:t xml:space="preserve"> 二、本磋商文件的最终解释权由</w:t>
      </w:r>
      <w:r>
        <w:rPr>
          <w:rFonts w:ascii="仿宋_GB2312" w:hAnsi="仿宋_GB2312" w:cs="仿宋_GB2312" w:eastAsia="仿宋_GB2312"/>
        </w:rPr>
        <w:t>中共陕西省委党校</w:t>
      </w:r>
      <w:r>
        <w:rPr>
          <w:rFonts w:ascii="仿宋_GB2312" w:hAnsi="仿宋_GB2312" w:cs="仿宋_GB2312" w:eastAsia="仿宋_GB2312"/>
        </w:rPr>
        <w:t>和</w:t>
      </w:r>
      <w:r>
        <w:rPr>
          <w:rFonts w:ascii="仿宋_GB2312" w:hAnsi="仿宋_GB2312" w:cs="仿宋_GB2312" w:eastAsia="仿宋_GB2312"/>
        </w:rPr>
        <w:t>陕西卓佲项目管理有限公司</w:t>
      </w:r>
      <w:r>
        <w:rPr>
          <w:rFonts w:ascii="仿宋_GB2312" w:hAnsi="仿宋_GB2312" w:cs="仿宋_GB2312" w:eastAsia="仿宋_GB2312"/>
        </w:rPr>
        <w:t>享有。对磋商文件中供应商参加本次政府采购活动应当具备的条件，磋商项目技术、服务、商务及其他要求，评审细则及标准由</w:t>
      </w:r>
      <w:r>
        <w:rPr>
          <w:rFonts w:ascii="仿宋_GB2312" w:hAnsi="仿宋_GB2312" w:cs="仿宋_GB2312" w:eastAsia="仿宋_GB2312"/>
        </w:rPr>
        <w:t>中共陕西省委党校</w:t>
      </w:r>
      <w:r>
        <w:rPr>
          <w:rFonts w:ascii="仿宋_GB2312" w:hAnsi="仿宋_GB2312" w:cs="仿宋_GB2312" w:eastAsia="仿宋_GB2312"/>
        </w:rPr>
        <w:t>负责解释。除上述磋商文件内容，其他内容由</w:t>
      </w:r>
      <w:r>
        <w:rPr>
          <w:rFonts w:ascii="仿宋_GB2312" w:hAnsi="仿宋_GB2312" w:cs="仿宋_GB2312" w:eastAsia="仿宋_GB2312"/>
        </w:rPr>
        <w:t>陕西卓佲项目管理有限公司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一、“采购人”是指依法进行政府采购的各级国家机关、事业单位、团体组织。本次磋商的采购人是</w:t>
      </w:r>
      <w:r>
        <w:rPr>
          <w:rFonts w:ascii="仿宋_GB2312" w:hAnsi="仿宋_GB2312" w:cs="仿宋_GB2312" w:eastAsia="仿宋_GB2312"/>
        </w:rPr>
        <w:t>中共陕西省委党校</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二、“供应商”是指在按照磋商公告规定获取磋商文件，拟参加响应和向采购人提供货物、工程或服务的法人、其他组织或自然人。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陕西卓佲项目管理有限公司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五、“电子评审”是指通过项目电子化交易系统在线完成资格审查小组、磋商小组组建，开展资格和符合性审查、比较与评价、出具磋商报告、推荐成交候选供应商等活动。</w:t>
      </w:r>
    </w:p>
    <w:p>
      <w:pPr>
        <w:pStyle w:val="null3"/>
        <w:outlineLvl w:val="3"/>
      </w:pPr>
      <w:r>
        <w:rPr>
          <w:rFonts w:ascii="仿宋_GB2312" w:hAnsi="仿宋_GB2312" w:cs="仿宋_GB2312" w:eastAsia="仿宋_GB2312"/>
          <w:sz w:val="24"/>
          <w:b/>
        </w:rPr>
        <w:t xml:space="preserve"> 2.2.3响应费用（实质性要求）</w:t>
      </w:r>
    </w:p>
    <w:p>
      <w:pPr>
        <w:pStyle w:val="null3"/>
        <w:ind w:firstLine="480"/>
      </w:pPr>
      <w:r>
        <w:rPr>
          <w:rFonts w:ascii="仿宋_GB2312" w:hAnsi="仿宋_GB2312" w:cs="仿宋_GB2312" w:eastAsia="仿宋_GB2312"/>
        </w:rPr>
        <w:t>供应商应自行承担参加竞争性磋商采购活动的全部费用。</w:t>
      </w:r>
    </w:p>
    <w:p>
      <w:pPr>
        <w:pStyle w:val="null3"/>
        <w:outlineLvl w:val="2"/>
      </w:pPr>
      <w:r>
        <w:rPr>
          <w:rFonts w:ascii="仿宋_GB2312" w:hAnsi="仿宋_GB2312" w:cs="仿宋_GB2312" w:eastAsia="仿宋_GB2312"/>
          <w:sz w:val="28"/>
          <w:b/>
        </w:rPr>
        <w:t>2.3磋商文件</w:t>
      </w:r>
    </w:p>
    <w:p>
      <w:pPr>
        <w:pStyle w:val="null3"/>
        <w:outlineLvl w:val="3"/>
      </w:pPr>
      <w:r>
        <w:rPr>
          <w:rFonts w:ascii="仿宋_GB2312" w:hAnsi="仿宋_GB2312" w:cs="仿宋_GB2312" w:eastAsia="仿宋_GB2312"/>
          <w:sz w:val="24"/>
          <w:b/>
        </w:rPr>
        <w:t xml:space="preserve"> 2.3.1磋商文件的构成</w:t>
      </w:r>
    </w:p>
    <w:p>
      <w:pPr>
        <w:pStyle w:val="null3"/>
        <w:ind w:firstLine="480"/>
      </w:pPr>
      <w:r>
        <w:rPr>
          <w:rFonts w:ascii="仿宋_GB2312" w:hAnsi="仿宋_GB2312" w:cs="仿宋_GB2312" w:eastAsia="仿宋_GB2312"/>
        </w:rPr>
        <w:t xml:space="preserve"> 一、磋商文件是供应商准备响应文件和参加响应的依据，同时也是评审的重要依据。磋商文件用以阐明磋商项目所需的资质、技术、服务及报价等要求、磋商程序、有关规定和注意事项以及合同草案条款等。本磋商文件包括以下内容：</w:t>
      </w:r>
    </w:p>
    <w:p>
      <w:pPr>
        <w:pStyle w:val="null3"/>
        <w:ind w:firstLine="480"/>
      </w:pPr>
      <w:r>
        <w:rPr>
          <w:rFonts w:ascii="仿宋_GB2312" w:hAnsi="仿宋_GB2312" w:cs="仿宋_GB2312" w:eastAsia="仿宋_GB2312"/>
        </w:rPr>
        <w:t>（一）竞争性磋商邀请；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（三）磋商项目技术、服务、商务及其他要求；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（五）磋商过程中可实质性变动的内容；</w:t>
      </w:r>
    </w:p>
    <w:p>
      <w:pPr>
        <w:pStyle w:val="null3"/>
        <w:ind w:firstLine="480"/>
      </w:pPr>
      <w:r>
        <w:rPr>
          <w:rFonts w:ascii="仿宋_GB2312" w:hAnsi="仿宋_GB2312" w:cs="仿宋_GB2312" w:eastAsia="仿宋_GB2312"/>
        </w:rPr>
        <w:t>（六）磋商办法；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二、供应商应认真阅读和充分理解磋商文件中所有的事项、格式条款和规范要求。供应商没有对磋商文件全面作出实质性响应所产生的风险由供应商承担。</w:t>
      </w:r>
    </w:p>
    <w:p>
      <w:pPr>
        <w:pStyle w:val="null3"/>
        <w:outlineLvl w:val="3"/>
      </w:pPr>
      <w:r>
        <w:rPr>
          <w:rFonts w:ascii="仿宋_GB2312" w:hAnsi="仿宋_GB2312" w:cs="仿宋_GB2312" w:eastAsia="仿宋_GB2312"/>
          <w:sz w:val="24"/>
          <w:b/>
        </w:rPr>
        <w:t xml:space="preserve"> 2.3.2磋商文件的澄清和修改</w:t>
      </w:r>
    </w:p>
    <w:p>
      <w:pPr>
        <w:pStyle w:val="null3"/>
        <w:ind w:firstLine="480"/>
      </w:pPr>
      <w:r>
        <w:rPr>
          <w:rFonts w:ascii="仿宋_GB2312" w:hAnsi="仿宋_GB2312" w:cs="仿宋_GB2312" w:eastAsia="仿宋_GB2312"/>
        </w:rPr>
        <w:t>一、在提交首次响应文件截止时间前，采购人或者代理机构可以对已发出的磋商文件进行必要的澄清或者修改。</w:t>
      </w:r>
    </w:p>
    <w:p>
      <w:pPr>
        <w:pStyle w:val="null3"/>
        <w:ind w:firstLine="480"/>
        <w:jc w:val="left"/>
      </w:pPr>
      <w:r>
        <w:rPr>
          <w:rFonts w:ascii="仿宋_GB2312" w:hAnsi="仿宋_GB2312" w:cs="仿宋_GB2312" w:eastAsia="仿宋_GB2312"/>
        </w:rPr>
        <w:t xml:space="preserve"> 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w:t>
      </w:r>
    </w:p>
    <w:p>
      <w:pPr>
        <w:pStyle w:val="null3"/>
        <w:ind w:firstLine="480"/>
      </w:pPr>
      <w:r>
        <w:rPr>
          <w:rFonts w:ascii="仿宋_GB2312" w:hAnsi="仿宋_GB2312" w:cs="仿宋_GB2312" w:eastAsia="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除磋商文件中另有规定外，本项目均采用国家法定的计量单位。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四、构成本磋商文件的各组成部分，未经采购人书面同意，供应商不得擅自复印或用于非本磋商项目所需的其他目的。</w:t>
      </w:r>
    </w:p>
    <w:p>
      <w:pPr>
        <w:pStyle w:val="null3"/>
        <w:outlineLvl w:val="3"/>
      </w:pPr>
      <w:r>
        <w:rPr>
          <w:rFonts w:ascii="仿宋_GB2312" w:hAnsi="仿宋_GB2312" w:cs="仿宋_GB2312" w:eastAsia="仿宋_GB2312"/>
          <w:sz w:val="24"/>
          <w:b/>
        </w:rPr>
        <w:t>2.4.5响应文件的组成（实质性要求）</w:t>
      </w:r>
    </w:p>
    <w:p>
      <w:pPr>
        <w:pStyle w:val="null3"/>
        <w:ind w:firstLine="480"/>
      </w:pPr>
      <w:r>
        <w:rPr>
          <w:rFonts w:ascii="仿宋_GB2312" w:hAnsi="仿宋_GB2312" w:cs="仿宋_GB2312" w:eastAsia="仿宋_GB2312"/>
        </w:rPr>
        <w:t>供应商应按照磋商文件的规定和要求编制响应文件。</w:t>
      </w:r>
    </w:p>
    <w:p>
      <w:pPr>
        <w:pStyle w:val="null3"/>
        <w:ind w:firstLine="480"/>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 xml:space="preserve"> 2.4.6响应文件格式</w:t>
      </w:r>
    </w:p>
    <w:p>
      <w:pPr>
        <w:pStyle w:val="null3"/>
        <w:ind w:firstLine="480"/>
      </w:pPr>
      <w:r>
        <w:rPr>
          <w:rFonts w:ascii="仿宋_GB2312" w:hAnsi="仿宋_GB2312" w:cs="仿宋_GB2312" w:eastAsia="仿宋_GB2312"/>
        </w:rPr>
        <w:t>一、供应商应按照磋商文件第七章中提供的“响应文件格式”填写相关内容。</w:t>
      </w:r>
    </w:p>
    <w:p>
      <w:pPr>
        <w:pStyle w:val="null3"/>
        <w:ind w:firstLine="480"/>
      </w:pPr>
      <w:r>
        <w:rPr>
          <w:rFonts w:ascii="仿宋_GB2312" w:hAnsi="仿宋_GB2312" w:cs="仿宋_GB2312" w:eastAsia="仿宋_GB2312"/>
        </w:rPr>
        <w:t>二、对于没有格式要求的响应文件由供应商自行编写。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 xml:space="preserve"> 一、供应商的报价是供应商响应磋商项目要求的全部工作内容的价格体现，包括供应商完成本项目所需的一切费用。</w:t>
      </w:r>
    </w:p>
    <w:p>
      <w:pPr>
        <w:pStyle w:val="null3"/>
        <w:ind w:firstLine="480"/>
      </w:pPr>
      <w:r>
        <w:rPr>
          <w:rFonts w:ascii="仿宋_GB2312" w:hAnsi="仿宋_GB2312" w:cs="仿宋_GB2312" w:eastAsia="仿宋_GB2312"/>
        </w:rPr>
        <w:t xml:space="preserve"> 二、响应文件报价出现前后不一致的，按照磋商文件第六章磋商办法规定予以修正，修正后的报价经供应商通过项目电子化交易系统进行确认，并加盖供应商（法定名称）电子印章，供应商逾时确认的，其响应无效。</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二、供应商应按照客户端操作要求，对应磋商文件的每项实质性要求，逐一如实响应；未如实响应或者响应内容不符合磋商文件对应项的要求的，其响应文件作无效处理。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三、供应商完成响应文件编制后，应按照响应文件第1章明确的签章要求，使用互认的证书及签章对响应文件进行电子签章和加密。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2.5开启、资格审查、磋商和确定成交供应商</w:t>
      </w:r>
    </w:p>
    <w:p>
      <w:pPr>
        <w:pStyle w:val="null3"/>
        <w:outlineLvl w:val="3"/>
      </w:pPr>
      <w:r>
        <w:rPr>
          <w:rFonts w:ascii="仿宋_GB2312" w:hAnsi="仿宋_GB2312" w:cs="仿宋_GB2312" w:eastAsia="仿宋_GB2312"/>
          <w:sz w:val="24"/>
          <w:b/>
        </w:rPr>
        <w:t>2.5.1磋商开启程序</w:t>
      </w:r>
    </w:p>
    <w:p>
      <w:pPr>
        <w:pStyle w:val="null3"/>
        <w:ind w:firstLine="480"/>
      </w:pPr>
      <w:r>
        <w:rPr>
          <w:rFonts w:ascii="仿宋_GB2312" w:hAnsi="仿宋_GB2312" w:cs="仿宋_GB2312" w:eastAsia="仿宋_GB2312"/>
        </w:rPr>
        <w:t xml:space="preserve"> 一、本项目为竞争性磋商项目。网上开启的开始时间为响应文件提交截止时间。成功提交或解密电子响应文件的供应商不足3家的，不予开启，采购人或代理机构将终止采购活动。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二、磋商开启准备工作</w:t>
      </w:r>
    </w:p>
    <w:p>
      <w:pPr>
        <w:pStyle w:val="null3"/>
        <w:ind w:firstLine="480"/>
        <w:jc w:val="left"/>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详见磋商文件第四章。</w:t>
      </w:r>
    </w:p>
    <w:p>
      <w:pPr>
        <w:pStyle w:val="null3"/>
        <w:outlineLvl w:val="3"/>
      </w:pPr>
      <w:r>
        <w:rPr>
          <w:rFonts w:ascii="仿宋_GB2312" w:hAnsi="仿宋_GB2312" w:cs="仿宋_GB2312" w:eastAsia="仿宋_GB2312"/>
          <w:sz w:val="24"/>
          <w:b/>
        </w:rPr>
        <w:t>2.5.4磋商</w:t>
      </w:r>
    </w:p>
    <w:p>
      <w:pPr>
        <w:pStyle w:val="null3"/>
        <w:ind w:firstLine="480"/>
      </w:pPr>
      <w:r>
        <w:rPr>
          <w:rFonts w:ascii="仿宋_GB2312" w:hAnsi="仿宋_GB2312" w:cs="仿宋_GB2312" w:eastAsia="仿宋_GB2312"/>
        </w:rPr>
        <w:t>详见磋商文件第六章。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二、采购人和成交供应商签订的采购合同不得对磋商文件确定的事项以及成交供应商的响应文件作实质性修改。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2.6.6履行合同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3"/>
      </w:pPr>
      <w:r>
        <w:rPr>
          <w:rFonts w:ascii="仿宋_GB2312" w:hAnsi="仿宋_GB2312" w:cs="仿宋_GB2312" w:eastAsia="仿宋_GB2312"/>
          <w:sz w:val="24"/>
          <w:b/>
        </w:rPr>
        <w:t>2.6.8资金支付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2.7.1磋商活动纪律要求</w:t>
      </w:r>
    </w:p>
    <w:p>
      <w:pPr>
        <w:pStyle w:val="null3"/>
        <w:ind w:firstLine="480"/>
      </w:pPr>
      <w:r>
        <w:rPr>
          <w:rFonts w:ascii="仿宋_GB2312" w:hAnsi="仿宋_GB2312" w:cs="仿宋_GB2312" w:eastAsia="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pPr>
        <w:pStyle w:val="null3"/>
        <w:ind w:firstLine="480"/>
      </w:pPr>
      <w:r>
        <w:rPr>
          <w:rFonts w:ascii="仿宋_GB2312" w:hAnsi="仿宋_GB2312" w:cs="仿宋_GB2312" w:eastAsia="仿宋_GB2312"/>
        </w:rPr>
        <w:t>对各供应商的商业秘密，磋商小组成员应予以保密，不得泄露给其他供应商。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供应商参加响应不得有下列情形：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（二）不同供应商委托同一单位或者个人办理磋商事宜；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五、向采购人或代理机构、磋商小组成员行贿或者提供其他不正当利益；</w:t>
      </w:r>
    </w:p>
    <w:p>
      <w:pPr>
        <w:pStyle w:val="null3"/>
        <w:ind w:firstLine="480"/>
      </w:pPr>
      <w:r>
        <w:rPr>
          <w:rFonts w:ascii="仿宋_GB2312" w:hAnsi="仿宋_GB2312" w:cs="仿宋_GB2312" w:eastAsia="仿宋_GB2312"/>
        </w:rPr>
        <w:t>六、在磋商过程中与采购人或代理机构进行协商磋商；</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八、未按照磋商文件确定的事项签订政府采购合同；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供应商有上述情形的，按照规定追究法律责任，具有前述一至十一条情形之一的，其响应文件无效，或取消被确认为成交供应商的资格或认定成交无效。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根据委托代理协议约定，供应商对采购文件中采购需求的询问、质疑由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磋商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jc w:val="left"/>
      </w:pPr>
      <w:r>
        <w:rPr>
          <w:rFonts w:ascii="仿宋_GB2312" w:hAnsi="仿宋_GB2312" w:cs="仿宋_GB2312" w:eastAsia="仿宋_GB2312"/>
        </w:rPr>
        <w:t xml:space="preserve"> （一）对可以质疑的采购文件提出质疑的，为收到采购文件之日或者采购文件公告期限届满之日；</w:t>
      </w:r>
    </w:p>
    <w:p>
      <w:pPr>
        <w:pStyle w:val="null3"/>
        <w:ind w:firstLine="480"/>
        <w:jc w:val="left"/>
      </w:pPr>
      <w:r>
        <w:rPr>
          <w:rFonts w:ascii="仿宋_GB2312" w:hAnsi="仿宋_GB2312" w:cs="仿宋_GB2312" w:eastAsia="仿宋_GB2312"/>
        </w:rPr>
        <w:t>（二）对采购过程提出质疑的，为各采购程序环节结束之日；</w:t>
      </w:r>
    </w:p>
    <w:p>
      <w:pPr>
        <w:pStyle w:val="null3"/>
        <w:ind w:firstLine="480"/>
        <w:jc w:val="left"/>
      </w:pPr>
      <w:r>
        <w:rPr>
          <w:rFonts w:ascii="仿宋_GB2312" w:hAnsi="仿宋_GB2312" w:cs="仿宋_GB2312" w:eastAsia="仿宋_GB2312"/>
        </w:rPr>
        <w:t xml:space="preserve"> （三）对中标或者成交结果提出质疑的，为中标或者成交结果公告期限届满之日。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（五）针对质疑事项必要的证明材料（针对磋商文件提出的质疑，需提交从项目电子化交易系统获取的磋商文件回执单）。</w:t>
      </w:r>
    </w:p>
    <w:p>
      <w:pPr>
        <w:pStyle w:val="null3"/>
        <w:ind w:firstLine="480"/>
      </w:pPr>
      <w:r>
        <w:rPr>
          <w:rFonts w:ascii="仿宋_GB2312" w:hAnsi="仿宋_GB2312" w:cs="仿宋_GB2312" w:eastAsia="仿宋_GB2312"/>
        </w:rPr>
        <w:t>接收质疑函方式：书面形式。</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联系人：魏萌</w:t>
      </w:r>
    </w:p>
    <w:p>
      <w:pPr>
        <w:pStyle w:val="null3"/>
      </w:pPr>
      <w:r>
        <w:rPr>
          <w:rFonts w:ascii="仿宋_GB2312" w:hAnsi="仿宋_GB2312" w:cs="仿宋_GB2312" w:eastAsia="仿宋_GB2312"/>
        </w:rPr>
        <w:t>联系电话：17778966062</w:t>
      </w:r>
    </w:p>
    <w:p>
      <w:pPr>
        <w:pStyle w:val="null3"/>
      </w:pPr>
      <w:r>
        <w:rPr>
          <w:rFonts w:ascii="仿宋_GB2312" w:hAnsi="仿宋_GB2312" w:cs="仿宋_GB2312" w:eastAsia="仿宋_GB2312"/>
        </w:rPr>
        <w:t>地址：西安市雁塔区科技路30号合力紫郡B座21层</w:t>
      </w:r>
    </w:p>
    <w:p>
      <w:pPr>
        <w:pStyle w:val="null3"/>
      </w:pPr>
      <w:r>
        <w:rPr>
          <w:rFonts w:ascii="仿宋_GB2312" w:hAnsi="仿宋_GB2312" w:cs="仿宋_GB2312" w:eastAsia="仿宋_GB2312"/>
        </w:rPr>
        <w:t>邮编：710065</w:t>
      </w:r>
    </w:p>
    <w:p>
      <w:pPr>
        <w:pStyle w:val="null3"/>
        <w:ind w:firstLine="480"/>
      </w:pPr>
      <w:r>
        <w:rPr>
          <w:rFonts w:ascii="仿宋_GB2312" w:hAnsi="仿宋_GB2312" w:cs="仿宋_GB2312" w:eastAsia="仿宋_GB2312"/>
        </w:rPr>
        <w:t>注：根据《中华人民共和国政府采购法》的规定，供应商质疑不得超出磋商文件、采购过程、采购结果的范围。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磋商项目技术、服务、商务及其他要求</w:t>
      </w:r>
    </w:p>
    <w:p>
      <w:pPr>
        <w:pStyle w:val="null3"/>
        <w:ind w:firstLine="480"/>
      </w:pPr>
      <w:r>
        <w:rPr>
          <w:rFonts w:ascii="仿宋_GB2312" w:hAnsi="仿宋_GB2312" w:cs="仿宋_GB2312" w:eastAsia="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2026年多媒体及网络运维服务项目</w:t>
      </w:r>
    </w:p>
    <w:p>
      <w:pPr>
        <w:pStyle w:val="null3"/>
        <w:outlineLvl w:val="2"/>
      </w:pPr>
      <w:r>
        <w:rPr>
          <w:rFonts w:ascii="仿宋_GB2312" w:hAnsi="仿宋_GB2312" w:cs="仿宋_GB2312" w:eastAsia="仿宋_GB2312"/>
          <w:sz w:val="28"/>
          <w:b/>
        </w:rPr>
        <w:t>3.2服务内容及服务要求</w:t>
      </w:r>
    </w:p>
    <w:p>
      <w:pPr>
        <w:pStyle w:val="null3"/>
        <w:outlineLvl w:val="3"/>
      </w:pPr>
      <w:r>
        <w:rPr>
          <w:rFonts w:ascii="仿宋_GB2312" w:hAnsi="仿宋_GB2312" w:cs="仿宋_GB2312" w:eastAsia="仿宋_GB2312"/>
          <w:sz w:val="24"/>
          <w:b/>
        </w:rPr>
        <w:t>3.2.1服务内容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560,000.00</w:t>
      </w:r>
    </w:p>
    <w:p>
      <w:pPr>
        <w:pStyle w:val="null3"/>
      </w:pPr>
      <w:r>
        <w:rPr>
          <w:rFonts w:ascii="仿宋_GB2312" w:hAnsi="仿宋_GB2312" w:cs="仿宋_GB2312" w:eastAsia="仿宋_GB2312"/>
        </w:rPr>
        <w:t>采购包最高限价（元）: 560,000.00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多媒体运维服务</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560,000.00</w:t>
            </w:r>
          </w:p>
        </w:tc>
        <w:tc>
          <w:tcPr>
            <w:tcW w:type="dxa" w:w="831"/>
          </w:tcPr>
          <w:p>
            <w:pPr>
              <w:pStyle w:val="null3"/>
            </w:pPr>
            <w:r>
              <w:rPr>
                <w:rFonts w:ascii="仿宋_GB2312" w:hAnsi="仿宋_GB2312" w:cs="仿宋_GB2312" w:eastAsia="仿宋_GB2312"/>
              </w:rPr>
              <w:t>项</w:t>
            </w:r>
          </w:p>
        </w:tc>
        <w:tc>
          <w:tcPr>
            <w:tcW w:type="dxa" w:w="831"/>
          </w:tcPr>
          <w:p>
            <w:pPr>
              <w:pStyle w:val="null3"/>
            </w:pPr>
            <w:r>
              <w:rPr>
                <w:rFonts w:ascii="仿宋_GB2312" w:hAnsi="仿宋_GB2312" w:cs="仿宋_GB2312" w:eastAsia="仿宋_GB2312"/>
              </w:rPr>
              <w:t>其他未列明行业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3.2.2服务要求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标的名称：多媒体运维服务</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sz w:val="28"/>
              </w:rPr>
              <w:t>一、服务方式</w:t>
            </w:r>
          </w:p>
          <w:p>
            <w:pPr>
              <w:pStyle w:val="null3"/>
            </w:pPr>
            <w:r>
              <w:rPr>
                <w:rFonts w:ascii="仿宋_GB2312" w:hAnsi="仿宋_GB2312" w:cs="仿宋_GB2312" w:eastAsia="仿宋_GB2312"/>
                <w:sz w:val="28"/>
              </w:rPr>
              <w:t>★</w:t>
            </w:r>
            <w:r>
              <w:rPr>
                <w:rFonts w:ascii="仿宋_GB2312" w:hAnsi="仿宋_GB2312" w:cs="仿宋_GB2312" w:eastAsia="仿宋_GB2312"/>
                <w:sz w:val="28"/>
              </w:rPr>
              <w:t>供应商选派不少于</w:t>
            </w:r>
            <w:r>
              <w:rPr>
                <w:rFonts w:ascii="仿宋_GB2312" w:hAnsi="仿宋_GB2312" w:cs="仿宋_GB2312" w:eastAsia="仿宋_GB2312"/>
                <w:sz w:val="28"/>
              </w:rPr>
              <w:t>7名技术人员（其中网络运维岗3-4人，多媒体运维岗3-4人）</w:t>
            </w:r>
            <w:r>
              <w:rPr>
                <w:rFonts w:ascii="仿宋_GB2312" w:hAnsi="仿宋_GB2312" w:cs="仿宋_GB2312" w:eastAsia="仿宋_GB2312"/>
                <w:sz w:val="28"/>
              </w:rPr>
              <w:t>。</w:t>
            </w:r>
          </w:p>
          <w:p>
            <w:pPr>
              <w:pStyle w:val="null3"/>
            </w:pPr>
            <w:r>
              <w:rPr>
                <w:rFonts w:ascii="仿宋_GB2312" w:hAnsi="仿宋_GB2312" w:cs="仿宋_GB2312" w:eastAsia="仿宋_GB2312"/>
                <w:sz w:val="28"/>
              </w:rPr>
              <w:t>需</w:t>
            </w:r>
            <w:r>
              <w:rPr>
                <w:rFonts w:ascii="仿宋_GB2312" w:hAnsi="仿宋_GB2312" w:cs="仿宋_GB2312" w:eastAsia="仿宋_GB2312"/>
                <w:sz w:val="28"/>
              </w:rPr>
              <w:t>到学校指定办公地点提供驻场服务，接受业务部门的管理；驻场人员须具备相关专业能力水平，要尽快熟悉掌握校（院）教学、办公、网络环境，并长期固定不得随意更换。</w:t>
            </w:r>
          </w:p>
          <w:p>
            <w:pPr>
              <w:pStyle w:val="null3"/>
            </w:pPr>
            <w:r>
              <w:rPr>
                <w:rFonts w:ascii="仿宋_GB2312" w:hAnsi="仿宋_GB2312" w:cs="仿宋_GB2312" w:eastAsia="仿宋_GB2312"/>
                <w:sz w:val="28"/>
              </w:rPr>
              <w:t>供应商应配备</w:t>
            </w:r>
            <w:r>
              <w:rPr>
                <w:rFonts w:ascii="仿宋_GB2312" w:hAnsi="仿宋_GB2312" w:cs="仿宋_GB2312" w:eastAsia="仿宋_GB2312"/>
                <w:sz w:val="28"/>
              </w:rPr>
              <w:t>1-2名专业技术水平较高的系统工程师，定期对驻场运维人员进行培训管理，对该运维服务项目进行整体规划和技术指导。</w:t>
            </w:r>
          </w:p>
          <w:p>
            <w:pPr>
              <w:pStyle w:val="null3"/>
            </w:pPr>
            <w:r>
              <w:rPr>
                <w:rFonts w:ascii="仿宋_GB2312" w:hAnsi="仿宋_GB2312" w:cs="仿宋_GB2312" w:eastAsia="仿宋_GB2312"/>
                <w:sz w:val="28"/>
              </w:rPr>
              <w:t>二、服务内容、范围</w:t>
            </w:r>
          </w:p>
          <w:p>
            <w:pPr>
              <w:pStyle w:val="null3"/>
            </w:pPr>
            <w:r>
              <w:rPr>
                <w:rFonts w:ascii="仿宋_GB2312" w:hAnsi="仿宋_GB2312" w:cs="仿宋_GB2312" w:eastAsia="仿宋_GB2312"/>
                <w:sz w:val="28"/>
              </w:rPr>
              <w:t>（一）</w:t>
            </w:r>
            <w:r>
              <w:rPr>
                <w:rFonts w:ascii="仿宋_GB2312" w:hAnsi="仿宋_GB2312" w:cs="仿宋_GB2312" w:eastAsia="仿宋_GB2312"/>
                <w:sz w:val="28"/>
              </w:rPr>
              <w:t>网络和办公自动化设备维护</w:t>
            </w:r>
          </w:p>
          <w:p>
            <w:pPr>
              <w:pStyle w:val="null3"/>
            </w:pPr>
            <w:r>
              <w:rPr>
                <w:rFonts w:ascii="仿宋_GB2312" w:hAnsi="仿宋_GB2312" w:cs="仿宋_GB2312" w:eastAsia="仿宋_GB2312"/>
                <w:sz w:val="28"/>
              </w:rPr>
              <w:t>1.终端设备排障。主要包括：两校区办公区内所有教职工和主体班次学员房间的办公信息化设备（电脑、打印机等外设）软硬件故障的检修、排查和技术指导；校园网用户的主要终端设备（电脑、路由器、智能终端类产品）的上网辅助和技术指导。</w:t>
            </w:r>
          </w:p>
          <w:p>
            <w:pPr>
              <w:pStyle w:val="null3"/>
            </w:pPr>
            <w:r>
              <w:rPr>
                <w:rFonts w:ascii="仿宋_GB2312" w:hAnsi="仿宋_GB2312" w:cs="仿宋_GB2312" w:eastAsia="仿宋_GB2312"/>
                <w:sz w:val="28"/>
              </w:rPr>
              <w:t>2.校园网网络故障的排查、日常检修与用户技术指导。主要包括：网络线路、网络设备、上网端口（水晶头、面板模块）等设施的检修，网络参数设置、有线/无线上网疑问的处置等。</w:t>
            </w:r>
          </w:p>
          <w:p>
            <w:pPr>
              <w:pStyle w:val="null3"/>
            </w:pPr>
            <w:r>
              <w:rPr>
                <w:rFonts w:ascii="仿宋_GB2312" w:hAnsi="仿宋_GB2312" w:cs="仿宋_GB2312" w:eastAsia="仿宋_GB2312"/>
                <w:sz w:val="28"/>
              </w:rPr>
              <w:t>3.配合学校完成校园网络干线、交换设备及相关网络系统的检修、优化等技术工作，包括技术保障和资料整理。</w:t>
            </w:r>
          </w:p>
          <w:p>
            <w:pPr>
              <w:pStyle w:val="null3"/>
            </w:pPr>
            <w:r>
              <w:rPr>
                <w:rFonts w:ascii="仿宋_GB2312" w:hAnsi="仿宋_GB2312" w:cs="仿宋_GB2312" w:eastAsia="仿宋_GB2312"/>
                <w:sz w:val="28"/>
              </w:rPr>
              <w:t>4.定期（不超过2个月）对所有网络设备进行巡检、统计，发现问题及时上报解决。</w:t>
            </w:r>
          </w:p>
          <w:p>
            <w:pPr>
              <w:pStyle w:val="null3"/>
            </w:pPr>
            <w:r>
              <w:rPr>
                <w:rFonts w:ascii="仿宋_GB2312" w:hAnsi="仿宋_GB2312" w:cs="仿宋_GB2312" w:eastAsia="仿宋_GB2312"/>
                <w:sz w:val="28"/>
              </w:rPr>
              <w:t>5.在许可范围内配合学校进行网络信息化系统规划。</w:t>
            </w:r>
          </w:p>
          <w:p>
            <w:pPr>
              <w:pStyle w:val="null3"/>
            </w:pPr>
            <w:r>
              <w:rPr>
                <w:rFonts w:ascii="仿宋_GB2312" w:hAnsi="仿宋_GB2312" w:cs="仿宋_GB2312" w:eastAsia="仿宋_GB2312"/>
                <w:sz w:val="28"/>
              </w:rPr>
              <w:t>6.配合做好科室信息化设备资产整理登记和耗材需求整理统计工作。</w:t>
            </w:r>
          </w:p>
          <w:p>
            <w:pPr>
              <w:pStyle w:val="null3"/>
            </w:pPr>
            <w:r>
              <w:rPr>
                <w:rFonts w:ascii="仿宋_GB2312" w:hAnsi="仿宋_GB2312" w:cs="仿宋_GB2312" w:eastAsia="仿宋_GB2312"/>
                <w:sz w:val="28"/>
              </w:rPr>
              <w:t>7.网络工程支持：根据学校信息化建设工作安排，进行有关施工的配合。</w:t>
            </w:r>
          </w:p>
          <w:p>
            <w:pPr>
              <w:pStyle w:val="null3"/>
            </w:pPr>
            <w:r>
              <w:rPr>
                <w:rFonts w:ascii="仿宋_GB2312" w:hAnsi="仿宋_GB2312" w:cs="仿宋_GB2312" w:eastAsia="仿宋_GB2312"/>
                <w:sz w:val="28"/>
              </w:rPr>
              <w:t>（二）</w:t>
            </w:r>
            <w:r>
              <w:rPr>
                <w:rFonts w:ascii="仿宋_GB2312" w:hAnsi="仿宋_GB2312" w:cs="仿宋_GB2312" w:eastAsia="仿宋_GB2312"/>
                <w:sz w:val="28"/>
              </w:rPr>
              <w:t>多媒体教学运维服务</w:t>
            </w:r>
          </w:p>
          <w:p>
            <w:pPr>
              <w:pStyle w:val="null3"/>
            </w:pPr>
            <w:r>
              <w:rPr>
                <w:rFonts w:ascii="仿宋_GB2312" w:hAnsi="仿宋_GB2312" w:cs="仿宋_GB2312" w:eastAsia="仿宋_GB2312"/>
                <w:sz w:val="28"/>
              </w:rPr>
              <w:t>1</w:t>
            </w:r>
            <w:r>
              <w:rPr>
                <w:rFonts w:ascii="仿宋_GB2312" w:hAnsi="仿宋_GB2312" w:cs="仿宋_GB2312" w:eastAsia="仿宋_GB2312"/>
                <w:sz w:val="28"/>
              </w:rPr>
              <w:t>.</w:t>
            </w:r>
            <w:r>
              <w:rPr>
                <w:rFonts w:ascii="仿宋_GB2312" w:hAnsi="仿宋_GB2312" w:cs="仿宋_GB2312" w:eastAsia="仿宋_GB2312"/>
                <w:sz w:val="28"/>
              </w:rPr>
              <w:t>多媒体运维服务的场所范围</w:t>
            </w:r>
          </w:p>
          <w:p>
            <w:pPr>
              <w:pStyle w:val="null3"/>
            </w:pPr>
            <w:r>
              <w:rPr>
                <w:rFonts w:ascii="仿宋_GB2312" w:hAnsi="仿宋_GB2312" w:cs="仿宋_GB2312" w:eastAsia="仿宋_GB2312"/>
                <w:sz w:val="28"/>
              </w:rPr>
              <w:t>全校（院）内所有具备多媒体设备的教学及会议场所包括：小寨校区</w:t>
            </w:r>
            <w:r>
              <w:rPr>
                <w:rFonts w:ascii="仿宋_GB2312" w:hAnsi="仿宋_GB2312" w:cs="仿宋_GB2312" w:eastAsia="仿宋_GB2312"/>
                <w:sz w:val="28"/>
              </w:rPr>
              <w:t>1号教学楼19个多媒体教室及报告厅、1个会议室、3个实训室；2号学员楼8个会议室；学苑大厦2个多功能报告厅和3个多媒体教室；电教楼6个阶梯教室；图书馆1个多媒体教室；校委楼2个多媒体会议室；研究生楼12个多媒体教室；大礼堂；友谊校区教学楼3个报告厅；公务员大厦1个报告厅及4个多媒体教室。共计66处。</w:t>
            </w:r>
          </w:p>
          <w:p>
            <w:pPr>
              <w:pStyle w:val="null3"/>
            </w:pPr>
            <w:r>
              <w:rPr>
                <w:rFonts w:ascii="仿宋_GB2312" w:hAnsi="仿宋_GB2312" w:cs="仿宋_GB2312" w:eastAsia="仿宋_GB2312"/>
                <w:sz w:val="28"/>
              </w:rPr>
              <w:t>2.多媒体运维服务内容</w:t>
            </w:r>
          </w:p>
          <w:p>
            <w:pPr>
              <w:pStyle w:val="null3"/>
            </w:pPr>
            <w:r>
              <w:rPr>
                <w:rFonts w:ascii="仿宋_GB2312" w:hAnsi="仿宋_GB2312" w:cs="仿宋_GB2312" w:eastAsia="仿宋_GB2312"/>
                <w:sz w:val="28"/>
              </w:rPr>
              <w:t>（</w:t>
            </w:r>
            <w:r>
              <w:rPr>
                <w:rFonts w:ascii="仿宋_GB2312" w:hAnsi="仿宋_GB2312" w:cs="仿宋_GB2312" w:eastAsia="仿宋_GB2312"/>
                <w:sz w:val="28"/>
              </w:rPr>
              <w:t>1）所有教学及会议场所的计算机维护、定期检测，投影机使用维护、定期保养维护，音响设备的调试使用和保养维护，大屏幕、LED屏的使用维护，教学巡课系统的使用维护，信息发布系统的使用维护，集控系统的使用维护，所有教学、会议场所活动的技术支持、保障，所有实训室教学活动的基本操作、技术保障。</w:t>
            </w:r>
          </w:p>
          <w:p>
            <w:pPr>
              <w:pStyle w:val="null3"/>
            </w:pPr>
            <w:r>
              <w:rPr>
                <w:rFonts w:ascii="仿宋_GB2312" w:hAnsi="仿宋_GB2312" w:cs="仿宋_GB2312" w:eastAsia="仿宋_GB2312"/>
                <w:sz w:val="28"/>
              </w:rPr>
              <w:t>（</w:t>
            </w:r>
            <w:r>
              <w:rPr>
                <w:rFonts w:ascii="仿宋_GB2312" w:hAnsi="仿宋_GB2312" w:cs="仿宋_GB2312" w:eastAsia="仿宋_GB2312"/>
                <w:sz w:val="28"/>
              </w:rPr>
              <w:t>2）按照课程和会议安排，提供日常教学、会议、直播、转播、全程录制、实训室演练等活动的保障、技术支持和指导，协助科室保障相关日常工作，并做好工作记录。</w:t>
            </w:r>
          </w:p>
          <w:p>
            <w:pPr>
              <w:pStyle w:val="null3"/>
            </w:pPr>
            <w:r>
              <w:rPr>
                <w:rFonts w:ascii="仿宋_GB2312" w:hAnsi="仿宋_GB2312" w:cs="仿宋_GB2312" w:eastAsia="仿宋_GB2312"/>
                <w:sz w:val="28"/>
              </w:rPr>
              <w:t>（</w:t>
            </w:r>
            <w:r>
              <w:rPr>
                <w:rFonts w:ascii="仿宋_GB2312" w:hAnsi="仿宋_GB2312" w:cs="仿宋_GB2312" w:eastAsia="仿宋_GB2312"/>
                <w:sz w:val="28"/>
              </w:rPr>
              <w:t>3）每月对所有设备进行一次巡检，每半年对设备进行一次检修和深度保养，发现问题及时上报，并做好相关工作记录，及时提交服务监管部门。</w:t>
            </w:r>
          </w:p>
          <w:p>
            <w:pPr>
              <w:pStyle w:val="null3"/>
            </w:pPr>
            <w:r>
              <w:rPr>
                <w:rFonts w:ascii="仿宋_GB2312" w:hAnsi="仿宋_GB2312" w:cs="仿宋_GB2312" w:eastAsia="仿宋_GB2312"/>
                <w:sz w:val="28"/>
              </w:rPr>
              <w:t>（</w:t>
            </w:r>
            <w:r>
              <w:rPr>
                <w:rFonts w:ascii="仿宋_GB2312" w:hAnsi="仿宋_GB2312" w:cs="仿宋_GB2312" w:eastAsia="仿宋_GB2312"/>
                <w:sz w:val="28"/>
              </w:rPr>
              <w:t>4）配合采购方完成上述所有场所设施的维修、优化升级、资料整理等技术工作，为采购方上述所有设施使用管理方式方法提供技术支持和实践探索。</w:t>
            </w:r>
          </w:p>
          <w:p>
            <w:pPr>
              <w:pStyle w:val="null3"/>
            </w:pPr>
            <w:r>
              <w:rPr>
                <w:rFonts w:ascii="仿宋_GB2312" w:hAnsi="仿宋_GB2312" w:cs="仿宋_GB2312" w:eastAsia="仿宋_GB2312"/>
                <w:sz w:val="28"/>
              </w:rPr>
              <w:t>（</w:t>
            </w:r>
            <w:r>
              <w:rPr>
                <w:rFonts w:ascii="仿宋_GB2312" w:hAnsi="仿宋_GB2312" w:cs="仿宋_GB2312" w:eastAsia="仿宋_GB2312"/>
                <w:sz w:val="28"/>
              </w:rPr>
              <w:t>5）以较优惠的价格为采购方提供各类视音频、网络、数据线路的施工服务和维修耗材、配件产品配备。</w:t>
            </w:r>
            <w:r>
              <w:rPr>
                <w:rFonts w:ascii="仿宋_GB2312" w:hAnsi="仿宋_GB2312" w:cs="仿宋_GB2312" w:eastAsia="仿宋_GB2312"/>
                <w:sz w:val="28"/>
              </w:rPr>
              <w:t>其中，日常维护中，供应商承担每年总价不超过2000元的线材、音视频插头、转接头、分配器、电源等零配件、耗材。</w:t>
            </w:r>
          </w:p>
          <w:p>
            <w:pPr>
              <w:pStyle w:val="null3"/>
            </w:pPr>
            <w:r>
              <w:rPr>
                <w:rFonts w:ascii="仿宋_GB2312" w:hAnsi="仿宋_GB2312" w:cs="仿宋_GB2312" w:eastAsia="仿宋_GB2312"/>
                <w:sz w:val="28"/>
              </w:rPr>
              <w:t>（</w:t>
            </w:r>
            <w:r>
              <w:rPr>
                <w:rFonts w:ascii="仿宋_GB2312" w:hAnsi="仿宋_GB2312" w:cs="仿宋_GB2312" w:eastAsia="仿宋_GB2312"/>
                <w:sz w:val="28"/>
              </w:rPr>
              <w:t>6）配合采购方做好相关信息化设备资产的登记和统计，资料整理工作。</w:t>
            </w:r>
          </w:p>
          <w:p>
            <w:pPr>
              <w:pStyle w:val="null3"/>
            </w:pPr>
            <w:r>
              <w:rPr>
                <w:rFonts w:ascii="仿宋_GB2312" w:hAnsi="仿宋_GB2312" w:cs="仿宋_GB2312" w:eastAsia="仿宋_GB2312"/>
                <w:sz w:val="28"/>
              </w:rPr>
              <w:t>三、服务规格要求</w:t>
            </w:r>
          </w:p>
          <w:p>
            <w:pPr>
              <w:pStyle w:val="null3"/>
            </w:pPr>
            <w:r>
              <w:rPr>
                <w:rFonts w:ascii="仿宋_GB2312" w:hAnsi="仿宋_GB2312" w:cs="仿宋_GB2312" w:eastAsia="仿宋_GB2312"/>
                <w:sz w:val="28"/>
              </w:rPr>
              <w:t>1</w:t>
            </w:r>
            <w:r>
              <w:rPr>
                <w:rFonts w:ascii="仿宋_GB2312" w:hAnsi="仿宋_GB2312" w:cs="仿宋_GB2312" w:eastAsia="仿宋_GB2312"/>
                <w:sz w:val="28"/>
              </w:rPr>
              <w:t>.</w:t>
            </w:r>
            <w:r>
              <w:rPr>
                <w:rFonts w:ascii="仿宋_GB2312" w:hAnsi="仿宋_GB2312" w:cs="仿宋_GB2312" w:eastAsia="仿宋_GB2312"/>
                <w:sz w:val="28"/>
              </w:rPr>
              <w:t>驻场工作时间：工作日与学校工作时间安排同步。节假日（周末、国家法定假期）须安排值班，寒暑假期间需全员正常上班（周末执行节假日值班制）。如有特殊工作安排需加派人员。配合校方做好特殊时期（如重要会议、重要活动、疫情防控等）的现场保障工作，包括但不限于</w:t>
            </w:r>
            <w:r>
              <w:rPr>
                <w:rFonts w:ascii="仿宋_GB2312" w:hAnsi="仿宋_GB2312" w:cs="仿宋_GB2312" w:eastAsia="仿宋_GB2312"/>
                <w:sz w:val="28"/>
              </w:rPr>
              <w:t>24小时轮流值守等。对节假日值班或者加班，供应商需要有相应备用人员进行顶替换休，或者按照国家规定节假日加班支付加班费。</w:t>
            </w:r>
          </w:p>
          <w:p>
            <w:pPr>
              <w:pStyle w:val="null3"/>
            </w:pPr>
            <w:r>
              <w:rPr>
                <w:rFonts w:ascii="仿宋_GB2312" w:hAnsi="仿宋_GB2312" w:cs="仿宋_GB2312" w:eastAsia="仿宋_GB2312"/>
                <w:sz w:val="28"/>
              </w:rPr>
              <w:t>2</w:t>
            </w:r>
            <w:r>
              <w:rPr>
                <w:rFonts w:ascii="仿宋_GB2312" w:hAnsi="仿宋_GB2312" w:cs="仿宋_GB2312" w:eastAsia="仿宋_GB2312"/>
                <w:sz w:val="28"/>
              </w:rPr>
              <w:t>.</w:t>
            </w:r>
            <w:r>
              <w:rPr>
                <w:rFonts w:ascii="仿宋_GB2312" w:hAnsi="仿宋_GB2312" w:cs="仿宋_GB2312" w:eastAsia="仿宋_GB2312"/>
                <w:sz w:val="28"/>
              </w:rPr>
              <w:t>驻场运维人员须为供应商正式员工，不得采取从社会临聘或从其他公司借调的方式随意安排。网络运维岗位人员需具备专科及以上学历，计算机或</w:t>
            </w:r>
            <w:r>
              <w:rPr>
                <w:rFonts w:ascii="仿宋_GB2312" w:hAnsi="仿宋_GB2312" w:cs="仿宋_GB2312" w:eastAsia="仿宋_GB2312"/>
                <w:sz w:val="28"/>
              </w:rPr>
              <w:t>IT相关专业，一年以上相关工作经验，上岗前须提供毕业证书和劳务合同原件供校方核验。中标供应商须提交驻场人员毕业证书复印件、劳务合同复印件和保密协议等相关资料，以便校方存档。多媒体运维岗需具备计算机软硬件、网络、视音频、系统管理等方面的专业知识，具备至少1年以上相关专业的运维工作经验（投标文件中需提供用工合同和学历证明、技术等级证明）。</w:t>
            </w:r>
          </w:p>
          <w:p>
            <w:pPr>
              <w:pStyle w:val="null3"/>
            </w:pPr>
            <w:r>
              <w:rPr>
                <w:rFonts w:ascii="仿宋_GB2312" w:hAnsi="仿宋_GB2312" w:cs="仿宋_GB2312" w:eastAsia="仿宋_GB2312"/>
                <w:sz w:val="28"/>
              </w:rPr>
              <w:t>3</w:t>
            </w:r>
            <w:r>
              <w:rPr>
                <w:rFonts w:ascii="仿宋_GB2312" w:hAnsi="仿宋_GB2312" w:cs="仿宋_GB2312" w:eastAsia="仿宋_GB2312"/>
                <w:sz w:val="28"/>
              </w:rPr>
              <w:t>.</w:t>
            </w:r>
            <w:r>
              <w:rPr>
                <w:rFonts w:ascii="仿宋_GB2312" w:hAnsi="仿宋_GB2312" w:cs="仿宋_GB2312" w:eastAsia="仿宋_GB2312"/>
                <w:sz w:val="28"/>
              </w:rPr>
              <w:t>驻场人员应具有较强的责任心，独立处理问题能力强；要求着装整齐、仪表整洁，响应及时，服务耐心、热情，一次性解决问题成功率高。网络运维人员第一时间解决不了的，须和用户预约时间，如有其他工作原因不能按预约时间处置，须和对方电话沟通并另约时间。问题解决一般不应超过</w:t>
            </w:r>
            <w:r>
              <w:rPr>
                <w:rFonts w:ascii="仿宋_GB2312" w:hAnsi="仿宋_GB2312" w:cs="仿宋_GB2312" w:eastAsia="仿宋_GB2312"/>
                <w:sz w:val="28"/>
              </w:rPr>
              <w:t>24小时。供应商应该设置此项目的技术部门或者系统工程师，并提供系统工程师的电话，如果驻场人员解决不了的时候，需要通过联系系统工程师快速解决问题，以免影响正常教学。</w:t>
            </w:r>
          </w:p>
          <w:p>
            <w:pPr>
              <w:pStyle w:val="null3"/>
            </w:pPr>
            <w:r>
              <w:rPr>
                <w:rFonts w:ascii="仿宋_GB2312" w:hAnsi="仿宋_GB2312" w:cs="仿宋_GB2312" w:eastAsia="仿宋_GB2312"/>
                <w:sz w:val="28"/>
              </w:rPr>
              <w:t>4</w:t>
            </w:r>
            <w:r>
              <w:rPr>
                <w:rFonts w:ascii="仿宋_GB2312" w:hAnsi="仿宋_GB2312" w:cs="仿宋_GB2312" w:eastAsia="仿宋_GB2312"/>
                <w:sz w:val="28"/>
              </w:rPr>
              <w:t>.</w:t>
            </w:r>
            <w:r>
              <w:rPr>
                <w:rFonts w:ascii="仿宋_GB2312" w:hAnsi="仿宋_GB2312" w:cs="仿宋_GB2312" w:eastAsia="仿宋_GB2312"/>
                <w:sz w:val="28"/>
              </w:rPr>
              <w:t>多媒体运维岗位人员根据课表和会议通知至少提前</w:t>
            </w:r>
            <w:r>
              <w:rPr>
                <w:rFonts w:ascii="仿宋_GB2312" w:hAnsi="仿宋_GB2312" w:cs="仿宋_GB2312" w:eastAsia="仿宋_GB2312"/>
                <w:sz w:val="28"/>
              </w:rPr>
              <w:t>15-30分钟开启设备并调试到正常状态，保证所有多媒体、会议设备正常运行，如遇重要活动特殊要求，需按照活动要求时间完成现场的会场准备、设备调试及保障工作，会议结束后要及时恢复会场为正常状态。教学或会议中出现故障应在5分钟之内到场排查，并第一时间解决。技术复杂的故障如重新安装系统、中控程序丢失、投影机灯泡需要更换等故障，应提前报设备管理部门和教室管理部门协调场所安排，24小时内完成系统安装及故障维修。出现硬件故障需返厂维修的，要与教室管理部门和设备管理部门及时沟通进行协调设备维修或更换教室。</w:t>
            </w:r>
          </w:p>
          <w:p>
            <w:pPr>
              <w:pStyle w:val="null3"/>
            </w:pPr>
            <w:r>
              <w:rPr>
                <w:rFonts w:ascii="仿宋_GB2312" w:hAnsi="仿宋_GB2312" w:cs="仿宋_GB2312" w:eastAsia="仿宋_GB2312"/>
                <w:sz w:val="28"/>
              </w:rPr>
              <w:t>5</w:t>
            </w:r>
            <w:r>
              <w:rPr>
                <w:rFonts w:ascii="仿宋_GB2312" w:hAnsi="仿宋_GB2312" w:cs="仿宋_GB2312" w:eastAsia="仿宋_GB2312"/>
                <w:sz w:val="28"/>
              </w:rPr>
              <w:t>.</w:t>
            </w:r>
            <w:r>
              <w:rPr>
                <w:rFonts w:ascii="仿宋_GB2312" w:hAnsi="仿宋_GB2312" w:cs="仿宋_GB2312" w:eastAsia="仿宋_GB2312"/>
                <w:sz w:val="28"/>
              </w:rPr>
              <w:t>多媒体运维岗位人员出现未按时开关设备、超过响应时间不到场、出现故障不及时上报、工作时间不在岗、报修电话或手机无法接通、维修故障处理不及时等情况被投诉累计超过</w:t>
            </w:r>
            <w:r>
              <w:rPr>
                <w:rFonts w:ascii="仿宋_GB2312" w:hAnsi="仿宋_GB2312" w:cs="仿宋_GB2312" w:eastAsia="仿宋_GB2312"/>
                <w:sz w:val="28"/>
              </w:rPr>
              <w:t>5次，供应商须更换运维人员或重新培训上岗，培训期间所产生的一切费用及人员缺岗等问题由乙方承担，同时扣除服务费。服务监督部门按照《运行维护服务评价表》进行日常监督评价，按季度报财务部门作为付款参照。</w:t>
            </w:r>
          </w:p>
          <w:p>
            <w:pPr>
              <w:pStyle w:val="null3"/>
            </w:pPr>
            <w:r>
              <w:rPr>
                <w:rFonts w:ascii="仿宋_GB2312" w:hAnsi="仿宋_GB2312" w:cs="仿宋_GB2312" w:eastAsia="仿宋_GB2312"/>
                <w:sz w:val="28"/>
              </w:rPr>
              <w:t>6</w:t>
            </w:r>
            <w:r>
              <w:rPr>
                <w:rFonts w:ascii="仿宋_GB2312" w:hAnsi="仿宋_GB2312" w:cs="仿宋_GB2312" w:eastAsia="仿宋_GB2312"/>
                <w:sz w:val="28"/>
              </w:rPr>
              <w:t>.</w:t>
            </w:r>
            <w:r>
              <w:rPr>
                <w:rFonts w:ascii="仿宋_GB2312" w:hAnsi="仿宋_GB2312" w:cs="仿宋_GB2312" w:eastAsia="仿宋_GB2312"/>
                <w:sz w:val="28"/>
              </w:rPr>
              <w:t>驻场人员须遵纪守法，服从校方管理，按照工作要求处理技术问题，遵从学校的作息时间和工作纪律，按时上下班，按计划做好值班工作，履行请假销假手续，不得出现迟到、早退、旷工、不服从管理的现象。驻场人员如发生不服从管理、无故旷工、长期迟到早退、多次因工作失误被投诉等情况，供应商须在</w:t>
            </w:r>
            <w:r>
              <w:rPr>
                <w:rFonts w:ascii="仿宋_GB2312" w:hAnsi="仿宋_GB2312" w:cs="仿宋_GB2312" w:eastAsia="仿宋_GB2312"/>
                <w:sz w:val="28"/>
              </w:rPr>
              <w:t>7日内更换合适人员。</w:t>
            </w:r>
          </w:p>
          <w:p>
            <w:pPr>
              <w:pStyle w:val="null3"/>
            </w:pPr>
            <w:r>
              <w:rPr>
                <w:rFonts w:ascii="仿宋_GB2312" w:hAnsi="仿宋_GB2312" w:cs="仿宋_GB2312" w:eastAsia="仿宋_GB2312"/>
                <w:sz w:val="28"/>
              </w:rPr>
              <w:t>7</w:t>
            </w:r>
            <w:r>
              <w:rPr>
                <w:rFonts w:ascii="仿宋_GB2312" w:hAnsi="仿宋_GB2312" w:cs="仿宋_GB2312" w:eastAsia="仿宋_GB2312"/>
                <w:sz w:val="28"/>
              </w:rPr>
              <w:t>.</w:t>
            </w:r>
            <w:r>
              <w:rPr>
                <w:rFonts w:ascii="仿宋_GB2312" w:hAnsi="仿宋_GB2312" w:cs="仿宋_GB2312" w:eastAsia="仿宋_GB2312"/>
                <w:sz w:val="28"/>
              </w:rPr>
              <w:t>供应商应该设立此项目的项目经理，如果中途更换项目经理，需提前</w:t>
            </w:r>
            <w:r>
              <w:rPr>
                <w:rFonts w:ascii="仿宋_GB2312" w:hAnsi="仿宋_GB2312" w:cs="仿宋_GB2312" w:eastAsia="仿宋_GB2312"/>
                <w:sz w:val="28"/>
              </w:rPr>
              <w:t>1个月通过正式文件告知校方，而且项目经理应定期来现场对运维情况进行现场观摩和检查，每季度的最后一个月的月末，项目经理必须到现场参加考核，了解现场驻场人员的工作情况和心理情况，及时沟通解决他们的困难，使其安心工作；并定期安排系统工程师对现场情况进行巡检，排查和解决运维过程中的疑难问题和技术问题；定期对驻场运维人员进行服务意识、服务质量、协作意识和系统设备方面的新技术、设备维护的操作技术和故障处理的方法等方面的培训，从而提升驻场技术人员的全面素质。</w:t>
            </w:r>
          </w:p>
          <w:p>
            <w:pPr>
              <w:pStyle w:val="null3"/>
            </w:pPr>
            <w:r>
              <w:rPr>
                <w:rFonts w:ascii="仿宋_GB2312" w:hAnsi="仿宋_GB2312" w:cs="仿宋_GB2312" w:eastAsia="仿宋_GB2312"/>
                <w:sz w:val="28"/>
              </w:rPr>
              <w:t>8</w:t>
            </w:r>
            <w:r>
              <w:rPr>
                <w:rFonts w:ascii="仿宋_GB2312" w:hAnsi="仿宋_GB2312" w:cs="仿宋_GB2312" w:eastAsia="仿宋_GB2312"/>
                <w:sz w:val="28"/>
              </w:rPr>
              <w:t>.</w:t>
            </w:r>
            <w:r>
              <w:rPr>
                <w:rFonts w:ascii="仿宋_GB2312" w:hAnsi="仿宋_GB2312" w:cs="仿宋_GB2312" w:eastAsia="仿宋_GB2312"/>
                <w:sz w:val="28"/>
              </w:rPr>
              <w:t>校方为驻场人员提供固定的办公场所和办公电脑，驻场人员日常维修所需使用的烙铁、网线钳、寻线仪、螺丝刀、</w:t>
            </w:r>
            <w:r>
              <w:rPr>
                <w:rFonts w:ascii="仿宋_GB2312" w:hAnsi="仿宋_GB2312" w:cs="仿宋_GB2312" w:eastAsia="仿宋_GB2312"/>
                <w:sz w:val="28"/>
              </w:rPr>
              <w:t>U盘等日常维修工具由供应商配备。</w:t>
            </w:r>
          </w:p>
          <w:p>
            <w:pPr>
              <w:pStyle w:val="null3"/>
            </w:pPr>
            <w:r>
              <w:rPr>
                <w:rFonts w:ascii="仿宋_GB2312" w:hAnsi="仿宋_GB2312" w:cs="仿宋_GB2312" w:eastAsia="仿宋_GB2312"/>
                <w:sz w:val="28"/>
              </w:rPr>
              <w:t>9</w:t>
            </w:r>
            <w:r>
              <w:rPr>
                <w:rFonts w:ascii="仿宋_GB2312" w:hAnsi="仿宋_GB2312" w:cs="仿宋_GB2312" w:eastAsia="仿宋_GB2312"/>
                <w:sz w:val="28"/>
              </w:rPr>
              <w:t>.</w:t>
            </w:r>
            <w:r>
              <w:rPr>
                <w:rFonts w:ascii="仿宋_GB2312" w:hAnsi="仿宋_GB2312" w:cs="仿宋_GB2312" w:eastAsia="仿宋_GB2312"/>
                <w:sz w:val="28"/>
              </w:rPr>
              <w:t>供应商应慎重选派合适人员，确保派遣人员能够胜任校方的要求。驻场人员需有两周试用期，试用期内如不能适应或者胜任工作，供应商须按校方要求更换人员，同时该两周试用期不计入运维服务期。若连续两个试用期仍不能胜任工作，校方将从服务费中扣除适当费用。</w:t>
            </w:r>
          </w:p>
          <w:p>
            <w:pPr>
              <w:pStyle w:val="null3"/>
            </w:pPr>
            <w:r>
              <w:rPr>
                <w:rFonts w:ascii="仿宋_GB2312" w:hAnsi="仿宋_GB2312" w:cs="仿宋_GB2312" w:eastAsia="仿宋_GB2312"/>
                <w:sz w:val="28"/>
              </w:rPr>
              <w:t>10</w:t>
            </w:r>
            <w:r>
              <w:rPr>
                <w:rFonts w:ascii="仿宋_GB2312" w:hAnsi="仿宋_GB2312" w:cs="仿宋_GB2312" w:eastAsia="仿宋_GB2312"/>
                <w:sz w:val="28"/>
              </w:rPr>
              <w:t>.</w:t>
            </w:r>
            <w:r>
              <w:rPr>
                <w:rFonts w:ascii="仿宋_GB2312" w:hAnsi="仿宋_GB2312" w:cs="仿宋_GB2312" w:eastAsia="仿宋_GB2312"/>
                <w:sz w:val="28"/>
              </w:rPr>
              <w:t>若遇到突发情况如疫情防控、重大活动保障等，校方有权根据实际情况安排驻场人员，包括但不限于场地派遣、按要求住校等要求。</w:t>
            </w:r>
          </w:p>
          <w:p>
            <w:pPr>
              <w:pStyle w:val="null3"/>
            </w:pPr>
            <w:r>
              <w:rPr>
                <w:rFonts w:ascii="仿宋_GB2312" w:hAnsi="仿宋_GB2312" w:cs="仿宋_GB2312" w:eastAsia="仿宋_GB2312"/>
                <w:sz w:val="28"/>
              </w:rPr>
              <w:t>11</w:t>
            </w:r>
            <w:r>
              <w:rPr>
                <w:rFonts w:ascii="仿宋_GB2312" w:hAnsi="仿宋_GB2312" w:cs="仿宋_GB2312" w:eastAsia="仿宋_GB2312"/>
                <w:sz w:val="28"/>
              </w:rPr>
              <w:t>.</w:t>
            </w:r>
            <w:r>
              <w:rPr>
                <w:rFonts w:ascii="仿宋_GB2312" w:hAnsi="仿宋_GB2312" w:cs="仿宋_GB2312" w:eastAsia="仿宋_GB2312"/>
                <w:sz w:val="28"/>
              </w:rPr>
              <w:t>驻场人员应长期固定，如因员工离职等造成驻场人员缺岗，供应商必须提前一月告知校方，及时选派合格的接替人员，在接替人员能独立完成运维保障任务之后，原来人员才能离开。凡出现人员更换的情形，校方将从服务费用中按次扣除适当费用。</w:t>
            </w:r>
          </w:p>
          <w:p>
            <w:pPr>
              <w:pStyle w:val="null3"/>
            </w:pPr>
            <w:r>
              <w:rPr>
                <w:rFonts w:ascii="仿宋_GB2312" w:hAnsi="仿宋_GB2312" w:cs="仿宋_GB2312" w:eastAsia="仿宋_GB2312"/>
                <w:sz w:val="28"/>
              </w:rPr>
              <w:t>12</w:t>
            </w:r>
            <w:r>
              <w:rPr>
                <w:rFonts w:ascii="仿宋_GB2312" w:hAnsi="仿宋_GB2312" w:cs="仿宋_GB2312" w:eastAsia="仿宋_GB2312"/>
                <w:sz w:val="28"/>
              </w:rPr>
              <w:t>.</w:t>
            </w:r>
            <w:r>
              <w:rPr>
                <w:rFonts w:ascii="仿宋_GB2312" w:hAnsi="仿宋_GB2312" w:cs="仿宋_GB2312" w:eastAsia="仿宋_GB2312"/>
                <w:sz w:val="28"/>
              </w:rPr>
              <w:t>驻场人员应专职为此项目服务，供应商不得将驻场运维人员抽调到到其他项目，或抽调去执行本服务项目内容外其他工作任务，而且不能为了公司业绩让驻场运维人员拉项目拉业务等的营销工作影响运维工作的正常运行，也不允许让驻场人员在工作日上班时间内做与本项目服务内容无关的事情，若出现此类情况影响本职工作，校方将从供应商服务费用中扣除适当费用。</w:t>
            </w:r>
          </w:p>
          <w:p>
            <w:pPr>
              <w:pStyle w:val="null3"/>
            </w:pPr>
            <w:r>
              <w:rPr>
                <w:rFonts w:ascii="仿宋_GB2312" w:hAnsi="仿宋_GB2312" w:cs="仿宋_GB2312" w:eastAsia="仿宋_GB2312"/>
                <w:sz w:val="28"/>
              </w:rPr>
              <w:t>13</w:t>
            </w:r>
            <w:r>
              <w:rPr>
                <w:rFonts w:ascii="仿宋_GB2312" w:hAnsi="仿宋_GB2312" w:cs="仿宋_GB2312" w:eastAsia="仿宋_GB2312"/>
                <w:sz w:val="28"/>
              </w:rPr>
              <w:t>.</w:t>
            </w:r>
            <w:r>
              <w:rPr>
                <w:rFonts w:ascii="仿宋_GB2312" w:hAnsi="仿宋_GB2312" w:cs="仿宋_GB2312" w:eastAsia="仿宋_GB2312"/>
                <w:sz w:val="28"/>
              </w:rPr>
              <w:t>驻场人员在工作日期间因故不能到岗，自缺岗之日起，校方按日从供应商服务费用中扣除适当费用。</w:t>
            </w:r>
          </w:p>
          <w:p>
            <w:pPr>
              <w:pStyle w:val="null3"/>
            </w:pPr>
            <w:r>
              <w:rPr>
                <w:rFonts w:ascii="仿宋_GB2312" w:hAnsi="仿宋_GB2312" w:cs="仿宋_GB2312" w:eastAsia="仿宋_GB2312"/>
                <w:sz w:val="28"/>
              </w:rPr>
              <w:t>14</w:t>
            </w:r>
            <w:r>
              <w:rPr>
                <w:rFonts w:ascii="仿宋_GB2312" w:hAnsi="仿宋_GB2312" w:cs="仿宋_GB2312" w:eastAsia="仿宋_GB2312"/>
                <w:sz w:val="28"/>
              </w:rPr>
              <w:t>.</w:t>
            </w:r>
            <w:r>
              <w:rPr>
                <w:rFonts w:ascii="仿宋_GB2312" w:hAnsi="仿宋_GB2312" w:cs="仿宋_GB2312" w:eastAsia="仿宋_GB2312"/>
                <w:sz w:val="28"/>
              </w:rPr>
              <w:t>采购方不负责驻场运维人员的薪资、食宿及人事管理，对于合同期间驻场运维人员发生的劳资纠纷、工伤意外、社会关系等事务、刑事民事等统一由供应商承担和处置，校方不承担连带责任；在服务过程中，如果因人员失误或者劳务纠纷等给学校正常工作带来影响，校方将从供应商服务费用中扣除适当费用；如果损害学校声誉造成恶劣影响，校方除扣除一定服务费外，还将走法律诉讼程序，法律诉讼相关费用由供应商全部承担。</w:t>
            </w:r>
          </w:p>
          <w:p>
            <w:pPr>
              <w:pStyle w:val="null3"/>
            </w:pPr>
            <w:r>
              <w:rPr>
                <w:rFonts w:ascii="仿宋_GB2312" w:hAnsi="仿宋_GB2312" w:cs="仿宋_GB2312" w:eastAsia="仿宋_GB2312"/>
                <w:sz w:val="28"/>
              </w:rPr>
              <w:t>15</w:t>
            </w:r>
            <w:r>
              <w:rPr>
                <w:rFonts w:ascii="仿宋_GB2312" w:hAnsi="仿宋_GB2312" w:cs="仿宋_GB2312" w:eastAsia="仿宋_GB2312"/>
                <w:sz w:val="28"/>
              </w:rPr>
              <w:t>.</w:t>
            </w:r>
            <w:r>
              <w:rPr>
                <w:rFonts w:ascii="仿宋_GB2312" w:hAnsi="仿宋_GB2312" w:cs="仿宋_GB2312" w:eastAsia="仿宋_GB2312"/>
                <w:sz w:val="28"/>
              </w:rPr>
              <w:t>驻场人员应做好信息保密和网络安全保障工作，未经许可，不得私自备份和传播敏感资料和数据信息，不得私自传播各类教学、会议安排等信息。采购方所有设备及相关工程资料只作为服务工作所需，不得随意带出及外传、丢失。如发生安全事故、教学事故供应商需承担相应责任，并列入黑名单不得参与我校下一年度投标。</w:t>
            </w:r>
          </w:p>
          <w:p>
            <w:pPr>
              <w:pStyle w:val="null3"/>
            </w:pPr>
            <w:r>
              <w:rPr>
                <w:rFonts w:ascii="仿宋_GB2312" w:hAnsi="仿宋_GB2312" w:cs="仿宋_GB2312" w:eastAsia="仿宋_GB2312"/>
                <w:sz w:val="28"/>
              </w:rPr>
              <w:t>16</w:t>
            </w:r>
            <w:r>
              <w:rPr>
                <w:rFonts w:ascii="仿宋_GB2312" w:hAnsi="仿宋_GB2312" w:cs="仿宋_GB2312" w:eastAsia="仿宋_GB2312"/>
                <w:sz w:val="28"/>
              </w:rPr>
              <w:t>.</w:t>
            </w:r>
            <w:r>
              <w:rPr>
                <w:rFonts w:ascii="仿宋_GB2312" w:hAnsi="仿宋_GB2312" w:cs="仿宋_GB2312" w:eastAsia="仿宋_GB2312"/>
                <w:sz w:val="28"/>
              </w:rPr>
              <w:t>每季度《运行维护服务评价表》评价项里有一项评价为</w:t>
            </w:r>
            <w:r>
              <w:rPr>
                <w:rFonts w:ascii="仿宋_GB2312" w:hAnsi="仿宋_GB2312" w:cs="仿宋_GB2312" w:eastAsia="仿宋_GB2312"/>
                <w:sz w:val="28"/>
              </w:rPr>
              <w:t>“较差”或者“不满足”，校方将扣除一定比例的服务费，全年累计达到5次“较差”或“不满意”，则最后一期服务费扣除一个月费用。</w:t>
            </w:r>
          </w:p>
        </w:tc>
      </w:tr>
    </w:tbl>
    <w:p>
      <w:pPr>
        <w:pStyle w:val="null3"/>
        <w:outlineLvl w:val="2"/>
      </w:pPr>
      <w:r>
        <w:rPr>
          <w:rFonts w:ascii="仿宋_GB2312" w:hAnsi="仿宋_GB2312" w:cs="仿宋_GB2312" w:eastAsia="仿宋_GB2312"/>
          <w:sz w:val="28"/>
          <w:b/>
        </w:rPr>
        <w:t>3.2.3人员配置要求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2"/>
      </w:pPr>
      <w:r>
        <w:rPr>
          <w:rFonts w:ascii="仿宋_GB2312" w:hAnsi="仿宋_GB2312" w:cs="仿宋_GB2312" w:eastAsia="仿宋_GB2312"/>
          <w:sz w:val="28"/>
          <w:b/>
        </w:rPr>
        <w:t>3.2.4设施设备要求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2"/>
      </w:pPr>
      <w:r>
        <w:rPr>
          <w:rFonts w:ascii="仿宋_GB2312" w:hAnsi="仿宋_GB2312" w:cs="仿宋_GB2312" w:eastAsia="仿宋_GB2312"/>
          <w:sz w:val="28"/>
          <w:b/>
        </w:rPr>
        <w:t>3.2.5其他要求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2"/>
      </w:pPr>
      <w:r>
        <w:rPr>
          <w:rFonts w:ascii="仿宋_GB2312" w:hAnsi="仿宋_GB2312" w:cs="仿宋_GB2312" w:eastAsia="仿宋_GB2312"/>
          <w:sz w:val="28"/>
          <w:b/>
        </w:rPr>
        <w:t>3.3商务要求</w:t>
      </w:r>
    </w:p>
    <w:p>
      <w:pPr>
        <w:pStyle w:val="null3"/>
        <w:outlineLvl w:val="3"/>
      </w:pPr>
      <w:r>
        <w:rPr>
          <w:rFonts w:ascii="仿宋_GB2312" w:hAnsi="仿宋_GB2312" w:cs="仿宋_GB2312" w:eastAsia="仿宋_GB2312"/>
          <w:sz w:val="24"/>
          <w:b/>
        </w:rPr>
        <w:t>3.3.1服务期限</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服务期限：本次服务期为1年。在政策允许、服务范围不变，中标价和主要条款不变的情况下，如果本轮合同结束，乙方通过甲方专项考评，成绩达到优秀以上，双方协商一致同意，可以按照1年+1年+1年的模式续签合同，合同期限最多不超过3年</w:t>
      </w:r>
    </w:p>
    <w:p>
      <w:pPr>
        <w:pStyle w:val="null3"/>
        <w:outlineLvl w:val="3"/>
      </w:pPr>
      <w:r>
        <w:rPr>
          <w:rFonts w:ascii="仿宋_GB2312" w:hAnsi="仿宋_GB2312" w:cs="仿宋_GB2312" w:eastAsia="仿宋_GB2312"/>
          <w:sz w:val="24"/>
          <w:b/>
        </w:rPr>
        <w:t>3.3.2服务地点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中共陕西省委党校（陕西行政学院）指定地点</w:t>
      </w:r>
    </w:p>
    <w:p>
      <w:pPr>
        <w:pStyle w:val="null3"/>
        <w:outlineLvl w:val="3"/>
      </w:pPr>
      <w:r>
        <w:rPr>
          <w:rFonts w:ascii="仿宋_GB2312" w:hAnsi="仿宋_GB2312" w:cs="仿宋_GB2312" w:eastAsia="仿宋_GB2312"/>
          <w:sz w:val="24"/>
          <w:b/>
        </w:rPr>
        <w:t>3.3.3考核（验收）标准和方法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3"/>
      </w:pPr>
      <w:r>
        <w:rPr>
          <w:rFonts w:ascii="仿宋_GB2312" w:hAnsi="仿宋_GB2312" w:cs="仿宋_GB2312" w:eastAsia="仿宋_GB2312"/>
          <w:sz w:val="24"/>
          <w:b/>
        </w:rPr>
        <w:t>3.3.4支付方式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分期付款</w:t>
      </w:r>
    </w:p>
    <w:p>
      <w:pPr>
        <w:pStyle w:val="null3"/>
        <w:outlineLvl w:val="3"/>
      </w:pPr>
      <w:r>
        <w:rPr>
          <w:rFonts w:ascii="仿宋_GB2312" w:hAnsi="仿宋_GB2312" w:cs="仿宋_GB2312" w:eastAsia="仿宋_GB2312"/>
          <w:sz w:val="24"/>
          <w:b/>
        </w:rPr>
        <w:t>3.3.5支付约定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第一季度最后一个月末支付（如遇假期，适当顺延） </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25.00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第二季度最后一个月末支付（如遇假期，适当顺延） </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25.00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 第三季度最后一个月末支付（如遇假期，适当顺延） </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25.00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 第四季度最后一个月末支付（如遇假期，适当顺延）</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25.00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3.3.6违约责任及解决争议的方法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2"/>
      </w:pPr>
      <w:r>
        <w:rPr>
          <w:rFonts w:ascii="仿宋_GB2312" w:hAnsi="仿宋_GB2312" w:cs="仿宋_GB2312" w:eastAsia="仿宋_GB2312"/>
          <w:sz w:val="28"/>
          <w:b/>
        </w:rPr>
        <w:t>3.4其他要求</w:t>
      </w:r>
    </w:p>
    <w:p>
      <w:pPr>
        <w:pStyle w:val="null3"/>
      </w:pPr>
      <w:r>
        <w:rPr>
          <w:rFonts w:ascii="仿宋_GB2312" w:hAnsi="仿宋_GB2312" w:cs="仿宋_GB2312" w:eastAsia="仿宋_GB2312"/>
        </w:rPr>
        <w:t>1.“★”的参数需求为实质性要求，供应商必须响应并满足参数需求，否则视为无效响应。</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资格审查由采购人或代理机构组建的资格审查小组依据法律法规和磋商文件的规定，对响应文件中的资格证明等进行审查，以确定投标人是否具备投标资格，并出具资格审查报告。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参与的供应商（联合体）服务全部由符合政策要求的中小企业承接。</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供应商提供2024年度经审计完整的财务审计报告（成立时间至提交投标文件截止时间不足一年的可提供成立后任意时段的资产负债表），或其开标前六个月内银行出具的资信证明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非法定代表人参加投标的，须提供法定代表人委托授权书及被授权人身份证，法定代表人参加投标时,只需提供法定代表人身份证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本项目不接受联合体投标</w:t>
            </w:r>
          </w:p>
        </w:tc>
        <w:tc>
          <w:tcPr>
            <w:tcW w:type="dxa" w:w="3322"/>
          </w:tcPr>
          <w:p>
            <w:pPr>
              <w:pStyle w:val="null3"/>
            </w:pPr>
            <w:r>
              <w:rPr>
                <w:rFonts w:ascii="仿宋_GB2312" w:hAnsi="仿宋_GB2312" w:cs="仿宋_GB2312" w:eastAsia="仿宋_GB2312"/>
              </w:rPr>
              <w:t>本项目不接受联合体投标</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磋商过程中可实质性变动的内容</w:t>
      </w:r>
    </w:p>
    <w:p>
      <w:pPr>
        <w:pStyle w:val="null3"/>
        <w:ind w:firstLine="480"/>
      </w:pPr>
      <w:r>
        <w:rPr>
          <w:rFonts w:ascii="仿宋_GB2312" w:hAnsi="仿宋_GB2312" w:cs="仿宋_GB2312" w:eastAsia="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磋商办法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竞争性磋商采购方式管理暂行办法》《陕西省政府采购评审专家管理实施办法》等法律规章，结合本采购项目特点制定本次竞争性磋商评审方法。</w:t>
      </w:r>
    </w:p>
    <w:p>
      <w:pPr>
        <w:pStyle w:val="null3"/>
        <w:ind w:firstLine="480"/>
      </w:pPr>
      <w:r>
        <w:rPr>
          <w:rFonts w:ascii="仿宋_GB2312" w:hAnsi="仿宋_GB2312" w:cs="仿宋_GB2312" w:eastAsia="仿宋_GB2312"/>
        </w:rPr>
        <w:t>二、评审工作由代理机构组织，具体评审事务由依法组建的磋商小组负责。</w:t>
      </w:r>
    </w:p>
    <w:p>
      <w:pPr>
        <w:pStyle w:val="null3"/>
        <w:ind w:firstLine="480"/>
      </w:pPr>
      <w:r>
        <w:rPr>
          <w:rFonts w:ascii="仿宋_GB2312" w:hAnsi="仿宋_GB2312" w:cs="仿宋_GB2312" w:eastAsia="仿宋_GB2312"/>
        </w:rPr>
        <w:t>三、评审工作应遵循客观、公正、审慎的原则，并以相同的磋商程序和标准对待所有的供应商。</w:t>
      </w:r>
    </w:p>
    <w:p>
      <w:pPr>
        <w:pStyle w:val="null3"/>
        <w:ind w:firstLine="480"/>
      </w:pPr>
      <w:r>
        <w:rPr>
          <w:rFonts w:ascii="仿宋_GB2312" w:hAnsi="仿宋_GB2312" w:cs="仿宋_GB2312" w:eastAsia="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 磋商小组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pPr>
        <w:pStyle w:val="null3"/>
        <w:ind w:firstLine="480"/>
      </w:pPr>
      <w:r>
        <w:rPr>
          <w:rFonts w:ascii="仿宋_GB2312" w:hAnsi="仿宋_GB2312" w:cs="仿宋_GB2312" w:eastAsia="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pPr>
        <w:pStyle w:val="null3"/>
        <w:ind w:firstLine="480"/>
      </w:pPr>
      <w:r>
        <w:rPr>
          <w:rFonts w:ascii="仿宋_GB2312" w:hAnsi="仿宋_GB2312" w:cs="仿宋_GB2312" w:eastAsia="仿宋_GB2312"/>
        </w:rPr>
        <w:t>三、磋商小组按照磋商文件规定的磋商程序、评分方法和标准进行评审，并独立履行下列职责：</w:t>
      </w:r>
    </w:p>
    <w:p>
      <w:pPr>
        <w:pStyle w:val="null3"/>
        <w:ind w:firstLine="480"/>
      </w:pPr>
      <w:r>
        <w:rPr>
          <w:rFonts w:ascii="仿宋_GB2312" w:hAnsi="仿宋_GB2312" w:cs="仿宋_GB2312" w:eastAsia="仿宋_GB2312"/>
        </w:rPr>
        <w:t>（一）熟悉和理解磋商文件；</w:t>
      </w:r>
    </w:p>
    <w:p>
      <w:pPr>
        <w:pStyle w:val="null3"/>
        <w:ind w:firstLine="480"/>
      </w:pPr>
      <w:r>
        <w:rPr>
          <w:rFonts w:ascii="仿宋_GB2312" w:hAnsi="仿宋_GB2312" w:cs="仿宋_GB2312" w:eastAsia="仿宋_GB2312"/>
        </w:rPr>
        <w:t>（二）审查供应商响应文件等是否满足磋商文件要求，并作出评价；</w:t>
      </w:r>
    </w:p>
    <w:p>
      <w:pPr>
        <w:pStyle w:val="null3"/>
        <w:ind w:firstLine="480"/>
      </w:pPr>
      <w:r>
        <w:rPr>
          <w:rFonts w:ascii="仿宋_GB2312" w:hAnsi="仿宋_GB2312" w:cs="仿宋_GB2312" w:eastAsia="仿宋_GB2312"/>
        </w:rPr>
        <w:t xml:space="preserve"> （三）根据需要要求采购组织单位对磋商文件作出解释；根据需要要求供应商对响应文件有关事项作出澄清、说明或者更正；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（五）起草资格审查报告、评审报告并进行签署；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6.3.1.熟悉和理解磋商文件和停止评审</w:t>
      </w:r>
    </w:p>
    <w:p>
      <w:pPr>
        <w:pStyle w:val="null3"/>
        <w:ind w:firstLine="480"/>
      </w:pPr>
      <w:r>
        <w:rPr>
          <w:rFonts w:ascii="仿宋_GB2312" w:hAnsi="仿宋_GB2312" w:cs="仿宋_GB2312" w:eastAsia="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null3"/>
        <w:ind w:firstLine="480"/>
      </w:pPr>
      <w:r>
        <w:rPr>
          <w:rFonts w:ascii="仿宋_GB2312" w:hAnsi="仿宋_GB2312" w:cs="仿宋_GB2312" w:eastAsia="仿宋_GB2312"/>
        </w:rPr>
        <w:t>二、本磋商文件有下列情形之一的，磋商小组应当停止评审：</w:t>
      </w:r>
    </w:p>
    <w:p>
      <w:pPr>
        <w:pStyle w:val="null3"/>
        <w:ind w:firstLine="480"/>
      </w:pPr>
      <w:r>
        <w:rPr>
          <w:rFonts w:ascii="仿宋_GB2312" w:hAnsi="仿宋_GB2312" w:cs="仿宋_GB2312" w:eastAsia="仿宋_GB2312"/>
        </w:rPr>
        <w:t>（一）磋商文件的规定存在歧义、重大缺陷的；</w:t>
      </w:r>
    </w:p>
    <w:p>
      <w:pPr>
        <w:pStyle w:val="null3"/>
        <w:ind w:firstLine="480"/>
      </w:pPr>
      <w:r>
        <w:rPr>
          <w:rFonts w:ascii="仿宋_GB2312" w:hAnsi="仿宋_GB2312" w:cs="仿宋_GB2312" w:eastAsia="仿宋_GB2312"/>
        </w:rPr>
        <w:t>（二）磋商文件明显以不合理条件对供应商实行差别待遇或者歧视待遇的；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pPr>
      <w:r>
        <w:rPr>
          <w:rFonts w:ascii="仿宋_GB2312" w:hAnsi="仿宋_GB2312" w:cs="仿宋_GB2312" w:eastAsia="仿宋_GB2312"/>
        </w:rPr>
        <w:t>（五）磋商文件将供应商的资格条件列为评分因素的；</w:t>
      </w:r>
    </w:p>
    <w:p>
      <w:pPr>
        <w:pStyle w:val="null3"/>
        <w:ind w:firstLine="480"/>
      </w:pPr>
      <w:r>
        <w:rPr>
          <w:rFonts w:ascii="仿宋_GB2312" w:hAnsi="仿宋_GB2312" w:cs="仿宋_GB2312" w:eastAsia="仿宋_GB2312"/>
        </w:rPr>
        <w:t>（六）磋商文件载明的成交原则不合法的；</w:t>
      </w:r>
    </w:p>
    <w:p>
      <w:pPr>
        <w:pStyle w:val="null3"/>
        <w:ind w:firstLine="480"/>
      </w:pPr>
      <w:r>
        <w:rPr>
          <w:rFonts w:ascii="仿宋_GB2312" w:hAnsi="仿宋_GB2312" w:cs="仿宋_GB2312" w:eastAsia="仿宋_GB2312"/>
        </w:rPr>
        <w:t>（七）磋商文件有违反国家其他有关强制性规定的情形。</w:t>
      </w:r>
    </w:p>
    <w:p>
      <w:pPr>
        <w:pStyle w:val="null3"/>
        <w:ind w:firstLine="480"/>
      </w:pPr>
      <w:r>
        <w:rPr>
          <w:rFonts w:ascii="仿宋_GB2312" w:hAnsi="仿宋_GB2312" w:cs="仿宋_GB2312" w:eastAsia="仿宋_GB2312"/>
        </w:rPr>
        <w:t xml:space="preserve"> 出现上述应当停止评审情形的，磋商小组应当通过项目电子化交易系统向采购组织单位提交相关说明材料，说明停止评审的情形和具体理由。除上述情形外，磋商小组不得以任何方式和理由停止评审。</w:t>
      </w:r>
    </w:p>
    <w:p>
      <w:pPr>
        <w:pStyle w:val="null3"/>
        <w:ind w:firstLine="480"/>
        <w:jc w:val="left"/>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 xml:space="preserve"> 6.3.2符合性审查</w:t>
      </w:r>
    </w:p>
    <w:p>
      <w:pPr>
        <w:pStyle w:val="null3"/>
        <w:ind w:firstLine="480"/>
      </w:pPr>
      <w:r>
        <w:rPr>
          <w:rFonts w:ascii="仿宋_GB2312" w:hAnsi="仿宋_GB2312" w:cs="仿宋_GB2312" w:eastAsia="仿宋_GB2312"/>
        </w:rPr>
        <w:t xml:space="preserve"> 一、磋商小组依据本磋商文件的实质性要求，对符合资格的响应文件进行审查，以确定其是否满足本磋商文件的实质性要求。本项目的符合性审查事项必须以本磋商文件的明确规定的实质性要求为依据。</w:t>
      </w:r>
    </w:p>
    <w:p>
      <w:pPr>
        <w:pStyle w:val="null3"/>
        <w:ind w:firstLine="480"/>
      </w:pPr>
      <w:r>
        <w:rPr>
          <w:rFonts w:ascii="仿宋_GB2312" w:hAnsi="仿宋_GB2312" w:cs="仿宋_GB2312" w:eastAsia="仿宋_GB2312"/>
        </w:rPr>
        <w:t xml:space="preserve"> 二、在符合性审查过程中，如果出现磋商小组成员意见不一致的情况，按照少数服从多数的原则确定，但不得违背政府采购基本原则和磋商文件规定。</w:t>
      </w:r>
    </w:p>
    <w:p>
      <w:pPr>
        <w:pStyle w:val="null3"/>
        <w:ind w:firstLine="480"/>
      </w:pPr>
      <w:r>
        <w:rPr>
          <w:rFonts w:ascii="仿宋_GB2312" w:hAnsi="仿宋_GB2312" w:cs="仿宋_GB2312" w:eastAsia="仿宋_GB2312"/>
        </w:rPr>
        <w:t>三、磋商小组对所有响应文件进行审查后，确定参加磋商的供应商名单。</w:t>
      </w:r>
    </w:p>
    <w:p>
      <w:pPr>
        <w:pStyle w:val="null3"/>
        <w:ind w:firstLine="480"/>
      </w:pPr>
      <w:r>
        <w:rPr>
          <w:rFonts w:ascii="仿宋_GB2312" w:hAnsi="仿宋_GB2312" w:cs="仿宋_GB2312" w:eastAsia="仿宋_GB2312"/>
        </w:rPr>
        <w:t>符合性审查标准见下表：</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磋商过程中，磋商小组认为供应商的报价明显低于其他实质性响应的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2.供应商提交的相关证明材料，应当加盖供应商（法定名称）电子印章，在磋商小组要求的时间内通过项目电子化交易系统进行提交，否则提交的相关证明材料无效。供应商不能证明其报价合理性的，磋商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响应报价未超过采购预算或者最高限价(合格)，响应报价超过采购预算 或者最高限价(不合格)</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服务期限</w:t>
            </w:r>
          </w:p>
        </w:tc>
        <w:tc>
          <w:tcPr>
            <w:tcW w:type="dxa" w:w="3322"/>
          </w:tcPr>
          <w:p>
            <w:pPr>
              <w:pStyle w:val="null3"/>
            </w:pPr>
            <w:r>
              <w:rPr>
                <w:rFonts w:ascii="仿宋_GB2312" w:hAnsi="仿宋_GB2312" w:cs="仿宋_GB2312" w:eastAsia="仿宋_GB2312"/>
              </w:rPr>
              <w:t>服务期限满足竞争性磋商文件最低要求(合格)，服务期限不满足竞争性 磋商文件最低要求(不合格)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签署、盖章</w:t>
            </w:r>
          </w:p>
        </w:tc>
        <w:tc>
          <w:tcPr>
            <w:tcW w:type="dxa" w:w="3322"/>
          </w:tcPr>
          <w:p>
            <w:pPr>
              <w:pStyle w:val="null3"/>
            </w:pPr>
            <w:r>
              <w:rPr>
                <w:rFonts w:ascii="仿宋_GB2312" w:hAnsi="仿宋_GB2312" w:cs="仿宋_GB2312" w:eastAsia="仿宋_GB2312"/>
              </w:rPr>
              <w:t>响应文件的签署、盖章符合竞争性磋商文件要求(合格)，响应文件的签署、盖章不符合竞争性磋商文件要求 (不合格)</w:t>
            </w:r>
          </w:p>
        </w:tc>
        <w:tc>
          <w:tcPr>
            <w:tcW w:type="dxa" w:w="1661"/>
          </w:tcPr>
          <w:p>
            <w:pPr>
              <w:pStyle w:val="null3"/>
            </w:pPr>
            <w:r>
              <w:rPr>
                <w:rFonts w:ascii="仿宋_GB2312" w:hAnsi="仿宋_GB2312" w:cs="仿宋_GB2312" w:eastAsia="仿宋_GB2312"/>
              </w:rPr>
              <w:t>响应文件封面 服务内容及服务邀请应答表 供应商资格要求.docx 中小企业声明函 商务应答表 标的清单 报价表 响应函</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响应文件投标有效期符合竞争性磋商文件要求的(合格)，响应文件无投标有效期或有效期达不到竞争性磋商 文件要求的(不合格)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法律、法规和采购文件规定的其他无效情形</w:t>
            </w:r>
          </w:p>
        </w:tc>
        <w:tc>
          <w:tcPr>
            <w:tcW w:type="dxa" w:w="3322"/>
          </w:tcPr>
          <w:p>
            <w:pPr>
              <w:pStyle w:val="null3"/>
            </w:pPr>
            <w:r>
              <w:rPr>
                <w:rFonts w:ascii="仿宋_GB2312" w:hAnsi="仿宋_GB2312" w:cs="仿宋_GB2312" w:eastAsia="仿宋_GB2312"/>
              </w:rPr>
              <w:t>不存在法律、法规和采购文件规定的其他无效情形(合格)，存在法律、法规和采购文件规定的其他无效情形(不合格)</w:t>
            </w:r>
          </w:p>
        </w:tc>
        <w:tc>
          <w:tcPr>
            <w:tcW w:type="dxa" w:w="1661"/>
          </w:tcPr>
          <w:p>
            <w:pPr>
              <w:pStyle w:val="null3"/>
            </w:pPr>
            <w:r>
              <w:rPr>
                <w:rFonts w:ascii="仿宋_GB2312" w:hAnsi="仿宋_GB2312" w:cs="仿宋_GB2312" w:eastAsia="仿宋_GB2312"/>
              </w:rPr>
              <w:t>服务内容及服务邀请应答表 商务应答表</w:t>
            </w:r>
          </w:p>
        </w:tc>
      </w:tr>
    </w:tbl>
    <w:p>
      <w:pPr>
        <w:pStyle w:val="null3"/>
        <w:outlineLvl w:val="3"/>
      </w:pPr>
      <w:r>
        <w:rPr>
          <w:rFonts w:ascii="仿宋_GB2312" w:hAnsi="仿宋_GB2312" w:cs="仿宋_GB2312" w:eastAsia="仿宋_GB2312"/>
          <w:sz w:val="24"/>
          <w:b/>
        </w:rPr>
        <w:t>6.3.3磋商</w:t>
      </w:r>
    </w:p>
    <w:p>
      <w:pPr>
        <w:pStyle w:val="null3"/>
        <w:ind w:firstLine="480"/>
      </w:pPr>
      <w:r>
        <w:rPr>
          <w:rFonts w:ascii="仿宋_GB2312" w:hAnsi="仿宋_GB2312" w:cs="仿宋_GB2312" w:eastAsia="仿宋_GB2312"/>
        </w:rPr>
        <w:t>一、 磋商小组按照磋商文件的规定与邀请参加磋商的供应商分别进行磋商，磋商顺序由磋商小组确定。</w:t>
      </w:r>
    </w:p>
    <w:p>
      <w:pPr>
        <w:pStyle w:val="null3"/>
        <w:ind w:firstLine="480"/>
      </w:pPr>
      <w:r>
        <w:rPr>
          <w:rFonts w:ascii="仿宋_GB2312" w:hAnsi="仿宋_GB2312" w:cs="仿宋_GB2312" w:eastAsia="仿宋_GB2312"/>
        </w:rPr>
        <w:t>二、 磋商小组所有成员集中与单一供应商对技术、服务、合同条款等内容分别进行一轮或多轮的磋商。在磋商中，磋商的任何一方不得透露与磋商有关的其他供应商的技术资料、价格和其他信息。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三、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ind w:firstLine="480"/>
      </w:pPr>
      <w:r>
        <w:rPr>
          <w:rFonts w:ascii="仿宋_GB2312" w:hAnsi="仿宋_GB2312" w:cs="仿宋_GB2312" w:eastAsia="仿宋_GB2312"/>
        </w:rPr>
        <w:t>四、 对磋商文件作出的实质性变动是磋商文件的有效组成部分，磋商小组应通过项目电子化交易系统，将变动情况同时通知所有参加磋商的供应商。磋商过程中，磋商小组可以根据磋商情况调整磋商轮次。</w:t>
      </w:r>
    </w:p>
    <w:p>
      <w:pPr>
        <w:pStyle w:val="null3"/>
        <w:ind w:firstLine="480"/>
      </w:pPr>
      <w:r>
        <w:rPr>
          <w:rFonts w:ascii="仿宋_GB2312" w:hAnsi="仿宋_GB2312" w:cs="仿宋_GB2312" w:eastAsia="仿宋_GB2312"/>
        </w:rPr>
        <w:t>五、 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pPr>
        <w:pStyle w:val="null3"/>
        <w:ind w:firstLine="480"/>
      </w:pPr>
      <w:r>
        <w:rPr>
          <w:rFonts w:ascii="仿宋_GB2312" w:hAnsi="仿宋_GB2312" w:cs="仿宋_GB2312" w:eastAsia="仿宋_GB2312"/>
        </w:rPr>
        <w:t>六、经最终磋商后，响应文件仍有下列情况之一的，应按照无效响应处理：</w:t>
      </w:r>
    </w:p>
    <w:p>
      <w:pPr>
        <w:pStyle w:val="null3"/>
        <w:ind w:firstLine="480"/>
      </w:pPr>
      <w:r>
        <w:rPr>
          <w:rFonts w:ascii="仿宋_GB2312" w:hAnsi="仿宋_GB2312" w:cs="仿宋_GB2312" w:eastAsia="仿宋_GB2312"/>
        </w:rPr>
        <w:t>（一）响应文件仍不能实质响应磋商文件可实质性变动的实质性要求的；</w:t>
      </w:r>
    </w:p>
    <w:p>
      <w:pPr>
        <w:pStyle w:val="null3"/>
        <w:ind w:firstLine="480"/>
      </w:pPr>
      <w:r>
        <w:rPr>
          <w:rFonts w:ascii="仿宋_GB2312" w:hAnsi="仿宋_GB2312" w:cs="仿宋_GB2312" w:eastAsia="仿宋_GB2312"/>
        </w:rPr>
        <w:t>（二）响应文件中仍有磋商文件规定的其他无效响应情形的。</w:t>
      </w:r>
    </w:p>
    <w:p>
      <w:pPr>
        <w:pStyle w:val="null3"/>
        <w:ind w:firstLine="480"/>
      </w:pPr>
      <w:r>
        <w:rPr>
          <w:rFonts w:ascii="仿宋_GB2312" w:hAnsi="仿宋_GB2312" w:cs="仿宋_GB2312" w:eastAsia="仿宋_GB2312"/>
        </w:rPr>
        <w:t xml:space="preserve"> 七、磋商小组对供应商在磋商、评审过程中的书面交换材料，未按要求加盖电子印章或签字的，视同未提交书面交换材料。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八、磋商小组在最终磋商后，对所有响应文件的有效性、完整性和响应程度进行审查后，确定最后报价的供应商名单。</w:t>
      </w:r>
    </w:p>
    <w:p>
      <w:pPr>
        <w:pStyle w:val="null3"/>
        <w:ind w:firstLine="480"/>
      </w:pPr>
      <w:r>
        <w:rPr>
          <w:rFonts w:ascii="仿宋_GB2312" w:hAnsi="仿宋_GB2312" w:cs="仿宋_GB2312" w:eastAsia="仿宋_GB2312"/>
        </w:rPr>
        <w:t>九、磋商过程中，磋商的任何一方不得透露与磋商有关的其他供应商的技术资料、价格和其他信息。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十、磋商过程中，磋商小组发现或者知晓供应商存在违法行为的，应当磋商报告中予以记录，并向本级财政部门报告，依法应将该供应商响应文件作无效处理的，应当作无效处理。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二、磋商小组开启报价后，供应商应随时关注项目电子化交易系统信息提醒，登录项目电子化交易系统，通过“等候大厅”进行报价并签章后提交。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三、供应商在未提高响应文件中承诺的标准情况下，其最后报价不得高于对该项目之前的报价，否则，磋商小组将对其响应文件作无效处理，并通过电子化交易系统告知供应商，说明理由。</w:t>
      </w:r>
    </w:p>
    <w:p>
      <w:pPr>
        <w:pStyle w:val="null3"/>
        <w:ind w:firstLine="480"/>
      </w:pPr>
      <w:r>
        <w:rPr>
          <w:rFonts w:ascii="仿宋_GB2312" w:hAnsi="仿宋_GB2312" w:cs="仿宋_GB2312" w:eastAsia="仿宋_GB2312"/>
        </w:rPr>
        <w:t>四、供应商最后报价属于明显低价不正当竞争的，磋商小组应按照“供应商须知前附表”第8项规定处理。</w:t>
      </w:r>
    </w:p>
    <w:p>
      <w:pPr>
        <w:pStyle w:val="null3"/>
        <w:ind w:firstLine="480"/>
        <w:jc w:val="left"/>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六、供应商未按磋商小组要求在规定时间内提交最后报价的，视为其退出磋商。</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（三）供应商的最后报价应符合磋商文件的要求。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6.3.5解释、澄清有关问题</w:t>
      </w:r>
    </w:p>
    <w:p>
      <w:pPr>
        <w:pStyle w:val="null3"/>
        <w:ind w:firstLine="480"/>
      </w:pPr>
      <w:r>
        <w:rPr>
          <w:rFonts w:ascii="仿宋_GB2312" w:hAnsi="仿宋_GB2312" w:cs="仿宋_GB2312" w:eastAsia="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pPr>
        <w:pStyle w:val="null3"/>
        <w:ind w:firstLine="480"/>
      </w:pPr>
      <w:r>
        <w:rPr>
          <w:rFonts w:ascii="仿宋_GB2312" w:hAnsi="仿宋_GB2312" w:cs="仿宋_GB2312" w:eastAsia="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pPr>
        <w:pStyle w:val="null3"/>
        <w:ind w:firstLine="480"/>
      </w:pPr>
      <w:r>
        <w:rPr>
          <w:rFonts w:ascii="仿宋_GB2312" w:hAnsi="仿宋_GB2312" w:cs="仿宋_GB2312" w:eastAsia="仿宋_GB2312"/>
        </w:rPr>
        <w:t>（一）供应商响应文件中不响应磋商文件规定的技术参数指标和商务应答；</w:t>
      </w:r>
    </w:p>
    <w:p>
      <w:pPr>
        <w:pStyle w:val="null3"/>
        <w:ind w:firstLine="480"/>
      </w:pPr>
      <w:r>
        <w:rPr>
          <w:rFonts w:ascii="仿宋_GB2312" w:hAnsi="仿宋_GB2312" w:cs="仿宋_GB2312" w:eastAsia="仿宋_GB2312"/>
        </w:rPr>
        <w:t>（二）供应商响应文件中未提供的证明其是否符合磋商文件资格、符合性规定要求的相关材料。</w:t>
      </w:r>
    </w:p>
    <w:p>
      <w:pPr>
        <w:pStyle w:val="null3"/>
        <w:ind w:firstLine="480"/>
      </w:pPr>
      <w:r>
        <w:rPr>
          <w:rFonts w:ascii="仿宋_GB2312" w:hAnsi="仿宋_GB2312" w:cs="仿宋_GB2312" w:eastAsia="仿宋_GB2312"/>
        </w:rPr>
        <w:t>（三）供应商响应文件中的材料因印刷、影印等不清晰而难以辨认的。</w:t>
      </w:r>
    </w:p>
    <w:p>
      <w:pPr>
        <w:pStyle w:val="null3"/>
        <w:ind w:firstLine="480"/>
      </w:pPr>
      <w:r>
        <w:rPr>
          <w:rFonts w:ascii="仿宋_GB2312" w:hAnsi="仿宋_GB2312" w:cs="仿宋_GB2312" w:eastAsia="仿宋_GB2312"/>
        </w:rPr>
        <w:t>四、响应文件报价出现前后不一致的情形，按照本章前述规定予以处理，不需要供应商澄清。</w:t>
      </w:r>
    </w:p>
    <w:p>
      <w:pPr>
        <w:pStyle w:val="null3"/>
        <w:ind w:firstLine="480"/>
      </w:pPr>
      <w:r>
        <w:rPr>
          <w:rFonts w:ascii="仿宋_GB2312" w:hAnsi="仿宋_GB2312" w:cs="仿宋_GB2312" w:eastAsia="仿宋_GB2312"/>
        </w:rPr>
        <w:t xml:space="preserve"> 五、代理机构宣布评审结束之前，供应商应通过项目电子化交易系统随时关注评审消息提示，及时响应磋商小组发出的澄清、说明或更正要求。供应商未能及时响应的，自行承担不利后果。</w:t>
      </w:r>
    </w:p>
    <w:p>
      <w:pPr>
        <w:pStyle w:val="null3"/>
        <w:ind w:firstLine="480"/>
      </w:pPr>
      <w:r>
        <w:rPr>
          <w:rFonts w:ascii="仿宋_GB2312" w:hAnsi="仿宋_GB2312" w:cs="仿宋_GB2312" w:eastAsia="仿宋_GB2312"/>
        </w:rPr>
        <w:t>六、磋商小组应当积极履行澄清、说明或者更正的职责，不得滥用权力。</w:t>
      </w:r>
    </w:p>
    <w:p>
      <w:pPr>
        <w:pStyle w:val="null3"/>
        <w:outlineLvl w:val="3"/>
      </w:pPr>
      <w:r>
        <w:rPr>
          <w:rFonts w:ascii="仿宋_GB2312" w:hAnsi="仿宋_GB2312" w:cs="仿宋_GB2312" w:eastAsia="仿宋_GB2312"/>
          <w:sz w:val="24"/>
          <w:b/>
        </w:rPr>
        <w:t>6.3.6比较与评价</w:t>
      </w:r>
    </w:p>
    <w:p>
      <w:pPr>
        <w:pStyle w:val="null3"/>
        <w:ind w:firstLine="480"/>
      </w:pPr>
      <w:r>
        <w:rPr>
          <w:rFonts w:ascii="仿宋_GB2312" w:hAnsi="仿宋_GB2312" w:cs="仿宋_GB2312" w:eastAsia="仿宋_GB2312"/>
        </w:rPr>
        <w:t xml:space="preserve"> 磋商小组应当按照磋商文件规定的评标细则及标准，对符合性检查合格的响应文件进行商务和技术评估，综合比较和评价。</w:t>
      </w:r>
    </w:p>
    <w:p>
      <w:pPr>
        <w:pStyle w:val="null3"/>
        <w:outlineLvl w:val="3"/>
      </w:pPr>
      <w:r>
        <w:rPr>
          <w:rFonts w:ascii="仿宋_GB2312" w:hAnsi="仿宋_GB2312" w:cs="仿宋_GB2312" w:eastAsia="仿宋_GB2312"/>
          <w:sz w:val="24"/>
          <w:b/>
        </w:rPr>
        <w:t xml:space="preserve"> 6.3.7复核</w:t>
      </w:r>
    </w:p>
    <w:p>
      <w:pPr>
        <w:pStyle w:val="null3"/>
        <w:ind w:firstLine="480"/>
      </w:pPr>
      <w:r>
        <w:rPr>
          <w:rFonts w:ascii="仿宋_GB2312" w:hAnsi="仿宋_GB2312" w:cs="仿宋_GB2312" w:eastAsia="仿宋_GB2312"/>
        </w:rPr>
        <w:t xml:space="preserve"> 评审结束后，磋商小组应当进行复核，特别要对拟推荐为成交候选供应商的、报价最低的、响应文件被认定为无效的进行重点复核。</w:t>
      </w:r>
    </w:p>
    <w:p>
      <w:pPr>
        <w:pStyle w:val="null3"/>
        <w:ind w:firstLine="480"/>
      </w:pPr>
      <w:r>
        <w:rPr>
          <w:rFonts w:ascii="仿宋_GB2312" w:hAnsi="仿宋_GB2312" w:cs="仿宋_GB2312" w:eastAsia="仿宋_GB2312"/>
        </w:rPr>
        <w:t xml:space="preserve"> 评审结果汇总完成后，磋商小组拟出具磋商报告前，代理机构应当组织2名以上的工作人员，在采购现场监督人员的监督之下，依据有关的法律制度和磋商文件对评审结果进行复核，出具复核报告。代理机构复核过程中，磋商小组成员不得离开评审现场。</w:t>
      </w:r>
    </w:p>
    <w:p>
      <w:pPr>
        <w:pStyle w:val="null3"/>
        <w:ind w:firstLine="480"/>
      </w:pPr>
      <w:r>
        <w:rPr>
          <w:rFonts w:ascii="仿宋_GB2312" w:hAnsi="仿宋_GB2312" w:cs="仿宋_GB2312" w:eastAsia="仿宋_GB2312"/>
        </w:rPr>
        <w:t xml:space="preserve"> 除资格检查认定错误、分值汇总计算错误、分项评分超出评分标准范围、客观评分不一致、经磋商小组一致认定评分畸高、畸低的情形外，采购人或者代理机构不得以任何理由组织重新评审。采购人、代理机构发现磋商小组未按照磋商文件规定的评审标准进行评审的，应当重新开展采购活动，并同时书面报告本级财政部门。</w:t>
      </w:r>
    </w:p>
    <w:p>
      <w:pPr>
        <w:pStyle w:val="null3"/>
        <w:outlineLvl w:val="3"/>
      </w:pPr>
      <w:r>
        <w:rPr>
          <w:rFonts w:ascii="仿宋_GB2312" w:hAnsi="仿宋_GB2312" w:cs="仿宋_GB2312" w:eastAsia="仿宋_GB2312"/>
          <w:sz w:val="24"/>
          <w:b/>
        </w:rPr>
        <w:t>6.3.8推荐成交候选供应商</w:t>
      </w:r>
    </w:p>
    <w:p>
      <w:pPr>
        <w:pStyle w:val="null3"/>
        <w:ind w:firstLine="480"/>
      </w:pPr>
      <w:r>
        <w:rPr>
          <w:rFonts w:ascii="仿宋_GB2312" w:hAnsi="仿宋_GB2312" w:cs="仿宋_GB2312" w:eastAsia="仿宋_GB2312"/>
        </w:rPr>
        <w:t xml:space="preserve"> 磋商小组应当根据综合评分情况，按照评审得分由高到低顺序推荐如下成交候选供应商，并编写磋商报告。</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outlineLvl w:val="3"/>
      </w:pPr>
      <w:r>
        <w:rPr>
          <w:rFonts w:ascii="仿宋_GB2312" w:hAnsi="仿宋_GB2312" w:cs="仿宋_GB2312" w:eastAsia="仿宋_GB2312"/>
          <w:sz w:val="24"/>
          <w:b/>
        </w:rPr>
        <w:t>6.3.9编写磋商报告</w:t>
      </w:r>
    </w:p>
    <w:p>
      <w:pPr>
        <w:pStyle w:val="null3"/>
        <w:ind w:firstLine="480"/>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pPr>
      <w:r>
        <w:rPr>
          <w:rFonts w:ascii="仿宋_GB2312" w:hAnsi="仿宋_GB2312" w:cs="仿宋_GB2312" w:eastAsia="仿宋_GB2312"/>
        </w:rPr>
        <w:t>（一）邀请供应商参加采购活动的具体方式和相关情况；</w:t>
      </w:r>
    </w:p>
    <w:p>
      <w:pPr>
        <w:pStyle w:val="null3"/>
        <w:ind w:firstLine="480"/>
      </w:pPr>
      <w:r>
        <w:rPr>
          <w:rFonts w:ascii="仿宋_GB2312" w:hAnsi="仿宋_GB2312" w:cs="仿宋_GB2312" w:eastAsia="仿宋_GB2312"/>
        </w:rPr>
        <w:t>（二）响应文件开启日期和地点；</w:t>
      </w:r>
    </w:p>
    <w:p>
      <w:pPr>
        <w:pStyle w:val="null3"/>
        <w:ind w:firstLine="480"/>
      </w:pPr>
      <w:r>
        <w:rPr>
          <w:rFonts w:ascii="仿宋_GB2312" w:hAnsi="仿宋_GB2312" w:cs="仿宋_GB2312" w:eastAsia="仿宋_GB2312"/>
        </w:rPr>
        <w:t>（三）获取磋商文件的供应商名单和磋商小组成员名单；</w:t>
      </w:r>
    </w:p>
    <w:p>
      <w:pPr>
        <w:pStyle w:val="null3"/>
        <w:ind w:firstLine="480"/>
      </w:pPr>
      <w:r>
        <w:rPr>
          <w:rFonts w:ascii="仿宋_GB2312" w:hAnsi="仿宋_GB2312" w:cs="仿宋_GB2312" w:eastAsia="仿宋_GB2312"/>
        </w:rPr>
        <w:t>（四）评审情况记录和说明，包括对供应商响应文件审查情况、磋商情况、报价情况等；</w:t>
      </w:r>
    </w:p>
    <w:p>
      <w:pPr>
        <w:pStyle w:val="null3"/>
        <w:ind w:firstLine="480"/>
      </w:pPr>
      <w:r>
        <w:rPr>
          <w:rFonts w:ascii="仿宋_GB2312" w:hAnsi="仿宋_GB2312" w:cs="仿宋_GB2312" w:eastAsia="仿宋_GB2312"/>
        </w:rPr>
        <w:t>（五）提出的成交候选供应商的排序名单及理由。</w:t>
      </w:r>
    </w:p>
    <w:p>
      <w:pPr>
        <w:pStyle w:val="null3"/>
        <w:ind w:firstLine="480"/>
      </w:pPr>
      <w:r>
        <w:rPr>
          <w:rFonts w:ascii="仿宋_GB2312" w:hAnsi="仿宋_GB2312" w:cs="仿宋_GB2312" w:eastAsia="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pPr>
        <w:pStyle w:val="null3"/>
        <w:outlineLvl w:val="3"/>
      </w:pPr>
      <w:r>
        <w:rPr>
          <w:rFonts w:ascii="仿宋_GB2312" w:hAnsi="仿宋_GB2312" w:cs="仿宋_GB2312" w:eastAsia="仿宋_GB2312"/>
          <w:sz w:val="24"/>
          <w:b/>
        </w:rPr>
        <w:t>6.3.10评审争议处理规则</w:t>
      </w:r>
    </w:p>
    <w:p>
      <w:pPr>
        <w:pStyle w:val="null3"/>
        <w:ind w:firstLine="480"/>
      </w:pPr>
      <w:r>
        <w:rPr>
          <w:rFonts w:ascii="仿宋_GB2312" w:hAnsi="仿宋_GB2312" w:cs="仿宋_GB2312" w:eastAsia="仿宋_GB2312"/>
        </w:rPr>
        <w:t xml:space="preserve"> 在磋商过程中，对于符合性审查、对响应文件作无效响应处理的及其他需要共同认定的事项存在争议的，应当以少数服从多数的原则作出结论，但不得违背磋商文件规定。持不同意见的磋商小组成员应当在磋商报告中签署不同意见及理由，否则视为同意评审报告。持不同意见的磋商小组成员认为认定过程和结果不符合法律法规或者磋商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6.4评审办法及标准</w:t>
      </w:r>
    </w:p>
    <w:p>
      <w:pPr>
        <w:pStyle w:val="null3"/>
        <w:ind w:firstLine="480"/>
      </w:pPr>
      <w:r>
        <w:rPr>
          <w:rFonts w:ascii="仿宋_GB2312" w:hAnsi="仿宋_GB2312" w:cs="仿宋_GB2312" w:eastAsia="仿宋_GB2312"/>
        </w:rPr>
        <w:t xml:space="preserve"> 一、磋商小组只对通过资格审查的响应文件，根据磋商文件的要求采用相同的评审程序、评分办法及标准进行评价和比较。</w:t>
      </w:r>
    </w:p>
    <w:p>
      <w:pPr>
        <w:pStyle w:val="null3"/>
        <w:ind w:firstLine="480"/>
      </w:pPr>
      <w:r>
        <w:rPr>
          <w:rFonts w:ascii="仿宋_GB2312" w:hAnsi="仿宋_GB2312" w:cs="仿宋_GB2312" w:eastAsia="仿宋_GB2312"/>
        </w:rPr>
        <w:t xml:space="preserve"> 二、磋商小组成员应依据磋商文件规定的评分标准和方法独立对每个有效响应的文件进行评价、打分，然后汇总每个供应商每项评分因素的得分。</w:t>
      </w:r>
    </w:p>
    <w:p>
      <w:pPr>
        <w:pStyle w:val="null3"/>
        <w:outlineLvl w:val="3"/>
      </w:pPr>
      <w:r>
        <w:rPr>
          <w:rFonts w:ascii="仿宋_GB2312" w:hAnsi="仿宋_GB2312" w:cs="仿宋_GB2312" w:eastAsia="仿宋_GB2312"/>
          <w:sz w:val="24"/>
          <w:b/>
        </w:rPr>
        <w:t>6.4.1评分办法</w:t>
      </w:r>
    </w:p>
    <w:p>
      <w:pPr>
        <w:pStyle w:val="null3"/>
        <w:ind w:firstLine="480"/>
      </w:pPr>
      <w:r>
        <w:rPr>
          <w:rFonts w:ascii="仿宋_GB2312" w:hAnsi="仿宋_GB2312" w:cs="仿宋_GB2312" w:eastAsia="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outlineLvl w:val="3"/>
      </w:pPr>
      <w:r>
        <w:rPr>
          <w:rFonts w:ascii="仿宋_GB2312" w:hAnsi="仿宋_GB2312" w:cs="仿宋_GB2312" w:eastAsia="仿宋_GB2312"/>
          <w:sz w:val="24"/>
          <w:b/>
        </w:rPr>
        <w:t>6.4.2评分标准</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详细评审85.00分</w:t>
            </w:r>
          </w:p>
          <w:p>
            <w:pPr>
              <w:pStyle w:val="null3"/>
            </w:pPr>
            <w:r>
              <w:rPr>
                <w:rFonts w:ascii="仿宋_GB2312" w:hAnsi="仿宋_GB2312" w:cs="仿宋_GB2312" w:eastAsia="仿宋_GB2312"/>
              </w:rPr>
              <w:t>报价得分15.00分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服务方案</w:t>
            </w:r>
          </w:p>
        </w:tc>
        <w:tc>
          <w:tcPr>
            <w:tcW w:type="dxa" w:w="2492"/>
          </w:tcPr>
          <w:p>
            <w:pPr>
              <w:pStyle w:val="null3"/>
            </w:pPr>
            <w:r>
              <w:rPr>
                <w:rFonts w:ascii="仿宋_GB2312" w:hAnsi="仿宋_GB2312" w:cs="仿宋_GB2312" w:eastAsia="仿宋_GB2312"/>
              </w:rPr>
              <w:t>针对本项目的整体服务方案 ，内容包含： 1.网络和办公自动化设备维护方案，包括但不限于①终端设备排障；②校园网网络故障的排查、日常检修与用户技术指导；③网络系统的检修、优化等；④巡检服务方案；⑤网络信息化系统规划；⑥运维保障措施及组织协调内容；⑦工作重点与难点分析及对应措施。完整提供上述7项内容的得21分；每有一项未提供扣3分，扣完为止；每项每有一处有缺陷扣0.5分，扣完为止。 2.多媒体教学运维服务方案，包括但不限于①计算机维护、定期检测；②系统运行管理方案；③场所设施的维修、优化升级；④巡检服务方案；⑤协助科室完成相关日常工作。完整提供上述5项内容的得15分；每有一项未提供扣3分，扣完为止；每项每有一处有缺陷扣0.5分，扣完为止。 （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36.0000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服务方案</w:t>
            </w:r>
          </w:p>
        </w:tc>
      </w:tr>
      <w:tr>
        <w:tc>
          <w:tcPr>
            <w:tcW w:type="dxa" w:w="831"/>
            <w:vMerge/>
          </w:tcPr>
          <w:p/>
        </w:tc>
        <w:tc>
          <w:tcPr>
            <w:tcW w:type="dxa" w:w="1661"/>
          </w:tcPr>
          <w:p>
            <w:pPr>
              <w:pStyle w:val="null3"/>
            </w:pPr>
            <w:r>
              <w:rPr>
                <w:rFonts w:ascii="仿宋_GB2312" w:hAnsi="仿宋_GB2312" w:cs="仿宋_GB2312" w:eastAsia="仿宋_GB2312"/>
              </w:rPr>
              <w:t>人员配置1</w:t>
            </w:r>
          </w:p>
        </w:tc>
        <w:tc>
          <w:tcPr>
            <w:tcW w:type="dxa" w:w="2492"/>
          </w:tcPr>
          <w:p>
            <w:pPr>
              <w:pStyle w:val="null3"/>
            </w:pPr>
            <w:r>
              <w:rPr>
                <w:rFonts w:ascii="仿宋_GB2312" w:hAnsi="仿宋_GB2312" w:cs="仿宋_GB2312" w:eastAsia="仿宋_GB2312"/>
              </w:rPr>
              <w:t>1.项目负责人具备本科及以上学历得1分；否则不得分；具有3年或以上相关管理工作经验，提供相关证明资料得2分；提供项目管理证书得2分。此项最高得4分。 2.供应商提供7名技术人员（可以包含项目负责人）不计分，每增加1名技术人员，加2分，最高加4分。 3.供应商提供1名具有高级职称的技术人员，得1分，每增加1名，加1分，此项最高得2分。 （注：以上人员须提供计算机专业毕业证书或计算机行业相关证书及社保或劳动合同复印件加盖公章）</w:t>
            </w:r>
          </w:p>
        </w:tc>
        <w:tc>
          <w:tcPr>
            <w:tcW w:type="dxa" w:w="831"/>
          </w:tcPr>
          <w:p>
            <w:pPr>
              <w:pStyle w:val="null3"/>
              <w:jc w:val="right"/>
            </w:pPr>
            <w:r>
              <w:rPr>
                <w:rFonts w:ascii="仿宋_GB2312" w:hAnsi="仿宋_GB2312" w:cs="仿宋_GB2312" w:eastAsia="仿宋_GB2312"/>
              </w:rPr>
              <w:t>10.0000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人员配置1.docx</w:t>
            </w:r>
          </w:p>
        </w:tc>
      </w:tr>
      <w:tr>
        <w:tc>
          <w:tcPr>
            <w:tcW w:type="dxa" w:w="831"/>
            <w:vMerge/>
          </w:tcPr>
          <w:p/>
        </w:tc>
        <w:tc>
          <w:tcPr>
            <w:tcW w:type="dxa" w:w="1661"/>
          </w:tcPr>
          <w:p>
            <w:pPr>
              <w:pStyle w:val="null3"/>
            </w:pPr>
            <w:r>
              <w:rPr>
                <w:rFonts w:ascii="仿宋_GB2312" w:hAnsi="仿宋_GB2312" w:cs="仿宋_GB2312" w:eastAsia="仿宋_GB2312"/>
              </w:rPr>
              <w:t>人员配置2</w:t>
            </w:r>
          </w:p>
        </w:tc>
        <w:tc>
          <w:tcPr>
            <w:tcW w:type="dxa" w:w="2492"/>
          </w:tcPr>
          <w:p>
            <w:pPr>
              <w:pStyle w:val="null3"/>
            </w:pPr>
            <w:r>
              <w:rPr>
                <w:rFonts w:ascii="仿宋_GB2312" w:hAnsi="仿宋_GB2312" w:cs="仿宋_GB2312" w:eastAsia="仿宋_GB2312"/>
              </w:rPr>
              <w:t>1.拟派驻场技术人员配置齐全、技术服务能力强、计4分；人员配置齐全、技术服务能力一般计2分；人员配置不合理，无法保障项目顺利实施计1分；未提供不计分。 注：提供人员配置表，且驻场技术服务人员具有从业工作经验，对人员的年龄、履历简介、文化水平、社保、劳动合同等要求有详细的描述。 2.供应商管理规章制度齐全，有完善的管理组织架构，有标准的服务模型，并标准化服务流程，计3分，每项每有一处不完善扣1分，扣完为止，未提供不计分。</w:t>
            </w:r>
          </w:p>
        </w:tc>
        <w:tc>
          <w:tcPr>
            <w:tcW w:type="dxa" w:w="831"/>
          </w:tcPr>
          <w:p>
            <w:pPr>
              <w:pStyle w:val="null3"/>
              <w:jc w:val="right"/>
            </w:pPr>
            <w:r>
              <w:rPr>
                <w:rFonts w:ascii="仿宋_GB2312" w:hAnsi="仿宋_GB2312" w:cs="仿宋_GB2312" w:eastAsia="仿宋_GB2312"/>
              </w:rPr>
              <w:t>7.0000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人员配置2.docx</w:t>
            </w:r>
          </w:p>
        </w:tc>
      </w:tr>
      <w:tr>
        <w:tc>
          <w:tcPr>
            <w:tcW w:type="dxa" w:w="831"/>
            <w:vMerge/>
          </w:tcPr>
          <w:p/>
        </w:tc>
        <w:tc>
          <w:tcPr>
            <w:tcW w:type="dxa" w:w="1661"/>
          </w:tcPr>
          <w:p>
            <w:pPr>
              <w:pStyle w:val="null3"/>
            </w:pPr>
            <w:r>
              <w:rPr>
                <w:rFonts w:ascii="仿宋_GB2312" w:hAnsi="仿宋_GB2312" w:cs="仿宋_GB2312" w:eastAsia="仿宋_GB2312"/>
              </w:rPr>
              <w:t>服务承诺</w:t>
            </w:r>
          </w:p>
        </w:tc>
        <w:tc>
          <w:tcPr>
            <w:tcW w:type="dxa" w:w="2492"/>
          </w:tcPr>
          <w:p>
            <w:pPr>
              <w:pStyle w:val="null3"/>
            </w:pPr>
            <w:r>
              <w:rPr>
                <w:rFonts w:ascii="仿宋_GB2312" w:hAnsi="仿宋_GB2312" w:cs="仿宋_GB2312" w:eastAsia="仿宋_GB2312"/>
              </w:rPr>
              <w:t>1.供应商承诺以较优惠的价格提供各类视音频、网络、数据线路的施工服务和维修耗材、配件产品配备。其中，日常维护中，供应商承担每年总价不超过2000元的线材、音视频插头、转接头、分配器、电源等零配件、耗材，计2分；未提供不计分。 2.供应商承诺驻场人员如果因技术能力、服务质量、服从管理等原因导致采购人不满意的，采购人有权要求及时更换，供应商须在24小时内予以处理，7日内替换人员，计2分；未提供不计分。 3.供应商承诺驻场技术人员为其公司正式员工，需为员工缴纳社保，对其用工行为承担一切法律责任，对在实施服务过程中所发生的一切经济纠纷、安全事故、社会关系等事务，均由供应商负责调解与处理，采购人不承担任何责任和费用，计2分；未提供不计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服务承诺.docx</w:t>
            </w:r>
          </w:p>
        </w:tc>
      </w:tr>
      <w:tr>
        <w:tc>
          <w:tcPr>
            <w:tcW w:type="dxa" w:w="831"/>
            <w:vMerge/>
          </w:tcPr>
          <w:p/>
        </w:tc>
        <w:tc>
          <w:tcPr>
            <w:tcW w:type="dxa" w:w="1661"/>
          </w:tcPr>
          <w:p>
            <w:pPr>
              <w:pStyle w:val="null3"/>
            </w:pPr>
            <w:r>
              <w:rPr>
                <w:rFonts w:ascii="仿宋_GB2312" w:hAnsi="仿宋_GB2312" w:cs="仿宋_GB2312" w:eastAsia="仿宋_GB2312"/>
              </w:rPr>
              <w:t>应急方案</w:t>
            </w:r>
          </w:p>
        </w:tc>
        <w:tc>
          <w:tcPr>
            <w:tcW w:type="dxa" w:w="2492"/>
          </w:tcPr>
          <w:p>
            <w:pPr>
              <w:pStyle w:val="null3"/>
            </w:pPr>
            <w:r>
              <w:rPr>
                <w:rFonts w:ascii="仿宋_GB2312" w:hAnsi="仿宋_GB2312" w:cs="仿宋_GB2312" w:eastAsia="仿宋_GB2312"/>
              </w:rPr>
              <w:t>针对本项目提供应急措施保障，内容包含①突发情况如疫情防控、重大活动保障；②应急处理响应时间；③应急人数及人员安排；④保障措施；完整提供上述4项内容的得12分；每有一项未提供扣3分，扣完为止；每项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应急方案.docx</w:t>
            </w:r>
          </w:p>
        </w:tc>
      </w:tr>
      <w:tr>
        <w:tc>
          <w:tcPr>
            <w:tcW w:type="dxa" w:w="831"/>
            <w:vMerge/>
          </w:tcPr>
          <w:p/>
        </w:tc>
        <w:tc>
          <w:tcPr>
            <w:tcW w:type="dxa" w:w="1661"/>
          </w:tcPr>
          <w:p>
            <w:pPr>
              <w:pStyle w:val="null3"/>
            </w:pPr>
            <w:r>
              <w:rPr>
                <w:rFonts w:ascii="仿宋_GB2312" w:hAnsi="仿宋_GB2312" w:cs="仿宋_GB2312" w:eastAsia="仿宋_GB2312"/>
              </w:rPr>
              <w:t>培训方案</w:t>
            </w:r>
          </w:p>
        </w:tc>
        <w:tc>
          <w:tcPr>
            <w:tcW w:type="dxa" w:w="2492"/>
          </w:tcPr>
          <w:p>
            <w:pPr>
              <w:pStyle w:val="null3"/>
            </w:pPr>
            <w:r>
              <w:rPr>
                <w:rFonts w:ascii="仿宋_GB2312" w:hAnsi="仿宋_GB2312" w:cs="仿宋_GB2312" w:eastAsia="仿宋_GB2312"/>
              </w:rPr>
              <w:t>针对本项目提供培训方案，内容包含①培训目标及培训内容；②培训计划安排及人员安排；完整提供上述2项内容的得4分；每有一项未提供扣2分，扣完为止；每项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培训方案.docx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评审专家根据供应商提供的2022年1月1日至今同类业绩（以合同签订日期为准，仅限供应商本身，提供合同复印件加盖公章）进行评定，每份计2分，最高计10分。</w:t>
            </w:r>
          </w:p>
        </w:tc>
        <w:tc>
          <w:tcPr>
            <w:tcW w:type="dxa" w:w="831"/>
          </w:tcPr>
          <w:p>
            <w:pPr>
              <w:pStyle w:val="null3"/>
              <w:jc w:val="right"/>
            </w:pPr>
            <w:r>
              <w:rPr>
                <w:rFonts w:ascii="仿宋_GB2312" w:hAnsi="仿宋_GB2312" w:cs="仿宋_GB2312" w:eastAsia="仿宋_GB2312"/>
              </w:rPr>
              <w:t>10.0000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商务应答表</w:t>
            </w:r>
          </w:p>
          <w:p>
            <w:pPr>
              <w:pStyle w:val="null3"/>
            </w:pPr>
            <w:r>
              <w:rPr>
                <w:rFonts w:ascii="仿宋_GB2312" w:hAnsi="仿宋_GB2312" w:cs="仿宋_GB2312" w:eastAsia="仿宋_GB2312"/>
              </w:rPr>
              <w:t>服务方案</w:t>
            </w:r>
          </w:p>
          <w:p>
            <w:pPr>
              <w:pStyle w:val="null3"/>
            </w:pPr>
            <w:r>
              <w:rPr>
                <w:rFonts w:ascii="仿宋_GB2312" w:hAnsi="仿宋_GB2312" w:cs="仿宋_GB2312" w:eastAsia="仿宋_GB2312"/>
              </w:rPr>
              <w:t>业绩一览表.docx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经初审合格的供应商，其响应报价为有效报价。 评审基准价：即满足竞争性磋商文件要求且最终响应报价最低的报价为评审基准价。 其他供应商的价格分统一按照下列公式计算。 响应报价计分=(评审基准价／最终响应报价)×15</w:t>
            </w:r>
          </w:p>
        </w:tc>
        <w:tc>
          <w:tcPr>
            <w:tcW w:type="dxa" w:w="831"/>
          </w:tcPr>
          <w:p>
            <w:pPr>
              <w:pStyle w:val="null3"/>
              <w:jc w:val="right"/>
            </w:pPr>
            <w:r>
              <w:rPr>
                <w:rFonts w:ascii="仿宋_GB2312" w:hAnsi="仿宋_GB2312" w:cs="仿宋_GB2312" w:eastAsia="仿宋_GB2312"/>
              </w:rPr>
              <w:t>15.0000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报价表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06"/>
            <w:gridSpan w:val="6"/>
          </w:tcPr>
          <w:p>
            <w:pPr>
              <w:pStyle w:val="null3"/>
            </w:pPr>
            <w:r>
              <w:rPr>
                <w:rFonts w:ascii="仿宋_GB2312" w:hAnsi="仿宋_GB2312" w:cs="仿宋_GB2312" w:eastAsia="仿宋_GB2312"/>
              </w:rPr>
              <w:t xml:space="preserve"> 无</w:t>
            </w:r>
          </w:p>
        </w:tc>
      </w:tr>
    </w:tbl>
    <w:p>
      <w:pPr>
        <w:pStyle w:val="null3"/>
        <w:outlineLvl w:val="2"/>
      </w:pPr>
      <w:r>
        <w:rPr>
          <w:rFonts w:ascii="仿宋_GB2312" w:hAnsi="仿宋_GB2312" w:cs="仿宋_GB2312" w:eastAsia="仿宋_GB2312"/>
          <w:sz w:val="28"/>
          <w:b/>
        </w:rPr>
        <w:t>6.5终止采购活动</w:t>
      </w:r>
    </w:p>
    <w:p>
      <w:pPr>
        <w:pStyle w:val="null3"/>
        <w:ind w:firstLine="480"/>
      </w:pPr>
      <w:r>
        <w:rPr>
          <w:rFonts w:ascii="仿宋_GB2312" w:hAnsi="仿宋_GB2312" w:cs="仿宋_GB2312" w:eastAsia="仿宋_GB2312"/>
        </w:rPr>
        <w:t xml:space="preserve"> 出现下列情形之一的，采购人或者代理机构应当终止竞争性磋商采购活动，发布项目终止公告并说明原因，重新开展采购活动：</w:t>
      </w:r>
    </w:p>
    <w:p>
      <w:pPr>
        <w:pStyle w:val="null3"/>
        <w:ind w:firstLine="480"/>
      </w:pPr>
      <w:r>
        <w:rPr>
          <w:rFonts w:ascii="仿宋_GB2312" w:hAnsi="仿宋_GB2312" w:cs="仿宋_GB2312" w:eastAsia="仿宋_GB2312"/>
        </w:rPr>
        <w:t>（一）因情况变化，不再符合规定的竞争性磋商采购方式适用情形的；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 xml:space="preserve"> （三）除《政府采购竞争性磋商采购方式管理暂行办法》第二十一条第三款规定的情形外，在采购过程中符合要求的供应商或者报价未超过采购预算的供应商不足3家的（财政部另有规定的除外）；</w:t>
      </w:r>
    </w:p>
    <w:p>
      <w:pPr>
        <w:pStyle w:val="null3"/>
        <w:ind w:firstLine="480"/>
      </w:pPr>
      <w:r>
        <w:rPr>
          <w:rFonts w:ascii="仿宋_GB2312" w:hAnsi="仿宋_GB2312" w:cs="仿宋_GB2312" w:eastAsia="仿宋_GB2312"/>
        </w:rPr>
        <w:t>（四）法律法规规定的其他情形。</w:t>
      </w:r>
    </w:p>
    <w:p>
      <w:pPr>
        <w:pStyle w:val="null3"/>
        <w:outlineLvl w:val="2"/>
      </w:pPr>
      <w:r>
        <w:rPr>
          <w:rFonts w:ascii="仿宋_GB2312" w:hAnsi="仿宋_GB2312" w:cs="仿宋_GB2312" w:eastAsia="仿宋_GB2312"/>
          <w:sz w:val="28"/>
          <w:b/>
        </w:rPr>
        <w:t>6.6确定成交供应商</w:t>
      </w:r>
    </w:p>
    <w:p>
      <w:pPr>
        <w:pStyle w:val="null3"/>
      </w:pPr>
      <w:r>
        <w:rPr>
          <w:rFonts w:ascii="仿宋_GB2312" w:hAnsi="仿宋_GB2312" w:cs="仿宋_GB2312" w:eastAsia="仿宋_GB2312"/>
        </w:rPr>
        <w:t>一、评审结束后，代理机构在评审结束之日起2个工作日内将磋商报告及有关资料送交采购人。</w:t>
      </w:r>
    </w:p>
    <w:p>
      <w:pPr>
        <w:pStyle w:val="null3"/>
      </w:pPr>
      <w:r>
        <w:rPr>
          <w:rFonts w:ascii="仿宋_GB2312" w:hAnsi="仿宋_GB2312" w:cs="仿宋_GB2312" w:eastAsia="仿宋_GB2312"/>
        </w:rPr>
        <w:t>二、采购人在收到磋商报告后5个工作日内，在磋商报告确定的成交候选供应商名单中按顺序确定成交供应商。成交候选供应商并列的，由采购人采取随机抽取的方式确定成交供应商。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三、采购人逾期未确定成交供应商且不提出异议的，视为确定磋商报告提出的排序第一的供应商为成交供应商。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6.7评审专家在政府采购活动中承担以下义务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6.8评审专家在政府采购活动中应当遵守以下工作纪律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 xml:space="preserve"> （七）遵守有关廉洁自律规定，不得私下接触供应商，不得收受供应商及有关业务单位和个人的财物或好处，不得接受采购组织单位的请托。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详见附件：服务内容及服务邀请应答表</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详见附件：服务方案</w:t>
      </w:r>
    </w:p>
    <w:p>
      <w:pPr>
        <w:pStyle w:val="null3"/>
        <w:ind w:firstLine="960"/>
      </w:pPr>
      <w:r>
        <w:rPr>
          <w:rFonts w:ascii="仿宋_GB2312" w:hAnsi="仿宋_GB2312" w:cs="仿宋_GB2312" w:eastAsia="仿宋_GB2312"/>
        </w:rPr>
        <w:t>详见附件：供应商资格要求.docx</w:t>
      </w:r>
    </w:p>
    <w:p>
      <w:pPr>
        <w:pStyle w:val="null3"/>
        <w:ind w:firstLine="960"/>
      </w:pPr>
      <w:r>
        <w:rPr>
          <w:rFonts w:ascii="仿宋_GB2312" w:hAnsi="仿宋_GB2312" w:cs="仿宋_GB2312" w:eastAsia="仿宋_GB2312"/>
        </w:rPr>
        <w:t>详见附件：人员配置1.docx</w:t>
      </w:r>
    </w:p>
    <w:p>
      <w:pPr>
        <w:pStyle w:val="null3"/>
        <w:ind w:firstLine="960"/>
      </w:pPr>
      <w:r>
        <w:rPr>
          <w:rFonts w:ascii="仿宋_GB2312" w:hAnsi="仿宋_GB2312" w:cs="仿宋_GB2312" w:eastAsia="仿宋_GB2312"/>
        </w:rPr>
        <w:t>详见附件：人员配置2.docx</w:t>
      </w:r>
    </w:p>
    <w:p>
      <w:pPr>
        <w:pStyle w:val="null3"/>
        <w:ind w:firstLine="960"/>
      </w:pPr>
      <w:r>
        <w:rPr>
          <w:rFonts w:ascii="仿宋_GB2312" w:hAnsi="仿宋_GB2312" w:cs="仿宋_GB2312" w:eastAsia="仿宋_GB2312"/>
        </w:rPr>
        <w:t>详见附件：服务承诺.docx</w:t>
      </w:r>
    </w:p>
    <w:p>
      <w:pPr>
        <w:pStyle w:val="null3"/>
        <w:ind w:firstLine="960"/>
      </w:pPr>
      <w:r>
        <w:rPr>
          <w:rFonts w:ascii="仿宋_GB2312" w:hAnsi="仿宋_GB2312" w:cs="仿宋_GB2312" w:eastAsia="仿宋_GB2312"/>
        </w:rPr>
        <w:t>详见附件：业绩一览表.docx</w:t>
      </w:r>
    </w:p>
    <w:p>
      <w:pPr>
        <w:pStyle w:val="null3"/>
        <w:ind w:firstLine="960"/>
      </w:pPr>
      <w:r>
        <w:rPr>
          <w:rFonts w:ascii="仿宋_GB2312" w:hAnsi="仿宋_GB2312" w:cs="仿宋_GB2312" w:eastAsia="仿宋_GB2312"/>
        </w:rPr>
        <w:t>详见附件：培训方案.docx</w:t>
      </w:r>
    </w:p>
    <w:p>
      <w:pPr>
        <w:pStyle w:val="null3"/>
        <w:ind w:firstLine="960"/>
      </w:pPr>
      <w:r>
        <w:rPr>
          <w:rFonts w:ascii="仿宋_GB2312" w:hAnsi="仿宋_GB2312" w:cs="仿宋_GB2312" w:eastAsia="仿宋_GB2312"/>
        </w:rPr>
        <w:t>详见附件：应急方案.docx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详见附件：2026年多媒体及网络运维服务项目合同模板.docx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