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bCs/>
          <w:sz w:val="32"/>
          <w:szCs w:val="40"/>
          <w:highlight w:val="none"/>
          <w:lang w:val="en-US" w:eastAsia="zh-CN"/>
        </w:rPr>
      </w:pPr>
      <w:r>
        <w:rPr>
          <w:rFonts w:hint="eastAsia" w:ascii="宋体" w:hAnsi="宋体" w:eastAsia="宋体" w:cs="宋体"/>
          <w:b/>
          <w:bCs/>
          <w:sz w:val="32"/>
          <w:szCs w:val="40"/>
          <w:highlight w:val="none"/>
          <w:lang w:val="en-US" w:eastAsia="zh-CN"/>
        </w:rPr>
        <w:t>项目编号：</w:t>
      </w:r>
      <w:bookmarkStart w:id="0" w:name="OLE_LINK10"/>
      <w:r>
        <w:rPr>
          <w:rFonts w:hint="eastAsia" w:ascii="宋体" w:hAnsi="宋体" w:eastAsia="宋体" w:cs="宋体"/>
          <w:b/>
          <w:bCs/>
          <w:sz w:val="32"/>
          <w:szCs w:val="40"/>
          <w:highlight w:val="none"/>
          <w:lang w:val="en-US" w:eastAsia="zh-CN"/>
        </w:rPr>
        <w:t>CY2025-021</w:t>
      </w:r>
      <w:bookmarkEnd w:id="0"/>
    </w:p>
    <w:p>
      <w:pPr>
        <w:jc w:val="center"/>
        <w:rPr>
          <w:rFonts w:hint="eastAsia" w:ascii="宋体" w:hAnsi="宋体" w:eastAsia="宋体" w:cs="宋体"/>
          <w:b/>
          <w:bCs/>
          <w:i w:val="0"/>
          <w:iCs w:val="0"/>
          <w:sz w:val="48"/>
          <w:szCs w:val="48"/>
          <w:highlight w:val="none"/>
          <w:lang w:val="en-US" w:eastAsia="zh-CN"/>
        </w:rPr>
      </w:pPr>
    </w:p>
    <w:p>
      <w:pPr>
        <w:jc w:val="center"/>
        <w:rPr>
          <w:rFonts w:hint="eastAsia" w:ascii="宋体" w:hAnsi="宋体" w:eastAsia="宋体" w:cs="宋体"/>
          <w:b/>
          <w:bCs/>
          <w:i w:val="0"/>
          <w:iCs w:val="0"/>
          <w:sz w:val="48"/>
          <w:szCs w:val="48"/>
          <w:highlight w:val="none"/>
          <w:lang w:val="en-US" w:eastAsia="zh-CN"/>
        </w:rPr>
      </w:pPr>
    </w:p>
    <w:p>
      <w:pPr>
        <w:jc w:val="center"/>
        <w:rPr>
          <w:rFonts w:hint="eastAsia" w:ascii="宋体" w:hAnsi="宋体" w:eastAsia="宋体" w:cs="宋体"/>
          <w:b/>
          <w:bCs/>
          <w:i w:val="0"/>
          <w:iCs w:val="0"/>
          <w:sz w:val="48"/>
          <w:szCs w:val="48"/>
          <w:highlight w:val="none"/>
          <w:lang w:val="en-US" w:eastAsia="zh-CN"/>
        </w:rPr>
      </w:pPr>
    </w:p>
    <w:p>
      <w:pPr>
        <w:jc w:val="center"/>
        <w:rPr>
          <w:rFonts w:hint="eastAsia" w:ascii="宋体" w:hAnsi="宋体" w:eastAsia="宋体" w:cs="宋体"/>
          <w:b/>
          <w:bCs/>
          <w:i w:val="0"/>
          <w:iCs w:val="0"/>
          <w:sz w:val="48"/>
          <w:szCs w:val="48"/>
          <w:highlight w:val="none"/>
          <w:lang w:val="en-US" w:eastAsia="zh-CN"/>
        </w:rPr>
      </w:pPr>
    </w:p>
    <w:p>
      <w:pPr>
        <w:jc w:val="center"/>
        <w:rPr>
          <w:rFonts w:hint="eastAsia" w:ascii="宋体" w:hAnsi="宋体" w:eastAsia="宋体" w:cs="宋体"/>
          <w:b/>
          <w:bCs/>
          <w:sz w:val="72"/>
          <w:szCs w:val="144"/>
          <w:highlight w:val="none"/>
          <w:lang w:val="en-US" w:eastAsia="zh-CN"/>
        </w:rPr>
      </w:pPr>
      <w:r>
        <w:rPr>
          <w:rFonts w:hint="eastAsia" w:ascii="宋体" w:hAnsi="宋体" w:eastAsia="宋体" w:cs="宋体"/>
          <w:b/>
          <w:bCs/>
          <w:i w:val="0"/>
          <w:iCs w:val="0"/>
          <w:spacing w:val="-17"/>
          <w:sz w:val="48"/>
          <w:szCs w:val="48"/>
          <w:highlight w:val="none"/>
          <w:lang w:val="en-US" w:eastAsia="zh-CN"/>
        </w:rPr>
        <w:t>延安市公共就业数字化综合服务平台建设项目</w:t>
      </w:r>
    </w:p>
    <w:p>
      <w:pPr>
        <w:jc w:val="center"/>
        <w:rPr>
          <w:rFonts w:hint="eastAsia" w:ascii="宋体" w:hAnsi="宋体" w:eastAsia="宋体" w:cs="宋体"/>
          <w:b/>
          <w:bCs/>
          <w:sz w:val="96"/>
          <w:szCs w:val="160"/>
          <w:highlight w:val="none"/>
          <w:lang w:val="en-US" w:eastAsia="zh-CN"/>
        </w:rPr>
      </w:pPr>
      <w:r>
        <w:rPr>
          <w:rFonts w:hint="eastAsia" w:ascii="宋体" w:hAnsi="宋体" w:eastAsia="宋体" w:cs="宋体"/>
          <w:b/>
          <w:bCs/>
          <w:i w:val="0"/>
          <w:iCs w:val="0"/>
          <w:sz w:val="48"/>
          <w:szCs w:val="48"/>
          <w:highlight w:val="none"/>
          <w:lang w:val="en-US" w:eastAsia="zh-CN"/>
        </w:rPr>
        <w:t>招标文件</w:t>
      </w:r>
      <w:bookmarkStart w:id="117" w:name="_GoBack"/>
      <w:bookmarkEnd w:id="117"/>
    </w:p>
    <w:p>
      <w:pPr>
        <w:jc w:val="center"/>
        <w:rPr>
          <w:rFonts w:hint="eastAsia" w:ascii="宋体" w:hAnsi="宋体" w:eastAsia="宋体" w:cs="宋体"/>
          <w:b/>
          <w:bCs/>
          <w:sz w:val="72"/>
          <w:szCs w:val="144"/>
          <w:highlight w:val="none"/>
          <w:lang w:val="en-US" w:eastAsia="zh-CN"/>
        </w:rPr>
      </w:pPr>
    </w:p>
    <w:p>
      <w:pPr>
        <w:jc w:val="center"/>
        <w:rPr>
          <w:rFonts w:hint="eastAsia" w:ascii="宋体" w:hAnsi="宋体" w:eastAsia="宋体" w:cs="宋体"/>
          <w:b/>
          <w:bCs/>
          <w:sz w:val="72"/>
          <w:szCs w:val="144"/>
          <w:highlight w:val="none"/>
          <w:lang w:val="en-US" w:eastAsia="zh-CN"/>
        </w:rPr>
      </w:pPr>
    </w:p>
    <w:p>
      <w:pPr>
        <w:jc w:val="center"/>
        <w:rPr>
          <w:rFonts w:hint="eastAsia" w:ascii="宋体" w:hAnsi="宋体" w:eastAsia="宋体" w:cs="宋体"/>
          <w:b/>
          <w:bCs/>
          <w:sz w:val="72"/>
          <w:szCs w:val="144"/>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ascii="宋体" w:hAnsi="宋体" w:eastAsia="宋体" w:cs="宋体"/>
          <w:b/>
          <w:bCs/>
          <w:sz w:val="32"/>
          <w:szCs w:val="32"/>
          <w:highlight w:val="none"/>
          <w:u w:val="none"/>
          <w:lang w:val="en-US" w:eastAsia="zh-CN"/>
        </w:rPr>
      </w:pPr>
      <w:r>
        <w:rPr>
          <w:rFonts w:hint="eastAsia" w:ascii="宋体" w:hAnsi="宋体" w:eastAsia="宋体" w:cs="宋体"/>
          <w:b/>
          <w:bCs/>
          <w:sz w:val="32"/>
          <w:szCs w:val="32"/>
          <w:highlight w:val="none"/>
          <w:u w:val="none"/>
          <w:lang w:val="en-US" w:eastAsia="zh-CN"/>
        </w:rPr>
        <w:t>采   购   人：延安市人力资源和社会保障局</w:t>
      </w:r>
    </w:p>
    <w:p>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ascii="宋体" w:hAnsi="宋体" w:eastAsia="宋体" w:cs="宋体"/>
          <w:b/>
          <w:bCs/>
          <w:sz w:val="32"/>
          <w:szCs w:val="32"/>
          <w:highlight w:val="none"/>
          <w:u w:val="none"/>
          <w:lang w:val="en-US" w:eastAsia="zh-CN"/>
        </w:rPr>
      </w:pPr>
      <w:r>
        <w:rPr>
          <w:rFonts w:hint="eastAsia" w:ascii="宋体" w:hAnsi="宋体" w:eastAsia="宋体" w:cs="宋体"/>
          <w:b/>
          <w:bCs/>
          <w:sz w:val="32"/>
          <w:szCs w:val="32"/>
          <w:highlight w:val="none"/>
          <w:u w:val="none"/>
          <w:lang w:val="en-US" w:eastAsia="zh-CN"/>
        </w:rPr>
        <w:t xml:space="preserve">采购代理机构：陕西楚元项目管理有限公司     </w:t>
      </w:r>
    </w:p>
    <w:p>
      <w:pPr>
        <w:keepNext w:val="0"/>
        <w:keepLines w:val="0"/>
        <w:pageBreakBefore w:val="0"/>
        <w:widowControl w:val="0"/>
        <w:kinsoku/>
        <w:wordWrap/>
        <w:overflowPunct/>
        <w:topLinePunct w:val="0"/>
        <w:autoSpaceDE/>
        <w:autoSpaceDN/>
        <w:bidi w:val="0"/>
        <w:adjustRightInd/>
        <w:snapToGrid/>
        <w:ind w:left="0" w:leftChars="0" w:firstLine="1063" w:firstLineChars="331"/>
        <w:textAlignment w:val="auto"/>
        <w:rPr>
          <w:rFonts w:hint="eastAsia" w:ascii="宋体" w:hAnsi="宋体" w:eastAsia="宋体" w:cs="宋体"/>
          <w:u w:val="single"/>
          <w:lang w:val="en-US" w:eastAsia="zh-CN"/>
        </w:rPr>
        <w:sectPr>
          <w:footerReference r:id="rId4" w:type="first"/>
          <w:footerReference r:id="rId3" w:type="default"/>
          <w:pgSz w:w="11906" w:h="16838"/>
          <w:pgMar w:top="1417" w:right="1417" w:bottom="1417" w:left="1417" w:header="851" w:footer="850"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b/>
          <w:bCs/>
          <w:sz w:val="32"/>
          <w:szCs w:val="40"/>
          <w:u w:val="none"/>
          <w:lang w:val="en-US" w:eastAsia="zh-CN"/>
        </w:rPr>
        <w:t>日        期：</w:t>
      </w:r>
      <w:r>
        <w:rPr>
          <w:rFonts w:hint="eastAsia" w:ascii="宋体" w:hAnsi="宋体" w:eastAsia="宋体" w:cs="宋体"/>
          <w:b/>
          <w:bCs/>
          <w:spacing w:val="11"/>
          <w:sz w:val="32"/>
          <w:szCs w:val="40"/>
          <w:u w:val="none"/>
          <w:lang w:val="en-US" w:eastAsia="zh-CN"/>
        </w:rPr>
        <w:t xml:space="preserve">二〇二六年一月 </w:t>
      </w:r>
      <w:r>
        <w:rPr>
          <w:rFonts w:hint="eastAsia" w:ascii="宋体" w:hAnsi="宋体" w:eastAsia="宋体" w:cs="宋体"/>
          <w:b/>
          <w:bCs/>
          <w:sz w:val="32"/>
          <w:szCs w:val="40"/>
          <w:u w:val="none"/>
          <w:lang w:val="en-US" w:eastAsia="zh-CN"/>
        </w:rPr>
        <w:t xml:space="preserve">              </w:t>
      </w:r>
    </w:p>
    <w:sdt>
      <w:sdtPr>
        <w:rPr>
          <w:rFonts w:hint="eastAsia" w:ascii="宋体" w:hAnsi="宋体" w:eastAsia="宋体" w:cs="宋体"/>
          <w:kern w:val="2"/>
          <w:sz w:val="32"/>
          <w:szCs w:val="32"/>
          <w:lang w:val="en-US" w:eastAsia="zh-CN" w:bidi="ar-SA"/>
        </w:rPr>
        <w:id w:val="147475210"/>
        <w15:color w:val="DBDBDB"/>
      </w:sdtPr>
      <w:sdtEndPr>
        <w:rPr>
          <w:rFonts w:hint="eastAsia" w:ascii="宋体" w:hAnsi="宋体" w:eastAsia="宋体" w:cs="宋体"/>
          <w:bCs/>
          <w:kern w:val="2"/>
          <w:sz w:val="21"/>
          <w:szCs w:val="32"/>
          <w:highlight w:val="none"/>
          <w:u w:val="none"/>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宋体" w:hAnsi="宋体" w:eastAsia="宋体" w:cs="宋体"/>
              <w:sz w:val="32"/>
              <w:szCs w:val="32"/>
            </w:rPr>
          </w:pPr>
          <w:r>
            <w:rPr>
              <w:rFonts w:hint="eastAsia" w:ascii="宋体" w:hAnsi="宋体" w:eastAsia="宋体" w:cs="宋体"/>
              <w:b/>
              <w:bCs/>
              <w:sz w:val="32"/>
              <w:szCs w:val="32"/>
            </w:rPr>
            <w:t>目</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录</w:t>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
              <w:bCs/>
              <w:sz w:val="21"/>
              <w:szCs w:val="21"/>
              <w:highlight w:val="none"/>
              <w:u w:val="none"/>
              <w:lang w:val="en-US" w:eastAsia="zh-CN"/>
            </w:rPr>
            <w:fldChar w:fldCharType="begin"/>
          </w:r>
          <w:r>
            <w:rPr>
              <w:rFonts w:hint="eastAsia" w:ascii="宋体" w:hAnsi="宋体" w:eastAsia="宋体" w:cs="宋体"/>
              <w:b/>
              <w:bCs/>
              <w:sz w:val="21"/>
              <w:szCs w:val="21"/>
              <w:highlight w:val="none"/>
              <w:u w:val="none"/>
              <w:lang w:val="en-US" w:eastAsia="zh-CN"/>
            </w:rPr>
            <w:instrText xml:space="preserve">TOC \o "1-3" \h \u </w:instrText>
          </w:r>
          <w:r>
            <w:rPr>
              <w:rFonts w:hint="eastAsia" w:ascii="宋体" w:hAnsi="宋体" w:eastAsia="宋体" w:cs="宋体"/>
              <w:b/>
              <w:bCs/>
              <w:sz w:val="21"/>
              <w:szCs w:val="21"/>
              <w:highlight w:val="none"/>
              <w:u w:val="none"/>
              <w:lang w:val="en-US" w:eastAsia="zh-CN"/>
            </w:rPr>
            <w:fldChar w:fldCharType="separate"/>
          </w: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_Toc4664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32"/>
              <w:highlight w:val="none"/>
            </w:rPr>
            <w:t>第一部分</w:t>
          </w:r>
          <w:r>
            <w:rPr>
              <w:rFonts w:hint="eastAsia" w:ascii="宋体" w:hAnsi="宋体" w:eastAsia="宋体" w:cs="宋体"/>
              <w:szCs w:val="32"/>
              <w:highlight w:val="none"/>
              <w:lang w:val="en-US" w:eastAsia="zh-CN"/>
            </w:rPr>
            <w:t xml:space="preserve"> 招标</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_Toc4664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_Toc25163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32"/>
              <w:highlight w:val="none"/>
            </w:rPr>
            <w:t>第</w:t>
          </w:r>
          <w:r>
            <w:rPr>
              <w:rFonts w:hint="eastAsia" w:ascii="宋体" w:hAnsi="宋体" w:eastAsia="宋体" w:cs="宋体"/>
              <w:szCs w:val="32"/>
              <w:highlight w:val="none"/>
              <w:lang w:val="en-US" w:eastAsia="zh-CN"/>
            </w:rPr>
            <w:t>二</w:t>
          </w:r>
          <w:r>
            <w:rPr>
              <w:rFonts w:hint="eastAsia" w:ascii="宋体" w:hAnsi="宋体" w:eastAsia="宋体" w:cs="宋体"/>
              <w:szCs w:val="32"/>
              <w:highlight w:val="none"/>
            </w:rPr>
            <w:t>部分</w:t>
          </w:r>
          <w:r>
            <w:rPr>
              <w:rFonts w:hint="eastAsia" w:ascii="宋体" w:hAnsi="宋体" w:eastAsia="宋体" w:cs="宋体"/>
              <w:szCs w:val="32"/>
              <w:highlight w:val="none"/>
              <w:lang w:val="en-US" w:eastAsia="zh-CN"/>
            </w:rPr>
            <w:t xml:space="preserve"> 投标</w:t>
          </w:r>
          <w:r>
            <w:rPr>
              <w:rFonts w:hint="eastAsia" w:ascii="宋体" w:hAnsi="宋体" w:eastAsia="宋体" w:cs="宋体"/>
              <w:szCs w:val="32"/>
              <w:highlight w:val="none"/>
            </w:rPr>
            <w:t>须知</w:t>
          </w:r>
          <w:r>
            <w:rPr>
              <w:rFonts w:hint="eastAsia" w:ascii="宋体" w:hAnsi="宋体" w:eastAsia="宋体" w:cs="宋体"/>
              <w:szCs w:val="32"/>
              <w:highlight w:val="none"/>
              <w:lang w:val="en-US" w:eastAsia="zh-CN"/>
            </w:rPr>
            <w:t>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_Toc25163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_Toc5240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32"/>
              <w:highlight w:val="none"/>
            </w:rPr>
            <w:t>第</w:t>
          </w:r>
          <w:r>
            <w:rPr>
              <w:rFonts w:hint="eastAsia" w:ascii="宋体" w:hAnsi="宋体" w:eastAsia="宋体" w:cs="宋体"/>
              <w:szCs w:val="32"/>
              <w:highlight w:val="none"/>
              <w:lang w:val="en-US" w:eastAsia="zh-CN"/>
            </w:rPr>
            <w:t>三</w:t>
          </w:r>
          <w:r>
            <w:rPr>
              <w:rFonts w:hint="eastAsia" w:ascii="宋体" w:hAnsi="宋体" w:eastAsia="宋体" w:cs="宋体"/>
              <w:szCs w:val="32"/>
              <w:highlight w:val="none"/>
            </w:rPr>
            <w:t>部分</w:t>
          </w:r>
          <w:r>
            <w:rPr>
              <w:rFonts w:hint="eastAsia" w:ascii="宋体" w:hAnsi="宋体" w:eastAsia="宋体" w:cs="宋体"/>
              <w:szCs w:val="32"/>
              <w:highlight w:val="none"/>
              <w:lang w:val="en-US" w:eastAsia="zh-CN"/>
            </w:rPr>
            <w:t xml:space="preserve"> 投标</w:t>
          </w:r>
          <w:r>
            <w:rPr>
              <w:rFonts w:hint="eastAsia" w:ascii="宋体" w:hAnsi="宋体" w:eastAsia="宋体" w:cs="宋体"/>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_Toc5240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_Toc9268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1．适用范围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_Toc9268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_Toc6631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2．定义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_Toc6631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_Toc17154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3．合格</w:t>
          </w:r>
          <w:r>
            <w:rPr>
              <w:rFonts w:hint="eastAsia" w:ascii="宋体" w:hAnsi="宋体" w:eastAsia="宋体" w:cs="宋体"/>
              <w:szCs w:val="24"/>
              <w:highlight w:val="none"/>
              <w:lang w:eastAsia="zh-CN"/>
            </w:rPr>
            <w:t>投标人</w:t>
          </w:r>
          <w:r>
            <w:rPr>
              <w:rFonts w:hint="eastAsia" w:ascii="宋体" w:hAnsi="宋体" w:eastAsia="宋体" w:cs="宋体"/>
              <w:szCs w:val="24"/>
              <w:highlight w:val="none"/>
            </w:rPr>
            <w:t>的范围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_Toc17154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_Toc32328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4．</w:t>
          </w:r>
          <w:r>
            <w:rPr>
              <w:rFonts w:hint="eastAsia" w:ascii="宋体" w:hAnsi="宋体" w:eastAsia="宋体" w:cs="宋体"/>
              <w:szCs w:val="24"/>
              <w:highlight w:val="none"/>
              <w:lang w:val="en-US" w:eastAsia="zh-CN"/>
            </w:rPr>
            <w:t>投标人</w:t>
          </w:r>
          <w:r>
            <w:rPr>
              <w:rFonts w:hint="eastAsia" w:ascii="宋体" w:hAnsi="宋体" w:eastAsia="宋体" w:cs="宋体"/>
              <w:szCs w:val="24"/>
              <w:highlight w:val="none"/>
            </w:rPr>
            <w:t>代表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_Toc32328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_Toc26919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5．费用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_Toc26919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_Toc20778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6．</w:t>
          </w:r>
          <w:r>
            <w:rPr>
              <w:rFonts w:hint="eastAsia" w:ascii="宋体" w:hAnsi="宋体" w:eastAsia="宋体" w:cs="宋体"/>
              <w:szCs w:val="24"/>
              <w:highlight w:val="none"/>
              <w:lang w:val="en-US" w:eastAsia="zh-CN"/>
            </w:rPr>
            <w:t>投标</w:t>
          </w:r>
          <w:r>
            <w:rPr>
              <w:rFonts w:hint="eastAsia" w:ascii="宋体" w:hAnsi="宋体" w:eastAsia="宋体" w:cs="宋体"/>
              <w:szCs w:val="24"/>
              <w:highlight w:val="none"/>
            </w:rPr>
            <w:t>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_Toc20778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_Toc25390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7．</w:t>
          </w:r>
          <w:r>
            <w:rPr>
              <w:rFonts w:hint="eastAsia" w:ascii="宋体" w:hAnsi="宋体" w:eastAsia="宋体" w:cs="宋体"/>
              <w:szCs w:val="24"/>
              <w:highlight w:val="none"/>
              <w:lang w:val="en-US" w:eastAsia="zh-CN"/>
            </w:rPr>
            <w:t>投标</w:t>
          </w:r>
          <w:r>
            <w:rPr>
              <w:rFonts w:hint="eastAsia" w:ascii="宋体" w:hAnsi="宋体" w:eastAsia="宋体" w:cs="宋体"/>
              <w:szCs w:val="24"/>
              <w:highlight w:val="none"/>
            </w:rPr>
            <w:t>保证金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_Toc25390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_Toc17188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lang w:val="en-US" w:eastAsia="zh-CN"/>
            </w:rPr>
            <w:t>8</w:t>
          </w:r>
          <w:r>
            <w:rPr>
              <w:rFonts w:hint="eastAsia" w:ascii="宋体" w:hAnsi="宋体" w:eastAsia="宋体" w:cs="宋体"/>
              <w:szCs w:val="24"/>
              <w:highlight w:val="none"/>
            </w:rPr>
            <w:t>．</w:t>
          </w:r>
          <w:r>
            <w:rPr>
              <w:rFonts w:hint="eastAsia" w:ascii="宋体" w:hAnsi="宋体" w:eastAsia="宋体" w:cs="宋体"/>
              <w:szCs w:val="24"/>
              <w:highlight w:val="none"/>
              <w:lang w:val="en-US" w:eastAsia="zh-CN"/>
            </w:rPr>
            <w:t>评审</w:t>
          </w:r>
          <w:r>
            <w:rPr>
              <w:rFonts w:hint="eastAsia" w:ascii="宋体" w:hAnsi="宋体" w:eastAsia="宋体" w:cs="宋体"/>
              <w:szCs w:val="24"/>
              <w:highlight w:val="none"/>
            </w:rPr>
            <w:t>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_Toc17188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_Toc17580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lang w:val="en-US" w:eastAsia="zh-CN"/>
            </w:rPr>
            <w:t>9</w:t>
          </w:r>
          <w:r>
            <w:rPr>
              <w:rFonts w:hint="eastAsia" w:ascii="宋体" w:hAnsi="宋体" w:eastAsia="宋体" w:cs="宋体"/>
              <w:szCs w:val="24"/>
              <w:highlight w:val="none"/>
            </w:rPr>
            <w:t>．评审工作程序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_Toc17580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_Toc29065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10．评审原则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_Toc29065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_Toc21897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11．评审标准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_Toc21897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_Toc11506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12．</w:t>
          </w:r>
          <w:r>
            <w:rPr>
              <w:rFonts w:hint="eastAsia" w:ascii="宋体" w:hAnsi="宋体" w:eastAsia="宋体" w:cs="宋体"/>
              <w:szCs w:val="24"/>
              <w:highlight w:val="none"/>
              <w:lang w:val="en-US" w:eastAsia="zh-CN"/>
            </w:rPr>
            <w:t>评标委员会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_Toc11506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_Toc4840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13．评审纪律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_Toc4840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_Toc31016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14．无效</w:t>
          </w:r>
          <w:r>
            <w:rPr>
              <w:rFonts w:hint="eastAsia" w:ascii="宋体" w:hAnsi="宋体" w:eastAsia="宋体" w:cs="宋体"/>
              <w:szCs w:val="24"/>
              <w:highlight w:val="none"/>
              <w:lang w:val="en-US" w:eastAsia="zh-CN"/>
            </w:rPr>
            <w:t>投标</w:t>
          </w:r>
          <w:r>
            <w:rPr>
              <w:rFonts w:hint="eastAsia" w:ascii="宋体" w:hAnsi="宋体" w:eastAsia="宋体" w:cs="宋体"/>
              <w:szCs w:val="24"/>
              <w:highlight w:val="none"/>
            </w:rPr>
            <w:t>文件情况说明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_Toc31016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_Toc10226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15．对</w:t>
          </w:r>
          <w:r>
            <w:rPr>
              <w:rFonts w:hint="eastAsia" w:ascii="宋体" w:hAnsi="宋体" w:eastAsia="宋体" w:cs="宋体"/>
              <w:szCs w:val="24"/>
              <w:highlight w:val="none"/>
              <w:lang w:val="en-US" w:eastAsia="zh-CN"/>
            </w:rPr>
            <w:t>投标</w:t>
          </w:r>
          <w:r>
            <w:rPr>
              <w:rFonts w:hint="eastAsia" w:ascii="宋体" w:hAnsi="宋体" w:eastAsia="宋体" w:cs="宋体"/>
              <w:szCs w:val="24"/>
              <w:highlight w:val="none"/>
            </w:rPr>
            <w:t>文件的修正</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_Toc10226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_Toc14629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16．</w:t>
          </w:r>
          <w:r>
            <w:rPr>
              <w:rFonts w:hint="eastAsia" w:ascii="宋体" w:hAnsi="宋体" w:eastAsia="宋体" w:cs="宋体"/>
              <w:szCs w:val="24"/>
              <w:highlight w:val="none"/>
              <w:lang w:val="en-US" w:eastAsia="zh-CN"/>
            </w:rPr>
            <w:t>确定中标人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_Toc14629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_Toc9805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17．</w:t>
          </w:r>
          <w:r>
            <w:rPr>
              <w:rFonts w:hint="eastAsia" w:ascii="宋体" w:hAnsi="宋体" w:eastAsia="宋体" w:cs="宋体"/>
              <w:szCs w:val="24"/>
              <w:highlight w:val="none"/>
              <w:lang w:val="en-US" w:eastAsia="zh-CN"/>
            </w:rPr>
            <w:t>中标</w:t>
          </w:r>
          <w:r>
            <w:rPr>
              <w:rFonts w:hint="eastAsia" w:ascii="宋体" w:hAnsi="宋体" w:eastAsia="宋体" w:cs="宋体"/>
              <w:szCs w:val="24"/>
              <w:highlight w:val="none"/>
            </w:rPr>
            <w:t>通知</w:t>
          </w:r>
          <w:r>
            <w:rPr>
              <w:rFonts w:hint="eastAsia" w:ascii="宋体" w:hAnsi="宋体" w:eastAsia="宋体" w:cs="宋体"/>
              <w:szCs w:val="24"/>
              <w:highlight w:val="none"/>
              <w:lang w:val="en-US" w:eastAsia="zh-CN"/>
            </w:rPr>
            <w:t>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_Toc9805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_Toc20545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18．合同授予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_Toc20545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_Toc17167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19．</w:t>
          </w:r>
          <w:r>
            <w:rPr>
              <w:rFonts w:hint="eastAsia" w:ascii="宋体" w:hAnsi="宋体" w:eastAsia="宋体" w:cs="宋体"/>
              <w:szCs w:val="24"/>
              <w:highlight w:val="none"/>
              <w:lang w:val="en-US" w:eastAsia="zh-CN"/>
            </w:rPr>
            <w:t>投标文件</w:t>
          </w:r>
          <w:r>
            <w:rPr>
              <w:rFonts w:hint="eastAsia" w:ascii="宋体" w:hAnsi="宋体" w:eastAsia="宋体" w:cs="宋体"/>
              <w:szCs w:val="24"/>
              <w:highlight w:val="none"/>
            </w:rPr>
            <w:t>有效期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_Toc17167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_Toc2517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20．签订合同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_Toc2517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_Toc17505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21．</w:t>
          </w:r>
          <w:r>
            <w:rPr>
              <w:rFonts w:hint="eastAsia" w:ascii="宋体" w:hAnsi="宋体" w:eastAsia="宋体" w:cs="宋体"/>
              <w:szCs w:val="24"/>
              <w:highlight w:val="none"/>
              <w:lang w:val="en-US" w:eastAsia="zh-CN"/>
            </w:rPr>
            <w:t>采购</w:t>
          </w:r>
          <w:r>
            <w:rPr>
              <w:rFonts w:hint="eastAsia" w:ascii="宋体" w:hAnsi="宋体" w:eastAsia="宋体" w:cs="宋体"/>
              <w:szCs w:val="24"/>
              <w:highlight w:val="none"/>
            </w:rPr>
            <w:t>代理服务费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_Toc17505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_Toc25297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22．质疑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_Toc25297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2"/>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_Toc27958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4"/>
              <w:highlight w:val="none"/>
            </w:rPr>
            <w:t>23．需要落实的政府采购政策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_Toc27958 \h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_Toc27925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32"/>
              <w:highlight w:val="none"/>
            </w:rPr>
            <w:t>第</w:t>
          </w:r>
          <w:r>
            <w:rPr>
              <w:rFonts w:hint="eastAsia" w:ascii="宋体" w:hAnsi="宋体" w:eastAsia="宋体" w:cs="宋体"/>
              <w:szCs w:val="32"/>
              <w:highlight w:val="none"/>
              <w:lang w:val="en-US" w:eastAsia="zh-CN"/>
            </w:rPr>
            <w:t>四</w:t>
          </w:r>
          <w:r>
            <w:rPr>
              <w:rFonts w:hint="eastAsia" w:ascii="宋体" w:hAnsi="宋体" w:eastAsia="宋体" w:cs="宋体"/>
              <w:szCs w:val="32"/>
              <w:highlight w:val="none"/>
            </w:rPr>
            <w:t>部分</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rPr>
            <w:t>采购</w:t>
          </w:r>
          <w:r>
            <w:rPr>
              <w:rFonts w:hint="eastAsia" w:ascii="宋体" w:hAnsi="宋体" w:eastAsia="宋体" w:cs="宋体"/>
              <w:szCs w:val="32"/>
              <w:highlight w:val="none"/>
              <w:lang w:val="en-US" w:eastAsia="zh-CN"/>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_Toc27925 \h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_Toc24513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36"/>
              <w:highlight w:val="none"/>
              <w:lang w:val="en-US" w:eastAsia="zh-CN"/>
            </w:rPr>
            <w:t>第五部分 拟签订合同文本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_Toc24513 \h </w:instrText>
          </w:r>
          <w:r>
            <w:rPr>
              <w:rFonts w:hint="eastAsia" w:ascii="宋体" w:hAnsi="宋体" w:eastAsia="宋体" w:cs="宋体"/>
            </w:rPr>
            <w:fldChar w:fldCharType="separate"/>
          </w:r>
          <w:r>
            <w:rPr>
              <w:rFonts w:hint="eastAsia" w:ascii="宋体" w:hAnsi="宋体" w:eastAsia="宋体" w:cs="宋体"/>
            </w:rPr>
            <w:t>125</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_Toc658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bCs/>
              <w:szCs w:val="32"/>
              <w:highlight w:val="none"/>
              <w:lang w:val="en-US" w:eastAsia="zh-CN"/>
            </w:rPr>
            <w:t>第六部分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_Toc658 \h </w:instrText>
          </w:r>
          <w:r>
            <w:rPr>
              <w:rFonts w:hint="eastAsia" w:ascii="宋体" w:hAnsi="宋体" w:eastAsia="宋体" w:cs="宋体"/>
            </w:rPr>
            <w:fldChar w:fldCharType="separate"/>
          </w:r>
          <w:r>
            <w:rPr>
              <w:rFonts w:hint="eastAsia" w:ascii="宋体" w:hAnsi="宋体" w:eastAsia="宋体" w:cs="宋体"/>
            </w:rPr>
            <w:t>132</w:t>
          </w:r>
          <w:r>
            <w:rPr>
              <w:rFonts w:hint="eastAsia" w:ascii="宋体" w:hAnsi="宋体" w:eastAsia="宋体" w:cs="宋体"/>
            </w:rPr>
            <w:fldChar w:fldCharType="end"/>
          </w:r>
          <w:r>
            <w:rPr>
              <w:rFonts w:hint="eastAsia" w:ascii="宋体" w:hAnsi="宋体" w:eastAsia="宋体" w:cs="宋体"/>
              <w:bCs/>
              <w:szCs w:val="21"/>
              <w:highlight w:val="none"/>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b/>
              <w:bCs/>
              <w:sz w:val="32"/>
              <w:szCs w:val="32"/>
              <w:highlight w:val="none"/>
              <w:u w:val="none"/>
              <w:lang w:val="en-US" w:eastAsia="zh-CN"/>
            </w:rPr>
          </w:pPr>
          <w:r>
            <w:rPr>
              <w:rFonts w:hint="eastAsia" w:ascii="宋体" w:hAnsi="宋体" w:eastAsia="宋体" w:cs="宋体"/>
              <w:bCs/>
              <w:szCs w:val="21"/>
              <w:highlight w:val="none"/>
              <w:u w:val="none"/>
              <w:lang w:val="en-US" w:eastAsia="zh-CN"/>
            </w:rPr>
            <w:fldChar w:fldCharType="end"/>
          </w:r>
        </w:p>
      </w:sdtContent>
    </w:sdt>
    <w:p>
      <w:pPr>
        <w:pStyle w:val="4"/>
        <w:spacing w:line="240" w:lineRule="auto"/>
        <w:rPr>
          <w:rFonts w:hint="eastAsia" w:ascii="宋体" w:hAnsi="宋体" w:eastAsia="宋体" w:cs="宋体"/>
          <w:sz w:val="24"/>
          <w:szCs w:val="22"/>
          <w:lang w:val="en-US" w:eastAsia="zh-CN"/>
        </w:rPr>
        <w:sectPr>
          <w:head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kinsoku/>
        <w:overflowPunct/>
        <w:topLinePunct w:val="0"/>
        <w:autoSpaceDE/>
        <w:autoSpaceDN/>
        <w:bidi w:val="0"/>
        <w:adjustRightInd/>
        <w:snapToGrid/>
        <w:spacing w:line="480" w:lineRule="exact"/>
        <w:ind w:firstLine="0" w:firstLineChars="0"/>
        <w:jc w:val="center"/>
        <w:textAlignment w:val="auto"/>
        <w:outlineLvl w:val="0"/>
        <w:rPr>
          <w:rFonts w:hint="eastAsia" w:ascii="宋体" w:hAnsi="宋体" w:eastAsia="宋体" w:cs="宋体"/>
          <w:b/>
          <w:sz w:val="32"/>
          <w:szCs w:val="32"/>
          <w:highlight w:val="none"/>
        </w:rPr>
      </w:pPr>
      <w:bookmarkStart w:id="1" w:name="_Toc75259334"/>
      <w:bookmarkStart w:id="2" w:name="_Toc4664"/>
      <w:r>
        <w:rPr>
          <w:rFonts w:hint="eastAsia" w:ascii="宋体" w:hAnsi="宋体" w:eastAsia="宋体" w:cs="宋体"/>
          <w:b/>
          <w:sz w:val="32"/>
          <w:szCs w:val="32"/>
          <w:highlight w:val="none"/>
        </w:rPr>
        <w:t>第一部分</w:t>
      </w:r>
      <w:r>
        <w:rPr>
          <w:rFonts w:hint="eastAsia" w:ascii="宋体" w:hAnsi="宋体" w:eastAsia="宋体" w:cs="宋体"/>
          <w:b/>
          <w:sz w:val="32"/>
          <w:szCs w:val="32"/>
          <w:highlight w:val="none"/>
          <w:lang w:val="en-US" w:eastAsia="zh-CN"/>
        </w:rPr>
        <w:t xml:space="preserve"> 招标</w:t>
      </w:r>
      <w:r>
        <w:rPr>
          <w:rFonts w:hint="eastAsia" w:ascii="宋体" w:hAnsi="宋体" w:eastAsia="宋体" w:cs="宋体"/>
          <w:b/>
          <w:sz w:val="32"/>
          <w:szCs w:val="32"/>
          <w:highlight w:val="none"/>
        </w:rPr>
        <w:t>公告</w:t>
      </w:r>
      <w:bookmarkEnd w:id="1"/>
      <w:bookmarkEnd w:id="2"/>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80" w:lineRule="exact"/>
        <w:ind w:left="0" w:right="0"/>
        <w:jc w:val="left"/>
        <w:textAlignment w:val="auto"/>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rPr>
        <w:t>项目概况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延安市公共就业数字化综合服务平台建设项目招标项目的潜在投标人应在全国公共资源交易平台 (陕西省·延安市)获取招标文件，并于2026年02月26日 09时00分（北京时间）前递交投标文件。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rPr>
        <w:t>一、项目基本情况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项目编号：CY2025-021</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项目名称：延安市公共就业数字化综合服务平台建设项目</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采购方式：公开招标</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预算金额：20,622,600.00元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采购需求：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合同包1(延安市人力资源和社会保障局公共就业数字化综合服务平台建设项目):</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合同包预算金额：18,676,300.00元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合同包最高限价：18,676,300.00元</w:t>
      </w:r>
    </w:p>
    <w:tbl>
      <w:tblPr>
        <w:tblStyle w:val="24"/>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25"/>
        <w:gridCol w:w="1088"/>
        <w:gridCol w:w="2790"/>
        <w:gridCol w:w="1210"/>
        <w:gridCol w:w="1698"/>
        <w:gridCol w:w="18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其他就业服务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延安市公共就业数字化综合服务平台建设项目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18,676,300.00</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合同履行期限：合同签订之日起180日历日；建设完成免费运维服务三年；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合同包2(延安市人力资源和社会保障局第三方软件测评费):</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合同包预算金额：406,300.00元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合同包最高限价：406,300.00元</w:t>
      </w:r>
    </w:p>
    <w:tbl>
      <w:tblPr>
        <w:tblStyle w:val="24"/>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1"/>
        <w:gridCol w:w="1401"/>
        <w:gridCol w:w="1769"/>
        <w:gridCol w:w="1461"/>
        <w:gridCol w:w="2201"/>
        <w:gridCol w:w="162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其他就业服务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第三方软件测评费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406,300.00</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合同履行期限：平台建设完成后90个日历日完成测评</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合同包3(延安市人力资源和社会保障局公共就业服务视频会议及网络安全提升项目):</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合同包预算金额：1,540,000.00元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合同包最高限价：1,540,000.00元</w:t>
      </w:r>
    </w:p>
    <w:tbl>
      <w:tblPr>
        <w:tblStyle w:val="24"/>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38"/>
        <w:gridCol w:w="1120"/>
        <w:gridCol w:w="2784"/>
        <w:gridCol w:w="1236"/>
        <w:gridCol w:w="1750"/>
        <w:gridCol w:w="168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3-1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其他就业服务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公共就业服务视频会议及网络安全提升项目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1,540,000.00</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合同履行期限：合同签订之日起90日历日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rPr>
        <w:t>二、申请人的资格要求：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2.落实政府采购政策需满足的资格要求：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合同包1(延安市人力资源和社会保障局公共就业数字化综合服务平台建设项目)落实政府采购政策需满足的资格要求如下: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（1）《财政部、司法部关于政府采购支持监狱企业发展有关问题的通知》（财库〔2014〕68号）；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（2）《财政部、民政部、中国残疾人联合会关于促进残疾人就业政府采购政策的通知》（财库〔2017〕141号）；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（3）《财政部发展改革委生态环境部市场监管总局关于调整优化节能产品、环境标志产品政府采购执行机制的通知》（财库〔2019〕9号）；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（4）《关于运用政府采购政策支持乡村产业振兴的通知》（财库〔2021〕19号）；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（5）《政府采购促进中小企业发展管理办法》（财库〔2020〕46号）；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（6）陕西省财政厅关于印发《陕西省中小企业政府采购信用融资办法》（陕财办采〔2018〕23号）；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（7）陕西省财政厅《关于进一步加强政府绿色采购有关问题的通知》（陕财办采〔2021〕29号）；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（8）《关于进一步加大政府采购支持中小企业力度的通知》（财库〔2022〕19号）；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82"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（9）《财政部 国务院扶贫办关于运用政府采购政策支持脱贫攻坚的通知》（财库〔2019〕27号）；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82"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（10）其他需要落实的政府采购政策，或如有最新颁布的政府采购政策，按最新的文件执行。</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合同包2(延安市人力资源和社会保障局第三方软件测评费)落实政府采购政策需满足的资格要求如下: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与合同包1要求一致。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合同包3(延安市人力资源和社会保障局公共就业服务视频会议及网络安全提升项目)落实政府采购政策需满足的资格要求如下: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与合同包1要求一致。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3.本项目的特定资格要求：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合同包1(延安市人力资源和社会保障局公共就业数字化综合服务平台建设项目)特定资格要求如下: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80"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（1）具有独立承担民事责任能力的法人或其他组织，提供合法有效的统一社会信用代码的营业执照或事业单位法人证书等国家规定的相关证明，自然人参与的提供其身份证明；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80"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（2）法定代表人直接参加投标须出具身份证，非法定代表人参加投标，须出具法定代表人授权书及被授权人身份证；</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80"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（3）投标人应出具参加政府采购活动前3年内在经营活动中没有重大违法记录的书面声明；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80"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（4）税收缴纳证明：提供2025年5月至今已缴存的至少一个月的纳税证明或完税证明，纳税证明或完税证明上应有代收机构或税务机关的公章。依法免税的供应商应提供相关文件证明；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80"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（5）社会保障资金缴纳证明：提供2025年5月至今已缴存的至少一个月的社会保障资金缴存单据或社保机构开具的社会保险参保缴费情况证明，依法不需要缴纳社会保障资金的供应商应提供相关文件证明；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80"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财务状况报告：提供2024或2025年度经审计的财务报告（至少包括审计报告、资产负债表和利润表，成立时间至提交投标文件截止时间不足一年的可提供成立后任意时段的资产负债表）或其开标前三个月内基本存款账户开户银行出具的资信证明；</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80"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（7）供应商未被列入“信用中国”网站严重失信主体名单和重大税收违法失信主体；中国政府采购网政府采购严重违法失信行为记录名单中被财政部门禁止参加政府采购活动的供应商；</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8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注：单位负责人为同一人或者存在直接控股、管理关系的不同供应商，不得参加同一合同项下的政府采购活动。</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合同包2(延安市人力资源和社会保障局第三方软件测评费)特定资格要求如下: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80"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与合同包1特定资格要求一致。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合同包3(延安市人力资源和社会保障局公共就业服务视频会议及网络安全提升项目)特定资格要求如下: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8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与合同包1特定资格要求一致。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rPr>
        <w:t>三、获取招标文件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时间：2026年01月26日至2026年01月30日，每天上午09:00:00至12:00:00，下午14:00:00至17:30:00（北京时间）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途径：全国公共资源交易平台 (陕西省·延安市)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方式：在线获取</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售价：0元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rPr>
        <w:t>四、提交投标文件截止时间、开标时间和地点</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时间：2026年02月26日 09时00分00秒 （北京时间）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提交投标文件地点：全国公共资源交易平台（陕西省·延安市）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开标地点：延安市公共资源交易中心交易一厅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rPr>
        <w:t>五、公告期限</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自本公告发布之日起5个工作日。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rPr>
        <w:t>六、其他补充事宜</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1、报名登记及下载文件：供应商使用捆绑CA证书登录全国公共资源交易平台（陕西省·延安市）延安市公共资源交易中心，选择电子交易平台中的陕西政府采购交易系统进行登录，登录后选择“交易乙方”身份进入供应商界面进行报名及下载采购文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2、请供应商按照陕西省财政厅关于政府采购供应商注册登记有关事项的通知中的要求，通过陕西省政府采购网注册登记加入陕西省政府采购供应商库。</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3、本次开标采用线上不见面开标模式，电子文件上传递交；供应商需在开标前登录政府采购不见面开标大厅进行签到、解密。</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left"/>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4、本次招标公告在《陕西省政府采购网》、《全国公共资源交易平台（陕西省·延安市）》媒介上发布。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rFonts w:hint="eastAsia" w:ascii="宋体" w:hAnsi="宋体" w:eastAsia="宋体" w:cs="宋体"/>
          <w:b w:val="0"/>
          <w:bCs w:val="0"/>
          <w:sz w:val="24"/>
          <w:szCs w:val="24"/>
        </w:rPr>
      </w:pPr>
      <w:r>
        <w:rPr>
          <w:rStyle w:val="27"/>
          <w:rFonts w:hint="eastAsia" w:ascii="宋体" w:hAnsi="宋体" w:eastAsia="宋体" w:cs="宋体"/>
          <w:b/>
          <w:bCs/>
          <w:i w:val="0"/>
          <w:iCs w:val="0"/>
          <w:caps w:val="0"/>
          <w:color w:val="333333"/>
          <w:spacing w:val="0"/>
          <w:sz w:val="24"/>
          <w:szCs w:val="24"/>
          <w:shd w:val="clear" w:fill="FFFFFF"/>
        </w:rPr>
        <w:t>七、对本次招标提出询问，请按以下方式联系。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1.采购人信息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名称：延安市人力资源和社会保障局</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地址：延安市新区为民服务中心综合楼6楼</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联系方式：18109110222</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2.采购代理机构信息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名称：陕西楚元项目管理有限公司</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地址：延安市新区鼎盛豪庭公寓4号楼201室</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联系方式：0911-8899222</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3.项目联系方式</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项目联系人：姚方</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电话：17809112100</w:t>
      </w:r>
    </w:p>
    <w:p>
      <w:pPr>
        <w:keepNext w:val="0"/>
        <w:keepLines w:val="0"/>
        <w:widowControl/>
        <w:suppressLineNumbers w:val="0"/>
        <w:wordWrap w:val="0"/>
        <w:spacing w:line="480" w:lineRule="atLeast"/>
        <w:jc w:val="both"/>
        <w:rPr>
          <w:rFonts w:hint="eastAsia" w:ascii="宋体" w:hAnsi="宋体" w:eastAsia="宋体" w:cs="宋体"/>
          <w:sz w:val="21"/>
          <w:szCs w:val="21"/>
        </w:rPr>
      </w:pPr>
    </w:p>
    <w:p>
      <w:pPr>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sz w:val="32"/>
          <w:szCs w:val="32"/>
          <w:highlight w:val="none"/>
          <w:lang w:val="en-US" w:eastAsia="zh-CN"/>
        </w:rPr>
      </w:pPr>
      <w:bookmarkStart w:id="3" w:name="_Toc25163"/>
      <w:bookmarkStart w:id="4" w:name="_Toc75259335"/>
      <w:r>
        <w:rPr>
          <w:rFonts w:hint="eastAsia" w:ascii="宋体" w:hAnsi="宋体" w:eastAsia="宋体" w:cs="宋体"/>
          <w:b/>
          <w:sz w:val="32"/>
          <w:szCs w:val="32"/>
          <w:highlight w:val="none"/>
        </w:rPr>
        <w:t>第</w:t>
      </w:r>
      <w:r>
        <w:rPr>
          <w:rFonts w:hint="eastAsia" w:ascii="宋体" w:hAnsi="宋体" w:eastAsia="宋体" w:cs="宋体"/>
          <w:b/>
          <w:sz w:val="32"/>
          <w:szCs w:val="32"/>
          <w:highlight w:val="none"/>
          <w:lang w:val="en-US" w:eastAsia="zh-CN"/>
        </w:rPr>
        <w:t>二</w:t>
      </w:r>
      <w:r>
        <w:rPr>
          <w:rFonts w:hint="eastAsia" w:ascii="宋体" w:hAnsi="宋体" w:eastAsia="宋体" w:cs="宋体"/>
          <w:b/>
          <w:sz w:val="32"/>
          <w:szCs w:val="32"/>
          <w:highlight w:val="none"/>
        </w:rPr>
        <w:t>部分</w:t>
      </w:r>
      <w:r>
        <w:rPr>
          <w:rFonts w:hint="eastAsia" w:ascii="宋体" w:hAnsi="宋体" w:eastAsia="宋体" w:cs="宋体"/>
          <w:b/>
          <w:sz w:val="32"/>
          <w:szCs w:val="32"/>
          <w:highlight w:val="none"/>
          <w:lang w:val="en-US" w:eastAsia="zh-CN"/>
        </w:rPr>
        <w:t xml:space="preserve"> 投标</w:t>
      </w:r>
      <w:r>
        <w:rPr>
          <w:rFonts w:hint="eastAsia" w:ascii="宋体" w:hAnsi="宋体" w:eastAsia="宋体" w:cs="宋体"/>
          <w:b/>
          <w:sz w:val="32"/>
          <w:szCs w:val="32"/>
          <w:highlight w:val="none"/>
        </w:rPr>
        <w:t>须知</w:t>
      </w:r>
      <w:r>
        <w:rPr>
          <w:rFonts w:hint="eastAsia" w:ascii="宋体" w:hAnsi="宋体" w:eastAsia="宋体" w:cs="宋体"/>
          <w:b/>
          <w:sz w:val="32"/>
          <w:szCs w:val="32"/>
          <w:highlight w:val="none"/>
          <w:lang w:val="en-US" w:eastAsia="zh-CN"/>
        </w:rPr>
        <w:t>前附表</w:t>
      </w:r>
      <w:bookmarkEnd w:id="3"/>
    </w:p>
    <w:tbl>
      <w:tblPr>
        <w:tblStyle w:val="24"/>
        <w:tblW w:w="9107" w:type="dxa"/>
        <w:jc w:val="center"/>
        <w:tblLayout w:type="fixed"/>
        <w:tblCellMar>
          <w:top w:w="0" w:type="dxa"/>
          <w:left w:w="28" w:type="dxa"/>
          <w:bottom w:w="0" w:type="dxa"/>
          <w:right w:w="28" w:type="dxa"/>
        </w:tblCellMar>
      </w:tblPr>
      <w:tblGrid>
        <w:gridCol w:w="809"/>
        <w:gridCol w:w="1527"/>
        <w:gridCol w:w="6771"/>
      </w:tblGrid>
      <w:tr>
        <w:tblPrEx>
          <w:tblCellMar>
            <w:top w:w="0" w:type="dxa"/>
            <w:left w:w="28" w:type="dxa"/>
            <w:bottom w:w="0" w:type="dxa"/>
            <w:right w:w="28" w:type="dxa"/>
          </w:tblCellMar>
        </w:tblPrEx>
        <w:trPr>
          <w:trHeight w:val="794"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52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编 列 内 容</w:t>
            </w:r>
          </w:p>
        </w:tc>
      </w:tr>
      <w:tr>
        <w:tblPrEx>
          <w:tblCellMar>
            <w:top w:w="0" w:type="dxa"/>
            <w:left w:w="28" w:type="dxa"/>
            <w:bottom w:w="0" w:type="dxa"/>
            <w:right w:w="28" w:type="dxa"/>
          </w:tblCellMar>
        </w:tblPrEx>
        <w:trPr>
          <w:trHeight w:val="101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延安市公共就业数字化综合服务平台建设项目</w:t>
            </w:r>
          </w:p>
        </w:tc>
      </w:tr>
      <w:tr>
        <w:tblPrEx>
          <w:tblCellMar>
            <w:top w:w="0" w:type="dxa"/>
            <w:left w:w="28" w:type="dxa"/>
            <w:bottom w:w="0" w:type="dxa"/>
            <w:right w:w="28" w:type="dxa"/>
          </w:tblCellMar>
        </w:tblPrEx>
        <w:trPr>
          <w:trHeight w:val="196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采购人名称：延安市人力资源和社会保障局</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jc w:val="left"/>
              <w:textAlignment w:val="auto"/>
              <w:outlineLvl w:val="9"/>
              <w:rPr>
                <w:rFonts w:hint="eastAsia" w:ascii="宋体" w:hAnsi="宋体" w:eastAsia="宋体" w:cs="宋体"/>
                <w:spacing w:val="-6"/>
                <w:sz w:val="24"/>
                <w:szCs w:val="24"/>
                <w:highlight w:val="none"/>
                <w:lang w:val="zh-CN" w:eastAsia="zh-CN"/>
              </w:rPr>
            </w:pPr>
            <w:r>
              <w:rPr>
                <w:rFonts w:hint="eastAsia" w:ascii="宋体" w:hAnsi="宋体" w:eastAsia="宋体" w:cs="宋体"/>
                <w:spacing w:val="-11"/>
                <w:sz w:val="24"/>
                <w:szCs w:val="24"/>
                <w:highlight w:val="none"/>
                <w:lang w:val="zh-CN" w:eastAsia="zh-CN"/>
              </w:rPr>
              <w:t>地址：</w:t>
            </w:r>
            <w:r>
              <w:rPr>
                <w:rFonts w:hint="eastAsia" w:ascii="宋体" w:hAnsi="宋体" w:eastAsia="宋体" w:cs="宋体"/>
                <w:spacing w:val="-6"/>
                <w:sz w:val="24"/>
                <w:szCs w:val="24"/>
                <w:highlight w:val="none"/>
                <w:lang w:val="zh-CN" w:eastAsia="zh-CN"/>
              </w:rPr>
              <w:t>陕西省延安市宝塔区新区为民服务中心1号综合楼6楼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eastAsia="zh-CN"/>
              </w:rPr>
              <w:t>联系人：高鹏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eastAsia="zh-CN"/>
              </w:rPr>
              <w:t>电  话：</w:t>
            </w:r>
            <w:r>
              <w:rPr>
                <w:rFonts w:hint="eastAsia" w:ascii="宋体" w:hAnsi="宋体" w:eastAsia="宋体" w:cs="宋体"/>
                <w:sz w:val="24"/>
                <w:szCs w:val="24"/>
                <w:highlight w:val="none"/>
                <w:lang w:val="en-US" w:eastAsia="zh-CN"/>
              </w:rPr>
              <w:t>18109110222</w:t>
            </w:r>
          </w:p>
        </w:tc>
      </w:tr>
      <w:tr>
        <w:tblPrEx>
          <w:tblCellMar>
            <w:top w:w="0" w:type="dxa"/>
            <w:left w:w="28" w:type="dxa"/>
            <w:bottom w:w="0" w:type="dxa"/>
            <w:right w:w="28" w:type="dxa"/>
          </w:tblCellMar>
        </w:tblPrEx>
        <w:trPr>
          <w:trHeight w:val="2016"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采购代理</w:t>
            </w:r>
          </w:p>
          <w:p>
            <w:pP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机构</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采购代理机构：陕西楚元项目管理有限公司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地址：延安市新区鼎盛豪庭公寓4号楼201室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联系人：</w:t>
            </w:r>
            <w:r>
              <w:rPr>
                <w:rFonts w:hint="eastAsia" w:ascii="宋体" w:hAnsi="宋体" w:eastAsia="宋体" w:cs="宋体"/>
                <w:sz w:val="24"/>
                <w:szCs w:val="24"/>
                <w:highlight w:val="none"/>
                <w:lang w:val="en-US" w:eastAsia="zh-CN"/>
              </w:rPr>
              <w:t>姚方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zh-CN" w:eastAsia="zh-CN"/>
              </w:rPr>
              <w:t>电  话：</w:t>
            </w:r>
            <w:r>
              <w:rPr>
                <w:rFonts w:hint="eastAsia" w:ascii="宋体" w:hAnsi="宋体" w:eastAsia="宋体" w:cs="宋体"/>
                <w:sz w:val="24"/>
                <w:szCs w:val="24"/>
                <w:highlight w:val="none"/>
                <w:lang w:val="en-US" w:eastAsia="zh-CN"/>
              </w:rPr>
              <w:t>17809112100</w:t>
            </w:r>
          </w:p>
        </w:tc>
      </w:tr>
      <w:tr>
        <w:tblPrEx>
          <w:tblCellMar>
            <w:top w:w="0" w:type="dxa"/>
            <w:left w:w="28" w:type="dxa"/>
            <w:bottom w:w="0" w:type="dxa"/>
            <w:right w:w="28" w:type="dxa"/>
          </w:tblCellMar>
        </w:tblPrEx>
        <w:trPr>
          <w:trHeight w:val="1134" w:hRule="atLeast"/>
          <w:jc w:val="center"/>
        </w:trPr>
        <w:tc>
          <w:tcPr>
            <w:tcW w:w="809" w:type="dxa"/>
            <w:tcBorders>
              <w:top w:val="single" w:color="auto" w:sz="4" w:space="0"/>
              <w:left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527" w:type="dxa"/>
            <w:tcBorders>
              <w:top w:val="single" w:color="auto" w:sz="4" w:space="0"/>
              <w:left w:val="nil"/>
              <w:right w:val="single" w:color="auto" w:sz="4" w:space="0"/>
            </w:tcBorders>
            <w:vAlign w:val="center"/>
          </w:tcPr>
          <w:p>
            <w:pPr>
              <w:spacing w:line="360" w:lineRule="auto"/>
              <w:jc w:val="center"/>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采购标的对应所属行业</w:t>
            </w:r>
          </w:p>
        </w:tc>
        <w:tc>
          <w:tcPr>
            <w:tcW w:w="6771" w:type="dxa"/>
            <w:tcBorders>
              <w:top w:val="single" w:color="auto" w:sz="4" w:space="0"/>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软件和信息技术服务业</w:t>
            </w:r>
          </w:p>
        </w:tc>
      </w:tr>
      <w:tr>
        <w:tblPrEx>
          <w:tblCellMar>
            <w:top w:w="0" w:type="dxa"/>
            <w:left w:w="28" w:type="dxa"/>
            <w:bottom w:w="0" w:type="dxa"/>
            <w:right w:w="28" w:type="dxa"/>
          </w:tblCellMar>
        </w:tblPrEx>
        <w:trPr>
          <w:trHeight w:val="1134" w:hRule="atLeast"/>
          <w:jc w:val="center"/>
        </w:trPr>
        <w:tc>
          <w:tcPr>
            <w:tcW w:w="809" w:type="dxa"/>
            <w:tcBorders>
              <w:top w:val="single" w:color="auto" w:sz="4" w:space="0"/>
              <w:left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1527" w:type="dxa"/>
            <w:tcBorders>
              <w:top w:val="single" w:color="auto" w:sz="4" w:space="0"/>
              <w:left w:val="nil"/>
              <w:right w:val="single" w:color="auto" w:sz="4" w:space="0"/>
            </w:tcBorders>
            <w:vAlign w:val="center"/>
          </w:tcPr>
          <w:p>
            <w:pPr>
              <w:spacing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落实政府采购支持中小企业政策</w:t>
            </w:r>
          </w:p>
        </w:tc>
        <w:tc>
          <w:tcPr>
            <w:tcW w:w="6771" w:type="dxa"/>
            <w:tcBorders>
              <w:top w:val="single" w:color="auto" w:sz="4" w:space="0"/>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面向中小企业采购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 xml:space="preserve">面向小微企业采购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4"/>
                <w:sz w:val="36"/>
                <w:szCs w:val="24"/>
                <w:highlight w:val="none"/>
                <w:lang w:eastAsia="zh-CN"/>
              </w:rPr>
              <w:instrText xml:space="preserve">,</w:instrText>
            </w:r>
            <w:r>
              <w:rPr>
                <w:rFonts w:hint="eastAsia" w:ascii="宋体" w:hAnsi="宋体" w:eastAsia="宋体" w:cs="宋体"/>
                <w:color w:val="auto"/>
                <w:position w:val="0"/>
                <w:sz w:val="25"/>
                <w:szCs w:val="24"/>
                <w:highlight w:val="none"/>
                <w:lang w:eastAsia="zh-CN"/>
              </w:rPr>
              <w:instrText xml:space="preserve">√</w:instrText>
            </w:r>
            <w:r>
              <w:rPr>
                <w:rFonts w:hint="eastAsia" w:ascii="宋体" w:hAnsi="宋体" w:eastAsia="宋体" w:cs="宋体"/>
                <w:color w:val="auto"/>
                <w:position w:val="0"/>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不专门面向</w:t>
            </w:r>
          </w:p>
        </w:tc>
      </w:tr>
      <w:tr>
        <w:tblPrEx>
          <w:tblCellMar>
            <w:top w:w="0" w:type="dxa"/>
            <w:left w:w="28" w:type="dxa"/>
            <w:bottom w:w="0" w:type="dxa"/>
            <w:right w:w="28" w:type="dxa"/>
          </w:tblCellMar>
        </w:tblPrEx>
        <w:trPr>
          <w:trHeight w:val="1134"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勘踏现场</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是</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0"/>
                <w:sz w:val="24"/>
                <w:szCs w:val="24"/>
                <w:highlight w:val="none"/>
              </w:rPr>
              <w:instrText xml:space="preserve">)</w:instrTex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 xml:space="preserve">     否</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0"/>
                <w:sz w:val="24"/>
                <w:szCs w:val="24"/>
                <w:highlight w:val="none"/>
              </w:rPr>
              <w:instrText xml:space="preserve">,√)</w:instrText>
            </w:r>
            <w:r>
              <w:rPr>
                <w:rFonts w:hint="eastAsia" w:ascii="宋体" w:hAnsi="宋体" w:eastAsia="宋体" w:cs="宋体"/>
                <w:sz w:val="24"/>
                <w:szCs w:val="24"/>
                <w:highlight w:val="none"/>
              </w:rPr>
              <w:fldChar w:fldCharType="end"/>
            </w:r>
          </w:p>
        </w:tc>
      </w:tr>
      <w:tr>
        <w:tblPrEx>
          <w:tblCellMar>
            <w:top w:w="0" w:type="dxa"/>
            <w:left w:w="28" w:type="dxa"/>
            <w:bottom w:w="0" w:type="dxa"/>
            <w:right w:w="28" w:type="dxa"/>
          </w:tblCellMar>
        </w:tblPrEx>
        <w:trPr>
          <w:trHeight w:val="1134"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进口产品</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是</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0"/>
                <w:sz w:val="24"/>
                <w:szCs w:val="24"/>
                <w:highlight w:val="none"/>
              </w:rPr>
              <w:instrText xml:space="preserve">)</w:instrTex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 xml:space="preserve">     否</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0"/>
                <w:sz w:val="24"/>
                <w:szCs w:val="24"/>
                <w:highlight w:val="none"/>
              </w:rPr>
              <w:instrText xml:space="preserve">,√)</w:instrText>
            </w:r>
            <w:r>
              <w:rPr>
                <w:rFonts w:hint="eastAsia" w:ascii="宋体" w:hAnsi="宋体" w:eastAsia="宋体" w:cs="宋体"/>
                <w:sz w:val="24"/>
                <w:szCs w:val="24"/>
                <w:highlight w:val="none"/>
              </w:rPr>
              <w:fldChar w:fldCharType="end"/>
            </w:r>
          </w:p>
        </w:tc>
      </w:tr>
      <w:tr>
        <w:tblPrEx>
          <w:tblCellMar>
            <w:top w:w="0" w:type="dxa"/>
            <w:left w:w="28" w:type="dxa"/>
            <w:bottom w:w="0" w:type="dxa"/>
            <w:right w:w="28" w:type="dxa"/>
          </w:tblCellMar>
        </w:tblPrEx>
        <w:trPr>
          <w:trHeight w:val="1134"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样品</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是</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0"/>
                <w:sz w:val="24"/>
                <w:szCs w:val="24"/>
                <w:highlight w:val="none"/>
              </w:rPr>
              <w:instrText xml:space="preserve">)</w:instrTex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 xml:space="preserve">     否</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0"/>
                <w:sz w:val="24"/>
                <w:szCs w:val="24"/>
                <w:highlight w:val="none"/>
              </w:rPr>
              <w:instrText xml:space="preserve">,√)</w:instrText>
            </w:r>
            <w:r>
              <w:rPr>
                <w:rFonts w:hint="eastAsia" w:ascii="宋体" w:hAnsi="宋体" w:eastAsia="宋体" w:cs="宋体"/>
                <w:sz w:val="24"/>
                <w:szCs w:val="24"/>
                <w:highlight w:val="none"/>
              </w:rPr>
              <w:fldChar w:fldCharType="end"/>
            </w:r>
          </w:p>
        </w:tc>
      </w:tr>
      <w:tr>
        <w:tblPrEx>
          <w:tblCellMar>
            <w:top w:w="0" w:type="dxa"/>
            <w:left w:w="28" w:type="dxa"/>
            <w:bottom w:w="0" w:type="dxa"/>
            <w:right w:w="28" w:type="dxa"/>
          </w:tblCellMar>
        </w:tblPrEx>
        <w:trPr>
          <w:trHeight w:val="1193"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备选方案</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不允许提供</w:t>
            </w:r>
          </w:p>
        </w:tc>
      </w:tr>
      <w:tr>
        <w:tblPrEx>
          <w:tblCellMar>
            <w:top w:w="0" w:type="dxa"/>
            <w:left w:w="28" w:type="dxa"/>
            <w:bottom w:w="0" w:type="dxa"/>
            <w:right w:w="28" w:type="dxa"/>
          </w:tblCellMar>
        </w:tblPrEx>
        <w:trPr>
          <w:trHeight w:val="542"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投标人特定资格要求</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w:t>
            </w:r>
            <w:r>
              <w:rPr>
                <w:rFonts w:hint="eastAsia" w:ascii="宋体" w:hAnsi="宋体" w:eastAsia="宋体" w:cs="宋体"/>
                <w:i w:val="0"/>
                <w:iCs w:val="0"/>
                <w:caps w:val="0"/>
                <w:color w:val="333333"/>
                <w:spacing w:val="0"/>
                <w:sz w:val="24"/>
                <w:szCs w:val="24"/>
                <w:shd w:val="clear" w:color="auto" w:fill="FFFFFF"/>
                <w:lang w:val="en-US" w:eastAsia="zh-CN"/>
              </w:rPr>
              <w:t>特定资格要求：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（1）具有独立承担民事责任能力的法人或其他组织，提供合法有效的统一社会信用代码的营业执照或事业单位法人证书等国家规定的相关证明，自然人参与的提供其身份证明；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（2）法定代表人直接参加投标须出具身份证，非法定代表人参加投标，须出具法定代表人授权书及被授权人身份证；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（3）投标人应出具参加政府采购活动前3年内在经营活动中没有重大违法记录的书面声明；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（4）税收缴纳证明：提供2025年5月至今已缴存的至少一个月的纳税证明或完税证明，纳税证明或完税证明上应有代收机构或税务机关的公章。依法免税的供应商应提供相关文件证明；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（5）社会保障资金缴纳证明：提供2025年5月至今已缴存的至少一个月的社会保障资金缴存单据或社保机构开具的社会保险参保缴费情况证明，依法不需要缴纳社会保障资金的供应商应提供相关文件证明；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6）财务状况报告：提供2024年度经审计的财务报告（至少包括审计报告、资产负债表和利润表，成立时间至提交投标文件截止时间不足一年的可提供成立后任意时段的资产负债表）或其开标前三个月内基本存款账户开户银行出具的资信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（7）供应商未被列入“信用中国”网站严重失信主体名单和重大税收违法失信主体；中国政府采购网政府采购严重违法失信行为记录名单中被财政部门禁止参加政府采购活动的供应商；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注：单位负责人为同一人或者存在直接控股、管理关系的不同供应商，不得参加同一合同项下的政府采购活动。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合同包2特定资格要求: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与合同包1特定资格要求一致。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合同包3特定资格要求: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与合同包1特定资格要求一致。</w:t>
            </w:r>
          </w:p>
        </w:tc>
      </w:tr>
      <w:tr>
        <w:tblPrEx>
          <w:tblCellMar>
            <w:top w:w="0" w:type="dxa"/>
            <w:left w:w="28" w:type="dxa"/>
            <w:bottom w:w="0" w:type="dxa"/>
            <w:right w:w="28" w:type="dxa"/>
          </w:tblCellMar>
        </w:tblPrEx>
        <w:trPr>
          <w:trHeight w:val="104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1527" w:type="dxa"/>
            <w:tcBorders>
              <w:top w:val="single" w:color="auto" w:sz="4" w:space="0"/>
              <w:left w:val="nil"/>
              <w:bottom w:val="single" w:color="auto" w:sz="4" w:space="0"/>
              <w:right w:val="single" w:color="auto" w:sz="4" w:space="0"/>
            </w:tcBorders>
            <w:vAlign w:val="center"/>
          </w:tcPr>
          <w:p>
            <w:pPr>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投标保证金</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合同包1投</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保证金金额：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壹拾万元整（￥</w:t>
            </w:r>
            <w:r>
              <w:rPr>
                <w:rFonts w:hint="eastAsia" w:ascii="宋体" w:hAnsi="宋体" w:eastAsia="宋体" w:cs="宋体"/>
                <w:color w:val="auto"/>
                <w:sz w:val="24"/>
                <w:szCs w:val="24"/>
                <w:highlight w:val="none"/>
                <w:lang w:val="en-US" w:eastAsia="zh-CN"/>
              </w:rPr>
              <w:t>100,000.00元</w:t>
            </w:r>
            <w:r>
              <w:rPr>
                <w:rFonts w:hint="eastAsia" w:ascii="宋体" w:hAnsi="宋体" w:eastAsia="宋体" w:cs="宋体"/>
                <w:color w:val="auto"/>
                <w:sz w:val="24"/>
                <w:szCs w:val="24"/>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合同包2投</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保证金金额：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伍仟元整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5,000.00元</w:t>
            </w:r>
            <w:r>
              <w:rPr>
                <w:rFonts w:hint="eastAsia" w:ascii="宋体" w:hAnsi="宋体" w:eastAsia="宋体" w:cs="宋体"/>
                <w:color w:val="auto"/>
                <w:sz w:val="24"/>
                <w:szCs w:val="24"/>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合同包3投</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保证金金额：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贰万元整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20,000.00元</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投</w:t>
            </w:r>
            <w:r>
              <w:rPr>
                <w:rFonts w:hint="eastAsia" w:ascii="宋体" w:hAnsi="宋体" w:eastAsia="宋体" w:cs="宋体"/>
                <w:sz w:val="24"/>
                <w:szCs w:val="24"/>
                <w:highlight w:val="none"/>
                <w:lang w:eastAsia="zh-CN"/>
              </w:rPr>
              <w:t>标保证金缴纳账户信息：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开户单位：陕西楚元项目管理有限公司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开户行名称：</w:t>
            </w:r>
            <w:r>
              <w:rPr>
                <w:rFonts w:hint="eastAsia" w:ascii="宋体" w:hAnsi="宋体" w:eastAsia="宋体" w:cs="宋体"/>
                <w:sz w:val="24"/>
                <w:szCs w:val="24"/>
                <w:highlight w:val="none"/>
                <w:lang w:val="en-US" w:eastAsia="zh-CN"/>
              </w:rPr>
              <w:t>西安银行股份有限公司延安分行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账      号：</w:t>
            </w:r>
            <w:r>
              <w:rPr>
                <w:rFonts w:hint="eastAsia" w:ascii="宋体" w:hAnsi="宋体" w:eastAsia="宋体" w:cs="宋体"/>
                <w:sz w:val="24"/>
                <w:szCs w:val="24"/>
                <w:highlight w:val="none"/>
                <w:lang w:val="en-US" w:eastAsia="zh-CN"/>
              </w:rPr>
              <w:t>371011510000019626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w:t>
            </w: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部分</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投标保证金</w:t>
            </w:r>
            <w:r>
              <w:rPr>
                <w:rFonts w:hint="eastAsia" w:ascii="宋体" w:hAnsi="宋体" w:eastAsia="宋体" w:cs="宋体"/>
                <w:sz w:val="24"/>
                <w:szCs w:val="24"/>
                <w:highlight w:val="none"/>
                <w:lang w:val="en-US" w:eastAsia="zh-CN"/>
              </w:rPr>
              <w:t>7.2保证金缴纳方式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应注明“项目编号及合同包号”</w:t>
            </w:r>
          </w:p>
        </w:tc>
      </w:tr>
      <w:tr>
        <w:tblPrEx>
          <w:tblCellMar>
            <w:top w:w="0" w:type="dxa"/>
            <w:left w:w="28" w:type="dxa"/>
            <w:bottom w:w="0" w:type="dxa"/>
            <w:right w:w="28" w:type="dxa"/>
          </w:tblCellMar>
        </w:tblPrEx>
        <w:trPr>
          <w:trHeight w:val="104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152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文件有效期</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文件从</w:t>
            </w:r>
            <w:r>
              <w:rPr>
                <w:rFonts w:hint="eastAsia" w:ascii="宋体" w:hAnsi="宋体" w:eastAsia="宋体" w:cs="宋体"/>
                <w:sz w:val="24"/>
                <w:szCs w:val="24"/>
                <w:highlight w:val="none"/>
                <w:lang w:val="en-US" w:eastAsia="zh-CN"/>
              </w:rPr>
              <w:t>递交截止</w:t>
            </w:r>
            <w:r>
              <w:rPr>
                <w:rFonts w:hint="eastAsia" w:ascii="宋体" w:hAnsi="宋体" w:eastAsia="宋体" w:cs="宋体"/>
                <w:sz w:val="24"/>
                <w:szCs w:val="24"/>
                <w:highlight w:val="none"/>
              </w:rPr>
              <w:t>之日起，有效期为90日历天。</w:t>
            </w:r>
          </w:p>
        </w:tc>
      </w:tr>
      <w:tr>
        <w:tblPrEx>
          <w:tblCellMar>
            <w:top w:w="0" w:type="dxa"/>
            <w:left w:w="28" w:type="dxa"/>
            <w:bottom w:w="0" w:type="dxa"/>
            <w:right w:w="28" w:type="dxa"/>
          </w:tblCellMar>
        </w:tblPrEx>
        <w:trPr>
          <w:trHeight w:val="1177"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13</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val="en-US" w:eastAsia="zh-CN"/>
              </w:rPr>
              <w:t>递交</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加密电子版：加密电子版（SXSTF格式）需在提交投标文件截止时间前上传至全国公共资源交易平台（陕西省.延安市）；纸质版：1正1副发顺丰到代理公司，邮费自付。（</w:t>
            </w:r>
            <w:r>
              <w:rPr>
                <w:rFonts w:hint="eastAsia" w:ascii="宋体" w:hAnsi="宋体" w:eastAsia="宋体" w:cs="宋体"/>
                <w:sz w:val="24"/>
                <w:szCs w:val="24"/>
                <w:highlight w:val="none"/>
              </w:rPr>
              <w:t>延安市新区鼎盛豪庭公寓4号楼201室</w:t>
            </w:r>
            <w:r>
              <w:rPr>
                <w:rFonts w:hint="eastAsia" w:ascii="宋体" w:hAnsi="宋体" w:eastAsia="宋体" w:cs="宋体"/>
                <w:sz w:val="24"/>
                <w:szCs w:val="24"/>
                <w:highlight w:val="none"/>
                <w:lang w:val="en-US" w:eastAsia="zh-CN"/>
              </w:rPr>
              <w:t>）</w:t>
            </w:r>
          </w:p>
        </w:tc>
      </w:tr>
      <w:tr>
        <w:tblPrEx>
          <w:tblCellMar>
            <w:top w:w="0" w:type="dxa"/>
            <w:left w:w="28" w:type="dxa"/>
            <w:bottom w:w="0" w:type="dxa"/>
            <w:right w:w="28" w:type="dxa"/>
          </w:tblCellMar>
        </w:tblPrEx>
        <w:trPr>
          <w:trHeight w:val="91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14</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评审办法</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sz w:val="24"/>
                <w:szCs w:val="24"/>
                <w:highlight w:val="none"/>
              </w:rPr>
              <w:t>综合评分法（详见第三部分）</w:t>
            </w:r>
            <w:r>
              <w:rPr>
                <w:rFonts w:hint="eastAsia" w:ascii="宋体" w:hAnsi="宋体" w:eastAsia="宋体" w:cs="宋体"/>
                <w:sz w:val="24"/>
                <w:szCs w:val="24"/>
                <w:highlight w:val="none"/>
                <w:lang w:eastAsia="zh-CN"/>
              </w:rPr>
              <w:t>。</w:t>
            </w:r>
          </w:p>
        </w:tc>
      </w:tr>
      <w:tr>
        <w:tblPrEx>
          <w:tblCellMar>
            <w:top w:w="0" w:type="dxa"/>
            <w:left w:w="28" w:type="dxa"/>
            <w:bottom w:w="0" w:type="dxa"/>
            <w:right w:w="28" w:type="dxa"/>
          </w:tblCellMar>
        </w:tblPrEx>
        <w:trPr>
          <w:trHeight w:val="1759"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15</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中标人</w:t>
            </w:r>
            <w:r>
              <w:rPr>
                <w:rFonts w:hint="eastAsia" w:ascii="宋体" w:hAnsi="宋体" w:eastAsia="宋体" w:cs="宋体"/>
                <w:sz w:val="24"/>
                <w:szCs w:val="24"/>
                <w:highlight w:val="none"/>
              </w:rPr>
              <w:t>在与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签订合同之前，</w:t>
            </w:r>
            <w:r>
              <w:rPr>
                <w:rFonts w:hint="eastAsia" w:ascii="宋体" w:hAnsi="宋体" w:eastAsia="宋体" w:cs="宋体"/>
                <w:sz w:val="24"/>
                <w:szCs w:val="24"/>
                <w:highlight w:val="none"/>
                <w:lang w:val="en-US" w:eastAsia="zh-CN"/>
              </w:rPr>
              <w:t>采购人有权要求中标人</w:t>
            </w:r>
            <w:r>
              <w:rPr>
                <w:rFonts w:hint="eastAsia" w:ascii="宋体" w:hAnsi="宋体" w:eastAsia="宋体" w:cs="宋体"/>
                <w:sz w:val="24"/>
                <w:szCs w:val="24"/>
                <w:highlight w:val="none"/>
              </w:rPr>
              <w:t>缴纳</w:t>
            </w:r>
            <w:r>
              <w:rPr>
                <w:rFonts w:hint="eastAsia" w:ascii="宋体" w:hAnsi="宋体" w:eastAsia="宋体" w:cs="宋体"/>
                <w:sz w:val="24"/>
                <w:szCs w:val="24"/>
                <w:highlight w:val="none"/>
                <w:lang w:val="en-US" w:eastAsia="zh-CN"/>
              </w:rPr>
              <w:t>合同</w:t>
            </w:r>
            <w:r>
              <w:rPr>
                <w:rFonts w:hint="eastAsia" w:ascii="宋体" w:hAnsi="宋体" w:eastAsia="宋体" w:cs="宋体"/>
                <w:sz w:val="24"/>
                <w:szCs w:val="24"/>
                <w:highlight w:val="none"/>
              </w:rPr>
              <w:t>价的</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%作为履约保证金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履约保证金在政府采购合同履行完毕，且采购人验收通过后，以银行转账的方式无息退还给中标人。</w:t>
            </w:r>
          </w:p>
        </w:tc>
      </w:tr>
      <w:tr>
        <w:tblPrEx>
          <w:tblCellMar>
            <w:top w:w="0" w:type="dxa"/>
            <w:left w:w="28" w:type="dxa"/>
            <w:bottom w:w="0" w:type="dxa"/>
            <w:right w:w="28" w:type="dxa"/>
          </w:tblCellMar>
        </w:tblPrEx>
        <w:trPr>
          <w:trHeight w:val="1674"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16</w:t>
            </w:r>
          </w:p>
        </w:tc>
        <w:tc>
          <w:tcPr>
            <w:tcW w:w="1527" w:type="dxa"/>
            <w:tcBorders>
              <w:top w:val="single" w:color="auto" w:sz="4" w:space="0"/>
              <w:left w:val="nil"/>
              <w:bottom w:val="single" w:color="auto" w:sz="4" w:space="0"/>
              <w:right w:val="single" w:color="auto" w:sz="4" w:space="0"/>
            </w:tcBorders>
            <w:vAlign w:val="center"/>
          </w:tcPr>
          <w:p>
            <w:pPr>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bCs/>
                <w:sz w:val="24"/>
                <w:szCs w:val="24"/>
                <w:highlight w:val="none"/>
              </w:rPr>
              <w:t>重新采购或者变更采购方式</w:t>
            </w:r>
          </w:p>
        </w:tc>
        <w:tc>
          <w:tcPr>
            <w:tcW w:w="67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重新采购或转变采购方式情形须按照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中华人民共和国政府采购法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及其实施条例、《政府采购货物和服务招标投标管理办法》(财政部第87号令）</w:t>
            </w:r>
            <w:r>
              <w:rPr>
                <w:rFonts w:hint="eastAsia" w:ascii="宋体" w:hAnsi="宋体" w:eastAsia="宋体" w:cs="宋体"/>
                <w:spacing w:val="-4"/>
                <w:sz w:val="24"/>
                <w:szCs w:val="24"/>
                <w:highlight w:val="none"/>
              </w:rPr>
              <w:t>相关</w:t>
            </w:r>
            <w:r>
              <w:rPr>
                <w:rFonts w:hint="eastAsia" w:ascii="宋体" w:hAnsi="宋体" w:eastAsia="宋体" w:cs="宋体"/>
                <w:spacing w:val="-4"/>
                <w:sz w:val="24"/>
                <w:szCs w:val="24"/>
                <w:highlight w:val="none"/>
                <w:lang w:val="en-US" w:eastAsia="zh-CN"/>
              </w:rPr>
              <w:t>规定</w:t>
            </w:r>
            <w:r>
              <w:rPr>
                <w:rFonts w:hint="eastAsia" w:ascii="宋体" w:hAnsi="宋体" w:eastAsia="宋体" w:cs="宋体"/>
                <w:spacing w:val="-4"/>
                <w:sz w:val="24"/>
                <w:szCs w:val="24"/>
                <w:highlight w:val="none"/>
              </w:rPr>
              <w:t>处理。</w:t>
            </w:r>
          </w:p>
        </w:tc>
      </w:tr>
    </w:tbl>
    <w:p>
      <w:pPr>
        <w:rPr>
          <w:rFonts w:hint="eastAsia" w:ascii="宋体" w:hAnsi="宋体" w:eastAsia="宋体" w:cs="宋体"/>
          <w:highlight w:val="none"/>
        </w:rPr>
      </w:pPr>
      <w:r>
        <w:rPr>
          <w:rFonts w:hint="eastAsia" w:ascii="宋体" w:hAnsi="宋体" w:eastAsia="宋体" w:cs="宋体"/>
          <w:highlight w:val="none"/>
        </w:rPr>
        <w:br w:type="page"/>
      </w:r>
    </w:p>
    <w:p>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sz w:val="32"/>
          <w:szCs w:val="32"/>
          <w:highlight w:val="none"/>
        </w:rPr>
      </w:pPr>
      <w:bookmarkStart w:id="5" w:name="_Toc5240"/>
      <w:r>
        <w:rPr>
          <w:rFonts w:hint="eastAsia" w:ascii="宋体" w:hAnsi="宋体" w:eastAsia="宋体" w:cs="宋体"/>
          <w:b/>
          <w:sz w:val="32"/>
          <w:szCs w:val="32"/>
          <w:highlight w:val="none"/>
        </w:rPr>
        <w:t>第</w:t>
      </w:r>
      <w:r>
        <w:rPr>
          <w:rFonts w:hint="eastAsia" w:ascii="宋体" w:hAnsi="宋体" w:eastAsia="宋体" w:cs="宋体"/>
          <w:b/>
          <w:sz w:val="32"/>
          <w:szCs w:val="32"/>
          <w:highlight w:val="none"/>
          <w:lang w:val="en-US" w:eastAsia="zh-CN"/>
        </w:rPr>
        <w:t>三</w:t>
      </w:r>
      <w:r>
        <w:rPr>
          <w:rFonts w:hint="eastAsia" w:ascii="宋体" w:hAnsi="宋体" w:eastAsia="宋体" w:cs="宋体"/>
          <w:b/>
          <w:sz w:val="32"/>
          <w:szCs w:val="32"/>
          <w:highlight w:val="none"/>
        </w:rPr>
        <w:t>部分</w:t>
      </w:r>
      <w:r>
        <w:rPr>
          <w:rFonts w:hint="eastAsia" w:ascii="宋体" w:hAnsi="宋体" w:eastAsia="宋体" w:cs="宋体"/>
          <w:b/>
          <w:sz w:val="32"/>
          <w:szCs w:val="32"/>
          <w:highlight w:val="none"/>
          <w:lang w:val="en-US" w:eastAsia="zh-CN"/>
        </w:rPr>
        <w:t xml:space="preserve"> 投标</w:t>
      </w:r>
      <w:r>
        <w:rPr>
          <w:rFonts w:hint="eastAsia" w:ascii="宋体" w:hAnsi="宋体" w:eastAsia="宋体" w:cs="宋体"/>
          <w:b/>
          <w:sz w:val="32"/>
          <w:szCs w:val="32"/>
          <w:highlight w:val="none"/>
        </w:rPr>
        <w:t>须知</w:t>
      </w:r>
      <w:bookmarkEnd w:id="4"/>
      <w:bookmarkEnd w:id="5"/>
    </w:p>
    <w:p>
      <w:pPr>
        <w:pStyle w:val="19"/>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6" w:name="_Toc9268"/>
      <w:bookmarkStart w:id="7" w:name="_Toc75259336"/>
      <w:r>
        <w:rPr>
          <w:rFonts w:hint="eastAsia" w:ascii="宋体" w:hAnsi="宋体" w:eastAsia="宋体" w:cs="宋体"/>
          <w:b/>
          <w:sz w:val="24"/>
          <w:szCs w:val="24"/>
          <w:highlight w:val="none"/>
        </w:rPr>
        <w:t>1．适用范围</w:t>
      </w:r>
      <w:bookmarkEnd w:id="6"/>
      <w:bookmarkEnd w:id="7"/>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1</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t>1本</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文件仅适用于本次</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所叙述</w:t>
      </w:r>
      <w:r>
        <w:rPr>
          <w:rFonts w:hint="eastAsia" w:ascii="宋体" w:hAnsi="宋体" w:eastAsia="宋体" w:cs="宋体"/>
          <w:color w:val="auto"/>
          <w:sz w:val="24"/>
          <w:szCs w:val="24"/>
          <w:highlight w:val="none"/>
        </w:rPr>
        <w:t>的</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延安市公共就业数字化综合服务平台建设项目</w:t>
      </w:r>
      <w:r>
        <w:rPr>
          <w:rFonts w:hint="eastAsia" w:ascii="宋体" w:hAnsi="宋体" w:eastAsia="宋体" w:cs="宋体"/>
          <w:color w:val="auto"/>
          <w:sz w:val="24"/>
          <w:szCs w:val="24"/>
          <w:highlight w:val="none"/>
        </w:rPr>
        <w:t>。</w:t>
      </w:r>
    </w:p>
    <w:p>
      <w:pPr>
        <w:pStyle w:val="19"/>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color w:val="auto"/>
          <w:sz w:val="24"/>
          <w:szCs w:val="24"/>
          <w:highlight w:val="none"/>
        </w:rPr>
      </w:pPr>
      <w:bookmarkStart w:id="8" w:name="_Toc6631"/>
      <w:bookmarkStart w:id="9" w:name="_Toc75259337"/>
      <w:r>
        <w:rPr>
          <w:rFonts w:hint="eastAsia" w:ascii="宋体" w:hAnsi="宋体" w:eastAsia="宋体" w:cs="宋体"/>
          <w:b/>
          <w:color w:val="auto"/>
          <w:sz w:val="24"/>
          <w:szCs w:val="24"/>
          <w:highlight w:val="none"/>
        </w:rPr>
        <w:t>2．定义</w:t>
      </w:r>
      <w:bookmarkEnd w:id="8"/>
      <w:bookmarkEnd w:id="9"/>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1“采购人”系指</w:t>
      </w:r>
      <w:r>
        <w:rPr>
          <w:rFonts w:hint="eastAsia" w:ascii="宋体" w:hAnsi="宋体" w:eastAsia="宋体" w:cs="宋体"/>
          <w:color w:val="auto"/>
          <w:sz w:val="24"/>
          <w:szCs w:val="24"/>
          <w:highlight w:val="none"/>
          <w:lang w:eastAsia="zh-CN"/>
        </w:rPr>
        <w:t>延安市人力资源和社会保障</w:t>
      </w:r>
      <w:r>
        <w:rPr>
          <w:rFonts w:hint="eastAsia" w:ascii="宋体" w:hAnsi="宋体" w:eastAsia="宋体" w:cs="宋体"/>
          <w:color w:val="auto"/>
          <w:sz w:val="24"/>
          <w:szCs w:val="24"/>
          <w:highlight w:val="none"/>
        </w:rPr>
        <w:t>。</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t>2“采购代理机构”系指组织本次</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活动的</w:t>
      </w:r>
      <w:r>
        <w:rPr>
          <w:rFonts w:hint="eastAsia" w:ascii="宋体" w:hAnsi="宋体" w:eastAsia="宋体" w:cs="宋体"/>
          <w:sz w:val="24"/>
          <w:szCs w:val="24"/>
          <w:highlight w:val="none"/>
          <w:lang w:val="en-US" w:eastAsia="zh-CN"/>
        </w:rPr>
        <w:t>陕西楚元项目管理有限公司</w:t>
      </w:r>
      <w:r>
        <w:rPr>
          <w:rFonts w:hint="eastAsia" w:ascii="宋体" w:hAnsi="宋体" w:eastAsia="宋体" w:cs="宋体"/>
          <w:sz w:val="24"/>
          <w:szCs w:val="24"/>
          <w:highlight w:val="none"/>
        </w:rPr>
        <w:t>。</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”系指无条件接受</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文件的各项要求，具备相应履约能力、具有《中华人民共和国政府采购法》第</w:t>
      </w:r>
      <w:r>
        <w:rPr>
          <w:rFonts w:hint="eastAsia" w:ascii="宋体" w:hAnsi="宋体" w:eastAsia="宋体" w:cs="宋体"/>
          <w:sz w:val="24"/>
          <w:szCs w:val="24"/>
          <w:highlight w:val="none"/>
          <w:lang w:val="en-US" w:eastAsia="zh-CN"/>
        </w:rPr>
        <w:t>二十二条</w:t>
      </w:r>
      <w:r>
        <w:rPr>
          <w:rFonts w:hint="eastAsia" w:ascii="宋体" w:hAnsi="宋体" w:eastAsia="宋体" w:cs="宋体"/>
          <w:sz w:val="24"/>
          <w:szCs w:val="24"/>
          <w:highlight w:val="none"/>
        </w:rPr>
        <w:t>规定的相关条件并向</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提交</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p>
    <w:p>
      <w:pPr>
        <w:pStyle w:val="19"/>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10" w:name="_Toc75259338"/>
      <w:bookmarkStart w:id="11" w:name="_Toc17154"/>
      <w:r>
        <w:rPr>
          <w:rFonts w:hint="eastAsia" w:ascii="宋体" w:hAnsi="宋体" w:eastAsia="宋体" w:cs="宋体"/>
          <w:b/>
          <w:sz w:val="24"/>
          <w:szCs w:val="24"/>
          <w:highlight w:val="none"/>
        </w:rPr>
        <w:t>3．合格</w:t>
      </w:r>
      <w:r>
        <w:rPr>
          <w:rFonts w:hint="eastAsia" w:ascii="宋体" w:hAnsi="宋体" w:eastAsia="宋体" w:cs="宋体"/>
          <w:b/>
          <w:sz w:val="24"/>
          <w:szCs w:val="24"/>
          <w:highlight w:val="none"/>
          <w:lang w:eastAsia="zh-CN"/>
        </w:rPr>
        <w:t>投标人</w:t>
      </w:r>
      <w:r>
        <w:rPr>
          <w:rFonts w:hint="eastAsia" w:ascii="宋体" w:hAnsi="宋体" w:eastAsia="宋体" w:cs="宋体"/>
          <w:b/>
          <w:sz w:val="24"/>
          <w:szCs w:val="24"/>
          <w:highlight w:val="none"/>
        </w:rPr>
        <w:t>的范围</w:t>
      </w:r>
      <w:bookmarkEnd w:id="10"/>
      <w:bookmarkEnd w:id="11"/>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3.1具有独立承担民事责任的能力；</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3.2具有良好的商业信誉和健全的财务会计制度；</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3.3具有履行合同所必需的设备和专业技术能力；</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3.4 有依法缴纳税收和社会保障资金的良好记录；</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3.5参加政府采购活动前三年内，在经营活动中没有重大违法记录；</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3.6具备法律行政法规规定的其他条件；</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3.7完全满足</w:t>
      </w:r>
      <w:r>
        <w:rPr>
          <w:rFonts w:hint="eastAsia" w:ascii="宋体" w:hAnsi="宋体" w:eastAsia="宋体" w:cs="宋体"/>
          <w:bCs/>
          <w:sz w:val="24"/>
          <w:szCs w:val="24"/>
          <w:highlight w:val="none"/>
          <w:lang w:eastAsia="zh-CN"/>
        </w:rPr>
        <w:t>招标</w:t>
      </w:r>
      <w:r>
        <w:rPr>
          <w:rFonts w:hint="eastAsia" w:ascii="宋体" w:hAnsi="宋体" w:eastAsia="宋体" w:cs="宋体"/>
          <w:bCs/>
          <w:sz w:val="24"/>
          <w:szCs w:val="24"/>
          <w:highlight w:val="none"/>
        </w:rPr>
        <w:t>文件的实质性要求；</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3.8凡具备</w:t>
      </w:r>
      <w:r>
        <w:rPr>
          <w:rFonts w:hint="eastAsia" w:ascii="宋体" w:hAnsi="宋体" w:eastAsia="宋体" w:cs="宋体"/>
          <w:bCs/>
          <w:sz w:val="24"/>
          <w:szCs w:val="24"/>
          <w:highlight w:val="none"/>
          <w:lang w:eastAsia="zh-CN"/>
        </w:rPr>
        <w:t>招标</w:t>
      </w:r>
      <w:r>
        <w:rPr>
          <w:rFonts w:hint="eastAsia" w:ascii="宋体" w:hAnsi="宋体" w:eastAsia="宋体" w:cs="宋体"/>
          <w:bCs/>
          <w:sz w:val="24"/>
          <w:szCs w:val="24"/>
          <w:highlight w:val="none"/>
        </w:rPr>
        <w:t>文件要求资格，有服务能力的</w:t>
      </w:r>
      <w:r>
        <w:rPr>
          <w:rFonts w:hint="eastAsia" w:ascii="宋体" w:hAnsi="宋体" w:eastAsia="宋体" w:cs="宋体"/>
          <w:bCs/>
          <w:sz w:val="24"/>
          <w:szCs w:val="24"/>
          <w:highlight w:val="none"/>
          <w:lang w:eastAsia="zh-CN"/>
        </w:rPr>
        <w:t>投标人</w:t>
      </w:r>
      <w:r>
        <w:rPr>
          <w:rFonts w:hint="eastAsia" w:ascii="宋体" w:hAnsi="宋体" w:eastAsia="宋体" w:cs="宋体"/>
          <w:bCs/>
          <w:sz w:val="24"/>
          <w:szCs w:val="24"/>
          <w:highlight w:val="none"/>
        </w:rPr>
        <w:t>均可参加。</w:t>
      </w:r>
    </w:p>
    <w:p>
      <w:pPr>
        <w:pStyle w:val="19"/>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12" w:name="_Toc32328"/>
      <w:bookmarkStart w:id="13" w:name="_Toc75259339"/>
      <w:r>
        <w:rPr>
          <w:rFonts w:hint="eastAsia" w:ascii="宋体" w:hAnsi="宋体" w:eastAsia="宋体" w:cs="宋体"/>
          <w:b/>
          <w:sz w:val="24"/>
          <w:szCs w:val="24"/>
          <w:highlight w:val="none"/>
        </w:rPr>
        <w:t>4．</w:t>
      </w:r>
      <w:r>
        <w:rPr>
          <w:rFonts w:hint="eastAsia" w:ascii="宋体" w:hAnsi="宋体" w:eastAsia="宋体" w:cs="宋体"/>
          <w:b/>
          <w:sz w:val="24"/>
          <w:szCs w:val="24"/>
          <w:highlight w:val="none"/>
          <w:lang w:val="en-US" w:eastAsia="zh-CN"/>
        </w:rPr>
        <w:t>投标人</w:t>
      </w:r>
      <w:r>
        <w:rPr>
          <w:rFonts w:hint="eastAsia" w:ascii="宋体" w:hAnsi="宋体" w:eastAsia="宋体" w:cs="宋体"/>
          <w:b/>
          <w:sz w:val="24"/>
          <w:szCs w:val="24"/>
          <w:highlight w:val="none"/>
        </w:rPr>
        <w:t>代表</w:t>
      </w:r>
      <w:bookmarkEnd w:id="12"/>
      <w:bookmarkEnd w:id="13"/>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代表必须是法定代表人或持有《法定代表人授权委托书》的被授权代表人。</w:t>
      </w:r>
    </w:p>
    <w:p>
      <w:pPr>
        <w:pStyle w:val="19"/>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14" w:name="_Toc75259340"/>
      <w:bookmarkStart w:id="15" w:name="_Toc26919"/>
      <w:r>
        <w:rPr>
          <w:rFonts w:hint="eastAsia" w:ascii="宋体" w:hAnsi="宋体" w:eastAsia="宋体" w:cs="宋体"/>
          <w:b/>
          <w:sz w:val="24"/>
          <w:szCs w:val="24"/>
          <w:highlight w:val="none"/>
        </w:rPr>
        <w:t>5．费用</w:t>
      </w:r>
      <w:bookmarkEnd w:id="14"/>
      <w:bookmarkEnd w:id="15"/>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无论</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结果如何，</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自行承担所有与参加</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lang w:val="en-US" w:eastAsia="zh-CN"/>
        </w:rPr>
        <w:t>活动</w:t>
      </w:r>
      <w:r>
        <w:rPr>
          <w:rFonts w:hint="eastAsia" w:ascii="宋体" w:hAnsi="宋体" w:eastAsia="宋体" w:cs="宋体"/>
          <w:sz w:val="24"/>
          <w:szCs w:val="24"/>
          <w:highlight w:val="none"/>
        </w:rPr>
        <w:t>有关的全部费用。</w:t>
      </w:r>
    </w:p>
    <w:p>
      <w:pPr>
        <w:pStyle w:val="19"/>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16" w:name="_Toc75259341"/>
      <w:bookmarkStart w:id="17" w:name="_Toc20778"/>
      <w:r>
        <w:rPr>
          <w:rFonts w:hint="eastAsia" w:ascii="宋体" w:hAnsi="宋体" w:eastAsia="宋体" w:cs="宋体"/>
          <w:b/>
          <w:sz w:val="24"/>
          <w:szCs w:val="24"/>
          <w:highlight w:val="none"/>
        </w:rPr>
        <w:t>6．</w:t>
      </w:r>
      <w:r>
        <w:rPr>
          <w:rFonts w:hint="eastAsia" w:ascii="宋体" w:hAnsi="宋体" w:eastAsia="宋体" w:cs="宋体"/>
          <w:b/>
          <w:sz w:val="24"/>
          <w:szCs w:val="24"/>
          <w:highlight w:val="none"/>
          <w:lang w:val="en-US" w:eastAsia="zh-CN"/>
        </w:rPr>
        <w:t>投标</w:t>
      </w:r>
      <w:r>
        <w:rPr>
          <w:rFonts w:hint="eastAsia" w:ascii="宋体" w:hAnsi="宋体" w:eastAsia="宋体" w:cs="宋体"/>
          <w:b/>
          <w:sz w:val="24"/>
          <w:szCs w:val="24"/>
          <w:highlight w:val="none"/>
        </w:rPr>
        <w:t>文件</w:t>
      </w:r>
      <w:bookmarkEnd w:id="16"/>
      <w:bookmarkEnd w:id="17"/>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文件的组成</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18" w:name="_Hlk63272456"/>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投标响应</w:t>
      </w:r>
      <w:r>
        <w:rPr>
          <w:rFonts w:hint="eastAsia" w:ascii="宋体" w:hAnsi="宋体" w:eastAsia="宋体" w:cs="宋体"/>
          <w:sz w:val="24"/>
          <w:szCs w:val="24"/>
          <w:highlight w:val="none"/>
        </w:rPr>
        <w:t>函；</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开标</w:t>
      </w:r>
      <w:r>
        <w:rPr>
          <w:rFonts w:hint="eastAsia" w:ascii="宋体" w:hAnsi="宋体" w:eastAsia="宋体" w:cs="宋体"/>
          <w:sz w:val="24"/>
          <w:szCs w:val="24"/>
          <w:highlight w:val="none"/>
        </w:rPr>
        <w:t>一览表</w:t>
      </w:r>
      <w:r>
        <w:rPr>
          <w:rFonts w:hint="eastAsia" w:ascii="宋体" w:hAnsi="宋体" w:eastAsia="宋体" w:cs="宋体"/>
          <w:sz w:val="24"/>
          <w:szCs w:val="24"/>
          <w:highlight w:val="none"/>
          <w:lang w:eastAsia="zh-CN"/>
        </w:rPr>
        <w:t>；</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color w:val="auto"/>
          <w:sz w:val="24"/>
          <w:szCs w:val="24"/>
          <w:highlight w:val="none"/>
        </w:rPr>
        <w:t>法定代表人（自然人）身份证明</w:t>
      </w:r>
      <w:r>
        <w:rPr>
          <w:rFonts w:hint="eastAsia" w:ascii="宋体" w:hAnsi="宋体" w:eastAsia="宋体" w:cs="宋体"/>
          <w:color w:val="auto"/>
          <w:sz w:val="24"/>
          <w:szCs w:val="24"/>
          <w:highlight w:val="none"/>
          <w:lang w:val="en-US" w:eastAsia="zh-CN"/>
        </w:rPr>
        <w:t>或法定代表人</w:t>
      </w:r>
      <w:r>
        <w:rPr>
          <w:rFonts w:hint="eastAsia" w:ascii="宋体" w:hAnsi="宋体" w:eastAsia="宋体" w:cs="宋体"/>
          <w:color w:val="auto"/>
          <w:sz w:val="24"/>
          <w:szCs w:val="24"/>
          <w:highlight w:val="none"/>
        </w:rPr>
        <w:t>授权委托书</w:t>
      </w:r>
      <w:r>
        <w:rPr>
          <w:rFonts w:hint="eastAsia" w:ascii="宋体" w:hAnsi="宋体" w:eastAsia="宋体" w:cs="宋体"/>
          <w:sz w:val="24"/>
          <w:szCs w:val="24"/>
          <w:highlight w:val="none"/>
        </w:rPr>
        <w:t>；</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（4）资格证明文件；</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投标</w:t>
      </w:r>
      <w:r>
        <w:rPr>
          <w:rFonts w:hint="eastAsia" w:ascii="宋体" w:hAnsi="宋体" w:eastAsia="宋体" w:cs="宋体"/>
          <w:bCs/>
          <w:sz w:val="24"/>
          <w:szCs w:val="24"/>
          <w:highlight w:val="none"/>
          <w:lang w:eastAsia="zh-CN"/>
        </w:rPr>
        <w:t>保证金缴纳凭证</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rPr>
        <w:t>）商务部分；</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7</w:t>
      </w:r>
      <w:r>
        <w:rPr>
          <w:rFonts w:hint="eastAsia" w:ascii="宋体" w:hAnsi="宋体" w:eastAsia="宋体" w:cs="宋体"/>
          <w:bCs/>
          <w:sz w:val="24"/>
          <w:szCs w:val="24"/>
          <w:highlight w:val="none"/>
        </w:rPr>
        <w:t>）技术部分；</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8</w:t>
      </w:r>
      <w:r>
        <w:rPr>
          <w:rFonts w:hint="eastAsia" w:ascii="宋体" w:hAnsi="宋体" w:eastAsia="宋体" w:cs="宋体"/>
          <w:bCs/>
          <w:sz w:val="24"/>
          <w:szCs w:val="24"/>
          <w:highlight w:val="none"/>
        </w:rPr>
        <w:t>）其他材料</w:t>
      </w:r>
    </w:p>
    <w:bookmarkEnd w:id="18"/>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6.2</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文件编制要求</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文件按6.1顺序组成，</w:t>
      </w:r>
      <w:r>
        <w:rPr>
          <w:rFonts w:hint="eastAsia" w:ascii="宋体" w:hAnsi="宋体" w:eastAsia="宋体" w:cs="宋体"/>
          <w:b/>
          <w:sz w:val="24"/>
          <w:szCs w:val="24"/>
          <w:highlight w:val="none"/>
          <w:lang w:eastAsia="zh-CN"/>
        </w:rPr>
        <w:t>投标人</w:t>
      </w:r>
      <w:r>
        <w:rPr>
          <w:rFonts w:hint="eastAsia" w:ascii="宋体" w:hAnsi="宋体" w:eastAsia="宋体" w:cs="宋体"/>
          <w:b/>
          <w:sz w:val="24"/>
          <w:szCs w:val="24"/>
          <w:highlight w:val="none"/>
        </w:rPr>
        <w:t>应</w:t>
      </w:r>
      <w:bookmarkStart w:id="19" w:name="_Hlk74733354"/>
      <w:r>
        <w:rPr>
          <w:rFonts w:hint="eastAsia" w:ascii="宋体" w:hAnsi="宋体" w:eastAsia="宋体" w:cs="宋体"/>
          <w:b/>
          <w:sz w:val="24"/>
          <w:szCs w:val="24"/>
          <w:highlight w:val="none"/>
        </w:rPr>
        <w:t>按标</w:t>
      </w:r>
      <w:r>
        <w:rPr>
          <w:rFonts w:hint="eastAsia" w:ascii="宋体" w:hAnsi="宋体" w:eastAsia="宋体" w:cs="宋体"/>
          <w:b/>
          <w:sz w:val="24"/>
          <w:szCs w:val="24"/>
          <w:highlight w:val="none"/>
          <w:lang w:val="en-US" w:eastAsia="zh-CN"/>
        </w:rPr>
        <w:t>段（合同包）</w:t>
      </w:r>
      <w:r>
        <w:rPr>
          <w:rFonts w:hint="eastAsia" w:ascii="宋体" w:hAnsi="宋体" w:eastAsia="宋体" w:cs="宋体"/>
          <w:b/>
          <w:sz w:val="24"/>
          <w:szCs w:val="24"/>
          <w:highlight w:val="none"/>
        </w:rPr>
        <w:t>分别制作</w:t>
      </w:r>
      <w:r>
        <w:rPr>
          <w:rFonts w:hint="eastAsia" w:ascii="宋体" w:hAnsi="宋体" w:eastAsia="宋体" w:cs="宋体"/>
          <w:b/>
          <w:sz w:val="24"/>
          <w:szCs w:val="24"/>
          <w:highlight w:val="none"/>
          <w:lang w:val="en-US" w:eastAsia="zh-CN"/>
        </w:rPr>
        <w:t>投标</w:t>
      </w:r>
      <w:r>
        <w:rPr>
          <w:rFonts w:hint="eastAsia" w:ascii="宋体" w:hAnsi="宋体" w:eastAsia="宋体" w:cs="宋体"/>
          <w:b/>
          <w:sz w:val="24"/>
          <w:szCs w:val="24"/>
          <w:highlight w:val="none"/>
        </w:rPr>
        <w:t>文件</w:t>
      </w:r>
      <w:bookmarkEnd w:id="19"/>
      <w:r>
        <w:rPr>
          <w:rFonts w:hint="eastAsia" w:ascii="宋体" w:hAnsi="宋体" w:eastAsia="宋体" w:cs="宋体"/>
          <w:sz w:val="24"/>
          <w:szCs w:val="24"/>
          <w:highlight w:val="none"/>
        </w:rPr>
        <w:t>。</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文件应字迹清楚、内容齐全、数字准确、不应有涂改增删处。如修改时，修改处须有法定代表人或授权代表签字</w:t>
      </w:r>
      <w:r>
        <w:rPr>
          <w:rFonts w:hint="eastAsia" w:ascii="宋体" w:hAnsi="宋体" w:eastAsia="宋体" w:cs="宋体"/>
          <w:sz w:val="24"/>
          <w:szCs w:val="24"/>
          <w:highlight w:val="none"/>
          <w:lang w:val="en-US" w:eastAsia="zh-CN"/>
        </w:rPr>
        <w:t>并加盖投标人公章</w:t>
      </w:r>
      <w:r>
        <w:rPr>
          <w:rFonts w:hint="eastAsia" w:ascii="宋体" w:hAnsi="宋体" w:eastAsia="宋体" w:cs="宋体"/>
          <w:sz w:val="24"/>
          <w:szCs w:val="24"/>
          <w:highlight w:val="none"/>
        </w:rPr>
        <w:t>。</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文件必须在需要签字处签字及加盖公章处加盖</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红色公章。</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在提交</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文件截止时间前，可以对所提交的</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文件进行补充、修改或者撤回，并书面通知采购人、采购代理机构。补充、修改的内容作为</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文件的组成部分。补充、修改的内容与</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文件不一致的，以补充、修改的内容为准。</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3</w:t>
      </w:r>
      <w:r>
        <w:rPr>
          <w:rFonts w:hint="eastAsia" w:ascii="宋体" w:hAnsi="宋体" w:eastAsia="宋体" w:cs="宋体"/>
          <w:b/>
          <w:sz w:val="24"/>
          <w:szCs w:val="24"/>
          <w:highlight w:val="none"/>
          <w:lang w:val="en-US" w:eastAsia="zh-CN"/>
        </w:rPr>
        <w:t>开</w:t>
      </w:r>
      <w:r>
        <w:rPr>
          <w:rFonts w:hint="eastAsia" w:ascii="宋体" w:hAnsi="宋体" w:eastAsia="宋体" w:cs="宋体"/>
          <w:b/>
          <w:sz w:val="24"/>
          <w:szCs w:val="24"/>
          <w:highlight w:val="none"/>
          <w:lang w:eastAsia="zh-CN"/>
        </w:rPr>
        <w:t>标</w:t>
      </w:r>
      <w:r>
        <w:rPr>
          <w:rFonts w:hint="eastAsia" w:ascii="宋体" w:hAnsi="宋体" w:eastAsia="宋体" w:cs="宋体"/>
          <w:b/>
          <w:sz w:val="24"/>
          <w:szCs w:val="24"/>
          <w:highlight w:val="none"/>
        </w:rPr>
        <w:t>时提供的资格证明文件应包括：</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见第一部分 招标公告 二、申请人的资格要求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需在</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文件中提供清晰、可见的资格证明材料，以便采购人进行资格审查，若材料内容模糊不清造成对</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不利的后果由</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自负，若</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资格证明材料不符合要求，将按无效</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处理，不进入下一评审环节。</w:t>
      </w:r>
    </w:p>
    <w:p>
      <w:pPr>
        <w:pStyle w:val="19"/>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20" w:name="_Toc75259342"/>
      <w:bookmarkStart w:id="21" w:name="_Toc25390"/>
      <w:r>
        <w:rPr>
          <w:rFonts w:hint="eastAsia" w:ascii="宋体" w:hAnsi="宋体" w:eastAsia="宋体" w:cs="宋体"/>
          <w:b/>
          <w:sz w:val="24"/>
          <w:szCs w:val="24"/>
          <w:highlight w:val="none"/>
        </w:rPr>
        <w:t>7．</w:t>
      </w:r>
      <w:r>
        <w:rPr>
          <w:rFonts w:hint="eastAsia" w:ascii="宋体" w:hAnsi="宋体" w:eastAsia="宋体" w:cs="宋体"/>
          <w:b/>
          <w:sz w:val="24"/>
          <w:szCs w:val="24"/>
          <w:highlight w:val="none"/>
          <w:lang w:val="en-US" w:eastAsia="zh-CN"/>
        </w:rPr>
        <w:t>投标</w:t>
      </w:r>
      <w:r>
        <w:rPr>
          <w:rFonts w:hint="eastAsia" w:ascii="宋体" w:hAnsi="宋体" w:eastAsia="宋体" w:cs="宋体"/>
          <w:b/>
          <w:sz w:val="24"/>
          <w:szCs w:val="24"/>
          <w:highlight w:val="none"/>
        </w:rPr>
        <w:t>保证金</w:t>
      </w:r>
      <w:bookmarkEnd w:id="20"/>
      <w:bookmarkEnd w:id="21"/>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kern w:val="0"/>
          <w:sz w:val="24"/>
          <w:szCs w:val="24"/>
          <w:highlight w:val="none"/>
        </w:rPr>
        <w:t>7.</w:t>
      </w:r>
      <w:r>
        <w:rPr>
          <w:rFonts w:hint="eastAsia" w:ascii="宋体" w:hAnsi="宋体" w:eastAsia="宋体" w:cs="宋体"/>
          <w:kern w:val="0"/>
          <w:sz w:val="24"/>
          <w:szCs w:val="24"/>
          <w:highlight w:val="none"/>
          <w:lang w:eastAsia="zh-CN"/>
        </w:rPr>
        <w:t xml:space="preserve">1 </w:t>
      </w: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lang w:eastAsia="zh-CN"/>
        </w:rPr>
        <w:t>保证金金额：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合同包1投</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保证金金额：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壹拾万元整（￥</w:t>
      </w:r>
      <w:r>
        <w:rPr>
          <w:rFonts w:hint="eastAsia" w:ascii="宋体" w:hAnsi="宋体" w:eastAsia="宋体" w:cs="宋体"/>
          <w:color w:val="auto"/>
          <w:sz w:val="24"/>
          <w:szCs w:val="24"/>
          <w:highlight w:val="none"/>
          <w:lang w:val="en-US" w:eastAsia="zh-CN"/>
        </w:rPr>
        <w:t>100,000.00元</w:t>
      </w:r>
      <w:r>
        <w:rPr>
          <w:rFonts w:hint="eastAsia" w:ascii="宋体" w:hAnsi="宋体" w:eastAsia="宋体" w:cs="宋体"/>
          <w:color w:val="auto"/>
          <w:sz w:val="24"/>
          <w:szCs w:val="24"/>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合同包2投</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保证金金额：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伍仟元整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5,000.00元</w:t>
      </w:r>
      <w:r>
        <w:rPr>
          <w:rFonts w:hint="eastAsia" w:ascii="宋体" w:hAnsi="宋体" w:eastAsia="宋体" w:cs="宋体"/>
          <w:color w:val="auto"/>
          <w:sz w:val="24"/>
          <w:szCs w:val="24"/>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合同包3投</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保证金金额：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贰万元整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20,000.00元</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7.2 </w:t>
      </w:r>
      <w:r>
        <w:rPr>
          <w:rFonts w:hint="eastAsia" w:ascii="宋体" w:hAnsi="宋体" w:eastAsia="宋体" w:cs="宋体"/>
          <w:kern w:val="0"/>
          <w:sz w:val="24"/>
          <w:szCs w:val="24"/>
          <w:highlight w:val="none"/>
          <w:lang w:val="en-US" w:eastAsia="zh-CN"/>
        </w:rPr>
        <w:t>投</w:t>
      </w:r>
      <w:r>
        <w:rPr>
          <w:rFonts w:hint="eastAsia" w:ascii="宋体" w:hAnsi="宋体" w:eastAsia="宋体" w:cs="宋体"/>
          <w:kern w:val="0"/>
          <w:sz w:val="24"/>
          <w:szCs w:val="24"/>
          <w:highlight w:val="none"/>
          <w:lang w:eastAsia="zh-CN"/>
        </w:rPr>
        <w:t>标</w:t>
      </w:r>
      <w:r>
        <w:rPr>
          <w:rFonts w:hint="eastAsia" w:ascii="宋体" w:hAnsi="宋体" w:eastAsia="宋体" w:cs="宋体"/>
          <w:kern w:val="0"/>
          <w:sz w:val="24"/>
          <w:szCs w:val="24"/>
          <w:highlight w:val="none"/>
        </w:rPr>
        <w:t>保证金</w:t>
      </w:r>
      <w:r>
        <w:rPr>
          <w:rFonts w:hint="eastAsia" w:ascii="宋体" w:hAnsi="宋体" w:eastAsia="宋体" w:cs="宋体"/>
          <w:kern w:val="0"/>
          <w:sz w:val="24"/>
          <w:szCs w:val="24"/>
          <w:highlight w:val="none"/>
          <w:lang w:val="en-US" w:eastAsia="zh-CN"/>
        </w:rPr>
        <w:t>缴纳方式</w:t>
      </w:r>
      <w:r>
        <w:rPr>
          <w:rFonts w:hint="eastAsia" w:ascii="宋体" w:hAnsi="宋体" w:eastAsia="宋体" w:cs="宋体"/>
          <w:kern w:val="0"/>
          <w:sz w:val="24"/>
          <w:szCs w:val="24"/>
          <w:highlight w:val="none"/>
        </w:rPr>
        <w:t>：支票、汇票、本票或者金融机构、担保机构出具的保函等非现金形式提交。除保函外，其他形式提交的</w:t>
      </w:r>
      <w:r>
        <w:rPr>
          <w:rFonts w:hint="eastAsia" w:ascii="宋体" w:hAnsi="宋体" w:eastAsia="宋体" w:cs="宋体"/>
          <w:kern w:val="0"/>
          <w:sz w:val="24"/>
          <w:szCs w:val="24"/>
          <w:highlight w:val="none"/>
          <w:lang w:val="en-US" w:eastAsia="zh-CN"/>
        </w:rPr>
        <w:t>投</w:t>
      </w:r>
      <w:r>
        <w:rPr>
          <w:rFonts w:hint="eastAsia" w:ascii="宋体" w:hAnsi="宋体" w:eastAsia="宋体" w:cs="宋体"/>
          <w:kern w:val="0"/>
          <w:sz w:val="24"/>
          <w:szCs w:val="24"/>
          <w:highlight w:val="none"/>
          <w:lang w:eastAsia="zh-CN"/>
        </w:rPr>
        <w:t>标</w:t>
      </w:r>
      <w:r>
        <w:rPr>
          <w:rFonts w:hint="eastAsia" w:ascii="宋体" w:hAnsi="宋体" w:eastAsia="宋体" w:cs="宋体"/>
          <w:kern w:val="0"/>
          <w:sz w:val="24"/>
          <w:szCs w:val="24"/>
          <w:highlight w:val="none"/>
        </w:rPr>
        <w:t>保证金应从</w:t>
      </w:r>
      <w:r>
        <w:rPr>
          <w:rFonts w:hint="eastAsia" w:ascii="宋体" w:hAnsi="宋体" w:eastAsia="宋体" w:cs="宋体"/>
          <w:kern w:val="0"/>
          <w:sz w:val="24"/>
          <w:szCs w:val="24"/>
          <w:highlight w:val="none"/>
          <w:lang w:eastAsia="zh-CN"/>
        </w:rPr>
        <w:t>投标人</w:t>
      </w:r>
      <w:r>
        <w:rPr>
          <w:rFonts w:hint="eastAsia" w:ascii="宋体" w:hAnsi="宋体" w:eastAsia="宋体" w:cs="宋体"/>
          <w:b/>
          <w:kern w:val="0"/>
          <w:sz w:val="24"/>
          <w:szCs w:val="24"/>
          <w:highlight w:val="none"/>
        </w:rPr>
        <w:t>账户</w:t>
      </w:r>
      <w:r>
        <w:rPr>
          <w:rFonts w:hint="eastAsia" w:ascii="宋体" w:hAnsi="宋体" w:eastAsia="宋体" w:cs="宋体"/>
          <w:kern w:val="0"/>
          <w:sz w:val="24"/>
          <w:szCs w:val="24"/>
          <w:highlight w:val="none"/>
        </w:rPr>
        <w:t>转出，</w:t>
      </w: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rPr>
        <w:t>须将</w:t>
      </w:r>
      <w:r>
        <w:rPr>
          <w:rFonts w:hint="eastAsia" w:ascii="宋体" w:hAnsi="宋体" w:eastAsia="宋体" w:cs="宋体"/>
          <w:kern w:val="0"/>
          <w:sz w:val="24"/>
          <w:szCs w:val="24"/>
          <w:highlight w:val="none"/>
          <w:lang w:val="en-US" w:eastAsia="zh-CN"/>
        </w:rPr>
        <w:t>缴</w:t>
      </w:r>
      <w:r>
        <w:rPr>
          <w:rFonts w:hint="eastAsia" w:ascii="宋体" w:hAnsi="宋体" w:eastAsia="宋体" w:cs="宋体"/>
          <w:kern w:val="0"/>
          <w:sz w:val="24"/>
          <w:szCs w:val="24"/>
          <w:highlight w:val="none"/>
        </w:rPr>
        <w:t>款凭证复印件（电汇或转账回单）装订在</w:t>
      </w: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rPr>
        <w:t>文件中，以保函方式递交保证金的</w:t>
      </w:r>
      <w:r>
        <w:rPr>
          <w:rFonts w:hint="eastAsia" w:ascii="宋体" w:hAnsi="宋体" w:eastAsia="宋体" w:cs="宋体"/>
          <w:kern w:val="0"/>
          <w:sz w:val="24"/>
          <w:szCs w:val="24"/>
          <w:highlight w:val="none"/>
          <w:lang w:val="en-US" w:eastAsia="zh-CN"/>
        </w:rPr>
        <w:t>供应商需在开标时间截止前将保函原件送达至代理公司，若未送达投标供应商自行承担风险</w:t>
      </w:r>
      <w:r>
        <w:rPr>
          <w:rFonts w:hint="eastAsia" w:ascii="宋体" w:hAnsi="宋体" w:eastAsia="宋体" w:cs="宋体"/>
          <w:kern w:val="0"/>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7.3 </w:t>
      </w: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rPr>
        <w:t>保证金缴纳账户信息：</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收款单位：陕西楚元项目管理有限公司</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开户行名称：西安银行股份有限公司延安分行</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账      号：371011510000019626</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7.4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不按要求提交</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保证金的，按无效</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处理。</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7.5 自</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通知书发出之日起5个工作日内退还未</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保证金，自政府采购合同签订之日起5个工作日内退还</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保证金。</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7.6 有下列情形之一的，</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保证金将不予退还：</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在提交</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文件截止时间后撤回</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文件的；</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文件中提供虚假材料的；</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lang w:eastAsia="zh-CN"/>
        </w:rPr>
        <w:t>人不与采购人签订合同的，除因不可抗力或</w:t>
      </w:r>
      <w:r>
        <w:rPr>
          <w:rFonts w:hint="eastAsia" w:ascii="宋体" w:hAnsi="宋体" w:eastAsia="宋体" w:cs="宋体"/>
          <w:sz w:val="24"/>
          <w:szCs w:val="24"/>
          <w:highlight w:val="none"/>
          <w:lang w:val="en-US" w:eastAsia="zh-CN"/>
        </w:rPr>
        <w:t>招标文件</w:t>
      </w:r>
      <w:r>
        <w:rPr>
          <w:rFonts w:hint="eastAsia" w:ascii="宋体" w:hAnsi="宋体" w:eastAsia="宋体" w:cs="宋体"/>
          <w:sz w:val="24"/>
          <w:szCs w:val="24"/>
          <w:highlight w:val="none"/>
          <w:lang w:eastAsia="zh-CN"/>
        </w:rPr>
        <w:t>认可的情形以外；</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）投标人与采购人、其他投标人或者采购代理机构恶意串通的；</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）未按</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文件规定缴纳</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代理服务费。</w:t>
      </w:r>
    </w:p>
    <w:p>
      <w:pPr>
        <w:pStyle w:val="19"/>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22" w:name="_Toc17188"/>
      <w:bookmarkStart w:id="23" w:name="_Toc75259344"/>
      <w:bookmarkStart w:id="24" w:name="_Toc75259343"/>
      <w:r>
        <w:rPr>
          <w:rFonts w:hint="eastAsia" w:ascii="宋体" w:hAnsi="宋体" w:eastAsia="宋体" w:cs="宋体"/>
          <w:b/>
          <w:sz w:val="24"/>
          <w:szCs w:val="24"/>
          <w:highlight w:val="none"/>
          <w:lang w:val="en-US" w:eastAsia="zh-CN"/>
        </w:rPr>
        <w:t>8</w:t>
      </w: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评审</w:t>
      </w:r>
      <w:r>
        <w:rPr>
          <w:rFonts w:hint="eastAsia" w:ascii="宋体" w:hAnsi="宋体" w:eastAsia="宋体" w:cs="宋体"/>
          <w:b/>
          <w:sz w:val="24"/>
          <w:szCs w:val="24"/>
          <w:highlight w:val="none"/>
        </w:rPr>
        <w:t>内容</w:t>
      </w:r>
      <w:bookmarkEnd w:id="22"/>
      <w:bookmarkEnd w:id="23"/>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报价、商务部分、技术部分、服务承诺等内容。</w:t>
      </w:r>
    </w:p>
    <w:p>
      <w:pPr>
        <w:pStyle w:val="19"/>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25" w:name="_Toc17580"/>
      <w:r>
        <w:rPr>
          <w:rFonts w:hint="eastAsia" w:ascii="宋体" w:hAnsi="宋体" w:eastAsia="宋体" w:cs="宋体"/>
          <w:b/>
          <w:sz w:val="24"/>
          <w:szCs w:val="24"/>
          <w:highlight w:val="none"/>
          <w:lang w:val="en-US" w:eastAsia="zh-CN"/>
        </w:rPr>
        <w:t>9</w:t>
      </w:r>
      <w:r>
        <w:rPr>
          <w:rFonts w:hint="eastAsia" w:ascii="宋体" w:hAnsi="宋体" w:eastAsia="宋体" w:cs="宋体"/>
          <w:b/>
          <w:sz w:val="24"/>
          <w:szCs w:val="24"/>
          <w:highlight w:val="none"/>
        </w:rPr>
        <w:t>．评审工作程序</w:t>
      </w:r>
      <w:bookmarkEnd w:id="24"/>
      <w:bookmarkEnd w:id="25"/>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.1主持人按下列程序进行</w:t>
      </w:r>
      <w:r>
        <w:rPr>
          <w:rFonts w:hint="eastAsia" w:ascii="宋体" w:hAnsi="宋体" w:eastAsia="宋体" w:cs="宋体"/>
          <w:sz w:val="24"/>
          <w:szCs w:val="24"/>
          <w:highlight w:val="none"/>
          <w:lang w:val="en-US" w:eastAsia="zh-CN"/>
        </w:rPr>
        <w:t>开标</w:t>
      </w:r>
      <w:r>
        <w:rPr>
          <w:rFonts w:hint="eastAsia" w:ascii="宋体" w:hAnsi="宋体" w:eastAsia="宋体" w:cs="宋体"/>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（1）采购代理机构按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文件规定的时间、</w:t>
      </w:r>
      <w:r>
        <w:rPr>
          <w:rFonts w:hint="eastAsia" w:ascii="宋体" w:hAnsi="宋体" w:eastAsia="宋体" w:cs="宋体"/>
          <w:color w:val="auto"/>
          <w:sz w:val="24"/>
          <w:szCs w:val="24"/>
          <w:highlight w:val="none"/>
          <w:lang w:val="en-US" w:eastAsia="zh-CN"/>
        </w:rPr>
        <w:t>方式</w:t>
      </w:r>
      <w:r>
        <w:rPr>
          <w:rFonts w:hint="eastAsia" w:ascii="宋体" w:hAnsi="宋体" w:eastAsia="宋体" w:cs="宋体"/>
          <w:color w:val="auto"/>
          <w:sz w:val="24"/>
          <w:szCs w:val="24"/>
          <w:highlight w:val="none"/>
        </w:rPr>
        <w:t>组织</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由采购代理机构主持，采购人代表及有关人员参加；</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法定代表人或其授权代表参加</w:t>
      </w:r>
      <w:r>
        <w:rPr>
          <w:rFonts w:hint="eastAsia" w:ascii="宋体" w:hAnsi="宋体" w:eastAsia="宋体" w:cs="宋体"/>
          <w:color w:val="auto"/>
          <w:sz w:val="24"/>
          <w:szCs w:val="24"/>
          <w:highlight w:val="none"/>
          <w:lang w:val="en-US" w:eastAsia="zh-CN"/>
        </w:rPr>
        <w:t>开标并签到，解密投标文件</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（4）公布</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的名称</w:t>
      </w:r>
      <w:r>
        <w:rPr>
          <w:rFonts w:hint="eastAsia" w:ascii="宋体" w:hAnsi="宋体" w:eastAsia="宋体" w:cs="宋体"/>
          <w:color w:val="auto"/>
          <w:sz w:val="24"/>
          <w:szCs w:val="24"/>
          <w:highlight w:val="none"/>
          <w:lang w:val="en-US" w:eastAsia="zh-CN"/>
        </w:rPr>
        <w:t>及报价</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（5）资格审查</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）评审；</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kern w:val="2"/>
          <w:sz w:val="24"/>
          <w:szCs w:val="24"/>
          <w:highlight w:val="none"/>
          <w:lang w:val="en-US" w:eastAsia="zh-CN" w:bidi="ar-SA"/>
        </w:rPr>
        <w:t>（8）会议结束。</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lang w:val="zh-CN"/>
        </w:rPr>
        <w:t>依据招标文件的规定，对</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lang w:val="zh-CN"/>
        </w:rPr>
        <w:t>文件的</w:t>
      </w:r>
      <w:r>
        <w:rPr>
          <w:rFonts w:hint="eastAsia" w:ascii="宋体" w:hAnsi="宋体" w:eastAsia="宋体" w:cs="宋体"/>
          <w:sz w:val="24"/>
          <w:szCs w:val="24"/>
          <w:highlight w:val="none"/>
          <w:lang w:val="en-US" w:eastAsia="zh-CN"/>
        </w:rPr>
        <w:t>符合性</w:t>
      </w:r>
      <w:r>
        <w:rPr>
          <w:rFonts w:hint="eastAsia" w:ascii="宋体" w:hAnsi="宋体" w:eastAsia="宋体" w:cs="宋体"/>
          <w:sz w:val="24"/>
          <w:szCs w:val="24"/>
          <w:highlight w:val="none"/>
          <w:lang w:val="zh-CN"/>
        </w:rPr>
        <w:t>进行审查，以确定是否对招标文件的要求做出实质性响应。未对招标文件做实质性响应的投标人，不得进入具体</w:t>
      </w:r>
      <w:r>
        <w:rPr>
          <w:rFonts w:hint="eastAsia" w:ascii="宋体" w:hAnsi="宋体" w:eastAsia="宋体" w:cs="宋体"/>
          <w:sz w:val="24"/>
          <w:szCs w:val="24"/>
          <w:highlight w:val="none"/>
          <w:lang w:val="en-US" w:eastAsia="zh-CN"/>
        </w:rPr>
        <w:t>评标</w:t>
      </w:r>
      <w:r>
        <w:rPr>
          <w:rFonts w:hint="eastAsia" w:ascii="宋体" w:hAnsi="宋体" w:eastAsia="宋体" w:cs="宋体"/>
          <w:sz w:val="24"/>
          <w:szCs w:val="24"/>
          <w:highlight w:val="none"/>
          <w:lang w:val="zh-CN"/>
        </w:rPr>
        <w:t>程序。</w:t>
      </w:r>
    </w:p>
    <w:p>
      <w:pPr>
        <w:pStyle w:val="19"/>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26" w:name="_Toc75259345"/>
      <w:bookmarkStart w:id="27" w:name="_Toc29065"/>
      <w:r>
        <w:rPr>
          <w:rFonts w:hint="eastAsia" w:ascii="宋体" w:hAnsi="宋体" w:eastAsia="宋体" w:cs="宋体"/>
          <w:b/>
          <w:sz w:val="24"/>
          <w:szCs w:val="24"/>
          <w:highlight w:val="none"/>
        </w:rPr>
        <w:t>10．评审原则</w:t>
      </w:r>
      <w:bookmarkEnd w:id="26"/>
      <w:bookmarkEnd w:id="27"/>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（1）本次</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遵循公开透明、公平竞争、公正和诚实信用的原则。</w:t>
      </w: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rPr>
        <w:t>成员按照客观、公正、审慎的原则，根据</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文件规定的评审程序、评审方法和评审标准进行独立评审。未实质性响应</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val="en-US" w:eastAsia="zh-CN"/>
        </w:rPr>
        <w:t>要求</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文件按无效</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处理。</w:t>
      </w:r>
    </w:p>
    <w:p>
      <w:pPr>
        <w:pStyle w:val="1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w:t>
      </w: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lang w:val="zh-CN"/>
        </w:rPr>
        <w:t>应当根据综合评分情况，按照评审得分由高到低顺序推荐3名成</w:t>
      </w:r>
      <w:r>
        <w:rPr>
          <w:rFonts w:hint="eastAsia" w:ascii="宋体" w:hAnsi="宋体" w:eastAsia="宋体" w:cs="宋体"/>
          <w:sz w:val="24"/>
          <w:szCs w:val="24"/>
          <w:highlight w:val="none"/>
          <w:lang w:val="en-US" w:eastAsia="zh-CN"/>
        </w:rPr>
        <w:t>中标候选</w:t>
      </w:r>
      <w:r>
        <w:rPr>
          <w:rFonts w:hint="eastAsia" w:ascii="宋体" w:hAnsi="宋体" w:eastAsia="宋体" w:cs="宋体"/>
          <w:sz w:val="24"/>
          <w:szCs w:val="24"/>
          <w:highlight w:val="none"/>
          <w:lang w:val="zh-CN"/>
        </w:rPr>
        <w:t>人，并编写评</w:t>
      </w:r>
      <w:r>
        <w:rPr>
          <w:rFonts w:hint="eastAsia" w:ascii="宋体" w:hAnsi="宋体" w:eastAsia="宋体" w:cs="宋体"/>
          <w:sz w:val="24"/>
          <w:szCs w:val="24"/>
          <w:highlight w:val="none"/>
          <w:lang w:val="en-US" w:eastAsia="zh-CN"/>
        </w:rPr>
        <w:t>标</w:t>
      </w:r>
      <w:r>
        <w:rPr>
          <w:rFonts w:hint="eastAsia" w:ascii="宋体" w:hAnsi="宋体" w:eastAsia="宋体" w:cs="宋体"/>
          <w:sz w:val="24"/>
          <w:szCs w:val="24"/>
          <w:highlight w:val="none"/>
          <w:lang w:val="zh-CN"/>
        </w:rPr>
        <w:t>报告。评审得分相同的，按照</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lang w:val="zh-CN"/>
        </w:rPr>
        <w:t>报价由低到高的顺序推荐。评审得分且</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lang w:val="zh-CN"/>
        </w:rPr>
        <w:t>报价相同的，按照</w:t>
      </w:r>
      <w:r>
        <w:rPr>
          <w:rFonts w:hint="eastAsia" w:ascii="宋体" w:hAnsi="宋体" w:eastAsia="宋体" w:cs="宋体"/>
          <w:sz w:val="24"/>
          <w:szCs w:val="24"/>
          <w:highlight w:val="none"/>
          <w:lang w:val="en-US" w:eastAsia="zh-CN"/>
        </w:rPr>
        <w:t>技术</w:t>
      </w:r>
      <w:r>
        <w:rPr>
          <w:rFonts w:hint="eastAsia" w:ascii="宋体" w:hAnsi="宋体" w:eastAsia="宋体" w:cs="宋体"/>
          <w:sz w:val="24"/>
          <w:szCs w:val="24"/>
          <w:highlight w:val="none"/>
          <w:lang w:val="zh-CN"/>
        </w:rPr>
        <w:t>方案优劣顺序推荐，</w:t>
      </w: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lang w:val="zh-CN"/>
        </w:rPr>
        <w:t>认为投标人的报价明显低于其他通过符合性审查投标人的报价，有可能影响项目质量或者不能诚信履约的，应当要求其在</w:t>
      </w:r>
      <w:r>
        <w:rPr>
          <w:rFonts w:hint="eastAsia" w:ascii="宋体" w:hAnsi="宋体" w:eastAsia="宋体" w:cs="宋体"/>
          <w:sz w:val="24"/>
          <w:szCs w:val="24"/>
          <w:highlight w:val="none"/>
          <w:lang w:val="en-US" w:eastAsia="zh-CN"/>
        </w:rPr>
        <w:t>评标</w:t>
      </w:r>
      <w:r>
        <w:rPr>
          <w:rFonts w:hint="eastAsia" w:ascii="宋体" w:hAnsi="宋体" w:eastAsia="宋体" w:cs="宋体"/>
          <w:sz w:val="24"/>
          <w:szCs w:val="24"/>
          <w:highlight w:val="none"/>
          <w:lang w:val="zh-CN"/>
        </w:rPr>
        <w:t>现场合理的时间内提供书面说明，必要时提交相关证明材料，投标人不能证明其报价合理性的，</w:t>
      </w: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lang w:val="zh-CN"/>
        </w:rPr>
        <w:t>应当将其作为无效</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lang w:val="zh-CN"/>
        </w:rPr>
        <w:t>文件处理。</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bCs/>
          <w:sz w:val="24"/>
          <w:szCs w:val="24"/>
          <w:highlight w:val="none"/>
          <w:lang w:val="zh-CN"/>
        </w:rPr>
        <w:t>评</w:t>
      </w:r>
      <w:r>
        <w:rPr>
          <w:rFonts w:hint="eastAsia" w:ascii="宋体" w:hAnsi="宋体" w:eastAsia="宋体" w:cs="宋体"/>
          <w:bCs/>
          <w:sz w:val="24"/>
          <w:szCs w:val="24"/>
          <w:highlight w:val="none"/>
          <w:lang w:val="en-US" w:eastAsia="zh-CN"/>
        </w:rPr>
        <w:t>标</w:t>
      </w:r>
      <w:r>
        <w:rPr>
          <w:rFonts w:hint="eastAsia" w:ascii="宋体" w:hAnsi="宋体" w:eastAsia="宋体" w:cs="宋体"/>
          <w:bCs/>
          <w:sz w:val="24"/>
          <w:szCs w:val="24"/>
          <w:highlight w:val="none"/>
          <w:lang w:val="zh-CN"/>
        </w:rPr>
        <w:t>报告应当由</w:t>
      </w:r>
      <w:r>
        <w:rPr>
          <w:rFonts w:hint="eastAsia" w:ascii="宋体" w:hAnsi="宋体" w:eastAsia="宋体" w:cs="宋体"/>
          <w:bCs/>
          <w:sz w:val="24"/>
          <w:szCs w:val="24"/>
          <w:highlight w:val="none"/>
          <w:lang w:val="en-US" w:eastAsia="zh-CN"/>
        </w:rPr>
        <w:t>评标委员会</w:t>
      </w:r>
      <w:r>
        <w:rPr>
          <w:rFonts w:hint="eastAsia" w:ascii="宋体" w:hAnsi="宋体" w:eastAsia="宋体" w:cs="宋体"/>
          <w:bCs/>
          <w:sz w:val="24"/>
          <w:szCs w:val="24"/>
          <w:highlight w:val="none"/>
          <w:lang w:val="zh-CN"/>
        </w:rPr>
        <w:t>全体人员签字认可。</w:t>
      </w:r>
      <w:r>
        <w:rPr>
          <w:rFonts w:hint="eastAsia" w:ascii="宋体" w:hAnsi="宋体" w:eastAsia="宋体" w:cs="宋体"/>
          <w:bCs/>
          <w:sz w:val="24"/>
          <w:szCs w:val="24"/>
          <w:highlight w:val="none"/>
          <w:lang w:val="en-US" w:eastAsia="zh-CN"/>
        </w:rPr>
        <w:t>评标委员会</w:t>
      </w:r>
      <w:r>
        <w:rPr>
          <w:rFonts w:hint="eastAsia" w:ascii="宋体" w:hAnsi="宋体" w:eastAsia="宋体" w:cs="宋体"/>
          <w:bCs/>
          <w:sz w:val="24"/>
          <w:szCs w:val="24"/>
          <w:highlight w:val="none"/>
          <w:lang w:val="zh-CN"/>
        </w:rPr>
        <w:t>成员对评</w:t>
      </w:r>
      <w:r>
        <w:rPr>
          <w:rFonts w:hint="eastAsia" w:ascii="宋体" w:hAnsi="宋体" w:eastAsia="宋体" w:cs="宋体"/>
          <w:bCs/>
          <w:sz w:val="24"/>
          <w:szCs w:val="24"/>
          <w:highlight w:val="none"/>
          <w:lang w:val="en-US" w:eastAsia="zh-CN"/>
        </w:rPr>
        <w:t>标</w:t>
      </w:r>
      <w:r>
        <w:rPr>
          <w:rFonts w:hint="eastAsia" w:ascii="宋体" w:hAnsi="宋体" w:eastAsia="宋体" w:cs="宋体"/>
          <w:bCs/>
          <w:sz w:val="24"/>
          <w:szCs w:val="24"/>
          <w:highlight w:val="none"/>
          <w:lang w:val="zh-CN"/>
        </w:rPr>
        <w:t>报告有异议的，</w:t>
      </w:r>
      <w:r>
        <w:rPr>
          <w:rFonts w:hint="eastAsia" w:ascii="宋体" w:hAnsi="宋体" w:eastAsia="宋体" w:cs="宋体"/>
          <w:bCs/>
          <w:sz w:val="24"/>
          <w:szCs w:val="24"/>
          <w:highlight w:val="none"/>
          <w:lang w:val="en-US" w:eastAsia="zh-CN"/>
        </w:rPr>
        <w:t>评标委员会</w:t>
      </w:r>
      <w:r>
        <w:rPr>
          <w:rFonts w:hint="eastAsia" w:ascii="宋体" w:hAnsi="宋体" w:eastAsia="宋体" w:cs="宋体"/>
          <w:bCs/>
          <w:sz w:val="24"/>
          <w:szCs w:val="24"/>
          <w:highlight w:val="none"/>
          <w:lang w:val="zh-CN"/>
        </w:rPr>
        <w:t>按照少数服从多数的原则</w:t>
      </w:r>
      <w:r>
        <w:rPr>
          <w:rFonts w:hint="eastAsia" w:ascii="宋体" w:hAnsi="宋体" w:eastAsia="宋体" w:cs="宋体"/>
          <w:bCs/>
          <w:sz w:val="24"/>
          <w:szCs w:val="24"/>
          <w:highlight w:val="none"/>
          <w:lang w:val="en-US" w:eastAsia="zh-CN"/>
        </w:rPr>
        <w:t>中标候选</w:t>
      </w:r>
      <w:r>
        <w:rPr>
          <w:rFonts w:hint="eastAsia" w:ascii="宋体" w:hAnsi="宋体" w:eastAsia="宋体" w:cs="宋体"/>
          <w:bCs/>
          <w:sz w:val="24"/>
          <w:szCs w:val="24"/>
          <w:highlight w:val="none"/>
          <w:lang w:val="zh-CN"/>
        </w:rPr>
        <w:t>人，</w:t>
      </w:r>
      <w:r>
        <w:rPr>
          <w:rFonts w:hint="eastAsia" w:ascii="宋体" w:hAnsi="宋体" w:eastAsia="宋体" w:cs="宋体"/>
          <w:bCs/>
          <w:sz w:val="24"/>
          <w:szCs w:val="24"/>
          <w:highlight w:val="none"/>
          <w:lang w:val="en-US" w:eastAsia="zh-CN"/>
        </w:rPr>
        <w:t>评标</w:t>
      </w:r>
      <w:r>
        <w:rPr>
          <w:rFonts w:hint="eastAsia" w:ascii="宋体" w:hAnsi="宋体" w:eastAsia="宋体" w:cs="宋体"/>
          <w:bCs/>
          <w:sz w:val="24"/>
          <w:szCs w:val="24"/>
          <w:highlight w:val="none"/>
          <w:lang w:val="zh-CN"/>
        </w:rPr>
        <w:t>程序继续进行。对评</w:t>
      </w:r>
      <w:r>
        <w:rPr>
          <w:rFonts w:hint="eastAsia" w:ascii="宋体" w:hAnsi="宋体" w:eastAsia="宋体" w:cs="宋体"/>
          <w:bCs/>
          <w:sz w:val="24"/>
          <w:szCs w:val="24"/>
          <w:highlight w:val="none"/>
          <w:lang w:val="en-US" w:eastAsia="zh-CN"/>
        </w:rPr>
        <w:t>标</w:t>
      </w:r>
      <w:r>
        <w:rPr>
          <w:rFonts w:hint="eastAsia" w:ascii="宋体" w:hAnsi="宋体" w:eastAsia="宋体" w:cs="宋体"/>
          <w:bCs/>
          <w:sz w:val="24"/>
          <w:szCs w:val="24"/>
          <w:highlight w:val="none"/>
          <w:lang w:val="zh-CN"/>
        </w:rPr>
        <w:t>报告有异议的</w:t>
      </w:r>
      <w:r>
        <w:rPr>
          <w:rFonts w:hint="eastAsia" w:ascii="宋体" w:hAnsi="宋体" w:eastAsia="宋体" w:cs="宋体"/>
          <w:bCs/>
          <w:sz w:val="24"/>
          <w:szCs w:val="24"/>
          <w:highlight w:val="none"/>
          <w:lang w:val="en-US" w:eastAsia="zh-CN"/>
        </w:rPr>
        <w:t>评标委员会</w:t>
      </w:r>
      <w:r>
        <w:rPr>
          <w:rFonts w:hint="eastAsia" w:ascii="宋体" w:hAnsi="宋体" w:eastAsia="宋体" w:cs="宋体"/>
          <w:bCs/>
          <w:sz w:val="24"/>
          <w:szCs w:val="24"/>
          <w:highlight w:val="none"/>
          <w:lang w:val="zh-CN"/>
        </w:rPr>
        <w:t>成员，应当在报告上签署不同意见并说明理由，由</w:t>
      </w:r>
      <w:r>
        <w:rPr>
          <w:rFonts w:hint="eastAsia" w:ascii="宋体" w:hAnsi="宋体" w:eastAsia="宋体" w:cs="宋体"/>
          <w:bCs/>
          <w:sz w:val="24"/>
          <w:szCs w:val="24"/>
          <w:highlight w:val="none"/>
          <w:lang w:val="en-US" w:eastAsia="zh-CN"/>
        </w:rPr>
        <w:t>评标委员会</w:t>
      </w:r>
      <w:r>
        <w:rPr>
          <w:rFonts w:hint="eastAsia" w:ascii="宋体" w:hAnsi="宋体" w:eastAsia="宋体" w:cs="宋体"/>
          <w:bCs/>
          <w:sz w:val="24"/>
          <w:szCs w:val="24"/>
          <w:highlight w:val="none"/>
          <w:lang w:val="zh-CN"/>
        </w:rPr>
        <w:t>书面记录相关情况。</w:t>
      </w:r>
      <w:r>
        <w:rPr>
          <w:rFonts w:hint="eastAsia" w:ascii="宋体" w:hAnsi="宋体" w:eastAsia="宋体" w:cs="宋体"/>
          <w:bCs/>
          <w:sz w:val="24"/>
          <w:szCs w:val="24"/>
          <w:highlight w:val="none"/>
          <w:lang w:val="en-US" w:eastAsia="zh-CN"/>
        </w:rPr>
        <w:t>评标委员会</w:t>
      </w:r>
      <w:r>
        <w:rPr>
          <w:rFonts w:hint="eastAsia" w:ascii="宋体" w:hAnsi="宋体" w:eastAsia="宋体" w:cs="宋体"/>
          <w:bCs/>
          <w:sz w:val="24"/>
          <w:szCs w:val="24"/>
          <w:highlight w:val="none"/>
          <w:lang w:val="zh-CN"/>
        </w:rPr>
        <w:t>成员拒绝在报告上签字又不书面说明其不同意见和理由的，视为同意评</w:t>
      </w:r>
      <w:r>
        <w:rPr>
          <w:rFonts w:hint="eastAsia" w:ascii="宋体" w:hAnsi="宋体" w:eastAsia="宋体" w:cs="宋体"/>
          <w:bCs/>
          <w:sz w:val="24"/>
          <w:szCs w:val="24"/>
          <w:highlight w:val="none"/>
          <w:lang w:val="en-US" w:eastAsia="zh-CN"/>
        </w:rPr>
        <w:t>标</w:t>
      </w:r>
      <w:r>
        <w:rPr>
          <w:rFonts w:hint="eastAsia" w:ascii="宋体" w:hAnsi="宋体" w:eastAsia="宋体" w:cs="宋体"/>
          <w:bCs/>
          <w:sz w:val="24"/>
          <w:szCs w:val="24"/>
          <w:highlight w:val="none"/>
          <w:lang w:val="zh-CN"/>
        </w:rPr>
        <w:t>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（4）本次综合评分的主要因素是：</w:t>
      </w:r>
      <w:bookmarkStart w:id="28" w:name="_Hlk74319622"/>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报价、商务部分、技术部分、服务承诺</w:t>
      </w:r>
      <w:bookmarkEnd w:id="28"/>
      <w:r>
        <w:rPr>
          <w:rFonts w:hint="eastAsia" w:ascii="宋体" w:hAnsi="宋体" w:eastAsia="宋体" w:cs="宋体"/>
          <w:sz w:val="24"/>
          <w:szCs w:val="24"/>
          <w:highlight w:val="none"/>
        </w:rPr>
        <w:t>等内容。评审过程中，在同等条件下，优先采购具有环境标志、节能的产品。（注：节能产品、环境标志产品是指由财政部、发展改革委、生态环境部、市场监管总局颁布的财库〔2021〕9号 财政部关于调整优化节能产品、环境标志产品政府采购执行机制的通知中品目清单中的的产品。）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（5）各</w:t>
      </w:r>
      <w:r>
        <w:rPr>
          <w:rFonts w:hint="eastAsia" w:ascii="宋体" w:hAnsi="宋体" w:eastAsia="宋体" w:cs="宋体"/>
          <w:b/>
          <w:sz w:val="24"/>
          <w:szCs w:val="24"/>
          <w:highlight w:val="none"/>
          <w:lang w:eastAsia="zh-CN"/>
        </w:rPr>
        <w:t>投标人</w:t>
      </w:r>
      <w:r>
        <w:rPr>
          <w:rFonts w:hint="eastAsia" w:ascii="宋体" w:hAnsi="宋体" w:eastAsia="宋体" w:cs="宋体"/>
          <w:b/>
          <w:bCs/>
          <w:sz w:val="24"/>
          <w:szCs w:val="24"/>
          <w:highlight w:val="none"/>
        </w:rPr>
        <w:t>应按照</w:t>
      </w:r>
      <w:r>
        <w:rPr>
          <w:rFonts w:hint="eastAsia" w:ascii="宋体" w:hAnsi="宋体" w:eastAsia="宋体" w:cs="宋体"/>
          <w:b/>
          <w:bCs/>
          <w:sz w:val="24"/>
          <w:szCs w:val="24"/>
          <w:highlight w:val="none"/>
          <w:lang w:eastAsia="zh-CN"/>
        </w:rPr>
        <w:t>招标</w:t>
      </w:r>
      <w:r>
        <w:rPr>
          <w:rFonts w:hint="eastAsia" w:ascii="宋体" w:hAnsi="宋体" w:eastAsia="宋体" w:cs="宋体"/>
          <w:b/>
          <w:bCs/>
          <w:sz w:val="24"/>
          <w:szCs w:val="24"/>
          <w:highlight w:val="none"/>
        </w:rPr>
        <w:t>文件要求报出</w:t>
      </w:r>
      <w:r>
        <w:rPr>
          <w:rFonts w:hint="eastAsia" w:ascii="宋体" w:hAnsi="宋体" w:eastAsia="宋体" w:cs="宋体"/>
          <w:b/>
          <w:bCs/>
          <w:sz w:val="24"/>
          <w:szCs w:val="24"/>
          <w:highlight w:val="none"/>
          <w:lang w:val="en-US" w:eastAsia="zh-CN"/>
        </w:rPr>
        <w:t>投标</w:t>
      </w:r>
      <w:r>
        <w:rPr>
          <w:rFonts w:hint="eastAsia" w:ascii="宋体" w:hAnsi="宋体" w:eastAsia="宋体" w:cs="宋体"/>
          <w:b/>
          <w:bCs/>
          <w:sz w:val="24"/>
          <w:szCs w:val="24"/>
          <w:highlight w:val="none"/>
        </w:rPr>
        <w:t>总报价，</w:t>
      </w:r>
      <w:r>
        <w:rPr>
          <w:rFonts w:hint="eastAsia" w:ascii="宋体" w:hAnsi="宋体" w:eastAsia="宋体" w:cs="宋体"/>
          <w:b/>
          <w:bCs/>
          <w:sz w:val="24"/>
          <w:szCs w:val="24"/>
          <w:highlight w:val="none"/>
          <w:lang w:val="en-US" w:eastAsia="zh-CN"/>
        </w:rPr>
        <w:t>投标</w:t>
      </w:r>
      <w:r>
        <w:rPr>
          <w:rFonts w:hint="eastAsia" w:ascii="宋体" w:hAnsi="宋体" w:eastAsia="宋体" w:cs="宋体"/>
          <w:b/>
          <w:bCs/>
          <w:sz w:val="24"/>
          <w:szCs w:val="24"/>
          <w:highlight w:val="none"/>
        </w:rPr>
        <w:t>总报价不得超过项目</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合同包</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预算和相应的最高限价</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如有</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w:t>
      </w:r>
    </w:p>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29" w:name="_Toc75259346"/>
      <w:bookmarkStart w:id="30" w:name="_Toc21897"/>
      <w:r>
        <w:rPr>
          <w:rFonts w:hint="eastAsia" w:ascii="宋体" w:hAnsi="宋体" w:eastAsia="宋体" w:cs="宋体"/>
          <w:b/>
          <w:sz w:val="24"/>
          <w:szCs w:val="24"/>
          <w:highlight w:val="none"/>
        </w:rPr>
        <w:t>11．评审标准</w:t>
      </w:r>
      <w:bookmarkEnd w:id="29"/>
      <w:bookmarkEnd w:id="3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根据《中华人民共和国政府采购法》、</w:t>
      </w:r>
      <w:r>
        <w:rPr>
          <w:rFonts w:hint="eastAsia" w:ascii="宋体" w:hAnsi="宋体" w:eastAsia="宋体" w:cs="宋体"/>
          <w:sz w:val="24"/>
          <w:szCs w:val="24"/>
          <w:highlight w:val="none"/>
          <w:lang w:val="en-US" w:eastAsia="zh-CN"/>
        </w:rPr>
        <w:t>《政府采购货物和服务招标投标管理办法》(财政部第87号令）</w:t>
      </w:r>
      <w:r>
        <w:rPr>
          <w:rFonts w:hint="eastAsia" w:ascii="宋体" w:hAnsi="宋体" w:eastAsia="宋体" w:cs="宋体"/>
          <w:sz w:val="24"/>
          <w:szCs w:val="24"/>
          <w:highlight w:val="none"/>
        </w:rPr>
        <w:t>及省、市有关规定，</w:t>
      </w: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rPr>
        <w:t>成员按照客观、公正、谨慎的原则，根据</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文件规定的评审程序、评审方法和评审标准进行独立评审</w:t>
      </w:r>
      <w:r>
        <w:rPr>
          <w:rFonts w:hint="eastAsia" w:ascii="宋体" w:hAnsi="宋体" w:eastAsia="宋体" w:cs="宋体"/>
          <w:sz w:val="24"/>
          <w:szCs w:val="24"/>
          <w:highlight w:val="none"/>
          <w:lang w:val="en-US" w:eastAsia="zh-CN"/>
        </w:rPr>
        <w:t>并</w:t>
      </w:r>
      <w:r>
        <w:rPr>
          <w:rFonts w:hint="eastAsia" w:ascii="宋体" w:hAnsi="宋体" w:eastAsia="宋体" w:cs="宋体"/>
          <w:sz w:val="24"/>
          <w:szCs w:val="24"/>
          <w:highlight w:val="none"/>
        </w:rPr>
        <w:t>根据排名先后确定</w:t>
      </w:r>
      <w:r>
        <w:rPr>
          <w:rFonts w:hint="eastAsia" w:ascii="宋体" w:hAnsi="宋体" w:eastAsia="宋体" w:cs="宋体"/>
          <w:sz w:val="24"/>
          <w:szCs w:val="24"/>
          <w:highlight w:val="none"/>
          <w:lang w:val="en-US" w:eastAsia="zh-CN"/>
        </w:rPr>
        <w:t>中标候选</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有下列情形之一的，</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将重新招标：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（l）投标文件递交截止时间止，</w:t>
      </w:r>
      <w:r>
        <w:rPr>
          <w:rFonts w:hint="eastAsia" w:ascii="宋体" w:hAnsi="宋体" w:eastAsia="宋体" w:cs="宋体"/>
          <w:sz w:val="24"/>
          <w:szCs w:val="24"/>
          <w:highlight w:val="none"/>
          <w:lang w:val="en-US" w:eastAsia="zh-CN"/>
        </w:rPr>
        <w:t>递交投标文件的投标人</w:t>
      </w:r>
      <w:r>
        <w:rPr>
          <w:rFonts w:hint="eastAsia" w:ascii="宋体" w:hAnsi="宋体" w:eastAsia="宋体" w:cs="宋体"/>
          <w:sz w:val="24"/>
          <w:szCs w:val="24"/>
          <w:highlight w:val="none"/>
        </w:rPr>
        <w:t>少于3个的；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通过资格审查的投标人少于3个的；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（2）经评标委员会评审后，合格的投标人</w:t>
      </w:r>
      <w:r>
        <w:rPr>
          <w:rFonts w:hint="eastAsia" w:ascii="宋体" w:hAnsi="宋体" w:eastAsia="宋体" w:cs="宋体"/>
          <w:sz w:val="24"/>
          <w:szCs w:val="24"/>
          <w:highlight w:val="none"/>
          <w:lang w:val="en-US" w:eastAsia="zh-CN"/>
        </w:rPr>
        <w:t>少于3个的</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11.1</w:t>
      </w:r>
      <w:r>
        <w:rPr>
          <w:rFonts w:hint="eastAsia" w:ascii="宋体" w:hAnsi="宋体" w:eastAsia="宋体" w:cs="宋体"/>
          <w:b/>
          <w:sz w:val="24"/>
          <w:szCs w:val="24"/>
          <w:highlight w:val="none"/>
        </w:rPr>
        <w:t>资格审查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b w:val="0"/>
          <w:bCs/>
          <w:color w:val="auto"/>
          <w:sz w:val="24"/>
          <w:szCs w:val="24"/>
          <w:highlight w:val="none"/>
          <w:lang w:val="en-US" w:eastAsia="zh-CN"/>
        </w:rPr>
        <w:t>投标人</w:t>
      </w:r>
      <w:r>
        <w:rPr>
          <w:rFonts w:hint="eastAsia" w:ascii="宋体" w:hAnsi="宋体" w:eastAsia="宋体" w:cs="宋体"/>
          <w:b w:val="0"/>
          <w:bCs/>
          <w:color w:val="auto"/>
          <w:sz w:val="24"/>
          <w:szCs w:val="24"/>
          <w:highlight w:val="none"/>
        </w:rPr>
        <w:t>需在</w:t>
      </w: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文件中提供清晰、可见的资格证明材料，以便采购人进行资格审查，若材料内容模糊不清造成对</w:t>
      </w:r>
      <w:r>
        <w:rPr>
          <w:rFonts w:hint="eastAsia" w:ascii="宋体" w:hAnsi="宋体" w:eastAsia="宋体" w:cs="宋体"/>
          <w:b w:val="0"/>
          <w:bCs/>
          <w:color w:val="auto"/>
          <w:sz w:val="24"/>
          <w:szCs w:val="24"/>
          <w:highlight w:val="none"/>
          <w:lang w:val="en-US" w:eastAsia="zh-CN"/>
        </w:rPr>
        <w:t>投标人</w:t>
      </w:r>
      <w:r>
        <w:rPr>
          <w:rFonts w:hint="eastAsia" w:ascii="宋体" w:hAnsi="宋体" w:eastAsia="宋体" w:cs="宋体"/>
          <w:b w:val="0"/>
          <w:bCs/>
          <w:color w:val="auto"/>
          <w:sz w:val="24"/>
          <w:szCs w:val="24"/>
          <w:highlight w:val="none"/>
        </w:rPr>
        <w:t>不利的后果由</w:t>
      </w:r>
      <w:r>
        <w:rPr>
          <w:rFonts w:hint="eastAsia" w:ascii="宋体" w:hAnsi="宋体" w:eastAsia="宋体" w:cs="宋体"/>
          <w:b w:val="0"/>
          <w:bCs/>
          <w:color w:val="auto"/>
          <w:sz w:val="24"/>
          <w:szCs w:val="24"/>
          <w:highlight w:val="none"/>
          <w:lang w:val="en-US" w:eastAsia="zh-CN"/>
        </w:rPr>
        <w:t>投标人</w:t>
      </w:r>
      <w:r>
        <w:rPr>
          <w:rFonts w:hint="eastAsia" w:ascii="宋体" w:hAnsi="宋体" w:eastAsia="宋体" w:cs="宋体"/>
          <w:b w:val="0"/>
          <w:bCs/>
          <w:color w:val="auto"/>
          <w:sz w:val="24"/>
          <w:szCs w:val="24"/>
          <w:highlight w:val="none"/>
        </w:rPr>
        <w:t>自负，若</w:t>
      </w:r>
      <w:r>
        <w:rPr>
          <w:rFonts w:hint="eastAsia" w:ascii="宋体" w:hAnsi="宋体" w:eastAsia="宋体" w:cs="宋体"/>
          <w:b w:val="0"/>
          <w:bCs/>
          <w:color w:val="auto"/>
          <w:sz w:val="24"/>
          <w:szCs w:val="24"/>
          <w:highlight w:val="none"/>
          <w:lang w:val="en-US" w:eastAsia="zh-CN"/>
        </w:rPr>
        <w:t>投标人</w:t>
      </w:r>
      <w:r>
        <w:rPr>
          <w:rFonts w:hint="eastAsia" w:ascii="宋体" w:hAnsi="宋体" w:eastAsia="宋体" w:cs="宋体"/>
          <w:b w:val="0"/>
          <w:bCs/>
          <w:color w:val="auto"/>
          <w:sz w:val="24"/>
          <w:szCs w:val="24"/>
          <w:highlight w:val="none"/>
        </w:rPr>
        <w:t>资格证明材料不符合要求，将按无效</w:t>
      </w: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处理，不进入下一评审环节。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11.</w:t>
      </w:r>
      <w:r>
        <w:rPr>
          <w:rFonts w:hint="eastAsia" w:ascii="宋体" w:hAnsi="宋体" w:eastAsia="宋体" w:cs="宋体"/>
          <w:b/>
          <w:sz w:val="24"/>
          <w:szCs w:val="24"/>
          <w:highlight w:val="none"/>
        </w:rPr>
        <w:t>2符合性</w:t>
      </w:r>
      <w:r>
        <w:rPr>
          <w:rFonts w:hint="eastAsia" w:ascii="宋体" w:hAnsi="宋体" w:eastAsia="宋体" w:cs="宋体"/>
          <w:b/>
          <w:sz w:val="24"/>
          <w:szCs w:val="24"/>
          <w:highlight w:val="none"/>
          <w:lang w:val="en-US" w:eastAsia="zh-CN"/>
        </w:rPr>
        <w:t>审查</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下述内容凡有一项不合格的即作为无效</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处理，不再进入详细评审：</w:t>
      </w:r>
    </w:p>
    <w:tbl>
      <w:tblPr>
        <w:tblStyle w:val="24"/>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806"/>
        <w:gridCol w:w="6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序号</w:t>
            </w:r>
          </w:p>
        </w:tc>
        <w:tc>
          <w:tcPr>
            <w:tcW w:w="8072" w:type="dxa"/>
            <w:gridSpan w:val="2"/>
            <w:vAlign w:val="center"/>
          </w:tcPr>
          <w:p>
            <w:pPr>
              <w:widowControl/>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bCs/>
                <w:sz w:val="24"/>
                <w:szCs w:val="24"/>
                <w:highlight w:val="none"/>
                <w:lang w:val="en-US" w:eastAsia="zh-CN"/>
              </w:rPr>
              <w:t>审查</w:t>
            </w:r>
            <w:r>
              <w:rPr>
                <w:rFonts w:hint="eastAsia" w:ascii="宋体" w:hAnsi="宋体" w:eastAsia="宋体" w:cs="宋体"/>
                <w:bCs/>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w:t>
            </w:r>
          </w:p>
        </w:tc>
        <w:tc>
          <w:tcPr>
            <w:tcW w:w="1806" w:type="dxa"/>
            <w:vAlign w:val="center"/>
          </w:tcPr>
          <w:p>
            <w:pPr>
              <w:widowControl/>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rPr>
              <w:t>报价</w:t>
            </w:r>
          </w:p>
        </w:tc>
        <w:tc>
          <w:tcPr>
            <w:tcW w:w="6266" w:type="dxa"/>
            <w:vAlign w:val="center"/>
          </w:tcPr>
          <w:p>
            <w:pPr>
              <w:widowControl/>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内容无缺漏项，报价唯一，且没有超过采购预算和相应的最高限价</w:t>
            </w:r>
            <w:r>
              <w:rPr>
                <w:rFonts w:hint="eastAsia" w:ascii="宋体" w:hAnsi="宋体" w:eastAsia="宋体" w:cs="宋体"/>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w:t>
            </w:r>
          </w:p>
        </w:tc>
        <w:tc>
          <w:tcPr>
            <w:tcW w:w="1806" w:type="dxa"/>
            <w:vAlign w:val="center"/>
          </w:tcPr>
          <w:p>
            <w:pPr>
              <w:widowControl/>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技术标准和商务要求</w:t>
            </w:r>
          </w:p>
        </w:tc>
        <w:tc>
          <w:tcPr>
            <w:tcW w:w="6266" w:type="dxa"/>
            <w:vAlign w:val="center"/>
          </w:tcPr>
          <w:p>
            <w:pPr>
              <w:widowControl/>
              <w:spacing w:line="360" w:lineRule="auto"/>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投标文件满足招标文件要求的技术标准和商务要求；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w:t>
            </w:r>
          </w:p>
        </w:tc>
        <w:tc>
          <w:tcPr>
            <w:tcW w:w="1806" w:type="dxa"/>
            <w:vAlign w:val="center"/>
          </w:tcPr>
          <w:p>
            <w:pPr>
              <w:widowControl/>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rPr>
              <w:t>文件有效性</w:t>
            </w:r>
          </w:p>
        </w:tc>
        <w:tc>
          <w:tcPr>
            <w:tcW w:w="6266" w:type="dxa"/>
            <w:vAlign w:val="center"/>
          </w:tcPr>
          <w:p>
            <w:pPr>
              <w:widowControl/>
              <w:spacing w:line="360" w:lineRule="auto"/>
              <w:jc w:val="left"/>
              <w:rPr>
                <w:rFonts w:hint="eastAsia" w:ascii="宋体" w:hAnsi="宋体" w:eastAsia="宋体" w:cs="宋体"/>
                <w:kern w:val="0"/>
                <w:sz w:val="24"/>
                <w:szCs w:val="24"/>
                <w:highlight w:val="none"/>
                <w:lang w:val="en-US" w:eastAsia="zh-CN" w:bidi="ar-SA"/>
              </w:rPr>
            </w:pPr>
            <w:bookmarkStart w:id="31" w:name="OLE_LINK9"/>
            <w:r>
              <w:rPr>
                <w:rFonts w:hint="eastAsia" w:ascii="宋体" w:hAnsi="宋体" w:eastAsia="宋体" w:cs="宋体"/>
                <w:kern w:val="0"/>
                <w:sz w:val="24"/>
                <w:szCs w:val="24"/>
                <w:highlight w:val="none"/>
                <w:lang w:val="en-US" w:eastAsia="zh-CN"/>
              </w:rPr>
              <w:t>法定代表人或授权代表签字和投标人公章</w:t>
            </w:r>
            <w:r>
              <w:rPr>
                <w:rFonts w:hint="eastAsia" w:ascii="宋体" w:hAnsi="宋体" w:eastAsia="宋体" w:cs="宋体"/>
                <w:kern w:val="0"/>
                <w:sz w:val="24"/>
                <w:szCs w:val="24"/>
                <w:highlight w:val="none"/>
              </w:rPr>
              <w:t>是否齐全、有效</w:t>
            </w:r>
            <w:r>
              <w:rPr>
                <w:rFonts w:hint="eastAsia" w:ascii="宋体" w:hAnsi="宋体" w:eastAsia="宋体" w:cs="宋体"/>
                <w:kern w:val="0"/>
                <w:sz w:val="24"/>
                <w:szCs w:val="24"/>
                <w:highlight w:val="none"/>
                <w:lang w:eastAsia="zh-CN"/>
              </w:rPr>
              <w:t>；</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w:t>
            </w:r>
          </w:p>
        </w:tc>
        <w:tc>
          <w:tcPr>
            <w:tcW w:w="1806" w:type="dxa"/>
            <w:vAlign w:val="center"/>
          </w:tcPr>
          <w:p>
            <w:pPr>
              <w:widowControl/>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投标保证金</w:t>
            </w:r>
          </w:p>
        </w:tc>
        <w:tc>
          <w:tcPr>
            <w:tcW w:w="6266" w:type="dxa"/>
            <w:vAlign w:val="center"/>
          </w:tcPr>
          <w:p>
            <w:pPr>
              <w:widowControl/>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投标保证金是否按招标文件要求缴纳；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w:t>
            </w:r>
          </w:p>
        </w:tc>
        <w:tc>
          <w:tcPr>
            <w:tcW w:w="1806" w:type="dxa"/>
            <w:vAlign w:val="center"/>
          </w:tcPr>
          <w:p>
            <w:pPr>
              <w:widowControl/>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rPr>
              <w:t>有效期</w:t>
            </w:r>
          </w:p>
        </w:tc>
        <w:tc>
          <w:tcPr>
            <w:tcW w:w="6266" w:type="dxa"/>
            <w:vAlign w:val="center"/>
          </w:tcPr>
          <w:p>
            <w:pPr>
              <w:widowControl/>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自投标</w:t>
            </w:r>
            <w:r>
              <w:rPr>
                <w:rFonts w:hint="eastAsia" w:ascii="宋体" w:hAnsi="宋体" w:eastAsia="宋体" w:cs="宋体"/>
                <w:kern w:val="0"/>
                <w:sz w:val="24"/>
                <w:szCs w:val="24"/>
                <w:highlight w:val="none"/>
              </w:rPr>
              <w:t>文件递交截止之日</w:t>
            </w:r>
            <w:r>
              <w:rPr>
                <w:rFonts w:hint="eastAsia" w:ascii="宋体" w:hAnsi="宋体" w:eastAsia="宋体" w:cs="宋体"/>
                <w:kern w:val="0"/>
                <w:sz w:val="24"/>
                <w:szCs w:val="24"/>
                <w:highlight w:val="none"/>
                <w:lang w:val="en-US" w:eastAsia="zh-CN"/>
              </w:rPr>
              <w:t>起不少于</w:t>
            </w:r>
            <w:r>
              <w:rPr>
                <w:rFonts w:hint="eastAsia" w:ascii="宋体" w:hAnsi="宋体" w:eastAsia="宋体" w:cs="宋体"/>
                <w:kern w:val="0"/>
                <w:sz w:val="24"/>
                <w:szCs w:val="24"/>
                <w:highlight w:val="none"/>
              </w:rPr>
              <w:t>90日历日</w:t>
            </w:r>
            <w:r>
              <w:rPr>
                <w:rFonts w:hint="eastAsia" w:ascii="宋体" w:hAnsi="宋体" w:eastAsia="宋体" w:cs="宋体"/>
                <w:kern w:val="0"/>
                <w:sz w:val="24"/>
                <w:szCs w:val="24"/>
                <w:highlight w:val="none"/>
                <w:lang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11.</w:t>
      </w:r>
      <w:r>
        <w:rPr>
          <w:rFonts w:hint="eastAsia" w:ascii="宋体" w:hAnsi="宋体" w:eastAsia="宋体" w:cs="宋体"/>
          <w:b/>
          <w:sz w:val="24"/>
          <w:szCs w:val="24"/>
          <w:highlight w:val="none"/>
        </w:rPr>
        <w:t>3评审</w:t>
      </w:r>
      <w:r>
        <w:rPr>
          <w:rFonts w:hint="eastAsia" w:ascii="宋体" w:hAnsi="宋体" w:eastAsia="宋体" w:cs="宋体"/>
          <w:b/>
          <w:sz w:val="24"/>
          <w:szCs w:val="24"/>
          <w:highlight w:val="none"/>
          <w:lang w:val="en-US" w:eastAsia="zh-CN"/>
        </w:rPr>
        <w:t>方法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各评审专家在充分审阅</w:t>
      </w: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文件的基础上，按照评审标准对每个</w:t>
      </w:r>
      <w:r>
        <w:rPr>
          <w:rFonts w:hint="eastAsia" w:ascii="宋体" w:hAnsi="宋体" w:eastAsia="宋体" w:cs="宋体"/>
          <w:sz w:val="24"/>
          <w:szCs w:val="24"/>
          <w:highlight w:val="none"/>
          <w:lang w:val="en-US" w:eastAsia="zh-CN"/>
        </w:rPr>
        <w:t>合格</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lang w:val="en-US" w:eastAsia="zh-CN"/>
        </w:rPr>
        <w:t>的投标文件</w:t>
      </w:r>
      <w:r>
        <w:rPr>
          <w:rFonts w:hint="eastAsia" w:ascii="宋体" w:hAnsi="宋体" w:eastAsia="宋体" w:cs="宋体"/>
          <w:sz w:val="24"/>
          <w:szCs w:val="24"/>
          <w:highlight w:val="none"/>
        </w:rPr>
        <w:t>进行</w:t>
      </w:r>
      <w:r>
        <w:rPr>
          <w:rFonts w:hint="eastAsia" w:ascii="宋体" w:hAnsi="宋体" w:eastAsia="宋体" w:cs="宋体"/>
          <w:sz w:val="24"/>
          <w:szCs w:val="24"/>
          <w:highlight w:val="none"/>
          <w:lang w:val="en-US" w:eastAsia="zh-CN"/>
        </w:rPr>
        <w:t>评</w:t>
      </w:r>
      <w:r>
        <w:rPr>
          <w:rFonts w:hint="eastAsia" w:ascii="宋体" w:hAnsi="宋体" w:eastAsia="宋体" w:cs="宋体"/>
          <w:sz w:val="24"/>
          <w:szCs w:val="24"/>
          <w:highlight w:val="none"/>
        </w:rPr>
        <w:t>分，评委评分算术平均值为各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的评审得分（小数点后保留2位有效数字），按评审得分由高到低顺序，推荐前三名为本项目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合同包</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中标候选</w:t>
      </w:r>
      <w:r>
        <w:rPr>
          <w:rFonts w:hint="eastAsia" w:ascii="宋体" w:hAnsi="宋体" w:eastAsia="宋体" w:cs="宋体"/>
          <w:sz w:val="24"/>
          <w:szCs w:val="24"/>
          <w:highlight w:val="none"/>
          <w:lang w:eastAsia="zh-CN"/>
        </w:rPr>
        <w:t>人（评审得分相同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11.3.1详细评审因素：</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color w:val="auto"/>
          <w:sz w:val="24"/>
          <w:szCs w:val="24"/>
          <w:highlight w:val="none"/>
          <w:lang w:val="en-US" w:eastAsia="zh-CN"/>
        </w:rPr>
        <w:t>合同包1</w:t>
      </w:r>
      <w:r>
        <w:rPr>
          <w:rFonts w:hint="eastAsia" w:ascii="宋体" w:hAnsi="宋体" w:eastAsia="宋体" w:cs="宋体"/>
          <w:b/>
          <w:bCs/>
          <w:sz w:val="24"/>
          <w:szCs w:val="24"/>
          <w:highlight w:val="none"/>
          <w:lang w:val="en-US" w:eastAsia="zh-CN"/>
        </w:rPr>
        <w:t>详细评审因素：</w:t>
      </w:r>
    </w:p>
    <w:tbl>
      <w:tblPr>
        <w:tblStyle w:val="24"/>
        <w:tblW w:w="48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681"/>
        <w:gridCol w:w="1185"/>
        <w:gridCol w:w="1082"/>
        <w:gridCol w:w="5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b/>
                <w:bCs/>
                <w:kern w:val="0"/>
                <w:sz w:val="21"/>
                <w:szCs w:val="21"/>
                <w:lang w:val="zh-CN" w:eastAsia="zh-CN"/>
              </w:rPr>
            </w:pPr>
          </w:p>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b/>
                <w:bCs/>
                <w:kern w:val="0"/>
                <w:sz w:val="21"/>
                <w:szCs w:val="21"/>
                <w:lang w:eastAsia="en-US"/>
              </w:rPr>
            </w:pPr>
            <w:r>
              <w:rPr>
                <w:rFonts w:hint="eastAsia" w:ascii="宋体" w:hAnsi="宋体" w:eastAsia="宋体" w:cs="宋体"/>
                <w:b/>
                <w:bCs/>
                <w:kern w:val="0"/>
                <w:sz w:val="21"/>
                <w:szCs w:val="21"/>
                <w:lang w:val="zh-CN" w:eastAsia="zh-CN"/>
              </w:rPr>
              <w:t>条款号</w:t>
            </w:r>
          </w:p>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b/>
                <w:bCs/>
                <w:kern w:val="0"/>
                <w:sz w:val="21"/>
                <w:szCs w:val="21"/>
                <w:lang w:eastAsia="en-US"/>
              </w:rPr>
            </w:pPr>
          </w:p>
        </w:tc>
        <w:tc>
          <w:tcPr>
            <w:tcW w:w="65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b/>
                <w:bCs/>
                <w:kern w:val="0"/>
                <w:sz w:val="21"/>
                <w:szCs w:val="21"/>
                <w:lang w:eastAsia="en-US"/>
              </w:rPr>
            </w:pPr>
            <w:r>
              <w:rPr>
                <w:rFonts w:hint="eastAsia" w:ascii="宋体" w:hAnsi="宋体" w:eastAsia="宋体" w:cs="宋体"/>
                <w:b/>
                <w:bCs/>
                <w:kern w:val="0"/>
                <w:sz w:val="21"/>
                <w:szCs w:val="21"/>
                <w:lang w:eastAsia="en-US"/>
              </w:rPr>
              <w:t>评分因素</w:t>
            </w:r>
          </w:p>
        </w:tc>
        <w:tc>
          <w:tcPr>
            <w:tcW w:w="5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b/>
                <w:bCs/>
                <w:kern w:val="0"/>
                <w:sz w:val="21"/>
                <w:szCs w:val="21"/>
                <w:lang w:eastAsia="en-US"/>
              </w:rPr>
            </w:pPr>
            <w:r>
              <w:rPr>
                <w:rFonts w:hint="eastAsia" w:ascii="宋体" w:hAnsi="宋体" w:eastAsia="宋体" w:cs="宋体"/>
                <w:b/>
                <w:bCs/>
                <w:kern w:val="0"/>
                <w:sz w:val="21"/>
                <w:szCs w:val="21"/>
                <w:lang w:eastAsia="en-US"/>
              </w:rPr>
              <w:t>标准分</w:t>
            </w:r>
          </w:p>
        </w:tc>
        <w:tc>
          <w:tcPr>
            <w:tcW w:w="30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b/>
                <w:bCs/>
                <w:kern w:val="0"/>
                <w:sz w:val="21"/>
                <w:szCs w:val="21"/>
                <w:lang w:eastAsia="en-US"/>
              </w:rPr>
            </w:pPr>
            <w:r>
              <w:rPr>
                <w:rFonts w:hint="eastAsia" w:ascii="宋体" w:hAnsi="宋体" w:eastAsia="宋体" w:cs="宋体"/>
                <w:b/>
                <w:bCs/>
                <w:kern w:val="0"/>
                <w:sz w:val="21"/>
                <w:szCs w:val="21"/>
                <w:lang w:eastAsia="en-US"/>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jc w:val="center"/>
        </w:trPr>
        <w:tc>
          <w:tcPr>
            <w:tcW w:w="33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eastAsia="en-US"/>
              </w:rPr>
            </w:pPr>
            <w:r>
              <w:rPr>
                <w:rFonts w:hint="eastAsia" w:ascii="宋体" w:hAnsi="宋体" w:eastAsia="宋体" w:cs="宋体"/>
                <w:kern w:val="0"/>
                <w:sz w:val="21"/>
                <w:szCs w:val="21"/>
                <w:lang w:eastAsia="en-US"/>
              </w:rPr>
              <w:t>1</w:t>
            </w:r>
          </w:p>
        </w:tc>
        <w:tc>
          <w:tcPr>
            <w:tcW w:w="37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zh-CN" w:eastAsia="zh-CN"/>
              </w:rPr>
              <w:t>价格</w:t>
            </w:r>
          </w:p>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eastAsia="en-US"/>
              </w:rPr>
            </w:pPr>
            <w:r>
              <w:rPr>
                <w:rFonts w:hint="eastAsia" w:ascii="宋体" w:hAnsi="宋体" w:eastAsia="宋体" w:cs="宋体"/>
                <w:kern w:val="0"/>
                <w:sz w:val="21"/>
                <w:szCs w:val="21"/>
                <w:lang w:val="zh-CN" w:eastAsia="zh-CN"/>
              </w:rPr>
              <w:t>评审</w:t>
            </w:r>
          </w:p>
        </w:tc>
        <w:tc>
          <w:tcPr>
            <w:tcW w:w="65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eastAsia="en-US"/>
              </w:rPr>
            </w:pPr>
            <w:r>
              <w:rPr>
                <w:rFonts w:hint="eastAsia" w:ascii="宋体" w:hAnsi="宋体" w:eastAsia="宋体" w:cs="宋体"/>
                <w:kern w:val="0"/>
                <w:sz w:val="21"/>
                <w:szCs w:val="21"/>
                <w:lang w:eastAsia="en-US"/>
              </w:rPr>
              <w:t>投标报价</w:t>
            </w:r>
          </w:p>
        </w:tc>
        <w:tc>
          <w:tcPr>
            <w:tcW w:w="5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eastAsia="en-US"/>
              </w:rPr>
            </w:pPr>
            <w:r>
              <w:rPr>
                <w:rFonts w:hint="eastAsia" w:ascii="宋体" w:hAnsi="宋体" w:eastAsia="宋体" w:cs="宋体"/>
                <w:kern w:val="0"/>
                <w:sz w:val="21"/>
                <w:szCs w:val="21"/>
                <w:lang w:eastAsia="en-US"/>
              </w:rPr>
              <w:t>10分</w:t>
            </w:r>
          </w:p>
        </w:tc>
        <w:tc>
          <w:tcPr>
            <w:tcW w:w="30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满足招标文件要求且投标报价最低的为基准价，其价格分为满分10分。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en-US" w:eastAsia="zh-CN"/>
              </w:rPr>
              <w:t>投标人报价得分=（有效最低投标报价/该投标人报价）×10。</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注：对符合规定的小微企业报价给予10%的扣除，用扣除后的价格参加评审。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335" w:type="pct"/>
            <w:vMerge w:val="restar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375" w:type="pct"/>
            <w:vMerge w:val="restar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eastAsia="en-US"/>
              </w:rPr>
            </w:pPr>
            <w:r>
              <w:rPr>
                <w:rFonts w:hint="eastAsia" w:ascii="宋体" w:hAnsi="宋体" w:eastAsia="宋体" w:cs="宋体"/>
                <w:kern w:val="0"/>
                <w:sz w:val="21"/>
                <w:szCs w:val="21"/>
              </w:rPr>
              <w:t>商务部分</w:t>
            </w:r>
          </w:p>
        </w:tc>
        <w:tc>
          <w:tcPr>
            <w:tcW w:w="654"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业绩</w:t>
            </w:r>
          </w:p>
        </w:tc>
        <w:tc>
          <w:tcPr>
            <w:tcW w:w="597"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w:t>
            </w:r>
          </w:p>
        </w:tc>
        <w:tc>
          <w:tcPr>
            <w:tcW w:w="30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rPr>
              <w:t>提供近</w:t>
            </w:r>
            <w:r>
              <w:rPr>
                <w:rFonts w:hint="eastAsia" w:ascii="宋体" w:hAnsi="宋体" w:eastAsia="宋体" w:cs="宋体"/>
                <w:kern w:val="0"/>
                <w:sz w:val="21"/>
                <w:szCs w:val="21"/>
                <w:lang w:val="en-US" w:eastAsia="zh-CN"/>
              </w:rPr>
              <w:t>三</w:t>
            </w:r>
            <w:r>
              <w:rPr>
                <w:rFonts w:hint="eastAsia" w:ascii="宋体" w:hAnsi="宋体" w:eastAsia="宋体" w:cs="宋体"/>
                <w:kern w:val="0"/>
                <w:sz w:val="21"/>
                <w:szCs w:val="21"/>
              </w:rPr>
              <w:t>年（202</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月至今）</w:t>
            </w:r>
            <w:r>
              <w:rPr>
                <w:rFonts w:hint="eastAsia" w:ascii="宋体" w:hAnsi="宋体" w:eastAsia="宋体" w:cs="宋体"/>
                <w:kern w:val="0"/>
                <w:sz w:val="21"/>
                <w:szCs w:val="21"/>
                <w:lang w:eastAsia="zh-CN"/>
              </w:rPr>
              <w:t>类似</w:t>
            </w:r>
            <w:r>
              <w:rPr>
                <w:rFonts w:hint="eastAsia" w:ascii="宋体" w:hAnsi="宋体" w:eastAsia="宋体" w:cs="宋体"/>
                <w:kern w:val="0"/>
                <w:sz w:val="21"/>
                <w:szCs w:val="21"/>
              </w:rPr>
              <w:t>项目业绩，每提供一份案例合同得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分，满分</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rPr>
              <w:t>注：须提供与投标人签订的合同复印件并加盖投标人公章，否则不得分。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335"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rPr>
            </w:pPr>
          </w:p>
        </w:tc>
        <w:tc>
          <w:tcPr>
            <w:tcW w:w="375"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rPr>
            </w:pPr>
          </w:p>
        </w:tc>
        <w:tc>
          <w:tcPr>
            <w:tcW w:w="654"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履约能力</w:t>
            </w:r>
          </w:p>
        </w:tc>
        <w:tc>
          <w:tcPr>
            <w:tcW w:w="597"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firstLine="0" w:firstLineChars="0"/>
              <w:jc w:val="center"/>
              <w:rPr>
                <w:rFonts w:hint="eastAsia" w:ascii="宋体" w:hAnsi="宋体" w:eastAsia="宋体" w:cs="宋体"/>
                <w:kern w:val="0"/>
                <w:sz w:val="21"/>
                <w:szCs w:val="21"/>
                <w:lang w:val="en-US" w:eastAsia="zh-CN"/>
              </w:rPr>
            </w:pPr>
            <w:r>
              <w:rPr>
                <w:rFonts w:hint="eastAsia" w:cs="宋体"/>
                <w:kern w:val="0"/>
                <w:sz w:val="21"/>
                <w:szCs w:val="21"/>
                <w:lang w:val="en-US" w:eastAsia="zh-CN"/>
              </w:rPr>
              <w:t>3</w:t>
            </w:r>
            <w:r>
              <w:rPr>
                <w:rFonts w:hint="eastAsia" w:ascii="宋体" w:hAnsi="宋体" w:eastAsia="宋体" w:cs="宋体"/>
                <w:kern w:val="0"/>
                <w:sz w:val="21"/>
                <w:szCs w:val="21"/>
                <w:lang w:val="en-US" w:eastAsia="zh-CN"/>
              </w:rPr>
              <w:t>分</w:t>
            </w:r>
          </w:p>
        </w:tc>
        <w:tc>
          <w:tcPr>
            <w:tcW w:w="30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rPr>
              <w:t>1、为确保项目信息安全，投标人具备信息安全服务资质认证证书（含信息系统安全集成服务、软件安全开发服务、信息系统安全运维服务）三级及以上，同时满足的计1.5分，其他不得分。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rPr>
                <w:rFonts w:hint="eastAsia" w:ascii="宋体" w:hAnsi="宋体" w:eastAsia="宋体" w:cs="宋体"/>
                <w:kern w:val="0"/>
                <w:sz w:val="21"/>
                <w:szCs w:val="21"/>
              </w:rPr>
            </w:pPr>
            <w:r>
              <w:rPr>
                <w:rFonts w:hint="eastAsia" w:ascii="宋体" w:hAnsi="宋体" w:eastAsia="宋体" w:cs="宋体"/>
                <w:kern w:val="0"/>
                <w:sz w:val="21"/>
                <w:szCs w:val="21"/>
              </w:rPr>
              <w:t>2、为确保项目在软件开发、系统集成和运行维护方面的综合考量，投标人具备信息系统建设和服务能力等级证书CS2及以上、ITSS信息技术服务标准符合性证书二级及以上、软件能力成熟度模型CMMI(5级)认证证书，同时满足的计1.5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jc w:val="center"/>
        </w:trPr>
        <w:tc>
          <w:tcPr>
            <w:tcW w:w="335" w:type="pct"/>
            <w:vMerge w:val="restar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375" w:type="pct"/>
            <w:vMerge w:val="restar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技术部分</w:t>
            </w:r>
          </w:p>
        </w:tc>
        <w:tc>
          <w:tcPr>
            <w:tcW w:w="1185" w:type="dxa"/>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对项目的理解</w:t>
            </w:r>
          </w:p>
        </w:tc>
        <w:tc>
          <w:tcPr>
            <w:tcW w:w="1082" w:type="dxa"/>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firstLine="0" w:firstLineChars="0"/>
              <w:jc w:val="center"/>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rPr>
              <w:t>1</w:t>
            </w:r>
            <w:r>
              <w:rPr>
                <w:rFonts w:hint="eastAsia" w:cs="宋体"/>
                <w:kern w:val="0"/>
                <w:sz w:val="21"/>
                <w:szCs w:val="21"/>
                <w:lang w:val="en-US" w:eastAsia="zh-CN"/>
              </w:rPr>
              <w:t>2</w:t>
            </w:r>
            <w:r>
              <w:rPr>
                <w:rFonts w:hint="eastAsia" w:ascii="宋体" w:hAnsi="宋体" w:eastAsia="宋体" w:cs="宋体"/>
                <w:kern w:val="0"/>
                <w:sz w:val="21"/>
                <w:szCs w:val="21"/>
                <w:lang w:val="en-US" w:eastAsia="zh-CN"/>
              </w:rPr>
              <w:t>分</w:t>
            </w:r>
          </w:p>
        </w:tc>
        <w:tc>
          <w:tcPr>
            <w:tcW w:w="55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对陕西省公共就业信息化规范和政策基础得熟悉程度，结合陕西省公共就业服务信息系统、延安人社现有公共服务系统建设现状，根据投标人提供的</w:t>
            </w:r>
            <w:r>
              <w:rPr>
                <w:rFonts w:hint="eastAsia" w:cs="宋体"/>
                <w:color w:val="000000" w:themeColor="text1"/>
                <w:kern w:val="0"/>
                <w:sz w:val="21"/>
                <w:szCs w:val="21"/>
                <w:lang w:val="en-US" w:eastAsia="zh-CN"/>
                <w14:textFill>
                  <w14:solidFill>
                    <w14:schemeClr w14:val="tx1"/>
                  </w14:solidFill>
                </w14:textFill>
              </w:rPr>
              <w:t>：1、</w:t>
            </w:r>
            <w:r>
              <w:rPr>
                <w:rFonts w:hint="eastAsia" w:ascii="宋体" w:hAnsi="宋体" w:eastAsia="宋体" w:cs="宋体"/>
                <w:color w:val="000000" w:themeColor="text1"/>
                <w:kern w:val="0"/>
                <w:sz w:val="21"/>
                <w:szCs w:val="21"/>
                <w:lang w:val="en-US" w:eastAsia="zh-CN"/>
                <w14:textFill>
                  <w14:solidFill>
                    <w14:schemeClr w14:val="tx1"/>
                  </w14:solidFill>
                </w14:textFill>
              </w:rPr>
              <w:t>现状描述、建设目标理解</w:t>
            </w:r>
            <w:r>
              <w:rPr>
                <w:rFonts w:hint="eastAsia" w:cs="宋体"/>
                <w:color w:val="000000" w:themeColor="text1"/>
                <w:kern w:val="0"/>
                <w:sz w:val="21"/>
                <w:szCs w:val="21"/>
                <w:lang w:val="en-US" w:eastAsia="zh-CN"/>
                <w14:textFill>
                  <w14:solidFill>
                    <w14:schemeClr w14:val="tx1"/>
                  </w14:solidFill>
                </w14:textFill>
              </w:rPr>
              <w:t>；2、</w:t>
            </w:r>
            <w:r>
              <w:rPr>
                <w:rFonts w:hint="eastAsia" w:ascii="宋体" w:hAnsi="宋体" w:eastAsia="宋体" w:cs="宋体"/>
                <w:color w:val="000000" w:themeColor="text1"/>
                <w:kern w:val="0"/>
                <w:sz w:val="21"/>
                <w:szCs w:val="21"/>
                <w:lang w:val="en-US" w:eastAsia="zh-CN"/>
                <w14:textFill>
                  <w14:solidFill>
                    <w14:schemeClr w14:val="tx1"/>
                  </w14:solidFill>
                </w14:textFill>
              </w:rPr>
              <w:t>业务功能分析</w:t>
            </w:r>
            <w:r>
              <w:rPr>
                <w:rFonts w:hint="eastAsia" w:cs="宋体"/>
                <w:color w:val="000000" w:themeColor="text1"/>
                <w:kern w:val="0"/>
                <w:sz w:val="21"/>
                <w:szCs w:val="21"/>
                <w:lang w:val="en-US" w:eastAsia="zh-CN"/>
                <w14:textFill>
                  <w14:solidFill>
                    <w14:schemeClr w14:val="tx1"/>
                  </w14:solidFill>
                </w14:textFill>
              </w:rPr>
              <w:t>；3、</w:t>
            </w:r>
            <w:r>
              <w:rPr>
                <w:rFonts w:hint="eastAsia" w:ascii="宋体" w:hAnsi="宋体" w:eastAsia="宋体" w:cs="宋体"/>
                <w:color w:val="000000" w:themeColor="text1"/>
                <w:kern w:val="0"/>
                <w:sz w:val="21"/>
                <w:szCs w:val="21"/>
                <w:lang w:val="en-US" w:eastAsia="zh-CN"/>
                <w14:textFill>
                  <w14:solidFill>
                    <w14:schemeClr w14:val="tx1"/>
                  </w14:solidFill>
                </w14:textFill>
              </w:rPr>
              <w:t>业务流程分析</w:t>
            </w:r>
            <w:r>
              <w:rPr>
                <w:rFonts w:hint="eastAsia" w:cs="宋体"/>
                <w:color w:val="000000" w:themeColor="text1"/>
                <w:kern w:val="0"/>
                <w:sz w:val="21"/>
                <w:szCs w:val="21"/>
                <w:lang w:val="en-US" w:eastAsia="zh-CN"/>
                <w14:textFill>
                  <w14:solidFill>
                    <w14:schemeClr w14:val="tx1"/>
                  </w14:solidFill>
                </w14:textFill>
              </w:rPr>
              <w:t>；4、</w:t>
            </w:r>
            <w:r>
              <w:rPr>
                <w:rFonts w:hint="eastAsia" w:ascii="宋体" w:hAnsi="宋体" w:eastAsia="宋体" w:cs="宋体"/>
                <w:color w:val="000000" w:themeColor="text1"/>
                <w:kern w:val="0"/>
                <w:sz w:val="21"/>
                <w:szCs w:val="21"/>
                <w:lang w:val="en-US" w:eastAsia="zh-CN"/>
                <w14:textFill>
                  <w14:solidFill>
                    <w14:schemeClr w14:val="tx1"/>
                  </w14:solidFill>
                </w14:textFill>
              </w:rPr>
              <w:t>数据库资源和应用资源分析进行综合评分。</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投标人对以上</w:t>
            </w:r>
            <w:r>
              <w:rPr>
                <w:rFonts w:hint="eastAsia" w:cs="宋体"/>
                <w:color w:val="000000" w:themeColor="text1"/>
                <w:kern w:val="0"/>
                <w:sz w:val="21"/>
                <w:szCs w:val="21"/>
                <w:lang w:val="en-US" w:eastAsia="zh-CN" w:bidi="ar-SA"/>
                <w14:textFill>
                  <w14:solidFill>
                    <w14:schemeClr w14:val="tx1"/>
                  </w14:solidFill>
                </w14:textFill>
              </w:rPr>
              <w:t>4</w:t>
            </w:r>
            <w:r>
              <w:rPr>
                <w:rFonts w:hint="eastAsia" w:ascii="宋体" w:hAnsi="宋体" w:eastAsia="宋体" w:cs="宋体"/>
                <w:color w:val="000000" w:themeColor="text1"/>
                <w:kern w:val="0"/>
                <w:sz w:val="21"/>
                <w:szCs w:val="21"/>
                <w:lang w:val="en-US" w:eastAsia="zh-CN" w:bidi="ar-SA"/>
                <w14:textFill>
                  <w14:solidFill>
                    <w14:schemeClr w14:val="tx1"/>
                  </w14:solidFill>
                </w14:textFill>
              </w:rPr>
              <w:t>项进行方案设计描述，依据投标人对相关内容的设计响应情况逐项赋分，每项方案完全符合项目实际需求，设计系统完备、分析准确、描述详细，得3 分；每项方案基本符合项目实际需求，设计系统不缺项、分析较准确，描述合理的得2分，每项方案脱离项目实际需求，设计系统不完整，描述较差，得1 分；未提供相关内容不得分。</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5"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375"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1185" w:type="dxa"/>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总体设计</w:t>
            </w:r>
          </w:p>
        </w:tc>
        <w:tc>
          <w:tcPr>
            <w:tcW w:w="1082" w:type="dxa"/>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15分</w:t>
            </w:r>
          </w:p>
        </w:tc>
        <w:tc>
          <w:tcPr>
            <w:tcW w:w="55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投标人需结合全省公共就业“一库一平台”对本项目进行总体设计。提供内容包括不限于</w:t>
            </w:r>
            <w:r>
              <w:rPr>
                <w:rFonts w:hint="eastAsia" w:cs="宋体"/>
                <w:color w:val="000000" w:themeColor="text1"/>
                <w:kern w:val="0"/>
                <w:sz w:val="21"/>
                <w:szCs w:val="21"/>
                <w:lang w:val="en-US" w:eastAsia="zh-CN"/>
                <w14:textFill>
                  <w14:solidFill>
                    <w14:schemeClr w14:val="tx1"/>
                  </w14:solidFill>
                </w14:textFill>
              </w:rPr>
              <w:t>：1、</w:t>
            </w:r>
            <w:r>
              <w:rPr>
                <w:rFonts w:hint="eastAsia" w:ascii="宋体" w:hAnsi="宋体" w:eastAsia="宋体" w:cs="宋体"/>
                <w:color w:val="000000" w:themeColor="text1"/>
                <w:kern w:val="0"/>
                <w:sz w:val="21"/>
                <w:szCs w:val="21"/>
                <w:lang w:val="en-US" w:eastAsia="zh-CN"/>
                <w14:textFill>
                  <w14:solidFill>
                    <w14:schemeClr w14:val="tx1"/>
                  </w14:solidFill>
                </w14:textFill>
              </w:rPr>
              <w:t>系统总体架构</w:t>
            </w:r>
            <w:r>
              <w:rPr>
                <w:rFonts w:hint="eastAsia" w:cs="宋体"/>
                <w:color w:val="000000" w:themeColor="text1"/>
                <w:kern w:val="0"/>
                <w:sz w:val="21"/>
                <w:szCs w:val="21"/>
                <w:lang w:val="en-US" w:eastAsia="zh-CN"/>
                <w14:textFill>
                  <w14:solidFill>
                    <w14:schemeClr w14:val="tx1"/>
                  </w14:solidFill>
                </w14:textFill>
              </w:rPr>
              <w:t>；2、</w:t>
            </w:r>
            <w:r>
              <w:rPr>
                <w:rFonts w:hint="eastAsia" w:ascii="宋体" w:hAnsi="宋体" w:eastAsia="宋体" w:cs="宋体"/>
                <w:color w:val="000000" w:themeColor="text1"/>
                <w:kern w:val="0"/>
                <w:sz w:val="21"/>
                <w:szCs w:val="21"/>
                <w:lang w:val="en-US" w:eastAsia="zh-CN"/>
                <w14:textFill>
                  <w14:solidFill>
                    <w14:schemeClr w14:val="tx1"/>
                  </w14:solidFill>
                </w14:textFill>
              </w:rPr>
              <w:t>数据架构</w:t>
            </w:r>
            <w:r>
              <w:rPr>
                <w:rFonts w:hint="eastAsia" w:cs="宋体"/>
                <w:color w:val="000000" w:themeColor="text1"/>
                <w:kern w:val="0"/>
                <w:sz w:val="21"/>
                <w:szCs w:val="21"/>
                <w:lang w:val="en-US" w:eastAsia="zh-CN"/>
                <w14:textFill>
                  <w14:solidFill>
                    <w14:schemeClr w14:val="tx1"/>
                  </w14:solidFill>
                </w14:textFill>
              </w:rPr>
              <w:t>；3、</w:t>
            </w:r>
            <w:r>
              <w:rPr>
                <w:rFonts w:hint="eastAsia" w:ascii="宋体" w:hAnsi="宋体" w:eastAsia="宋体" w:cs="宋体"/>
                <w:color w:val="000000" w:themeColor="text1"/>
                <w:kern w:val="0"/>
                <w:sz w:val="21"/>
                <w:szCs w:val="21"/>
                <w:lang w:val="en-US" w:eastAsia="zh-CN"/>
                <w14:textFill>
                  <w14:solidFill>
                    <w14:schemeClr w14:val="tx1"/>
                  </w14:solidFill>
                </w14:textFill>
              </w:rPr>
              <w:t>技术架构</w:t>
            </w:r>
            <w:r>
              <w:rPr>
                <w:rFonts w:hint="eastAsia" w:cs="宋体"/>
                <w:color w:val="000000" w:themeColor="text1"/>
                <w:kern w:val="0"/>
                <w:sz w:val="21"/>
                <w:szCs w:val="21"/>
                <w:lang w:val="en-US" w:eastAsia="zh-CN"/>
                <w14:textFill>
                  <w14:solidFill>
                    <w14:schemeClr w14:val="tx1"/>
                  </w14:solidFill>
                </w14:textFill>
              </w:rPr>
              <w:t>；4、</w:t>
            </w:r>
            <w:r>
              <w:rPr>
                <w:rFonts w:hint="eastAsia" w:ascii="宋体" w:hAnsi="宋体" w:eastAsia="宋体" w:cs="宋体"/>
                <w:color w:val="000000" w:themeColor="text1"/>
                <w:kern w:val="0"/>
                <w:sz w:val="21"/>
                <w:szCs w:val="21"/>
                <w:lang w:val="en-US" w:eastAsia="zh-CN"/>
                <w14:textFill>
                  <w14:solidFill>
                    <w14:schemeClr w14:val="tx1"/>
                  </w14:solidFill>
                </w14:textFill>
              </w:rPr>
              <w:t>部署架构</w:t>
            </w:r>
            <w:r>
              <w:rPr>
                <w:rFonts w:hint="eastAsia" w:cs="宋体"/>
                <w:color w:val="000000" w:themeColor="text1"/>
                <w:kern w:val="0"/>
                <w:sz w:val="21"/>
                <w:szCs w:val="21"/>
                <w:lang w:val="en-US" w:eastAsia="zh-CN"/>
                <w14:textFill>
                  <w14:solidFill>
                    <w14:schemeClr w14:val="tx1"/>
                  </w14:solidFill>
                </w14:textFill>
              </w:rPr>
              <w:t>；5、</w:t>
            </w:r>
            <w:r>
              <w:rPr>
                <w:rFonts w:hint="eastAsia" w:ascii="宋体" w:hAnsi="宋体" w:eastAsia="宋体" w:cs="宋体"/>
                <w:color w:val="000000" w:themeColor="text1"/>
                <w:kern w:val="0"/>
                <w:sz w:val="21"/>
                <w:szCs w:val="21"/>
                <w:lang w:val="en-US" w:eastAsia="zh-CN"/>
                <w14:textFill>
                  <w14:solidFill>
                    <w14:schemeClr w14:val="tx1"/>
                  </w14:solidFill>
                </w14:textFill>
              </w:rPr>
              <w:t>系统安全设计。</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投标人对以上5项进行方案设计描述，依据投标人对相关内容的设计响应情况逐项赋分，每项方案完全符合项目实际需求，设计系统完备、分析准确、描述详细，得3 分；每项方案基本符合项目实际需求，设计系统不缺项、分析较准确，描述合理得2分，每项方案脱离项目实际需求，设计系统不完整，描述较差，得1 分；未提供相关内容不得分。</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335"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375"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654"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业务应用详细设计</w:t>
            </w:r>
          </w:p>
        </w:tc>
        <w:tc>
          <w:tcPr>
            <w:tcW w:w="597"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24分</w:t>
            </w:r>
          </w:p>
        </w:tc>
        <w:tc>
          <w:tcPr>
            <w:tcW w:w="30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1、结合延安市实际对公共就业服务子系统（小程序端和自助服务端）提出详细的公共服务系统升级改造设计思路、服务事项设计。</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2、结合延安市实际针对公共就业经办子系统中重点群体人群精准帮扶进行全流程设计，详细描述重点群体人群精准帮扶分级规则、与省就业系统和本地系统对接设计，并提供具体业务流程设计和相关系统设计。</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3、结合延安市实际针对基层就业办公系统进行全流程设计，详细描述工作人员用户体系对接设计、数据权限设置，并提供具体业务流程设计和相关系统设计。</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4、结合延安市实际针对公共就业监测进行多方位统计分析，详细描述人社主要业务监测数据统计看板、就业监测、就业资金风险防控、公共就业指挥调度。</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5、针对延安市劳动力资源库数据的来源和动态更新进行设计，在延安本地形成主题库、核心业务库以及公共服务明细库，并提供数据来源分析、数据分析指标。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6、结合延安市及各区县实际情况针对信息发布系统进行相关软硬件统筹管理应用设计，围绕市级统筹、区县适配、集约共享、安全可控、场景赋能原则提供详细设计。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7、结合延安市及各区县实际情况针对智慧仲裁系统进行相关软硬件统筹管理应用设计，围绕市级统筹、区县适配、集约共享、安全可控、场景赋能原则提供详细设计。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8、结合延安市及各区县实际情况针对安防系统进行相关软硬件统筹管理应用设计，围绕市级统筹、区县适配、集约共享、安全可控、场景赋能原则提供详细设计。</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投标人对以上8项进行方案设计描述，依据投标人对相关内容的设计响应情况逐项赋分，每项方案完全符合项目实际需求，设计系统完备、分析准确、描述详细，得3 分；</w:t>
            </w:r>
            <w:r>
              <w:rPr>
                <w:rFonts w:hint="eastAsia" w:ascii="宋体" w:hAnsi="宋体" w:eastAsia="宋体" w:cs="宋体"/>
                <w:color w:val="000000" w:themeColor="text1"/>
                <w:kern w:val="0"/>
                <w:sz w:val="21"/>
                <w:szCs w:val="21"/>
                <w:lang w:val="en-US" w:eastAsia="zh-CN" w:bidi="ar-SA"/>
                <w14:textFill>
                  <w14:solidFill>
                    <w14:schemeClr w14:val="tx1"/>
                  </w14:solidFill>
                </w14:textFill>
              </w:rPr>
              <w:t>每项</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方案基本符合项目实际需求，设计系统不缺项、分析较准确，描述合理得2分，</w:t>
            </w:r>
            <w:r>
              <w:rPr>
                <w:rFonts w:hint="eastAsia" w:ascii="宋体" w:hAnsi="宋体" w:eastAsia="宋体" w:cs="宋体"/>
                <w:color w:val="000000" w:themeColor="text1"/>
                <w:kern w:val="0"/>
                <w:sz w:val="21"/>
                <w:szCs w:val="21"/>
                <w:lang w:val="en-US" w:eastAsia="zh-CN" w:bidi="ar-SA"/>
                <w14:textFill>
                  <w14:solidFill>
                    <w14:schemeClr w14:val="tx1"/>
                  </w14:solidFill>
                </w14:textFill>
              </w:rPr>
              <w:t>每项</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方案脱离项目实际需求，设计系统不完整，描述较差，得1 分；未提供相关内容不得分。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335"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375"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1185" w:type="dxa"/>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firstLine="0" w:firstLineChars="0"/>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lang w:val="en-US" w:eastAsia="zh-CN"/>
              </w:rPr>
              <w:t>技术实施方案</w:t>
            </w:r>
          </w:p>
        </w:tc>
        <w:tc>
          <w:tcPr>
            <w:tcW w:w="1082" w:type="dxa"/>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firstLine="0" w:firstLineChars="0"/>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lang w:val="en-US" w:eastAsia="zh-CN"/>
              </w:rPr>
              <w:t>6分</w:t>
            </w:r>
          </w:p>
        </w:tc>
        <w:tc>
          <w:tcPr>
            <w:tcW w:w="55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针对本项目拟定完善的技术实施方案，至少包括：</w:t>
            </w:r>
            <w:r>
              <w:rPr>
                <w:rFonts w:hint="eastAsia"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项目实施计划安排</w:t>
            </w:r>
            <w:r>
              <w:rPr>
                <w:rFonts w:hint="eastAsia"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项目实施人员责任分配方案</w:t>
            </w:r>
            <w:r>
              <w:rPr>
                <w:rFonts w:hint="eastAsia" w:cs="宋体"/>
                <w:i w:val="0"/>
                <w:iCs w:val="0"/>
                <w:color w:val="000000" w:themeColor="text1"/>
                <w:kern w:val="0"/>
                <w:sz w:val="21"/>
                <w:szCs w:val="21"/>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软件测试与验收方案。</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投标人对以上3项进行方案设计描述，依据投标人对相关内容的设计响应情况逐项赋分，</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每项</w:t>
            </w:r>
            <w:r>
              <w:rPr>
                <w:rFonts w:hint="eastAsia" w:ascii="宋体" w:hAnsi="宋体" w:eastAsia="宋体" w:cs="宋体"/>
                <w:color w:val="000000" w:themeColor="text1"/>
                <w:kern w:val="0"/>
                <w:sz w:val="21"/>
                <w:szCs w:val="21"/>
                <w:lang w:val="en-US" w:eastAsia="zh-CN" w:bidi="ar-SA"/>
                <w14:textFill>
                  <w14:solidFill>
                    <w14:schemeClr w14:val="tx1"/>
                  </w14:solidFill>
                </w14:textFill>
              </w:rPr>
              <w:t>方案完全符合项目实际需求，设计系统完备、分析准确、描述详细，得2 分；</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每项</w:t>
            </w:r>
            <w:r>
              <w:rPr>
                <w:rFonts w:hint="eastAsia" w:ascii="宋体" w:hAnsi="宋体" w:eastAsia="宋体" w:cs="宋体"/>
                <w:color w:val="000000" w:themeColor="text1"/>
                <w:kern w:val="0"/>
                <w:sz w:val="21"/>
                <w:szCs w:val="21"/>
                <w:lang w:val="en-US" w:eastAsia="zh-CN" w:bidi="ar-SA"/>
                <w14:textFill>
                  <w14:solidFill>
                    <w14:schemeClr w14:val="tx1"/>
                  </w14:solidFill>
                </w14:textFill>
              </w:rPr>
              <w:t>方案基本符合项目实际需求，设计系统不缺项、分析较准确，描述合理得1分，</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每项</w:t>
            </w:r>
            <w:r>
              <w:rPr>
                <w:rFonts w:hint="eastAsia" w:ascii="宋体" w:hAnsi="宋体" w:eastAsia="宋体" w:cs="宋体"/>
                <w:color w:val="000000" w:themeColor="text1"/>
                <w:kern w:val="0"/>
                <w:sz w:val="21"/>
                <w:szCs w:val="21"/>
                <w:lang w:val="en-US" w:eastAsia="zh-CN" w:bidi="ar-SA"/>
                <w14:textFill>
                  <w14:solidFill>
                    <w14:schemeClr w14:val="tx1"/>
                  </w14:solidFill>
                </w14:textFill>
              </w:rPr>
              <w:t>方案脱离项目实际需求，设计系统不完整，描述较差，得0.5 分；未提供相关内容不得分。</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jc w:val="center"/>
        </w:trPr>
        <w:tc>
          <w:tcPr>
            <w:tcW w:w="335"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375"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质量保证与风险管理及培训方案</w:t>
            </w:r>
          </w:p>
        </w:tc>
        <w:tc>
          <w:tcPr>
            <w:tcW w:w="10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6分</w:t>
            </w:r>
          </w:p>
        </w:tc>
        <w:tc>
          <w:tcPr>
            <w:tcW w:w="55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针对本项目拟定完善的</w:t>
            </w:r>
            <w:r>
              <w:rPr>
                <w:rFonts w:hint="eastAsia"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软件开发质量保证方案</w:t>
            </w:r>
            <w:r>
              <w:rPr>
                <w:rFonts w:hint="eastAsia"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风险管理方案</w:t>
            </w:r>
            <w:r>
              <w:rPr>
                <w:rFonts w:hint="eastAsia" w:cs="宋体"/>
                <w:i w:val="0"/>
                <w:iCs w:val="0"/>
                <w:color w:val="000000" w:themeColor="text1"/>
                <w:kern w:val="0"/>
                <w:sz w:val="21"/>
                <w:szCs w:val="21"/>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项目培训方案。</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投标人对以上3项进行方案设计描述，依据投标人对相关内容的设计响应情况逐项赋分，</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每项</w:t>
            </w:r>
            <w:r>
              <w:rPr>
                <w:rFonts w:hint="eastAsia" w:ascii="宋体" w:hAnsi="宋体" w:eastAsia="宋体" w:cs="宋体"/>
                <w:color w:val="000000" w:themeColor="text1"/>
                <w:kern w:val="0"/>
                <w:sz w:val="21"/>
                <w:szCs w:val="21"/>
                <w:lang w:val="en-US" w:eastAsia="zh-CN" w:bidi="ar-SA"/>
                <w14:textFill>
                  <w14:solidFill>
                    <w14:schemeClr w14:val="tx1"/>
                  </w14:solidFill>
                </w14:textFill>
              </w:rPr>
              <w:t>方案完全符合项目实际需求，设计系统完备、分析准确、描述详细，得2分；</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每项</w:t>
            </w:r>
            <w:r>
              <w:rPr>
                <w:rFonts w:hint="eastAsia" w:ascii="宋体" w:hAnsi="宋体" w:eastAsia="宋体" w:cs="宋体"/>
                <w:color w:val="000000" w:themeColor="text1"/>
                <w:kern w:val="0"/>
                <w:sz w:val="21"/>
                <w:szCs w:val="21"/>
                <w:lang w:val="en-US" w:eastAsia="zh-CN" w:bidi="ar-SA"/>
                <w14:textFill>
                  <w14:solidFill>
                    <w14:schemeClr w14:val="tx1"/>
                  </w14:solidFill>
                </w14:textFill>
              </w:rPr>
              <w:t>方案基本符合项目实际需求，设计系统不缺项、分析较准确，描述合理得1分，</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每项</w:t>
            </w:r>
            <w:r>
              <w:rPr>
                <w:rFonts w:hint="eastAsia" w:ascii="宋体" w:hAnsi="宋体" w:eastAsia="宋体" w:cs="宋体"/>
                <w:color w:val="000000" w:themeColor="text1"/>
                <w:kern w:val="0"/>
                <w:sz w:val="21"/>
                <w:szCs w:val="21"/>
                <w:lang w:val="en-US" w:eastAsia="zh-CN" w:bidi="ar-SA"/>
                <w14:textFill>
                  <w14:solidFill>
                    <w14:schemeClr w14:val="tx1"/>
                  </w14:solidFill>
                </w14:textFill>
              </w:rPr>
              <w:t>方案脱离项目实际需求，设计系统不完整，描述较差，得0.5 分；未提供相关内容不得分。</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jc w:val="center"/>
        </w:trPr>
        <w:tc>
          <w:tcPr>
            <w:tcW w:w="335"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375"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运维服务实施方案</w:t>
            </w:r>
          </w:p>
        </w:tc>
        <w:tc>
          <w:tcPr>
            <w:tcW w:w="10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firstLine="0" w:firstLineChars="0"/>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lang w:val="en-US" w:eastAsia="zh-CN"/>
              </w:rPr>
              <w:t>8分</w:t>
            </w:r>
          </w:p>
        </w:tc>
        <w:tc>
          <w:tcPr>
            <w:tcW w:w="55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针对本项目拟定完善的运维服务实施方案， 至少包括：</w:t>
            </w:r>
            <w:r>
              <w:rPr>
                <w:rFonts w:hint="eastAsia"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项目运维管理制度</w:t>
            </w:r>
            <w:r>
              <w:rPr>
                <w:rFonts w:hint="eastAsia"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信息系统运维服务分项实施方案</w:t>
            </w:r>
            <w:r>
              <w:rPr>
                <w:rFonts w:hint="eastAsia" w:cs="宋体"/>
                <w:i w:val="0"/>
                <w:iCs w:val="0"/>
                <w:color w:val="000000" w:themeColor="text1"/>
                <w:kern w:val="0"/>
                <w:sz w:val="21"/>
                <w:szCs w:val="21"/>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服务质量保障方案</w:t>
            </w:r>
            <w:r>
              <w:rPr>
                <w:rFonts w:hint="eastAsia" w:cs="宋体"/>
                <w:i w:val="0"/>
                <w:iCs w:val="0"/>
                <w:color w:val="000000" w:themeColor="text1"/>
                <w:kern w:val="0"/>
                <w:sz w:val="21"/>
                <w:szCs w:val="21"/>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运维团队人员。</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投标人对以上4项进行方案设计描述，依据投标人对相关内容的设计响应情况逐项赋分，</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每项</w:t>
            </w:r>
            <w:r>
              <w:rPr>
                <w:rFonts w:hint="eastAsia" w:ascii="宋体" w:hAnsi="宋体" w:eastAsia="宋体" w:cs="宋体"/>
                <w:color w:val="000000" w:themeColor="text1"/>
                <w:kern w:val="0"/>
                <w:sz w:val="21"/>
                <w:szCs w:val="21"/>
                <w:lang w:val="en-US" w:eastAsia="zh-CN" w:bidi="ar-SA"/>
                <w14:textFill>
                  <w14:solidFill>
                    <w14:schemeClr w14:val="tx1"/>
                  </w14:solidFill>
                </w14:textFill>
              </w:rPr>
              <w:t>方案完全符合项目实际需求，设计系统完备、分析准确、描述详细，得2分；</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每项</w:t>
            </w:r>
            <w:r>
              <w:rPr>
                <w:rFonts w:hint="eastAsia" w:ascii="宋体" w:hAnsi="宋体" w:eastAsia="宋体" w:cs="宋体"/>
                <w:color w:val="000000" w:themeColor="text1"/>
                <w:kern w:val="0"/>
                <w:sz w:val="21"/>
                <w:szCs w:val="21"/>
                <w:lang w:val="en-US" w:eastAsia="zh-CN" w:bidi="ar-SA"/>
                <w14:textFill>
                  <w14:solidFill>
                    <w14:schemeClr w14:val="tx1"/>
                  </w14:solidFill>
                </w14:textFill>
              </w:rPr>
              <w:t>方案基本符合项目实际需求，设计系统不缺项、分析较准确，描述合理得1分，</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每项</w:t>
            </w:r>
            <w:r>
              <w:rPr>
                <w:rFonts w:hint="eastAsia" w:ascii="宋体" w:hAnsi="宋体" w:eastAsia="宋体" w:cs="宋体"/>
                <w:color w:val="000000" w:themeColor="text1"/>
                <w:kern w:val="0"/>
                <w:sz w:val="21"/>
                <w:szCs w:val="21"/>
                <w:lang w:val="en-US" w:eastAsia="zh-CN" w:bidi="ar-SA"/>
                <w14:textFill>
                  <w14:solidFill>
                    <w14:schemeClr w14:val="tx1"/>
                  </w14:solidFill>
                </w14:textFill>
              </w:rPr>
              <w:t>方案脱离项目实际需求，设计系统不完整，描述较差，得0.5 分；未提供相关内容不得分。</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3" w:hRule="atLeast"/>
          <w:jc w:val="center"/>
        </w:trPr>
        <w:tc>
          <w:tcPr>
            <w:tcW w:w="335"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375"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应急保障</w:t>
            </w:r>
          </w:p>
        </w:tc>
        <w:tc>
          <w:tcPr>
            <w:tcW w:w="10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4分</w:t>
            </w:r>
          </w:p>
        </w:tc>
        <w:tc>
          <w:tcPr>
            <w:tcW w:w="55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针对本项目结合投标人的业务特点与实际情况，提出针对本项目的</w:t>
            </w:r>
            <w:r>
              <w:rPr>
                <w:rFonts w:hint="eastAsia"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故障处置应对方案</w:t>
            </w:r>
            <w:r>
              <w:rPr>
                <w:rFonts w:hint="eastAsia"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应急响应应对方案。</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投标人对以上2项进行方案设计描述，依据投标人对相关内容的设计响应情况逐项赋分，</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每项</w:t>
            </w:r>
            <w:r>
              <w:rPr>
                <w:rFonts w:hint="eastAsia" w:ascii="宋体" w:hAnsi="宋体" w:eastAsia="宋体" w:cs="宋体"/>
                <w:color w:val="000000" w:themeColor="text1"/>
                <w:kern w:val="0"/>
                <w:sz w:val="21"/>
                <w:szCs w:val="21"/>
                <w:lang w:val="en-US" w:eastAsia="zh-CN" w:bidi="ar-SA"/>
                <w14:textFill>
                  <w14:solidFill>
                    <w14:schemeClr w14:val="tx1"/>
                  </w14:solidFill>
                </w14:textFill>
              </w:rPr>
              <w:t>方案完全符合项目实际需求，设计系统完备、分析准确、描述详细，得2分；</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每项</w:t>
            </w:r>
            <w:r>
              <w:rPr>
                <w:rFonts w:hint="eastAsia" w:ascii="宋体" w:hAnsi="宋体" w:eastAsia="宋体" w:cs="宋体"/>
                <w:color w:val="000000" w:themeColor="text1"/>
                <w:kern w:val="0"/>
                <w:sz w:val="21"/>
                <w:szCs w:val="21"/>
                <w:lang w:val="en-US" w:eastAsia="zh-CN" w:bidi="ar-SA"/>
                <w14:textFill>
                  <w14:solidFill>
                    <w14:schemeClr w14:val="tx1"/>
                  </w14:solidFill>
                </w14:textFill>
              </w:rPr>
              <w:t>方案基本符合项目实际需求，设计系统不缺项、分析较准确，描述合理得1分，</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每项</w:t>
            </w:r>
            <w:r>
              <w:rPr>
                <w:rFonts w:hint="eastAsia" w:ascii="宋体" w:hAnsi="宋体" w:eastAsia="宋体" w:cs="宋体"/>
                <w:color w:val="000000" w:themeColor="text1"/>
                <w:kern w:val="0"/>
                <w:sz w:val="21"/>
                <w:szCs w:val="21"/>
                <w:lang w:val="en-US" w:eastAsia="zh-CN" w:bidi="ar-SA"/>
                <w14:textFill>
                  <w14:solidFill>
                    <w14:schemeClr w14:val="tx1"/>
                  </w14:solidFill>
                </w14:textFill>
              </w:rPr>
              <w:t>方案脱离项目实际需求，设计系统不完整，描述较差，得0.5 分；未提供相关内容不得分。</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335" w:type="pct"/>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375" w:type="pct"/>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1185" w:type="dxa"/>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售后服务方案</w:t>
            </w:r>
          </w:p>
        </w:tc>
        <w:tc>
          <w:tcPr>
            <w:tcW w:w="1082" w:type="dxa"/>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6分</w:t>
            </w:r>
          </w:p>
        </w:tc>
        <w:tc>
          <w:tcPr>
            <w:tcW w:w="55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bookmarkStart w:id="32" w:name="OLE_LINK3"/>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针对本项目拟定完善的售后服务方案，至少包括：</w:t>
            </w:r>
            <w:r>
              <w:rPr>
                <w:rFonts w:hint="eastAsia"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售后服务措施</w:t>
            </w:r>
            <w:r>
              <w:rPr>
                <w:rFonts w:hint="eastAsia"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服务体系</w:t>
            </w:r>
            <w:r>
              <w:rPr>
                <w:rFonts w:hint="eastAsia" w:cs="宋体"/>
                <w:i w:val="0"/>
                <w:iCs w:val="0"/>
                <w:color w:val="000000" w:themeColor="text1"/>
                <w:kern w:val="0"/>
                <w:sz w:val="21"/>
                <w:szCs w:val="21"/>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服务内容。</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投标人对以上3项进行方案设计描述，依据投标人对相关内容的设计响应情况逐项赋分，</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每项</w:t>
            </w:r>
            <w:r>
              <w:rPr>
                <w:rFonts w:hint="eastAsia" w:ascii="宋体" w:hAnsi="宋体" w:eastAsia="宋体" w:cs="宋体"/>
                <w:color w:val="000000" w:themeColor="text1"/>
                <w:kern w:val="0"/>
                <w:sz w:val="21"/>
                <w:szCs w:val="21"/>
                <w:lang w:val="en-US" w:eastAsia="zh-CN" w:bidi="ar-SA"/>
                <w14:textFill>
                  <w14:solidFill>
                    <w14:schemeClr w14:val="tx1"/>
                  </w14:solidFill>
                </w14:textFill>
              </w:rPr>
              <w:t>方案完全符合项目实际需求，设计系统完备、分析准确、描述详细，得2 分；</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每项</w:t>
            </w:r>
            <w:r>
              <w:rPr>
                <w:rFonts w:hint="eastAsia" w:ascii="宋体" w:hAnsi="宋体" w:eastAsia="宋体" w:cs="宋体"/>
                <w:color w:val="000000" w:themeColor="text1"/>
                <w:kern w:val="0"/>
                <w:sz w:val="21"/>
                <w:szCs w:val="21"/>
                <w:lang w:val="en-US" w:eastAsia="zh-CN" w:bidi="ar-SA"/>
                <w14:textFill>
                  <w14:solidFill>
                    <w14:schemeClr w14:val="tx1"/>
                  </w14:solidFill>
                </w14:textFill>
              </w:rPr>
              <w:t>方案基本符合项目实际需求，设计系统不缺项、分析较准确，描述合理得1分，</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每项</w:t>
            </w:r>
            <w:r>
              <w:rPr>
                <w:rFonts w:hint="eastAsia" w:ascii="宋体" w:hAnsi="宋体" w:eastAsia="宋体" w:cs="宋体"/>
                <w:color w:val="000000" w:themeColor="text1"/>
                <w:kern w:val="0"/>
                <w:sz w:val="21"/>
                <w:szCs w:val="21"/>
                <w:lang w:val="en-US" w:eastAsia="zh-CN" w:bidi="ar-SA"/>
                <w14:textFill>
                  <w14:solidFill>
                    <w14:schemeClr w14:val="tx1"/>
                  </w14:solidFill>
                </w14:textFill>
              </w:rPr>
              <w:t>方案脱离项目实际需求，设计系统不完整，描述较差，得0.5 分；未提供相关内容不得分。</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bookmarkEnd w:id="32"/>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lang w:val="en-US" w:eastAsia="zh-CN"/>
        </w:rPr>
      </w:pPr>
      <w:r>
        <w:rPr>
          <w:rFonts w:hint="eastAsia" w:ascii="宋体" w:hAnsi="宋体" w:eastAsia="宋体" w:cs="宋体"/>
          <w:b/>
          <w:bCs/>
          <w:color w:val="auto"/>
          <w:sz w:val="24"/>
          <w:szCs w:val="24"/>
          <w:highlight w:val="none"/>
          <w:lang w:val="en-US" w:eastAsia="zh-CN"/>
        </w:rPr>
        <w:t>合同包2</w:t>
      </w:r>
      <w:r>
        <w:rPr>
          <w:rFonts w:hint="eastAsia" w:ascii="宋体" w:hAnsi="宋体" w:eastAsia="宋体" w:cs="宋体"/>
          <w:b/>
          <w:bCs/>
          <w:sz w:val="24"/>
          <w:szCs w:val="24"/>
          <w:highlight w:val="none"/>
          <w:lang w:val="en-US" w:eastAsia="zh-CN"/>
        </w:rPr>
        <w:t>详细评审因素：</w:t>
      </w:r>
    </w:p>
    <w:tbl>
      <w:tblPr>
        <w:tblStyle w:val="24"/>
        <w:tblW w:w="48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681"/>
        <w:gridCol w:w="1185"/>
        <w:gridCol w:w="1082"/>
        <w:gridCol w:w="5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70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b/>
                <w:bCs/>
                <w:kern w:val="0"/>
                <w:sz w:val="21"/>
                <w:szCs w:val="21"/>
                <w:lang w:val="zh-CN" w:eastAsia="zh-CN"/>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b/>
                <w:bCs/>
                <w:kern w:val="0"/>
                <w:sz w:val="21"/>
                <w:szCs w:val="21"/>
                <w:lang w:eastAsia="en-US"/>
              </w:rPr>
            </w:pPr>
            <w:r>
              <w:rPr>
                <w:rFonts w:hint="eastAsia" w:ascii="宋体" w:hAnsi="宋体" w:eastAsia="宋体" w:cs="宋体"/>
                <w:b/>
                <w:bCs/>
                <w:kern w:val="0"/>
                <w:sz w:val="21"/>
                <w:szCs w:val="21"/>
                <w:lang w:val="zh-CN" w:eastAsia="zh-CN"/>
              </w:rPr>
              <w:t>条款号</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b/>
                <w:bCs/>
                <w:kern w:val="0"/>
                <w:sz w:val="21"/>
                <w:szCs w:val="21"/>
                <w:lang w:eastAsia="en-US"/>
              </w:rPr>
            </w:pPr>
          </w:p>
        </w:tc>
        <w:tc>
          <w:tcPr>
            <w:tcW w:w="65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b/>
                <w:bCs/>
                <w:kern w:val="0"/>
                <w:sz w:val="21"/>
                <w:szCs w:val="21"/>
                <w:lang w:eastAsia="en-US"/>
              </w:rPr>
            </w:pPr>
            <w:r>
              <w:rPr>
                <w:rFonts w:hint="eastAsia" w:ascii="宋体" w:hAnsi="宋体" w:eastAsia="宋体" w:cs="宋体"/>
                <w:b/>
                <w:bCs/>
                <w:kern w:val="0"/>
                <w:sz w:val="21"/>
                <w:szCs w:val="21"/>
                <w:lang w:eastAsia="en-US"/>
              </w:rPr>
              <w:t>评分因素</w:t>
            </w:r>
          </w:p>
        </w:tc>
        <w:tc>
          <w:tcPr>
            <w:tcW w:w="5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b/>
                <w:bCs/>
                <w:kern w:val="0"/>
                <w:sz w:val="21"/>
                <w:szCs w:val="21"/>
                <w:lang w:eastAsia="en-US"/>
              </w:rPr>
            </w:pPr>
            <w:r>
              <w:rPr>
                <w:rFonts w:hint="eastAsia" w:ascii="宋体" w:hAnsi="宋体" w:eastAsia="宋体" w:cs="宋体"/>
                <w:b/>
                <w:bCs/>
                <w:kern w:val="0"/>
                <w:sz w:val="21"/>
                <w:szCs w:val="21"/>
                <w:lang w:eastAsia="en-US"/>
              </w:rPr>
              <w:t>标准分</w:t>
            </w:r>
          </w:p>
        </w:tc>
        <w:tc>
          <w:tcPr>
            <w:tcW w:w="30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b/>
                <w:bCs/>
                <w:kern w:val="0"/>
                <w:sz w:val="21"/>
                <w:szCs w:val="21"/>
                <w:lang w:eastAsia="en-US"/>
              </w:rPr>
            </w:pPr>
            <w:r>
              <w:rPr>
                <w:rFonts w:hint="eastAsia" w:ascii="宋体" w:hAnsi="宋体" w:eastAsia="宋体" w:cs="宋体"/>
                <w:b/>
                <w:bCs/>
                <w:kern w:val="0"/>
                <w:sz w:val="21"/>
                <w:szCs w:val="21"/>
                <w:lang w:eastAsia="en-US"/>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jc w:val="center"/>
        </w:trPr>
        <w:tc>
          <w:tcPr>
            <w:tcW w:w="32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kern w:val="0"/>
                <w:sz w:val="21"/>
                <w:szCs w:val="21"/>
                <w:lang w:eastAsia="en-US"/>
              </w:rPr>
            </w:pPr>
            <w:r>
              <w:rPr>
                <w:rFonts w:hint="eastAsia" w:ascii="宋体" w:hAnsi="宋体" w:eastAsia="宋体" w:cs="宋体"/>
                <w:kern w:val="0"/>
                <w:sz w:val="21"/>
                <w:szCs w:val="21"/>
                <w:lang w:eastAsia="en-US"/>
              </w:rPr>
              <w:t>1</w:t>
            </w:r>
          </w:p>
        </w:tc>
        <w:tc>
          <w:tcPr>
            <w:tcW w:w="37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zh-CN" w:eastAsia="zh-CN"/>
              </w:rPr>
              <w:t>价格</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kern w:val="0"/>
                <w:sz w:val="21"/>
                <w:szCs w:val="21"/>
                <w:lang w:eastAsia="en-US"/>
              </w:rPr>
            </w:pPr>
            <w:r>
              <w:rPr>
                <w:rFonts w:hint="eastAsia" w:ascii="宋体" w:hAnsi="宋体" w:eastAsia="宋体" w:cs="宋体"/>
                <w:kern w:val="0"/>
                <w:sz w:val="21"/>
                <w:szCs w:val="21"/>
                <w:lang w:val="zh-CN" w:eastAsia="zh-CN"/>
              </w:rPr>
              <w:t>评审</w:t>
            </w:r>
          </w:p>
        </w:tc>
        <w:tc>
          <w:tcPr>
            <w:tcW w:w="65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kern w:val="0"/>
                <w:sz w:val="21"/>
                <w:szCs w:val="21"/>
                <w:lang w:eastAsia="en-US"/>
              </w:rPr>
            </w:pPr>
            <w:r>
              <w:rPr>
                <w:rFonts w:hint="eastAsia" w:ascii="宋体" w:hAnsi="宋体" w:eastAsia="宋体" w:cs="宋体"/>
                <w:kern w:val="0"/>
                <w:sz w:val="21"/>
                <w:szCs w:val="21"/>
                <w:lang w:eastAsia="en-US"/>
              </w:rPr>
              <w:t>投标报价</w:t>
            </w:r>
          </w:p>
        </w:tc>
        <w:tc>
          <w:tcPr>
            <w:tcW w:w="5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kern w:val="0"/>
                <w:sz w:val="21"/>
                <w:szCs w:val="21"/>
                <w:lang w:eastAsia="en-US"/>
              </w:rPr>
            </w:pPr>
            <w:r>
              <w:rPr>
                <w:rFonts w:hint="eastAsia" w:ascii="宋体" w:hAnsi="宋体" w:eastAsia="宋体" w:cs="宋体"/>
                <w:kern w:val="0"/>
                <w:sz w:val="21"/>
                <w:szCs w:val="21"/>
                <w:lang w:eastAsia="en-US"/>
              </w:rPr>
              <w:t>10分</w:t>
            </w:r>
          </w:p>
        </w:tc>
        <w:tc>
          <w:tcPr>
            <w:tcW w:w="30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满足招标文件要求且投标报价最低的为基准价，其价格分为满分10分。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left"/>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en-US" w:eastAsia="zh-CN"/>
              </w:rPr>
              <w:t>投标人报价得分=（有效最低投标报价/该投标人报价）×10。</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注：对符合规定的小微企业报价给予10%的扣除，用扣除后的价格参加评审。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328"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375"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kern w:val="0"/>
                <w:sz w:val="21"/>
                <w:szCs w:val="21"/>
                <w:lang w:eastAsia="en-US"/>
              </w:rPr>
            </w:pPr>
            <w:r>
              <w:rPr>
                <w:rFonts w:hint="eastAsia" w:ascii="宋体" w:hAnsi="宋体" w:eastAsia="宋体" w:cs="宋体"/>
                <w:kern w:val="0"/>
                <w:sz w:val="21"/>
                <w:szCs w:val="21"/>
              </w:rPr>
              <w:t>商务部分</w:t>
            </w:r>
          </w:p>
        </w:tc>
        <w:tc>
          <w:tcPr>
            <w:tcW w:w="654"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业绩</w:t>
            </w:r>
          </w:p>
        </w:tc>
        <w:tc>
          <w:tcPr>
            <w:tcW w:w="597"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w:t>
            </w:r>
          </w:p>
        </w:tc>
        <w:tc>
          <w:tcPr>
            <w:tcW w:w="30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rPr>
              <w:t>提供近</w:t>
            </w:r>
            <w:r>
              <w:rPr>
                <w:rFonts w:hint="eastAsia" w:ascii="宋体" w:hAnsi="宋体" w:eastAsia="宋体" w:cs="宋体"/>
                <w:kern w:val="0"/>
                <w:sz w:val="21"/>
                <w:szCs w:val="21"/>
                <w:lang w:val="en-US" w:eastAsia="zh-CN"/>
              </w:rPr>
              <w:t>三</w:t>
            </w:r>
            <w:r>
              <w:rPr>
                <w:rFonts w:hint="eastAsia" w:ascii="宋体" w:hAnsi="宋体" w:eastAsia="宋体" w:cs="宋体"/>
                <w:kern w:val="0"/>
                <w:sz w:val="21"/>
                <w:szCs w:val="21"/>
              </w:rPr>
              <w:t>年（202</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月至今）</w:t>
            </w:r>
            <w:r>
              <w:rPr>
                <w:rFonts w:hint="eastAsia" w:ascii="宋体" w:hAnsi="宋体" w:eastAsia="宋体" w:cs="宋体"/>
                <w:kern w:val="0"/>
                <w:sz w:val="21"/>
                <w:szCs w:val="21"/>
                <w:lang w:eastAsia="zh-CN"/>
              </w:rPr>
              <w:t>类似</w:t>
            </w:r>
            <w:r>
              <w:rPr>
                <w:rFonts w:hint="eastAsia" w:ascii="宋体" w:hAnsi="宋体" w:eastAsia="宋体" w:cs="宋体"/>
                <w:kern w:val="0"/>
                <w:sz w:val="21"/>
                <w:szCs w:val="21"/>
              </w:rPr>
              <w:t>项目业绩，每提供一份案例合同得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分，满分</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rPr>
              <w:t>注：须提供与投标人签订的合同复印件并加盖投标人公章，否则不得分。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jc w:val="center"/>
        </w:trPr>
        <w:tc>
          <w:tcPr>
            <w:tcW w:w="328" w:type="pct"/>
            <w:vMerge w:val="restart"/>
            <w:tcBorders>
              <w:top w:val="single" w:color="auto" w:sz="4" w:space="0"/>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kern w:val="0"/>
                <w:sz w:val="21"/>
                <w:szCs w:val="21"/>
              </w:rPr>
            </w:pPr>
            <w:bookmarkStart w:id="33" w:name="OLE_LINK1" w:colFirst="2" w:colLast="4"/>
            <w:r>
              <w:rPr>
                <w:rFonts w:hint="eastAsia" w:ascii="宋体" w:hAnsi="宋体" w:eastAsia="宋体" w:cs="宋体"/>
                <w:kern w:val="0"/>
                <w:sz w:val="21"/>
                <w:szCs w:val="21"/>
              </w:rPr>
              <w:t>3</w:t>
            </w:r>
          </w:p>
        </w:tc>
        <w:tc>
          <w:tcPr>
            <w:tcW w:w="375" w:type="pct"/>
            <w:vMerge w:val="restart"/>
            <w:tcBorders>
              <w:top w:val="single" w:color="auto" w:sz="4" w:space="0"/>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技术部分</w:t>
            </w:r>
          </w:p>
        </w:tc>
        <w:tc>
          <w:tcPr>
            <w:tcW w:w="654"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实施方案</w:t>
            </w:r>
          </w:p>
        </w:tc>
        <w:tc>
          <w:tcPr>
            <w:tcW w:w="597"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rPr>
              <w:t>14分</w:t>
            </w:r>
          </w:p>
        </w:tc>
        <w:tc>
          <w:tcPr>
            <w:tcW w:w="30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测评实施方案内容简单，仅提出了简单人员和任务分工，内容空泛,没有针对性，得3分；2.测评实施方案内容合理，提出项目实施进度安排，提供简单描述，实施的人员和任务分工，提供了安全保密措施和应急措施等，得7分；3.测评实施方案内容较详实提出了详细的人员和任务分工，且配置人员较科学合理;项目实施进度安排较合理;实施方案较详细介绍了测评依据、测评方法、测评内容、测评要点、安全整改建议等要素;有确保施工进度和系统质量的较完善应对措施以及与本项目相适宜的安全保密措施，得10分；4.测评实施方案内容详实，提出了详细的人员和任务分工，且配置人员科学合理;项目实施进度安排合理;实施方案详细介绍了测评依据、测评方法、测评内容、测评要点、安全整改建议等要素;有确保施工进度和系统质量的完善应对措施以及与本项目相适宜的安全保密措施，得14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5.未提供不得分</w:t>
            </w:r>
          </w:p>
        </w:tc>
      </w:tr>
      <w:bookmark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jc w:val="center"/>
        </w:trPr>
        <w:tc>
          <w:tcPr>
            <w:tcW w:w="328" w:type="pct"/>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left"/>
              <w:rPr>
                <w:rFonts w:hint="eastAsia" w:ascii="宋体" w:hAnsi="宋体" w:eastAsia="宋体" w:cs="宋体"/>
                <w:kern w:val="0"/>
                <w:sz w:val="21"/>
                <w:szCs w:val="21"/>
              </w:rPr>
            </w:pPr>
          </w:p>
        </w:tc>
        <w:tc>
          <w:tcPr>
            <w:tcW w:w="375" w:type="pct"/>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left"/>
              <w:rPr>
                <w:rFonts w:hint="eastAsia" w:ascii="宋体" w:hAnsi="宋体" w:eastAsia="宋体" w:cs="宋体"/>
                <w:kern w:val="0"/>
                <w:sz w:val="21"/>
                <w:szCs w:val="21"/>
              </w:rPr>
            </w:pPr>
          </w:p>
        </w:tc>
        <w:tc>
          <w:tcPr>
            <w:tcW w:w="654"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技术方案</w:t>
            </w:r>
          </w:p>
        </w:tc>
        <w:tc>
          <w:tcPr>
            <w:tcW w:w="597"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14分</w:t>
            </w:r>
          </w:p>
        </w:tc>
        <w:tc>
          <w:tcPr>
            <w:tcW w:w="30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技术方案，针对被测系统分析不够准确,无法确定系统测评对象及各测评对象对应的测评方式，存在较多错误,测评方案较为空泛，不具有可行性，得3分；2.技术方案较清晰确定了测评对象及各测评对象对应的测评方式,但不够全面、准确，技术方案较简单、合理性一般、可行性一般，得7分；3.技术方案较清晰准确的确定了测评对象及各测评对象对应的测评方式，较全面、准确，技术方案较详细、合理、可行，得10分；4.技术方案清晰准确的确定了测评对象及各测评对象对应的测评方式,全面、准确,技术方案详细、合理、可行,得14分；5.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8" w:type="pct"/>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left"/>
              <w:rPr>
                <w:rFonts w:hint="eastAsia" w:ascii="宋体" w:hAnsi="宋体" w:eastAsia="宋体" w:cs="宋体"/>
                <w:kern w:val="0"/>
                <w:sz w:val="21"/>
                <w:szCs w:val="21"/>
              </w:rPr>
            </w:pPr>
          </w:p>
        </w:tc>
        <w:tc>
          <w:tcPr>
            <w:tcW w:w="375" w:type="pct"/>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left"/>
              <w:rPr>
                <w:rFonts w:hint="eastAsia" w:ascii="宋体" w:hAnsi="宋体" w:eastAsia="宋体" w:cs="宋体"/>
                <w:kern w:val="0"/>
                <w:sz w:val="21"/>
                <w:szCs w:val="21"/>
              </w:rPr>
            </w:pPr>
          </w:p>
        </w:tc>
        <w:tc>
          <w:tcPr>
            <w:tcW w:w="654"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项目管理措施</w:t>
            </w:r>
          </w:p>
        </w:tc>
        <w:tc>
          <w:tcPr>
            <w:tcW w:w="597"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8分</w:t>
            </w:r>
          </w:p>
        </w:tc>
        <w:tc>
          <w:tcPr>
            <w:tcW w:w="30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rPr>
            </w:pPr>
            <w:r>
              <w:rPr>
                <w:rFonts w:hint="eastAsia" w:ascii="宋体" w:hAnsi="宋体" w:eastAsia="宋体" w:cs="宋体"/>
              </w:rPr>
              <w:t>根据投标人提供的项目实施方案，服务内容、服务手段、服务计划安排、服务保障方案等方面进行评分。</w:t>
            </w:r>
          </w:p>
          <w:p>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rPr>
            </w:pPr>
            <w:r>
              <w:rPr>
                <w:rFonts w:hint="eastAsia" w:ascii="宋体" w:hAnsi="宋体" w:eastAsia="宋体" w:cs="宋体"/>
              </w:rPr>
              <w:t>1.内容深刻全面的得</w:t>
            </w:r>
            <w:r>
              <w:rPr>
                <w:rFonts w:hint="eastAsia" w:ascii="宋体" w:hAnsi="宋体" w:eastAsia="宋体" w:cs="宋体"/>
                <w:lang w:val="en-US" w:eastAsia="zh-CN"/>
              </w:rPr>
              <w:t>8</w:t>
            </w:r>
            <w:r>
              <w:rPr>
                <w:rFonts w:hint="eastAsia" w:ascii="宋体" w:hAnsi="宋体" w:eastAsia="宋体" w:cs="宋体"/>
              </w:rPr>
              <w:t>分；</w:t>
            </w:r>
          </w:p>
          <w:p>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rPr>
            </w:pPr>
            <w:r>
              <w:rPr>
                <w:rFonts w:hint="eastAsia" w:ascii="宋体" w:hAnsi="宋体" w:eastAsia="宋体" w:cs="宋体"/>
              </w:rPr>
              <w:t>2.内容基本全面的得</w:t>
            </w:r>
            <w:r>
              <w:rPr>
                <w:rFonts w:hint="eastAsia" w:ascii="宋体" w:hAnsi="宋体" w:eastAsia="宋体" w:cs="宋体"/>
                <w:lang w:val="en-US" w:eastAsia="zh-CN"/>
              </w:rPr>
              <w:t>5</w:t>
            </w:r>
            <w:r>
              <w:rPr>
                <w:rFonts w:hint="eastAsia" w:ascii="宋体" w:hAnsi="宋体" w:eastAsia="宋体" w:cs="宋体"/>
              </w:rPr>
              <w:t>分；</w:t>
            </w:r>
          </w:p>
          <w:p>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rPr>
            </w:pPr>
            <w:r>
              <w:rPr>
                <w:rFonts w:hint="eastAsia" w:ascii="宋体" w:hAnsi="宋体" w:eastAsia="宋体" w:cs="宋体"/>
              </w:rPr>
              <w:t>3.内容不够完善的得</w:t>
            </w:r>
            <w:r>
              <w:rPr>
                <w:rFonts w:hint="eastAsia" w:ascii="宋体" w:hAnsi="宋体" w:eastAsia="宋体" w:cs="宋体"/>
                <w:lang w:val="en-US" w:eastAsia="zh-CN"/>
              </w:rPr>
              <w:t>2</w:t>
            </w:r>
            <w:r>
              <w:rPr>
                <w:rFonts w:hint="eastAsia" w:ascii="宋体" w:hAnsi="宋体" w:eastAsia="宋体" w:cs="宋体"/>
              </w:rPr>
              <w:t>分；</w:t>
            </w:r>
          </w:p>
          <w:p>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kern w:val="0"/>
                <w:sz w:val="21"/>
                <w:szCs w:val="21"/>
                <w:lang w:val="en-US" w:eastAsia="zh-CN"/>
              </w:rPr>
            </w:pPr>
            <w:r>
              <w:rPr>
                <w:rFonts w:hint="eastAsia" w:ascii="宋体" w:hAnsi="宋体" w:eastAsia="宋体" w:cs="宋体"/>
              </w:rPr>
              <w:t>4.内容</w:t>
            </w:r>
            <w:r>
              <w:rPr>
                <w:rFonts w:hint="eastAsia" w:ascii="宋体" w:hAnsi="宋体" w:eastAsia="宋体" w:cs="宋体"/>
                <w:lang w:val="en-US" w:eastAsia="zh-CN"/>
              </w:rPr>
              <w:t>较</w:t>
            </w:r>
            <w:r>
              <w:rPr>
                <w:rFonts w:hint="eastAsia" w:ascii="宋体" w:hAnsi="宋体" w:eastAsia="宋体" w:cs="宋体"/>
              </w:rPr>
              <w:t>差的或不提供的不得分。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jc w:val="center"/>
        </w:trPr>
        <w:tc>
          <w:tcPr>
            <w:tcW w:w="328" w:type="pct"/>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left"/>
              <w:rPr>
                <w:rFonts w:hint="eastAsia" w:ascii="宋体" w:hAnsi="宋体" w:eastAsia="宋体" w:cs="宋体"/>
                <w:kern w:val="0"/>
                <w:sz w:val="21"/>
                <w:szCs w:val="21"/>
              </w:rPr>
            </w:pPr>
          </w:p>
        </w:tc>
        <w:tc>
          <w:tcPr>
            <w:tcW w:w="375" w:type="pct"/>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left"/>
              <w:rPr>
                <w:rFonts w:hint="eastAsia" w:ascii="宋体" w:hAnsi="宋体" w:eastAsia="宋体" w:cs="宋体"/>
                <w:kern w:val="0"/>
                <w:sz w:val="21"/>
                <w:szCs w:val="21"/>
              </w:rPr>
            </w:pPr>
          </w:p>
        </w:tc>
        <w:tc>
          <w:tcPr>
            <w:tcW w:w="654"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项目风险防范措施</w:t>
            </w:r>
          </w:p>
        </w:tc>
        <w:tc>
          <w:tcPr>
            <w:tcW w:w="597"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8分</w:t>
            </w:r>
          </w:p>
        </w:tc>
        <w:tc>
          <w:tcPr>
            <w:tcW w:w="30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rPr>
            </w:pPr>
            <w:r>
              <w:rPr>
                <w:rFonts w:hint="eastAsia" w:ascii="宋体" w:hAnsi="宋体" w:eastAsia="宋体" w:cs="宋体"/>
              </w:rPr>
              <w:t>根据投标人提供的项目实施过程中的风险防范措施，并明确保密责任，根据方案的完整程度和优劣程度横向比较评分。</w:t>
            </w:r>
          </w:p>
          <w:p>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rPr>
            </w:pPr>
            <w:r>
              <w:rPr>
                <w:rFonts w:hint="eastAsia" w:ascii="宋体" w:hAnsi="宋体" w:eastAsia="宋体" w:cs="宋体"/>
              </w:rPr>
              <w:t>1.内容深刻全面的得</w:t>
            </w:r>
            <w:r>
              <w:rPr>
                <w:rFonts w:hint="eastAsia" w:ascii="宋体" w:hAnsi="宋体" w:eastAsia="宋体" w:cs="宋体"/>
                <w:lang w:val="en-US" w:eastAsia="zh-CN"/>
              </w:rPr>
              <w:t>8</w:t>
            </w:r>
            <w:r>
              <w:rPr>
                <w:rFonts w:hint="eastAsia" w:ascii="宋体" w:hAnsi="宋体" w:eastAsia="宋体" w:cs="宋体"/>
              </w:rPr>
              <w:t>分；</w:t>
            </w:r>
          </w:p>
          <w:p>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rPr>
            </w:pPr>
            <w:r>
              <w:rPr>
                <w:rFonts w:hint="eastAsia" w:ascii="宋体" w:hAnsi="宋体" w:eastAsia="宋体" w:cs="宋体"/>
              </w:rPr>
              <w:t>2.内容基本全面的得</w:t>
            </w:r>
            <w:r>
              <w:rPr>
                <w:rFonts w:hint="eastAsia" w:ascii="宋体" w:hAnsi="宋体" w:eastAsia="宋体" w:cs="宋体"/>
                <w:lang w:val="en-US" w:eastAsia="zh-CN"/>
              </w:rPr>
              <w:t>5</w:t>
            </w:r>
            <w:r>
              <w:rPr>
                <w:rFonts w:hint="eastAsia" w:ascii="宋体" w:hAnsi="宋体" w:eastAsia="宋体" w:cs="宋体"/>
              </w:rPr>
              <w:t>分；</w:t>
            </w:r>
          </w:p>
          <w:p>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rPr>
            </w:pPr>
            <w:r>
              <w:rPr>
                <w:rFonts w:hint="eastAsia" w:ascii="宋体" w:hAnsi="宋体" w:eastAsia="宋体" w:cs="宋体"/>
              </w:rPr>
              <w:t>3.内容不够完善的得</w:t>
            </w:r>
            <w:r>
              <w:rPr>
                <w:rFonts w:hint="eastAsia" w:ascii="宋体" w:hAnsi="宋体" w:eastAsia="宋体" w:cs="宋体"/>
                <w:lang w:val="en-US" w:eastAsia="zh-CN"/>
              </w:rPr>
              <w:t>2</w:t>
            </w:r>
            <w:r>
              <w:rPr>
                <w:rFonts w:hint="eastAsia" w:ascii="宋体" w:hAnsi="宋体" w:eastAsia="宋体" w:cs="宋体"/>
              </w:rPr>
              <w:t>分；</w:t>
            </w:r>
          </w:p>
          <w:p>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rPr>
              <w:t>4.内容</w:t>
            </w:r>
            <w:r>
              <w:rPr>
                <w:rFonts w:hint="eastAsia" w:ascii="宋体" w:hAnsi="宋体" w:eastAsia="宋体" w:cs="宋体"/>
                <w:lang w:val="en-US" w:eastAsia="zh-CN"/>
              </w:rPr>
              <w:t>较</w:t>
            </w:r>
            <w:r>
              <w:rPr>
                <w:rFonts w:hint="eastAsia" w:ascii="宋体" w:hAnsi="宋体" w:eastAsia="宋体" w:cs="宋体"/>
              </w:rPr>
              <w:t>差的或不提供的不得分。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328" w:type="pct"/>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left"/>
              <w:rPr>
                <w:rFonts w:hint="eastAsia" w:ascii="宋体" w:hAnsi="宋体" w:eastAsia="宋体" w:cs="宋体"/>
                <w:kern w:val="0"/>
                <w:sz w:val="21"/>
                <w:szCs w:val="21"/>
              </w:rPr>
            </w:pPr>
          </w:p>
        </w:tc>
        <w:tc>
          <w:tcPr>
            <w:tcW w:w="375" w:type="pct"/>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left"/>
              <w:rPr>
                <w:rFonts w:hint="eastAsia" w:ascii="宋体" w:hAnsi="宋体" w:eastAsia="宋体" w:cs="宋体"/>
                <w:kern w:val="0"/>
                <w:sz w:val="21"/>
                <w:szCs w:val="21"/>
              </w:rPr>
            </w:pPr>
          </w:p>
        </w:tc>
        <w:tc>
          <w:tcPr>
            <w:tcW w:w="654" w:type="pct"/>
            <w:vMerge w:val="restart"/>
            <w:tcBorders>
              <w:top w:val="single" w:color="auto" w:sz="4" w:space="0"/>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kern w:val="0"/>
                <w:sz w:val="21"/>
                <w:szCs w:val="21"/>
                <w:lang w:val="en-US" w:eastAsia="zh-CN"/>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kern w:val="0"/>
                <w:sz w:val="21"/>
                <w:szCs w:val="21"/>
                <w:lang w:val="en-US" w:eastAsia="zh-CN"/>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kern w:val="0"/>
                <w:sz w:val="21"/>
                <w:szCs w:val="21"/>
                <w:lang w:val="en-US" w:eastAsia="zh-CN"/>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人员</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kern w:val="0"/>
                <w:sz w:val="21"/>
                <w:szCs w:val="21"/>
                <w:lang w:val="en-US" w:eastAsia="zh-CN"/>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kern w:val="0"/>
                <w:sz w:val="21"/>
                <w:szCs w:val="21"/>
                <w:lang w:val="en-US" w:eastAsia="zh-CN"/>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kern w:val="0"/>
                <w:sz w:val="21"/>
                <w:szCs w:val="21"/>
                <w:lang w:val="en-US" w:eastAsia="zh-CN"/>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kern w:val="0"/>
                <w:sz w:val="21"/>
                <w:szCs w:val="21"/>
                <w:lang w:val="en-US" w:eastAsia="zh-CN"/>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lang w:val="en-US" w:eastAsia="en-US"/>
              </w:rPr>
            </w:pPr>
          </w:p>
          <w:p>
            <w:pPr>
              <w:pStyle w:val="2"/>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lang w:val="en-US" w:eastAsia="en-US"/>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lang w:val="en-US" w:eastAsia="zh-CN"/>
              </w:rPr>
            </w:pPr>
          </w:p>
          <w:p>
            <w:pPr>
              <w:pStyle w:val="2"/>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lang w:val="en-US" w:eastAsia="zh-CN"/>
              </w:rPr>
            </w:pPr>
          </w:p>
        </w:tc>
        <w:tc>
          <w:tcPr>
            <w:tcW w:w="1082" w:type="dxa"/>
            <w:tcBorders>
              <w:top w:val="single" w:color="auto" w:sz="4" w:space="0"/>
              <w:left w:val="single" w:color="auto" w:sz="4" w:space="0"/>
              <w:right w:val="single" w:color="auto" w:sz="4" w:space="0"/>
            </w:tcBorders>
            <w:vAlign w:val="center"/>
          </w:tcPr>
          <w:p>
            <w:pPr>
              <w:spacing w:line="42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Cs w:val="21"/>
              </w:rPr>
              <w:t>8分</w:t>
            </w:r>
          </w:p>
        </w:tc>
        <w:tc>
          <w:tcPr>
            <w:tcW w:w="551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center"/>
              <w:rPr>
                <w:rFonts w:hint="eastAsia" w:ascii="宋体" w:hAnsi="宋体" w:eastAsia="宋体" w:cs="宋体"/>
              </w:rPr>
            </w:pPr>
            <w:r>
              <w:rPr>
                <w:rFonts w:hint="eastAsia" w:ascii="宋体" w:hAnsi="宋体" w:eastAsia="宋体" w:cs="宋体"/>
                <w:color w:val="000000"/>
                <w:kern w:val="0"/>
                <w:szCs w:val="21"/>
                <w:lang w:bidi="ar"/>
              </w:rPr>
              <w:t>项目经理</w:t>
            </w:r>
            <w:r>
              <w:rPr>
                <w:rFonts w:hint="eastAsia"/>
              </w:rPr>
              <w:t>具有软件质量检验师证书、数据安全管理师（高级）、注册信息系统安全认证专家（CISSP）、大数据-DSMM测评师证书，每提供一项</w:t>
            </w:r>
            <w:r>
              <w:rPr>
                <w:rFonts w:hint="eastAsia" w:ascii="宋体" w:hAnsi="宋体" w:eastAsia="宋体" w:cs="宋体"/>
                <w:i w:val="0"/>
                <w:iCs w:val="0"/>
                <w:color w:val="000000"/>
                <w:kern w:val="0"/>
                <w:sz w:val="21"/>
                <w:szCs w:val="21"/>
                <w:u w:val="none"/>
                <w:lang w:val="en-US" w:eastAsia="zh-CN" w:bidi="ar"/>
              </w:rPr>
              <w:t>得2分，满分8分。(提供相关证书复印件加盖公章及供应商为其缴纳近-年内一个月的社保证明)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328" w:type="pct"/>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left"/>
              <w:rPr>
                <w:rFonts w:hint="eastAsia" w:ascii="宋体" w:hAnsi="宋体" w:eastAsia="宋体" w:cs="宋体"/>
                <w:kern w:val="0"/>
                <w:sz w:val="21"/>
                <w:szCs w:val="21"/>
              </w:rPr>
            </w:pPr>
          </w:p>
        </w:tc>
        <w:tc>
          <w:tcPr>
            <w:tcW w:w="375" w:type="pct"/>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left"/>
              <w:rPr>
                <w:rFonts w:hint="eastAsia" w:ascii="宋体" w:hAnsi="宋体" w:eastAsia="宋体" w:cs="宋体"/>
                <w:kern w:val="0"/>
                <w:sz w:val="21"/>
                <w:szCs w:val="21"/>
              </w:rPr>
            </w:pPr>
          </w:p>
        </w:tc>
        <w:tc>
          <w:tcPr>
            <w:tcW w:w="654" w:type="pct"/>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kern w:val="0"/>
                <w:sz w:val="21"/>
                <w:szCs w:val="21"/>
                <w:lang w:val="en-US" w:eastAsia="zh-CN"/>
              </w:rPr>
            </w:pPr>
          </w:p>
        </w:tc>
        <w:tc>
          <w:tcPr>
            <w:tcW w:w="1082" w:type="dxa"/>
            <w:tcBorders>
              <w:top w:val="single" w:color="auto" w:sz="4" w:space="0"/>
              <w:left w:val="single" w:color="auto" w:sz="4" w:space="0"/>
              <w:right w:val="single" w:color="auto" w:sz="4" w:space="0"/>
            </w:tcBorders>
            <w:vAlign w:val="center"/>
          </w:tcPr>
          <w:p>
            <w:pPr>
              <w:spacing w:line="42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Cs w:val="21"/>
              </w:rPr>
              <w:t>6分</w:t>
            </w:r>
          </w:p>
        </w:tc>
        <w:tc>
          <w:tcPr>
            <w:tcW w:w="5514"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center"/>
              <w:rPr>
                <w:rFonts w:hint="eastAsia" w:ascii="宋体" w:hAnsi="宋体" w:eastAsia="宋体" w:cs="宋体"/>
              </w:rPr>
            </w:pPr>
            <w:r>
              <w:rPr>
                <w:rFonts w:hint="eastAsia" w:ascii="宋体" w:hAnsi="宋体" w:eastAsia="宋体" w:cs="宋体"/>
                <w:color w:val="000000"/>
                <w:kern w:val="0"/>
                <w:szCs w:val="21"/>
                <w:lang w:bidi="ar"/>
              </w:rPr>
              <w:t>项目组成员资质:</w:t>
            </w:r>
            <w:r>
              <w:rPr>
                <w:rFonts w:hint="eastAsia"/>
              </w:rPr>
              <w:t xml:space="preserve"> 质量负责人同时具有软件测试工程师（高级）证书、注册网络安全渗透评估专业人员(NSATP-A)，</w:t>
            </w:r>
            <w:r>
              <w:rPr>
                <w:rFonts w:hint="eastAsia" w:ascii="宋体" w:hAnsi="宋体" w:eastAsia="宋体" w:cs="宋体"/>
                <w:i w:val="0"/>
                <w:iCs w:val="0"/>
                <w:color w:val="000000"/>
                <w:kern w:val="0"/>
                <w:sz w:val="21"/>
                <w:szCs w:val="21"/>
                <w:u w:val="none"/>
                <w:lang w:val="en-US" w:eastAsia="zh-CN" w:bidi="ar"/>
              </w:rPr>
              <w:t>每有1名得2分，最高得6分。(提供相关证书复印件加盖公章及供应商为其缴纳近一年内一个月社保证明)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jc w:val="center"/>
        </w:trPr>
        <w:tc>
          <w:tcPr>
            <w:tcW w:w="328" w:type="pct"/>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left"/>
              <w:rPr>
                <w:rFonts w:hint="eastAsia" w:ascii="宋体" w:hAnsi="宋体" w:eastAsia="宋体" w:cs="宋体"/>
                <w:kern w:val="0"/>
                <w:sz w:val="21"/>
                <w:szCs w:val="21"/>
              </w:rPr>
            </w:pPr>
          </w:p>
        </w:tc>
        <w:tc>
          <w:tcPr>
            <w:tcW w:w="375" w:type="pct"/>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left"/>
              <w:rPr>
                <w:rFonts w:hint="eastAsia" w:ascii="宋体" w:hAnsi="宋体" w:eastAsia="宋体" w:cs="宋体"/>
                <w:kern w:val="0"/>
                <w:sz w:val="21"/>
                <w:szCs w:val="21"/>
              </w:rPr>
            </w:pPr>
          </w:p>
        </w:tc>
        <w:tc>
          <w:tcPr>
            <w:tcW w:w="654" w:type="pct"/>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kern w:val="0"/>
                <w:sz w:val="21"/>
                <w:szCs w:val="21"/>
                <w:lang w:val="en-US" w:eastAsia="zh-CN"/>
              </w:rPr>
            </w:pPr>
          </w:p>
        </w:tc>
        <w:tc>
          <w:tcPr>
            <w:tcW w:w="1082" w:type="dxa"/>
            <w:tcBorders>
              <w:top w:val="single" w:color="auto" w:sz="4" w:space="0"/>
              <w:left w:val="single" w:color="auto" w:sz="4" w:space="0"/>
              <w:right w:val="single" w:color="auto" w:sz="4" w:space="0"/>
            </w:tcBorders>
            <w:vAlign w:val="center"/>
          </w:tcPr>
          <w:p>
            <w:pPr>
              <w:spacing w:line="42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Cs w:val="21"/>
              </w:rPr>
              <w:t>6分</w:t>
            </w:r>
          </w:p>
        </w:tc>
        <w:tc>
          <w:tcPr>
            <w:tcW w:w="5514" w:type="dxa"/>
            <w:tcBorders>
              <w:top w:val="single" w:color="auto" w:sz="4" w:space="0"/>
              <w:left w:val="single" w:color="auto" w:sz="4" w:space="0"/>
              <w:right w:val="single" w:color="auto" w:sz="4" w:space="0"/>
            </w:tcBorders>
            <w:vAlign w:val="center"/>
          </w:tcPr>
          <w:p>
            <w:pPr>
              <w:widowControl/>
              <w:spacing w:line="420" w:lineRule="exact"/>
              <w:textAlignment w:val="center"/>
              <w:rPr>
                <w:rFonts w:hint="eastAsia" w:ascii="宋体" w:hAnsi="宋体" w:eastAsia="宋体" w:cs="宋体"/>
              </w:rPr>
            </w:pPr>
            <w:r>
              <w:rPr>
                <w:rFonts w:hint="eastAsia" w:ascii="宋体" w:hAnsi="宋体" w:eastAsia="宋体" w:cs="宋体"/>
                <w:szCs w:val="21"/>
              </w:rPr>
              <w:t>项目组成员资质:</w:t>
            </w:r>
            <w:r>
              <w:rPr>
                <w:rFonts w:hint="eastAsia"/>
              </w:rPr>
              <w:t xml:space="preserve"> 成员需具备高级软件测试工程师、计算机技术与软件专业技术资格证书-网络工程师、国家信息安全水平证书(二级)、CNAS实验室认可内审员及检验机构认可内审员证书，每提供一项得2分，最高得</w:t>
            </w:r>
            <w:r>
              <w:rPr>
                <w:rFonts w:hint="eastAsia"/>
                <w:lang w:val="en-US" w:eastAsia="zh-CN"/>
              </w:rPr>
              <w:t>6</w:t>
            </w:r>
            <w:r>
              <w:rPr>
                <w:rFonts w:hint="eastAsia"/>
              </w:rPr>
              <w:t>分</w:t>
            </w:r>
            <w:r>
              <w:rPr>
                <w:rFonts w:hint="eastAsia" w:ascii="宋体" w:hAnsi="宋体" w:eastAsia="宋体" w:cs="宋体"/>
                <w:szCs w:val="21"/>
              </w:rPr>
              <w:t>(提供相关证书复印件加盖公章及供应商为其缴纳近一年内</w:t>
            </w:r>
            <w:r>
              <w:rPr>
                <w:rFonts w:hint="eastAsia" w:ascii="宋体" w:hAnsi="宋体" w:eastAsia="宋体" w:cs="宋体"/>
                <w:color w:val="000000"/>
                <w:kern w:val="0"/>
                <w:szCs w:val="21"/>
                <w:lang w:bidi="ar"/>
              </w:rPr>
              <w:t>一个月</w:t>
            </w:r>
            <w:r>
              <w:rPr>
                <w:rFonts w:hint="eastAsia" w:ascii="宋体" w:hAnsi="宋体" w:eastAsia="宋体" w:cs="宋体"/>
                <w:szCs w:val="21"/>
              </w:rPr>
              <w:t>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jc w:val="center"/>
        </w:trPr>
        <w:tc>
          <w:tcPr>
            <w:tcW w:w="328" w:type="pct"/>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left"/>
              <w:rPr>
                <w:rFonts w:hint="eastAsia" w:ascii="宋体" w:hAnsi="宋体" w:eastAsia="宋体" w:cs="宋体"/>
                <w:kern w:val="0"/>
                <w:sz w:val="21"/>
                <w:szCs w:val="21"/>
              </w:rPr>
            </w:pPr>
            <w:bookmarkStart w:id="34" w:name="OLE_LINK2" w:colFirst="2" w:colLast="4"/>
          </w:p>
        </w:tc>
        <w:tc>
          <w:tcPr>
            <w:tcW w:w="375" w:type="pct"/>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left"/>
              <w:rPr>
                <w:rFonts w:hint="eastAsia" w:ascii="宋体" w:hAnsi="宋体" w:eastAsia="宋体" w:cs="宋体"/>
                <w:kern w:val="0"/>
                <w:sz w:val="21"/>
                <w:szCs w:val="21"/>
              </w:rPr>
            </w:pPr>
          </w:p>
        </w:tc>
        <w:tc>
          <w:tcPr>
            <w:tcW w:w="654" w:type="pct"/>
            <w:vMerge w:val="restart"/>
            <w:tcBorders>
              <w:top w:val="single" w:color="auto" w:sz="4" w:space="0"/>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kern w:val="0"/>
                <w:sz w:val="21"/>
                <w:szCs w:val="21"/>
                <w:lang w:val="en-US" w:eastAsia="zh-CN"/>
              </w:rPr>
            </w:pPr>
            <w:r>
              <w:rPr>
                <w:rFonts w:hint="eastAsia" w:ascii="宋体" w:hAnsi="宋体" w:eastAsia="宋体" w:cs="宋体"/>
              </w:rPr>
              <w:t>履约保障</w:t>
            </w:r>
            <w:r>
              <w:rPr>
                <w:rFonts w:hint="eastAsia" w:ascii="宋体" w:hAnsi="宋体" w:eastAsia="宋体" w:cs="宋体"/>
                <w:kern w:val="0"/>
                <w:sz w:val="21"/>
                <w:szCs w:val="21"/>
                <w:lang w:val="en-US" w:eastAsia="zh-CN"/>
              </w:rPr>
              <w:t>能力</w:t>
            </w:r>
          </w:p>
        </w:tc>
        <w:tc>
          <w:tcPr>
            <w:tcW w:w="5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lang w:val="en-US" w:eastAsia="zh-CN"/>
              </w:rPr>
              <w:t>11分</w:t>
            </w:r>
          </w:p>
        </w:tc>
        <w:tc>
          <w:tcPr>
            <w:tcW w:w="30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rPr>
            </w:pPr>
            <w:r>
              <w:rPr>
                <w:rFonts w:hint="eastAsia" w:ascii="宋体" w:hAnsi="宋体" w:eastAsia="宋体" w:cs="宋体"/>
              </w:rPr>
              <w:t>投标人具备信息安全管理体系认证证书、信息技术服务管理体系认证证书、质量管理体系认证证书，提供证书复印件，每提供一个得1分，本项最多得3分，没有或不提供不得分；</w:t>
            </w:r>
          </w:p>
          <w:p>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rPr>
            </w:pPr>
            <w:r>
              <w:rPr>
                <w:rFonts w:hint="eastAsia" w:ascii="宋体" w:hAnsi="宋体" w:eastAsia="宋体" w:cs="宋体"/>
              </w:rPr>
              <w:t>投标人具备中国电子工业标准化技术协会颁发的ITSS信息技术服务标准符合性证书，得2分，没有或不提供不得分；</w:t>
            </w:r>
            <w:r>
              <w:rPr>
                <w:rFonts w:hint="eastAsia" w:ascii="宋体" w:hAnsi="宋体" w:eastAsia="宋体" w:cs="宋体"/>
              </w:rPr>
              <w:br w:type="textWrapping"/>
            </w:r>
            <w:r>
              <w:rPr>
                <w:rFonts w:hint="eastAsia" w:ascii="宋体" w:hAnsi="宋体" w:eastAsia="宋体" w:cs="宋体"/>
              </w:rPr>
              <w:t>投标人具备信息安全服务资质证书（信息安全风险评估三级及以上资质），提供得2分，没有或不提供不得分；</w:t>
            </w:r>
            <w:r>
              <w:rPr>
                <w:rFonts w:hint="eastAsia" w:ascii="宋体" w:hAnsi="宋体" w:eastAsia="宋体" w:cs="宋体"/>
              </w:rPr>
              <w:br w:type="textWrapping"/>
            </w:r>
            <w:r>
              <w:rPr>
                <w:rFonts w:hint="eastAsia" w:ascii="宋体" w:hAnsi="宋体" w:eastAsia="宋体" w:cs="宋体"/>
              </w:rPr>
              <w:t>投标人具有CNAS中国合格评定国家认可委员会颁发的实验室认可证书，得2分，没有或不提供不得分。</w:t>
            </w:r>
          </w:p>
          <w:p>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lang w:val="en-US" w:eastAsia="zh-CN"/>
              </w:rPr>
            </w:pPr>
            <w:r>
              <w:rPr>
                <w:rFonts w:hint="eastAsia" w:ascii="宋体" w:hAnsi="宋体" w:eastAsia="宋体" w:cs="宋体"/>
              </w:rPr>
              <w:t>投标人具有CNAS中国合格评定国家认可委员会颁发的检验机构认可证书，得2分，没有或不提供不得分。</w:t>
            </w:r>
          </w:p>
        </w:tc>
      </w:tr>
      <w:bookmark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28" w:type="pct"/>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left"/>
              <w:rPr>
                <w:rFonts w:hint="eastAsia" w:ascii="宋体" w:hAnsi="宋体" w:eastAsia="宋体" w:cs="宋体"/>
                <w:kern w:val="0"/>
                <w:sz w:val="21"/>
                <w:szCs w:val="21"/>
              </w:rPr>
            </w:pPr>
          </w:p>
        </w:tc>
        <w:tc>
          <w:tcPr>
            <w:tcW w:w="375" w:type="pct"/>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left"/>
              <w:rPr>
                <w:rFonts w:hint="eastAsia" w:ascii="宋体" w:hAnsi="宋体" w:eastAsia="宋体" w:cs="宋体"/>
                <w:kern w:val="0"/>
                <w:sz w:val="21"/>
                <w:szCs w:val="21"/>
              </w:rPr>
            </w:pPr>
          </w:p>
        </w:tc>
        <w:tc>
          <w:tcPr>
            <w:tcW w:w="654" w:type="pct"/>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kern w:val="0"/>
                <w:sz w:val="21"/>
                <w:szCs w:val="21"/>
                <w:lang w:val="en-US" w:eastAsia="zh-CN"/>
              </w:rPr>
            </w:pPr>
          </w:p>
        </w:tc>
        <w:tc>
          <w:tcPr>
            <w:tcW w:w="597"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3分</w:t>
            </w:r>
          </w:p>
        </w:tc>
        <w:tc>
          <w:tcPr>
            <w:tcW w:w="3043"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lang w:val="en-US" w:eastAsia="zh-CN"/>
              </w:rPr>
            </w:pPr>
            <w:r>
              <w:rPr>
                <w:rFonts w:hint="eastAsia" w:ascii="宋体" w:hAnsi="宋体" w:eastAsia="宋体" w:cs="宋体"/>
              </w:rPr>
              <w:t>投标人具备自研的测评服务工具，以提供的软件著作权证书为准，提供1个得1分，最高得3分。</w:t>
            </w:r>
            <w:r>
              <w:rPr>
                <w:rFonts w:hint="eastAsia" w:ascii="宋体" w:hAnsi="宋体" w:eastAsia="宋体" w:cs="宋体"/>
              </w:rPr>
              <w:br w:type="textWrapping"/>
            </w:r>
            <w:r>
              <w:rPr>
                <w:rFonts w:hint="eastAsia" w:ascii="宋体" w:hAnsi="宋体" w:eastAsia="宋体" w:cs="宋体"/>
              </w:rPr>
              <w:t>注：需提供在有效期内的证书或资质的纸质证明材料复印件并加盖公章。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328" w:type="pct"/>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left"/>
              <w:rPr>
                <w:rFonts w:hint="eastAsia" w:ascii="宋体" w:hAnsi="宋体" w:eastAsia="宋体" w:cs="宋体"/>
                <w:kern w:val="0"/>
                <w:sz w:val="21"/>
                <w:szCs w:val="21"/>
              </w:rPr>
            </w:pPr>
            <w:bookmarkStart w:id="35" w:name="_Toc75259347"/>
            <w:bookmarkStart w:id="36" w:name="_Toc11506"/>
          </w:p>
        </w:tc>
        <w:tc>
          <w:tcPr>
            <w:tcW w:w="375" w:type="pct"/>
            <w:vMerge w:val="continue"/>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left"/>
              <w:rPr>
                <w:rFonts w:hint="eastAsia" w:ascii="宋体" w:hAnsi="宋体" w:eastAsia="宋体" w:cs="宋体"/>
                <w:kern w:val="0"/>
                <w:sz w:val="21"/>
                <w:szCs w:val="21"/>
              </w:rPr>
            </w:pPr>
          </w:p>
        </w:tc>
        <w:tc>
          <w:tcPr>
            <w:tcW w:w="654" w:type="pct"/>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kern w:val="0"/>
                <w:sz w:val="21"/>
                <w:szCs w:val="21"/>
                <w:lang w:val="en-US" w:eastAsia="zh-CN"/>
              </w:rPr>
            </w:pPr>
            <w:r>
              <w:rPr>
                <w:rFonts w:hint="eastAsia" w:ascii="宋体" w:hAnsi="宋体" w:eastAsia="宋体" w:cs="宋体"/>
              </w:rPr>
              <w:t>售后服务</w:t>
            </w:r>
          </w:p>
        </w:tc>
        <w:tc>
          <w:tcPr>
            <w:tcW w:w="597" w:type="pct"/>
            <w:tcBorders>
              <w:left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6分</w:t>
            </w:r>
          </w:p>
        </w:tc>
        <w:tc>
          <w:tcPr>
            <w:tcW w:w="3043" w:type="pct"/>
            <w:tcBorders>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rPr>
              <w:t>投标人须针对本项目提供售后服务方案。</w:t>
            </w:r>
            <w:r>
              <w:rPr>
                <w:rFonts w:hint="eastAsia" w:ascii="宋体" w:hAnsi="宋体" w:eastAsia="宋体" w:cs="宋体"/>
              </w:rPr>
              <w:br w:type="textWrapping"/>
            </w:r>
            <w:r>
              <w:rPr>
                <w:rFonts w:hint="eastAsia" w:ascii="宋体" w:hAnsi="宋体" w:eastAsia="宋体" w:cs="宋体"/>
              </w:rPr>
              <w:t>1.售后服务方案设计全面，能完全满足本项目需要的，得6分；</w:t>
            </w:r>
            <w:r>
              <w:rPr>
                <w:rFonts w:hint="eastAsia" w:ascii="宋体" w:hAnsi="宋体" w:eastAsia="宋体" w:cs="宋体"/>
              </w:rPr>
              <w:br w:type="textWrapping"/>
            </w:r>
            <w:r>
              <w:rPr>
                <w:rFonts w:hint="eastAsia" w:ascii="宋体" w:hAnsi="宋体" w:eastAsia="宋体" w:cs="宋体"/>
              </w:rPr>
              <w:t>2.售后服务方案内容设计一般的，得</w:t>
            </w:r>
            <w:r>
              <w:rPr>
                <w:rFonts w:hint="eastAsia" w:ascii="宋体" w:hAnsi="宋体" w:eastAsia="宋体" w:cs="宋体"/>
                <w:lang w:val="en-US" w:eastAsia="zh-CN"/>
              </w:rPr>
              <w:t>4</w:t>
            </w:r>
            <w:r>
              <w:rPr>
                <w:rFonts w:hint="eastAsia" w:ascii="宋体" w:hAnsi="宋体" w:eastAsia="宋体" w:cs="宋体"/>
              </w:rPr>
              <w:t>分；</w:t>
            </w:r>
            <w:r>
              <w:rPr>
                <w:rFonts w:hint="eastAsia" w:ascii="宋体" w:hAnsi="宋体" w:eastAsia="宋体" w:cs="宋体"/>
              </w:rPr>
              <w:br w:type="textWrapping"/>
            </w:r>
            <w:r>
              <w:rPr>
                <w:rFonts w:hint="eastAsia" w:ascii="宋体" w:hAnsi="宋体" w:eastAsia="宋体" w:cs="宋体"/>
              </w:rPr>
              <w:t>3.售后服务方案设计较差的，得</w:t>
            </w:r>
            <w:r>
              <w:rPr>
                <w:rFonts w:hint="eastAsia" w:ascii="宋体" w:hAnsi="宋体" w:eastAsia="宋体" w:cs="宋体"/>
                <w:lang w:val="en-US" w:eastAsia="zh-CN"/>
              </w:rPr>
              <w:t>2</w:t>
            </w:r>
            <w:r>
              <w:rPr>
                <w:rFonts w:hint="eastAsia" w:ascii="宋体" w:hAnsi="宋体" w:eastAsia="宋体" w:cs="宋体"/>
              </w:rPr>
              <w:t>分；</w:t>
            </w:r>
            <w:r>
              <w:rPr>
                <w:rFonts w:hint="eastAsia" w:ascii="宋体" w:hAnsi="宋体" w:eastAsia="宋体" w:cs="宋体"/>
              </w:rPr>
              <w:br w:type="textWrapping"/>
            </w:r>
            <w:r>
              <w:rPr>
                <w:rFonts w:hint="eastAsia" w:ascii="宋体" w:hAnsi="宋体" w:eastAsia="宋体" w:cs="宋体"/>
              </w:rPr>
              <w:t>4.未提供本项内容不得分。</w:t>
            </w: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lang w:val="en-US" w:eastAsia="zh-CN"/>
        </w:rPr>
      </w:pPr>
      <w:r>
        <w:rPr>
          <w:rFonts w:hint="eastAsia" w:ascii="宋体" w:hAnsi="宋体" w:eastAsia="宋体" w:cs="宋体"/>
          <w:b/>
          <w:bCs/>
          <w:color w:val="auto"/>
          <w:sz w:val="24"/>
          <w:szCs w:val="24"/>
          <w:highlight w:val="none"/>
          <w:lang w:val="en-US" w:eastAsia="zh-CN"/>
        </w:rPr>
        <w:t>合同包3</w:t>
      </w:r>
      <w:r>
        <w:rPr>
          <w:rFonts w:hint="eastAsia" w:ascii="宋体" w:hAnsi="宋体" w:eastAsia="宋体" w:cs="宋体"/>
          <w:b/>
          <w:bCs/>
          <w:sz w:val="24"/>
          <w:szCs w:val="24"/>
          <w:highlight w:val="none"/>
          <w:lang w:val="en-US" w:eastAsia="zh-CN"/>
        </w:rPr>
        <w:t>详细评审因素：</w:t>
      </w:r>
    </w:p>
    <w:tbl>
      <w:tblPr>
        <w:tblStyle w:val="24"/>
        <w:tblW w:w="48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681"/>
        <w:gridCol w:w="1185"/>
        <w:gridCol w:w="1082"/>
        <w:gridCol w:w="5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705"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b/>
                <w:bCs/>
                <w:kern w:val="0"/>
                <w:sz w:val="21"/>
                <w:szCs w:val="21"/>
                <w:lang w:val="zh-CN" w:eastAsia="zh-CN"/>
              </w:rPr>
            </w:pPr>
          </w:p>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b/>
                <w:bCs/>
                <w:kern w:val="0"/>
                <w:sz w:val="21"/>
                <w:szCs w:val="21"/>
                <w:lang w:eastAsia="en-US"/>
              </w:rPr>
            </w:pPr>
            <w:r>
              <w:rPr>
                <w:rFonts w:hint="eastAsia" w:ascii="宋体" w:hAnsi="宋体" w:eastAsia="宋体" w:cs="宋体"/>
                <w:b/>
                <w:bCs/>
                <w:kern w:val="0"/>
                <w:sz w:val="21"/>
                <w:szCs w:val="21"/>
                <w:lang w:val="zh-CN" w:eastAsia="zh-CN"/>
              </w:rPr>
              <w:t>条款号</w:t>
            </w:r>
          </w:p>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b/>
                <w:bCs/>
                <w:kern w:val="0"/>
                <w:sz w:val="21"/>
                <w:szCs w:val="21"/>
                <w:lang w:eastAsia="en-US"/>
              </w:rPr>
            </w:pPr>
          </w:p>
        </w:tc>
        <w:tc>
          <w:tcPr>
            <w:tcW w:w="65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b/>
                <w:bCs/>
                <w:kern w:val="0"/>
                <w:sz w:val="21"/>
                <w:szCs w:val="21"/>
                <w:lang w:eastAsia="en-US"/>
              </w:rPr>
            </w:pPr>
            <w:r>
              <w:rPr>
                <w:rFonts w:hint="eastAsia" w:ascii="宋体" w:hAnsi="宋体" w:eastAsia="宋体" w:cs="宋体"/>
                <w:b/>
                <w:bCs/>
                <w:kern w:val="0"/>
                <w:sz w:val="21"/>
                <w:szCs w:val="21"/>
                <w:lang w:eastAsia="en-US"/>
              </w:rPr>
              <w:t>评分因素</w:t>
            </w:r>
          </w:p>
        </w:tc>
        <w:tc>
          <w:tcPr>
            <w:tcW w:w="5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b/>
                <w:bCs/>
                <w:kern w:val="0"/>
                <w:sz w:val="21"/>
                <w:szCs w:val="21"/>
                <w:lang w:eastAsia="en-US"/>
              </w:rPr>
            </w:pPr>
            <w:r>
              <w:rPr>
                <w:rFonts w:hint="eastAsia" w:ascii="宋体" w:hAnsi="宋体" w:eastAsia="宋体" w:cs="宋体"/>
                <w:b/>
                <w:bCs/>
                <w:kern w:val="0"/>
                <w:sz w:val="21"/>
                <w:szCs w:val="21"/>
                <w:lang w:eastAsia="en-US"/>
              </w:rPr>
              <w:t>标准分</w:t>
            </w:r>
          </w:p>
        </w:tc>
        <w:tc>
          <w:tcPr>
            <w:tcW w:w="30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b/>
                <w:bCs/>
                <w:kern w:val="0"/>
                <w:sz w:val="21"/>
                <w:szCs w:val="21"/>
                <w:lang w:eastAsia="en-US"/>
              </w:rPr>
            </w:pPr>
            <w:r>
              <w:rPr>
                <w:rFonts w:hint="eastAsia" w:ascii="宋体" w:hAnsi="宋体" w:eastAsia="宋体" w:cs="宋体"/>
                <w:b/>
                <w:bCs/>
                <w:kern w:val="0"/>
                <w:sz w:val="21"/>
                <w:szCs w:val="21"/>
                <w:lang w:eastAsia="en-US"/>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jc w:val="center"/>
        </w:trPr>
        <w:tc>
          <w:tcPr>
            <w:tcW w:w="32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eastAsia="en-US"/>
              </w:rPr>
            </w:pPr>
            <w:r>
              <w:rPr>
                <w:rFonts w:hint="eastAsia" w:ascii="宋体" w:hAnsi="宋体" w:eastAsia="宋体" w:cs="宋体"/>
                <w:kern w:val="0"/>
                <w:sz w:val="21"/>
                <w:szCs w:val="21"/>
                <w:lang w:eastAsia="en-US"/>
              </w:rPr>
              <w:t>1</w:t>
            </w:r>
          </w:p>
        </w:tc>
        <w:tc>
          <w:tcPr>
            <w:tcW w:w="37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zh-CN" w:eastAsia="zh-CN"/>
              </w:rPr>
              <w:t>价格</w:t>
            </w:r>
          </w:p>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eastAsia="en-US"/>
              </w:rPr>
            </w:pPr>
            <w:r>
              <w:rPr>
                <w:rFonts w:hint="eastAsia" w:ascii="宋体" w:hAnsi="宋体" w:eastAsia="宋体" w:cs="宋体"/>
                <w:kern w:val="0"/>
                <w:sz w:val="21"/>
                <w:szCs w:val="21"/>
                <w:lang w:val="zh-CN" w:eastAsia="zh-CN"/>
              </w:rPr>
              <w:t>评审</w:t>
            </w:r>
          </w:p>
        </w:tc>
        <w:tc>
          <w:tcPr>
            <w:tcW w:w="65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eastAsia="en-US"/>
              </w:rPr>
            </w:pPr>
            <w:r>
              <w:rPr>
                <w:rFonts w:hint="eastAsia" w:ascii="宋体" w:hAnsi="宋体" w:eastAsia="宋体" w:cs="宋体"/>
                <w:kern w:val="0"/>
                <w:sz w:val="21"/>
                <w:szCs w:val="21"/>
                <w:lang w:eastAsia="en-US"/>
              </w:rPr>
              <w:t>投标报价</w:t>
            </w:r>
          </w:p>
        </w:tc>
        <w:tc>
          <w:tcPr>
            <w:tcW w:w="5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eastAsia="en-US"/>
              </w:rPr>
            </w:pPr>
            <w:r>
              <w:rPr>
                <w:rFonts w:hint="eastAsia" w:ascii="宋体" w:hAnsi="宋体" w:eastAsia="宋体" w:cs="宋体"/>
                <w:kern w:val="0"/>
                <w:sz w:val="21"/>
                <w:szCs w:val="21"/>
                <w:lang w:eastAsia="en-US"/>
              </w:rPr>
              <w:t>10分</w:t>
            </w:r>
          </w:p>
        </w:tc>
        <w:tc>
          <w:tcPr>
            <w:tcW w:w="30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满足招标文件要求且投标报价最低的为基准价，其价格分为满分10分。</w:t>
            </w:r>
          </w:p>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en-US" w:eastAsia="zh-CN"/>
              </w:rPr>
              <w:t>投标人报价得分=（有效最低投标报价/该投标人报价）×10。</w:t>
            </w:r>
          </w:p>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注：对符合规定的小微企业报价给予10%的扣除，用扣除后的价格参加评审。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329"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375"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lang w:eastAsia="en-US"/>
              </w:rPr>
            </w:pPr>
            <w:r>
              <w:rPr>
                <w:rFonts w:hint="eastAsia" w:ascii="宋体" w:hAnsi="宋体" w:eastAsia="宋体" w:cs="宋体"/>
                <w:kern w:val="0"/>
                <w:sz w:val="21"/>
                <w:szCs w:val="21"/>
              </w:rPr>
              <w:t>商务部分</w:t>
            </w:r>
          </w:p>
        </w:tc>
        <w:tc>
          <w:tcPr>
            <w:tcW w:w="654"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业绩</w:t>
            </w:r>
          </w:p>
        </w:tc>
        <w:tc>
          <w:tcPr>
            <w:tcW w:w="597"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w:t>
            </w:r>
          </w:p>
        </w:tc>
        <w:tc>
          <w:tcPr>
            <w:tcW w:w="30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rPr>
              <w:t>提供近</w:t>
            </w:r>
            <w:r>
              <w:rPr>
                <w:rFonts w:hint="eastAsia" w:ascii="宋体" w:hAnsi="宋体" w:eastAsia="宋体" w:cs="宋体"/>
                <w:kern w:val="0"/>
                <w:sz w:val="21"/>
                <w:szCs w:val="21"/>
                <w:lang w:val="en-US" w:eastAsia="zh-CN"/>
              </w:rPr>
              <w:t>三</w:t>
            </w:r>
            <w:r>
              <w:rPr>
                <w:rFonts w:hint="eastAsia" w:ascii="宋体" w:hAnsi="宋体" w:eastAsia="宋体" w:cs="宋体"/>
                <w:kern w:val="0"/>
                <w:sz w:val="21"/>
                <w:szCs w:val="21"/>
              </w:rPr>
              <w:t>年（202</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月至今）</w:t>
            </w:r>
            <w:r>
              <w:rPr>
                <w:rFonts w:hint="eastAsia" w:ascii="宋体" w:hAnsi="宋体" w:eastAsia="宋体" w:cs="宋体"/>
                <w:kern w:val="0"/>
                <w:sz w:val="21"/>
                <w:szCs w:val="21"/>
                <w:lang w:eastAsia="zh-CN"/>
              </w:rPr>
              <w:t>类似</w:t>
            </w:r>
            <w:r>
              <w:rPr>
                <w:rFonts w:hint="eastAsia" w:ascii="宋体" w:hAnsi="宋体" w:eastAsia="宋体" w:cs="宋体"/>
                <w:kern w:val="0"/>
                <w:sz w:val="21"/>
                <w:szCs w:val="21"/>
              </w:rPr>
              <w:t>项目业绩，每提供一份案例合同得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分，满分</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w:t>
            </w:r>
          </w:p>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rPr>
              <w:t>注：须提供与投标人签订的合同复印件并加盖投标人公章，否则不得分。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7" w:hRule="atLeast"/>
          <w:jc w:val="center"/>
        </w:trPr>
        <w:tc>
          <w:tcPr>
            <w:tcW w:w="329" w:type="pct"/>
            <w:vMerge w:val="restar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375" w:type="pct"/>
            <w:vMerge w:val="restar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技术部分</w:t>
            </w:r>
          </w:p>
        </w:tc>
        <w:tc>
          <w:tcPr>
            <w:tcW w:w="654"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运维服务实施方案</w:t>
            </w:r>
          </w:p>
        </w:tc>
        <w:tc>
          <w:tcPr>
            <w:tcW w:w="597"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12分</w:t>
            </w:r>
          </w:p>
        </w:tc>
        <w:tc>
          <w:tcPr>
            <w:tcW w:w="30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根据投标文件提供的针对本项目的运维方案，方案内容涵盖本项目全部内容，至少包括1运维工作目标；2对项目规模的解读和理解；3定期预防性管理维护方案；4服务标准等内容。</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center"/>
              <w:rPr>
                <w:rFonts w:hint="eastAsia" w:ascii="宋体" w:hAnsi="宋体" w:eastAsia="宋体" w:cs="宋体"/>
                <w:color w:val="auto"/>
                <w:kern w:val="0"/>
                <w:sz w:val="21"/>
                <w:szCs w:val="21"/>
                <w:highlight w:val="none"/>
                <w:lang w:val="en-US" w:eastAsia="zh-CN" w:bidi="ar"/>
              </w:rPr>
            </w:pPr>
            <w:bookmarkStart w:id="37" w:name="OLE_LINK6"/>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）满足以上</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项要素要求不缺项，且每一项要素描述内容齐全、逻辑合理得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以上要素内容每缺少一项扣3分；（3）每项中每有一处存在缺陷或不足、内容不完整或不符合项目实际情况的扣1分，每一项要素内容最多扣3分，扣完为止。</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b/>
                <w:bCs/>
                <w:color w:val="auto"/>
                <w:kern w:val="0"/>
                <w:sz w:val="21"/>
                <w:szCs w:val="21"/>
                <w:highlight w:val="none"/>
                <w:lang w:val="en-US" w:eastAsia="zh-CN" w:bidi="ar"/>
              </w:rPr>
              <w:t>注:缺陷或不足是指内容逻辑混乱，不符合相关的国家、行业标准；不完整指内容具有明显缺陷，前后内容无法连贯，不符合项目实际情况（内容脱离了实际采购情况）不利于采购人依照方案实施项目。</w:t>
            </w:r>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2"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375"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654"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升级优化方案</w:t>
            </w:r>
          </w:p>
        </w:tc>
        <w:tc>
          <w:tcPr>
            <w:tcW w:w="597"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12分</w:t>
            </w:r>
          </w:p>
        </w:tc>
        <w:tc>
          <w:tcPr>
            <w:tcW w:w="30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根据投标文件提供的针对本项目的升级优化方案，方案内容涵盖本项目全部内容，至少包括1优化规模；2优化目标；3优化方式等内容。</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满足以上3项要素要求不缺项，且每一项要素描述内容齐全、逻辑合理得12分；（2）以上要素内容每缺少一项扣4分；（3）每项中每有一处存在缺陷或不足、内容不完整或不符合项目实际情况的扣1分，每一项要素内容最多扣4分，扣完为止。</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注:缺陷或不足是指内容逻辑混乱，不符合相关的国家、行业标准；不完整指内容具有明显缺陷，前后内容无法连贯，不符合项目实际情况（内容脱离了实际采购情况）不利于采购人依照方案实施项目。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375"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654"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技术实施方案</w:t>
            </w:r>
          </w:p>
        </w:tc>
        <w:tc>
          <w:tcPr>
            <w:tcW w:w="597"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kern w:val="0"/>
                <w:sz w:val="21"/>
                <w:szCs w:val="21"/>
                <w:lang w:val="en-US" w:eastAsia="zh-CN"/>
              </w:rPr>
            </w:pPr>
          </w:p>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kern w:val="0"/>
                <w:sz w:val="21"/>
                <w:szCs w:val="21"/>
                <w:lang w:val="en-US" w:eastAsia="zh-CN"/>
              </w:rPr>
            </w:pPr>
          </w:p>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kern w:val="0"/>
                <w:sz w:val="21"/>
                <w:szCs w:val="21"/>
                <w:lang w:val="en-US" w:eastAsia="zh-CN"/>
              </w:rPr>
            </w:pPr>
          </w:p>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kern w:val="0"/>
                <w:sz w:val="21"/>
                <w:szCs w:val="21"/>
                <w:lang w:val="en-US" w:eastAsia="zh-CN"/>
              </w:rPr>
            </w:pPr>
          </w:p>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12分</w:t>
            </w:r>
          </w:p>
        </w:tc>
        <w:tc>
          <w:tcPr>
            <w:tcW w:w="30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针对本项目拟定完善的技术实施方案，至少包括：项目实施计划安排、项目实施人员责任分配方案、软件测试与验收方案。</w:t>
            </w:r>
          </w:p>
          <w:p>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）满足以上</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项要素要求不缺项，且每一项要素描述内容齐全、逻辑合理得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以上要素内容每缺少一项扣4分；（3）每项中每有一处存在缺陷或不足、内容不完整或不符合项目实际情况的扣1分，每一项要素内容最多扣4分，扣完为止。</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auto"/>
                <w:kern w:val="0"/>
                <w:sz w:val="21"/>
                <w:szCs w:val="21"/>
                <w:highlight w:val="none"/>
                <w:lang w:val="en-US" w:eastAsia="zh-CN" w:bidi="ar"/>
              </w:rPr>
              <w:t>注:缺陷或不足是指内容逻辑混乱，不符合相关的国家、行业标准；不完整指内容具有明显缺陷，前后内容无法连贯，不符合项目实际情况（内容脱离了实际采购情况）不利于采购人依照方案实施项目。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375"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654"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项目人员配置及人员管理制度</w:t>
            </w:r>
          </w:p>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kern w:val="0"/>
                <w:sz w:val="21"/>
                <w:szCs w:val="21"/>
                <w:lang w:val="en-US" w:eastAsia="en-US"/>
              </w:rPr>
            </w:pPr>
          </w:p>
        </w:tc>
        <w:tc>
          <w:tcPr>
            <w:tcW w:w="597" w:type="pct"/>
            <w:tcBorders>
              <w:top w:val="single" w:color="auto" w:sz="4" w:space="0"/>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lang w:val="en-US" w:eastAsia="zh-CN"/>
              </w:rPr>
              <w:t>12分</w:t>
            </w:r>
          </w:p>
        </w:tc>
        <w:tc>
          <w:tcPr>
            <w:tcW w:w="30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供应商针对本项目应提供的项目团队人员配备方案进行评审，需包含以下2个方面：</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1、人员配置及岗位职责</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2、人员管理制度</w:t>
            </w:r>
          </w:p>
          <w:p>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每条需从以下维度进行综合评价：</w:t>
            </w:r>
          </w:p>
          <w:p>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①合理性：方案提出的方法和标准应该是合理的、恰当的。</w:t>
            </w:r>
          </w:p>
          <w:p>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②完备性：方案完整，能实现招标件所需的所有要求。</w:t>
            </w:r>
          </w:p>
          <w:p>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③针对性：方案必须切合实际情况，根据招标文件的要求提出个性化的解决方案。</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每个方案每满足一个考核点得2分，完全满足上述3个考核要求的得6分；方案</w:t>
            </w:r>
            <w:r>
              <w:rPr>
                <w:rFonts w:hint="eastAsia" w:ascii="宋体" w:hAnsi="宋体" w:eastAsia="宋体" w:cs="宋体"/>
                <w:color w:val="auto"/>
                <w:sz w:val="21"/>
                <w:szCs w:val="21"/>
                <w:highlight w:val="none"/>
                <w:lang w:eastAsia="zh-CN"/>
              </w:rPr>
              <w:t>不缺项，描述内容齐全、逻辑合理的得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以上方案内容每缺少一个考核项扣2分；（3）每个方案中考核点有一处存在缺陷或不足、内容不完整或不符合项目实际情况的扣2分，每个方案内容最多扣6分，扣完为止。</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color w:val="auto"/>
                <w:sz w:val="21"/>
                <w:szCs w:val="21"/>
                <w:lang w:val="en-US" w:eastAsia="zh-CN"/>
              </w:rPr>
            </w:pPr>
            <w:r>
              <w:rPr>
                <w:rFonts w:hint="eastAsia" w:ascii="宋体" w:hAnsi="宋体" w:eastAsia="宋体" w:cs="宋体"/>
                <w:b/>
                <w:bCs/>
                <w:color w:val="auto"/>
                <w:kern w:val="0"/>
                <w:sz w:val="21"/>
                <w:szCs w:val="21"/>
                <w:highlight w:val="none"/>
                <w:lang w:val="en-US" w:eastAsia="zh-CN" w:bidi="ar"/>
              </w:rPr>
              <w:t>注:缺陷或不足是指内容逻辑混乱，不符合相关的国家、行业标准；不完整指内容具有明显缺陷，前后内容无法连贯，不符合项目实际情况（内容脱离了实际采购情况）不利于采购人依照方案实施项目。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375"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kern w:val="0"/>
                <w:sz w:val="21"/>
                <w:szCs w:val="21"/>
                <w:lang w:val="en-US" w:eastAsia="zh-CN"/>
              </w:rPr>
            </w:pPr>
            <w:r>
              <w:rPr>
                <w:rFonts w:hint="eastAsia" w:ascii="宋体" w:hAnsi="宋体" w:eastAsia="宋体" w:cs="宋体"/>
                <w:b w:val="0"/>
                <w:bCs/>
                <w:color w:val="auto"/>
                <w:sz w:val="21"/>
                <w:szCs w:val="21"/>
                <w:lang w:val="en-US" w:eastAsia="zh-CN"/>
              </w:rPr>
              <w:t>服务质量承诺</w:t>
            </w:r>
          </w:p>
        </w:tc>
        <w:tc>
          <w:tcPr>
            <w:tcW w:w="5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9分</w:t>
            </w:r>
          </w:p>
        </w:tc>
        <w:tc>
          <w:tcPr>
            <w:tcW w:w="30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根据供应商提供的服务质量承诺进行评审，包括以下3个方面：</w:t>
            </w:r>
          </w:p>
          <w:p>
            <w:pPr>
              <w:keepNext w:val="0"/>
              <w:keepLines w:val="0"/>
              <w:pageBreakBefore w:val="0"/>
              <w:widowControl w:val="0"/>
              <w:kinsoku/>
              <w:wordWrap/>
              <w:overflowPunct/>
              <w:topLinePunct w:val="0"/>
              <w:autoSpaceDE/>
              <w:autoSpaceDN/>
              <w:bidi w:val="0"/>
              <w:adjustRightInd/>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(1）服务质量承诺；</w:t>
            </w:r>
          </w:p>
          <w:p>
            <w:pPr>
              <w:keepNext w:val="0"/>
              <w:keepLines w:val="0"/>
              <w:pageBreakBefore w:val="0"/>
              <w:widowControl w:val="0"/>
              <w:kinsoku/>
              <w:wordWrap/>
              <w:overflowPunct/>
              <w:topLinePunct w:val="0"/>
              <w:autoSpaceDE/>
              <w:autoSpaceDN/>
              <w:bidi w:val="0"/>
              <w:adjustRightInd/>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(2）服务质量保障措施；</w:t>
            </w:r>
          </w:p>
          <w:p>
            <w:pPr>
              <w:keepNext w:val="0"/>
              <w:keepLines w:val="0"/>
              <w:pageBreakBefore w:val="0"/>
              <w:widowControl w:val="0"/>
              <w:kinsoku/>
              <w:wordWrap/>
              <w:overflowPunct/>
              <w:topLinePunct w:val="0"/>
              <w:autoSpaceDE/>
              <w:autoSpaceDN/>
              <w:bidi w:val="0"/>
              <w:adjustRightInd/>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(3）违约处罚措施。</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）满足以上</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项要素要求不缺项，且每一项要素描述内容齐全、逻辑合理得</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以上要素内容每缺少一项扣3分；（3）每项中每有一处存在缺陷或不足、内容不完整或不符合项目实际情况的扣1分，每一项要素内容最多扣3分，扣完为止。</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color w:val="auto"/>
                <w:sz w:val="21"/>
                <w:szCs w:val="21"/>
                <w:lang w:val="en-US" w:eastAsia="zh-CN"/>
              </w:rPr>
            </w:pPr>
            <w:r>
              <w:rPr>
                <w:rFonts w:hint="eastAsia" w:ascii="宋体" w:hAnsi="宋体" w:eastAsia="宋体" w:cs="宋体"/>
                <w:b/>
                <w:bCs/>
                <w:color w:val="auto"/>
                <w:kern w:val="0"/>
                <w:sz w:val="21"/>
                <w:szCs w:val="21"/>
                <w:highlight w:val="none"/>
                <w:lang w:val="en-US" w:eastAsia="zh-CN" w:bidi="ar"/>
              </w:rPr>
              <w:t>注:缺陷或不足是指内容逻辑混乱，不符合相关的国家、行业标准；不完整指内容具有明显缺陷，前后内容无法连贯，不符合项目实际情况（内容脱离了实际采购情况）不利于采购人依照方案实施项目。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375"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kern w:val="0"/>
                <w:sz w:val="21"/>
                <w:szCs w:val="21"/>
                <w:lang w:val="en-US" w:eastAsia="zh-CN"/>
              </w:rPr>
            </w:pPr>
            <w:r>
              <w:rPr>
                <w:rFonts w:hint="eastAsia" w:ascii="宋体" w:hAnsi="宋体" w:eastAsia="宋体" w:cs="宋体"/>
                <w:color w:val="auto"/>
                <w:sz w:val="21"/>
                <w:szCs w:val="21"/>
                <w:highlight w:val="none"/>
                <w:lang w:val="en-US" w:eastAsia="zh-CN"/>
              </w:rPr>
              <w:t>应急保障方案</w:t>
            </w:r>
          </w:p>
        </w:tc>
        <w:tc>
          <w:tcPr>
            <w:tcW w:w="5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lang w:val="en-US" w:eastAsia="zh-CN"/>
              </w:rPr>
              <w:t>9分</w:t>
            </w:r>
          </w:p>
        </w:tc>
        <w:tc>
          <w:tcPr>
            <w:tcW w:w="30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根据供应商提供的应急保障方案进行评审，包括以下3个方面：</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(1）应急质量保障。</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(2）应急安全管理。</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(3）应急维修预案。</w:t>
            </w:r>
          </w:p>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）满足以上</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项要素要求不缺项，且每一项要素描述内容齐全、逻辑合理得</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以上要素内容每缺少一项扣3分；（3）每项中每有一处存在缺陷或不足、内容不完整或不符合项目实际情况的扣1分，每一项要素内容最多扣3分，扣完为止。</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color w:val="auto"/>
                <w:sz w:val="21"/>
                <w:szCs w:val="21"/>
                <w:lang w:val="en-US" w:eastAsia="zh-CN"/>
              </w:rPr>
            </w:pPr>
            <w:r>
              <w:rPr>
                <w:rFonts w:hint="eastAsia" w:ascii="宋体" w:hAnsi="宋体" w:eastAsia="宋体" w:cs="宋体"/>
                <w:b/>
                <w:bCs/>
                <w:color w:val="auto"/>
                <w:kern w:val="0"/>
                <w:sz w:val="21"/>
                <w:szCs w:val="21"/>
                <w:highlight w:val="none"/>
                <w:lang w:val="en-US" w:eastAsia="zh-CN" w:bidi="ar"/>
              </w:rPr>
              <w:t>注:缺陷或不足是指内容逻辑混乱，不符合相关的国家、行业标准；不完整指内容具有明显缺陷，前后内容无法连贯，不符合项目实际情况（内容脱离了实际采购情况）不利于采购人依照方案实施项目。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375"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kern w:val="0"/>
                <w:sz w:val="21"/>
                <w:szCs w:val="21"/>
                <w:lang w:val="en-US" w:eastAsia="zh-CN"/>
              </w:rPr>
            </w:pPr>
            <w:r>
              <w:rPr>
                <w:rFonts w:hint="eastAsia" w:ascii="宋体" w:hAnsi="宋体" w:eastAsia="宋体" w:cs="宋体"/>
                <w:b w:val="0"/>
                <w:bCs/>
                <w:color w:val="auto"/>
                <w:sz w:val="21"/>
                <w:szCs w:val="21"/>
                <w:lang w:val="en-US" w:eastAsia="zh-CN"/>
              </w:rPr>
              <w:t>培训方案</w:t>
            </w:r>
          </w:p>
        </w:tc>
        <w:tc>
          <w:tcPr>
            <w:tcW w:w="5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6分</w:t>
            </w:r>
          </w:p>
        </w:tc>
        <w:tc>
          <w:tcPr>
            <w:tcW w:w="30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根据投标人提供的培训方案进行评审，</w:t>
            </w:r>
            <w:r>
              <w:rPr>
                <w:rFonts w:hint="eastAsia" w:ascii="宋体" w:hAnsi="宋体" w:eastAsia="宋体" w:cs="宋体"/>
                <w:color w:val="auto"/>
                <w:kern w:val="0"/>
                <w:sz w:val="21"/>
                <w:szCs w:val="21"/>
                <w:highlight w:val="none"/>
                <w:lang w:val="en-US" w:eastAsia="zh-CN" w:bidi="ar"/>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105"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培训时间及方式</w:t>
            </w:r>
          </w:p>
          <w:p>
            <w:pPr>
              <w:keepNext w:val="0"/>
              <w:keepLines w:val="0"/>
              <w:pageBreakBefore w:val="0"/>
              <w:widowControl w:val="0"/>
              <w:kinsoku/>
              <w:wordWrap/>
              <w:overflowPunct/>
              <w:topLinePunct w:val="0"/>
              <w:autoSpaceDE/>
              <w:autoSpaceDN/>
              <w:bidi w:val="0"/>
              <w:adjustRightInd/>
              <w:snapToGrid/>
              <w:spacing w:line="360" w:lineRule="auto"/>
              <w:ind w:left="105"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培训内容</w:t>
            </w:r>
          </w:p>
          <w:p>
            <w:pPr>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）满足以上</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项要素要求不缺项，且每一项要素描述内容齐全、逻辑合理得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以上要素内容每缺少一项扣3分；（3）每项中每有一处存在缺陷或不足、内容不完整或不符合项目实际情况的扣1分，每一项要素内容最多扣3分，扣完为止。</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color w:val="auto"/>
                <w:sz w:val="21"/>
                <w:szCs w:val="21"/>
                <w:lang w:val="en-US" w:eastAsia="zh-CN"/>
              </w:rPr>
            </w:pPr>
            <w:r>
              <w:rPr>
                <w:rFonts w:hint="eastAsia" w:ascii="宋体" w:hAnsi="宋体" w:eastAsia="宋体" w:cs="宋体"/>
                <w:b/>
                <w:bCs/>
                <w:color w:val="auto"/>
                <w:kern w:val="0"/>
                <w:sz w:val="21"/>
                <w:szCs w:val="21"/>
                <w:highlight w:val="none"/>
                <w:lang w:val="en-US" w:eastAsia="zh-CN" w:bidi="ar"/>
              </w:rPr>
              <w:t>注:缺陷或不足是指内容逻辑混乱，不符合相关的国家、行业标准；不完整指内容具有明显缺陷，前后内容无法连贯，不符合项目实际情况（内容脱离了实际采购情况）不利于采购人依照方案实施项目。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375"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备品备件库</w:t>
            </w:r>
          </w:p>
        </w:tc>
        <w:tc>
          <w:tcPr>
            <w:tcW w:w="5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6分</w:t>
            </w:r>
          </w:p>
        </w:tc>
        <w:tc>
          <w:tcPr>
            <w:tcW w:w="30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根据磋商响应文件提供的针对本项目的备品备件库，方案内容涵盖本项目全部内容，至少包括1备品备件库种类；2备品备件及专用工具供货保障能力等内容。</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b w:val="0"/>
                <w:bCs w:val="0"/>
                <w:color w:val="auto"/>
                <w:kern w:val="0"/>
                <w:sz w:val="21"/>
                <w:szCs w:val="21"/>
                <w:highlight w:val="none"/>
                <w:lang w:val="en-US" w:eastAsia="zh-CN" w:bidi="ar"/>
              </w:rPr>
            </w:pPr>
            <w:bookmarkStart w:id="38" w:name="OLE_LINK7"/>
            <w:r>
              <w:rPr>
                <w:rFonts w:hint="eastAsia" w:ascii="宋体" w:hAnsi="宋体" w:eastAsia="宋体" w:cs="宋体"/>
                <w:b w:val="0"/>
                <w:bCs w:val="0"/>
                <w:color w:val="auto"/>
                <w:kern w:val="0"/>
                <w:sz w:val="21"/>
                <w:szCs w:val="21"/>
                <w:highlight w:val="none"/>
                <w:lang w:val="en-US" w:eastAsia="zh-CN" w:bidi="ar"/>
              </w:rPr>
              <w:t>（1）满足以上2方面要求不缺项，且每一项分析内容完整、与项目需求吻合全面、安排合理、有具体详细的闸述且符合项目得6分；（2）以上要素内容每缺少一项扣3分；（3）每项中每有一处存在缺陷或不足、内容不完整或不符合项目实际情况的扣1分，每一项要素内容最多扣3分，扣完为止。</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注:缺陷或不足是指内容逻辑混乱，不符合相关的国家、行业标准；不完整指内容具有明显缺陷，前后内容无法连贯，不符合项目实际情况（内容脱离了实际采购情况）不利于采购人依照方案实施项目。</w:t>
            </w:r>
            <w:bookmarkEnd w:id="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375" w:type="pct"/>
            <w:vMerge w:val="continue"/>
            <w:tcBorders>
              <w:left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right="0"/>
              <w:jc w:val="left"/>
              <w:rPr>
                <w:rFonts w:hint="eastAsia" w:ascii="宋体" w:hAnsi="宋体" w:eastAsia="宋体" w:cs="宋体"/>
                <w:kern w:val="0"/>
                <w:sz w:val="21"/>
                <w:szCs w:val="21"/>
              </w:rPr>
            </w:pPr>
          </w:p>
        </w:tc>
        <w:tc>
          <w:tcPr>
            <w:tcW w:w="65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保密措施</w:t>
            </w:r>
          </w:p>
        </w:tc>
        <w:tc>
          <w:tcPr>
            <w:tcW w:w="5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overflowPunct/>
              <w:topLinePunct w:val="0"/>
              <w:bidi w:val="0"/>
              <w:spacing w:before="0" w:beforeAutospacing="0" w:after="0" w:afterAutospacing="0" w:line="450" w:lineRule="exact"/>
              <w:ind w:left="0" w:leftChars="0" w:right="0" w:right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6分</w:t>
            </w:r>
          </w:p>
        </w:tc>
        <w:tc>
          <w:tcPr>
            <w:tcW w:w="304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根据投标文件提供的针对本项目的保密措施，方案内容涵盖本项目全部内容,至少包括1对本项目制定专项保密制度;2员工保密管理方案等内容。</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满足以上2方面要求不缺项，且每一项分析内容完整、与项目需求吻合全面、安排合理、有具体详细的闸述且符合项目得6分；（2）以上要素内容每缺少一项扣3分；（3）每项中每有一处存在缺陷或不足、内容不完整或不符合项目实际情况的扣1分，每一项要素内容最多扣3分，扣完为止。</w:t>
            </w:r>
          </w:p>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注:缺陷或不足是指内容逻辑混乱，不符合相关的国家、行业标准；不完整指内容具有明显缺陷，前后内容无法连贯，不符合项目实际情况（内容脱离了实际采购情况）不利于采购人依照方案实施项目。</w:t>
            </w:r>
          </w:p>
        </w:tc>
      </w:tr>
    </w:tbl>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12．</w:t>
      </w:r>
      <w:bookmarkEnd w:id="35"/>
      <w:r>
        <w:rPr>
          <w:rFonts w:hint="eastAsia" w:ascii="宋体" w:hAnsi="宋体" w:eastAsia="宋体" w:cs="宋体"/>
          <w:b/>
          <w:sz w:val="24"/>
          <w:szCs w:val="24"/>
          <w:highlight w:val="none"/>
          <w:lang w:val="en-US" w:eastAsia="zh-CN"/>
        </w:rPr>
        <w:t>评标委员会</w:t>
      </w:r>
      <w:bookmarkEnd w:id="36"/>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lang w:val="zh-CN"/>
        </w:rPr>
        <w:t>由采购人代表和评审专家共同组成，评审专家应当从政府采购评审专家库内相关专业的专家名单中随机抽取，专家比例不少于评标委员会成员总数的三分之二。</w:t>
      </w:r>
    </w:p>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39" w:name="_Toc75259348"/>
      <w:bookmarkStart w:id="40" w:name="_Toc4840"/>
      <w:r>
        <w:rPr>
          <w:rFonts w:hint="eastAsia" w:ascii="宋体" w:hAnsi="宋体" w:eastAsia="宋体" w:cs="宋体"/>
          <w:b/>
          <w:sz w:val="24"/>
          <w:szCs w:val="24"/>
          <w:highlight w:val="none"/>
        </w:rPr>
        <w:t>13．评审纪律</w:t>
      </w:r>
      <w:bookmarkEnd w:id="39"/>
      <w:bookmarkEnd w:id="40"/>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13.1</w:t>
      </w: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rPr>
        <w:t>成员</w:t>
      </w:r>
      <w:r>
        <w:rPr>
          <w:rFonts w:hint="eastAsia" w:ascii="宋体" w:hAnsi="宋体" w:eastAsia="宋体" w:cs="宋体"/>
          <w:sz w:val="24"/>
          <w:szCs w:val="24"/>
          <w:highlight w:val="none"/>
          <w:lang w:val="zh-CN"/>
        </w:rPr>
        <w:t>内部讨论的情况和意见必须保密，任何人不得以任何形式透露给投标人或与投标人有关的单位或个人；</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13.2</w:t>
      </w:r>
      <w:r>
        <w:rPr>
          <w:rFonts w:hint="eastAsia" w:ascii="宋体" w:hAnsi="宋体" w:eastAsia="宋体" w:cs="宋体"/>
          <w:sz w:val="24"/>
          <w:szCs w:val="24"/>
          <w:highlight w:val="none"/>
          <w:lang w:val="zh-CN"/>
        </w:rPr>
        <w:t>在招标过程中，投标人不得以任何形式对</w:t>
      </w: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lang w:val="zh-CN"/>
        </w:rPr>
        <w:t>成员进行旨在影响招标结果的私下接触，否则取消其</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lang w:val="zh-CN"/>
        </w:rPr>
        <w:t>资格；</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13.3</w:t>
      </w: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lang w:val="zh-CN"/>
        </w:rPr>
        <w:t>以及与招标有关的人员应当对评审情况和评审过程中获悉的国家秘密、商业秘密予以保密。</w:t>
      </w:r>
    </w:p>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41" w:name="_Toc31016"/>
      <w:bookmarkStart w:id="42" w:name="_Toc75259349"/>
      <w:r>
        <w:rPr>
          <w:rFonts w:hint="eastAsia" w:ascii="宋体" w:hAnsi="宋体" w:eastAsia="宋体" w:cs="宋体"/>
          <w:b/>
          <w:sz w:val="24"/>
          <w:szCs w:val="24"/>
          <w:highlight w:val="none"/>
        </w:rPr>
        <w:t>14．无效</w:t>
      </w:r>
      <w:r>
        <w:rPr>
          <w:rFonts w:hint="eastAsia" w:ascii="宋体" w:hAnsi="宋体" w:eastAsia="宋体" w:cs="宋体"/>
          <w:b/>
          <w:sz w:val="24"/>
          <w:szCs w:val="24"/>
          <w:highlight w:val="none"/>
          <w:lang w:val="en-US" w:eastAsia="zh-CN"/>
        </w:rPr>
        <w:t>投标</w:t>
      </w:r>
      <w:r>
        <w:rPr>
          <w:rFonts w:hint="eastAsia" w:ascii="宋体" w:hAnsi="宋体" w:eastAsia="宋体" w:cs="宋体"/>
          <w:b/>
          <w:sz w:val="24"/>
          <w:szCs w:val="24"/>
          <w:highlight w:val="none"/>
        </w:rPr>
        <w:t>文件情况说明</w:t>
      </w:r>
      <w:bookmarkEnd w:id="41"/>
      <w:bookmarkEnd w:id="42"/>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投标</w:t>
      </w:r>
      <w:r>
        <w:rPr>
          <w:rFonts w:hint="eastAsia" w:ascii="宋体" w:hAnsi="宋体" w:eastAsia="宋体" w:cs="宋体"/>
          <w:bCs/>
          <w:sz w:val="24"/>
          <w:szCs w:val="24"/>
          <w:highlight w:val="none"/>
        </w:rPr>
        <w:t>文件有下列情形之一的，应当按照无效</w:t>
      </w:r>
      <w:r>
        <w:rPr>
          <w:rFonts w:hint="eastAsia" w:ascii="宋体" w:hAnsi="宋体" w:eastAsia="宋体" w:cs="宋体"/>
          <w:bCs/>
          <w:sz w:val="24"/>
          <w:szCs w:val="24"/>
          <w:highlight w:val="none"/>
          <w:lang w:val="en-US" w:eastAsia="zh-CN"/>
        </w:rPr>
        <w:t>投标</w:t>
      </w:r>
      <w:r>
        <w:rPr>
          <w:rFonts w:hint="eastAsia" w:ascii="宋体" w:hAnsi="宋体" w:eastAsia="宋体" w:cs="宋体"/>
          <w:bCs/>
          <w:sz w:val="24"/>
          <w:szCs w:val="24"/>
          <w:highlight w:val="none"/>
        </w:rPr>
        <w:t xml:space="preserve">文件处理：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14.1未按</w:t>
      </w:r>
      <w:r>
        <w:rPr>
          <w:rFonts w:hint="eastAsia" w:ascii="宋体" w:hAnsi="宋体" w:eastAsia="宋体" w:cs="宋体"/>
          <w:bCs/>
          <w:sz w:val="24"/>
          <w:szCs w:val="24"/>
          <w:highlight w:val="none"/>
          <w:lang w:val="en-US" w:eastAsia="zh-CN"/>
        </w:rPr>
        <w:t>招标</w:t>
      </w:r>
      <w:r>
        <w:rPr>
          <w:rFonts w:hint="eastAsia" w:ascii="宋体" w:hAnsi="宋体" w:eastAsia="宋体" w:cs="宋体"/>
          <w:bCs/>
          <w:sz w:val="24"/>
          <w:szCs w:val="24"/>
          <w:highlight w:val="none"/>
        </w:rPr>
        <w:t>文件规定要求签署、盖章的；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14.2不具备</w:t>
      </w:r>
      <w:r>
        <w:rPr>
          <w:rFonts w:hint="eastAsia" w:ascii="宋体" w:hAnsi="宋体" w:eastAsia="宋体" w:cs="宋体"/>
          <w:bCs/>
          <w:sz w:val="24"/>
          <w:szCs w:val="24"/>
          <w:highlight w:val="none"/>
          <w:lang w:val="en-US" w:eastAsia="zh-CN"/>
        </w:rPr>
        <w:t>招标</w:t>
      </w:r>
      <w:r>
        <w:rPr>
          <w:rFonts w:hint="eastAsia" w:ascii="宋体" w:hAnsi="宋体" w:eastAsia="宋体" w:cs="宋体"/>
          <w:bCs/>
          <w:sz w:val="24"/>
          <w:szCs w:val="24"/>
          <w:highlight w:val="none"/>
        </w:rPr>
        <w:t>文件中规定的资格要求的；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14.3报价超过采购预算的；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14.4未完全响应</w:t>
      </w:r>
      <w:r>
        <w:rPr>
          <w:rFonts w:hint="eastAsia" w:ascii="宋体" w:hAnsi="宋体" w:eastAsia="宋体" w:cs="宋体"/>
          <w:bCs/>
          <w:sz w:val="24"/>
          <w:szCs w:val="24"/>
          <w:highlight w:val="none"/>
          <w:lang w:val="en-US" w:eastAsia="zh-CN"/>
        </w:rPr>
        <w:t>招标</w:t>
      </w:r>
      <w:r>
        <w:rPr>
          <w:rFonts w:hint="eastAsia" w:ascii="宋体" w:hAnsi="宋体" w:eastAsia="宋体" w:cs="宋体"/>
          <w:bCs/>
          <w:sz w:val="24"/>
          <w:szCs w:val="24"/>
          <w:highlight w:val="none"/>
        </w:rPr>
        <w:t>文件规定的实质性要求的；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14.5不符合法律、法规规定的其他情形</w:t>
      </w:r>
      <w:r>
        <w:rPr>
          <w:rFonts w:hint="eastAsia" w:ascii="宋体" w:hAnsi="宋体" w:eastAsia="宋体" w:cs="宋体"/>
          <w:bCs/>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14.6</w:t>
      </w:r>
      <w:r>
        <w:rPr>
          <w:rFonts w:hint="eastAsia" w:ascii="宋体" w:hAnsi="宋体" w:eastAsia="宋体" w:cs="宋体"/>
          <w:bCs/>
          <w:sz w:val="24"/>
          <w:szCs w:val="24"/>
          <w:highlight w:val="none"/>
          <w:lang w:val="en-US" w:eastAsia="zh-CN"/>
        </w:rPr>
        <w:t>投标人</w:t>
      </w:r>
      <w:r>
        <w:rPr>
          <w:rFonts w:hint="eastAsia" w:ascii="宋体" w:hAnsi="宋体" w:eastAsia="宋体" w:cs="宋体"/>
          <w:bCs/>
          <w:sz w:val="24"/>
          <w:szCs w:val="24"/>
          <w:highlight w:val="none"/>
        </w:rPr>
        <w:t>没有经过正常渠道</w:t>
      </w:r>
      <w:r>
        <w:rPr>
          <w:rFonts w:hint="eastAsia" w:ascii="宋体" w:hAnsi="宋体" w:eastAsia="宋体" w:cs="宋体"/>
          <w:bCs/>
          <w:sz w:val="24"/>
          <w:szCs w:val="24"/>
          <w:highlight w:val="none"/>
          <w:lang w:val="en-US" w:eastAsia="zh-CN"/>
        </w:rPr>
        <w:t>获取招标</w:t>
      </w:r>
      <w:r>
        <w:rPr>
          <w:rFonts w:hint="eastAsia" w:ascii="宋体" w:hAnsi="宋体" w:eastAsia="宋体" w:cs="宋体"/>
          <w:bCs/>
          <w:sz w:val="24"/>
          <w:szCs w:val="24"/>
          <w:highlight w:val="none"/>
        </w:rPr>
        <w:t>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14.7投标文件无有效期或有效期达不到招标文件的要求；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14.8</w:t>
      </w:r>
      <w:r>
        <w:rPr>
          <w:rFonts w:hint="eastAsia" w:ascii="宋体" w:hAnsi="宋体" w:eastAsia="宋体" w:cs="宋体"/>
          <w:bCs/>
          <w:sz w:val="24"/>
          <w:szCs w:val="24"/>
          <w:highlight w:val="none"/>
          <w:lang w:val="en-US" w:eastAsia="zh-CN"/>
        </w:rPr>
        <w:t>投标人</w:t>
      </w:r>
      <w:r>
        <w:rPr>
          <w:rFonts w:hint="eastAsia" w:ascii="宋体" w:hAnsi="宋体" w:eastAsia="宋体" w:cs="宋体"/>
          <w:bCs/>
          <w:sz w:val="24"/>
          <w:szCs w:val="24"/>
          <w:highlight w:val="none"/>
        </w:rPr>
        <w:t>针对同一项目递交两份或多份内容不同的</w:t>
      </w:r>
      <w:r>
        <w:rPr>
          <w:rFonts w:hint="eastAsia" w:ascii="宋体" w:hAnsi="宋体" w:eastAsia="宋体" w:cs="宋体"/>
          <w:bCs/>
          <w:sz w:val="24"/>
          <w:szCs w:val="24"/>
          <w:highlight w:val="none"/>
          <w:lang w:val="en-US" w:eastAsia="zh-CN"/>
        </w:rPr>
        <w:t>投标</w:t>
      </w:r>
      <w:r>
        <w:rPr>
          <w:rFonts w:hint="eastAsia" w:ascii="宋体" w:hAnsi="宋体" w:eastAsia="宋体" w:cs="宋体"/>
          <w:bCs/>
          <w:sz w:val="24"/>
          <w:szCs w:val="24"/>
          <w:highlight w:val="none"/>
        </w:rPr>
        <w:t>文件，未书面声明哪一份是有效的；出现选择性报价的；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14.9提供虚假资质证明，除按无效</w:t>
      </w:r>
      <w:r>
        <w:rPr>
          <w:rFonts w:hint="eastAsia" w:ascii="宋体" w:hAnsi="宋体" w:eastAsia="宋体" w:cs="宋体"/>
          <w:bCs/>
          <w:sz w:val="24"/>
          <w:szCs w:val="24"/>
          <w:highlight w:val="none"/>
          <w:lang w:val="en-US" w:eastAsia="zh-CN"/>
        </w:rPr>
        <w:t>投标</w:t>
      </w:r>
      <w:r>
        <w:rPr>
          <w:rFonts w:hint="eastAsia" w:ascii="宋体" w:hAnsi="宋体" w:eastAsia="宋体" w:cs="宋体"/>
          <w:bCs/>
          <w:sz w:val="24"/>
          <w:szCs w:val="24"/>
          <w:highlight w:val="none"/>
        </w:rPr>
        <w:t>文件处理外，并进行相应的处罚；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14.10单位负责人为同一人或者存在直接控股、管理关系的不同单位不得同时</w:t>
      </w:r>
      <w:r>
        <w:rPr>
          <w:rFonts w:hint="eastAsia" w:ascii="宋体" w:hAnsi="宋体" w:eastAsia="宋体" w:cs="宋体"/>
          <w:bCs/>
          <w:sz w:val="24"/>
          <w:szCs w:val="24"/>
          <w:highlight w:val="none"/>
          <w:lang w:val="en-US" w:eastAsia="zh-CN"/>
        </w:rPr>
        <w:t>参加投标</w:t>
      </w:r>
      <w:r>
        <w:rPr>
          <w:rFonts w:hint="eastAsia" w:ascii="宋体" w:hAnsi="宋体" w:eastAsia="宋体" w:cs="宋体"/>
          <w:bCs/>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FF0000"/>
          <w:kern w:val="0"/>
          <w:sz w:val="24"/>
          <w:szCs w:val="24"/>
          <w:highlight w:val="none"/>
        </w:rPr>
      </w:pPr>
      <w:r>
        <w:rPr>
          <w:rFonts w:hint="eastAsia" w:ascii="宋体" w:hAnsi="宋体" w:eastAsia="宋体" w:cs="宋体"/>
          <w:bCs/>
          <w:color w:val="auto"/>
          <w:sz w:val="24"/>
          <w:szCs w:val="24"/>
          <w:highlight w:val="none"/>
        </w:rPr>
        <w:t>14.1</w:t>
      </w:r>
      <w:r>
        <w:rPr>
          <w:rFonts w:hint="eastAsia" w:ascii="宋体" w:hAnsi="宋体" w:eastAsia="宋体" w:cs="宋体"/>
          <w:bCs/>
          <w:color w:val="auto"/>
          <w:sz w:val="24"/>
          <w:szCs w:val="24"/>
          <w:highlight w:val="none"/>
          <w:lang w:val="en-US" w:eastAsia="zh-CN"/>
        </w:rPr>
        <w:t>1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43" w:name="_Toc10226"/>
      <w:bookmarkStart w:id="44" w:name="_Toc75259350"/>
      <w:r>
        <w:rPr>
          <w:rFonts w:hint="eastAsia" w:ascii="宋体" w:hAnsi="宋体" w:eastAsia="宋体" w:cs="宋体"/>
          <w:b/>
          <w:sz w:val="24"/>
          <w:szCs w:val="24"/>
          <w:highlight w:val="none"/>
        </w:rPr>
        <w:t>15．对</w:t>
      </w:r>
      <w:r>
        <w:rPr>
          <w:rFonts w:hint="eastAsia" w:ascii="宋体" w:hAnsi="宋体" w:eastAsia="宋体" w:cs="宋体"/>
          <w:b/>
          <w:sz w:val="24"/>
          <w:szCs w:val="24"/>
          <w:highlight w:val="none"/>
          <w:lang w:val="en-US" w:eastAsia="zh-CN"/>
        </w:rPr>
        <w:t>投标</w:t>
      </w:r>
      <w:r>
        <w:rPr>
          <w:rFonts w:hint="eastAsia" w:ascii="宋体" w:hAnsi="宋体" w:eastAsia="宋体" w:cs="宋体"/>
          <w:b/>
          <w:sz w:val="24"/>
          <w:szCs w:val="24"/>
          <w:highlight w:val="none"/>
        </w:rPr>
        <w:t>文件的修正</w:t>
      </w:r>
      <w:bookmarkEnd w:id="43"/>
      <w:bookmarkEnd w:id="44"/>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15.1</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中，对价格的计算错误按下述原则修正：</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rPr>
        <w:t>文件正本与副本不一致的，以正本为准。</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rPr>
        <w:t xml:space="preserve">文件的大写金额和小写金额不一致的，以大写金额为准； </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（3）总价金额与按单价汇总金额不一致的，以单价金额</w:t>
      </w:r>
      <w:r>
        <w:rPr>
          <w:rFonts w:hint="eastAsia" w:ascii="宋体" w:hAnsi="宋体" w:eastAsia="宋体" w:cs="宋体"/>
          <w:kern w:val="0"/>
          <w:sz w:val="24"/>
          <w:szCs w:val="24"/>
          <w:highlight w:val="none"/>
          <w:lang w:val="en-US" w:eastAsia="zh-CN"/>
        </w:rPr>
        <w:t>汇总</w:t>
      </w:r>
      <w:r>
        <w:rPr>
          <w:rFonts w:hint="eastAsia" w:ascii="宋体" w:hAnsi="宋体" w:eastAsia="宋体" w:cs="宋体"/>
          <w:kern w:val="0"/>
          <w:sz w:val="24"/>
          <w:szCs w:val="24"/>
          <w:highlight w:val="none"/>
        </w:rPr>
        <w:t>计算结果为准；</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（4）单价金额小数点有明显错位的，应以总价为准，并修改单价；</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（5）对不同文字文本响应文件的解释发生异议的，以中文文本为准；</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w:t>
      </w: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rPr>
        <w:t>不同意以上修正，则其</w:t>
      </w: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rPr>
        <w:t>文件将被拒绝。</w:t>
      </w:r>
    </w:p>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lang w:val="en-US" w:eastAsia="zh-CN"/>
        </w:rPr>
      </w:pPr>
      <w:bookmarkStart w:id="45" w:name="_Toc75259351"/>
      <w:bookmarkStart w:id="46" w:name="_Toc14629"/>
      <w:r>
        <w:rPr>
          <w:rFonts w:hint="eastAsia" w:ascii="宋体" w:hAnsi="宋体" w:eastAsia="宋体" w:cs="宋体"/>
          <w:b/>
          <w:sz w:val="24"/>
          <w:szCs w:val="24"/>
          <w:highlight w:val="none"/>
        </w:rPr>
        <w:t>16</w:t>
      </w:r>
      <w:bookmarkEnd w:id="45"/>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确定中标人</w:t>
      </w:r>
      <w:bookmarkEnd w:id="46"/>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16.1</w:t>
      </w:r>
      <w:r>
        <w:rPr>
          <w:rFonts w:hint="eastAsia" w:ascii="宋体" w:hAnsi="宋体" w:eastAsia="宋体" w:cs="宋体"/>
          <w:kern w:val="0"/>
          <w:sz w:val="24"/>
          <w:szCs w:val="24"/>
          <w:highlight w:val="none"/>
        </w:rPr>
        <w:t>采购代理机构在评审结束后2个工作日内将评</w:t>
      </w:r>
      <w:r>
        <w:rPr>
          <w:rFonts w:hint="eastAsia" w:ascii="宋体" w:hAnsi="宋体" w:eastAsia="宋体" w:cs="宋体"/>
          <w:kern w:val="0"/>
          <w:sz w:val="24"/>
          <w:szCs w:val="24"/>
          <w:highlight w:val="none"/>
          <w:lang w:val="en-US" w:eastAsia="zh-CN"/>
        </w:rPr>
        <w:t>标</w:t>
      </w:r>
      <w:r>
        <w:rPr>
          <w:rFonts w:hint="eastAsia" w:ascii="宋体" w:hAnsi="宋体" w:eastAsia="宋体" w:cs="宋体"/>
          <w:kern w:val="0"/>
          <w:sz w:val="24"/>
          <w:szCs w:val="24"/>
          <w:highlight w:val="none"/>
        </w:rPr>
        <w:t>报告送采购人确认。采购人在收到评</w:t>
      </w:r>
      <w:r>
        <w:rPr>
          <w:rFonts w:hint="eastAsia" w:ascii="宋体" w:hAnsi="宋体" w:eastAsia="宋体" w:cs="宋体"/>
          <w:kern w:val="0"/>
          <w:sz w:val="24"/>
          <w:szCs w:val="24"/>
          <w:highlight w:val="none"/>
          <w:lang w:val="en-US" w:eastAsia="zh-CN"/>
        </w:rPr>
        <w:t>标</w:t>
      </w:r>
      <w:r>
        <w:rPr>
          <w:rFonts w:hint="eastAsia" w:ascii="宋体" w:hAnsi="宋体" w:eastAsia="宋体" w:cs="宋体"/>
          <w:kern w:val="0"/>
          <w:sz w:val="24"/>
          <w:szCs w:val="24"/>
          <w:highlight w:val="none"/>
        </w:rPr>
        <w:t>报告后5个工作日内，从评</w:t>
      </w:r>
      <w:r>
        <w:rPr>
          <w:rFonts w:hint="eastAsia" w:ascii="宋体" w:hAnsi="宋体" w:eastAsia="宋体" w:cs="宋体"/>
          <w:kern w:val="0"/>
          <w:sz w:val="24"/>
          <w:szCs w:val="24"/>
          <w:highlight w:val="none"/>
          <w:lang w:val="en-US" w:eastAsia="zh-CN"/>
        </w:rPr>
        <w:t>标</w:t>
      </w:r>
      <w:r>
        <w:rPr>
          <w:rFonts w:hint="eastAsia" w:ascii="宋体" w:hAnsi="宋体" w:eastAsia="宋体" w:cs="宋体"/>
          <w:kern w:val="0"/>
          <w:sz w:val="24"/>
          <w:szCs w:val="24"/>
          <w:highlight w:val="none"/>
        </w:rPr>
        <w:t>报告提出的</w:t>
      </w:r>
      <w:r>
        <w:rPr>
          <w:rFonts w:hint="eastAsia" w:ascii="宋体" w:hAnsi="宋体" w:eastAsia="宋体" w:cs="宋体"/>
          <w:kern w:val="0"/>
          <w:sz w:val="24"/>
          <w:szCs w:val="24"/>
          <w:highlight w:val="none"/>
          <w:lang w:val="en-US" w:eastAsia="zh-CN"/>
        </w:rPr>
        <w:t>中标候选</w:t>
      </w:r>
      <w:r>
        <w:rPr>
          <w:rFonts w:hint="eastAsia" w:ascii="宋体" w:hAnsi="宋体" w:eastAsia="宋体" w:cs="宋体"/>
          <w:kern w:val="0"/>
          <w:sz w:val="24"/>
          <w:szCs w:val="24"/>
          <w:highlight w:val="none"/>
          <w:lang w:eastAsia="zh-CN"/>
        </w:rPr>
        <w:t>人</w:t>
      </w:r>
      <w:r>
        <w:rPr>
          <w:rFonts w:hint="eastAsia" w:ascii="宋体" w:hAnsi="宋体" w:eastAsia="宋体" w:cs="宋体"/>
          <w:kern w:val="0"/>
          <w:sz w:val="24"/>
          <w:szCs w:val="24"/>
          <w:highlight w:val="none"/>
        </w:rPr>
        <w:t>中，按照排序由高到低的原则确定</w:t>
      </w:r>
      <w:r>
        <w:rPr>
          <w:rFonts w:hint="eastAsia" w:ascii="宋体" w:hAnsi="宋体" w:eastAsia="宋体" w:cs="宋体"/>
          <w:kern w:val="0"/>
          <w:sz w:val="24"/>
          <w:szCs w:val="24"/>
          <w:highlight w:val="none"/>
          <w:lang w:val="en-US" w:eastAsia="zh-CN"/>
        </w:rPr>
        <w:t>中标</w:t>
      </w:r>
      <w:r>
        <w:rPr>
          <w:rFonts w:hint="eastAsia" w:ascii="宋体" w:hAnsi="宋体" w:eastAsia="宋体" w:cs="宋体"/>
          <w:kern w:val="0"/>
          <w:sz w:val="24"/>
          <w:szCs w:val="24"/>
          <w:highlight w:val="none"/>
          <w:lang w:eastAsia="zh-CN"/>
        </w:rPr>
        <w:t>人</w:t>
      </w:r>
      <w:r>
        <w:rPr>
          <w:rFonts w:hint="eastAsia" w:ascii="宋体" w:hAnsi="宋体" w:eastAsia="宋体" w:cs="宋体"/>
          <w:kern w:val="0"/>
          <w:sz w:val="24"/>
          <w:szCs w:val="24"/>
          <w:highlight w:val="none"/>
        </w:rPr>
        <w:t>。采购人逾期未确定</w:t>
      </w:r>
      <w:r>
        <w:rPr>
          <w:rFonts w:hint="eastAsia" w:ascii="宋体" w:hAnsi="宋体" w:eastAsia="宋体" w:cs="宋体"/>
          <w:kern w:val="0"/>
          <w:sz w:val="24"/>
          <w:szCs w:val="24"/>
          <w:highlight w:val="none"/>
          <w:lang w:val="en-US" w:eastAsia="zh-CN"/>
        </w:rPr>
        <w:t>中标</w:t>
      </w:r>
      <w:r>
        <w:rPr>
          <w:rFonts w:hint="eastAsia" w:ascii="宋体" w:hAnsi="宋体" w:eastAsia="宋体" w:cs="宋体"/>
          <w:kern w:val="0"/>
          <w:sz w:val="24"/>
          <w:szCs w:val="24"/>
          <w:highlight w:val="none"/>
          <w:lang w:eastAsia="zh-CN"/>
        </w:rPr>
        <w:t>人</w:t>
      </w:r>
      <w:r>
        <w:rPr>
          <w:rFonts w:hint="eastAsia" w:ascii="宋体" w:hAnsi="宋体" w:eastAsia="宋体" w:cs="宋体"/>
          <w:kern w:val="0"/>
          <w:sz w:val="24"/>
          <w:szCs w:val="24"/>
          <w:highlight w:val="none"/>
        </w:rPr>
        <w:t>且不提出异议的，视为确定评</w:t>
      </w:r>
      <w:r>
        <w:rPr>
          <w:rFonts w:hint="eastAsia" w:ascii="宋体" w:hAnsi="宋体" w:eastAsia="宋体" w:cs="宋体"/>
          <w:kern w:val="0"/>
          <w:sz w:val="24"/>
          <w:szCs w:val="24"/>
          <w:highlight w:val="none"/>
          <w:lang w:val="en-US" w:eastAsia="zh-CN"/>
        </w:rPr>
        <w:t>标</w:t>
      </w:r>
      <w:r>
        <w:rPr>
          <w:rFonts w:hint="eastAsia" w:ascii="宋体" w:hAnsi="宋体" w:eastAsia="宋体" w:cs="宋体"/>
          <w:kern w:val="0"/>
          <w:sz w:val="24"/>
          <w:szCs w:val="24"/>
          <w:highlight w:val="none"/>
        </w:rPr>
        <w:t>报告提出的排序第一的</w:t>
      </w: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rPr>
        <w:t>为</w:t>
      </w:r>
      <w:r>
        <w:rPr>
          <w:rFonts w:hint="eastAsia" w:ascii="宋体" w:hAnsi="宋体" w:eastAsia="宋体" w:cs="宋体"/>
          <w:kern w:val="0"/>
          <w:sz w:val="24"/>
          <w:szCs w:val="24"/>
          <w:highlight w:val="none"/>
          <w:lang w:val="en-US" w:eastAsia="zh-CN"/>
        </w:rPr>
        <w:t>中标</w:t>
      </w:r>
      <w:r>
        <w:rPr>
          <w:rFonts w:hint="eastAsia" w:ascii="宋体" w:hAnsi="宋体" w:eastAsia="宋体" w:cs="宋体"/>
          <w:kern w:val="0"/>
          <w:sz w:val="24"/>
          <w:szCs w:val="24"/>
          <w:highlight w:val="none"/>
          <w:lang w:eastAsia="zh-CN"/>
        </w:rPr>
        <w:t>人</w:t>
      </w:r>
      <w:r>
        <w:rPr>
          <w:rFonts w:hint="eastAsia" w:ascii="宋体" w:hAnsi="宋体" w:eastAsia="宋体" w:cs="宋体"/>
          <w:kern w:val="0"/>
          <w:sz w:val="24"/>
          <w:szCs w:val="24"/>
          <w:highlight w:val="none"/>
        </w:rPr>
        <w:t>。</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16.2排序第一的投标人无故放弃中标资格的，没收其投标保证金，并报监督部门做出处罚。</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16.3排序第一的投标人放弃中标资格后，采购人可以确定排序第二的投标人为中标人，也可以重新组织采购。</w:t>
      </w:r>
    </w:p>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47" w:name="_Toc75259352"/>
      <w:bookmarkStart w:id="48" w:name="_Toc9805"/>
      <w:r>
        <w:rPr>
          <w:rFonts w:hint="eastAsia" w:ascii="宋体" w:hAnsi="宋体" w:eastAsia="宋体" w:cs="宋体"/>
          <w:b/>
          <w:sz w:val="24"/>
          <w:szCs w:val="24"/>
          <w:highlight w:val="none"/>
        </w:rPr>
        <w:t>17．</w:t>
      </w:r>
      <w:r>
        <w:rPr>
          <w:rFonts w:hint="eastAsia" w:ascii="宋体" w:hAnsi="宋体" w:eastAsia="宋体" w:cs="宋体"/>
          <w:b/>
          <w:sz w:val="24"/>
          <w:szCs w:val="24"/>
          <w:highlight w:val="none"/>
          <w:lang w:val="en-US" w:eastAsia="zh-CN"/>
        </w:rPr>
        <w:t>中标</w:t>
      </w:r>
      <w:r>
        <w:rPr>
          <w:rFonts w:hint="eastAsia" w:ascii="宋体" w:hAnsi="宋体" w:eastAsia="宋体" w:cs="宋体"/>
          <w:b/>
          <w:sz w:val="24"/>
          <w:szCs w:val="24"/>
          <w:highlight w:val="none"/>
        </w:rPr>
        <w:t>通知</w:t>
      </w:r>
      <w:bookmarkEnd w:id="47"/>
      <w:r>
        <w:rPr>
          <w:rFonts w:hint="eastAsia" w:ascii="宋体" w:hAnsi="宋体" w:eastAsia="宋体" w:cs="宋体"/>
          <w:b/>
          <w:sz w:val="24"/>
          <w:szCs w:val="24"/>
          <w:highlight w:val="none"/>
          <w:lang w:val="en-US" w:eastAsia="zh-CN"/>
        </w:rPr>
        <w:t>书</w:t>
      </w:r>
      <w:bookmarkEnd w:id="48"/>
      <w:r>
        <w:rPr>
          <w:rFonts w:hint="eastAsia" w:ascii="宋体" w:hAnsi="宋体" w:eastAsia="宋体" w:cs="宋体"/>
          <w:b/>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17.1采购人或者采购代理机构应当在</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确定后2个工作日内，在省级以上财政部门指定的政府采购信息发布媒体上公告</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结果，同时向</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发出</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通知书。</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17.2</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通知书将是合同的一个组成部分。</w:t>
      </w:r>
    </w:p>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49" w:name="_Toc20545"/>
      <w:bookmarkStart w:id="50" w:name="_Toc75259353"/>
      <w:r>
        <w:rPr>
          <w:rFonts w:hint="eastAsia" w:ascii="宋体" w:hAnsi="宋体" w:eastAsia="宋体" w:cs="宋体"/>
          <w:b/>
          <w:sz w:val="24"/>
          <w:szCs w:val="24"/>
          <w:highlight w:val="none"/>
        </w:rPr>
        <w:t>18．合同授予</w:t>
      </w:r>
      <w:bookmarkEnd w:id="49"/>
      <w:bookmarkEnd w:id="5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18.1 </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文件及</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过程中有关补充文件均作为合同附件，并与合同具有相同的法律效力。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18.2未经采购人同意，</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不得向他人转让</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项目。</w:t>
      </w:r>
    </w:p>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51" w:name="_Toc17167"/>
      <w:bookmarkStart w:id="52" w:name="_Toc75259354"/>
      <w:r>
        <w:rPr>
          <w:rFonts w:hint="eastAsia" w:ascii="宋体" w:hAnsi="宋体" w:eastAsia="宋体" w:cs="宋体"/>
          <w:b/>
          <w:sz w:val="24"/>
          <w:szCs w:val="24"/>
          <w:highlight w:val="none"/>
        </w:rPr>
        <w:t>19．</w:t>
      </w:r>
      <w:r>
        <w:rPr>
          <w:rFonts w:hint="eastAsia" w:ascii="宋体" w:hAnsi="宋体" w:eastAsia="宋体" w:cs="宋体"/>
          <w:b/>
          <w:sz w:val="24"/>
          <w:szCs w:val="24"/>
          <w:highlight w:val="none"/>
          <w:lang w:val="en-US" w:eastAsia="zh-CN"/>
        </w:rPr>
        <w:t>投标文件</w:t>
      </w:r>
      <w:r>
        <w:rPr>
          <w:rFonts w:hint="eastAsia" w:ascii="宋体" w:hAnsi="宋体" w:eastAsia="宋体" w:cs="宋体"/>
          <w:b/>
          <w:sz w:val="24"/>
          <w:szCs w:val="24"/>
          <w:highlight w:val="none"/>
        </w:rPr>
        <w:t>有效期</w:t>
      </w:r>
      <w:bookmarkEnd w:id="51"/>
      <w:bookmarkEnd w:id="52"/>
    </w:p>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本项目</w:t>
      </w:r>
      <w:r>
        <w:rPr>
          <w:rFonts w:hint="eastAsia" w:ascii="宋体" w:hAnsi="宋体" w:eastAsia="宋体" w:cs="宋体"/>
          <w:b/>
          <w:bCs/>
          <w:sz w:val="24"/>
          <w:szCs w:val="24"/>
          <w:highlight w:val="none"/>
          <w:lang w:val="en-US" w:eastAsia="zh-CN"/>
        </w:rPr>
        <w:t>投</w:t>
      </w:r>
      <w:r>
        <w:rPr>
          <w:rFonts w:hint="eastAsia" w:ascii="宋体" w:hAnsi="宋体" w:eastAsia="宋体" w:cs="宋体"/>
          <w:b/>
          <w:bCs/>
          <w:sz w:val="24"/>
          <w:szCs w:val="24"/>
          <w:highlight w:val="none"/>
          <w:lang w:eastAsia="zh-CN"/>
        </w:rPr>
        <w:t>标</w:t>
      </w:r>
      <w:r>
        <w:rPr>
          <w:rFonts w:hint="eastAsia" w:ascii="宋体" w:hAnsi="宋体" w:eastAsia="宋体" w:cs="宋体"/>
          <w:b/>
          <w:bCs/>
          <w:sz w:val="24"/>
          <w:szCs w:val="24"/>
          <w:highlight w:val="none"/>
          <w:lang w:val="en-US" w:eastAsia="zh-CN"/>
        </w:rPr>
        <w:t>文件</w:t>
      </w:r>
      <w:r>
        <w:rPr>
          <w:rFonts w:hint="eastAsia" w:ascii="宋体" w:hAnsi="宋体" w:eastAsia="宋体" w:cs="宋体"/>
          <w:b/>
          <w:sz w:val="24"/>
          <w:szCs w:val="24"/>
          <w:highlight w:val="none"/>
        </w:rPr>
        <w:t>有效期为</w:t>
      </w:r>
      <w:r>
        <w:rPr>
          <w:rFonts w:hint="eastAsia" w:ascii="宋体" w:hAnsi="宋体" w:eastAsia="宋体" w:cs="宋体"/>
          <w:b/>
          <w:sz w:val="24"/>
          <w:szCs w:val="24"/>
          <w:highlight w:val="none"/>
          <w:u w:val="none"/>
          <w:lang w:val="en-US" w:eastAsia="zh-CN"/>
        </w:rPr>
        <w:t>投标</w:t>
      </w:r>
      <w:r>
        <w:rPr>
          <w:rFonts w:hint="eastAsia" w:ascii="宋体" w:hAnsi="宋体" w:eastAsia="宋体" w:cs="宋体"/>
          <w:b/>
          <w:sz w:val="24"/>
          <w:szCs w:val="24"/>
          <w:highlight w:val="none"/>
          <w:u w:val="none"/>
        </w:rPr>
        <w:t>文件递交截止之日后90日历日</w:t>
      </w:r>
      <w:r>
        <w:rPr>
          <w:rFonts w:hint="eastAsia" w:ascii="宋体" w:hAnsi="宋体" w:eastAsia="宋体" w:cs="宋体"/>
          <w:b/>
          <w:sz w:val="24"/>
          <w:szCs w:val="24"/>
          <w:highlight w:val="none"/>
        </w:rPr>
        <w:t>。</w:t>
      </w:r>
      <w:r>
        <w:rPr>
          <w:rFonts w:hint="eastAsia" w:ascii="宋体" w:hAnsi="宋体" w:eastAsia="宋体" w:cs="宋体"/>
          <w:sz w:val="24"/>
          <w:szCs w:val="24"/>
          <w:highlight w:val="none"/>
        </w:rPr>
        <w:t>在此期限内，凡符合本</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文件要求的</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文件均保持有效。</w:t>
      </w:r>
    </w:p>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53" w:name="_Toc75259355"/>
      <w:bookmarkStart w:id="54" w:name="_Toc2517"/>
      <w:r>
        <w:rPr>
          <w:rFonts w:hint="eastAsia" w:ascii="宋体" w:hAnsi="宋体" w:eastAsia="宋体" w:cs="宋体"/>
          <w:b/>
          <w:sz w:val="24"/>
          <w:szCs w:val="24"/>
          <w:highlight w:val="none"/>
        </w:rPr>
        <w:t>20．签订合同</w:t>
      </w:r>
      <w:bookmarkEnd w:id="53"/>
      <w:bookmarkEnd w:id="54"/>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20.1</w:t>
      </w:r>
      <w:r>
        <w:rPr>
          <w:rFonts w:hint="eastAsia" w:ascii="宋体" w:hAnsi="宋体" w:eastAsia="宋体" w:cs="宋体"/>
          <w:sz w:val="24"/>
          <w:szCs w:val="24"/>
          <w:highlight w:val="none"/>
          <w:lang w:val="en-US" w:eastAsia="zh-CN"/>
        </w:rPr>
        <w:t>中标人应自收到中标通知书之日起15日内</w:t>
      </w:r>
      <w:r>
        <w:rPr>
          <w:rFonts w:hint="eastAsia" w:ascii="宋体" w:hAnsi="宋体" w:eastAsia="宋体" w:cs="宋体"/>
          <w:sz w:val="24"/>
          <w:szCs w:val="24"/>
          <w:highlight w:val="none"/>
          <w:lang w:eastAsia="zh-CN"/>
        </w:rPr>
        <w:t>与采购人签订合同。</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lang w:eastAsia="zh-CN"/>
        </w:rPr>
        <w:t>人应按</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lang w:eastAsia="zh-CN"/>
        </w:rPr>
        <w:t>通知书中规定的时间与采购人签订合同，否则按</w:t>
      </w:r>
      <w:r>
        <w:rPr>
          <w:rFonts w:hint="eastAsia" w:ascii="宋体" w:hAnsi="宋体" w:eastAsia="宋体" w:cs="宋体"/>
          <w:sz w:val="24"/>
          <w:szCs w:val="24"/>
          <w:highlight w:val="none"/>
          <w:lang w:val="en-US" w:eastAsia="zh-CN"/>
        </w:rPr>
        <w:t>中标人</w:t>
      </w:r>
      <w:r>
        <w:rPr>
          <w:rFonts w:hint="eastAsia" w:ascii="宋体" w:hAnsi="宋体" w:eastAsia="宋体" w:cs="宋体"/>
          <w:sz w:val="24"/>
          <w:szCs w:val="24"/>
          <w:highlight w:val="none"/>
          <w:lang w:eastAsia="zh-CN"/>
        </w:rPr>
        <w:t>违约处理，</w:t>
      </w:r>
      <w:r>
        <w:rPr>
          <w:rFonts w:hint="eastAsia" w:ascii="宋体" w:hAnsi="宋体" w:eastAsia="宋体" w:cs="宋体"/>
          <w:sz w:val="24"/>
          <w:szCs w:val="24"/>
          <w:highlight w:val="none"/>
          <w:lang w:val="en-US" w:eastAsia="zh-CN"/>
        </w:rPr>
        <w:t>没收中标人的投标保证金</w:t>
      </w:r>
      <w:r>
        <w:rPr>
          <w:rFonts w:hint="eastAsia" w:ascii="宋体" w:hAnsi="宋体" w:eastAsia="宋体" w:cs="宋体"/>
          <w:sz w:val="24"/>
          <w:szCs w:val="24"/>
          <w:highlight w:val="none"/>
          <w:lang w:eastAsia="zh-CN"/>
        </w:rPr>
        <w:t>。</w:t>
      </w:r>
    </w:p>
    <w:p>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20.3</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的报价文件及评审过程中有关澄清文件均应作为合同附件，并与合同具有相同的法律效力。</w:t>
      </w:r>
    </w:p>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55" w:name="_Toc75259356"/>
      <w:bookmarkStart w:id="56" w:name="_Toc17505"/>
      <w:r>
        <w:rPr>
          <w:rFonts w:hint="eastAsia" w:ascii="宋体" w:hAnsi="宋体" w:eastAsia="宋体" w:cs="宋体"/>
          <w:b/>
          <w:sz w:val="24"/>
          <w:szCs w:val="24"/>
          <w:highlight w:val="none"/>
        </w:rPr>
        <w:t>21．</w:t>
      </w:r>
      <w:r>
        <w:rPr>
          <w:rFonts w:hint="eastAsia" w:ascii="宋体" w:hAnsi="宋体" w:eastAsia="宋体" w:cs="宋体"/>
          <w:b/>
          <w:sz w:val="24"/>
          <w:szCs w:val="24"/>
          <w:highlight w:val="none"/>
          <w:lang w:val="en-US" w:eastAsia="zh-CN"/>
        </w:rPr>
        <w:t>采购</w:t>
      </w:r>
      <w:r>
        <w:rPr>
          <w:rFonts w:hint="eastAsia" w:ascii="宋体" w:hAnsi="宋体" w:eastAsia="宋体" w:cs="宋体"/>
          <w:b/>
          <w:sz w:val="24"/>
          <w:szCs w:val="24"/>
          <w:highlight w:val="none"/>
        </w:rPr>
        <w:t>代理服务费</w:t>
      </w:r>
      <w:bookmarkEnd w:id="55"/>
      <w:bookmarkEnd w:id="5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sz w:val="24"/>
          <w:szCs w:val="24"/>
          <w:highlight w:val="none"/>
        </w:rPr>
      </w:pPr>
      <w:bookmarkStart w:id="57" w:name="_Hlk63417944"/>
      <w:r>
        <w:rPr>
          <w:rFonts w:hint="eastAsia" w:ascii="宋体" w:hAnsi="宋体" w:eastAsia="宋体" w:cs="宋体"/>
          <w:sz w:val="24"/>
          <w:szCs w:val="24"/>
          <w:highlight w:val="none"/>
        </w:rPr>
        <w:t>21.1</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代理服务费</w:t>
      </w:r>
      <w:r>
        <w:rPr>
          <w:rFonts w:hint="eastAsia" w:ascii="宋体" w:hAnsi="宋体" w:eastAsia="宋体" w:cs="宋体"/>
          <w:sz w:val="24"/>
          <w:szCs w:val="24"/>
          <w:highlight w:val="none"/>
          <w:lang w:eastAsia="zh-CN"/>
        </w:rPr>
        <w:t>在</w:t>
      </w:r>
      <w:r>
        <w:rPr>
          <w:rFonts w:hint="eastAsia" w:ascii="宋体" w:hAnsi="宋体" w:eastAsia="宋体" w:cs="宋体"/>
          <w:sz w:val="24"/>
          <w:szCs w:val="24"/>
          <w:highlight w:val="none"/>
        </w:rPr>
        <w:t>《国家计委关于印发&lt;招标代理服务收费管理暂行办法&gt;的通知》（计价格[2002]1980号）中规定的差额定律累进法</w:t>
      </w:r>
      <w:r>
        <w:rPr>
          <w:rFonts w:hint="eastAsia" w:ascii="宋体" w:hAnsi="宋体" w:eastAsia="宋体" w:cs="宋体"/>
          <w:sz w:val="24"/>
          <w:szCs w:val="24"/>
          <w:highlight w:val="none"/>
          <w:lang w:eastAsia="zh-CN"/>
        </w:rPr>
        <w:t>基础上，按照代理机构与采购人的委托协议优惠率</w:t>
      </w:r>
      <w:r>
        <w:rPr>
          <w:rFonts w:hint="eastAsia" w:ascii="宋体" w:hAnsi="宋体" w:eastAsia="宋体" w:cs="宋体"/>
          <w:sz w:val="24"/>
          <w:szCs w:val="24"/>
          <w:highlight w:val="none"/>
        </w:rPr>
        <w:t>计取。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21.2</w:t>
      </w:r>
      <w:r>
        <w:rPr>
          <w:rFonts w:hint="eastAsia" w:ascii="宋体" w:hAnsi="宋体" w:eastAsia="宋体" w:cs="宋体"/>
          <w:color w:val="auto"/>
          <w:sz w:val="24"/>
          <w:szCs w:val="24"/>
          <w:highlight w:val="none"/>
          <w:lang w:val="en-US" w:eastAsia="zh-CN"/>
        </w:rPr>
        <w:t>成交（中标）供应商</w:t>
      </w:r>
      <w:r>
        <w:rPr>
          <w:rFonts w:hint="eastAsia" w:ascii="宋体" w:hAnsi="宋体" w:eastAsia="宋体" w:cs="宋体"/>
          <w:color w:val="auto"/>
          <w:sz w:val="24"/>
          <w:szCs w:val="24"/>
          <w:highlight w:val="none"/>
        </w:rPr>
        <w:t>向采购代理机构</w:t>
      </w:r>
      <w:r>
        <w:rPr>
          <w:rFonts w:hint="eastAsia" w:ascii="宋体" w:hAnsi="宋体" w:eastAsia="宋体" w:cs="宋体"/>
          <w:color w:val="auto"/>
          <w:sz w:val="24"/>
          <w:szCs w:val="24"/>
          <w:highlight w:val="none"/>
          <w:lang w:val="en-US" w:eastAsia="zh-CN"/>
        </w:rPr>
        <w:t>缴纳</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代理服务费。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21.3</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代理服务费以转账或现金形式缴纳。</w:t>
      </w:r>
    </w:p>
    <w:bookmarkEnd w:id="57"/>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58" w:name="_Toc75259357"/>
      <w:bookmarkStart w:id="59" w:name="_Toc25297"/>
      <w:r>
        <w:rPr>
          <w:rFonts w:hint="eastAsia" w:ascii="宋体" w:hAnsi="宋体" w:eastAsia="宋体" w:cs="宋体"/>
          <w:b/>
          <w:sz w:val="24"/>
          <w:szCs w:val="24"/>
          <w:highlight w:val="none"/>
        </w:rPr>
        <w:t>22．质疑</w:t>
      </w:r>
      <w:bookmarkEnd w:id="58"/>
      <w:bookmarkEnd w:id="5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22.1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可以在知道或者应知其权益受到损害之日起7个工作日内，以书面形式向采购人、采购代理机构提出质疑。</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提出质疑应当提交质疑函和必要的证明材料。</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520" w:lineRule="exact"/>
        <w:ind w:left="0" w:right="0" w:firstLine="48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22.2 项目联系人：</w:t>
      </w:r>
      <w:r>
        <w:rPr>
          <w:rFonts w:hint="eastAsia" w:ascii="宋体" w:hAnsi="宋体" w:eastAsia="宋体" w:cs="宋体"/>
          <w:sz w:val="24"/>
          <w:szCs w:val="24"/>
          <w:highlight w:val="none"/>
          <w:lang w:val="en-US" w:eastAsia="zh-CN"/>
        </w:rPr>
        <w:t>姚方</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17809112100</w:t>
      </w:r>
      <w:r>
        <w:rPr>
          <w:rFonts w:hint="eastAsia" w:ascii="宋体" w:hAnsi="宋体" w:eastAsia="宋体" w:cs="宋体"/>
          <w:sz w:val="24"/>
          <w:szCs w:val="24"/>
          <w:highlight w:val="none"/>
        </w:rPr>
        <w:t>；地址：延安市新区鼎盛豪庭公寓4号楼201室。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22.3 质疑函应当包括下列内容：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（二）质疑项目的名称、编号；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（四）事实依据；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（五）必要的法律依据；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（六）提出质疑的日期。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为自然人的应当由本人签字；</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为法人或者其他组织的，应当由法定代表人或其授权代表签字</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盖章，并加盖公章。</w:t>
      </w:r>
      <w:r>
        <w:rPr>
          <w:rFonts w:hint="eastAsia" w:ascii="宋体" w:hAnsi="宋体" w:eastAsia="宋体" w:cs="宋体"/>
          <w:b/>
          <w:bCs/>
          <w:sz w:val="24"/>
          <w:szCs w:val="24"/>
          <w:highlight w:val="none"/>
          <w:lang w:val="en-US" w:eastAsia="zh-CN"/>
        </w:rPr>
        <w:t>招标</w:t>
      </w:r>
      <w:r>
        <w:rPr>
          <w:rFonts w:hint="eastAsia" w:ascii="宋体" w:hAnsi="宋体" w:eastAsia="宋体" w:cs="宋体"/>
          <w:b/>
          <w:bCs/>
          <w:sz w:val="24"/>
          <w:szCs w:val="24"/>
          <w:highlight w:val="none"/>
        </w:rPr>
        <w:t>文件要求</w:t>
      </w:r>
      <w:r>
        <w:rPr>
          <w:rFonts w:hint="eastAsia" w:ascii="宋体" w:hAnsi="宋体" w:eastAsia="宋体" w:cs="宋体"/>
          <w:b/>
          <w:bCs/>
          <w:sz w:val="24"/>
          <w:szCs w:val="24"/>
          <w:highlight w:val="none"/>
          <w:lang w:eastAsia="zh-CN"/>
        </w:rPr>
        <w:t>投标人</w:t>
      </w:r>
      <w:r>
        <w:rPr>
          <w:rFonts w:hint="eastAsia" w:ascii="宋体" w:hAnsi="宋体" w:eastAsia="宋体" w:cs="宋体"/>
          <w:b/>
          <w:bCs/>
          <w:sz w:val="24"/>
          <w:szCs w:val="24"/>
          <w:highlight w:val="none"/>
        </w:rPr>
        <w:t>在法定质疑</w:t>
      </w:r>
      <w:r>
        <w:rPr>
          <w:rFonts w:hint="eastAsia" w:ascii="宋体" w:hAnsi="宋体" w:eastAsia="宋体" w:cs="宋体"/>
          <w:b/>
          <w:bCs/>
          <w:sz w:val="24"/>
          <w:szCs w:val="24"/>
          <w:highlight w:val="none"/>
          <w:lang w:val="en-US" w:eastAsia="zh-CN"/>
        </w:rPr>
        <w:t>期</w:t>
      </w:r>
      <w:r>
        <w:rPr>
          <w:rFonts w:hint="eastAsia" w:ascii="宋体" w:hAnsi="宋体" w:eastAsia="宋体" w:cs="宋体"/>
          <w:b/>
          <w:bCs/>
          <w:sz w:val="24"/>
          <w:szCs w:val="24"/>
          <w:highlight w:val="none"/>
        </w:rPr>
        <w:t>内一次性提出针对同一采购程序环节的质疑。</w:t>
      </w:r>
    </w:p>
    <w:p>
      <w:pPr>
        <w:pStyle w:val="1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bookmarkStart w:id="60" w:name="_Toc75259358"/>
      <w:bookmarkStart w:id="61" w:name="_Toc27958"/>
      <w:r>
        <w:rPr>
          <w:rFonts w:hint="eastAsia" w:ascii="宋体" w:hAnsi="宋体" w:eastAsia="宋体" w:cs="宋体"/>
          <w:b/>
          <w:sz w:val="24"/>
          <w:szCs w:val="24"/>
          <w:highlight w:val="none"/>
        </w:rPr>
        <w:t>23</w:t>
      </w:r>
      <w:bookmarkStart w:id="62" w:name="_Toc44581001"/>
      <w:bookmarkStart w:id="63" w:name="_Toc44581543"/>
      <w:r>
        <w:rPr>
          <w:rFonts w:hint="eastAsia" w:ascii="宋体" w:hAnsi="宋体" w:eastAsia="宋体" w:cs="宋体"/>
          <w:b/>
          <w:sz w:val="24"/>
          <w:szCs w:val="24"/>
          <w:highlight w:val="none"/>
        </w:rPr>
        <w:t>．需要落实的政府采购政策</w:t>
      </w:r>
      <w:bookmarkEnd w:id="60"/>
      <w:bookmarkEnd w:id="61"/>
      <w:bookmarkEnd w:id="62"/>
      <w:bookmarkEnd w:id="63"/>
      <w:bookmarkStart w:id="64" w:name="_Hlk63418170"/>
    </w:p>
    <w:bookmarkEnd w:id="64"/>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23.1落实促进支持中小企业、监狱企业、残疾人福利性单位发展、脱贫攻坚工作的政策(如专门面向中小企业的采购项目（或</w:t>
      </w:r>
      <w:r>
        <w:rPr>
          <w:rFonts w:hint="eastAsia" w:ascii="宋体" w:hAnsi="宋体" w:eastAsia="宋体" w:cs="宋体"/>
          <w:sz w:val="24"/>
          <w:szCs w:val="24"/>
          <w:highlight w:val="none"/>
          <w:lang w:val="en-US" w:eastAsia="zh-CN"/>
        </w:rPr>
        <w:t>合同</w:t>
      </w:r>
      <w:r>
        <w:rPr>
          <w:rFonts w:hint="eastAsia" w:ascii="宋体" w:hAnsi="宋体" w:eastAsia="宋体" w:cs="宋体"/>
          <w:sz w:val="24"/>
          <w:szCs w:val="24"/>
          <w:highlight w:val="none"/>
        </w:rPr>
        <w:t>包），不执行</w:t>
      </w:r>
      <w:r>
        <w:rPr>
          <w:rFonts w:hint="eastAsia" w:ascii="宋体" w:hAnsi="宋体" w:eastAsia="宋体" w:cs="宋体"/>
          <w:sz w:val="24"/>
          <w:szCs w:val="24"/>
          <w:highlight w:val="none"/>
          <w:lang w:val="en-US" w:eastAsia="zh-CN"/>
        </w:rPr>
        <w:t>23.1.1/23.1.2/23.1.3</w:t>
      </w:r>
      <w:r>
        <w:rPr>
          <w:rFonts w:hint="eastAsia" w:ascii="宋体" w:hAnsi="宋体" w:eastAsia="宋体" w:cs="宋体"/>
          <w:sz w:val="24"/>
          <w:szCs w:val="24"/>
          <w:highlight w:val="none"/>
        </w:rPr>
        <w:t>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23.1.1 《政府采购促进中小企业发展管理办法》（财库〔2020〕46号）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在政府采购活动中，</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提供的货物、</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或者</w:t>
      </w:r>
      <w:r>
        <w:rPr>
          <w:rFonts w:hint="eastAsia" w:ascii="宋体" w:hAnsi="宋体" w:eastAsia="宋体" w:cs="宋体"/>
          <w:sz w:val="24"/>
          <w:szCs w:val="24"/>
          <w:highlight w:val="none"/>
          <w:lang w:val="en-US" w:eastAsia="zh-CN"/>
        </w:rPr>
        <w:t>工程</w:t>
      </w:r>
      <w:r>
        <w:rPr>
          <w:rFonts w:hint="eastAsia" w:ascii="宋体" w:hAnsi="宋体" w:eastAsia="宋体" w:cs="宋体"/>
          <w:sz w:val="24"/>
          <w:szCs w:val="24"/>
          <w:highlight w:val="none"/>
        </w:rPr>
        <w:t>符合下列情形的，享受《办法》规定的中小企业扶持政策: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(一)在货物采购项目中，货物由中小企业制造，即货物由中小企业生产且使用该中小企业商号或者注册商标；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(二)在工程采购项目中，工程由中小企业承建，即工程施工单位为中小企业；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(三)在服务采购项目中，服务由中小企业承接，即提供服务的人员为中小企业依照《中华人民共和国劳动合同法》订立劳动合同的从业人员。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在货物采购项目中，</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提供的货物既有中小企业制造货物，也有大型企业制造货物的，不享受《办法》规定的中小企业扶持政策。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依据《办法》规定享受扶持政策获得政府采购合同的，小微企业不得将合同分包给大中型企业，中型企业不得将合同分包给大型企业。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根据《办法》规定，参加政府采购活动的中小企业应当提供《中小企业声明函》。</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提供的《中小企业声明函》原件必须真实，否则，按照有关规定予以处理。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根据《办法》规定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工程采购项目中</w:t>
      </w:r>
      <w:r>
        <w:rPr>
          <w:rFonts w:hint="eastAsia" w:ascii="宋体" w:hAnsi="宋体" w:eastAsia="宋体" w:cs="宋体"/>
          <w:sz w:val="24"/>
          <w:szCs w:val="24"/>
          <w:highlight w:val="none"/>
        </w:rPr>
        <w:t>对符合规定的小微企业报价给予</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%的扣除</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用扣除后的价格参加评审</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陕西省财政厅关于落实政府采购支持中小企业政策有关事项的通知</w:t>
      </w:r>
      <w:r>
        <w:rPr>
          <w:rFonts w:hint="eastAsia" w:ascii="宋体" w:hAnsi="宋体" w:eastAsia="宋体" w:cs="宋体"/>
          <w:sz w:val="24"/>
          <w:szCs w:val="24"/>
          <w:highlight w:val="none"/>
          <w:lang w:eastAsia="zh-CN"/>
        </w:rPr>
        <w:t>》（陕财办采函〔2022〕10号）</w:t>
      </w:r>
      <w:r>
        <w:rPr>
          <w:rFonts w:hint="eastAsia" w:ascii="宋体" w:hAnsi="宋体" w:eastAsia="宋体" w:cs="宋体"/>
          <w:sz w:val="24"/>
          <w:szCs w:val="24"/>
          <w:highlight w:val="none"/>
          <w:lang w:val="en-US" w:eastAsia="zh-CN"/>
        </w:rPr>
        <w:t>要求</w:t>
      </w:r>
      <w:r>
        <w:rPr>
          <w:rFonts w:hint="eastAsia" w:ascii="宋体" w:hAnsi="宋体" w:eastAsia="宋体" w:cs="宋体"/>
          <w:sz w:val="24"/>
          <w:szCs w:val="24"/>
          <w:highlight w:val="none"/>
        </w:rPr>
        <w:t>，货物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服务采购项目</w:t>
      </w:r>
      <w:r>
        <w:rPr>
          <w:rFonts w:hint="eastAsia" w:ascii="宋体" w:hAnsi="宋体" w:eastAsia="宋体" w:cs="宋体"/>
          <w:sz w:val="24"/>
          <w:szCs w:val="24"/>
          <w:highlight w:val="none"/>
          <w:lang w:val="en-US" w:eastAsia="zh-CN"/>
        </w:rPr>
        <w:t>中</w:t>
      </w:r>
      <w:r>
        <w:rPr>
          <w:rFonts w:hint="eastAsia" w:ascii="宋体" w:hAnsi="宋体" w:eastAsia="宋体" w:cs="宋体"/>
          <w:sz w:val="24"/>
          <w:szCs w:val="24"/>
          <w:highlight w:val="none"/>
        </w:rPr>
        <w:t>对符合规定的小微企业报价给予10%的扣除</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用扣除后的价格参加评审。货物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服务采购项目联合协议或者分包意向协议约定小微企业的合同份额占到合同总金额30%以上的，对联合体或者大中型企业的报价给予4%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23.1.2 《财政部 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监狱企业参加政府采购活动时，应当提供由省级以上监狱管理局、戒毒管理局（含新疆生产建设兵团）出具的属于监狱企业的证明文件。在政府采购活动中，监狱企业视同小型、微型企业。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23.1.3 《三部门联合发布关于促进残疾人就业政府采购政策的通知》（财库〔2017〕141号）；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符合条件的残疾人福利性单位在参加政府采购活动时，应当提供本通知规定的《残疾人福利性单位声明函》，并对声明的真实性负责。在政府采购活动中，残疾人福利性单位视同小型、微型企业，享受预留份额。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23.2落实优先采购节能、环保产品的政策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 xml:space="preserve"> 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xml:space="preserve"> 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所有投标产品进入 “节能产品政府采购品目清单”的，应提供相关证书复印件，相关证书的颁发机构应来自《参与实施政府采购节能产品认证机构名录》。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所有投标产品进入“环境标志产品政府采购品目清单”的，应提供相关证书复印件，相关证书的颁发机构应来自《参与实施政府采购环境标志产品认证机构名录》。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23.3政府采购信用融资政策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政府采购信用融资是指银行业金融机构以政府采购诚信考核和信用审查为基础，凭借政府采购合同，按优于一般中小企业的贷款利率直接向申请贷款的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发放贷款的一种融资方式。融资金额未超过政府采购合同金额的，银行原则上不得要求</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提供财产抵押或第三方担保或其他任何形式的担保条件。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陕西省财政厅关于印发〈陕西省中小企业政府采购信用融资办法〉的通知》（陕财办采〔2018〕23号）、《陕西省财政厅关于加快推进我省中小企业政府采购信用融资工作的通知》（陕财办采[2020]15号），有融资需求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可根据自身情况，在“陕西政府采购信用融资平台（含各市分平台）”查询并办理相关业务。</w:t>
      </w:r>
    </w:p>
    <w:p>
      <w:pPr>
        <w:rPr>
          <w:rFonts w:hint="eastAsia" w:ascii="宋体" w:hAnsi="宋体" w:eastAsia="宋体" w:cs="宋体"/>
          <w:b/>
          <w:sz w:val="24"/>
          <w:szCs w:val="24"/>
          <w:highlight w:val="none"/>
        </w:rPr>
      </w:pPr>
      <w:bookmarkStart w:id="65" w:name="__RefHeading___Toc413314952"/>
      <w:bookmarkEnd w:id="65"/>
      <w:bookmarkStart w:id="66" w:name="_Toc75259359"/>
      <w:r>
        <w:rPr>
          <w:rFonts w:hint="eastAsia" w:ascii="宋体" w:hAnsi="宋体" w:eastAsia="宋体" w:cs="宋体"/>
          <w:b/>
          <w:sz w:val="24"/>
          <w:szCs w:val="24"/>
          <w:highlight w:val="none"/>
        </w:rPr>
        <w:br w:type="page"/>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宋体" w:hAnsi="宋体" w:eastAsia="宋体" w:cs="宋体"/>
          <w:b/>
          <w:sz w:val="32"/>
          <w:szCs w:val="32"/>
          <w:highlight w:val="none"/>
          <w:lang w:val="en-US" w:eastAsia="zh-CN"/>
        </w:rPr>
      </w:pPr>
      <w:bookmarkStart w:id="67" w:name="_Toc27925"/>
      <w:r>
        <w:rPr>
          <w:rFonts w:hint="eastAsia" w:ascii="宋体" w:hAnsi="宋体" w:eastAsia="宋体" w:cs="宋体"/>
          <w:b/>
          <w:color w:val="auto"/>
          <w:sz w:val="32"/>
          <w:szCs w:val="32"/>
          <w:highlight w:val="none"/>
        </w:rPr>
        <w:t>第</w:t>
      </w:r>
      <w:r>
        <w:rPr>
          <w:rFonts w:hint="eastAsia" w:ascii="宋体" w:hAnsi="宋体" w:eastAsia="宋体" w:cs="宋体"/>
          <w:b/>
          <w:color w:val="auto"/>
          <w:sz w:val="32"/>
          <w:szCs w:val="32"/>
          <w:highlight w:val="none"/>
          <w:lang w:val="en-US" w:eastAsia="zh-CN"/>
        </w:rPr>
        <w:t>四</w:t>
      </w:r>
      <w:r>
        <w:rPr>
          <w:rFonts w:hint="eastAsia" w:ascii="宋体" w:hAnsi="宋体" w:eastAsia="宋体" w:cs="宋体"/>
          <w:b/>
          <w:color w:val="auto"/>
          <w:sz w:val="32"/>
          <w:szCs w:val="32"/>
          <w:highlight w:val="none"/>
        </w:rPr>
        <w:t>部分</w:t>
      </w:r>
      <w:bookmarkEnd w:id="66"/>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采购</w:t>
      </w:r>
      <w:r>
        <w:rPr>
          <w:rFonts w:hint="eastAsia" w:ascii="宋体" w:hAnsi="宋体" w:eastAsia="宋体" w:cs="宋体"/>
          <w:b/>
          <w:color w:val="auto"/>
          <w:sz w:val="32"/>
          <w:szCs w:val="32"/>
          <w:highlight w:val="none"/>
          <w:lang w:val="en-US" w:eastAsia="zh-CN"/>
        </w:rPr>
        <w:t>需求</w:t>
      </w:r>
      <w:bookmarkEnd w:id="67"/>
    </w:p>
    <w:p>
      <w:pPr>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textAlignment w:val="auto"/>
        <w:outlineLvl w:val="9"/>
        <w:rPr>
          <w:rFonts w:hint="eastAsia" w:ascii="宋体" w:hAnsi="宋体" w:eastAsia="宋体" w:cs="宋体"/>
          <w:b/>
          <w:bCs/>
          <w:color w:val="auto"/>
          <w:sz w:val="28"/>
          <w:szCs w:val="28"/>
          <w:highlight w:val="none"/>
        </w:rPr>
      </w:pPr>
      <w:bookmarkStart w:id="68" w:name="_Toc15647"/>
      <w:r>
        <w:rPr>
          <w:rFonts w:hint="eastAsia" w:ascii="宋体" w:hAnsi="宋体" w:eastAsia="宋体" w:cs="宋体"/>
          <w:b/>
          <w:bCs/>
          <w:color w:val="auto"/>
          <w:sz w:val="28"/>
          <w:szCs w:val="28"/>
          <w:highlight w:val="none"/>
        </w:rPr>
        <w:t>采购</w:t>
      </w:r>
      <w:r>
        <w:rPr>
          <w:rFonts w:hint="eastAsia" w:ascii="宋体" w:hAnsi="宋体" w:eastAsia="宋体" w:cs="宋体"/>
          <w:b/>
          <w:bCs/>
          <w:color w:val="auto"/>
          <w:sz w:val="28"/>
          <w:szCs w:val="28"/>
          <w:highlight w:val="none"/>
          <w:lang w:eastAsia="zh-CN"/>
        </w:rPr>
        <w:t>要求</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：延安市公共就业数字化综合服务平台建设项目；</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1.2财政资金，资金已落实到位；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1.3服务时限：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包1：建设期：</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合同签订之日起</w:t>
      </w:r>
      <w:r>
        <w:rPr>
          <w:rFonts w:hint="eastAsia" w:ascii="宋体" w:hAnsi="宋体" w:eastAsia="宋体" w:cs="宋体"/>
          <w:color w:val="000000" w:themeColor="text1"/>
          <w:kern w:val="2"/>
          <w:sz w:val="24"/>
          <w:szCs w:val="24"/>
          <w:lang w:val="en-US" w:eastAsia="zh-CN" w:bidi="ar-SA"/>
          <w14:textFill>
            <w14:solidFill>
              <w14:schemeClr w14:val="tx1"/>
            </w14:solidFill>
          </w14:textFill>
        </w:rPr>
        <w:t>180日历日；建设完成</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免费运维服务三年: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包2：服务期：平台建设完成后90个日历日完成测评；</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包3：服务期：</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合同签订之日起</w:t>
      </w:r>
      <w:r>
        <w:rPr>
          <w:rFonts w:hint="eastAsia" w:ascii="宋体" w:hAnsi="宋体" w:eastAsia="宋体" w:cs="宋体"/>
          <w:color w:val="000000" w:themeColor="text1"/>
          <w:kern w:val="2"/>
          <w:sz w:val="24"/>
          <w:szCs w:val="24"/>
          <w:lang w:val="en-US" w:eastAsia="zh-CN" w:bidi="ar-SA"/>
          <w14:textFill>
            <w14:solidFill>
              <w14:schemeClr w14:val="tx1"/>
            </w14:solidFill>
          </w14:textFill>
        </w:rPr>
        <w:t>90日历日；</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1.4实施</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采购人指定地点</w:t>
      </w:r>
      <w:r>
        <w:rPr>
          <w:rFonts w:hint="eastAsia" w:ascii="宋体" w:hAnsi="宋体" w:eastAsia="宋体" w:cs="宋体"/>
          <w:color w:val="auto"/>
          <w:sz w:val="24"/>
          <w:szCs w:val="24"/>
          <w:highlight w:val="none"/>
        </w:rPr>
        <w:t>；</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付款方式：采购人与成交供应商签订合同时具体商定</w:t>
      </w:r>
      <w:r>
        <w:rPr>
          <w:rFonts w:hint="eastAsia" w:ascii="宋体" w:hAnsi="宋体" w:eastAsia="宋体" w:cs="宋体"/>
          <w:color w:val="auto"/>
          <w:sz w:val="24"/>
          <w:szCs w:val="24"/>
          <w:highlight w:val="none"/>
          <w:lang w:eastAsia="zh-CN"/>
        </w:rPr>
        <w:t>（授予中小企业政府采购合同预付款比例不得低于合同价款的40%）</w:t>
      </w:r>
    </w:p>
    <w:p>
      <w:pPr>
        <w:keepNext/>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质量要求：</w:t>
      </w:r>
      <w:r>
        <w:rPr>
          <w:rFonts w:hint="eastAsia" w:ascii="宋体" w:hAnsi="宋体" w:eastAsia="宋体" w:cs="宋体"/>
          <w:color w:val="auto"/>
          <w:sz w:val="24"/>
          <w:szCs w:val="24"/>
          <w:highlight w:val="none"/>
          <w:lang w:val="en-US" w:eastAsia="zh-CN"/>
        </w:rPr>
        <w:t>符合国家相关合格标准</w:t>
      </w:r>
      <w:r>
        <w:rPr>
          <w:rFonts w:hint="eastAsia" w:ascii="宋体" w:hAnsi="宋体" w:eastAsia="宋体" w:cs="宋体"/>
          <w:color w:val="auto"/>
          <w:sz w:val="24"/>
          <w:szCs w:val="24"/>
          <w:highlight w:val="none"/>
          <w:lang w:eastAsia="zh-CN"/>
        </w:rPr>
        <w:t>。</w:t>
      </w:r>
    </w:p>
    <w:bookmarkEnd w:id="68"/>
    <w:p>
      <w:pPr>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textAlignment w:val="auto"/>
        <w:outlineLvl w:val="9"/>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采购</w:t>
      </w:r>
      <w:r>
        <w:rPr>
          <w:rFonts w:hint="eastAsia" w:ascii="宋体" w:hAnsi="宋体" w:eastAsia="宋体" w:cs="宋体"/>
          <w:b/>
          <w:bCs/>
          <w:color w:val="auto"/>
          <w:sz w:val="28"/>
          <w:szCs w:val="28"/>
          <w:highlight w:val="none"/>
          <w:lang w:eastAsia="zh-CN"/>
        </w:rPr>
        <w:t>内容</w:t>
      </w:r>
    </w:p>
    <w:p>
      <w:pPr>
        <w:pStyle w:val="20"/>
        <w:wordWrap w:val="0"/>
        <w:spacing w:before="0" w:beforeAutospacing="0" w:after="0" w:afterAutospacing="0" w:line="540" w:lineRule="exact"/>
        <w:ind w:firstLine="480"/>
        <w:jc w:val="center"/>
        <w:rPr>
          <w:rFonts w:hint="eastAsia" w:eastAsia="宋体" w:cs="宋体"/>
          <w:b/>
          <w:bCs/>
          <w:color w:val="000000" w:themeColor="text1"/>
          <w:spacing w:val="-11"/>
          <w:shd w:val="clear" w:color="auto" w:fill="FFFFFF"/>
          <w14:textFill>
            <w14:solidFill>
              <w14:schemeClr w14:val="tx1"/>
            </w14:solidFill>
          </w14:textFill>
        </w:rPr>
      </w:pPr>
      <w:r>
        <w:rPr>
          <w:rFonts w:hint="eastAsia" w:eastAsia="宋体" w:cs="宋体"/>
          <w:b/>
          <w:bCs/>
          <w:color w:val="000000" w:themeColor="text1"/>
          <w:spacing w:val="-11"/>
          <w:shd w:val="clear" w:color="auto" w:fill="FFFFFF"/>
          <w14:textFill>
            <w14:solidFill>
              <w14:schemeClr w14:val="tx1"/>
            </w14:solidFill>
          </w14:textFill>
        </w:rPr>
        <w:t>合同包1(延安市人力资源和社会保障局延安市公共就业数字化综合服务平台建设项目):</w:t>
      </w:r>
    </w:p>
    <w:p>
      <w:pPr>
        <w:pStyle w:val="3"/>
        <w:spacing w:line="240" w:lineRule="auto"/>
        <w:rPr>
          <w:rFonts w:hint="eastAsia" w:ascii="宋体" w:hAnsi="宋体" w:eastAsia="宋体" w:cs="宋体"/>
          <w:sz w:val="28"/>
          <w:szCs w:val="28"/>
        </w:rPr>
      </w:pPr>
      <w:r>
        <w:rPr>
          <w:rFonts w:hint="eastAsia" w:ascii="宋体" w:hAnsi="宋体" w:eastAsia="宋体" w:cs="宋体"/>
          <w:sz w:val="28"/>
          <w:szCs w:val="28"/>
        </w:rPr>
        <w:t>建设内容</w:t>
      </w:r>
    </w:p>
    <w:p>
      <w:pPr>
        <w:pStyle w:val="54"/>
        <w:spacing w:line="360" w:lineRule="auto"/>
        <w:rPr>
          <w:rFonts w:hint="eastAsia" w:ascii="宋体" w:hAnsi="宋体" w:eastAsia="宋体" w:cs="宋体"/>
          <w:sz w:val="24"/>
        </w:rPr>
      </w:pPr>
      <w:r>
        <w:rPr>
          <w:rFonts w:hint="eastAsia" w:ascii="宋体" w:hAnsi="宋体" w:eastAsia="宋体" w:cs="宋体"/>
          <w:b/>
          <w:bCs/>
          <w:sz w:val="24"/>
        </w:rPr>
        <w:t>1.项目背景：</w:t>
      </w:r>
    </w:p>
    <w:p>
      <w:pPr>
        <w:pStyle w:val="54"/>
        <w:spacing w:line="360" w:lineRule="auto"/>
        <w:rPr>
          <w:rFonts w:hint="eastAsia" w:ascii="宋体" w:hAnsi="宋体" w:eastAsia="宋体" w:cs="宋体"/>
          <w:sz w:val="24"/>
        </w:rPr>
      </w:pPr>
      <w:r>
        <w:rPr>
          <w:rFonts w:hint="eastAsia" w:ascii="宋体" w:hAnsi="宋体" w:eastAsia="宋体" w:cs="宋体"/>
          <w:sz w:val="24"/>
        </w:rPr>
        <w:t>公共就业应用系统包括公共就业服务子系统、公共就业经办子系统、公共就业监测子系统、安防子系统、智慧仲裁子系统、信息发布子系统和远程招聘子系统、统一基础支撑平台、数据资源建设、第三方接口开发，为企业和劳动者提供精准就业服务，提高就业创业服务质量，将特色专区和就业创业服务相结合，依托“秦云就业平台”，打造“秦云就业延安分站”，整合技能培训、职业介绍、补贴申领、电子劳动合同等就业服务事项，打造就业全流程服</w:t>
      </w:r>
      <w:r>
        <w:rPr>
          <w:rFonts w:hint="eastAsia" w:ascii="宋体" w:hAnsi="宋体" w:eastAsia="宋体" w:cs="宋体"/>
          <w:sz w:val="24"/>
          <w:lang w:bidi="en-US"/>
        </w:rPr>
        <w:t>务。</w:t>
      </w:r>
    </w:p>
    <w:p>
      <w:pPr>
        <w:pStyle w:val="4"/>
        <w:spacing w:before="163" w:after="163" w:line="360" w:lineRule="auto"/>
        <w:rPr>
          <w:rFonts w:hint="eastAsia" w:ascii="宋体" w:hAnsi="宋体" w:eastAsia="宋体" w:cs="宋体"/>
          <w:sz w:val="24"/>
        </w:rPr>
      </w:pPr>
      <w:r>
        <w:rPr>
          <w:rFonts w:hint="eastAsia" w:ascii="宋体" w:hAnsi="宋体" w:eastAsia="宋体" w:cs="宋体"/>
          <w:sz w:val="24"/>
        </w:rPr>
        <w:t>公共就业服务子系统</w:t>
      </w:r>
    </w:p>
    <w:p>
      <w:pPr>
        <w:pStyle w:val="54"/>
        <w:spacing w:line="360" w:lineRule="auto"/>
        <w:rPr>
          <w:rFonts w:hint="eastAsia" w:ascii="宋体" w:hAnsi="宋体" w:eastAsia="宋体" w:cs="宋体"/>
          <w:sz w:val="24"/>
        </w:rPr>
      </w:pPr>
      <w:r>
        <w:rPr>
          <w:rFonts w:hint="eastAsia" w:ascii="宋体" w:hAnsi="宋体" w:eastAsia="宋体" w:cs="宋体"/>
          <w:sz w:val="24"/>
        </w:rPr>
        <w:t>依托省厅“秦云就业平台”，打造“秦云就业延安分站”，整合技能培训、职业介绍、补贴申领、电子劳动合同等就业服务事项，打造就业全流程服务。为企业和劳动者提供精准就业服务。公共就业服务子系统分为小程序端和自助服务端。</w:t>
      </w:r>
    </w:p>
    <w:p>
      <w:pPr>
        <w:pStyle w:val="5"/>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公共就业服务（小程序端）</w:t>
      </w:r>
    </w:p>
    <w:p>
      <w:pPr>
        <w:pStyle w:val="6"/>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个人用户安全登录/退出管理</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通过对接省厅电子社保卡认证系统，动态完成身份鉴权，实现电子社保卡安全登录和退出，同时支持手机号、扫码和社保卡号三种方式。</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电子社保卡安全登录主要包括手机号快速登录、手机号格式实时校验、验证码60秒倒计时、验证码超时重发、验证码输入校验、登录状态保持、二维码登录入口、动态二维码生成、二维码状态实时查询、扫码成功自动登录、社保卡号密码登录、密码强度提示、记住账号功能、登录失败锁定、登录日志记录。</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系统安全退出管理包括无操作超时检测、超时倒计时提示、自动退出清理、返回登录页面、手动退出按钮、退出二次确认、后台清理退出、会话状态检查、会话续期机制、退出日志记录、多设备登录管理。</w:t>
      </w:r>
    </w:p>
    <w:p>
      <w:pPr>
        <w:pStyle w:val="6"/>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秦云就业本地化风格改造</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根据延安地区的实际情况和业务需求，对业务导航进行特色化改造，同时在小程序首页或显著位置设置政策轮播功能，定期更新延安地区的最新人社政策，提高政策知晓率。</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业务导航特色改造主要包括用户行为数据采集、行为数据分析算法、功能权重动态计算、导航菜单智能排序、层级导航数据结构、菜单展开收起控制、菜单动画效果、侧边栏布局设计、侧边栏显隐控制、侧边栏滑动动画、侧边栏工具管理、导航搜索功能、搜索实时提示、用户主题设置、导航历史记录。</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本地政策轮播主要包括政策轮播容器、政策分类数据、分类标签渲染、分类切换过滤、多媒体内容支持、轮播数据获取、自动轮播控制、手势切换支持、内容自适应渲染、关键字规则库、关键字匹配标识、本地政策详情查看、本地政策详情数据查询、本地详情页面渲染、政策收藏功能、政策分享功能、政策订阅通知、阅读记录跟踪、政策搜索功能、相关政策推荐。</w:t>
      </w:r>
    </w:p>
    <w:p>
      <w:pPr>
        <w:pStyle w:val="6"/>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AI 智能客服管理</w:t>
      </w:r>
    </w:p>
    <w:p>
      <w:pPr>
        <w:pStyle w:val="54"/>
        <w:spacing w:line="360" w:lineRule="auto"/>
        <w:rPr>
          <w:rFonts w:hint="eastAsia" w:ascii="宋体" w:hAnsi="宋体" w:eastAsia="宋体" w:cs="宋体"/>
          <w:sz w:val="24"/>
        </w:rPr>
      </w:pPr>
      <w:r>
        <w:rPr>
          <w:rFonts w:hint="eastAsia" w:ascii="宋体" w:hAnsi="宋体" w:eastAsia="宋体" w:cs="宋体"/>
          <w:sz w:val="24"/>
          <w:lang w:bidi="en-US"/>
        </w:rPr>
        <w:t>提供人社AI 智能助手，通过小程序、驿站智能终端，提供7*24 小时有温度的人社政策和业务咨询服务。</w:t>
      </w:r>
    </w:p>
    <w:p>
      <w:pPr>
        <w:pStyle w:val="54"/>
        <w:spacing w:line="360" w:lineRule="auto"/>
        <w:rPr>
          <w:rFonts w:hint="eastAsia" w:ascii="宋体" w:hAnsi="宋体" w:eastAsia="宋体" w:cs="宋体"/>
          <w:sz w:val="24"/>
        </w:rPr>
      </w:pPr>
      <w:r>
        <w:rPr>
          <w:rFonts w:hint="eastAsia" w:ascii="宋体" w:hAnsi="宋体" w:eastAsia="宋体" w:cs="宋体"/>
          <w:sz w:val="24"/>
        </w:rPr>
        <w:t>文本输入识别主要包括自然语言理解引擎、文本预处理清洗、分词词性标注、句法语义分析、意图分类模型、特征提取处理、分类预测计算、置信度评估路由、实体抽取识别、命名实体识别、实体归一化链接、结构化数据输出、敏感词过滤检查、输入安全检测、输入长度控制、输入实时提示、多语言输入支持、输入纠错建议。</w:t>
      </w:r>
    </w:p>
    <w:p>
      <w:pPr>
        <w:pStyle w:val="54"/>
        <w:spacing w:line="360" w:lineRule="auto"/>
        <w:rPr>
          <w:rFonts w:hint="eastAsia" w:ascii="宋体" w:hAnsi="宋体" w:eastAsia="宋体" w:cs="宋体"/>
          <w:sz w:val="24"/>
        </w:rPr>
      </w:pPr>
      <w:r>
        <w:rPr>
          <w:rFonts w:hint="eastAsia" w:ascii="宋体" w:hAnsi="宋体" w:eastAsia="宋体" w:cs="宋体"/>
          <w:sz w:val="24"/>
        </w:rPr>
        <w:t>语音提问主要包括语音识别转换、语音输入控制、音频预处理、语音识别调用、语音语义分析、语音特征提取、语音意图分类、语音结构化表示、语音合成响应、回复文本生成、语音合成调用、音频播放控制、语音质量检测、方言识别支持、语音命令识别、环境噪音检测。</w:t>
      </w:r>
    </w:p>
    <w:p>
      <w:pPr>
        <w:pStyle w:val="54"/>
        <w:spacing w:line="360" w:lineRule="auto"/>
        <w:rPr>
          <w:rFonts w:hint="eastAsia" w:ascii="宋体" w:hAnsi="宋体" w:eastAsia="宋体" w:cs="宋体"/>
          <w:sz w:val="24"/>
        </w:rPr>
      </w:pPr>
      <w:r>
        <w:rPr>
          <w:rFonts w:hint="eastAsia" w:ascii="宋体" w:hAnsi="宋体" w:eastAsia="宋体" w:cs="宋体"/>
          <w:sz w:val="24"/>
        </w:rPr>
        <w:t>输入联想主要包括智能内容匹配、实时输入监听、多知识库检索、联想结果排序、键盘快捷操作、快捷键监听、列表导航控制、来源灵活配置、知识源配置管理、配置查询应用、联想词库更新、个性化联想调整、联想反馈收集。</w:t>
      </w:r>
    </w:p>
    <w:p>
      <w:pPr>
        <w:pStyle w:val="54"/>
        <w:spacing w:line="360" w:lineRule="auto"/>
        <w:rPr>
          <w:rFonts w:hint="eastAsia" w:ascii="宋体" w:hAnsi="宋体" w:eastAsia="宋体" w:cs="宋体"/>
          <w:sz w:val="24"/>
        </w:rPr>
      </w:pPr>
      <w:r>
        <w:rPr>
          <w:rFonts w:hint="eastAsia" w:ascii="宋体" w:hAnsi="宋体" w:eastAsia="宋体" w:cs="宋体"/>
          <w:sz w:val="24"/>
        </w:rPr>
        <w:t>用户意图识别主要包括多意图联合识别、复杂语句分割、意图关联分析、多意图结果组装、上下文连贯分析、对话上下文管理、指代消解补全、情绪信息过滤、情绪实体识别、净化文本生成、意图模型优化、新意图类型支持、意图识别可视化</w:t>
      </w:r>
    </w:p>
    <w:p>
      <w:pPr>
        <w:pStyle w:val="54"/>
        <w:spacing w:line="360" w:lineRule="auto"/>
        <w:rPr>
          <w:rFonts w:hint="eastAsia" w:ascii="宋体" w:hAnsi="宋体" w:eastAsia="宋体" w:cs="宋体"/>
          <w:sz w:val="24"/>
        </w:rPr>
      </w:pPr>
      <w:r>
        <w:rPr>
          <w:rFonts w:hint="eastAsia" w:ascii="宋体" w:hAnsi="宋体" w:eastAsia="宋体" w:cs="宋体"/>
          <w:sz w:val="24"/>
        </w:rPr>
        <w:t>模糊问题引导主要包括相似问题匹配、语义相似度计算、相似问题展示、用户选择优化、置信度矫正确认、动态引导机制、引导模板管理、个性化引导推荐、引导效果分析、引导路径优化。</w:t>
      </w:r>
    </w:p>
    <w:p>
      <w:pPr>
        <w:pStyle w:val="54"/>
        <w:spacing w:line="360" w:lineRule="auto"/>
        <w:rPr>
          <w:rFonts w:hint="eastAsia" w:ascii="宋体" w:hAnsi="宋体" w:eastAsia="宋体" w:cs="宋体"/>
          <w:sz w:val="24"/>
        </w:rPr>
      </w:pPr>
      <w:r>
        <w:rPr>
          <w:rFonts w:hint="eastAsia" w:ascii="宋体" w:hAnsi="宋体" w:eastAsia="宋体" w:cs="宋体"/>
          <w:sz w:val="24"/>
        </w:rPr>
        <w:t>常见问题推荐主要包括常见问题展示、常见问题数据获取、问题列表展示、问题点击发送、模糊问题引导、问题语义向量化、相似问题匹配排序、问题热度计算、问题分类筛选、问题反馈收集。</w:t>
      </w:r>
    </w:p>
    <w:p>
      <w:pPr>
        <w:pStyle w:val="54"/>
        <w:spacing w:line="360" w:lineRule="auto"/>
        <w:rPr>
          <w:rFonts w:hint="eastAsia" w:ascii="宋体" w:hAnsi="宋体" w:eastAsia="宋体" w:cs="宋体"/>
          <w:sz w:val="24"/>
        </w:rPr>
      </w:pPr>
      <w:r>
        <w:rPr>
          <w:rFonts w:hint="eastAsia" w:ascii="宋体" w:hAnsi="宋体" w:eastAsia="宋体" w:cs="宋体"/>
          <w:sz w:val="24"/>
        </w:rPr>
        <w:t>智能求职推送主要包括求职者画像创建、画像数据更新、岗位匹配度计算、最新岗位监听、推荐触发判断、推送消息生成、推荐岗位查看、消息置顶展示、推荐记录存储、推荐反馈收集、推荐算法优化。</w:t>
      </w:r>
    </w:p>
    <w:p>
      <w:pPr>
        <w:pStyle w:val="54"/>
        <w:spacing w:line="360" w:lineRule="auto"/>
        <w:rPr>
          <w:rFonts w:hint="eastAsia" w:ascii="宋体" w:hAnsi="宋体" w:eastAsia="宋体" w:cs="宋体"/>
          <w:sz w:val="24"/>
        </w:rPr>
      </w:pPr>
      <w:r>
        <w:rPr>
          <w:rFonts w:hint="eastAsia" w:ascii="宋体" w:hAnsi="宋体" w:eastAsia="宋体" w:cs="宋体"/>
          <w:sz w:val="24"/>
        </w:rPr>
        <w:t>智能招聘推送主要包括企业职位解析、职位标签化、人才库筛选、简历语义分析、匹配度综合评分、智能招聘推荐列表生成、推荐人员查看、报告推送至企业、企业反馈收集、推荐效果分析。</w:t>
      </w:r>
    </w:p>
    <w:p>
      <w:pPr>
        <w:pStyle w:val="54"/>
        <w:spacing w:line="360" w:lineRule="auto"/>
        <w:rPr>
          <w:rFonts w:hint="eastAsia" w:ascii="宋体" w:hAnsi="宋体" w:eastAsia="宋体" w:cs="宋体"/>
          <w:sz w:val="24"/>
        </w:rPr>
      </w:pPr>
      <w:r>
        <w:rPr>
          <w:rFonts w:hint="eastAsia" w:ascii="宋体" w:hAnsi="宋体" w:eastAsia="宋体" w:cs="宋体"/>
          <w:sz w:val="24"/>
        </w:rPr>
        <w:t>政策智能推荐主要包括用户行为记录、用户画像更新、政策标签化管理、政策特征向量化、实时匹配计算、推荐结果排序、推荐列表展示、推荐政策查看、用户点击跟踪、推荐效果评估、多轮会话引导、会话上下文记录、意图识别与澄清。</w:t>
      </w:r>
    </w:p>
    <w:p>
      <w:pPr>
        <w:pStyle w:val="54"/>
        <w:spacing w:line="360" w:lineRule="auto"/>
        <w:rPr>
          <w:rFonts w:hint="eastAsia" w:ascii="宋体" w:hAnsi="宋体" w:eastAsia="宋体" w:cs="宋体"/>
          <w:sz w:val="24"/>
        </w:rPr>
      </w:pPr>
      <w:r>
        <w:rPr>
          <w:rFonts w:hint="eastAsia" w:ascii="宋体" w:hAnsi="宋体" w:eastAsia="宋体" w:cs="宋体"/>
          <w:sz w:val="24"/>
        </w:rPr>
        <w:t>政策推送主要包括最新政策发布监听、政策重要性判断、推送对象筛选、推送内容生成、推送任务调度、最新政策推送、重要政策推送、推送政策查看、政策推送记录存储、用户接收反馈、推送效果分析。</w:t>
      </w:r>
    </w:p>
    <w:p>
      <w:pPr>
        <w:pStyle w:val="6"/>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家门口就业管理</w:t>
      </w:r>
    </w:p>
    <w:p>
      <w:pPr>
        <w:pStyle w:val="54"/>
        <w:spacing w:line="360" w:lineRule="auto"/>
        <w:rPr>
          <w:rFonts w:hint="eastAsia" w:ascii="宋体" w:hAnsi="宋体" w:eastAsia="宋体" w:cs="宋体"/>
          <w:sz w:val="24"/>
        </w:rPr>
      </w:pPr>
      <w:r>
        <w:rPr>
          <w:rFonts w:hint="eastAsia" w:ascii="宋体" w:hAnsi="宋体" w:eastAsia="宋体" w:cs="宋体"/>
          <w:sz w:val="24"/>
        </w:rPr>
        <w:t>基于劳动者小程序设备定位，动态展示附近的招聘岗位信息，支持通过岗位关键字查询、招聘单位关键字查询在地图上显示招聘企业。主要</w:t>
      </w:r>
      <w:r>
        <w:rPr>
          <w:rFonts w:hint="eastAsia" w:ascii="宋体" w:hAnsi="宋体" w:eastAsia="宋体" w:cs="宋体"/>
          <w:sz w:val="24"/>
          <w:lang w:bidi="en-US"/>
        </w:rPr>
        <w:t>包括家门口岗位展示、</w:t>
      </w:r>
      <w:r>
        <w:rPr>
          <w:rFonts w:hint="eastAsia" w:ascii="宋体" w:hAnsi="宋体" w:eastAsia="宋体" w:cs="宋体"/>
          <w:sz w:val="24"/>
        </w:rPr>
        <w:t>“家门口就业”精准推送服务、最新合适岗位推送、劳动者推荐、技能培训信息推送、招考信息推送服务、热点主题推送服务、</w:t>
      </w:r>
      <w:r>
        <w:rPr>
          <w:rFonts w:hint="eastAsia" w:ascii="宋体" w:hAnsi="宋体" w:eastAsia="宋体" w:cs="宋体"/>
          <w:sz w:val="24"/>
          <w:lang w:bidi="en-US"/>
        </w:rPr>
        <w:t>最新消息通知资讯推送服务、</w:t>
      </w:r>
      <w:r>
        <w:rPr>
          <w:rFonts w:hint="eastAsia" w:ascii="宋体" w:hAnsi="宋体" w:eastAsia="宋体" w:cs="宋体"/>
          <w:sz w:val="24"/>
        </w:rPr>
        <w:t>最新人才政策消息推送服务、家门口就业岗位大屏展示信息管理。</w:t>
      </w:r>
    </w:p>
    <w:p>
      <w:pPr>
        <w:pStyle w:val="54"/>
        <w:spacing w:line="360" w:lineRule="auto"/>
        <w:rPr>
          <w:rFonts w:hint="eastAsia" w:ascii="宋体" w:hAnsi="宋体" w:eastAsia="宋体" w:cs="宋体"/>
          <w:sz w:val="24"/>
        </w:rPr>
      </w:pPr>
      <w:r>
        <w:rPr>
          <w:rFonts w:hint="eastAsia" w:ascii="宋体" w:hAnsi="宋体" w:eastAsia="宋体" w:cs="宋体"/>
          <w:sz w:val="24"/>
        </w:rPr>
        <w:t>家门口岗位展示主要包括地理位置获取、附近岗位查询、岗位距离计算与排序、岗位列表渲染、按岗位名称搜索、模糊匹配查询、按薪资范围搜索、薪资过滤查询、搜索条件重置、岗位详情查看、详情页面渲染、岗位收藏功能、收藏列表管理、一键投递简历、投递记录存储、导航至岗位地址、地图服务集成、导航界面展示、岗位分享功能、分享记录跟踪。</w:t>
      </w:r>
    </w:p>
    <w:p>
      <w:pPr>
        <w:pStyle w:val="54"/>
        <w:spacing w:line="360" w:lineRule="auto"/>
        <w:rPr>
          <w:rFonts w:hint="eastAsia" w:ascii="宋体" w:hAnsi="宋体" w:eastAsia="宋体" w:cs="宋体"/>
          <w:sz w:val="24"/>
        </w:rPr>
      </w:pPr>
      <w:r>
        <w:rPr>
          <w:rFonts w:hint="eastAsia" w:ascii="宋体" w:hAnsi="宋体" w:eastAsia="宋体" w:cs="宋体"/>
          <w:sz w:val="24"/>
        </w:rPr>
        <w:t>家门口就业精准推送服务主要包括帮扶对象数据接入、数据清洗与格式化、帮扶对象存储、需求分析规则维护、需求标签匹配、帮扶画像生成、画像数据持久化、职业指导内容维护、指导信息匹配、指导信息推送、适配岗位库维护、人岗精准匹配、岗位推送任务生成、岗位推送执行、培训项目库维护、培训需求匹配、培训项目推送、推送触发机制、推送效果跟踪、服务效果分析。</w:t>
      </w:r>
    </w:p>
    <w:p>
      <w:pPr>
        <w:pStyle w:val="54"/>
        <w:spacing w:line="360" w:lineRule="auto"/>
        <w:rPr>
          <w:rFonts w:hint="eastAsia" w:ascii="宋体" w:hAnsi="宋体" w:eastAsia="宋体" w:cs="宋体"/>
          <w:sz w:val="24"/>
        </w:rPr>
      </w:pPr>
      <w:r>
        <w:rPr>
          <w:rFonts w:hint="eastAsia" w:ascii="宋体" w:hAnsi="宋体" w:eastAsia="宋体" w:cs="宋体"/>
          <w:sz w:val="24"/>
        </w:rPr>
        <w:t>最新适合岗位推送主要包括求职者画像信息查询、最新岗位数据查询、画像匹配算法执行、匹配结果缓存、推荐规则加载、候选岗位筛选、推荐岗位列表生成、推荐岗位结果存储、新鲜度权重计算、最新推荐列表渲染、地理位置数据获取、距离计算与排序、就近推荐列表生成、就近推荐结果存储、推荐内容更新、用户行为反馈、推荐算法迭代。</w:t>
      </w:r>
    </w:p>
    <w:p>
      <w:pPr>
        <w:pStyle w:val="54"/>
        <w:spacing w:line="360" w:lineRule="auto"/>
        <w:rPr>
          <w:rFonts w:hint="eastAsia" w:ascii="宋体" w:hAnsi="宋体" w:eastAsia="宋体" w:cs="宋体"/>
          <w:sz w:val="24"/>
        </w:rPr>
      </w:pPr>
      <w:r>
        <w:rPr>
          <w:rFonts w:hint="eastAsia" w:ascii="宋体" w:hAnsi="宋体" w:eastAsia="宋体" w:cs="宋体"/>
          <w:sz w:val="24"/>
        </w:rPr>
        <w:t>劳动者推荐主要包括劳动者画像查看、查看请求接收、画像数据查询、画像数据渲染展示、劳动者画像维护、画像数据录入接口、画像数据验证与清洗、画像数据存储更新、智能推荐给企业、企业需求数据查询、劳动者-企业匹配计算、推荐列表生成、推荐通知发送、查看推荐记录、记录查询请求接收、推荐记录数据查询、记录列表渲染展示。</w:t>
      </w:r>
    </w:p>
    <w:p>
      <w:pPr>
        <w:pStyle w:val="54"/>
        <w:spacing w:line="360" w:lineRule="auto"/>
        <w:rPr>
          <w:rFonts w:hint="eastAsia" w:ascii="宋体" w:hAnsi="宋体" w:eastAsia="宋体" w:cs="宋体"/>
          <w:sz w:val="24"/>
        </w:rPr>
      </w:pPr>
      <w:r>
        <w:rPr>
          <w:rFonts w:hint="eastAsia" w:ascii="宋体" w:hAnsi="宋体" w:eastAsia="宋体" w:cs="宋体"/>
          <w:sz w:val="24"/>
        </w:rPr>
        <w:t>技能培训信息推送主要包括培训项目智能推送、培训项目数据查询、劳动者技能缺口分析、智能匹配推送、推送记录存储、培训项目就近推送、地理位置数据查询、距离计算与筛选、就近推送列表生成、就近推送执行、培训项目详情查看、培训项目详情查看请求接收、项目详情数据查询、培训项目详情页面渲染展示。</w:t>
      </w:r>
    </w:p>
    <w:p>
      <w:pPr>
        <w:pStyle w:val="54"/>
        <w:spacing w:line="360" w:lineRule="auto"/>
        <w:rPr>
          <w:rFonts w:hint="eastAsia" w:ascii="宋体" w:hAnsi="宋体" w:eastAsia="宋体" w:cs="宋体"/>
          <w:sz w:val="24"/>
        </w:rPr>
      </w:pPr>
      <w:r>
        <w:rPr>
          <w:rFonts w:hint="eastAsia" w:ascii="宋体" w:hAnsi="宋体" w:eastAsia="宋体" w:cs="宋体"/>
          <w:sz w:val="24"/>
        </w:rPr>
        <w:t>招考信息推送服务主要包括招考信息同步与解析、外部招考数据获取、数据解析与格式化、招考信息存储、求职者与岗位匹配、求职者画像查询、招考岗位数据查询、匹配计算与推荐、匹配结果存储、岗位信息详情查看、岗位详情查看请求接收、岗位详情数据查询、岗位详情页面渲染展示、招考信息分类统计、招考信息热度分析、招考信息订阅管理、招考信息纠错反馈、招考信息历史记录查询。</w:t>
      </w:r>
    </w:p>
    <w:p>
      <w:pPr>
        <w:pStyle w:val="54"/>
        <w:spacing w:line="360" w:lineRule="auto"/>
        <w:rPr>
          <w:rFonts w:hint="eastAsia" w:ascii="宋体" w:hAnsi="宋体" w:eastAsia="宋体" w:cs="宋体"/>
          <w:sz w:val="24"/>
        </w:rPr>
      </w:pPr>
      <w:r>
        <w:rPr>
          <w:rFonts w:hint="eastAsia" w:ascii="宋体" w:hAnsi="宋体" w:eastAsia="宋体" w:cs="宋体"/>
          <w:sz w:val="24"/>
        </w:rPr>
        <w:t>热点主题推送主要包括热点主题内容库构建、热点数据采集、主题内容分类与标签化、主题内容存储、根据劳动者行为推荐主题、劳动者行为数据查询、行为模式分析、主题推荐生成、热点主题推荐结果存储、根据劳动者画像推荐主题、劳动者画像查询、画像与主题匹配计算、主题推荐列表生成、推荐信息结果存储、主题详情查看、主题详情查看请求接收、主题详情数据查询、主题详情页面渲染展示。</w:t>
      </w:r>
    </w:p>
    <w:p>
      <w:pPr>
        <w:pStyle w:val="54"/>
        <w:spacing w:line="360" w:lineRule="auto"/>
        <w:rPr>
          <w:rFonts w:hint="eastAsia" w:ascii="宋体" w:hAnsi="宋体" w:eastAsia="宋体" w:cs="宋体"/>
          <w:sz w:val="24"/>
        </w:rPr>
      </w:pPr>
      <w:r>
        <w:rPr>
          <w:rFonts w:hint="eastAsia" w:ascii="宋体" w:hAnsi="宋体" w:eastAsia="宋体" w:cs="宋体"/>
          <w:sz w:val="24"/>
        </w:rPr>
        <w:t>最新消息通知资讯推送服务主要包括资讯内容库构建、资讯数据采集、资讯内容预处理、资讯内容存储、根据劳动者行为推荐资讯、行为数据查询、资讯匹配计算、资讯推荐生成、消息推荐结果存储、根据劳动者画像推荐资讯、咨询详情查看、消息详情查看请求接收、资讯详情数据查询、消息详情页面渲染展示。</w:t>
      </w:r>
    </w:p>
    <w:p>
      <w:pPr>
        <w:pStyle w:val="54"/>
        <w:spacing w:line="360" w:lineRule="auto"/>
        <w:rPr>
          <w:rFonts w:hint="eastAsia" w:ascii="宋体" w:hAnsi="宋体" w:eastAsia="宋体" w:cs="宋体"/>
          <w:sz w:val="24"/>
        </w:rPr>
      </w:pPr>
      <w:r>
        <w:rPr>
          <w:rFonts w:hint="eastAsia" w:ascii="宋体" w:hAnsi="宋体" w:eastAsia="宋体" w:cs="宋体"/>
          <w:sz w:val="24"/>
        </w:rPr>
        <w:t>最新人才政策消息推送服务主要包括人次政策内容库构建、根据人才行为推荐政策、人才行为数据查询、政策匹配计算、政策推荐生成、人才政策推荐结果存储、根据人才画像推荐政策、人才画像查询、画像与政策匹配计算、政策推荐列表生成、推荐结果存储、人才政策政策详情查看、详情查看请求接收、政策详情数据查询、详情页面渲染展示。</w:t>
      </w:r>
    </w:p>
    <w:p>
      <w:pPr>
        <w:pStyle w:val="54"/>
        <w:spacing w:line="360" w:lineRule="auto"/>
        <w:rPr>
          <w:rFonts w:hint="eastAsia" w:ascii="宋体" w:hAnsi="宋体" w:eastAsia="宋体" w:cs="宋体"/>
          <w:sz w:val="24"/>
        </w:rPr>
      </w:pPr>
      <w:r>
        <w:rPr>
          <w:rFonts w:hint="eastAsia" w:ascii="宋体" w:hAnsi="宋体" w:eastAsia="宋体" w:cs="宋体"/>
          <w:sz w:val="24"/>
        </w:rPr>
        <w:t>家门口就业岗位大屏展示信息管理主要包括大屏内容生成与配置、大屏内容更新与管理、大屏适配、大屏内容展示。</w:t>
      </w:r>
    </w:p>
    <w:p>
      <w:pPr>
        <w:pStyle w:val="6"/>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零工之家专区管理</w:t>
      </w:r>
    </w:p>
    <w:p>
      <w:pPr>
        <w:pStyle w:val="54"/>
        <w:spacing w:line="360" w:lineRule="auto"/>
        <w:rPr>
          <w:rFonts w:hint="eastAsia" w:ascii="宋体" w:hAnsi="宋体" w:eastAsia="宋体" w:cs="宋体"/>
          <w:sz w:val="24"/>
          <w:lang w:bidi="en-US"/>
        </w:rPr>
      </w:pPr>
      <w:r>
        <w:rPr>
          <w:rFonts w:hint="eastAsia" w:ascii="宋体" w:hAnsi="宋体" w:eastAsia="宋体" w:cs="宋体"/>
          <w:sz w:val="24"/>
        </w:rPr>
        <w:t>依托现有政务服务用户体系，实现用户的注册和登录功能，利用用户微信注册信息，同意后一键代入。主要包括找工作-找活首页、零工找活二维码生成、“我想干活”、“我要找活”</w:t>
      </w:r>
      <w:r>
        <w:rPr>
          <w:rFonts w:hint="eastAsia" w:ascii="宋体" w:hAnsi="宋体" w:eastAsia="宋体" w:cs="宋体"/>
          <w:sz w:val="24"/>
          <w:lang w:bidi="en-US"/>
        </w:rPr>
        <w:t>、“地图找活”、“工种找活”、“清单找活”、找工作-工单服务、“我要抢单”、</w:t>
      </w:r>
      <w:r>
        <w:rPr>
          <w:rFonts w:hint="eastAsia" w:ascii="宋体" w:hAnsi="宋体" w:eastAsia="宋体" w:cs="宋体"/>
          <w:sz w:val="24"/>
        </w:rPr>
        <w:t>“我要选单”、“完工确认”、“我要评价”、找工作-个人中心、“我要投诉维权”、“我要拿证”、找工作-季节性用工展示、找零工-注册登录</w:t>
      </w:r>
      <w:r>
        <w:rPr>
          <w:rFonts w:hint="eastAsia" w:ascii="宋体" w:hAnsi="宋体" w:eastAsia="宋体" w:cs="宋体"/>
          <w:sz w:val="24"/>
          <w:lang w:bidi="en-US"/>
        </w:rPr>
        <w:t>、找零工-招工首页、用工二维码、“我有活干”、“我要找人”、“工种找人”、找零工-工单服务、“我要雇人”</w:t>
      </w:r>
      <w:r>
        <w:rPr>
          <w:rFonts w:hint="eastAsia" w:ascii="宋体" w:hAnsi="宋体" w:eastAsia="宋体" w:cs="宋体"/>
          <w:sz w:val="24"/>
        </w:rPr>
        <w:t>、“我要选人”、“完工确认”、“我要评价”、找零工-企业中心、“我的海报”、“我要投诉维权”、找零工-季节性用工展示</w:t>
      </w:r>
      <w:r>
        <w:rPr>
          <w:rFonts w:hint="eastAsia" w:ascii="宋体" w:hAnsi="宋体" w:eastAsia="宋体" w:cs="宋体"/>
          <w:sz w:val="24"/>
          <w:lang w:bidi="en-US"/>
        </w:rPr>
        <w:t>、零工品牌专区、季节性/产业用工发布专区、季节性/产业用工需求全省发布、找培训-培训报名、培训开班信息展示、技能工种推送、培训课程信息查看、培训报名、培训报名结果查看、零工保险服务、零工信用展示服务、雇主信用展示服务。</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找工作-注册、登录主要包括零工-政务体系账号关联登录、零工-微信信息一键代入注册、零工-注册信息补全提醒、零工-密码找回与安全验证。</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找工作-找活首页主要包括岗位搜索与智能筛选、即时报名与雇主直联、热门岗位智能推荐。</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零工找活二维码生成主要包括零工找活二维码生成、二维码扫码直达、零工找活二维码分享。</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我想干活主要包括“我想干活” 需求发布、“我想干活” 需求修改、“我想干活” 需求删除、“我想干活” 需求查看、“我想干活” 需求推荐。</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我要找活主要包括用工筛选、雇主信息展示、零工-雇主信用风险提醒、零工-雇主信用快捷查询、零工-立即联系、零工-岗位投递。</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地图找活主要包括“地图找活” 可视化展示、地图岗位筛选、地图找活用工信息列表展示、地图找活用工信息详情展示、地图找活雇主信用风险提醒、地图找活雇主信用快捷查询、地图找活立即联系、地图找活岗位投递。</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工种找活主要包括工种找活技能校验、工种岗位智能匹配、工种找活用工信息列表展示、工种找活用工信息详情展示、工种找活雇主信用风险提醒、工种找活雇主信用快捷查询、工种找活立即联系、工种找活岗位投递。</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清单找活主要包括用工清单搜索、用工信息列表展示、用工信息详情展示、清单找活雇主信用风险提醒、清单找活雇主信用快捷查询、立即联系、岗位投递。</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找工作-工单服务主要包括创建工单、撤销工单、查看工单、工单状态变动提醒、雇主信用风险提醒、雇主信用快捷查询。</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我要抢单主要包括“我要抢单” 申请发起、抢单雇主信用提醒、抢单零工保险推荐、抢单结果查询。</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我要选单主要包括用工邀请列表查看、用工邀请详情查看、用工邀请确认、用工邀请拒绝、用工记录查看。</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完工确认主要包括查看雇主签到二维码、上工签到、下工签到、雇员完工确认申请、查看雇主确认结果。</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我要评价主要包括零工-待评价列表展示、零工-用工评价、零工-查看评价结果、零工-查看雇主对雇员评价。</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找工作-个人中心主要包括零工记录列表查询、零工记录明细查询、个人求职意愿管理、个人技能新增、个人技能修改、个人技能删除、个人技能查询、找工作-我的收藏列表、找工作-我的收藏详情、切换至雇主。</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我要投诉维权主要包括投诉维权信息提交、投诉维权进度跟踪与反馈、我的投诉维权列表、我的投诉明细。</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我要拿证主要包括评价机构搜索、评价机构列表展示、评价机构详情展示、评价机构报名、查看报名结果、查看技能等级证书、评价机构导航。</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找工作-季节性用工展示主要包括季节性用工专区入口、区县小循环岗位展示、市内 “中循环” 岗位筛选、季节性岗位报名、季节性岗位报名结果查看、按薪资范围筛选、相似岗位推荐、岗位详情视频介绍、岗位收藏同步、岗位评价筛选、与我匹配度显示、企业规模筛选、工作时长筛选、岗位搜索联想、岗位地图定位。</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找零工-注册、登录主要包括政务体系账号关联登录、微信信息一键代入注册、雇主身份类型选择、注册信息补全提醒、密码找回与安全验证。</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找零工-招工首页主要包括用工发布、雇员推荐列表、雇员推荐明细、用工评价入口。</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用工二维码主要包括用工二维码生成与推广、二维码扫码招工入口、二维码分享、二维码批量生成、二维码有效期设置、扫码统计分析、关联岗位信息更新提醒、多平台二维码分享。</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我有活干主要包括小程序用工需求发布、小程序用工需求修改、小程序用工需求删除、用工需求审核结果查询、用工需求列表查询、用工需求明细查询。</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我要找人主要包括零工信息筛选、我要找人-零工筛选信息列表查询、我要找人-零工筛选明细查询、我要找人零工人才信用画像与资质核验、我要找人-零工信用风险提醒、我要找人-零工信用情况获取、我要找人-零工信用评价查询、我要找人-线上交流、在线邀请、我要找人-查看邀请结果。</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工种找人主要包括工种找人” 用工需求匹配、工种信息缺失提醒与补充、零工筛选信息列表查询、零工筛选明细查询、零工人才信用画像与资质核验、工种找人-零工信用风险提醒、工种找人-零工信用情况获取、工种找人-零工信用评价查询、线上交流、用工邀请、工种找人-查看邀请结果。</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找零工-工单服务主要包括工单创建、零工智能匹配、工单进度跟踪、工单加急申请、工单智能匹配推荐、工单进度实时跟踪、工单评价标签化、历史工单回顾、工单纠纷调解申请、工单价格协商提醒、相似工单推荐、工单自动分配优化、工单自定义筛选。</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我要雇人主要包括用工邀请发起、查看邀请结果、我要雇人 -零工信用风险提醒、我要雇人 -零工信用情况获取、我要雇人 -零工信用评价查询、零工保险提醒、零工保险推荐。</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我要选人主要包括零工申请列表查看、零工明细信息查看、零工信用风险提醒、零工信用情况获取、零工信用评价查询、零工申请确认、零工申请拒绝。</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完工确认主要包括生成签到二维码、查看雇员签到情况、雇主直接完工确认、雇主审核雇员完工申请、系统自动完工确认、完工异议处理。</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我要评价主要包括待评价列表展示、用工评价（零工之家）、查看评价结果、查看雇主对雇员评价。</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找零工-企业中心主要包括岗位管理列表、岗位详情、用工记录列表、用工记录详情、我的收藏列表、我的收藏详情、用工评价、切换至雇员。</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我的海报主要包括海报一键生成、海报下载、海报分享。</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我要投诉维权主要包括投诉信息提交、投诉进度跟踪与反馈、我的投诉列表、我的投诉维权明细。</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找零工-季节性用工展示主要包括季节性岗位集成发布功能、灵活调度与快速匹配功能、按经验要求筛选、兼职时段筛选、福利补贴显示、岗位热度排序、推荐给好友。</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零工品牌专区主要包括零工品牌专区创建、零工品牌专区搜索、品牌零工推荐、品牌故事展示、品牌荣誉展示、品牌服务项目介绍、品牌合作案例分享、品牌评价汇总、品牌动态更新提醒、品牌服务预约、品牌对比功能、品牌视频展示。</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季节性/产业用工发布专区主要包括季节性 / 产业用工信息发布、县区 “小循环” 信息定向展示、市内 “中循环” 信息全域展示、发布岗位审核进度查询、岗位修改提醒、相似岗位参考推荐、发布数据统计分析、岗位自动下架设置。</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季节性/产业用工需求全省发布主要包括高需求用工信息发布、全省 “大循环” 信息同步推送、需求精准定位推送、需求跨区域对比分析、需求地图可视化展示、需求反馈收集、需求与供给匹配报告。</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找培训-培训报名主要包括培训项目列表查询、培训项目详情查询、培训报名详情查看、培训报名编辑、培训报名撤销、培训报名。</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培训开班信息展示主要包括多维课程信息聚合展示—课程数据汇集、多维课程信息聚合展示—课程信息筛选、多维课程信息聚合展示—课程状态更新、多维课程信息聚合展示—课程信息渲染、师资与班级容量动态标识—师资数据查询、师资与班级容量动态标识—班级容量数据查询、师资与班级容量动态标识—容量状态计算、师资与班级容量动态标识—动态标识渲染、培训资源与协议可视化集成—资源数据查询、培训资源与协议可视化集成—协议模板查询、开班列表总览、智能筛选与搜索、班级详情查看、培训资源与协议可视化集成—资源与协议集成展示。</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技能工种推送主要包括基于技能标签的智能匹配推送功能—技能标签查询、基于技能标签的智能匹配推送功能—工种数据查询、基于技能标签的智能匹配推送功能—智能匹配算法、基于技能标签的智能匹配推送功能—推送结果生成、电子地图可视化推送功能—地理位置数据获取、电子地图可视化推送功能—热点区域数据查询、电子地图可视化推送功能—就近工种筛选、电子地图可视化推送功能—地图可视化渲染、实时更新与多渠道提醒功能—工种数据更新监听、实时更新与多渠道提醒功能—提醒规则管理、技能画像匹配、个性化开班推送、推送反馈收集、实时更新与多渠道提醒功能—提醒消息生成、实时更新与多渠道提醒功能—多渠道发送。</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培训课程信息查看主要包括培训需求信息模块—课程数据查询、培训需求信息模块—课程信息聚合、培训需求信息模块—课程列表渲染、点单式课程选择功能—用户需求输入、点单式课程选择功能—定制课程匹配、点单式课程选择功能—定制结果展示、优先级展示与筛选功能—课程热度计算、优先级展示与筛选功能—优先级排序、课程条件筛选、课程列表显示、课程详情查看、优先级展示与筛选功能—筛选条件处理、优先级展示与筛选功能—筛选结果渲染。</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培训报名主要包括在线查询与一键报名—课程详情查询、在线查询与一键报名—报名请求接收、在线查询与一键报名—报名信息存储、分类筛选与定制化申请—筛选条件输入、分类筛选与定制化申请—课程筛选处理、分类筛选与定制化申请—定制申请提交、分类筛选与定制化申请—申请信息存储、培训记录动态管理—培训记录查询、培训记录动态管理—记录状态更新、培训记录动态管理—复训申请处理、培训课程选择、报名信息填写、报名信息暂存、报名资料上传、报名信息确认、报名提交、报名状态查询、报名信息修改、培训记录动态管理—管理界面渲染。</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培训报名结果查看主要包括报名进度实时追踪—进度数据查询、报名进度实时追踪—进度状态计算、报名进度实时追踪—进度可视化展示、历史记录与复训申请—历史记录查询、历史记录与复训申请—复训申请触发、历史记录与复训申请—复训申请存储、培训日程动态提醒—提醒规则管理、培训日程动态提醒—提醒时间计算、报名记录查询、培训结果查看、证书信息查看、成绩明细查询、培训成果统计、结果申诉申请、成绩单下载、历史记录导出、培训日程动态提醒—提醒消息生成、培训日程动态提醒—提醒发送。</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零工保险服务主要包括保险多条件查询、零工保险列表展示、零工保险详情展示、保险投保申请、保险产品展示、保险条件筛选、保险详情查看、零工-保险投保申请、投保进度查询、投保结果查看、出险申请录入、出险进度跟踪、理赔结果查看、保单管理、保险资讯展示、投保进度与结果查询、出险申请与进度跟踪。</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零工信用服务展示主要包括零工信用基本信息展示、信用趋势分析、信用解读说明、信用修复指引、信用证明生成、评价详情查看、历史记录追溯、零工信用详细查询、零工信用风险提示。</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雇主信用服务展示主要包括雇主信用基本信息展示、雇主信用趋势分析、信用评价标准说明、投诉记录查询、信用对比功能、信用证明查验、评价详情追溯、雇主信用详细查询、雇主信用风险提示。</w:t>
      </w:r>
    </w:p>
    <w:p>
      <w:pPr>
        <w:pStyle w:val="6"/>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劳务品牌专区管理</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跟踪记录劳务品牌从业人员的职业发展路径、培训经历、工作表现等信息，形成个人职业成长档案。包括劳务品牌从业人员跟踪服务、劳务品牌宣传专区、劳务品牌招聘专区、劳务品牌职业技能培训专区、宝塔月嫂服务专区、安塞剪纸服务专区、劳务品牌地图展示、劳务品牌用工展示、劳务品牌技能培训意愿报名、劳务品牌一件事服务。</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劳务品牌从业人员跟踪服务功能主要包括从业人员基础信息建档、职业发展路径记录、培训经历自动同步、工作表现评价录入、职业成长档案查看、晋升机会智能推送、职业档案建立、职业轨迹记录、培训经历管理、工作表现录入、成长档案查看、发展状态分析、晋升机会提示、技能图谱生成、成长报告导出、档案信息补录、档案信息修改与补充、档案数据统计与分析。</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劳务品牌宣传专区主要包括品牌宣传资料分类展示、品牌故事多形式呈现、成功案例详细拆解、行业影响力数据可视化、品牌宣传资料更新、品牌认知度调研、品牌联系方式展示。</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劳务品牌招聘专区主要包括招聘信息分类发布、岗位需求详细标注、岗位智能筛选、岗位收藏与提醒、在线应聘申请、应聘进度查询、岗位投递数据统计。</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劳务品牌职业技能培训专区主要包括培训课程分类展示、课程详情多维展示、线上课程播放与回放、线下实训预约、培训资料下载、培训考核在线参与。</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宝塔月嫂服务专区主要包括服务内容分类展示、服务标准明细公示、服务流程可视化、月嫂等级与价格对应、客户评价展示、预约咨询入口。</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安塞剪纸服务专区主要包括历史文化背景展示、制作工艺分步解析、应用场景分类展示、艺人风采展示。</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劳务品牌地图展示主要包括品牌地图初始化加载、品牌位置精准标注、品牌覆盖范围展示、地图筛选与搜索、导航与路线规划。</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劳务品牌用工展示主要包括行业用工需求分类展示、用工趋势图表化、用工企业信息展示、用工需求预警、用工数据导出。</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劳务品牌技能培训意愿报名主要包括劳务品牌技能培训意愿报名、报名信息智能校验、课程匹配推荐、师资资源匹配、报名确认与通知、报名进度查询、报名撤销与改期。</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劳务品牌一件事服务包括一站式服务首页集成、服务流程引导、跨服务信息自动同步、政策咨询在线应答、投诉维权一键提交、服务进度统一查询、服务评价与反馈。</w:t>
      </w:r>
    </w:p>
    <w:p>
      <w:pPr>
        <w:pStyle w:val="6"/>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创业专区管理</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整合省市创业数据和服务功能，旨在打造一个集“信息、资源、政策、办事”于一体的创业服务平台，实现延安市创业一件事、服务一站式。</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创业意愿管理主要包括实名实人登录校验、创业意愿多维度采集、意愿信息修改与补充、意愿标签自动生成、个性化信息推送、推送记录查询。</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找政策主要包括创业政策专区、热门政策、政策解读、视频政策、常见问题、惠企政策、惠民政策。</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创业扶持政策管理主要包括创业政策分类归集、历年政策归档查询。</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热门政策主要包括热门政策置顶展示、政策详情查看。</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创业扶持政策解读专区主要包括政策解读多形式呈现、政策答疑智能应答。</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创业扶持政策查询主要包括政策关键字搜索、政策匹配推荐、政策申报入口关联。</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找场地主要包括场地需求登记、场地搜索匹配、场地搜索结果查看。</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创业场地公示主要包括创业场地分区公示、场地详情多维展示、创业场地收藏、创业场地取消收藏。</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创业场地需求登记主要包括创业场地需求登记、创业需求修改、创业需求删除、创业需求查看、需求智能匹配推送。</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创业场地查询主要包括场地多条件搜索、场地收藏与对比、场地预约看场、场地需求进度查询。</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找资金主要包括创业担保贷款申请、创业担保贷款申请进度查询、金融服务机构搜索、金融服务机构类列表查询、金融服务机构类详情查询。</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金融产品主要包括金融产品分类展示、金融产品详情解读。</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金融机构主要包括金融机构信息列表展示、金融机构详情展示、金融机构导航。</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融资需求主要包括融资需求详细登记、融资需求智能推荐、融资申请。</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创业补贴申领服务主要包括创业补贴在线申领、补贴申领进度查询、创业担保贷款一网通办。</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创业担保贷款申请服务主要包括创业担保贷款申请功能、创业担保贷款申请进度查询功能。</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其他创业扶持资金推荐主要包括其他扶持资金推荐列表、其他扶持资金推荐详情。</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找人才主要包括建立人才专区、人才搜索、人才推荐。</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人才信息管理主要包括企业招聘需求发布、简历投递记录查询、人才信息多维度查询、省内人才通查、人才智能推荐。</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招聘会信息查询主要包括招聘会信息分类查询、线上招聘会一键进入、招聘会收藏与提醒。</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找活动主要包括创业活动搜索、创业活动列表查询、创业活动详情查询、创业活动报名、创业活动报名结果查询、创业活动视频回放查看。</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创业活动公示主要包括创业活动分类公布、活动详情多维展示。</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特色赛事主要包括特色赛事列表展示、特色赛事详情查看、特色赛事报名、特色赛事报名结果查看。</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创业活动报名主要包括活动多条件搜索、活动在线报名、活动报名结果查看。</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找项目主要包括创业项目查看、选择创业项目、创业项目指导。</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创业项目公布主要包括创业项目分类公布、项目详情多媒体展示。</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创业导师管理主要包括创业导师信息展示、导师精准查询。</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创业项目查询主要包括创业项目多条件查询、创业项目列表展示、创业 项目详情展示。</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创业项目详情主要包括项目发布与导师匹配、导师指导预约、项目跟踪辅导记录。</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找培训主要包括创业线上课程搜索、创业线上课程列表查看、创业线上课程详情查看、创业培训搜索、创业培训列表查看、创业培训详情查看。</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在线课堂主要包括在线课堂课程分类、在线课程播放、学习进度查看。</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线下创业培训信息发布主要包括线下培训信息发布、线下培训信息修改、线下培训信息查询。</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创业培训信息报名主要包括线下培训报名、培训报名结果查询、培训记录查询、培训证书查询。</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其他技能提升信息查询主要包括其他技能提升信息搜索、其他技能提升信息列表查看、其他技能提升信息详情查看。</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找服务主要包括服务产品搜索、服务产品展示、服务机构搜索、服务机构展示。</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服务机构查询主要包括服务机构分类查询、服务机构列表展示、服务机构详情展示。</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服务产品展示主要包括服务产品分类查询、服务产品列表展示、服务产品详情展示、服务产品在线预约。</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创业指导服务主要包括创业指导服务预约、创业导师推荐、服务预约进度查询。</w:t>
      </w:r>
    </w:p>
    <w:p>
      <w:pPr>
        <w:pStyle w:val="6"/>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培训管理</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展示培训机构发布培训计划列表、培训工种内容、培训开班信息，点击培训机构可查询机构的详细信息以及培训资质。包括培训报名、报名结果查询、培训机构(评价机构)推荐、职业分类查询、职业标准查询、职业资格目录清单查询、职业技能等级评价机构公示查询、职业(工种)培训视频展示、网络培训课程管理和服务。</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培训报名主要包括培训计划列表展示机构名称、培训计划列表展示培训工种、培训计划列表展示开班时间、培训计划列表展示培训天数、培训计划列表展示收费标准、培训机构详情查询、培训班次筛选工种、培训班次筛选开班时间、培训班次筛选收费类型、培训班次筛选筛选班次、班次详情展示、培训在线报名、报名材料预览与修改。</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报名结果查询主要包括报名详情查询、开班信息实时更新、报名记录历史查询、报名取消申请。</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培训机构(评价机构)推荐主要包括培训机构全信息展示、机构评分与评价、基于培训意愿推荐、机构对比与收藏、评价机构信息展示。</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职业分类查询主要包括职业大类展示、职业中类与小类展开、职业详细信息展示、职业关键字搜索、职业关联培训推荐。</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职业标准查询主要包括国家职业技能标准搜索、职业标准列表展示、职业标准详情展示。</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职业资格目录清单查询主要包括职业资格目录筛选与搜索、职业资格目录清单展示、职业资格目录清单详情展示。</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职业技能等级评价机构公示查询主要包括职业技能等级评价机构筛选与搜索、职业技能评价机构列表展示、职业技能评价机构详情展示。</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职业(工种)培训视频展示主要包括培训视频分类展示、视频播放功能、视频关联资料下载、视频收藏与分享、视频搜索与筛选。</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网络培训课程管理和服务主要包括课程进度实时跟踪、学习笔记记录、在线测试功能、测试成绩查询、个性化学习建议。</w:t>
      </w:r>
    </w:p>
    <w:p>
      <w:pPr>
        <w:pStyle w:val="6"/>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基层工作办理</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基层服务人员通过专属账号和密码，或电子社保卡进行安全登录，确保信息访问权限的安全性和可追溯性。</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基层安全登录主要包括实名认证机制—身份数据采集、实名认证机制—身份验证处理、实名认证机制—认证结果存储、风险动态识别—登录行为监控、风险动态识别—异常模式分析、风险动态识别—风险告警触发、终端安全校验—设备信息采集、终端安全校验—安全基线校验、终端安全校验—接入控制处理、登录设备绑定、密码定期修改提醒。</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劳动力信息采集主要包括人口信息精准登记与动态维护功能—信息录入接口、人口信息精准登记与动态维护功能—数据验证与清洗、人口信息精准登记与动态维护功能—信息存储与更新、数据集成与多维度分析功能—多源数据查询、数据集成与多维度分析功能—数据聚合与计算、数据集成与多维度分析功能—分析结果存储、定向服务推送与资源匹配功能—需求分析、定向服务推送与资源匹配功能—资源匹配计算、定向服务推送与资源匹配功能—推送消息生成与发送、数据质量监控与预警功能定期自动扫描数据库、数据质量监控与预警功能生成数据质量评估报告、数据质量监控与预警功能推送预警信息、信息脱敏与隐私保护功能自动脱敏、信息脱敏与隐私保护功能。</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劳动力信息批量导入更新主要包括批量数据导入与模板支持功能—模板下载、批量数据导入与模板支持功能—文件上传、批量数据导入与模板支持功能—数据解析与转换、数据校验与错误反馈功能—数据校验规则应用、数据校验与错误反馈功能—错误报告生成、数据校验与错误反馈功能—错误信息存储与反馈、数据共享与动态同步功能—外部数据接口调用、数据共享与动态同步功能—数据同步逻辑处理、数据共享与动态同步功能—本地数据库更新。</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就业困难人员认定预约功能主要包括多渠道预约入口—预约请求接收、多渠道预约入口—预约信息存储、实时进度可视—进度数据查询、实时进度可视—进度状态渲染、自动化身份校验—身份数据查询、自动化身份校验—校验逻辑执行、自动化身份校验—校验结果更新。</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就业困难人员认定预审主要包括线上申请材料完整性预检功能—材料上传接收、线上申请材料完整性预检功能—材料完整性检查、线上申请材料完整性预检功能—检查结果记录、身份与资格自动核验功能—外部数据核验、身份与资格自动核验功能—核验逻辑处理、身份与资格自动核验功能—核验状态存储、主动联系与需求评估功能—联系任务创建、主动联系与需求评估功能—需求评估分析、主动联系与需求评估功能—评估结果存储、AI 材料真伪与合规性初筛功能、历史申请与享受记录核验功能、智能路由与优先级分配功能、个人数据脱敏与安全展示功能、预审进度实时追踪与看板功能。</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就业困难人员认定终审主要包括跨部门数据联动核验功能—跨部门数据查询、跨部门数据联动核验功能—核验逻辑执行、跨部门数据联动核验功能—核验结果存储、层级化人工复核与公示功能—复核任务分配、层级化人工复核与公示功能—公示信息生成、层级化人工复核与公示功能—公示记录管理、结果反馈与数据库同步功能—反馈消息生成、结果反馈与数据库同步功能—数据库更新、结果反馈与数据库同步功能—消息推送。</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就业意愿采集主要包括主动联系与意愿记录功能—失业登记事件监听、主动联系与意愿记录功能—联系计划生成、主动联系与意愿记录功能—信息采集与录入、主动联系与意愿记录功能—台账记录创建与更新、实名制需求评估与服务触发功能—需求数据查询、实名制需求评估与服务触发功能—服务触发规则匹配、实名制需求评估与服务触发功能—服务任务生成、实名制需求评估与服务触发功能—服务记录更新、职业规划与意愿分析功能—咨询工具提供、职业规划与意愿分析功能—职业偏好采集、职业规划与意愿分析功能—规划方案生成、职业规划与意愿分析功能—规划方案存储、意愿数据智能校验与冲突检测功能、岗位与培训资源 AI 精准匹配功能、服务反馈与意愿动态更新闭环功能、长期未就业人员预警与干预功能。</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技能提升意愿采集主要包括主动走访与意愿登记功能—走访计划生成、主动走访与意愿登记功能—技能信息采集、主动走访与意愿登记功能—数据实时录入、主动走访与意愿登记功能—技能数据库更新、个性化评估与技能匹配功能—职业兴趣测评、个性化评估与技能匹配功能—评估结果计算、个性化评估与技能匹配功能—技能匹配推荐、个性化评估与技能匹配功能—评估记录存储、自动化培训服务功能—培训资源查询、自动化培训服务功能—智能推送逻辑、自动化培训服务功能—任务自动分配、自动化培训服务功能—服务状态更新。</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创业意愿采集主要包括主动走访与意愿登记功能—创业意向采集、主动走访与意愿登记功能—意愿数据录入、主动走访与意愿登记功能—创业数据库更新、政策咨询与需求评估功能—政策资源查询、政策咨询与需求评估功能—个性化评估、政策咨询与需求评估功能—服务匹配触发、政策咨询与需求评估功能—评估记录存储、技能培训意愿匹配功能—技能需求采集、技能培训意愿匹配功能—培训资源匹配、技能培训意愿匹配功能—培训任务分配、技能培训意愿匹配功能—匹配记录存储、创业项目概念与商业模式初筛功能、创业全过程服务追踪与效能评估功能、潜在合伙人或团队成员匹配功能、创业资源动态库与智能推送功能、创业者社群与经验交流功能。</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任务工单主要包括任务分解功能—复杂工作解析、任务分解功能—步骤清单生成、任务分解功能—分解方案存储、责任分配功能—分配规则应用、责任分配功能—职责边界明确、责任分配功能—分配记录更新、进度跟踪功能—任务状态查询、进度跟踪功能—处理记录更新、进度跟踪功能—监控界面渲染。</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业务专员管理主要包括业务专员授权—权限设置、业务专员授权—授权记录存储、业务专员解除授权—权限撤销、业务专员解除授权—撤销记录存储、业务专员人员变动的增加—新增专员信息录入、业务专员人员变动的增加—信息验证与存储、业务专员人员变动的删除—专员信息删除。</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任务制定主要包括任务分解与计划制定功能—业务解析、任务分解与计划制定功能—计划制定、任务分解与计划制定功能—计划存储、责任分配与准入审核功能—分配逻辑执行、责任分配与准入审核功能—审核流程处理、责任分配与准入审核功能—分配记录更新、进度追踪与反馈闭环功能—状态监控、进度追踪与反馈闭环功能—评估报告生成、进度追踪与反馈闭环功能—反馈记录存储。</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日常办公管理主要包括行政事务管理功能—日常事务处理、行政事务管理功能—事务流程管理、行政事务管理功能—事务记录存储、后勤保障服务功能—后勤需求采集、后勤保障服务功能—服务分配与调度、后勤保障服务功能—服务记录存储、综合协调与督办功能—协作任务协调、综合协调与督办功能—问题解决处理、综合协调与督办功能—协调记录存储。</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服务结果抽查主要包括随机抽取功能—抽查规则应用、随机抽取功能—抽查名单生成、随机抽取功能—抽查记录存储、进度监控功能—任务状态查询、进度监控功能—进度可视化生成、进度监控功能—监控记录更新、结果判定与公示功能—判定标准应用、结果判定与公示功能—公示内容生成、结果判定与公示功能—公示记录存储。</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服务绩效管理主要包括绩效目标设定与分解功能—战略目标解析、绩效目标设定与分解功能—指标分配、绩效目标设定与分解功能—目标记录存储、数据化评价与反馈功能—服务数据采集、数据化评价与反馈功能—分析报告生成、数据化评价与反馈功能—反馈记录存储、激励奖惩闭环功能—激励规则应用、激励奖惩闭环功能—奖惩记录更新。</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帮扶对象网格化实名管理主要包括精准身份建档功能—帮扶对象实名信息采集、精准身份建档功能—动态数据库建立与更新、精准身份建档功能—数字化档案管理、动态监测与响应功能—需求变化定期走访核实、动态监测与响应功能—核实数据实时上传、动态监测与响应功能—预警机制触发与风险等级划分、动态监测与响应功能—部门联动与资源匹配响应、多部门协同帮扶功能—跨部门任务自动分派、多部门协同帮扶功能—服务流程跟踪与反馈收集、多部门协同帮扶功能—跨部门责任闭环记录管理。</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帮扶对象数据画像分析主要包括精准身份识别与分层分类功能—多部门数据整合查询、精准身份识别与分层分类功能—身份识别与困境程度分级算法执行、精准身份识别与分层分类功能—分层分类结果存储、动态风险监测与智能预警功能—动态数据采集与监听、动态风险监测与智能预警功能—风险等级计算与预警触发、动态风险监测与智能预警功能—预警信息生成与推送、个性化帮扶方案生成功能—帮扶资源库查询与匹配、个性化帮扶方案生成功能—“一户一策”靶向方案生成、个性化帮扶方案生成功能—方案执行跟踪与效能评估、个性化帮扶方案生成功能—帮扶方案及执行记录存储、致贫返贫风险预测与早期干预功能、帮扶资源投入产出效能分析功能、信息可视化与研判决策支持功能、画像信息可视化与研判决策支持功能、生命周期管理与退出机制判断功能、社会力量精准对接功能。</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人员基础信息附加信息查询主要包括人员基础信息附加信息查询—信息类别选择与条件设置界面渲染、人员基础信息附加信息查询—查询条件接收与解析、人员基础信息附加信息查询—数据库查询执行、人员基础信息附加信息查询—查询结果列表渲染展示、人员农村劳动力附加信息查询—外部数据导入接口调用、人员农村劳动力附加信息查询—导入数据缓存/存储、人员农村劳动力附加信息查询—查询条件处理、人员农村劳动力附加信息查询—本地/外部联合查询执行、人员农村劳动力附加信息查询—查询结果整合展示。</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人员农村劳动力附加信息查询主要包括人员农村劳动力附加信息类别选择—可用类别数据查询、人员农村劳动力附加信息类别选择—类别选择界面渲染、人员农村劳动力附加信息类别选择—用户选择接收与参数传递、人员农村劳动力附加信息查询条件设置—条件输入界面渲染、人员农村劳动力附加信息查询条件设置—用户条件输入接收与验证、人员农村劳动力附加信息查询条件设置—条件格式化处理、人员农村劳动力附加信息查询结果展示—查询请求执行、人员农村劳动力附加信息查询结果展示—结果数据格式化与组装、人员农村劳动力附加信息查询结果展示—结果列表渲染与展示。</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登记失业人员就业状态动态信息管理查询主要包括登记失业人员就业状态动态信息类别选择—动态类别数据查询、登记失业人员就业状态动态信息类别选择—动态类别选择界面渲染、登记失业人员就业状态动态信息类别选择—用户动态选择接收、登记失业人员就业状态动态信息查询条件设—动态条件输入界面渲染、登记失业人员就业状态动态信息查询条件设—用户动态条件输入接收、登记失业人员就业状态动态信息查询条件设—条件逻辑验证与标准化处理、登记失业人员就业状态动态信息查询结果展—动态查询请求执行、登记失业人员就业状态动态信息查询结果展—结果趋势分析与指标计算、登记失业人员就业状态动态信息查询结果展—趋势可视化图表渲染、动态类别数据查询、动态类别选择界面渲染、用户动态选择接收、动态条件输入界面渲染、用户动态条件输入接收、条件逻辑验证与标准化处理、动态查询请求执行、结果趋势分析与指标计算、趋势可视化图表渲染。</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人员就业创业证信息查询主要包括人员就业创业证信息类别选择—证照类别数据查询、人员就业创业证信息类别选择—证照类别选择界面渲染、人员就业创业证信息类别选择—用户证照类别选择接收、人员就业创业证信息查询条件设置—证照条件输入界面渲染、人员就业创业证信息查询条件设置—用户证照条件输入接收、人员就业创业证信息查询条件设置—条件标准化与格式校验、人员就业创业证信息查询结果展示—证照查询请求执行、人员就业创业证信息查询结果展示—结果详情数据组装、人员就业创业证信息查询结果展示—证照详情页面渲染与展示。</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就业困难人员信息查询主要包括就业困难人员信息类别选择—可用类别数据查询、就业困难人员信息类别选择—类别选择界面渲染、就业困难人员信息类别选择—用户选择接收与传递、就业困难人员信息查询条件设置—条件输入界面渲染、就业困难人员信息查询条件设置—用户条件输入接收、就业困难人员信息查询条件设置—条件格式化处理、就业困难人员信息查询结果展示—查询请求执行、就业困难人员信息查询结果展示—结果数据格式化、就业困难人员信息查询结果展示—结果列表渲染展示、高级组合查询与智能筛选功能、查询结果深度分析与可视化功能、数据权限与行级安全管控功能、定向消息推送与服务介入功能、查询与访问行为审计功能。</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从事公益性岗位信息查询主要包括从事公益性岗位信息类别选择—可用类别数据查询、从事公益性岗位信息类别选择—类别选择界面渲染、从事公益性岗位信息类别选择—用户选择接收与传递、从事公益性岗位信息查询条件设置—条件输入界面渲染、从事公益性岗位信息查询条件设置—用户条件输入接收、从事公益性岗位信息查询条件设置—条件验证与标准化、从事公益性岗位信息查询结果展示—查询请求执行、从事公益性岗位信息查询结果展示—结果数据组装、从事公益性岗位信息查询结果展示—结果表格渲染展示。</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享受社保补贴信息查询主要包括享受社保补贴信息类别选择—可用类别数据查询、享受社保补贴信息类别选择—类别选择界面渲染、享受社保补贴信息类别选择—用户选择接收与传递、享受社保补贴信息查询条件设置—条件输入界面渲染、享受社保补贴信息查询条件设置—用户条件输入接收、享受社保补贴信息查询条件设置—条件逻辑处理、享受社保补贴信息查询结果展示—查询请求执行、享受社保补贴信息查询结果展示—结果数据分析与汇总、享受社保补贴信息查询结果展示—统计结果可视化展示。</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享受一次性创业补贴信息查询主要包括补贴信息类别选择—可用补贴类别数据查询、补贴信息类别选择—类别选择界面渲染、补贴信息类别选择—用户选择接收与传递、补贴信息查询条件设置—条件输入界面渲染、补贴信息查询条件设置—用户条件输入接收、补贴信息查询条件设置—条件验证与格式化、补贴信息查询结果展示—查询请求执行、补贴信息查询结果展示—结果数据组装与格式化、补贴信息查询结果展示—结果列表渲染展示。</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享受创业担保贷款信息查询主要包括贷款类别数据查询、贷款状态数据查询、贷款金额范围查询、贷款期限选项查询、多维度筛选界面渲染、用户筛选参数接收、复合查询条件界面、查询条件参数接收、查询条件逻辑组合、多条件贷款查询执行、查询结果统计分析、统计图表可视化、贷款详情展示界面、查询结果导出功能、筛选条件重置功能。</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人员参加社会保险信息查询主要包括社保参保类型查询、社保缴费状态查询、社保参保时间查询、社保缴费基数查询、多维度筛选界面组件、社保选项动态加载、用户筛选参数处理、个人社保查询界面、单位社保查询界面、查询条件格式验证、查询条件标准化、多条件社保数据查询、查询结果数据清洗、社保缴费明细展示、参保状态总览页面、分页展示与导出、查询结果权限控制。</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人员职业技能信息查询主要包括技能类型数据查询、技能等级数据查询、获证时间范围查询、发证机构数据查询、证书状态数据查询、多维度技能筛选界面、技能选项动态加载、用户（人员职业技能）筛选参数处理、个人技能证书查询、机构发证情况查询、查询条件（人员职业技能）格式验证、查询条件（人员职业技能）标准化、多条件技能数据查询、查询结果数据组装、技能证书列表展示、证书详情页面展示。</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精准帮扶推送服务主要包括帮扶需求采集界面渲染、帮扶需求数据验证与存储、帮扶需求数据分析、匹配度计算与目标群体识别、帮扶对象数据库更新操作、政策资源库查询执行、智能匹配算法执行、个性化帮扶方案生成、帮扶方案优化与调整、推送消息内容生成、消息推送渠道选择、多渠道消息发送执行、推送记录存储与跟踪。</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招聘信息推送主要包括推送规则条件配置、推送规则版本管理、用户行为数据监听、数据变化触发监测、规则条件实时判断、推送任务调度执行、个性化内容模板渲染、多渠道分发路由管理、推送效果实时监控、推送数据分析报告。</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技能提升信息推送主要包括技能提升信息推送规则与触发管理、推送技能提升信息生成与分发、推送招聘信息效果监控与数据分析。</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创业信息推送主要包括创业特征数据采集、创业意愿智能评估、创业政策精准匹配、创业资源智能推荐、个性化创业方案生成、多渠道内容分发、创业效果反馈收集、推送效果统计分析。</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业务办理推送主要包括业务规则配置管理、规则版本与发布管理、办理进度实时监控、智能触发时机计算、个性化流程优化、办理指引内容生成、办理效率指标统计、用户反馈分析与优化。</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帮扶绩效成果展示主要包括多维度图表生成引擎、可视化组件库管理、统计报表模板管理、报表定时生成与分发、全流程操作日志采集、帮扶溯源链条构建、帮扶价值评估指标体系、社会效益分析报告生成。</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实现就业登记业务数量考核主要包括就业登记信息采集与初筛、登记真实性核验、动态考核。</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实现创业服务业务数量考核主要包括创业服务信息采集与初筛、创业服务信息真实性核验、创业服务动态考核。</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实现就业援助业务数量考核主要包括就业援助信息采集与初筛、就业援助信息真实性核验、就业援助动态考核。</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实现就业补贴申请业务数量考核主要包括就业补贴申请信息采集与初筛、就业补贴申请真实性核验、就业补贴申请动态考核。</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实现职业介绍业务数量考核主要包括职业介绍信息采集与初筛、职业介绍真实性核验、职业介绍动态考核。</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实现职业指导业务数量考核主要包括职业指导信息采集与初筛、职业指导真实性核验、职业指导动态考核。</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实现职业培训业务数量考核主要包括职业培训信息采集与初筛、职业培训真实性核验、职业培训动态考核。</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实现事务代理业务数量考核主要包括事务代理信息采集与初筛、事务代理真实性核验、事务代理动态考核。</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劳动力信息调查和更新功能主要包括劳动力信息采集—数据录入接口、劳动力信息采集—数据验证处理、劳动力信息采集—信息存储更新、劳动力信息变更—变更请求接收、劳动力信息变更—变更审核逻辑、劳动力信息变更—变更数据存储、劳动力信息复核—复核触发机制、劳动力信息复核—复核检查执行、劳动力信息复核—复核记录存储。</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就业意愿调查登记功能主要包括就业意愿调查在线录入、就业意愿调查批量导入-excel模版设计、模版下载、就业意愿调查批量导入-excel数据上传、数据格式清洗处理、数据逻辑清洗验证、调查数据持久化存储、变更请求提交与接收、变更自动审核逻辑、变更人工审核界面、变更数据版本管理、复核任务自动触发、复核报告生成与归档。</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培训意愿调查登记功能主要包括培训意愿在线调查表单、培训意愿批量导入接口-excel模版设计、下载、培训意愿批量导入接口-excel文件上传、多源数据去重规则、培训需求自动分类、意愿数据规范存储、意愿变更申请接收、变更合理性验证、培训意愿变更数据版本管理、定期复核任务管理、数据一致性分析、复核报告自动生成。</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创业意愿调查登记功能主要包括创业意愿在线登记表单、创业意愿批量导入接口-excel模版设计、下载、创业意愿批量导入接口-excel数据上传、创业数据清洗标准化、创业意愿自动分类、创业数据规范存储、变更请求在线提交、变更依赖关系检查、创业意愿变更数据版本管理、定期复核任务调度、数据质量多维检查、数据质量报告生成。</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有组织劳务输出登记主要包括劳务输出数据在线录入、劳务输出数据批量导入-excel模版下载、劳务输出数据批量导入-excel文件上传、数据格式规范验证、数据逻辑完整性检查、劳务输出数据持久化存储、劳务输出数据变更请求在线提交、劳务输出数据变更自动审核逻辑、变更人工审核流程、劳务输出数据变更数据版本管理、劳务输出数据复核任务自动触发、劳务输出数据复核报告生成与归档。</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就业登记申报（代办）服务主要包括就业登记在线代办表单、就业登记批量导入接口-excel模版下载、就业登记批量导入接口-excel文件上传、数据真实性验证逻辑、数据完整性自动检查、申报信息规范存储、变更请求在线提交（就业登记申报（代办））、变更自动审核规则、变更人工审核工作流、变更数据版本管理（就业登记申报（代办））、复核任务自动触发机制、复核报告生成与归档（就业登记申报（代办））。</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失业登记申报（代办）服务主要包括失业登记申报 (代办)— 申报数据录入、失业登记申报 (代办)— 数据核实处理、失业登记申报 (代办)— 申报信息存储、失业登记申报 (代办) 变更 — 变更请求接收、失业登记申报 (代办) 变更 — 变更审核处理、失业登记申报 (代办) 变更 — 变更数据存储、失业登记申报 (代办) 复核 — 复核指令接收、失业登记申报 (代办) 复核 — 复核逻辑执行、失业登记申报 (代办) 复核 — 复核结果存储。</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就业困难人员认定申报主要包括就业困难人员认定申报 — 认定数据录入、就业困难人员认定申报 — 资格审核处理、就业困难人员认定申报 — 认定信息存储、就业困难人员认定申报变更 — 变更请求接收、就业困难人员认定申报变更 — 变更审核处理、就业困难人员认定申报变更 — 变更数据存储、就业困难人员认定申报复核 — 复核指令接收、就业困难人员认定申报复核 — 复核逻辑执行、就业困难人员认定申报复核 — 复核结果存储。</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公益性岗位人员登记申报主要包括公益性岗位人员登记申报 — 登记数据录入、公益性岗位人员登记申报 — 岗位审核处理、公益性岗位人员登记申报 — 登记信息存储、公益性岗位人员登记申报变更 — 变更请求接收、公益性岗位人员登记申报变更 — 变更审核处理、公益性岗位人员登记申报变更 — 变更数据存储、公益性岗位人员登记申报复核 — 复核指令接收、公益性岗位人员登记申报复核 — 复核逻辑执行、公益性岗位人员登记申报复核 — 复核结果存储。</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社区工厂管理主要包括社区工厂在线登记表单、社区工厂批量导入接口、工厂数据格式规范验证、工厂业务逻辑完整性检查、社区工厂主数据存储、工厂信息变更请求接收、变更内容合理性审核、社区工厂变更数据版本管理、工厂删除请求接收、删除权限与影响评估、工厂数据软删除处理、删除数据归档管理、多条件工厂查询界面、工厂数据高级检索、查询结果分页展示。</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就业帮扶基地管理主要包括就业帮扶基地在线登记表单、就业帮扶基地批量导入接口、基地数据格式规范验证、基地业务逻辑完整性检查、基地信息规范存储、基地变更请求在线提交、变更自动审核规则（就业帮扶）、变更人工审核流程（就业帮扶）、变更数据版本管理（就业帮扶）、基地删除请求接收、删除权限与影响评估（就业帮扶）、基地数据软删除处理、删除数据归档管理（就业帮扶）、多条件基地查询界面、就业帮扶基地查询结果分页展示与导出。</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零就业家偷跟踪主要包括零就业家庭在线登记表单、零就业家庭批量导入接口、家庭数据格式规范验证、就业状态逻辑准确性检查、家庭信息规范存储、变更请求在线提交（零就业家庭）、变更自动审核规则（零就业家庭）、变更人工审核流程（零就业家庭）、变更数据版本管理（零就业家庭）、删除请求接收、删除权限与影响评估（零就业家庭）、零就业家庭数据软删除处理、删除数据归档管理（零就业家庭）、多条件家庭查询界面、查询结果分页展示与导出（零就业家庭）。</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一次性创业补贴申请主要包括一次性创业补贴在线申请、补贴申请批量导入接口、申请资格自动审核、申请资格人工审核、补贴申请状态跟踪、补贴申请数据存储、补贴统计多维查询、补贴统计报表生成、社保补贴在线申请、社保补贴材料审核、社保补贴状态管理、求职补贴在线申报、求职补贴资格验证、跨省交通补助条件审核。</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社会保险补贴申请主要包括社会保险补贴在线申请表单、申请数据格式验证、申请业务逻辑验证、申请提交与状态跟踪、申请记录规范存储、社会保险补贴申请变更请求在线提交、变更数据自动验证、社会保险补贴申请变更人工审核流程、变更记录版本管理、社会保险补贴申请-复核任务自动触发、复核检查执行、复核结果记录与归档、补贴申请多维查询统计。</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一次性求职补贴申报主要包括一次性求职补贴申报—申报信息录入、一次性求职补贴申报—申报数据验证、一次性求职补贴申报—申报提交处理、一次性求职补贴申报—申报记录存储、一次性求职补贴申报变更—变更请求接收、一次性求职补贴申报变更—变更数据验证、一次性求职补贴申报变更—变更处理逻辑、一次性求职补贴申报变更—变更记录更新、一次性求职补贴申报复核—复核触发接收、一次性求职补贴申报复核—复核检查执行、一次性求职补贴申报复核—复核结果存储。</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跨省就业一次性交通费补助申报主要包括跨省就业一次性交通费补助申报—申报信息录入、跨省就业一次性交通费补助申报—申报数据验证、跨省就业一次性交通费补助申报—申报提交处理、跨省就业一次性交通费补助申报—申报记录存储、跨省就业一次性交通费补助申报变更—变更请求接收、跨省就业一次性交通费补助申报变更—变更数据验证、跨省就业一次性交通费补助申报变更—变更处理逻辑、跨省就业一次性交通费补助申报变更—变更记录更新、跨省就业一次性交通费补助申报复核—复核触发接收、跨省就业一次性交通费补助申报复核—复核检查执行、跨省就业一次性交通费补助申报复核—复核结果存储。</w:t>
      </w:r>
    </w:p>
    <w:p>
      <w:pPr>
        <w:pStyle w:val="6"/>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培训机构管理</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主要包括培训计划发布、在线学习开班申报、开班信息查询、开班申报审核、班级结项审核、培训机构（评价机构）资料上传、机构信息维护、师资维护、风采维护、职业技能等级评价招生、职业技能等级评价招生报名、职业（工种）培训视频上传。</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培训计划发布主要包括培训计划登记—计划信息录入、培训计划登记—数据验证处理、培训计划登记—计划信息存储、培训计划修改—变更请求接收、培训计划修改—变更审核处理、培训计划修改—变更数据更新、培训计划发布—发布请求接收、培训计划发布—发布状态更新、培训计划发布-培训计划统计报表生成、培训计划发布-培训计划导出功能。</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在线学习开办申报主要包括在线学习开班申报—申报信息录入、在线学习开班申报—申报数据验证、在线学习开班申报—申报信息存储、在线学习开班申报-申报进度实时跟踪、在线学习开班申报-申报材料批量上传、在线学习开班修改—修改请求接收、在线学习开班修改—修改审核处理、在线学习开班修改—修改数据更新、在线学习开班删除—删除请求接收、在线学习开班删除—删除权限验证、在线学习开班删除—数据删除处理。</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开班信息查询主要包括开班信息类别选择—类别数据查询、开班信息类别选择—类别选择界面渲染、开班信息查询条件设置—条件输入接收、开班信息查询条件设置—条件验证处理、开班信息查询结果展示—数据查询执行、开班信息查询结果展示—结果格式化处理、开班信息查询结果展示—结果界面渲染、开班信息查询-查询结果导出为Excel、开班信息查询-高级筛选条件设置。</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开班申报审核主要包括开班申报提交与初审—申报数据接收、开班申报提交与初审—初审逻辑处理、开班申报提交与初审—初审结果存储、开班申报专业/业务审核—专业审核接收、开班申报专业/业务审核—业务规则验证、开班申报专业/业务审核—审核结果记录、开班申报终审与决策—终审请求接收、开班申报终审与决策—终审逻辑处理、开班申报终审与决策—终审结果存储、开班申报审核-审核流程可视化监控、开班申报审核-审核历史记录查询。</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开班结项审核主要包括班级结项提交与初审—结项数据接收、班级结项提交与初审—结项初审处理、班级结项提交与初审—初审结果存储、班级结项专业/业务审核—专业审核接收、班级结项专业/业务审核—业务合规检查、班级结项专业/业务审核—审核记录存储、班级结项终审与决策—终审请求接收、班级结项终审与决策—终审决策处理、班级结项终审与决策—终审结果更新、班级结项审核-结项报告自动生成、班级结项审核-结项数据批量处理。</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培训机构（评价机构）资料上传主要包括核心资质上传—资质文件接收、核心资质上传—文件验证处理、核心资质上传—资质信息存储、核心资质删除—删除请求接收、核心资质删除—删除权限检查、核心资质删除—资质数据清理、基础信息上传—基础信息接收、基础信息上传—信息验证处理、基础信息上传—基础信息存储、培训机构（评价机构）资料上传-资料上传进度提醒、培训机构（评价机构）资料上传-资料完整性校验。</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机构信息维护主要包括机构信息新增、机构信息编辑、机构信息删除、场地信息新增、场地信息编辑、场地信息删除、许可信息新增、许可信息编辑、许可信息删除、机构信息维护-机构信息批量导入、机构信息维护-机构信息变更日志。</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师资维护主要包括师资信息新增—师资信息接收、师资信息新增—师资资格验证、师资信息新增—师资信息存储、师资信息编辑—编辑请求接收、师资信息编辑—编辑内容审核、师资信息编辑—编辑数据更新、师资信息删除—删除请求接收、师资信息删除—删除权限验证、师资信息删除—师资数据清理、师资维护-师资资质到期提醒、师资维护-师资培训记录管理。</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风采维护主要包括风采信息新增、风采信息编辑、风采信息删除、风采维护-风采信息预览功能。</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职业技能等级评价招生计划发布主要包括招生计划登记—计划信息录入、招生计划登记—计划数据验证、招生计划登记—计划信息存储、招生计划修改—修改请求接收、招生计划修改—修改内容审核、招生计划修改—修改数据更新、招生计划发布—发布请求接收、招生计划发布—发布状态更新、职业技能等级评价招生计划发布-招生计划趋势分析、职业技能等级评价招生计划发布-计划发布通知推送。</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职业技能等级评价招生报名主要包括报名信息采集与提交、报名资格审核、报名缴费与确认、职业技能等级评价招生报名-报名信息自动填充。</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职业（工种）培训视频上传主要包括职业（工种）培训视频上传、职业（工种）培训视频删除、职业（工种）培训视频播放、职业（工种）培训视频上传-视频播放质量检测。</w:t>
      </w:r>
    </w:p>
    <w:p>
      <w:pPr>
        <w:pStyle w:val="6"/>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政企智联</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打造“政企智联”服务模式，实现人社业务与企业人力资源管理相关业务有效衔接、全程在线办理，精准对接企业用工需求，协助企业规范用工，主动推送惠企惠民政策，实现政策待遇“直补快享”。</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就业政策标签管理主要包括就业政策标签体系配置与维护、就业政策政策标签批量操作与关联、就业政策标签使用统计与分析、就业政策标签管理-标签使用频率统计。</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就业政策指标加工主要包括就业政策指标据清洗与标准化、就业政策指标计算与衍生、就业政策指标多维分析与可视化、就业政策指标加工-指标数据备份与恢复。</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就业政策标签加工主要包括就业政策标签数据清洗与标准化、就业政策标签计算与衍生、就业政策标签多维分析与可视化、就业政策标签加工-标签质量评估报告。</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就业政策标签类型管理主要包括就业政策标签类型体系配置与维护、就业政策政策类型标签批量操作与关联、就业政策类型标签使用统计与分析、就业政策标签类型管理-类型关联策略优化。</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标签管理主要包括政企标签新增、政企标签编辑、政企标签删除、政企标签查询、政策标签批量操作与关联、标签使用统计与分析、标签管理-标签依赖关系管理。</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政策标签关联主要包括政策标签体系管理、政策-标签关联新增、政策-标签关联修改、政策-标签关联删除、政策-标签关联查询、基于政策标签的智能应用、政策标签关联-关联有效性验证。</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用户标签关联主要包括用户标签体系管理、用户-标签关联新增、用户-标签关联修改、用户-标签关联删除、用户-标签关联查询、基于用户标签的智能应用、用户标签关联-用户行为分析集成。</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数据标签化处理主要包括数据预处理与特征提取、标签分配、标签管理输出、数据标签化处理-处理效率监控。</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标签对象的配置主要包括标签对象查询、标签对象新增、标签对象修改、标签对象的配置-对象权限分级管理。</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标签属性管理主要包括标签属性查询、标签属性新增、标签属性修改、标签属性管理-属性值范围校验。</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标签维护主要包括新增标签检测维护、标签协调编辑、标签协同删除、标签维护-标签版本控制。</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标签代码管理主要包括标签代码查询、标签代码新增、标签代码修改、标签代码管理-代码导入导出功能。</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企业就业政策标签管理主要包括企业就业政策标签体系配置与维护、企业就业政策政策标签批量操作与关联、企业就业政策标签使用统计与分析、企业就业政策标签管理-标签应用场景配置。</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个人就业政策标签管理主要包括个人就业政策标签体系配置与维护、个人就业政策政策标签批量操作与关联、个人就业政策标签使用统计与分析、个人就业政策标签管理-标签个性化推荐。</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企业重点标签管理主要包括企业重点标签体系配置与维护、企业重点标签批量操作与关联、企业重点标签使用统计与分析、企业重点标签管理-标签权重动态调整。</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政企智配模型建设主要包括政企智配模型查询、政企智配模型新增、政企智配模型修改、政企智配模型建设-模型性能评估报告。</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政企精准匹配推荐过程主要包括政企精准匹配查询、政企精准匹配展示、政企精准匹配推荐、政企精准匹配推荐过程-推荐结果A/B测试。</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企业特征和政策特征相似度优化主要包括企业特征缓存、政策特征缓存、企业特征和政策特征相似度优化、企业特征和政策特征相似度优化-相似度阈值设置。</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企业综合能力相似度优化主要包括企业综合能力并行查询、企业综合能力比对、企业综合能力相似度优化、企业综合能力相似度优化-优化算法参数配置。</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企业综合能力评分主要包括企业综合能力缓存、企业综合能力评分标准设置、企业综合能力评分、企业综合能力评分-评分历史对比分析。</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企业经营状况指标评价主要包括企业经营状况指标查询、企业经营状况指标设置、企业经营状况指标评价、企业经营状况指标评价-指标异常预警。</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企业科研创新指标评价主要包括企业科研创新指标查询、企业科研创新指标设置、企业科研创新指标评价、企业科研创新指标评价-创新成果可视化展示。</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企业获奖情况指标评价主要包括企业获奖情况指标查询、企业获奖情况指标设置、企业获奖情况指标评价、企业获奖情况指标评价-获奖数据批量更新。</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企业企业信誉指标评价主要包括企业企业信誉指标查询、企业企业信誉指标设置、企业企业信誉指标评价、企业企业信誉指标评价-信誉评分动态更新。</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企业综合能力评分模型建立主要包括经营实力评估模块、成长能力评估模块、风险与稳健性评估模块、企业综合能力评分模型建立-模型训练数据管理。</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匹配模型设计主要包括特征提取、匹配计算、匹配模型设计-模型版本管理。</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企业信息与政策信息匹配主要包括企业特征查询、政策特征查询、企业信息与政策信息匹配、企业信息与政策信息匹配-匹配结果导出。</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评价权重设置主要包括评价权重登记、评价权重修改、评价权重删除、评价权重设置-权重调整历史记录。</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匿名用户政策查询主要包括匿名用户政策类别选择、匿名用户政策查询条件设置、匿名用户政策查询结果展示、匿名用户政策查询-查询热点分析。</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实名登录用户政策查询主要包括实名登录用户政策类别选择、实名登录用户政策查询条件设置、实名登录用户政策查询结果展示、实名登录用户政策查询-个性化查询历史保存。</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人社工作人员政策查询主要包括人社工作人员政策类别选择、人社工作人员政策查询条件设置、人社工作人员政策查询结果展示、人社工作人员政策查询-查询权限分级管理。</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政策解读主要包括政策信息类别导航、政策组合条件设置、政策组合结果展示、政策解读-解读内容多语言支持。</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政策推送主要包括政策推送信息类别设置、政策推送信息查询条件设置、政策信息查询结果推送、政策推送-推送效果统计分析。</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惠企跟踪管理主要包括惠企跟踪信息类别选择、惠企跟踪信息查询条件设置、惠企跟踪信息查询结果统计、惠企跟踪管理-跟踪任务自动分配。</w:t>
      </w:r>
    </w:p>
    <w:p>
      <w:pPr>
        <w:pStyle w:val="5"/>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公共就业服务（自助服务端）</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通过将自助终端软件部署在延安市各级人社服务部门现有的自助终端的方式，实现各级公共就业服务机构的自助服务功能本地服务管理。</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电子社保卡安全登录主要包括实名信息完善—二维码生成与展示、实名信息完善—扫码状态监听、电子社保卡APP扫码—身份信息验证、电子社保卡APP扫码—会话建立处理、电子社保卡安全登录—登录状态更新、电子社保卡安全登录—登录凭证存储、电子社保卡安全登录-登录失败次数限制。</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人社政策咨询主要包括人社政策咨询信息类别选择—政策类别数据查询、人社政策咨询信息类别选择—类别选择界面渲染、人社政策咨询条件设置—条件输入接收、人社政策咨询条件设置—条件格式化处理、人社政策咨询信息结果展示—政策信息查询执行、人社政策咨询信息结果展示—结果数据组装、人社政策咨询信息结果展示—咨询结果界面渲染、人社政策咨询-咨询满意度评价。</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人社问题解答信息主要包括人社问题解答信息类别选择—问题类别数据查询、人社问题解答信息类别选择—类别筛选界面渲染、人社问题解答信息查询条件设置—查询条件输入、人社问题解答信息查询条件设置—条件逻辑验证、人社问题解答信息查询结果展示—解答信息查询、人社问题解答信息查询结果展示—解答内容格式化、人社问题解答信息查询结果展示—解答界面展示、人社问题解答信息-解答知识库更新。</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人社业务信息查询主要包括人社业务信息类别选择—业务类别数据查询、人社业务信息类别选择—业务类别界面渲染、人社业务信息查询条件设置—业务条件输入接收、人社业务信息查询条件设置—条件业务校验、人社业务信息查询结果展示—业务信息查询执行、人社业务信息查询结果展示—业务数据整合、人社业务信息查询结果展示—业务信息界面展示、人社业务信息查询-查询结果分享功能。</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人社政策法规信息主要包括人社政策法规信息类别选择—法规类别数据查询、人社政策法规信息类别选择—法规分类界面渲染、人社政策法规信息查询条件设置—法规条件输入、人社政策法规信息查询条件设置—条件规范化处理、人社政策法规信息查询结果展示—法规信息查询、人社政策法规信息查询结果展示—法规内容组织、人社政策法规信息查询结果展示—法规信息展示、人社政策法规信息-法规时效性提醒。</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人社办事指南信息包括人社办事指南信息类别选择—指南类别数据查询、人社办事指南信息类别选择—指南分类界面渲染、人社办事指南信息查询条件设置—指南条件输入、人社办事指南信息查询条件设置—条件适用性检查、人社办事指南信息查询结果展示—指南信息查询、人社办事指南信息查询结果展示—指南内容优化、人社办事指南信息查询结果展示—指南界面展示、人社办事指南信息-指南内容版本管理。</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岗位搜索智能化提升包括岗位信息类别选择、岗位信息查询条件设置、岗位信息查询结果展示、岗位搜索智能化提升-搜索关键词推荐。</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家门口岗位查询包括家门口岗位类别选择、家门口岗位条件设置、家门口岗位查询结果展示、家门口岗位查询-地理位置精准匹配。</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零工岗位查询包括零工岗位类别选择、零工岗位查询条件设置、零工岗位查询结果展示、零工岗位查询-零工技能标签筛选。</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用户中心扫码登录包括实名信息完善、用户中心扫码、用户中心登录、用户中心扫码登录-扫码记录审计。</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用户中心安全退出包括用户中心退出提醒、用户中心退出提醒框关闭功能、用户中心超时自动退出、用户中心手动退出、用户中心超时提醒、用户中心超时提醒框关闭功能、用户中心安全退出-退出原因记录。</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简历管理包括新建简历、保存简历、简历更新、简历作废、简历管理-简历模板一键应用。</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简历预览包括简历信息类别选择、简历信息查询条件设置、简历查询预览、简历查询预览关闭、简历预览-预览样式自定义。</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隐私设置包括隐私设置显示、隐私设置部分显示、隐私设置全部不显示、隐私设置-设置批量应用。</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招聘会包括新增招聘会、招聘会信息修改、招聘会信息发布、招聘会-招聘会参与度分析。</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招聘会搜索包括招聘会日历类别选择、招聘会日历条件设置、招聘会日历搜索展示、招聘会搜索-搜索条件保存。</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招聘会日历展示包括政策信息类别选择、政策信息查询条件设置、政策信息查询结果展示、招聘会日历展示-日历视图切换。</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招聘会详情展示包括招聘会详情类别选择、招聘会详情查询条件设置、招聘会详情展示、招聘会详情展示-详情分享功能。</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招聘会会场地图包括招聘会会场信息缓存、招聘会会场信息展示、招聘会会场地图详情、招聘会会场地图-地图导航集成。</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岗位搜索包括岗位信息类别选择—岗位类别数据查询、岗位信息类别选择—类别选择界面渲染、岗位信息类别选择—用户选择接收处理、岗位信息查询条件设置—条件输入界面渲染、岗位信息查询条件设置—用户条件输入接收、岗位信息查询条件设置—条件格式化处理、岗位搜索展示—岗位数据查询执行、岗位搜索展示—搜索结果排序处理、岗位搜索展示—搜索结果界面渲染、岗位搜索-搜索结果去重功能。</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最新岗位包括最新岗位信息类别选择—最新类别数据查询、最新岗位信息类别选择—最新类别界面渲染、最新岗位信息类别选择—时效参数接收、最新岗位信息查询条件设置—最新条件输入界面、最新岗位信息查询条件设置—时效条件接收、最新岗位信息查询条件设置—条件时效验证、最新岗位信息查询结果展示—最新数据查询、最新岗位信息查询结果展示—结果时效标记、最新岗位信息查询结果展示—最新结果界面展示、最新岗位-岗位更新实时通知。</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公开招聘包括公开招聘信息类别选择—招聘类别数据查询、公开招聘信息类别选择—招聘类别界面渲染、公开招聘信息类别选择—招聘参数接收、公开招聘信息查询条件设置—招聘条件输入界面、公开招聘信息查询条件设置—招聘条件接收、公开招聘信息查询条件设置—条件业务校验、公开招聘信息查询结果展示—招聘数据查询、公开招聘信息查询结果展示—招聘结果格式化、公开招聘信息查询结果展示—招聘界面展示、公开招聘-招聘流程透明化展示。</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最新招聘会包括最新招聘会信息类别选择—招聘会类别查询、最新招聘会信息类别选择—招聘会界面渲染、最新招聘会信息类别选择—招聘会参数接收、最新招聘会信息查询条件设置—招聘会条件界面、最新招聘会信息查询条件设置—招聘会条件接收、最新招聘会信息查询条件设置—条件业务处理、最新招聘会信息查询结果展示—招聘会数据查询、最新招聘会信息查询结果展示—招聘会结果组织、最新招聘会信息查询结果展示—招聘会界面展示、最新招聘会-招聘会提醒设置。</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市场资讯包括市场资讯上传—资讯数据录入接口、市场资讯上传—资讯内容审核处理、市场资讯上传—资讯数据存储更新、市场资讯注销—注销请求接收、市场资讯注销—注销权限验证、市场资讯注销—资讯状态更新、市场资讯展示—资讯数据查询、市场资讯展示—资讯内容渲染处理、市场资讯展示—资讯展示界面渲染、市场资讯-资讯分类过滤。</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重点企业展示包括重点企业信息类别选择—企业类别数据查询、重点企业信息类别选择—企业类别界面渲染、重点企业信息类别选择—企业参数接收、重点企业信息查询条件设置—企业条件输入界面、重点企业信息查询条件设置—企业条件接收、重点企业信息查询条件设置—条件专项处理、重点企业展示—企业数据查询展示、重点企业展示—企业信息可视化处理、重点企业展示—企业详情界面渲染、重点企业展示-企业动态实时更新。</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找单位包括单位信息类别选择—单位类别数据查询、单位信息类别选择—单位类别界面渲染、单位信息类别选择—单位参数接收、单位信息查询条件设置—单位条件输入界面、单位信息查询条件设置—单位条件接收、单位信息查询条件设置—条件逻辑验证、单位信息查询结果显示—单位数据查询、单位信息查询结果显示—单位结果排序处理、单位信息查询结果显示—单位列表界面展示、找单位-单位对比功能。</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找零工包括零工信息类别选择—零工类别数据查询、零工信息类别选择—零工类别界面渲染、零工信息类别选择—零工参数接收、零工信息查询条件设置—零工条件输入界面、零工信息查询条件设置—零工条件接收、零工信息查询条件设置—条件业务校验、零工信息查询结果展示—零工数据查询、零工信息查询结果展示—零工结果组织处理、零工信息查询结果展示—零工信息界面展示、找零工-零工信用评价展示。</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找服务管理机构包括服务管理机构信息类别选择—机构类别查询、服务管理机构信息类别选择—机构类别界面渲染、服务管理机构信息类别选择—机构参数接收、服务管理机构信息查询条件设置—机构条件界面、服务管理机构信息查询条件设置—机构条件接收、服务管理机构信息查询条件设置—条件专项处理、服务管理机构信息查询结果展示—机构数据查询、服务管理机构信息查询结果展示—机构结果格式化、服务管理机构信息查询结果展示—机构详情展示、找服务管理机构-机构服务评级显示。</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培训网上报名包括报名信息类别选择—培训计划数据查询、报名信息类别选择—机构详情查询接口、报名信息类别选择—类别展示界面渲染、报名信息查询条件设置—班次筛选条件接收、报名信息查询条件设置—报名资格校验、报名信息查询条件设置—班次容量检查、报名—报名信息录入存储、报名—报名状态更新、报名—报名凭证生成、培训网上报名-报名费用在线支付。</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培训机构（评价机构）推荐包括培训机构信息类别选择—机构宣传数据查询、培训机构信息类别选择—成功案例数据获取、培训机构信息类别选择—多维信息展示渲染、培训机构信息查询条件设置—查询条件接收、培训机构信息查询条件设置—智能匹配计算、培训机构信息查询条件设置—排序规则应用、培训机构信息查询结果推荐—培训视频内容推送、培训机构信息查询结果推荐—个性化推荐生成、培训机构信息查询结果推荐—推荐结果展示、培训机构（评价机构）推荐-推荐算法优化。</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消息智能推送包括匿名用户智能推送—关键词检索处理、匿名用户智能推送—政策组合查询引擎、匿名用户智能推送—基础政策推送、实名登录用户智能推送—用户身份识别、实名登录用户智能推送—个性化政策匹配、实名登录用户智能推送—精准消息推送、区域内未就业高校毕业生智能推送、某专业未就业高校毕业生智能推送、想参加就业见习未就业高校毕业生智能推送、正参加培训未就业人员智能推送、无就业意愿人员就业岗位调查表智能推送、消息智能推送-推送频率控制。</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自助打印服务包括信息选择—可打印文档列表查询、信息选择—打印内容预览渲染、信息选择—打印参数设置接收、信息打印—打印数据格式化、信息打印—打印任务调度、信息打印—打印状态监控、自助打印服务-打印队列管理。</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远程视频接入服务包括远程面试—视频会话建立、远程面试—面试环节管理、远程面试—面试记录存储、在线培训—培训视频流传输、在线培训—互动教学支持、在线培训—学习进度跟踪、政策宣讲—宣讲会预约管理、政策宣讲—多人视频会话支持、政策宣讲—宣讲资料共享、远程视频接入服务-视频质量自适应调整。</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个人中心信息管理包括个人基本信息维护管理、求职意向新增、求职意向修改、求职意向删除、求职意向查询、简历信息新增、简历信息修改、简历信息删除、简历信息查询、简历信息维护管理、求职记录列表查询、求职记录详情查询、面试记录列表查询、面试记录详情查询、登录用户名和密码维护管理、账户注销维护管理、我的消息列表查看、我的消息详情查看、咨询提交、咨询回复查看、咨询列表查看、咨询详情查看查看、我的收藏列表查询、收藏明细查看、个人中心信息管理-信息变更通知。</w:t>
      </w:r>
    </w:p>
    <w:p>
      <w:pPr>
        <w:pStyle w:val="4"/>
        <w:spacing w:before="163" w:after="163" w:line="360" w:lineRule="auto"/>
        <w:rPr>
          <w:rFonts w:hint="eastAsia" w:ascii="宋体" w:hAnsi="宋体" w:eastAsia="宋体" w:cs="宋体"/>
          <w:sz w:val="24"/>
        </w:rPr>
      </w:pPr>
      <w:r>
        <w:rPr>
          <w:rFonts w:hint="eastAsia" w:ascii="宋体" w:hAnsi="宋体" w:eastAsia="宋体" w:cs="宋体"/>
          <w:sz w:val="24"/>
        </w:rPr>
        <w:t>公共就业经办子系统</w:t>
      </w:r>
    </w:p>
    <w:p>
      <w:pPr>
        <w:pStyle w:val="5"/>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城镇新增就业数据直报管理</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各区县公共就业服务机构失业人员动态跟踪服务相关业务产生的就业信息以及灵活就业人员信息，可以由业务经办人员从系统上录入或者导入。包括新增就业人员录入、修改、删除、查询、核验、初审。</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汇总各个业务系统数据，提供养老保险缴费数据、工伤保险缴费数据、失业保险缴费数据、工商注册数据、高校毕业生实名登记数据等信息，系统自动按照用人单位注册地行政区划推送给各区县，由区县业务经办人员按照数据核验要求实地核验或电话核验，主要包括城镇新增就业人员筛查、自然减员人员筛查、就业困难人员筛查、失业再就业人员筛查、新增就业数据直报。</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城镇新增就业办理包括新增就业人员录入、新增就业人员导入模版下载、新增就业人员导入、新增就业人员修改、新增就业人员删除、新增就业人员查询、新增就业人员核验、新增就业人员初审、新增就业人员终审。</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城镇新增就业人员筛查包括城镇新增就业人员核验、城镇新增就业人员社保信息核验、城镇新增就业重点企业查询、城镇新增就业重点企业信息修改、城镇新增就业企业分拨、城镇新增就业人员修改、城镇新增就业人员初审、城镇新增就业人员终审。</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自然减员人员筛查包括自然减员查询、自然减员分配、自然减员核验。</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就业困难人员筛查包括就业困难人员核验、就业困难人员初审、就业困难人员终审。</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失业再就业人员筛查包括失业再就业人员核验、失业再就业人员初审、失业再就业人员终审。</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新增就业数据直报包括新增就业数据根据区划查询、新增就业数据根据时间查询、新增就业数据上报。</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新增就业统计分析包括新增就业形式统计分析（调度）、新增就业形式统计分析（上报）、新增就业人员统计分析（调度）、新增就业人员统计分析（上报）。</w:t>
      </w:r>
    </w:p>
    <w:p>
      <w:pPr>
        <w:pStyle w:val="5"/>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就业资金智能辅助审核管理</w:t>
      </w:r>
    </w:p>
    <w:p>
      <w:pPr>
        <w:pStyle w:val="6"/>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职业培训补贴智能辅助审核</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和职业培训计划、报名学员、开班签到等数据进行比对，校验劳动者参加职业培训的学习状况，针对未完成学时的学员信息进行提醒，辅助补贴发放审核工作。包括职业培训补贴信息获取、补贴数据核验、培训补贴业务审核功能。</w:t>
      </w:r>
    </w:p>
    <w:p>
      <w:pPr>
        <w:pStyle w:val="6"/>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职业技能等级评价补贴智能辅助审核</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和技能鉴定、证书等数据进行比对，校验劳动者技能鉴定的结果情况，辅助补贴发放审核工作。包括等级评价业务获取、数据核验、评价补贴业务审核。</w:t>
      </w:r>
    </w:p>
    <w:p>
      <w:pPr>
        <w:pStyle w:val="6"/>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公益性岗位补贴智能辅助审核</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针对开发公益性岗位的单位，结合公益性岗位招录信息，比对人员参保信息数据、个人公益性岗位从业时间原始数据，对企业的公益性岗位补贴数据进行计算和校验，实现公益性岗位补贴的辅助审核。包括公岗业务获取、数据核验、业务审核。</w:t>
      </w:r>
    </w:p>
    <w:p>
      <w:pPr>
        <w:pStyle w:val="6"/>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创业孵化补贴智能辅助审核</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创业孵化补贴审核对企业资质审查、孵化项目、创业者身份、核实创业者的身份信息，确保符合补贴的适用范围。包括创业孵化业务获取、数据核验、业务审核功能。</w:t>
      </w:r>
    </w:p>
    <w:p>
      <w:pPr>
        <w:pStyle w:val="6"/>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创业补贴智能辅助审核</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对创业补贴进行智能辅助审核，主要包括小微企业补贴辅助审核、创业数据比对校验、人员类型数据比对校核、创业补贴数据校核、申请资料辅助审核。</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包括小微企业补贴辅助初审、小微企业补贴辅助终审、创业数据比对校验、创业数据比对校验结果显示、创业补贴脱贫劳动力身份核对、创业补贴脱贫劳动力身份核对结果查询、离校两年内高校毕业生身份核对、离校两年内高校毕业生身份核对结果查询、连续失业一年以上人员身份核对、连续失业一年以上人员身份核对结果查询、与领取养老金人员比对、与领取养老金人员比对结果查询、创业补贴人员与残疾人比对、与残疾人比对结果根据时间查看、与残疾人比对结果根据区划查看、创业补贴人员与残疾人比对结果根据关键字查询、创业补贴人员与领取失业保险金对比、创业补贴人员与领取失业保险金对比结果查询、创业补贴人员与自主创业数据比对、创业补贴人员与自主创业数据比对结果查询、创业补贴人员与林业局在岗护林员数据比对、创业补贴人员与林业局在岗护林员数据比对结果查询、创业补贴人员与其他享受就业补贴的政策信息进行比对、创业补贴人员与其他享受就业补贴的政策信息进行比对结果查询、创业补贴数据校核、创业补贴数据校核结果根据时间查看、创业补贴数据校核结果根据区划查看、创业补贴数据校核结果根据关键字查询、创业补贴申请资料辅助初审、创业补贴申请资料辅助终审。</w:t>
      </w:r>
    </w:p>
    <w:p>
      <w:pPr>
        <w:pStyle w:val="6"/>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就业见习补贴智能辅助</w:t>
      </w:r>
    </w:p>
    <w:p>
      <w:pPr>
        <w:pStyle w:val="6"/>
        <w:spacing w:before="163" w:after="163" w:line="360" w:lineRule="auto"/>
        <w:ind w:firstLine="480" w:firstLineChars="200"/>
        <w:rPr>
          <w:rFonts w:ascii="宋体" w:hAnsi="宋体" w:eastAsia="宋体" w:cs="宋体"/>
          <w:sz w:val="24"/>
          <w:lang w:bidi="en-US"/>
        </w:rPr>
      </w:pPr>
      <w:r>
        <w:rPr>
          <w:rFonts w:hint="eastAsia" w:ascii="宋体" w:hAnsi="宋体" w:eastAsia="宋体" w:cs="宋体"/>
          <w:b w:val="0"/>
          <w:bCs w:val="0"/>
          <w:sz w:val="24"/>
          <w:szCs w:val="24"/>
          <w:lang w:bidi="en-US"/>
        </w:rPr>
        <w:t>包括就业见习补贴人员毕业生数据比对、人员类型数据比对残疾人校核、人员类型数据比对自主创业校核、人员类型数据比对社区干部校核、人员类型数据比对护林员校核、人员类型数据比对其他享受补贴人员校核、见习补贴数据校核、就业见习补贴智能辅助申就业见习补贴智能辅助请资料辅助初审、申请资料辅助终审。</w:t>
      </w:r>
    </w:p>
    <w:p>
      <w:pPr>
        <w:pStyle w:val="6"/>
        <w:spacing w:before="163" w:after="163" w:line="360" w:lineRule="auto"/>
        <w:rPr>
          <w:rFonts w:ascii="宋体" w:hAnsi="宋体" w:eastAsia="宋体" w:cs="宋体"/>
          <w:sz w:val="24"/>
          <w:szCs w:val="24"/>
        </w:rPr>
      </w:pPr>
      <w:r>
        <w:rPr>
          <w:rFonts w:hint="eastAsia" w:ascii="宋体" w:hAnsi="宋体" w:eastAsia="宋体" w:cs="宋体"/>
          <w:sz w:val="24"/>
          <w:szCs w:val="24"/>
        </w:rPr>
        <w:t>指导管理费用补贴智能辅助</w:t>
      </w:r>
    </w:p>
    <w:p>
      <w:pPr>
        <w:pStyle w:val="54"/>
        <w:spacing w:line="360" w:lineRule="auto"/>
        <w:rPr>
          <w:rFonts w:ascii="宋体" w:hAnsi="宋体" w:eastAsia="宋体" w:cs="宋体"/>
          <w:sz w:val="24"/>
          <w:lang w:bidi="en-US"/>
        </w:rPr>
      </w:pPr>
      <w:r>
        <w:rPr>
          <w:rFonts w:hint="eastAsia" w:ascii="宋体" w:hAnsi="宋体" w:eastAsia="宋体" w:cs="宋体"/>
          <w:sz w:val="24"/>
          <w:lang w:bidi="en-US"/>
        </w:rPr>
        <w:t>包括指导管理费用补贴获取、指导管理人员比对残疾人校核、指导管理人员比对自主创业校核、指导管理人员比对社区干部校核、指导管理人员比对护林员校核、指导管理人员比对其他享受补贴校核、留用补贴数据校核、指导管理费申请资料辅助初审、指导管理费申请资料辅助终审。</w:t>
      </w:r>
    </w:p>
    <w:p>
      <w:pPr>
        <w:pStyle w:val="6"/>
        <w:spacing w:before="163" w:after="163" w:line="360" w:lineRule="auto"/>
        <w:rPr>
          <w:rFonts w:ascii="宋体" w:hAnsi="宋体" w:eastAsia="宋体" w:cs="宋体"/>
          <w:sz w:val="24"/>
          <w:szCs w:val="24"/>
        </w:rPr>
      </w:pPr>
      <w:r>
        <w:rPr>
          <w:rFonts w:hint="eastAsia" w:ascii="宋体" w:hAnsi="宋体" w:eastAsia="宋体" w:cs="宋体"/>
          <w:sz w:val="24"/>
          <w:szCs w:val="24"/>
        </w:rPr>
        <w:t>追加发放指导管理费用补贴智能辅助</w:t>
      </w:r>
    </w:p>
    <w:p>
      <w:pPr>
        <w:pStyle w:val="54"/>
        <w:spacing w:line="360" w:lineRule="auto"/>
        <w:rPr>
          <w:rFonts w:ascii="宋体" w:hAnsi="宋体" w:eastAsia="宋体" w:cs="宋体"/>
          <w:sz w:val="24"/>
          <w:lang w:bidi="en-US"/>
        </w:rPr>
      </w:pPr>
      <w:r>
        <w:rPr>
          <w:rFonts w:hint="eastAsia" w:ascii="宋体" w:hAnsi="宋体" w:eastAsia="宋体" w:cs="宋体"/>
          <w:sz w:val="24"/>
          <w:lang w:bidi="en-US"/>
        </w:rPr>
        <w:t>包括追加发放指导管理费用补贴获取、追加发放指导管理人员比对残疾人校核、追加发放指导管理人员比对自主创业校核、追加发放指导管理人员比对社区干部校核、追加发放指导管理人员比对护林员校核、追加发放指导管理人员比对其他享受补贴校核、追加发放指导管理费用补贴数据校核、追加发放指导管理费申请资料辅助初审、追加发放指导管理费申请资料辅助终审。</w:t>
      </w:r>
    </w:p>
    <w:p>
      <w:pPr>
        <w:pStyle w:val="6"/>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一次性求职补贴智能辅助审核</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包括脱贫劳动力实现转移就业、一次性求职补贴脱贫劳动力身份核对、一次性求职补贴脱贫劳动力身份核对结果查询、一次性求职补贴与残疾人比对、一次性求职补贴与残疾人比对结果查询、一次性求职补贴与自主创业数据比对、一次性求职补贴与自主创业数据比对结果查询、一次性求职补贴与村（社区）干部信息数据比对、一次性求职补贴与村（社区）干部信息数据比对结果查询、一次性求职补贴与林业局在岗护林员数据比对、一次性求职补贴与其他享受就业补贴的政策名册进行比对、求职补贴数据年龄校核、求职补贴数据公示校核、求职补贴数据补贴标准校核、一次性求职补贴申请资料辅助初审、一次性求职补贴申请资料辅助终审。</w:t>
      </w:r>
    </w:p>
    <w:p>
      <w:pPr>
        <w:pStyle w:val="6"/>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求职创业补贴智能辅助审核</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包括求职创业补贴与民政部门低保对象信息比对、求职创业补贴与残联部门残疾证基本信息比对、求职创业补贴与乡村振兴部门建档立卡贫困户比对、求职创业补贴数据校核、求职创业补贴申请资料辅助初审、求职创业补贴申请资料辅助终审。</w:t>
      </w:r>
    </w:p>
    <w:p>
      <w:pPr>
        <w:pStyle w:val="6"/>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社保补贴智能辅助审核</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包括社保补贴智能辅助审核系统通过数据比对校核人员类型、社保补贴人员与残疾人比对、社保补贴人员与自主创业数据比对、社保补贴人员与村（社区）干部信息数据比对、社保补贴人员与其他享受就业补贴的政策名册进行比对、社保补贴数据校核、养老、失业参保单位比对、单位申请资料辅助初审、单位申请资料辅助终审、个人申请资料辅助初审、个人申请资料辅助终核。</w:t>
      </w:r>
    </w:p>
    <w:p>
      <w:pPr>
        <w:pStyle w:val="6"/>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职业介绍补贴智能辅助审核</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包括职业介绍补贴数据获取、职介补贴数据核验、职介补贴业务初审、职介补贴业务终审。</w:t>
      </w:r>
    </w:p>
    <w:p>
      <w:pPr>
        <w:pStyle w:val="6"/>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企业一次性吸纳就业补贴智能辅助审核</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包括企业一次性吸纳就业补贴数据获取、企业一次性吸纳就业补贴数据核验、企业一次性吸纳就业补贴业务初审、企业一次性吸纳就业补贴业务终审。</w:t>
      </w:r>
    </w:p>
    <w:p>
      <w:pPr>
        <w:pStyle w:val="5"/>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劳务品牌动态管理</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劳务品牌动态管理系统是人社部门用于全面管理劳务品牌的后台工具。主要包括品牌信息录入、品牌信息编辑、品牌信息查询、品牌状态管理、劳务品牌创建引领单位信息录入、引领单位审核、引领单位状态管理、引领单位绩效评估、资金奖补政策设置、资金奖补申请审核、资金发放管理、劳务品牌创建引领单位退出管理、技能大赛信息发布、参赛报名管理、技能大赛结果管理、流动信息记录、流动趋势分析、劳务品牌地图展示、地图数据录入、地图展示设置、地图查询功能、培训开班申请管理、培训过程监督、培训结果评估、用工需求信息发布、报名信息管理、用工匹配与推荐。</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品牌信息录入包括劳务品牌录入信息获取、劳务品牌信息登记、劳务品牌录入信息保存、劳务品牌信息查询。</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品牌信息编辑包括劳务品牌编辑信息获取、劳务品牌编辑信息保存、劳务品牌编辑信息删除。</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品牌信息查询包括劳务品牌信息列表通过关键词获取、劳务品牌信息列表通过创建时间获取、劳务品牌信息列表通过所属行业获取、劳务品牌相关信息获取。</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品牌状态管理包括劳务品牌信息列表获取、劳务品牌状态信息获取、品牌状态修改、品牌状态根据状态类型查询、品牌状态根据变更时间查询。</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劳务品牌创建引领单位信息录入包括引领单位录入信息获取、引领单位录入信息校验、引领单位录入信息登记、引领单位录入信息保存。</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劳务品牌创建引领单位审核包括引领单位列表信息获取、引领单位审核信息获取、引领单位信息初审、引领单位信息终审。</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劳务品牌创建引领单位状态管理包括劳务品牌创建引领单位状态修改、劳务品牌创建引领单位状态查询。</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劳务品牌创建引领单位绩效评估包括劳务品牌创建引领单位绩效评估指标新增、劳务品牌创建引领单位绩效评估指标修改、劳务品牌创建引领单位绩效评估指标删除、劳务品牌创建引领单位绩效评估指标根据时间查询、劳务品牌创建引领单位绩效评估指标根据区划查询、劳务品牌创建引领单位绩效评估指标根据关键字查询、劳务品牌创建引领单位绩效评估结果新增、劳务品牌创建引领单位绩效评估结果修改、劳务品牌创建引领单位绩效评估结果删除、劳务品牌创建引领单位绩效评估结果根据时间查询、劳务品牌创建引领单位绩效评估结果根据区划查询、劳务品牌创建引领单位绩效评估结果根据关键字查询。</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劳务品牌资金奖补政策设置包括劳务品牌资金奖补政策新增、劳务品牌资金奖补政策修改、劳务品牌资金奖补政策删除、劳务品牌资金奖补政策根据时间查询、劳务品牌资金奖补政策根据区划查询、劳务品牌资金奖补政策根据关键字查询。</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劳务品牌资金奖补申请审核包括劳务品牌资金奖补列表查看、劳务品牌资金奖补申请查看、劳务品牌资金奖补申请审核。</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劳务品牌资金发放管理包括劳务品牌资金发放、劳务品牌资金发放结果根据时间查询、劳务品牌资金发放结果根据区划查询、劳务品牌资金发放结果根据关键字查询。</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劳务品牌创建引领单位退出管理包括劳务品牌创建引领单位根据行政区划查看、劳务品牌参赛报名根据申请时间查看、劳务品牌创建引领单位退出申请根据关键字查询、劳务品牌创建引领单位退出初审、劳务品牌创建引领单位退出终审。</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劳务品牌技能大赛信息发布包括劳务品牌技能大赛信息新增、劳务品牌技能大赛信息修改、劳务品牌技能大赛信息删除、劳务品牌技能大赛信息根据时间查询、劳务品牌技能大赛信息根据区划查询、劳务品牌技能大赛信息根据关键字查询、劳务品牌技能大赛信息发布。</w:t>
      </w:r>
    </w:p>
    <w:p>
      <w:pPr>
        <w:widowControl/>
        <w:spacing w:line="360" w:lineRule="auto"/>
        <w:jc w:val="left"/>
        <w:textAlignment w:val="center"/>
        <w:rPr>
          <w:rFonts w:hint="eastAsia" w:ascii="宋体" w:hAnsi="宋体" w:eastAsia="宋体" w:cs="宋体"/>
          <w:sz w:val="24"/>
          <w:lang w:bidi="en-US"/>
        </w:rPr>
      </w:pPr>
      <w:r>
        <w:rPr>
          <w:rFonts w:hint="eastAsia" w:ascii="宋体" w:hAnsi="宋体" w:eastAsia="宋体" w:cs="宋体"/>
          <w:sz w:val="24"/>
          <w:lang w:bidi="en-US"/>
        </w:rPr>
        <w:t>劳务品牌参赛报名管理包括劳务品牌参赛报名根据区划查看、劳务品牌参赛报名根据时间查看、劳务品牌参赛报名根据关键字查询、劳务品牌参赛报名初审、劳务品牌参赛报名终审。</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劳务品牌技能大赛结果管理包括劳务品牌技能大赛结果登记、劳务品牌技能大赛结果修改、劳务品牌技能大赛结果删除、劳务品牌技能大赛结果根据时间查询、劳务品牌技能大赛结果根据区划查询、劳务品牌技能大赛结果根据关键字查询。</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劳务品牌流动信息记录包括劳务品牌流动信息新增、劳务品牌流动信息修改、劳务品牌流动信息删除、劳务品牌流动信息根据时间查看、劳务品牌流动信息根据区划查看、劳务品牌流动信息根据关键字查看。</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包括劳务品牌流动趋势分析。</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劳务品牌地图展示包括劳务品牌地图展示、劳务品牌详情根据区划查看、劳务品牌详情根据时间查看、劳务品牌详情根据关键字查询。</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劳务品牌地图数据录入包括劳务品牌地图数据新增、劳务品牌地图数据修改、劳务品牌地图数据删除、劳务品牌地图数据根据时间查询、劳务品牌地图数据根据区划查询、劳务品牌地图数据根据关键字查询。</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劳务品牌地图展示设置包括劳务品牌地图展示方式新增、劳务品牌地图展示方式修改、劳务品牌地图展示方式删除、劳务品牌地图展示方式根据时间查询、劳务品牌地图展示方式根据关键字查询。</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劳务品牌地图查询包括劳务品牌地图根据时间查询、劳务品牌地图根据关键字查询、劳务品牌地图根据区划查询。</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劳务品牌技能培训开班申请管理包括劳务品牌技能培训开班申请查看、劳务品牌技能培训开班申请初审、劳务品牌技能培训开班申请终审。</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劳务品牌技能培训过程监督包括劳务品牌技能培训过程查看、劳务品牌技能培训过程监督结果录入、劳务品牌技能培训过程监督结果修改、劳务品牌技能培训过程监督结果删除、劳务品牌技能培训过程监督结果根据时间查看、劳务品牌技能培训过程监督结果根据区划查看、劳务品牌技能培训过程监督结果根据关键字查看。</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劳务品牌技能培训结果评估包括劳务品牌技能培训结果登记、劳务品牌技能培训结果修改、劳务品牌技能培训结果删除、劳务品牌技能培训结果根据时间查看、劳务品牌技能培训结果根据区划查看、劳务品牌技能培训结果根据关键字查看。</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劳务品牌用工需求信息发布包括劳务品牌用工需求新增、劳务品牌用工需求修改、劳务品牌用工需求删除、劳务品牌用工需求查看、劳务品牌用工需求发布。</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劳务品牌用工报名信息管理包括劳务品牌用工报名信息查看、劳务品牌用工报名信息初审、劳务品牌用工报名信息终审。</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劳务品牌用工匹配与推荐包括劳务品牌用工匹配、劳务品牌用工推荐、劳务品牌用工推荐记录查询。</w:t>
      </w:r>
    </w:p>
    <w:p>
      <w:pPr>
        <w:pStyle w:val="5"/>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重点群体就业精准帮扶管理</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为重点群体精准就业帮扶进行实名信息管理、构建帮扶对象跟踪服务场景画像、建立帮扶对象档案、根据校验规则分类帮扶、服务结果抽查、帮扶补贴享受情况抽查、帮扶职业培训情况抽查、帮扶就业见习情况抽查、帮扶创业贷款情况抽查、帮扶绩效管理、帮扶对象就业意愿登记和更新、帮扶结果反馈登记智能帮扶推送、帮扶跟踪管理、帮扶过程业务申报对接、帮扶任务工单管理、重点群体精准服务。</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帮扶对象实名信息管理包括失业人员登记、失业人员修改、失业人员删除、失业人员查询、失业人员根据时间查询、失业人员根据关键字查询、失业人员根据区划查询、失业人员就业意愿新增、失业人员就业意愿修改、失业人员就业意愿删除、失业人员就业意愿根据时间查询、失业人员就业意愿根据区划查询、失业人员就业意愿根据关键字查询。</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帮扶对象精细化画像管理包括人员基础信息附加信息分析画像、人员农村劳动力附加信息分析画像、登记失业人员就业状态动态信息分析画像、人员就业创业证信息分析画像、就业困难人员信息分析画像、从事公益性岗位信息分析画像、享受社保补贴信息分析画像、享受一次性创业补贴信息分析画像、享受创业担保贷款信息分析画像、人员参加社会保险信息分析画像、人员职业技能信息分析画像。</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帮扶对象网格化建档包括登记失业人员网格化管理、登记失业人员根据区划查询、登记失业人员根据姓名查询、登记失业人员根据时间查询、登记失业人员帮扶建档。</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帮扶对象身份确认包括就业失业登记数据核验、就业补贴数据核验、职业介绍数据核验、职业指导数据核验、就业创业培训数据核验、技能等级评价数据核验、创业服务数据核验、失业保险数据核验、就业援助数据核验、流动人员人事档案数据核验、农村转移劳动力数据核验、高校毕业生实名登记数据核验。</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服务结果抽查包括服务结果抽查登记、服务结果抽查修改、服务结果抽查删除、服务结果抽查根据时间查询、服务结果抽查根据区划查询、服务结果抽查根据关键字查询。</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帮扶补贴享受情况抽査包括帮扶补贴享受情况抽查结果登记、帮扶补贴享受情况抽查结果修改、帮扶补贴享受情况抽查结果删除、帮扶补贴享受情况抽查结果根据时间查询、帮扶补贴享受情况抽查结果根据区划查询、帮扶补贴享受情况抽查结果根据关键字查询。</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帮扶职业培训情况抽查包括帮扶职业培训情况抽查结果登记、帮扶职业培训情况抽查结果修改、帮扶职业培训情况抽查结果删除、帮扶职业培训情况抽查结果根据时间查看、帮扶职业培训情况抽查结果根据区划查看、帮扶职业培训情况抽查结果根据关键字查看。</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帮扶就业见习情况抽查包括帮扶就业见习情况抽查结果登记、帮扶就业见习情况抽查结果修改、帮扶就业见习情况抽查结果删除、帮扶就业见习情况抽查结果根据区划查看、帮扶就业见习情况抽查结果根据时间查看、帮扶就业见习情况抽查结果根据关键字查看。</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帮扶创业贷款情况抽查包括帮扶创业贷款情况抽查结果登记、帮扶创业贷款情况抽查结果修改、帮扶创业贷款情况抽查结果删除、帮扶创业贷款情况抽查结果根据时间查询、帮扶创业贷款情况抽查结果根据区划查询、帮扶创业贷款情况抽查结果根据关键字查询。</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帮扶绩效管理包括实现就业登记业务数量考核、实现就业登记业务数量考核查询、实现创业服务业务数量考核、实现创业服务业务数量考核查询、实现就业援助业务数量考核、实现就业援助业务数量考核查询、实现就业补贴申请业务数量考核、实现就业补贴申请业务数量考核查询、实现职业介绍业务数量考核、实现职业介绍业务数量考核查询、实现职业指导业务数量考核、实现职业指导业务数量考核查询、实现职业培训业务数量考核、实现职业培训业务数量考核查询、实现事务代理业务数量考核、实现事务代理业务数量考核查询。</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帮扶对象就业意愿登记和更新包括帮扶对象就业意愿登记、帮扶对象就业意愿修改、帮扶对象就业意愿删除、帮扶对象就业意愿根据时间查询、帮扶对象就业意愿根据区划查询。</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帮扶结果反馈登记智能帮扶推送包括帮扶结果反馈登记、智能帮扶岗位信息推送、智能帮扶创业信息推送、智能帮扶培训信息推送、智能帮扶就业政策资讯推送。</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帮扶跟踪管理包括人社基层帮扶过程管理、大数据帮扶记录、帮扶量化管理、帮扶过程全记录、帮扶过程全记录结果根据时间查看、帮扶过程全记录结果根据区划查看、帮扶过程全记录根据关键字查看。</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帮扶过程业务申报包括失业登记申报、失业登记申报结果根据时间查看、失业登记申报结果根据区划查看、失业登记申报结果根据关键字查看、进城务工人员实名登记信息查看、进城务工人员实名登记信息变更、转移就业信息申报、转移就业信息申报结果查看、公益性岗位安置申请、公益性岗位安置申请结果查看、就业登记申报、就业登记申报结果根据时间查看、就业登记申报结果根据区划查看、就业登记申报结果根据关键字查看、个人创业担保贷款申请、个人创业担保贷款申请结果查看、灵活就业人员社保补贴申报、灵活就业人员社保补贴申报结果查看、一次性创业补贴申报、一次性创业补贴申报结果根据时间查看、一次性创业补贴申报结果根据区划查看、一次性创业补贴申报结果根据关键字查看。</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帮扶任务工单管理包括工单分配、工单根据时间查看、工单根据区划查看、工单根据关键字查看、工单处理。</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重点群体精准服务包括最新合适岗位获取、招聘企业信息获取、技能培训信息获取、招考信息推送获取、热点主题推送获取、最新消息通知资讯获取、最新政策消息获取、最新合适岗位推送、招聘企业推荐、技能培训信息推送、招考信息推送服务、热点主题推送服务、重点群体最新消息通知资讯推送服务、最新政策消息推送服务。</w:t>
      </w:r>
    </w:p>
    <w:p>
      <w:pPr>
        <w:pStyle w:val="5"/>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职业技能培训评价管理</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职业技能培训评价服务系统旨在帮助人社部门更好地管理和运营职业技能培训项目，提升培训质量和效果。主要包括新增培训管理、培训导师管理、培训导师星级管理、学员管理、培训班级管理、考勤管理、规则管理。</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新增培训管理包括培训项目创建、修改、删除、按时间/区划/关键字查看，培训课程创建、修改、删除、按时间/区划/关键字查看，培训资源上传及按时间/区划/关键字查看。</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培训导师管理包括导师信息登记、修改、删除、按时间/区划/关键字查看，导师资质按时间/区划/关键字查看、资质审核，导师分配及分配结果按时间/区划/关键字查看。</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培训导师星级管理包括星级评定及评定结果按时间/区划/关键字查看，星级展示，星级激励措施新增、修改、删除及按时间/区划/关键字查看。</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学员管理包括学员信息录入、修改、删除、按时间/区划/关键字查看，学员分组及分组修改、查看，学员进度跟踪。</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培训班级管理包括班级创建、修改、删除、按时间/区划/关键字查看，班级成员新增、修改、删除及按时间/区划/关键字查看，班级公告发布、修改、删除及按时间/区划/关键字查看。</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考勤管理包括考勤记录，考勤出勤、迟到、早退统计，考勤异常处理。</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评价规则管理包括培训规则新增、删除、更新，按学员/导师/规则查询。</w:t>
      </w:r>
    </w:p>
    <w:p>
      <w:pPr>
        <w:pStyle w:val="5"/>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零工市场管理</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主要包括零工市场基础信息管理、零工配置管理、零工供需管理、服务工单综合管理、共享用工服务管理、劳动权益保障管理、零工保险管理、零工信用管理、系统管理。</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基础信息管理包括人力资源机构登记、修改、删除及按时间/区划/关键字查看机构详细信息，个人黑名单加入、取消及按时间/区划/关键字查看，企业黑名单加入、取消及按时间/区划/关键字查看。</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零工配置管理包括工种新增、修改、删除及按时间/区划/关键字查看，工资指导价新增、修改、删除及按时间/区划/关键字查看。</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零工供需管理包括求职意愿登记、修改、删除及按时间/区划/关键字查看，业务经办用工需求发布、修改、删除及按时间/区划/关键字查看，用工需求审核。</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服务工单综合管理包括订单查看，用工记录按时间/区划/关键字查看，用工评价按时间/区划/关键字查看，缺工信息初审、终审。</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共享用工服务管理包括富工信息初审、终审，缺工信息发布、修改、删除及按时间/区划/关键字查看，富工信息发布、修改、删除。</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劳动权益保障管理包括维权信息按时间/区划/关键字查看，维权信息处理。</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零工保险管理包括零工保险信息对接及对接数据分析加工，保险类型、上架、下架管理，保险信息展示。</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零工信用管理包括零工信用评价规则新增、修改、删除及按时间/关键字/区划查看，雇主信用评价规则新增、修改、删除及按区划查看，零工黑名单加入、解除，雇主黑名单加入、解除，黑名单公示管理。</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零工系统管理包括零工工种新增、编辑、删除、按名称/时间/关键字查询、初审、终审、重复校验、发布，零工工资指导价配置、新增、修改、删除、查看。</w:t>
      </w:r>
    </w:p>
    <w:p>
      <w:pPr>
        <w:pStyle w:val="5"/>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基层就业办公</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主要包括电子社保卡安全登录、电子社保卡登录反馈、劳动力信息调查和更新功能、就业意愿调查登记功能、培训意愿调查登记功能、创业意愿调查登记功能、有组织劳务输出登记、就业登记申报（代办）服务、失业登记申报（代办）服务、就业困难人员认定申报、公益性岗位人员登记申报、社区工厂（就业帮扶基地）登记管理、零就业家庭跟踪登记管理、任务工单、帮扶对象网格化实名管理、帮扶对象数据画像分析、精准帮扶推送服务、帮扶绩效成果分析、就业创业补贴基层申报。</w:t>
      </w:r>
    </w:p>
    <w:p>
      <w:pPr>
        <w:pStyle w:val="54"/>
        <w:spacing w:line="360" w:lineRule="auto"/>
        <w:rPr>
          <w:rFonts w:ascii="宋体" w:hAnsi="宋体" w:eastAsia="宋体" w:cs="宋体"/>
          <w:sz w:val="24"/>
          <w:lang w:bidi="en-US"/>
        </w:rPr>
      </w:pPr>
      <w:r>
        <w:rPr>
          <w:rFonts w:hint="eastAsia" w:ascii="宋体" w:hAnsi="宋体" w:eastAsia="宋体" w:cs="宋体"/>
          <w:sz w:val="24"/>
          <w:lang w:bidi="en-US"/>
        </w:rPr>
        <w:t>电子社保卡安全登录包括电子社保卡二维码生成、电子社保卡登录接口获取、电子社保卡二维码扫码、电子社保卡二维码扫码确认。</w:t>
      </w:r>
    </w:p>
    <w:p>
      <w:pPr>
        <w:pStyle w:val="54"/>
        <w:spacing w:line="360" w:lineRule="auto"/>
        <w:rPr>
          <w:rFonts w:ascii="宋体" w:hAnsi="宋体" w:eastAsia="宋体" w:cs="宋体"/>
          <w:sz w:val="24"/>
          <w:lang w:bidi="en-US"/>
        </w:rPr>
      </w:pPr>
      <w:r>
        <w:rPr>
          <w:rFonts w:hint="eastAsia" w:ascii="宋体" w:hAnsi="宋体" w:eastAsia="宋体" w:cs="宋体"/>
          <w:sz w:val="24"/>
          <w:lang w:bidi="en-US"/>
        </w:rPr>
        <w:t>电子社保卡登录反馈扫码结果返回加密结果</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劳动力信息采集包括劳动力信息调查、劳动力信息年龄核验、劳动力信息更新、劳动力信息查询、劳动力学历信息统计、劳动力年龄信息统计、劳动力性别信息统计、劳动力健康状况信息统计、劳动力行政区划信息统计、劳动力收入情况信息统计、劳动力技能信息统计、劳动力新增情况统计、劳动力退出情况统计、就业意愿调查基本信息登记、就业意愿调查意愿信息登记、就业意愿职位类型统计、就业意愿工作地区统计、就业意愿薪资要求统计、就业意愿期望行业统计、就业意愿到岗时间统计、培训意愿调查登记、培训意愿培训类型统计、培训意愿培训专业统计、培训意愿培训区域统计、创业意愿调查登记、创业意愿创业行业登记、创业意愿创业区域登记、创业意愿创业投资额登记、创业意愿创业产业分组登记、有组织劳务输出登记、劳动力信息修改、劳动力信息删除、劳动力信息列表查询、劳动力信息详细信息查询、就业登记申报（代办）服务基本信息、就业登记申报（代办）服务就业信息、失业登记申报（代办）服务基本信息、失业登记申报（代办）服务失业信息信息、就业困难人员认定基本信息申报、就业困难人员认定业务信息申报、公益性岗位人员登记申报、公益性岗位人员岗位登记申报、公益性岗位人员用工登记申报、社区工厂新增、社区工厂修改、社区工厂初审、社区工厂终审、社区工厂删除、社区工厂列表查询、社区工厂详细信息查询、社区工厂类型统计、社区工厂区域统计、社区工厂规模统计、社区工厂带动就业统计、社区工厂产业分组统计、社区工厂收入统计、社区工厂面积统计、零就业家庭跟踪登记、零就业家庭跟踪修改、零就业家庭跟踪删除、零就业家庭跟踪查询、零就业家庭区域统计、零就业家庭类型统计、零就业家庭人口数量统计、零就业家庭收入情况统计、零就业家庭人员年龄统计、零就业家庭人员健康情况统计、零就业家庭人员学历情况统计。</w:t>
      </w:r>
    </w:p>
    <w:p>
      <w:pPr>
        <w:widowControl/>
        <w:spacing w:line="360" w:lineRule="auto"/>
        <w:jc w:val="left"/>
        <w:textAlignment w:val="center"/>
        <w:rPr>
          <w:rFonts w:hint="eastAsia" w:ascii="宋体" w:hAnsi="宋体" w:eastAsia="宋体" w:cs="宋体"/>
          <w:sz w:val="24"/>
          <w:lang w:bidi="en-US"/>
        </w:rPr>
      </w:pPr>
      <w:r>
        <w:rPr>
          <w:rFonts w:hint="eastAsia" w:ascii="宋体" w:hAnsi="宋体" w:eastAsia="宋体" w:cs="宋体"/>
          <w:sz w:val="24"/>
          <w:lang w:bidi="en-US"/>
        </w:rPr>
        <w:t>任务工单包括任务工单分配、任务工单查看、任务工单处理。</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帮扶对象网格化实名管理包括对接陕西省动态精准就业系统实名库、对接陕西省动态精准就业系统实名库数据加工分析、帮扶数据上传。</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帮扶对象数据画像分析包括构建帮扶对象跟踪服务场景画像。</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精准帮扶推送服务包括精准帮扶最新合适岗位获取、精准帮扶招聘企业信息获取、精准帮扶技能培训信息获取、精准帮扶招考信息推送获取、精准帮扶热点主题推送获取、精准帮扶最新消息通知资讯获取、精准帮扶最新政策消息获取、精准帮扶最新合适岗位推送、精准帮扶招聘单位推荐、精准帮扶技能培训信息推送、精准帮扶招考信息推送服务、精准帮扶热点主题推送服务、精准帮扶最新消息通知资讯推送服务、精准帮扶最新政策消息推送服务、精准帮扶业务办理推送。</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帮扶绩效成果分析包括帮扶后实现就业登记业务数量考核、帮扶后实现创业服务业务数量考核、帮扶后实现就业援助业务数量考核、帮扶后实现就业补贴申请业务数量考核、帮扶后实现职业介绍业务数量考核、帮扶后实现职业指导业务数量考核、帮扶后实现职业培训业务数量考核、帮扶后实现事务代理业务数量考核</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就业创业补贴基层申报包括一次性创业补贴申请、一次性创业补贴初审、一次性创业补贴终审、、一次性创业补贴公式一次性创业补贴发放、一次性创业补贴申请查询、一次性创业补贴申请进度查询、社会保险补贴申请、社会保险补贴初审、社会保险补贴终审、社会保险补贴公式、社会保险补贴发放、社会保险补贴申请查询、一次性求职补贴申报、一次性求职补贴初审、一次性求职补贴终审、一次性求职补贴公式、一次性求职补贴发放、一次性求职补贴申报查询、跨省就业一次性交通费补助申报、跨省就业一次性交通费补贴初审、跨省就业一次性交通费补贴终审、跨省就业一次性交通费补贴公式、跨省就业一次性交通费补贴发放、跨省就业一次性交通费补助申报查询</w:t>
      </w:r>
    </w:p>
    <w:p>
      <w:pPr>
        <w:pStyle w:val="5"/>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智能求职招聘管理</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包括系统配置管理、单位信息管理、个人信息管理、单位招聘管理、个人求职管理、职业指导管理、招聘会信息管理、智能摊位管理、会场管理、招聘会信息生成、生成摊位、摊位申请、摊位分配、摊位撤销、会场查询、招聘会查询、单位积分管理、单位积分查询、摊位机器管理、信息发布与接收管理、单位摊位签到、企业信用评价、企业签到统计、企业积分管理、企业积分查询、企业面试反馈统计、企业信用等级管理、摊位引导图、智能展位、多媒体信息发布、终端机展现平台、触摸屏信息展现。</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系统配置管理包括功能模块新增、功能模块修改、功能模块查询、功能模块删除、功能菜单新增、功能菜单修改、功能菜单查询、功能菜单删除、机构组织新增、机构组织修改、机构组织查询、机构组织删除、敏感词录入、敏感词修改、敏感词查询、敏感词删除、人力资源市场业务参数新增、人力资源市场业务参数修改、人力资源市场业务参数查询、人力资源市场业务参数删除</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单位信息管理包括单位信息新增、单位信息修改、单位信息查询、单位信息删除、单位信息批量导入、单位信息批量导入模版下载、单位信息批量导入文件上传、单位信息批量导出、单位信息批量导出文件下载、查询单位积分记录、查询单位参与招聘的足迹记录</w:t>
      </w:r>
    </w:p>
    <w:p>
      <w:pPr>
        <w:widowControl/>
        <w:spacing w:line="360" w:lineRule="auto"/>
        <w:jc w:val="left"/>
        <w:textAlignment w:val="center"/>
        <w:rPr>
          <w:rFonts w:hint="eastAsia" w:ascii="宋体" w:hAnsi="宋体" w:eastAsia="宋体" w:cs="宋体"/>
          <w:sz w:val="24"/>
          <w:lang w:bidi="en-US"/>
        </w:rPr>
      </w:pPr>
      <w:r>
        <w:rPr>
          <w:rFonts w:hint="eastAsia" w:ascii="宋体" w:hAnsi="宋体" w:eastAsia="宋体" w:cs="宋体"/>
          <w:sz w:val="24"/>
          <w:lang w:bidi="en-US"/>
        </w:rPr>
        <w:t>个人信息管理包括个人信息新增、个人信息列表查询、个人信息详细信息查询、个人信息修改、个人信息批量导入、导入模版下载、导入数据上传、个人信息注销</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单位招聘管理包括岗位发布、岗位查询、岗位上线、岗位下线、岗位审核、岗位信息批量导入模版下载、岗位信息批量导入上传、岗位信息批量导入、岗位信息批量删除、对系统推荐的招聘信息进行情况反馈、、维护人力资源公司与普通公司之间的签约关系</w:t>
      </w:r>
    </w:p>
    <w:p>
      <w:pPr>
        <w:widowControl/>
        <w:spacing w:line="360" w:lineRule="auto"/>
        <w:jc w:val="left"/>
        <w:textAlignment w:val="center"/>
        <w:rPr>
          <w:rFonts w:hint="eastAsia" w:ascii="宋体" w:hAnsi="宋体" w:eastAsia="宋体" w:cs="宋体"/>
          <w:sz w:val="24"/>
          <w:lang w:bidi="en-US"/>
        </w:rPr>
      </w:pPr>
      <w:r>
        <w:rPr>
          <w:rFonts w:hint="eastAsia" w:ascii="宋体" w:hAnsi="宋体" w:eastAsia="宋体" w:cs="宋体"/>
          <w:sz w:val="24"/>
          <w:lang w:bidi="en-US"/>
        </w:rPr>
        <w:t>个人求职管理包括个人简历审核个人简历查询、个人简历新增、个人简历修改、个人简历归档、根据简历推荐岗位、根据岗位查看、搜索记录推荐岗位</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职业指导管理包括专家导师新增、专家导师修改、专家导师信息初审、专家导师信息终审、专家导师列表查询、专家导师详情查询、专家导师删除、单位职业用工指导增加、单位职业用工指导调整、单位职业用工指导查看、个人求职指导新增、单位职业用工指导修改、单位用工指导列表查询、、单位用工指导详细信息查询单位职业用工指导删除</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招聘会信息管理包括招聘会线下场地新增、招聘会线下场地修改、招聘会线下场地初审、招聘会线下场地终审、招聘会线下场地查询、招聘会线下场地删除、硬件设备绑定、场地绘图、招聘会新增、招聘会修改、招聘会预约审核、招聘会分配展位号、招聘会调整展位号、审核招聘会岗位信息</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智能摊位管理包括招聘会会场新增、招聘会会场修改、招聘会会场初审、招聘会会场终审、招聘会会场查询、招聘会会场删除、生成摊位示意图、生成摊位示意图查询、招聘会信息查询、生成招聘会信息、招聘会摊位申请、招聘会摊位分配、招聘会摊位申请进度查询、招聘会摊位撤销、智能摊位招聘会会场查询、智能摊位招聘会查询、招聘会单位积分管理、招聘会单位积分查询、招聘会摊位机器新增、招聘会摊位机器修改、招聘会摊位机器查询、招聘会摊位机器删除、单位基本信息对接、单位基本信息修改、单位基本信息查看、招聘信息对接、招聘信息数据对接、招聘信息对接数据分析清洗、智能摊位单位图片对接、个人基本信息对接、求职信息对接、招聘会单位摊位签到、招聘会企业信用评价、招聘会企业签到统计、招聘会企业积分管理、招聘会企业积分查询、招聘会企业面试反馈统计、招聘会企业信用等级新增、招聘会企业信用等级修改、招聘会企业信用等级查询、招聘会企业信用等级删除、招聘会摊位引导图、招聘会单位信息展现、招聘会现场求职登记、招聘会多媒体机器新增、招聘会多媒体机器修改、招聘会多媒体机器查询、招聘会多媒体机器删除、招聘会多媒体资源新增、招聘会多媒体页面新增、招聘会多媒体页面修改、招聘会多媒体页面查询、招聘会多媒体页面删除、招聘会多媒体资源绑定、招聘会多媒体资源修改、招聘会多媒体资源查询、招聘会多媒体资源删除、招聘会LED大屏企业信息展现、招聘会LED大屏招工信息展现、招聘会LED大屏单位视频展现、招聘会LED大屏重要通知公告、招聘会触摸屏信息展现</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零工市场（家门口就业）绑定信息管理包括绑定信息新增、绑定信息修改、绑定信息列表查询、绑定信息详细信息查询、绑定信息删除</w:t>
      </w:r>
    </w:p>
    <w:p>
      <w:pPr>
        <w:pStyle w:val="5"/>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AI 智能客服管理</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通过集成知识库管理、机器人管理、渠道管理等关键功能，实现对人社AI 智能助手各业务流程的集中监管和优化，提升管理效率和服务质量。主要包括公共就业知识库管理、文档向量化、建立向量索引、知识库向量检索、知识库全文检索、QA 知识库管理、QA 知识启停、文档知识库管理、就业政策文档知识库管理、文档切片、特征提取、知识提炼、意图识别和上下文分析、样例SQL 匹配、数据表和列选择、查询语句生成、数据库检索、）结果准备和展现、机器人管理、敏感词管理、运行情况总览、热门QA 问题、未命中问题统计、延安公共服务渠道信息管理、服务内容配置、界面样式定制、交互流程优化、权限管理、数据分析与报告、故障排查与恢复、版本更新与升级。</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公共就业知识库管理包括知识库录入、知识库编辑、知识库注销、知识库权限管理、文档向量化、建立向量索引、知识库向量检索、知识库全文输入短语检索、知识库全文关键词检索</w:t>
      </w:r>
    </w:p>
    <w:p>
      <w:pPr>
        <w:widowControl/>
        <w:spacing w:line="360" w:lineRule="auto"/>
        <w:jc w:val="left"/>
        <w:textAlignment w:val="center"/>
        <w:rPr>
          <w:rFonts w:hint="eastAsia" w:ascii="宋体" w:hAnsi="宋体" w:eastAsia="宋体" w:cs="宋体"/>
          <w:sz w:val="24"/>
          <w:lang w:bidi="en-US"/>
        </w:rPr>
      </w:pPr>
      <w:r>
        <w:rPr>
          <w:rFonts w:hint="eastAsia" w:ascii="宋体" w:hAnsi="宋体" w:eastAsia="宋体" w:cs="宋体"/>
          <w:sz w:val="24"/>
          <w:lang w:bidi="en-US"/>
        </w:rPr>
        <w:t>QA知识库管理包括QA知识新增、QA知识编辑、QA知识删除、QA知识启动、QA知识停止、文档知识库新增、文档知识库修改、文档知识库删除、文档知识库列表查询、文档知识库详细信息查询</w:t>
      </w:r>
    </w:p>
    <w:p>
      <w:pPr>
        <w:widowControl/>
        <w:spacing w:line="360" w:lineRule="auto"/>
        <w:jc w:val="left"/>
        <w:textAlignment w:val="center"/>
        <w:rPr>
          <w:rFonts w:hint="eastAsia" w:ascii="宋体" w:hAnsi="宋体" w:eastAsia="宋体" w:cs="宋体"/>
          <w:sz w:val="24"/>
          <w:lang w:bidi="en-US"/>
        </w:rPr>
      </w:pPr>
      <w:r>
        <w:rPr>
          <w:rFonts w:hint="eastAsia" w:ascii="宋体" w:hAnsi="宋体" w:eastAsia="宋体" w:cs="宋体"/>
          <w:sz w:val="24"/>
          <w:lang w:bidi="en-US"/>
        </w:rPr>
        <w:t>就业政策文档知识库管理包括知识库文档导入、知识库文档解析、知识库文档名称编辑、领域知识补充、知识库文档在线查看、知识库文档切片、切片结果预览、切片模式参数管理、新增切片组、删除切片组、文档片段命中测试、切片查询、文档特征提取、文档特征属性管理、知识编辑、导入知识库</w:t>
      </w:r>
    </w:p>
    <w:p>
      <w:pPr>
        <w:widowControl/>
        <w:spacing w:line="360" w:lineRule="auto"/>
        <w:jc w:val="left"/>
        <w:textAlignment w:val="center"/>
        <w:rPr>
          <w:rFonts w:hint="eastAsia" w:ascii="宋体" w:hAnsi="宋体" w:eastAsia="宋体" w:cs="宋体"/>
          <w:sz w:val="24"/>
          <w:lang w:bidi="en-US"/>
        </w:rPr>
      </w:pPr>
      <w:r>
        <w:rPr>
          <w:rFonts w:hint="eastAsia" w:ascii="宋体" w:hAnsi="宋体" w:eastAsia="宋体" w:cs="宋体"/>
          <w:sz w:val="24"/>
          <w:lang w:bidi="en-US"/>
        </w:rPr>
        <w:t>智能回答包括意图识别和上下文分析、样例SQL匹配、数据表和列选择、查询语句生成、数据库检索、结果准备和展现</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机器人管理包括机器人新增、机器人修改、机器人删除、机器人列表查询、机器人详细信息查询、机器人基本信息配置、机器人基本信息修改、机器人基本信息查询、常用语新增、常用语修改、常用语删除、常用语查询、机器人知识库新增、机器人知识库修改、机器人知识库删除、机器人知识库列表查询、机器人知识库详细信息查询、机器人知识库内容定位、机器人常见问题新增、机器人常见问题修改、机器人常见问题删除、机器人常见问题列表查询、机器人常见问题详细信息查询、机器人启动、机器人关闭</w:t>
      </w:r>
    </w:p>
    <w:p>
      <w:pPr>
        <w:widowControl/>
        <w:spacing w:line="360" w:lineRule="auto"/>
        <w:jc w:val="left"/>
        <w:textAlignment w:val="center"/>
        <w:rPr>
          <w:rFonts w:hint="eastAsia" w:ascii="宋体" w:hAnsi="宋体" w:eastAsia="宋体" w:cs="宋体"/>
          <w:sz w:val="24"/>
          <w:lang w:bidi="en-US"/>
        </w:rPr>
      </w:pPr>
      <w:r>
        <w:rPr>
          <w:rFonts w:hint="eastAsia" w:ascii="宋体" w:hAnsi="宋体" w:eastAsia="宋体" w:cs="宋体"/>
          <w:sz w:val="24"/>
          <w:lang w:bidi="en-US"/>
        </w:rPr>
        <w:t>敏感词管理包括敏感词管理敏感词新增、敏感词管理敏感词编辑、敏感词管理敏感词查询</w:t>
      </w:r>
    </w:p>
    <w:p>
      <w:pPr>
        <w:widowControl/>
        <w:spacing w:line="360" w:lineRule="auto"/>
        <w:jc w:val="left"/>
        <w:textAlignment w:val="center"/>
        <w:rPr>
          <w:rFonts w:hint="eastAsia" w:ascii="宋体" w:hAnsi="宋体" w:eastAsia="宋体" w:cs="宋体"/>
          <w:sz w:val="24"/>
          <w:lang w:bidi="en-US"/>
        </w:rPr>
      </w:pPr>
      <w:r>
        <w:rPr>
          <w:rFonts w:hint="eastAsia" w:ascii="宋体" w:hAnsi="宋体" w:eastAsia="宋体" w:cs="宋体"/>
          <w:sz w:val="24"/>
          <w:lang w:bidi="en-US"/>
        </w:rPr>
        <w:t>统计管理包括智能客服运行情况总览、热门QA问题、问题类型分布统计、服务渠道分布统计、未命中问题统计</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延安公共服务渠道配置管理包括服务渠道管理、服务内容新增、服务内容修改、服务内容删除、服务内容列表查看、服务内容详细信息查看、界面样式定制新增、界面样式定制修改、界面样式定制删除、界面样式定制查看、交互流程管理、用户授权、取消授权、数据分析与报告、各渠用户访问数据分析、用户行为数据分析、用户数据综合分析、用户数据深度分析、用户数据分析报告、服务故障排查与恢复、故障排查工具下载、故障问题系统分析定位、服务故障恢复、版本新增、版本修改、版本删除、版本查询</w:t>
      </w:r>
    </w:p>
    <w:p>
      <w:pPr>
        <w:pStyle w:val="5"/>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电子劳动合同管理</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主要包括电子劳动合同服务管理、电子劳动合同统一管理、劳动用工服务、劳务派遣经营许可管理、劳务派遣合同管理、电子劳动合同信息管理、企业薪酬信息服务、用户管理、权限管理。</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电子劳动合同服务管理包括实现企业电子劳动合同注册认证、实现企业电子合同编辑、实现企业电子合同新增、实现企业电子合同变更、实现企业电子合同作废、实现企业电子合同制作、实现企业电子合同推送、实现企业电子合同续签、实现企业电子合同终止、实现企业电子合同审计、实现企业电子合同签署、实现企业电子合同预览、实现企业电子合同打印、实现企业电子合同下载、实现企业电子合同查阅</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电子劳动合同统一管理包括合同模板管理、合同模板修改、合同模板作废、合同模板制作、合同模板上传、合同模板下载、合同模板预览、合同印章管理、合同印章新增、合同印章修改、合同印章作废、合同印章年检、合同印章借阅、合同印章借阅记录查询、合同印章归还、合同印章查询、通用合同拟定、通用合同修改、通用合同作废、通用合同预览、通用合同下载、通用合同上传、通用合同列表查询、通用合同详细信息查询、劳务派遣合同拟定、劳务派遣合同签署、劳务派遣合同修改、劳务派遣合同作废、劳务派遣合同预览、劳务派遣合同上传、劳务派遣合同下载、劳务派遣合同查询、合同制作、合同推送、合同推送记录、合同推送记录查询、合同变更、合同变更记录、合同变更记录查询、合同续签、合同续签记录、合同续签记录查询、合同查询、合同终止、合同上传、合同作废、合同终止证明、合同终止证明预览、合同终止证明下载、电子合同下载、电子合同效果展示、已签电子合同查询、已签电子合同展示、电子合同个人认证、电子合同用人单位认证、电子社保卡对接</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劳务派遣标准化管理包括劳务派遣用工备案管理、劳务派遣用工备案新增、劳务派遣用工备案修改、劳务派遣用工备案删除、劳务派遣用工备案查询、劳务派遣用工备案打印、劳务派遣劳动用工查询、劳务派遣特殊工时管理、劳务派遣特殊工时新增、劳务派遣特殊工时修改、劳务派遣特殊工时删除、劳务派遣特殊工时查询、劳务派遣经营许可管理、劳务派遣经营许可新增、劳务派遣经营许可修改、劳务派遣经营许可删除、劳务派遣经营许可列表查询、劳务派遣经营许可详细信息查询、劳务派遣年度核验、劳务派遣年度核验正确信息查询、劳务派遣年度核验错误信息查询、劳务派遣年度新增、劳务派遣年度修改、劳务派遣年度作废、劳务派遣年度查询、核验审批、劳务派遣单位新增、劳务派遣单位设立变更、劳务派遣单位设立变更信息查看、劳务派遣单位设立变更受理、劳务派遣单位延续换证、劳务派遣单位延续换证信息查看、劳务派遣单位延续换证受理、劳务派遣单位注销、劳务派遣分公司管理、分公司踏勘管理、劳务派遣分公司变更备案、劳务派遣分公司变更备案信息查看、劳务派遣分公司变更备案受理、劳务派遣单位延续备案、劳务派遣单位注销备案、劳务派遣外地分公司、劳务派遣办理记录、劳务派遣合同数据审核管理、劳务派遣单位打印、劳务派遣单位年检、劳务派遣单位列表查询、劳务派遣单位详细信息查询、有效合同信息列表查询、有效合同信息详细信息查询、合同上传期限设置、劳务派遣合同统计查询、劳务派遣合同打印、劳务派遣合同区域分析、劳务派遣合同时间分析、电子劳动合同审核管理、电子劳动合同期限管理、电子劳动合同统计列表查询、电子劳动合同统计查询详细信息</w:t>
      </w:r>
    </w:p>
    <w:p>
      <w:pPr>
        <w:pStyle w:val="5"/>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证书补办管理</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包括补办申请提交、申请受理、申请状态查询。</w:t>
      </w:r>
    </w:p>
    <w:p>
      <w:pPr>
        <w:pStyle w:val="54"/>
        <w:spacing w:line="360" w:lineRule="auto"/>
        <w:rPr>
          <w:rFonts w:hint="eastAsia" w:ascii="宋体" w:hAnsi="宋体" w:eastAsia="宋体" w:cs="宋体"/>
          <w:sz w:val="24"/>
          <w:lang w:bidi="en-US"/>
        </w:rPr>
      </w:pPr>
    </w:p>
    <w:p>
      <w:pPr>
        <w:pStyle w:val="5"/>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人事考试管理</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针对延安市人事考试管理，主要包括考试违纪库、专业技术人员职业资格证书库、事业单位招聘考试智能问答系统、专业技术人员职业资格证书网上补办及邮寄平台、事业单位招聘面试考官库。</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考生违纪库包括考生违纪行为信息、考生违纪库新增考生违纪库修改、考生违纪库初审、考生违纪库终审、考生违纪库删除、考生违纪库列表查询、考生违纪库详细查询、考生违纪库考试科目分析、考生违纪库考试学历分析、考生违纪库考试岗位类型分析、考生违纪库考试专业分析、考生违纪库年龄段分析、考生违纪库性别分析</w:t>
      </w:r>
    </w:p>
    <w:p>
      <w:pPr>
        <w:widowControl/>
        <w:spacing w:line="360" w:lineRule="auto"/>
        <w:jc w:val="left"/>
        <w:textAlignment w:val="center"/>
        <w:rPr>
          <w:rFonts w:hint="eastAsia" w:ascii="宋体" w:hAnsi="宋体" w:eastAsia="宋体" w:cs="宋体"/>
          <w:sz w:val="24"/>
          <w:lang w:bidi="en-US"/>
        </w:rPr>
      </w:pPr>
      <w:r>
        <w:rPr>
          <w:rFonts w:hint="eastAsia" w:ascii="宋体" w:hAnsi="宋体" w:eastAsia="宋体" w:cs="宋体"/>
          <w:sz w:val="24"/>
          <w:lang w:bidi="en-US"/>
        </w:rPr>
        <w:t>专业技术人员职业资格证书库包括涵盖延安户籍及延安考区证书类型、专业技术人员职业资格证书库新增、专业技术人员职业资格证书库修改、专业技术人员职业资格证书库删除、专业技术人员职业资格证书库查询、专业技术人员职业资格证书库热门类型分析、专业技术人员职业资格证书库咨询浏览量分析</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事业单位招聘考试智能问答系统包括关键词自动回复、人事考试报名自动回复、准考证打印自动回复、资格审查自动回复、笔试自动回复、面试自动回复、事业单位招聘考试智能问答系统关键词管理、事业单位招聘考试智能问答系统关键词新增、事业单位招聘考试智能问答系统关键词修改、事业单位招聘考试智能问答系统关键词删除</w:t>
      </w:r>
    </w:p>
    <w:p>
      <w:pPr>
        <w:widowControl/>
        <w:spacing w:line="360" w:lineRule="auto"/>
        <w:jc w:val="left"/>
        <w:textAlignment w:val="center"/>
        <w:rPr>
          <w:rFonts w:hint="eastAsia" w:ascii="宋体" w:hAnsi="宋体" w:eastAsia="宋体" w:cs="宋体"/>
          <w:sz w:val="24"/>
          <w:lang w:bidi="en-US"/>
        </w:rPr>
      </w:pPr>
      <w:r>
        <w:rPr>
          <w:rFonts w:hint="eastAsia" w:ascii="宋体" w:hAnsi="宋体" w:eastAsia="宋体" w:cs="宋体"/>
          <w:sz w:val="24"/>
          <w:lang w:bidi="en-US"/>
        </w:rPr>
        <w:t>专业技术人员职业资格证书网上补办及邮寄平台包括证书管理、证书查验、电子证书下载、证书补办申请、证书补办进度查询、证书补办邮寄</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事业单位招聘面试考官库包括考官基本信息管理、事业单位招聘面试考官库新增、事业单位招聘面试考官库修改、事业单位招聘面试考官库初审、事业单位招聘面试考官库复审、事业单位招聘面试考官库终审、事业单位招聘面试考官库删除、事业单位招聘面试考官库停用、事业单位招聘面试考官库启用、事业单位招聘面试考官库列表查询、事业单位招聘面试考官库详细信息查询、事业单位招聘面试考官库考官学历信息统计、事业单位招聘面试考官库考官状态信息统计、事业单位招聘面试考官库考官年龄信息统计、事业单位招聘面试考官库考官区域信息统计、事业单位招聘面试考官库考官性别信息统计、事业单位招聘面试考官库考官人员类别信息统计、事业单位招聘面试考官库考官等级信息统计、事业单位招聘面试考官库考官职务信息统计、事业单位招聘面试考官库考官面试次数信息统计、事业单位招聘面试考官库考官停用原因信息统计</w:t>
      </w:r>
    </w:p>
    <w:p>
      <w:pPr>
        <w:pStyle w:val="4"/>
        <w:spacing w:before="163" w:after="163" w:line="360" w:lineRule="auto"/>
        <w:rPr>
          <w:rFonts w:hint="eastAsia" w:ascii="宋体" w:hAnsi="宋体" w:eastAsia="宋体" w:cs="宋体"/>
          <w:sz w:val="24"/>
        </w:rPr>
      </w:pPr>
      <w:r>
        <w:rPr>
          <w:rFonts w:hint="eastAsia" w:ascii="宋体" w:hAnsi="宋体" w:eastAsia="宋体" w:cs="宋体"/>
          <w:sz w:val="24"/>
        </w:rPr>
        <w:t>公共就业监测子系统</w:t>
      </w:r>
    </w:p>
    <w:p>
      <w:pPr>
        <w:pStyle w:val="5"/>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监测数据统计看板</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监测数据统计看板提供就业业务数据统计看板、社保业务数据统计看板、劳动监察数据统计看板、产业链数据统计看板。</w:t>
      </w:r>
    </w:p>
    <w:p>
      <w:pPr>
        <w:pStyle w:val="6"/>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就业业务数据统计看板</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基于就业业务数据，对城镇新增就业数据、登记失业人员数据、就业困难人员就业数据、劳动力数据流动监测数据、农村劳动力转移就业情况数据、脱贫劳动力转移就业情况数据、重点群体就业情况数据、离校未就业高校毕业生就业服务情况数据、就业补助资金使用情况统计数据、人力资源市场供求监测数据、产业技能人才数据、就业形势数据、失业形势数据、创业形势数据、就业资金使用形势、各险种参保情况数据、待遇领取情况数据、基金收支情况数据、投诉举报情况数据、吸纳岗位数据、产业链上下游数据、重点产业就业岗位数据、重点产业创业政策享受数据、产业参保情况数据等进行多维度展示。</w:t>
      </w:r>
    </w:p>
    <w:p>
      <w:pPr>
        <w:pStyle w:val="5"/>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就业失业动态监测</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对就业动态监测、失业动态监测、就业补助资金监测进行动态监测。</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就业动态监测包括就业动态监测看板、就业动态监测查询、就业与常住人口动态监测查询、就业与常住人口动态监测看板、就业区域动态监测查询、就业区域动态监测看板、就业产业动态监测查询、就业产业动态监测看板、就业行业动态监测查询、就业行业动态监测看板、就业企业性质动态监测查询、就业企业性质动态监测看板、就业形式情况监测查询、、就业形式情况监测看板就业月度趋势监测查询、就业月度趋势监测看板、年初至报告期末城镇新增就业人数动态监测查询、年初至报告期末城镇新增就业人数动态监测看板、年初至报告期末城镇累计新就业人数动态监测查询、年初至报告期末城镇累计新就业人数动态监测看板、年初至报告期末失业人员实现再就业人数动态监测查询、年初至报告期末失业人员实现再就业人数动态监测看板、年初至报告期末就业困难人员实现就业人数动态监测查询、年初至报告期末就业困难人员实现就业人数动态监测看板、就业学历动态监测查询、就业学历动态监测看板、就业性别动态监测查询、就业性别动态监测看板、就业年龄动态监测查询、、就业年龄动态监测看板就业供求关系动态监测查询、就业供求关系动态监测看板、就业供求倍率动态监测查询、就业供求倍率动态监测看板、就业同比动态监测查询、就业同比动态监测看板、就业环比动态监测查询、就业环比动态监测看板</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失业动态监测主要展现全市及各区县的失业情况对比分析和各期的变化趋势分析、全市及各区县的失业情况对比分析和各期的变化趋势分析查询、失业区域动态监测查询、失业区域动态监测看板、失业行业动态监测查询、失业行业动态监测看板、失业学历动态监测查询、失业学历动态监测看板、失业性别动态监测查询、失业性别动态监测看板、失业年龄动态监测查询、失业年龄动态监测看板、失业原因动态监测查询、失业原因动态监测看板、失业时长动态监测查询、失业时长动态监测看板、失业金发放动态监测查询、失业金发放动态监测看板、失业同比动态监测查询、失业同比动态监测看板、失业环比动态监测查询、失业环比动态监测看板</w:t>
      </w:r>
    </w:p>
    <w:p>
      <w:pPr>
        <w:pStyle w:val="5"/>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就业资金风控预警监测</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通过汇聚人社、市监等部门的数据，运用大数据技术，对全市企业情况进行整体分析和展示，打造全市人社政策运行监测和风险防控能力。主要包括资金风控规则库建设、已发放就业资金扫描、已发放就业资金扫描风险预警展示、风险资金下发整改、风险资金复审、风险资金查询、风险资金导出。</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就业补助资金监测包括重点监测就业各项补贴资金发放的使用情况看板、重点监测就业各项补贴资金发放的使用情况查询、就业补助资金发放区域监测查询、就业补助资金发放区域监测、就业补助资金发放类型监测查询、就业补助资金发放类型监测、就业补助资金发放金额监测查询、就业补助资金发放金额监测、就业补助资金发放人员性别监测查询、就业补助资金发放人员性别监测、就业补助资金发放人员年龄监测查询、就业补助资金发放人员年龄监测、就业补助资金发放人员学历监测查询、就业补助资金发放人员学历监测、就业补助资金发放人员带动就业监测查询、就业补助资金发放人员带动就业监测、职业培训补贴使用情况监测查询、职业培训补贴使用情况监测、就业技能培训使用情况监测查询、就业技能培训使用情况监测、劳动预备制培训生活费补贴监测查询、劳动预备制培训生活费补贴监测、创业培训补贴使用情况监测查询、创业培训补贴使用情况监测、企业在职职工岗位技能培训补贴情况监测查询、企业在职职工岗位技能培训补贴情况监测、职业技能简单补贴情况监测查询、职业技能简单补贴情况监测、公益性岗位安置补贴情况监测查询、公益性岗位安置补贴情况监测、企业吸纳就业困难人员社会保险补贴情况监测查询、企业吸纳就业困难人员社会保险补贴情况监测、灵活就业和高校毕业生社会保险补贴情况监测查询、灵活就业和高校毕业生社会保险补贴情况监测、就业补助资金发放同比监测查询、就业补助资金发放同比监测、就业补助资金发放环比监测查询、就业补助资金发放环比监测</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资金风控规则库建设包括资金风控规则库建设、规则类型与指标定义维护、规则计算公式设计、资金风控规则阈值配置、规则启用/禁用状态切换</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已发放就业资金扫描包括申报与发放数据进行扫描、定时扫描任务调度、定时扫描任务执行、资金发放数据批量获取、规则引擎匹配计算</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已发放就业资金扫描预警展示包括已发放就业资金扫描风险预警展示包括风险与疑似风险数据形成风险数据库、风险等级自动判定、风险数据记录与归档</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风险资金下发整改包括市本级管理部门可对扫描出的风险数据进行导出、风险数据清单导出（至区县）区县核实结果录入与提交</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风险资金初审包括风险资金初审、初审任务列表展示、初审意见填写与提交</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复审包括风险资金复审、复审任务列表展示、复审意见填写、复审意见流程归档</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风险资金查询包括风险资金查询、多条件组合查询界面渲染、风险数据查询​​</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风险资金导出包括风险资金导出、导出参数设置（格式、字段）、导出文件生成与下载​​</w:t>
      </w:r>
    </w:p>
    <w:p>
      <w:pPr>
        <w:pStyle w:val="5"/>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就业监测分析</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对就业总体概况监测展示、城镇新增就业人员监测展示、企业用工监测展示、企业用工人员结构监测展示、行业用工监测展示、经济类型企业用工监测展示、规上工业企业用工监测展示、规下（小微）企业用工监测展示、青年人群就业监测展示、转移就业农村劳动力就业监测展示、就业创业补贴综合展示、就业创业税收优惠政策享受情况监测展示、一次性创业补贴享受情况监测展示、创业担保贷款享受情况监测展示、一次性求职补贴享受情况监测展示、城镇新增就业情况数字监测展示、高校毕业生就业情况数字报告、农民工就业情况数字报告、贫困劳动力就业情况数字报告、失业人员再就业情况数字报告、就业困难人员就业情况数字报告。</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就业总体概况监测展示包括就业登记实时动态分析、实时数据接口调用、当日登记总量计算、环比/同比变化计算、动态趋势图表渲染、常住人口分析、分析参数设置与任务触发、多源人口数据汇总、 历史对比指标计算、分析指标结果持久化存储、就业登记人数分析、分析维度与条件设置、登记数据按维度聚合、就业总体形式分析、就业总体月度趋势分析、 占比排名等指标计算、聚合结果持久化存储、产业分布分析、产业分类与时间范围设置、企业-产业关联映射、各产业就业人数统计、产业分布统计存储、就业类型分析、就业类型筛选与任务触发、按就业类型分组计数、结构变化分析、就业类型结果持久化存储、区域就业分析、区域就业分析查询、就业同比分析查询、就业同比分析、就业环比分析查询、就业环比分析</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城镇新增就业人员监测展示包括城镇新增就业人员人数统计、统计维度与时间范围选择、按维度分组统计人数、多维度统计结果图表渲染、城镇新增就业人员整体分析、 整体分析指标库维护、多维度数据交叉计算、整体分析结果快照存储、城镇新增就业人数排名分析、排名维度与算法配置、执行排名算法生成榜单、排名结果数据存储、城镇新增就业人员行业分布分析、行业分类标准映射维护、 行业分布与趋势指标计算、行业分布分析结果存储、城镇新增就业人员年龄分布分析、年龄段划分标准配置、各年龄段人数统计与变化计算、年龄分布分析结果存储、城镇新增就业人员性别分布分析、城镇新增就业人员区域分析、城镇新增就业人员性别分布分析查询、城镇新增就业人员区域分析查询、城镇新增就业人员薪资分析、城镇新增就业人员同比分析查询、城镇新增就业人员同比分析、城镇新增就业人员环比分析查询、城镇新增就业人员环比分析</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企业用工监测展示包括产业用工分布分析、产业分类标准维护、企业用工人数数据查询、产业用工聚合计算、分布分析结果存储、用工区域分布分析、区域划分标准维护、区域用工人数数据查询、区域分布统计计算、区域分析结果存储、企业经济类型分布分析、用工需求企业总数分析、企业用工岗位行业分析、企业用工产业链分析、经济类型分类维护、经济类型用工数据查询、经济类型分布计算、经济类型分析结果存储、用工人数变化趋势分析、时间周期参数设置、历史用工人数数据查询、趋势指标计算（如环比、同比）、趋势分析结果存储、用工实时动态分析实时数据流接入、、实时数据过滤与加工、动态指标计算（如实时在岗人数）、实时分析结果存储、企业净增人数趋势分析、企业净增人数趋势分析查询、企业用工同比分析查询、企业用工同比分析、企业用工环比分析查询、企业用工环比分析</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企业用工人员结构监测展示包括不同结构特征员工在薪资等方面的差异分析、不同结构特征员工在薪资等方面查询、企业用工人员年龄分析查询、企业用工人员年龄分析、企业用工人员性别分析查询、企业用工人员性别分析、企业用工人员学历分析查询、企业用工人员学历分析、企业用工人员薪资分析查询、企业用工人员薪资分析、企业用工人员技能水平分析查询、企业用工人员技能水平分析、企业用工人员区域分析查询、企业用工人员区域分析、企业用工人员同比分析查询、企业用工人员同比分析、企业用工人员环比分析查询、企业用工人员环比分析</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行业用工监测展示包括行业用工人数分析、行业用工人数数据采集、行业用工人数数据存储、 行业用工人数多维度分析、行业企业家数分析、行业企业家数数据采集、行业企业家数数据存储、行业企业家数多维度分析、行业用工人数预测、预测数据准备与查询、预测模型执行与分析、预测结果输出与存储、行业用工排名分析、行业用工排名分析查询、行业用工性别分析查询、行业用工性别分析、行业用工年龄分析查询、行业用工年龄分析、行业用工薪资分析查询、行业用工薪资分析、行业用工同比分析查询、行业用工同比分析、行业用工环比分析查询、行业用工环比分析</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经济类型企业用工监测展示包括国有企业用工总览、国有企业用户性别分析查询、国有企业用户性别分析、国有企业用户学历分析查询、国有企业用户学历分析、国有企业用户年龄分析查询、国有企业用户年龄分析国有企业用户薪资分析查询、国有企业用户薪资分析、国有企业用户同比分析查询、国有企业用户同比分析、国有企业用户环比分析查询、国有企业用户环比分析、民营企业用工总览、民营企业用户性别分析查询、民营企业用户性别分析、民营企业用户学历分析查询、民营企业用户学历分析、民营企业用户年龄分析查询、民营企业用户年龄分析、民营企业用户薪资分析查询、民营企业用户薪资分析、民营企业用户同比分析查询、民营企业用户同比分析、民营企业用户环比分析查询、民营企业用户环比分析、外资企业用工总览、外资企业用户性别分析查询、外资企业用户性别分析、外资企业用户学历分析查询、外资企业用户学历分析、外资企业用户年龄分析查询、外资企业用户年龄分析、外资企业用户薪资分析查询、外资企业用户薪资分析、外资企业用户同比分析查询、外资企业用户同比分析、外资企业用户环比分析查询、外资企业用户环比分析</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规上工业企业用工监测展示包括工业企业员工的学历、技能水平结构分析；规上工业企业员工的学历、技能水平结构查询；规上工业企业用户性别分析查询；规上工业企业用户性别分析；规上工业企业用户年龄分析查询；规上工业企业用户年龄分析；规上工业企业用户学历分析查询；规上工业企业用户学历分析；规上工业企业用户技能水平分析查询；规上工业企业用户技能水平分析；规上工业企业用户薪资分析查询；规上工业企业用户薪资分析；规上工业企业用户同比分析查询；规上工业企业用户同比分析；规上工业企业用户环比分析查询；规上工业企业用户环比分析</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规下（小微）企业用工监测展示包括小微企业的用工总量、增长率分析；小微企业的用工总量、增长率分析查询；规下(小微)企业用户性别分析查询；规下(小微)企业用户性别分析；规下(小微)企业用户年龄分析查询；规下(小微)企业用户年龄分析；规下(小微)企业用户学历分析查询；规下(小微)企业用户学历分析；规下(小微)企业用户技能水平分析查询；规下(小微)企业用户技能水平分析；规下(小微)企业用户薪资分析查询；规下(小微)企业用户薪资分析；规下(小微)企业用户同比分析查询；规下(小微)企业用户同比分析；规下(小微)企业用户环比分析查询；规下(小微)企业用户环比分析</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青年人群就业监测展示包括青年人群就业情况分析、青年人群多源就业数据采集与接收、青年人群就业基础信息库维护、 就业趋势与占比多维度统计计算、就业情况分析结果可视化展示、青年人群实时动态人数分析、实时就业/失业登记数据流接入、实时动态人数统计值计算与更新、实时人数指标库维护、实时动态仪表盘渲染、青年人群工作地分布、工作地分布分析条件设置（如按省/市/区县）、青年人群工作地明细数据查询、工作地分布统计与地图映射计算、分布热力图/分级统计图渲染、青年人群性别分布、青年人群性别数据查询、分性别就业统计与占比计算、性别分布对比图表（如饼图、柱状图）渲染、青年人群学历分布、青年人群学历数据查询、按学历分层统计与结构分析、学历分布结构图（如金字塔图、环形图）渲染</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转移就业农村劳动力就业监测展示包括农村转移就业劳动者总人数分布、总人数数据采集与接收、总人数基础数据存储与管理、总人数趋势与占比分析计算、总人数分布结果可视化展示、农村转移就业劳动者务工类型分布、务工类型数据采集与接收、务工类型数据存储与管理、务工类型分布统计与趋势分析、务工类型分布结果可视化展示、农村转移就业劳动者性别分布、性别数据采集与接收、性别数据存储与管理、性别分布统计与对比分析、性别分布结果可视化展示、农村转移就业劳动者年龄分布、年龄数据采集与接收、年龄数据存储与管理、年龄分层统计与同比分析、年龄分布结果可视化展示、农村转移就业劳动者就业区域分布、就业区域数据采集与接收、就业区域数据存储与管理、区域聚合统计与热点分析、就业区域分布结果可视化展示</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就业创业补贴综合展示包括各类就业创业补贴的发放情况、受益人群以及补贴效果分析；各类就业创业补贴的发放情况、受益人群以及补贴效果查询；就业技能培训补贴发放情况分析；就业技能培训补贴发放情况查询；就业创业补贴综合展示—创业培训补贴发放情况分析；就业创业补贴综合展示—创业培训补贴发放情况查询；就业创业补贴综合展示—公益性岗位安置补贴发放情况分析；就业创业补贴综合展示—公益性岗位安置补贴发放情况查询；就业创业补贴综合展示—企业吸纳就业困难人员社会保险补贴发放情况分析；就业创业补贴综合展示—企业吸纳就业困难人员社会保险补贴发放情况查询；就业创业补贴综合展示—灵活就业和高校毕业生社会保险补贴发放情况分析；就业创业补贴综合展示—灵活就业和高校毕业生社会保险补贴发放情况查询；就业创业补贴收益人群分析查询；就业创业补贴收益人群分析；就业创业补贴同比查询；就业创业补贴同比分析；就业创业补贴环比查询；就业创业补贴环比分析</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就业创业税收优惠政策享受情况监测展示包括就业创业税收优惠政策的享受情况、受益人群以及政策效果分析；就业创业税收优惠政策的享受情况、受益人群以及政策效果查询；就业创业税收优惠政策受益人群查询；就业创业税收优惠政策受益人群分析；就业创业税收优惠政策政策效果查询；就业创业税收优惠政策政策效果分析；就业创业税收优惠政策同比查询；就业创业税收优惠政策同比分析；就业创业税收优惠政策环比查询；就业创业税收优惠政策环比分析</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一次性创业补贴享受情况监测展示包括一次性创业补贴的发放情况、受益人群以及补贴效果分析；一次性创业补贴的发放情况、受益人群以及补贴效果查询；一次性创业补贴发放区域查询；一次性创业补贴发放区域分析；一次性创业补贴发放同比查询；一次性创业补贴发放同比分析；一次性创业补贴发放环比查询；一次性创业补贴发放环比分析；一次性创业补贴发放人群学历查询；一次性创业补贴发放人群学历分析；一次性创业补贴发放人群性别查询；一次性创业补贴发放人群性别分析；一次性创业补贴发放人群年龄查询；一次性创业补贴发放人群年龄分析</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创业担保贷款享受情况监测展示包括创业担保贷款的发放情况、受益人群以及贷款效果分析；创业担保贷款的发放情况、受益人群以及贷款效果查询；创业担保贷款发放区域查询；创业担保贷款发放区域分析；创业担保贷款发放同比查询；创业担保贷款发放同比分析；创业担保贷款发放环比查询；创业担保贷款发放环比分析；创业担保贷款发放人群学历查询；创业担保贷款发放人群学历分析；创业担保贷款发放人群性别查询；创业担保贷款发放人群性别分析；创业担保贷款发放人群年龄查询；创业担保贷款发放人群年龄分析；创业担保贷款贷款主体查询；创业担保贷款贷款主体分析；创业担保贷款贷款发放周期查询；创业担保贷款贷款发放周期分析；创业担保贷款扶持创业人数查询；创业担保贷款扶持创业人数分析；创业担保贷款应收到期贷款查询；创业担保贷款应收到期贷款分析；创业担保贷款实收到期贷款查询；创业担保贷款实收到期贷款分析；创业担保贷款发放带动就业查询；创业担保贷款发放带动就业分析</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一次性求职补贴享受情况监测展示包括一次性求职补贴的发放情况、受益人群以及补贴效果分析；一次性求职补贴的发放情况、受益人群以及补贴效果查询；一次性求职补贴发放区域查询；一次性求职补贴发放区域分析；一次性求职补贴发放同比查询；一次性求职补贴发放同比分析；一次性求职补贴发放环比查询；一次性求职补贴发放环比分析；一次性求职补贴发放人群学历查询；一次性求职补贴发放人群学历分析；一次性求职补贴发放人群性别查询；一次性求职补贴发放人群性别分析；一次性求职补贴发放人群年龄查询；一次性求职补贴发放人群年龄分析</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城镇新增就业情况数字监测展示包括城镇新增就业人数、增长率及行业分布等指标分析；城镇新增就业人数、增长率及行业分布等指标查询；城镇新增就业人数监测查询；城镇新增就业人数监测展示；城镇新增就业性别监测查询；城镇新增就业性别监测展示；城镇新增就业学历监测查询；城镇新增就业学历监测展示；城镇新增就业年龄监测查询；城镇新增就业年龄监测展示；城镇新增就业区域监测查询；城镇新增就业区域监测展示；城镇新增就业薪资监测查询；城镇新增就业薪资监测展示；城镇新增就业就业单位行业监测查询；城镇新增就业就业单位行业监测展示；城镇新增就业就业单位产业业监测查询；城镇新增就业就业单位产业业监测展示；城镇新增就业就业单位性质业监测查询；城镇新增就业就业单位性质业监测展示；城镇新增就业就业单位Top10监测查询；城镇新增就业就业单位Top10监测展示；城镇新增就业增长率监测查询；城镇新增就业增长率监测展示；城镇新增就业同比监测查询；城镇新增就业同比监测展示；城镇新增就业环比监测查询；城镇新增就业环比监测展示</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高校毕业生就业情况数字报告包括高校毕业生就业数字报告；高校毕业生就业数字数据抽取；高校毕业生就业数字数据清洗高校毕业生就业率数字数据抽取；；高校毕业生就业率数字数据清洗；高校毕业生就业率数字报告；高校毕业生就业薪资数字数据抽取；高校毕业生就业薪资数字数据清洗；高校毕业生就业薪资数字报告；高校毕业生就业性别数字数据抽取；高校毕业生就业性别数字数据清洗；高校毕业生就业性别数字报告；高校毕业生就业学历数字数据抽取；高校毕业生就业学历数字数据清洗；高校毕业生就业学历数字报告；高校毕业生就业年龄数字数据抽取；高校毕业生就业年龄数字数据清洗；高校毕业生就业年龄数字报告；往届高校毕业生数据抽取；往届高校毕业生数据清洗；往届高校毕业生数字报告；高校毕业生省内外高校划分数据抽取；高校毕业生省内外高校划分数据清洗；高校毕业生省内外高校划分数字报告；高校毕业生就业单位性质数据抽取；高校毕业生就业单位性质数据清洗；高校毕业生就业单位性质数字报告；高校毕业生生源地数据抽取；高校毕业生生源地数据清洗；高校毕业生生源地数字报告；高校毕业生户籍地数据抽取；高校毕业生户籍地数据清洗；高校毕业生户籍地数字报告；高校毕业生就业就业企业TOP10数据抽取；高校毕业生就业就业企业TOP10数据清洗；；高校毕业生就业就业企业TOP10数字报告；高校毕业生就业就业企业性质数据抽取高校毕业生就业就业企业性质数据清洗；高校毕业生就业就业企业性质数字报告；高校毕业生就业地数据抽取；；高校毕业生就业地数据清洗高校毕业生就业地数字报告；高校毕业生就业行业数据抽取；高校毕业生就业行业数据清洗；高校毕业生就业行业数字报告；高校毕业生就业产业数据抽取；高校毕业生就业产业数据清洗；高校毕业生就业产业数字报告；高校毕业生就业同比数据抽取；高校毕业生就业同比数据清洗；高校毕业生就业同比数字报告；高校毕业生就业环比数据抽取；高校毕业生就业环比数据清洗；高校毕业生就业环比数字报告</w:t>
      </w:r>
    </w:p>
    <w:p>
      <w:pPr>
        <w:widowControl/>
        <w:spacing w:line="360" w:lineRule="auto"/>
        <w:jc w:val="left"/>
        <w:textAlignment w:val="center"/>
        <w:rPr>
          <w:rFonts w:hint="eastAsia" w:ascii="宋体" w:hAnsi="宋体" w:eastAsia="宋体" w:cs="宋体"/>
          <w:sz w:val="24"/>
          <w:lang w:bidi="en-US"/>
        </w:rPr>
      </w:pPr>
      <w:r>
        <w:rPr>
          <w:rFonts w:hint="eastAsia" w:ascii="宋体" w:hAnsi="宋体" w:eastAsia="宋体" w:cs="宋体"/>
          <w:sz w:val="24"/>
          <w:lang w:bidi="en-US"/>
        </w:rPr>
        <w:t>农民工就业情况数字报告包括农民工就业数字报告、农民工就业数据抽取、农民工就业数据清洗、农民工就业就业率数据抽取、农民工就业就业率数据清洗、农民工就业就业率数字报告、、农民工就业技能数据抽取、农民工就业技能数据清洗农民工就业技能数字报告、农民工就业就业地数据抽取、农民工就业就业地数据清洗、农民工就业就业地数字报告、农民工就业薪资数据抽取、农民工就业薪资数据清洗、农民工就业薪资数字报告、农民工就业性别数据抽取、农民工就业性别数字清洗、农民工就业性别数字报告、农民工就业年龄数据抽取、农民工就业年龄数据清洗、农民工就业年龄数字报告、农民工就业行业数据抽取、农民工就业行业数据清洗、农民工就业行业数字报告、农民工就业学历数据抽取、农民工就业学历数据清洗、农民工就业学历数字报告、农民工就业产业数据抽取、农民工就业产业数据清洗、农民工就业产业数字报告、农民工就业同比数据抽取、农民工就业同比数据清洗、农民工就业同比数字报告、农民工就业环比数据抽取、农民工就业环比数据清洗、、农民工就业环比数字报告</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贫困劳动力就业情况数字报告包括贫困劳动力就业数字报告、贫困劳动力就业数据抽取、贫困劳动力就业数据清洗、贫困劳动力就业率数据抽取、贫困劳动力就业率数据清洗、贫困劳动力就业率数字报告、贫困劳动力薪资数据抽取、贫困劳动力薪资数据清洗、贫困劳动力薪资数字报告、贫困劳动力性别数据抽取、贫困劳动力性别数据清洗、贫困劳动力性别数字报告、贫困劳动力学历数据抽取、贫困劳动力学历数据清洗、贫困劳动力学历数字报告、贫困劳动力年龄数据抽取、贫困劳动力年龄数据清洗、贫困劳动力年龄数字报告、贫困劳动力行业数据抽取、贫困劳动力行业数据清洗、贫困劳动力行业数字报告、贫困劳动力产业数据抽取、贫困劳动力产业数据清洗、贫困劳动力产业数字报告、贫困劳动力就业地数据抽取、贫困劳动力就业地数据清洗、贫困劳动力就业地数字报告、贫困劳动力就业同比数据抽取、、贫困劳动力就业同比数据清洗贫困劳动力就业同比数字报告、贫困劳动力就业环比数据抽取、贫困劳动力就业环比数据清洗、贫困劳动力就业环比数字报告</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失业人员再就业情况数字报告包括失业人员再就业数字报告、失业人员再就业数据抽取、失业人员再就业数据清洗、失业人员再就业人数数据抽取、失业人员再就业人数数据清洗、失业人员再就业人数数字报告、失业人员再就业率数据抽取、失业人员再就业率数据清洗、失业人员再就业率数字报告、失业人员再就业行业数据抽取、失业人员再就业行业数据清洗、、失业人员再就业行业数字报告失业人员再就业薪资数据抽取、失业人员再就业薪资数据清洗、失业人员再就业薪资数字报告、失业人员再就业年龄数据抽取、失业人员再就业年龄数据清洗、失业人员再就业年龄数字报告、失业人员再就业性别数据抽取、失业人员再就业性别数据清洗、失业人员再就业性别数字报告、失业人员再就业学历数据抽取、失业人员再就业学历数据清洗、失业人员再就业学历数字报告、失业人员再就业区域数据抽取、失业人员再就业区域数据清洗、失业人员再就业区域数字报告、失业人员再就业同比数据抽取、失业人员再就业同比数据清洗、失业人员再就业同比数字报告、失业人员再就业环比数据抽取、失业人员再就业环比数据清洗、失业人员再就业环比数字报告</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就业困难人员就业情况数字报告包括就业困难人员就业数字报告、就业困难人员就业数字抽取、就业困难人员就业数据清洗、就业困难人员再就业人数数据抽取、就业困难人员再就业人数数据清洗、就业困难人员再就业人数数字报告、就业困难人员再就业率数据抽取、就业困难人员再就业率数据清洗、就业困难人员再就业率数字报告、就业困难人员再就业行业数据抽取、就业困难人员再就业行业数据清洗、就业困难人员再就业行业数字报告、就业困难人员再就业薪资数据抽取、就业困难人员再就业薪资数据清洗、就业困难人员再就业薪资数字报告、就业困难人员再就业年龄数据抽取、就业困难人员再就业年龄数据清洗、就业困难人员再就业年龄数字报告、就业困难人员再就业性别数据抽取、就业困难人员再就业性别数据清洗、就业困难人员再就业性别数字报告、就业困难人员再就业学历数据抽取、就业困难人员再就业学历数据清洗、就业困难人员再就业学历数字报告、就业困难人员再就业区域数据抽取、就业困难人员再就业区域数据清洗、就业困难人员再就业区域数字报告、就业困难人员再就业同比数据抽取、就业困难人员再就业同比数据清洗、就业困难人员再就业同比数字报告、就业困难人员再就业环比数据抽取、就业困难人员再就业环比数据清洗、就业困难人员再就业环比数字报告</w:t>
      </w:r>
    </w:p>
    <w:p>
      <w:pPr>
        <w:pStyle w:val="5"/>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培训监管监测</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对培训教室视频监控以及培训人员考勤监测。</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培训教室视频监控包括对接培训教师视频监控异常记录、原始数据获取（从就业系统）、数据清洗处理（去重、格式化、验证）、清洗后数据存储、人员违规异常监控、清洗后数据查询、环比指标计算（本期 vs 上期）、报告内容生成与渲染、设备故障异常监控、视频流数据接入与解码、异常行为智能识别（如离岗、违规）、异常事件记录与存储</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培训人员考勤监测包括自动记录学员签到签退、学员签到监测、学员签退监测、学员出勤率监测、学员考勤报告学员考勤报告导出</w:t>
      </w:r>
    </w:p>
    <w:p>
      <w:pPr>
        <w:pStyle w:val="5"/>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就业统计报表</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主要包括就业再就业工作月度进展情况月报、就业补助资金使用情况季报、享受各项就业扶持政策情况季报、创业服务工作情况年报、公共就业和人才服务机构及服务基本情况年报、就业援助工作情况季报、离校未就业应届高校毕业生情况月报、部分监测行政村农村劳动力转移就业情况月报、公共就业服务机构市场职业供求状况分析季报。</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就业再就业工作月度进展情况月报包括就业再就业工作月度进展情况月报、就业再就业工作月度进展情况数据抽取、就业再就业工作月度进展情况数据清洗、就业再就业工作月度进展情况月报导出word、就业再就业工作月度进展情况月报导出pdf</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就业补助资金使用情况季报包括就业补助资金使用情况季报、就业补助资金使用情况数据抽取、就业补助资金使用情况数据清洗、就业补助资金使用情况季报导出word、就业补助资金使用情况季报导出pdf</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享受各项就业扶持政策情况季报包括享受各项就业扶持政策情况季报、享受各项就业扶持政策情况数据抽取、享受各项就业扶持政策情况数据清洗、享受各项就业扶持政策情况季报导出word、享受各项就业扶持政策情况季报导出pdf</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创业服务工作情况年报包括创业服务工作情况年报、创业服务工作情况数据抽取、创业服务工作情况数据清洗、、创业服务工作情况年报导出word创业服务工作情况年报导出pdf</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公共就业和人才服务机构及服务基本情况年报包括公共就业和人才服务机构及服务基本情况年报、公共就业和人才服务机构及服务数据抽取、公共就业和人才服务机构及服务数据清洗、公共就业和人才服务机构及服务基本情况年报导出word、公共就业和人才服务机构及服务基本情况年报导出pdf</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就业援助工作情况季报包括就业援助工作情况季报、就业援助工作情况数据抽取、就业援助工作情况数据清洗、就业援助工作情况季报导出word、就业援助工作情况季报导出pdf</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离校未就业应届高校毕业生情况月报包括离校未就业应届高校毕业生情况月报、离校未就业应届高校毕业生数据抽取、离校未就业应届高校毕业生数据清洗、离校未就业应届高校毕业生情况月报导出word、离校未就业应届高校毕业生情况月报导出pdf</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部分监测行政村农村劳动力转移就业情况月报包括部分监测行政村农村劳动力转移就业情况月报、部分监测行政村农村劳动力转移就业数据抽取、部分监测行政村农村劳动力转移就业数据清洗、部分监测行政村农村劳动力转移就业情况月报导出word、部分监测行政村农村劳动力转移就业情况月报导出pdf</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公共就业服务机构市场职业供求状况分析季报包括公共就业服务机构市场职业供求状况分析季报、公共就业服务机构市场职业供求状况数据抽取、、公共就业服务机构市场职业供求状况数据清洗公共就业服务机构市场职业供求状况分析季报导出word、公共就业服务机构市场职业供求状况分析季报导出pdf</w:t>
      </w:r>
    </w:p>
    <w:p>
      <w:pPr>
        <w:pStyle w:val="5"/>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人力资源市场统计报表</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主要包括人力资源服务机构基本情况、人力资源服务机构业务情况、人力资源服务机构情况汇总表。</w:t>
      </w:r>
    </w:p>
    <w:p>
      <w:pPr>
        <w:pStyle w:val="54"/>
        <w:spacing w:line="360" w:lineRule="auto"/>
        <w:rPr>
          <w:rFonts w:ascii="宋体" w:hAnsi="宋体" w:eastAsia="宋体" w:cs="宋体"/>
          <w:sz w:val="24"/>
          <w:lang w:bidi="en-US"/>
        </w:rPr>
      </w:pPr>
      <w:r>
        <w:rPr>
          <w:rFonts w:hint="eastAsia" w:ascii="宋体" w:hAnsi="宋体" w:eastAsia="宋体" w:cs="宋体"/>
          <w:sz w:val="24"/>
          <w:lang w:bidi="en-US"/>
        </w:rPr>
        <w:t>人力资源服务机构基本情况包括人力资源服务机构基本情况、人力资源服务机构数据抽取、人力资源服务机构数据清洗、人力资源服务机构基本情况导出word、人力资源服务机构基本情况导出pdf</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人力资源服务机构业务情况包括人力资源服务机构业务情况、人力资源服务机构业务数据抽取、力资源服务机构业务数据清洗、人力资源服务机构业务情况导出word、人力资源服务机构业务情况导出pdf</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人力资源服务机构情况汇总表包括人力资源服务机构情况汇总表、人力资源服务机构情况数据抽取、人力资源服务机构情况数据清洗、人力资源服务机构情况汇总表导出word、人力资源服务机构情况汇总表导出pdf</w:t>
      </w:r>
    </w:p>
    <w:p>
      <w:pPr>
        <w:pStyle w:val="5"/>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职业能力统计报表</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主要包括技工院校综合情况、民办职业技能培训机构综合情况、全国职业技能培训综合情况表、技能人才评价综合情况表、职业技能等级认定和专项职业能力考核情况表、职业资格评价情况表。</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技工院校综合情况包括技工院校综合情况、技工院校综合情况数据抽取、技工院校综合情况数据清洗、技工院校综合情况导出word、技工院校综合情况导出pdf</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民办职业技能培训机构综合情况包括民办职业技能培训机构综合情况、民办职业技能培训机构数据抽取、民办职业技能培训机构数据清洗、民办职业技能培训机构综合情况导出word、民办职业技能培训机构综合情况导出pdf</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全国职业技能培训综合情况表包括全国职业技能培训综合情况表、全国职业技能培训综合情数据抽取、全国职业技能培训综合情况数据清洗、全国职业技能培训综合情况表导出word、全国职业技能培训综合情况表导出pdf</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技能人才评价综合情况表包括技能人才评价综合情况表、技能人才评价综合情况数据抽取、技能人才评价综合情况数据清洗、技能人才评价综合情况表导出word、技能人才评价综合情况表导出pdf</w:t>
      </w:r>
    </w:p>
    <w:p>
      <w:pPr>
        <w:widowControl/>
        <w:spacing w:line="360" w:lineRule="auto"/>
        <w:jc w:val="left"/>
        <w:textAlignment w:val="center"/>
        <w:rPr>
          <w:rFonts w:hint="eastAsia" w:ascii="宋体" w:hAnsi="宋体" w:eastAsia="宋体" w:cs="宋体"/>
          <w:sz w:val="24"/>
          <w:lang w:bidi="en-US"/>
        </w:rPr>
      </w:pPr>
      <w:r>
        <w:rPr>
          <w:rFonts w:hint="eastAsia" w:ascii="宋体" w:hAnsi="宋体" w:eastAsia="宋体" w:cs="宋体"/>
          <w:sz w:val="24"/>
          <w:lang w:bidi="en-US"/>
        </w:rPr>
        <w:t>职业技能等级认定和专项职业能力考核情况表包括职业技能等级认定和专项职业能力考核情况表、职业技能等级认定和专项职业能力考核情况数据抽取、职业技能等级认定和专项职业能力考核情数据清洗、职业技能等级认定和专项职业能力考核情况表导出word、职业技能等级认定和专项职业能力考核情况表导出pdf</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职业资格评价情况表包括职业资格评价情况表、职业资格评价情况数据抽取、职业资格评价情况数据清洗、职业资格评价情况表导出word、职业资格评价情况表导出pdf</w:t>
      </w:r>
    </w:p>
    <w:p>
      <w:pPr>
        <w:pStyle w:val="5"/>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公共就业指挥调度中心管理</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建立公共就业指挥调度大厅，建立多级调度部门管理体系，建立多级调度部门管理体系，实现市、区县、乡镇、街道、社区多级机构和工作人员的协同管理。通过规则引擎或算法（如动态优先级调整、排队论）优化任务顺序，通过数据监测、绩效评估确保调度合规性（如帮扶质量、基层工作考核），动态分配人力、设备、资金等资源，避免局部过载或闲置。</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多级调度包括部门管理、部门新增、部门更新、部门删除、部门查询、人力资源管理、人力资源新增、人力资源更新、人力资源删除、人力资源查询、联络信息管理、联络信息新增、联络信息更新、联络信息删除、联络信息查询、多部门协商责任人管理、多部门协商责任人新增、多部门协商责任人更新、多部门协商责任人删除、多部门协商责任人查询、多系统事件接入管理、多系统事件接入新增、多系统事件接入更新、多系统事件接入删除、多系统事件接入查询、跨部门层级通讯管理、跨部门层级通讯新增、跨部门层级通讯更新、跨部门层级通讯删除、跨部门层级通讯查询、调度预警级别管理、调度预警级别新增、调度预警级别更新、调度预警级别删除、调度预警级别查询、预警日志管理、预警日志查询、事件处理日志管理、事件处理日志查询、调度日志管理、调度日志查询、多级调度-部门权限管理、多级调度-调度任务优先级设置、多级调度-应急调度流程管理、多级调度-调度报告生成、多级调度-调度效率分析、多级调度-跨系统数据同步、多级调度-用户行为日志记录、多级调度-系统性能监控</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实时监控包括服务渠道实时监控、服务渠道实时监控查询、业务经办实时监控、业务经办实时监控查询、疑点实时监控、疑点实时监控查询、基金收支实时监控、基金收支实时查询、实时监控-监控数据导出、实时监控-异常事件自动报警</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疑点接收包括预警信息接收、预警信息接收查询、预警事件消息推送、预警事件消息推送查询、预警事件短信提醒、预警事件短信提醒查询、预警事件警灯提醒、预警事件警灯提醒查询、预警事件登记、预警事件登记查询、预警事件退回、预警事件退回查询、应急事件报批、应急事件报批查询、疑点接收-疑点数据备份、疑点接收-疑点处理进度跟踪、疑点接收-疑点分类管理</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指挥和调度包括任务分配、任务分配查询、指派科室、指派科室查询、指派人员、指派人员查询、多级联动、多级联动查询、跨部门协作、跨部门协作查询、指挥和调度-调度任务分配优化、指挥和调度-调度资源管理</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处置和反馈包括事件处置流程跟踪、事件处置流程跟踪查询、事件处置结果记录、事件处置结果查询、事件处置结果监控展示、事件结果联动查询、事件处置结束、处置和反馈-反馈报告生成</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重点指标调度包括重点/规上企业信息维护、企业信息表单渲染（含必填项校验规则）、企业信息查重与合法性校验、企业信息持久化存储</w:t>
      </w:r>
      <w:r>
        <w:rPr>
          <w:rFonts w:ascii="宋体" w:hAnsi="宋体" w:eastAsia="宋体" w:cs="宋体"/>
          <w:sz w:val="24"/>
          <w:lang w:bidi="en-US"/>
        </w:rPr>
        <w:t>​​</w:t>
      </w:r>
      <w:r>
        <w:rPr>
          <w:rFonts w:hint="eastAsia" w:ascii="宋体" w:hAnsi="宋体" w:eastAsia="宋体" w:cs="宋体"/>
          <w:sz w:val="24"/>
          <w:lang w:bidi="en-US"/>
        </w:rPr>
        <w:t>、企业信息查询与回显、企业信息更新/删除</w:t>
      </w:r>
      <w:r>
        <w:rPr>
          <w:rFonts w:ascii="宋体" w:hAnsi="宋体" w:eastAsia="宋体" w:cs="宋体"/>
          <w:sz w:val="24"/>
          <w:lang w:bidi="en-US"/>
        </w:rPr>
        <w:t>​​</w:t>
      </w:r>
      <w:r>
        <w:rPr>
          <w:rFonts w:hint="eastAsia" w:ascii="宋体" w:hAnsi="宋体" w:eastAsia="宋体" w:cs="宋体"/>
          <w:sz w:val="24"/>
          <w:lang w:bidi="en-US"/>
        </w:rPr>
        <w:t>、政务服务-办件量信息录入、政务服务-办件量信息更新、政务服务-办件量信息删除、政务服务-办件量信息查询、重点指标数据临时上报、临时上报数据表单渲染与填写、进度数据逻辑校验（如完成率≤100%）、 临时上报数据存储</w:t>
      </w:r>
      <w:r>
        <w:rPr>
          <w:rFonts w:ascii="宋体" w:hAnsi="宋体" w:eastAsia="宋体" w:cs="宋体"/>
          <w:sz w:val="24"/>
          <w:lang w:bidi="en-US"/>
        </w:rPr>
        <w:t>​​</w:t>
      </w:r>
      <w:r>
        <w:rPr>
          <w:rFonts w:hint="eastAsia" w:ascii="宋体" w:hAnsi="宋体" w:eastAsia="宋体" w:cs="宋体"/>
          <w:sz w:val="24"/>
          <w:lang w:bidi="en-US"/>
        </w:rPr>
        <w:t>、人力资源服务企业数据上报、服务机构提供就业服务数据上报、人社事业发展-省定目标录入、人社事业发展-市定目标录入、人社事业发展-局定目标录入、人社事业发展-进度表（一）县市区、县市区进度数据汇总查询、进度对比分析与可视化图表生成、县市区进度报告生成与导出</w:t>
      </w:r>
      <w:r>
        <w:rPr>
          <w:rFonts w:ascii="宋体" w:hAnsi="宋体" w:eastAsia="宋体" w:cs="宋体"/>
          <w:sz w:val="24"/>
          <w:lang w:bidi="en-US"/>
        </w:rPr>
        <w:t>​​</w:t>
      </w:r>
      <w:r>
        <w:rPr>
          <w:rFonts w:hint="eastAsia" w:ascii="宋体" w:hAnsi="宋体" w:eastAsia="宋体" w:cs="宋体"/>
          <w:sz w:val="24"/>
          <w:lang w:bidi="en-US"/>
        </w:rPr>
        <w:t>、人社事业发展-进度表（一）城区、城区/街道进度明细数据查询、城区进度明细表生成与导出</w:t>
      </w:r>
      <w:r>
        <w:rPr>
          <w:rFonts w:ascii="宋体" w:hAnsi="宋体" w:eastAsia="宋体" w:cs="宋体"/>
          <w:sz w:val="24"/>
          <w:lang w:bidi="en-US"/>
        </w:rPr>
        <w:t>​​</w:t>
      </w:r>
      <w:r>
        <w:rPr>
          <w:rFonts w:hint="eastAsia" w:ascii="宋体" w:hAnsi="宋体" w:eastAsia="宋体" w:cs="宋体"/>
          <w:sz w:val="24"/>
          <w:lang w:bidi="en-US"/>
        </w:rPr>
        <w:t>、基层站点运行情况上报、重点指标调度-指标数据验证、重点指标调度-指标趋势预测、重点指标调度-指标报告定制、重点指标调度-数据质量检查、重点指标调度-指标阈值设置</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常用调度信息查询包括企业职工养老保险人员信息查询、查询条件输入组件渲染（如身份证、姓名输入框）、查询请求组装与发送、查询结果列表渲染与详情展示、居保参保信息查询、行政区划选择器渲染、区域统计汇总数据查询、统计结果以卡片或图表形式展示、特殊人群社保查询、特殊人群统计汇总数据查询、代缴与待遇享受情况对比展示、考生成绩查询、考生成绩Excel/TXT文件上传与解析、已导入成绩数据的查询与排序、就业意向转签约人员名单、 就业意向库与社保参保库关联比对、比对结果名单查询、查询用人单位信息、企业欠薪/欠保投诉记录关联查询、用人单位社保缴纳与工资支付状态查询、基层站点运行情况查询、基层站点上报数据汇总查询、站点运行指标深度分析（如同比、环比）、规上企业筛选查询、 基于规模标准的企业清单查询、企业经营状态查询、企业多险种参保状态统一查询、企业全维度经营状态面板展示、常用调度信息查询-查询历史记录、常用调度信息查询-查询结果导出、常用调度信息查询-高级搜索功能、常用调度信息查询-查询模板管理、常用调度信息查询-数据可视化设置、常用调度信息查询-查询权限控制</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重点业务稽核包括人力资源机构认定审批稽核、多源数据查询（社保、市场监管）、认定资料与外部数据自动比对、抽查结果与风险报告生成、 24小时投诉举报入口维护、就业补助资金公示、补助资金发放数据获取、公示页面静态化生成与发布、公示内容查询与访问记录、就业援助业务稽核、 援助对象多源数据查询（参保、就业、低保）、申报资料与系统数据自动比对、企业补贴享受资格稽核、企业状态与社保缴纳数据查询、补贴申报条件与企业实际状况比对、创业扶持资金公示、待公示资金明细数据获取、 公示页面生成与发布、创业担保贷款业务稽核、贷款企业社保及经营数据查询、贷款用途与偿还能力风险初筛、公益性岗位安置公示、岗位安置明细数据获取、安置情况公示页面生成与发布、公益性岗位安置业务稽核、“空岗”行为智能识别、“关系岗”风险分析、企业求职招聘工作稽核、招聘信息与录用结果比对、录用人员留岗时间检查企业白名单（黑名单）、白名单/黑名单准入与清退规则维护、多维度企业行为数据聚合分析、名单生成调整与发布、培训机构补贴支付稽核、多源数据查询（补贴申领数据、培训业务数据）、“虚假培训”风险规则匹配、疑似问题清单与证据报告生成、人力资源机构黑名单、黑名单纳入/移出规则维护、机构违规行为数据聚合与触发判断、黑名单审核流程管理与状态更新、政务服务事项办理稽核、办件信息与流程日志抽样获取、办理时限与流程规范性自动检查、问题办件清单生成与整改通知下发、重点业务稽核-稽核报告模板管理、重点业务稽核-自动稽核任务调度、重点业务稽核-稽核结果统计分析、重点业务稽核-风险预警设置、重点业务稽核-稽核流程监控、重点业务稽核-外部数据接口管理、重点业务稽核-稽核标准维护、重点业务稽核-问题整改跟踪、重点业务稽核-稽核知识库管理</w:t>
      </w:r>
    </w:p>
    <w:p>
      <w:pPr>
        <w:pStyle w:val="5"/>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智能问数助手</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建设智能问数功能，实现随时随地问数据的智能服务，提供准确、及时的数据支持。主要包括虚拟数字人人物形象呈现、个性化服务、虚拟形象播报、语音指令、机器人管理、文本输入、语音输入、语义解析、智能提示、语义理解、意图识别、查询SQL 语句生成、数据查询与筛选、查询数据再加工与处理、查询结果渲染。</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虚拟数字人小助手管理包括人物形象呈现、2D/3D形象资源库维护、形象渲染引擎调用与驱动、形象显示参数配置（如尺寸、位置）、个性化服务、用户行为与偏好数据收集与存储、个性化推荐算法执行、个性化内容界面渲染、虚拟形象播报、文本到语音合成、口型与表情动画生成、音视频流同步播放、语音指令、唤醒词识别与响应、 指令词识别与分类、对话流程控制、机器人管理、小助手基础属性管理、配置信息获取与加载、欢迎场景触发与展示、虚拟数字人小助手管理-对话历史记录、虚拟数字人小助手管理-用户反馈收集、虚拟数字人小助手管理-智能推荐优化、虚拟数字人小助手管理-多语言支持设置</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问题输入包括文本输入、输入框组件渲染与焦点监听、键盘输入接收与内容实时更新、文本数据本地暂存、语音输入、麦克风权限申请与音频流采集、音频数据预处理与编码、调用云端语音识别服务、识别文本填充与编辑、问题输入-输入内容自动校正、问题输入-输入模式切换</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问题输入辅助包括语义解析、用户query接收与预处理、领域词典匹配与实体抽取、句法分析与依存关系构建、智能提示、 输入内容实时监听与关键词提取、提示词库匹配查询、提示列表渲染与展示、问题输入辅助-语义纠错提示、问题输入辅助-上下文记忆管理</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意图分析包括语义理解具体内容、领域意图分类模型预测、业务槽位填充、意图识别、业务规则与上下文关联分析、生成可执行的数据查询指令、意图分析-意图历史分析</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数据查询包括查询SQL语句生成、自然语言查询接收与预处理、语义理解与数据库模式映射、SQL语句生成与优化、生成SQL的预览与确认、数据查询与筛选、结构化查询请求接收、数据库连接与查询执行、查询结果数据格式化、数据分类分组、分组条件解析、执行分组聚合查询、分组结果后处理与组装、排序、排序规则维护、排序条件解析与应用、极值计算、极值计算条件解析、执行聚合函数查询（MAX/MIN）、统计合计、平均值计算、TOPN取值计算、TOP N条件解析、执行LIMIT查询、占比分析、部分与整体计算、占比计算与格式化、同比分析、同期时间计算、同期数据查询与比较、环比分析、相邻周期计算、当前上期数据查询与比较、增长率分析、多期数据查询、增长率/增长额计算、增长值分析、查询结果智能总结、关键指标自动识别、自然语言摘要生成、数据查询-查询性能优化、数据查询-数据缓存管理、数据查询-复杂查询构建、数据查询-查询结果过滤、数据查询-数据导出格式设置、数据查询-查询日志记录、数据查询-数据血缘追踪、数据查询-查询模板分享</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查询结果渲染包括单值展现、值数据结果接收、单值数据格式化与单位处理、单值组件渲染与动效展示、百分比展现、百分比数据计算与格式化、环形图/进度条等百分比组件渲染、表格展现、表格数据接收与分页处理、表格列配置渲染、表格行数据渲染与交互、图表展现、查询结果渲染-渲染样式定制、查询结果渲染-动态图表生成</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在线收藏包括一键收藏、收藏按钮状态初始化与展示、收藏/取消收藏操作触发、收藏关系数据更新、收藏标签、按标签筛选收藏内容、个人收藏标签管理、在线收藏-收藏内容分类</w:t>
      </w:r>
    </w:p>
    <w:p>
      <w:pPr>
        <w:widowControl/>
        <w:spacing w:line="360" w:lineRule="auto"/>
        <w:jc w:val="left"/>
        <w:textAlignment w:val="center"/>
        <w:rPr>
          <w:rFonts w:hint="eastAsia" w:ascii="宋体" w:hAnsi="宋体" w:eastAsia="宋体" w:cs="宋体"/>
          <w:sz w:val="24"/>
          <w:lang w:bidi="en-US"/>
        </w:rPr>
      </w:pPr>
      <w:r>
        <w:rPr>
          <w:rFonts w:hint="eastAsia" w:ascii="宋体" w:hAnsi="宋体" w:eastAsia="宋体" w:cs="宋体"/>
          <w:sz w:val="24"/>
          <w:lang w:bidi="en-US"/>
        </w:rPr>
        <w:t>常见问题包括常见问题库、问题检索与匹配、用户问题输入与检索请求发送、问题库模糊匹配与排序、相似问题列表渲染</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记录留痕包括自动保存问答记录、记录列表展示、 历史记录列表查询、历史记录列表渲染、记录留痕-痕迹数据清理</w:t>
      </w:r>
    </w:p>
    <w:p>
      <w:pPr>
        <w:widowControl/>
        <w:spacing w:line="360" w:lineRule="auto"/>
        <w:ind w:firstLine="480" w:firstLineChars="200"/>
        <w:jc w:val="left"/>
        <w:textAlignment w:val="center"/>
        <w:rPr>
          <w:rFonts w:hint="eastAsia" w:ascii="宋体" w:hAnsi="宋体" w:eastAsia="宋体" w:cs="宋体"/>
          <w:sz w:val="24"/>
          <w:lang w:bidi="en-US"/>
        </w:rPr>
      </w:pPr>
      <w:r>
        <w:rPr>
          <w:rFonts w:hint="eastAsia" w:ascii="宋体" w:hAnsi="宋体" w:eastAsia="宋体" w:cs="宋体"/>
          <w:sz w:val="24"/>
          <w:lang w:bidi="en-US"/>
        </w:rPr>
        <w:t>结果导出包括将问询结果及分析报告多文件格式保存和分享、导出格式选择与参数设置、导出数据生成与转换、导出文件下载、结果导出-导出任务调度</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AI报告助手包括模板创建与保存、模板分类、模板编辑、模板删除、模板列表、模板搜索、多场景分类、模板选用、主题模板关联智能取数、主题模板内容解析、AI驱动数据分析、结果呈现、主题理解和定制、数据分析结果整合、自然语言生成、语境适应与语法校验、报告创建与保存、报告生成、报告预览、报告编辑、字体样式编辑、段落排版控制、图文混排布局、页面元素间距调整、导入与补充、基础上进行更新和完善、报告数据集成、报告发布、报告复制、报告删除、报告列表、报告搜索、即时答疑、数据来源查询服务、数据追溯机制、AI报告优化、内容提炼与归纳、文档导出、导出的报告选择、word格式导出、AI报告助手-报告模板库管理、AI报告助手-自动报告生成调度、AI报告助手-报告质量评估、AI报告助手-多版本报告管理、AI报告助手-报告分享权限设置、AI报告助手-报告数据源管理、AI报告助手-报告生成日志、AI报告助手-智能摘要生成</w:t>
      </w:r>
    </w:p>
    <w:p>
      <w:pPr>
        <w:pStyle w:val="4"/>
        <w:spacing w:before="163" w:after="163" w:line="360" w:lineRule="auto"/>
        <w:rPr>
          <w:rFonts w:hint="eastAsia" w:ascii="宋体" w:hAnsi="宋体" w:eastAsia="宋体" w:cs="宋体"/>
          <w:sz w:val="24"/>
          <w:lang w:bidi="en-US"/>
        </w:rPr>
      </w:pPr>
      <w:r>
        <w:rPr>
          <w:rFonts w:hint="eastAsia" w:ascii="宋体" w:hAnsi="宋体" w:eastAsia="宋体" w:cs="宋体"/>
          <w:sz w:val="24"/>
          <w:lang w:bidi="en-US"/>
        </w:rPr>
        <w:t>公共就业服务系统</w:t>
      </w:r>
    </w:p>
    <w:p>
      <w:pPr>
        <w:pStyle w:val="5"/>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远程招聘子系统</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远程招聘资源目录</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提供后台管理，权限管理；提供不同角色的管理台：HR管理台、面试官管理台；管理内容：面试基本信息、面试时间、在线状态、面试时间、面试音频下载等；支持按岗位、按面试官等维度查看、下载报表（需要对接就业平台对接数据）；提供内容配置、满意度问卷配置等。</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远程招聘预约会议</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面试官端通过视频页面可直接呼叫下一位候选人，进行短信通知；</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候选人端进入链接后，可看到排队人数，面试时间等。</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远程招聘终端适配</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提供音频管理、视频管理、资料管理；</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提供按单场面试自动保存面试资料，支持保存音频；</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提供安全保密，支持防作弊，抓拍候选人面试照片；</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提供招聘会议屏的接入配置；支持多种视频面试形式；1对1，多对1，1对多；</w:t>
      </w:r>
    </w:p>
    <w:p>
      <w:pPr>
        <w:pStyle w:val="54"/>
        <w:spacing w:line="360" w:lineRule="auto"/>
        <w:rPr>
          <w:rFonts w:hint="eastAsia" w:ascii="宋体" w:hAnsi="宋体" w:eastAsia="宋体" w:cs="宋体"/>
          <w:sz w:val="24"/>
          <w:lang w:bidi="en-US"/>
        </w:rPr>
      </w:pPr>
      <w:r>
        <w:rPr>
          <w:rFonts w:hint="eastAsia" w:ascii="宋体" w:hAnsi="宋体" w:eastAsia="宋体" w:cs="宋体"/>
          <w:sz w:val="24"/>
          <w:lang w:bidi="en-US"/>
        </w:rPr>
        <w:t>支持多种聊天形式，支持发送文字、表情、图片、文档等；文档自动保存，如面试者的笔试题目发送过来后，自动保存；支持共享屏幕后，仍旧保留双方的视频窗口。</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远程招聘会议通知</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会议通知，为招聘人员提供短信或者APP消息通知服务；</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视频链接面试登录，支持识别面试者身份；</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提供满意度调查，面试结束后，自动给面试者发送满意度调查。</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远程招聘数据对接</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提供与就业平台招聘业务数据对接。</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远程招聘预约会议</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提供面试基本信息、面试时间、在线状态、面试时间、面试音频下载等；支持hr、面试官群发消息；点对点发起聊天；</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提供异常提醒能力，如面试官迟到、面试时长过短、面试满意度低；</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与就业平台注册账号验证。</w:t>
      </w:r>
    </w:p>
    <w:p>
      <w:pPr>
        <w:pStyle w:val="5"/>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信息发布子系统</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信息发布应用</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发布信息终端接入；远程升级；素材库、节目库的管理；可视化动态编排页面和窗口的布局、内容、事件；可以根据用户的实际需求进行自定义编排，流程设计，表单设计；配置天气服务、存储服务、访问属性、NTP服务、审核功能；提供图片、音频、视频、文本、PPT、PDF、网页、数据源、视频源、应用程序等素材节目的编排和发布。提供素材库管理、节目编排、内容发布、快速发布、发布记录管理、终端巡检、终端管理等应用。</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解码拼控管理</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提供拼控器、KVM坐席、LED控制卡、配电柜的终端接入管理。提供创建拼控大屏、实现信号管理、场景管理、预案管理的操作。</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播控和门户</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提供提供应用标签、应用展示等；提供对外接口服务、播控框架、网页容器、应用容器、视频程序、图片程序、文档陈旭、应用程序、抓拍服务、投屏服务。</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远程控制</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提供可将大屏的画面同步到网页端/PC客户端/平板端，实现播控大屏画面回显，并且可以远程控制播控大屏上的内容，实现反向控制。</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平板操控管理</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提供解码拼控、播控和门户、展播主题、远程操控、环境中控等对应功能的平板操作服务。</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媒体内容定制</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提供文字、时钟、天气、网页、excel值班表等内容生产、渲染和管理。</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电子桌牌管理</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提供电子桌牌接入，显示公司名称、公司logo、参会人员部门、参会人员姓名等信息，并可以自由编排布局服务。</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播控主机管理</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提供展示播控主机列表，展示播控主机的页面内容，页面内容切换，页面内容支持替换。通过自定义技术配置，控制端对播控主机做远程操作。</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播控大屏管理</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提供加载信号源列表、页面列表、内容资源列表；提供播控操作、门户管理、业务专题、预案管理、远程控制、大屏回显等应用。</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播控内容管理</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提供多级分组、内容权限、静态内容、动态内容、编辑内容、查询内容、预览内容、删除内容；提供多级分组，最大支持三级层级；提供本人可见和公开两种权限控制。</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播控大屏控制</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提供屏幕控制、场景控制、虚拟LED控制、专题配置、门户控制。</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内容安全检测</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预检内容、白名单、敏感词检测；预检内容是否提供敏感信息；查看所有审核内容的审核信息，条件搜索；查看审核结果详情包，含素材本身审核结果详情，素材ocr提取内容的审核结果，图片加入白名单；查看违规内容信息，用以人工复核。</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内容安全中心端处理</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提供素材的AI预审，如果检测到敏感信息，素材会标记为不通过，素材不能被用作制作节目。</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内容安全前端处理</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提供前端异常内容列表检测，可进行插播或者熄屏紧急处理，降低敏感信息传播；查看违规内容信息并条件搜索；预览违规图片，用以人工复查处理。</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环境中控</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提供中控设备接入服务，实现灯光、空调、音箱、投影等设备的控制，配置中控管理控制模式，进行拼控场景、播控图层、配电柜、云台、中控情景选择，实现大屏切换时联动灯光等环境变化。</w:t>
      </w:r>
    </w:p>
    <w:p>
      <w:pPr>
        <w:pStyle w:val="5"/>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智慧仲裁子系统</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仲裁资源目录</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提供资源目录操作，包含基础目录和业务目录管理。</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仲裁庭审场所</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提供业务场所编码，用于调用对外接口处理业务；业务场景内场所类型、人员类型、案件类型、程序类型、角色类型、案由类型、席位类型的编辑；提供业务场所标签管理。</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仲裁庭审管理</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提供仲裁庭主机、终端管理、合成通道管理、备份通道管理、庭审告知、公告标签管理、案由分类管理、程序与角色管理、数据对接管理。</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仲裁案件管理</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提供案件对接服务，进行案件增删改查、案件人员增删改查、案件立碑查看、同步案件查看、条件搜索案件、案件详情查看、案件归档管理。</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仲裁排期管理</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提供全部排期查看、增删改查、详情查看、条件搜索排期、联审排期服务。</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仲裁庭审直播</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提供庭审直播列表查看、条件搜索庭审记录、庭审信息、庭审笔录、庭审视频查看服务。</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仲裁庭审点播</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提供庭审记录列表查看、条件搜索庭审记录、庭审信息查看、笔录查看、下载庭审笔录或录像服务。</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仲裁庭审统计</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提供案件类型、案由分类、开庭地点、个人进行庭审统计服务。</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仲裁庭审笔录</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提供笔录模版选择、笔录导入、笔录导出、笔录预览、笔录打印、笔录确认、电子签名、历史笔录查阅服务。</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仲裁庭审控制</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提供开庭准备、开庭控制、休庭控制、复庭控制、闭庭控制、庭审状态查看服务；提供同步录音录像控制，开庭后开始庭审视频录像、刻录。</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提供今日爬起、后续排期、未排期案件查看、未排期案件开庭。</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仲裁庭审同录服务</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提供合成画面布局控制；布局类型的选择和定义；语音激励开启与关闭，灵敏度调整；视频画面切换、投屏；设备相关状态检测。</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仲裁庭审身份核验</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提供当事人身份核验、人工核验当事人身份、核验记录查验等服务。</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仲裁庭审案件对接</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提供对接配置第三方系统，用于同步或者推送部门、用户、法庭、排期、当事人、案件、取消排期等数据。对第三方系统进行增、删、改、查操作。</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仲裁庭审集中打印刻录管理</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提供对接配置第三方集中打印刻录系统，用于统一集中打印刻录服务，提供电子笔录、音视频数据、案件等数据。</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仲裁庭审书记员应用</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提供包括电子笔录制作、电子笔录转PDF、电子笔录导入导出、笔录模板管理、开闭庭控制、庭审画面合成、同步录音录像、投屏控制、电子签名、身份核验等数据服务。</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仲裁庭审工作台</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仲裁员、书记员自定义工作台；提供案件管理、排期管理、庭审直播、庭审点播、庭审统计等常用应用快捷入口应用；支持显示本人开庭统计数据；支持查看本人今日待开庭案件情况以及未排期案件情况，对于未排期的案件，可在无排期的情况下进行快速开庭操作；支持按日历展示本人已排期案件情况。</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仲裁公告管理</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提供对信息发布屏的定制接入。</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仲裁庭审公告应用</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提供将对接开庭排期信息展示到仲裁庭外、仲裁服务大厅的信息发布屏。</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提供公告模版管理、庭外模版、庭内模版、诉服大厅模版。</w:t>
      </w:r>
    </w:p>
    <w:p>
      <w:pPr>
        <w:pStyle w:val="2"/>
        <w:spacing w:line="360" w:lineRule="auto"/>
        <w:ind w:left="0" w:leftChars="0" w:firstLine="480" w:firstLineChars="200"/>
        <w:rPr>
          <w:rFonts w:hint="eastAsia" w:ascii="宋体" w:hAnsi="宋体" w:eastAsia="宋体" w:cs="宋体"/>
          <w:sz w:val="24"/>
          <w:lang w:bidi="en-US"/>
        </w:rPr>
      </w:pPr>
      <w:r>
        <w:rPr>
          <w:rFonts w:hint="eastAsia" w:ascii="宋体" w:hAnsi="宋体" w:eastAsia="宋体" w:cs="宋体"/>
          <w:sz w:val="24"/>
          <w:lang w:bidi="en-US"/>
        </w:rPr>
        <w:t>提供公告设备预览、公告设备一键发布、发布内容截屏、公告设备批量发布、未发布设备查看、已发布设备查看、发布中记录查看、已发布记录查看、批量发布记录详情、公告设备统计、公告屏运维信息、公告设备发布、内容预览。</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庭审公告设备控制管理，庭审纪律公告、权利与义务告知、庭审状态展示、空闲中的的仲裁庭公告、候审中的仲裁庭公告、庭审准备中的仲裁庭公告、开庭中的仲裁庭公告、劳动仲裁庭审动态展示、基本信息展示、案件统计、未开庭案件列表、已开庭案件列表。</w:t>
      </w:r>
    </w:p>
    <w:p>
      <w:pPr>
        <w:pStyle w:val="2"/>
        <w:spacing w:line="360" w:lineRule="auto"/>
        <w:rPr>
          <w:rFonts w:hint="eastAsia" w:ascii="宋体" w:hAnsi="宋体" w:eastAsia="宋体" w:cs="宋体"/>
          <w:sz w:val="24"/>
          <w:lang w:bidi="en-US"/>
        </w:rPr>
      </w:pP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仲裁庭审电子签名</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提供对电子签名屏的定制接入，支持书记员发起笔录确认，由当事人进行笔录内容的确认。笔录确认无误后，书记员发起笔录签名，签名完成后系统自动将签名内容与笔录进行合成，无法进行修改。</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仲裁视频适配对接</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提供对仲裁视频的定制接入，进行视频巡查和电子地图资源上图。</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仲裁庭审视频网络管理</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提供巡检配置、告警配置、白名单配置；支持巡检计划配置，包括计划的添加、删除、修改、启用、禁用、查询、同步操作；启用或关闭告警状态推送。</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仲裁庭审视频运维</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提供运维数据可视化展示定制；提供资源概况、在线率统计、运行情况趋势、录像完整性、离线时长统计、一键运维、区域计分排名、视频图像诊断、视频录像检测、编码设备检测、解码设备检测、告警查询。</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提供区域运维统计考核、区域运维TOP10展示、区域运维列表统计、区域运维统计结果。</w:t>
      </w:r>
    </w:p>
    <w:p>
      <w:pPr>
        <w:pStyle w:val="2"/>
        <w:spacing w:line="360" w:lineRule="auto"/>
        <w:rPr>
          <w:rFonts w:hint="eastAsia" w:ascii="宋体" w:hAnsi="宋体" w:eastAsia="宋体" w:cs="宋体"/>
          <w:sz w:val="24"/>
          <w:lang w:bidi="en-US"/>
        </w:rPr>
      </w:pPr>
      <w:r>
        <w:rPr>
          <w:rFonts w:hint="eastAsia" w:ascii="宋体" w:hAnsi="宋体" w:eastAsia="宋体" w:cs="宋体"/>
          <w:sz w:val="24"/>
          <w:lang w:bidi="en-US"/>
        </w:rPr>
        <w:t>提供监控点图像质量TOP10展示、列表统计、统计结果、计算公式。提供监控点录像完整性TOP10展示、列表统计、统计结果、计算公式。</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提供高质量点位TOP10展示、列表统计、统计结果、计算公式。</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提供监控点在线状态TOP10展示、列表统计、统计结果。</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提供监控点录像存储达标TOP10展示、列表统计、统计结果。</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提供离线时长统计过滤查询、计算公式、统计结果。</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仲裁庭审视频质量诊断</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展示在线数、图像正常数、图像异常数、诊断失败数、未检测数数据统计结果；以列表方式展现统计结果，包括监控点名称、所在区域、IP地址、诊断结果、异常原因、视频流延迟、码流清晰度、在线状态、巡检时间；诊断图片查看、本级及级联点位图像重巡；支持诊断详情查看；支持以诊断结果、IP地址、监控点名称、在线状态、本级/级联过滤查询。</w:t>
      </w:r>
    </w:p>
    <w:p>
      <w:pPr>
        <w:pStyle w:val="5"/>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安防子系统</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人脸评分</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人脸图片质量评分能力。支持针对人员信息管理上传的人脸图片进行图片质量检测；支持针对智能监控人脸分组上传的人脸进行图片质量检测；支持访客机访客登记人证比对评分；支持针对访客微信预约访客自助上传的人脸图片进行图片质量检测；支持为第三方提供openapi人脸评分接口调用能力；支持针对H5人脸采集上传的人脸图片进行图片质量检测。</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视频监控</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提供视频设备管理、监控配置、实时预览、录像回放、全景监控、电视墙适配服务；可以分别通过设备直连取流和使用设备接入框架（DAC）取流。在使用APP预览或第三方调用取流的情况下，使用MGC取流。</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设备网络管理</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提供网络管理配置、运维概况、视频检测、告警查询、统计报表、一卡通网管服务。提供巡检计划、告警、白名单的配置。</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提供运维概况监测统计、数据排序、趋势图、问题统计、诊断评分、区域排名、区域得分详情。</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提供监控点在线检测、手动检测、结果查询、链路自动诊断、视频自动诊断、视频一键审核、视频质量结果导出、视频图像质量巡检、录像检查、录像一键复核。</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提供编码设备巡检查询、导出存储设备巡检查询、导出；解码设备巡检查询、导出。</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提供区域运维统计、数据排名、数据导出、统计权重配置、视频质量统计、区域视频质量排名；区域取流情况统计、排名、导出；区域录像达标率统计、达标率排名、达标率导出。</w:t>
      </w:r>
    </w:p>
    <w:p>
      <w:pPr>
        <w:pStyle w:val="2"/>
        <w:spacing w:line="360" w:lineRule="auto"/>
        <w:rPr>
          <w:rFonts w:hint="eastAsia" w:ascii="宋体" w:hAnsi="宋体" w:eastAsia="宋体" w:cs="宋体"/>
          <w:sz w:val="24"/>
          <w:lang w:bidi="en-US"/>
        </w:rPr>
      </w:pP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视频质量分析</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展示在线数、图像正常数、图像异常数、诊断失败数、未检测数数据统计结果；以列表方式展现统计结果，包括监控点名称、所在区域、IP地址、诊断结果、异常原因、视频流延迟、码流清晰度、在线状态、巡检时间；诊断图片查看、本级及级联点位图像重巡；支持诊断详情查看；支持以诊断结果、IP地址、监控点名称、在线状态、本级/级联过滤查询。</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视频联网</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信令网关配置、多网域配置、协议驱动配置、上下级域配置和转码配置；提供通过GB/T28181-2016协议将本级域中的监控点和目录推送给上级域，也可以作为上级域接收下级域推送的监控点和目录；支持级联点位取流，实现视频监控相关功能。</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门禁控制</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提供门禁设备定制接入；门禁人员录入、门禁权限分配；门禁点管理，权限配置；特殊卡持有人配置；门禁事件，门禁对讲广告发布等；客户端门禁反控、事件查看、检索、抓拍图查看。</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门禁多重认证</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多重认证，多门互锁；满足人组内的成员按照一定的规则进行认证才可以开门；支持配置多重认证中心二次认证时的中心授权人员数量；支持多门互锁，可设定同一控制器下的多门互锁，保证互锁的门中，同时最多只能打开一扇门。</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人员布控</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提供配置重点人员识别计划、陌生人识别计划、高频人员识别计划；提供接收重点人员、陌生人、高频人员实时事件；提供定制接入行为分析规则，实现行为分析服务器的事件上。</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智能应用检索</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智能监控配置和应用；人车智能搜索应用；按上传的目标人脸照片对人脸照片搜索；支持通过不同维度查询特征搜图结果；支持人脸查询结果在地图上绘制运行运行轨迹；支持将搜索结果作为二次查询的条件，再次进行特征搜图；支持在人脸事件中，将人脸图一键加入到指定人脸分组；支持下载人脸记录的人脸小图；支持自定义人脸记录的录像回放时间范围；提供融合特征搜图、人体检索和车辆检索，提供统一入口上传图片，支持分析图片中的人脸、人体和车辆检索目标，用户可根据人脸/人体/车辆目标，进行抓拍记录查询，并做运行轨迹展示。</w:t>
      </w:r>
    </w:p>
    <w:p>
      <w:pPr>
        <w:pStyle w:val="6"/>
        <w:spacing w:before="163" w:after="163" w:line="360" w:lineRule="auto"/>
        <w:rPr>
          <w:rFonts w:hint="eastAsia" w:ascii="宋体" w:hAnsi="宋体" w:eastAsia="宋体" w:cs="宋体"/>
          <w:sz w:val="24"/>
          <w:szCs w:val="24"/>
          <w:lang w:bidi="en-US"/>
        </w:rPr>
      </w:pPr>
      <w:r>
        <w:rPr>
          <w:rFonts w:hint="eastAsia" w:ascii="宋体" w:hAnsi="宋体" w:eastAsia="宋体" w:cs="宋体"/>
          <w:sz w:val="24"/>
          <w:szCs w:val="24"/>
          <w:lang w:bidi="en-US"/>
        </w:rPr>
        <w:t>安防国产化客户端</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提供ARM 客户端适配定制，支持在ARM指令集的CPU（飞腾、麒麟）和银河麒麟操作系统(kylin)、统信操作系统（UOS）环境下运行，支持视频预览、录像回放、视频上墙、事件联动、入侵报警、门禁业务功能。</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提供X86 客户端适配定制，支持在X86指令集CPU（海光、兆芯）和银河麒麟操作系统(kylin)、统信操作系统（UOS）下运行，支持视频预览、录像回放、视频上墙业务、事件联动、入侵报警、门禁功能。</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提供MIPS 客户端适配定制支持在龙芯CPU（兼容MIPS指令集）和统信操作系统（UOS）下运行，支持视频预览、录像回放、视频上墙、事件联动、入侵报警、门禁业务功能。</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提供国产化数据库适配定制。</w:t>
      </w:r>
    </w:p>
    <w:p>
      <w:pPr>
        <w:spacing w:line="360" w:lineRule="auto"/>
        <w:ind w:firstLine="560"/>
        <w:rPr>
          <w:rFonts w:hint="eastAsia" w:ascii="宋体" w:hAnsi="宋体" w:eastAsia="宋体" w:cs="宋体"/>
          <w:sz w:val="24"/>
          <w:lang w:bidi="en-US"/>
        </w:rPr>
      </w:pPr>
      <w:r>
        <w:rPr>
          <w:rFonts w:hint="eastAsia" w:ascii="宋体" w:hAnsi="宋体" w:eastAsia="宋体" w:cs="宋体"/>
          <w:sz w:val="24"/>
          <w:lang w:bidi="en-US"/>
        </w:rPr>
        <w:t>提供国产化中间件适配定制。</w:t>
      </w:r>
    </w:p>
    <w:p>
      <w:pPr>
        <w:pStyle w:val="4"/>
        <w:spacing w:before="163" w:after="163" w:line="360" w:lineRule="auto"/>
        <w:rPr>
          <w:rFonts w:hint="eastAsia" w:ascii="宋体" w:hAnsi="宋体" w:eastAsia="宋体" w:cs="宋体"/>
          <w:sz w:val="24"/>
        </w:rPr>
      </w:pPr>
      <w:r>
        <w:rPr>
          <w:rFonts w:hint="eastAsia" w:ascii="宋体" w:hAnsi="宋体" w:eastAsia="宋体" w:cs="宋体"/>
          <w:sz w:val="24"/>
        </w:rPr>
        <w:t>统一基础支撑平台</w:t>
      </w:r>
    </w:p>
    <w:p>
      <w:pPr>
        <w:pStyle w:val="5"/>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统一用户管理</w:t>
      </w:r>
    </w:p>
    <w:p>
      <w:pPr>
        <w:pStyle w:val="6"/>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统一认证管理</w:t>
      </w:r>
    </w:p>
    <w:p>
      <w:pPr>
        <w:spacing w:line="360" w:lineRule="auto"/>
        <w:ind w:firstLine="560"/>
        <w:rPr>
          <w:rFonts w:hint="eastAsia" w:ascii="宋体" w:hAnsi="宋体" w:eastAsia="宋体" w:cs="宋体"/>
          <w:sz w:val="24"/>
        </w:rPr>
      </w:pPr>
      <w:r>
        <w:rPr>
          <w:rFonts w:hint="eastAsia" w:ascii="宋体" w:hAnsi="宋体" w:eastAsia="宋体" w:cs="宋体"/>
          <w:sz w:val="24"/>
        </w:rPr>
        <w:t>提供统一认证管理平台，支持单点登录，用户一次登录即可访问所有接入到本平台的各个子应用系统。为第三方应用接入提供标准接口，以实现第三方无缝接入，实现数据同步等。为实现更好的数据兼容性，各个应用系统的数据都将通过平台 API 接口进行交互和调用，平台的所有接口都将以REST 的设计和开发方式呈现。通过统一的应用接口管理，应用可以遵照平台数据交互标准向任何平台上的其他应用提供数据调用接口，方便数据交互。</w:t>
      </w:r>
    </w:p>
    <w:p>
      <w:pPr>
        <w:pStyle w:val="6"/>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统一组织机构管理</w:t>
      </w:r>
    </w:p>
    <w:p>
      <w:pPr>
        <w:spacing w:line="360" w:lineRule="auto"/>
        <w:ind w:firstLine="560"/>
        <w:rPr>
          <w:rFonts w:hint="eastAsia" w:ascii="宋体" w:hAnsi="宋体" w:eastAsia="宋体" w:cs="宋体"/>
          <w:sz w:val="24"/>
        </w:rPr>
      </w:pPr>
      <w:r>
        <w:rPr>
          <w:rFonts w:hint="eastAsia" w:ascii="宋体" w:hAnsi="宋体" w:eastAsia="宋体" w:cs="宋体"/>
          <w:sz w:val="24"/>
        </w:rPr>
        <w:t>平台支持自定义组织机构，支持管理员能自定义添加各组织机构的下级部门，支持自定义添加各部门的下级部门，支持对各机构批量分配相关应用权限。支持查看各组织机构的下属部门个数、负责人及联系方式。支持对机构和部门进行是否激活设置。系统支持批量导入组织机构。（1）机构管理：管理员可对机构进行添加、查询、编辑、删除、分配应用权限等操作；（2）添加部门：在用户管理中，可对用户进行添加、编辑、重置密码、禁用/启用、导出、批量分配部门等操作。</w:t>
      </w:r>
    </w:p>
    <w:p>
      <w:pPr>
        <w:pStyle w:val="6"/>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统一角色管理</w:t>
      </w:r>
    </w:p>
    <w:p>
      <w:pPr>
        <w:spacing w:line="360" w:lineRule="auto"/>
        <w:ind w:firstLine="560"/>
        <w:rPr>
          <w:rFonts w:hint="eastAsia" w:ascii="宋体" w:hAnsi="宋体" w:eastAsia="宋体" w:cs="宋体"/>
          <w:sz w:val="24"/>
        </w:rPr>
      </w:pPr>
      <w:r>
        <w:rPr>
          <w:rFonts w:hint="eastAsia" w:ascii="宋体" w:hAnsi="宋体" w:eastAsia="宋体" w:cs="宋体"/>
          <w:sz w:val="24"/>
        </w:rPr>
        <w:t>系统支持按照公共就业各个子系统实际情况添加、删除、编辑用户角色，能够自定义角色名称、所属机构、角色类型、角色排序以及添加角色备注；系统需支持对角色进行权限分配，包括所有接入的应用系统权限分配，并可对所分配权限进行查看以及编辑。对各角色进行是否激活设置等。</w:t>
      </w:r>
    </w:p>
    <w:p>
      <w:pPr>
        <w:pStyle w:val="6"/>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统一权限管理</w:t>
      </w:r>
    </w:p>
    <w:p>
      <w:pPr>
        <w:spacing w:line="360" w:lineRule="auto"/>
        <w:ind w:firstLine="560"/>
        <w:rPr>
          <w:rFonts w:hint="eastAsia" w:ascii="宋体" w:hAnsi="宋体" w:eastAsia="宋体" w:cs="宋体"/>
          <w:sz w:val="24"/>
        </w:rPr>
      </w:pPr>
      <w:r>
        <w:rPr>
          <w:rFonts w:hint="eastAsia" w:ascii="宋体" w:hAnsi="宋体" w:eastAsia="宋体" w:cs="宋体"/>
          <w:sz w:val="24"/>
        </w:rPr>
        <w:t>系统能够直接调用分配好的角色，并通过用户所在机构、用户名、姓名和身份证号、电话等方式对用户进行查询，系统可通过分配用户角色实现对用户的权限管理，并支持批量设置用户权限。支持同一用户可以分配多个角色权限，并支持在维护更新中实时同步到其它应用系统，保持用户身份的一致性。</w:t>
      </w:r>
    </w:p>
    <w:p>
      <w:pPr>
        <w:pStyle w:val="5"/>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统一应用管理</w:t>
      </w:r>
    </w:p>
    <w:p>
      <w:pPr>
        <w:pStyle w:val="6"/>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应用审核与管理</w:t>
      </w:r>
    </w:p>
    <w:p>
      <w:pPr>
        <w:spacing w:line="360" w:lineRule="auto"/>
        <w:ind w:firstLine="560"/>
        <w:rPr>
          <w:rFonts w:hint="eastAsia" w:ascii="宋体" w:hAnsi="宋体" w:eastAsia="宋体" w:cs="宋体"/>
          <w:sz w:val="24"/>
        </w:rPr>
      </w:pPr>
      <w:r>
        <w:rPr>
          <w:rFonts w:hint="eastAsia" w:ascii="宋体" w:hAnsi="宋体" w:eastAsia="宋体" w:cs="宋体"/>
          <w:sz w:val="24"/>
        </w:rPr>
        <w:t>支持统一审核与管理接入平台的应用系统，展示平台已接入应用个数；实现将接入系统的部分数据，打通各应用的数据通信与内容发布，实现对内对外的数据一体化管理。以保护用户账号和平台资源信息为初衷，任何整合到平台的应用 统一应 都要受应用管理平台的统一管理。应用在平台进行应用注册并在获得唯一的应用密匙后方可完成系统接入。在实现应用 用管理 与平台或应用间的数据交换和请求是应用密匙则将成为平台上唯一的通用的且安全的标识。</w:t>
      </w:r>
    </w:p>
    <w:p>
      <w:pPr>
        <w:pStyle w:val="6"/>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应用权限管理</w:t>
      </w:r>
    </w:p>
    <w:p>
      <w:pPr>
        <w:spacing w:line="360" w:lineRule="auto"/>
        <w:ind w:firstLine="560"/>
        <w:rPr>
          <w:rFonts w:hint="eastAsia" w:ascii="宋体" w:hAnsi="宋体" w:eastAsia="宋体" w:cs="宋体"/>
          <w:sz w:val="24"/>
        </w:rPr>
      </w:pPr>
      <w:r>
        <w:rPr>
          <w:rFonts w:hint="eastAsia" w:ascii="宋体" w:hAnsi="宋体" w:eastAsia="宋体" w:cs="宋体"/>
          <w:sz w:val="24"/>
        </w:rPr>
        <w:t>系统支持对各个就业应用子系统的数据调用、数据读写等权限进行管理，并能够直观显示各个应用系统的读/写权限状态，即可用权限数量和不可用权限数量。对各业务系统的权限按角色进行集中管理，做到统一入口、统一方式进行授权，避免多系统多套权限管理而形成的权限漏洞。支持同一个账号可分配多个角色。</w:t>
      </w:r>
    </w:p>
    <w:p>
      <w:pPr>
        <w:pStyle w:val="6"/>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接口管理</w:t>
      </w:r>
    </w:p>
    <w:p>
      <w:pPr>
        <w:spacing w:line="360" w:lineRule="auto"/>
        <w:ind w:firstLine="560"/>
        <w:rPr>
          <w:rFonts w:hint="eastAsia" w:ascii="宋体" w:hAnsi="宋体" w:eastAsia="宋体" w:cs="宋体"/>
          <w:sz w:val="24"/>
        </w:rPr>
      </w:pPr>
      <w:r>
        <w:rPr>
          <w:rFonts w:hint="eastAsia" w:ascii="宋体" w:hAnsi="宋体" w:eastAsia="宋体" w:cs="宋体"/>
          <w:sz w:val="24"/>
        </w:rPr>
        <w:t>支持平台为各个应用系统提供统一标准接入接口，包括系统接入标准接口管理、数据调用标准接口管理等。支持在平台提供所有应用的统一入口，提供规范性接口，包括资讯服务功能，应用集成功能，消息集成功能，内容管理功能，站点管理，页面管理，主题管理，资源管理等功能。</w:t>
      </w:r>
    </w:p>
    <w:p>
      <w:pPr>
        <w:pStyle w:val="5"/>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统一工作台</w:t>
      </w:r>
    </w:p>
    <w:p>
      <w:pPr>
        <w:spacing w:line="360" w:lineRule="auto"/>
        <w:ind w:firstLine="560"/>
        <w:rPr>
          <w:rFonts w:hint="eastAsia" w:ascii="宋体" w:hAnsi="宋体" w:eastAsia="宋体" w:cs="宋体"/>
          <w:sz w:val="24"/>
        </w:rPr>
      </w:pPr>
      <w:r>
        <w:rPr>
          <w:rFonts w:hint="eastAsia" w:ascii="宋体" w:hAnsi="宋体" w:eastAsia="宋体" w:cs="宋体"/>
          <w:sz w:val="24"/>
        </w:rPr>
        <w:t>1、平台支持用户无需退出系统登录进行角色切换,实现同一用户处理不同角色下的事务。</w:t>
      </w:r>
    </w:p>
    <w:p>
      <w:pPr>
        <w:spacing w:line="360" w:lineRule="auto"/>
        <w:ind w:firstLine="560"/>
        <w:rPr>
          <w:rFonts w:hint="eastAsia" w:ascii="宋体" w:hAnsi="宋体" w:eastAsia="宋体" w:cs="宋体"/>
          <w:sz w:val="24"/>
        </w:rPr>
      </w:pPr>
      <w:r>
        <w:rPr>
          <w:rFonts w:hint="eastAsia" w:ascii="宋体" w:hAnsi="宋体" w:eastAsia="宋体" w:cs="宋体"/>
          <w:sz w:val="24"/>
        </w:rPr>
        <w:t>2、支持在首页显示日历、可编辑主题和内容的便签、自主添加或删除不同数据分析主题的数据卡片。支持首页应用列表的展开与收起。</w:t>
      </w:r>
    </w:p>
    <w:p>
      <w:pPr>
        <w:spacing w:line="360" w:lineRule="auto"/>
        <w:ind w:firstLine="560"/>
        <w:rPr>
          <w:rFonts w:hint="eastAsia" w:ascii="宋体" w:hAnsi="宋体" w:eastAsia="宋体" w:cs="宋体"/>
          <w:sz w:val="24"/>
        </w:rPr>
      </w:pPr>
      <w:r>
        <w:rPr>
          <w:rFonts w:hint="eastAsia" w:ascii="宋体" w:hAnsi="宋体" w:eastAsia="宋体" w:cs="宋体"/>
          <w:sz w:val="24"/>
        </w:rPr>
        <w:t>3、支持不同角色个性化工作台桌面，对常用应用功能进行添加或取消收藏，实现对常用功能快速访问。</w:t>
      </w:r>
    </w:p>
    <w:p>
      <w:pPr>
        <w:spacing w:line="360" w:lineRule="auto"/>
        <w:ind w:firstLine="560"/>
        <w:rPr>
          <w:rFonts w:hint="eastAsia" w:ascii="宋体" w:hAnsi="宋体" w:eastAsia="宋体" w:cs="宋体"/>
          <w:sz w:val="24"/>
        </w:rPr>
      </w:pPr>
      <w:r>
        <w:rPr>
          <w:rFonts w:hint="eastAsia" w:ascii="宋体" w:hAnsi="宋体" w:eastAsia="宋体" w:cs="宋体"/>
          <w:sz w:val="24"/>
        </w:rPr>
        <w:t>4、支持用户在首页进行平台内所有应用进行模糊搜索，方便用户快速找到相关的校内应用系统或功能服务。</w:t>
      </w:r>
    </w:p>
    <w:p>
      <w:pPr>
        <w:spacing w:line="360" w:lineRule="auto"/>
        <w:ind w:firstLine="560"/>
        <w:rPr>
          <w:rFonts w:hint="eastAsia" w:ascii="宋体" w:hAnsi="宋体" w:eastAsia="宋体" w:cs="宋体"/>
          <w:sz w:val="24"/>
        </w:rPr>
      </w:pPr>
      <w:r>
        <w:rPr>
          <w:rFonts w:hint="eastAsia" w:ascii="宋体" w:hAnsi="宋体" w:eastAsia="宋体" w:cs="宋体"/>
          <w:sz w:val="24"/>
        </w:rPr>
        <w:t>5、支持显示消息提醒标志，用户可快捷查看消息通知。</w:t>
      </w:r>
    </w:p>
    <w:p>
      <w:pPr>
        <w:spacing w:line="360" w:lineRule="auto"/>
        <w:ind w:firstLine="560"/>
        <w:rPr>
          <w:rFonts w:hint="eastAsia" w:ascii="宋体" w:hAnsi="宋体" w:eastAsia="宋体" w:cs="宋体"/>
          <w:sz w:val="24"/>
        </w:rPr>
      </w:pPr>
      <w:r>
        <w:rPr>
          <w:rFonts w:hint="eastAsia" w:ascii="宋体" w:hAnsi="宋体" w:eastAsia="宋体" w:cs="宋体"/>
          <w:sz w:val="24"/>
        </w:rPr>
        <w:t>6、支持用户个性化头像、个性签名和档案查看，并且支持对个人基本信息进行编辑，登录密码的修改以及账户的注销。</w:t>
      </w:r>
    </w:p>
    <w:p>
      <w:pPr>
        <w:pStyle w:val="5"/>
        <w:spacing w:before="163" w:after="163" w:line="360" w:lineRule="auto"/>
        <w:rPr>
          <w:rFonts w:hint="eastAsia" w:ascii="宋体" w:hAnsi="宋体" w:eastAsia="宋体" w:cs="宋体"/>
          <w:sz w:val="24"/>
          <w:szCs w:val="24"/>
        </w:rPr>
      </w:pPr>
      <w:r>
        <w:rPr>
          <w:rFonts w:hint="eastAsia" w:ascii="宋体" w:hAnsi="宋体" w:eastAsia="宋体" w:cs="宋体"/>
          <w:sz w:val="24"/>
          <w:szCs w:val="24"/>
        </w:rPr>
        <w:t>统一消息中心</w:t>
      </w:r>
    </w:p>
    <w:p>
      <w:pPr>
        <w:spacing w:line="360" w:lineRule="auto"/>
        <w:ind w:firstLine="560"/>
        <w:rPr>
          <w:rFonts w:hint="eastAsia" w:ascii="宋体" w:hAnsi="宋体" w:eastAsia="宋体" w:cs="宋体"/>
          <w:sz w:val="24"/>
        </w:rPr>
      </w:pPr>
      <w:r>
        <w:rPr>
          <w:rFonts w:hint="eastAsia" w:ascii="宋体" w:hAnsi="宋体" w:eastAsia="宋体" w:cs="宋体"/>
          <w:sz w:val="24"/>
        </w:rPr>
        <w:t>通过消息中心的 API 接口，对接各业务系统数据，用户可以在一个消息入口查看所有业务消息。统一消息中心打破消息孤岛，支持群发、订阅和图文发，状态有记录，确保消息发送、阅览的及时性、统一性，实现敏捷化沟通。</w:t>
      </w:r>
    </w:p>
    <w:p>
      <w:pPr>
        <w:numPr>
          <w:ilvl w:val="0"/>
          <w:numId w:val="3"/>
        </w:numPr>
        <w:spacing w:line="360" w:lineRule="auto"/>
        <w:ind w:firstLine="560"/>
        <w:rPr>
          <w:rFonts w:hint="eastAsia" w:ascii="宋体" w:hAnsi="宋体" w:eastAsia="宋体" w:cs="宋体"/>
          <w:sz w:val="24"/>
        </w:rPr>
      </w:pPr>
      <w:r>
        <w:rPr>
          <w:rFonts w:hint="eastAsia" w:ascii="宋体" w:hAnsi="宋体" w:eastAsia="宋体" w:cs="宋体"/>
          <w:sz w:val="24"/>
        </w:rPr>
        <w:t>消息服务规范：支持包括消息生成规范和消息接收规范。具备消息服务规范的上传、下载和反馈功能。让消息生成方和接收方有统一通道进行消息服务标准规范的传递和沟通反馈。</w:t>
      </w:r>
    </w:p>
    <w:p>
      <w:pPr>
        <w:numPr>
          <w:ilvl w:val="0"/>
          <w:numId w:val="3"/>
        </w:numPr>
        <w:spacing w:line="360" w:lineRule="auto"/>
        <w:ind w:firstLine="560"/>
        <w:rPr>
          <w:rFonts w:hint="eastAsia" w:ascii="宋体" w:hAnsi="宋体" w:eastAsia="宋体" w:cs="宋体"/>
          <w:sz w:val="24"/>
        </w:rPr>
      </w:pPr>
      <w:r>
        <w:rPr>
          <w:rFonts w:hint="eastAsia" w:ascii="宋体" w:hAnsi="宋体" w:eastAsia="宋体" w:cs="宋体"/>
          <w:sz w:val="24"/>
        </w:rPr>
        <w:t>访问控制管理：包括消息服务注册管理、消息服务授权管理等。各消息生产者要在消息服务中心进行服务注册，审核通过后，取得服务授权。消息生产者根据这一授权进行消息的收发。</w:t>
      </w:r>
    </w:p>
    <w:p>
      <w:pPr>
        <w:spacing w:line="360" w:lineRule="auto"/>
        <w:ind w:firstLine="560"/>
        <w:rPr>
          <w:rFonts w:hint="eastAsia" w:ascii="宋体" w:hAnsi="宋体" w:eastAsia="宋体" w:cs="宋体"/>
          <w:sz w:val="24"/>
        </w:rPr>
      </w:pPr>
      <w:r>
        <w:rPr>
          <w:rFonts w:hint="eastAsia" w:ascii="宋体" w:hAnsi="宋体" w:eastAsia="宋体" w:cs="宋体"/>
          <w:sz w:val="24"/>
        </w:rPr>
        <w:t>3、消息管理：主要包括消息分类管理和消息模板管理。消息分类管理主要维护消息分类和消息阅读方式。消息模板管理，根据消息分类和消息格式规范制定消息模板，达到复用的目的。</w:t>
      </w:r>
    </w:p>
    <w:p>
      <w:pPr>
        <w:spacing w:line="360" w:lineRule="auto"/>
        <w:ind w:firstLine="560"/>
        <w:rPr>
          <w:rFonts w:hint="eastAsia" w:ascii="宋体" w:hAnsi="宋体" w:eastAsia="宋体" w:cs="宋体"/>
          <w:sz w:val="24"/>
        </w:rPr>
      </w:pPr>
      <w:r>
        <w:rPr>
          <w:rFonts w:hint="eastAsia" w:ascii="宋体" w:hAnsi="宋体" w:eastAsia="宋体" w:cs="宋体"/>
          <w:sz w:val="24"/>
        </w:rPr>
        <w:t>4、消息容器：用于存放消息队列，各消息生产者将消息发送到消息容器，而消息消费者则从消息容器进行消息读取。消息容器管理主要实现消息队列管理、消息分级管理、消息缓存管理、负载均衡管理。</w:t>
      </w:r>
    </w:p>
    <w:p>
      <w:pPr>
        <w:spacing w:line="360" w:lineRule="auto"/>
        <w:ind w:firstLine="560"/>
        <w:rPr>
          <w:rFonts w:hint="eastAsia" w:ascii="宋体" w:hAnsi="宋体" w:eastAsia="宋体" w:cs="宋体"/>
          <w:sz w:val="24"/>
        </w:rPr>
      </w:pPr>
    </w:p>
    <w:p>
      <w:pPr>
        <w:pStyle w:val="4"/>
        <w:spacing w:before="163" w:after="163" w:line="360" w:lineRule="auto"/>
        <w:rPr>
          <w:rFonts w:hint="eastAsia" w:ascii="宋体" w:hAnsi="宋体" w:eastAsia="宋体" w:cs="宋体"/>
          <w:b/>
          <w:bCs/>
          <w:sz w:val="24"/>
        </w:rPr>
      </w:pPr>
      <w:r>
        <w:rPr>
          <w:rFonts w:hint="eastAsia" w:ascii="宋体" w:hAnsi="宋体" w:eastAsia="宋体" w:cs="宋体"/>
          <w:b/>
          <w:bCs/>
          <w:sz w:val="24"/>
        </w:rPr>
        <w:t>数据资源建设</w:t>
      </w:r>
    </w:p>
    <w:p>
      <w:pPr>
        <w:spacing w:line="360" w:lineRule="auto"/>
        <w:ind w:firstLine="560"/>
        <w:rPr>
          <w:rFonts w:hint="eastAsia" w:ascii="宋体" w:hAnsi="宋体" w:eastAsia="宋体" w:cs="宋体"/>
          <w:sz w:val="24"/>
        </w:rPr>
      </w:pPr>
      <w:r>
        <w:rPr>
          <w:rFonts w:hint="eastAsia" w:ascii="宋体" w:hAnsi="宋体" w:eastAsia="宋体" w:cs="宋体"/>
          <w:sz w:val="24"/>
        </w:rPr>
        <w:t>针对省厅回流的延安本级就业与人社相关业务数据开展汇聚、处理、提质，优化公共就业应用支撑，通过原始库数据治理、明细库数据治理、主题库数据治理、业务库数据治理等手段，支撑精准化、智能化公共就业服务，实现对各类劳动者的动态精准身份管理，助力业务的精准开展和服务的精细化提升。</w:t>
      </w:r>
    </w:p>
    <w:p>
      <w:pPr>
        <w:spacing w:line="360" w:lineRule="auto"/>
        <w:ind w:firstLine="560"/>
        <w:rPr>
          <w:rFonts w:hint="eastAsia" w:ascii="宋体" w:hAnsi="宋体" w:eastAsia="宋体" w:cs="宋体"/>
          <w:sz w:val="24"/>
        </w:rPr>
      </w:pPr>
      <w:r>
        <w:rPr>
          <w:rFonts w:hint="eastAsia" w:ascii="宋体" w:hAnsi="宋体" w:eastAsia="宋体" w:cs="宋体"/>
          <w:sz w:val="24"/>
        </w:rPr>
        <w:t>数据清洗服务</w:t>
      </w:r>
    </w:p>
    <w:p>
      <w:pPr>
        <w:spacing w:line="360" w:lineRule="auto"/>
        <w:ind w:firstLine="560"/>
        <w:rPr>
          <w:rFonts w:hint="eastAsia" w:ascii="宋体" w:hAnsi="宋体" w:eastAsia="宋体" w:cs="宋体"/>
          <w:sz w:val="24"/>
        </w:rPr>
      </w:pPr>
      <w:r>
        <w:rPr>
          <w:rFonts w:hint="eastAsia" w:ascii="宋体" w:hAnsi="宋体" w:eastAsia="宋体" w:cs="宋体"/>
          <w:sz w:val="24"/>
        </w:rPr>
        <w:t>包括：城镇新增就业数据、城镇登记失业数据、农村劳动力数据、重点群体帮扶数据、就业困难人员数据、公益性岗位安置数据、招聘岗位数据、招聘单位数据、求职意向数据、个人简历数据、创业担保贷款数据、就业资金数据、技能培训数据、应届毕业生就业数据、离校未就业高校毕业生数据、大学生就业见习数据、中高级职称数据、个人存档数据、进城务工人员数据、城镇职工养老保险参保退休数据、城镇职工养老保险参保单位数据、城乡居民养老保险参保退休数据、机关养老保险参保退休及参保单位数据、人员参保及失业金数据、人员工伤保险参保认定待遇领取数据</w:t>
      </w:r>
    </w:p>
    <w:p>
      <w:pPr>
        <w:spacing w:line="360" w:lineRule="auto"/>
        <w:ind w:firstLine="560"/>
        <w:rPr>
          <w:rFonts w:hint="eastAsia" w:ascii="宋体" w:hAnsi="宋体" w:eastAsia="宋体" w:cs="宋体"/>
          <w:sz w:val="24"/>
        </w:rPr>
      </w:pPr>
      <w:r>
        <w:rPr>
          <w:rFonts w:hint="eastAsia" w:ascii="宋体" w:hAnsi="宋体" w:eastAsia="宋体" w:cs="宋体"/>
          <w:sz w:val="24"/>
        </w:rPr>
        <w:t>明细库数据治理服务</w:t>
      </w:r>
    </w:p>
    <w:p>
      <w:pPr>
        <w:spacing w:line="360" w:lineRule="auto"/>
        <w:ind w:firstLine="560"/>
        <w:rPr>
          <w:rFonts w:hint="eastAsia" w:ascii="宋体" w:hAnsi="宋体" w:eastAsia="宋体" w:cs="宋体"/>
          <w:sz w:val="24"/>
        </w:rPr>
      </w:pPr>
      <w:r>
        <w:rPr>
          <w:rFonts w:hint="eastAsia" w:ascii="宋体" w:hAnsi="宋体" w:eastAsia="宋体" w:cs="宋体"/>
          <w:sz w:val="24"/>
        </w:rPr>
        <w:t>包括：人员基础信息明细表、就业困难人员明细表、高校毕业生明细表、退役军人登记明细表、求职意向明细表、单位基本信息明细表、招聘岗位明细表、公益性安置岗位明细表、就业登记明细表、失业登记明细表、技能培训明细表、专业技术明细表、社保参保明细表、养老金缴纳明细表、养老金发放明细表、失业保险参保明细表、失业保险金发放明细表、工伤保险参保明细表、工伤认定明细表、工伤待遇领取明细表、创业担保贷款申报明细表、创业担保贷款发放明细表、一次性创业补贴申报明细表、一次性创业补贴发放明细表、一次性求职补贴发放明细表</w:t>
      </w:r>
    </w:p>
    <w:p>
      <w:pPr>
        <w:spacing w:line="360" w:lineRule="auto"/>
        <w:ind w:firstLine="560"/>
        <w:rPr>
          <w:rFonts w:hint="eastAsia" w:ascii="宋体" w:hAnsi="宋体" w:eastAsia="宋体" w:cs="宋体"/>
          <w:sz w:val="24"/>
        </w:rPr>
      </w:pPr>
      <w:r>
        <w:rPr>
          <w:rFonts w:hint="eastAsia" w:ascii="宋体" w:hAnsi="宋体" w:eastAsia="宋体" w:cs="宋体"/>
          <w:sz w:val="24"/>
        </w:rPr>
        <w:t>主题库数据治理服务</w:t>
      </w:r>
    </w:p>
    <w:p>
      <w:pPr>
        <w:spacing w:line="360" w:lineRule="auto"/>
        <w:ind w:firstLine="560"/>
        <w:rPr>
          <w:rFonts w:hint="eastAsia" w:ascii="宋体" w:hAnsi="宋体" w:eastAsia="宋体" w:cs="宋体"/>
          <w:sz w:val="24"/>
        </w:rPr>
      </w:pPr>
      <w:r>
        <w:rPr>
          <w:rFonts w:hint="eastAsia" w:ascii="宋体" w:hAnsi="宋体" w:eastAsia="宋体" w:cs="宋体"/>
          <w:sz w:val="24"/>
        </w:rPr>
        <w:t>包括：人员基础信息主题表、人员技能水平主题表、人员求职意向主题表、人员参保状态主题表、人员待遇发放主题表、人员就失业状态主题表、人员就业补贴主题表、单位基本信息主题表、单位经营状况主题表、单位招聘需求主题表、岗位基本信息主题表、岗位技能要求主题表、岗位薪资待遇主题表</w:t>
      </w:r>
    </w:p>
    <w:p>
      <w:pPr>
        <w:spacing w:line="360" w:lineRule="auto"/>
        <w:ind w:firstLine="560"/>
        <w:rPr>
          <w:rFonts w:hint="eastAsia" w:ascii="宋体" w:hAnsi="宋体" w:eastAsia="宋体" w:cs="宋体"/>
          <w:sz w:val="24"/>
        </w:rPr>
      </w:pPr>
      <w:r>
        <w:rPr>
          <w:rFonts w:ascii="宋体" w:hAnsi="宋体" w:eastAsia="宋体" w:cs="宋体"/>
          <w:sz w:val="24"/>
        </w:rPr>
        <w:t>业务库数据治理服务</w:t>
      </w:r>
    </w:p>
    <w:p>
      <w:pPr>
        <w:spacing w:line="360" w:lineRule="auto"/>
        <w:ind w:firstLine="560"/>
        <w:rPr>
          <w:rFonts w:hint="eastAsia" w:ascii="宋体" w:hAnsi="宋体" w:eastAsia="宋体" w:cs="宋体"/>
          <w:sz w:val="24"/>
        </w:rPr>
      </w:pPr>
      <w:r>
        <w:rPr>
          <w:rFonts w:hint="eastAsia" w:ascii="宋体" w:hAnsi="宋体" w:eastAsia="宋体" w:cs="宋体"/>
          <w:sz w:val="24"/>
        </w:rPr>
        <w:t>包括：就业总体概况数据服务、城镇新增就业人员数据服务、企业用工数据服务、企业用工人员结构数据服务、行业用工数据服务、国有企业用工数据服务、民营企业用工数据服务、外资企业用工数据服务、规上工业企业用工数据服务、规下（小微）企业用工数据服务、青年人群就业数据服务、转移就业农村劳动力就业数据服务、就业创业补贴享受情况数据服务、就业创业税收优惠政策享受情况数据服务、一次性创业补贴享受情况数据服务、创业担保贷款享受情况数据服务、一次性求职补贴享受情况数据服务</w:t>
      </w:r>
    </w:p>
    <w:p>
      <w:pPr>
        <w:pStyle w:val="4"/>
        <w:spacing w:before="163" w:after="163" w:line="360" w:lineRule="auto"/>
        <w:rPr>
          <w:rFonts w:hint="eastAsia" w:ascii="宋体" w:hAnsi="宋体" w:eastAsia="宋体" w:cs="宋体"/>
          <w:b/>
          <w:bCs/>
          <w:sz w:val="24"/>
        </w:rPr>
      </w:pPr>
      <w:r>
        <w:rPr>
          <w:rFonts w:hint="eastAsia" w:ascii="宋体" w:hAnsi="宋体" w:eastAsia="宋体" w:cs="宋体"/>
          <w:b/>
          <w:bCs/>
          <w:sz w:val="24"/>
        </w:rPr>
        <w:t>第三方接口开发</w:t>
      </w:r>
    </w:p>
    <w:p>
      <w:pPr>
        <w:spacing w:line="360" w:lineRule="auto"/>
        <w:ind w:firstLine="560"/>
        <w:rPr>
          <w:rFonts w:hint="eastAsia" w:ascii="宋体" w:hAnsi="宋体" w:eastAsia="宋体" w:cs="宋体"/>
          <w:sz w:val="24"/>
        </w:rPr>
      </w:pPr>
      <w:r>
        <w:rPr>
          <w:rFonts w:hint="eastAsia" w:ascii="宋体" w:hAnsi="宋体" w:eastAsia="宋体" w:cs="宋体"/>
          <w:sz w:val="24"/>
        </w:rPr>
        <w:t>针对灵活就业或自主创业人员社会保险补贴申报、单位吸纳就业社会保险补贴申报、一次性创业补贴申报、创业孵化基地补贴、就业困难人员认定、就业困难人员注销、就业登记、失业登记、就业创业证申领、就业创业信息查询、就业创业历史信息查询、应届高校毕业生实名登记、求职意向登记、招聘岗位登记、求职意向查询、岗位信息查询、企业创业担保贷款申请、个人创业担保贷款申请、个人创业担保贷款信息查询、就业见习单位资格认定、就业见习岗位发布、就业见习人员申请、见习岗位查询、调档申请、档案信息查询、公共接口等第三方接口根据本项目实际需求进行接口开发，确保数据及应用的完整性和统一性。</w:t>
      </w:r>
    </w:p>
    <w:p>
      <w:pPr>
        <w:spacing w:line="360" w:lineRule="auto"/>
        <w:ind w:firstLine="560"/>
        <w:rPr>
          <w:rFonts w:hint="eastAsia" w:ascii="宋体" w:hAnsi="宋体" w:eastAsia="宋体" w:cs="宋体"/>
          <w:sz w:val="24"/>
        </w:rPr>
      </w:pPr>
      <w:r>
        <w:rPr>
          <w:rFonts w:hint="eastAsia" w:ascii="宋体" w:hAnsi="宋体" w:eastAsia="宋体" w:cs="宋体"/>
          <w:sz w:val="24"/>
        </w:rPr>
        <w:t>灵活就业或自主创业人员社会保险补贴申报</w:t>
      </w:r>
    </w:p>
    <w:p>
      <w:pPr>
        <w:spacing w:line="360" w:lineRule="auto"/>
        <w:ind w:firstLine="560"/>
        <w:rPr>
          <w:rFonts w:hint="eastAsia" w:ascii="宋体" w:hAnsi="宋体" w:eastAsia="宋体" w:cs="宋体"/>
          <w:sz w:val="24"/>
        </w:rPr>
      </w:pPr>
      <w:r>
        <w:rPr>
          <w:rFonts w:hint="eastAsia" w:ascii="宋体" w:hAnsi="宋体" w:eastAsia="宋体" w:cs="宋体"/>
          <w:sz w:val="24"/>
        </w:rPr>
        <w:t>包括：接收接口注册数据、读取人员基本信息、查询人员身份类别、发送核验结果</w:t>
      </w:r>
    </w:p>
    <w:p>
      <w:pPr>
        <w:spacing w:line="360" w:lineRule="auto"/>
        <w:ind w:firstLine="560"/>
        <w:rPr>
          <w:rFonts w:hint="eastAsia" w:ascii="宋体" w:hAnsi="宋体" w:eastAsia="宋体" w:cs="宋体"/>
          <w:sz w:val="24"/>
        </w:rPr>
      </w:pPr>
      <w:r>
        <w:rPr>
          <w:rFonts w:hint="eastAsia" w:ascii="宋体" w:hAnsi="宋体" w:eastAsia="宋体" w:cs="宋体"/>
          <w:sz w:val="24"/>
        </w:rPr>
        <w:t>单位吸纳就业社会保险补贴申报</w:t>
      </w:r>
    </w:p>
    <w:p>
      <w:pPr>
        <w:spacing w:line="360" w:lineRule="auto"/>
        <w:ind w:firstLine="560"/>
        <w:rPr>
          <w:rFonts w:hint="eastAsia" w:ascii="宋体" w:hAnsi="宋体" w:eastAsia="宋体" w:cs="宋体"/>
          <w:sz w:val="24"/>
        </w:rPr>
      </w:pPr>
      <w:r>
        <w:rPr>
          <w:rFonts w:hint="eastAsia" w:ascii="宋体" w:hAnsi="宋体" w:eastAsia="宋体" w:cs="宋体"/>
          <w:sz w:val="24"/>
        </w:rPr>
        <w:t>包括：接收接口注册数据、读取人员基本信息、查询人员身份类别、发送核验结果</w:t>
      </w:r>
    </w:p>
    <w:p>
      <w:pPr>
        <w:spacing w:line="360" w:lineRule="auto"/>
        <w:ind w:firstLine="560"/>
        <w:rPr>
          <w:rFonts w:hint="eastAsia" w:ascii="宋体" w:hAnsi="宋体" w:eastAsia="宋体" w:cs="宋体"/>
          <w:sz w:val="24"/>
        </w:rPr>
      </w:pPr>
      <w:r>
        <w:rPr>
          <w:rFonts w:hint="eastAsia" w:ascii="宋体" w:hAnsi="宋体" w:eastAsia="宋体" w:cs="宋体"/>
          <w:sz w:val="24"/>
        </w:rPr>
        <w:t>一次性创业补贴申报</w:t>
      </w:r>
    </w:p>
    <w:p>
      <w:pPr>
        <w:spacing w:line="360" w:lineRule="auto"/>
        <w:ind w:firstLine="560"/>
        <w:rPr>
          <w:rFonts w:hint="eastAsia" w:ascii="宋体" w:hAnsi="宋体" w:eastAsia="宋体" w:cs="宋体"/>
          <w:sz w:val="24"/>
        </w:rPr>
      </w:pPr>
      <w:r>
        <w:rPr>
          <w:rFonts w:hint="eastAsia" w:ascii="宋体" w:hAnsi="宋体" w:eastAsia="宋体" w:cs="宋体"/>
          <w:sz w:val="24"/>
        </w:rPr>
        <w:t>包括：接收接口注册数据、读取人员基本信息、查询人员待遇享受信息、查询市监核验信息、发送校验结果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创业孵化基地补贴</w:t>
      </w:r>
    </w:p>
    <w:p>
      <w:pPr>
        <w:spacing w:line="360" w:lineRule="auto"/>
        <w:ind w:firstLine="560"/>
        <w:rPr>
          <w:rFonts w:hint="eastAsia" w:ascii="宋体" w:hAnsi="宋体" w:eastAsia="宋体" w:cs="宋体"/>
          <w:sz w:val="24"/>
        </w:rPr>
      </w:pPr>
      <w:r>
        <w:rPr>
          <w:rFonts w:hint="eastAsia" w:ascii="宋体" w:hAnsi="宋体" w:eastAsia="宋体" w:cs="宋体"/>
          <w:sz w:val="24"/>
        </w:rPr>
        <w:t>包括：接收接口注册数据、读取孵化基地基本信息、查询补贴享受信息、发送校验结果</w:t>
      </w:r>
    </w:p>
    <w:p>
      <w:pPr>
        <w:spacing w:line="360" w:lineRule="auto"/>
        <w:ind w:firstLine="560"/>
        <w:rPr>
          <w:rFonts w:hint="eastAsia" w:ascii="宋体" w:hAnsi="宋体" w:eastAsia="宋体" w:cs="宋体"/>
          <w:sz w:val="24"/>
        </w:rPr>
      </w:pPr>
      <w:r>
        <w:rPr>
          <w:rFonts w:hint="eastAsia" w:ascii="宋体" w:hAnsi="宋体" w:eastAsia="宋体" w:cs="宋体"/>
          <w:sz w:val="24"/>
        </w:rPr>
        <w:t>就业困难人员认定</w:t>
      </w:r>
    </w:p>
    <w:p>
      <w:pPr>
        <w:spacing w:line="360" w:lineRule="auto"/>
        <w:ind w:firstLine="560"/>
        <w:rPr>
          <w:rFonts w:hint="eastAsia" w:ascii="宋体" w:hAnsi="宋体" w:eastAsia="宋体" w:cs="宋体"/>
          <w:sz w:val="24"/>
        </w:rPr>
      </w:pPr>
      <w:r>
        <w:rPr>
          <w:rFonts w:hint="eastAsia" w:ascii="宋体" w:hAnsi="宋体" w:eastAsia="宋体" w:cs="宋体"/>
          <w:sz w:val="24"/>
        </w:rPr>
        <w:t>包括：接收注册数据、读取人员基本信息、查询就困类别信息、发送认定申请结果</w:t>
      </w:r>
    </w:p>
    <w:p>
      <w:pPr>
        <w:spacing w:line="360" w:lineRule="auto"/>
        <w:ind w:firstLine="560"/>
        <w:rPr>
          <w:rFonts w:hint="eastAsia" w:ascii="宋体" w:hAnsi="宋体" w:eastAsia="宋体" w:cs="宋体"/>
          <w:sz w:val="24"/>
        </w:rPr>
      </w:pPr>
      <w:r>
        <w:rPr>
          <w:rFonts w:hint="eastAsia" w:ascii="宋体" w:hAnsi="宋体" w:eastAsia="宋体" w:cs="宋体"/>
          <w:sz w:val="24"/>
        </w:rPr>
        <w:t>就业困难人员注销</w:t>
      </w:r>
    </w:p>
    <w:p>
      <w:pPr>
        <w:spacing w:line="360" w:lineRule="auto"/>
        <w:ind w:firstLine="560"/>
        <w:rPr>
          <w:rFonts w:hint="eastAsia" w:ascii="宋体" w:hAnsi="宋体" w:eastAsia="宋体" w:cs="宋体"/>
          <w:sz w:val="24"/>
        </w:rPr>
      </w:pPr>
      <w:r>
        <w:rPr>
          <w:rFonts w:hint="eastAsia" w:ascii="宋体" w:hAnsi="宋体" w:eastAsia="宋体" w:cs="宋体"/>
          <w:sz w:val="24"/>
        </w:rPr>
        <w:t>包括：接收注册数据、读取人员基本信息、查询就困注销校验信息、发送就困退出校验结果</w:t>
      </w:r>
    </w:p>
    <w:p>
      <w:pPr>
        <w:spacing w:line="360" w:lineRule="auto"/>
        <w:ind w:firstLine="560"/>
        <w:rPr>
          <w:rFonts w:hint="eastAsia" w:ascii="宋体" w:hAnsi="宋体" w:eastAsia="宋体" w:cs="宋体"/>
          <w:sz w:val="24"/>
        </w:rPr>
      </w:pPr>
      <w:r>
        <w:rPr>
          <w:rFonts w:hint="eastAsia" w:ascii="宋体" w:hAnsi="宋体" w:eastAsia="宋体" w:cs="宋体"/>
          <w:sz w:val="24"/>
        </w:rPr>
        <w:t>就业登记</w:t>
      </w:r>
    </w:p>
    <w:p>
      <w:pPr>
        <w:spacing w:line="360" w:lineRule="auto"/>
        <w:ind w:firstLine="560"/>
        <w:rPr>
          <w:rFonts w:hint="eastAsia" w:ascii="宋体" w:hAnsi="宋体" w:eastAsia="宋体" w:cs="宋体"/>
          <w:sz w:val="24"/>
        </w:rPr>
      </w:pPr>
      <w:r>
        <w:rPr>
          <w:rFonts w:hint="eastAsia" w:ascii="宋体" w:hAnsi="宋体" w:eastAsia="宋体" w:cs="宋体"/>
          <w:sz w:val="24"/>
        </w:rPr>
        <w:t>包括：接收用户注册数据、读取人员基本信息、接收就业登记信息、查询历史办理信息、发送登记结果</w:t>
      </w:r>
    </w:p>
    <w:p>
      <w:pPr>
        <w:spacing w:line="360" w:lineRule="auto"/>
        <w:ind w:firstLine="560"/>
        <w:rPr>
          <w:rFonts w:hint="eastAsia" w:ascii="宋体" w:hAnsi="宋体" w:eastAsia="宋体" w:cs="宋体"/>
          <w:sz w:val="24"/>
        </w:rPr>
      </w:pPr>
      <w:r>
        <w:rPr>
          <w:rFonts w:hint="eastAsia" w:ascii="宋体" w:hAnsi="宋体" w:eastAsia="宋体" w:cs="宋体"/>
          <w:sz w:val="24"/>
        </w:rPr>
        <w:t>失业登记</w:t>
      </w:r>
    </w:p>
    <w:p>
      <w:pPr>
        <w:spacing w:line="360" w:lineRule="auto"/>
        <w:ind w:firstLine="560"/>
        <w:rPr>
          <w:rFonts w:hint="eastAsia" w:ascii="宋体" w:hAnsi="宋体" w:eastAsia="宋体" w:cs="宋体"/>
          <w:sz w:val="24"/>
        </w:rPr>
      </w:pPr>
      <w:r>
        <w:rPr>
          <w:rFonts w:hint="eastAsia" w:ascii="宋体" w:hAnsi="宋体" w:eastAsia="宋体" w:cs="宋体"/>
          <w:sz w:val="24"/>
        </w:rPr>
        <w:t>包括：接收用户注册数、读取人员基本信息、接收失业登记信息、查询历史办理信息、发送登记结果</w:t>
      </w:r>
    </w:p>
    <w:p>
      <w:pPr>
        <w:spacing w:line="360" w:lineRule="auto"/>
        <w:ind w:firstLine="560"/>
        <w:rPr>
          <w:rFonts w:hint="eastAsia" w:ascii="宋体" w:hAnsi="宋体" w:eastAsia="宋体" w:cs="宋体"/>
          <w:sz w:val="24"/>
        </w:rPr>
      </w:pPr>
      <w:r>
        <w:rPr>
          <w:rFonts w:hint="eastAsia" w:ascii="宋体" w:hAnsi="宋体" w:eastAsia="宋体" w:cs="宋体"/>
          <w:sz w:val="24"/>
        </w:rPr>
        <w:t>就业创业证申领</w:t>
      </w:r>
    </w:p>
    <w:p>
      <w:pPr>
        <w:spacing w:line="360" w:lineRule="auto"/>
        <w:ind w:firstLine="560"/>
        <w:rPr>
          <w:rFonts w:hint="eastAsia" w:ascii="宋体" w:hAnsi="宋体" w:eastAsia="宋体" w:cs="宋体"/>
          <w:sz w:val="24"/>
        </w:rPr>
      </w:pPr>
      <w:r>
        <w:rPr>
          <w:rFonts w:hint="eastAsia" w:ascii="宋体" w:hAnsi="宋体" w:eastAsia="宋体" w:cs="宋体"/>
          <w:sz w:val="24"/>
        </w:rPr>
        <w:t>包括：接收用户注册数据、读取人员基本信息、接收就业创业证办理信息、查询历史办理信息、发送登记结果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就业创业信息查询</w:t>
      </w:r>
    </w:p>
    <w:p>
      <w:pPr>
        <w:spacing w:line="360" w:lineRule="auto"/>
        <w:ind w:firstLine="560"/>
        <w:rPr>
          <w:rFonts w:hint="eastAsia" w:ascii="宋体" w:hAnsi="宋体" w:eastAsia="宋体" w:cs="宋体"/>
          <w:sz w:val="24"/>
        </w:rPr>
      </w:pPr>
      <w:r>
        <w:rPr>
          <w:rFonts w:hint="eastAsia" w:ascii="宋体" w:hAnsi="宋体" w:eastAsia="宋体" w:cs="宋体"/>
          <w:sz w:val="24"/>
        </w:rPr>
        <w:t>包括：接收用户注册数据、读取人员基本信息、查询历史办理信息、发送登记结果</w:t>
      </w:r>
    </w:p>
    <w:p>
      <w:pPr>
        <w:spacing w:line="360" w:lineRule="auto"/>
        <w:ind w:firstLine="560"/>
        <w:rPr>
          <w:rFonts w:hint="eastAsia" w:ascii="宋体" w:hAnsi="宋体" w:eastAsia="宋体" w:cs="宋体"/>
          <w:sz w:val="24"/>
        </w:rPr>
      </w:pPr>
      <w:r>
        <w:rPr>
          <w:rFonts w:hint="eastAsia" w:ascii="宋体" w:hAnsi="宋体" w:eastAsia="宋体" w:cs="宋体"/>
          <w:sz w:val="24"/>
        </w:rPr>
        <w:t>就业创业历史信息查询</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包括：接收用户注册数据、读取人员基本信息、查询历史办理信息、发送登记结果</w:t>
      </w:r>
    </w:p>
    <w:p>
      <w:pPr>
        <w:spacing w:line="360" w:lineRule="auto"/>
        <w:ind w:firstLine="560"/>
        <w:rPr>
          <w:rFonts w:hint="eastAsia" w:ascii="宋体" w:hAnsi="宋体" w:eastAsia="宋体" w:cs="宋体"/>
          <w:sz w:val="24"/>
        </w:rPr>
      </w:pPr>
      <w:r>
        <w:rPr>
          <w:rFonts w:hint="eastAsia" w:ascii="宋体" w:hAnsi="宋体" w:eastAsia="宋体" w:cs="宋体"/>
          <w:sz w:val="24"/>
        </w:rPr>
        <w:t>应届高校毕业生实名登记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包括：接收用户注册数据、读取人员基本信息、接收实名登记信息、查询历史办理信息、发送登记结果</w:t>
      </w:r>
    </w:p>
    <w:p>
      <w:pPr>
        <w:spacing w:line="360" w:lineRule="auto"/>
        <w:ind w:firstLine="560"/>
        <w:rPr>
          <w:rFonts w:hint="eastAsia" w:ascii="宋体" w:hAnsi="宋体" w:eastAsia="宋体" w:cs="宋体"/>
          <w:sz w:val="24"/>
        </w:rPr>
      </w:pPr>
      <w:r>
        <w:rPr>
          <w:rFonts w:hint="eastAsia" w:ascii="宋体" w:hAnsi="宋体" w:eastAsia="宋体" w:cs="宋体"/>
          <w:sz w:val="24"/>
        </w:rPr>
        <w:t>求职意向登记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包括：接收用户注册数据、读取人员基本信息、接收求职意向登记信息、查询历史办理信息、发送登记结果</w:t>
      </w:r>
    </w:p>
    <w:p>
      <w:pPr>
        <w:spacing w:line="360" w:lineRule="auto"/>
        <w:ind w:firstLine="560"/>
        <w:rPr>
          <w:rFonts w:hint="eastAsia" w:ascii="宋体" w:hAnsi="宋体" w:eastAsia="宋体" w:cs="宋体"/>
          <w:sz w:val="24"/>
        </w:rPr>
      </w:pPr>
      <w:r>
        <w:rPr>
          <w:rFonts w:hint="eastAsia" w:ascii="宋体" w:hAnsi="宋体" w:eastAsia="宋体" w:cs="宋体"/>
          <w:sz w:val="24"/>
        </w:rPr>
        <w:t>招聘岗位登记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包括：接收用户注册数据、读取单位基本信息、接收招聘岗位登记信息、查询历史办理信息、发送登记结果</w:t>
      </w:r>
    </w:p>
    <w:p>
      <w:pPr>
        <w:spacing w:line="360" w:lineRule="auto"/>
        <w:ind w:firstLine="560"/>
        <w:rPr>
          <w:rFonts w:hint="eastAsia" w:ascii="宋体" w:hAnsi="宋体" w:eastAsia="宋体" w:cs="宋体"/>
          <w:sz w:val="24"/>
        </w:rPr>
      </w:pPr>
      <w:r>
        <w:rPr>
          <w:rFonts w:hint="eastAsia" w:ascii="宋体" w:hAnsi="宋体" w:eastAsia="宋体" w:cs="宋体"/>
          <w:sz w:val="24"/>
        </w:rPr>
        <w:t>求职意向查询</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包括：接收用户注册数据、读取人员基本信息、查询求职意向办理信息、发送登记结果</w:t>
      </w:r>
    </w:p>
    <w:p>
      <w:pPr>
        <w:spacing w:line="360" w:lineRule="auto"/>
        <w:ind w:firstLine="560"/>
        <w:rPr>
          <w:rFonts w:hint="eastAsia" w:ascii="宋体" w:hAnsi="宋体" w:eastAsia="宋体" w:cs="宋体"/>
          <w:sz w:val="24"/>
        </w:rPr>
      </w:pPr>
      <w:r>
        <w:rPr>
          <w:rFonts w:hint="eastAsia" w:ascii="宋体" w:hAnsi="宋体" w:eastAsia="宋体" w:cs="宋体"/>
          <w:sz w:val="24"/>
        </w:rPr>
        <w:t>岗位信息查询</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包括：接收用户注册数据、读取单位基本信息、查询岗位信息、发送登记结果</w:t>
      </w:r>
    </w:p>
    <w:p>
      <w:pPr>
        <w:spacing w:line="360" w:lineRule="auto"/>
        <w:ind w:firstLine="560"/>
        <w:rPr>
          <w:rFonts w:hint="eastAsia" w:ascii="宋体" w:hAnsi="宋体" w:eastAsia="宋体" w:cs="宋体"/>
          <w:sz w:val="24"/>
        </w:rPr>
      </w:pPr>
      <w:r>
        <w:rPr>
          <w:rFonts w:hint="eastAsia" w:ascii="宋体" w:hAnsi="宋体" w:eastAsia="宋体" w:cs="宋体"/>
          <w:sz w:val="24"/>
        </w:rPr>
        <w:t>企业创业担保贷款申请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包括：接收用户注册数据、读取企业基本信息、查询企业创贷办理信息、查询市监核验信息、发送校验结果</w:t>
      </w:r>
    </w:p>
    <w:p>
      <w:pPr>
        <w:spacing w:line="360" w:lineRule="auto"/>
        <w:ind w:firstLine="560"/>
        <w:rPr>
          <w:rFonts w:hint="eastAsia" w:ascii="宋体" w:hAnsi="宋体" w:eastAsia="宋体" w:cs="宋体"/>
          <w:sz w:val="24"/>
        </w:rPr>
      </w:pPr>
      <w:r>
        <w:rPr>
          <w:rFonts w:hint="eastAsia" w:ascii="宋体" w:hAnsi="宋体" w:eastAsia="宋体" w:cs="宋体"/>
          <w:sz w:val="24"/>
        </w:rPr>
        <w:t>个人创业担保贷款申请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包括：接收用户注册数据、读取企业基本信息、查询企业创贷办理信息、查询市监核验信息、发送校验结果</w:t>
      </w:r>
    </w:p>
    <w:p>
      <w:pPr>
        <w:spacing w:line="360" w:lineRule="auto"/>
        <w:ind w:firstLine="560"/>
        <w:rPr>
          <w:rFonts w:hint="eastAsia" w:ascii="宋体" w:hAnsi="宋体" w:eastAsia="宋体" w:cs="宋体"/>
          <w:sz w:val="24"/>
        </w:rPr>
      </w:pPr>
      <w:r>
        <w:rPr>
          <w:rFonts w:hint="eastAsia" w:ascii="宋体" w:hAnsi="宋体" w:eastAsia="宋体" w:cs="宋体"/>
          <w:sz w:val="24"/>
        </w:rPr>
        <w:t>个人创业担保贷款信息查询</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包括：接收用户注册数据、读取企业基本信息、查询企业创贷办理信息、查询市监核验信息、发送校验结果</w:t>
      </w:r>
    </w:p>
    <w:p>
      <w:pPr>
        <w:spacing w:line="360" w:lineRule="auto"/>
        <w:ind w:firstLine="560"/>
        <w:rPr>
          <w:rFonts w:hint="eastAsia" w:ascii="宋体" w:hAnsi="宋体" w:eastAsia="宋体" w:cs="宋体"/>
          <w:sz w:val="24"/>
        </w:rPr>
      </w:pPr>
      <w:r>
        <w:rPr>
          <w:rFonts w:hint="eastAsia" w:ascii="宋体" w:hAnsi="宋体" w:eastAsia="宋体" w:cs="宋体"/>
          <w:sz w:val="24"/>
        </w:rPr>
        <w:t>就业见习单位资格认定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包括：接收用户注册数据、读取企业基本信息、查询就业见习单位认定信息、发送校验结果</w:t>
      </w:r>
    </w:p>
    <w:p>
      <w:pPr>
        <w:spacing w:line="360" w:lineRule="auto"/>
        <w:ind w:firstLine="560"/>
        <w:rPr>
          <w:rFonts w:hint="eastAsia" w:ascii="宋体" w:hAnsi="宋体" w:eastAsia="宋体" w:cs="宋体"/>
          <w:sz w:val="24"/>
        </w:rPr>
      </w:pPr>
      <w:r>
        <w:rPr>
          <w:rFonts w:hint="eastAsia" w:ascii="宋体" w:hAnsi="宋体" w:eastAsia="宋体" w:cs="宋体"/>
          <w:sz w:val="24"/>
        </w:rPr>
        <w:t>就业见习岗位发布</w:t>
      </w:r>
    </w:p>
    <w:p>
      <w:pPr>
        <w:spacing w:line="360" w:lineRule="auto"/>
        <w:ind w:firstLine="560"/>
        <w:rPr>
          <w:rFonts w:hint="eastAsia" w:ascii="宋体" w:hAnsi="宋体" w:eastAsia="宋体" w:cs="宋体"/>
          <w:sz w:val="24"/>
        </w:rPr>
      </w:pPr>
      <w:r>
        <w:rPr>
          <w:rFonts w:hint="eastAsia" w:ascii="宋体" w:hAnsi="宋体" w:eastAsia="宋体" w:cs="宋体"/>
          <w:sz w:val="24"/>
        </w:rPr>
        <w:t>包括：接收用户注册数据、读取企业基本信息、查询就业见习单位认定信息、接收就业见习岗位发布信息、发送岗位发布申请结果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就业见习人员申请</w:t>
      </w:r>
    </w:p>
    <w:p>
      <w:pPr>
        <w:spacing w:line="360" w:lineRule="auto"/>
        <w:ind w:firstLine="560"/>
        <w:rPr>
          <w:rFonts w:hint="eastAsia" w:ascii="宋体" w:hAnsi="宋体" w:eastAsia="宋体" w:cs="宋体"/>
          <w:sz w:val="24"/>
        </w:rPr>
      </w:pPr>
      <w:r>
        <w:rPr>
          <w:rFonts w:hint="eastAsia" w:ascii="宋体" w:hAnsi="宋体" w:eastAsia="宋体" w:cs="宋体"/>
          <w:sz w:val="24"/>
        </w:rPr>
        <w:t>包括：接收用户注册数据、读取个人基本信息、接收就业见习岗位信息、查询就业见习申请资格信息、查询见习岗位信息、发送就业见习申请结果</w:t>
      </w:r>
    </w:p>
    <w:p>
      <w:pPr>
        <w:spacing w:line="360" w:lineRule="auto"/>
        <w:ind w:firstLine="560"/>
        <w:rPr>
          <w:rFonts w:hint="eastAsia" w:ascii="宋体" w:hAnsi="宋体" w:eastAsia="宋体" w:cs="宋体"/>
          <w:sz w:val="24"/>
        </w:rPr>
      </w:pPr>
      <w:r>
        <w:rPr>
          <w:rFonts w:hint="eastAsia" w:ascii="宋体" w:hAnsi="宋体" w:eastAsia="宋体" w:cs="宋体"/>
          <w:sz w:val="24"/>
        </w:rPr>
        <w:t>见习岗位查询</w:t>
      </w:r>
    </w:p>
    <w:p>
      <w:pPr>
        <w:spacing w:line="360" w:lineRule="auto"/>
        <w:ind w:firstLine="560"/>
        <w:rPr>
          <w:rFonts w:hint="eastAsia" w:ascii="宋体" w:hAnsi="宋体" w:eastAsia="宋体" w:cs="宋体"/>
          <w:sz w:val="24"/>
        </w:rPr>
      </w:pPr>
      <w:r>
        <w:rPr>
          <w:rFonts w:hint="eastAsia" w:ascii="宋体" w:hAnsi="宋体" w:eastAsia="宋体" w:cs="宋体"/>
          <w:sz w:val="24"/>
        </w:rPr>
        <w:t>包括：接收用户注册数据、读取个人基本信息、查询见习岗位信息、发送就业见习申请结果</w:t>
      </w:r>
    </w:p>
    <w:p>
      <w:pPr>
        <w:spacing w:line="360" w:lineRule="auto"/>
        <w:ind w:firstLine="560"/>
        <w:rPr>
          <w:rFonts w:hint="eastAsia" w:ascii="宋体" w:hAnsi="宋体" w:eastAsia="宋体" w:cs="宋体"/>
          <w:sz w:val="24"/>
        </w:rPr>
      </w:pPr>
      <w:r>
        <w:rPr>
          <w:rFonts w:hint="eastAsia" w:ascii="宋体" w:hAnsi="宋体" w:eastAsia="宋体" w:cs="宋体"/>
          <w:sz w:val="24"/>
        </w:rPr>
        <w:t>调档申请</w:t>
      </w:r>
    </w:p>
    <w:p>
      <w:pPr>
        <w:spacing w:line="360" w:lineRule="auto"/>
        <w:ind w:firstLine="560"/>
        <w:rPr>
          <w:rFonts w:hint="eastAsia" w:ascii="宋体" w:hAnsi="宋体" w:eastAsia="宋体" w:cs="宋体"/>
          <w:sz w:val="24"/>
        </w:rPr>
      </w:pPr>
      <w:r>
        <w:rPr>
          <w:rFonts w:hint="eastAsia" w:ascii="宋体" w:hAnsi="宋体" w:eastAsia="宋体" w:cs="宋体"/>
          <w:sz w:val="24"/>
        </w:rPr>
        <w:t>包括：接收用户注册数据、读取个人基本信息、查询个人档案信息、查询调档资格信息、发送调档申请结果</w:t>
      </w:r>
    </w:p>
    <w:p>
      <w:pPr>
        <w:spacing w:line="360" w:lineRule="auto"/>
        <w:ind w:firstLine="560"/>
        <w:rPr>
          <w:rFonts w:hint="eastAsia" w:ascii="宋体" w:hAnsi="宋体" w:eastAsia="宋体" w:cs="宋体"/>
          <w:sz w:val="24"/>
        </w:rPr>
      </w:pPr>
      <w:r>
        <w:rPr>
          <w:rFonts w:hint="eastAsia" w:ascii="宋体" w:hAnsi="宋体" w:eastAsia="宋体" w:cs="宋体"/>
          <w:sz w:val="24"/>
        </w:rPr>
        <w:t>档案信息查询</w:t>
      </w:r>
    </w:p>
    <w:p>
      <w:pPr>
        <w:spacing w:line="360" w:lineRule="auto"/>
        <w:ind w:firstLine="560"/>
        <w:rPr>
          <w:rFonts w:hint="eastAsia" w:ascii="宋体" w:hAnsi="宋体" w:eastAsia="宋体" w:cs="宋体"/>
          <w:sz w:val="24"/>
        </w:rPr>
      </w:pPr>
      <w:r>
        <w:rPr>
          <w:rFonts w:hint="eastAsia" w:ascii="宋体" w:hAnsi="宋体" w:eastAsia="宋体" w:cs="宋体"/>
          <w:sz w:val="24"/>
        </w:rPr>
        <w:t>包括：接收用户注册数据、读取个人基本信息、查询个人档案信息、发送调档申请结果</w:t>
      </w:r>
    </w:p>
    <w:p>
      <w:pPr>
        <w:spacing w:line="360" w:lineRule="auto"/>
        <w:ind w:firstLine="560"/>
        <w:rPr>
          <w:rFonts w:hint="eastAsia" w:ascii="宋体" w:hAnsi="宋体" w:eastAsia="宋体" w:cs="宋体"/>
          <w:sz w:val="24"/>
        </w:rPr>
      </w:pPr>
      <w:r>
        <w:rPr>
          <w:rFonts w:hint="eastAsia" w:ascii="宋体" w:hAnsi="宋体" w:eastAsia="宋体" w:cs="宋体"/>
          <w:sz w:val="24"/>
        </w:rPr>
        <w:t>公共接口</w:t>
      </w:r>
    </w:p>
    <w:p>
      <w:pPr>
        <w:spacing w:line="360" w:lineRule="auto"/>
        <w:ind w:firstLine="560"/>
        <w:rPr>
          <w:rFonts w:hint="eastAsia" w:ascii="宋体" w:hAnsi="宋体" w:eastAsia="宋体" w:cs="宋体"/>
          <w:sz w:val="24"/>
        </w:rPr>
      </w:pPr>
      <w:r>
        <w:rPr>
          <w:rFonts w:hint="eastAsia" w:ascii="宋体" w:hAnsi="宋体" w:eastAsia="宋体" w:cs="宋体"/>
          <w:sz w:val="24"/>
        </w:rPr>
        <w:t>包括：接收用户注册数据、获取行政区划和码值信息、获取见习岗位下拉信息、获取指导老师下拉信息、获取单位性质下拉信息、获取所属行业下拉信息、获取隶属关系下拉信息、获取人员规模下拉信息、获取见习期限（月）下拉信息、获取岗位时间（年）下拉信息、获取性别下拉信息、获取学历下拉信息、获取专业下拉信息、获取学位下拉信息、获取民族下拉信息、获取政治面貌下拉信息、获取毕业院校下拉信息、获取审核状态下拉信息、获取需求类别下拉信息、获取生源地省、获取市、获取区，县信息、获取岗位类别信息、获取人员类别下拉信息、获取到岗时间下拉信息、获取工作类型下拉信息、获取薪资下拉信息、获取行业下拉信息、获取工种下拉信息、获取单位类型下拉信息、获取经济类型下拉信息、获取产业分组下拉信息、获取单位规模下拉信息、获取性别要求下拉信息、获取学历要求下拉信息、获取工作经验下拉信息、获取薪资待遇下拉信息、获取专业要求下拉信息、获取岗位福利下拉信息、获取就业困难人员类别下拉信息、获取与户主关系下拉信息、获取退出原因下拉信息、获取所属街道/乡镇下拉信息、获取所属社区/村、获取创业产业下拉信息、获取创业规模下拉信息、获取人员类别下拉信息、获取孵化类别下拉信息、获取贷款期限信息、获取贷款用途信息、获取婚姻状况信息、获取民族信息、获取性别信息、获取免除反担保原因信息、获取反担保形式信息、获取是否免除反担保(是否再担保公司担保、是否有营业执照)信息、获取材料分类信息、获取经营所属区县信息、获取应届毕业生学历信息、获取高校困难状况信息、获取高校已就业类型信息、获取高校公共查询下拉接口、获取就失业公共下拉信息、获取本级行政区划信息</w:t>
      </w:r>
    </w:p>
    <w:p>
      <w:pPr>
        <w:pStyle w:val="3"/>
        <w:spacing w:line="240" w:lineRule="auto"/>
        <w:rPr>
          <w:rFonts w:hint="eastAsia" w:ascii="宋体" w:hAnsi="宋体" w:eastAsia="宋体" w:cs="宋体"/>
          <w:sz w:val="28"/>
          <w:szCs w:val="28"/>
        </w:rPr>
      </w:pPr>
      <w:r>
        <w:rPr>
          <w:rFonts w:hint="eastAsia" w:ascii="宋体" w:hAnsi="宋体" w:eastAsia="宋体" w:cs="宋体"/>
          <w:sz w:val="28"/>
          <w:szCs w:val="28"/>
        </w:rPr>
        <w:t>技术要求：</w:t>
      </w:r>
    </w:p>
    <w:p>
      <w:pPr>
        <w:spacing w:line="360" w:lineRule="auto"/>
        <w:ind w:firstLine="560"/>
        <w:rPr>
          <w:rFonts w:hint="eastAsia" w:ascii="宋体" w:hAnsi="宋体" w:eastAsia="宋体" w:cs="宋体"/>
          <w:sz w:val="24"/>
        </w:rPr>
      </w:pPr>
      <w:r>
        <w:rPr>
          <w:rFonts w:hint="eastAsia" w:ascii="宋体" w:hAnsi="宋体" w:eastAsia="宋体" w:cs="宋体"/>
          <w:sz w:val="24"/>
        </w:rPr>
        <w:t>1.总体要求</w:t>
      </w:r>
    </w:p>
    <w:p>
      <w:pPr>
        <w:spacing w:line="360" w:lineRule="auto"/>
        <w:ind w:firstLine="560"/>
        <w:rPr>
          <w:rFonts w:hint="eastAsia" w:ascii="宋体" w:hAnsi="宋体" w:eastAsia="宋体" w:cs="宋体"/>
          <w:sz w:val="24"/>
        </w:rPr>
      </w:pPr>
      <w:r>
        <w:rPr>
          <w:rFonts w:hint="eastAsia" w:ascii="宋体" w:hAnsi="宋体" w:eastAsia="宋体" w:cs="宋体"/>
          <w:sz w:val="24"/>
        </w:rPr>
        <w:t>（1）使用工作流引擎、服务总线等关键技术，实现平台的</w:t>
      </w:r>
    </w:p>
    <w:p>
      <w:pPr>
        <w:spacing w:line="360" w:lineRule="auto"/>
        <w:ind w:firstLine="560"/>
        <w:rPr>
          <w:rFonts w:hint="eastAsia" w:ascii="宋体" w:hAnsi="宋体" w:eastAsia="宋体" w:cs="宋体"/>
          <w:sz w:val="24"/>
        </w:rPr>
      </w:pPr>
      <w:r>
        <w:rPr>
          <w:rFonts w:hint="eastAsia" w:ascii="宋体" w:hAnsi="宋体" w:eastAsia="宋体" w:cs="宋体"/>
          <w:sz w:val="24"/>
        </w:rPr>
        <w:t>高可用、高扩展、高性能。</w:t>
      </w:r>
    </w:p>
    <w:p>
      <w:pPr>
        <w:spacing w:line="360" w:lineRule="auto"/>
        <w:ind w:firstLine="560"/>
        <w:rPr>
          <w:rFonts w:hint="eastAsia" w:ascii="宋体" w:hAnsi="宋体" w:eastAsia="宋体" w:cs="宋体"/>
          <w:sz w:val="24"/>
        </w:rPr>
      </w:pPr>
      <w:r>
        <w:rPr>
          <w:rFonts w:hint="eastAsia" w:ascii="宋体" w:hAnsi="宋体" w:eastAsia="宋体" w:cs="宋体"/>
          <w:sz w:val="24"/>
        </w:rPr>
        <w:t>（2）提供业务数据、业务流程、组织机构与单点登录的标准接口，实现与省系统对接。</w:t>
      </w:r>
    </w:p>
    <w:p>
      <w:pPr>
        <w:spacing w:line="360" w:lineRule="auto"/>
        <w:ind w:firstLine="560"/>
        <w:rPr>
          <w:rFonts w:hint="eastAsia" w:ascii="宋体" w:hAnsi="宋体" w:eastAsia="宋体" w:cs="宋体"/>
          <w:sz w:val="24"/>
        </w:rPr>
      </w:pPr>
      <w:r>
        <w:rPr>
          <w:rFonts w:hint="eastAsia" w:ascii="宋体" w:hAnsi="宋体" w:eastAsia="宋体" w:cs="宋体"/>
          <w:sz w:val="24"/>
        </w:rPr>
        <w:t>（3）要求平台采用模块化和结构化程序设计思想，以提高平台的可维护性。</w:t>
      </w:r>
    </w:p>
    <w:p>
      <w:pPr>
        <w:spacing w:line="360" w:lineRule="auto"/>
        <w:ind w:firstLine="560"/>
        <w:rPr>
          <w:rFonts w:hint="eastAsia" w:ascii="宋体" w:hAnsi="宋体" w:eastAsia="宋体" w:cs="宋体"/>
          <w:sz w:val="24"/>
        </w:rPr>
      </w:pPr>
      <w:r>
        <w:rPr>
          <w:rFonts w:hint="eastAsia" w:ascii="宋体" w:hAnsi="宋体" w:eastAsia="宋体" w:cs="宋体"/>
          <w:sz w:val="24"/>
        </w:rPr>
        <w:t>2、系统稳定性、有效性、兼容性等性能要求</w:t>
      </w:r>
    </w:p>
    <w:p>
      <w:pPr>
        <w:spacing w:line="360" w:lineRule="auto"/>
        <w:ind w:firstLine="560"/>
        <w:rPr>
          <w:rFonts w:hint="eastAsia" w:ascii="宋体" w:hAnsi="宋体" w:eastAsia="宋体" w:cs="宋体"/>
          <w:sz w:val="24"/>
        </w:rPr>
      </w:pPr>
      <w:r>
        <w:rPr>
          <w:rFonts w:hint="eastAsia" w:ascii="宋体" w:hAnsi="宋体" w:eastAsia="宋体" w:cs="宋体"/>
          <w:sz w:val="24"/>
        </w:rPr>
        <w:t>（1）系统构件化设计，面向对象，可做到灵活扩展系统采用三层架构体系，充分考虑到以后纵向和横向的发展在网络稳定的环境下操作性界面的系统响应时间均要求≤2秒；</w:t>
      </w:r>
    </w:p>
    <w:p>
      <w:pPr>
        <w:spacing w:line="360" w:lineRule="auto"/>
        <w:ind w:firstLine="560"/>
        <w:rPr>
          <w:rFonts w:hint="eastAsia" w:ascii="宋体" w:hAnsi="宋体" w:eastAsia="宋体" w:cs="宋体"/>
          <w:sz w:val="24"/>
        </w:rPr>
      </w:pPr>
      <w:r>
        <w:rPr>
          <w:rFonts w:hint="eastAsia" w:ascii="宋体" w:hAnsi="宋体" w:eastAsia="宋体" w:cs="宋体"/>
          <w:sz w:val="24"/>
        </w:rPr>
        <w:t>(2)系统应完全支持≥2000个用户并发访问，平均响应时间≤3秒；</w:t>
      </w:r>
    </w:p>
    <w:p>
      <w:pPr>
        <w:spacing w:line="360" w:lineRule="auto"/>
        <w:ind w:firstLine="560"/>
        <w:rPr>
          <w:rFonts w:hint="eastAsia" w:ascii="宋体" w:hAnsi="宋体" w:eastAsia="宋体" w:cs="宋体"/>
          <w:sz w:val="24"/>
        </w:rPr>
      </w:pPr>
      <w:r>
        <w:rPr>
          <w:rFonts w:hint="eastAsia" w:ascii="宋体" w:hAnsi="宋体" w:eastAsia="宋体" w:cs="宋体"/>
          <w:sz w:val="24"/>
        </w:rPr>
        <w:t>(3)系统应具有普遍适用性，应支持多种浏览器。</w:t>
      </w:r>
    </w:p>
    <w:p>
      <w:pPr>
        <w:spacing w:line="360" w:lineRule="auto"/>
        <w:ind w:firstLine="560"/>
        <w:rPr>
          <w:rFonts w:hint="eastAsia" w:ascii="宋体" w:hAnsi="宋体" w:eastAsia="宋体" w:cs="宋体"/>
          <w:sz w:val="24"/>
        </w:rPr>
      </w:pPr>
      <w:r>
        <w:rPr>
          <w:rFonts w:hint="eastAsia" w:ascii="宋体" w:hAnsi="宋体" w:eastAsia="宋体" w:cs="宋体"/>
          <w:sz w:val="24"/>
        </w:rPr>
        <w:t>(4)7*24不停机运行。平台需7*24小时不停机运行，系统维护、数据维护等工作必须在线执行。</w:t>
      </w:r>
    </w:p>
    <w:p>
      <w:pPr>
        <w:spacing w:line="360" w:lineRule="auto"/>
        <w:ind w:firstLine="560"/>
        <w:rPr>
          <w:rFonts w:hint="eastAsia" w:ascii="宋体" w:hAnsi="宋体" w:eastAsia="宋体" w:cs="宋体"/>
          <w:sz w:val="24"/>
        </w:rPr>
      </w:pPr>
      <w:r>
        <w:rPr>
          <w:rFonts w:hint="eastAsia" w:ascii="宋体" w:hAnsi="宋体" w:eastAsia="宋体" w:cs="宋体"/>
          <w:sz w:val="24"/>
        </w:rPr>
        <w:t>（5）输入数据有效性检查：系统对数据录入进行有效性检查；</w:t>
      </w:r>
    </w:p>
    <w:p>
      <w:pPr>
        <w:spacing w:line="360" w:lineRule="auto"/>
        <w:ind w:firstLine="560"/>
        <w:rPr>
          <w:rFonts w:hint="eastAsia" w:ascii="宋体" w:hAnsi="宋体" w:eastAsia="宋体" w:cs="宋体"/>
          <w:sz w:val="24"/>
        </w:rPr>
      </w:pPr>
      <w:r>
        <w:rPr>
          <w:rFonts w:hint="eastAsia" w:ascii="宋体" w:hAnsi="宋体" w:eastAsia="宋体" w:cs="宋体"/>
          <w:sz w:val="24"/>
        </w:rPr>
        <w:t>（6）错误提示的准确性：应用系统应具备完善的错误处理机制，对系统运行过程中的错误处理、对用户的错误操作提示准确信息，指导用户操作；</w:t>
      </w:r>
    </w:p>
    <w:p>
      <w:pPr>
        <w:spacing w:line="360" w:lineRule="auto"/>
        <w:ind w:firstLine="560"/>
        <w:rPr>
          <w:rFonts w:hint="eastAsia" w:ascii="宋体" w:hAnsi="宋体" w:eastAsia="宋体" w:cs="宋体"/>
          <w:sz w:val="24"/>
        </w:rPr>
      </w:pPr>
      <w:r>
        <w:rPr>
          <w:rFonts w:hint="eastAsia" w:ascii="宋体" w:hAnsi="宋体" w:eastAsia="宋体" w:cs="宋体"/>
          <w:sz w:val="24"/>
        </w:rPr>
        <w:t>（7）错误不能导致系统异常退出：不存在操作错误引起系统异常退出的情况；</w:t>
      </w:r>
    </w:p>
    <w:p>
      <w:pPr>
        <w:spacing w:line="360" w:lineRule="auto"/>
        <w:ind w:firstLine="560"/>
        <w:rPr>
          <w:rFonts w:hint="eastAsia" w:ascii="宋体" w:hAnsi="宋体" w:eastAsia="宋体" w:cs="宋体"/>
          <w:sz w:val="24"/>
        </w:rPr>
      </w:pPr>
      <w:r>
        <w:rPr>
          <w:rFonts w:hint="eastAsia" w:ascii="宋体" w:hAnsi="宋体" w:eastAsia="宋体" w:cs="宋体"/>
          <w:sz w:val="24"/>
        </w:rPr>
        <w:t>（8）异常情况的影响：在程序运行过程中进行掉电或断网等故障试验，测试数据和系统的受影响程度，若受损，提供补救工具和补救方法，保证数据不能丢失。</w:t>
      </w:r>
    </w:p>
    <w:p>
      <w:pPr>
        <w:spacing w:line="360" w:lineRule="auto"/>
        <w:ind w:firstLine="560"/>
        <w:rPr>
          <w:rFonts w:hint="eastAsia" w:ascii="宋体" w:hAnsi="宋体" w:eastAsia="宋体" w:cs="宋体"/>
          <w:sz w:val="24"/>
        </w:rPr>
      </w:pPr>
      <w:r>
        <w:rPr>
          <w:rFonts w:hint="eastAsia" w:ascii="宋体" w:hAnsi="宋体" w:eastAsia="宋体" w:cs="宋体"/>
          <w:sz w:val="24"/>
        </w:rPr>
        <w:t>（9）满足用户的应用要求，稳定、可靠、实用，界面友好，操作方便，检索简单快捷，系统可用性应≥99.99%。</w:t>
      </w:r>
    </w:p>
    <w:p>
      <w:pPr>
        <w:spacing w:line="360" w:lineRule="auto"/>
        <w:ind w:firstLine="560"/>
        <w:rPr>
          <w:rFonts w:hint="eastAsia" w:ascii="宋体" w:hAnsi="宋体" w:eastAsia="宋体" w:cs="宋体"/>
          <w:sz w:val="24"/>
        </w:rPr>
      </w:pPr>
      <w:r>
        <w:rPr>
          <w:rFonts w:hint="eastAsia" w:ascii="宋体" w:hAnsi="宋体" w:eastAsia="宋体" w:cs="宋体"/>
          <w:sz w:val="24"/>
        </w:rPr>
        <w:t>（10）硬件兼容性：系统能够兼容主流国产化硬件；</w:t>
      </w:r>
    </w:p>
    <w:p>
      <w:pPr>
        <w:ind w:firstLine="560"/>
        <w:rPr>
          <w:rFonts w:hint="eastAsia" w:ascii="宋体" w:hAnsi="宋体" w:eastAsia="宋体" w:cs="宋体"/>
          <w:sz w:val="24"/>
        </w:rPr>
      </w:pPr>
      <w:r>
        <w:rPr>
          <w:rFonts w:hint="eastAsia" w:ascii="宋体" w:hAnsi="宋体" w:eastAsia="宋体" w:cs="宋体"/>
          <w:sz w:val="24"/>
        </w:rPr>
        <w:t>（11）软件兼容性：系统能够兼容主流国产化操作系统、数据库、中间件等。</w:t>
      </w:r>
    </w:p>
    <w:p>
      <w:pPr>
        <w:spacing w:line="360" w:lineRule="auto"/>
        <w:ind w:firstLine="560"/>
        <w:rPr>
          <w:rFonts w:hint="eastAsia" w:ascii="宋体" w:hAnsi="宋体" w:eastAsia="宋体" w:cs="宋体"/>
          <w:sz w:val="24"/>
        </w:rPr>
      </w:pPr>
      <w:r>
        <w:rPr>
          <w:rFonts w:hint="eastAsia" w:ascii="宋体" w:hAnsi="宋体" w:eastAsia="宋体" w:cs="宋体"/>
          <w:sz w:val="24"/>
        </w:rPr>
        <w:t>3.统一基础支撑平台要求</w:t>
      </w:r>
    </w:p>
    <w:p>
      <w:pPr>
        <w:spacing w:line="360" w:lineRule="auto"/>
        <w:ind w:firstLine="560"/>
        <w:rPr>
          <w:rFonts w:hint="eastAsia" w:ascii="宋体" w:hAnsi="宋体" w:eastAsia="宋体" w:cs="宋体"/>
          <w:sz w:val="24"/>
        </w:rPr>
      </w:pPr>
      <w:r>
        <w:rPr>
          <w:rFonts w:hint="eastAsia" w:ascii="宋体" w:hAnsi="宋体" w:eastAsia="宋体" w:cs="宋体"/>
          <w:sz w:val="24"/>
        </w:rPr>
        <w:t>统一基础支撑平台为应用的底层服务提供了基础运行环境，可以为各单位提供基础服务运行支撑， 保障服务的运行效率和稳定性。同时， 通过提供统一用户、统一认证、统一授权等各类基础通用  服务，保障平台内各类服务、应用的使用安全，提升开发效率。</w:t>
      </w:r>
    </w:p>
    <w:p>
      <w:pPr>
        <w:spacing w:line="360" w:lineRule="auto"/>
        <w:ind w:firstLine="560"/>
        <w:rPr>
          <w:rFonts w:hint="eastAsia" w:ascii="宋体" w:hAnsi="宋体" w:eastAsia="宋体" w:cs="宋体"/>
          <w:sz w:val="24"/>
        </w:rPr>
      </w:pPr>
      <w:r>
        <w:rPr>
          <w:rFonts w:hint="eastAsia" w:ascii="宋体" w:hAnsi="宋体" w:eastAsia="宋体" w:cs="宋体"/>
          <w:sz w:val="24"/>
        </w:rPr>
        <w:t>4、系统安全要求</w:t>
      </w:r>
    </w:p>
    <w:p>
      <w:pPr>
        <w:spacing w:line="360" w:lineRule="auto"/>
        <w:ind w:firstLine="560"/>
        <w:rPr>
          <w:rFonts w:hint="eastAsia" w:ascii="宋体" w:hAnsi="宋体" w:eastAsia="宋体" w:cs="宋体"/>
          <w:sz w:val="24"/>
        </w:rPr>
      </w:pPr>
      <w:r>
        <w:rPr>
          <w:rFonts w:hint="eastAsia" w:ascii="宋体" w:hAnsi="宋体" w:eastAsia="宋体" w:cs="宋体"/>
          <w:sz w:val="24"/>
        </w:rPr>
        <w:t>系统建设不仅需要提供稳定可靠、质量保证的服务，还需要最大限度的保障数据信息资源的安全，保障系统平台运行的安全。</w:t>
      </w:r>
    </w:p>
    <w:p>
      <w:pPr>
        <w:spacing w:line="360" w:lineRule="auto"/>
        <w:ind w:firstLine="560"/>
        <w:rPr>
          <w:rFonts w:hint="eastAsia" w:ascii="宋体" w:hAnsi="宋体" w:eastAsia="宋体" w:cs="宋体"/>
          <w:sz w:val="24"/>
        </w:rPr>
      </w:pPr>
      <w:r>
        <w:rPr>
          <w:rFonts w:hint="eastAsia" w:ascii="宋体" w:hAnsi="宋体" w:eastAsia="宋体" w:cs="宋体"/>
          <w:sz w:val="24"/>
        </w:rPr>
        <w:t>系统的安全保证应分为环境安全保障、系统安全配置保障、应用和数据库安全保障、安全保障基础设施保障、系统安全开发和实现保障等内容。</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i w:val="0"/>
          <w:iCs w:val="0"/>
          <w:caps w:val="0"/>
          <w:color w:val="000000" w:themeColor="text1"/>
          <w:spacing w:val="0"/>
          <w:sz w:val="24"/>
          <w:szCs w:val="24"/>
          <w:shd w:val="clear" w:fill="FFFFFF"/>
          <w:lang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lang w:eastAsia="zh-CN"/>
          <w14:textFill>
            <w14:solidFill>
              <w14:schemeClr w14:val="tx1"/>
            </w14:solidFill>
          </w14:textFill>
        </w:rPr>
        <w:t>合同包</w:t>
      </w:r>
      <w:r>
        <w:rPr>
          <w:rFonts w:hint="eastAsia" w:ascii="宋体" w:hAnsi="宋体" w:eastAsia="宋体" w:cs="宋体"/>
          <w:b/>
          <w:bCs/>
          <w:i w:val="0"/>
          <w:iCs w:val="0"/>
          <w:caps w:val="0"/>
          <w:color w:val="000000" w:themeColor="text1"/>
          <w:spacing w:val="0"/>
          <w:sz w:val="24"/>
          <w:szCs w:val="24"/>
          <w:shd w:val="clear" w:fill="FFFFFF"/>
          <w:lang w:val="en-US" w:eastAsia="zh-CN"/>
          <w14:textFill>
            <w14:solidFill>
              <w14:schemeClr w14:val="tx1"/>
            </w14:solidFill>
          </w14:textFill>
        </w:rPr>
        <w:t>2</w:t>
      </w:r>
      <w:r>
        <w:rPr>
          <w:rFonts w:hint="eastAsia" w:ascii="宋体" w:hAnsi="宋体" w:eastAsia="宋体" w:cs="宋体"/>
          <w:b/>
          <w:bCs/>
          <w:i w:val="0"/>
          <w:iCs w:val="0"/>
          <w:caps w:val="0"/>
          <w:color w:val="000000" w:themeColor="text1"/>
          <w:spacing w:val="0"/>
          <w:sz w:val="24"/>
          <w:szCs w:val="24"/>
          <w:shd w:val="clear" w:fill="FFFFFF"/>
          <w:lang w:eastAsia="zh-CN"/>
          <w14:textFill>
            <w14:solidFill>
              <w14:schemeClr w14:val="tx1"/>
            </w14:solidFill>
          </w14:textFill>
        </w:rPr>
        <w:t>(延安市人力资源和社会保障局第三方软件测评费)：</w:t>
      </w:r>
    </w:p>
    <w:p>
      <w:pPr>
        <w:pageBreakBefore w:val="0"/>
        <w:kinsoku/>
        <w:overflowPunct/>
        <w:topLinePunct w:val="0"/>
        <w:autoSpaceDE/>
        <w:autoSpaceDN/>
        <w:bidi w:val="0"/>
        <w:adjustRightInd/>
        <w:snapToGrid/>
        <w:spacing w:before="380" w:after="140" w:line="360" w:lineRule="auto"/>
        <w:jc w:val="left"/>
        <w:textAlignment w:val="auto"/>
        <w:outlineLvl w:val="0"/>
        <w:rPr>
          <w:rFonts w:hint="eastAsia" w:ascii="宋体" w:hAnsi="宋体" w:eastAsia="宋体" w:cs="宋体"/>
          <w:sz w:val="24"/>
          <w:szCs w:val="24"/>
        </w:rPr>
      </w:pPr>
      <w:bookmarkStart w:id="69" w:name="heading_0"/>
      <w:r>
        <w:rPr>
          <w:rFonts w:hint="eastAsia" w:ascii="宋体" w:hAnsi="宋体" w:eastAsia="宋体" w:cs="宋体"/>
          <w:b/>
          <w:sz w:val="24"/>
          <w:szCs w:val="24"/>
        </w:rPr>
        <w:t>一、技术规格要求</w:t>
      </w:r>
      <w:bookmarkEnd w:id="69"/>
    </w:p>
    <w:p>
      <w:pPr>
        <w:pageBreakBefore w:val="0"/>
        <w:kinsoku/>
        <w:overflowPunct/>
        <w:topLinePunct w:val="0"/>
        <w:autoSpaceDE/>
        <w:autoSpaceDN/>
        <w:bidi w:val="0"/>
        <w:adjustRightInd/>
        <w:snapToGrid/>
        <w:spacing w:before="320" w:after="120" w:line="360" w:lineRule="auto"/>
        <w:jc w:val="left"/>
        <w:textAlignment w:val="auto"/>
        <w:outlineLvl w:val="1"/>
        <w:rPr>
          <w:rFonts w:hint="eastAsia" w:ascii="宋体" w:hAnsi="宋体" w:eastAsia="宋体" w:cs="宋体"/>
          <w:sz w:val="24"/>
          <w:szCs w:val="24"/>
        </w:rPr>
      </w:pPr>
      <w:bookmarkStart w:id="70" w:name="heading_1"/>
      <w:r>
        <w:rPr>
          <w:rFonts w:hint="eastAsia" w:ascii="宋体" w:hAnsi="宋体" w:eastAsia="宋体" w:cs="宋体"/>
          <w:b/>
          <w:sz w:val="24"/>
          <w:szCs w:val="24"/>
        </w:rPr>
        <w:t>（一）核心测试依据</w:t>
      </w:r>
      <w:bookmarkEnd w:id="70"/>
    </w:p>
    <w:p>
      <w:pPr>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bookmarkStart w:id="71" w:name="heading_2"/>
      <w:r>
        <w:rPr>
          <w:rFonts w:hint="eastAsia" w:ascii="宋体" w:hAnsi="宋体" w:eastAsia="宋体" w:cs="宋体"/>
          <w:sz w:val="24"/>
          <w:szCs w:val="24"/>
        </w:rPr>
        <w:t>1. 基础通用标准：必须符合《GB/T 25000.51-2016 系统与软件工程 系统与软件质量要求和评价（SQuaRE）第51部分：就绪可用软件产品（RUSP）的质量要求和测试细则》；同步遵循《GB/T 25000.10-2016 系统与软件工程 系统与软件质量要求和评价（SQuaRE）第10部分：系统与软件质量模型》中的质量特性要求（功能性、性能效率、兼容性、易用性、可靠性、安全性、可维护性、可移植性）。</w:t>
      </w:r>
    </w:p>
    <w:p>
      <w:pPr>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 安全合规标准：涉及信息安全的项目，需符合《GB/T 22239-2019 信息安全技术 网络安全等级保护基本要求》（按项目等保定级执行，如三级等保）、《GB/T 35273-2020 信息安全技术 个人信息安全规范》、OWASP TOP 10（2021版）Web应用安全风险清单；涉及商用密码的项目，需符合《GM/T 0054-2018 信息安全技术 商用密码应用安全性评估指南》。</w:t>
      </w:r>
    </w:p>
    <w:p>
      <w:pPr>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 项目约定文件：严格遵循项目合同、需求规格说明书、概要设计/详细设计文档、数据库设计文档、接口规范文档等；建立完整的需求可追溯矩阵（RTM），确保每个业务需求对应至少1条测试用例，追溯覆盖率100%，矩阵需明确需求编号、测试用例编号、测试类型、优先级等关联信息。</w:t>
      </w:r>
    </w:p>
    <w:p>
      <w:pPr>
        <w:pageBreakBefore w:val="0"/>
        <w:kinsoku/>
        <w:overflowPunct/>
        <w:topLinePunct w:val="0"/>
        <w:autoSpaceDE/>
        <w:autoSpaceDN/>
        <w:bidi w:val="0"/>
        <w:adjustRightInd/>
        <w:snapToGrid/>
        <w:spacing w:before="320" w:after="120" w:line="360" w:lineRule="auto"/>
        <w:jc w:val="left"/>
        <w:textAlignment w:val="auto"/>
        <w:outlineLvl w:val="1"/>
        <w:rPr>
          <w:rFonts w:hint="eastAsia" w:ascii="宋体" w:hAnsi="宋体" w:eastAsia="宋体" w:cs="宋体"/>
          <w:sz w:val="24"/>
          <w:szCs w:val="24"/>
        </w:rPr>
      </w:pPr>
      <w:r>
        <w:rPr>
          <w:rFonts w:hint="eastAsia" w:ascii="宋体" w:hAnsi="宋体" w:eastAsia="宋体" w:cs="宋体"/>
          <w:b/>
          <w:sz w:val="24"/>
          <w:szCs w:val="24"/>
        </w:rPr>
        <w:t>（二）测试范围与类型要求</w:t>
      </w:r>
      <w:bookmarkEnd w:id="71"/>
    </w:p>
    <w:p>
      <w:pPr>
        <w:pStyle w:val="5"/>
        <w:pageBreakBefore w:val="0"/>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  功能测试</w:t>
      </w:r>
    </w:p>
    <w:p>
      <w:pPr>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bidi="ar"/>
        </w:rPr>
        <w:t>（1）覆盖范围细化：需全面覆盖系统所有核心业务模块、辅助功能模块、接口模块及数据处理环节，无任何遗漏。其中核心业务模块需单独列出清单。</w:t>
      </w:r>
    </w:p>
    <w:p>
      <w:pPr>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bidi="ar"/>
        </w:rPr>
        <w:t>（2）测试场景深化：</w:t>
      </w:r>
    </w:p>
    <w:p>
      <w:pPr>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bidi="ar"/>
        </w:rPr>
        <w:t>① 正常业务场景：需覆盖核心业务全流程及分支流程，每个流程需验证不同业务角色、不同业务条件下的执行结果。</w:t>
      </w:r>
    </w:p>
    <w:p>
      <w:pPr>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bidi="ar"/>
        </w:rPr>
        <w:t>② 异常处理场景：细分无效输入、系统异常、数据异常三大类场景。无效输入含空值输入（如必填项留白）、非法字符输入（如手机号输入字母、金额输入特殊符号）、超出范围值输入（如日期选择未来超出业务期限、金额超出限额）、格式错误输入（如身份证号位数错误、邮箱格式不正确）；系统异常含网络中断（测试过程中突然断网，验证数据是否保存、提示是否清晰）、服务器临时宕机（恢复后数据一致性与业务连续性）、浏览器崩溃（重启后能否恢复当前操作）；数据异常含重复数据提交（如同一事项重复申报）、缺失关键字段数据（如核心业务数据缺少主键）、错误关联数据（如用户绑定错误的部门信息）、脏数据导入（含乱码、无效格式数据的导入处理）。</w:t>
      </w:r>
    </w:p>
    <w:p>
      <w:pPr>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bidi="ar"/>
        </w:rPr>
        <w:t>③ 边界条件场景：精准覆盖数值边界、时间边界、并发边界、数据量边界四类。数值边界含业务允许的最大/最小值（如单笔交易最大金额、单次上传文件最大容量）、临界值±1取值（如限额1000元，测试999元、1000元、1001元）；时间边界含业务截止日期（当天0点、截止日24点、次日0点）、时效有效区间（如验证码有效期、订单超时时间）、跨时段操作（如凌晨跨日数据统计）；并发边界含多人同时操作同一数据（如多人编辑同一文档、同时提交同一事项）、多人并发查询海量数据、并发触发同一业务规则（如并发达到积分兑换条件）；数据量边界含单表数据量达到阈值（如10万条）后的查询、新增、修改操作，批量导入/导出海量数据（如1万条数据批量导入）的功能稳定性。</w:t>
      </w:r>
    </w:p>
    <w:p>
      <w:pPr>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bidi="ar"/>
        </w:rPr>
        <w:t>（3）用例设计与管理要求：采用等价类划分、边界值分析、场景法、错误推测法、因果图法等规范方法组合设计用例，确保用例的全面性与针对性。用例需包含完整字段：用例编号（按“模块-测试类型-序号”规则编制，如GN-USER-001）、所属模块、测试目的、前置条件（如用户已登录、拥有对应权限、数据已准备完成）、操作步骤（精确到每一步点击、输入内容）、预期结果（明确文字描述，可量化可验证，避免模糊表述）、优先级（高/中/低，核心业务用例标注“核心”）、测试类型（功能/接口）、测试数据（明确输入数据内容及来源）、测试环境（如Windows+Chrome、Linux+Firefox）。高优先级用例占比不低于60%，且100%覆盖核心需求及高风险业务场景；中优先级用例覆盖一般功能及次要场景；低优先级用例覆盖细节优化类功能（如界面字体、按钮位置）。用例需经过评审流程，由测评机构测试负责人、甲方技术负责人、业务代表共同评审，评审通过率≥90%后方可冻结执行；后续需求变更或发现用例遗漏，需走用例变更流程，补充评审后更新用例集并同步至需求可追溯矩阵。</w:t>
      </w:r>
    </w:p>
    <w:p>
      <w:pPr>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bidi="ar"/>
        </w:rPr>
        <w:t>（4）量化控制要求：核心功能点（需在测试计划中列明清单）测试覆盖率100%，非核心功能点测试覆盖率≥95%；接口测试用例通过率≥98%，功能测试总体通过率≥95%（按最终验收标准）；用例执行率100%，无未执行用例（特殊情况需书面说明理由并经甲方确认）；回归测试用例覆盖率≥90%（针对缺陷修复、需求变更后的回归测试）。</w:t>
      </w:r>
    </w:p>
    <w:p>
      <w:pPr>
        <w:pStyle w:val="5"/>
        <w:pageBreakBefore w:val="0"/>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  性能测试</w:t>
      </w:r>
    </w:p>
    <w:p>
      <w:pPr>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（1）测试类型及执行细则：</w:t>
      </w:r>
    </w:p>
    <w:p>
      <w:pPr>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① 负载测试：模拟真实业务场景下的不同负载等级，验证系统在预期负载范围内的性能稳定性与处理能力。负载等级分为轻负载（日常平均并发用户数的50%）、正常负载（日常平均并发用户数，需结合项目实际确定）、峰值负载（日常高峰并发用户数的120%）。每个负载等级下持续运行指定时长（轻负载2小时、正常负载4小时、峰值负载24小时），期间同步监控系统响应时间、吞吐量、资源利用率等核心指标，记录是否出现系统卡顿、数据处理延迟、报错等问题。同时测试负载渐变场景，从低负载逐步提升至峰值负载（每30分钟提升10%并发量），观察系统性能指标的变化趋势，验证系统对负载变化的自适应能力。</w:t>
      </w:r>
    </w:p>
    <w:p>
      <w:pPr>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② 压力测试：分为并发压力测试与数据压力测试两类，确定系统最大承载能力及性能瓶颈。并发压力测试从峰值负载开始，按每10分钟增加100并发用户的速率逐步加压（可按项目实际调整步长），直至系统出现性能拐点（如响应时间大幅攀升、吞吐量下降、出现报错）或崩溃，记录系统最大并发承载量、临界负载值及对应的性能指标；同时测试压力解除后的系统恢复能力，观察系统能否在30分钟内恢复至正常性能水平，数据是否完整。数据压力测试通过向数据库写入海量数据（达到生产环境数据量级的120%，如100万条业务数据），验证系统在大数据量下的查询、新增、修改、删除操作性能，重点测试复杂查询（多表关联、条件筛选、排序分页）的响应时间及资源占用情况。</w:t>
      </w:r>
    </w:p>
    <w:p>
      <w:pPr>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③ 稳定性测试：在额定负载（日常平均并发用户数的80%）下持续运行72小时，模拟系统长期连续运行场景。期间每小时记录一次性能指标，每4小时执行一次核心业务流程测试，验证系统是否出现内存泄漏、线程阻塞、数据积压、资源耗尽等问题；测试过程中模拟突发小流量波动（如短时间内并发量提升50%，持续10分钟），观察系统能否快速恢复稳定。</w:t>
      </w:r>
    </w:p>
    <w:p>
      <w:pPr>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④ 响应时间专项测试：针对核心事务与非核心事务分别测试，明确事务定义及测量节点（从用户发起操作请求至系统返回完整结果并渲染完成）。核心事务需单独列明清单，每个核心事务需测试不同负载下的平均响应时间、90%响应时间、95%响应时间、最长响应时间；非核心事务（如普通查询、页面跳转）测试平均响应时间及最长响应时间。同时测试跨系统交互事务的响应时间（如调用第三方接口完成的业务操作），区分系统自身处理时间与接口响应时间，定位性能瓶颈。</w:t>
      </w:r>
    </w:p>
    <w:p>
      <w:pPr>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（2）核心性能指标：</w:t>
      </w:r>
    </w:p>
    <w:p>
      <w:pPr>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① 响应时间指标：核心事务平均响应时间≤2秒，90%响应时间≤2.5秒，95%响应时间≤3秒，最长响应时间≤5秒（突发峰值场景下最长响应时间≤8秒，且无事务失败）；非核心事务平均响应时间≤3秒，最长响应时间≤6秒；复杂查询/统计事务平均响应时间≤5秒，最长响应时间≤10秒；接口响应时间≤1秒（内部接口）、≤3秒（第三方接口）。</w:t>
      </w:r>
    </w:p>
    <w:p>
      <w:pPr>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② 吞吐量指标：每秒事务处理量（TPS）按业务类型划分，政务类系统≥500笔/秒，金融交易类系统≥1000笔/秒，大数据处理类系统≥800笔/秒；每秒查询处理量（QPS）≥1000次/秒（核心查询业务）、≥500次/秒（普通查询业务）；批量数据处理吞吐量≥1000条/分钟（批量导入）、≥2000条/分钟（批量导出）。</w:t>
      </w:r>
    </w:p>
    <w:p>
      <w:pPr>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③ 资源利用率指标：峰值负载下，服务器CPU占用率≤85%（单核心CPU占用率≤90%，无持续满负载情况）；物理内存占用率≤80%（无内存泄漏，持续运行72小时内存占用增长≤5%）；磁盘I/O使用率≤70%（SSD硬盘）、≤60%（机械硬盘），磁盘读写速度稳定（无大幅波动）；网络带宽占用≤80%（额定带宽，如100Mbps带宽下占用≤80Mbps），无网络拥堵导致的事务失败；数据库服务器连接池利用率≤80%，缓存命中率≥85%（核心业务）。</w:t>
      </w:r>
    </w:p>
    <w:p>
      <w:pPr>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④ 稳定性与可靠性指标：稳定性测试（72小时额定负载）期间，系统无崩溃、无死锁、无数据丢失/篡改，事务失败率≤0.1%；峰值负载运行24小时，事务失败率≤0.3%；压力测试中，系统出现性能拐点前，事务成功率≥99.9%；系统恢复时间（从故障恢复至正常运行）≤30分钟，数据恢复点目标（RPO）≤1小时，恢复时间目标（RTO）≤4小时。</w:t>
      </w:r>
    </w:p>
    <w:p>
      <w:pPr>
        <w:pStyle w:val="5"/>
        <w:pageBreakBefore w:val="0"/>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 安全测试</w:t>
      </w:r>
    </w:p>
    <w:p>
      <w:pPr>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bidi="ar"/>
        </w:rPr>
      </w:pPr>
      <w:bookmarkStart w:id="72" w:name="heading_4"/>
      <w:r>
        <w:rPr>
          <w:rFonts w:hint="eastAsia" w:ascii="宋体" w:hAnsi="宋体" w:eastAsia="宋体" w:cs="宋体"/>
          <w:sz w:val="24"/>
          <w:szCs w:val="24"/>
          <w:lang w:bidi="ar"/>
        </w:rPr>
        <w:t>（1）保密性测试：确保敏感信息仅对授权主体可见，无未授权泄露风险。</w:t>
      </w:r>
    </w:p>
    <w:p>
      <w:pPr>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① 数据传输保密性：验证所有敏感数据（含用户凭证、业务数据、个人信息）传输过程均采用加密机制，SSL/TLS版本≥1.2，加密算法选用AES256、RSA2048+或国密SM2/SM4算法；测试HTTP协议是否强制跳转至HTTPS，杜绝明文传输；通过抓包工具验证传输数据无法被解密篡改，敏感字段无明文暴露。</w:t>
      </w:r>
    </w:p>
    <w:p>
      <w:pPr>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② 数据存储保密性：敏感字段（身份证号、手机号、银行卡号、政务涉密数据）需采用不可逆加密（如SHA-256）或加密存储（国密SM4算法），数据库文件需加密存储，禁止明文写入配置文件、日志文件。</w:t>
      </w:r>
    </w:p>
    <w:p>
      <w:pPr>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③ 访问保密性：细化权限管控测试，验证不同角色仅能访问授权范围内的敏感数据（如普通操作员无法查看用户加密密码、跨部门人员无法访问其他部门涉密业务数据）；测试敏感数据查看、下载、导出时的权限校验机制，需二次身份认证（如短信验证码、动态令牌）；验证敏感数据展示时的脱敏规则（如手机号隐藏中间4位、身份证号隐藏中间8位），脱敏效果不影响业务操作且无法还原原始数据。</w:t>
      </w:r>
    </w:p>
    <w:p>
      <w:pPr>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（2）完整性测试：确保数据不被未授权创建、修改、删除，保持数据一致性与准确性。</w:t>
      </w:r>
    </w:p>
    <w:p>
      <w:pPr>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① 数据修改完整性：测试未授权用户（含匿名用户、低权限用户）能否修改核心业务数据、敏感数据，验证数据修改时的权限校验与日志记录机制；针对高敏感数据（如金融交易金额、政务审批结果），需验证修改操作的双重授权机制，及修改前后数据的一致性校验（如哈希值比对）。</w:t>
      </w:r>
    </w:p>
    <w:p>
      <w:pPr>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② 数据传输完整性：验证数据传输过程中是否采用校验机制（如MD5、SHA-256哈希校验、国密SM3校验），防止数据被篡改；模拟数据传输篡改场景（如修改交易金额、审批状态），测试系统能否识别数据异常并拒绝处理，同时触发告警。</w:t>
      </w:r>
    </w:p>
    <w:p>
      <w:pPr>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③ 数据存储完整性：测试数据库数据是否存在被非法篡改、删除风险，验证数据库审计日志对数据增删改操作的完整记录；针对关键业务数据（如交易记录、审批档案），需测试数据备份与恢复的完整性，恢复后数据与原始数据一致，无缺失、篡改。</w:t>
      </w:r>
    </w:p>
    <w:p>
      <w:pPr>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（3）抗抵赖性测试：确保用户无法否认已执行的操作，操作行为可追溯、可验证。</w:t>
      </w:r>
    </w:p>
    <w:p>
      <w:pPr>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① 操作抗抵赖：所有关键业务操作（如交易提交、审批确认、数据修改、敏感数据导出）需绑定用户身份，生成不可篡改的操作日志，日志包含用户ID、操作时间、操作内容、IP地址、设备信息等要素，日志留存时间≥180天。</w:t>
      </w:r>
    </w:p>
    <w:p>
      <w:pPr>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（4）可核查性测试：确保系统操作行为、安全事件可被审计、核查，支持安全事件追溯。</w:t>
      </w:r>
    </w:p>
    <w:p>
      <w:pPr>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① 审计日志核查：测试审计日志的完整性、准确性、不可篡改性，日志需覆盖用户登录/注销、权限变更、数据增删改查、敏感操作、安全事件等所有关键场景；验证日志查询功能，支持按用户、时间、操作类型、IP地址等多条件组合查询，查询结果准确可追溯；测试日志保护机制，防止日志被删除、篡改，日志备份周期≤1天。</w:t>
      </w:r>
    </w:p>
    <w:p>
      <w:pPr>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② 安全事件核查：模拟常见安全事件（如越权访问、数据泄露、漏洞攻击），测试系统能否生成完整的事件日志，日志信息足够支撑事件定位、原因分析、责任追溯。</w:t>
      </w:r>
    </w:p>
    <w:p>
      <w:pPr>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（5）真实性测试：确保用户身份、数据来源的真实性，防止身份伪造、数据造假。</w:t>
      </w:r>
    </w:p>
    <w:p>
      <w:pPr>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① 用户身份真实：测试用户注册、登录时的身份验证机制，个人用户需绑定实名信息（如身份证、手机号）并验证，企业用户需验证营业执照、对公账户等信息；登录认证需支持多因素认证（如密码+动态令牌、密码+短信验证码），杜绝弱密码（密码长度≥8位，含大小写字母、数字、特殊符号）、默认密码风险；测试身份伪造场景（如伪造Cookie、Session劫持、账号克隆），系统能否有效识别并阻断。</w:t>
      </w:r>
    </w:p>
    <w:p>
      <w:pPr>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② 数据来源真实：针对第三方接口数据、用户上传数据，测试数据来源验证机制，验证接口调用方身份合法性（如API密钥校验、IP白名单），用户上传数据（如申报材料、证明文件）需验证真实性（如电子证照验真、文件哈希校验），防止伪造数据导入系统。</w:t>
      </w:r>
    </w:p>
    <w:p>
      <w:pPr>
        <w:pageBreakBefore w:val="0"/>
        <w:kinsoku/>
        <w:overflowPunct/>
        <w:topLinePunct w:val="0"/>
        <w:autoSpaceDE/>
        <w:autoSpaceDN/>
        <w:bidi w:val="0"/>
        <w:adjustRightInd/>
        <w:snapToGrid/>
        <w:spacing w:before="380" w:after="140" w:line="360" w:lineRule="auto"/>
        <w:jc w:val="left"/>
        <w:textAlignment w:val="auto"/>
        <w:outlineLvl w:val="0"/>
        <w:rPr>
          <w:rFonts w:hint="eastAsia" w:ascii="宋体" w:hAnsi="宋体" w:eastAsia="宋体" w:cs="宋体"/>
          <w:sz w:val="24"/>
          <w:szCs w:val="24"/>
        </w:rPr>
      </w:pPr>
      <w:r>
        <w:rPr>
          <w:rFonts w:hint="eastAsia" w:ascii="宋体" w:hAnsi="宋体" w:eastAsia="宋体" w:cs="宋体"/>
          <w:b/>
          <w:sz w:val="24"/>
          <w:szCs w:val="24"/>
        </w:rPr>
        <w:t>二、服务要求</w:t>
      </w:r>
      <w:bookmarkEnd w:id="72"/>
    </w:p>
    <w:p>
      <w:pPr>
        <w:pageBreakBefore w:val="0"/>
        <w:kinsoku/>
        <w:overflowPunct/>
        <w:topLinePunct w:val="0"/>
        <w:autoSpaceDE/>
        <w:autoSpaceDN/>
        <w:bidi w:val="0"/>
        <w:adjustRightInd/>
        <w:snapToGrid/>
        <w:spacing w:before="320" w:after="120" w:line="360" w:lineRule="auto"/>
        <w:jc w:val="left"/>
        <w:textAlignment w:val="auto"/>
        <w:outlineLvl w:val="1"/>
        <w:rPr>
          <w:rFonts w:hint="eastAsia" w:ascii="宋体" w:hAnsi="宋体" w:eastAsia="宋体" w:cs="宋体"/>
          <w:sz w:val="24"/>
          <w:szCs w:val="24"/>
        </w:rPr>
      </w:pPr>
      <w:bookmarkStart w:id="73" w:name="heading_5"/>
      <w:r>
        <w:rPr>
          <w:rFonts w:hint="eastAsia" w:ascii="宋体" w:hAnsi="宋体" w:eastAsia="宋体" w:cs="宋体"/>
          <w:b/>
          <w:sz w:val="24"/>
          <w:szCs w:val="24"/>
        </w:rPr>
        <w:t>（一）机构资质要求</w:t>
      </w:r>
      <w:bookmarkEnd w:id="73"/>
    </w:p>
    <w:p>
      <w:pPr>
        <w:pStyle w:val="9"/>
        <w:pageBreakBefore w:val="0"/>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  具备CNAS中国合格评定国家认可委员会颁发的实验室认可证书，认证范围需覆盖本次测评软件类型；提供证书原件扫描件证明。</w:t>
      </w:r>
    </w:p>
    <w:p>
      <w:pPr>
        <w:pageBreakBefore w:val="0"/>
        <w:kinsoku/>
        <w:overflowPunct/>
        <w:topLinePunct w:val="0"/>
        <w:autoSpaceDE/>
        <w:autoSpaceDN/>
        <w:bidi w:val="0"/>
        <w:adjustRightInd/>
        <w:snapToGrid/>
        <w:spacing w:before="320" w:after="120" w:line="360" w:lineRule="auto"/>
        <w:jc w:val="left"/>
        <w:textAlignment w:val="auto"/>
        <w:outlineLvl w:val="1"/>
        <w:rPr>
          <w:rFonts w:hint="eastAsia" w:ascii="宋体" w:hAnsi="宋体" w:eastAsia="宋体" w:cs="宋体"/>
          <w:sz w:val="24"/>
          <w:szCs w:val="24"/>
        </w:rPr>
      </w:pPr>
      <w:bookmarkStart w:id="74" w:name="heading_6"/>
      <w:r>
        <w:rPr>
          <w:rFonts w:hint="eastAsia" w:ascii="宋体" w:hAnsi="宋体" w:eastAsia="宋体" w:cs="宋体"/>
          <w:b/>
          <w:sz w:val="24"/>
          <w:szCs w:val="24"/>
        </w:rPr>
        <w:t>（二）人员资质与团队要求</w:t>
      </w:r>
      <w:bookmarkEnd w:id="74"/>
    </w:p>
    <w:p>
      <w:pPr>
        <w:pageBreakBefore w:val="0"/>
        <w:kinsoku/>
        <w:overflowPunct/>
        <w:topLinePunct w:val="0"/>
        <w:autoSpaceDE/>
        <w:autoSpaceDN/>
        <w:bidi w:val="0"/>
        <w:adjustRightInd/>
        <w:snapToGrid/>
        <w:spacing w:before="120" w:after="12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  测试团队不少于5人，其团队成员需具备丰富的相关行业测评经验，项目负责人及成员提供相关软件测试类证书。</w:t>
      </w:r>
    </w:p>
    <w:p>
      <w:pPr>
        <w:pageBreakBefore w:val="0"/>
        <w:kinsoku/>
        <w:overflowPunct/>
        <w:topLinePunct w:val="0"/>
        <w:autoSpaceDE/>
        <w:autoSpaceDN/>
        <w:bidi w:val="0"/>
        <w:adjustRightInd/>
        <w:snapToGrid/>
        <w:spacing w:before="120" w:after="12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  团队配置：明确项目组人员构成及岗位职责，提供人员资质证书扫描件及社保缴纳证明。</w:t>
      </w:r>
    </w:p>
    <w:p>
      <w:pPr>
        <w:pageBreakBefore w:val="0"/>
        <w:kinsoku/>
        <w:overflowPunct/>
        <w:topLinePunct w:val="0"/>
        <w:autoSpaceDE/>
        <w:autoSpaceDN/>
        <w:bidi w:val="0"/>
        <w:adjustRightInd/>
        <w:snapToGrid/>
        <w:spacing w:before="320" w:after="120" w:line="360" w:lineRule="auto"/>
        <w:jc w:val="left"/>
        <w:textAlignment w:val="auto"/>
        <w:outlineLvl w:val="1"/>
        <w:rPr>
          <w:rFonts w:hint="eastAsia" w:ascii="宋体" w:hAnsi="宋体" w:eastAsia="宋体" w:cs="宋体"/>
          <w:sz w:val="24"/>
          <w:szCs w:val="24"/>
        </w:rPr>
      </w:pPr>
      <w:bookmarkStart w:id="75" w:name="heading_7"/>
      <w:r>
        <w:rPr>
          <w:rFonts w:hint="eastAsia" w:ascii="宋体" w:hAnsi="宋体" w:eastAsia="宋体" w:cs="宋体"/>
          <w:b/>
          <w:sz w:val="24"/>
          <w:szCs w:val="24"/>
        </w:rPr>
        <w:t>（三）服务流程与周期要求</w:t>
      </w:r>
      <w:bookmarkEnd w:id="75"/>
    </w:p>
    <w:p>
      <w:pPr>
        <w:pageBreakBefore w:val="0"/>
        <w:kinsoku/>
        <w:overflowPunct/>
        <w:topLinePunct w:val="0"/>
        <w:autoSpaceDE/>
        <w:autoSpaceDN/>
        <w:bidi w:val="0"/>
        <w:adjustRightInd/>
        <w:snapToGrid/>
        <w:spacing w:before="120" w:after="12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  测试准备阶段：完成文档审查（需求说明书、设计文档等）、制定测试计划及测试用例，组织需求交底会议；测试计划需明确测试范围、进度节点、风险预案及通过准则。</w:t>
      </w:r>
    </w:p>
    <w:p>
      <w:pPr>
        <w:pageBreakBefore w:val="0"/>
        <w:kinsoku/>
        <w:overflowPunct/>
        <w:topLinePunct w:val="0"/>
        <w:autoSpaceDE/>
        <w:autoSpaceDN/>
        <w:bidi w:val="0"/>
        <w:adjustRightInd/>
        <w:snapToGrid/>
        <w:spacing w:before="120" w:after="12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  测试执行阶段：按计划开展全类型测试，每日提交测试进度简报，每周出具项目状态报告（含进度、缺陷趋势、风险预警）；致命缺陷需在2小时内响应并提供初步分析报告，严重缺陷48小时内给出整改建议。</w:t>
      </w:r>
    </w:p>
    <w:p>
      <w:pPr>
        <w:pageBreakBefore w:val="0"/>
        <w:kinsoku/>
        <w:overflowPunct/>
        <w:topLinePunct w:val="0"/>
        <w:autoSpaceDE/>
        <w:autoSpaceDN/>
        <w:bidi w:val="0"/>
        <w:adjustRightInd/>
        <w:snapToGrid/>
        <w:spacing w:before="120" w:after="12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  报告交付阶段：测试完成后5个工作日内提交完整测试报告；对报告内容有异议的，需在3个工作日内完成复核并出具补充说明；最终报告需附CNAS签章及授权签字人。</w:t>
      </w:r>
    </w:p>
    <w:p>
      <w:pPr>
        <w:pageBreakBefore w:val="0"/>
        <w:kinsoku/>
        <w:overflowPunct/>
        <w:topLinePunct w:val="0"/>
        <w:autoSpaceDE/>
        <w:autoSpaceDN/>
        <w:bidi w:val="0"/>
        <w:adjustRightInd/>
        <w:snapToGrid/>
        <w:spacing w:before="120" w:after="12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  项目周期：明确总服务周期及各阶段时间节点，无特殊原因不得延期；如需延期，需提前5个工作日提交申请并说明理由，延期违约金按合同总额0.1%/日计算。</w:t>
      </w:r>
    </w:p>
    <w:p>
      <w:pPr>
        <w:pageBreakBefore w:val="0"/>
        <w:kinsoku/>
        <w:overflowPunct/>
        <w:topLinePunct w:val="0"/>
        <w:autoSpaceDE/>
        <w:autoSpaceDN/>
        <w:bidi w:val="0"/>
        <w:adjustRightInd/>
        <w:snapToGrid/>
        <w:spacing w:before="320" w:after="120" w:line="360" w:lineRule="auto"/>
        <w:jc w:val="left"/>
        <w:textAlignment w:val="auto"/>
        <w:outlineLvl w:val="1"/>
        <w:rPr>
          <w:rFonts w:hint="eastAsia" w:ascii="宋体" w:hAnsi="宋体" w:eastAsia="宋体" w:cs="宋体"/>
          <w:sz w:val="24"/>
          <w:szCs w:val="24"/>
        </w:rPr>
      </w:pPr>
      <w:bookmarkStart w:id="76" w:name="heading_8"/>
      <w:r>
        <w:rPr>
          <w:rFonts w:hint="eastAsia" w:ascii="宋体" w:hAnsi="宋体" w:eastAsia="宋体" w:cs="宋体"/>
          <w:b/>
          <w:sz w:val="24"/>
          <w:szCs w:val="24"/>
        </w:rPr>
        <w:t>（四）服务保障要求</w:t>
      </w:r>
      <w:bookmarkEnd w:id="76"/>
    </w:p>
    <w:p>
      <w:pPr>
        <w:pageBreakBefore w:val="0"/>
        <w:kinsoku/>
        <w:overflowPunct/>
        <w:topLinePunct w:val="0"/>
        <w:autoSpaceDE/>
        <w:autoSpaceDN/>
        <w:bidi w:val="0"/>
        <w:adjustRightInd/>
        <w:snapToGrid/>
        <w:spacing w:before="120" w:after="12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  保密要求：签订专项保密协议，明确测试过程中所有数据（需求文档、测试数据、系统源码）的保密责任；测试完成后需销毁所有测试数据及副本，提供数据销毁证明。</w:t>
      </w:r>
    </w:p>
    <w:p>
      <w:pPr>
        <w:pageBreakBefore w:val="0"/>
        <w:kinsoku/>
        <w:overflowPunct/>
        <w:topLinePunct w:val="0"/>
        <w:autoSpaceDE/>
        <w:autoSpaceDN/>
        <w:bidi w:val="0"/>
        <w:adjustRightInd/>
        <w:snapToGrid/>
        <w:spacing w:before="120" w:after="12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  应急响应：建立7×24小时应急响应机制，针对测试过程中发现的重大安全漏洞或系统故障，需立即派驻人员现场支持，协助开发方完成整改。</w:t>
      </w:r>
    </w:p>
    <w:p>
      <w:pPr>
        <w:pageBreakBefore w:val="0"/>
        <w:kinsoku/>
        <w:overflowPunct/>
        <w:topLinePunct w:val="0"/>
        <w:autoSpaceDE/>
        <w:autoSpaceDN/>
        <w:bidi w:val="0"/>
        <w:adjustRightInd/>
        <w:snapToGrid/>
        <w:spacing w:before="380" w:after="140" w:line="360" w:lineRule="auto"/>
        <w:jc w:val="left"/>
        <w:textAlignment w:val="auto"/>
        <w:outlineLvl w:val="0"/>
        <w:rPr>
          <w:rFonts w:hint="eastAsia" w:ascii="宋体" w:hAnsi="宋体" w:eastAsia="宋体" w:cs="宋体"/>
          <w:sz w:val="24"/>
          <w:szCs w:val="24"/>
        </w:rPr>
      </w:pPr>
      <w:bookmarkStart w:id="77" w:name="heading_9"/>
      <w:r>
        <w:rPr>
          <w:rFonts w:hint="eastAsia" w:ascii="宋体" w:hAnsi="宋体" w:eastAsia="宋体" w:cs="宋体"/>
          <w:b/>
          <w:sz w:val="24"/>
          <w:szCs w:val="24"/>
        </w:rPr>
        <w:t>三、验收要求</w:t>
      </w:r>
      <w:bookmarkEnd w:id="77"/>
    </w:p>
    <w:p>
      <w:pPr>
        <w:pageBreakBefore w:val="0"/>
        <w:kinsoku/>
        <w:overflowPunct/>
        <w:topLinePunct w:val="0"/>
        <w:autoSpaceDE/>
        <w:autoSpaceDN/>
        <w:bidi w:val="0"/>
        <w:adjustRightInd/>
        <w:snapToGrid/>
        <w:spacing w:before="320" w:after="120" w:line="360" w:lineRule="auto"/>
        <w:jc w:val="left"/>
        <w:textAlignment w:val="auto"/>
        <w:outlineLvl w:val="1"/>
        <w:rPr>
          <w:rFonts w:hint="eastAsia" w:ascii="宋体" w:hAnsi="宋体" w:eastAsia="宋体" w:cs="宋体"/>
          <w:sz w:val="24"/>
          <w:szCs w:val="24"/>
        </w:rPr>
      </w:pPr>
      <w:bookmarkStart w:id="78" w:name="heading_10"/>
      <w:r>
        <w:rPr>
          <w:rFonts w:hint="eastAsia" w:ascii="宋体" w:hAnsi="宋体" w:eastAsia="宋体" w:cs="宋体"/>
          <w:b/>
          <w:sz w:val="24"/>
          <w:szCs w:val="24"/>
        </w:rPr>
        <w:t>（一）验收依据与标准</w:t>
      </w:r>
      <w:bookmarkEnd w:id="78"/>
    </w:p>
    <w:p>
      <w:pPr>
        <w:pageBreakBefore w:val="0"/>
        <w:kinsoku/>
        <w:overflowPunct/>
        <w:topLinePunct w:val="0"/>
        <w:autoSpaceDE/>
        <w:autoSpaceDN/>
        <w:bidi w:val="0"/>
        <w:adjustRightInd/>
        <w:snapToGrid/>
        <w:spacing w:before="120" w:after="12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  验收依据：GBT 25000.51-2016 系统与软件工程 系统与软件质量要求和评价系列标准、项目合同、需求规格说明书、本技术规格与服务要求文件及第三方测评报告。</w:t>
      </w:r>
    </w:p>
    <w:p>
      <w:pPr>
        <w:pageBreakBefore w:val="0"/>
        <w:kinsoku/>
        <w:overflowPunct/>
        <w:topLinePunct w:val="0"/>
        <w:autoSpaceDE/>
        <w:autoSpaceDN/>
        <w:bidi w:val="0"/>
        <w:adjustRightInd/>
        <w:snapToGrid/>
        <w:spacing w:before="120" w:after="12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  量化验收标准：缺陷剔除率≥98%（致命/严重缺陷100%修复）；测试用例执行率100%，功能测试通过率≥95%；性能指标全部满足技术规格要求。</w:t>
      </w:r>
    </w:p>
    <w:p>
      <w:pPr>
        <w:pageBreakBefore w:val="0"/>
        <w:kinsoku/>
        <w:overflowPunct/>
        <w:topLinePunct w:val="0"/>
        <w:autoSpaceDE/>
        <w:autoSpaceDN/>
        <w:bidi w:val="0"/>
        <w:adjustRightInd/>
        <w:snapToGrid/>
        <w:spacing w:before="320" w:after="120" w:line="360" w:lineRule="auto"/>
        <w:jc w:val="left"/>
        <w:textAlignment w:val="auto"/>
        <w:outlineLvl w:val="1"/>
        <w:rPr>
          <w:rFonts w:hint="eastAsia" w:ascii="宋体" w:hAnsi="宋体" w:eastAsia="宋体" w:cs="宋体"/>
          <w:sz w:val="24"/>
          <w:szCs w:val="24"/>
        </w:rPr>
      </w:pPr>
      <w:bookmarkStart w:id="79" w:name="heading_11"/>
      <w:r>
        <w:rPr>
          <w:rFonts w:hint="eastAsia" w:ascii="宋体" w:hAnsi="宋体" w:eastAsia="宋体" w:cs="宋体"/>
          <w:b/>
          <w:sz w:val="24"/>
          <w:szCs w:val="24"/>
        </w:rPr>
        <w:t>（二）验收流程</w:t>
      </w:r>
      <w:bookmarkEnd w:id="79"/>
    </w:p>
    <w:p>
      <w:pPr>
        <w:pageBreakBefore w:val="0"/>
        <w:kinsoku/>
        <w:overflowPunct/>
        <w:topLinePunct w:val="0"/>
        <w:autoSpaceDE/>
        <w:autoSpaceDN/>
        <w:bidi w:val="0"/>
        <w:adjustRightInd/>
        <w:snapToGrid/>
        <w:spacing w:before="120" w:after="12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  验收准备：测评机构提交完整交付物，验收方组建验收团队，制定验收计划并确认验收时间节点。</w:t>
      </w:r>
    </w:p>
    <w:p>
      <w:pPr>
        <w:pageBreakBefore w:val="0"/>
        <w:kinsoku/>
        <w:overflowPunct/>
        <w:topLinePunct w:val="0"/>
        <w:autoSpaceDE/>
        <w:autoSpaceDN/>
        <w:bidi w:val="0"/>
        <w:adjustRightInd/>
        <w:snapToGrid/>
        <w:spacing w:before="120" w:after="12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  交付物审查：核查交付物完整性，包括测试报告、缺陷报告、性能测试原始数据、测试计划、测试用例、环境配置说明等核心文档。</w:t>
      </w:r>
    </w:p>
    <w:p>
      <w:pPr>
        <w:pageBreakBefore w:val="0"/>
        <w:kinsoku/>
        <w:overflowPunct/>
        <w:topLinePunct w:val="0"/>
        <w:autoSpaceDE/>
        <w:autoSpaceDN/>
        <w:bidi w:val="0"/>
        <w:adjustRightInd/>
        <w:snapToGrid/>
        <w:spacing w:before="120" w:after="12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  结论出具：验收团队综合评分；形成验收报告，明确验收结论，相关方签字盖章后生效。</w:t>
      </w:r>
    </w:p>
    <w:p>
      <w:pPr>
        <w:pageBreakBefore w:val="0"/>
        <w:kinsoku/>
        <w:overflowPunct/>
        <w:topLinePunct w:val="0"/>
        <w:autoSpaceDE/>
        <w:autoSpaceDN/>
        <w:bidi w:val="0"/>
        <w:adjustRightInd/>
        <w:snapToGrid/>
        <w:spacing w:before="320" w:after="120" w:line="360" w:lineRule="auto"/>
        <w:jc w:val="left"/>
        <w:textAlignment w:val="auto"/>
        <w:outlineLvl w:val="1"/>
        <w:rPr>
          <w:rFonts w:hint="eastAsia" w:ascii="宋体" w:hAnsi="宋体" w:eastAsia="宋体" w:cs="宋体"/>
          <w:sz w:val="24"/>
          <w:szCs w:val="24"/>
        </w:rPr>
      </w:pPr>
      <w:bookmarkStart w:id="80" w:name="heading_12"/>
      <w:r>
        <w:rPr>
          <w:rFonts w:hint="eastAsia" w:ascii="宋体" w:hAnsi="宋体" w:eastAsia="宋体" w:cs="宋体"/>
          <w:b/>
          <w:sz w:val="24"/>
          <w:szCs w:val="24"/>
        </w:rPr>
        <w:t>（三）交付物验收要求</w:t>
      </w:r>
      <w:bookmarkEnd w:id="80"/>
    </w:p>
    <w:p>
      <w:pPr>
        <w:pageBreakBefore w:val="0"/>
        <w:kinsoku/>
        <w:overflowPunct/>
        <w:topLinePunct w:val="0"/>
        <w:autoSpaceDE/>
        <w:autoSpaceDN/>
        <w:bidi w:val="0"/>
        <w:adjustRightInd/>
        <w:snapToGrid/>
        <w:spacing w:before="120" w:after="12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  测试报告：需包含项目概述、测试目标、测试环境、测试方法、结果统计、缺陷分析及整改建议；数据真实可追溯，附测试用例编号及复现步骤。</w:t>
      </w:r>
    </w:p>
    <w:p>
      <w:pPr>
        <w:pageBreakBefore w:val="0"/>
        <w:kinsoku/>
        <w:overflowPunct/>
        <w:topLinePunct w:val="0"/>
        <w:autoSpaceDE/>
        <w:autoSpaceDN/>
        <w:bidi w:val="0"/>
        <w:adjustRightInd/>
        <w:snapToGrid/>
        <w:spacing w:before="120" w:after="12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  其他交付物：需求追溯矩阵、缺陷整改跟踪表、人员资质证明、保密协议履行证明等；所有交付物需提供纸质版（1式3份）及电子版。</w:t>
      </w:r>
    </w:p>
    <w:p>
      <w:pPr>
        <w:pageBreakBefore w:val="0"/>
        <w:kinsoku/>
        <w:overflowPunct/>
        <w:topLinePunct w:val="0"/>
        <w:autoSpaceDE/>
        <w:autoSpaceDN/>
        <w:bidi w:val="0"/>
        <w:adjustRightInd/>
        <w:snapToGrid/>
        <w:spacing w:before="320" w:after="120" w:line="360" w:lineRule="auto"/>
        <w:jc w:val="left"/>
        <w:textAlignment w:val="auto"/>
        <w:outlineLvl w:val="1"/>
        <w:rPr>
          <w:rFonts w:hint="eastAsia" w:ascii="宋体" w:hAnsi="宋体" w:eastAsia="宋体" w:cs="宋体"/>
          <w:sz w:val="24"/>
          <w:szCs w:val="24"/>
        </w:rPr>
      </w:pPr>
      <w:bookmarkStart w:id="81" w:name="heading_13"/>
      <w:r>
        <w:rPr>
          <w:rFonts w:hint="eastAsia" w:ascii="宋体" w:hAnsi="宋体" w:eastAsia="宋体" w:cs="宋体"/>
          <w:b/>
          <w:sz w:val="24"/>
          <w:szCs w:val="24"/>
        </w:rPr>
        <w:t>（四）整改与复验要求</w:t>
      </w:r>
      <w:bookmarkEnd w:id="81"/>
    </w:p>
    <w:p>
      <w:pPr>
        <w:pageBreakBefore w:val="0"/>
        <w:kinsoku/>
        <w:overflowPunct/>
        <w:topLinePunct w:val="0"/>
        <w:autoSpaceDE/>
        <w:autoSpaceDN/>
        <w:bidi w:val="0"/>
        <w:adjustRightInd/>
        <w:snapToGrid/>
        <w:spacing w:before="120" w:after="12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  对验收不通过项，测评机构需协助开发方分析原因，提供针对性整改建议；开发方完成整改后提交整改报告及佐证材料，测评机构在5个工作日内完成复验。</w:t>
      </w:r>
    </w:p>
    <w:p>
      <w:pPr>
        <w:pageBreakBefore w:val="0"/>
        <w:kinsoku/>
        <w:overflowPunct/>
        <w:topLinePunct w:val="0"/>
        <w:autoSpaceDE/>
        <w:autoSpaceDN/>
        <w:bidi w:val="0"/>
        <w:adjustRightInd/>
        <w:snapToGrid/>
        <w:spacing w:before="120" w:after="120" w:line="360" w:lineRule="auto"/>
        <w:jc w:val="left"/>
        <w:textAlignment w:val="auto"/>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sz w:val="24"/>
          <w:szCs w:val="24"/>
        </w:rPr>
        <w:t>2.  复验合格的，出具复验报告并完善验收资料；复验仍不合格的，按合同约定追究违约责任，同时要求测评机构免费提供后续技术支持直至验收通过。</w:t>
      </w:r>
      <w:bookmarkStart w:id="82" w:name="_Toc24513"/>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jc w:val="both"/>
        <w:textAlignment w:val="auto"/>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合同包</w:t>
      </w:r>
      <w:r>
        <w:rPr>
          <w:rFonts w:hint="eastAsia" w:ascii="宋体" w:hAnsi="宋体" w:eastAsia="宋体" w:cs="宋体"/>
          <w:b/>
          <w:bCs/>
          <w:i w:val="0"/>
          <w:iCs w:val="0"/>
          <w:caps w:val="0"/>
          <w:color w:val="000000" w:themeColor="text1"/>
          <w:spacing w:val="0"/>
          <w:sz w:val="24"/>
          <w:szCs w:val="24"/>
          <w:shd w:val="clear" w:fill="FFFFFF"/>
          <w:lang w:val="en-US" w:eastAsia="zh-CN"/>
          <w14:textFill>
            <w14:solidFill>
              <w14:schemeClr w14:val="tx1"/>
            </w14:solidFill>
          </w14:textFill>
        </w:rPr>
        <w:t>3</w:t>
      </w:r>
      <w:r>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w:t>
      </w:r>
      <w:r>
        <w:rPr>
          <w:rFonts w:hint="eastAsia" w:ascii="宋体" w:hAnsi="宋体" w:eastAsia="宋体" w:cs="宋体"/>
          <w:b/>
          <w:bCs/>
          <w:i w:val="0"/>
          <w:iCs w:val="0"/>
          <w:caps w:val="0"/>
          <w:color w:val="000000" w:themeColor="text1"/>
          <w:spacing w:val="0"/>
          <w:sz w:val="24"/>
          <w:szCs w:val="24"/>
          <w:shd w:val="clear" w:fill="FFFFFF"/>
          <w:lang w:eastAsia="zh-CN"/>
          <w14:textFill>
            <w14:solidFill>
              <w14:schemeClr w14:val="tx1"/>
            </w14:solidFill>
          </w14:textFill>
        </w:rPr>
        <w:t>延安市人力资源和社会保障局公共就业服务视频会议及网络安全提升项目</w:t>
      </w:r>
      <w:r>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一、项目概况</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为落实</w:t>
      </w:r>
      <w:r>
        <w:rPr>
          <w:rFonts w:hint="eastAsia" w:ascii="宋体" w:hAnsi="宋体" w:eastAsia="宋体" w:cs="宋体"/>
          <w:color w:val="000000"/>
          <w:sz w:val="24"/>
          <w:szCs w:val="24"/>
          <w:lang w:val="en-US" w:eastAsia="zh-CN"/>
        </w:rPr>
        <w:t>就业服务视频会议及网络安全的</w:t>
      </w:r>
      <w:r>
        <w:rPr>
          <w:rFonts w:hint="eastAsia" w:ascii="宋体" w:hAnsi="宋体" w:eastAsia="宋体" w:cs="宋体"/>
          <w:color w:val="000000"/>
          <w:sz w:val="24"/>
          <w:szCs w:val="24"/>
        </w:rPr>
        <w:t>能力提升</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重新优化金保工程专网拓扑结构</w:t>
      </w:r>
      <w:r>
        <w:rPr>
          <w:rFonts w:hint="eastAsia" w:ascii="宋体" w:hAnsi="宋体" w:eastAsia="宋体" w:cs="宋体"/>
          <w:color w:val="000000"/>
          <w:sz w:val="24"/>
          <w:szCs w:val="24"/>
        </w:rPr>
        <w:t>，实现</w:t>
      </w:r>
      <w:r>
        <w:rPr>
          <w:rFonts w:hint="eastAsia" w:ascii="宋体" w:hAnsi="宋体" w:eastAsia="宋体" w:cs="宋体"/>
          <w:color w:val="000000"/>
          <w:sz w:val="24"/>
          <w:szCs w:val="24"/>
          <w:lang w:val="en-US" w:eastAsia="zh-CN"/>
        </w:rPr>
        <w:t>视频会议及网络安全</w:t>
      </w:r>
      <w:r>
        <w:rPr>
          <w:rFonts w:hint="eastAsia" w:ascii="宋体" w:hAnsi="宋体" w:eastAsia="宋体" w:cs="宋体"/>
          <w:color w:val="000000"/>
          <w:sz w:val="24"/>
          <w:szCs w:val="24"/>
        </w:rPr>
        <w:t>数据的全面管理、共享与智能应用，推进</w:t>
      </w:r>
      <w:r>
        <w:rPr>
          <w:rFonts w:hint="eastAsia" w:ascii="宋体" w:hAnsi="宋体" w:eastAsia="宋体" w:cs="宋体"/>
          <w:color w:val="000000"/>
          <w:sz w:val="24"/>
          <w:szCs w:val="24"/>
          <w:lang w:val="en-US" w:eastAsia="zh-CN"/>
        </w:rPr>
        <w:t>网络安全</w:t>
      </w:r>
      <w:r>
        <w:rPr>
          <w:rFonts w:hint="eastAsia" w:ascii="宋体" w:hAnsi="宋体" w:eastAsia="宋体" w:cs="宋体"/>
          <w:color w:val="000000"/>
          <w:sz w:val="24"/>
          <w:szCs w:val="24"/>
        </w:rPr>
        <w:t>升级，提升</w:t>
      </w:r>
      <w:r>
        <w:rPr>
          <w:rFonts w:hint="eastAsia" w:ascii="宋体" w:hAnsi="宋体" w:eastAsia="宋体" w:cs="宋体"/>
          <w:color w:val="000000"/>
          <w:sz w:val="24"/>
          <w:szCs w:val="24"/>
          <w:lang w:val="en-US" w:eastAsia="zh-CN"/>
        </w:rPr>
        <w:t>视频会议</w:t>
      </w:r>
      <w:r>
        <w:rPr>
          <w:rFonts w:hint="eastAsia" w:ascii="宋体" w:hAnsi="宋体" w:eastAsia="宋体" w:cs="宋体"/>
          <w:color w:val="000000"/>
          <w:sz w:val="24"/>
          <w:szCs w:val="24"/>
        </w:rPr>
        <w:t>管控模式和管控能力的现代化水平。</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本项目包括以下系统及设备的安装部署、调试、培训及运维服务：</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二、服务要求</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重新优化金保工程专网拓扑结构及</w:t>
      </w:r>
      <w:r>
        <w:rPr>
          <w:rFonts w:hint="eastAsia" w:ascii="宋体" w:hAnsi="宋体" w:eastAsia="宋体" w:cs="宋体"/>
          <w:color w:val="000000"/>
          <w:sz w:val="24"/>
          <w:szCs w:val="24"/>
        </w:rPr>
        <w:t>部署一套</w:t>
      </w:r>
      <w:r>
        <w:rPr>
          <w:rFonts w:hint="eastAsia" w:ascii="宋体" w:hAnsi="宋体" w:eastAsia="宋体" w:cs="宋体"/>
          <w:color w:val="000000"/>
          <w:sz w:val="24"/>
          <w:szCs w:val="24"/>
          <w:lang w:val="en-US" w:eastAsia="zh-CN"/>
        </w:rPr>
        <w:t>视频会议和网络安全</w:t>
      </w:r>
      <w:r>
        <w:rPr>
          <w:rFonts w:hint="eastAsia" w:ascii="宋体" w:hAnsi="宋体" w:eastAsia="宋体" w:cs="宋体"/>
          <w:color w:val="000000"/>
          <w:sz w:val="24"/>
          <w:szCs w:val="24"/>
        </w:rPr>
        <w:t>平台</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通过</w:t>
      </w:r>
      <w:r>
        <w:rPr>
          <w:rFonts w:hint="eastAsia" w:ascii="宋体" w:hAnsi="宋体" w:eastAsia="宋体" w:cs="宋体"/>
          <w:color w:val="000000"/>
          <w:sz w:val="24"/>
          <w:szCs w:val="24"/>
          <w:lang w:val="en-US" w:eastAsia="zh-CN"/>
        </w:rPr>
        <w:t>该</w:t>
      </w:r>
      <w:r>
        <w:rPr>
          <w:rFonts w:hint="eastAsia" w:ascii="宋体" w:hAnsi="宋体" w:eastAsia="宋体" w:cs="宋体"/>
          <w:color w:val="000000"/>
          <w:sz w:val="24"/>
          <w:szCs w:val="24"/>
        </w:rPr>
        <w:t>平台</w:t>
      </w:r>
      <w:r>
        <w:rPr>
          <w:rFonts w:hint="eastAsia" w:ascii="宋体" w:hAnsi="宋体" w:eastAsia="宋体" w:cs="宋体"/>
          <w:color w:val="000000"/>
          <w:sz w:val="24"/>
          <w:szCs w:val="24"/>
          <w:lang w:val="en-US" w:eastAsia="zh-CN"/>
        </w:rPr>
        <w:t>可</w:t>
      </w:r>
      <w:r>
        <w:rPr>
          <w:rFonts w:hint="eastAsia" w:ascii="宋体" w:hAnsi="宋体" w:eastAsia="宋体" w:cs="宋体"/>
          <w:color w:val="000000"/>
          <w:sz w:val="24"/>
          <w:szCs w:val="24"/>
        </w:rPr>
        <w:t>构建覆盖市、县（</w:t>
      </w:r>
      <w:r>
        <w:rPr>
          <w:rFonts w:hint="eastAsia" w:ascii="宋体" w:hAnsi="宋体" w:eastAsia="宋体" w:cs="宋体"/>
          <w:color w:val="000000"/>
          <w:sz w:val="24"/>
          <w:szCs w:val="24"/>
          <w:lang w:val="en-US" w:eastAsia="zh-CN"/>
        </w:rPr>
        <w:t>市、</w:t>
      </w:r>
      <w:r>
        <w:rPr>
          <w:rFonts w:hint="eastAsia" w:ascii="宋体" w:hAnsi="宋体" w:eastAsia="宋体" w:cs="宋体"/>
          <w:color w:val="000000"/>
          <w:sz w:val="24"/>
          <w:szCs w:val="24"/>
        </w:rPr>
        <w:t>区）人社部门的视频会议及协作通信网络，实现与省厅之间高清、稳定、安全的视频通信，全面提升会议质量</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构建</w:t>
      </w:r>
      <w:r>
        <w:rPr>
          <w:rFonts w:hint="eastAsia" w:ascii="宋体" w:hAnsi="宋体" w:eastAsia="宋体" w:cs="宋体"/>
          <w:color w:val="000000"/>
          <w:sz w:val="24"/>
          <w:szCs w:val="24"/>
        </w:rPr>
        <w:t>完善网络安全防护体系，</w:t>
      </w:r>
      <w:r>
        <w:rPr>
          <w:rFonts w:hint="eastAsia" w:ascii="宋体" w:hAnsi="宋体" w:eastAsia="宋体" w:cs="宋体"/>
          <w:color w:val="000000"/>
          <w:sz w:val="24"/>
          <w:szCs w:val="24"/>
          <w:lang w:val="en-US" w:eastAsia="zh-CN"/>
        </w:rPr>
        <w:t>可</w:t>
      </w:r>
      <w:r>
        <w:rPr>
          <w:rFonts w:hint="eastAsia" w:ascii="宋体" w:hAnsi="宋体" w:eastAsia="宋体" w:cs="宋体"/>
          <w:color w:val="000000"/>
          <w:sz w:val="24"/>
          <w:szCs w:val="24"/>
        </w:rPr>
        <w:t>大幅提升系统抗风险能力，保障视频会议及相关数据传输的安全保密。</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三、服务范围</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本项目包含以下服务内容：</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系统集成与部署：设备安装、网络调试、系统联调、数据对接等。</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平台软件部署与配置：支持国产化操作系统与数据库，确保系统安全可靠。</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培训服务：面向操作人员、管理员提供系统操作与维护培训。</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运维服务：提供原运维与技术支持服务。</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四、系统集成与部署服务</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现场勘查与方案确认：与用户方对接，确认设备部署位置、网络拓扑与环境要求。</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设备安装与上架：完成所有服务器、网络设备、机柜的安装与布线。</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网络配置与调试：完成交换机、防火墙的网络配置，确保内外网通信安全可靠。</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系统部署与联调：安装操作系统、</w:t>
      </w:r>
      <w:r>
        <w:rPr>
          <w:rFonts w:hint="eastAsia" w:ascii="宋体" w:hAnsi="宋体" w:eastAsia="宋体" w:cs="宋体"/>
          <w:color w:val="000000"/>
          <w:sz w:val="24"/>
          <w:szCs w:val="24"/>
          <w:lang w:val="en-US" w:eastAsia="zh-CN"/>
        </w:rPr>
        <w:t>会议系统及相关</w:t>
      </w:r>
      <w:r>
        <w:rPr>
          <w:rFonts w:hint="eastAsia" w:ascii="宋体" w:hAnsi="宋体" w:eastAsia="宋体" w:cs="宋体"/>
          <w:color w:val="000000"/>
          <w:sz w:val="24"/>
          <w:szCs w:val="24"/>
        </w:rPr>
        <w:t>软件，</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功能测试与验收：进行系统功能测试、压力测试与联调验收，确保平台稳定运行。</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五、培训服务</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培训对象：系统管理员、调度员、维护人员等。</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培训内容：</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平台功能与操作流程</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设备日常管理与监控</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故障排查与应急处理</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数据备份与恢复</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培训方式：现场培训 + 视频教程 + 操作手册。</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六、运维服务</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服务内容：</w:t>
      </w:r>
    </w:p>
    <w:p>
      <w:pPr>
        <w:spacing w:line="579"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7×24小时</w:t>
      </w:r>
      <w:r>
        <w:rPr>
          <w:rFonts w:hint="eastAsia" w:ascii="宋体" w:hAnsi="宋体" w:eastAsia="宋体" w:cs="宋体"/>
          <w:color w:val="000000"/>
          <w:sz w:val="24"/>
          <w:szCs w:val="24"/>
          <w:lang w:val="en-US" w:eastAsia="zh-CN"/>
        </w:rPr>
        <w:t>本地</w:t>
      </w:r>
      <w:r>
        <w:rPr>
          <w:rFonts w:hint="eastAsia" w:ascii="宋体" w:hAnsi="宋体" w:eastAsia="宋体" w:cs="宋体"/>
          <w:color w:val="000000"/>
          <w:sz w:val="24"/>
          <w:szCs w:val="24"/>
        </w:rPr>
        <w:t>技术</w:t>
      </w:r>
      <w:r>
        <w:rPr>
          <w:rFonts w:hint="eastAsia" w:ascii="宋体" w:hAnsi="宋体" w:eastAsia="宋体" w:cs="宋体"/>
          <w:color w:val="000000"/>
          <w:sz w:val="24"/>
          <w:szCs w:val="24"/>
          <w:lang w:val="en-US" w:eastAsia="zh-CN"/>
        </w:rPr>
        <w:t>服务</w:t>
      </w:r>
      <w:r>
        <w:rPr>
          <w:rFonts w:hint="eastAsia" w:ascii="宋体" w:hAnsi="宋体" w:eastAsia="宋体" w:cs="宋体"/>
          <w:color w:val="000000"/>
          <w:sz w:val="24"/>
          <w:szCs w:val="24"/>
        </w:rPr>
        <w:t>支持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技术服务人员须是本公司缴纳社保的在职人员，技术服务人员须持有相关证书，运维周期内如遇突然事件须在收到通知后1小时内到达现场进行处置。</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网络带宽与连接状态监测</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中心端数据管理软件维护</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定期系统巡检与性能优化</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故障响应与现场处理</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系统补丁更新与安全加固</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服务承诺：免费提供系统</w:t>
      </w:r>
      <w:r>
        <w:rPr>
          <w:rFonts w:hint="eastAsia" w:ascii="宋体" w:hAnsi="宋体" w:eastAsia="宋体" w:cs="宋体"/>
          <w:color w:val="000000"/>
          <w:sz w:val="24"/>
          <w:szCs w:val="24"/>
          <w:lang w:val="en-US" w:eastAsia="zh-CN"/>
        </w:rPr>
        <w:t>及</w:t>
      </w:r>
      <w:r>
        <w:rPr>
          <w:rFonts w:hint="eastAsia" w:ascii="宋体" w:hAnsi="宋体" w:eastAsia="宋体" w:cs="宋体"/>
          <w:color w:val="000000"/>
          <w:sz w:val="24"/>
          <w:szCs w:val="24"/>
        </w:rPr>
        <w:t>运维服务。</w:t>
      </w:r>
    </w:p>
    <w:p>
      <w:pPr>
        <w:spacing w:line="579"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七、硬件安装调试服务</w:t>
      </w:r>
    </w:p>
    <w:tbl>
      <w:tblPr>
        <w:tblStyle w:val="24"/>
        <w:tblW w:w="8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8"/>
        <w:gridCol w:w="4184"/>
        <w:gridCol w:w="1618"/>
        <w:gridCol w:w="16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视讯业务管理系统</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视讯业务管理系统延保</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多点控制单元MCU</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单元许可授权</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MCU延保</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录播服务器</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录播服务器单购许可</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录播服务器单购延保</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就业培训软件开发</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超高清视频会议终端</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超高清摄像机</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背景墙</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重大会议、授课、培训保障</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核心交换</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会议大屏</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课件扫描仪</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防火墙系统</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实施交付</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jc w:val="both"/>
        <w:textAlignment w:val="auto"/>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pPr>
    </w:p>
    <w:p>
      <w:pPr>
        <w:pStyle w:val="2"/>
        <w:ind w:left="0" w:leftChars="0" w:firstLine="0" w:firstLineChars="0"/>
        <w:rPr>
          <w:rFonts w:hint="eastAsia" w:ascii="宋体" w:hAnsi="宋体" w:eastAsia="宋体" w:cs="宋体"/>
          <w:b/>
          <w:color w:val="auto"/>
          <w:sz w:val="32"/>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0"/>
        <w:rPr>
          <w:rFonts w:hint="eastAsia" w:ascii="宋体" w:hAnsi="宋体" w:eastAsia="宋体" w:cs="宋体"/>
          <w:b/>
          <w:color w:val="auto"/>
          <w:sz w:val="32"/>
          <w:szCs w:val="36"/>
          <w:highlight w:val="none"/>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b/>
          <w:color w:val="auto"/>
          <w:sz w:val="32"/>
          <w:szCs w:val="36"/>
          <w:highlight w:val="none"/>
          <w:lang w:val="en-US" w:eastAsia="zh-CN"/>
        </w:rPr>
        <w:t>第五部分 拟签订合同文本</w:t>
      </w:r>
      <w:bookmarkEnd w:id="82"/>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甲方：延安市人力资源和社会保障局</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乙方： </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延安市人力资源和社会保障局 （以下简称甲方）关于</w:t>
      </w:r>
      <w:r>
        <w:rPr>
          <w:rFonts w:hint="eastAsia" w:ascii="宋体" w:hAnsi="宋体" w:eastAsia="宋体" w:cs="宋体"/>
          <w:color w:val="auto"/>
          <w:kern w:val="2"/>
          <w:sz w:val="24"/>
          <w:szCs w:val="24"/>
          <w:u w:val="single"/>
          <w:lang w:val="en-US" w:eastAsia="zh-CN" w:bidi="ar-SA"/>
        </w:rPr>
        <w:t xml:space="preserve"> （项目名称）</w:t>
      </w:r>
      <w:r>
        <w:rPr>
          <w:rFonts w:hint="eastAsia" w:ascii="宋体" w:hAnsi="宋体" w:eastAsia="宋体" w:cs="宋体"/>
          <w:color w:val="auto"/>
          <w:kern w:val="2"/>
          <w:sz w:val="24"/>
          <w:szCs w:val="24"/>
          <w:u w:val="none"/>
          <w:lang w:val="en-US" w:eastAsia="zh-CN" w:bidi="ar-SA"/>
        </w:rPr>
        <w:t>，</w:t>
      </w:r>
      <w:r>
        <w:rPr>
          <w:rFonts w:hint="eastAsia" w:ascii="宋体" w:hAnsi="宋体" w:eastAsia="宋体" w:cs="宋体"/>
          <w:color w:val="auto"/>
          <w:kern w:val="2"/>
          <w:sz w:val="24"/>
          <w:szCs w:val="24"/>
          <w:u w:val="single"/>
          <w:lang w:val="zh-CN" w:eastAsia="zh-CN" w:bidi="ar-SA"/>
        </w:rPr>
        <w:t>(项目编号</w:t>
      </w:r>
      <w:r>
        <w:rPr>
          <w:rFonts w:hint="eastAsia" w:ascii="宋体" w:hAnsi="宋体" w:eastAsia="宋体" w:cs="宋体"/>
          <w:color w:val="auto"/>
          <w:kern w:val="2"/>
          <w:sz w:val="24"/>
          <w:szCs w:val="24"/>
          <w:u w:val="single"/>
          <w:lang w:val="en-US" w:eastAsia="zh-CN" w:bidi="ar-SA"/>
        </w:rPr>
        <w:t>)</w:t>
      </w:r>
      <w:r>
        <w:rPr>
          <w:rFonts w:hint="eastAsia" w:ascii="宋体" w:hAnsi="宋体" w:eastAsia="宋体" w:cs="宋体"/>
          <w:color w:val="auto"/>
          <w:kern w:val="2"/>
          <w:sz w:val="24"/>
          <w:szCs w:val="24"/>
          <w:lang w:val="en-US" w:eastAsia="zh-CN" w:bidi="ar-SA"/>
        </w:rPr>
        <w:t>，按照政府采购程序，采用公开招标的采购方式，选定</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（以下简称乙方）为中标人。依据国家《中华人民共和国民法典》、《</w:t>
      </w:r>
      <w:r>
        <w:rPr>
          <w:rFonts w:hint="eastAsia" w:ascii="宋体" w:hAnsi="宋体" w:eastAsia="宋体" w:cs="宋体"/>
          <w:color w:val="auto"/>
          <w:kern w:val="2"/>
          <w:sz w:val="24"/>
          <w:szCs w:val="24"/>
          <w:lang w:val="zh-CN" w:eastAsia="zh-CN" w:bidi="ar-SA"/>
        </w:rPr>
        <w:t>中华人民共和国政府采购法</w:t>
      </w:r>
      <w:r>
        <w:rPr>
          <w:rFonts w:hint="eastAsia" w:ascii="宋体" w:hAnsi="宋体" w:eastAsia="宋体" w:cs="宋体"/>
          <w:color w:val="auto"/>
          <w:kern w:val="2"/>
          <w:sz w:val="24"/>
          <w:szCs w:val="24"/>
          <w:lang w:val="en-US" w:eastAsia="zh-CN" w:bidi="ar-SA"/>
        </w:rPr>
        <w:t>》及招标文件和乙方的投标文件，经甲、乙双方协商，达成如下合同条款。经协商，于     年    月    日按下述条款和条件签署本合同。</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bookmarkStart w:id="83" w:name="_Toc16416"/>
      <w:bookmarkStart w:id="84" w:name="_Toc26912"/>
      <w:r>
        <w:rPr>
          <w:rFonts w:hint="eastAsia" w:ascii="宋体" w:hAnsi="宋体" w:eastAsia="宋体" w:cs="宋体"/>
          <w:color w:val="auto"/>
          <w:kern w:val="2"/>
          <w:sz w:val="24"/>
          <w:szCs w:val="24"/>
          <w:lang w:val="en-US" w:eastAsia="zh-CN" w:bidi="ar-SA"/>
        </w:rPr>
        <w:t>一、项目概况：</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1、项目名称：______________________________________________</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2、项目地点：______________________________________________</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3、采购内容：详见分部分项报价表   </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4、合同内容及金额：即中标人的投标内容及其中标总金额。</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二、服务内容：即交付的服务内容与投标文件所指明的，或者与本合同所指明的服务内容相一致。</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三、知识产权：即中标人应保证采购人在使用中标服务时，不承担任何涉及知识产权法律诉讼的责任。</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四、服务时限：</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包1：建设期：</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合同签订之日起</w:t>
      </w:r>
      <w:r>
        <w:rPr>
          <w:rFonts w:hint="eastAsia" w:ascii="宋体" w:hAnsi="宋体" w:eastAsia="宋体" w:cs="宋体"/>
          <w:color w:val="000000" w:themeColor="text1"/>
          <w:kern w:val="2"/>
          <w:sz w:val="24"/>
          <w:szCs w:val="24"/>
          <w:lang w:val="en-US" w:eastAsia="zh-CN" w:bidi="ar-SA"/>
          <w14:textFill>
            <w14:solidFill>
              <w14:schemeClr w14:val="tx1"/>
            </w14:solidFill>
          </w14:textFill>
        </w:rPr>
        <w:t>180日历日；建设完成</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免费运维服务三年</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包2：服务期：平台建设完成后90个日历日完成测评；</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包3：服务期：</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合同签订之日起</w:t>
      </w:r>
      <w:r>
        <w:rPr>
          <w:rFonts w:hint="eastAsia" w:ascii="宋体" w:hAnsi="宋体" w:eastAsia="宋体" w:cs="宋体"/>
          <w:color w:val="000000" w:themeColor="text1"/>
          <w:kern w:val="2"/>
          <w:sz w:val="24"/>
          <w:szCs w:val="24"/>
          <w:lang w:val="en-US" w:eastAsia="zh-CN" w:bidi="ar-SA"/>
          <w14:textFill>
            <w14:solidFill>
              <w14:schemeClr w14:val="tx1"/>
            </w14:solidFill>
          </w14:textFill>
        </w:rPr>
        <w:t>90日历日；</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          </w:t>
      </w:r>
      <w:r>
        <w:rPr>
          <w:rFonts w:hint="eastAsia" w:ascii="宋体" w:hAnsi="宋体" w:eastAsia="宋体" w:cs="宋体"/>
          <w:color w:val="auto"/>
          <w:kern w:val="2"/>
          <w:sz w:val="24"/>
          <w:szCs w:val="2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中标供应商未征得采购人同意和谅解而单方面延迟提供服务，将按违约终止合同。</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中标供应商遇到可能妨碍按时提供服务的情况，应当及时以书面形式通知采购人，说明原由、拖延的期限等；采购人、采购代理机构在收到通知后，尽快进行情况评估并确定是否通过修改合同，酌情延长提供服务时间或者通过协商加收误期赔偿金。</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五、服务地点：采购人指定地点 </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六、</w:t>
      </w:r>
      <w:r>
        <w:rPr>
          <w:rFonts w:hint="eastAsia" w:ascii="宋体" w:hAnsi="宋体" w:eastAsia="宋体" w:cs="宋体"/>
          <w:color w:val="auto"/>
          <w:kern w:val="2"/>
          <w:sz w:val="24"/>
          <w:szCs w:val="24"/>
          <w:highlight w:val="none"/>
          <w:lang w:val="en-US" w:eastAsia="zh-CN" w:bidi="ar-SA"/>
        </w:rPr>
        <w:t xml:space="preserve">质量目标：合格 </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七、结算方式与付款方式</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1、结算方式：以合同价为准结算。</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2、付款方式：</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包1：签订合同且乙方服务人员和设备进入甲方指定的工作场地后10个工作日内，甲方支付乙方合同价款的</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40</w:t>
      </w:r>
      <w:r>
        <w:rPr>
          <w:rFonts w:hint="eastAsia" w:ascii="宋体" w:hAnsi="宋体" w:eastAsia="宋体" w:cs="宋体"/>
          <w:color w:val="000000" w:themeColor="text1"/>
          <w:kern w:val="2"/>
          <w:sz w:val="24"/>
          <w:szCs w:val="24"/>
          <w:lang w:val="en-US" w:eastAsia="zh-CN" w:bidi="ar-SA"/>
          <w14:textFill>
            <w14:solidFill>
              <w14:schemeClr w14:val="tx1"/>
            </w14:solidFill>
          </w14:textFill>
        </w:rPr>
        <w:t>%，项目建设完成正式运营，验收合格且经甲方确认后，10个工作日内甲方支付乙方合同价款的</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50</w:t>
      </w:r>
      <w:r>
        <w:rPr>
          <w:rFonts w:hint="eastAsia" w:ascii="宋体" w:hAnsi="宋体" w:eastAsia="宋体" w:cs="宋体"/>
          <w:color w:val="000000" w:themeColor="text1"/>
          <w:kern w:val="2"/>
          <w:sz w:val="24"/>
          <w:szCs w:val="24"/>
          <w:lang w:val="en-US" w:eastAsia="zh-CN" w:bidi="ar-SA"/>
          <w14:textFill>
            <w14:solidFill>
              <w14:schemeClr w14:val="tx1"/>
            </w14:solidFill>
          </w14:textFill>
        </w:rPr>
        <w:t>%，运维服务满三年后甲方支付乙方合同价款的</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10</w:t>
      </w:r>
      <w:r>
        <w:rPr>
          <w:rFonts w:hint="eastAsia" w:ascii="宋体" w:hAnsi="宋体" w:eastAsia="宋体" w:cs="宋体"/>
          <w:color w:val="000000" w:themeColor="text1"/>
          <w:kern w:val="2"/>
          <w:sz w:val="24"/>
          <w:szCs w:val="24"/>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包2：签订合同且乙方服务人员和设备进入甲方指定的工作场地后10个工作日内，甲方支付乙方合同价款的</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40</w:t>
      </w:r>
      <w:r>
        <w:rPr>
          <w:rFonts w:hint="eastAsia" w:ascii="宋体" w:hAnsi="宋体" w:eastAsia="宋体" w:cs="宋体"/>
          <w:color w:val="000000" w:themeColor="text1"/>
          <w:kern w:val="2"/>
          <w:sz w:val="24"/>
          <w:szCs w:val="24"/>
          <w:lang w:val="en-US" w:eastAsia="zh-CN" w:bidi="ar-SA"/>
          <w14:textFill>
            <w14:solidFill>
              <w14:schemeClr w14:val="tx1"/>
            </w14:solidFill>
          </w14:textFill>
        </w:rPr>
        <w:t>%，项目测评完成，验收合格且经甲方确认后，10个工作日内甲方支付乙方合同价款的</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60</w:t>
      </w:r>
      <w:r>
        <w:rPr>
          <w:rFonts w:hint="eastAsia" w:ascii="宋体" w:hAnsi="宋体" w:eastAsia="宋体" w:cs="宋体"/>
          <w:color w:val="000000" w:themeColor="text1"/>
          <w:kern w:val="2"/>
          <w:sz w:val="24"/>
          <w:szCs w:val="24"/>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lang w:val="en-US" w:eastAsia="zh-CN"/>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包3：签订合同且乙方服务人员和设备进入甲方指定的工作场地后10个工作日内，甲方支付乙方合同价款的</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40</w:t>
      </w:r>
      <w:r>
        <w:rPr>
          <w:rFonts w:hint="eastAsia" w:ascii="宋体" w:hAnsi="宋体" w:eastAsia="宋体" w:cs="宋体"/>
          <w:color w:val="000000" w:themeColor="text1"/>
          <w:kern w:val="2"/>
          <w:sz w:val="24"/>
          <w:szCs w:val="24"/>
          <w:lang w:val="en-US" w:eastAsia="zh-CN" w:bidi="ar-SA"/>
          <w14:textFill>
            <w14:solidFill>
              <w14:schemeClr w14:val="tx1"/>
            </w14:solidFill>
          </w14:textFill>
        </w:rPr>
        <w:t>%，项目实施完成，验收合格且经甲方确认后，10个工作日内甲方支付乙方合同价款的</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55</w:t>
      </w:r>
      <w:r>
        <w:rPr>
          <w:rFonts w:hint="eastAsia" w:ascii="宋体" w:hAnsi="宋体" w:eastAsia="宋体" w:cs="宋体"/>
          <w:color w:val="000000" w:themeColor="text1"/>
          <w:kern w:val="2"/>
          <w:sz w:val="24"/>
          <w:szCs w:val="24"/>
          <w:lang w:val="en-US" w:eastAsia="zh-CN" w:bidi="ar-SA"/>
          <w14:textFill>
            <w14:solidFill>
              <w14:schemeClr w14:val="tx1"/>
            </w14:solidFill>
          </w14:textFill>
        </w:rPr>
        <w:t>%，运维满一年后甲方支付乙方合同价款的</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八、技术保障：中标供应商应随同服务提供相应的技术文件（包括前期收集资料、报告、服务指南等资料）等保障服务。</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九、质量保证</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1、中标供应商应当保证所提供的服务完全符合合同规定的质量、内容等要求，并在服务期内、外应对由于提供服务的缺陷而产生的质量问题负责。</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2、在服务期内，如果发现提供服务的质量、服务内容等存在与合同中任何一项不符，采购人应在最短时间内，以书面形式向成交供应商提出索赔，同时通告采购代理机构。</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3、中标供应商应当明确售后服务公约等其他服务条件。</w:t>
      </w:r>
    </w:p>
    <w:p>
      <w:pPr>
        <w:pStyle w:val="12"/>
        <w:keepNext w:val="0"/>
        <w:keepLines w:val="0"/>
        <w:pageBreakBefore w:val="0"/>
        <w:widowControl w:val="0"/>
        <w:kinsoku/>
        <w:wordWrap/>
        <w:overflowPunct/>
        <w:topLinePunct w:val="0"/>
        <w:autoSpaceDE/>
        <w:autoSpaceDN/>
        <w:bidi w:val="0"/>
        <w:adjustRightInd/>
        <w:snapToGrid/>
        <w:spacing w:line="432"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4、未尽事宜由双方协商解决。</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十、采购项目执行内容需要调整时，经采购人同意后，可以对相应的内容进行调整，并协商确定价格差额计算方法和负担办法。</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十一、服务方案变更</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中标后，提供服务的内容需要变更、调整时，应办理相应的变更、调整审批手续，并协商确定服务内容调整后的服务价款计算方法和服务期顺延等事宜。</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十二、验收：完成服务期间由采购人负责组织验收，或者邀请有关专家、专业机构共同进行验收,验收费用由中标</w:t>
      </w:r>
      <w:r>
        <w:rPr>
          <w:rFonts w:hint="eastAsia" w:ascii="宋体" w:hAnsi="宋体" w:eastAsia="宋体" w:cs="宋体"/>
          <w:color w:val="auto"/>
          <w:kern w:val="2"/>
          <w:sz w:val="24"/>
          <w:szCs w:val="24"/>
          <w:highlight w:val="none"/>
          <w:lang w:val="en-US" w:eastAsia="zh-CN" w:bidi="ar-SA"/>
        </w:rPr>
        <w:t>供应商支付</w:t>
      </w:r>
      <w:r>
        <w:rPr>
          <w:rFonts w:hint="eastAsia" w:ascii="宋体" w:hAnsi="宋体" w:eastAsia="宋体" w:cs="宋体"/>
          <w:color w:val="auto"/>
          <w:kern w:val="2"/>
          <w:sz w:val="24"/>
          <w:szCs w:val="24"/>
          <w:lang w:val="en-US" w:eastAsia="zh-CN" w:bidi="ar-SA"/>
        </w:rPr>
        <w:t>。验收合格须交接项目实施的全部资料，并填写政府采购项目验收报告单。验收须以合同、招标文件及投标文件、澄清、及国家相应的标准、规范等为依据。</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十三、合同争议的解决：合同执行中发生争议的，当事人双方应协商解决，协商达不成一致时，可向延安市宝塔区人民法院提请诉讼。</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十四、在发生不可抗力情况下的应对措施和解决办法。</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十五、合同一经签订，不得擅自变更、中止或者终止合同。对确需变更、调整或者中止、终止合同的，应按规定履行相应的手续。</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十六、违约责任：依据《中华人民共和国民法典》、《中华人民共和国政府采购法》的相关条款和本合同约定，成交供应商未全面履行合同义务或者发生违约，采购人有权终止合同，依法向成交供应商进行经济索赔，并报请政府采购监督管理机关进行相应的行政处罚。采购人违约的，应当赔偿给成交供应商造成的经济损失。</w:t>
      </w:r>
    </w:p>
    <w:p>
      <w:pPr>
        <w:keepNext w:val="0"/>
        <w:keepLines w:val="0"/>
        <w:pageBreakBefore w:val="0"/>
        <w:widowControl w:val="0"/>
        <w:tabs>
          <w:tab w:val="left" w:pos="980"/>
        </w:tabs>
        <w:kinsoku/>
        <w:wordWrap/>
        <w:overflowPunct/>
        <w:topLinePunct w:val="0"/>
        <w:autoSpaceDE/>
        <w:autoSpaceDN/>
        <w:bidi w:val="0"/>
        <w:adjustRightInd/>
        <w:snapToGrid/>
        <w:spacing w:line="432" w:lineRule="auto"/>
        <w:ind w:firstLine="561"/>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十七、本合同一式伍份，甲方、乙方、各执贰份，采购代理机构一份。签字盖章后生效，合同执行完毕自动失效（合同的服务承诺则长期有效）。</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十八、其它（在合同中具体明确）</w:t>
      </w:r>
      <w:bookmarkEnd w:id="83"/>
      <w:bookmarkEnd w:id="84"/>
    </w:p>
    <w:p>
      <w:pPr>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lang w:val="en-US" w:eastAsia="zh-CN"/>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3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84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甲方</w:t>
            </w:r>
          </w:p>
        </w:tc>
        <w:tc>
          <w:tcPr>
            <w:tcW w:w="2849"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乙方</w:t>
            </w:r>
          </w:p>
        </w:tc>
        <w:tc>
          <w:tcPr>
            <w:tcW w:w="304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9" w:hRule="atLeast"/>
          <w:jc w:val="center"/>
        </w:trPr>
        <w:tc>
          <w:tcPr>
            <w:tcW w:w="2847" w:type="dxa"/>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vertAlign w:val="baseline"/>
                <w:lang w:eastAsia="zh-CN"/>
              </w:rPr>
              <w:t>（盖章）</w:t>
            </w:r>
          </w:p>
        </w:tc>
        <w:tc>
          <w:tcPr>
            <w:tcW w:w="2849" w:type="dxa"/>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vertAlign w:val="baseline"/>
                <w:lang w:eastAsia="zh-CN"/>
              </w:rPr>
              <w:t>（盖章）</w:t>
            </w:r>
          </w:p>
        </w:tc>
        <w:tc>
          <w:tcPr>
            <w:tcW w:w="3042" w:type="dxa"/>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vertAlign w:val="baseline"/>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jc w:val="center"/>
        </w:trPr>
        <w:tc>
          <w:tcPr>
            <w:tcW w:w="284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eastAsia="zh-CN"/>
              </w:rPr>
              <w:t>地址：</w:t>
            </w:r>
          </w:p>
        </w:tc>
        <w:tc>
          <w:tcPr>
            <w:tcW w:w="2849"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eastAsia="zh-CN"/>
              </w:rPr>
              <w:t>地址：</w:t>
            </w:r>
          </w:p>
        </w:tc>
        <w:tc>
          <w:tcPr>
            <w:tcW w:w="304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eastAsia="zh-CN"/>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284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eastAsia="zh-CN"/>
              </w:rPr>
              <w:t>邮政编码：</w:t>
            </w:r>
          </w:p>
        </w:tc>
        <w:tc>
          <w:tcPr>
            <w:tcW w:w="2849"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eastAsia="zh-CN"/>
              </w:rPr>
              <w:t>邮政编码：</w:t>
            </w:r>
          </w:p>
        </w:tc>
        <w:tc>
          <w:tcPr>
            <w:tcW w:w="304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eastAsia="zh-CN"/>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284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vertAlign w:val="baseline"/>
                <w:lang w:eastAsia="zh-CN"/>
              </w:rPr>
              <w:t>账号：</w:t>
            </w:r>
          </w:p>
        </w:tc>
        <w:tc>
          <w:tcPr>
            <w:tcW w:w="2849"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eastAsia="zh-CN"/>
              </w:rPr>
              <w:t>账号：</w:t>
            </w:r>
          </w:p>
        </w:tc>
        <w:tc>
          <w:tcPr>
            <w:tcW w:w="304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eastAsia="zh-CN"/>
              </w:rPr>
              <w:t>账号：</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left"/>
              <w:textAlignment w:val="auto"/>
              <w:rPr>
                <w:rFonts w:hint="eastAsia" w:ascii="宋体" w:hAnsi="宋体" w:eastAsia="宋体" w:cs="宋体"/>
                <w:color w:val="auto"/>
                <w:kern w:val="0"/>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284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vertAlign w:val="baseline"/>
                <w:lang w:eastAsia="zh-CN"/>
              </w:rPr>
              <w:t>开户行：</w:t>
            </w:r>
          </w:p>
        </w:tc>
        <w:tc>
          <w:tcPr>
            <w:tcW w:w="2849"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both"/>
              <w:textAlignment w:val="auto"/>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eastAsia="zh-CN"/>
              </w:rPr>
              <w:t>开户行：</w:t>
            </w:r>
          </w:p>
        </w:tc>
        <w:tc>
          <w:tcPr>
            <w:tcW w:w="304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eastAsia="zh-CN"/>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284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vertAlign w:val="baseline"/>
                <w:lang w:eastAsia="zh-CN"/>
              </w:rPr>
              <w:t>户名：</w:t>
            </w:r>
          </w:p>
        </w:tc>
        <w:tc>
          <w:tcPr>
            <w:tcW w:w="2849"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both"/>
              <w:textAlignment w:val="auto"/>
              <w:rPr>
                <w:rFonts w:hint="eastAsia" w:ascii="宋体" w:hAnsi="宋体" w:eastAsia="宋体" w:cs="宋体"/>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vertAlign w:val="baseline"/>
                <w:lang w:eastAsia="zh-CN"/>
              </w:rPr>
              <w:t>户名：</w:t>
            </w:r>
          </w:p>
        </w:tc>
        <w:tc>
          <w:tcPr>
            <w:tcW w:w="304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vertAlign w:val="baseline"/>
                <w:lang w:eastAsia="zh-CN"/>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284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vertAlign w:val="baseline"/>
                <w:lang w:eastAsia="zh-CN"/>
              </w:rPr>
              <w:t>全权代表：</w:t>
            </w:r>
          </w:p>
        </w:tc>
        <w:tc>
          <w:tcPr>
            <w:tcW w:w="2849"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eastAsia="zh-CN"/>
              </w:rPr>
              <w:t>全权代表：</w:t>
            </w:r>
          </w:p>
        </w:tc>
        <w:tc>
          <w:tcPr>
            <w:tcW w:w="304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eastAsia="zh-CN"/>
              </w:rPr>
              <w:t>全权代表：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284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eastAsia="zh-CN"/>
              </w:rPr>
              <w:t>日期：</w:t>
            </w:r>
            <w:r>
              <w:rPr>
                <w:rFonts w:hint="eastAsia" w:ascii="宋体" w:hAnsi="宋体" w:eastAsia="宋体" w:cs="宋体"/>
                <w:color w:val="auto"/>
                <w:kern w:val="0"/>
                <w:sz w:val="24"/>
                <w:szCs w:val="24"/>
                <w:highlight w:val="none"/>
                <w:vertAlign w:val="baseline"/>
                <w:lang w:val="en-US" w:eastAsia="zh-CN"/>
              </w:rPr>
              <w:t xml:space="preserve">   年  月  日</w:t>
            </w:r>
          </w:p>
        </w:tc>
        <w:tc>
          <w:tcPr>
            <w:tcW w:w="2849"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eastAsia="zh-CN"/>
              </w:rPr>
              <w:t>日期：</w:t>
            </w:r>
            <w:r>
              <w:rPr>
                <w:rFonts w:hint="eastAsia" w:ascii="宋体" w:hAnsi="宋体" w:eastAsia="宋体" w:cs="宋体"/>
                <w:color w:val="auto"/>
                <w:kern w:val="0"/>
                <w:sz w:val="24"/>
                <w:szCs w:val="24"/>
                <w:highlight w:val="none"/>
                <w:vertAlign w:val="baseline"/>
                <w:lang w:val="en-US" w:eastAsia="zh-CN"/>
              </w:rPr>
              <w:t xml:space="preserve">   年  月  日</w:t>
            </w:r>
          </w:p>
        </w:tc>
        <w:tc>
          <w:tcPr>
            <w:tcW w:w="304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eastAsia="zh-CN"/>
              </w:rPr>
              <w:t>日期：</w:t>
            </w:r>
            <w:r>
              <w:rPr>
                <w:rFonts w:hint="eastAsia" w:ascii="宋体" w:hAnsi="宋体" w:eastAsia="宋体" w:cs="宋体"/>
                <w:color w:val="auto"/>
                <w:kern w:val="0"/>
                <w:sz w:val="24"/>
                <w:szCs w:val="24"/>
                <w:highlight w:val="none"/>
                <w:vertAlign w:val="baseline"/>
                <w:lang w:val="en-US" w:eastAsia="zh-CN"/>
              </w:rPr>
              <w:t xml:space="preserve">   年  月  日</w:t>
            </w:r>
          </w:p>
        </w:tc>
      </w:tr>
    </w:tbl>
    <w:p>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0"/>
        <w:rPr>
          <w:rFonts w:hint="eastAsia" w:ascii="宋体" w:hAnsi="宋体" w:eastAsia="宋体" w:cs="宋体"/>
          <w:b/>
          <w:bCs/>
          <w:color w:val="FF0000"/>
          <w:sz w:val="32"/>
          <w:szCs w:val="32"/>
          <w:highlight w:val="none"/>
          <w:lang w:val="en-US" w:eastAsia="zh-CN"/>
        </w:rPr>
      </w:pPr>
      <w:bookmarkStart w:id="85" w:name="_Toc658"/>
      <w:r>
        <w:rPr>
          <w:rFonts w:hint="eastAsia" w:ascii="宋体" w:hAnsi="宋体" w:eastAsia="宋体" w:cs="宋体"/>
          <w:b/>
          <w:bCs/>
          <w:color w:val="auto"/>
          <w:sz w:val="32"/>
          <w:szCs w:val="32"/>
          <w:highlight w:val="none"/>
          <w:lang w:val="en-US" w:eastAsia="zh-CN"/>
        </w:rPr>
        <w:t>第六部分 投标文件格式</w:t>
      </w:r>
      <w:bookmarkEnd w:id="85"/>
    </w:p>
    <w:p>
      <w:pPr>
        <w:spacing w:line="360" w:lineRule="auto"/>
        <w:ind w:firstLine="480" w:firstLineChars="200"/>
        <w:rPr>
          <w:rFonts w:hint="eastAsia" w:ascii="宋体" w:hAnsi="宋体" w:eastAsia="宋体" w:cs="宋体"/>
          <w:sz w:val="24"/>
          <w:szCs w:val="24"/>
          <w:highlight w:val="none"/>
        </w:rPr>
      </w:pP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编制说明：</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文件格式，仅起到样式作用，编制</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文件前，请详细阅读</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文件的编制应按照本格式提供的内容，做出逐一的明确答复；</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认为</w:t>
      </w:r>
      <w:r>
        <w:rPr>
          <w:rFonts w:hint="eastAsia" w:ascii="宋体" w:hAnsi="宋体" w:eastAsia="宋体" w:cs="宋体"/>
          <w:sz w:val="24"/>
          <w:szCs w:val="24"/>
          <w:highlight w:val="none"/>
          <w:lang w:val="en-US" w:eastAsia="zh-CN"/>
        </w:rPr>
        <w:t>有</w:t>
      </w:r>
      <w:r>
        <w:rPr>
          <w:rFonts w:hint="eastAsia" w:ascii="宋体" w:hAnsi="宋体" w:eastAsia="宋体" w:cs="宋体"/>
          <w:sz w:val="24"/>
          <w:szCs w:val="24"/>
          <w:highlight w:val="none"/>
        </w:rPr>
        <w:t>必要，还可以做其它补充说明。</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3、本</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文件中相关表格如不够填写时，</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可以自行扩展。</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文件格式中要求响应的内容应完整，不得随意删减。</w:t>
      </w:r>
    </w:p>
    <w:p>
      <w:pPr>
        <w:spacing w:line="360" w:lineRule="auto"/>
        <w:ind w:firstLine="480" w:firstLineChars="200"/>
        <w:rPr>
          <w:rFonts w:hint="eastAsia" w:ascii="宋体" w:hAnsi="宋体" w:eastAsia="宋体" w:cs="宋体"/>
          <w:b/>
          <w:sz w:val="30"/>
          <w:szCs w:val="30"/>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w:t>
      </w:r>
      <w:r>
        <w:rPr>
          <w:rFonts w:hint="eastAsia" w:ascii="宋体" w:hAnsi="宋体" w:eastAsia="宋体" w:cs="宋体"/>
          <w:b/>
          <w:bCs/>
          <w:sz w:val="24"/>
          <w:szCs w:val="24"/>
          <w:highlight w:val="none"/>
        </w:rPr>
        <w:t>须编写目录</w:t>
      </w:r>
      <w:r>
        <w:rPr>
          <w:rFonts w:hint="eastAsia" w:ascii="宋体" w:hAnsi="宋体" w:eastAsia="宋体" w:cs="宋体"/>
          <w:b/>
          <w:bCs/>
          <w:sz w:val="24"/>
          <w:szCs w:val="24"/>
          <w:highlight w:val="none"/>
          <w:lang w:val="en-US" w:eastAsia="zh-CN"/>
        </w:rPr>
        <w:t>及页码</w:t>
      </w:r>
      <w:r>
        <w:rPr>
          <w:rFonts w:hint="eastAsia" w:ascii="宋体" w:hAnsi="宋体" w:eastAsia="宋体" w:cs="宋体"/>
          <w:sz w:val="24"/>
          <w:szCs w:val="24"/>
          <w:highlight w:val="none"/>
        </w:rPr>
        <w:t>。</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b/>
          <w:bCs/>
          <w:sz w:val="32"/>
          <w:szCs w:val="40"/>
          <w:highlight w:val="none"/>
          <w:lang w:val="en-US" w:eastAsia="zh-CN"/>
        </w:rPr>
      </w:pPr>
      <w:r>
        <w:rPr>
          <w:rFonts w:hint="eastAsia" w:ascii="宋体" w:hAnsi="宋体" w:eastAsia="宋体" w:cs="宋体"/>
          <w:sz w:val="28"/>
          <w:szCs w:val="28"/>
          <w:highlight w:val="none"/>
        </w:rPr>
        <w:br w:type="page"/>
      </w:r>
    </w:p>
    <w:p>
      <w:pPr>
        <w:jc w:val="both"/>
        <w:outlineLvl w:val="9"/>
        <w:rPr>
          <w:rFonts w:hint="eastAsia" w:ascii="宋体" w:hAnsi="宋体" w:eastAsia="宋体" w:cs="宋体"/>
          <w:b/>
          <w:bCs/>
          <w:i w:val="0"/>
          <w:iCs w:val="0"/>
          <w:sz w:val="72"/>
          <w:szCs w:val="144"/>
          <w:highlight w:val="none"/>
          <w:lang w:val="en-US" w:eastAsia="zh-CN"/>
        </w:rPr>
      </w:pPr>
      <w:r>
        <w:rPr>
          <w:rFonts w:hint="eastAsia" w:ascii="宋体" w:hAnsi="宋体" w:eastAsia="宋体" w:cs="宋体"/>
          <w:b/>
          <w:bCs/>
          <w:sz w:val="32"/>
          <w:szCs w:val="40"/>
          <w:highlight w:val="none"/>
          <w:lang w:val="en-US" w:eastAsia="zh-CN"/>
        </w:rPr>
        <w:t>项目编号：CY2025-021</w:t>
      </w:r>
    </w:p>
    <w:p>
      <w:pPr>
        <w:jc w:val="center"/>
        <w:outlineLvl w:val="9"/>
        <w:rPr>
          <w:rFonts w:hint="eastAsia" w:ascii="宋体" w:hAnsi="宋体" w:eastAsia="宋体" w:cs="宋体"/>
          <w:b/>
          <w:bCs/>
          <w:i w:val="0"/>
          <w:iCs w:val="0"/>
          <w:sz w:val="48"/>
          <w:szCs w:val="48"/>
          <w:highlight w:val="none"/>
          <w:lang w:val="en-US" w:eastAsia="zh-CN"/>
        </w:rPr>
      </w:pPr>
    </w:p>
    <w:p>
      <w:pPr>
        <w:pStyle w:val="4"/>
        <w:numPr>
          <w:ilvl w:val="2"/>
          <w:numId w:val="0"/>
        </w:numPr>
        <w:ind w:leftChars="0"/>
        <w:jc w:val="center"/>
        <w:rPr>
          <w:rFonts w:hint="eastAsia" w:ascii="宋体" w:hAnsi="宋体" w:eastAsia="宋体" w:cs="宋体"/>
          <w:b/>
          <w:bCs/>
          <w:i w:val="0"/>
          <w:iCs w:val="0"/>
          <w:sz w:val="48"/>
          <w:szCs w:val="48"/>
          <w:highlight w:val="none"/>
          <w:lang w:val="en-US" w:eastAsia="zh-CN"/>
        </w:rPr>
      </w:pPr>
    </w:p>
    <w:p>
      <w:pPr>
        <w:pStyle w:val="4"/>
        <w:numPr>
          <w:ilvl w:val="2"/>
          <w:numId w:val="0"/>
        </w:numPr>
        <w:ind w:leftChars="0"/>
        <w:jc w:val="center"/>
        <w:rPr>
          <w:rFonts w:hint="eastAsia" w:ascii="宋体" w:hAnsi="宋体" w:eastAsia="宋体" w:cs="宋体"/>
          <w:b/>
          <w:bCs/>
          <w:i w:val="0"/>
          <w:iCs w:val="0"/>
          <w:sz w:val="48"/>
          <w:szCs w:val="48"/>
          <w:highlight w:val="none"/>
          <w:lang w:val="en-US" w:eastAsia="zh-CN"/>
        </w:rPr>
      </w:pPr>
    </w:p>
    <w:p>
      <w:pPr>
        <w:jc w:val="center"/>
        <w:rPr>
          <w:rFonts w:hint="eastAsia" w:ascii="宋体" w:hAnsi="宋体" w:eastAsia="宋体" w:cs="宋体"/>
          <w:spacing w:val="-17"/>
          <w:lang w:val="en-US" w:eastAsia="zh-CN"/>
        </w:rPr>
      </w:pPr>
      <w:r>
        <w:rPr>
          <w:rFonts w:hint="eastAsia" w:ascii="宋体" w:hAnsi="宋体" w:eastAsia="宋体" w:cs="宋体"/>
          <w:b/>
          <w:bCs/>
          <w:i w:val="0"/>
          <w:iCs w:val="0"/>
          <w:spacing w:val="-17"/>
          <w:sz w:val="48"/>
          <w:szCs w:val="48"/>
          <w:highlight w:val="none"/>
          <w:lang w:val="en-US" w:eastAsia="zh-CN"/>
        </w:rPr>
        <w:t>延安市公共就业数字化综合服务平台建设项目</w:t>
      </w:r>
    </w:p>
    <w:p>
      <w:pPr>
        <w:pStyle w:val="4"/>
        <w:numPr>
          <w:ilvl w:val="2"/>
          <w:numId w:val="0"/>
        </w:numPr>
        <w:ind w:leftChars="0"/>
        <w:jc w:val="center"/>
        <w:rPr>
          <w:rFonts w:hint="eastAsia" w:ascii="宋体" w:hAnsi="宋体" w:eastAsia="宋体" w:cs="宋体"/>
          <w:b/>
          <w:bCs/>
          <w:i w:val="0"/>
          <w:iCs w:val="0"/>
          <w:sz w:val="44"/>
          <w:szCs w:val="44"/>
          <w:highlight w:val="none"/>
          <w:lang w:val="en-US" w:eastAsia="zh-CN"/>
        </w:rPr>
      </w:pPr>
      <w:r>
        <w:rPr>
          <w:rFonts w:hint="eastAsia" w:ascii="宋体" w:hAnsi="宋体" w:eastAsia="宋体" w:cs="宋体"/>
          <w:b/>
          <w:bCs/>
          <w:i w:val="0"/>
          <w:iCs w:val="0"/>
          <w:sz w:val="44"/>
          <w:szCs w:val="44"/>
          <w:highlight w:val="none"/>
          <w:lang w:val="en-US" w:eastAsia="zh-CN"/>
        </w:rPr>
        <w:t>（合同包</w:t>
      </w:r>
      <w:r>
        <w:rPr>
          <w:rFonts w:hint="eastAsia" w:ascii="宋体" w:hAnsi="宋体" w:eastAsia="宋体" w:cs="宋体"/>
          <w:b/>
          <w:bCs/>
          <w:i w:val="0"/>
          <w:iCs w:val="0"/>
          <w:sz w:val="44"/>
          <w:szCs w:val="44"/>
          <w:highlight w:val="none"/>
          <w:u w:val="single"/>
          <w:lang w:val="en-US" w:eastAsia="zh-CN"/>
        </w:rPr>
        <w:t xml:space="preserve">   </w:t>
      </w:r>
      <w:r>
        <w:rPr>
          <w:rFonts w:hint="eastAsia" w:ascii="宋体" w:hAnsi="宋体" w:eastAsia="宋体" w:cs="宋体"/>
          <w:b/>
          <w:bCs/>
          <w:i w:val="0"/>
          <w:iCs w:val="0"/>
          <w:sz w:val="44"/>
          <w:szCs w:val="44"/>
          <w:highlight w:val="none"/>
          <w:lang w:val="en-US" w:eastAsia="zh-CN"/>
        </w:rPr>
        <w:t>）</w:t>
      </w:r>
    </w:p>
    <w:p>
      <w:pPr>
        <w:rPr>
          <w:rFonts w:hint="eastAsia" w:ascii="宋体" w:hAnsi="宋体" w:eastAsia="宋体" w:cs="宋体"/>
          <w:lang w:val="en-US" w:eastAsia="zh-CN"/>
        </w:rPr>
      </w:pPr>
    </w:p>
    <w:p>
      <w:pPr>
        <w:pStyle w:val="10"/>
        <w:rPr>
          <w:rFonts w:hint="eastAsia" w:ascii="宋体" w:hAnsi="宋体" w:eastAsia="宋体" w:cs="宋体"/>
          <w:lang w:val="en-US" w:eastAsia="zh-CN"/>
        </w:rPr>
      </w:pPr>
    </w:p>
    <w:p>
      <w:pPr>
        <w:rPr>
          <w:rFonts w:hint="eastAsia" w:ascii="宋体" w:hAnsi="宋体" w:eastAsia="宋体" w:cs="宋体"/>
          <w:lang w:val="en-US" w:eastAsia="zh-CN"/>
        </w:rPr>
      </w:pPr>
    </w:p>
    <w:p>
      <w:pPr>
        <w:spacing w:line="600" w:lineRule="auto"/>
        <w:ind w:firstLine="211"/>
        <w:jc w:val="center"/>
        <w:outlineLvl w:val="9"/>
        <w:rPr>
          <w:rFonts w:hint="eastAsia" w:ascii="宋体" w:hAnsi="宋体" w:eastAsia="宋体" w:cs="宋体"/>
          <w:b/>
          <w:sz w:val="48"/>
          <w:szCs w:val="48"/>
          <w:highlight w:val="none"/>
        </w:rPr>
      </w:pPr>
      <w:r>
        <w:rPr>
          <w:rFonts w:hint="eastAsia" w:ascii="宋体" w:hAnsi="宋体" w:eastAsia="宋体" w:cs="宋体"/>
          <w:b/>
          <w:bCs/>
          <w:i w:val="0"/>
          <w:iCs w:val="0"/>
          <w:sz w:val="48"/>
          <w:szCs w:val="48"/>
          <w:highlight w:val="none"/>
          <w:lang w:val="en-US" w:eastAsia="zh-CN"/>
        </w:rPr>
        <w:t>投标文件</w:t>
      </w:r>
    </w:p>
    <w:p>
      <w:pPr>
        <w:pStyle w:val="4"/>
        <w:numPr>
          <w:ilvl w:val="2"/>
          <w:numId w:val="0"/>
        </w:numPr>
        <w:ind w:leftChars="0"/>
        <w:rPr>
          <w:rFonts w:hint="eastAsia" w:ascii="宋体" w:hAnsi="宋体" w:eastAsia="宋体" w:cs="宋体"/>
          <w:lang w:val="en-US" w:eastAsia="zh-CN"/>
        </w:rPr>
      </w:pPr>
    </w:p>
    <w:p>
      <w:pPr>
        <w:jc w:val="center"/>
        <w:outlineLvl w:val="9"/>
        <w:rPr>
          <w:rFonts w:hint="eastAsia" w:ascii="宋体" w:hAnsi="宋体" w:eastAsia="宋体" w:cs="宋体"/>
          <w:b/>
          <w:bCs/>
          <w:sz w:val="72"/>
          <w:szCs w:val="144"/>
          <w:highlight w:val="none"/>
          <w:lang w:val="en-US" w:eastAsia="zh-CN"/>
        </w:rPr>
      </w:pPr>
    </w:p>
    <w:p>
      <w:pPr>
        <w:spacing w:line="600" w:lineRule="auto"/>
        <w:ind w:firstLine="1285" w:firstLineChars="400"/>
        <w:outlineLvl w:val="9"/>
        <w:rPr>
          <w:rFonts w:hint="eastAsia" w:ascii="宋体" w:hAnsi="宋体" w:eastAsia="宋体" w:cs="宋体"/>
          <w:b/>
          <w:bCs/>
          <w:sz w:val="32"/>
          <w:szCs w:val="32"/>
          <w:highlight w:val="none"/>
          <w:u w:val="single"/>
        </w:rPr>
      </w:pPr>
      <w:r>
        <w:rPr>
          <w:rFonts w:hint="eastAsia" w:ascii="宋体" w:hAnsi="宋体" w:eastAsia="宋体" w:cs="宋体"/>
          <w:b/>
          <w:bCs/>
          <w:sz w:val="32"/>
          <w:szCs w:val="32"/>
          <w:highlight w:val="none"/>
          <w:lang w:eastAsia="zh-CN"/>
        </w:rPr>
        <w:t>投标人</w:t>
      </w:r>
      <w:r>
        <w:rPr>
          <w:rFonts w:hint="eastAsia" w:ascii="宋体" w:hAnsi="宋体" w:eastAsia="宋体" w:cs="宋体"/>
          <w:b/>
          <w:bCs/>
          <w:sz w:val="32"/>
          <w:szCs w:val="32"/>
          <w:highlight w:val="none"/>
        </w:rPr>
        <w:t>：</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u w:val="single"/>
          <w:lang w:val="en-US" w:eastAsia="zh-CN"/>
        </w:rPr>
        <w:t xml:space="preserve">   </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rPr>
        <w:t>（公章）</w:t>
      </w:r>
    </w:p>
    <w:p>
      <w:pPr>
        <w:spacing w:line="600" w:lineRule="auto"/>
        <w:ind w:firstLine="1285" w:firstLineChars="400"/>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w:t>
      </w:r>
      <w:r>
        <w:rPr>
          <w:rFonts w:hint="eastAsia" w:ascii="宋体" w:hAnsi="宋体" w:eastAsia="宋体" w:cs="宋体"/>
          <w:b/>
          <w:bCs/>
          <w:sz w:val="32"/>
          <w:szCs w:val="32"/>
          <w:highlight w:val="none"/>
          <w:lang w:val="en-US" w:eastAsia="zh-CN"/>
        </w:rPr>
        <w:t>或授权代表</w:t>
      </w:r>
      <w:r>
        <w:rPr>
          <w:rFonts w:hint="eastAsia" w:ascii="宋体" w:hAnsi="宋体" w:eastAsia="宋体" w:cs="宋体"/>
          <w:b/>
          <w:bCs/>
          <w:sz w:val="32"/>
          <w:szCs w:val="32"/>
          <w:highlight w:val="none"/>
        </w:rPr>
        <w:t>：</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rPr>
        <w:t>（签字或盖章）</w:t>
      </w:r>
    </w:p>
    <w:p>
      <w:pPr>
        <w:spacing w:line="480" w:lineRule="auto"/>
        <w:ind w:firstLine="1285" w:firstLineChars="400"/>
        <w:outlineLvl w:val="9"/>
        <w:rPr>
          <w:rFonts w:hint="eastAsia" w:ascii="宋体" w:hAnsi="宋体" w:eastAsia="宋体" w:cs="宋体"/>
          <w:sz w:val="32"/>
          <w:szCs w:val="32"/>
          <w:highlight w:val="none"/>
          <w:lang w:val="en-US" w:eastAsia="zh-CN"/>
        </w:rPr>
      </w:pPr>
      <w:r>
        <w:rPr>
          <w:rFonts w:hint="eastAsia" w:ascii="宋体" w:hAnsi="宋体" w:eastAsia="宋体" w:cs="宋体"/>
          <w:b/>
          <w:bCs/>
          <w:sz w:val="32"/>
          <w:szCs w:val="32"/>
          <w:highlight w:val="none"/>
        </w:rPr>
        <w:t>时    间：</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rPr>
        <w:t>年</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rPr>
        <w:t>月</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u w:val="none"/>
          <w:lang w:val="en-US" w:eastAsia="zh-CN"/>
        </w:rPr>
        <w:t>日</w:t>
      </w:r>
    </w:p>
    <w:p>
      <w:pPr>
        <w:widowControl/>
        <w:spacing w:line="480" w:lineRule="auto"/>
        <w:jc w:val="center"/>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pPr>
        <w:widowControl/>
        <w:spacing w:line="480" w:lineRule="auto"/>
        <w:jc w:val="center"/>
        <w:outlineLvl w:val="9"/>
        <w:rPr>
          <w:rFonts w:hint="eastAsia" w:ascii="宋体" w:hAnsi="宋体" w:eastAsia="宋体" w:cs="宋体"/>
          <w:sz w:val="32"/>
          <w:szCs w:val="32"/>
          <w:highlight w:val="none"/>
        </w:rPr>
      </w:pPr>
      <w:bookmarkStart w:id="86" w:name="_Toc75259380"/>
      <w:r>
        <w:rPr>
          <w:rFonts w:hint="eastAsia" w:ascii="宋体" w:hAnsi="宋体" w:eastAsia="宋体" w:cs="宋体"/>
          <w:b/>
          <w:sz w:val="32"/>
          <w:szCs w:val="28"/>
          <w:highlight w:val="none"/>
        </w:rPr>
        <w:t>目  录</w:t>
      </w:r>
      <w:bookmarkEnd w:id="86"/>
    </w:p>
    <w:p>
      <w:pPr>
        <w:pStyle w:val="19"/>
        <w:spacing w:line="480" w:lineRule="auto"/>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投</w:t>
      </w:r>
      <w:r>
        <w:rPr>
          <w:rFonts w:hint="eastAsia" w:ascii="宋体" w:hAnsi="宋体" w:eastAsia="宋体" w:cs="宋体"/>
          <w:sz w:val="24"/>
          <w:szCs w:val="24"/>
          <w:highlight w:val="none"/>
          <w:lang w:eastAsia="zh-CN"/>
        </w:rPr>
        <w:t>标</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函</w:t>
      </w:r>
    </w:p>
    <w:p>
      <w:pPr>
        <w:pStyle w:val="19"/>
        <w:spacing w:line="480" w:lineRule="auto"/>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val="en-US" w:eastAsia="zh-CN"/>
        </w:rPr>
        <w:t>开标</w:t>
      </w:r>
      <w:r>
        <w:rPr>
          <w:rFonts w:hint="eastAsia" w:ascii="宋体" w:hAnsi="宋体" w:eastAsia="宋体" w:cs="宋体"/>
          <w:sz w:val="24"/>
          <w:szCs w:val="24"/>
          <w:highlight w:val="none"/>
        </w:rPr>
        <w:t>一览表</w:t>
      </w:r>
    </w:p>
    <w:p>
      <w:pPr>
        <w:pStyle w:val="19"/>
        <w:spacing w:line="480" w:lineRule="auto"/>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三、法定代表人身份证明及法定代表人授权委托书</w:t>
      </w:r>
    </w:p>
    <w:p>
      <w:pPr>
        <w:pStyle w:val="19"/>
        <w:spacing w:line="480" w:lineRule="auto"/>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四、资格证明文件</w:t>
      </w:r>
    </w:p>
    <w:p>
      <w:pPr>
        <w:pStyle w:val="19"/>
        <w:spacing w:line="480" w:lineRule="auto"/>
        <w:jc w:val="left"/>
        <w:outlineLvl w:val="9"/>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五、投标保证金缴纳凭证</w:t>
      </w:r>
    </w:p>
    <w:p>
      <w:pPr>
        <w:pStyle w:val="19"/>
        <w:spacing w:line="480" w:lineRule="auto"/>
        <w:jc w:val="left"/>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六</w:t>
      </w:r>
      <w:r>
        <w:rPr>
          <w:rFonts w:hint="eastAsia" w:ascii="宋体" w:hAnsi="宋体" w:eastAsia="宋体" w:cs="宋体"/>
          <w:bCs/>
          <w:sz w:val="24"/>
          <w:szCs w:val="24"/>
          <w:highlight w:val="none"/>
        </w:rPr>
        <w:t>、商务部分</w:t>
      </w:r>
    </w:p>
    <w:p>
      <w:pPr>
        <w:pStyle w:val="19"/>
        <w:spacing w:line="480" w:lineRule="auto"/>
        <w:jc w:val="left"/>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七</w:t>
      </w:r>
      <w:r>
        <w:rPr>
          <w:rFonts w:hint="eastAsia" w:ascii="宋体" w:hAnsi="宋体" w:eastAsia="宋体" w:cs="宋体"/>
          <w:bCs/>
          <w:sz w:val="24"/>
          <w:szCs w:val="24"/>
          <w:highlight w:val="none"/>
        </w:rPr>
        <w:t>、技术部分</w:t>
      </w:r>
    </w:p>
    <w:p>
      <w:pPr>
        <w:pStyle w:val="19"/>
        <w:spacing w:line="480" w:lineRule="auto"/>
        <w:jc w:val="left"/>
        <w:outlineLvl w:val="9"/>
        <w:rPr>
          <w:rFonts w:hint="eastAsia" w:ascii="宋体" w:hAnsi="宋体" w:eastAsia="宋体" w:cs="宋体"/>
          <w:sz w:val="24"/>
          <w:szCs w:val="24"/>
          <w:highlight w:val="none"/>
        </w:rPr>
      </w:pPr>
      <w:r>
        <w:rPr>
          <w:rFonts w:hint="eastAsia" w:ascii="宋体" w:hAnsi="宋体" w:eastAsia="宋体" w:cs="宋体"/>
          <w:bCs/>
          <w:sz w:val="24"/>
          <w:szCs w:val="24"/>
          <w:highlight w:val="none"/>
          <w:lang w:val="en-US" w:eastAsia="zh-CN"/>
        </w:rPr>
        <w:t>八</w:t>
      </w:r>
      <w:r>
        <w:rPr>
          <w:rFonts w:hint="eastAsia" w:ascii="宋体" w:hAnsi="宋体" w:eastAsia="宋体" w:cs="宋体"/>
          <w:bCs/>
          <w:sz w:val="24"/>
          <w:szCs w:val="24"/>
          <w:highlight w:val="none"/>
        </w:rPr>
        <w:t>、其他材料</w:t>
      </w:r>
    </w:p>
    <w:p>
      <w:pPr>
        <w:outlineLvl w:val="9"/>
        <w:rPr>
          <w:rFonts w:hint="eastAsia" w:ascii="宋体" w:hAnsi="宋体" w:eastAsia="宋体" w:cs="宋体"/>
          <w:highlight w:val="none"/>
        </w:rPr>
      </w:pPr>
    </w:p>
    <w:p>
      <w:pPr>
        <w:outlineLvl w:val="9"/>
        <w:rPr>
          <w:rFonts w:hint="eastAsia" w:ascii="宋体" w:hAnsi="宋体" w:eastAsia="宋体" w:cs="宋体"/>
          <w:highlight w:val="none"/>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sz w:val="36"/>
          <w:szCs w:val="36"/>
          <w:highlight w:val="none"/>
        </w:rPr>
      </w:pPr>
      <w:r>
        <w:rPr>
          <w:rFonts w:hint="eastAsia" w:ascii="宋体" w:hAnsi="宋体" w:eastAsia="宋体" w:cs="宋体"/>
          <w:b/>
          <w:sz w:val="30"/>
          <w:szCs w:val="30"/>
          <w:highlight w:val="none"/>
        </w:rPr>
        <w:br w:type="page"/>
      </w:r>
      <w:bookmarkStart w:id="87" w:name="_Toc75259381"/>
      <w:r>
        <w:rPr>
          <w:rFonts w:hint="eastAsia" w:ascii="宋体" w:hAnsi="宋体" w:eastAsia="宋体" w:cs="宋体"/>
          <w:b/>
          <w:sz w:val="32"/>
          <w:szCs w:val="24"/>
          <w:highlight w:val="none"/>
        </w:rPr>
        <w:t>一、</w:t>
      </w:r>
      <w:r>
        <w:rPr>
          <w:rFonts w:hint="eastAsia" w:ascii="宋体" w:hAnsi="宋体" w:eastAsia="宋体" w:cs="宋体"/>
          <w:b/>
          <w:sz w:val="32"/>
          <w:szCs w:val="24"/>
          <w:highlight w:val="none"/>
          <w:lang w:val="en-US" w:eastAsia="zh-CN"/>
        </w:rPr>
        <w:t>投</w:t>
      </w:r>
      <w:r>
        <w:rPr>
          <w:rFonts w:hint="eastAsia" w:ascii="宋体" w:hAnsi="宋体" w:eastAsia="宋体" w:cs="宋体"/>
          <w:b/>
          <w:sz w:val="32"/>
          <w:szCs w:val="24"/>
          <w:highlight w:val="none"/>
          <w:lang w:eastAsia="zh-CN"/>
        </w:rPr>
        <w:t>标</w:t>
      </w:r>
      <w:r>
        <w:rPr>
          <w:rFonts w:hint="eastAsia" w:ascii="宋体" w:hAnsi="宋体" w:eastAsia="宋体" w:cs="宋体"/>
          <w:b/>
          <w:sz w:val="32"/>
          <w:szCs w:val="24"/>
          <w:highlight w:val="none"/>
          <w:lang w:val="en-US" w:eastAsia="zh-CN"/>
        </w:rPr>
        <w:t>响应</w:t>
      </w:r>
      <w:r>
        <w:rPr>
          <w:rFonts w:hint="eastAsia" w:ascii="宋体" w:hAnsi="宋体" w:eastAsia="宋体" w:cs="宋体"/>
          <w:b/>
          <w:sz w:val="32"/>
          <w:szCs w:val="24"/>
          <w:highlight w:val="none"/>
        </w:rPr>
        <w:t>函</w:t>
      </w:r>
      <w:bookmarkEnd w:id="87"/>
    </w:p>
    <w:p>
      <w:pPr>
        <w:pStyle w:val="19"/>
        <w:keepNext w:val="0"/>
        <w:keepLines w:val="0"/>
        <w:pageBreakBefore w:val="0"/>
        <w:widowControl w:val="0"/>
        <w:kinsoku/>
        <w:wordWrap/>
        <w:overflowPunct/>
        <w:topLinePunct w:val="0"/>
        <w:autoSpaceDE/>
        <w:autoSpaceDN/>
        <w:bidi w:val="0"/>
        <w:adjustRightInd/>
        <w:snapToGrid/>
        <w:spacing w:line="384" w:lineRule="auto"/>
        <w:ind w:firstLine="482" w:firstLineChars="200"/>
        <w:textAlignment w:val="auto"/>
        <w:outlineLvl w:val="9"/>
        <w:rPr>
          <w:rFonts w:hint="eastAsia" w:ascii="宋体" w:hAnsi="宋体" w:eastAsia="宋体" w:cs="宋体"/>
          <w:b/>
          <w:sz w:val="24"/>
          <w:szCs w:val="24"/>
          <w:highlight w:val="none"/>
          <w:lang w:val="en-US" w:eastAsia="zh-CN"/>
        </w:rPr>
      </w:pPr>
    </w:p>
    <w:p>
      <w:pPr>
        <w:pStyle w:val="19"/>
        <w:keepNext w:val="0"/>
        <w:keepLines w:val="0"/>
        <w:pageBreakBefore w:val="0"/>
        <w:widowControl w:val="0"/>
        <w:kinsoku/>
        <w:wordWrap/>
        <w:overflowPunct/>
        <w:topLinePunct w:val="0"/>
        <w:autoSpaceDE/>
        <w:autoSpaceDN/>
        <w:bidi w:val="0"/>
        <w:adjustRightInd/>
        <w:snapToGrid/>
        <w:spacing w:line="384" w:lineRule="auto"/>
        <w:jc w:val="left"/>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陕西楚元项目管理有限公司</w:t>
      </w:r>
      <w:r>
        <w:rPr>
          <w:rFonts w:hint="eastAsia" w:ascii="宋体" w:hAnsi="宋体" w:eastAsia="宋体" w:cs="宋体"/>
          <w:b/>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sz w:val="24"/>
          <w:szCs w:val="24"/>
          <w:highlight w:val="none"/>
        </w:rPr>
      </w:pPr>
      <w:bookmarkStart w:id="88" w:name="_Hlk74735128"/>
      <w:r>
        <w:rPr>
          <w:rFonts w:hint="eastAsia" w:ascii="宋体" w:hAnsi="宋体" w:eastAsia="宋体" w:cs="宋体"/>
          <w:sz w:val="24"/>
          <w:szCs w:val="24"/>
          <w:highlight w:val="none"/>
        </w:rPr>
        <w:t>我单位收到贵公司</w:t>
      </w:r>
      <w:r>
        <w:rPr>
          <w:rFonts w:hint="eastAsia" w:ascii="宋体" w:hAnsi="宋体" w:eastAsia="宋体" w:cs="宋体"/>
          <w:sz w:val="24"/>
          <w:szCs w:val="24"/>
          <w:highlight w:val="none"/>
          <w:u w:val="single"/>
          <w:lang w:val="en-US" w:eastAsia="zh-CN"/>
        </w:rPr>
        <w:t xml:space="preserve">项目名称及合同包号:     </w:t>
      </w: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u w:val="single"/>
        </w:rPr>
        <w:t>项目编号：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文件，经详细研究，我们决定参加本次</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活动。为此，我方郑重声明以下诸点，并负法律责任。</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一、愿意按照</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文件中的要求，提供相应的技术服务，完成合同的责任和义务。</w:t>
      </w:r>
    </w:p>
    <w:p>
      <w:pPr>
        <w:keepNext w:val="0"/>
        <w:keepLines w:val="0"/>
        <w:pageBreakBefore w:val="0"/>
        <w:widowControl w:val="0"/>
        <w:kinsoku/>
        <w:wordWrap w:val="0"/>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二、按</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文件的规定，我公司的</w:t>
      </w:r>
      <w:r>
        <w:rPr>
          <w:rFonts w:hint="eastAsia" w:ascii="宋体" w:hAnsi="宋体" w:eastAsia="宋体" w:cs="宋体"/>
          <w:sz w:val="24"/>
          <w:szCs w:val="24"/>
          <w:highlight w:val="none"/>
          <w:lang w:val="en-US" w:eastAsia="zh-CN"/>
        </w:rPr>
        <w:t>投</w:t>
      </w:r>
      <w:r>
        <w:rPr>
          <w:rFonts w:hint="eastAsia" w:ascii="宋体" w:hAnsi="宋体" w:eastAsia="宋体" w:cs="宋体"/>
          <w:sz w:val="24"/>
          <w:szCs w:val="24"/>
          <w:highlight w:val="none"/>
          <w:lang w:eastAsia="zh-CN"/>
        </w:rPr>
        <w:t>标</w:t>
      </w:r>
      <w:r>
        <w:rPr>
          <w:rFonts w:hint="eastAsia" w:ascii="宋体" w:hAnsi="宋体" w:eastAsia="宋体" w:cs="宋体"/>
          <w:sz w:val="24"/>
          <w:szCs w:val="24"/>
          <w:highlight w:val="none"/>
        </w:rPr>
        <w:t>报价为：人民币（大写）：</w:t>
      </w:r>
      <w:r>
        <w:rPr>
          <w:rFonts w:hint="eastAsia" w:ascii="宋体" w:hAnsi="宋体" w:eastAsia="宋体" w:cs="宋体"/>
          <w:sz w:val="32"/>
          <w:szCs w:val="32"/>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元），并对</w:t>
      </w:r>
      <w:r>
        <w:rPr>
          <w:rFonts w:hint="eastAsia" w:ascii="宋体" w:hAnsi="宋体" w:eastAsia="宋体" w:cs="宋体"/>
          <w:sz w:val="24"/>
          <w:szCs w:val="24"/>
          <w:highlight w:val="none"/>
          <w:lang w:val="en-US" w:eastAsia="zh-CN"/>
        </w:rPr>
        <w:t>投</w:t>
      </w:r>
      <w:r>
        <w:rPr>
          <w:rFonts w:hint="eastAsia" w:ascii="宋体" w:hAnsi="宋体" w:eastAsia="宋体" w:cs="宋体"/>
          <w:sz w:val="24"/>
          <w:szCs w:val="24"/>
          <w:highlight w:val="none"/>
          <w:lang w:eastAsia="zh-CN"/>
        </w:rPr>
        <w:t>标</w:t>
      </w:r>
      <w:r>
        <w:rPr>
          <w:rFonts w:hint="eastAsia" w:ascii="宋体" w:hAnsi="宋体" w:eastAsia="宋体" w:cs="宋体"/>
          <w:sz w:val="24"/>
          <w:szCs w:val="24"/>
          <w:highlight w:val="none"/>
        </w:rPr>
        <w:t>报价负法律责任。</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三、我方承诺遵守《中华人民共和国政府采购法》及其实施条例的有关规定，保证在获得</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资格后按照</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文件确定的事项签订政府采购合同，履行双方所签订的合同，并承担合同规定的责任和义务，保证合同签订生效后</w:t>
      </w:r>
      <w:r>
        <w:rPr>
          <w:rFonts w:hint="eastAsia" w:ascii="宋体" w:hAnsi="宋体" w:eastAsia="宋体" w:cs="宋体"/>
          <w:color w:val="auto"/>
          <w:sz w:val="24"/>
          <w:szCs w:val="24"/>
          <w:highlight w:val="none"/>
          <w:lang w:val="en-US" w:eastAsia="zh-CN"/>
        </w:rPr>
        <w:t>服务时限</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四、我方已详细阅读了</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文件，并</w:t>
      </w:r>
      <w:r>
        <w:rPr>
          <w:rFonts w:hint="eastAsia" w:ascii="宋体" w:hAnsi="宋体" w:eastAsia="宋体" w:cs="宋体"/>
          <w:sz w:val="24"/>
          <w:szCs w:val="24"/>
          <w:highlight w:val="none"/>
          <w:lang w:val="en-US" w:eastAsia="zh-CN"/>
        </w:rPr>
        <w:t>完全同意招标文件的各项商务要求及实质性要求</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开标</w:t>
      </w:r>
      <w:r>
        <w:rPr>
          <w:rFonts w:hint="eastAsia" w:ascii="宋体" w:hAnsi="宋体" w:eastAsia="宋体" w:cs="宋体"/>
          <w:sz w:val="24"/>
          <w:szCs w:val="24"/>
          <w:highlight w:val="none"/>
        </w:rPr>
        <w:t>后在规定的</w:t>
      </w:r>
      <w:r>
        <w:rPr>
          <w:rFonts w:hint="eastAsia" w:ascii="宋体" w:hAnsi="宋体" w:eastAsia="宋体" w:cs="宋体"/>
          <w:sz w:val="24"/>
          <w:szCs w:val="24"/>
          <w:highlight w:val="none"/>
          <w:lang w:val="en-US" w:eastAsia="zh-CN"/>
        </w:rPr>
        <w:t>投</w:t>
      </w:r>
      <w:r>
        <w:rPr>
          <w:rFonts w:hint="eastAsia" w:ascii="宋体" w:hAnsi="宋体" w:eastAsia="宋体" w:cs="宋体"/>
          <w:sz w:val="24"/>
          <w:szCs w:val="24"/>
          <w:highlight w:val="none"/>
          <w:lang w:eastAsia="zh-CN"/>
        </w:rPr>
        <w:t>标</w:t>
      </w:r>
      <w:r>
        <w:rPr>
          <w:rFonts w:hint="eastAsia" w:ascii="宋体" w:hAnsi="宋体" w:eastAsia="宋体" w:cs="宋体"/>
          <w:sz w:val="24"/>
          <w:szCs w:val="24"/>
          <w:highlight w:val="none"/>
        </w:rPr>
        <w:t>有效期内撤回</w:t>
      </w:r>
      <w:r>
        <w:rPr>
          <w:rFonts w:hint="eastAsia" w:ascii="宋体" w:hAnsi="宋体" w:eastAsia="宋体" w:cs="宋体"/>
          <w:sz w:val="24"/>
          <w:szCs w:val="24"/>
          <w:highlight w:val="none"/>
          <w:lang w:val="en-US" w:eastAsia="zh-CN"/>
        </w:rPr>
        <w:t>投标文件</w:t>
      </w:r>
      <w:r>
        <w:rPr>
          <w:rFonts w:hint="eastAsia" w:ascii="宋体" w:hAnsi="宋体" w:eastAsia="宋体" w:cs="宋体"/>
          <w:sz w:val="24"/>
          <w:szCs w:val="24"/>
          <w:highlight w:val="none"/>
        </w:rPr>
        <w:t>，我们愿接受有关处罚决定。</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、同意向贵方提供可能要求的，与本次</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有关的任何证据或资料。我们完全理解最低</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报价不作为</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的唯一条件，且尊重</w:t>
      </w:r>
      <w:r>
        <w:rPr>
          <w:rFonts w:hint="eastAsia" w:ascii="宋体" w:hAnsi="宋体" w:eastAsia="宋体" w:cs="宋体"/>
          <w:sz w:val="24"/>
          <w:szCs w:val="24"/>
          <w:highlight w:val="none"/>
          <w:lang w:val="en-US" w:eastAsia="zh-CN"/>
        </w:rPr>
        <w:t>评标委员会</w:t>
      </w:r>
      <w:r>
        <w:rPr>
          <w:rFonts w:hint="eastAsia" w:ascii="宋体" w:hAnsi="宋体" w:eastAsia="宋体" w:cs="宋体"/>
          <w:sz w:val="24"/>
          <w:szCs w:val="24"/>
          <w:highlight w:val="none"/>
        </w:rPr>
        <w:t>的评审结论和</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结果。</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、我方的</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文件在</w:t>
      </w:r>
      <w:r>
        <w:rPr>
          <w:rFonts w:hint="eastAsia" w:ascii="宋体" w:hAnsi="宋体" w:eastAsia="宋体" w:cs="宋体"/>
          <w:sz w:val="24"/>
          <w:szCs w:val="24"/>
          <w:highlight w:val="none"/>
          <w:lang w:val="en-US" w:eastAsia="zh-CN"/>
        </w:rPr>
        <w:t>开标</w:t>
      </w:r>
      <w:r>
        <w:rPr>
          <w:rFonts w:hint="eastAsia" w:ascii="宋体" w:hAnsi="宋体" w:eastAsia="宋体" w:cs="宋体"/>
          <w:sz w:val="24"/>
          <w:szCs w:val="24"/>
          <w:highlight w:val="none"/>
        </w:rPr>
        <w:t>后有效期为90个日历天，若我方</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文件有效期自动延长至合同执行完毕。</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rPr>
        <w:t>、有关于本</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文件的函电，请按下列地址联系。</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（公章）</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84" w:lineRule="auto"/>
        <w:textAlignment w:val="auto"/>
        <w:outlineLvl w:val="9"/>
        <w:rPr>
          <w:rFonts w:hint="eastAsia" w:ascii="宋体" w:hAnsi="宋体" w:eastAsia="宋体" w:cs="宋体"/>
          <w:b/>
          <w:bCs/>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bookmarkEnd w:id="88"/>
    <w:p>
      <w:pPr>
        <w:widowControl/>
        <w:spacing w:line="360" w:lineRule="auto"/>
        <w:jc w:val="center"/>
        <w:outlineLvl w:val="9"/>
        <w:rPr>
          <w:rFonts w:hint="eastAsia" w:ascii="宋体" w:hAnsi="宋体" w:eastAsia="宋体" w:cs="宋体"/>
          <w:b/>
          <w:sz w:val="32"/>
          <w:szCs w:val="24"/>
          <w:highlight w:val="none"/>
        </w:rPr>
      </w:pPr>
      <w:r>
        <w:rPr>
          <w:rFonts w:hint="eastAsia" w:ascii="宋体" w:hAnsi="宋体" w:eastAsia="宋体" w:cs="宋体"/>
          <w:b/>
          <w:sz w:val="32"/>
          <w:szCs w:val="24"/>
          <w:highlight w:val="none"/>
        </w:rPr>
        <w:br w:type="page"/>
      </w:r>
      <w:bookmarkStart w:id="89" w:name="_Toc75259382"/>
      <w:r>
        <w:rPr>
          <w:rFonts w:hint="eastAsia" w:ascii="宋体" w:hAnsi="宋体" w:eastAsia="宋体" w:cs="宋体"/>
          <w:b/>
          <w:sz w:val="32"/>
          <w:szCs w:val="24"/>
          <w:highlight w:val="none"/>
        </w:rPr>
        <w:t>二、</w:t>
      </w:r>
      <w:r>
        <w:rPr>
          <w:rFonts w:hint="eastAsia" w:ascii="宋体" w:hAnsi="宋体" w:eastAsia="宋体" w:cs="宋体"/>
          <w:b/>
          <w:sz w:val="32"/>
          <w:szCs w:val="24"/>
          <w:highlight w:val="none"/>
          <w:lang w:val="en-US" w:eastAsia="zh-CN"/>
        </w:rPr>
        <w:t>开标</w:t>
      </w:r>
      <w:r>
        <w:rPr>
          <w:rFonts w:hint="eastAsia" w:ascii="宋体" w:hAnsi="宋体" w:eastAsia="宋体" w:cs="宋体"/>
          <w:b/>
          <w:sz w:val="32"/>
          <w:szCs w:val="24"/>
          <w:highlight w:val="none"/>
        </w:rPr>
        <w:t>一览表</w:t>
      </w:r>
      <w:bookmarkEnd w:id="89"/>
    </w:p>
    <w:p>
      <w:pPr>
        <w:jc w:val="center"/>
        <w:outlineLvl w:val="9"/>
        <w:rPr>
          <w:rFonts w:hint="eastAsia" w:ascii="宋体" w:hAnsi="宋体" w:eastAsia="宋体" w:cs="宋体"/>
          <w:highlight w:val="none"/>
        </w:rPr>
      </w:pPr>
    </w:p>
    <w:p>
      <w:pPr>
        <w:jc w:val="center"/>
        <w:outlineLvl w:val="9"/>
        <w:rPr>
          <w:rFonts w:hint="eastAsia" w:ascii="宋体" w:hAnsi="宋体" w:eastAsia="宋体" w:cs="宋体"/>
          <w:highlight w:val="none"/>
        </w:rPr>
      </w:pPr>
    </w:p>
    <w:tbl>
      <w:tblPr>
        <w:tblStyle w:val="24"/>
        <w:tblW w:w="8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3"/>
        <w:gridCol w:w="5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053" w:type="dxa"/>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项目名称及合同包号</w:t>
            </w:r>
          </w:p>
        </w:tc>
        <w:tc>
          <w:tcPr>
            <w:tcW w:w="5444" w:type="dxa"/>
            <w:vAlign w:val="center"/>
          </w:tcPr>
          <w:p>
            <w:pPr>
              <w:outlineLvl w:val="9"/>
              <w:rPr>
                <w:rFonts w:hint="eastAsia" w:ascii="宋体" w:hAnsi="宋体" w:eastAsia="宋体" w:cs="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053" w:type="dxa"/>
            <w:vAlign w:val="center"/>
          </w:tcPr>
          <w:p>
            <w:pPr>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w:t>
            </w:r>
            <w:r>
              <w:rPr>
                <w:rFonts w:hint="eastAsia" w:ascii="宋体" w:hAnsi="宋体" w:eastAsia="宋体" w:cs="宋体"/>
                <w:sz w:val="24"/>
                <w:szCs w:val="24"/>
                <w:highlight w:val="none"/>
                <w:lang w:eastAsia="zh-CN"/>
              </w:rPr>
              <w:t>标</w:t>
            </w:r>
            <w:r>
              <w:rPr>
                <w:rFonts w:hint="eastAsia" w:ascii="宋体" w:hAnsi="宋体" w:eastAsia="宋体" w:cs="宋体"/>
                <w:sz w:val="24"/>
                <w:szCs w:val="24"/>
                <w:highlight w:val="none"/>
              </w:rPr>
              <w:t>总报价（元）</w:t>
            </w:r>
          </w:p>
        </w:tc>
        <w:tc>
          <w:tcPr>
            <w:tcW w:w="5444" w:type="dxa"/>
            <w:vAlign w:val="center"/>
          </w:tcPr>
          <w:p>
            <w:pPr>
              <w:spacing w:line="360" w:lineRule="auto"/>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大写：</w:t>
            </w:r>
          </w:p>
          <w:p>
            <w:pPr>
              <w:spacing w:line="360" w:lineRule="auto"/>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053" w:type="dxa"/>
            <w:vAlign w:val="center"/>
          </w:tcPr>
          <w:p>
            <w:pPr>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服务</w:t>
            </w:r>
            <w:r>
              <w:rPr>
                <w:rFonts w:hint="eastAsia" w:ascii="宋体" w:hAnsi="宋体" w:eastAsia="宋体" w:cs="宋体"/>
                <w:sz w:val="24"/>
                <w:szCs w:val="24"/>
                <w:highlight w:val="none"/>
                <w:lang w:val="en-US" w:eastAsia="zh-CN"/>
              </w:rPr>
              <w:t>时限</w:t>
            </w:r>
          </w:p>
        </w:tc>
        <w:tc>
          <w:tcPr>
            <w:tcW w:w="5444" w:type="dxa"/>
            <w:vAlign w:val="center"/>
          </w:tcPr>
          <w:p>
            <w:pPr>
              <w:jc w:val="left"/>
              <w:outlineLvl w:val="9"/>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053" w:type="dxa"/>
            <w:vAlign w:val="center"/>
          </w:tcPr>
          <w:p>
            <w:pPr>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质量标准</w:t>
            </w:r>
          </w:p>
        </w:tc>
        <w:tc>
          <w:tcPr>
            <w:tcW w:w="5444" w:type="dxa"/>
            <w:vAlign w:val="center"/>
          </w:tcPr>
          <w:p>
            <w:pPr>
              <w:jc w:val="left"/>
              <w:outlineLvl w:val="9"/>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053" w:type="dxa"/>
            <w:vAlign w:val="center"/>
          </w:tcPr>
          <w:p>
            <w:pPr>
              <w:jc w:val="center"/>
              <w:outlineLvl w:val="9"/>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其他说明事项</w:t>
            </w:r>
          </w:p>
        </w:tc>
        <w:tc>
          <w:tcPr>
            <w:tcW w:w="5444" w:type="dxa"/>
            <w:vAlign w:val="center"/>
          </w:tcPr>
          <w:p>
            <w:pPr>
              <w:pStyle w:val="4"/>
              <w:numPr>
                <w:ilvl w:val="2"/>
                <w:numId w:val="0"/>
              </w:numPr>
              <w:ind w:leftChars="0"/>
              <w:rPr>
                <w:rFonts w:hint="eastAsia" w:ascii="宋体" w:hAnsi="宋体" w:eastAsia="宋体" w:cs="宋体"/>
                <w:sz w:val="24"/>
                <w:szCs w:val="24"/>
                <w:lang w:eastAsia="zh-CN"/>
              </w:rPr>
            </w:pPr>
          </w:p>
        </w:tc>
      </w:tr>
    </w:tbl>
    <w:p>
      <w:pPr>
        <w:spacing w:line="360" w:lineRule="auto"/>
        <w:outlineLvl w:val="9"/>
        <w:rPr>
          <w:rFonts w:hint="eastAsia" w:ascii="宋体" w:hAnsi="宋体" w:eastAsia="宋体" w:cs="宋体"/>
          <w:highlight w:val="none"/>
        </w:rPr>
      </w:pPr>
    </w:p>
    <w:p>
      <w:pPr>
        <w:outlineLvl w:val="9"/>
        <w:rPr>
          <w:rFonts w:hint="eastAsia" w:ascii="宋体" w:hAnsi="宋体" w:eastAsia="宋体" w:cs="宋体"/>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法定代表人或授权代表（签字</w:t>
      </w:r>
      <w:r>
        <w:rPr>
          <w:rFonts w:hint="eastAsia" w:ascii="宋体" w:hAnsi="宋体" w:eastAsia="宋体" w:cs="宋体"/>
          <w:sz w:val="24"/>
          <w:szCs w:val="24"/>
          <w:highlight w:val="none"/>
          <w:lang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bookmarkStart w:id="90" w:name="_Toc75259383"/>
    </w:p>
    <w:p>
      <w:pPr>
        <w:rPr>
          <w:rFonts w:hint="eastAsia" w:ascii="宋体" w:hAnsi="宋体" w:eastAsia="宋体" w:cs="宋体"/>
          <w:lang w:val="en-US" w:eastAsia="zh-CN"/>
        </w:rPr>
      </w:pPr>
      <w:r>
        <w:rPr>
          <w:rFonts w:hint="eastAsia" w:ascii="宋体" w:hAnsi="宋体" w:eastAsia="宋体" w:cs="宋体"/>
          <w:lang w:val="en-US" w:eastAsia="zh-CN"/>
        </w:rPr>
        <w:br w:type="page"/>
      </w:r>
    </w:p>
    <w:p>
      <w:pPr>
        <w:jc w:val="center"/>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分项报价表</w:t>
      </w:r>
    </w:p>
    <w:p>
      <w:pPr>
        <w:pStyle w:val="53"/>
        <w:numPr>
          <w:ilvl w:val="0"/>
          <w:numId w:val="0"/>
        </w:numPr>
        <w:rPr>
          <w:rFonts w:hint="eastAsia" w:ascii="宋体" w:hAnsi="宋体" w:eastAsia="宋体" w:cs="宋体"/>
          <w:b/>
          <w:bCs/>
          <w:color w:val="000000"/>
          <w:kern w:val="0"/>
          <w:sz w:val="24"/>
          <w:szCs w:val="24"/>
          <w:lang w:val="en-US" w:eastAsia="zh-CN" w:bidi="ar-SA"/>
        </w:rPr>
      </w:pPr>
    </w:p>
    <w:p>
      <w:pPr>
        <w:pStyle w:val="53"/>
        <w:numPr>
          <w:ilvl w:val="0"/>
          <w:numId w:val="0"/>
        </w:numPr>
        <w:rPr>
          <w:rFonts w:hint="eastAsia" w:ascii="宋体" w:hAnsi="宋体" w:eastAsia="宋体" w:cs="宋体"/>
          <w:b/>
          <w:bCs/>
          <w:color w:val="000000"/>
          <w:kern w:val="0"/>
          <w:sz w:val="24"/>
          <w:szCs w:val="24"/>
          <w:lang w:val="en-US" w:eastAsia="zh-CN" w:bidi="ar-SA"/>
        </w:rPr>
      </w:pPr>
    </w:p>
    <w:p>
      <w:pPr>
        <w:pStyle w:val="53"/>
        <w:numPr>
          <w:ilvl w:val="0"/>
          <w:numId w:val="0"/>
        </w:numP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 xml:space="preserve">项目名称及合同包号：                                                     </w:t>
      </w:r>
    </w:p>
    <w:p>
      <w:pPr>
        <w:pStyle w:val="53"/>
        <w:numPr>
          <w:ilvl w:val="0"/>
          <w:numId w:val="0"/>
        </w:numPr>
        <w:jc w:val="both"/>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项目编号：                                                      单位：元</w:t>
      </w:r>
    </w:p>
    <w:p>
      <w:pPr>
        <w:pStyle w:val="53"/>
        <w:numPr>
          <w:ilvl w:val="0"/>
          <w:numId w:val="0"/>
        </w:numPr>
        <w:rPr>
          <w:rFonts w:hint="eastAsia" w:ascii="宋体" w:hAnsi="宋体" w:eastAsia="宋体" w:cs="宋体"/>
          <w:b/>
          <w:bCs/>
          <w:color w:val="000000"/>
          <w:sz w:val="21"/>
          <w:szCs w:val="21"/>
          <w:lang w:val="zh-CN"/>
        </w:rPr>
      </w:pPr>
      <w:r>
        <w:rPr>
          <w:rFonts w:hint="eastAsia" w:ascii="宋体" w:hAnsi="宋体" w:eastAsia="宋体" w:cs="宋体"/>
          <w:b/>
          <w:bCs/>
          <w:lang w:val="en-US" w:eastAsia="zh-CN"/>
        </w:rPr>
        <w:t xml:space="preserve">                                                                                                     </w:t>
      </w:r>
    </w:p>
    <w:p>
      <w:pPr>
        <w:adjustRightInd w:val="0"/>
        <w:snapToGrid w:val="0"/>
        <w:spacing w:line="360" w:lineRule="auto"/>
        <w:rPr>
          <w:rFonts w:hint="eastAsia" w:ascii="宋体" w:hAnsi="宋体" w:eastAsia="宋体" w:cs="宋体"/>
          <w:bCs/>
          <w:color w:val="000000"/>
          <w:sz w:val="28"/>
          <w:szCs w:val="28"/>
        </w:rPr>
      </w:pPr>
    </w:p>
    <w:p>
      <w:pPr>
        <w:adjustRightInd w:val="0"/>
        <w:snapToGrid w:val="0"/>
        <w:spacing w:line="360" w:lineRule="auto"/>
        <w:jc w:val="center"/>
        <w:rPr>
          <w:rFonts w:hint="eastAsia" w:ascii="宋体" w:hAnsi="宋体" w:eastAsia="宋体" w:cs="宋体"/>
          <w:bCs/>
          <w:color w:val="000000"/>
          <w:sz w:val="21"/>
          <w:szCs w:val="21"/>
        </w:rPr>
      </w:pPr>
    </w:p>
    <w:p>
      <w:pPr>
        <w:adjustRightInd w:val="0"/>
        <w:snapToGrid w:val="0"/>
        <w:spacing w:line="360" w:lineRule="auto"/>
        <w:jc w:val="center"/>
        <w:rPr>
          <w:rFonts w:hint="eastAsia" w:ascii="宋体" w:hAnsi="宋体" w:eastAsia="宋体" w:cs="宋体"/>
          <w:bCs/>
          <w:color w:val="000000"/>
          <w:sz w:val="21"/>
          <w:szCs w:val="21"/>
        </w:rPr>
      </w:pPr>
    </w:p>
    <w:p>
      <w:pPr>
        <w:adjustRightInd w:val="0"/>
        <w:snapToGrid w:val="0"/>
        <w:spacing w:line="360" w:lineRule="auto"/>
        <w:jc w:val="center"/>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无固定格式，供应商自拟。</w:t>
      </w:r>
      <w:r>
        <w:rPr>
          <w:rFonts w:hint="eastAsia" w:ascii="宋体" w:hAnsi="宋体" w:eastAsia="宋体" w:cs="宋体"/>
          <w:bCs/>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法定代表人或授权代表（签字</w:t>
      </w:r>
      <w:r>
        <w:rPr>
          <w:rFonts w:hint="eastAsia" w:ascii="宋体" w:hAnsi="宋体" w:eastAsia="宋体" w:cs="宋体"/>
          <w:sz w:val="24"/>
          <w:szCs w:val="24"/>
          <w:highlight w:val="none"/>
          <w:lang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lang w:val="en-US" w:eastAsia="zh-CN"/>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bookmarkEnd w:id="90"/>
    <w:p>
      <w:pPr>
        <w:jc w:val="center"/>
        <w:rPr>
          <w:rFonts w:hint="eastAsia" w:ascii="宋体" w:hAnsi="宋体" w:eastAsia="宋体" w:cs="宋体"/>
          <w:b/>
          <w:sz w:val="32"/>
          <w:szCs w:val="32"/>
          <w:highlight w:val="none"/>
        </w:rPr>
      </w:pPr>
      <w:r>
        <w:rPr>
          <w:rFonts w:hint="eastAsia" w:ascii="宋体" w:hAnsi="宋体" w:eastAsia="宋体" w:cs="宋体"/>
          <w:b/>
          <w:color w:val="auto"/>
          <w:sz w:val="32"/>
          <w:szCs w:val="32"/>
          <w:highlight w:val="none"/>
          <w:lang w:val="en-US" w:eastAsia="zh-CN"/>
        </w:rPr>
        <w:br w:type="page"/>
      </w:r>
      <w:bookmarkStart w:id="91" w:name="_Toc75259385"/>
      <w:r>
        <w:rPr>
          <w:rFonts w:hint="eastAsia" w:ascii="宋体" w:hAnsi="宋体" w:eastAsia="宋体" w:cs="宋体"/>
          <w:b/>
          <w:sz w:val="32"/>
          <w:szCs w:val="32"/>
          <w:highlight w:val="none"/>
        </w:rPr>
        <w:t>技术</w:t>
      </w:r>
      <w:r>
        <w:rPr>
          <w:rFonts w:hint="eastAsia" w:ascii="宋体" w:hAnsi="宋体" w:eastAsia="宋体" w:cs="宋体"/>
          <w:b/>
          <w:sz w:val="32"/>
          <w:szCs w:val="32"/>
          <w:highlight w:val="none"/>
          <w:lang w:val="en-US" w:eastAsia="zh-CN"/>
        </w:rPr>
        <w:t>参数</w:t>
      </w:r>
      <w:r>
        <w:rPr>
          <w:rFonts w:hint="eastAsia" w:ascii="宋体" w:hAnsi="宋体" w:eastAsia="宋体" w:cs="宋体"/>
          <w:b/>
          <w:sz w:val="32"/>
          <w:szCs w:val="32"/>
          <w:highlight w:val="none"/>
          <w:lang w:eastAsia="zh-CN"/>
        </w:rPr>
        <w:t>响应</w:t>
      </w:r>
      <w:r>
        <w:rPr>
          <w:rFonts w:hint="eastAsia" w:ascii="宋体" w:hAnsi="宋体" w:eastAsia="宋体" w:cs="宋体"/>
          <w:b/>
          <w:sz w:val="32"/>
          <w:szCs w:val="32"/>
          <w:highlight w:val="none"/>
        </w:rPr>
        <w:t>表</w:t>
      </w:r>
    </w:p>
    <w:p>
      <w:pPr>
        <w:spacing w:line="360" w:lineRule="auto"/>
        <w:jc w:val="left"/>
        <w:outlineLvl w:val="9"/>
        <w:rPr>
          <w:rFonts w:hint="eastAsia" w:ascii="宋体" w:hAnsi="宋体" w:eastAsia="宋体" w:cs="宋体"/>
          <w:b/>
          <w:bCs/>
          <w:spacing w:val="-6"/>
          <w:sz w:val="24"/>
          <w:szCs w:val="32"/>
          <w:highlight w:val="none"/>
          <w:lang w:val="en-US" w:eastAsia="zh-CN"/>
        </w:rPr>
      </w:pPr>
    </w:p>
    <w:p>
      <w:pPr>
        <w:spacing w:line="360" w:lineRule="auto"/>
        <w:jc w:val="left"/>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项目名称及合同包号：</w:t>
      </w:r>
      <w:r>
        <w:rPr>
          <w:rFonts w:hint="eastAsia" w:ascii="宋体" w:hAnsi="宋体" w:eastAsia="宋体" w:cs="宋体"/>
          <w:color w:val="auto"/>
          <w:sz w:val="24"/>
          <w:szCs w:val="24"/>
          <w:highlight w:val="none"/>
          <w:u w:val="single"/>
          <w:lang w:val="en-US" w:eastAsia="zh-CN"/>
        </w:rPr>
        <w:t xml:space="preserve">                                           </w:t>
      </w:r>
    </w:p>
    <w:tbl>
      <w:tblPr>
        <w:tblStyle w:val="24"/>
        <w:tblW w:w="939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910"/>
        <w:gridCol w:w="2437"/>
        <w:gridCol w:w="1635"/>
        <w:gridCol w:w="1170"/>
        <w:gridCol w:w="132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923" w:type="dxa"/>
            <w:tcBorders>
              <w:top w:val="double" w:color="auto" w:sz="4" w:space="0"/>
            </w:tcBorders>
            <w:vAlign w:val="center"/>
          </w:tcPr>
          <w:p>
            <w:pPr>
              <w:spacing w:line="360" w:lineRule="auto"/>
              <w:jc w:val="center"/>
              <w:rPr>
                <w:rFonts w:hint="eastAsia" w:ascii="宋体" w:hAnsi="宋体" w:eastAsia="宋体" w:cs="宋体"/>
                <w:b/>
                <w:bCs/>
              </w:rPr>
            </w:pPr>
            <w:r>
              <w:rPr>
                <w:rFonts w:hint="eastAsia" w:ascii="宋体" w:hAnsi="宋体" w:eastAsia="宋体" w:cs="宋体"/>
                <w:b/>
                <w:bCs/>
              </w:rPr>
              <w:t>序号</w:t>
            </w:r>
          </w:p>
        </w:tc>
        <w:tc>
          <w:tcPr>
            <w:tcW w:w="1910" w:type="dxa"/>
            <w:tcBorders>
              <w:top w:val="double" w:color="auto" w:sz="4" w:space="0"/>
            </w:tcBorders>
            <w:vAlign w:val="center"/>
          </w:tcPr>
          <w:p>
            <w:pPr>
              <w:spacing w:line="360" w:lineRule="auto"/>
              <w:jc w:val="center"/>
              <w:rPr>
                <w:rFonts w:hint="eastAsia" w:ascii="宋体" w:hAnsi="宋体" w:eastAsia="宋体" w:cs="宋体"/>
                <w:b/>
                <w:bCs/>
              </w:rPr>
            </w:pPr>
            <w:r>
              <w:rPr>
                <w:rFonts w:hint="eastAsia" w:ascii="宋体" w:hAnsi="宋体" w:eastAsia="宋体" w:cs="宋体"/>
                <w:b/>
                <w:bCs/>
              </w:rPr>
              <w:t>名称</w:t>
            </w:r>
          </w:p>
        </w:tc>
        <w:tc>
          <w:tcPr>
            <w:tcW w:w="2437" w:type="dxa"/>
            <w:tcBorders>
              <w:top w:val="double" w:color="auto" w:sz="4" w:space="0"/>
            </w:tcBorders>
            <w:vAlign w:val="center"/>
          </w:tcPr>
          <w:p>
            <w:pPr>
              <w:spacing w:line="360" w:lineRule="auto"/>
              <w:jc w:val="center"/>
              <w:rPr>
                <w:rFonts w:hint="eastAsia" w:ascii="宋体" w:hAnsi="宋体" w:eastAsia="宋体" w:cs="宋体"/>
                <w:b/>
                <w:bCs/>
              </w:rPr>
            </w:pPr>
            <w:r>
              <w:rPr>
                <w:rFonts w:hint="eastAsia" w:ascii="宋体" w:hAnsi="宋体" w:eastAsia="宋体" w:cs="宋体"/>
                <w:b/>
                <w:bCs/>
              </w:rPr>
              <w:t>招标文件要求</w:t>
            </w:r>
          </w:p>
        </w:tc>
        <w:tc>
          <w:tcPr>
            <w:tcW w:w="1635" w:type="dxa"/>
            <w:tcBorders>
              <w:top w:val="double" w:color="auto" w:sz="4" w:space="0"/>
            </w:tcBorders>
            <w:vAlign w:val="center"/>
          </w:tcPr>
          <w:p>
            <w:pPr>
              <w:spacing w:line="360" w:lineRule="auto"/>
              <w:jc w:val="center"/>
              <w:rPr>
                <w:rFonts w:hint="eastAsia" w:ascii="宋体" w:hAnsi="宋体" w:eastAsia="宋体" w:cs="宋体"/>
                <w:b/>
                <w:bCs/>
              </w:rPr>
            </w:pPr>
            <w:r>
              <w:rPr>
                <w:rFonts w:hint="eastAsia" w:ascii="宋体" w:hAnsi="宋体" w:eastAsia="宋体" w:cs="宋体"/>
                <w:b/>
                <w:bCs/>
              </w:rPr>
              <w:t>投标响应情况</w:t>
            </w:r>
          </w:p>
        </w:tc>
        <w:tc>
          <w:tcPr>
            <w:tcW w:w="1170" w:type="dxa"/>
            <w:tcBorders>
              <w:top w:val="double" w:color="auto" w:sz="4" w:space="0"/>
            </w:tcBorders>
            <w:vAlign w:val="center"/>
          </w:tcPr>
          <w:p>
            <w:pPr>
              <w:spacing w:line="360" w:lineRule="auto"/>
              <w:jc w:val="center"/>
              <w:rPr>
                <w:rFonts w:hint="eastAsia" w:ascii="宋体" w:hAnsi="宋体" w:eastAsia="宋体" w:cs="宋体"/>
                <w:b/>
                <w:bCs/>
              </w:rPr>
            </w:pPr>
            <w:r>
              <w:rPr>
                <w:rFonts w:hint="eastAsia" w:ascii="宋体" w:hAnsi="宋体" w:eastAsia="宋体" w:cs="宋体"/>
                <w:b/>
                <w:bCs/>
              </w:rPr>
              <w:t>偏离</w:t>
            </w:r>
          </w:p>
        </w:tc>
        <w:tc>
          <w:tcPr>
            <w:tcW w:w="1323" w:type="dxa"/>
            <w:tcBorders>
              <w:top w:val="double" w:color="auto" w:sz="4" w:space="0"/>
            </w:tcBorders>
            <w:vAlign w:val="center"/>
          </w:tcPr>
          <w:p>
            <w:pPr>
              <w:spacing w:line="360" w:lineRule="auto"/>
              <w:jc w:val="center"/>
              <w:rPr>
                <w:rFonts w:hint="eastAsia" w:ascii="宋体" w:hAnsi="宋体" w:eastAsia="宋体" w:cs="宋体"/>
                <w:b/>
                <w:bCs/>
              </w:rPr>
            </w:pPr>
            <w:r>
              <w:rPr>
                <w:rFonts w:hint="eastAsia" w:ascii="宋体" w:hAnsi="宋体" w:eastAsia="宋体" w:cs="宋体"/>
                <w:b/>
                <w:bCs/>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23" w:type="dxa"/>
            <w:tcBorders>
              <w:top w:val="double" w:color="auto" w:sz="4" w:space="0"/>
            </w:tcBorders>
            <w:vAlign w:val="center"/>
          </w:tcPr>
          <w:p>
            <w:pPr>
              <w:spacing w:line="360" w:lineRule="auto"/>
              <w:jc w:val="center"/>
              <w:rPr>
                <w:rFonts w:hint="eastAsia" w:ascii="宋体" w:hAnsi="宋体" w:eastAsia="宋体" w:cs="宋体"/>
                <w:b/>
                <w:bCs/>
              </w:rPr>
            </w:pPr>
            <w:r>
              <w:rPr>
                <w:rFonts w:hint="eastAsia" w:ascii="宋体" w:hAnsi="宋体" w:eastAsia="宋体" w:cs="宋体"/>
                <w:lang w:val="en-US" w:eastAsia="zh-CN"/>
              </w:rPr>
              <w:t>1</w:t>
            </w:r>
          </w:p>
        </w:tc>
        <w:tc>
          <w:tcPr>
            <w:tcW w:w="1910" w:type="dxa"/>
            <w:tcBorders>
              <w:top w:val="double" w:color="auto" w:sz="4" w:space="0"/>
            </w:tcBorders>
            <w:vAlign w:val="center"/>
          </w:tcPr>
          <w:p>
            <w:pPr>
              <w:spacing w:line="360" w:lineRule="auto"/>
              <w:jc w:val="center"/>
              <w:rPr>
                <w:rFonts w:hint="eastAsia" w:ascii="宋体" w:hAnsi="宋体" w:eastAsia="宋体" w:cs="宋体"/>
                <w:b/>
                <w:bCs/>
              </w:rPr>
            </w:pPr>
          </w:p>
        </w:tc>
        <w:tc>
          <w:tcPr>
            <w:tcW w:w="2437" w:type="dxa"/>
            <w:tcBorders>
              <w:top w:val="double" w:color="auto" w:sz="4" w:space="0"/>
            </w:tcBorders>
            <w:vAlign w:val="center"/>
          </w:tcPr>
          <w:p>
            <w:pPr>
              <w:spacing w:line="360" w:lineRule="auto"/>
              <w:jc w:val="center"/>
              <w:rPr>
                <w:rFonts w:hint="eastAsia" w:ascii="宋体" w:hAnsi="宋体" w:eastAsia="宋体" w:cs="宋体"/>
                <w:b/>
                <w:bCs/>
              </w:rPr>
            </w:pPr>
          </w:p>
        </w:tc>
        <w:tc>
          <w:tcPr>
            <w:tcW w:w="1635" w:type="dxa"/>
            <w:tcBorders>
              <w:top w:val="double" w:color="auto" w:sz="4" w:space="0"/>
            </w:tcBorders>
            <w:vAlign w:val="center"/>
          </w:tcPr>
          <w:p>
            <w:pPr>
              <w:spacing w:line="360" w:lineRule="auto"/>
              <w:jc w:val="center"/>
              <w:rPr>
                <w:rFonts w:hint="eastAsia" w:ascii="宋体" w:hAnsi="宋体" w:eastAsia="宋体" w:cs="宋体"/>
                <w:b/>
                <w:bCs/>
              </w:rPr>
            </w:pPr>
          </w:p>
        </w:tc>
        <w:tc>
          <w:tcPr>
            <w:tcW w:w="1170" w:type="dxa"/>
            <w:tcBorders>
              <w:top w:val="double" w:color="auto" w:sz="4" w:space="0"/>
            </w:tcBorders>
            <w:vAlign w:val="center"/>
          </w:tcPr>
          <w:p>
            <w:pPr>
              <w:spacing w:line="360" w:lineRule="auto"/>
              <w:jc w:val="center"/>
              <w:rPr>
                <w:rFonts w:hint="eastAsia" w:ascii="宋体" w:hAnsi="宋体" w:eastAsia="宋体" w:cs="宋体"/>
                <w:b/>
                <w:bCs/>
              </w:rPr>
            </w:pPr>
          </w:p>
        </w:tc>
        <w:tc>
          <w:tcPr>
            <w:tcW w:w="1323" w:type="dxa"/>
            <w:tcBorders>
              <w:top w:val="double" w:color="auto" w:sz="4" w:space="0"/>
            </w:tcBorders>
            <w:vAlign w:val="center"/>
          </w:tcPr>
          <w:p>
            <w:pPr>
              <w:spacing w:line="360" w:lineRule="auto"/>
              <w:jc w:val="center"/>
              <w:rPr>
                <w:rFonts w:hint="eastAsia" w:ascii="宋体" w:hAnsi="宋体" w:eastAsia="宋体" w:cs="宋体"/>
                <w:b/>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923" w:type="dxa"/>
            <w:tcBorders>
              <w:top w:val="double" w:color="auto" w:sz="4" w:space="0"/>
            </w:tcBorders>
            <w:vAlign w:val="center"/>
          </w:tcPr>
          <w:p>
            <w:pPr>
              <w:spacing w:line="360" w:lineRule="auto"/>
              <w:jc w:val="center"/>
              <w:rPr>
                <w:rFonts w:hint="eastAsia" w:ascii="宋体" w:hAnsi="宋体" w:eastAsia="宋体" w:cs="宋体"/>
                <w:b/>
                <w:bCs/>
              </w:rPr>
            </w:pPr>
            <w:r>
              <w:rPr>
                <w:rFonts w:hint="eastAsia" w:ascii="宋体" w:hAnsi="宋体" w:eastAsia="宋体" w:cs="宋体"/>
                <w:lang w:val="en-US" w:eastAsia="zh-CN"/>
              </w:rPr>
              <w:t>2</w:t>
            </w:r>
          </w:p>
        </w:tc>
        <w:tc>
          <w:tcPr>
            <w:tcW w:w="1910" w:type="dxa"/>
            <w:tcBorders>
              <w:top w:val="double" w:color="auto" w:sz="4" w:space="0"/>
            </w:tcBorders>
            <w:vAlign w:val="center"/>
          </w:tcPr>
          <w:p>
            <w:pPr>
              <w:spacing w:line="360" w:lineRule="auto"/>
              <w:jc w:val="center"/>
              <w:rPr>
                <w:rFonts w:hint="eastAsia" w:ascii="宋体" w:hAnsi="宋体" w:eastAsia="宋体" w:cs="宋体"/>
              </w:rPr>
            </w:pPr>
          </w:p>
        </w:tc>
        <w:tc>
          <w:tcPr>
            <w:tcW w:w="2437" w:type="dxa"/>
            <w:tcBorders>
              <w:top w:val="double" w:color="auto" w:sz="4" w:space="0"/>
            </w:tcBorders>
            <w:vAlign w:val="center"/>
          </w:tcPr>
          <w:p>
            <w:pPr>
              <w:spacing w:line="360" w:lineRule="auto"/>
              <w:jc w:val="center"/>
              <w:rPr>
                <w:rFonts w:hint="eastAsia" w:ascii="宋体" w:hAnsi="宋体" w:eastAsia="宋体" w:cs="宋体"/>
                <w:b/>
                <w:bCs/>
              </w:rPr>
            </w:pPr>
          </w:p>
        </w:tc>
        <w:tc>
          <w:tcPr>
            <w:tcW w:w="1635" w:type="dxa"/>
            <w:tcBorders>
              <w:top w:val="double" w:color="auto" w:sz="4" w:space="0"/>
            </w:tcBorders>
            <w:vAlign w:val="center"/>
          </w:tcPr>
          <w:p>
            <w:pPr>
              <w:spacing w:line="360" w:lineRule="auto"/>
              <w:jc w:val="center"/>
              <w:rPr>
                <w:rFonts w:hint="eastAsia" w:ascii="宋体" w:hAnsi="宋体" w:eastAsia="宋体" w:cs="宋体"/>
                <w:b/>
                <w:bCs/>
              </w:rPr>
            </w:pPr>
          </w:p>
        </w:tc>
        <w:tc>
          <w:tcPr>
            <w:tcW w:w="1170" w:type="dxa"/>
            <w:tcBorders>
              <w:top w:val="double" w:color="auto" w:sz="4" w:space="0"/>
            </w:tcBorders>
            <w:vAlign w:val="center"/>
          </w:tcPr>
          <w:p>
            <w:pPr>
              <w:spacing w:line="360" w:lineRule="auto"/>
              <w:jc w:val="center"/>
              <w:rPr>
                <w:rFonts w:hint="eastAsia" w:ascii="宋体" w:hAnsi="宋体" w:eastAsia="宋体" w:cs="宋体"/>
                <w:b/>
                <w:bCs/>
              </w:rPr>
            </w:pPr>
          </w:p>
        </w:tc>
        <w:tc>
          <w:tcPr>
            <w:tcW w:w="1323" w:type="dxa"/>
            <w:tcBorders>
              <w:top w:val="double" w:color="auto" w:sz="4" w:space="0"/>
            </w:tcBorders>
            <w:vAlign w:val="center"/>
          </w:tcPr>
          <w:p>
            <w:pPr>
              <w:spacing w:line="360" w:lineRule="auto"/>
              <w:jc w:val="center"/>
              <w:rPr>
                <w:rFonts w:hint="eastAsia" w:ascii="宋体" w:hAnsi="宋体" w:eastAsia="宋体" w:cs="宋体"/>
                <w:b/>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923" w:type="dxa"/>
            <w:tcBorders>
              <w:top w:val="double" w:color="auto" w:sz="4" w:space="0"/>
              <w:bottom w:val="double" w:color="auto" w:sz="4" w:space="0"/>
            </w:tcBorders>
            <w:vAlign w:val="center"/>
          </w:tcPr>
          <w:p>
            <w:pPr>
              <w:spacing w:line="360" w:lineRule="auto"/>
              <w:jc w:val="center"/>
              <w:rPr>
                <w:rFonts w:hint="eastAsia" w:ascii="宋体" w:hAnsi="宋体" w:eastAsia="宋体" w:cs="宋体"/>
                <w:b/>
                <w:bCs/>
              </w:rPr>
            </w:pPr>
            <w:r>
              <w:rPr>
                <w:rFonts w:hint="eastAsia" w:ascii="宋体" w:hAnsi="宋体" w:eastAsia="宋体" w:cs="宋体"/>
                <w:lang w:val="en-US" w:eastAsia="zh-CN"/>
              </w:rPr>
              <w:t>3</w:t>
            </w:r>
          </w:p>
        </w:tc>
        <w:tc>
          <w:tcPr>
            <w:tcW w:w="1910" w:type="dxa"/>
            <w:tcBorders>
              <w:top w:val="double" w:color="auto" w:sz="4" w:space="0"/>
              <w:bottom w:val="double" w:color="auto" w:sz="4" w:space="0"/>
            </w:tcBorders>
            <w:vAlign w:val="center"/>
          </w:tcPr>
          <w:p>
            <w:pPr>
              <w:spacing w:line="360" w:lineRule="auto"/>
              <w:jc w:val="center"/>
              <w:rPr>
                <w:rFonts w:hint="eastAsia" w:ascii="宋体" w:hAnsi="宋体" w:eastAsia="宋体" w:cs="宋体"/>
              </w:rPr>
            </w:pPr>
          </w:p>
        </w:tc>
        <w:tc>
          <w:tcPr>
            <w:tcW w:w="2437" w:type="dxa"/>
            <w:tcBorders>
              <w:top w:val="double" w:color="auto" w:sz="4" w:space="0"/>
              <w:bottom w:val="double" w:color="auto" w:sz="4" w:space="0"/>
            </w:tcBorders>
            <w:vAlign w:val="center"/>
          </w:tcPr>
          <w:p>
            <w:pPr>
              <w:spacing w:line="360" w:lineRule="auto"/>
              <w:jc w:val="center"/>
              <w:rPr>
                <w:rFonts w:hint="eastAsia" w:ascii="宋体" w:hAnsi="宋体" w:eastAsia="宋体" w:cs="宋体"/>
                <w:b/>
                <w:bCs/>
              </w:rPr>
            </w:pPr>
          </w:p>
        </w:tc>
        <w:tc>
          <w:tcPr>
            <w:tcW w:w="1635" w:type="dxa"/>
            <w:tcBorders>
              <w:top w:val="double" w:color="auto" w:sz="4" w:space="0"/>
              <w:bottom w:val="double" w:color="auto" w:sz="4" w:space="0"/>
            </w:tcBorders>
            <w:vAlign w:val="center"/>
          </w:tcPr>
          <w:p>
            <w:pPr>
              <w:spacing w:line="360" w:lineRule="auto"/>
              <w:jc w:val="center"/>
              <w:rPr>
                <w:rFonts w:hint="eastAsia" w:ascii="宋体" w:hAnsi="宋体" w:eastAsia="宋体" w:cs="宋体"/>
                <w:b/>
                <w:bCs/>
              </w:rPr>
            </w:pPr>
          </w:p>
        </w:tc>
        <w:tc>
          <w:tcPr>
            <w:tcW w:w="1170" w:type="dxa"/>
            <w:tcBorders>
              <w:top w:val="double" w:color="auto" w:sz="4" w:space="0"/>
              <w:bottom w:val="double" w:color="auto" w:sz="4" w:space="0"/>
            </w:tcBorders>
            <w:vAlign w:val="center"/>
          </w:tcPr>
          <w:p>
            <w:pPr>
              <w:spacing w:line="360" w:lineRule="auto"/>
              <w:jc w:val="center"/>
              <w:rPr>
                <w:rFonts w:hint="eastAsia" w:ascii="宋体" w:hAnsi="宋体" w:eastAsia="宋体" w:cs="宋体"/>
                <w:b/>
                <w:bCs/>
              </w:rPr>
            </w:pPr>
          </w:p>
        </w:tc>
        <w:tc>
          <w:tcPr>
            <w:tcW w:w="1323" w:type="dxa"/>
            <w:tcBorders>
              <w:top w:val="double" w:color="auto" w:sz="4" w:space="0"/>
              <w:bottom w:val="double" w:color="auto" w:sz="4" w:space="0"/>
            </w:tcBorders>
            <w:vAlign w:val="center"/>
          </w:tcPr>
          <w:p>
            <w:pPr>
              <w:spacing w:line="360" w:lineRule="auto"/>
              <w:jc w:val="center"/>
              <w:rPr>
                <w:rFonts w:hint="eastAsia" w:ascii="宋体" w:hAnsi="宋体" w:eastAsia="宋体" w:cs="宋体"/>
                <w:b/>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923" w:type="dxa"/>
            <w:tcBorders>
              <w:top w:val="double" w:color="auto" w:sz="4" w:space="0"/>
              <w:bottom w:val="double" w:color="auto" w:sz="4" w:space="0"/>
            </w:tcBorders>
            <w:vAlign w:val="center"/>
          </w:tcPr>
          <w:p>
            <w:pPr>
              <w:spacing w:line="360" w:lineRule="auto"/>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w:t>
            </w:r>
          </w:p>
        </w:tc>
        <w:tc>
          <w:tcPr>
            <w:tcW w:w="1910" w:type="dxa"/>
            <w:tcBorders>
              <w:top w:val="double" w:color="auto" w:sz="4" w:space="0"/>
              <w:bottom w:val="double" w:color="auto" w:sz="4" w:space="0"/>
            </w:tcBorders>
            <w:vAlign w:val="center"/>
          </w:tcPr>
          <w:p>
            <w:pPr>
              <w:spacing w:line="360" w:lineRule="auto"/>
              <w:jc w:val="center"/>
              <w:rPr>
                <w:rFonts w:hint="eastAsia" w:ascii="宋体" w:hAnsi="宋体" w:eastAsia="宋体" w:cs="宋体"/>
                <w:b w:val="0"/>
                <w:bCs w:val="0"/>
                <w:lang w:val="en-US" w:eastAsia="zh-CN"/>
              </w:rPr>
            </w:pPr>
          </w:p>
        </w:tc>
        <w:tc>
          <w:tcPr>
            <w:tcW w:w="2437" w:type="dxa"/>
            <w:tcBorders>
              <w:top w:val="double" w:color="auto" w:sz="4" w:space="0"/>
              <w:bottom w:val="double" w:color="auto" w:sz="4" w:space="0"/>
            </w:tcBorders>
            <w:vAlign w:val="center"/>
          </w:tcPr>
          <w:p>
            <w:pPr>
              <w:spacing w:line="360" w:lineRule="auto"/>
              <w:jc w:val="center"/>
              <w:rPr>
                <w:rFonts w:hint="eastAsia" w:ascii="宋体" w:hAnsi="宋体" w:eastAsia="宋体" w:cs="宋体"/>
                <w:b/>
                <w:bCs/>
              </w:rPr>
            </w:pPr>
          </w:p>
        </w:tc>
        <w:tc>
          <w:tcPr>
            <w:tcW w:w="1635" w:type="dxa"/>
            <w:tcBorders>
              <w:top w:val="double" w:color="auto" w:sz="4" w:space="0"/>
              <w:bottom w:val="double" w:color="auto" w:sz="4" w:space="0"/>
            </w:tcBorders>
            <w:vAlign w:val="center"/>
          </w:tcPr>
          <w:p>
            <w:pPr>
              <w:spacing w:line="360" w:lineRule="auto"/>
              <w:jc w:val="center"/>
              <w:rPr>
                <w:rFonts w:hint="eastAsia" w:ascii="宋体" w:hAnsi="宋体" w:eastAsia="宋体" w:cs="宋体"/>
                <w:b/>
                <w:bCs/>
              </w:rPr>
            </w:pPr>
          </w:p>
        </w:tc>
        <w:tc>
          <w:tcPr>
            <w:tcW w:w="1170" w:type="dxa"/>
            <w:tcBorders>
              <w:top w:val="double" w:color="auto" w:sz="4" w:space="0"/>
              <w:bottom w:val="double" w:color="auto" w:sz="4" w:space="0"/>
            </w:tcBorders>
            <w:vAlign w:val="center"/>
          </w:tcPr>
          <w:p>
            <w:pPr>
              <w:spacing w:line="360" w:lineRule="auto"/>
              <w:jc w:val="center"/>
              <w:rPr>
                <w:rFonts w:hint="eastAsia" w:ascii="宋体" w:hAnsi="宋体" w:eastAsia="宋体" w:cs="宋体"/>
                <w:b/>
                <w:bCs/>
              </w:rPr>
            </w:pPr>
          </w:p>
        </w:tc>
        <w:tc>
          <w:tcPr>
            <w:tcW w:w="1323" w:type="dxa"/>
            <w:tcBorders>
              <w:top w:val="double" w:color="auto" w:sz="4" w:space="0"/>
              <w:bottom w:val="double" w:color="auto" w:sz="4" w:space="0"/>
            </w:tcBorders>
            <w:vAlign w:val="center"/>
          </w:tcPr>
          <w:p>
            <w:pPr>
              <w:spacing w:line="360" w:lineRule="auto"/>
              <w:jc w:val="center"/>
              <w:rPr>
                <w:rFonts w:hint="eastAsia" w:ascii="宋体" w:hAnsi="宋体" w:eastAsia="宋体" w:cs="宋体"/>
                <w:b/>
                <w:bCs/>
              </w:rPr>
            </w:pPr>
          </w:p>
        </w:tc>
      </w:tr>
    </w:tbl>
    <w:p>
      <w:pPr>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sz w:val="24"/>
          <w:szCs w:val="24"/>
        </w:rPr>
        <w:t>注：1、投标人可根据招标文件第四部分</w:t>
      </w:r>
      <w:r>
        <w:rPr>
          <w:rFonts w:hint="eastAsia" w:ascii="宋体" w:hAnsi="宋体" w:eastAsia="宋体" w:cs="宋体"/>
          <w:sz w:val="24"/>
          <w:szCs w:val="24"/>
          <w:lang w:val="en-US" w:eastAsia="zh-CN"/>
        </w:rPr>
        <w:t xml:space="preserve"> 采购需求</w:t>
      </w:r>
      <w:r>
        <w:rPr>
          <w:rFonts w:hint="eastAsia" w:ascii="宋体" w:hAnsi="宋体" w:eastAsia="宋体" w:cs="宋体"/>
          <w:sz w:val="24"/>
          <w:szCs w:val="24"/>
        </w:rPr>
        <w:t>，对所投产品技术参数</w:t>
      </w:r>
      <w:r>
        <w:rPr>
          <w:rFonts w:hint="eastAsia" w:ascii="宋体" w:hAnsi="宋体" w:eastAsia="宋体" w:cs="宋体"/>
          <w:sz w:val="24"/>
          <w:szCs w:val="24"/>
          <w:lang w:eastAsia="zh-CN"/>
        </w:rPr>
        <w:t>如实</w:t>
      </w:r>
      <w:r>
        <w:rPr>
          <w:rFonts w:hint="eastAsia" w:ascii="宋体" w:hAnsi="宋体" w:eastAsia="宋体" w:cs="宋体"/>
          <w:sz w:val="24"/>
          <w:szCs w:val="24"/>
        </w:rPr>
        <w:t>做出</w:t>
      </w:r>
      <w:r>
        <w:rPr>
          <w:rFonts w:hint="eastAsia" w:ascii="宋体" w:hAnsi="宋体" w:eastAsia="宋体" w:cs="宋体"/>
          <w:sz w:val="24"/>
          <w:szCs w:val="24"/>
          <w:lang w:eastAsia="zh-CN"/>
        </w:rPr>
        <w:t>偏离说明（</w:t>
      </w:r>
      <w:r>
        <w:rPr>
          <w:rFonts w:hint="eastAsia" w:ascii="宋体" w:hAnsi="宋体" w:eastAsia="宋体" w:cs="宋体"/>
          <w:sz w:val="24"/>
          <w:szCs w:val="24"/>
          <w:lang w:val="en-US" w:eastAsia="zh-CN"/>
        </w:rPr>
        <w:t>负偏离、</w:t>
      </w:r>
      <w:r>
        <w:rPr>
          <w:rFonts w:hint="eastAsia" w:ascii="宋体" w:hAnsi="宋体" w:eastAsia="宋体" w:cs="宋体"/>
          <w:sz w:val="24"/>
          <w:szCs w:val="24"/>
          <w:lang w:eastAsia="zh-CN"/>
        </w:rPr>
        <w:t>无偏离、正偏离），表格不够，可自行添加；</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出现负偏离、正偏离说明原因；</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出现偏离会影响评审分值，但不得影响采购人正常使用。</w:t>
      </w:r>
    </w:p>
    <w:p>
      <w:pPr>
        <w:spacing w:line="360" w:lineRule="auto"/>
        <w:outlineLvl w:val="9"/>
        <w:rPr>
          <w:rFonts w:hint="eastAsia" w:ascii="宋体" w:hAnsi="宋体" w:eastAsia="宋体" w:cs="宋体"/>
          <w:highlight w:val="none"/>
        </w:rPr>
      </w:pPr>
    </w:p>
    <w:p>
      <w:pPr>
        <w:spacing w:line="360" w:lineRule="auto"/>
        <w:outlineLvl w:val="9"/>
        <w:rPr>
          <w:rFonts w:hint="eastAsia" w:ascii="宋体" w:hAnsi="宋体" w:eastAsia="宋体" w:cs="宋体"/>
          <w:highlight w:val="none"/>
        </w:rPr>
      </w:pPr>
    </w:p>
    <w:p>
      <w:pPr>
        <w:spacing w:line="360" w:lineRule="auto"/>
        <w:outlineLvl w:val="9"/>
        <w:rPr>
          <w:rFonts w:hint="eastAsia" w:ascii="宋体" w:hAnsi="宋体" w:eastAsia="宋体" w:cs="宋体"/>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法定代表人或授权代表（签字</w:t>
      </w:r>
      <w:r>
        <w:rPr>
          <w:rFonts w:hint="eastAsia" w:ascii="宋体" w:hAnsi="宋体" w:eastAsia="宋体" w:cs="宋体"/>
          <w:sz w:val="24"/>
          <w:szCs w:val="24"/>
          <w:highlight w:val="none"/>
          <w:lang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pPr>
        <w:widowControl/>
        <w:spacing w:line="360" w:lineRule="auto"/>
        <w:jc w:val="cente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widowControl/>
        <w:spacing w:line="360" w:lineRule="auto"/>
        <w:jc w:val="center"/>
        <w:outlineLvl w:val="9"/>
        <w:rPr>
          <w:rFonts w:hint="eastAsia" w:ascii="宋体" w:hAnsi="宋体" w:eastAsia="宋体" w:cs="宋体"/>
          <w:sz w:val="24"/>
          <w:szCs w:val="24"/>
          <w:highlight w:val="none"/>
          <w:u w:val="single"/>
        </w:rPr>
      </w:pPr>
    </w:p>
    <w:p>
      <w:pPr>
        <w:widowControl/>
        <w:spacing w:line="360" w:lineRule="auto"/>
        <w:jc w:val="center"/>
        <w:outlineLvl w:val="9"/>
        <w:rPr>
          <w:rFonts w:hint="eastAsia" w:ascii="宋体" w:hAnsi="宋体" w:eastAsia="宋体" w:cs="宋体"/>
          <w:sz w:val="24"/>
          <w:szCs w:val="24"/>
          <w:highlight w:val="none"/>
          <w:u w:val="single"/>
        </w:rPr>
      </w:pPr>
    </w:p>
    <w:p>
      <w:pPr>
        <w:widowControl/>
        <w:spacing w:line="360" w:lineRule="auto"/>
        <w:jc w:val="center"/>
        <w:outlineLvl w:val="9"/>
        <w:rPr>
          <w:rFonts w:hint="eastAsia" w:ascii="宋体" w:hAnsi="宋体" w:eastAsia="宋体" w:cs="宋体"/>
          <w:sz w:val="24"/>
          <w:szCs w:val="24"/>
          <w:highlight w:val="none"/>
          <w:u w:val="single"/>
        </w:rPr>
      </w:pPr>
    </w:p>
    <w:p>
      <w:pPr>
        <w:widowControl/>
        <w:spacing w:line="360" w:lineRule="auto"/>
        <w:jc w:val="center"/>
        <w:outlineLvl w:val="9"/>
        <w:rPr>
          <w:rFonts w:hint="eastAsia" w:ascii="宋体" w:hAnsi="宋体" w:eastAsia="宋体" w:cs="宋体"/>
          <w:sz w:val="24"/>
          <w:szCs w:val="24"/>
          <w:highlight w:val="none"/>
          <w:u w:val="single"/>
        </w:rPr>
      </w:pPr>
    </w:p>
    <w:p>
      <w:pPr>
        <w:widowControl/>
        <w:spacing w:line="360" w:lineRule="auto"/>
        <w:jc w:val="both"/>
        <w:outlineLvl w:val="9"/>
        <w:rPr>
          <w:rFonts w:hint="eastAsia" w:ascii="宋体" w:hAnsi="宋体" w:eastAsia="宋体" w:cs="宋体"/>
          <w:sz w:val="24"/>
          <w:szCs w:val="24"/>
          <w:highlight w:val="none"/>
          <w:u w:val="single"/>
        </w:rPr>
      </w:pPr>
    </w:p>
    <w:p>
      <w:pPr>
        <w:widowControl/>
        <w:spacing w:line="360" w:lineRule="auto"/>
        <w:jc w:val="center"/>
        <w:outlineLvl w:val="9"/>
        <w:rPr>
          <w:rFonts w:hint="eastAsia" w:ascii="宋体" w:hAnsi="宋体" w:eastAsia="宋体" w:cs="宋体"/>
          <w:b/>
          <w:sz w:val="30"/>
          <w:szCs w:val="30"/>
          <w:highlight w:val="none"/>
        </w:rPr>
      </w:pPr>
      <w:r>
        <w:rPr>
          <w:rFonts w:hint="eastAsia" w:ascii="宋体" w:hAnsi="宋体" w:eastAsia="宋体" w:cs="宋体"/>
          <w:b/>
          <w:sz w:val="32"/>
          <w:szCs w:val="24"/>
          <w:highlight w:val="none"/>
        </w:rPr>
        <w:t>三、</w:t>
      </w:r>
      <w:bookmarkStart w:id="92" w:name="_Hlk63340562"/>
      <w:r>
        <w:rPr>
          <w:rFonts w:hint="eastAsia" w:ascii="宋体" w:hAnsi="宋体" w:eastAsia="宋体" w:cs="宋体"/>
          <w:b/>
          <w:sz w:val="32"/>
          <w:szCs w:val="24"/>
          <w:highlight w:val="none"/>
        </w:rPr>
        <w:t>法定代表人（自然人）身份证明</w:t>
      </w:r>
      <w:bookmarkEnd w:id="91"/>
    </w:p>
    <w:bookmarkEnd w:id="92"/>
    <w:p>
      <w:pPr>
        <w:autoSpaceDE w:val="0"/>
        <w:autoSpaceDN w:val="0"/>
        <w:adjustRightInd w:val="0"/>
        <w:spacing w:line="360" w:lineRule="auto"/>
        <w:jc w:val="right"/>
        <w:outlineLvl w:val="9"/>
        <w:rPr>
          <w:rFonts w:hint="eastAsia" w:ascii="宋体" w:hAnsi="宋体" w:eastAsia="宋体" w:cs="宋体"/>
          <w:szCs w:val="21"/>
          <w:highlight w:val="none"/>
          <w:lang w:val="zh-CN"/>
        </w:rPr>
      </w:pPr>
    </w:p>
    <w:p>
      <w:pPr>
        <w:autoSpaceDE w:val="0"/>
        <w:autoSpaceDN w:val="0"/>
        <w:adjustRightInd w:val="0"/>
        <w:spacing w:line="600" w:lineRule="auto"/>
        <w:ind w:right="105"/>
        <w:jc w:val="left"/>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投标人名称：</w:t>
      </w:r>
      <w:r>
        <w:rPr>
          <w:rFonts w:hint="eastAsia" w:ascii="宋体" w:hAnsi="宋体" w:eastAsia="宋体" w:cs="宋体"/>
          <w:sz w:val="24"/>
          <w:szCs w:val="24"/>
          <w:highlight w:val="none"/>
          <w:u w:val="single"/>
          <w:lang w:val="zh-CN"/>
        </w:rPr>
        <w:t xml:space="preserve">                                    </w:t>
      </w:r>
    </w:p>
    <w:p>
      <w:pPr>
        <w:autoSpaceDE w:val="0"/>
        <w:autoSpaceDN w:val="0"/>
        <w:adjustRightInd w:val="0"/>
        <w:spacing w:line="600" w:lineRule="auto"/>
        <w:ind w:right="105"/>
        <w:jc w:val="left"/>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姓名：</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性别：</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年龄：</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职务：</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系</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（投标人名称）的法定代表人。</w:t>
      </w:r>
    </w:p>
    <w:p>
      <w:pPr>
        <w:autoSpaceDE w:val="0"/>
        <w:autoSpaceDN w:val="0"/>
        <w:adjustRightInd w:val="0"/>
        <w:spacing w:line="600" w:lineRule="auto"/>
        <w:ind w:right="105" w:firstLine="480" w:firstLineChars="200"/>
        <w:jc w:val="left"/>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特此证明。</w:t>
      </w:r>
    </w:p>
    <w:p>
      <w:pPr>
        <w:autoSpaceDE w:val="0"/>
        <w:autoSpaceDN w:val="0"/>
        <w:adjustRightInd w:val="0"/>
        <w:spacing w:line="360" w:lineRule="auto"/>
        <w:ind w:right="105"/>
        <w:jc w:val="left"/>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附：法定代表人身份证复印件。</w:t>
      </w:r>
    </w:p>
    <w:tbl>
      <w:tblPr>
        <w:tblStyle w:val="25"/>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0"/>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8" w:hRule="atLeast"/>
        </w:trPr>
        <w:tc>
          <w:tcPr>
            <w:tcW w:w="4550" w:type="dxa"/>
          </w:tcPr>
          <w:p>
            <w:pPr>
              <w:autoSpaceDE w:val="0"/>
              <w:autoSpaceDN w:val="0"/>
              <w:adjustRightInd w:val="0"/>
              <w:spacing w:line="360" w:lineRule="auto"/>
              <w:ind w:right="105"/>
              <w:jc w:val="left"/>
              <w:outlineLvl w:val="9"/>
              <w:rPr>
                <w:rFonts w:hint="eastAsia" w:ascii="宋体" w:hAnsi="宋体" w:eastAsia="宋体" w:cs="宋体"/>
                <w:sz w:val="24"/>
                <w:szCs w:val="24"/>
                <w:highlight w:val="none"/>
                <w:vertAlign w:val="baseline"/>
                <w:lang w:val="zh-CN"/>
              </w:rPr>
            </w:pPr>
          </w:p>
        </w:tc>
        <w:tc>
          <w:tcPr>
            <w:tcW w:w="4550" w:type="dxa"/>
          </w:tcPr>
          <w:p>
            <w:pPr>
              <w:autoSpaceDE w:val="0"/>
              <w:autoSpaceDN w:val="0"/>
              <w:adjustRightInd w:val="0"/>
              <w:spacing w:line="360" w:lineRule="auto"/>
              <w:ind w:right="105"/>
              <w:jc w:val="left"/>
              <w:outlineLvl w:val="9"/>
              <w:rPr>
                <w:rFonts w:hint="eastAsia" w:ascii="宋体" w:hAnsi="宋体" w:eastAsia="宋体" w:cs="宋体"/>
                <w:sz w:val="24"/>
                <w:szCs w:val="24"/>
                <w:highlight w:val="none"/>
                <w:vertAlign w:val="baseline"/>
                <w:lang w:val="zh-CN"/>
              </w:rPr>
            </w:pPr>
          </w:p>
        </w:tc>
      </w:tr>
    </w:tbl>
    <w:p>
      <w:pPr>
        <w:autoSpaceDE w:val="0"/>
        <w:autoSpaceDN w:val="0"/>
        <w:adjustRightInd w:val="0"/>
        <w:spacing w:line="360" w:lineRule="auto"/>
        <w:ind w:right="105"/>
        <w:jc w:val="left"/>
        <w:outlineLvl w:val="9"/>
        <w:rPr>
          <w:rFonts w:hint="eastAsia" w:ascii="宋体" w:hAnsi="宋体" w:eastAsia="宋体" w:cs="宋体"/>
          <w:sz w:val="24"/>
          <w:szCs w:val="24"/>
          <w:highlight w:val="none"/>
          <w:lang w:val="zh-CN"/>
        </w:rPr>
      </w:pPr>
    </w:p>
    <w:p>
      <w:pPr>
        <w:autoSpaceDE w:val="0"/>
        <w:autoSpaceDN w:val="0"/>
        <w:adjustRightInd w:val="0"/>
        <w:spacing w:line="360" w:lineRule="auto"/>
        <w:ind w:right="105"/>
        <w:jc w:val="left"/>
        <w:outlineLvl w:val="9"/>
        <w:rPr>
          <w:rFonts w:hint="eastAsia" w:ascii="宋体" w:hAnsi="宋体" w:eastAsia="宋体" w:cs="宋体"/>
          <w:sz w:val="24"/>
          <w:szCs w:val="24"/>
          <w:highlight w:val="none"/>
          <w:lang w:val="zh-CN"/>
        </w:rPr>
      </w:pPr>
    </w:p>
    <w:p>
      <w:pPr>
        <w:outlineLvl w:val="9"/>
        <w:rPr>
          <w:rFonts w:hint="eastAsia" w:ascii="宋体" w:hAnsi="宋体" w:eastAsia="宋体" w:cs="宋体"/>
          <w:highlight w:val="none"/>
          <w:lang w:val="zh-CN"/>
        </w:rPr>
      </w:pPr>
    </w:p>
    <w:p>
      <w:pPr>
        <w:autoSpaceDE w:val="0"/>
        <w:autoSpaceDN w:val="0"/>
        <w:adjustRightInd w:val="0"/>
        <w:spacing w:line="360" w:lineRule="auto"/>
        <w:ind w:right="105"/>
        <w:jc w:val="left"/>
        <w:outlineLvl w:val="9"/>
        <w:rPr>
          <w:rFonts w:hint="eastAsia" w:ascii="宋体" w:hAnsi="宋体" w:eastAsia="宋体" w:cs="宋体"/>
          <w:sz w:val="24"/>
          <w:szCs w:val="24"/>
          <w:highlight w:val="none"/>
          <w:lang w:val="zh-CN"/>
        </w:rPr>
      </w:pPr>
    </w:p>
    <w:p>
      <w:pPr>
        <w:autoSpaceDE w:val="0"/>
        <w:autoSpaceDN w:val="0"/>
        <w:adjustRightInd w:val="0"/>
        <w:spacing w:line="360" w:lineRule="auto"/>
        <w:ind w:right="105"/>
        <w:jc w:val="left"/>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注：自然人</w:t>
      </w:r>
      <w:r>
        <w:rPr>
          <w:rFonts w:hint="eastAsia" w:ascii="宋体" w:hAnsi="宋体" w:eastAsia="宋体" w:cs="宋体"/>
          <w:sz w:val="24"/>
          <w:szCs w:val="24"/>
          <w:highlight w:val="none"/>
          <w:lang w:val="en-US" w:eastAsia="zh-CN"/>
        </w:rPr>
        <w:t>投</w:t>
      </w:r>
      <w:r>
        <w:rPr>
          <w:rFonts w:hint="eastAsia" w:ascii="宋体" w:hAnsi="宋体" w:eastAsia="宋体" w:cs="宋体"/>
          <w:sz w:val="24"/>
          <w:szCs w:val="24"/>
          <w:highlight w:val="none"/>
          <w:lang w:val="zh-CN"/>
        </w:rPr>
        <w:t>标的此处只附身份证复印件。</w:t>
      </w:r>
    </w:p>
    <w:p>
      <w:pPr>
        <w:autoSpaceDE w:val="0"/>
        <w:autoSpaceDN w:val="0"/>
        <w:adjustRightInd w:val="0"/>
        <w:spacing w:line="360" w:lineRule="auto"/>
        <w:ind w:right="105"/>
        <w:jc w:val="left"/>
        <w:outlineLvl w:val="9"/>
        <w:rPr>
          <w:rFonts w:hint="eastAsia" w:ascii="宋体" w:hAnsi="宋体" w:eastAsia="宋体" w:cs="宋体"/>
          <w:szCs w:val="21"/>
          <w:highlight w:val="none"/>
          <w:lang w:val="zh-CN"/>
        </w:rPr>
      </w:pPr>
    </w:p>
    <w:p>
      <w:pPr>
        <w:autoSpaceDE w:val="0"/>
        <w:autoSpaceDN w:val="0"/>
        <w:adjustRightInd w:val="0"/>
        <w:spacing w:line="360" w:lineRule="auto"/>
        <w:ind w:right="105"/>
        <w:jc w:val="left"/>
        <w:outlineLvl w:val="9"/>
        <w:rPr>
          <w:rFonts w:hint="eastAsia" w:ascii="宋体" w:hAnsi="宋体" w:eastAsia="宋体" w:cs="宋体"/>
          <w:szCs w:val="21"/>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autoSpaceDE w:val="0"/>
        <w:autoSpaceDN w:val="0"/>
        <w:adjustRightInd w:val="0"/>
        <w:spacing w:line="360" w:lineRule="auto"/>
        <w:jc w:val="left"/>
        <w:outlineLvl w:val="9"/>
        <w:rPr>
          <w:rFonts w:hint="eastAsia" w:ascii="宋体" w:hAnsi="宋体" w:eastAsia="宋体" w:cs="宋体"/>
          <w:szCs w:val="21"/>
          <w:highlight w:val="none"/>
          <w:lang w:val="zh-CN"/>
        </w:rPr>
      </w:pPr>
    </w:p>
    <w:p>
      <w:pPr>
        <w:spacing w:line="360" w:lineRule="auto"/>
        <w:ind w:firstLine="210"/>
        <w:jc w:val="center"/>
        <w:outlineLvl w:val="9"/>
        <w:rPr>
          <w:rFonts w:hint="eastAsia" w:ascii="宋体" w:hAnsi="宋体" w:eastAsia="宋体" w:cs="宋体"/>
          <w:b/>
          <w:sz w:val="32"/>
          <w:szCs w:val="32"/>
          <w:highlight w:val="none"/>
        </w:rPr>
      </w:pPr>
      <w:r>
        <w:rPr>
          <w:rFonts w:hint="eastAsia" w:ascii="宋体" w:hAnsi="宋体" w:eastAsia="宋体" w:cs="宋体"/>
          <w:szCs w:val="21"/>
          <w:highlight w:val="none"/>
          <w:lang w:val="zh-CN"/>
        </w:rPr>
        <w:br w:type="page"/>
      </w:r>
      <w:bookmarkStart w:id="93" w:name="_Toc75259386"/>
      <w:r>
        <w:rPr>
          <w:rFonts w:hint="eastAsia" w:ascii="宋体" w:hAnsi="宋体" w:eastAsia="宋体" w:cs="宋体"/>
          <w:b/>
          <w:bCs/>
          <w:color w:val="auto"/>
          <w:sz w:val="32"/>
          <w:szCs w:val="32"/>
          <w:highlight w:val="none"/>
          <w:lang w:val="en-US" w:eastAsia="zh-CN"/>
        </w:rPr>
        <w:t>法定代表人</w:t>
      </w:r>
      <w:r>
        <w:rPr>
          <w:rFonts w:hint="eastAsia" w:ascii="宋体" w:hAnsi="宋体" w:eastAsia="宋体" w:cs="宋体"/>
          <w:b/>
          <w:color w:val="auto"/>
          <w:sz w:val="32"/>
          <w:szCs w:val="32"/>
          <w:highlight w:val="none"/>
        </w:rPr>
        <w:t>授权委托书</w:t>
      </w:r>
      <w:bookmarkEnd w:id="93"/>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zh-CN"/>
        </w:rPr>
      </w:pPr>
      <w:bookmarkStart w:id="94" w:name="_Toc75259387"/>
      <w:r>
        <w:rPr>
          <w:rFonts w:hint="eastAsia" w:ascii="宋体" w:hAnsi="宋体" w:eastAsia="宋体" w:cs="宋体"/>
          <w:color w:val="auto"/>
          <w:sz w:val="24"/>
          <w:szCs w:val="24"/>
          <w:highlight w:val="none"/>
          <w:lang w:val="zh-CN"/>
        </w:rPr>
        <w:t>本人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（姓名）系</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rPr>
        <w:t>名称）的法定代表人，现委托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（姓名）为我方</w:t>
      </w:r>
      <w:r>
        <w:rPr>
          <w:rFonts w:hint="eastAsia" w:ascii="宋体" w:hAnsi="宋体" w:eastAsia="宋体" w:cs="宋体"/>
          <w:color w:val="auto"/>
          <w:sz w:val="24"/>
          <w:szCs w:val="24"/>
          <w:highlight w:val="none"/>
          <w:lang w:val="en-US" w:eastAsia="zh-CN"/>
        </w:rPr>
        <w:t>授权代表</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授权代表</w:t>
      </w:r>
      <w:r>
        <w:rPr>
          <w:rFonts w:hint="eastAsia" w:ascii="宋体" w:hAnsi="宋体" w:eastAsia="宋体" w:cs="宋体"/>
          <w:color w:val="auto"/>
          <w:sz w:val="24"/>
          <w:szCs w:val="24"/>
          <w:highlight w:val="none"/>
          <w:lang w:val="zh-CN"/>
        </w:rPr>
        <w:t>根据授权，以我方名义签署、澄清确认、递交、撤回、修改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项目名称及合同包号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rPr>
        <w:t>文件、签订合同和处理有关事宜，其法律后果由我方承担。</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委托期限：同</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zh-CN"/>
        </w:rPr>
        <w:t>有效期。</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被授权人无转委托权。</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附：法定代表人身份证复印件及被授权人身份证复印件</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0"/>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8" w:hRule="atLeast"/>
        </w:trPr>
        <w:tc>
          <w:tcPr>
            <w:tcW w:w="4610" w:type="dxa"/>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auto"/>
                <w:sz w:val="24"/>
                <w:szCs w:val="24"/>
                <w:highlight w:val="none"/>
                <w:vertAlign w:val="baseline"/>
                <w:lang w:val="zh-CN"/>
              </w:rPr>
            </w:pPr>
          </w:p>
        </w:tc>
        <w:tc>
          <w:tcPr>
            <w:tcW w:w="4610" w:type="dxa"/>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auto"/>
                <w:sz w:val="24"/>
                <w:szCs w:val="24"/>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trPr>
        <w:tc>
          <w:tcPr>
            <w:tcW w:w="4610" w:type="dxa"/>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auto"/>
                <w:sz w:val="24"/>
                <w:szCs w:val="24"/>
                <w:highlight w:val="none"/>
                <w:vertAlign w:val="baseline"/>
                <w:lang w:val="zh-CN"/>
              </w:rPr>
            </w:pPr>
          </w:p>
        </w:tc>
        <w:tc>
          <w:tcPr>
            <w:tcW w:w="4610" w:type="dxa"/>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auto"/>
                <w:sz w:val="24"/>
                <w:szCs w:val="24"/>
                <w:highlight w:val="none"/>
                <w:vertAlign w:val="baseline"/>
                <w:lang w:val="zh-CN"/>
              </w:rPr>
            </w:pPr>
          </w:p>
        </w:tc>
      </w:tr>
    </w:tbl>
    <w:p>
      <w:pPr>
        <w:wordWrap w:val="0"/>
        <w:autoSpaceDE w:val="0"/>
        <w:autoSpaceDN w:val="0"/>
        <w:adjustRightInd w:val="0"/>
        <w:spacing w:line="600" w:lineRule="auto"/>
        <w:ind w:left="0" w:leftChars="0" w:firstLine="3360" w:firstLineChars="1400"/>
        <w:jc w:val="both"/>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（盖单位公章）</w:t>
      </w:r>
    </w:p>
    <w:p>
      <w:pPr>
        <w:wordWrap w:val="0"/>
        <w:autoSpaceDE w:val="0"/>
        <w:autoSpaceDN w:val="0"/>
        <w:adjustRightInd w:val="0"/>
        <w:spacing w:line="600" w:lineRule="auto"/>
        <w:ind w:left="0" w:leftChars="0" w:firstLine="3360" w:firstLineChars="1400"/>
        <w:jc w:val="both"/>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（签字或盖章）</w:t>
      </w:r>
    </w:p>
    <w:p>
      <w:pPr>
        <w:wordWrap w:val="0"/>
        <w:autoSpaceDE w:val="0"/>
        <w:autoSpaceDN w:val="0"/>
        <w:adjustRightInd w:val="0"/>
        <w:spacing w:line="600" w:lineRule="auto"/>
        <w:ind w:left="0" w:leftChars="0" w:right="210" w:firstLine="3360" w:firstLineChars="1400"/>
        <w:jc w:val="both"/>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授权代表</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（签字或盖章）</w:t>
      </w:r>
    </w:p>
    <w:p>
      <w:pPr>
        <w:autoSpaceDE w:val="0"/>
        <w:autoSpaceDN w:val="0"/>
        <w:adjustRightInd w:val="0"/>
        <w:spacing w:line="600" w:lineRule="auto"/>
        <w:ind w:firstLine="6000" w:firstLineChars="2500"/>
        <w:jc w:val="right"/>
        <w:outlineLvl w:val="9"/>
        <w:rPr>
          <w:rFonts w:hint="eastAsia" w:ascii="宋体" w:hAnsi="宋体" w:eastAsia="宋体" w:cs="宋体"/>
          <w:color w:val="auto"/>
          <w:szCs w:val="21"/>
          <w:highlight w:val="none"/>
          <w:lang w:val="zh-CN"/>
        </w:rPr>
      </w:pPr>
      <w:r>
        <w:rPr>
          <w:rFonts w:hint="eastAsia" w:ascii="宋体" w:hAnsi="宋体" w:eastAsia="宋体" w:cs="宋体"/>
          <w:color w:val="auto"/>
          <w:sz w:val="24"/>
          <w:szCs w:val="24"/>
          <w:highlight w:val="none"/>
          <w:lang w:val="zh-CN"/>
        </w:rPr>
        <w:t>年    月    日</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b/>
          <w:bCs/>
          <w:color w:val="auto"/>
          <w:sz w:val="22"/>
          <w:szCs w:val="22"/>
          <w:highlight w:val="none"/>
          <w:lang w:val="zh-CN"/>
        </w:rPr>
      </w:pPr>
      <w:r>
        <w:rPr>
          <w:rFonts w:hint="eastAsia" w:ascii="宋体" w:hAnsi="宋体" w:eastAsia="宋体" w:cs="宋体"/>
          <w:b/>
          <w:bCs/>
          <w:color w:val="auto"/>
          <w:sz w:val="22"/>
          <w:szCs w:val="22"/>
          <w:highlight w:val="none"/>
          <w:lang w:val="zh-CN"/>
        </w:rPr>
        <w:t>注：法定代表人（自然人）本人直接</w:t>
      </w:r>
      <w:r>
        <w:rPr>
          <w:rFonts w:hint="eastAsia" w:ascii="宋体" w:hAnsi="宋体" w:eastAsia="宋体" w:cs="宋体"/>
          <w:b/>
          <w:bCs/>
          <w:color w:val="auto"/>
          <w:sz w:val="22"/>
          <w:szCs w:val="22"/>
          <w:highlight w:val="none"/>
          <w:lang w:val="en-US" w:eastAsia="zh-CN"/>
        </w:rPr>
        <w:t>参与投标</w:t>
      </w:r>
      <w:r>
        <w:rPr>
          <w:rFonts w:hint="eastAsia" w:ascii="宋体" w:hAnsi="宋体" w:eastAsia="宋体" w:cs="宋体"/>
          <w:b/>
          <w:bCs/>
          <w:color w:val="auto"/>
          <w:sz w:val="22"/>
          <w:szCs w:val="22"/>
          <w:highlight w:val="none"/>
          <w:lang w:val="zh-CN"/>
        </w:rPr>
        <w:t>的不填写本部分内容。</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b/>
          <w:bCs/>
          <w:color w:val="auto"/>
          <w:sz w:val="22"/>
          <w:szCs w:val="22"/>
          <w:highlight w:val="none"/>
          <w:lang w:val="zh-CN"/>
        </w:rPr>
      </w:pP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b/>
          <w:bCs/>
          <w:color w:val="auto"/>
          <w:sz w:val="22"/>
          <w:szCs w:val="22"/>
          <w:highlight w:val="none"/>
          <w:lang w:val="zh-CN"/>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sz w:val="30"/>
          <w:szCs w:val="30"/>
          <w:highlight w:val="none"/>
        </w:rPr>
      </w:pPr>
      <w:r>
        <w:rPr>
          <w:rFonts w:hint="eastAsia" w:ascii="宋体" w:hAnsi="宋体" w:eastAsia="宋体" w:cs="宋体"/>
          <w:b/>
          <w:sz w:val="32"/>
          <w:szCs w:val="24"/>
          <w:highlight w:val="none"/>
        </w:rPr>
        <w:t>四、资格证明文件</w:t>
      </w:r>
      <w:bookmarkEnd w:id="9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i w:val="0"/>
          <w:iCs w:val="0"/>
          <w:caps w:val="0"/>
          <w:color w:val="333333"/>
          <w:spacing w:val="0"/>
          <w:sz w:val="24"/>
          <w:szCs w:val="24"/>
          <w:shd w:val="clear" w:color="auto"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32" w:lineRule="auto"/>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（1）具有独立承担民事责任能力的法人或其他组织，提供合法有效的统一社会信用代码的营业执照或事业单位法人证书等国家规定的相关证明，自然人参与的提供其身份证明；</w:t>
      </w:r>
    </w:p>
    <w:p>
      <w:pPr>
        <w:keepNext w:val="0"/>
        <w:keepLines w:val="0"/>
        <w:pageBreakBefore w:val="0"/>
        <w:widowControl w:val="0"/>
        <w:numPr>
          <w:ilvl w:val="0"/>
          <w:numId w:val="0"/>
        </w:numPr>
        <w:kinsoku/>
        <w:wordWrap/>
        <w:overflowPunct/>
        <w:topLinePunct w:val="0"/>
        <w:autoSpaceDE/>
        <w:autoSpaceDN/>
        <w:bidi w:val="0"/>
        <w:adjustRightInd/>
        <w:snapToGrid/>
        <w:spacing w:line="432" w:lineRule="auto"/>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（2）法定代表人直接参加投标须出具身份证，非法定代表人参加投标，须出具法定代表人授权书及被授权人身份证；</w:t>
      </w:r>
    </w:p>
    <w:p>
      <w:pPr>
        <w:keepNext w:val="0"/>
        <w:keepLines w:val="0"/>
        <w:pageBreakBefore w:val="0"/>
        <w:widowControl w:val="0"/>
        <w:numPr>
          <w:ilvl w:val="0"/>
          <w:numId w:val="0"/>
        </w:numPr>
        <w:kinsoku/>
        <w:wordWrap/>
        <w:overflowPunct/>
        <w:topLinePunct w:val="0"/>
        <w:autoSpaceDE/>
        <w:autoSpaceDN/>
        <w:bidi w:val="0"/>
        <w:adjustRightInd/>
        <w:snapToGrid/>
        <w:spacing w:line="432" w:lineRule="auto"/>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（3）投标人应出具参加政府采购活动前3年内在经营活动中没有重大违法记录的书面声明；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432" w:lineRule="auto"/>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（4）税收缴纳证明：提供2025年5月至今已缴存的至少一个月的纳税证明或完税证明，纳税证明或完税证明上应有代收机构或税务机关的公章。依法免税的供应商应提供相关文件证明；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432" w:lineRule="auto"/>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（5）社会保障资金缴纳证明：提供2025年5月至今已缴存的至少一个月的社会保障资金缴存单据或社保机构开具的社会保险参保缴费情况证明，依法不需要缴纳社会保障资金的供应商应提供相关文件证明；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432" w:lineRule="auto"/>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6）财务状况报告：提供2024或2025年度经审计的财务报告（至少包括审计报告、资产负债表和利润表，成立时间至提交投标文件截止时间不足一年的可提供成立后任意时段的资产负债表）或其开标前三个月内基本存款账户开户银行出具的资信证明；</w:t>
      </w:r>
    </w:p>
    <w:p>
      <w:pPr>
        <w:keepNext w:val="0"/>
        <w:keepLines w:val="0"/>
        <w:pageBreakBefore w:val="0"/>
        <w:widowControl w:val="0"/>
        <w:numPr>
          <w:ilvl w:val="0"/>
          <w:numId w:val="0"/>
        </w:numPr>
        <w:kinsoku/>
        <w:wordWrap/>
        <w:overflowPunct/>
        <w:topLinePunct w:val="0"/>
        <w:autoSpaceDE/>
        <w:autoSpaceDN/>
        <w:bidi w:val="0"/>
        <w:adjustRightInd/>
        <w:snapToGrid/>
        <w:spacing w:line="432" w:lineRule="auto"/>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（7）供应商未被列入“信用中国”网站严重失信主体名单和重大税收违法失信主体；中国政府采购网政府采购严重违法失信行为记录名单中被财政部门禁止参加政府采购活动的供应商；</w:t>
      </w:r>
    </w:p>
    <w:p>
      <w:pPr>
        <w:keepNext w:val="0"/>
        <w:keepLines w:val="0"/>
        <w:pageBreakBefore w:val="0"/>
        <w:widowControl w:val="0"/>
        <w:numPr>
          <w:ilvl w:val="0"/>
          <w:numId w:val="0"/>
        </w:numPr>
        <w:kinsoku/>
        <w:wordWrap/>
        <w:overflowPunct/>
        <w:topLinePunct w:val="0"/>
        <w:autoSpaceDE/>
        <w:autoSpaceDN/>
        <w:bidi w:val="0"/>
        <w:adjustRightInd/>
        <w:snapToGrid/>
        <w:spacing w:line="432" w:lineRule="auto"/>
        <w:ind w:right="0" w:rightChars="0" w:firstLine="480" w:firstLineChars="200"/>
        <w:jc w:val="both"/>
        <w:textAlignment w:val="auto"/>
        <w:outlineLvl w:val="9"/>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注：单位负责人为同一人或者存在直接控股、管理关系的不同供应商，不得参加同一合同项下的政府采购活动。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center"/>
        <w:textAlignment w:val="auto"/>
        <w:outlineLvl w:val="9"/>
        <w:rPr>
          <w:rFonts w:hint="eastAsia" w:ascii="宋体" w:hAnsi="宋体" w:eastAsia="宋体" w:cs="宋体"/>
          <w:b/>
          <w:sz w:val="32"/>
          <w:szCs w:val="32"/>
          <w:highlight w:val="none"/>
        </w:rPr>
      </w:pPr>
      <w:r>
        <w:rPr>
          <w:rFonts w:hint="eastAsia" w:ascii="宋体" w:hAnsi="宋体" w:eastAsia="宋体" w:cs="宋体"/>
          <w:i w:val="0"/>
          <w:iCs w:val="0"/>
          <w:caps w:val="0"/>
          <w:color w:val="333333"/>
          <w:spacing w:val="0"/>
          <w:sz w:val="24"/>
          <w:szCs w:val="24"/>
          <w:shd w:val="clear" w:color="auto" w:fill="FFFFFF"/>
        </w:rPr>
        <w:br w:type="page"/>
      </w:r>
      <w:r>
        <w:rPr>
          <w:rFonts w:hint="eastAsia" w:ascii="宋体" w:hAnsi="宋体" w:eastAsia="宋体" w:cs="宋体"/>
          <w:b/>
          <w:sz w:val="32"/>
          <w:szCs w:val="32"/>
          <w:highlight w:val="none"/>
          <w:lang w:val="en-US" w:eastAsia="zh-CN"/>
        </w:rPr>
        <w:t>五、投</w:t>
      </w:r>
      <w:r>
        <w:rPr>
          <w:rFonts w:hint="eastAsia" w:ascii="宋体" w:hAnsi="宋体" w:eastAsia="宋体" w:cs="宋体"/>
          <w:b/>
          <w:sz w:val="32"/>
          <w:szCs w:val="32"/>
          <w:highlight w:val="none"/>
          <w:lang w:eastAsia="zh-CN"/>
        </w:rPr>
        <w:t>标</w:t>
      </w:r>
      <w:r>
        <w:rPr>
          <w:rFonts w:hint="eastAsia" w:ascii="宋体" w:hAnsi="宋体" w:eastAsia="宋体" w:cs="宋体"/>
          <w:b/>
          <w:sz w:val="32"/>
          <w:szCs w:val="32"/>
          <w:highlight w:val="none"/>
        </w:rPr>
        <w:t>保证金缴纳凭证</w:t>
      </w:r>
    </w:p>
    <w:p>
      <w:pPr>
        <w:spacing w:line="360" w:lineRule="auto"/>
        <w:ind w:left="1262"/>
        <w:outlineLvl w:val="9"/>
        <w:rPr>
          <w:rFonts w:hint="eastAsia" w:ascii="宋体" w:hAnsi="宋体" w:eastAsia="宋体" w:cs="宋体"/>
          <w:sz w:val="24"/>
          <w:highlight w:val="none"/>
        </w:rPr>
      </w:pPr>
    </w:p>
    <w:tbl>
      <w:tblPr>
        <w:tblStyle w:val="24"/>
        <w:tblW w:w="8280"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828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573" w:hRule="atLeast"/>
          <w:jc w:val="center"/>
        </w:trPr>
        <w:tc>
          <w:tcPr>
            <w:tcW w:w="8280" w:type="dxa"/>
            <w:vAlign w:val="center"/>
          </w:tcPr>
          <w:p>
            <w:pPr>
              <w:spacing w:line="360" w:lineRule="auto"/>
              <w:jc w:val="center"/>
              <w:outlineLvl w:val="9"/>
              <w:rPr>
                <w:rFonts w:hint="eastAsia" w:ascii="宋体" w:hAnsi="宋体" w:eastAsia="宋体" w:cs="宋体"/>
                <w:sz w:val="24"/>
                <w:highlight w:val="none"/>
              </w:rPr>
            </w:pPr>
            <w:r>
              <w:rPr>
                <w:rFonts w:hint="eastAsia" w:ascii="宋体" w:hAnsi="宋体" w:eastAsia="宋体" w:cs="宋体"/>
                <w:sz w:val="24"/>
                <w:highlight w:val="none"/>
              </w:rPr>
              <w:t>粘贴处</w:t>
            </w:r>
          </w:p>
        </w:tc>
      </w:tr>
    </w:tbl>
    <w:p>
      <w:pPr>
        <w:spacing w:line="360" w:lineRule="auto"/>
        <w:ind w:firstLine="716" w:firstLineChars="297"/>
        <w:outlineLvl w:val="9"/>
        <w:rPr>
          <w:rFonts w:hint="eastAsia" w:ascii="宋体" w:hAnsi="宋体" w:eastAsia="宋体" w:cs="宋体"/>
          <w:b/>
          <w:sz w:val="24"/>
          <w:highlight w:val="none"/>
        </w:rPr>
      </w:pPr>
    </w:p>
    <w:p>
      <w:pPr>
        <w:spacing w:line="360" w:lineRule="auto"/>
        <w:outlineLvl w:val="9"/>
        <w:rPr>
          <w:rFonts w:hint="eastAsia" w:ascii="宋体" w:hAnsi="宋体" w:eastAsia="宋体" w:cs="宋体"/>
          <w:b/>
          <w:sz w:val="24"/>
          <w:highlight w:val="none"/>
        </w:rPr>
      </w:pPr>
      <w:r>
        <w:rPr>
          <w:rFonts w:hint="eastAsia" w:ascii="宋体" w:hAnsi="宋体" w:eastAsia="宋体" w:cs="宋体"/>
          <w:b/>
          <w:sz w:val="24"/>
          <w:highlight w:val="none"/>
        </w:rPr>
        <w:t>注：须附开户许可证或基本存款账户信息</w:t>
      </w:r>
    </w:p>
    <w:p>
      <w:pPr>
        <w:outlineLvl w:val="9"/>
        <w:rPr>
          <w:rFonts w:hint="eastAsia" w:ascii="宋体" w:hAnsi="宋体" w:eastAsia="宋体" w:cs="宋体"/>
          <w:highlight w:val="none"/>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kern w:val="13"/>
          <w:sz w:val="24"/>
          <w:highlight w:val="none"/>
        </w:rPr>
        <w:br w:type="page"/>
      </w: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sz w:val="32"/>
          <w:szCs w:val="24"/>
          <w:highlight w:val="none"/>
          <w:lang w:eastAsia="zh-CN"/>
        </w:rPr>
      </w:pPr>
      <w:bookmarkStart w:id="95" w:name="_Toc16976"/>
      <w:bookmarkStart w:id="96" w:name="_Toc3574"/>
      <w:bookmarkStart w:id="97" w:name="_Toc500323115"/>
      <w:bookmarkStart w:id="98" w:name="_Toc16310"/>
      <w:r>
        <w:rPr>
          <w:rFonts w:hint="eastAsia" w:ascii="宋体" w:hAnsi="宋体" w:eastAsia="宋体" w:cs="宋体"/>
          <w:b/>
          <w:sz w:val="32"/>
          <w:szCs w:val="24"/>
          <w:highlight w:val="none"/>
          <w:lang w:val="en-US" w:eastAsia="zh-CN"/>
        </w:rPr>
        <w:t>六</w:t>
      </w:r>
      <w:r>
        <w:rPr>
          <w:rFonts w:hint="eastAsia" w:ascii="宋体" w:hAnsi="宋体" w:eastAsia="宋体" w:cs="宋体"/>
          <w:b/>
          <w:sz w:val="32"/>
          <w:szCs w:val="24"/>
          <w:highlight w:val="none"/>
        </w:rPr>
        <w:t>、</w:t>
      </w:r>
      <w:bookmarkEnd w:id="95"/>
      <w:bookmarkEnd w:id="96"/>
      <w:bookmarkEnd w:id="97"/>
      <w:bookmarkEnd w:id="98"/>
      <w:r>
        <w:rPr>
          <w:rFonts w:hint="eastAsia" w:ascii="宋体" w:hAnsi="宋体" w:eastAsia="宋体" w:cs="宋体"/>
          <w:b/>
          <w:sz w:val="32"/>
          <w:szCs w:val="24"/>
          <w:highlight w:val="none"/>
          <w:lang w:eastAsia="zh-CN"/>
        </w:rPr>
        <w:t>商务部分</w:t>
      </w:r>
    </w:p>
    <w:p>
      <w:pPr>
        <w:numPr>
          <w:ilvl w:val="0"/>
          <w:numId w:val="0"/>
        </w:numPr>
        <w:spacing w:line="360" w:lineRule="auto"/>
        <w:rPr>
          <w:rFonts w:hint="eastAsia" w:ascii="宋体" w:hAnsi="宋体" w:eastAsia="宋体" w:cs="宋体"/>
          <w:b w:val="0"/>
          <w:bCs/>
          <w:color w:val="auto"/>
          <w:kern w:val="0"/>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outlineLvl w:val="0"/>
        <w:rPr>
          <w:rFonts w:hint="eastAsia" w:ascii="宋体" w:hAnsi="宋体" w:eastAsia="宋体" w:cs="宋体"/>
          <w:sz w:val="24"/>
          <w:szCs w:val="24"/>
          <w:highlight w:val="none"/>
          <w:lang w:val="en-US" w:eastAsia="zh-CN"/>
        </w:rPr>
      </w:pPr>
      <w:bookmarkStart w:id="99" w:name="_Toc9514"/>
      <w:r>
        <w:rPr>
          <w:rFonts w:hint="eastAsia" w:ascii="宋体" w:hAnsi="宋体" w:eastAsia="宋体" w:cs="宋体"/>
          <w:sz w:val="24"/>
          <w:szCs w:val="24"/>
          <w:highlight w:val="none"/>
          <w:lang w:val="en-US" w:eastAsia="zh-CN"/>
        </w:rPr>
        <w:t>投标方案无固定格式，供应商根据采购需求的采购内容及对应所投合同包的详细评审因素，可自主编写方案说明，包含但不限于采购需求的采购内容及对应所投合同包的详细评审因素的所有内容）</w:t>
      </w:r>
      <w:bookmarkEnd w:id="99"/>
    </w:p>
    <w:p>
      <w:pPr>
        <w:pStyle w:val="6"/>
        <w:rPr>
          <w:rFonts w:hint="eastAsia" w:ascii="宋体" w:hAnsi="宋体" w:eastAsia="宋体" w:cs="宋体"/>
        </w:rPr>
      </w:pPr>
    </w:p>
    <w:p>
      <w:pPr>
        <w:kinsoku w:val="0"/>
        <w:spacing w:line="360" w:lineRule="auto"/>
        <w:ind w:firstLine="560" w:firstLineChars="200"/>
        <w:rPr>
          <w:rFonts w:hint="eastAsia" w:ascii="宋体" w:hAnsi="宋体" w:eastAsia="宋体" w:cs="宋体"/>
          <w:color w:val="000000"/>
          <w:sz w:val="28"/>
          <w:szCs w:val="28"/>
        </w:rPr>
      </w:pPr>
    </w:p>
    <w:p>
      <w:pPr>
        <w:kinsoku w:val="0"/>
        <w:spacing w:line="360" w:lineRule="auto"/>
        <w:ind w:firstLine="560" w:firstLineChars="200"/>
        <w:rPr>
          <w:rFonts w:hint="eastAsia" w:ascii="宋体" w:hAnsi="宋体" w:eastAsia="宋体" w:cs="宋体"/>
          <w:color w:val="000000"/>
          <w:sz w:val="28"/>
          <w:szCs w:val="28"/>
        </w:rPr>
      </w:pPr>
    </w:p>
    <w:p>
      <w:pPr>
        <w:kinsoku w:val="0"/>
        <w:spacing w:line="360" w:lineRule="auto"/>
        <w:ind w:firstLine="560" w:firstLineChars="200"/>
        <w:rPr>
          <w:rFonts w:hint="eastAsia" w:ascii="宋体" w:hAnsi="宋体" w:eastAsia="宋体" w:cs="宋体"/>
          <w:color w:val="000000"/>
          <w:sz w:val="28"/>
          <w:szCs w:val="28"/>
        </w:rPr>
      </w:pPr>
    </w:p>
    <w:p>
      <w:pPr>
        <w:kinsoku w:val="0"/>
        <w:spacing w:line="360" w:lineRule="auto"/>
        <w:ind w:firstLine="560" w:firstLineChars="200"/>
        <w:rPr>
          <w:rFonts w:hint="eastAsia" w:ascii="宋体" w:hAnsi="宋体" w:eastAsia="宋体" w:cs="宋体"/>
          <w:color w:val="000000"/>
          <w:sz w:val="28"/>
          <w:szCs w:val="28"/>
        </w:rPr>
      </w:pPr>
    </w:p>
    <w:p>
      <w:pPr>
        <w:pStyle w:val="12"/>
        <w:ind w:left="1470" w:right="1470"/>
        <w:rPr>
          <w:rFonts w:hint="eastAsia" w:ascii="宋体" w:hAnsi="宋体" w:eastAsia="宋体" w:cs="宋体"/>
          <w:color w:val="000000"/>
          <w:sz w:val="28"/>
          <w:szCs w:val="28"/>
        </w:rPr>
      </w:pPr>
    </w:p>
    <w:p>
      <w:pPr>
        <w:pStyle w:val="12"/>
        <w:ind w:left="1470" w:right="1470"/>
        <w:rPr>
          <w:rFonts w:hint="eastAsia" w:ascii="宋体" w:hAnsi="宋体" w:eastAsia="宋体" w:cs="宋体"/>
          <w:color w:val="000000"/>
          <w:sz w:val="28"/>
          <w:szCs w:val="28"/>
        </w:rPr>
      </w:pPr>
    </w:p>
    <w:p>
      <w:pPr>
        <w:pStyle w:val="12"/>
        <w:ind w:left="1470" w:right="1470"/>
        <w:rPr>
          <w:rFonts w:hint="eastAsia" w:ascii="宋体" w:hAnsi="宋体" w:eastAsia="宋体" w:cs="宋体"/>
          <w:color w:val="000000"/>
          <w:sz w:val="28"/>
          <w:szCs w:val="28"/>
        </w:rPr>
      </w:pPr>
    </w:p>
    <w:p>
      <w:pPr>
        <w:pStyle w:val="12"/>
        <w:ind w:left="1470" w:right="1470"/>
        <w:rPr>
          <w:rFonts w:hint="eastAsia" w:ascii="宋体" w:hAnsi="宋体" w:eastAsia="宋体" w:cs="宋体"/>
          <w:color w:val="000000"/>
          <w:sz w:val="28"/>
          <w:szCs w:val="28"/>
        </w:rPr>
      </w:pPr>
    </w:p>
    <w:p>
      <w:pPr>
        <w:pStyle w:val="12"/>
        <w:ind w:left="1470" w:right="1470"/>
        <w:rPr>
          <w:rFonts w:hint="eastAsia" w:ascii="宋体" w:hAnsi="宋体" w:eastAsia="宋体" w:cs="宋体"/>
          <w:color w:val="000000"/>
          <w:sz w:val="28"/>
          <w:szCs w:val="28"/>
        </w:rPr>
      </w:pPr>
    </w:p>
    <w:p>
      <w:pPr>
        <w:pStyle w:val="12"/>
        <w:ind w:left="1470" w:right="1470"/>
        <w:rPr>
          <w:rFonts w:hint="eastAsia" w:ascii="宋体" w:hAnsi="宋体" w:eastAsia="宋体" w:cs="宋体"/>
          <w:color w:val="000000"/>
          <w:sz w:val="28"/>
          <w:szCs w:val="28"/>
        </w:rPr>
      </w:pPr>
    </w:p>
    <w:p>
      <w:pPr>
        <w:pStyle w:val="12"/>
        <w:ind w:left="1470" w:right="1470"/>
        <w:rPr>
          <w:rFonts w:hint="eastAsia" w:ascii="宋体" w:hAnsi="宋体" w:eastAsia="宋体" w:cs="宋体"/>
          <w:color w:val="000000"/>
          <w:sz w:val="28"/>
          <w:szCs w:val="28"/>
        </w:rPr>
      </w:pPr>
    </w:p>
    <w:p>
      <w:pPr>
        <w:pStyle w:val="12"/>
        <w:ind w:right="1470"/>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pStyle w:val="12"/>
        <w:ind w:left="0" w:leftChars="0" w:right="1470" w:firstLine="0" w:firstLineChars="0"/>
        <w:rPr>
          <w:rFonts w:hint="eastAsia" w:ascii="宋体" w:hAnsi="宋体" w:eastAsia="宋体" w:cs="宋体"/>
          <w:color w:val="000000"/>
          <w:sz w:val="28"/>
          <w:szCs w:val="28"/>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sz w:val="32"/>
          <w:szCs w:val="24"/>
          <w:highlight w:val="none"/>
          <w:lang w:eastAsia="zh-CN"/>
        </w:rPr>
      </w:pPr>
      <w:bookmarkStart w:id="100" w:name="_Toc26138"/>
      <w:bookmarkStart w:id="101" w:name="_Toc500323116"/>
      <w:bookmarkStart w:id="102" w:name="_Toc6747"/>
      <w:bookmarkStart w:id="103" w:name="_Toc7931"/>
      <w:bookmarkStart w:id="104" w:name="_Toc14452"/>
      <w:r>
        <w:rPr>
          <w:rFonts w:hint="eastAsia" w:ascii="宋体" w:hAnsi="宋体" w:eastAsia="宋体" w:cs="宋体"/>
          <w:b/>
          <w:sz w:val="32"/>
          <w:szCs w:val="24"/>
          <w:highlight w:val="none"/>
          <w:lang w:eastAsia="zh-CN"/>
        </w:rPr>
        <w:t>七、</w:t>
      </w:r>
      <w:bookmarkEnd w:id="100"/>
      <w:bookmarkEnd w:id="101"/>
      <w:bookmarkEnd w:id="102"/>
      <w:bookmarkEnd w:id="103"/>
      <w:bookmarkEnd w:id="104"/>
      <w:r>
        <w:rPr>
          <w:rFonts w:hint="eastAsia" w:ascii="宋体" w:hAnsi="宋体" w:eastAsia="宋体" w:cs="宋体"/>
          <w:b/>
          <w:sz w:val="32"/>
          <w:szCs w:val="24"/>
          <w:highlight w:val="none"/>
          <w:lang w:eastAsia="zh-CN"/>
        </w:rPr>
        <w:t>技术部分</w:t>
      </w:r>
    </w:p>
    <w:p>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outlineLvl w:val="0"/>
        <w:rPr>
          <w:rFonts w:hint="eastAsia" w:ascii="宋体" w:hAnsi="宋体" w:eastAsia="宋体" w:cs="宋体"/>
          <w:sz w:val="24"/>
          <w:szCs w:val="24"/>
          <w:highlight w:val="none"/>
          <w:lang w:val="en-US" w:eastAsia="zh-CN"/>
        </w:rPr>
      </w:pPr>
      <w:bookmarkStart w:id="105" w:name="_Toc17521"/>
      <w:r>
        <w:rPr>
          <w:rFonts w:hint="eastAsia" w:ascii="宋体" w:hAnsi="宋体" w:eastAsia="宋体" w:cs="宋体"/>
          <w:sz w:val="24"/>
          <w:szCs w:val="24"/>
          <w:highlight w:val="none"/>
          <w:lang w:val="en-US" w:eastAsia="zh-CN"/>
        </w:rPr>
        <w:t>投标方案无固定格式，供应商根据采购需求的采购内容及对应所投合同包的详细评审因素，可自主编写方案说明，包含但不限于采购需求的采购内容及对应所投合同包的详细评审因素的所有内容）</w:t>
      </w:r>
      <w:bookmarkEnd w:id="105"/>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sz w:val="32"/>
          <w:szCs w:val="24"/>
          <w:highlight w:val="none"/>
        </w:rPr>
      </w:pPr>
      <w:r>
        <w:rPr>
          <w:rFonts w:hint="eastAsia" w:ascii="宋体" w:hAnsi="宋体" w:eastAsia="宋体" w:cs="宋体"/>
          <w:sz w:val="24"/>
          <w:szCs w:val="24"/>
          <w:highlight w:val="none"/>
          <w:lang w:val="en-US" w:eastAsia="zh-CN"/>
        </w:rPr>
        <w:br w:type="page"/>
      </w:r>
      <w:bookmarkStart w:id="106" w:name="_Toc10006"/>
      <w:bookmarkStart w:id="107" w:name="_Toc75259390"/>
      <w:r>
        <w:rPr>
          <w:rFonts w:hint="eastAsia" w:ascii="宋体" w:hAnsi="宋体" w:eastAsia="宋体" w:cs="宋体"/>
          <w:b/>
          <w:sz w:val="32"/>
          <w:szCs w:val="24"/>
          <w:highlight w:val="none"/>
          <w:lang w:val="en-US" w:eastAsia="zh-CN"/>
        </w:rPr>
        <w:t>八</w:t>
      </w:r>
      <w:r>
        <w:rPr>
          <w:rFonts w:hint="eastAsia" w:ascii="宋体" w:hAnsi="宋体" w:eastAsia="宋体" w:cs="宋体"/>
          <w:b/>
          <w:sz w:val="32"/>
          <w:szCs w:val="24"/>
          <w:highlight w:val="none"/>
          <w:lang w:eastAsia="zh-CN"/>
        </w:rPr>
        <w:t>、</w:t>
      </w:r>
      <w:r>
        <w:rPr>
          <w:rFonts w:hint="eastAsia" w:ascii="宋体" w:hAnsi="宋体" w:eastAsia="宋体" w:cs="宋体"/>
          <w:b/>
          <w:sz w:val="32"/>
          <w:szCs w:val="24"/>
          <w:highlight w:val="none"/>
        </w:rPr>
        <w:t>其他材料</w:t>
      </w:r>
      <w:bookmarkEnd w:id="106"/>
      <w:bookmarkEnd w:id="107"/>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bookmarkStart w:id="108" w:name="_Hlk74736213"/>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r>
        <w:rPr>
          <w:rFonts w:hint="eastAsia" w:ascii="宋体" w:hAnsi="宋体" w:eastAsia="宋体" w:cs="宋体"/>
          <w:b/>
          <w:sz w:val="28"/>
          <w:szCs w:val="28"/>
          <w:highlight w:val="none"/>
          <w:lang w:val="zh-CN"/>
        </w:rPr>
        <w:t>1、投标人拒绝政府采购领域商业贿赂承诺书</w:t>
      </w:r>
    </w:p>
    <w:p>
      <w:pPr>
        <w:outlineLvl w:val="9"/>
        <w:rPr>
          <w:rFonts w:hint="eastAsia" w:ascii="宋体" w:hAnsi="宋体" w:eastAsia="宋体" w:cs="宋体"/>
          <w:lang w:val="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为响应党中央、国务院关于治理采购领域商业贿赂行为的号召，我公司</w:t>
      </w:r>
      <w:r>
        <w:rPr>
          <w:rFonts w:hint="eastAsia" w:ascii="宋体" w:hAnsi="宋体" w:eastAsia="宋体" w:cs="宋体"/>
          <w:sz w:val="24"/>
          <w:szCs w:val="24"/>
          <w:highlight w:val="none"/>
          <w:lang w:val="en-US" w:eastAsia="zh-CN"/>
        </w:rPr>
        <w:t>在此</w:t>
      </w:r>
      <w:r>
        <w:rPr>
          <w:rFonts w:hint="eastAsia" w:ascii="宋体" w:hAnsi="宋体" w:eastAsia="宋体" w:cs="宋体"/>
          <w:sz w:val="24"/>
          <w:szCs w:val="24"/>
          <w:highlight w:val="none"/>
          <w:lang w:val="zh-CN"/>
        </w:rPr>
        <w:t>承诺：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1、在参与采购活动中遵纪守法、诚信经营、公平竞标。</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2、不向采购人、采购代理机构和采购评审专家进行任何形式的商业贿赂以谋取交易机会。</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3、不向采购代理机构和采购人提供虚假资质文件或采用虚假应标方式参与采购市场竞争并谋取中标、成交。</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4、不采取“围标、陪标”等商业欺诈手段获取采购订单。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5、不采取不正当手段诋毁、排挤其他投标人。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6、不在提供商品和服务时“偷梁换柱、以次充好”损害采购人的合法权益。</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7、不与采购人、采购代理机构、采购评审专家或其他投标人恶意串通，进行质疑和投诉，维护采购市场秩序。</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8、尊重和接受采购监督管理部门的监督和采购代理机构招标采购要求，承担因违约行为给采购人造成的损失。</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szCs w:val="21"/>
          <w:highlight w:val="none"/>
          <w:lang w:val="zh-CN"/>
        </w:rPr>
      </w:pPr>
      <w:r>
        <w:rPr>
          <w:rFonts w:hint="eastAsia" w:ascii="宋体" w:hAnsi="宋体" w:eastAsia="宋体" w:cs="宋体"/>
          <w:sz w:val="24"/>
          <w:szCs w:val="24"/>
          <w:highlight w:val="none"/>
          <w:lang w:val="zh-CN"/>
        </w:rPr>
        <w:t>9、不发生其他有悖于政府采购公开、公平、公正和诚信原则的行为。</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szCs w:val="21"/>
          <w:highlight w:val="none"/>
          <w:lang w:val="zh-CN"/>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rPr>
        <w:t>（公章）：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outlineLvl w:val="9"/>
        <w:rPr>
          <w:rFonts w:hint="eastAsia" w:ascii="宋体" w:hAnsi="宋体" w:eastAsia="宋体" w:cs="宋体"/>
          <w:szCs w:val="21"/>
          <w:highlight w:val="none"/>
          <w:lang w:val="zh-CN"/>
        </w:rPr>
      </w:pPr>
      <w:r>
        <w:rPr>
          <w:rFonts w:hint="eastAsia" w:ascii="宋体" w:hAnsi="宋体" w:eastAsia="宋体" w:cs="宋体"/>
          <w:color w:val="auto"/>
          <w:sz w:val="24"/>
          <w:szCs w:val="24"/>
          <w:highlight w:val="none"/>
          <w:lang w:val="zh-CN"/>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Cs w:val="21"/>
          <w:highlight w:val="none"/>
          <w:lang w:val="zh-CN"/>
        </w:rPr>
        <w:t xml:space="preserve">                    </w:t>
      </w:r>
      <w:r>
        <w:rPr>
          <w:rFonts w:hint="eastAsia" w:ascii="宋体" w:hAnsi="宋体" w:eastAsia="宋体" w:cs="宋体"/>
          <w:sz w:val="24"/>
          <w:szCs w:val="24"/>
          <w:highlight w:val="none"/>
          <w:lang w:val="zh-CN"/>
        </w:rPr>
        <w:t xml:space="preserve"> </w:t>
      </w:r>
      <w:r>
        <w:rPr>
          <w:rFonts w:hint="eastAsia" w:ascii="宋体" w:hAnsi="宋体" w:eastAsia="宋体" w:cs="宋体"/>
          <w:szCs w:val="21"/>
          <w:highlight w:val="none"/>
          <w:lang w:val="zh-CN"/>
        </w:rPr>
        <w:t xml:space="preserve">      </w:t>
      </w:r>
    </w:p>
    <w:p>
      <w:pPr>
        <w:autoSpaceDE w:val="0"/>
        <w:autoSpaceDN w:val="0"/>
        <w:adjustRightInd w:val="0"/>
        <w:spacing w:line="360" w:lineRule="auto"/>
        <w:ind w:firstLine="420" w:firstLineChars="200"/>
        <w:jc w:val="right"/>
        <w:outlineLvl w:val="9"/>
        <w:rPr>
          <w:rFonts w:hint="eastAsia" w:ascii="宋体" w:hAnsi="宋体" w:eastAsia="宋体" w:cs="宋体"/>
          <w:szCs w:val="21"/>
          <w:highlight w:val="none"/>
          <w:lang w:val="zh-CN"/>
        </w:rPr>
      </w:pPr>
      <w:r>
        <w:rPr>
          <w:rFonts w:hint="eastAsia" w:ascii="宋体" w:hAnsi="宋体" w:eastAsia="宋体" w:cs="宋体"/>
          <w:szCs w:val="21"/>
          <w:highlight w:val="none"/>
          <w:lang w:val="zh-CN"/>
        </w:rPr>
        <w:t xml:space="preserve">                     </w:t>
      </w:r>
    </w:p>
    <w:p>
      <w:pPr>
        <w:autoSpaceDE w:val="0"/>
        <w:autoSpaceDN w:val="0"/>
        <w:adjustRightInd w:val="0"/>
        <w:spacing w:line="360" w:lineRule="auto"/>
        <w:ind w:firstLine="480" w:firstLineChars="200"/>
        <w:jc w:val="right"/>
        <w:outlineLvl w:val="9"/>
        <w:rPr>
          <w:rFonts w:hint="eastAsia" w:ascii="宋体" w:hAnsi="宋体" w:eastAsia="宋体" w:cs="宋体"/>
          <w:szCs w:val="21"/>
          <w:highlight w:val="none"/>
          <w:lang w:val="zh-CN"/>
        </w:rPr>
      </w:pPr>
      <w:r>
        <w:rPr>
          <w:rFonts w:hint="eastAsia" w:ascii="宋体" w:hAnsi="宋体" w:eastAsia="宋体" w:cs="宋体"/>
          <w:sz w:val="24"/>
          <w:szCs w:val="24"/>
          <w:highlight w:val="none"/>
          <w:lang w:val="zh-CN"/>
        </w:rPr>
        <w:t xml:space="preserve"> 年    月    日</w:t>
      </w:r>
    </w:p>
    <w:p>
      <w:pPr>
        <w:autoSpaceDE w:val="0"/>
        <w:autoSpaceDN w:val="0"/>
        <w:adjustRightInd w:val="0"/>
        <w:spacing w:line="360" w:lineRule="auto"/>
        <w:ind w:firstLine="420" w:firstLineChars="200"/>
        <w:jc w:val="left"/>
        <w:outlineLvl w:val="9"/>
        <w:rPr>
          <w:rFonts w:hint="eastAsia" w:ascii="宋体" w:hAnsi="宋体" w:eastAsia="宋体" w:cs="宋体"/>
          <w:szCs w:val="21"/>
          <w:highlight w:val="none"/>
          <w:lang w:val="zh-CN"/>
        </w:rPr>
      </w:pPr>
    </w:p>
    <w:p>
      <w:pPr>
        <w:autoSpaceDE w:val="0"/>
        <w:autoSpaceDN w:val="0"/>
        <w:adjustRightInd w:val="0"/>
        <w:spacing w:line="360" w:lineRule="auto"/>
        <w:jc w:val="left"/>
        <w:outlineLvl w:val="9"/>
        <w:rPr>
          <w:rFonts w:hint="eastAsia" w:ascii="宋体" w:hAnsi="宋体" w:eastAsia="宋体" w:cs="宋体"/>
          <w:b/>
          <w:sz w:val="28"/>
          <w:szCs w:val="28"/>
          <w:highlight w:val="none"/>
          <w:lang w:val="zh-CN"/>
        </w:rPr>
      </w:pP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r>
        <w:rPr>
          <w:rFonts w:hint="eastAsia" w:ascii="宋体" w:hAnsi="宋体" w:eastAsia="宋体" w:cs="宋体"/>
          <w:b/>
          <w:sz w:val="28"/>
          <w:szCs w:val="28"/>
          <w:highlight w:val="none"/>
          <w:lang w:val="zh-CN"/>
        </w:rPr>
        <w:br w:type="page"/>
      </w:r>
      <w:r>
        <w:rPr>
          <w:rFonts w:hint="eastAsia" w:ascii="宋体" w:hAnsi="宋体" w:eastAsia="宋体" w:cs="宋体"/>
          <w:b/>
          <w:sz w:val="28"/>
          <w:szCs w:val="28"/>
          <w:highlight w:val="none"/>
          <w:lang w:val="zh-CN"/>
        </w:rPr>
        <w:t>2、投标人资格承诺书</w:t>
      </w:r>
    </w:p>
    <w:p>
      <w:pPr>
        <w:outlineLvl w:val="9"/>
        <w:rPr>
          <w:rFonts w:hint="eastAsia" w:ascii="宋体" w:hAnsi="宋体" w:eastAsia="宋体" w:cs="宋体"/>
          <w:lang w:val="zh-CN"/>
        </w:rPr>
      </w:pPr>
    </w:p>
    <w:p>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我方承诺，不存在相关法律法规规定的禁止投标的情形。我单位的股权关系、与其他单位的管理关系和其他与本项目有关的利害关系等，作如下说明和承诺：</w:t>
      </w:r>
    </w:p>
    <w:p>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1.我方在本项目投标中，不存在与其他投标人单位负责人为同一人或者存在直接控股、管理关系。</w:t>
      </w:r>
    </w:p>
    <w:p>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bookmarkStart w:id="109" w:name="_Toc10578_WPSOffice_Level2"/>
      <w:bookmarkStart w:id="110" w:name="_Toc14125_WPSOffice_Level2"/>
      <w:bookmarkStart w:id="111" w:name="_Toc16297_WPSOffice_Level2"/>
      <w:r>
        <w:rPr>
          <w:rFonts w:hint="eastAsia" w:ascii="宋体" w:hAnsi="宋体" w:eastAsia="宋体" w:cs="宋体"/>
          <w:color w:val="auto"/>
          <w:sz w:val="24"/>
          <w:szCs w:val="24"/>
          <w:highlight w:val="none"/>
          <w:lang w:val="zh-CN"/>
        </w:rPr>
        <w:t>1.1股权关系说明</w:t>
      </w:r>
      <w:bookmarkEnd w:id="109"/>
      <w:bookmarkEnd w:id="110"/>
      <w:bookmarkEnd w:id="111"/>
    </w:p>
    <w:p>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1.1.1我单位法定代表人（单位负责人）姓名：</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1.1.2我单位控股的单位有</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1.1.3我单位被</w:t>
      </w:r>
      <w:r>
        <w:rPr>
          <w:rFonts w:hint="eastAsia" w:ascii="宋体" w:hAnsi="宋体" w:eastAsia="宋体" w:cs="宋体"/>
          <w:color w:val="auto"/>
          <w:sz w:val="24"/>
          <w:szCs w:val="24"/>
          <w:highlight w:val="none"/>
          <w:u w:val="single"/>
          <w:lang w:val="zh-CN"/>
        </w:rPr>
        <w:t xml:space="preserve">                      （单位或自然人）  </w:t>
      </w:r>
      <w:r>
        <w:rPr>
          <w:rFonts w:hint="eastAsia" w:ascii="宋体" w:hAnsi="宋体" w:eastAsia="宋体" w:cs="宋体"/>
          <w:color w:val="auto"/>
          <w:sz w:val="24"/>
          <w:szCs w:val="24"/>
          <w:highlight w:val="none"/>
          <w:lang w:val="zh-CN"/>
        </w:rPr>
        <w:t>控股。</w:t>
      </w:r>
    </w:p>
    <w:p>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bookmarkStart w:id="112" w:name="_Toc26574_WPSOffice_Level2"/>
      <w:bookmarkStart w:id="113" w:name="_Toc1335_WPSOffice_Level2"/>
      <w:bookmarkStart w:id="114" w:name="_Toc20668_WPSOffice_Level2"/>
      <w:r>
        <w:rPr>
          <w:rFonts w:hint="eastAsia" w:ascii="宋体" w:hAnsi="宋体" w:eastAsia="宋体" w:cs="宋体"/>
          <w:color w:val="auto"/>
          <w:sz w:val="24"/>
          <w:szCs w:val="24"/>
          <w:highlight w:val="none"/>
          <w:lang w:val="zh-CN"/>
        </w:rPr>
        <w:t>1.2管理关系说明</w:t>
      </w:r>
      <w:bookmarkEnd w:id="112"/>
      <w:bookmarkEnd w:id="113"/>
      <w:bookmarkEnd w:id="114"/>
    </w:p>
    <w:p>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1.2.1我单位管理的下属单位有</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1.2.2我单位的上级管理单位有</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2.我方与采购人不存在利害关系及其他可能影响招标公正性的情形。</w:t>
      </w:r>
    </w:p>
    <w:p>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3.我方没有为采购项目提供整体设计、规范编制或者项目管理、监理、检测等服务；</w:t>
      </w:r>
    </w:p>
    <w:p>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4.其他与本项目有关的利害关系说明：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pPr>
        <w:autoSpaceDE w:val="0"/>
        <w:autoSpaceDN w:val="0"/>
        <w:adjustRightInd w:val="0"/>
        <w:spacing w:line="360" w:lineRule="auto"/>
        <w:ind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5.信用记录</w:t>
      </w:r>
    </w:p>
    <w:p>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5.1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rPr>
        <w:t>（填“未被列入”或“被列入”）失信被执行人名单。</w:t>
      </w:r>
    </w:p>
    <w:p>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5.2我方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rPr>
        <w:t>（填“未被列入”或“被列入”）重大税收违法失信主体名单。</w:t>
      </w:r>
    </w:p>
    <w:p>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5.3我方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rPr>
        <w:t>（填“未被列入”或“被列入”）政府采购严重违法失信行为记录名单。</w:t>
      </w:r>
    </w:p>
    <w:p>
      <w:pPr>
        <w:spacing w:line="500" w:lineRule="exact"/>
        <w:ind w:firstLine="480" w:firstLineChars="200"/>
        <w:outlineLvl w:val="9"/>
        <w:rPr>
          <w:rFonts w:hint="eastAsia" w:ascii="宋体" w:hAnsi="宋体" w:eastAsia="宋体" w:cs="宋体"/>
          <w:highlight w:val="none"/>
        </w:rPr>
      </w:pPr>
      <w:r>
        <w:rPr>
          <w:rFonts w:hint="eastAsia" w:ascii="宋体" w:hAnsi="宋体" w:eastAsia="宋体" w:cs="宋体"/>
          <w:color w:val="auto"/>
          <w:sz w:val="24"/>
          <w:szCs w:val="24"/>
          <w:highlight w:val="none"/>
          <w:lang w:val="zh-CN"/>
        </w:rPr>
        <w:t>我方承诺以上说明</w:t>
      </w:r>
      <w:r>
        <w:rPr>
          <w:rFonts w:hint="eastAsia" w:ascii="宋体" w:hAnsi="宋体" w:eastAsia="宋体" w:cs="宋体"/>
          <w:color w:val="auto"/>
          <w:sz w:val="24"/>
          <w:szCs w:val="24"/>
          <w:highlight w:val="none"/>
        </w:rPr>
        <w:t>如有不实，我方将无条件地退出本项目的采购活动，并遵照《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p>
    <w:p>
      <w:pPr>
        <w:autoSpaceDE w:val="0"/>
        <w:autoSpaceDN w:val="0"/>
        <w:adjustRightInd w:val="0"/>
        <w:spacing w:line="360" w:lineRule="auto"/>
        <w:jc w:val="left"/>
        <w:outlineLvl w:val="9"/>
        <w:rPr>
          <w:rFonts w:hint="eastAsia" w:ascii="宋体" w:hAnsi="宋体" w:eastAsia="宋体" w:cs="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法定代表人或授权代表（签字</w:t>
      </w:r>
      <w:r>
        <w:rPr>
          <w:rFonts w:hint="eastAsia" w:ascii="宋体" w:hAnsi="宋体" w:eastAsia="宋体" w:cs="宋体"/>
          <w:sz w:val="24"/>
          <w:szCs w:val="24"/>
          <w:highlight w:val="none"/>
          <w:lang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autoSpaceDE w:val="0"/>
        <w:autoSpaceDN w:val="0"/>
        <w:adjustRightInd w:val="0"/>
        <w:spacing w:line="360" w:lineRule="auto"/>
        <w:jc w:val="center"/>
        <w:outlineLvl w:val="9"/>
        <w:rPr>
          <w:rFonts w:hint="eastAsia" w:ascii="宋体" w:hAnsi="宋体" w:eastAsia="宋体" w:cs="宋体"/>
          <w:b/>
          <w:sz w:val="28"/>
          <w:szCs w:val="28"/>
          <w:highlight w:val="none"/>
          <w:lang w:val="zh-CN"/>
        </w:rPr>
      </w:pPr>
      <w:r>
        <w:rPr>
          <w:rFonts w:hint="eastAsia" w:ascii="宋体" w:hAnsi="宋体" w:eastAsia="宋体" w:cs="宋体"/>
          <w:highlight w:val="none"/>
        </w:rPr>
        <w:br w:type="page"/>
      </w:r>
      <w:r>
        <w:rPr>
          <w:rFonts w:hint="eastAsia" w:ascii="宋体" w:hAnsi="宋体" w:eastAsia="宋体" w:cs="宋体"/>
          <w:b/>
          <w:bCs/>
          <w:sz w:val="28"/>
          <w:szCs w:val="36"/>
          <w:highlight w:val="none"/>
          <w:lang w:val="en-US" w:eastAsia="zh-CN"/>
        </w:rPr>
        <w:t>3、</w:t>
      </w:r>
      <w:r>
        <w:rPr>
          <w:rFonts w:hint="eastAsia" w:ascii="宋体" w:hAnsi="宋体" w:eastAsia="宋体" w:cs="宋体"/>
          <w:b/>
          <w:sz w:val="28"/>
          <w:szCs w:val="28"/>
          <w:highlight w:val="none"/>
          <w:lang w:val="zh-CN"/>
        </w:rPr>
        <w:t>投标人书面声明函</w:t>
      </w:r>
    </w:p>
    <w:p>
      <w:pPr>
        <w:autoSpaceDE w:val="0"/>
        <w:autoSpaceDN w:val="0"/>
        <w:adjustRightInd w:val="0"/>
        <w:spacing w:line="360" w:lineRule="auto"/>
        <w:ind w:firstLine="420" w:firstLineChars="200"/>
        <w:jc w:val="left"/>
        <w:outlineLvl w:val="9"/>
        <w:rPr>
          <w:rFonts w:hint="eastAsia" w:ascii="宋体" w:hAnsi="宋体" w:eastAsia="宋体" w:cs="宋体"/>
          <w:szCs w:val="21"/>
          <w:highlight w:val="none"/>
          <w:lang w:val="zh-CN"/>
        </w:rPr>
      </w:pP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陕西楚元项目管理有限公司</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我方作为</w:t>
      </w:r>
      <w:r>
        <w:rPr>
          <w:rFonts w:hint="eastAsia" w:ascii="宋体" w:hAnsi="宋体" w:eastAsia="宋体" w:cs="宋体"/>
          <w:color w:val="auto"/>
          <w:sz w:val="24"/>
          <w:szCs w:val="24"/>
          <w:highlight w:val="none"/>
          <w:lang w:val="en-US" w:eastAsia="zh-CN"/>
        </w:rPr>
        <w:t>参加</w:t>
      </w:r>
      <w:r>
        <w:rPr>
          <w:rFonts w:hint="eastAsia" w:ascii="宋体" w:hAnsi="宋体" w:eastAsia="宋体" w:cs="宋体"/>
          <w:color w:val="auto"/>
          <w:sz w:val="24"/>
          <w:szCs w:val="24"/>
          <w:highlight w:val="none"/>
          <w:u w:val="single"/>
          <w:lang w:eastAsia="zh-CN"/>
        </w:rPr>
        <w:t>（</w:t>
      </w:r>
      <w:r>
        <w:rPr>
          <w:rFonts w:hint="eastAsia" w:ascii="宋体" w:hAnsi="宋体" w:eastAsia="宋体" w:cs="宋体"/>
          <w:sz w:val="24"/>
          <w:szCs w:val="24"/>
          <w:highlight w:val="none"/>
          <w:u w:val="single"/>
          <w:lang w:val="en-US" w:eastAsia="zh-CN"/>
        </w:rPr>
        <w:t>项目名称及合同包号</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，在此郑重声明：</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1、在参加本次政府采购活动前3年内的经营活动中</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（填“没有”或“有”）重大违法记录。</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2、在参加本次政府采购项目经营活动中</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（填“没有”或“有”）履行合同所必需的设备和专业技术能力</w:t>
      </w:r>
      <w:r>
        <w:rPr>
          <w:rFonts w:hint="eastAsia" w:ascii="宋体" w:hAnsi="宋体" w:eastAsia="宋体" w:cs="宋体"/>
          <w:b/>
          <w:bCs/>
          <w:color w:val="auto"/>
          <w:kern w:val="0"/>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如有不实，我方将无条件地退出本项目的采购活动，并遵照《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授权代表（签字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widowControl w:val="0"/>
        <w:spacing w:afterLines="50" w:line="360" w:lineRule="auto"/>
        <w:jc w:val="both"/>
        <w:rPr>
          <w:rFonts w:hint="eastAsia" w:ascii="宋体" w:hAnsi="宋体" w:eastAsia="宋体" w:cs="宋体"/>
          <w:color w:val="auto"/>
          <w:kern w:val="2"/>
          <w:sz w:val="24"/>
          <w:szCs w:val="24"/>
          <w:highlight w:val="none"/>
          <w:u w:val="single"/>
          <w:lang w:val="en-US" w:eastAsia="zh-CN" w:bidi="ar-SA"/>
        </w:rPr>
      </w:pPr>
    </w:p>
    <w:p>
      <w:pPr>
        <w:shd w:val="clear"/>
        <w:rPr>
          <w:rFonts w:hint="eastAsia" w:ascii="宋体" w:hAnsi="宋体" w:eastAsia="宋体" w:cs="宋体"/>
          <w:color w:val="auto"/>
          <w:sz w:val="24"/>
          <w:szCs w:val="24"/>
          <w:highlight w:val="none"/>
          <w:u w:val="single"/>
        </w:rPr>
      </w:pPr>
    </w:p>
    <w:p>
      <w:pPr>
        <w:keepNext w:val="0"/>
        <w:keepLines w:val="0"/>
        <w:pageBreakBefore w:val="0"/>
        <w:widowControl w:val="0"/>
        <w:numPr>
          <w:ilvl w:val="0"/>
          <w:numId w:val="0"/>
        </w:numPr>
        <w:shd w:val="clear" w:color="auto"/>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sz w:val="24"/>
          <w:szCs w:val="32"/>
          <w:highlight w:val="none"/>
        </w:rPr>
      </w:pPr>
      <w:r>
        <w:rPr>
          <w:rFonts w:hint="eastAsia" w:ascii="宋体" w:hAnsi="宋体" w:eastAsia="宋体" w:cs="宋体"/>
          <w:b/>
          <w:bCs/>
          <w:color w:val="auto"/>
          <w:kern w:val="2"/>
          <w:sz w:val="21"/>
          <w:szCs w:val="32"/>
          <w:highlight w:val="none"/>
          <w:shd w:val="clear"/>
          <w:lang w:val="en-US" w:eastAsia="zh-CN" w:bidi="ar-SA"/>
        </w:rPr>
        <w:t>注：投标人在参加政府采购活动前3年内因违法经营被禁止在一定期限内参加政府采购活动，期限届满的，可以参加政府采购活动，但应提供期限届满的证明材料。</w:t>
      </w:r>
      <w:r>
        <w:rPr>
          <w:rFonts w:hint="eastAsia" w:ascii="宋体" w:hAnsi="宋体" w:eastAsia="宋体" w:cs="宋体"/>
          <w:sz w:val="18"/>
          <w:highlight w:val="none"/>
        </w:rPr>
        <w:br w:type="page"/>
      </w:r>
      <w:bookmarkStart w:id="115" w:name="_Hlk63418484"/>
      <w:r>
        <w:rPr>
          <w:rFonts w:hint="eastAsia" w:ascii="宋体" w:hAnsi="宋体" w:eastAsia="宋体" w:cs="宋体"/>
          <w:b/>
          <w:bCs/>
          <w:sz w:val="24"/>
          <w:szCs w:val="32"/>
          <w:highlight w:val="none"/>
        </w:rPr>
        <w:t>附件</w:t>
      </w:r>
      <w:r>
        <w:rPr>
          <w:rFonts w:hint="eastAsia" w:ascii="宋体" w:hAnsi="宋体" w:eastAsia="宋体" w:cs="宋体"/>
          <w:b/>
          <w:bCs/>
          <w:sz w:val="24"/>
          <w:szCs w:val="32"/>
          <w:highlight w:val="none"/>
          <w:lang w:val="en-US" w:eastAsia="zh-CN"/>
        </w:rPr>
        <w:t>一</w:t>
      </w:r>
      <w:r>
        <w:rPr>
          <w:rFonts w:hint="eastAsia" w:ascii="宋体" w:hAnsi="宋体" w:eastAsia="宋体" w:cs="宋体"/>
          <w:b/>
          <w:bCs/>
          <w:sz w:val="24"/>
          <w:szCs w:val="32"/>
          <w:highlight w:val="none"/>
        </w:rPr>
        <w:t>：</w:t>
      </w:r>
    </w:p>
    <w:bookmarkEnd w:id="115"/>
    <w:p>
      <w:pPr>
        <w:bidi w:val="0"/>
        <w:spacing w:line="240" w:lineRule="auto"/>
        <w:jc w:val="center"/>
        <w:rPr>
          <w:rFonts w:hint="eastAsia" w:ascii="宋体" w:hAnsi="宋体" w:eastAsia="宋体" w:cs="宋体"/>
          <w:b/>
          <w:bCs/>
          <w:color w:val="auto"/>
          <w:spacing w:val="15"/>
          <w:szCs w:val="36"/>
          <w:highlight w:val="none"/>
          <w:shd w:val="clear" w:color="auto" w:fill="FFFFFF"/>
        </w:rPr>
      </w:pP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val="en-US" w:eastAsia="zh-CN"/>
        </w:rPr>
        <w:t>服务</w:t>
      </w:r>
      <w:r>
        <w:rPr>
          <w:rFonts w:hint="eastAsia" w:ascii="宋体" w:hAnsi="宋体" w:eastAsia="宋体" w:cs="宋体"/>
          <w:b/>
          <w:bCs/>
          <w:color w:val="auto"/>
          <w:sz w:val="28"/>
          <w:szCs w:val="28"/>
        </w:rPr>
        <w:t>)</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shd w:val="clear"/>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本公司(联合体)郑重声明，根据《政府采购促进中小企业发展管理办法》(财库〔2020〕46号)的规定，本公司(联合体)参加</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单位名称</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sz w:val="24"/>
          <w:szCs w:val="24"/>
          <w:highlight w:val="none"/>
          <w:u w:val="single"/>
          <w:lang w:val="en-US" w:eastAsia="zh-CN"/>
        </w:rPr>
        <w:t>项目名称及合同包号</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rPr>
        <w:t>采购活动，服务全部由符合政策要求的中小企业承接。相关企业(含联合体中的中小企业、签订分包意向协议的中小企业)的具体情况如下:</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rPr>
        <w:t xml:space="preserve">1. </w:t>
      </w:r>
      <w:r>
        <w:rPr>
          <w:rFonts w:hint="eastAsia" w:ascii="宋体" w:hAnsi="宋体" w:eastAsia="宋体" w:cs="宋体"/>
          <w:color w:val="auto"/>
          <w:sz w:val="24"/>
          <w:szCs w:val="24"/>
          <w:u w:val="single"/>
          <w:lang w:val="en-US" w:eastAsia="zh-CN"/>
        </w:rPr>
        <w:t xml:space="preserve">       （标的名称）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采购文件中明确的所属行业</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承接企业为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lang w:eastAsia="zh-CN"/>
        </w:rPr>
        <w:t>；</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116" w:name="_Hlk74735468"/>
      <w:r>
        <w:rPr>
          <w:rFonts w:hint="eastAsia" w:ascii="宋体" w:hAnsi="宋体" w:eastAsia="宋体" w:cs="宋体"/>
          <w:sz w:val="24"/>
          <w:szCs w:val="24"/>
          <w:lang w:val="en-US" w:eastAsia="zh-CN"/>
        </w:rPr>
        <w:t>......</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bookmarkEnd w:id="116"/>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企业名称（盖章）：</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right"/>
        <w:textAlignment w:val="auto"/>
        <w:rPr>
          <w:rFonts w:hint="eastAsia" w:ascii="宋体" w:hAnsi="宋体" w:eastAsia="宋体" w:cs="宋体"/>
          <w:color w:val="auto"/>
          <w:spacing w:val="6"/>
          <w:szCs w:val="32"/>
          <w:highlight w:val="none"/>
        </w:rPr>
      </w:pPr>
      <w:r>
        <w:rPr>
          <w:rFonts w:hint="eastAsia" w:ascii="宋体" w:hAnsi="宋体" w:eastAsia="宋体" w:cs="宋体"/>
          <w:color w:val="auto"/>
          <w:sz w:val="24"/>
          <w:szCs w:val="24"/>
        </w:rPr>
        <w:t xml:space="preserve">日  期： 年 月 </w:t>
      </w:r>
      <w:r>
        <w:rPr>
          <w:rFonts w:hint="eastAsia" w:ascii="宋体" w:hAnsi="宋体" w:eastAsia="宋体" w:cs="宋体"/>
          <w:color w:val="auto"/>
          <w:spacing w:val="6"/>
          <w:szCs w:val="32"/>
          <w:highlight w:val="none"/>
        </w:rPr>
        <w:t>日</w:t>
      </w:r>
    </w:p>
    <w:p>
      <w:pPr>
        <w:numPr>
          <w:ilvl w:val="0"/>
          <w:numId w:val="0"/>
        </w:numPr>
        <w:tabs>
          <w:tab w:val="left" w:pos="0"/>
        </w:tabs>
        <w:spacing w:line="360" w:lineRule="auto"/>
        <w:ind w:leftChars="0"/>
        <w:outlineLvl w:val="9"/>
        <w:rPr>
          <w:rFonts w:hint="eastAsia" w:ascii="宋体" w:hAnsi="宋体" w:eastAsia="宋体" w:cs="宋体"/>
          <w:b/>
          <w:bCs/>
          <w:szCs w:val="21"/>
          <w:highlight w:val="none"/>
          <w:lang w:val="en-US" w:eastAsia="zh-CN"/>
        </w:rPr>
      </w:pPr>
      <w:r>
        <w:rPr>
          <w:rFonts w:hint="eastAsia" w:ascii="宋体" w:hAnsi="宋体" w:eastAsia="宋体" w:cs="宋体"/>
          <w:b/>
          <w:bCs/>
          <w:color w:val="333333"/>
          <w:spacing w:val="15"/>
          <w:sz w:val="21"/>
          <w:highlight w:val="none"/>
          <w:shd w:val="clear" w:color="auto" w:fill="FFFFFF"/>
          <w:lang w:val="en-US" w:eastAsia="zh-CN"/>
        </w:rPr>
        <w:t>注：1、</w:t>
      </w:r>
      <w:r>
        <w:rPr>
          <w:rFonts w:hint="eastAsia" w:ascii="宋体" w:hAnsi="宋体" w:eastAsia="宋体" w:cs="宋体"/>
          <w:b/>
          <w:bCs/>
          <w:color w:val="333333"/>
          <w:spacing w:val="15"/>
          <w:sz w:val="21"/>
          <w:highlight w:val="none"/>
          <w:shd w:val="clear" w:color="auto" w:fill="FFFFFF"/>
        </w:rPr>
        <w:t>从业人员、营业收入、资产总额填报上一年度数据，无上一年度数据的新成立企业可不填报。</w:t>
      </w:r>
    </w:p>
    <w:p>
      <w:pPr>
        <w:numPr>
          <w:ilvl w:val="0"/>
          <w:numId w:val="0"/>
        </w:numPr>
        <w:tabs>
          <w:tab w:val="left" w:pos="0"/>
        </w:tabs>
        <w:spacing w:line="360" w:lineRule="auto"/>
        <w:ind w:leftChars="0"/>
        <w:outlineLvl w:val="9"/>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2、</w:t>
      </w:r>
      <w:r>
        <w:rPr>
          <w:rFonts w:hint="eastAsia" w:ascii="宋体" w:hAnsi="宋体" w:eastAsia="宋体" w:cs="宋体"/>
          <w:b/>
          <w:bCs/>
          <w:szCs w:val="21"/>
          <w:highlight w:val="none"/>
        </w:rPr>
        <w:t>如不是该类企业则不需提供相关声明，若提供虚假材料谋取中标、成交的，将按照《政府采购法》第七十七条规定对</w:t>
      </w:r>
      <w:r>
        <w:rPr>
          <w:rFonts w:hint="eastAsia" w:ascii="宋体" w:hAnsi="宋体" w:eastAsia="宋体" w:cs="宋体"/>
          <w:b/>
          <w:bCs/>
          <w:szCs w:val="21"/>
          <w:highlight w:val="none"/>
          <w:lang w:eastAsia="zh-CN"/>
        </w:rPr>
        <w:t>投标人</w:t>
      </w:r>
      <w:r>
        <w:rPr>
          <w:rFonts w:hint="eastAsia" w:ascii="宋体" w:hAnsi="宋体" w:eastAsia="宋体" w:cs="宋体"/>
          <w:b/>
          <w:bCs/>
          <w:szCs w:val="21"/>
          <w:highlight w:val="none"/>
        </w:rPr>
        <w:t>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outlineLvl w:val="9"/>
        <w:rPr>
          <w:rFonts w:hint="eastAsia" w:ascii="宋体" w:hAnsi="宋体" w:eastAsia="宋体" w:cs="宋体"/>
          <w:spacing w:val="6"/>
          <w:sz w:val="30"/>
          <w:szCs w:val="30"/>
          <w:highlight w:val="none"/>
        </w:rPr>
      </w:pPr>
      <w:r>
        <w:rPr>
          <w:rFonts w:hint="eastAsia" w:ascii="宋体" w:hAnsi="宋体" w:eastAsia="宋体" w:cs="宋体"/>
          <w:b/>
          <w:kern w:val="0"/>
          <w:sz w:val="24"/>
          <w:szCs w:val="24"/>
          <w:highlight w:val="none"/>
        </w:rPr>
        <w:br w:type="page"/>
      </w:r>
    </w:p>
    <w:p>
      <w:pPr>
        <w:numPr>
          <w:ilvl w:val="0"/>
          <w:numId w:val="0"/>
        </w:numPr>
        <w:tabs>
          <w:tab w:val="left" w:pos="0"/>
        </w:tabs>
        <w:suppressAutoHyphens/>
        <w:spacing w:line="360" w:lineRule="auto"/>
        <w:ind w:leftChars="0"/>
        <w:outlineLvl w:val="9"/>
        <w:rPr>
          <w:rFonts w:hint="eastAsia" w:ascii="宋体" w:hAnsi="宋体" w:eastAsia="宋体" w:cs="宋体"/>
          <w:color w:val="auto"/>
          <w:spacing w:val="6"/>
          <w:sz w:val="30"/>
          <w:szCs w:val="30"/>
          <w:highlight w:val="none"/>
        </w:rPr>
      </w:pPr>
      <w:r>
        <w:rPr>
          <w:rFonts w:hint="eastAsia" w:ascii="宋体" w:hAnsi="宋体" w:eastAsia="宋体" w:cs="宋体"/>
          <w:b/>
          <w:color w:val="auto"/>
          <w:kern w:val="0"/>
          <w:sz w:val="24"/>
          <w:szCs w:val="24"/>
          <w:highlight w:val="none"/>
        </w:rPr>
        <w:t>附件</w:t>
      </w:r>
      <w:r>
        <w:rPr>
          <w:rFonts w:hint="eastAsia" w:ascii="宋体" w:hAnsi="宋体" w:eastAsia="宋体" w:cs="宋体"/>
          <w:b/>
          <w:color w:val="auto"/>
          <w:kern w:val="0"/>
          <w:sz w:val="24"/>
          <w:szCs w:val="24"/>
          <w:highlight w:val="none"/>
          <w:lang w:val="en-US" w:eastAsia="zh-CN"/>
        </w:rPr>
        <w:t>二</w:t>
      </w:r>
      <w:r>
        <w:rPr>
          <w:rFonts w:hint="eastAsia" w:ascii="宋体" w:hAnsi="宋体" w:eastAsia="宋体" w:cs="宋体"/>
          <w:b/>
          <w:color w:val="auto"/>
          <w:kern w:val="0"/>
          <w:sz w:val="24"/>
          <w:szCs w:val="24"/>
          <w:highlight w:val="none"/>
        </w:rPr>
        <w:t>：</w:t>
      </w:r>
    </w:p>
    <w:p>
      <w:pPr>
        <w:numPr>
          <w:ilvl w:val="0"/>
          <w:numId w:val="0"/>
        </w:numPr>
        <w:tabs>
          <w:tab w:val="left" w:pos="0"/>
        </w:tabs>
        <w:suppressAutoHyphens/>
        <w:spacing w:line="360" w:lineRule="auto"/>
        <w:ind w:leftChars="0"/>
        <w:jc w:val="center"/>
        <w:outlineLvl w:val="9"/>
        <w:rPr>
          <w:rFonts w:hint="eastAsia" w:ascii="宋体" w:hAnsi="宋体" w:eastAsia="宋体" w:cs="宋体"/>
          <w:b/>
          <w:color w:val="auto"/>
          <w:spacing w:val="6"/>
          <w:sz w:val="24"/>
          <w:szCs w:val="24"/>
          <w:highlight w:val="none"/>
        </w:rPr>
      </w:pPr>
      <w:r>
        <w:rPr>
          <w:rFonts w:hint="eastAsia" w:ascii="宋体" w:hAnsi="宋体" w:eastAsia="宋体" w:cs="宋体"/>
          <w:b/>
          <w:bCs/>
          <w:color w:val="auto"/>
          <w:spacing w:val="15"/>
          <w:kern w:val="0"/>
          <w:sz w:val="28"/>
          <w:szCs w:val="36"/>
          <w:highlight w:val="none"/>
          <w:shd w:val="clear" w:color="auto" w:fill="FFFFFF"/>
          <w:lang w:val="en-US" w:eastAsia="zh-CN" w:bidi="ar-SA"/>
        </w:rPr>
        <w:t>残疾人福利性单位声明函</w:t>
      </w:r>
    </w:p>
    <w:p>
      <w:pPr>
        <w:numPr>
          <w:ilvl w:val="0"/>
          <w:numId w:val="0"/>
        </w:numPr>
        <w:tabs>
          <w:tab w:val="left" w:pos="0"/>
        </w:tabs>
        <w:suppressAutoHyphens/>
        <w:spacing w:line="360" w:lineRule="auto"/>
        <w:ind w:leftChars="0"/>
        <w:outlineLvl w:val="9"/>
        <w:rPr>
          <w:rFonts w:hint="eastAsia" w:ascii="宋体" w:hAnsi="宋体" w:eastAsia="宋体" w:cs="宋体"/>
          <w:b/>
          <w:color w:val="auto"/>
          <w:spacing w:val="6"/>
          <w:sz w:val="24"/>
          <w:szCs w:val="24"/>
          <w:highlight w:val="none"/>
        </w:rPr>
      </w:pP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pacing w:val="6"/>
          <w:sz w:val="24"/>
          <w:szCs w:val="32"/>
          <w:highlight w:val="none"/>
        </w:rPr>
      </w:pP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Cs w:val="24"/>
          <w:highlight w:val="none"/>
        </w:rPr>
        <w:t xml:space="preserve"> </w:t>
      </w:r>
      <w:r>
        <w:rPr>
          <w:rFonts w:hint="eastAsia" w:ascii="宋体" w:hAnsi="宋体" w:eastAsia="宋体" w:cs="宋体"/>
          <w:color w:val="auto"/>
          <w:spacing w:val="6"/>
          <w:sz w:val="24"/>
          <w:szCs w:val="32"/>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32"/>
          <w:highlight w:val="none"/>
        </w:rPr>
        <w:t>〔2017〕141</w:t>
      </w:r>
      <w:r>
        <w:rPr>
          <w:rFonts w:hint="eastAsia" w:ascii="宋体" w:hAnsi="宋体" w:eastAsia="宋体" w:cs="宋体"/>
          <w:color w:val="auto"/>
          <w:spacing w:val="6"/>
          <w:sz w:val="24"/>
          <w:szCs w:val="32"/>
          <w:highlight w:val="none"/>
        </w:rPr>
        <w:t>号）的规定，本单位为符合条件的残疾人福利性单位，且本单位参加</w:t>
      </w:r>
      <w:r>
        <w:rPr>
          <w:rFonts w:hint="eastAsia" w:ascii="宋体" w:hAnsi="宋体" w:eastAsia="宋体" w:cs="宋体"/>
          <w:color w:val="auto"/>
          <w:spacing w:val="15"/>
          <w:sz w:val="24"/>
          <w:szCs w:val="32"/>
          <w:highlight w:val="none"/>
          <w:u w:val="single"/>
          <w:shd w:val="clear" w:color="auto" w:fill="FFFFFF"/>
          <w:lang w:val="en-US" w:eastAsia="zh-CN"/>
        </w:rPr>
        <w:t xml:space="preserve">          </w:t>
      </w:r>
      <w:r>
        <w:rPr>
          <w:rFonts w:hint="eastAsia" w:ascii="宋体" w:hAnsi="宋体" w:eastAsia="宋体" w:cs="宋体"/>
          <w:color w:val="auto"/>
          <w:spacing w:val="6"/>
          <w:sz w:val="24"/>
          <w:szCs w:val="32"/>
          <w:highlight w:val="none"/>
        </w:rPr>
        <w:t>单位的</w:t>
      </w:r>
      <w:r>
        <w:rPr>
          <w:rFonts w:hint="eastAsia" w:ascii="宋体" w:hAnsi="宋体" w:eastAsia="宋体" w:cs="宋体"/>
          <w:color w:val="auto"/>
          <w:spacing w:val="15"/>
          <w:sz w:val="24"/>
          <w:szCs w:val="32"/>
          <w:highlight w:val="none"/>
          <w:u w:val="single"/>
          <w:shd w:val="clear" w:color="auto" w:fill="FFFFFF"/>
          <w:lang w:val="en-US" w:eastAsia="zh-CN"/>
        </w:rPr>
        <w:t xml:space="preserve">          </w:t>
      </w:r>
      <w:r>
        <w:rPr>
          <w:rFonts w:hint="eastAsia" w:ascii="宋体" w:hAnsi="宋体" w:eastAsia="宋体" w:cs="宋体"/>
          <w:color w:val="auto"/>
          <w:spacing w:val="6"/>
          <w:sz w:val="24"/>
          <w:szCs w:val="32"/>
          <w:highlight w:val="none"/>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leftChars="0" w:firstLine="504" w:firstLineChars="200"/>
        <w:textAlignment w:val="auto"/>
        <w:outlineLvl w:val="9"/>
        <w:rPr>
          <w:rFonts w:hint="eastAsia" w:ascii="宋体" w:hAnsi="宋体" w:eastAsia="宋体" w:cs="宋体"/>
          <w:color w:val="auto"/>
          <w:spacing w:val="6"/>
          <w:sz w:val="24"/>
          <w:szCs w:val="32"/>
          <w:highlight w:val="none"/>
        </w:rPr>
      </w:pPr>
      <w:r>
        <w:rPr>
          <w:rFonts w:hint="eastAsia" w:ascii="宋体" w:hAnsi="宋体" w:eastAsia="宋体" w:cs="宋体"/>
          <w:color w:val="auto"/>
          <w:spacing w:val="6"/>
          <w:sz w:val="24"/>
          <w:szCs w:val="32"/>
          <w:highlight w:val="none"/>
        </w:rPr>
        <w:t>本单位对上述声明的真实性负责。如有虚假，将依法承担相应责任。</w:t>
      </w:r>
    </w:p>
    <w:p>
      <w:pPr>
        <w:numPr>
          <w:ilvl w:val="0"/>
          <w:numId w:val="4"/>
        </w:numPr>
        <w:suppressAutoHyphens/>
        <w:spacing w:line="360" w:lineRule="auto"/>
        <w:outlineLvl w:val="9"/>
        <w:rPr>
          <w:rFonts w:hint="eastAsia" w:ascii="宋体" w:hAnsi="宋体" w:eastAsia="宋体" w:cs="宋体"/>
          <w:color w:val="auto"/>
          <w:spacing w:val="6"/>
          <w:sz w:val="24"/>
          <w:szCs w:val="32"/>
          <w:highlight w:val="none"/>
        </w:rPr>
      </w:pPr>
    </w:p>
    <w:p>
      <w:pPr>
        <w:numPr>
          <w:ilvl w:val="0"/>
          <w:numId w:val="4"/>
        </w:numPr>
        <w:spacing w:line="588" w:lineRule="exact"/>
        <w:outlineLvl w:val="9"/>
        <w:rPr>
          <w:rFonts w:hint="eastAsia" w:ascii="宋体" w:hAnsi="宋体" w:eastAsia="宋体" w:cs="宋体"/>
          <w:color w:val="auto"/>
          <w:spacing w:val="15"/>
          <w:kern w:val="0"/>
          <w:sz w:val="24"/>
          <w:highlight w:val="none"/>
          <w:shd w:val="clear" w:color="auto" w:fill="FFFFFF"/>
        </w:rPr>
      </w:pP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beforeAutospacing="0" w:afterAutospacing="0" w:line="360" w:lineRule="auto"/>
        <w:ind w:leftChars="0" w:right="0" w:rightChars="0"/>
        <w:jc w:val="right"/>
        <w:textAlignment w:val="auto"/>
        <w:outlineLvl w:val="9"/>
        <w:rPr>
          <w:rFonts w:hint="eastAsia" w:ascii="宋体" w:hAnsi="宋体" w:eastAsia="宋体" w:cs="宋体"/>
          <w:color w:val="auto"/>
          <w:spacing w:val="6"/>
          <w:sz w:val="24"/>
          <w:szCs w:val="32"/>
          <w:highlight w:val="none"/>
        </w:rPr>
      </w:pPr>
      <w:r>
        <w:rPr>
          <w:rFonts w:hint="eastAsia" w:ascii="宋体" w:hAnsi="宋体" w:eastAsia="宋体" w:cs="宋体"/>
          <w:color w:val="auto"/>
          <w:spacing w:val="6"/>
          <w:sz w:val="24"/>
          <w:szCs w:val="32"/>
          <w:highlight w:val="none"/>
        </w:rPr>
        <w:t>企业名称（盖章）：</w:t>
      </w: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beforeAutospacing="0" w:afterAutospacing="0" w:line="360" w:lineRule="auto"/>
        <w:ind w:leftChars="0" w:right="0" w:rightChars="0"/>
        <w:jc w:val="right"/>
        <w:textAlignment w:val="auto"/>
        <w:outlineLvl w:val="9"/>
        <w:rPr>
          <w:rFonts w:hint="eastAsia" w:ascii="宋体" w:hAnsi="宋体" w:eastAsia="宋体" w:cs="宋体"/>
          <w:color w:val="auto"/>
          <w:spacing w:val="6"/>
          <w:sz w:val="24"/>
          <w:szCs w:val="32"/>
          <w:highlight w:val="none"/>
        </w:rPr>
      </w:pPr>
      <w:r>
        <w:rPr>
          <w:rFonts w:hint="eastAsia" w:ascii="宋体" w:hAnsi="宋体" w:eastAsia="宋体" w:cs="宋体"/>
          <w:color w:val="auto"/>
          <w:spacing w:val="6"/>
          <w:sz w:val="24"/>
          <w:szCs w:val="32"/>
          <w:highlight w:val="none"/>
        </w:rPr>
        <w:t>日  期： 年 月 日</w:t>
      </w:r>
    </w:p>
    <w:p>
      <w:pPr>
        <w:numPr>
          <w:ilvl w:val="0"/>
          <w:numId w:val="4"/>
        </w:numPr>
        <w:jc w:val="center"/>
        <w:outlineLvl w:val="9"/>
        <w:rPr>
          <w:rFonts w:hint="eastAsia" w:ascii="宋体" w:hAnsi="宋体" w:eastAsia="宋体" w:cs="宋体"/>
          <w:b/>
          <w:color w:val="auto"/>
          <w:szCs w:val="21"/>
          <w:highlight w:val="none"/>
        </w:rPr>
      </w:pPr>
    </w:p>
    <w:p>
      <w:pPr>
        <w:numPr>
          <w:ilvl w:val="0"/>
          <w:numId w:val="4"/>
        </w:numPr>
        <w:jc w:val="center"/>
        <w:outlineLvl w:val="9"/>
        <w:rPr>
          <w:rFonts w:hint="eastAsia" w:ascii="宋体" w:hAnsi="宋体" w:eastAsia="宋体" w:cs="宋体"/>
          <w:b/>
          <w:color w:val="auto"/>
          <w:szCs w:val="21"/>
          <w:highlight w:val="none"/>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szCs w:val="21"/>
          <w:highlight w:val="none"/>
        </w:rPr>
      </w:pPr>
      <w:r>
        <w:rPr>
          <w:rFonts w:hint="eastAsia" w:ascii="宋体" w:hAnsi="宋体" w:eastAsia="宋体" w:cs="宋体"/>
          <w:b/>
          <w:color w:val="auto"/>
          <w:szCs w:val="21"/>
          <w:highlight w:val="none"/>
        </w:rPr>
        <w:t>注：如不是该类企业则不需提供相关声明，若提供虚假材料谋取中标、成交的，将按照《政府采购法》第七十七条规定对</w:t>
      </w:r>
      <w:r>
        <w:rPr>
          <w:rFonts w:hint="eastAsia" w:ascii="宋体" w:hAnsi="宋体" w:eastAsia="宋体" w:cs="宋体"/>
          <w:b/>
          <w:color w:val="auto"/>
          <w:szCs w:val="21"/>
          <w:highlight w:val="none"/>
          <w:lang w:eastAsia="zh-CN"/>
        </w:rPr>
        <w:t>投标人</w:t>
      </w:r>
      <w:r>
        <w:rPr>
          <w:rFonts w:hint="eastAsia" w:ascii="宋体" w:hAnsi="宋体" w:eastAsia="宋体" w:cs="宋体"/>
          <w:b/>
          <w:color w:val="auto"/>
          <w:szCs w:val="21"/>
          <w:highlight w:val="none"/>
        </w:rPr>
        <w:t>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0"/>
        </w:numPr>
        <w:tabs>
          <w:tab w:val="left" w:pos="0"/>
        </w:tabs>
        <w:suppressAutoHyphens/>
        <w:spacing w:line="360" w:lineRule="auto"/>
        <w:ind w:leftChars="0"/>
        <w:outlineLvl w:val="9"/>
        <w:rPr>
          <w:rFonts w:hint="eastAsia" w:ascii="宋体" w:hAnsi="宋体" w:eastAsia="宋体" w:cs="宋体"/>
          <w:color w:val="auto"/>
          <w:spacing w:val="6"/>
          <w:sz w:val="24"/>
          <w:szCs w:val="24"/>
          <w:highlight w:val="none"/>
        </w:rPr>
      </w:pPr>
      <w:r>
        <w:rPr>
          <w:rFonts w:hint="eastAsia" w:ascii="宋体" w:hAnsi="宋体" w:eastAsia="宋体" w:cs="宋体"/>
          <w:b/>
          <w:szCs w:val="21"/>
          <w:highlight w:val="none"/>
        </w:rPr>
        <w:br w:type="page"/>
      </w:r>
      <w:bookmarkEnd w:id="108"/>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三</w:t>
      </w:r>
      <w:r>
        <w:rPr>
          <w:rFonts w:hint="eastAsia" w:ascii="宋体" w:hAnsi="宋体" w:eastAsia="宋体" w:cs="宋体"/>
          <w:color w:val="auto"/>
          <w:sz w:val="24"/>
          <w:szCs w:val="24"/>
          <w:highlight w:val="none"/>
        </w:rPr>
        <w:t>：</w:t>
      </w:r>
    </w:p>
    <w:p>
      <w:pPr>
        <w:bidi w:val="0"/>
        <w:jc w:val="center"/>
        <w:rPr>
          <w:rFonts w:hint="eastAsia" w:ascii="宋体" w:hAnsi="宋体" w:eastAsia="宋体" w:cs="宋体"/>
          <w:b/>
          <w:bCs/>
          <w:color w:val="auto"/>
          <w:spacing w:val="15"/>
          <w:szCs w:val="36"/>
          <w:highlight w:val="none"/>
          <w:shd w:val="clear" w:color="auto" w:fill="FFFFFF"/>
          <w:lang w:val="en-US" w:eastAsia="zh-CN"/>
        </w:rPr>
      </w:pPr>
      <w:r>
        <w:rPr>
          <w:rFonts w:hint="eastAsia" w:ascii="宋体" w:hAnsi="宋体" w:eastAsia="宋体" w:cs="宋体"/>
          <w:b/>
          <w:bCs/>
          <w:color w:val="auto"/>
          <w:sz w:val="28"/>
          <w:szCs w:val="36"/>
          <w:lang w:val="en-US" w:eastAsia="zh-CN"/>
        </w:rPr>
        <w:t>监狱企业声明函</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本单位郑重声明，根据《关于政府采购支持监狱企业发展有关问题的通知》（财库</w:t>
      </w:r>
      <w:r>
        <w:rPr>
          <w:rFonts w:hint="eastAsia" w:ascii="宋体" w:hAnsi="宋体" w:eastAsia="宋体" w:cs="宋体"/>
          <w:color w:val="auto"/>
          <w:sz w:val="24"/>
          <w:szCs w:val="32"/>
          <w:highlight w:val="none"/>
        </w:rPr>
        <w:t>〔</w:t>
      </w:r>
      <w:r>
        <w:rPr>
          <w:rFonts w:hint="eastAsia" w:ascii="宋体" w:hAnsi="宋体" w:eastAsia="宋体" w:cs="宋体"/>
          <w:color w:val="auto"/>
          <w:sz w:val="24"/>
          <w:szCs w:val="24"/>
        </w:rPr>
        <w:t>2014</w:t>
      </w:r>
      <w:r>
        <w:rPr>
          <w:rFonts w:hint="eastAsia" w:ascii="宋体" w:hAnsi="宋体" w:eastAsia="宋体" w:cs="宋体"/>
          <w:color w:val="auto"/>
          <w:sz w:val="24"/>
          <w:szCs w:val="32"/>
          <w:highlight w:val="none"/>
        </w:rPr>
        <w:t>〕</w:t>
      </w:r>
      <w:r>
        <w:rPr>
          <w:rFonts w:hint="eastAsia" w:ascii="宋体" w:hAnsi="宋体" w:eastAsia="宋体" w:cs="宋体"/>
          <w:color w:val="auto"/>
          <w:sz w:val="24"/>
          <w:szCs w:val="24"/>
        </w:rPr>
        <w:t>68号）的规定，本单位为符合条件的监狱企业，且本单位参加</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单位的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项目采购活动提供本单位制造的货物（由本单位承担工程/提供服务），或者提供其他监狱企业制造的货物（不包括使用非监狱企业注册商标的货物）。</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15"/>
          <w:kern w:val="0"/>
          <w:sz w:val="24"/>
          <w:szCs w:val="24"/>
          <w:highlight w:val="none"/>
          <w:shd w:val="clear" w:color="auto" w:fill="FFFFFF"/>
        </w:rPr>
      </w:pPr>
      <w:r>
        <w:rPr>
          <w:rFonts w:hint="eastAsia" w:ascii="宋体" w:hAnsi="宋体" w:eastAsia="宋体" w:cs="宋体"/>
          <w:color w:val="auto"/>
          <w:sz w:val="24"/>
          <w:szCs w:val="24"/>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outlineLvl w:val="9"/>
        <w:rPr>
          <w:rFonts w:hint="eastAsia" w:ascii="宋体" w:hAnsi="宋体" w:eastAsia="宋体" w:cs="宋体"/>
          <w:color w:val="auto"/>
          <w:spacing w:val="6"/>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outlineLvl w:val="9"/>
        <w:rPr>
          <w:rFonts w:hint="eastAsia" w:ascii="宋体" w:hAnsi="宋体" w:eastAsia="宋体" w:cs="宋体"/>
          <w:color w:val="auto"/>
          <w:spacing w:val="6"/>
          <w:sz w:val="24"/>
          <w:szCs w:val="24"/>
          <w:highlight w:val="none"/>
        </w:rPr>
      </w:pPr>
    </w:p>
    <w:p>
      <w:pPr>
        <w:keepNext w:val="0"/>
        <w:keepLines w:val="0"/>
        <w:pageBreakBefore w:val="0"/>
        <w:widowControl w:val="0"/>
        <w:numPr>
          <w:ilvl w:val="0"/>
          <w:numId w:val="4"/>
        </w:numPr>
        <w:suppressAutoHyphens/>
        <w:kinsoku/>
        <w:wordWrap/>
        <w:overflowPunct/>
        <w:topLinePunct w:val="0"/>
        <w:autoSpaceDE/>
        <w:autoSpaceDN/>
        <w:bidi w:val="0"/>
        <w:adjustRightInd/>
        <w:snapToGrid/>
        <w:spacing w:beforeAutospacing="0" w:afterAutospacing="0" w:line="360" w:lineRule="auto"/>
        <w:ind w:right="0" w:rightChars="0" w:firstLine="504" w:firstLineChars="200"/>
        <w:jc w:val="right"/>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企业名称（盖章）：</w:t>
      </w:r>
    </w:p>
    <w:p>
      <w:pPr>
        <w:keepNext w:val="0"/>
        <w:keepLines w:val="0"/>
        <w:pageBreakBefore w:val="0"/>
        <w:widowControl w:val="0"/>
        <w:numPr>
          <w:ilvl w:val="0"/>
          <w:numId w:val="4"/>
        </w:numPr>
        <w:suppressAutoHyphens/>
        <w:kinsoku/>
        <w:wordWrap/>
        <w:overflowPunct/>
        <w:topLinePunct w:val="0"/>
        <w:autoSpaceDE/>
        <w:autoSpaceDN/>
        <w:bidi w:val="0"/>
        <w:adjustRightInd/>
        <w:snapToGrid/>
        <w:spacing w:beforeAutospacing="0" w:afterAutospacing="0" w:line="360" w:lineRule="auto"/>
        <w:ind w:right="0" w:rightChars="0" w:firstLine="504" w:firstLineChars="200"/>
        <w:jc w:val="right"/>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  期： 年 月 日</w:t>
      </w:r>
    </w:p>
    <w:p>
      <w:pPr>
        <w:outlineLvl w:val="9"/>
        <w:rPr>
          <w:rFonts w:hint="eastAsia" w:ascii="宋体" w:hAnsi="宋体" w:eastAsia="宋体" w:cs="宋体"/>
          <w:color w:val="auto"/>
          <w:szCs w:val="21"/>
          <w:highlight w:val="none"/>
        </w:rPr>
      </w:pPr>
    </w:p>
    <w:p>
      <w:pPr>
        <w:outlineLvl w:val="9"/>
        <w:rPr>
          <w:rFonts w:hint="eastAsia" w:ascii="宋体" w:hAnsi="宋体" w:eastAsia="宋体" w:cs="宋体"/>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后附：由省级以上监狱管理局、戒毒管理局（含新疆生产建设兵团）出具的属于监狱企业的证明文件</w:t>
      </w:r>
    </w:p>
    <w:p>
      <w:pPr>
        <w:pStyle w:val="4"/>
        <w:numPr>
          <w:ilvl w:val="2"/>
          <w:numId w:val="0"/>
        </w:numPr>
        <w:ind w:leftChars="0"/>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注：如不是该类企业则不需提供相关声明，若提供虚假材料谋取中标、成交的，将按照《政府采购法》第七十七条规定对</w:t>
      </w:r>
      <w:r>
        <w:rPr>
          <w:rFonts w:hint="eastAsia" w:ascii="宋体" w:hAnsi="宋体" w:eastAsia="宋体" w:cs="宋体"/>
          <w:b/>
          <w:color w:val="auto"/>
          <w:szCs w:val="21"/>
          <w:highlight w:val="none"/>
          <w:lang w:eastAsia="zh-CN"/>
        </w:rPr>
        <w:t>投标人</w:t>
      </w:r>
      <w:r>
        <w:rPr>
          <w:rFonts w:hint="eastAsia" w:ascii="宋体" w:hAnsi="宋体" w:eastAsia="宋体" w:cs="宋体"/>
          <w:b/>
          <w:color w:val="auto"/>
          <w:szCs w:val="21"/>
          <w:highlight w:val="none"/>
        </w:rPr>
        <w:t>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4"/>
        <w:numPr>
          <w:ilvl w:val="2"/>
          <w:numId w:val="0"/>
        </w:numPr>
        <w:ind w:leftChars="0"/>
        <w:rPr>
          <w:rFonts w:hint="eastAsia" w:ascii="宋体" w:hAnsi="宋体" w:eastAsia="宋体" w:cs="宋体"/>
          <w:lang w:val="en-US" w:eastAsia="zh-CN"/>
        </w:rPr>
      </w:pPr>
    </w:p>
    <w:sectPr>
      <w:headerReference r:id="rId6" w:type="default"/>
      <w:footerReference r:id="rId7" w:type="default"/>
      <w:pgSz w:w="11906" w:h="16838"/>
      <w:pgMar w:top="1417" w:right="1417" w:bottom="1417" w:left="1417" w:header="851" w:footer="850"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widowControl w:val="0"/>
      <w:pBdr>
        <w:top w:val="none" w:color="auto" w:sz="0" w:space="1"/>
        <w:left w:val="none" w:color="auto" w:sz="0" w:space="4"/>
        <w:bottom w:val="none" w:color="auto" w:sz="0" w:space="1"/>
        <w:right w:val="none" w:color="auto" w:sz="0" w:space="4"/>
        <w:between w:val="none" w:color="auto" w:sz="0" w:space="0"/>
      </w:pBdr>
      <w:snapToGrid w:val="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widowControl w:val="0"/>
      <w:pBdr>
        <w:top w:val="none" w:color="auto" w:sz="0" w:space="1"/>
        <w:left w:val="none" w:color="auto" w:sz="0" w:space="4"/>
        <w:bottom w:val="none" w:color="auto" w:sz="0" w:space="1"/>
        <w:right w:val="none" w:color="auto" w:sz="0" w:space="4"/>
        <w:between w:val="none" w:color="auto" w:sz="0" w:space="0"/>
      </w:pBdr>
      <w:snapToGrid w:val="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widowControl w:val="0"/>
      <w:pBdr>
        <w:top w:val="none" w:color="auto" w:sz="0" w:space="1"/>
        <w:left w:val="none" w:color="auto" w:sz="0" w:space="4"/>
        <w:bottom w:val="none" w:color="auto" w:sz="0" w:space="1"/>
        <w:right w:val="none" w:color="auto" w:sz="0" w:space="4"/>
        <w:between w:val="none" w:color="auto" w:sz="0" w:space="0"/>
      </w:pBdr>
      <w:snapToGrid w:val="0"/>
      <w:jc w:val="left"/>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widowControl w:val="0"/>
                            <w:pBdr>
                              <w:top w:val="none" w:color="auto" w:sz="0" w:space="1"/>
                              <w:left w:val="none" w:color="auto" w:sz="0" w:space="4"/>
                              <w:bottom w:val="none" w:color="auto" w:sz="0" w:space="1"/>
                              <w:right w:val="none" w:color="auto" w:sz="0" w:space="4"/>
                              <w:between w:val="none" w:color="auto" w:sz="0" w:space="0"/>
                            </w:pBdr>
                            <w:snapToGrid w:val="0"/>
                            <w:jc w:val="left"/>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6"/>
                      <w:widowControl w:val="0"/>
                      <w:pBdr>
                        <w:top w:val="none" w:color="auto" w:sz="0" w:space="1"/>
                        <w:left w:val="none" w:color="auto" w:sz="0" w:space="4"/>
                        <w:bottom w:val="none" w:color="auto" w:sz="0" w:space="1"/>
                        <w:right w:val="none" w:color="auto" w:sz="0" w:space="4"/>
                        <w:between w:val="none" w:color="auto" w:sz="0" w:space="0"/>
                      </w:pBdr>
                      <w:snapToGrid w:val="0"/>
                      <w:jc w:val="left"/>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v:textbox>
            </v:shape>
          </w:pict>
        </mc:Fallback>
      </mc:AlternateContent>
    </w:r>
    <w:r>
      <w:rPr>
        <w:rFonts w:hint="eastAsia"/>
        <w:lang w:val="en-US" w:eastAsia="zh-CN"/>
      </w:rPr>
      <w:t xml:space="preserve">                        </w:t>
    </w:r>
    <w:r>
      <w:rPr>
        <w:rFonts w:hint="eastAsia"/>
        <w:sz w:val="10"/>
        <w:szCs w:val="16"/>
        <w:lang w:val="en-US" w:eastAsia="zh-CN"/>
      </w:rPr>
      <w:t xml:space="preserve">   </w:t>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widowControl w:val="0"/>
      <w:pBdr>
        <w:top w:val="none" w:color="auto" w:sz="0" w:space="1"/>
        <w:left w:val="none" w:color="auto" w:sz="0" w:space="4"/>
        <w:bottom w:val="none" w:color="auto" w:sz="0" w:space="1"/>
        <w:right w:val="none" w:color="auto" w:sz="0" w:space="4"/>
        <w:between w:val="none" w:color="auto" w:sz="0" w:space="0"/>
      </w:pBdr>
      <w:snapToGrid w:val="0"/>
      <w:spacing w:line="240" w:lineRule="auto"/>
      <w:jc w:val="right"/>
      <w:outlineLvl w:val="9"/>
      <w:rPr>
        <w:rFonts w:hint="eastAsia" w:ascii="宋体" w:hAnsi="宋体" w:eastAsia="宋体" w:cs="宋体"/>
        <w:sz w:val="18"/>
        <w:szCs w:val="1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FEA9FD"/>
    <w:multiLevelType w:val="singleLevel"/>
    <w:tmpl w:val="D9FEA9FD"/>
    <w:lvl w:ilvl="0" w:tentative="0">
      <w:start w:val="1"/>
      <w:numFmt w:val="decimal"/>
      <w:suff w:val="nothing"/>
      <w:lvlText w:val="%1、"/>
      <w:lvlJc w:val="left"/>
    </w:lvl>
  </w:abstractNum>
  <w:abstractNum w:abstractNumId="1">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4E7A725F"/>
    <w:multiLevelType w:val="multilevel"/>
    <w:tmpl w:val="4E7A725F"/>
    <w:lvl w:ilvl="0" w:tentative="0">
      <w:start w:val="1"/>
      <w:numFmt w:val="decimal"/>
      <w:pStyle w:val="52"/>
      <w:lvlText w:val="%1)"/>
      <w:lvlJc w:val="left"/>
      <w:pPr>
        <w:ind w:left="900" w:hanging="420"/>
      </w:pPr>
      <w:rPr>
        <w:rFonts w:hint="default"/>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79575CAC"/>
    <w:multiLevelType w:val="multilevel"/>
    <w:tmpl w:val="79575CAC"/>
    <w:lvl w:ilvl="0" w:tentative="0">
      <w:start w:val="1"/>
      <w:numFmt w:val="decimal"/>
      <w:suff w:val="nothing"/>
      <w:lvlText w:val="%1."/>
      <w:lvlJc w:val="left"/>
      <w:pPr>
        <w:ind w:left="425" w:hanging="425"/>
      </w:pPr>
      <w:rPr>
        <w:rFonts w:hint="eastAsia" w:ascii="新宋体" w:hAnsi="新宋体" w:eastAsia="新宋体"/>
      </w:rPr>
    </w:lvl>
    <w:lvl w:ilvl="1" w:tentative="0">
      <w:start w:val="1"/>
      <w:numFmt w:val="decimal"/>
      <w:suff w:val="nothing"/>
      <w:lvlText w:val="%1.%2."/>
      <w:lvlJc w:val="left"/>
      <w:pPr>
        <w:ind w:left="567" w:hanging="567"/>
      </w:pPr>
      <w:rPr>
        <w:rFonts w:hint="eastAsia" w:ascii="新宋体" w:hAnsi="新宋体" w:eastAsia="新宋体"/>
      </w:rPr>
    </w:lvl>
    <w:lvl w:ilvl="2" w:tentative="0">
      <w:start w:val="1"/>
      <w:numFmt w:val="decimal"/>
      <w:pStyle w:val="5"/>
      <w:suff w:val="nothing"/>
      <w:lvlText w:val="%1.%2.%3."/>
      <w:lvlJc w:val="left"/>
      <w:pPr>
        <w:ind w:left="709" w:hanging="709"/>
      </w:pPr>
      <w:rPr>
        <w:rFonts w:hint="eastAsia" w:ascii="新宋体" w:hAnsi="新宋体" w:eastAsia="新宋体"/>
        <w:b w:val="0"/>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dit="readOnly" w:enforcement="1" w:cryptProviderType="rsaFull" w:cryptAlgorithmClass="hash" w:cryptAlgorithmType="typeAny" w:cryptAlgorithmSid="4" w:cryptSpinCount="0" w:hash="pHj7CUzwPpdbJrBJ6mNGfggCvHA=" w:salt="W6vr7RanFHM+hAU1fTz9zw=="/>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DIsImhkaWQiOiJkMWIzODA1NTk0ODUyNWM1YTI0MDMwZThjOGQ5YmRmNCIsInVzZXJDb3VudCI6MjF9"/>
    <w:docVar w:name="KSO_WPS_MARK_KEY" w:val="2e30f5e9-a5cd-4a98-97ce-93280a9ce60e"/>
  </w:docVars>
  <w:rsids>
    <w:rsidRoot w:val="538E1483"/>
    <w:rsid w:val="00213043"/>
    <w:rsid w:val="004E43BF"/>
    <w:rsid w:val="006B4F71"/>
    <w:rsid w:val="006F6BEC"/>
    <w:rsid w:val="007B34C5"/>
    <w:rsid w:val="00932EA7"/>
    <w:rsid w:val="00C11035"/>
    <w:rsid w:val="00DA22F4"/>
    <w:rsid w:val="00FC02BF"/>
    <w:rsid w:val="01830099"/>
    <w:rsid w:val="01A83C46"/>
    <w:rsid w:val="01B80805"/>
    <w:rsid w:val="01C301AB"/>
    <w:rsid w:val="01EC20E2"/>
    <w:rsid w:val="021332F5"/>
    <w:rsid w:val="02223910"/>
    <w:rsid w:val="022E3A7D"/>
    <w:rsid w:val="025306FA"/>
    <w:rsid w:val="026C6D7F"/>
    <w:rsid w:val="02704AC1"/>
    <w:rsid w:val="027D26BF"/>
    <w:rsid w:val="027F4D04"/>
    <w:rsid w:val="02903F44"/>
    <w:rsid w:val="02C14713"/>
    <w:rsid w:val="0348159A"/>
    <w:rsid w:val="038369CF"/>
    <w:rsid w:val="038B765F"/>
    <w:rsid w:val="039D3787"/>
    <w:rsid w:val="03CA29C7"/>
    <w:rsid w:val="03EC2B7B"/>
    <w:rsid w:val="04013182"/>
    <w:rsid w:val="041A3266"/>
    <w:rsid w:val="04333FF8"/>
    <w:rsid w:val="044004C3"/>
    <w:rsid w:val="048762FD"/>
    <w:rsid w:val="049C1B9D"/>
    <w:rsid w:val="04A10F62"/>
    <w:rsid w:val="04B072CD"/>
    <w:rsid w:val="04B24EC3"/>
    <w:rsid w:val="04DB3D9A"/>
    <w:rsid w:val="04F64013"/>
    <w:rsid w:val="051C0CEF"/>
    <w:rsid w:val="056623E8"/>
    <w:rsid w:val="057E6715"/>
    <w:rsid w:val="05803F47"/>
    <w:rsid w:val="05D62E8D"/>
    <w:rsid w:val="05D84E57"/>
    <w:rsid w:val="05F31C91"/>
    <w:rsid w:val="05FF6C49"/>
    <w:rsid w:val="06170C68"/>
    <w:rsid w:val="06515C5D"/>
    <w:rsid w:val="065345EF"/>
    <w:rsid w:val="06832BC0"/>
    <w:rsid w:val="069140D4"/>
    <w:rsid w:val="06952D48"/>
    <w:rsid w:val="06B425B3"/>
    <w:rsid w:val="06B9291D"/>
    <w:rsid w:val="06D84848"/>
    <w:rsid w:val="06ED47ED"/>
    <w:rsid w:val="06F90600"/>
    <w:rsid w:val="06FC6923"/>
    <w:rsid w:val="074D2288"/>
    <w:rsid w:val="079E3E7E"/>
    <w:rsid w:val="07C25ACA"/>
    <w:rsid w:val="07DC1AF5"/>
    <w:rsid w:val="082C76F8"/>
    <w:rsid w:val="08404F36"/>
    <w:rsid w:val="08453F49"/>
    <w:rsid w:val="08491227"/>
    <w:rsid w:val="084D31AF"/>
    <w:rsid w:val="086F0B77"/>
    <w:rsid w:val="088C403D"/>
    <w:rsid w:val="089D5EE4"/>
    <w:rsid w:val="089F41B4"/>
    <w:rsid w:val="08D5688C"/>
    <w:rsid w:val="09205A07"/>
    <w:rsid w:val="098623FB"/>
    <w:rsid w:val="09976DD7"/>
    <w:rsid w:val="09BA4003"/>
    <w:rsid w:val="09BC3307"/>
    <w:rsid w:val="09E455C4"/>
    <w:rsid w:val="0A5B6057"/>
    <w:rsid w:val="0A9B0776"/>
    <w:rsid w:val="0ACE4448"/>
    <w:rsid w:val="0ACF7E39"/>
    <w:rsid w:val="0B1E54CC"/>
    <w:rsid w:val="0B2172BD"/>
    <w:rsid w:val="0B7F5D75"/>
    <w:rsid w:val="0B94510B"/>
    <w:rsid w:val="0B967837"/>
    <w:rsid w:val="0B9A2898"/>
    <w:rsid w:val="0BA852CC"/>
    <w:rsid w:val="0C396F1E"/>
    <w:rsid w:val="0C454CAB"/>
    <w:rsid w:val="0CAF10DB"/>
    <w:rsid w:val="0CAF61E6"/>
    <w:rsid w:val="0CE54E38"/>
    <w:rsid w:val="0CEE7CC6"/>
    <w:rsid w:val="0CFA5CD7"/>
    <w:rsid w:val="0D2D19A9"/>
    <w:rsid w:val="0D591574"/>
    <w:rsid w:val="0D801976"/>
    <w:rsid w:val="0DBD4381"/>
    <w:rsid w:val="0DEB3061"/>
    <w:rsid w:val="0E160A2D"/>
    <w:rsid w:val="0E202EB5"/>
    <w:rsid w:val="0E5256A6"/>
    <w:rsid w:val="0E6A4C34"/>
    <w:rsid w:val="0E9438E5"/>
    <w:rsid w:val="0E9854D3"/>
    <w:rsid w:val="0E9B2EC6"/>
    <w:rsid w:val="0EA40291"/>
    <w:rsid w:val="0EB27397"/>
    <w:rsid w:val="0EB43DAF"/>
    <w:rsid w:val="0ED87C76"/>
    <w:rsid w:val="0EEE7BDE"/>
    <w:rsid w:val="0F2A44F0"/>
    <w:rsid w:val="0F6730C7"/>
    <w:rsid w:val="0FBF2BE4"/>
    <w:rsid w:val="0FF24D67"/>
    <w:rsid w:val="101C207C"/>
    <w:rsid w:val="10337AA3"/>
    <w:rsid w:val="10393BAA"/>
    <w:rsid w:val="103A226A"/>
    <w:rsid w:val="105C0433"/>
    <w:rsid w:val="1060257A"/>
    <w:rsid w:val="108F6B38"/>
    <w:rsid w:val="10992CCA"/>
    <w:rsid w:val="10A75B78"/>
    <w:rsid w:val="10B22749"/>
    <w:rsid w:val="10CA7A92"/>
    <w:rsid w:val="10E00EC0"/>
    <w:rsid w:val="11337646"/>
    <w:rsid w:val="1174709A"/>
    <w:rsid w:val="11847C41"/>
    <w:rsid w:val="11B36079"/>
    <w:rsid w:val="11B67C1F"/>
    <w:rsid w:val="11C664AC"/>
    <w:rsid w:val="11EB7CC0"/>
    <w:rsid w:val="12450788"/>
    <w:rsid w:val="1248390A"/>
    <w:rsid w:val="125D5E2E"/>
    <w:rsid w:val="126D4B79"/>
    <w:rsid w:val="12A14823"/>
    <w:rsid w:val="12A20B21"/>
    <w:rsid w:val="12A82A2A"/>
    <w:rsid w:val="12B02782"/>
    <w:rsid w:val="12CD07BD"/>
    <w:rsid w:val="12DF7E44"/>
    <w:rsid w:val="13021E3F"/>
    <w:rsid w:val="1308765F"/>
    <w:rsid w:val="1336140F"/>
    <w:rsid w:val="134B7CB5"/>
    <w:rsid w:val="13702B73"/>
    <w:rsid w:val="13706BF0"/>
    <w:rsid w:val="13717EF5"/>
    <w:rsid w:val="137C27E0"/>
    <w:rsid w:val="1381018F"/>
    <w:rsid w:val="1384217A"/>
    <w:rsid w:val="13E214AD"/>
    <w:rsid w:val="13E56991"/>
    <w:rsid w:val="1444244B"/>
    <w:rsid w:val="14846311"/>
    <w:rsid w:val="14CB5A92"/>
    <w:rsid w:val="150C0A16"/>
    <w:rsid w:val="150C7943"/>
    <w:rsid w:val="15201985"/>
    <w:rsid w:val="152D6842"/>
    <w:rsid w:val="153674A4"/>
    <w:rsid w:val="1540215A"/>
    <w:rsid w:val="15477903"/>
    <w:rsid w:val="155939A6"/>
    <w:rsid w:val="15995C17"/>
    <w:rsid w:val="15BE749A"/>
    <w:rsid w:val="15EC2259"/>
    <w:rsid w:val="163634D4"/>
    <w:rsid w:val="16833FFF"/>
    <w:rsid w:val="1683496B"/>
    <w:rsid w:val="16A757E2"/>
    <w:rsid w:val="16BF171B"/>
    <w:rsid w:val="16C90EF1"/>
    <w:rsid w:val="16DA118B"/>
    <w:rsid w:val="16E73D24"/>
    <w:rsid w:val="16F70EB5"/>
    <w:rsid w:val="16F72CB9"/>
    <w:rsid w:val="17096457"/>
    <w:rsid w:val="17973BE5"/>
    <w:rsid w:val="17D34C26"/>
    <w:rsid w:val="17FB49D5"/>
    <w:rsid w:val="18525B00"/>
    <w:rsid w:val="18816044"/>
    <w:rsid w:val="18A706B9"/>
    <w:rsid w:val="18FE17AD"/>
    <w:rsid w:val="19061883"/>
    <w:rsid w:val="19162124"/>
    <w:rsid w:val="19375EE1"/>
    <w:rsid w:val="195A686C"/>
    <w:rsid w:val="19CD1B5D"/>
    <w:rsid w:val="19D133E7"/>
    <w:rsid w:val="19DF3A01"/>
    <w:rsid w:val="19FF5E4F"/>
    <w:rsid w:val="1A1D29DB"/>
    <w:rsid w:val="1A1F2BFD"/>
    <w:rsid w:val="1A29799F"/>
    <w:rsid w:val="1A2E7004"/>
    <w:rsid w:val="1A617CB9"/>
    <w:rsid w:val="1AD51892"/>
    <w:rsid w:val="1AF02A44"/>
    <w:rsid w:val="1AF15B75"/>
    <w:rsid w:val="1B034A5E"/>
    <w:rsid w:val="1B306F48"/>
    <w:rsid w:val="1B416BA3"/>
    <w:rsid w:val="1B525FB3"/>
    <w:rsid w:val="1BDD21C2"/>
    <w:rsid w:val="1BF84678"/>
    <w:rsid w:val="1C205EA6"/>
    <w:rsid w:val="1C27423E"/>
    <w:rsid w:val="1C307A4E"/>
    <w:rsid w:val="1C3C5F7F"/>
    <w:rsid w:val="1C7B464A"/>
    <w:rsid w:val="1CBF2475"/>
    <w:rsid w:val="1D3C3AC6"/>
    <w:rsid w:val="1D67554C"/>
    <w:rsid w:val="1D7930FB"/>
    <w:rsid w:val="1DC67833"/>
    <w:rsid w:val="1DD6376D"/>
    <w:rsid w:val="1DE86D9F"/>
    <w:rsid w:val="1E1B36DB"/>
    <w:rsid w:val="1E2702D2"/>
    <w:rsid w:val="1F15491F"/>
    <w:rsid w:val="1F8D4ED2"/>
    <w:rsid w:val="1FAD38F4"/>
    <w:rsid w:val="203778E9"/>
    <w:rsid w:val="2055491A"/>
    <w:rsid w:val="20664819"/>
    <w:rsid w:val="2073774E"/>
    <w:rsid w:val="20992ED7"/>
    <w:rsid w:val="20BE47F2"/>
    <w:rsid w:val="20C932CD"/>
    <w:rsid w:val="21005580"/>
    <w:rsid w:val="21723DED"/>
    <w:rsid w:val="217B5198"/>
    <w:rsid w:val="218477E9"/>
    <w:rsid w:val="21A32365"/>
    <w:rsid w:val="21A908AD"/>
    <w:rsid w:val="21DC7694"/>
    <w:rsid w:val="21E408A9"/>
    <w:rsid w:val="220F4F71"/>
    <w:rsid w:val="224F6049"/>
    <w:rsid w:val="227E4E0A"/>
    <w:rsid w:val="22A31EF1"/>
    <w:rsid w:val="22BA1922"/>
    <w:rsid w:val="22C4560A"/>
    <w:rsid w:val="22E51EDA"/>
    <w:rsid w:val="22EB365A"/>
    <w:rsid w:val="22FF35CB"/>
    <w:rsid w:val="230664CB"/>
    <w:rsid w:val="2364421D"/>
    <w:rsid w:val="23747E8B"/>
    <w:rsid w:val="23A82279"/>
    <w:rsid w:val="23AB5058"/>
    <w:rsid w:val="23EF1C03"/>
    <w:rsid w:val="2409047A"/>
    <w:rsid w:val="240F6752"/>
    <w:rsid w:val="241B4257"/>
    <w:rsid w:val="242E16E8"/>
    <w:rsid w:val="249C309C"/>
    <w:rsid w:val="24CD15F1"/>
    <w:rsid w:val="24D07B95"/>
    <w:rsid w:val="24DD6008"/>
    <w:rsid w:val="250C6CFC"/>
    <w:rsid w:val="25413B2E"/>
    <w:rsid w:val="2569146F"/>
    <w:rsid w:val="25783280"/>
    <w:rsid w:val="259C1492"/>
    <w:rsid w:val="25BC2BEF"/>
    <w:rsid w:val="26097CF4"/>
    <w:rsid w:val="26955359"/>
    <w:rsid w:val="269975E3"/>
    <w:rsid w:val="26CC32B5"/>
    <w:rsid w:val="26EA34C6"/>
    <w:rsid w:val="27277595"/>
    <w:rsid w:val="27B32BD6"/>
    <w:rsid w:val="28050C76"/>
    <w:rsid w:val="284B3726"/>
    <w:rsid w:val="284E0B51"/>
    <w:rsid w:val="28D15A0A"/>
    <w:rsid w:val="28DA2535"/>
    <w:rsid w:val="29001F50"/>
    <w:rsid w:val="290A4A78"/>
    <w:rsid w:val="29274E64"/>
    <w:rsid w:val="297445E7"/>
    <w:rsid w:val="299946CD"/>
    <w:rsid w:val="29BF6B0B"/>
    <w:rsid w:val="29D33D5C"/>
    <w:rsid w:val="29FA4AED"/>
    <w:rsid w:val="2A0E0598"/>
    <w:rsid w:val="2A3235C6"/>
    <w:rsid w:val="2A331048"/>
    <w:rsid w:val="2A4C2E6E"/>
    <w:rsid w:val="2A5C4ABD"/>
    <w:rsid w:val="2A806F49"/>
    <w:rsid w:val="2AD07FCD"/>
    <w:rsid w:val="2AEC4179"/>
    <w:rsid w:val="2B964513"/>
    <w:rsid w:val="2C12605B"/>
    <w:rsid w:val="2C1A16AC"/>
    <w:rsid w:val="2CA8493F"/>
    <w:rsid w:val="2CB05936"/>
    <w:rsid w:val="2CE579BE"/>
    <w:rsid w:val="2CF33A75"/>
    <w:rsid w:val="2D76092E"/>
    <w:rsid w:val="2D9D35E3"/>
    <w:rsid w:val="2DB27D69"/>
    <w:rsid w:val="2DB93FAE"/>
    <w:rsid w:val="2DC77CAA"/>
    <w:rsid w:val="2DE977FF"/>
    <w:rsid w:val="2DF95B61"/>
    <w:rsid w:val="2EA17C2D"/>
    <w:rsid w:val="2EED2E72"/>
    <w:rsid w:val="2EF56704"/>
    <w:rsid w:val="2F0106CB"/>
    <w:rsid w:val="2F2F3D79"/>
    <w:rsid w:val="2F421715"/>
    <w:rsid w:val="2F4E0DAB"/>
    <w:rsid w:val="2F8530AA"/>
    <w:rsid w:val="30207172"/>
    <w:rsid w:val="304F36B8"/>
    <w:rsid w:val="307C3A1B"/>
    <w:rsid w:val="308E3273"/>
    <w:rsid w:val="30D46628"/>
    <w:rsid w:val="30DA5FB3"/>
    <w:rsid w:val="31420A9C"/>
    <w:rsid w:val="31490245"/>
    <w:rsid w:val="316A7E21"/>
    <w:rsid w:val="31723B02"/>
    <w:rsid w:val="31732CAF"/>
    <w:rsid w:val="31B934DF"/>
    <w:rsid w:val="31CD2AE7"/>
    <w:rsid w:val="31D67BED"/>
    <w:rsid w:val="31DE6AA2"/>
    <w:rsid w:val="320831A2"/>
    <w:rsid w:val="320C1BA8"/>
    <w:rsid w:val="320F32F0"/>
    <w:rsid w:val="321B0836"/>
    <w:rsid w:val="32221084"/>
    <w:rsid w:val="32916D4E"/>
    <w:rsid w:val="32B46EF9"/>
    <w:rsid w:val="32CA6AE3"/>
    <w:rsid w:val="32F12805"/>
    <w:rsid w:val="33141852"/>
    <w:rsid w:val="33437FFC"/>
    <w:rsid w:val="334C5DB8"/>
    <w:rsid w:val="33583DC9"/>
    <w:rsid w:val="33660F1D"/>
    <w:rsid w:val="339C103A"/>
    <w:rsid w:val="33BC7371"/>
    <w:rsid w:val="33F34DF0"/>
    <w:rsid w:val="33F66251"/>
    <w:rsid w:val="340071A3"/>
    <w:rsid w:val="34057765"/>
    <w:rsid w:val="347E3BAB"/>
    <w:rsid w:val="34866A39"/>
    <w:rsid w:val="34D00132"/>
    <w:rsid w:val="34E564DF"/>
    <w:rsid w:val="34E65B59"/>
    <w:rsid w:val="34F5482E"/>
    <w:rsid w:val="34F66B57"/>
    <w:rsid w:val="354E2054"/>
    <w:rsid w:val="356419B4"/>
    <w:rsid w:val="3591146E"/>
    <w:rsid w:val="35DD41CD"/>
    <w:rsid w:val="35EB7636"/>
    <w:rsid w:val="36062A6B"/>
    <w:rsid w:val="36201D7F"/>
    <w:rsid w:val="362426FA"/>
    <w:rsid w:val="364B03CB"/>
    <w:rsid w:val="36592B9B"/>
    <w:rsid w:val="367C1473"/>
    <w:rsid w:val="36BA7C1A"/>
    <w:rsid w:val="36C50230"/>
    <w:rsid w:val="36D6068F"/>
    <w:rsid w:val="372A1601"/>
    <w:rsid w:val="375201D1"/>
    <w:rsid w:val="379A05C5"/>
    <w:rsid w:val="37A15B0C"/>
    <w:rsid w:val="381A45AC"/>
    <w:rsid w:val="3821593A"/>
    <w:rsid w:val="382316B2"/>
    <w:rsid w:val="387A6511"/>
    <w:rsid w:val="38B05B8F"/>
    <w:rsid w:val="38D34FF7"/>
    <w:rsid w:val="39153335"/>
    <w:rsid w:val="391A77BD"/>
    <w:rsid w:val="39495149"/>
    <w:rsid w:val="39621496"/>
    <w:rsid w:val="397D1296"/>
    <w:rsid w:val="398B45F9"/>
    <w:rsid w:val="39916116"/>
    <w:rsid w:val="39957106"/>
    <w:rsid w:val="39CB2002"/>
    <w:rsid w:val="39F913A9"/>
    <w:rsid w:val="3A704957"/>
    <w:rsid w:val="3B025F76"/>
    <w:rsid w:val="3B032B60"/>
    <w:rsid w:val="3B094FE2"/>
    <w:rsid w:val="3B292DA0"/>
    <w:rsid w:val="3B30272B"/>
    <w:rsid w:val="3B516704"/>
    <w:rsid w:val="3B5F4EEA"/>
    <w:rsid w:val="3B857BD7"/>
    <w:rsid w:val="3BC3771B"/>
    <w:rsid w:val="3BD57167"/>
    <w:rsid w:val="3C0964E4"/>
    <w:rsid w:val="3C1771A5"/>
    <w:rsid w:val="3C3E2F5F"/>
    <w:rsid w:val="3C3F0722"/>
    <w:rsid w:val="3C8B6E7A"/>
    <w:rsid w:val="3CB70A48"/>
    <w:rsid w:val="3CE50AF7"/>
    <w:rsid w:val="3CE8720B"/>
    <w:rsid w:val="3CF62F90"/>
    <w:rsid w:val="3D0C6BB9"/>
    <w:rsid w:val="3D404689"/>
    <w:rsid w:val="3D6E7757"/>
    <w:rsid w:val="3D7147EA"/>
    <w:rsid w:val="3DAE0540"/>
    <w:rsid w:val="3DF21F2E"/>
    <w:rsid w:val="3DFA4C63"/>
    <w:rsid w:val="3E1D5166"/>
    <w:rsid w:val="3E23240C"/>
    <w:rsid w:val="3E554D5D"/>
    <w:rsid w:val="3E5B60DB"/>
    <w:rsid w:val="3E6212E9"/>
    <w:rsid w:val="3E7147CA"/>
    <w:rsid w:val="3F2567B2"/>
    <w:rsid w:val="3F4F1E6B"/>
    <w:rsid w:val="3F5B1501"/>
    <w:rsid w:val="3F8844F1"/>
    <w:rsid w:val="3FB93A98"/>
    <w:rsid w:val="3FCA4B09"/>
    <w:rsid w:val="405F34A4"/>
    <w:rsid w:val="40C4524F"/>
    <w:rsid w:val="410B3E5B"/>
    <w:rsid w:val="41284465"/>
    <w:rsid w:val="41D028AB"/>
    <w:rsid w:val="41F87BCB"/>
    <w:rsid w:val="422D769A"/>
    <w:rsid w:val="428A38B6"/>
    <w:rsid w:val="429531AD"/>
    <w:rsid w:val="4298064E"/>
    <w:rsid w:val="42A631E7"/>
    <w:rsid w:val="42AF3B46"/>
    <w:rsid w:val="42BD668F"/>
    <w:rsid w:val="42DB5C3F"/>
    <w:rsid w:val="434155E3"/>
    <w:rsid w:val="438D1B94"/>
    <w:rsid w:val="43B93FA8"/>
    <w:rsid w:val="43CC1562"/>
    <w:rsid w:val="44547A2A"/>
    <w:rsid w:val="447211D8"/>
    <w:rsid w:val="44726FDA"/>
    <w:rsid w:val="44842778"/>
    <w:rsid w:val="449528FE"/>
    <w:rsid w:val="44B75423"/>
    <w:rsid w:val="45283286"/>
    <w:rsid w:val="454B3FF6"/>
    <w:rsid w:val="45B11EE5"/>
    <w:rsid w:val="45CE0E96"/>
    <w:rsid w:val="460728F4"/>
    <w:rsid w:val="46130905"/>
    <w:rsid w:val="46325936"/>
    <w:rsid w:val="465D4913"/>
    <w:rsid w:val="465F3D3F"/>
    <w:rsid w:val="46606805"/>
    <w:rsid w:val="46BA7686"/>
    <w:rsid w:val="4703600F"/>
    <w:rsid w:val="47721B46"/>
    <w:rsid w:val="47745A86"/>
    <w:rsid w:val="478430E5"/>
    <w:rsid w:val="478A52AA"/>
    <w:rsid w:val="47C96CD1"/>
    <w:rsid w:val="47EA32D8"/>
    <w:rsid w:val="481F54E2"/>
    <w:rsid w:val="485D651B"/>
    <w:rsid w:val="487E7D2A"/>
    <w:rsid w:val="48B325DE"/>
    <w:rsid w:val="48DD765B"/>
    <w:rsid w:val="49801C26"/>
    <w:rsid w:val="49A17BDC"/>
    <w:rsid w:val="4A007BF5"/>
    <w:rsid w:val="4A0D4D0D"/>
    <w:rsid w:val="4A187A15"/>
    <w:rsid w:val="4A614B3F"/>
    <w:rsid w:val="4A7224B3"/>
    <w:rsid w:val="4A913C61"/>
    <w:rsid w:val="4A9B77CE"/>
    <w:rsid w:val="4AA76173"/>
    <w:rsid w:val="4AC85440"/>
    <w:rsid w:val="4AD54756"/>
    <w:rsid w:val="4B0E61F2"/>
    <w:rsid w:val="4B1A4B97"/>
    <w:rsid w:val="4B1F004D"/>
    <w:rsid w:val="4BC82845"/>
    <w:rsid w:val="4BEA27BB"/>
    <w:rsid w:val="4C0119DC"/>
    <w:rsid w:val="4C614434"/>
    <w:rsid w:val="4C6319E4"/>
    <w:rsid w:val="4C7C718B"/>
    <w:rsid w:val="4C9E28EA"/>
    <w:rsid w:val="4CD54258"/>
    <w:rsid w:val="4D3549A8"/>
    <w:rsid w:val="4D884FC4"/>
    <w:rsid w:val="4D9B0761"/>
    <w:rsid w:val="4DAE06A0"/>
    <w:rsid w:val="4DBB2867"/>
    <w:rsid w:val="4DBF0779"/>
    <w:rsid w:val="4DC40DEA"/>
    <w:rsid w:val="4E10402F"/>
    <w:rsid w:val="4E3221F7"/>
    <w:rsid w:val="4E3C6BD2"/>
    <w:rsid w:val="4E4F2DA9"/>
    <w:rsid w:val="4F2711ED"/>
    <w:rsid w:val="4F3E3390"/>
    <w:rsid w:val="4F7C6D97"/>
    <w:rsid w:val="4F9F2130"/>
    <w:rsid w:val="4FA72771"/>
    <w:rsid w:val="4FC21359"/>
    <w:rsid w:val="4FD6019B"/>
    <w:rsid w:val="4FE21920"/>
    <w:rsid w:val="4FF90C20"/>
    <w:rsid w:val="504812C4"/>
    <w:rsid w:val="50525457"/>
    <w:rsid w:val="505D0DBB"/>
    <w:rsid w:val="509F1CD3"/>
    <w:rsid w:val="50D05D25"/>
    <w:rsid w:val="51295DBA"/>
    <w:rsid w:val="512E02BD"/>
    <w:rsid w:val="514C0DAD"/>
    <w:rsid w:val="51A61200"/>
    <w:rsid w:val="51A90A23"/>
    <w:rsid w:val="51D01703"/>
    <w:rsid w:val="5248208F"/>
    <w:rsid w:val="52781559"/>
    <w:rsid w:val="527D59E1"/>
    <w:rsid w:val="52B25E02"/>
    <w:rsid w:val="52D860FA"/>
    <w:rsid w:val="532603F8"/>
    <w:rsid w:val="532F6D06"/>
    <w:rsid w:val="53486019"/>
    <w:rsid w:val="536D0B6C"/>
    <w:rsid w:val="538C04D9"/>
    <w:rsid w:val="538E1483"/>
    <w:rsid w:val="53933738"/>
    <w:rsid w:val="539574B0"/>
    <w:rsid w:val="53AF28DA"/>
    <w:rsid w:val="53CB6987"/>
    <w:rsid w:val="53EA723C"/>
    <w:rsid w:val="54054518"/>
    <w:rsid w:val="540E1011"/>
    <w:rsid w:val="54422ADF"/>
    <w:rsid w:val="54517EE5"/>
    <w:rsid w:val="54547DDA"/>
    <w:rsid w:val="545710C7"/>
    <w:rsid w:val="545B7804"/>
    <w:rsid w:val="54745318"/>
    <w:rsid w:val="548B5741"/>
    <w:rsid w:val="548D462B"/>
    <w:rsid w:val="54B17E17"/>
    <w:rsid w:val="54D75BC0"/>
    <w:rsid w:val="54E64B55"/>
    <w:rsid w:val="5510379B"/>
    <w:rsid w:val="5567155C"/>
    <w:rsid w:val="55826059"/>
    <w:rsid w:val="55C51FC5"/>
    <w:rsid w:val="55E96D02"/>
    <w:rsid w:val="55F96F9C"/>
    <w:rsid w:val="564B02FA"/>
    <w:rsid w:val="566D0271"/>
    <w:rsid w:val="56892BD1"/>
    <w:rsid w:val="57024240"/>
    <w:rsid w:val="570606C5"/>
    <w:rsid w:val="57136356"/>
    <w:rsid w:val="58010C9D"/>
    <w:rsid w:val="580764A3"/>
    <w:rsid w:val="583C439E"/>
    <w:rsid w:val="5853496B"/>
    <w:rsid w:val="585A2A77"/>
    <w:rsid w:val="587250A7"/>
    <w:rsid w:val="5878114F"/>
    <w:rsid w:val="587A7F35"/>
    <w:rsid w:val="587D3437"/>
    <w:rsid w:val="58A73382"/>
    <w:rsid w:val="58AE4F0C"/>
    <w:rsid w:val="58F72073"/>
    <w:rsid w:val="59505C28"/>
    <w:rsid w:val="595E6596"/>
    <w:rsid w:val="59B35F2D"/>
    <w:rsid w:val="59EA7E2A"/>
    <w:rsid w:val="5A032C9A"/>
    <w:rsid w:val="5A25681F"/>
    <w:rsid w:val="5A46271D"/>
    <w:rsid w:val="5A777D7A"/>
    <w:rsid w:val="5AA13726"/>
    <w:rsid w:val="5AB011D9"/>
    <w:rsid w:val="5AB368DA"/>
    <w:rsid w:val="5ADC7773"/>
    <w:rsid w:val="5B0D2022"/>
    <w:rsid w:val="5B264E92"/>
    <w:rsid w:val="5B304A82"/>
    <w:rsid w:val="5B8878FB"/>
    <w:rsid w:val="5BA800EC"/>
    <w:rsid w:val="5BD26DC8"/>
    <w:rsid w:val="5BF92475"/>
    <w:rsid w:val="5C0D61A2"/>
    <w:rsid w:val="5C1D1DF7"/>
    <w:rsid w:val="5C2B186B"/>
    <w:rsid w:val="5C3D1C65"/>
    <w:rsid w:val="5C41066B"/>
    <w:rsid w:val="5C717B35"/>
    <w:rsid w:val="5C926B39"/>
    <w:rsid w:val="5C9522F3"/>
    <w:rsid w:val="5CAE541B"/>
    <w:rsid w:val="5D0900B4"/>
    <w:rsid w:val="5D441192"/>
    <w:rsid w:val="5D8A256E"/>
    <w:rsid w:val="5D965719"/>
    <w:rsid w:val="5DB54949"/>
    <w:rsid w:val="5E021BE6"/>
    <w:rsid w:val="5E1436C8"/>
    <w:rsid w:val="5E344E15"/>
    <w:rsid w:val="5E8873BA"/>
    <w:rsid w:val="5EA031AD"/>
    <w:rsid w:val="5EAE61E6"/>
    <w:rsid w:val="5EE27322"/>
    <w:rsid w:val="5EEC1AE2"/>
    <w:rsid w:val="5F0059FA"/>
    <w:rsid w:val="5F5C1802"/>
    <w:rsid w:val="5F67138C"/>
    <w:rsid w:val="5F9576F1"/>
    <w:rsid w:val="60003F04"/>
    <w:rsid w:val="60194FC5"/>
    <w:rsid w:val="6061582C"/>
    <w:rsid w:val="60B116A2"/>
    <w:rsid w:val="60BF40B3"/>
    <w:rsid w:val="60C57A73"/>
    <w:rsid w:val="60CE7B5E"/>
    <w:rsid w:val="60D34866"/>
    <w:rsid w:val="611F660B"/>
    <w:rsid w:val="612B1454"/>
    <w:rsid w:val="614442C4"/>
    <w:rsid w:val="61474825"/>
    <w:rsid w:val="61BD5AE9"/>
    <w:rsid w:val="61FE6552"/>
    <w:rsid w:val="6206395E"/>
    <w:rsid w:val="620D32E9"/>
    <w:rsid w:val="620F48D2"/>
    <w:rsid w:val="625258D6"/>
    <w:rsid w:val="625A6C6C"/>
    <w:rsid w:val="62797F9D"/>
    <w:rsid w:val="62AA7CF0"/>
    <w:rsid w:val="63A26C03"/>
    <w:rsid w:val="63A63014"/>
    <w:rsid w:val="63B30A3C"/>
    <w:rsid w:val="63BD0227"/>
    <w:rsid w:val="63CC2F28"/>
    <w:rsid w:val="63FA53C3"/>
    <w:rsid w:val="64216453"/>
    <w:rsid w:val="645422AA"/>
    <w:rsid w:val="6488096B"/>
    <w:rsid w:val="64940C62"/>
    <w:rsid w:val="64AC4EB7"/>
    <w:rsid w:val="64E56D6B"/>
    <w:rsid w:val="650B0753"/>
    <w:rsid w:val="652A1008"/>
    <w:rsid w:val="65815634"/>
    <w:rsid w:val="659B47BF"/>
    <w:rsid w:val="65BF14FC"/>
    <w:rsid w:val="65C07C91"/>
    <w:rsid w:val="65D12A9B"/>
    <w:rsid w:val="65EB11B2"/>
    <w:rsid w:val="65EB4F15"/>
    <w:rsid w:val="6619508D"/>
    <w:rsid w:val="66383744"/>
    <w:rsid w:val="6661190A"/>
    <w:rsid w:val="666178D9"/>
    <w:rsid w:val="66C8504F"/>
    <w:rsid w:val="66E47FD9"/>
    <w:rsid w:val="66F74A7C"/>
    <w:rsid w:val="67123590"/>
    <w:rsid w:val="67225A66"/>
    <w:rsid w:val="672D4F56"/>
    <w:rsid w:val="677C4CD5"/>
    <w:rsid w:val="67BC2E06"/>
    <w:rsid w:val="67BD092C"/>
    <w:rsid w:val="68213264"/>
    <w:rsid w:val="682746DE"/>
    <w:rsid w:val="68336A02"/>
    <w:rsid w:val="6841159B"/>
    <w:rsid w:val="68596C41"/>
    <w:rsid w:val="686D4100"/>
    <w:rsid w:val="68890C27"/>
    <w:rsid w:val="689D4BB9"/>
    <w:rsid w:val="689E250C"/>
    <w:rsid w:val="68B855D7"/>
    <w:rsid w:val="68D66149"/>
    <w:rsid w:val="68E8522C"/>
    <w:rsid w:val="691D7C84"/>
    <w:rsid w:val="696A3A87"/>
    <w:rsid w:val="69950BC7"/>
    <w:rsid w:val="69A27EDD"/>
    <w:rsid w:val="69B226F6"/>
    <w:rsid w:val="69D95E39"/>
    <w:rsid w:val="6A37294F"/>
    <w:rsid w:val="6A4D0376"/>
    <w:rsid w:val="6A5012FB"/>
    <w:rsid w:val="6A6E399A"/>
    <w:rsid w:val="6ABE6E95"/>
    <w:rsid w:val="6AC33838"/>
    <w:rsid w:val="6AEC6564"/>
    <w:rsid w:val="6B10458A"/>
    <w:rsid w:val="6B4051E0"/>
    <w:rsid w:val="6BCC55E2"/>
    <w:rsid w:val="6BD25AD5"/>
    <w:rsid w:val="6C065B49"/>
    <w:rsid w:val="6C557601"/>
    <w:rsid w:val="6C562E6D"/>
    <w:rsid w:val="6C5C22D4"/>
    <w:rsid w:val="6C5F3259"/>
    <w:rsid w:val="6C7F158F"/>
    <w:rsid w:val="6CA141D8"/>
    <w:rsid w:val="6CA707F8"/>
    <w:rsid w:val="6CF55693"/>
    <w:rsid w:val="6D003795"/>
    <w:rsid w:val="6D0D1A0E"/>
    <w:rsid w:val="6D431DB2"/>
    <w:rsid w:val="6D741A8D"/>
    <w:rsid w:val="6D7970A3"/>
    <w:rsid w:val="6D9B51DF"/>
    <w:rsid w:val="6D9C0FE4"/>
    <w:rsid w:val="6DB17AC5"/>
    <w:rsid w:val="6DD775C2"/>
    <w:rsid w:val="6DEE5C76"/>
    <w:rsid w:val="6E1206A1"/>
    <w:rsid w:val="6E404E9F"/>
    <w:rsid w:val="6E5F4684"/>
    <w:rsid w:val="6E7C1BAC"/>
    <w:rsid w:val="6E894E68"/>
    <w:rsid w:val="6EB02B29"/>
    <w:rsid w:val="6F2A1462"/>
    <w:rsid w:val="6F441D17"/>
    <w:rsid w:val="6F547DC8"/>
    <w:rsid w:val="6F810491"/>
    <w:rsid w:val="6F821E2F"/>
    <w:rsid w:val="6F9A4CA5"/>
    <w:rsid w:val="6FC14D32"/>
    <w:rsid w:val="6FCD0B01"/>
    <w:rsid w:val="6FE3639E"/>
    <w:rsid w:val="6FF440BA"/>
    <w:rsid w:val="704746FE"/>
    <w:rsid w:val="70480FAF"/>
    <w:rsid w:val="706224EF"/>
    <w:rsid w:val="707365AB"/>
    <w:rsid w:val="70BC17F8"/>
    <w:rsid w:val="711174A1"/>
    <w:rsid w:val="7137174F"/>
    <w:rsid w:val="71777D9E"/>
    <w:rsid w:val="717B17D0"/>
    <w:rsid w:val="71B60D3E"/>
    <w:rsid w:val="71E42F57"/>
    <w:rsid w:val="71F25676"/>
    <w:rsid w:val="723E077B"/>
    <w:rsid w:val="72411700"/>
    <w:rsid w:val="72516841"/>
    <w:rsid w:val="725738A4"/>
    <w:rsid w:val="725C35AF"/>
    <w:rsid w:val="725F6611"/>
    <w:rsid w:val="726760BC"/>
    <w:rsid w:val="726873C1"/>
    <w:rsid w:val="727069CC"/>
    <w:rsid w:val="72CE757C"/>
    <w:rsid w:val="72D73AA0"/>
    <w:rsid w:val="73372F12"/>
    <w:rsid w:val="73602DCE"/>
    <w:rsid w:val="73985535"/>
    <w:rsid w:val="73F558BD"/>
    <w:rsid w:val="74337932"/>
    <w:rsid w:val="744D2996"/>
    <w:rsid w:val="74516715"/>
    <w:rsid w:val="74BD4538"/>
    <w:rsid w:val="74BE1A94"/>
    <w:rsid w:val="74CB28DA"/>
    <w:rsid w:val="74EF2BDF"/>
    <w:rsid w:val="75092705"/>
    <w:rsid w:val="75645AA5"/>
    <w:rsid w:val="758153F2"/>
    <w:rsid w:val="75A373B3"/>
    <w:rsid w:val="75FC5718"/>
    <w:rsid w:val="76F529B8"/>
    <w:rsid w:val="771D60FB"/>
    <w:rsid w:val="77446974"/>
    <w:rsid w:val="7788565A"/>
    <w:rsid w:val="77BE5C84"/>
    <w:rsid w:val="77E62515"/>
    <w:rsid w:val="77EB5FB9"/>
    <w:rsid w:val="77FE2FC7"/>
    <w:rsid w:val="780505F7"/>
    <w:rsid w:val="784D28B2"/>
    <w:rsid w:val="787466AD"/>
    <w:rsid w:val="78900FA3"/>
    <w:rsid w:val="78F05DBF"/>
    <w:rsid w:val="78F63C9E"/>
    <w:rsid w:val="79060E03"/>
    <w:rsid w:val="790D269F"/>
    <w:rsid w:val="79646E59"/>
    <w:rsid w:val="79660E24"/>
    <w:rsid w:val="79711576"/>
    <w:rsid w:val="797152CB"/>
    <w:rsid w:val="79752E15"/>
    <w:rsid w:val="79C11BD2"/>
    <w:rsid w:val="79C27653"/>
    <w:rsid w:val="79D7333A"/>
    <w:rsid w:val="79F91D2C"/>
    <w:rsid w:val="79FD4D1C"/>
    <w:rsid w:val="7A16385A"/>
    <w:rsid w:val="7A281B72"/>
    <w:rsid w:val="7A614BD3"/>
    <w:rsid w:val="7A6F3D08"/>
    <w:rsid w:val="7AC65BFC"/>
    <w:rsid w:val="7AF81F4F"/>
    <w:rsid w:val="7B1F628B"/>
    <w:rsid w:val="7B8E01BE"/>
    <w:rsid w:val="7BCA4E23"/>
    <w:rsid w:val="7BCB7A29"/>
    <w:rsid w:val="7BF26E13"/>
    <w:rsid w:val="7C166E56"/>
    <w:rsid w:val="7C4139CF"/>
    <w:rsid w:val="7C952974"/>
    <w:rsid w:val="7CA35EEB"/>
    <w:rsid w:val="7CB400F8"/>
    <w:rsid w:val="7D050953"/>
    <w:rsid w:val="7D1C02CF"/>
    <w:rsid w:val="7D4A1525"/>
    <w:rsid w:val="7D817FF3"/>
    <w:rsid w:val="7D952517"/>
    <w:rsid w:val="7E535DCD"/>
    <w:rsid w:val="7E5751DF"/>
    <w:rsid w:val="7EB470EC"/>
    <w:rsid w:val="7EE76874"/>
    <w:rsid w:val="7F14040A"/>
    <w:rsid w:val="7F272C0A"/>
    <w:rsid w:val="7F3E014D"/>
    <w:rsid w:val="7F626330"/>
    <w:rsid w:val="7FD10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spacing w:line="720" w:lineRule="exact"/>
      <w:outlineLvl w:val="1"/>
    </w:pPr>
    <w:rPr>
      <w:rFonts w:ascii="黑体" w:hAnsi="Copperplate Gothic Bold" w:eastAsia="楷体_GB2312"/>
      <w:sz w:val="28"/>
    </w:rPr>
  </w:style>
  <w:style w:type="paragraph" w:styleId="5">
    <w:name w:val="heading 3"/>
    <w:basedOn w:val="1"/>
    <w:next w:val="1"/>
    <w:unhideWhenUsed/>
    <w:qFormat/>
    <w:uiPriority w:val="9"/>
    <w:pPr>
      <w:keepNext/>
      <w:keepLines/>
      <w:numPr>
        <w:ilvl w:val="2"/>
        <w:numId w:val="1"/>
      </w:numPr>
      <w:spacing w:before="260" w:after="260" w:line="240" w:lineRule="auto"/>
      <w:ind w:left="0" w:firstLine="0" w:firstLineChars="0"/>
      <w:outlineLvl w:val="2"/>
    </w:pPr>
    <w:rPr>
      <w:bCs/>
      <w:sz w:val="28"/>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8">
    <w:name w:val="Note Heading"/>
    <w:basedOn w:val="1"/>
    <w:next w:val="1"/>
    <w:qFormat/>
    <w:uiPriority w:val="0"/>
    <w:pPr>
      <w:tabs>
        <w:tab w:val="left" w:pos="785"/>
      </w:tabs>
    </w:pPr>
    <w:rPr>
      <w:rFonts w:ascii="Verdana" w:hAnsi="Verdana" w:cs="Times New Roman"/>
      <w:szCs w:val="20"/>
    </w:rPr>
  </w:style>
  <w:style w:type="paragraph" w:styleId="9">
    <w:name w:val="annotation text"/>
    <w:basedOn w:val="1"/>
    <w:qFormat/>
    <w:uiPriority w:val="0"/>
    <w:pPr>
      <w:jc w:val="left"/>
    </w:pPr>
  </w:style>
  <w:style w:type="paragraph" w:styleId="10">
    <w:name w:val="Body Text"/>
    <w:basedOn w:val="1"/>
    <w:next w:val="1"/>
    <w:qFormat/>
    <w:uiPriority w:val="99"/>
    <w:rPr>
      <w:rFonts w:ascii="Calibri" w:hAnsi="Calibri" w:cs="Times New Roman"/>
      <w:kern w:val="0"/>
    </w:rPr>
  </w:style>
  <w:style w:type="paragraph" w:styleId="11">
    <w:name w:val="Body Text Indent"/>
    <w:basedOn w:val="1"/>
    <w:qFormat/>
    <w:uiPriority w:val="0"/>
    <w:pPr>
      <w:spacing w:line="360" w:lineRule="auto"/>
      <w:ind w:left="424" w:leftChars="202" w:firstLine="567"/>
    </w:pPr>
    <w:rPr>
      <w:sz w:val="24"/>
    </w:rPr>
  </w:style>
  <w:style w:type="paragraph" w:styleId="12">
    <w:name w:val="Block Text"/>
    <w:basedOn w:val="1"/>
    <w:next w:val="1"/>
    <w:unhideWhenUsed/>
    <w:qFormat/>
    <w:uiPriority w:val="99"/>
    <w:pPr>
      <w:ind w:left="1440" w:leftChars="700" w:right="700" w:rightChars="700"/>
    </w:p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rPr>
  </w:style>
  <w:style w:type="paragraph" w:styleId="15">
    <w:name w:val="Date"/>
    <w:basedOn w:val="1"/>
    <w:next w:val="1"/>
    <w:qFormat/>
    <w:uiPriority w:val="0"/>
    <w:rPr>
      <w:rFonts w:ascii="Copperplate Gothic Bold" w:hAnsi="Copperplate Gothic Bold"/>
      <w:sz w:val="32"/>
    </w:rPr>
  </w:style>
  <w:style w:type="paragraph" w:styleId="16">
    <w:name w:val="footer"/>
    <w:basedOn w:val="1"/>
    <w:qFormat/>
    <w:uiPriority w:val="0"/>
    <w:pPr>
      <w:pBdr>
        <w:top w:val="double" w:color="auto" w:sz="4" w:space="1"/>
        <w:left w:val="none" w:color="auto" w:sz="0" w:space="4"/>
        <w:bottom w:val="none" w:color="auto" w:sz="0" w:space="1"/>
        <w:right w:val="none" w:color="auto" w:sz="0" w:space="4"/>
      </w:pBdr>
      <w:tabs>
        <w:tab w:val="center" w:pos="4153"/>
        <w:tab w:val="right" w:pos="8306"/>
      </w:tabs>
      <w:snapToGrid w:val="0"/>
      <w:jc w:val="left"/>
    </w:pPr>
    <w:rPr>
      <w:rFonts w:asciiTheme="minorAscii" w:hAnsiTheme="minorAscii"/>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Body Text 2"/>
    <w:basedOn w:val="1"/>
    <w:qFormat/>
    <w:uiPriority w:val="0"/>
    <w:pPr>
      <w:adjustRightInd w:val="0"/>
      <w:snapToGrid w:val="0"/>
      <w:spacing w:line="480" w:lineRule="atLeast"/>
    </w:pPr>
    <w:rPr>
      <w:rFonts w:ascii="宋体" w:hAnsi="宋体"/>
      <w:sz w:val="28"/>
    </w:rPr>
  </w:style>
  <w:style w:type="paragraph" w:styleId="20">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1">
    <w:name w:val="Title"/>
    <w:next w:val="1"/>
    <w:qFormat/>
    <w:uiPriority w:val="0"/>
    <w:pPr>
      <w:widowControl w:val="0"/>
      <w:spacing w:before="240" w:after="60"/>
      <w:jc w:val="center"/>
      <w:outlineLvl w:val="0"/>
    </w:pPr>
    <w:rPr>
      <w:rFonts w:ascii="Arial" w:hAnsi="Arial" w:eastAsia="宋体" w:cs="Times New Roman"/>
      <w:b/>
      <w:bCs/>
      <w:kern w:val="2"/>
      <w:sz w:val="32"/>
      <w:szCs w:val="32"/>
      <w:lang w:val="en-US" w:eastAsia="zh-CN" w:bidi="ar-SA"/>
    </w:rPr>
  </w:style>
  <w:style w:type="paragraph" w:styleId="22">
    <w:name w:val="Body Text First Indent"/>
    <w:basedOn w:val="10"/>
    <w:unhideWhenUsed/>
    <w:qFormat/>
    <w:uiPriority w:val="99"/>
    <w:pPr>
      <w:ind w:firstLine="420" w:firstLineChars="100"/>
    </w:pPr>
  </w:style>
  <w:style w:type="paragraph" w:styleId="23">
    <w:name w:val="Body Text First Indent 2"/>
    <w:basedOn w:val="11"/>
    <w:unhideWhenUsed/>
    <w:qFormat/>
    <w:uiPriority w:val="99"/>
    <w:pPr>
      <w:spacing w:after="120" w:line="240" w:lineRule="auto"/>
      <w:ind w:left="420" w:leftChars="200"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character" w:styleId="28">
    <w:name w:val="FollowedHyperlink"/>
    <w:basedOn w:val="26"/>
    <w:qFormat/>
    <w:uiPriority w:val="0"/>
    <w:rPr>
      <w:color w:val="800080"/>
      <w:u w:val="none"/>
    </w:rPr>
  </w:style>
  <w:style w:type="character" w:styleId="29">
    <w:name w:val="Emphasis"/>
    <w:basedOn w:val="26"/>
    <w:qFormat/>
    <w:uiPriority w:val="0"/>
    <w:rPr>
      <w:b/>
      <w:bCs/>
    </w:rPr>
  </w:style>
  <w:style w:type="character" w:styleId="30">
    <w:name w:val="HTML Definition"/>
    <w:basedOn w:val="26"/>
    <w:qFormat/>
    <w:uiPriority w:val="0"/>
  </w:style>
  <w:style w:type="character" w:styleId="31">
    <w:name w:val="HTML Typewriter"/>
    <w:basedOn w:val="26"/>
    <w:qFormat/>
    <w:uiPriority w:val="0"/>
    <w:rPr>
      <w:rFonts w:hint="default" w:ascii="monospace" w:hAnsi="monospace" w:eastAsia="monospace" w:cs="monospace"/>
      <w:sz w:val="20"/>
    </w:rPr>
  </w:style>
  <w:style w:type="character" w:styleId="32">
    <w:name w:val="HTML Acronym"/>
    <w:basedOn w:val="26"/>
    <w:qFormat/>
    <w:uiPriority w:val="0"/>
  </w:style>
  <w:style w:type="character" w:styleId="33">
    <w:name w:val="HTML Variable"/>
    <w:basedOn w:val="26"/>
    <w:qFormat/>
    <w:uiPriority w:val="0"/>
  </w:style>
  <w:style w:type="character" w:styleId="34">
    <w:name w:val="Hyperlink"/>
    <w:basedOn w:val="26"/>
    <w:qFormat/>
    <w:uiPriority w:val="0"/>
    <w:rPr>
      <w:color w:val="0000FF"/>
      <w:u w:val="none"/>
    </w:rPr>
  </w:style>
  <w:style w:type="character" w:styleId="35">
    <w:name w:val="HTML Code"/>
    <w:basedOn w:val="26"/>
    <w:qFormat/>
    <w:uiPriority w:val="0"/>
    <w:rPr>
      <w:rFonts w:hint="default" w:ascii="monospace" w:hAnsi="monospace" w:eastAsia="monospace" w:cs="monospace"/>
      <w:sz w:val="20"/>
    </w:rPr>
  </w:style>
  <w:style w:type="character" w:styleId="36">
    <w:name w:val="HTML Cite"/>
    <w:basedOn w:val="26"/>
    <w:qFormat/>
    <w:uiPriority w:val="0"/>
  </w:style>
  <w:style w:type="character" w:styleId="37">
    <w:name w:val="HTML Keyboard"/>
    <w:basedOn w:val="26"/>
    <w:qFormat/>
    <w:uiPriority w:val="0"/>
    <w:rPr>
      <w:rFonts w:ascii="monospace" w:hAnsi="monospace" w:eastAsia="monospace" w:cs="monospace"/>
      <w:sz w:val="20"/>
    </w:rPr>
  </w:style>
  <w:style w:type="character" w:styleId="38">
    <w:name w:val="HTML Sample"/>
    <w:basedOn w:val="26"/>
    <w:qFormat/>
    <w:uiPriority w:val="0"/>
    <w:rPr>
      <w:rFonts w:hint="default" w:ascii="monospace" w:hAnsi="monospace" w:eastAsia="monospace" w:cs="monospace"/>
    </w:rPr>
  </w:style>
  <w:style w:type="paragraph" w:customStyle="1" w:styleId="39">
    <w:name w:val="MessageHeader"/>
    <w:basedOn w:val="1"/>
    <w:next w:val="40"/>
    <w:qFormat/>
    <w:uiPriority w:val="0"/>
    <w:pPr>
      <w:pBdr>
        <w:top w:val="none" w:color="000000" w:sz="0" w:space="1"/>
        <w:left w:val="none" w:color="000000" w:sz="0" w:space="1"/>
        <w:bottom w:val="none" w:color="000000" w:sz="0" w:space="1"/>
        <w:right w:val="none" w:color="000000" w:sz="0" w:space="1"/>
      </w:pBdr>
      <w:snapToGrid w:val="0"/>
      <w:spacing w:line="360" w:lineRule="auto"/>
      <w:jc w:val="both"/>
      <w:textAlignment w:val="baseline"/>
    </w:pPr>
    <w:rPr>
      <w:rFonts w:ascii="Arial" w:hAnsi="Arial"/>
      <w:kern w:val="2"/>
      <w:sz w:val="28"/>
      <w:lang w:val="en-US" w:eastAsia="zh-CN" w:bidi="ar-SA"/>
    </w:rPr>
  </w:style>
  <w:style w:type="paragraph" w:customStyle="1" w:styleId="40">
    <w:name w:val="BodyText"/>
    <w:basedOn w:val="1"/>
    <w:next w:val="1"/>
    <w:qFormat/>
    <w:uiPriority w:val="0"/>
    <w:pPr>
      <w:jc w:val="center"/>
      <w:textAlignment w:val="baseline"/>
    </w:pPr>
  </w:style>
  <w:style w:type="paragraph" w:customStyle="1" w:styleId="41">
    <w:name w:val="List Paragraph1"/>
    <w:qFormat/>
    <w:uiPriority w:val="0"/>
    <w:pPr>
      <w:ind w:firstLine="420" w:firstLineChars="200"/>
    </w:pPr>
    <w:rPr>
      <w:rFonts w:ascii="Calibri" w:hAnsi="Calibri" w:eastAsia="宋体" w:cs="Times New Roman"/>
      <w:lang w:val="en-US" w:eastAsia="zh-CN" w:bidi="ar-SA"/>
    </w:rPr>
  </w:style>
  <w:style w:type="paragraph" w:customStyle="1" w:styleId="42">
    <w:name w:val="正文文本1"/>
    <w:basedOn w:val="1"/>
    <w:qFormat/>
    <w:uiPriority w:val="0"/>
    <w:pPr>
      <w:widowControl w:val="0"/>
      <w:shd w:val="clear" w:color="auto" w:fill="FFFFFF"/>
      <w:spacing w:after="60" w:line="463" w:lineRule="auto"/>
      <w:ind w:firstLine="400"/>
    </w:pPr>
    <w:rPr>
      <w:rFonts w:ascii="黑体" w:hAnsi="黑体" w:eastAsia="黑体" w:cs="黑体"/>
      <w:sz w:val="34"/>
      <w:szCs w:val="34"/>
      <w:u w:val="none"/>
      <w:lang w:val="zh-CN" w:eastAsia="zh-CN" w:bidi="zh-CN"/>
    </w:rPr>
  </w:style>
  <w:style w:type="character" w:customStyle="1" w:styleId="43">
    <w:name w:val="font31"/>
    <w:basedOn w:val="26"/>
    <w:qFormat/>
    <w:uiPriority w:val="0"/>
    <w:rPr>
      <w:rFonts w:hint="eastAsia" w:ascii="仿宋" w:hAnsi="仿宋" w:eastAsia="仿宋" w:cs="仿宋"/>
      <w:b/>
      <w:color w:val="000000"/>
      <w:sz w:val="20"/>
      <w:szCs w:val="20"/>
      <w:u w:val="none"/>
    </w:rPr>
  </w:style>
  <w:style w:type="character" w:customStyle="1" w:styleId="44">
    <w:name w:val="font112"/>
    <w:basedOn w:val="26"/>
    <w:qFormat/>
    <w:uiPriority w:val="0"/>
    <w:rPr>
      <w:rFonts w:hint="eastAsia" w:ascii="仿宋" w:hAnsi="仿宋" w:eastAsia="仿宋" w:cs="仿宋"/>
      <w:color w:val="000000"/>
      <w:sz w:val="20"/>
      <w:szCs w:val="20"/>
      <w:u w:val="none"/>
    </w:rPr>
  </w:style>
  <w:style w:type="character" w:customStyle="1" w:styleId="45">
    <w:name w:val="font101"/>
    <w:basedOn w:val="26"/>
    <w:qFormat/>
    <w:uiPriority w:val="0"/>
    <w:rPr>
      <w:rFonts w:hint="eastAsia" w:ascii="仿宋" w:hAnsi="仿宋" w:eastAsia="仿宋" w:cs="仿宋"/>
      <w:color w:val="000000"/>
      <w:sz w:val="20"/>
      <w:szCs w:val="20"/>
      <w:u w:val="none"/>
    </w:rPr>
  </w:style>
  <w:style w:type="character" w:customStyle="1" w:styleId="46">
    <w:name w:val="font41"/>
    <w:basedOn w:val="26"/>
    <w:qFormat/>
    <w:uiPriority w:val="0"/>
    <w:rPr>
      <w:rFonts w:hint="eastAsia" w:ascii="仿宋" w:hAnsi="仿宋" w:eastAsia="仿宋" w:cs="仿宋"/>
      <w:color w:val="000000"/>
      <w:sz w:val="20"/>
      <w:szCs w:val="20"/>
      <w:u w:val="none"/>
    </w:rPr>
  </w:style>
  <w:style w:type="character" w:customStyle="1" w:styleId="47">
    <w:name w:val="font51"/>
    <w:basedOn w:val="26"/>
    <w:qFormat/>
    <w:uiPriority w:val="0"/>
    <w:rPr>
      <w:rFonts w:hint="eastAsia" w:ascii="仿宋" w:hAnsi="仿宋" w:eastAsia="仿宋" w:cs="仿宋"/>
      <w:b/>
      <w:color w:val="FF0000"/>
      <w:sz w:val="20"/>
      <w:szCs w:val="20"/>
      <w:u w:val="none"/>
    </w:rPr>
  </w:style>
  <w:style w:type="character" w:customStyle="1" w:styleId="48">
    <w:name w:val="font61"/>
    <w:basedOn w:val="26"/>
    <w:qFormat/>
    <w:uiPriority w:val="0"/>
    <w:rPr>
      <w:rFonts w:hint="eastAsia" w:ascii="仿宋" w:hAnsi="仿宋" w:eastAsia="仿宋" w:cs="仿宋"/>
      <w:b/>
      <w:color w:val="000000"/>
      <w:sz w:val="20"/>
      <w:szCs w:val="20"/>
      <w:u w:val="none"/>
    </w:rPr>
  </w:style>
  <w:style w:type="character" w:customStyle="1" w:styleId="49">
    <w:name w:val="font81"/>
    <w:basedOn w:val="26"/>
    <w:qFormat/>
    <w:uiPriority w:val="0"/>
    <w:rPr>
      <w:rFonts w:hint="eastAsia" w:ascii="仿宋" w:hAnsi="仿宋" w:eastAsia="仿宋" w:cs="仿宋"/>
      <w:b/>
      <w:color w:val="C00000"/>
      <w:sz w:val="20"/>
      <w:szCs w:val="20"/>
      <w:u w:val="none"/>
    </w:rPr>
  </w:style>
  <w:style w:type="character" w:customStyle="1" w:styleId="50">
    <w:name w:val="font11"/>
    <w:basedOn w:val="26"/>
    <w:qFormat/>
    <w:uiPriority w:val="0"/>
    <w:rPr>
      <w:rFonts w:hint="eastAsia" w:ascii="仿宋" w:hAnsi="仿宋" w:eastAsia="仿宋" w:cs="仿宋"/>
      <w:b/>
      <w:color w:val="00B050"/>
      <w:sz w:val="20"/>
      <w:szCs w:val="20"/>
      <w:u w:val="none"/>
    </w:rPr>
  </w:style>
  <w:style w:type="character" w:customStyle="1" w:styleId="51">
    <w:name w:val="font71"/>
    <w:basedOn w:val="26"/>
    <w:qFormat/>
    <w:uiPriority w:val="0"/>
    <w:rPr>
      <w:rFonts w:hint="eastAsia" w:ascii="仿宋" w:hAnsi="仿宋" w:eastAsia="仿宋" w:cs="仿宋"/>
      <w:b/>
      <w:color w:val="000000"/>
      <w:sz w:val="20"/>
      <w:szCs w:val="20"/>
      <w:u w:val="none"/>
    </w:rPr>
  </w:style>
  <w:style w:type="paragraph" w:styleId="52">
    <w:name w:val="List Paragraph"/>
    <w:basedOn w:val="1"/>
    <w:qFormat/>
    <w:uiPriority w:val="34"/>
    <w:pPr>
      <w:widowControl/>
      <w:numPr>
        <w:ilvl w:val="0"/>
        <w:numId w:val="2"/>
      </w:numPr>
      <w:ind w:firstLine="0" w:firstLineChars="0"/>
      <w:contextualSpacing/>
    </w:pPr>
    <w:rPr>
      <w:rFonts w:ascii="Times New Roman" w:hAnsi="Times New Roman" w:cs="Times New Roman"/>
      <w:kern w:val="0"/>
      <w:szCs w:val="24"/>
    </w:rPr>
  </w:style>
  <w:style w:type="paragraph" w:customStyle="1" w:styleId="5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54">
    <w:name w:val="正文，"/>
    <w:basedOn w:val="1"/>
    <w:qFormat/>
    <w:uiPriority w:val="0"/>
    <w:pPr>
      <w:adjustRightInd/>
      <w:snapToGrid/>
      <w:ind w:firstLine="560"/>
    </w:pPr>
    <w:rPr>
      <w:rFonts w:ascii="Calibri" w:hAnsi="Calibri" w:eastAsia="仿宋" w:cs="Times New Roman"/>
      <w:color w:val="auto"/>
      <w:sz w:val="28"/>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41861</Words>
  <Characters>43445</Characters>
  <Lines>0</Lines>
  <Paragraphs>0</Paragraphs>
  <TotalTime>12</TotalTime>
  <ScaleCrop>false</ScaleCrop>
  <LinksUpToDate>false</LinksUpToDate>
  <CharactersWithSpaces>45644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2020-06-07T13:56:00Z</dcterms:created>
  <dc:creator>Administrator</dc:creator>
  <cp:lastModifiedBy>A.ツ丶小猪爱</cp:lastModifiedBy>
  <cp:lastPrinted>2022-08-26T09:26:00Z</cp:lastPrinted>
  <dcterms:modified xsi:type="dcterms:W3CDTF">2026-02-27T03:15:28Z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KSOTemplateUUID">
    <vt:lpwstr>v1.0_mb_JTkv4FRecwauV9R5PE+DoQ==</vt:lpwstr>
  </property>
  <property fmtid="{D5CDD505-2E9C-101B-9397-08002B2CF9AE}" pid="4" name="ICV">
    <vt:lpwstr>AE9434AF1AB2429FADE45BCAFD088277_13</vt:lpwstr>
  </property>
  <property fmtid="{D5CDD505-2E9C-101B-9397-08002B2CF9AE}" pid="5" name="KSOTemplateDocerSaveRecord">
    <vt:lpwstr>eyJoZGlkIjoiYzRmZDQ1MjUzOWRiMTVhM2NkMzg4NjljYzI4NzgyNTUiLCJ1c2VySWQiOiIzNDM2MjczNDEifQ==</vt:lpwstr>
  </property>
</Properties>
</file>