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782E1">
      <w:pPr>
        <w:pStyle w:val="4"/>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采购需求</w:t>
      </w:r>
    </w:p>
    <w:p w14:paraId="345A545B">
      <w:pPr>
        <w:pStyle w:val="4"/>
      </w:pPr>
      <w:r>
        <w:rPr>
          <w:rFonts w:ascii="仿宋_GB2312" w:hAnsi="仿宋_GB2312" w:eastAsia="仿宋_GB2312" w:cs="仿宋_GB2312"/>
        </w:rPr>
        <w:t>一、采购清单</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14071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2500" w:type="pct"/>
          </w:tcPr>
          <w:p w14:paraId="20D5AB38">
            <w:pPr>
              <w:pStyle w:val="4"/>
            </w:pPr>
            <w:r>
              <w:rPr>
                <w:rFonts w:ascii="仿宋_GB2312" w:hAnsi="仿宋_GB2312" w:eastAsia="仿宋_GB2312" w:cs="仿宋_GB2312"/>
              </w:rPr>
              <w:t>产品名称</w:t>
            </w:r>
          </w:p>
        </w:tc>
        <w:tc>
          <w:tcPr>
            <w:tcW w:w="2500" w:type="pct"/>
          </w:tcPr>
          <w:p w14:paraId="5876F623">
            <w:pPr>
              <w:pStyle w:val="4"/>
            </w:pPr>
            <w:r>
              <w:rPr>
                <w:rFonts w:ascii="仿宋_GB2312" w:hAnsi="仿宋_GB2312" w:eastAsia="仿宋_GB2312" w:cs="仿宋_GB2312"/>
              </w:rPr>
              <w:t>数量</w:t>
            </w:r>
          </w:p>
        </w:tc>
      </w:tr>
      <w:tr w14:paraId="37CF6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2500" w:type="pct"/>
          </w:tcPr>
          <w:p w14:paraId="0B083320">
            <w:pPr>
              <w:pStyle w:val="4"/>
            </w:pPr>
            <w:r>
              <w:rPr>
                <w:rFonts w:ascii="仿宋_GB2312" w:hAnsi="仿宋_GB2312" w:eastAsia="仿宋_GB2312" w:cs="仿宋_GB2312"/>
              </w:rPr>
              <w:t>微波射频源</w:t>
            </w:r>
          </w:p>
        </w:tc>
        <w:tc>
          <w:tcPr>
            <w:tcW w:w="2500" w:type="pct"/>
          </w:tcPr>
          <w:p w14:paraId="3859E3E6">
            <w:pPr>
              <w:pStyle w:val="4"/>
            </w:pPr>
            <w:r>
              <w:rPr>
                <w:rFonts w:ascii="仿宋_GB2312" w:hAnsi="仿宋_GB2312" w:eastAsia="仿宋_GB2312" w:cs="仿宋_GB2312"/>
              </w:rPr>
              <w:t>1套</w:t>
            </w:r>
          </w:p>
        </w:tc>
      </w:tr>
    </w:tbl>
    <w:p w14:paraId="6438D67C">
      <w:pPr>
        <w:pStyle w:val="4"/>
      </w:pPr>
      <w:r>
        <w:rPr>
          <w:rFonts w:ascii="仿宋_GB2312" w:hAnsi="仿宋_GB2312" w:eastAsia="仿宋_GB2312" w:cs="仿宋_GB2312"/>
        </w:rPr>
        <w:t>二、参数要求</w:t>
      </w:r>
    </w:p>
    <w:p w14:paraId="3538AE79">
      <w:pPr>
        <w:pStyle w:val="4"/>
      </w:pPr>
      <w:r>
        <w:rPr>
          <w:rFonts w:ascii="仿宋_GB2312" w:hAnsi="仿宋_GB2312" w:eastAsia="仿宋_GB2312" w:cs="仿宋_GB2312"/>
        </w:rPr>
        <w:t>（注：所有技术参数均须满足要求，★技术参数必须提供佐证材料（包括但不限于产品彩页或厂家盖章出具的技术白皮书或官网截图等），不满足或未提供佐证材料视为负偏离，按无效文件处理。）</w:t>
      </w:r>
    </w:p>
    <w:p w14:paraId="71BE9171">
      <w:pPr>
        <w:pStyle w:val="4"/>
      </w:pPr>
      <w:r>
        <w:rPr>
          <w:rFonts w:ascii="仿宋_GB2312" w:hAnsi="仿宋_GB2312" w:eastAsia="仿宋_GB2312" w:cs="仿宋_GB2312"/>
        </w:rPr>
        <w:t>1.微波射频模块</w:t>
      </w:r>
    </w:p>
    <w:p w14:paraId="2CF56315">
      <w:pPr>
        <w:pStyle w:val="4"/>
      </w:pPr>
      <w:r>
        <w:rPr>
          <w:rFonts w:ascii="仿宋_GB2312" w:hAnsi="仿宋_GB2312" w:eastAsia="仿宋_GB2312" w:cs="仿宋_GB2312"/>
        </w:rPr>
        <w:t>★1.1主机频率范围至少覆盖250kHz～67GHz（不使用外部混频器</w:t>
      </w:r>
      <w:bookmarkStart w:id="0" w:name="_GoBack"/>
      <w:bookmarkEnd w:id="0"/>
      <w:r>
        <w:rPr>
          <w:rFonts w:ascii="仿宋_GB2312" w:hAnsi="仿宋_GB2312" w:eastAsia="仿宋_GB2312" w:cs="仿宋_GB2312"/>
        </w:rPr>
        <w:t>）；</w:t>
      </w:r>
    </w:p>
    <w:p w14:paraId="60DCF772">
      <w:pPr>
        <w:pStyle w:val="4"/>
      </w:pPr>
      <w:r>
        <w:rPr>
          <w:rFonts w:ascii="仿宋_GB2312" w:hAnsi="仿宋_GB2312" w:eastAsia="仿宋_GB2312" w:cs="仿宋_GB2312"/>
        </w:rPr>
        <w:t>★1.2最小频率分辨率≤0.001Hz；</w:t>
      </w:r>
    </w:p>
    <w:p w14:paraId="719A0FE5">
      <w:pPr>
        <w:pStyle w:val="4"/>
      </w:pPr>
      <w:r>
        <w:rPr>
          <w:rFonts w:ascii="仿宋_GB2312" w:hAnsi="仿宋_GB2312" w:eastAsia="仿宋_GB2312" w:cs="仿宋_GB2312"/>
        </w:rPr>
        <w:t>★1.3具备相位偏置调整能力且分辨率≤0.1°；</w:t>
      </w:r>
    </w:p>
    <w:p w14:paraId="253DE10F">
      <w:pPr>
        <w:pStyle w:val="4"/>
      </w:pPr>
      <w:r>
        <w:rPr>
          <w:rFonts w:ascii="仿宋_GB2312" w:hAnsi="仿宋_GB2312" w:eastAsia="仿宋_GB2312" w:cs="仿宋_GB2312"/>
        </w:rPr>
        <w:t>1.4内置步进衰减器，衰减范围0dB-90dB，10dB步进；</w:t>
      </w:r>
    </w:p>
    <w:p w14:paraId="4013CDA2">
      <w:pPr>
        <w:pStyle w:val="4"/>
      </w:pPr>
      <w:r>
        <w:rPr>
          <w:rFonts w:ascii="仿宋_GB2312" w:hAnsi="仿宋_GB2312" w:eastAsia="仿宋_GB2312" w:cs="仿宋_GB2312"/>
        </w:rPr>
        <w:t>★1.5最大输出功率（保证值，含内部步进衰减器）：</w:t>
      </w:r>
    </w:p>
    <w:p w14:paraId="73ED00C1">
      <w:pPr>
        <w:pStyle w:val="4"/>
      </w:pPr>
      <w:r>
        <w:rPr>
          <w:rFonts w:ascii="仿宋_GB2312" w:hAnsi="仿宋_GB2312" w:eastAsia="仿宋_GB2312" w:cs="仿宋_GB2312"/>
        </w:rPr>
        <w:t>1GHz-15GHz， ≥+17dBm</w:t>
      </w:r>
    </w:p>
    <w:p w14:paraId="1E424EBA">
      <w:pPr>
        <w:pStyle w:val="4"/>
      </w:pPr>
      <w:r>
        <w:rPr>
          <w:rFonts w:ascii="仿宋_GB2312" w:hAnsi="仿宋_GB2312" w:eastAsia="仿宋_GB2312" w:cs="仿宋_GB2312"/>
        </w:rPr>
        <w:t>15GHz-30GHz，≥+13dBm</w:t>
      </w:r>
    </w:p>
    <w:p w14:paraId="4783FCC8">
      <w:pPr>
        <w:pStyle w:val="4"/>
      </w:pPr>
      <w:r>
        <w:rPr>
          <w:rFonts w:ascii="仿宋_GB2312" w:hAnsi="仿宋_GB2312" w:eastAsia="仿宋_GB2312" w:cs="仿宋_GB2312"/>
        </w:rPr>
        <w:t>30GHz-67GHz，≥+8dBm</w:t>
      </w:r>
    </w:p>
    <w:p w14:paraId="7232348B">
      <w:pPr>
        <w:pStyle w:val="4"/>
      </w:pPr>
      <w:r>
        <w:rPr>
          <w:rFonts w:ascii="仿宋_GB2312" w:hAnsi="仿宋_GB2312" w:eastAsia="仿宋_GB2312" w:cs="仿宋_GB2312"/>
        </w:rPr>
        <w:t>★1.6单边带相位噪声（50GHz载波，室温15-35℃，功率+10dBm，保证值）：</w:t>
      </w:r>
    </w:p>
    <w:p w14:paraId="3E54E895">
      <w:pPr>
        <w:pStyle w:val="4"/>
      </w:pPr>
      <w:r>
        <w:rPr>
          <w:rFonts w:ascii="仿宋_GB2312" w:hAnsi="仿宋_GB2312" w:eastAsia="仿宋_GB2312" w:cs="仿宋_GB2312"/>
        </w:rPr>
        <w:t>1Hz频偏，≤-20dBc/Hz；</w:t>
      </w:r>
    </w:p>
    <w:p w14:paraId="03755CEC">
      <w:pPr>
        <w:pStyle w:val="4"/>
      </w:pPr>
      <w:r>
        <w:rPr>
          <w:rFonts w:ascii="仿宋_GB2312" w:hAnsi="仿宋_GB2312" w:eastAsia="仿宋_GB2312" w:cs="仿宋_GB2312"/>
        </w:rPr>
        <w:t>10Hz频偏，≤-47dBc/Hz；</w:t>
      </w:r>
    </w:p>
    <w:p w14:paraId="0B4A718A">
      <w:pPr>
        <w:pStyle w:val="4"/>
      </w:pPr>
      <w:r>
        <w:rPr>
          <w:rFonts w:ascii="仿宋_GB2312" w:hAnsi="仿宋_GB2312" w:eastAsia="仿宋_GB2312" w:cs="仿宋_GB2312"/>
        </w:rPr>
        <w:t>10kHz频偏，≤-92dBc/Hz；</w:t>
      </w:r>
    </w:p>
    <w:p w14:paraId="3F15F887">
      <w:pPr>
        <w:pStyle w:val="4"/>
      </w:pPr>
      <w:r>
        <w:rPr>
          <w:rFonts w:ascii="仿宋_GB2312" w:hAnsi="仿宋_GB2312" w:eastAsia="仿宋_GB2312" w:cs="仿宋_GB2312"/>
        </w:rPr>
        <w:t>★1.7端口驻波（主机内部稳幅）：</w:t>
      </w:r>
    </w:p>
    <w:p w14:paraId="5CA1C716">
      <w:pPr>
        <w:pStyle w:val="4"/>
      </w:pPr>
      <w:r>
        <w:rPr>
          <w:rFonts w:ascii="仿宋_GB2312" w:hAnsi="仿宋_GB2312" w:eastAsia="仿宋_GB2312" w:cs="仿宋_GB2312"/>
        </w:rPr>
        <w:t>1GHz-2GHz，≤1.4:1；</w:t>
      </w:r>
    </w:p>
    <w:p w14:paraId="5F7CAD24">
      <w:pPr>
        <w:pStyle w:val="4"/>
      </w:pPr>
      <w:r>
        <w:rPr>
          <w:rFonts w:ascii="仿宋_GB2312" w:hAnsi="仿宋_GB2312" w:eastAsia="仿宋_GB2312" w:cs="仿宋_GB2312"/>
        </w:rPr>
        <w:t>2GHz-40GHz，≤1.8:1；</w:t>
      </w:r>
    </w:p>
    <w:p w14:paraId="3BE2469D">
      <w:pPr>
        <w:pStyle w:val="4"/>
      </w:pPr>
      <w:r>
        <w:rPr>
          <w:rFonts w:ascii="仿宋_GB2312" w:hAnsi="仿宋_GB2312" w:eastAsia="仿宋_GB2312" w:cs="仿宋_GB2312"/>
        </w:rPr>
        <w:t>40GHz-67GHz，≤2.0:1；</w:t>
      </w:r>
    </w:p>
    <w:p w14:paraId="2F8050A6">
      <w:pPr>
        <w:pStyle w:val="4"/>
      </w:pPr>
      <w:r>
        <w:rPr>
          <w:rFonts w:ascii="仿宋_GB2312" w:hAnsi="仿宋_GB2312" w:eastAsia="仿宋_GB2312" w:cs="仿宋_GB2312"/>
        </w:rPr>
        <w:t>★1.8宽带噪声（频偏＞10MHz）：</w:t>
      </w:r>
    </w:p>
    <w:p w14:paraId="5E7F68C6">
      <w:pPr>
        <w:pStyle w:val="4"/>
      </w:pPr>
      <w:r>
        <w:rPr>
          <w:rFonts w:ascii="仿宋_GB2312" w:hAnsi="仿宋_GB2312" w:eastAsia="仿宋_GB2312" w:cs="仿宋_GB2312"/>
        </w:rPr>
        <w:t>10GHz载波，优于-145dBc/Hz;</w:t>
      </w:r>
    </w:p>
    <w:p w14:paraId="1C14AC57">
      <w:pPr>
        <w:pStyle w:val="4"/>
      </w:pPr>
      <w:r>
        <w:rPr>
          <w:rFonts w:ascii="仿宋_GB2312" w:hAnsi="仿宋_GB2312" w:eastAsia="仿宋_GB2312" w:cs="仿宋_GB2312"/>
        </w:rPr>
        <w:t>20GHz载波，优于-140dBc/Hz;</w:t>
      </w:r>
    </w:p>
    <w:p w14:paraId="72D1288C">
      <w:pPr>
        <w:pStyle w:val="4"/>
      </w:pPr>
      <w:r>
        <w:rPr>
          <w:rFonts w:ascii="仿宋_GB2312" w:hAnsi="仿宋_GB2312" w:eastAsia="仿宋_GB2312" w:cs="仿宋_GB2312"/>
        </w:rPr>
        <w:t>50GHz载波，优于-135dBc/Hz;</w:t>
      </w:r>
    </w:p>
    <w:p w14:paraId="4AA1CB70">
      <w:pPr>
        <w:pStyle w:val="4"/>
      </w:pPr>
      <w:r>
        <w:rPr>
          <w:rFonts w:ascii="仿宋_GB2312" w:hAnsi="仿宋_GB2312" w:eastAsia="仿宋_GB2312" w:cs="仿宋_GB2312"/>
        </w:rPr>
        <w:t>1.9具备模拟调制（幅度调整，频率调制，相位调制）功能，具备脉冲调制功能；</w:t>
      </w:r>
    </w:p>
    <w:p w14:paraId="170709EC">
      <w:pPr>
        <w:pStyle w:val="4"/>
      </w:pPr>
      <w:r>
        <w:rPr>
          <w:rFonts w:ascii="仿宋_GB2312" w:hAnsi="仿宋_GB2312" w:eastAsia="仿宋_GB2312" w:cs="仿宋_GB2312"/>
        </w:rPr>
        <w:t>1.10具备低频输出功能；</w:t>
      </w:r>
    </w:p>
    <w:p w14:paraId="665CACF7">
      <w:pPr>
        <w:pStyle w:val="4"/>
      </w:pPr>
      <w:r>
        <w:rPr>
          <w:rFonts w:ascii="仿宋_GB2312" w:hAnsi="仿宋_GB2312" w:eastAsia="仿宋_GB2312" w:cs="仿宋_GB2312"/>
        </w:rPr>
        <w:t>★1.11支持外置功率计平坦度校准功能，信号源主机可对外部功率计进行控制，自动执行校准功能。最大校准点数≥1600点；</w:t>
      </w:r>
    </w:p>
    <w:p w14:paraId="2C1BB479">
      <w:pPr>
        <w:pStyle w:val="4"/>
      </w:pPr>
      <w:r>
        <w:rPr>
          <w:rFonts w:ascii="仿宋_GB2312" w:hAnsi="仿宋_GB2312" w:eastAsia="仿宋_GB2312" w:cs="仿宋_GB2312"/>
        </w:rPr>
        <w:t>1.12软件与用户接口：图形用户界面（GUI）：基于Qt或Web技术开发，用于系统状态监控、参数设置、结果显示（频谱图、瀑布图、波束方向图等）；</w:t>
      </w:r>
    </w:p>
    <w:p w14:paraId="47D004AC">
      <w:pPr>
        <w:pStyle w:val="4"/>
      </w:pPr>
      <w:r>
        <w:rPr>
          <w:rFonts w:ascii="仿宋_GB2312" w:hAnsi="仿宋_GB2312" w:eastAsia="仿宋_GB2312" w:cs="仿宋_GB2312"/>
        </w:rPr>
        <w:t>1.13 API接口：提供Python/C++ API，供二次开发或自动化测试脚本调用。</w:t>
      </w:r>
    </w:p>
    <w:p w14:paraId="3CBAE5F4">
      <w:pPr>
        <w:pStyle w:val="4"/>
      </w:pPr>
      <w:r>
        <w:rPr>
          <w:rFonts w:ascii="仿宋_GB2312" w:hAnsi="仿宋_GB2312" w:eastAsia="仿宋_GB2312" w:cs="仿宋_GB2312"/>
        </w:rPr>
        <w:t>★1.14  CW模式切换速度：≤7ms（标准）</w:t>
      </w:r>
    </w:p>
    <w:p w14:paraId="449996BC">
      <w:pPr>
        <w:pStyle w:val="4"/>
      </w:pPr>
      <w:r>
        <w:rPr>
          <w:rFonts w:ascii="仿宋_GB2312" w:hAnsi="仿宋_GB2312" w:eastAsia="仿宋_GB2312" w:cs="仿宋_GB2312"/>
        </w:rPr>
        <w:t>2. 可调谐激光模块</w:t>
      </w:r>
    </w:p>
    <w:p w14:paraId="5A6FC210">
      <w:pPr>
        <w:pStyle w:val="4"/>
      </w:pPr>
      <w:r>
        <w:rPr>
          <w:rFonts w:ascii="仿宋_GB2312" w:hAnsi="仿宋_GB2312" w:eastAsia="仿宋_GB2312" w:cs="仿宋_GB2312"/>
        </w:rPr>
        <w:t>★2.1. 波长至少覆盖范围：1440-1640nm</w:t>
      </w:r>
    </w:p>
    <w:p w14:paraId="50994267">
      <w:pPr>
        <w:pStyle w:val="4"/>
      </w:pPr>
      <w:r>
        <w:rPr>
          <w:rFonts w:ascii="仿宋_GB2312" w:hAnsi="仿宋_GB2312" w:eastAsia="仿宋_GB2312" w:cs="仿宋_GB2312"/>
        </w:rPr>
        <w:t>★2.2. 13 dBm输出功率时工作波长范围：1500-1620nm</w:t>
      </w:r>
    </w:p>
    <w:p w14:paraId="7EFF8D2E">
      <w:pPr>
        <w:pStyle w:val="4"/>
      </w:pPr>
      <w:r>
        <w:rPr>
          <w:rFonts w:ascii="仿宋_GB2312" w:hAnsi="仿宋_GB2312" w:eastAsia="仿宋_GB2312" w:cs="仿宋_GB2312"/>
        </w:rPr>
        <w:t>2.3. 波长不确定度： ≤ 5pm（典型值）,最大值≤20pm</w:t>
      </w:r>
    </w:p>
    <w:p w14:paraId="7401A9CF">
      <w:pPr>
        <w:pStyle w:val="4"/>
      </w:pPr>
      <w:r>
        <w:rPr>
          <w:rFonts w:ascii="仿宋_GB2312" w:hAnsi="仿宋_GB2312" w:eastAsia="仿宋_GB2312" w:cs="仿宋_GB2312"/>
        </w:rPr>
        <w:t>2.4. 波长可重复性: ≤ 5pm（典型值）</w:t>
      </w:r>
    </w:p>
    <w:p w14:paraId="0AE55779">
      <w:pPr>
        <w:pStyle w:val="4"/>
      </w:pPr>
      <w:r>
        <w:rPr>
          <w:rFonts w:ascii="仿宋_GB2312" w:hAnsi="仿宋_GB2312" w:eastAsia="仿宋_GB2312" w:cs="仿宋_GB2312"/>
        </w:rPr>
        <w:t>2.5. 波长稳定度（1 小时测试时间）：≤5pm</w:t>
      </w:r>
    </w:p>
    <w:p w14:paraId="1F3FFD90">
      <w:pPr>
        <w:pStyle w:val="4"/>
      </w:pPr>
      <w:r>
        <w:rPr>
          <w:rFonts w:ascii="仿宋_GB2312" w:hAnsi="仿宋_GB2312" w:eastAsia="仿宋_GB2312" w:cs="仿宋_GB2312"/>
        </w:rPr>
        <w:t>★2.6. 波长分辨率设置：≤1pm</w:t>
      </w:r>
    </w:p>
    <w:p w14:paraId="6D78FB1D">
      <w:pPr>
        <w:pStyle w:val="4"/>
      </w:pPr>
      <w:r>
        <w:rPr>
          <w:rFonts w:ascii="仿宋_GB2312" w:hAnsi="仿宋_GB2312" w:eastAsia="仿宋_GB2312" w:cs="仿宋_GB2312"/>
        </w:rPr>
        <w:t>★2.7. 最高扫描速度（nm/s）:200nm/s，支持双向扫描</w:t>
      </w:r>
    </w:p>
    <w:p w14:paraId="3A3E9DA1">
      <w:pPr>
        <w:pStyle w:val="4"/>
      </w:pPr>
      <w:r>
        <w:rPr>
          <w:rFonts w:ascii="仿宋_GB2312" w:hAnsi="仿宋_GB2312" w:eastAsia="仿宋_GB2312" w:cs="仿宋_GB2312"/>
        </w:rPr>
        <w:t>★2.8. 可调速度（nm/s）: 0.5-200 nm/s范围内，不低于9档速度可调</w:t>
      </w:r>
    </w:p>
    <w:p w14:paraId="06195230">
      <w:pPr>
        <w:pStyle w:val="4"/>
      </w:pPr>
      <w:r>
        <w:rPr>
          <w:rFonts w:ascii="仿宋_GB2312" w:hAnsi="仿宋_GB2312" w:eastAsia="仿宋_GB2312" w:cs="仿宋_GB2312"/>
        </w:rPr>
        <w:t>★2.9. 主动跳模消除功能，提供波长调谐和连续扫频模式</w:t>
      </w:r>
    </w:p>
    <w:p w14:paraId="209CD616">
      <w:pPr>
        <w:pStyle w:val="4"/>
      </w:pPr>
      <w:r>
        <w:rPr>
          <w:rFonts w:ascii="仿宋_GB2312" w:hAnsi="仿宋_GB2312" w:eastAsia="仿宋_GB2312" w:cs="仿宋_GB2312"/>
        </w:rPr>
        <w:t>★2.10. 最大输出光功率：≥14dBm（整个波长范围上标称输出功率≥10dBm）</w:t>
      </w:r>
    </w:p>
    <w:p w14:paraId="796F3482">
      <w:pPr>
        <w:pStyle w:val="4"/>
      </w:pPr>
      <w:r>
        <w:rPr>
          <w:rFonts w:ascii="仿宋_GB2312" w:hAnsi="仿宋_GB2312" w:eastAsia="仿宋_GB2312" w:cs="仿宋_GB2312"/>
        </w:rPr>
        <w:t>2.11.功率稳定度：≤ 0.01dB</w:t>
      </w:r>
    </w:p>
    <w:p w14:paraId="160BA61E">
      <w:pPr>
        <w:pStyle w:val="4"/>
      </w:pPr>
      <w:r>
        <w:rPr>
          <w:rFonts w:ascii="仿宋_GB2312" w:hAnsi="仿宋_GB2312" w:eastAsia="仿宋_GB2312" w:cs="仿宋_GB2312"/>
        </w:rPr>
        <w:t>★2.12.线宽：≤250kHz（累计时间100μs，典型值）， ≤25kHz（累计时间10μs，典型值）</w:t>
      </w:r>
    </w:p>
    <w:p w14:paraId="262B46A4">
      <w:pPr>
        <w:pStyle w:val="4"/>
      </w:pPr>
      <w:r>
        <w:rPr>
          <w:rFonts w:ascii="仿宋_GB2312" w:hAnsi="仿宋_GB2312" w:eastAsia="仿宋_GB2312" w:cs="仿宋_GB2312"/>
        </w:rPr>
        <w:t>★2.13.边模抑制比SMSR：≥50dB；</w:t>
      </w:r>
    </w:p>
    <w:p w14:paraId="70A50416">
      <w:pPr>
        <w:pStyle w:val="4"/>
      </w:pPr>
      <w:r>
        <w:rPr>
          <w:rFonts w:ascii="仿宋_GB2312" w:hAnsi="仿宋_GB2312" w:eastAsia="仿宋_GB2312" w:cs="仿宋_GB2312"/>
        </w:rPr>
        <w:t>2.14.信源自发辐射比（SSSER）:≥90dB(典型值)</w:t>
      </w:r>
    </w:p>
    <w:p w14:paraId="225382EE">
      <w:pPr>
        <w:pStyle w:val="4"/>
      </w:pPr>
      <w:r>
        <w:rPr>
          <w:rFonts w:ascii="仿宋_GB2312" w:hAnsi="仿宋_GB2312" w:eastAsia="仿宋_GB2312" w:cs="仿宋_GB2312"/>
        </w:rPr>
        <w:t>2.15.信号与总源自发辐射比（STSSER）:≥75dB(典型值)</w:t>
      </w:r>
    </w:p>
    <w:p w14:paraId="278F478D">
      <w:pPr>
        <w:pStyle w:val="4"/>
      </w:pPr>
      <w:r>
        <w:rPr>
          <w:rFonts w:ascii="仿宋_GB2312" w:hAnsi="仿宋_GB2312" w:eastAsia="仿宋_GB2312" w:cs="仿宋_GB2312"/>
        </w:rPr>
        <w:t>2.16.RIN 噪声：≤ -145dB/Hz,(1MHz~3GHz)</w:t>
      </w:r>
    </w:p>
    <w:p w14:paraId="495FCE06">
      <w:pPr>
        <w:pStyle w:val="4"/>
      </w:pPr>
      <w:r>
        <w:rPr>
          <w:rFonts w:ascii="仿宋_GB2312" w:hAnsi="仿宋_GB2312" w:eastAsia="仿宋_GB2312" w:cs="仿宋_GB2312"/>
        </w:rPr>
        <w:t>2.17.输出接口：FC/APC</w:t>
      </w:r>
    </w:p>
    <w:p w14:paraId="2D65A8FD">
      <w:pPr>
        <w:pStyle w:val="4"/>
      </w:pPr>
      <w:r>
        <w:rPr>
          <w:rFonts w:ascii="仿宋_GB2312" w:hAnsi="仿宋_GB2312" w:eastAsia="仿宋_GB2312" w:cs="仿宋_GB2312"/>
        </w:rPr>
        <w:t>★2.18 偏振消光比（PER）:≥17dB（典型值)</w:t>
      </w:r>
    </w:p>
    <w:p w14:paraId="059529CC">
      <w:pPr>
        <w:pStyle w:val="4"/>
      </w:pPr>
      <w:r>
        <w:rPr>
          <w:rFonts w:ascii="仿宋_GB2312" w:hAnsi="仿宋_GB2312" w:eastAsia="仿宋_GB2312" w:cs="仿宋_GB2312"/>
        </w:rPr>
        <w:t>3.提供安装服务以及带料培训。需提供微腔频梳及电光频梳芯片用于微波射频模块及可调谐激光模块培训。（此项须提供承诺函并加盖公章，否则按无效文件处理。）</w:t>
      </w:r>
    </w:p>
    <w:p w14:paraId="72E75DFD">
      <w:pPr>
        <w:pStyle w:val="4"/>
      </w:pPr>
      <w:r>
        <w:rPr>
          <w:rFonts w:ascii="仿宋_GB2312" w:hAnsi="仿宋_GB2312" w:eastAsia="仿宋_GB2312" w:cs="仿宋_GB2312"/>
        </w:rPr>
        <w:t>三、配置要求</w:t>
      </w:r>
    </w:p>
    <w:p w14:paraId="40DEF3D9">
      <w:pPr>
        <w:pStyle w:val="4"/>
      </w:pPr>
      <w:r>
        <w:rPr>
          <w:rFonts w:ascii="仿宋_GB2312" w:hAnsi="仿宋_GB2312" w:eastAsia="仿宋_GB2312" w:cs="仿宋_GB2312"/>
        </w:rPr>
        <w:t>微波射频模块 一件</w:t>
      </w:r>
    </w:p>
    <w:p w14:paraId="2DAB3A5F">
      <w:pPr>
        <w:pStyle w:val="4"/>
      </w:pPr>
      <w:r>
        <w:rPr>
          <w:rFonts w:ascii="仿宋_GB2312" w:hAnsi="仿宋_GB2312" w:eastAsia="仿宋_GB2312" w:cs="仿宋_GB2312"/>
        </w:rPr>
        <w:t>可调谐激光模块 一件</w:t>
      </w:r>
    </w:p>
    <w:p w14:paraId="7FD87A61">
      <w:pPr>
        <w:pStyle w:val="4"/>
      </w:pPr>
      <w:r>
        <w:rPr>
          <w:rFonts w:ascii="仿宋_GB2312" w:hAnsi="仿宋_GB2312" w:eastAsia="仿宋_GB2312" w:cs="仿宋_GB2312"/>
        </w:rPr>
        <w:t>四、其他要求</w:t>
      </w:r>
    </w:p>
    <w:p w14:paraId="32C5C8A7">
      <w:pPr>
        <w:pStyle w:val="4"/>
      </w:pPr>
      <w:r>
        <w:rPr>
          <w:rFonts w:ascii="仿宋_GB2312" w:hAnsi="仿宋_GB2312" w:eastAsia="仿宋_GB2312" w:cs="仿宋_GB2312"/>
        </w:rPr>
        <w:t>（1）保证货物必须符合技术指标要求，并能按国家标准（行业标准）供应、检测、调试，确保产品技术指标满足使用要求。</w:t>
      </w:r>
    </w:p>
    <w:p w14:paraId="73291BE0">
      <w:r>
        <w:rPr>
          <w:rFonts w:ascii="仿宋_GB2312" w:hAnsi="仿宋_GB2312" w:eastAsia="仿宋_GB2312" w:cs="仿宋_GB2312"/>
        </w:rPr>
        <w:t>（2）供应商负责安装调试及技术培训，提供安装服务以及带料培训。需提供微腔频梳及电光频梳芯片用于微波射频模块及可调谐激光模块培训。培训人数不低于5人，次数不低于3次。确保使用人能熟悉产品货物和正确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906BF"/>
    <w:rsid w:val="5CD90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2026-03-03T07:33:00Z</dcterms:created>
  <dc:creator>1</dc:creator>
  <cp:lastModifiedBy>1</cp:lastModifiedBy>
  <dcterms:modified xsi:type="dcterms:W3CDTF">2026-03-03T07:38:24Z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941E781F8C1846B7B72A56B96BD67FE5_11</vt:lpwstr>
  </property>
  <property fmtid="{D5CDD505-2E9C-101B-9397-08002B2CF9AE}" pid="4" name="KSOTemplateDocerSaveRecord">
    <vt:lpwstr>eyJoZGlkIjoiMjkxNWJmNmM2NmE2Zjg4OWUwY2RmMzAyMjEyYjI5YTIiLCJ1c2VySWQiOiIxMDE0MTg1NzcyIn0=</vt:lpwstr>
  </property>
</Properties>
</file>