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版本号：ZFFZ-2026-108-120260213002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澄城县12345政务服务便民热线中心</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ZFFZ-2026-108-1</w:t>
      </w:r>
      <w:r>
        <w:br/>
      </w:r>
      <w:r>
        <w:br/>
      </w:r>
      <w:r>
        <w:br/>
      </w:r>
    </w:p>
    <w:p>
      <w:pPr>
        <w:pStyle w:val="null3"/>
        <w:jc w:val="center"/>
        <w:outlineLvl w:val="2"/>
      </w:pPr>
      <w:r>
        <w:rPr>
          <w:rFonts w:ascii="仿宋_GB2312" w:hAnsi="仿宋_GB2312" w:cs="仿宋_GB2312" w:eastAsia="仿宋_GB2312"/>
          <w:sz w:val="28"/>
          <w:b/>
        </w:rPr>
        <w:t>澄城县人民政府办公室</w:t>
      </w:r>
    </w:p>
    <w:p>
      <w:pPr>
        <w:pStyle w:val="null3"/>
        <w:jc w:val="center"/>
        <w:outlineLvl w:val="2"/>
      </w:pPr>
      <w:r>
        <w:rPr>
          <w:rFonts w:ascii="仿宋_GB2312" w:hAnsi="仿宋_GB2312" w:cs="仿宋_GB2312" w:eastAsia="仿宋_GB2312"/>
          <w:sz w:val="28"/>
          <w:b/>
        </w:rPr>
        <w:t>陕西中发项目管理发展有限公司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陕西中发项目管理发展有限公司</w:t>
      </w:r>
      <w:r>
        <w:rPr>
          <w:rFonts w:ascii="仿宋_GB2312" w:hAnsi="仿宋_GB2312" w:cs="仿宋_GB2312" w:eastAsia="仿宋_GB2312"/>
        </w:rPr>
        <w:t>（以下简称“代理机构”）受</w:t>
      </w:r>
      <w:r>
        <w:rPr>
          <w:rFonts w:ascii="仿宋_GB2312" w:hAnsi="仿宋_GB2312" w:cs="仿宋_GB2312" w:eastAsia="仿宋_GB2312"/>
        </w:rPr>
        <w:t>澄城县人民政府办公室</w:t>
      </w:r>
      <w:r>
        <w:rPr>
          <w:rFonts w:ascii="仿宋_GB2312" w:hAnsi="仿宋_GB2312" w:cs="仿宋_GB2312" w:eastAsia="仿宋_GB2312"/>
        </w:rPr>
        <w:t>委托，拟对</w:t>
      </w:r>
      <w:r>
        <w:rPr>
          <w:rFonts w:ascii="仿宋_GB2312" w:hAnsi="仿宋_GB2312" w:cs="仿宋_GB2312" w:eastAsia="仿宋_GB2312"/>
        </w:rPr>
        <w:t>澄城县12345政务服务便民热线中心</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ZFFZ-2026-108-1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澄城县12345政务服务便民热线中心</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一是建设澄城县12345政务服务便民热线中心，二是澄城县12345政务服务便民热线中心的监理服务。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采购包1（澄城县12345政务服务便民热线中心建设及运维）：属于专门面向中小企业采购。</w:t>
      </w:r>
    </w:p>
    <w:p>
      <w:pPr>
        <w:pStyle w:val="null3"/>
      </w:pPr>
      <w:r>
        <w:rPr>
          <w:rFonts w:ascii="仿宋_GB2312" w:hAnsi="仿宋_GB2312" w:cs="仿宋_GB2312" w:eastAsia="仿宋_GB2312"/>
        </w:rPr>
        <w:t>采购包2（澄城县12345政务服务便民热线中心监理）：属于专门面向中小企业采购。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1、营业执照等主体资格证明文件：具有独立承担民事责任能力，提供供应商合法注册的法人或其他组织的营业执照；</w:t>
      </w:r>
    </w:p>
    <w:p>
      <w:pPr>
        <w:pStyle w:val="null3"/>
      </w:pPr>
      <w:r>
        <w:rPr>
          <w:rFonts w:ascii="仿宋_GB2312" w:hAnsi="仿宋_GB2312" w:cs="仿宋_GB2312" w:eastAsia="仿宋_GB2312"/>
        </w:rPr>
        <w:t>2、财务状况报告：提供2024年度或2025年度经审计的财务报告（包含审计报告和审计报告中所涉及的财务报表和报表附注）或提供2024年度或2025年度完整的全套财务报表（应当包括资产负债表、利润表、现金流量表、所有者权益变动表、附注）或投标截止时间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3、税收缴纳证明：提供投标截止时间前一年内任意一个月的纳税证明或完税证明（以税款所属期为准，依法免税的应提供相关证明材料）；</w:t>
      </w:r>
    </w:p>
    <w:p>
      <w:pPr>
        <w:pStyle w:val="null3"/>
      </w:pPr>
      <w:r>
        <w:rPr>
          <w:rFonts w:ascii="仿宋_GB2312" w:hAnsi="仿宋_GB2312" w:cs="仿宋_GB2312" w:eastAsia="仿宋_GB2312"/>
        </w:rPr>
        <w:t>4、社会保障资金缴纳证明：提供投标截止时间前一年内任意一个月的社会保障资金缴存单据或社保机构开具的社会保险参保缴费情况证明（依法不需要缴纳社会保障资金的投标人应提供相关证明）；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5、专业技术能力证明：提供具有履行合同所必需的设备和专业技术能力的说明及承诺（格式自拟，加盖投标人公章）；</w:t>
      </w:r>
    </w:p>
    <w:p>
      <w:pPr>
        <w:pStyle w:val="null3"/>
      </w:pPr>
      <w:r>
        <w:rPr>
          <w:rFonts w:ascii="仿宋_GB2312" w:hAnsi="仿宋_GB2312" w:cs="仿宋_GB2312" w:eastAsia="仿宋_GB2312"/>
        </w:rPr>
        <w:t>6、无重大违法记录书面声明：提供参加政府采购活动前三年内在经营活动中没有重大违法记录的书面声明（详见附件，加盖投标人公章）；</w:t>
      </w:r>
    </w:p>
    <w:p>
      <w:pPr>
        <w:pStyle w:val="null3"/>
      </w:pPr>
      <w:r>
        <w:rPr>
          <w:rFonts w:ascii="仿宋_GB2312" w:hAnsi="仿宋_GB2312" w:cs="仿宋_GB2312" w:eastAsia="仿宋_GB2312"/>
        </w:rPr>
        <w:t>7、法定代表人授权委托书：法定代表人授权书（法定代表人直接参加的不提供,但须出具本人身份证原件及复印件，被授权人身份证原件及复印件）；</w:t>
      </w:r>
    </w:p>
    <w:p>
      <w:pPr>
        <w:pStyle w:val="null3"/>
      </w:pPr>
      <w:r>
        <w:rPr>
          <w:rFonts w:ascii="仿宋_GB2312" w:hAnsi="仿宋_GB2312" w:cs="仿宋_GB2312" w:eastAsia="仿宋_GB2312"/>
        </w:rPr>
        <w:t>8、信用记录：供应商不得为“中国执行信息公开网”（http://zxgk.court.gov.cn/）中列入失信被执行人和“信用中国网站”（www.creditchina.gov.cn）重大税收违法失信主体名单的供应商，不得为中国政府采购网（www.ccgp.gov.cn）政府采购严重违法失信行为记录名单中被财政部门禁止参加政府采购活动的供应商（提供查询结果网页截图，网页截图时间范围为获取采购文件后至开标当日，并加盖供应商公章）；</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9、控股关系：单位负责人为同一人或者存在直接控股、管理关系的不同供应商，不得参加同一合同项下的政府采购活动（提供书面承诺函，格式自拟加盖供应商公章）；</w:t>
      </w:r>
    </w:p>
    <w:p>
      <w:pPr>
        <w:pStyle w:val="null3"/>
      </w:pPr>
      <w:r>
        <w:rPr>
          <w:rFonts w:ascii="仿宋_GB2312" w:hAnsi="仿宋_GB2312" w:cs="仿宋_GB2312" w:eastAsia="仿宋_GB2312"/>
        </w:rPr>
        <w:t>10、非联合体声明：本项目不接受联合体参与。（提供非联合体声明，格式自拟加盖供应商公章）。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1、营业执照等主体资格证明文件：具有独立承担民事责任能力，提供供应商合法注册的法人或其他组织的营业执照；</w:t>
      </w:r>
    </w:p>
    <w:p>
      <w:pPr>
        <w:pStyle w:val="null3"/>
      </w:pPr>
      <w:r>
        <w:rPr>
          <w:rFonts w:ascii="仿宋_GB2312" w:hAnsi="仿宋_GB2312" w:cs="仿宋_GB2312" w:eastAsia="仿宋_GB2312"/>
        </w:rPr>
        <w:t>2、财务状况报告：提供2024年度或2025年度经审计的财务报告（包含审计报告和审计报告中所涉及的财务报表和报表附注）或提供2024年度或2025年度完整的全套财务报表（应当包括资产负债表、利润表、现金流量表、所有者权益变动表、附注）或投标截止时间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3、税收缴纳证明：提供投标截止时间前一年内任意一个月的纳税证明或完税证明（以税款所属期为准，依法免税的应提供相关证明材料）；</w:t>
      </w:r>
    </w:p>
    <w:p>
      <w:pPr>
        <w:pStyle w:val="null3"/>
      </w:pPr>
      <w:r>
        <w:rPr>
          <w:rFonts w:ascii="仿宋_GB2312" w:hAnsi="仿宋_GB2312" w:cs="仿宋_GB2312" w:eastAsia="仿宋_GB2312"/>
        </w:rPr>
        <w:t>4、社会保障资金缴纳证明：提供投标截止时间前一年内任意一个月的社会保障资金缴存单据或社保机构开具的社会保险参保缴费情况证明（依法不需要缴纳社会保障资金的投标人应提供相关证明）；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5、专业技术能力证明：提供具有履行合同所必需的设备和专业技术能力的说明及承诺（格式自拟，加盖投标人公章）；</w:t>
      </w:r>
    </w:p>
    <w:p>
      <w:pPr>
        <w:pStyle w:val="null3"/>
      </w:pPr>
      <w:r>
        <w:rPr>
          <w:rFonts w:ascii="仿宋_GB2312" w:hAnsi="仿宋_GB2312" w:cs="仿宋_GB2312" w:eastAsia="仿宋_GB2312"/>
        </w:rPr>
        <w:t>6、无重大违法记录书面声明：提供参加政府采购活动前三年内在经营活动中没有重大违法记录的书面声明（详见附件，加盖投标人公章）；</w:t>
      </w:r>
    </w:p>
    <w:p>
      <w:pPr>
        <w:pStyle w:val="null3"/>
      </w:pPr>
      <w:r>
        <w:rPr>
          <w:rFonts w:ascii="仿宋_GB2312" w:hAnsi="仿宋_GB2312" w:cs="仿宋_GB2312" w:eastAsia="仿宋_GB2312"/>
        </w:rPr>
        <w:t>7、资质证明：供应商需具备工程监理综合资质或通信工程监理丙级(含丙级)或以上资质；</w:t>
      </w:r>
    </w:p>
    <w:p>
      <w:pPr>
        <w:pStyle w:val="null3"/>
      </w:pPr>
      <w:r>
        <w:rPr>
          <w:rFonts w:ascii="仿宋_GB2312" w:hAnsi="仿宋_GB2312" w:cs="仿宋_GB2312" w:eastAsia="仿宋_GB2312"/>
        </w:rPr>
        <w:t>8、职业资格及无在建声明：拟派总监理工程师须具备通信工程或机电安装工程专业国家注册监理工程师执业资格，在本单位注册，且未担任其他在建项目项目总监；</w:t>
      </w:r>
    </w:p>
    <w:p>
      <w:pPr>
        <w:pStyle w:val="null3"/>
      </w:pPr>
      <w:r>
        <w:rPr>
          <w:rFonts w:ascii="仿宋_GB2312" w:hAnsi="仿宋_GB2312" w:cs="仿宋_GB2312" w:eastAsia="仿宋_GB2312"/>
        </w:rPr>
        <w:t>9、法定代表人授权委托书：法定代表人授权书（法定代表人直接参加的不提供,但须出具本人身份证原件及复印件，被授权人身份证原件及复印件）；</w:t>
      </w:r>
    </w:p>
    <w:p>
      <w:pPr>
        <w:pStyle w:val="null3"/>
      </w:pPr>
      <w:r>
        <w:rPr>
          <w:rFonts w:ascii="仿宋_GB2312" w:hAnsi="仿宋_GB2312" w:cs="仿宋_GB2312" w:eastAsia="仿宋_GB2312"/>
        </w:rPr>
        <w:t>10、信用记录：供应商不得为“中国执行信息公开网”（http://zxgk.court.gov.cn/）中列入失信被执行人和“信用中国网站”（www.creditchina.gov.cn）重大税收违法失信主体名单的供应商，不得为中国政府采购网（www.ccgp.gov.cn）政府采购严重违法失信行为记录名单中被财政部门禁止参加政府采购活动的供应商（提供查询结果网页截图，网页截图时间范围为获取采购文件后至开标当日，并加盖供应商公章）；</w:t>
      </w:r>
    </w:p>
    <w:p>
      <w:pPr>
        <w:pStyle w:val="null3"/>
      </w:pPr>
      <w:r>
        <w:rPr>
          <w:rFonts w:ascii="仿宋_GB2312" w:hAnsi="仿宋_GB2312" w:cs="仿宋_GB2312" w:eastAsia="仿宋_GB2312"/>
        </w:rPr>
        <w:t>11、控股关系：单位负责人为同一人或者存在直接控股、管理关系的不同供应商，不得参加同一合同项下的政府采购活动（提供书面承诺函，格式自拟加盖供应商公章）；</w:t>
      </w:r>
    </w:p>
    <w:p>
      <w:pPr>
        <w:pStyle w:val="null3"/>
      </w:pPr>
      <w:r>
        <w:rPr>
          <w:rFonts w:ascii="仿宋_GB2312" w:hAnsi="仿宋_GB2312" w:cs="仿宋_GB2312" w:eastAsia="仿宋_GB2312"/>
        </w:rPr>
        <w:t>12、非联合体声明：本项目不接受联合体参与。（提供非联合体声明，格式自拟加盖供应商公章）。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陕西省渭南市澄城县宝塔路13号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15891588286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陕西中发项目管理发展有限公司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陕西省西安市碑林区和平路108号佳腾大厦10901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王婉思、李颖华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15829556882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采购包1：3,585,600.00元</w:t>
            </w:r>
          </w:p>
          <w:p>
            <w:pPr>
              <w:pStyle w:val="null3"/>
            </w:pPr>
            <w:r>
              <w:rPr>
                <w:rFonts w:ascii="仿宋_GB2312" w:hAnsi="仿宋_GB2312" w:cs="仿宋_GB2312" w:eastAsia="仿宋_GB2312"/>
              </w:rPr>
              <w:t>采购包2：78,600.00元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规定的标准收取招标代理服务费，具体金额详见中标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澄城县人民政府办公室</w:t>
      </w:r>
      <w:r>
        <w:rPr>
          <w:rFonts w:ascii="仿宋_GB2312" w:hAnsi="仿宋_GB2312" w:cs="仿宋_GB2312" w:eastAsia="仿宋_GB2312"/>
        </w:rPr>
        <w:t>和</w:t>
      </w:r>
      <w:r>
        <w:rPr>
          <w:rFonts w:ascii="仿宋_GB2312" w:hAnsi="仿宋_GB2312" w:cs="仿宋_GB2312" w:eastAsia="仿宋_GB2312"/>
        </w:rPr>
        <w:t>陕西中发项目管理发展有限公司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澄城县人民政府办公室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陕西中发项目管理发展有限公司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陕西中发项目管理发展有限公司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联系人：李颖华</w:t>
      </w:r>
    </w:p>
    <w:p>
      <w:pPr>
        <w:pStyle w:val="null3"/>
      </w:pPr>
      <w:r>
        <w:rPr>
          <w:rFonts w:ascii="仿宋_GB2312" w:hAnsi="仿宋_GB2312" w:cs="仿宋_GB2312" w:eastAsia="仿宋_GB2312"/>
        </w:rPr>
        <w:t>联系电话：15829556882</w:t>
      </w:r>
    </w:p>
    <w:p>
      <w:pPr>
        <w:pStyle w:val="null3"/>
      </w:pPr>
      <w:r>
        <w:rPr>
          <w:rFonts w:ascii="仿宋_GB2312" w:hAnsi="仿宋_GB2312" w:cs="仿宋_GB2312" w:eastAsia="仿宋_GB2312"/>
        </w:rPr>
        <w:t>地址：陕西省西安市碑林区和平路108号佳腾大厦10901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一是建设澄城县12345政务服务便民热线中心，二是澄城县12345政务服务便民热线中心的监理服务。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3,585,600.00</w:t>
      </w:r>
    </w:p>
    <w:p>
      <w:pPr>
        <w:pStyle w:val="null3"/>
      </w:pPr>
      <w:r>
        <w:rPr>
          <w:rFonts w:ascii="仿宋_GB2312" w:hAnsi="仿宋_GB2312" w:cs="仿宋_GB2312" w:eastAsia="仿宋_GB2312"/>
        </w:rPr>
        <w:t>采购包最高限价（元）: 3,585,600.00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澄城县12345政务服务便民热线中心建设及运维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3,585,600.00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78,600.00</w:t>
      </w:r>
    </w:p>
    <w:p>
      <w:pPr>
        <w:pStyle w:val="null3"/>
      </w:pPr>
      <w:r>
        <w:rPr>
          <w:rFonts w:ascii="仿宋_GB2312" w:hAnsi="仿宋_GB2312" w:cs="仿宋_GB2312" w:eastAsia="仿宋_GB2312"/>
        </w:rPr>
        <w:t>采购包最高限价（元）: 78,600.00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澄城县12345政务服务便民热线中心监理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标的名称：澄城县12345政务服务便民热线中心建设及运维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36"/>
                <w:b/>
              </w:rPr>
              <w:t>一、服务内容</w:t>
            </w:r>
          </w:p>
          <w:p>
            <w:pPr>
              <w:pStyle w:val="null3"/>
              <w:jc w:val="both"/>
              <w:outlineLvl w:val="1"/>
            </w:pPr>
            <w:r>
              <w:rPr>
                <w:rFonts w:ascii="仿宋_GB2312" w:hAnsi="仿宋_GB2312" w:cs="仿宋_GB2312" w:eastAsia="仿宋_GB2312"/>
                <w:sz w:val="32"/>
                <w:b/>
              </w:rPr>
              <w:t>1、</w:t>
            </w:r>
            <w:r>
              <w:rPr>
                <w:rFonts w:ascii="仿宋_GB2312" w:hAnsi="仿宋_GB2312" w:cs="仿宋_GB2312" w:eastAsia="仿宋_GB2312"/>
                <w:sz w:val="32"/>
                <w:b/>
              </w:rPr>
              <w:t>项目目标、规模、内容</w:t>
            </w:r>
          </w:p>
          <w:p>
            <w:pPr>
              <w:pStyle w:val="null3"/>
              <w:outlineLvl w:val="2"/>
            </w:pPr>
            <w:r>
              <w:rPr>
                <w:rFonts w:ascii="仿宋_GB2312" w:hAnsi="仿宋_GB2312" w:cs="仿宋_GB2312" w:eastAsia="仿宋_GB2312"/>
                <w:sz w:val="32"/>
                <w:b/>
              </w:rPr>
              <w:t>1.1</w:t>
            </w:r>
            <w:r>
              <w:rPr>
                <w:rFonts w:ascii="仿宋_GB2312" w:hAnsi="仿宋_GB2312" w:cs="仿宋_GB2312" w:eastAsia="仿宋_GB2312"/>
                <w:sz w:val="32"/>
                <w:b/>
              </w:rPr>
              <w:t>项目目标</w:t>
            </w:r>
          </w:p>
          <w:p>
            <w:pPr>
              <w:pStyle w:val="null3"/>
              <w:ind w:firstLine="640"/>
              <w:jc w:val="both"/>
            </w:pPr>
            <w:r>
              <w:rPr>
                <w:rFonts w:ascii="仿宋_GB2312" w:hAnsi="仿宋_GB2312" w:cs="仿宋_GB2312" w:eastAsia="仿宋_GB2312"/>
                <w:sz w:val="32"/>
              </w:rPr>
              <w:t>以</w:t>
            </w:r>
            <w:r>
              <w:rPr>
                <w:rFonts w:ascii="仿宋_GB2312" w:hAnsi="仿宋_GB2312" w:cs="仿宋_GB2312" w:eastAsia="仿宋_GB2312"/>
                <w:sz w:val="32"/>
              </w:rPr>
              <w:t>“接得更快、分得更准、办得更实”为总目标</w:t>
            </w:r>
            <w:r>
              <w:rPr>
                <w:rFonts w:ascii="仿宋_GB2312" w:hAnsi="仿宋_GB2312" w:cs="仿宋_GB2312" w:eastAsia="仿宋_GB2312"/>
                <w:sz w:val="32"/>
              </w:rPr>
              <w:t>，打造集</w:t>
            </w:r>
            <w:r>
              <w:rPr>
                <w:rFonts w:ascii="仿宋_GB2312" w:hAnsi="仿宋_GB2312" w:cs="仿宋_GB2312" w:eastAsia="仿宋_GB2312"/>
                <w:sz w:val="32"/>
              </w:rPr>
              <w:t>“智能客服、协同枢纽、治理参谋”于一体的澄城县12345热线智慧分中心，实现群众诉求“一号响应”、工单流转“一网通办”、业务数据“一屏统览”，成为全市乃至全省区县级智慧政务服务的标杆。</w:t>
            </w:r>
          </w:p>
          <w:p>
            <w:pPr>
              <w:pStyle w:val="null3"/>
              <w:outlineLvl w:val="2"/>
            </w:pPr>
            <w:r>
              <w:rPr>
                <w:rFonts w:ascii="仿宋_GB2312" w:hAnsi="仿宋_GB2312" w:cs="仿宋_GB2312" w:eastAsia="仿宋_GB2312"/>
                <w:sz w:val="32"/>
                <w:b/>
              </w:rPr>
              <w:t>1.2</w:t>
            </w:r>
            <w:r>
              <w:rPr>
                <w:rFonts w:ascii="仿宋_GB2312" w:hAnsi="仿宋_GB2312" w:cs="仿宋_GB2312" w:eastAsia="仿宋_GB2312"/>
                <w:sz w:val="32"/>
                <w:b/>
              </w:rPr>
              <w:t>项目规模</w:t>
            </w:r>
          </w:p>
          <w:tbl>
            <w:tblPr>
              <w:tblBorders>
                <w:top w:val="none" w:color="000000" w:sz="4"/>
                <w:left w:val="none" w:color="000000" w:sz="4"/>
                <w:bottom w:val="none" w:color="000000" w:sz="4"/>
                <w:right w:val="none" w:color="000000" w:sz="4"/>
                <w:insideH w:val="none"/>
                <w:insideV w:val="none"/>
              </w:tblBorders>
            </w:tblPr>
            <w:tblGrid>
              <w:gridCol w:w="1388"/>
              <w:gridCol w:w="694"/>
              <w:gridCol w:w="461"/>
            </w:tblGrid>
            <w:tr>
              <w:tc>
                <w:tcPr>
                  <w:tcW w:type="dxa" w:w="1388"/>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项目</w:t>
                  </w:r>
                </w:p>
              </w:tc>
              <w:tc>
                <w:tcPr>
                  <w:tcW w:type="dxa" w:w="694"/>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数量</w:t>
                  </w:r>
                </w:p>
              </w:tc>
              <w:tc>
                <w:tcPr>
                  <w:tcW w:type="dxa" w:w="461"/>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单位</w:t>
                  </w:r>
                </w:p>
              </w:tc>
            </w:tr>
            <w:tr>
              <w:tc>
                <w:tcPr>
                  <w:tcW w:type="dxa" w:w="138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语音坐席</w:t>
                  </w:r>
                </w:p>
              </w:tc>
              <w:tc>
                <w:tcPr>
                  <w:tcW w:type="dxa" w:w="69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20</w:t>
                  </w:r>
                </w:p>
              </w:tc>
              <w:tc>
                <w:tcPr>
                  <w:tcW w:type="dxa" w:w="46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路</w:t>
                  </w:r>
                </w:p>
              </w:tc>
            </w:tr>
            <w:tr>
              <w:tc>
                <w:tcPr>
                  <w:tcW w:type="dxa" w:w="138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在线坐席</w:t>
                  </w:r>
                </w:p>
              </w:tc>
              <w:tc>
                <w:tcPr>
                  <w:tcW w:type="dxa" w:w="69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10</w:t>
                  </w:r>
                </w:p>
              </w:tc>
              <w:tc>
                <w:tcPr>
                  <w:tcW w:type="dxa" w:w="46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路</w:t>
                  </w:r>
                </w:p>
              </w:tc>
            </w:tr>
            <w:tr>
              <w:tc>
                <w:tcPr>
                  <w:tcW w:type="dxa" w:w="138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语音</w:t>
                  </w:r>
                  <w:r>
                    <w:rPr>
                      <w:rFonts w:ascii="仿宋_GB2312" w:hAnsi="仿宋_GB2312" w:cs="仿宋_GB2312" w:eastAsia="仿宋_GB2312"/>
                      <w:sz w:val="32"/>
                      <w:color w:val="000000"/>
                    </w:rPr>
                    <w:t>IVR许可</w:t>
                  </w:r>
                </w:p>
              </w:tc>
              <w:tc>
                <w:tcPr>
                  <w:tcW w:type="dxa" w:w="69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30</w:t>
                  </w:r>
                </w:p>
              </w:tc>
              <w:tc>
                <w:tcPr>
                  <w:tcW w:type="dxa" w:w="46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路</w:t>
                  </w:r>
                </w:p>
              </w:tc>
            </w:tr>
            <w:tr>
              <w:tc>
                <w:tcPr>
                  <w:tcW w:type="dxa" w:w="138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语音会议资源许可</w:t>
                  </w:r>
                </w:p>
              </w:tc>
              <w:tc>
                <w:tcPr>
                  <w:tcW w:type="dxa" w:w="69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9</w:t>
                  </w:r>
                </w:p>
              </w:tc>
              <w:tc>
                <w:tcPr>
                  <w:tcW w:type="dxa" w:w="46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路</w:t>
                  </w:r>
                </w:p>
              </w:tc>
            </w:tr>
            <w:tr>
              <w:tc>
                <w:tcPr>
                  <w:tcW w:type="dxa" w:w="138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录音许可</w:t>
                  </w:r>
                </w:p>
              </w:tc>
              <w:tc>
                <w:tcPr>
                  <w:tcW w:type="dxa" w:w="69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20</w:t>
                  </w:r>
                </w:p>
              </w:tc>
              <w:tc>
                <w:tcPr>
                  <w:tcW w:type="dxa" w:w="46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路</w:t>
                  </w:r>
                </w:p>
              </w:tc>
            </w:tr>
          </w:tbl>
          <w:p>
            <w:pPr>
              <w:pStyle w:val="null3"/>
              <w:outlineLvl w:val="2"/>
            </w:pPr>
            <w:r>
              <w:rPr>
                <w:rFonts w:ascii="仿宋_GB2312" w:hAnsi="仿宋_GB2312" w:cs="仿宋_GB2312" w:eastAsia="仿宋_GB2312"/>
                <w:sz w:val="32"/>
                <w:b/>
              </w:rPr>
              <w:t>1.3</w:t>
            </w:r>
            <w:r>
              <w:rPr>
                <w:rFonts w:ascii="仿宋_GB2312" w:hAnsi="仿宋_GB2312" w:cs="仿宋_GB2312" w:eastAsia="仿宋_GB2312"/>
                <w:sz w:val="32"/>
                <w:b/>
              </w:rPr>
              <w:t>项目内容</w:t>
            </w:r>
          </w:p>
          <w:p>
            <w:pPr>
              <w:pStyle w:val="null3"/>
              <w:ind w:firstLine="640"/>
              <w:jc w:val="both"/>
            </w:pPr>
            <w:r>
              <w:rPr>
                <w:rFonts w:ascii="仿宋_GB2312" w:hAnsi="仿宋_GB2312" w:cs="仿宋_GB2312" w:eastAsia="仿宋_GB2312"/>
                <w:sz w:val="32"/>
              </w:rPr>
              <w:t>呼叫中心</w:t>
            </w:r>
            <w:r>
              <w:rPr>
                <w:rFonts w:ascii="仿宋_GB2312" w:hAnsi="仿宋_GB2312" w:cs="仿宋_GB2312" w:eastAsia="仿宋_GB2312"/>
                <w:sz w:val="32"/>
              </w:rPr>
              <w:t>系统</w:t>
            </w:r>
            <w:r>
              <w:rPr>
                <w:rFonts w:ascii="仿宋_GB2312" w:hAnsi="仿宋_GB2312" w:cs="仿宋_GB2312" w:eastAsia="仿宋_GB2312"/>
                <w:sz w:val="32"/>
              </w:rPr>
              <w:t>建设</w:t>
            </w:r>
            <w:r>
              <w:rPr>
                <w:rFonts w:ascii="仿宋_GB2312" w:hAnsi="仿宋_GB2312" w:cs="仿宋_GB2312" w:eastAsia="仿宋_GB2312"/>
                <w:sz w:val="32"/>
              </w:rPr>
              <w:t>：</w:t>
            </w:r>
            <w:r>
              <w:rPr>
                <w:rFonts w:ascii="仿宋_GB2312" w:hAnsi="仿宋_GB2312" w:cs="仿宋_GB2312" w:eastAsia="仿宋_GB2312"/>
                <w:sz w:val="32"/>
              </w:rPr>
              <w:t>建设呼叫中心系统</w:t>
            </w:r>
            <w:r>
              <w:rPr>
                <w:rFonts w:ascii="仿宋_GB2312" w:hAnsi="仿宋_GB2312" w:cs="仿宋_GB2312" w:eastAsia="仿宋_GB2312"/>
                <w:sz w:val="32"/>
              </w:rPr>
              <w:t>，夯实热线基础话务能力。</w:t>
            </w:r>
          </w:p>
          <w:p>
            <w:pPr>
              <w:pStyle w:val="null3"/>
              <w:ind w:firstLine="640"/>
              <w:jc w:val="both"/>
            </w:pPr>
            <w:r>
              <w:rPr>
                <w:rFonts w:ascii="仿宋_GB2312" w:hAnsi="仿宋_GB2312" w:cs="仿宋_GB2312" w:eastAsia="仿宋_GB2312"/>
                <w:sz w:val="32"/>
              </w:rPr>
              <w:t>业务系统建设：建设业务系统，实现工单业务的流转与工单全流程监控，与知识的全生命周期管理。</w:t>
            </w:r>
          </w:p>
          <w:p>
            <w:pPr>
              <w:pStyle w:val="null3"/>
              <w:ind w:firstLine="640"/>
              <w:jc w:val="both"/>
            </w:pPr>
            <w:r>
              <w:rPr>
                <w:rFonts w:ascii="仿宋_GB2312" w:hAnsi="仿宋_GB2312" w:cs="仿宋_GB2312" w:eastAsia="仿宋_GB2312"/>
                <w:sz w:val="32"/>
              </w:rPr>
              <w:t>数据分析系统建设：建设数据分析系统，完成话务、工单的数据统计，与可视化大屏呈现，及智能报告的生成。</w:t>
            </w:r>
          </w:p>
          <w:p>
            <w:pPr>
              <w:pStyle w:val="null3"/>
              <w:ind w:firstLine="640"/>
              <w:jc w:val="both"/>
            </w:pPr>
            <w:r>
              <w:rPr>
                <w:rFonts w:ascii="仿宋_GB2312" w:hAnsi="仿宋_GB2312" w:cs="仿宋_GB2312" w:eastAsia="仿宋_GB2312"/>
                <w:sz w:val="32"/>
              </w:rPr>
              <w:t>系统对接：对接渭南</w:t>
            </w:r>
            <w:r>
              <w:rPr>
                <w:rFonts w:ascii="仿宋_GB2312" w:hAnsi="仿宋_GB2312" w:cs="仿宋_GB2312" w:eastAsia="仿宋_GB2312"/>
                <w:sz w:val="32"/>
              </w:rPr>
              <w:t>12345系统，获取工单数据、知识库数据。</w:t>
            </w:r>
          </w:p>
          <w:p>
            <w:pPr>
              <w:pStyle w:val="null3"/>
              <w:jc w:val="both"/>
              <w:outlineLvl w:val="1"/>
            </w:pPr>
            <w:r>
              <w:rPr>
                <w:rFonts w:ascii="仿宋_GB2312" w:hAnsi="仿宋_GB2312" w:cs="仿宋_GB2312" w:eastAsia="仿宋_GB2312"/>
                <w:sz w:val="32"/>
                <w:b/>
              </w:rPr>
              <w:t>2、</w:t>
            </w:r>
            <w:r>
              <w:rPr>
                <w:rFonts w:ascii="仿宋_GB2312" w:hAnsi="仿宋_GB2312" w:cs="仿宋_GB2312" w:eastAsia="仿宋_GB2312"/>
                <w:sz w:val="32"/>
                <w:b/>
              </w:rPr>
              <w:t>标准规范项目内容</w:t>
            </w:r>
          </w:p>
          <w:p>
            <w:pPr>
              <w:pStyle w:val="null3"/>
              <w:ind w:firstLine="640"/>
              <w:jc w:val="both"/>
            </w:pPr>
            <w:r>
              <w:rPr>
                <w:rFonts w:ascii="仿宋_GB2312" w:hAnsi="仿宋_GB2312" w:cs="仿宋_GB2312" w:eastAsia="仿宋_GB2312"/>
                <w:sz w:val="32"/>
              </w:rPr>
              <w:t>数据标准：制定工单数据、用户数据、知识数据等核心数据的编码规范、格式标准、元数据标准，确保数据一致性。</w:t>
            </w:r>
          </w:p>
          <w:p>
            <w:pPr>
              <w:pStyle w:val="null3"/>
              <w:ind w:firstLine="640"/>
              <w:jc w:val="both"/>
            </w:pPr>
            <w:r>
              <w:rPr>
                <w:rFonts w:ascii="仿宋_GB2312" w:hAnsi="仿宋_GB2312" w:cs="仿宋_GB2312" w:eastAsia="仿宋_GB2312"/>
                <w:sz w:val="32"/>
              </w:rPr>
              <w:t>接口标准：统一与渭南市</w:t>
            </w:r>
            <w:r>
              <w:rPr>
                <w:rFonts w:ascii="仿宋_GB2312" w:hAnsi="仿宋_GB2312" w:cs="仿宋_GB2312" w:eastAsia="仿宋_GB2312"/>
                <w:sz w:val="32"/>
              </w:rPr>
              <w:t>12345平台、政务云平台的数据交换接口规范，采用API接口，明确数据传输格式、加密方式及响应时效。</w:t>
            </w:r>
          </w:p>
          <w:p>
            <w:pPr>
              <w:pStyle w:val="null3"/>
              <w:ind w:firstLine="640"/>
              <w:jc w:val="both"/>
            </w:pPr>
            <w:r>
              <w:rPr>
                <w:rFonts w:ascii="仿宋_GB2312" w:hAnsi="仿宋_GB2312" w:cs="仿宋_GB2312" w:eastAsia="仿宋_GB2312"/>
                <w:sz w:val="32"/>
              </w:rPr>
              <w:t>业务规范：制定诉求受理规范、工单分派规范、办理反馈规范、回访评价规范、知识库维护规范等业务流程标准。</w:t>
            </w:r>
          </w:p>
          <w:p>
            <w:pPr>
              <w:pStyle w:val="null3"/>
              <w:ind w:firstLine="640"/>
              <w:jc w:val="both"/>
            </w:pPr>
            <w:r>
              <w:rPr>
                <w:rFonts w:ascii="仿宋_GB2312" w:hAnsi="仿宋_GB2312" w:cs="仿宋_GB2312" w:eastAsia="仿宋_GB2312"/>
                <w:sz w:val="32"/>
              </w:rPr>
              <w:t>技术规范：明确国产化软硬件适配标准、系统部署规范、安全防护规范、数据备份恢复规范、运维管理规范等技术要求。</w:t>
            </w:r>
          </w:p>
          <w:p>
            <w:pPr>
              <w:pStyle w:val="null3"/>
              <w:ind w:firstLine="640"/>
              <w:jc w:val="both"/>
            </w:pPr>
            <w:r>
              <w:rPr>
                <w:rFonts w:ascii="仿宋_GB2312" w:hAnsi="仿宋_GB2312" w:cs="仿宋_GB2312" w:eastAsia="仿宋_GB2312"/>
                <w:sz w:val="32"/>
              </w:rPr>
              <w:t>管理规范：制定坐席服务规范、绩效考核规范、数据安全管理规范、应急处置规范等管理标准。</w:t>
            </w:r>
          </w:p>
          <w:p>
            <w:pPr>
              <w:pStyle w:val="null3"/>
              <w:jc w:val="both"/>
              <w:outlineLvl w:val="1"/>
            </w:pPr>
            <w:r>
              <w:rPr>
                <w:rFonts w:ascii="仿宋_GB2312" w:hAnsi="仿宋_GB2312" w:cs="仿宋_GB2312" w:eastAsia="仿宋_GB2312"/>
                <w:sz w:val="32"/>
                <w:b/>
              </w:rPr>
              <w:t>3、</w:t>
            </w:r>
            <w:r>
              <w:rPr>
                <w:rFonts w:ascii="仿宋_GB2312" w:hAnsi="仿宋_GB2312" w:cs="仿宋_GB2312" w:eastAsia="仿宋_GB2312"/>
                <w:sz w:val="32"/>
                <w:b/>
              </w:rPr>
              <w:t>信息资源规划和数据库设计</w:t>
            </w:r>
          </w:p>
          <w:p>
            <w:pPr>
              <w:pStyle w:val="null3"/>
              <w:outlineLvl w:val="2"/>
            </w:pPr>
            <w:r>
              <w:rPr>
                <w:rFonts w:ascii="仿宋_GB2312" w:hAnsi="仿宋_GB2312" w:cs="仿宋_GB2312" w:eastAsia="仿宋_GB2312"/>
                <w:sz w:val="32"/>
                <w:b/>
              </w:rPr>
              <w:t>3.1</w:t>
            </w:r>
            <w:r>
              <w:rPr>
                <w:rFonts w:ascii="仿宋_GB2312" w:hAnsi="仿宋_GB2312" w:cs="仿宋_GB2312" w:eastAsia="仿宋_GB2312"/>
                <w:sz w:val="32"/>
                <w:b/>
              </w:rPr>
              <w:t>信息资源规划</w:t>
            </w:r>
          </w:p>
          <w:p>
            <w:pPr>
              <w:pStyle w:val="null3"/>
              <w:ind w:firstLine="640"/>
              <w:jc w:val="both"/>
            </w:pPr>
            <w:r>
              <w:rPr>
                <w:rFonts w:ascii="仿宋_GB2312" w:hAnsi="仿宋_GB2312" w:cs="仿宋_GB2312" w:eastAsia="仿宋_GB2312"/>
                <w:sz w:val="32"/>
              </w:rPr>
              <w:t>数据分类：</w:t>
            </w:r>
          </w:p>
          <w:p>
            <w:pPr>
              <w:pStyle w:val="null3"/>
              <w:ind w:firstLine="640"/>
              <w:jc w:val="both"/>
            </w:pPr>
            <w:r>
              <w:rPr>
                <w:rFonts w:ascii="仿宋_GB2312" w:hAnsi="仿宋_GB2312" w:cs="仿宋_GB2312" w:eastAsia="仿宋_GB2312"/>
                <w:sz w:val="32"/>
              </w:rPr>
              <w:t>业务数据：工单数据（工单编号、诉求内容、处理过程、办结结果等）、话务数据（通话时长、接通率、评价结果等）。</w:t>
            </w:r>
          </w:p>
          <w:p>
            <w:pPr>
              <w:pStyle w:val="null3"/>
              <w:ind w:firstLine="640"/>
              <w:jc w:val="both"/>
            </w:pPr>
            <w:r>
              <w:rPr>
                <w:rFonts w:ascii="仿宋_GB2312" w:hAnsi="仿宋_GB2312" w:cs="仿宋_GB2312" w:eastAsia="仿宋_GB2312"/>
                <w:sz w:val="32"/>
              </w:rPr>
              <w:t>基础数据：用户数据（姓名、联系方式、地址等）、组织数据（部门信息、人员信息、权限信息等）、字典数据（工单类型、紧急程度、业务分类等）。</w:t>
            </w:r>
          </w:p>
          <w:p>
            <w:pPr>
              <w:pStyle w:val="null3"/>
              <w:ind w:firstLine="640"/>
              <w:jc w:val="both"/>
            </w:pPr>
            <w:r>
              <w:rPr>
                <w:rFonts w:ascii="仿宋_GB2312" w:hAnsi="仿宋_GB2312" w:cs="仿宋_GB2312" w:eastAsia="仿宋_GB2312"/>
                <w:sz w:val="32"/>
              </w:rPr>
              <w:t>知识数据：政策问答、办事指南、常见问题、标准话术等结构化及非结构化知识内容。</w:t>
            </w:r>
          </w:p>
          <w:p>
            <w:pPr>
              <w:pStyle w:val="null3"/>
              <w:ind w:firstLine="640"/>
              <w:jc w:val="both"/>
            </w:pPr>
            <w:r>
              <w:rPr>
                <w:rFonts w:ascii="仿宋_GB2312" w:hAnsi="仿宋_GB2312" w:cs="仿宋_GB2312" w:eastAsia="仿宋_GB2312"/>
                <w:sz w:val="32"/>
              </w:rPr>
              <w:t>交互数据：微信留言、官网咨询、回访记录等多渠道交互数据。</w:t>
            </w:r>
          </w:p>
          <w:p>
            <w:pPr>
              <w:pStyle w:val="null3"/>
              <w:ind w:firstLine="640"/>
              <w:jc w:val="both"/>
            </w:pPr>
            <w:r>
              <w:rPr>
                <w:rFonts w:ascii="仿宋_GB2312" w:hAnsi="仿宋_GB2312" w:cs="仿宋_GB2312" w:eastAsia="仿宋_GB2312"/>
                <w:sz w:val="32"/>
              </w:rPr>
              <w:t>数据来源：公众诉求提交、坐席录入、渭南市</w:t>
            </w:r>
            <w:r>
              <w:rPr>
                <w:rFonts w:ascii="仿宋_GB2312" w:hAnsi="仿宋_GB2312" w:cs="仿宋_GB2312" w:eastAsia="仿宋_GB2312"/>
                <w:sz w:val="32"/>
              </w:rPr>
              <w:t>12345平台同步、部门上报、人工录入等。</w:t>
            </w:r>
          </w:p>
          <w:p>
            <w:pPr>
              <w:pStyle w:val="null3"/>
              <w:ind w:firstLine="640"/>
              <w:jc w:val="both"/>
            </w:pPr>
            <w:r>
              <w:rPr>
                <w:rFonts w:ascii="仿宋_GB2312" w:hAnsi="仿宋_GB2312" w:cs="仿宋_GB2312" w:eastAsia="仿宋_GB2312"/>
                <w:sz w:val="32"/>
              </w:rPr>
              <w:t>数据生命周期管理：建立数据采集、存储、使用、归档、销毁全生命周期管理机制，明确数据保存期限（工单数据保存</w:t>
            </w:r>
            <w:r>
              <w:rPr>
                <w:rFonts w:ascii="仿宋_GB2312" w:hAnsi="仿宋_GB2312" w:cs="仿宋_GB2312" w:eastAsia="仿宋_GB2312"/>
                <w:sz w:val="32"/>
              </w:rPr>
              <w:t>≥5年，录音数据保存≥3年）。</w:t>
            </w:r>
          </w:p>
          <w:p>
            <w:pPr>
              <w:pStyle w:val="null3"/>
              <w:outlineLvl w:val="2"/>
            </w:pPr>
            <w:r>
              <w:rPr>
                <w:rFonts w:ascii="仿宋_GB2312" w:hAnsi="仿宋_GB2312" w:cs="仿宋_GB2312" w:eastAsia="仿宋_GB2312"/>
                <w:sz w:val="32"/>
                <w:b/>
              </w:rPr>
              <w:t>3.2</w:t>
            </w:r>
            <w:r>
              <w:rPr>
                <w:rFonts w:ascii="仿宋_GB2312" w:hAnsi="仿宋_GB2312" w:cs="仿宋_GB2312" w:eastAsia="仿宋_GB2312"/>
                <w:sz w:val="32"/>
                <w:b/>
              </w:rPr>
              <w:t>数据库设计</w:t>
            </w:r>
          </w:p>
          <w:p>
            <w:pPr>
              <w:pStyle w:val="null3"/>
              <w:ind w:firstLine="640"/>
              <w:jc w:val="both"/>
            </w:pPr>
            <w:r>
              <w:rPr>
                <w:rFonts w:ascii="仿宋_GB2312" w:hAnsi="仿宋_GB2312" w:cs="仿宋_GB2312" w:eastAsia="仿宋_GB2312"/>
                <w:sz w:val="32"/>
              </w:rPr>
              <w:t>数据库选型：采用国产数据库，支持高并发、高可用，具备数据同步、备份恢复功能。</w:t>
            </w:r>
          </w:p>
          <w:p>
            <w:pPr>
              <w:pStyle w:val="null3"/>
              <w:ind w:firstLine="640"/>
              <w:jc w:val="both"/>
            </w:pPr>
            <w:r>
              <w:rPr>
                <w:rFonts w:ascii="仿宋_GB2312" w:hAnsi="仿宋_GB2312" w:cs="仿宋_GB2312" w:eastAsia="仿宋_GB2312"/>
                <w:sz w:val="32"/>
              </w:rPr>
              <w:t>工单表：存储工单编号、诉求人信息、诉求内容、受理渠道、工单类型、紧急程度、处理部门、办理状态、办结结果等字段。</w:t>
            </w:r>
          </w:p>
          <w:p>
            <w:pPr>
              <w:pStyle w:val="null3"/>
              <w:ind w:firstLine="640"/>
              <w:jc w:val="both"/>
            </w:pPr>
            <w:r>
              <w:rPr>
                <w:rFonts w:ascii="仿宋_GB2312" w:hAnsi="仿宋_GB2312" w:cs="仿宋_GB2312" w:eastAsia="仿宋_GB2312"/>
                <w:sz w:val="32"/>
              </w:rPr>
              <w:t>话务表：存储通话编号、主被叫号码、通话时长、接通时间、坐席工号、评价结果、录音地址等字段。</w:t>
            </w:r>
          </w:p>
          <w:p>
            <w:pPr>
              <w:pStyle w:val="null3"/>
              <w:ind w:firstLine="640"/>
              <w:jc w:val="both"/>
            </w:pPr>
            <w:r>
              <w:rPr>
                <w:rFonts w:ascii="仿宋_GB2312" w:hAnsi="仿宋_GB2312" w:cs="仿宋_GB2312" w:eastAsia="仿宋_GB2312"/>
                <w:sz w:val="32"/>
              </w:rPr>
              <w:t>用户表：存储用户</w:t>
            </w:r>
            <w:r>
              <w:rPr>
                <w:rFonts w:ascii="仿宋_GB2312" w:hAnsi="仿宋_GB2312" w:cs="仿宋_GB2312" w:eastAsia="仿宋_GB2312"/>
                <w:sz w:val="32"/>
              </w:rPr>
              <w:t>ID、姓名、手机号、地址、诉求历史关联ID等字段。</w:t>
            </w:r>
          </w:p>
          <w:p>
            <w:pPr>
              <w:pStyle w:val="null3"/>
              <w:ind w:firstLine="640"/>
              <w:jc w:val="both"/>
            </w:pPr>
            <w:r>
              <w:rPr>
                <w:rFonts w:ascii="仿宋_GB2312" w:hAnsi="仿宋_GB2312" w:cs="仿宋_GB2312" w:eastAsia="仿宋_GB2312"/>
                <w:sz w:val="32"/>
              </w:rPr>
              <w:t>知识库表：存储知识</w:t>
            </w:r>
            <w:r>
              <w:rPr>
                <w:rFonts w:ascii="仿宋_GB2312" w:hAnsi="仿宋_GB2312" w:cs="仿宋_GB2312" w:eastAsia="仿宋_GB2312"/>
                <w:sz w:val="32"/>
              </w:rPr>
              <w:t>ID、标题、分类、内容、附件地址、创建时间、更新时间、审核状态等字段。</w:t>
            </w:r>
          </w:p>
          <w:p>
            <w:pPr>
              <w:pStyle w:val="null3"/>
              <w:ind w:firstLine="640"/>
              <w:jc w:val="both"/>
            </w:pPr>
            <w:r>
              <w:rPr>
                <w:rFonts w:ascii="仿宋_GB2312" w:hAnsi="仿宋_GB2312" w:cs="仿宋_GB2312" w:eastAsia="仿宋_GB2312"/>
                <w:sz w:val="32"/>
              </w:rPr>
              <w:t>组织权限表：存储部门</w:t>
            </w:r>
            <w:r>
              <w:rPr>
                <w:rFonts w:ascii="仿宋_GB2312" w:hAnsi="仿宋_GB2312" w:cs="仿宋_GB2312" w:eastAsia="仿宋_GB2312"/>
                <w:sz w:val="32"/>
              </w:rPr>
              <w:t>ID、部门名称、人员ID、姓名、岗位、权限等级等字段。</w:t>
            </w:r>
          </w:p>
          <w:p>
            <w:pPr>
              <w:pStyle w:val="null3"/>
              <w:ind w:firstLine="640"/>
              <w:jc w:val="both"/>
            </w:pPr>
            <w:r>
              <w:rPr>
                <w:rFonts w:ascii="仿宋_GB2312" w:hAnsi="仿宋_GB2312" w:cs="仿宋_GB2312" w:eastAsia="仿宋_GB2312"/>
                <w:sz w:val="32"/>
              </w:rPr>
              <w:t>数据库优化：采用分表分库策略（按时间分表存储工单及话务数据），建立索引提升查询效率，设置数据缓存减轻数据库压力。</w:t>
            </w:r>
          </w:p>
          <w:p>
            <w:pPr>
              <w:pStyle w:val="null3"/>
              <w:jc w:val="both"/>
              <w:outlineLvl w:val="1"/>
            </w:pPr>
            <w:r>
              <w:rPr>
                <w:rFonts w:ascii="仿宋_GB2312" w:hAnsi="仿宋_GB2312" w:cs="仿宋_GB2312" w:eastAsia="仿宋_GB2312"/>
                <w:sz w:val="32"/>
                <w:b/>
              </w:rPr>
              <w:t>4、</w:t>
            </w:r>
            <w:r>
              <w:rPr>
                <w:rFonts w:ascii="仿宋_GB2312" w:hAnsi="仿宋_GB2312" w:cs="仿宋_GB2312" w:eastAsia="仿宋_GB2312"/>
                <w:sz w:val="32"/>
                <w:b/>
              </w:rPr>
              <w:t>应用支撑系统设计</w:t>
            </w:r>
          </w:p>
          <w:p>
            <w:pPr>
              <w:pStyle w:val="null3"/>
              <w:ind w:firstLine="640"/>
              <w:jc w:val="both"/>
            </w:pPr>
            <w:r>
              <w:rPr>
                <w:rFonts w:ascii="仿宋_GB2312" w:hAnsi="仿宋_GB2312" w:cs="仿宋_GB2312" w:eastAsia="仿宋_GB2312"/>
                <w:sz w:val="32"/>
              </w:rPr>
              <w:t>呼叫中心支撑模块：提供</w:t>
            </w:r>
            <w:r>
              <w:rPr>
                <w:rFonts w:ascii="仿宋_GB2312" w:hAnsi="仿宋_GB2312" w:cs="仿宋_GB2312" w:eastAsia="仿宋_GB2312"/>
                <w:sz w:val="32"/>
              </w:rPr>
              <w:t>CTI呼叫控制、ACD智能路由、IVR语音导航、录音存储、全媒体接入等基础支撑，支持语音、微信、官网等多渠道诉求接入与分发。</w:t>
            </w:r>
          </w:p>
          <w:p>
            <w:pPr>
              <w:pStyle w:val="null3"/>
              <w:ind w:firstLine="640"/>
              <w:jc w:val="both"/>
            </w:pPr>
            <w:r>
              <w:rPr>
                <w:rFonts w:ascii="仿宋_GB2312" w:hAnsi="仿宋_GB2312" w:cs="仿宋_GB2312" w:eastAsia="仿宋_GB2312"/>
                <w:sz w:val="32"/>
              </w:rPr>
              <w:t>数据交换支撑模块：基于国产中间件构建数据交换平台，实现与渭南市</w:t>
            </w:r>
            <w:r>
              <w:rPr>
                <w:rFonts w:ascii="仿宋_GB2312" w:hAnsi="仿宋_GB2312" w:cs="仿宋_GB2312" w:eastAsia="仿宋_GB2312"/>
                <w:sz w:val="32"/>
              </w:rPr>
              <w:t>12345平台、政务云平台的数据同步与交互，支持批量数据传输与实时查询。</w:t>
            </w:r>
          </w:p>
          <w:p>
            <w:pPr>
              <w:pStyle w:val="null3"/>
              <w:ind w:firstLine="640"/>
              <w:jc w:val="both"/>
            </w:pPr>
            <w:r>
              <w:rPr>
                <w:rFonts w:ascii="仿宋_GB2312" w:hAnsi="仿宋_GB2312" w:cs="仿宋_GB2312" w:eastAsia="仿宋_GB2312"/>
                <w:sz w:val="32"/>
              </w:rPr>
              <w:t>知识管理支撑模块：提供知识采集、审核、存储、检索、更新等全生命周期管理支撑，支持关键词检索、模糊查询、关联推荐等功能。</w:t>
            </w:r>
          </w:p>
          <w:p>
            <w:pPr>
              <w:pStyle w:val="null3"/>
              <w:ind w:firstLine="640"/>
              <w:jc w:val="both"/>
            </w:pPr>
            <w:r>
              <w:rPr>
                <w:rFonts w:ascii="仿宋_GB2312" w:hAnsi="仿宋_GB2312" w:cs="仿宋_GB2312" w:eastAsia="仿宋_GB2312"/>
                <w:sz w:val="32"/>
              </w:rPr>
              <w:t>安全支撑模块：包括身份认证、权限控制、数据加密、日志审计、入侵检测等安全组件，保障系统及数据安全。</w:t>
            </w:r>
          </w:p>
          <w:p>
            <w:pPr>
              <w:pStyle w:val="null3"/>
              <w:ind w:firstLine="640"/>
              <w:jc w:val="both"/>
            </w:pPr>
            <w:r>
              <w:rPr>
                <w:rFonts w:ascii="仿宋_GB2312" w:hAnsi="仿宋_GB2312" w:cs="仿宋_GB2312" w:eastAsia="仿宋_GB2312"/>
                <w:sz w:val="32"/>
              </w:rPr>
              <w:t>运维支撑模块：提供系统监控、故障告警、性能分析、日志管理等运维工具，支持远程维护与故障排查。</w:t>
            </w:r>
          </w:p>
          <w:p>
            <w:pPr>
              <w:pStyle w:val="null3"/>
              <w:jc w:val="both"/>
              <w:outlineLvl w:val="1"/>
            </w:pPr>
            <w:r>
              <w:rPr>
                <w:rFonts w:ascii="仿宋_GB2312" w:hAnsi="仿宋_GB2312" w:cs="仿宋_GB2312" w:eastAsia="仿宋_GB2312"/>
                <w:sz w:val="32"/>
                <w:b/>
              </w:rPr>
              <w:t>5、</w:t>
            </w:r>
            <w:r>
              <w:rPr>
                <w:rFonts w:ascii="仿宋_GB2312" w:hAnsi="仿宋_GB2312" w:cs="仿宋_GB2312" w:eastAsia="仿宋_GB2312"/>
                <w:sz w:val="32"/>
                <w:b/>
              </w:rPr>
              <w:t>应用系统设计</w:t>
            </w:r>
          </w:p>
          <w:p>
            <w:pPr>
              <w:pStyle w:val="null3"/>
              <w:outlineLvl w:val="2"/>
            </w:pPr>
            <w:r>
              <w:rPr>
                <w:rFonts w:ascii="仿宋_GB2312" w:hAnsi="仿宋_GB2312" w:cs="仿宋_GB2312" w:eastAsia="仿宋_GB2312"/>
                <w:sz w:val="32"/>
                <w:b/>
              </w:rPr>
              <w:t>5.1</w:t>
            </w:r>
            <w:r>
              <w:rPr>
                <w:rFonts w:ascii="仿宋_GB2312" w:hAnsi="仿宋_GB2312" w:cs="仿宋_GB2312" w:eastAsia="仿宋_GB2312"/>
                <w:sz w:val="32"/>
                <w:b/>
              </w:rPr>
              <w:t>呼叫中心系统</w:t>
            </w:r>
          </w:p>
          <w:p>
            <w:pPr>
              <w:pStyle w:val="null3"/>
              <w:ind w:firstLine="640"/>
              <w:jc w:val="both"/>
            </w:pPr>
            <w:r>
              <w:rPr>
                <w:rFonts w:ascii="仿宋_GB2312" w:hAnsi="仿宋_GB2312" w:cs="仿宋_GB2312" w:eastAsia="仿宋_GB2312"/>
                <w:sz w:val="32"/>
              </w:rPr>
              <w:t>核心功能：呼叫控制、智能路由分配、</w:t>
            </w:r>
            <w:r>
              <w:rPr>
                <w:rFonts w:ascii="仿宋_GB2312" w:hAnsi="仿宋_GB2312" w:cs="仿宋_GB2312" w:eastAsia="仿宋_GB2312"/>
                <w:sz w:val="32"/>
              </w:rPr>
              <w:t>IVR语音导航、通话录音、坐席工作台、全媒体接入（语音、微信、官网）、班长监控等。</w:t>
            </w:r>
          </w:p>
          <w:p>
            <w:pPr>
              <w:pStyle w:val="null3"/>
              <w:ind w:firstLine="640"/>
              <w:jc w:val="both"/>
            </w:pPr>
            <w:r>
              <w:rPr>
                <w:rFonts w:ascii="仿宋_GB2312" w:hAnsi="仿宋_GB2312" w:cs="仿宋_GB2312" w:eastAsia="仿宋_GB2312"/>
                <w:sz w:val="32"/>
              </w:rPr>
              <w:t>特色功能：支持相熟座席路由、技能组排队、三方通话、呼叫转移、未接来电提醒、语音留言等功能。</w:t>
            </w:r>
          </w:p>
          <w:p>
            <w:pPr>
              <w:pStyle w:val="null3"/>
              <w:outlineLvl w:val="2"/>
            </w:pPr>
            <w:r>
              <w:rPr>
                <w:rFonts w:ascii="仿宋_GB2312" w:hAnsi="仿宋_GB2312" w:cs="仿宋_GB2312" w:eastAsia="仿宋_GB2312"/>
                <w:sz w:val="32"/>
                <w:b/>
              </w:rPr>
              <w:t>5.2</w:t>
            </w:r>
            <w:r>
              <w:rPr>
                <w:rFonts w:ascii="仿宋_GB2312" w:hAnsi="仿宋_GB2312" w:cs="仿宋_GB2312" w:eastAsia="仿宋_GB2312"/>
                <w:sz w:val="32"/>
                <w:b/>
              </w:rPr>
              <w:t>工单管理系统</w:t>
            </w:r>
          </w:p>
          <w:p>
            <w:pPr>
              <w:pStyle w:val="null3"/>
              <w:ind w:firstLine="640"/>
              <w:jc w:val="both"/>
            </w:pPr>
            <w:r>
              <w:rPr>
                <w:rFonts w:ascii="仿宋_GB2312" w:hAnsi="仿宋_GB2312" w:cs="仿宋_GB2312" w:eastAsia="仿宋_GB2312"/>
                <w:sz w:val="32"/>
              </w:rPr>
              <w:t>核心功能：多渠道工单统一受理、工单拆分</w:t>
            </w:r>
            <w:r>
              <w:rPr>
                <w:rFonts w:ascii="仿宋_GB2312" w:hAnsi="仿宋_GB2312" w:cs="仿宋_GB2312" w:eastAsia="仿宋_GB2312"/>
                <w:sz w:val="32"/>
              </w:rPr>
              <w:t>/合并、智能分派、办理反馈、退回重派、催办督办、回访评价、工单查询统计等。</w:t>
            </w:r>
          </w:p>
          <w:p>
            <w:pPr>
              <w:pStyle w:val="null3"/>
              <w:ind w:firstLine="640"/>
              <w:jc w:val="both"/>
            </w:pPr>
            <w:r>
              <w:rPr>
                <w:rFonts w:ascii="仿宋_GB2312" w:hAnsi="仿宋_GB2312" w:cs="仿宋_GB2312" w:eastAsia="仿宋_GB2312"/>
                <w:sz w:val="32"/>
              </w:rPr>
              <w:t>特色功能：支持主办</w:t>
            </w:r>
            <w:r>
              <w:rPr>
                <w:rFonts w:ascii="仿宋_GB2312" w:hAnsi="仿宋_GB2312" w:cs="仿宋_GB2312" w:eastAsia="仿宋_GB2312"/>
                <w:sz w:val="32"/>
              </w:rPr>
              <w:t>/协办机制、工单时限配置、预警提醒、工单轨迹追踪、附件预览、公开工单查询等功能。</w:t>
            </w:r>
          </w:p>
          <w:p>
            <w:pPr>
              <w:pStyle w:val="null3"/>
              <w:outlineLvl w:val="2"/>
            </w:pPr>
            <w:r>
              <w:rPr>
                <w:rFonts w:ascii="仿宋_GB2312" w:hAnsi="仿宋_GB2312" w:cs="仿宋_GB2312" w:eastAsia="仿宋_GB2312"/>
                <w:sz w:val="32"/>
                <w:b/>
              </w:rPr>
              <w:t>5.3</w:t>
            </w:r>
            <w:r>
              <w:rPr>
                <w:rFonts w:ascii="仿宋_GB2312" w:hAnsi="仿宋_GB2312" w:cs="仿宋_GB2312" w:eastAsia="仿宋_GB2312"/>
                <w:sz w:val="32"/>
                <w:b/>
              </w:rPr>
              <w:t>知识库系统</w:t>
            </w:r>
          </w:p>
          <w:p>
            <w:pPr>
              <w:pStyle w:val="null3"/>
              <w:ind w:firstLine="640"/>
              <w:jc w:val="both"/>
            </w:pPr>
            <w:r>
              <w:rPr>
                <w:rFonts w:ascii="仿宋_GB2312" w:hAnsi="仿宋_GB2312" w:cs="仿宋_GB2312" w:eastAsia="仿宋_GB2312"/>
                <w:sz w:val="32"/>
              </w:rPr>
              <w:t>核心功能：知识采集（手工录入、文件导入、接口同步）、知识分类管理、知识检索（快捷查询、高级查询）、知识审核、知识反馈等。</w:t>
            </w:r>
          </w:p>
          <w:p>
            <w:pPr>
              <w:pStyle w:val="null3"/>
              <w:ind w:firstLine="640"/>
              <w:jc w:val="both"/>
            </w:pPr>
            <w:r>
              <w:rPr>
                <w:rFonts w:ascii="仿宋_GB2312" w:hAnsi="仿宋_GB2312" w:cs="仿宋_GB2312" w:eastAsia="仿宋_GB2312"/>
                <w:sz w:val="32"/>
              </w:rPr>
              <w:t>特色功能：支持知识聚合展示、关键词高亮、热点问题排行、知识导出、坐席联动检索等功能。</w:t>
            </w:r>
          </w:p>
          <w:p>
            <w:pPr>
              <w:pStyle w:val="null3"/>
              <w:outlineLvl w:val="2"/>
            </w:pPr>
            <w:r>
              <w:rPr>
                <w:rFonts w:ascii="仿宋_GB2312" w:hAnsi="仿宋_GB2312" w:cs="仿宋_GB2312" w:eastAsia="仿宋_GB2312"/>
                <w:sz w:val="32"/>
                <w:b/>
              </w:rPr>
              <w:t>5.4</w:t>
            </w:r>
            <w:r>
              <w:rPr>
                <w:rFonts w:ascii="仿宋_GB2312" w:hAnsi="仿宋_GB2312" w:cs="仿宋_GB2312" w:eastAsia="仿宋_GB2312"/>
                <w:sz w:val="32"/>
                <w:b/>
              </w:rPr>
              <w:t>数据分析系统</w:t>
            </w:r>
          </w:p>
          <w:p>
            <w:pPr>
              <w:pStyle w:val="null3"/>
              <w:ind w:firstLine="640"/>
              <w:jc w:val="both"/>
            </w:pPr>
            <w:r>
              <w:rPr>
                <w:rFonts w:ascii="仿宋_GB2312" w:hAnsi="仿宋_GB2312" w:cs="仿宋_GB2312" w:eastAsia="仿宋_GB2312"/>
                <w:sz w:val="32"/>
              </w:rPr>
              <w:t>核心功能：话务统计报表、工单统计报表、知识统计报表、可视化大屏展示、智能月度报告生成等。</w:t>
            </w:r>
          </w:p>
          <w:p>
            <w:pPr>
              <w:pStyle w:val="null3"/>
              <w:ind w:firstLine="640"/>
              <w:jc w:val="both"/>
            </w:pPr>
            <w:r>
              <w:rPr>
                <w:rFonts w:ascii="仿宋_GB2312" w:hAnsi="仿宋_GB2312" w:cs="仿宋_GB2312" w:eastAsia="仿宋_GB2312"/>
                <w:sz w:val="32"/>
              </w:rPr>
              <w:t>特色功能：支持多维度数据分析、趋势图表展示、预警数据可视化、数据导出等功能。</w:t>
            </w:r>
          </w:p>
          <w:p>
            <w:pPr>
              <w:pStyle w:val="null3"/>
              <w:outlineLvl w:val="2"/>
            </w:pPr>
            <w:r>
              <w:rPr>
                <w:rFonts w:ascii="仿宋_GB2312" w:hAnsi="仿宋_GB2312" w:cs="仿宋_GB2312" w:eastAsia="仿宋_GB2312"/>
                <w:sz w:val="32"/>
                <w:b/>
              </w:rPr>
              <w:t>5.5</w:t>
            </w:r>
            <w:r>
              <w:rPr>
                <w:rFonts w:ascii="仿宋_GB2312" w:hAnsi="仿宋_GB2312" w:cs="仿宋_GB2312" w:eastAsia="仿宋_GB2312"/>
                <w:sz w:val="32"/>
                <w:b/>
              </w:rPr>
              <w:t>特色模块</w:t>
            </w:r>
          </w:p>
          <w:p>
            <w:pPr>
              <w:pStyle w:val="null3"/>
              <w:ind w:firstLine="640"/>
              <w:jc w:val="both"/>
            </w:pPr>
            <w:r>
              <w:rPr>
                <w:rFonts w:ascii="仿宋_GB2312" w:hAnsi="仿宋_GB2312" w:cs="仿宋_GB2312" w:eastAsia="仿宋_GB2312"/>
                <w:sz w:val="32"/>
              </w:rPr>
              <w:t>接线</w:t>
            </w:r>
            <w:r>
              <w:rPr>
                <w:rFonts w:ascii="仿宋_GB2312" w:hAnsi="仿宋_GB2312" w:cs="仿宋_GB2312" w:eastAsia="仿宋_GB2312"/>
                <w:sz w:val="32"/>
              </w:rPr>
              <w:t>台席</w:t>
            </w:r>
            <w:r>
              <w:rPr>
                <w:rFonts w:ascii="仿宋_GB2312" w:hAnsi="仿宋_GB2312" w:cs="仿宋_GB2312" w:eastAsia="仿宋_GB2312"/>
                <w:sz w:val="32"/>
              </w:rPr>
              <w:t>模块：导播台监控、电话转接、数据随路传递、弹屏加载、提词器等功能。</w:t>
            </w:r>
          </w:p>
          <w:p>
            <w:pPr>
              <w:pStyle w:val="null3"/>
              <w:ind w:firstLine="640"/>
              <w:jc w:val="both"/>
            </w:pPr>
            <w:r>
              <w:rPr>
                <w:rFonts w:ascii="仿宋_GB2312" w:hAnsi="仿宋_GB2312" w:cs="仿宋_GB2312" w:eastAsia="仿宋_GB2312"/>
                <w:sz w:val="32"/>
              </w:rPr>
              <w:t>基层</w:t>
            </w:r>
            <w:r>
              <w:rPr>
                <w:rFonts w:ascii="仿宋_GB2312" w:hAnsi="仿宋_GB2312" w:cs="仿宋_GB2312" w:eastAsia="仿宋_GB2312"/>
                <w:sz w:val="32"/>
              </w:rPr>
              <w:t>“扫一扫”模块：二维码生成与挂载、诉求留言提交、区域化工单分配等功能。</w:t>
            </w:r>
          </w:p>
          <w:p>
            <w:pPr>
              <w:pStyle w:val="null3"/>
              <w:jc w:val="both"/>
              <w:outlineLvl w:val="1"/>
            </w:pPr>
            <w:r>
              <w:rPr>
                <w:rFonts w:ascii="仿宋_GB2312" w:hAnsi="仿宋_GB2312" w:cs="仿宋_GB2312" w:eastAsia="仿宋_GB2312"/>
                <w:sz w:val="32"/>
                <w:b/>
              </w:rPr>
              <w:t>6、</w:t>
            </w:r>
            <w:r>
              <w:rPr>
                <w:rFonts w:ascii="仿宋_GB2312" w:hAnsi="仿宋_GB2312" w:cs="仿宋_GB2312" w:eastAsia="仿宋_GB2312"/>
                <w:sz w:val="32"/>
                <w:b/>
              </w:rPr>
              <w:t>数据处理和存储系统设计</w:t>
            </w:r>
          </w:p>
          <w:p>
            <w:pPr>
              <w:pStyle w:val="null3"/>
              <w:outlineLvl w:val="2"/>
            </w:pPr>
            <w:r>
              <w:rPr>
                <w:rFonts w:ascii="仿宋_GB2312" w:hAnsi="仿宋_GB2312" w:cs="仿宋_GB2312" w:eastAsia="仿宋_GB2312"/>
                <w:sz w:val="32"/>
                <w:b/>
              </w:rPr>
              <w:t>6.1</w:t>
            </w:r>
            <w:r>
              <w:rPr>
                <w:rFonts w:ascii="仿宋_GB2312" w:hAnsi="仿宋_GB2312" w:cs="仿宋_GB2312" w:eastAsia="仿宋_GB2312"/>
                <w:sz w:val="32"/>
                <w:b/>
              </w:rPr>
              <w:t>数据处理设计</w:t>
            </w:r>
          </w:p>
          <w:p>
            <w:pPr>
              <w:pStyle w:val="null3"/>
              <w:ind w:firstLine="640"/>
              <w:jc w:val="both"/>
            </w:pPr>
            <w:r>
              <w:rPr>
                <w:rFonts w:ascii="仿宋_GB2312" w:hAnsi="仿宋_GB2312" w:cs="仿宋_GB2312" w:eastAsia="仿宋_GB2312"/>
                <w:sz w:val="32"/>
              </w:rPr>
              <w:t>实时处理：对呼叫数据、工单流转数据进行实时采集与处理，支持坐席实时查看工单状态、通话信息。</w:t>
            </w:r>
          </w:p>
          <w:p>
            <w:pPr>
              <w:pStyle w:val="null3"/>
              <w:ind w:firstLine="640"/>
              <w:jc w:val="both"/>
            </w:pPr>
            <w:r>
              <w:rPr>
                <w:rFonts w:ascii="仿宋_GB2312" w:hAnsi="仿宋_GB2312" w:cs="仿宋_GB2312" w:eastAsia="仿宋_GB2312"/>
                <w:sz w:val="32"/>
              </w:rPr>
              <w:t>批量处理：对每日话务数据、工单统计数据进行批量汇总分析，生成日报、周报、月报。</w:t>
            </w:r>
          </w:p>
          <w:p>
            <w:pPr>
              <w:pStyle w:val="null3"/>
              <w:ind w:firstLine="640"/>
              <w:jc w:val="both"/>
            </w:pPr>
            <w:r>
              <w:rPr>
                <w:rFonts w:ascii="仿宋_GB2312" w:hAnsi="仿宋_GB2312" w:cs="仿宋_GB2312" w:eastAsia="仿宋_GB2312"/>
                <w:sz w:val="32"/>
              </w:rPr>
              <w:t>数据清洗：去除重复数据、修正错误数据、补全缺失数据，确保数据质量。</w:t>
            </w:r>
          </w:p>
          <w:p>
            <w:pPr>
              <w:pStyle w:val="null3"/>
              <w:ind w:firstLine="640"/>
              <w:jc w:val="both"/>
            </w:pPr>
            <w:r>
              <w:rPr>
                <w:rFonts w:ascii="仿宋_GB2312" w:hAnsi="仿宋_GB2312" w:cs="仿宋_GB2312" w:eastAsia="仿宋_GB2312"/>
                <w:sz w:val="32"/>
              </w:rPr>
              <w:t>数据转换：将非结构化数据（录音、附件）转换为可存储格式，将异构数据转换为统一格式，支持跨系统交互。</w:t>
            </w:r>
          </w:p>
          <w:p>
            <w:pPr>
              <w:pStyle w:val="null3"/>
              <w:outlineLvl w:val="2"/>
            </w:pPr>
            <w:r>
              <w:rPr>
                <w:rFonts w:ascii="仿宋_GB2312" w:hAnsi="仿宋_GB2312" w:cs="仿宋_GB2312" w:eastAsia="仿宋_GB2312"/>
                <w:sz w:val="32"/>
                <w:b/>
              </w:rPr>
              <w:t>6.2</w:t>
            </w:r>
            <w:r>
              <w:rPr>
                <w:rFonts w:ascii="仿宋_GB2312" w:hAnsi="仿宋_GB2312" w:cs="仿宋_GB2312" w:eastAsia="仿宋_GB2312"/>
                <w:sz w:val="32"/>
                <w:b/>
              </w:rPr>
              <w:t>存储系统设计</w:t>
            </w:r>
          </w:p>
          <w:p>
            <w:pPr>
              <w:pStyle w:val="null3"/>
              <w:ind w:firstLine="640"/>
              <w:jc w:val="both"/>
            </w:pPr>
            <w:r>
              <w:rPr>
                <w:rFonts w:ascii="仿宋_GB2312" w:hAnsi="仿宋_GB2312" w:cs="仿宋_GB2312" w:eastAsia="仿宋_GB2312"/>
                <w:sz w:val="32"/>
              </w:rPr>
              <w:t>存储架构：采用分布式存储架构，结合本地存储与云存储，满足结构化数据与非结构化数据存储需求。</w:t>
            </w:r>
          </w:p>
          <w:p>
            <w:pPr>
              <w:pStyle w:val="null3"/>
              <w:ind w:firstLine="640"/>
              <w:jc w:val="both"/>
            </w:pPr>
            <w:r>
              <w:rPr>
                <w:rFonts w:ascii="仿宋_GB2312" w:hAnsi="仿宋_GB2312" w:cs="仿宋_GB2312" w:eastAsia="仿宋_GB2312"/>
                <w:sz w:val="32"/>
              </w:rPr>
              <w:t>存储分配：</w:t>
            </w:r>
          </w:p>
          <w:p>
            <w:pPr>
              <w:pStyle w:val="null3"/>
              <w:ind w:firstLine="640"/>
              <w:jc w:val="both"/>
            </w:pPr>
            <w:r>
              <w:rPr>
                <w:rFonts w:ascii="仿宋_GB2312" w:hAnsi="仿宋_GB2312" w:cs="仿宋_GB2312" w:eastAsia="仿宋_GB2312"/>
                <w:sz w:val="32"/>
              </w:rPr>
              <w:t>结构化数据：存储于国产数据库，采用主从架构保障高可用。</w:t>
            </w:r>
          </w:p>
          <w:p>
            <w:pPr>
              <w:pStyle w:val="null3"/>
              <w:ind w:firstLine="640"/>
              <w:jc w:val="both"/>
            </w:pPr>
            <w:r>
              <w:rPr>
                <w:rFonts w:ascii="仿宋_GB2312" w:hAnsi="仿宋_GB2312" w:cs="仿宋_GB2312" w:eastAsia="仿宋_GB2312"/>
                <w:sz w:val="32"/>
              </w:rPr>
              <w:t>非结构化数据：录音文件、附件等存储于文件服务器，支持大容量扩展。</w:t>
            </w:r>
          </w:p>
          <w:p>
            <w:pPr>
              <w:pStyle w:val="null3"/>
              <w:ind w:firstLine="640"/>
              <w:jc w:val="both"/>
            </w:pPr>
            <w:r>
              <w:rPr>
                <w:rFonts w:ascii="仿宋_GB2312" w:hAnsi="仿宋_GB2312" w:cs="仿宋_GB2312" w:eastAsia="仿宋_GB2312"/>
                <w:sz w:val="32"/>
              </w:rPr>
              <w:t>存储性能：数据库存储支持每秒</w:t>
            </w:r>
            <w:r>
              <w:rPr>
                <w:rFonts w:ascii="仿宋_GB2312" w:hAnsi="仿宋_GB2312" w:cs="仿宋_GB2312" w:eastAsia="仿宋_GB2312"/>
                <w:sz w:val="32"/>
              </w:rPr>
              <w:t>≥1000笔事务处理，文件存储支持并发访问≥500用户。</w:t>
            </w:r>
          </w:p>
          <w:p>
            <w:pPr>
              <w:pStyle w:val="null3"/>
              <w:ind w:firstLine="640"/>
              <w:jc w:val="both"/>
            </w:pPr>
            <w:r>
              <w:rPr>
                <w:rFonts w:ascii="仿宋_GB2312" w:hAnsi="仿宋_GB2312" w:cs="仿宋_GB2312" w:eastAsia="仿宋_GB2312"/>
                <w:sz w:val="32"/>
              </w:rPr>
              <w:t>存储安全：对敏感数据（用户手机号、地址等）进行加密存储，文件数据采用权限控制防止未授权访问。</w:t>
            </w:r>
          </w:p>
          <w:p>
            <w:pPr>
              <w:pStyle w:val="null3"/>
              <w:jc w:val="both"/>
              <w:outlineLvl w:val="1"/>
            </w:pPr>
            <w:r>
              <w:rPr>
                <w:rFonts w:ascii="仿宋_GB2312" w:hAnsi="仿宋_GB2312" w:cs="仿宋_GB2312" w:eastAsia="仿宋_GB2312"/>
                <w:sz w:val="32"/>
                <w:b/>
              </w:rPr>
              <w:t>7、</w:t>
            </w:r>
            <w:r>
              <w:rPr>
                <w:rFonts w:ascii="仿宋_GB2312" w:hAnsi="仿宋_GB2312" w:cs="仿宋_GB2312" w:eastAsia="仿宋_GB2312"/>
                <w:sz w:val="32"/>
                <w:b/>
              </w:rPr>
              <w:t>终端系统及接口设计</w:t>
            </w:r>
          </w:p>
          <w:p>
            <w:pPr>
              <w:pStyle w:val="null3"/>
              <w:outlineLvl w:val="2"/>
            </w:pPr>
            <w:r>
              <w:rPr>
                <w:rFonts w:ascii="仿宋_GB2312" w:hAnsi="仿宋_GB2312" w:cs="仿宋_GB2312" w:eastAsia="仿宋_GB2312"/>
                <w:sz w:val="32"/>
                <w:b/>
              </w:rPr>
              <w:t>7.1</w:t>
            </w:r>
            <w:r>
              <w:rPr>
                <w:rFonts w:ascii="仿宋_GB2312" w:hAnsi="仿宋_GB2312" w:cs="仿宋_GB2312" w:eastAsia="仿宋_GB2312"/>
                <w:sz w:val="32"/>
                <w:b/>
              </w:rPr>
              <w:t>终端系统设计</w:t>
            </w:r>
          </w:p>
          <w:p>
            <w:pPr>
              <w:pStyle w:val="null3"/>
              <w:ind w:firstLine="640"/>
              <w:jc w:val="both"/>
            </w:pPr>
            <w:r>
              <w:rPr>
                <w:rFonts w:ascii="仿宋_GB2312" w:hAnsi="仿宋_GB2312" w:cs="仿宋_GB2312" w:eastAsia="仿宋_GB2312"/>
                <w:sz w:val="32"/>
              </w:rPr>
              <w:t>坐席终端：配置双屏计算机、</w:t>
            </w:r>
            <w:r>
              <w:rPr>
                <w:rFonts w:ascii="仿宋_GB2312" w:hAnsi="仿宋_GB2312" w:cs="仿宋_GB2312" w:eastAsia="仿宋_GB2312"/>
                <w:sz w:val="32"/>
              </w:rPr>
              <w:t>IP电话机、耳机、打印机等设备，坐席工作台支持话务功能与工单处理功能集成，实现来电弹屏、工单快速录入。</w:t>
            </w:r>
          </w:p>
          <w:p>
            <w:pPr>
              <w:pStyle w:val="null3"/>
              <w:ind w:firstLine="640"/>
              <w:jc w:val="both"/>
            </w:pPr>
            <w:r>
              <w:rPr>
                <w:rFonts w:ascii="仿宋_GB2312" w:hAnsi="仿宋_GB2312" w:cs="仿宋_GB2312" w:eastAsia="仿宋_GB2312"/>
                <w:sz w:val="32"/>
              </w:rPr>
              <w:t>管理终端：配置计算机、笔记本电脑，支持管理人员查看统计报表、监控坐席状态、处理督办工单。</w:t>
            </w:r>
          </w:p>
          <w:p>
            <w:pPr>
              <w:pStyle w:val="null3"/>
              <w:ind w:firstLine="640"/>
              <w:jc w:val="both"/>
            </w:pPr>
            <w:r>
              <w:rPr>
                <w:rFonts w:ascii="仿宋_GB2312" w:hAnsi="仿宋_GB2312" w:cs="仿宋_GB2312" w:eastAsia="仿宋_GB2312"/>
                <w:sz w:val="32"/>
              </w:rPr>
              <w:t>公众终端：支持微信公众号、官网等接入方式，公众可通过手机、电脑提交诉求、查询工单进度、获取知识信息。</w:t>
            </w:r>
          </w:p>
          <w:p>
            <w:pPr>
              <w:pStyle w:val="null3"/>
              <w:ind w:firstLine="640"/>
              <w:jc w:val="both"/>
            </w:pPr>
            <w:r>
              <w:rPr>
                <w:rFonts w:ascii="仿宋_GB2312" w:hAnsi="仿宋_GB2312" w:cs="仿宋_GB2312" w:eastAsia="仿宋_GB2312"/>
                <w:sz w:val="32"/>
              </w:rPr>
              <w:t>特色终端：接线</w:t>
            </w:r>
            <w:r>
              <w:rPr>
                <w:rFonts w:ascii="仿宋_GB2312" w:hAnsi="仿宋_GB2312" w:cs="仿宋_GB2312" w:eastAsia="仿宋_GB2312"/>
                <w:sz w:val="32"/>
              </w:rPr>
              <w:t>台席</w:t>
            </w:r>
            <w:r>
              <w:rPr>
                <w:rFonts w:ascii="仿宋_GB2312" w:hAnsi="仿宋_GB2312" w:cs="仿宋_GB2312" w:eastAsia="仿宋_GB2312"/>
                <w:sz w:val="32"/>
              </w:rPr>
              <w:t>配置提词器、智能显示屏，基层单位配置二维码展示终端。</w:t>
            </w:r>
          </w:p>
          <w:p>
            <w:pPr>
              <w:pStyle w:val="null3"/>
              <w:outlineLvl w:val="2"/>
            </w:pPr>
            <w:r>
              <w:rPr>
                <w:rFonts w:ascii="仿宋_GB2312" w:hAnsi="仿宋_GB2312" w:cs="仿宋_GB2312" w:eastAsia="仿宋_GB2312"/>
                <w:sz w:val="32"/>
                <w:b/>
              </w:rPr>
              <w:t>7.2</w:t>
            </w:r>
            <w:r>
              <w:rPr>
                <w:rFonts w:ascii="仿宋_GB2312" w:hAnsi="仿宋_GB2312" w:cs="仿宋_GB2312" w:eastAsia="仿宋_GB2312"/>
                <w:sz w:val="32"/>
                <w:b/>
              </w:rPr>
              <w:t>接口设计</w:t>
            </w:r>
          </w:p>
          <w:p>
            <w:pPr>
              <w:pStyle w:val="null3"/>
              <w:ind w:firstLine="640"/>
              <w:jc w:val="both"/>
            </w:pPr>
            <w:r>
              <w:rPr>
                <w:rFonts w:ascii="仿宋_GB2312" w:hAnsi="仿宋_GB2312" w:cs="仿宋_GB2312" w:eastAsia="仿宋_GB2312"/>
                <w:sz w:val="32"/>
              </w:rPr>
              <w:t>内部接口：应用系统与支撑系统之间采用内部</w:t>
            </w:r>
            <w:r>
              <w:rPr>
                <w:rFonts w:ascii="仿宋_GB2312" w:hAnsi="仿宋_GB2312" w:cs="仿宋_GB2312" w:eastAsia="仿宋_GB2312"/>
                <w:sz w:val="32"/>
              </w:rPr>
              <w:t>API接口，实现数据交互与功能调用，支持同步/异步通信。</w:t>
            </w:r>
          </w:p>
          <w:p>
            <w:pPr>
              <w:pStyle w:val="null3"/>
              <w:ind w:firstLine="640"/>
              <w:jc w:val="both"/>
            </w:pPr>
            <w:r>
              <w:rPr>
                <w:rFonts w:ascii="仿宋_GB2312" w:hAnsi="仿宋_GB2312" w:cs="仿宋_GB2312" w:eastAsia="仿宋_GB2312"/>
                <w:sz w:val="32"/>
              </w:rPr>
              <w:t>外部接口：</w:t>
            </w:r>
          </w:p>
          <w:p>
            <w:pPr>
              <w:pStyle w:val="null3"/>
              <w:ind w:firstLine="640"/>
              <w:jc w:val="both"/>
            </w:pPr>
            <w:r>
              <w:rPr>
                <w:rFonts w:ascii="仿宋_GB2312" w:hAnsi="仿宋_GB2312" w:cs="仿宋_GB2312" w:eastAsia="仿宋_GB2312"/>
                <w:sz w:val="32"/>
              </w:rPr>
              <w:t>与渭南市</w:t>
            </w:r>
            <w:r>
              <w:rPr>
                <w:rFonts w:ascii="仿宋_GB2312" w:hAnsi="仿宋_GB2312" w:cs="仿宋_GB2312" w:eastAsia="仿宋_GB2312"/>
                <w:sz w:val="32"/>
              </w:rPr>
              <w:t>12345平台接口：采用API，实现工单数据、知识库数据双向同步，数据传输采用HTTPS加密。</w:t>
            </w:r>
          </w:p>
          <w:p>
            <w:pPr>
              <w:pStyle w:val="null3"/>
              <w:ind w:firstLine="640"/>
              <w:jc w:val="both"/>
            </w:pPr>
            <w:r>
              <w:rPr>
                <w:rFonts w:ascii="仿宋_GB2312" w:hAnsi="仿宋_GB2312" w:cs="仿宋_GB2312" w:eastAsia="仿宋_GB2312"/>
                <w:sz w:val="32"/>
              </w:rPr>
              <w:t>与政务云平台接口：遵循政务云接口规范，实现服务器资源调度、安全防护联动等功能。</w:t>
            </w:r>
          </w:p>
          <w:p>
            <w:pPr>
              <w:pStyle w:val="null3"/>
              <w:ind w:firstLine="640"/>
              <w:jc w:val="both"/>
            </w:pPr>
            <w:r>
              <w:rPr>
                <w:rFonts w:ascii="仿宋_GB2312" w:hAnsi="仿宋_GB2312" w:cs="仿宋_GB2312" w:eastAsia="仿宋_GB2312"/>
                <w:sz w:val="32"/>
              </w:rPr>
              <w:t>与基层单位系统接口：支持二维码诉求数据上传、工单办理结果反馈等功能。</w:t>
            </w:r>
          </w:p>
          <w:p>
            <w:pPr>
              <w:pStyle w:val="null3"/>
              <w:ind w:firstLine="640"/>
              <w:jc w:val="both"/>
            </w:pPr>
            <w:r>
              <w:rPr>
                <w:rFonts w:ascii="仿宋_GB2312" w:hAnsi="仿宋_GB2312" w:cs="仿宋_GB2312" w:eastAsia="仿宋_GB2312"/>
                <w:sz w:val="32"/>
              </w:rPr>
              <w:t>接口性能：接口响应时间</w:t>
            </w:r>
            <w:r>
              <w:rPr>
                <w:rFonts w:ascii="仿宋_GB2312" w:hAnsi="仿宋_GB2312" w:cs="仿宋_GB2312" w:eastAsia="仿宋_GB2312"/>
                <w:sz w:val="32"/>
              </w:rPr>
              <w:t>≤300ms，并发处理能力≥200TPS，接口可用性≥99.9%。</w:t>
            </w:r>
          </w:p>
          <w:p>
            <w:pPr>
              <w:pStyle w:val="null3"/>
              <w:jc w:val="both"/>
              <w:outlineLvl w:val="1"/>
            </w:pPr>
            <w:r>
              <w:rPr>
                <w:rFonts w:ascii="仿宋_GB2312" w:hAnsi="仿宋_GB2312" w:cs="仿宋_GB2312" w:eastAsia="仿宋_GB2312"/>
                <w:sz w:val="32"/>
                <w:b/>
              </w:rPr>
              <w:t>8、</w:t>
            </w:r>
            <w:r>
              <w:rPr>
                <w:rFonts w:ascii="仿宋_GB2312" w:hAnsi="仿宋_GB2312" w:cs="仿宋_GB2312" w:eastAsia="仿宋_GB2312"/>
                <w:sz w:val="32"/>
                <w:b/>
              </w:rPr>
              <w:t>网络系统设计</w:t>
            </w:r>
          </w:p>
          <w:p>
            <w:pPr>
              <w:pStyle w:val="null3"/>
              <w:outlineLvl w:val="2"/>
            </w:pPr>
            <w:r>
              <w:rPr>
                <w:rFonts w:ascii="仿宋_GB2312" w:hAnsi="仿宋_GB2312" w:cs="仿宋_GB2312" w:eastAsia="仿宋_GB2312"/>
                <w:sz w:val="32"/>
                <w:b/>
              </w:rPr>
              <w:t>8.1</w:t>
            </w:r>
            <w:r>
              <w:rPr>
                <w:rFonts w:ascii="仿宋_GB2312" w:hAnsi="仿宋_GB2312" w:cs="仿宋_GB2312" w:eastAsia="仿宋_GB2312"/>
                <w:sz w:val="32"/>
                <w:b/>
              </w:rPr>
              <w:t>网络架构</w:t>
            </w:r>
          </w:p>
          <w:p>
            <w:pPr>
              <w:pStyle w:val="null3"/>
              <w:ind w:firstLine="640"/>
              <w:jc w:val="both"/>
            </w:pPr>
            <w:r>
              <w:rPr>
                <w:rFonts w:ascii="仿宋_GB2312" w:hAnsi="仿宋_GB2312" w:cs="仿宋_GB2312" w:eastAsia="仿宋_GB2312"/>
                <w:sz w:val="32"/>
              </w:rPr>
              <w:t>部署环境：系统整体部署在政务云内，通过政务内网实现与其他政务系统互联互通。</w:t>
            </w:r>
          </w:p>
          <w:p>
            <w:pPr>
              <w:pStyle w:val="null3"/>
              <w:ind w:firstLine="640"/>
              <w:jc w:val="both"/>
            </w:pPr>
            <w:r>
              <w:rPr>
                <w:rFonts w:ascii="仿宋_GB2312" w:hAnsi="仿宋_GB2312" w:cs="仿宋_GB2312" w:eastAsia="仿宋_GB2312"/>
                <w:sz w:val="32"/>
              </w:rPr>
              <w:t>网络分区：分为政务外网区（部署面向公众的交互应用）、政务内网区（部署核心业务系统及数据库）、</w:t>
            </w:r>
            <w:r>
              <w:rPr>
                <w:rFonts w:ascii="仿宋_GB2312" w:hAnsi="仿宋_GB2312" w:cs="仿宋_GB2312" w:eastAsia="仿宋_GB2312"/>
                <w:sz w:val="32"/>
              </w:rPr>
              <w:t>DMZ区（部署接口服务器、Web服务器），通过防火墙实现分区隔离。</w:t>
            </w:r>
          </w:p>
          <w:p>
            <w:pPr>
              <w:pStyle w:val="null3"/>
              <w:ind w:firstLine="640"/>
              <w:jc w:val="both"/>
            </w:pPr>
            <w:r>
              <w:rPr>
                <w:rFonts w:ascii="仿宋_GB2312" w:hAnsi="仿宋_GB2312" w:cs="仿宋_GB2312" w:eastAsia="仿宋_GB2312"/>
                <w:sz w:val="32"/>
              </w:rPr>
              <w:t>网络连接：</w:t>
            </w:r>
          </w:p>
          <w:p>
            <w:pPr>
              <w:pStyle w:val="null3"/>
              <w:ind w:firstLine="640"/>
              <w:jc w:val="both"/>
            </w:pPr>
            <w:r>
              <w:rPr>
                <w:rFonts w:ascii="仿宋_GB2312" w:hAnsi="仿宋_GB2312" w:cs="仿宋_GB2312" w:eastAsia="仿宋_GB2312"/>
                <w:sz w:val="32"/>
              </w:rPr>
              <w:t>坐席职场通过专线接入政务云，保障数据传输安全稳定。</w:t>
            </w:r>
          </w:p>
          <w:p>
            <w:pPr>
              <w:pStyle w:val="null3"/>
              <w:ind w:firstLine="640"/>
              <w:jc w:val="both"/>
            </w:pPr>
            <w:r>
              <w:rPr>
                <w:rFonts w:ascii="仿宋_GB2312" w:hAnsi="仿宋_GB2312" w:cs="仿宋_GB2312" w:eastAsia="仿宋_GB2312"/>
                <w:sz w:val="32"/>
              </w:rPr>
              <w:t>平台通过</w:t>
            </w:r>
            <w:r>
              <w:rPr>
                <w:rFonts w:ascii="仿宋_GB2312" w:hAnsi="仿宋_GB2312" w:cs="仿宋_GB2312" w:eastAsia="仿宋_GB2312"/>
                <w:sz w:val="32"/>
              </w:rPr>
              <w:t>SIP中继联通大网，实现语音坐席与视频坐席呼入呼出。</w:t>
            </w:r>
          </w:p>
          <w:p>
            <w:pPr>
              <w:pStyle w:val="null3"/>
              <w:ind w:firstLine="640"/>
              <w:jc w:val="both"/>
            </w:pPr>
            <w:r>
              <w:rPr>
                <w:rFonts w:ascii="仿宋_GB2312" w:hAnsi="仿宋_GB2312" w:cs="仿宋_GB2312" w:eastAsia="仿宋_GB2312"/>
                <w:sz w:val="32"/>
              </w:rPr>
              <w:t>与渭南市</w:t>
            </w:r>
            <w:r>
              <w:rPr>
                <w:rFonts w:ascii="仿宋_GB2312" w:hAnsi="仿宋_GB2312" w:cs="仿宋_GB2312" w:eastAsia="仿宋_GB2312"/>
                <w:sz w:val="32"/>
              </w:rPr>
              <w:t>12345平台通过专线对接，实现数据高速传输。</w:t>
            </w:r>
          </w:p>
          <w:p>
            <w:pPr>
              <w:pStyle w:val="null3"/>
              <w:outlineLvl w:val="2"/>
            </w:pPr>
            <w:r>
              <w:rPr>
                <w:rFonts w:ascii="仿宋_GB2312" w:hAnsi="仿宋_GB2312" w:cs="仿宋_GB2312" w:eastAsia="仿宋_GB2312"/>
                <w:sz w:val="32"/>
                <w:b/>
              </w:rPr>
              <w:t>8.2</w:t>
            </w:r>
            <w:r>
              <w:rPr>
                <w:rFonts w:ascii="仿宋_GB2312" w:hAnsi="仿宋_GB2312" w:cs="仿宋_GB2312" w:eastAsia="仿宋_GB2312"/>
                <w:sz w:val="32"/>
                <w:b/>
              </w:rPr>
              <w:t>网络配置</w:t>
            </w:r>
          </w:p>
          <w:p>
            <w:pPr>
              <w:pStyle w:val="null3"/>
              <w:ind w:firstLine="640"/>
              <w:jc w:val="both"/>
            </w:pPr>
            <w:r>
              <w:rPr>
                <w:rFonts w:ascii="仿宋_GB2312" w:hAnsi="仿宋_GB2312" w:cs="仿宋_GB2312" w:eastAsia="仿宋_GB2312"/>
                <w:sz w:val="32"/>
              </w:rPr>
              <w:t>带宽配置：语音通话带宽</w:t>
            </w:r>
            <w:r>
              <w:rPr>
                <w:rFonts w:ascii="仿宋_GB2312" w:hAnsi="仿宋_GB2312" w:cs="仿宋_GB2312" w:eastAsia="仿宋_GB2312"/>
                <w:sz w:val="32"/>
              </w:rPr>
              <w:t>2M，互联网专线≥800M。</w:t>
            </w:r>
          </w:p>
          <w:p>
            <w:pPr>
              <w:pStyle w:val="null3"/>
              <w:ind w:firstLine="640"/>
              <w:jc w:val="both"/>
            </w:pPr>
            <w:r>
              <w:rPr>
                <w:rFonts w:ascii="仿宋_GB2312" w:hAnsi="仿宋_GB2312" w:cs="仿宋_GB2312" w:eastAsia="仿宋_GB2312"/>
                <w:sz w:val="32"/>
              </w:rPr>
              <w:t>网络设备：部署核心交换机、接入交换机、防火墙、入侵检测设备、</w:t>
            </w:r>
            <w:r>
              <w:rPr>
                <w:rFonts w:ascii="仿宋_GB2312" w:hAnsi="仿宋_GB2312" w:cs="仿宋_GB2312" w:eastAsia="仿宋_GB2312"/>
                <w:sz w:val="32"/>
              </w:rPr>
              <w:t>VPN设备等，保障网络安全与性能。</w:t>
            </w:r>
          </w:p>
          <w:p>
            <w:pPr>
              <w:pStyle w:val="null3"/>
              <w:ind w:firstLine="640"/>
              <w:jc w:val="both"/>
            </w:pPr>
            <w:r>
              <w:rPr>
                <w:rFonts w:ascii="仿宋_GB2312" w:hAnsi="仿宋_GB2312" w:cs="仿宋_GB2312" w:eastAsia="仿宋_GB2312"/>
                <w:sz w:val="32"/>
              </w:rPr>
              <w:t>网络安全：采用</w:t>
            </w:r>
            <w:r>
              <w:rPr>
                <w:rFonts w:ascii="仿宋_GB2312" w:hAnsi="仿宋_GB2312" w:cs="仿宋_GB2312" w:eastAsia="仿宋_GB2312"/>
                <w:sz w:val="32"/>
              </w:rPr>
              <w:t>VLAN划分、ACL访问控制、数据加密传输、异常流量监测等措施，防范网络攻击。</w:t>
            </w:r>
          </w:p>
          <w:p>
            <w:pPr>
              <w:pStyle w:val="null3"/>
              <w:jc w:val="both"/>
              <w:outlineLvl w:val="1"/>
            </w:pPr>
            <w:r>
              <w:rPr>
                <w:rFonts w:ascii="仿宋_GB2312" w:hAnsi="仿宋_GB2312" w:cs="仿宋_GB2312" w:eastAsia="仿宋_GB2312"/>
                <w:sz w:val="32"/>
                <w:b/>
              </w:rPr>
              <w:t>9、</w:t>
            </w:r>
            <w:r>
              <w:rPr>
                <w:rFonts w:ascii="仿宋_GB2312" w:hAnsi="仿宋_GB2312" w:cs="仿宋_GB2312" w:eastAsia="仿宋_GB2312"/>
                <w:sz w:val="32"/>
                <w:b/>
              </w:rPr>
              <w:t>安全系统设计</w:t>
            </w:r>
          </w:p>
          <w:p>
            <w:pPr>
              <w:pStyle w:val="null3"/>
              <w:outlineLvl w:val="2"/>
            </w:pPr>
            <w:r>
              <w:rPr>
                <w:rFonts w:ascii="仿宋_GB2312" w:hAnsi="仿宋_GB2312" w:cs="仿宋_GB2312" w:eastAsia="仿宋_GB2312"/>
                <w:sz w:val="32"/>
                <w:b/>
              </w:rPr>
              <w:t>9.1</w:t>
            </w:r>
            <w:r>
              <w:rPr>
                <w:rFonts w:ascii="仿宋_GB2312" w:hAnsi="仿宋_GB2312" w:cs="仿宋_GB2312" w:eastAsia="仿宋_GB2312"/>
                <w:sz w:val="32"/>
                <w:b/>
              </w:rPr>
              <w:t>安全防护体系</w:t>
            </w:r>
          </w:p>
          <w:p>
            <w:pPr>
              <w:pStyle w:val="null3"/>
              <w:ind w:firstLine="640"/>
              <w:jc w:val="both"/>
            </w:pPr>
            <w:r>
              <w:rPr>
                <w:rFonts w:ascii="仿宋_GB2312" w:hAnsi="仿宋_GB2312" w:cs="仿宋_GB2312" w:eastAsia="仿宋_GB2312"/>
                <w:sz w:val="32"/>
              </w:rPr>
              <w:t>物理安全：机房符合三级等保要求，配备门禁、监控、消防、</w:t>
            </w:r>
            <w:r>
              <w:rPr>
                <w:rFonts w:ascii="仿宋_GB2312" w:hAnsi="仿宋_GB2312" w:cs="仿宋_GB2312" w:eastAsia="仿宋_GB2312"/>
                <w:sz w:val="32"/>
              </w:rPr>
              <w:t>UPS电源等设备，防止物理攻击与环境灾害。</w:t>
            </w:r>
          </w:p>
          <w:p>
            <w:pPr>
              <w:pStyle w:val="null3"/>
              <w:ind w:firstLine="640"/>
              <w:jc w:val="both"/>
            </w:pPr>
            <w:r>
              <w:rPr>
                <w:rFonts w:ascii="仿宋_GB2312" w:hAnsi="仿宋_GB2312" w:cs="仿宋_GB2312" w:eastAsia="仿宋_GB2312"/>
                <w:sz w:val="32"/>
              </w:rPr>
              <w:t>网络安全：部署防火墙、入侵检测</w:t>
            </w:r>
            <w:r>
              <w:rPr>
                <w:rFonts w:ascii="仿宋_GB2312" w:hAnsi="仿宋_GB2312" w:cs="仿宋_GB2312" w:eastAsia="仿宋_GB2312"/>
                <w:sz w:val="32"/>
              </w:rPr>
              <w:t>/防御系统（IDS/IPS）、网络审计系统、防病毒网关，阻断网络攻击与恶意代码。</w:t>
            </w:r>
          </w:p>
          <w:p>
            <w:pPr>
              <w:pStyle w:val="null3"/>
              <w:ind w:firstLine="640"/>
              <w:jc w:val="both"/>
            </w:pPr>
            <w:r>
              <w:rPr>
                <w:rFonts w:ascii="仿宋_GB2312" w:hAnsi="仿宋_GB2312" w:cs="仿宋_GB2312" w:eastAsia="仿宋_GB2312"/>
                <w:sz w:val="32"/>
              </w:rPr>
              <w:t>主机安全：服务器安装国产操作系统，启用安全加固措施，部署主机入侵检测系统，定期进行漏洞扫描与补丁更新。</w:t>
            </w:r>
          </w:p>
          <w:p>
            <w:pPr>
              <w:pStyle w:val="null3"/>
              <w:ind w:firstLine="640"/>
              <w:jc w:val="both"/>
            </w:pPr>
            <w:r>
              <w:rPr>
                <w:rFonts w:ascii="仿宋_GB2312" w:hAnsi="仿宋_GB2312" w:cs="仿宋_GB2312" w:eastAsia="仿宋_GB2312"/>
                <w:sz w:val="32"/>
              </w:rPr>
              <w:t>应用安全：采用代码审计、渗透测试等方式防范</w:t>
            </w:r>
            <w:r>
              <w:rPr>
                <w:rFonts w:ascii="仿宋_GB2312" w:hAnsi="仿宋_GB2312" w:cs="仿宋_GB2312" w:eastAsia="仿宋_GB2312"/>
                <w:sz w:val="32"/>
              </w:rPr>
              <w:t>SQL注入、XSS跨站脚本等安全漏洞，实现身份认证、权限分级控制。</w:t>
            </w:r>
          </w:p>
          <w:p>
            <w:pPr>
              <w:pStyle w:val="null3"/>
              <w:ind w:firstLine="640"/>
              <w:jc w:val="both"/>
            </w:pPr>
            <w:r>
              <w:rPr>
                <w:rFonts w:ascii="仿宋_GB2312" w:hAnsi="仿宋_GB2312" w:cs="仿宋_GB2312" w:eastAsia="仿宋_GB2312"/>
                <w:sz w:val="32"/>
              </w:rPr>
              <w:t>数据安全：敏感数据加密存储与传输，制定数据备份策略，建立数据访问审计日志，防止数据泄露与篡改。</w:t>
            </w:r>
          </w:p>
          <w:p>
            <w:pPr>
              <w:pStyle w:val="null3"/>
              <w:outlineLvl w:val="2"/>
            </w:pPr>
            <w:r>
              <w:rPr>
                <w:rFonts w:ascii="仿宋_GB2312" w:hAnsi="仿宋_GB2312" w:cs="仿宋_GB2312" w:eastAsia="仿宋_GB2312"/>
                <w:sz w:val="32"/>
                <w:b/>
              </w:rPr>
              <w:t>9.2</w:t>
            </w:r>
            <w:r>
              <w:rPr>
                <w:rFonts w:ascii="仿宋_GB2312" w:hAnsi="仿宋_GB2312" w:cs="仿宋_GB2312" w:eastAsia="仿宋_GB2312"/>
                <w:sz w:val="32"/>
                <w:b/>
              </w:rPr>
              <w:t>安全管理制度</w:t>
            </w:r>
          </w:p>
          <w:p>
            <w:pPr>
              <w:pStyle w:val="null3"/>
              <w:ind w:firstLine="640"/>
              <w:jc w:val="both"/>
            </w:pPr>
            <w:r>
              <w:rPr>
                <w:rFonts w:ascii="仿宋_GB2312" w:hAnsi="仿宋_GB2312" w:cs="仿宋_GB2312" w:eastAsia="仿宋_GB2312"/>
                <w:sz w:val="32"/>
              </w:rPr>
              <w:t>建立安全责任制度，明确各级人员安全职责。制定安全管理制度，包括账号密码管理、权限审批、安全审计、应急处置等规范。定期开展安全培训与应急演练，提升人员安全意识与应急处置能力。</w:t>
            </w:r>
          </w:p>
          <w:p>
            <w:pPr>
              <w:pStyle w:val="null3"/>
              <w:jc w:val="both"/>
              <w:outlineLvl w:val="1"/>
            </w:pPr>
            <w:r>
              <w:rPr>
                <w:rFonts w:ascii="仿宋_GB2312" w:hAnsi="仿宋_GB2312" w:cs="仿宋_GB2312" w:eastAsia="仿宋_GB2312"/>
                <w:sz w:val="32"/>
                <w:b/>
              </w:rPr>
              <w:t>10、</w:t>
            </w:r>
            <w:r>
              <w:rPr>
                <w:rFonts w:ascii="仿宋_GB2312" w:hAnsi="仿宋_GB2312" w:cs="仿宋_GB2312" w:eastAsia="仿宋_GB2312"/>
                <w:sz w:val="32"/>
                <w:b/>
              </w:rPr>
              <w:t>备份系统设计</w:t>
            </w:r>
          </w:p>
          <w:p>
            <w:pPr>
              <w:pStyle w:val="null3"/>
              <w:outlineLvl w:val="2"/>
            </w:pPr>
            <w:r>
              <w:rPr>
                <w:rFonts w:ascii="仿宋_GB2312" w:hAnsi="仿宋_GB2312" w:cs="仿宋_GB2312" w:eastAsia="仿宋_GB2312"/>
                <w:sz w:val="32"/>
                <w:b/>
              </w:rPr>
              <w:t>10.1</w:t>
            </w:r>
            <w:r>
              <w:rPr>
                <w:rFonts w:ascii="仿宋_GB2312" w:hAnsi="仿宋_GB2312" w:cs="仿宋_GB2312" w:eastAsia="仿宋_GB2312"/>
                <w:sz w:val="32"/>
                <w:b/>
              </w:rPr>
              <w:t>备份策略</w:t>
            </w:r>
          </w:p>
          <w:p>
            <w:pPr>
              <w:pStyle w:val="null3"/>
              <w:ind w:firstLine="640"/>
              <w:jc w:val="both"/>
            </w:pPr>
            <w:r>
              <w:rPr>
                <w:rFonts w:ascii="仿宋_GB2312" w:hAnsi="仿宋_GB2312" w:cs="仿宋_GB2312" w:eastAsia="仿宋_GB2312"/>
                <w:sz w:val="32"/>
              </w:rPr>
              <w:t>数据库：采用全量备份</w:t>
            </w:r>
            <w:r>
              <w:rPr>
                <w:rFonts w:ascii="仿宋_GB2312" w:hAnsi="仿宋_GB2312" w:cs="仿宋_GB2312" w:eastAsia="仿宋_GB2312"/>
                <w:sz w:val="32"/>
              </w:rPr>
              <w:t>+增量备份模式，全量备份每周1次，增量备份每日1次，备份数据保存≥30天。</w:t>
            </w:r>
          </w:p>
          <w:p>
            <w:pPr>
              <w:pStyle w:val="null3"/>
              <w:jc w:val="both"/>
            </w:pPr>
            <w:r>
              <w:rPr>
                <w:rFonts w:ascii="仿宋_GB2312" w:hAnsi="仿宋_GB2312" w:cs="仿宋_GB2312" w:eastAsia="仿宋_GB2312"/>
                <w:sz w:val="32"/>
              </w:rPr>
              <w:t>非结构化数据（录音、附件）：采用定时全量备份，每周</w:t>
            </w:r>
            <w:r>
              <w:rPr>
                <w:rFonts w:ascii="仿宋_GB2312" w:hAnsi="仿宋_GB2312" w:cs="仿宋_GB2312" w:eastAsia="仿宋_GB2312"/>
                <w:sz w:val="32"/>
              </w:rPr>
              <w:t>1次，备份数据保存≥90天。</w:t>
            </w:r>
          </w:p>
          <w:p>
            <w:pPr>
              <w:pStyle w:val="null3"/>
              <w:ind w:firstLine="640"/>
              <w:jc w:val="both"/>
            </w:pPr>
            <w:r>
              <w:rPr>
                <w:rFonts w:ascii="仿宋_GB2312" w:hAnsi="仿宋_GB2312" w:cs="仿宋_GB2312" w:eastAsia="仿宋_GB2312"/>
                <w:sz w:val="32"/>
              </w:rPr>
              <w:t>备份方式：本地备份与异地备份相结合，本地备份存储于本地磁盘阵列，异地备份存储于政务云备份中心。</w:t>
            </w:r>
          </w:p>
          <w:p>
            <w:pPr>
              <w:pStyle w:val="null3"/>
              <w:ind w:firstLine="640"/>
              <w:jc w:val="both"/>
            </w:pPr>
            <w:r>
              <w:rPr>
                <w:rFonts w:ascii="仿宋_GB2312" w:hAnsi="仿宋_GB2312" w:cs="仿宋_GB2312" w:eastAsia="仿宋_GB2312"/>
                <w:sz w:val="32"/>
              </w:rPr>
              <w:t>备份验证：每月进行</w:t>
            </w:r>
            <w:r>
              <w:rPr>
                <w:rFonts w:ascii="仿宋_GB2312" w:hAnsi="仿宋_GB2312" w:cs="仿宋_GB2312" w:eastAsia="仿宋_GB2312"/>
                <w:sz w:val="32"/>
              </w:rPr>
              <w:t>1次备份恢复测试，确保备份数据可正常恢复。</w:t>
            </w:r>
          </w:p>
          <w:p>
            <w:pPr>
              <w:pStyle w:val="null3"/>
              <w:outlineLvl w:val="2"/>
            </w:pPr>
            <w:r>
              <w:rPr>
                <w:rFonts w:ascii="仿宋_GB2312" w:hAnsi="仿宋_GB2312" w:cs="仿宋_GB2312" w:eastAsia="仿宋_GB2312"/>
                <w:sz w:val="32"/>
                <w:b/>
              </w:rPr>
              <w:t>10.2</w:t>
            </w:r>
            <w:r>
              <w:rPr>
                <w:rFonts w:ascii="仿宋_GB2312" w:hAnsi="仿宋_GB2312" w:cs="仿宋_GB2312" w:eastAsia="仿宋_GB2312"/>
                <w:sz w:val="32"/>
                <w:b/>
              </w:rPr>
              <w:t>恢复机制</w:t>
            </w:r>
          </w:p>
          <w:p>
            <w:pPr>
              <w:pStyle w:val="null3"/>
              <w:ind w:firstLine="640"/>
              <w:jc w:val="both"/>
            </w:pPr>
            <w:r>
              <w:rPr>
                <w:rFonts w:ascii="仿宋_GB2312" w:hAnsi="仿宋_GB2312" w:cs="仿宋_GB2312" w:eastAsia="仿宋_GB2312"/>
                <w:sz w:val="32"/>
              </w:rPr>
              <w:t>恢复流程：建立数据恢复应急预案，明确恢复流程、责任人员、恢复时限，确保故障后快速恢复数据。</w:t>
            </w:r>
          </w:p>
          <w:p>
            <w:pPr>
              <w:pStyle w:val="null3"/>
              <w:ind w:firstLine="640"/>
              <w:jc w:val="both"/>
            </w:pPr>
            <w:r>
              <w:rPr>
                <w:rFonts w:ascii="仿宋_GB2312" w:hAnsi="仿宋_GB2312" w:cs="仿宋_GB2312" w:eastAsia="仿宋_GB2312"/>
                <w:sz w:val="32"/>
              </w:rPr>
              <w:t>恢复级别：</w:t>
            </w:r>
          </w:p>
          <w:p>
            <w:pPr>
              <w:pStyle w:val="null3"/>
              <w:ind w:firstLine="640"/>
              <w:jc w:val="both"/>
            </w:pPr>
            <w:r>
              <w:rPr>
                <w:rFonts w:ascii="仿宋_GB2312" w:hAnsi="仿宋_GB2312" w:cs="仿宋_GB2312" w:eastAsia="仿宋_GB2312"/>
                <w:sz w:val="32"/>
              </w:rPr>
              <w:t>一级故障（核心数据丢失）：恢复时间</w:t>
            </w:r>
            <w:r>
              <w:rPr>
                <w:rFonts w:ascii="仿宋_GB2312" w:hAnsi="仿宋_GB2312" w:cs="仿宋_GB2312" w:eastAsia="仿宋_GB2312"/>
                <w:sz w:val="32"/>
              </w:rPr>
              <w:t>≤4小时。</w:t>
            </w:r>
          </w:p>
          <w:p>
            <w:pPr>
              <w:pStyle w:val="null3"/>
              <w:ind w:firstLine="640"/>
              <w:jc w:val="both"/>
            </w:pPr>
            <w:r>
              <w:rPr>
                <w:rFonts w:ascii="仿宋_GB2312" w:hAnsi="仿宋_GB2312" w:cs="仿宋_GB2312" w:eastAsia="仿宋_GB2312"/>
                <w:sz w:val="32"/>
              </w:rPr>
              <w:t>二级故障（部分数据丢失）：恢复时间</w:t>
            </w:r>
            <w:r>
              <w:rPr>
                <w:rFonts w:ascii="仿宋_GB2312" w:hAnsi="仿宋_GB2312" w:cs="仿宋_GB2312" w:eastAsia="仿宋_GB2312"/>
                <w:sz w:val="32"/>
              </w:rPr>
              <w:t>≤2小时。</w:t>
            </w:r>
          </w:p>
          <w:p>
            <w:pPr>
              <w:pStyle w:val="null3"/>
              <w:ind w:firstLine="640"/>
              <w:jc w:val="both"/>
            </w:pPr>
            <w:r>
              <w:rPr>
                <w:rFonts w:ascii="仿宋_GB2312" w:hAnsi="仿宋_GB2312" w:cs="仿宋_GB2312" w:eastAsia="仿宋_GB2312"/>
                <w:sz w:val="32"/>
              </w:rPr>
              <w:t>三级故障（单节点数据异常）：恢复时间</w:t>
            </w:r>
            <w:r>
              <w:rPr>
                <w:rFonts w:ascii="仿宋_GB2312" w:hAnsi="仿宋_GB2312" w:cs="仿宋_GB2312" w:eastAsia="仿宋_GB2312"/>
                <w:sz w:val="32"/>
              </w:rPr>
              <w:t>≤1小时。</w:t>
            </w:r>
          </w:p>
          <w:p>
            <w:pPr>
              <w:pStyle w:val="null3"/>
              <w:jc w:val="both"/>
              <w:outlineLvl w:val="1"/>
            </w:pPr>
            <w:r>
              <w:rPr>
                <w:rFonts w:ascii="仿宋_GB2312" w:hAnsi="仿宋_GB2312" w:cs="仿宋_GB2312" w:eastAsia="仿宋_GB2312"/>
                <w:sz w:val="32"/>
                <w:b/>
              </w:rPr>
              <w:t>11、</w:t>
            </w:r>
            <w:r>
              <w:rPr>
                <w:rFonts w:ascii="仿宋_GB2312" w:hAnsi="仿宋_GB2312" w:cs="仿宋_GB2312" w:eastAsia="仿宋_GB2312"/>
                <w:sz w:val="32"/>
                <w:b/>
              </w:rPr>
              <w:t>运行维护系统设计</w:t>
            </w:r>
          </w:p>
          <w:p>
            <w:pPr>
              <w:pStyle w:val="null3"/>
              <w:outlineLvl w:val="2"/>
            </w:pPr>
            <w:r>
              <w:rPr>
                <w:rFonts w:ascii="仿宋_GB2312" w:hAnsi="仿宋_GB2312" w:cs="仿宋_GB2312" w:eastAsia="仿宋_GB2312"/>
                <w:sz w:val="32"/>
                <w:b/>
              </w:rPr>
              <w:t>11.1</w:t>
            </w:r>
            <w:r>
              <w:rPr>
                <w:rFonts w:ascii="仿宋_GB2312" w:hAnsi="仿宋_GB2312" w:cs="仿宋_GB2312" w:eastAsia="仿宋_GB2312"/>
                <w:sz w:val="32"/>
                <w:b/>
              </w:rPr>
              <w:t>运维平台建设</w:t>
            </w:r>
          </w:p>
          <w:p>
            <w:pPr>
              <w:pStyle w:val="null3"/>
              <w:ind w:firstLine="640"/>
              <w:jc w:val="both"/>
            </w:pPr>
            <w:r>
              <w:rPr>
                <w:rFonts w:ascii="仿宋_GB2312" w:hAnsi="仿宋_GB2312" w:cs="仿宋_GB2312" w:eastAsia="仿宋_GB2312"/>
                <w:sz w:val="32"/>
              </w:rPr>
              <w:t>监控视频系统：部署服务器监控、网络监控、应用监控、数据库监控工具，实时监控视频系统运行状态，异常情况自动告警。</w:t>
            </w:r>
          </w:p>
          <w:p>
            <w:pPr>
              <w:pStyle w:val="null3"/>
              <w:ind w:firstLine="640"/>
              <w:jc w:val="both"/>
            </w:pPr>
            <w:r>
              <w:rPr>
                <w:rFonts w:ascii="仿宋_GB2312" w:hAnsi="仿宋_GB2312" w:cs="仿宋_GB2312" w:eastAsia="仿宋_GB2312"/>
                <w:sz w:val="32"/>
              </w:rPr>
              <w:t>日志管理：集中收集服务器日志、应用日志、安全日志、操作日志，支持日志检索、分析与审计。</w:t>
            </w:r>
          </w:p>
          <w:p>
            <w:pPr>
              <w:pStyle w:val="null3"/>
              <w:ind w:firstLine="640"/>
              <w:jc w:val="both"/>
            </w:pPr>
            <w:r>
              <w:rPr>
                <w:rFonts w:ascii="仿宋_GB2312" w:hAnsi="仿宋_GB2312" w:cs="仿宋_GB2312" w:eastAsia="仿宋_GB2312"/>
                <w:sz w:val="32"/>
              </w:rPr>
              <w:t>运维工具：配备远程维护工具、漏洞扫描工具、性能分析工具，提升运维效率。</w:t>
            </w:r>
          </w:p>
          <w:p>
            <w:pPr>
              <w:pStyle w:val="null3"/>
              <w:outlineLvl w:val="2"/>
            </w:pPr>
            <w:r>
              <w:rPr>
                <w:rFonts w:ascii="仿宋_GB2312" w:hAnsi="仿宋_GB2312" w:cs="仿宋_GB2312" w:eastAsia="仿宋_GB2312"/>
                <w:sz w:val="32"/>
                <w:b/>
              </w:rPr>
              <w:t>11.2</w:t>
            </w:r>
            <w:r>
              <w:rPr>
                <w:rFonts w:ascii="仿宋_GB2312" w:hAnsi="仿宋_GB2312" w:cs="仿宋_GB2312" w:eastAsia="仿宋_GB2312"/>
                <w:sz w:val="32"/>
                <w:b/>
              </w:rPr>
              <w:t>运维流程设计</w:t>
            </w:r>
          </w:p>
          <w:p>
            <w:pPr>
              <w:pStyle w:val="null3"/>
              <w:ind w:firstLine="640"/>
              <w:jc w:val="both"/>
            </w:pPr>
            <w:r>
              <w:rPr>
                <w:rFonts w:ascii="仿宋_GB2312" w:hAnsi="仿宋_GB2312" w:cs="仿宋_GB2312" w:eastAsia="仿宋_GB2312"/>
                <w:sz w:val="32"/>
              </w:rPr>
              <w:t>故障处理流程：受理故障报修</w:t>
            </w:r>
            <w:r>
              <w:rPr>
                <w:rFonts w:ascii="仿宋_GB2312" w:hAnsi="仿宋_GB2312" w:cs="仿宋_GB2312" w:eastAsia="仿宋_GB2312"/>
                <w:sz w:val="32"/>
              </w:rPr>
              <w:t>→故障诊断→故障处置→恢复验证→故障归档。</w:t>
            </w:r>
          </w:p>
          <w:p>
            <w:pPr>
              <w:pStyle w:val="null3"/>
              <w:ind w:firstLine="640"/>
              <w:jc w:val="both"/>
            </w:pPr>
            <w:r>
              <w:rPr>
                <w:rFonts w:ascii="仿宋_GB2312" w:hAnsi="仿宋_GB2312" w:cs="仿宋_GB2312" w:eastAsia="仿宋_GB2312"/>
                <w:sz w:val="32"/>
              </w:rPr>
              <w:t>变更管理流程：变更申请</w:t>
            </w:r>
            <w:r>
              <w:rPr>
                <w:rFonts w:ascii="仿宋_GB2312" w:hAnsi="仿宋_GB2312" w:cs="仿宋_GB2312" w:eastAsia="仿宋_GB2312"/>
                <w:sz w:val="32"/>
              </w:rPr>
              <w:t>→变更评审→变更实施→变更验证→变更归档。</w:t>
            </w:r>
          </w:p>
          <w:p>
            <w:pPr>
              <w:pStyle w:val="null3"/>
              <w:ind w:firstLine="640"/>
              <w:jc w:val="both"/>
            </w:pPr>
            <w:r>
              <w:rPr>
                <w:rFonts w:ascii="仿宋_GB2312" w:hAnsi="仿宋_GB2312" w:cs="仿宋_GB2312" w:eastAsia="仿宋_GB2312"/>
                <w:sz w:val="32"/>
              </w:rPr>
              <w:t>日常运维流程：定期巡检</w:t>
            </w:r>
            <w:r>
              <w:rPr>
                <w:rFonts w:ascii="仿宋_GB2312" w:hAnsi="仿宋_GB2312" w:cs="仿宋_GB2312" w:eastAsia="仿宋_GB2312"/>
                <w:sz w:val="32"/>
              </w:rPr>
              <w:t>→性能优化→补丁更新→数据备份→安全加固。</w:t>
            </w:r>
          </w:p>
          <w:p>
            <w:pPr>
              <w:pStyle w:val="null3"/>
              <w:jc w:val="both"/>
              <w:outlineLvl w:val="1"/>
            </w:pPr>
            <w:r>
              <w:rPr>
                <w:rFonts w:ascii="仿宋_GB2312" w:hAnsi="仿宋_GB2312" w:cs="仿宋_GB2312" w:eastAsia="仿宋_GB2312"/>
                <w:sz w:val="32"/>
                <w:b/>
              </w:rPr>
              <w:t>12、</w:t>
            </w:r>
            <w:r>
              <w:rPr>
                <w:rFonts w:ascii="仿宋_GB2312" w:hAnsi="仿宋_GB2312" w:cs="仿宋_GB2312" w:eastAsia="仿宋_GB2312"/>
                <w:sz w:val="32"/>
                <w:b/>
              </w:rPr>
              <w:t>信息系统整合设计</w:t>
            </w:r>
          </w:p>
          <w:p>
            <w:pPr>
              <w:pStyle w:val="null3"/>
              <w:ind w:firstLine="640"/>
              <w:jc w:val="both"/>
            </w:pPr>
            <w:r>
              <w:rPr>
                <w:rFonts w:ascii="仿宋_GB2312" w:hAnsi="仿宋_GB2312" w:cs="仿宋_GB2312" w:eastAsia="仿宋_GB2312"/>
                <w:sz w:val="32"/>
              </w:rPr>
              <w:t>系统整合目标：实现各应用系统数据互通、功能协同，避免信息孤岛，提升系统整体运行效率。</w:t>
            </w:r>
          </w:p>
          <w:p>
            <w:pPr>
              <w:pStyle w:val="null3"/>
              <w:ind w:firstLine="640"/>
              <w:jc w:val="both"/>
            </w:pPr>
            <w:r>
              <w:rPr>
                <w:rFonts w:ascii="仿宋_GB2312" w:hAnsi="仿宋_GB2312" w:cs="仿宋_GB2312" w:eastAsia="仿宋_GB2312"/>
                <w:sz w:val="32"/>
              </w:rPr>
              <w:t>整合方式：</w:t>
            </w:r>
          </w:p>
          <w:p>
            <w:pPr>
              <w:pStyle w:val="null3"/>
              <w:ind w:firstLine="640"/>
              <w:jc w:val="both"/>
            </w:pPr>
            <w:r>
              <w:rPr>
                <w:rFonts w:ascii="仿宋_GB2312" w:hAnsi="仿宋_GB2312" w:cs="仿宋_GB2312" w:eastAsia="仿宋_GB2312"/>
                <w:sz w:val="32"/>
              </w:rPr>
              <w:t>数据整合：通过数据交换平台，实现呼叫中心、工单管理、知识库、数据分析等系统数据统一存储与共享。</w:t>
            </w:r>
          </w:p>
          <w:p>
            <w:pPr>
              <w:pStyle w:val="null3"/>
              <w:ind w:firstLine="640"/>
              <w:jc w:val="both"/>
            </w:pPr>
            <w:r>
              <w:rPr>
                <w:rFonts w:ascii="仿宋_GB2312" w:hAnsi="仿宋_GB2312" w:cs="仿宋_GB2312" w:eastAsia="仿宋_GB2312"/>
                <w:sz w:val="32"/>
              </w:rPr>
              <w:t>功能整合：坐席工作台集成话务处理、工单录入、知识检索等功能，实现</w:t>
            </w:r>
            <w:r>
              <w:rPr>
                <w:rFonts w:ascii="仿宋_GB2312" w:hAnsi="仿宋_GB2312" w:cs="仿宋_GB2312" w:eastAsia="仿宋_GB2312"/>
                <w:sz w:val="32"/>
              </w:rPr>
              <w:t>“一站式”操作。</w:t>
            </w:r>
          </w:p>
          <w:p>
            <w:pPr>
              <w:pStyle w:val="null3"/>
              <w:ind w:firstLine="640"/>
              <w:jc w:val="both"/>
            </w:pPr>
            <w:r>
              <w:rPr>
                <w:rFonts w:ascii="仿宋_GB2312" w:hAnsi="仿宋_GB2312" w:cs="仿宋_GB2312" w:eastAsia="仿宋_GB2312"/>
                <w:sz w:val="32"/>
              </w:rPr>
              <w:t>界面整合：统一各系统操作界面风格，提供单点登录功能，方便用户操作。</w:t>
            </w:r>
          </w:p>
          <w:p>
            <w:pPr>
              <w:pStyle w:val="null3"/>
              <w:ind w:firstLine="640"/>
              <w:jc w:val="both"/>
            </w:pPr>
            <w:r>
              <w:rPr>
                <w:rFonts w:ascii="仿宋_GB2312" w:hAnsi="仿宋_GB2312" w:cs="仿宋_GB2312" w:eastAsia="仿宋_GB2312"/>
                <w:sz w:val="32"/>
              </w:rPr>
              <w:t>整合重点：与渭南市</w:t>
            </w:r>
            <w:r>
              <w:rPr>
                <w:rFonts w:ascii="仿宋_GB2312" w:hAnsi="仿宋_GB2312" w:cs="仿宋_GB2312" w:eastAsia="仿宋_GB2312"/>
                <w:sz w:val="32"/>
              </w:rPr>
              <w:t>12345平台的整合，确保工单数据、知识库数据同步一致；与政务云平台的整合，实现资源统一调度与安全联动。</w:t>
            </w:r>
          </w:p>
          <w:p>
            <w:pPr>
              <w:pStyle w:val="null3"/>
              <w:jc w:val="both"/>
              <w:outlineLvl w:val="1"/>
            </w:pPr>
            <w:r>
              <w:rPr>
                <w:rFonts w:ascii="仿宋_GB2312" w:hAnsi="仿宋_GB2312" w:cs="仿宋_GB2312" w:eastAsia="仿宋_GB2312"/>
                <w:sz w:val="32"/>
                <w:b/>
              </w:rPr>
              <w:t>13、</w:t>
            </w:r>
            <w:r>
              <w:rPr>
                <w:rFonts w:ascii="仿宋_GB2312" w:hAnsi="仿宋_GB2312" w:cs="仿宋_GB2312" w:eastAsia="仿宋_GB2312"/>
                <w:sz w:val="32"/>
                <w:b/>
              </w:rPr>
              <w:t>信息资源共享设计（提供目录清单和接口标准）</w:t>
            </w:r>
          </w:p>
          <w:p>
            <w:pPr>
              <w:pStyle w:val="null3"/>
              <w:outlineLvl w:val="2"/>
            </w:pPr>
            <w:r>
              <w:rPr>
                <w:rFonts w:ascii="仿宋_GB2312" w:hAnsi="仿宋_GB2312" w:cs="仿宋_GB2312" w:eastAsia="仿宋_GB2312"/>
                <w:sz w:val="32"/>
                <w:b/>
              </w:rPr>
              <w:t>13.1</w:t>
            </w:r>
            <w:r>
              <w:rPr>
                <w:rFonts w:ascii="仿宋_GB2312" w:hAnsi="仿宋_GB2312" w:cs="仿宋_GB2312" w:eastAsia="仿宋_GB2312"/>
                <w:sz w:val="32"/>
                <w:b/>
              </w:rPr>
              <w:t>共享目录清单</w:t>
            </w:r>
          </w:p>
          <w:tbl>
            <w:tblPr>
              <w:tblBorders>
                <w:top w:val="none" w:color="000000" w:sz="4"/>
                <w:left w:val="none" w:color="000000" w:sz="4"/>
                <w:bottom w:val="none" w:color="000000" w:sz="4"/>
                <w:right w:val="none" w:color="000000" w:sz="4"/>
                <w:insideH w:val="none"/>
                <w:insideV w:val="none"/>
              </w:tblBorders>
            </w:tblPr>
            <w:tblGrid>
              <w:gridCol w:w="379"/>
              <w:gridCol w:w="687"/>
              <w:gridCol w:w="616"/>
              <w:gridCol w:w="392"/>
              <w:gridCol w:w="464"/>
            </w:tblGrid>
            <w:tr>
              <w:tc>
                <w:tcPr>
                  <w:tcW w:type="dxa" w:w="37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数据类别</w:t>
                  </w:r>
                </w:p>
              </w:tc>
              <w:tc>
                <w:tcPr>
                  <w:tcW w:type="dxa" w:w="68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共享数据项</w:t>
                  </w:r>
                </w:p>
              </w:tc>
              <w:tc>
                <w:tcPr>
                  <w:tcW w:type="dxa" w:w="61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共享对象</w:t>
                  </w:r>
                </w:p>
              </w:tc>
              <w:tc>
                <w:tcPr>
                  <w:tcW w:type="dxa" w:w="39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共享方式</w:t>
                  </w:r>
                </w:p>
              </w:tc>
              <w:tc>
                <w:tcPr>
                  <w:tcW w:type="dxa" w:w="464"/>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共享权限</w:t>
                  </w:r>
                </w:p>
              </w:tc>
            </w:tr>
            <w:tr>
              <w:tc>
                <w:tcPr>
                  <w:tcW w:type="dxa" w:w="3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工单数据</w:t>
                  </w:r>
                </w:p>
              </w:tc>
              <w:tc>
                <w:tcPr>
                  <w:tcW w:type="dxa" w:w="68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工单编号、受理渠道、诉求分类、问题描述、受理时间、处理单位、处理状态、办结结果、满意度评价</w:t>
                  </w:r>
                </w:p>
              </w:tc>
              <w:tc>
                <w:tcPr>
                  <w:tcW w:type="dxa" w:w="61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渭南市</w:t>
                  </w:r>
                  <w:r>
                    <w:rPr>
                      <w:rFonts w:ascii="仿宋_GB2312" w:hAnsi="仿宋_GB2312" w:cs="仿宋_GB2312" w:eastAsia="仿宋_GB2312"/>
                      <w:sz w:val="32"/>
                      <w:color w:val="000000"/>
                    </w:rPr>
                    <w:t>12345平台、相关承办单位</w:t>
                  </w:r>
                </w:p>
              </w:tc>
              <w:tc>
                <w:tcPr>
                  <w:tcW w:type="dxa" w:w="39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实时同步、按需查询</w:t>
                  </w:r>
                </w:p>
              </w:tc>
              <w:tc>
                <w:tcPr>
                  <w:tcW w:type="dxa" w:w="4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只读</w:t>
                  </w:r>
                </w:p>
              </w:tc>
            </w:tr>
            <w:tr>
              <w:tc>
                <w:tcPr>
                  <w:tcW w:type="dxa" w:w="3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知识库数据</w:t>
                  </w:r>
                </w:p>
              </w:tc>
              <w:tc>
                <w:tcPr>
                  <w:tcW w:type="dxa" w:w="68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知识标题、分类、内容、关键词、更新时间</w:t>
                  </w:r>
                </w:p>
              </w:tc>
              <w:tc>
                <w:tcPr>
                  <w:tcW w:type="dxa" w:w="61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渭南市</w:t>
                  </w:r>
                  <w:r>
                    <w:rPr>
                      <w:rFonts w:ascii="仿宋_GB2312" w:hAnsi="仿宋_GB2312" w:cs="仿宋_GB2312" w:eastAsia="仿宋_GB2312"/>
                      <w:sz w:val="32"/>
                      <w:color w:val="000000"/>
                    </w:rPr>
                    <w:t>12345平台、坐席人员、公众（部分）</w:t>
                  </w:r>
                </w:p>
              </w:tc>
              <w:tc>
                <w:tcPr>
                  <w:tcW w:type="dxa" w:w="39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定时同步、公开查询</w:t>
                  </w:r>
                </w:p>
              </w:tc>
              <w:tc>
                <w:tcPr>
                  <w:tcW w:type="dxa" w:w="4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只读（公众）、读写（管理人员）</w:t>
                  </w:r>
                </w:p>
              </w:tc>
            </w:tr>
            <w:tr>
              <w:tc>
                <w:tcPr>
                  <w:tcW w:type="dxa" w:w="3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话务统计数据</w:t>
                  </w:r>
                </w:p>
              </w:tc>
              <w:tc>
                <w:tcPr>
                  <w:tcW w:type="dxa" w:w="68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呼入呼出量、接通率、平均通话时长、评价率</w:t>
                  </w:r>
                </w:p>
              </w:tc>
              <w:tc>
                <w:tcPr>
                  <w:tcW w:type="dxa" w:w="61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渭南市</w:t>
                  </w:r>
                  <w:r>
                    <w:rPr>
                      <w:rFonts w:ascii="仿宋_GB2312" w:hAnsi="仿宋_GB2312" w:cs="仿宋_GB2312" w:eastAsia="仿宋_GB2312"/>
                      <w:sz w:val="32"/>
                      <w:color w:val="000000"/>
                    </w:rPr>
                    <w:t>12345平台、管理人员</w:t>
                  </w:r>
                </w:p>
              </w:tc>
              <w:tc>
                <w:tcPr>
                  <w:tcW w:type="dxa" w:w="39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定时上报</w:t>
                  </w:r>
                </w:p>
              </w:tc>
              <w:tc>
                <w:tcPr>
                  <w:tcW w:type="dxa" w:w="4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只读</w:t>
                  </w:r>
                </w:p>
              </w:tc>
            </w:tr>
            <w:tr>
              <w:tc>
                <w:tcPr>
                  <w:tcW w:type="dxa" w:w="3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基础数据</w:t>
                  </w:r>
                </w:p>
              </w:tc>
              <w:tc>
                <w:tcPr>
                  <w:tcW w:type="dxa" w:w="68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部门信息、人员信息、业务分类字典</w:t>
                  </w:r>
                </w:p>
              </w:tc>
              <w:tc>
                <w:tcPr>
                  <w:tcW w:type="dxa" w:w="61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相关承办单位</w:t>
                  </w:r>
                </w:p>
              </w:tc>
              <w:tc>
                <w:tcPr>
                  <w:tcW w:type="dxa" w:w="39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按需查询</w:t>
                  </w:r>
                </w:p>
              </w:tc>
              <w:tc>
                <w:tcPr>
                  <w:tcW w:type="dxa" w:w="4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只读</w:t>
                  </w:r>
                </w:p>
              </w:tc>
            </w:tr>
          </w:tbl>
          <w:p>
            <w:pPr>
              <w:pStyle w:val="null3"/>
              <w:outlineLvl w:val="2"/>
            </w:pPr>
            <w:r>
              <w:rPr>
                <w:rFonts w:ascii="仿宋_GB2312" w:hAnsi="仿宋_GB2312" w:cs="仿宋_GB2312" w:eastAsia="仿宋_GB2312"/>
                <w:sz w:val="32"/>
                <w:b/>
              </w:rPr>
              <w:t>13.2</w:t>
            </w:r>
            <w:r>
              <w:rPr>
                <w:rFonts w:ascii="仿宋_GB2312" w:hAnsi="仿宋_GB2312" w:cs="仿宋_GB2312" w:eastAsia="仿宋_GB2312"/>
                <w:sz w:val="32"/>
                <w:b/>
              </w:rPr>
              <w:t>接口标准</w:t>
            </w:r>
          </w:p>
          <w:p>
            <w:pPr>
              <w:pStyle w:val="null3"/>
              <w:ind w:firstLine="640"/>
              <w:jc w:val="both"/>
            </w:pPr>
            <w:r>
              <w:rPr>
                <w:rFonts w:ascii="仿宋_GB2312" w:hAnsi="仿宋_GB2312" w:cs="仿宋_GB2312" w:eastAsia="仿宋_GB2312"/>
                <w:sz w:val="32"/>
              </w:rPr>
              <w:t>接口类型：</w:t>
            </w:r>
            <w:r>
              <w:rPr>
                <w:rFonts w:ascii="仿宋_GB2312" w:hAnsi="仿宋_GB2312" w:cs="仿宋_GB2312" w:eastAsia="仿宋_GB2312"/>
                <w:sz w:val="32"/>
              </w:rPr>
              <w:t>API。</w:t>
            </w:r>
          </w:p>
          <w:p>
            <w:pPr>
              <w:pStyle w:val="null3"/>
              <w:ind w:firstLine="640"/>
              <w:jc w:val="both"/>
            </w:pPr>
            <w:r>
              <w:rPr>
                <w:rFonts w:ascii="仿宋_GB2312" w:hAnsi="仿宋_GB2312" w:cs="仿宋_GB2312" w:eastAsia="仿宋_GB2312"/>
                <w:sz w:val="32"/>
              </w:rPr>
              <w:t>数据格式：</w:t>
            </w:r>
            <w:r>
              <w:rPr>
                <w:rFonts w:ascii="仿宋_GB2312" w:hAnsi="仿宋_GB2312" w:cs="仿宋_GB2312" w:eastAsia="仿宋_GB2312"/>
                <w:sz w:val="32"/>
              </w:rPr>
              <w:t>JSON。</w:t>
            </w:r>
          </w:p>
          <w:p>
            <w:pPr>
              <w:pStyle w:val="null3"/>
              <w:ind w:firstLine="640"/>
              <w:jc w:val="both"/>
            </w:pPr>
            <w:r>
              <w:rPr>
                <w:rFonts w:ascii="仿宋_GB2312" w:hAnsi="仿宋_GB2312" w:cs="仿宋_GB2312" w:eastAsia="仿宋_GB2312"/>
                <w:sz w:val="32"/>
              </w:rPr>
              <w:t>编码格式：</w:t>
            </w:r>
            <w:r>
              <w:rPr>
                <w:rFonts w:ascii="仿宋_GB2312" w:hAnsi="仿宋_GB2312" w:cs="仿宋_GB2312" w:eastAsia="仿宋_GB2312"/>
                <w:sz w:val="32"/>
              </w:rPr>
              <w:t>UTF-8。</w:t>
            </w:r>
          </w:p>
          <w:p>
            <w:pPr>
              <w:pStyle w:val="null3"/>
              <w:ind w:firstLine="640"/>
              <w:jc w:val="both"/>
            </w:pPr>
            <w:r>
              <w:rPr>
                <w:rFonts w:ascii="仿宋_GB2312" w:hAnsi="仿宋_GB2312" w:cs="仿宋_GB2312" w:eastAsia="仿宋_GB2312"/>
                <w:sz w:val="32"/>
              </w:rPr>
              <w:t>加密方式：</w:t>
            </w:r>
            <w:r>
              <w:rPr>
                <w:rFonts w:ascii="仿宋_GB2312" w:hAnsi="仿宋_GB2312" w:cs="仿宋_GB2312" w:eastAsia="仿宋_GB2312"/>
                <w:sz w:val="32"/>
              </w:rPr>
              <w:t>HTTPS+Token认证。</w:t>
            </w:r>
          </w:p>
          <w:p>
            <w:pPr>
              <w:pStyle w:val="null3"/>
              <w:ind w:firstLine="640"/>
              <w:jc w:val="both"/>
            </w:pPr>
            <w:r>
              <w:rPr>
                <w:rFonts w:ascii="仿宋_GB2312" w:hAnsi="仿宋_GB2312" w:cs="仿宋_GB2312" w:eastAsia="仿宋_GB2312"/>
                <w:sz w:val="32"/>
              </w:rPr>
              <w:t>响应时效：</w:t>
            </w:r>
            <w:r>
              <w:rPr>
                <w:rFonts w:ascii="仿宋_GB2312" w:hAnsi="仿宋_GB2312" w:cs="仿宋_GB2312" w:eastAsia="仿宋_GB2312"/>
                <w:sz w:val="32"/>
              </w:rPr>
              <w:t>≤300ms。</w:t>
            </w:r>
          </w:p>
          <w:p>
            <w:pPr>
              <w:pStyle w:val="null3"/>
              <w:ind w:firstLine="640"/>
              <w:jc w:val="both"/>
            </w:pPr>
            <w:r>
              <w:rPr>
                <w:rFonts w:ascii="仿宋_GB2312" w:hAnsi="仿宋_GB2312" w:cs="仿宋_GB2312" w:eastAsia="仿宋_GB2312"/>
                <w:sz w:val="32"/>
              </w:rPr>
              <w:t>错误码规范：采用</w:t>
            </w:r>
            <w:r>
              <w:rPr>
                <w:rFonts w:ascii="仿宋_GB2312" w:hAnsi="仿宋_GB2312" w:cs="仿宋_GB2312" w:eastAsia="仿宋_GB2312"/>
                <w:sz w:val="32"/>
              </w:rPr>
              <w:t>6位数字错误码，前2位表示错误类型（01-系统错误、02-参数错误、03-权限错误等），后4位表示具体错误信息。</w:t>
            </w:r>
          </w:p>
          <w:p>
            <w:pPr>
              <w:pStyle w:val="null3"/>
              <w:ind w:firstLine="640"/>
              <w:jc w:val="both"/>
            </w:pPr>
            <w:r>
              <w:rPr>
                <w:rFonts w:ascii="仿宋_GB2312" w:hAnsi="仿宋_GB2312" w:cs="仿宋_GB2312" w:eastAsia="仿宋_GB2312"/>
                <w:sz w:val="32"/>
              </w:rPr>
              <w:t>请求参数：工单编号、诉求人信息、诉求内容、受理时间、处理状态等</w:t>
            </w:r>
          </w:p>
          <w:p>
            <w:pPr>
              <w:pStyle w:val="null3"/>
              <w:ind w:firstLine="640"/>
              <w:jc w:val="both"/>
            </w:pPr>
            <w:r>
              <w:rPr>
                <w:rFonts w:ascii="仿宋_GB2312" w:hAnsi="仿宋_GB2312" w:cs="仿宋_GB2312" w:eastAsia="仿宋_GB2312"/>
                <w:sz w:val="32"/>
              </w:rPr>
              <w:t>响应参数：同步状态（成功</w:t>
            </w:r>
            <w:r>
              <w:rPr>
                <w:rFonts w:ascii="仿宋_GB2312" w:hAnsi="仿宋_GB2312" w:cs="仿宋_GB2312" w:eastAsia="仿宋_GB2312"/>
                <w:sz w:val="32"/>
              </w:rPr>
              <w:t>/失败）、错误信息（失败时返回）</w:t>
            </w:r>
          </w:p>
          <w:p>
            <w:pPr>
              <w:pStyle w:val="null3"/>
              <w:jc w:val="both"/>
              <w:outlineLvl w:val="1"/>
            </w:pPr>
            <w:r>
              <w:rPr>
                <w:rFonts w:ascii="仿宋_GB2312" w:hAnsi="仿宋_GB2312" w:cs="仿宋_GB2312" w:eastAsia="仿宋_GB2312"/>
                <w:sz w:val="32"/>
                <w:b/>
              </w:rPr>
              <w:t>14、</w:t>
            </w:r>
            <w:r>
              <w:rPr>
                <w:rFonts w:ascii="仿宋_GB2312" w:hAnsi="仿宋_GB2312" w:cs="仿宋_GB2312" w:eastAsia="仿宋_GB2312"/>
                <w:sz w:val="32"/>
                <w:b/>
              </w:rPr>
              <w:t>系统配置及软硬件选型原则</w:t>
            </w:r>
          </w:p>
          <w:p>
            <w:pPr>
              <w:pStyle w:val="null3"/>
              <w:ind w:firstLine="640"/>
              <w:jc w:val="both"/>
            </w:pPr>
            <w:r>
              <w:rPr>
                <w:rFonts w:ascii="仿宋_GB2312" w:hAnsi="仿宋_GB2312" w:cs="仿宋_GB2312" w:eastAsia="仿宋_GB2312"/>
                <w:sz w:val="32"/>
              </w:rPr>
              <w:t>国产化优先原则：优先选择通过国产化适配认证的软硬件产品，满足安全可靠要求。</w:t>
            </w:r>
          </w:p>
          <w:p>
            <w:pPr>
              <w:pStyle w:val="null3"/>
              <w:ind w:firstLine="640"/>
              <w:jc w:val="both"/>
            </w:pPr>
            <w:r>
              <w:rPr>
                <w:rFonts w:ascii="仿宋_GB2312" w:hAnsi="仿宋_GB2312" w:cs="仿宋_GB2312" w:eastAsia="仿宋_GB2312"/>
                <w:sz w:val="32"/>
              </w:rPr>
              <w:t>兼容性原则：所选产品需与现有系统、政务云平台兼容，支持后续扩展。</w:t>
            </w:r>
          </w:p>
          <w:p>
            <w:pPr>
              <w:pStyle w:val="null3"/>
              <w:ind w:firstLine="640"/>
              <w:jc w:val="both"/>
            </w:pPr>
            <w:r>
              <w:rPr>
                <w:rFonts w:ascii="仿宋_GB2312" w:hAnsi="仿宋_GB2312" w:cs="仿宋_GB2312" w:eastAsia="仿宋_GB2312"/>
                <w:sz w:val="32"/>
              </w:rPr>
              <w:t>性能适配原则：硬件性能需满足系统并发处理、数据存储等需求，软件功能需匹配业务场景。</w:t>
            </w:r>
          </w:p>
          <w:p>
            <w:pPr>
              <w:pStyle w:val="null3"/>
              <w:ind w:firstLine="640"/>
              <w:jc w:val="both"/>
            </w:pPr>
            <w:r>
              <w:rPr>
                <w:rFonts w:ascii="仿宋_GB2312" w:hAnsi="仿宋_GB2312" w:cs="仿宋_GB2312" w:eastAsia="仿宋_GB2312"/>
                <w:sz w:val="32"/>
              </w:rPr>
              <w:t>安全性原则：产品需具备完善的安全防护功能，符合三级等保要求。</w:t>
            </w:r>
          </w:p>
          <w:p>
            <w:pPr>
              <w:pStyle w:val="null3"/>
              <w:ind w:firstLine="640"/>
              <w:jc w:val="both"/>
            </w:pPr>
            <w:r>
              <w:rPr>
                <w:rFonts w:ascii="仿宋_GB2312" w:hAnsi="仿宋_GB2312" w:cs="仿宋_GB2312" w:eastAsia="仿宋_GB2312"/>
                <w:sz w:val="32"/>
              </w:rPr>
              <w:t>性价比原则：在满足功能与性能要求的前提下，选择性价比高的产品，控制建设成本。</w:t>
            </w:r>
          </w:p>
          <w:p>
            <w:pPr>
              <w:pStyle w:val="null3"/>
              <w:ind w:firstLine="640"/>
              <w:jc w:val="both"/>
            </w:pPr>
            <w:r>
              <w:rPr>
                <w:rFonts w:ascii="仿宋_GB2312" w:hAnsi="仿宋_GB2312" w:cs="仿宋_GB2312" w:eastAsia="仿宋_GB2312"/>
                <w:sz w:val="32"/>
              </w:rPr>
              <w:t>服务保障原则：选择具备良好售后服务、技术支持能力的厂商，确保系统稳定运行。</w:t>
            </w:r>
          </w:p>
          <w:p>
            <w:pPr>
              <w:pStyle w:val="null3"/>
              <w:jc w:val="both"/>
              <w:outlineLvl w:val="1"/>
            </w:pPr>
            <w:r>
              <w:rPr>
                <w:rFonts w:ascii="仿宋_GB2312" w:hAnsi="仿宋_GB2312" w:cs="仿宋_GB2312" w:eastAsia="仿宋_GB2312"/>
                <w:sz w:val="32"/>
                <w:b/>
              </w:rPr>
              <w:t>15、</w:t>
            </w:r>
            <w:r>
              <w:rPr>
                <w:rFonts w:ascii="仿宋_GB2312" w:hAnsi="仿宋_GB2312" w:cs="仿宋_GB2312" w:eastAsia="仿宋_GB2312"/>
                <w:sz w:val="32"/>
                <w:b/>
              </w:rPr>
              <w:t>系统软硬件配置清单（政务云需求）</w:t>
            </w:r>
          </w:p>
          <w:p>
            <w:pPr>
              <w:pStyle w:val="null3"/>
              <w:ind w:firstLine="640"/>
              <w:jc w:val="both"/>
            </w:pPr>
            <w:r>
              <w:rPr>
                <w:rFonts w:ascii="仿宋_GB2312" w:hAnsi="仿宋_GB2312" w:cs="仿宋_GB2312" w:eastAsia="仿宋_GB2312"/>
                <w:sz w:val="32"/>
              </w:rPr>
              <w:t>统一规划，构建政府上云管理架构及制度标准，实现互联互通的</w:t>
            </w:r>
            <w:r>
              <w:rPr>
                <w:rFonts w:ascii="仿宋_GB2312" w:hAnsi="仿宋_GB2312" w:cs="仿宋_GB2312" w:eastAsia="仿宋_GB2312"/>
                <w:sz w:val="32"/>
              </w:rPr>
              <w:t>“政务上云”安全管理框架，将政务服务热线平台部署在政务云系统内，在满足热线平台的通信、数据分析、及业务应用能力。</w:t>
            </w:r>
          </w:p>
          <w:tbl>
            <w:tblPr>
              <w:tblBorders>
                <w:top w:val="none" w:color="000000" w:sz="4"/>
                <w:left w:val="none" w:color="000000" w:sz="4"/>
                <w:bottom w:val="none" w:color="000000" w:sz="4"/>
                <w:right w:val="none" w:color="000000" w:sz="4"/>
                <w:insideH w:val="none"/>
                <w:insideV w:val="none"/>
              </w:tblBorders>
            </w:tblPr>
            <w:tblGrid>
              <w:gridCol w:w="151"/>
              <w:gridCol w:w="235"/>
              <w:gridCol w:w="371"/>
              <w:gridCol w:w="1534"/>
              <w:gridCol w:w="131"/>
              <w:gridCol w:w="119"/>
            </w:tblGrid>
            <w:tr>
              <w:tc>
                <w:tcPr>
                  <w:tcW w:type="dxa" w:w="151"/>
                  <w:vMerge w:val="restart"/>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序号</w:t>
                  </w:r>
                </w:p>
              </w:tc>
              <w:tc>
                <w:tcPr>
                  <w:tcW w:type="dxa" w:w="606"/>
                  <w:gridSpan w:val="2"/>
                  <w:vMerge w:val="restart"/>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系统名称</w:t>
                  </w:r>
                </w:p>
              </w:tc>
              <w:tc>
                <w:tcPr>
                  <w:tcW w:type="dxa" w:w="1534"/>
                  <w:vMerge w:val="restart"/>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建设内容概述</w:t>
                  </w:r>
                </w:p>
              </w:tc>
              <w:tc>
                <w:tcPr>
                  <w:tcW w:type="dxa" w:w="131"/>
                  <w:vMerge w:val="restart"/>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数量</w:t>
                  </w:r>
                </w:p>
              </w:tc>
              <w:tc>
                <w:tcPr>
                  <w:tcW w:type="dxa" w:w="119"/>
                  <w:vMerge w:val="restart"/>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单位</w:t>
                  </w:r>
                </w:p>
              </w:tc>
            </w:tr>
            <w:tr>
              <w:tc>
                <w:tcPr>
                  <w:tcW w:type="dxa" w:w="151"/>
                  <w:vMerge/>
                  <w:tcBorders>
                    <w:top w:val="single" w:color="000000" w:sz="4"/>
                    <w:left w:val="single" w:color="000000" w:sz="4"/>
                    <w:bottom w:val="single" w:color="000000" w:sz="4"/>
                    <w:right w:val="single" w:color="000000" w:sz="4"/>
                  </w:tcBorders>
                </w:tcPr>
                <w:p/>
              </w:tc>
              <w:tc>
                <w:tcPr>
                  <w:tcW w:type="dxa" w:w="606"/>
                  <w:gridSpan w:val="2"/>
                  <w:vMerge/>
                  <w:tcBorders>
                    <w:top w:val="single" w:color="000000" w:sz="4"/>
                    <w:left w:val="single" w:color="000000" w:sz="4"/>
                    <w:bottom w:val="single" w:color="000000" w:sz="4"/>
                    <w:right w:val="single" w:color="000000" w:sz="4"/>
                  </w:tcBorders>
                </w:tcPr>
                <w:p/>
              </w:tc>
              <w:tc>
                <w:tcPr>
                  <w:tcW w:type="dxa" w:w="1534"/>
                  <w:vMerge/>
                  <w:tcBorders>
                    <w:top w:val="singl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235"/>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话务管理系统</w:t>
                  </w: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语音接入授权</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支持</w:t>
                  </w:r>
                  <w:r>
                    <w:rPr>
                      <w:rFonts w:ascii="仿宋_GB2312" w:hAnsi="仿宋_GB2312" w:cs="仿宋_GB2312" w:eastAsia="仿宋_GB2312"/>
                      <w:sz w:val="32"/>
                      <w:color w:val="000000"/>
                    </w:rPr>
                    <w:t>1E1（30路并发）线路接入授权；</w:t>
                  </w:r>
                </w:p>
              </w:tc>
              <w:tc>
                <w:tcPr>
                  <w:tcW w:type="dxa" w:w="13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vMerge w:val="restart"/>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2</w:t>
                  </w:r>
                </w:p>
              </w:tc>
              <w:tc>
                <w:tcPr>
                  <w:tcW w:type="dxa" w:w="235"/>
                  <w:vMerge/>
                  <w:tcBorders>
                    <w:top w:val="none" w:color="000000" w:sz="4"/>
                    <w:left w:val="single" w:color="000000" w:sz="4"/>
                    <w:bottom w:val="single" w:color="000000" w:sz="4"/>
                    <w:right w:val="single" w:color="000000" w:sz="4"/>
                  </w:tcBorders>
                </w:tcPr>
                <w:p/>
              </w:tc>
              <w:tc>
                <w:tcPr>
                  <w:tcW w:type="dxa" w:w="37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话务分机管理</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话务分机实时状态监控管理，</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vMerge/>
                  <w:tcBorders>
                    <w:top w:val="none" w:color="000000" w:sz="4"/>
                    <w:left w:val="single" w:color="000000" w:sz="4"/>
                    <w:bottom w:val="single" w:color="000000" w:sz="4"/>
                    <w:right w:val="single" w:color="000000" w:sz="4"/>
                  </w:tcBorders>
                </w:tcP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支持对分机进行添加、配置、修改、删除操作；</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3</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分机分组设置与管理，包括分机号码、分组名称、分组类型、分组成员；</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vMerge/>
                  <w:tcBorders>
                    <w:top w:val="none" w:color="000000" w:sz="4"/>
                    <w:left w:val="single" w:color="000000" w:sz="4"/>
                    <w:bottom w:val="single" w:color="000000" w:sz="4"/>
                    <w:right w:val="single" w:color="000000" w:sz="4"/>
                  </w:tcBorders>
                </w:tcP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支持对分机分组进行添加、修改、删除操作；</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4</w:t>
                  </w:r>
                </w:p>
              </w:tc>
              <w:tc>
                <w:tcPr>
                  <w:tcW w:type="dxa" w:w="235"/>
                  <w:vMerge/>
                  <w:tcBorders>
                    <w:top w:val="none" w:color="000000" w:sz="4"/>
                    <w:left w:val="single" w:color="000000" w:sz="4"/>
                    <w:bottom w:val="single" w:color="000000" w:sz="4"/>
                    <w:right w:val="single" w:color="000000" w:sz="4"/>
                  </w:tcBorders>
                </w:tcPr>
                <w:p/>
              </w:tc>
              <w:tc>
                <w:tcPr>
                  <w:tcW w:type="dxa" w:w="37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智能路由管理（</w:t>
                  </w:r>
                  <w:r>
                    <w:rPr>
                      <w:rFonts w:ascii="仿宋_GB2312" w:hAnsi="仿宋_GB2312" w:cs="仿宋_GB2312" w:eastAsia="仿宋_GB2312"/>
                      <w:sz w:val="32"/>
                      <w:color w:val="000000"/>
                    </w:rPr>
                    <w:t>ACD）</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对分机路由开始结束时间、业务类型、处理参数进行管理配置；</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vMerge/>
                  <w:tcBorders>
                    <w:top w:val="none" w:color="000000" w:sz="4"/>
                    <w:left w:val="single" w:color="000000" w:sz="4"/>
                    <w:bottom w:val="single" w:color="000000" w:sz="4"/>
                    <w:right w:val="single" w:color="000000" w:sz="4"/>
                  </w:tcBorders>
                </w:tcP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支持对分机路由情况进行添加、复制、修改、删除操作；</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5</w:t>
                  </w:r>
                </w:p>
              </w:tc>
              <w:tc>
                <w:tcPr>
                  <w:tcW w:type="dxa" w:w="235"/>
                  <w:vMerge/>
                  <w:tcBorders>
                    <w:top w:val="none" w:color="000000" w:sz="4"/>
                    <w:left w:val="single" w:color="000000" w:sz="4"/>
                    <w:bottom w:val="single" w:color="000000" w:sz="4"/>
                    <w:right w:val="single" w:color="000000" w:sz="4"/>
                  </w:tcBorders>
                </w:tcPr>
                <w:p/>
              </w:tc>
              <w:tc>
                <w:tcPr>
                  <w:tcW w:type="dxa" w:w="37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交互语音导航管理（</w:t>
                  </w:r>
                  <w:r>
                    <w:rPr>
                      <w:rFonts w:ascii="仿宋_GB2312" w:hAnsi="仿宋_GB2312" w:cs="仿宋_GB2312" w:eastAsia="仿宋_GB2312"/>
                      <w:sz w:val="32"/>
                      <w:color w:val="000000"/>
                    </w:rPr>
                    <w:t>IVR）</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管理录制语音文件、按标题、描述内容列表展示；</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vMerge/>
                  <w:tcBorders>
                    <w:top w:val="none" w:color="000000" w:sz="4"/>
                    <w:left w:val="single" w:color="000000" w:sz="4"/>
                    <w:bottom w:val="single" w:color="000000" w:sz="4"/>
                    <w:right w:val="single" w:color="000000" w:sz="4"/>
                  </w:tcBorders>
                </w:tcP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支持对语音文件进行新建、播放、下载、修改、删除操作；</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vMerge/>
                  <w:tcBorders>
                    <w:top w:val="none" w:color="000000" w:sz="4"/>
                    <w:left w:val="single" w:color="000000" w:sz="4"/>
                    <w:bottom w:val="single" w:color="000000" w:sz="4"/>
                    <w:right w:val="single" w:color="000000" w:sz="4"/>
                  </w:tcBorders>
                </w:tcP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支持语音文件上传；</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vMerge/>
                  <w:tcBorders>
                    <w:top w:val="none" w:color="000000" w:sz="4"/>
                    <w:left w:val="single" w:color="000000" w:sz="4"/>
                    <w:bottom w:val="single" w:color="000000" w:sz="4"/>
                    <w:right w:val="single" w:color="000000" w:sz="4"/>
                  </w:tcBorders>
                </w:tcP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管理语音菜单，按标题、描述内容列表展示；</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vMerge/>
                  <w:tcBorders>
                    <w:top w:val="none" w:color="000000" w:sz="4"/>
                    <w:left w:val="single" w:color="000000" w:sz="4"/>
                    <w:bottom w:val="single" w:color="000000" w:sz="4"/>
                    <w:right w:val="single" w:color="000000" w:sz="4"/>
                  </w:tcBorders>
                </w:tcP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支持对语音菜单进行修改、节点编辑、删除操作；</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6</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提示音管理</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对转话等待音、排队等待音、保持等待音、分机忙提示音、振铃超时前转提示音、分机振铃超时提示音、接通之前评价提示音、坐席挂机后评价提示音、客户评价后的感谢语音等进行配置；</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7</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通话录音管理</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全程通话录音录制、录音存储功能、录音变音处理、录音数据加密，支持</w:t>
                  </w:r>
                  <w:r>
                    <w:rPr>
                      <w:rFonts w:ascii="仿宋_GB2312" w:hAnsi="仿宋_GB2312" w:cs="仿宋_GB2312" w:eastAsia="仿宋_GB2312"/>
                      <w:sz w:val="32"/>
                      <w:color w:val="000000"/>
                    </w:rPr>
                    <w:t>wav格式存储、支持中继录音、支持内线坐席录音、支持三方通话录音、支持录音查询、下载、放音；</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8</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坐席软件应用</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支持来电号码听取、来电等待、来电弹屏、转接及随路转移；支持座席端注册注销、小休恢复、保持释放、来电号码显示、状态显示、坐席电话转接、坐席外拨、自动报工号、话后处理功能；支持黑名单管理；支持客户满意度评价应用；</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9</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坐席授权</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坐席软件授权</w:t>
                  </w:r>
                  <w:r>
                    <w:rPr>
                      <w:rFonts w:ascii="仿宋_GB2312" w:hAnsi="仿宋_GB2312" w:cs="仿宋_GB2312" w:eastAsia="仿宋_GB2312"/>
                      <w:sz w:val="32"/>
                      <w:color w:val="000000"/>
                    </w:rPr>
                    <w:t>License</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10</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个</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10</w:t>
                  </w:r>
                </w:p>
              </w:tc>
              <w:tc>
                <w:tcPr>
                  <w:tcW w:type="dxa" w:w="235"/>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接线台席</w:t>
                  </w:r>
                </w:p>
              </w:tc>
              <w:tc>
                <w:tcPr>
                  <w:tcW w:type="dxa" w:w="37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数据随路转接</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导播台监控：话务受理人员可实时监控导播台的状态，根据导播台的状态实现是否电话转接的操作。</w:t>
                  </w:r>
                </w:p>
              </w:tc>
              <w:tc>
                <w:tcPr>
                  <w:tcW w:type="dxa" w:w="13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11</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转接导播：导播台在空闲状态下进行电话转接和主叫号码传递功能。</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12</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数据转接：电话转接成功后可将暂存的工单数据传递到导播台，并可自动空闲，接听下一通电话。</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13</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弹屏加载：导播台接到转接电话后自动弹屏，并加载转接前暂存的工单数据。</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14</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通话导播：导播台可将电话导播给接线领导，并可协助领导完成工单登记。</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15</w:t>
                  </w:r>
                </w:p>
              </w:tc>
              <w:tc>
                <w:tcPr>
                  <w:tcW w:type="dxa" w:w="235"/>
                  <w:vMerge/>
                  <w:tcBorders>
                    <w:top w:val="none" w:color="000000" w:sz="4"/>
                    <w:left w:val="single" w:color="000000" w:sz="4"/>
                    <w:bottom w:val="single" w:color="000000" w:sz="4"/>
                    <w:right w:val="single" w:color="000000" w:sz="4"/>
                  </w:tcBorders>
                </w:tcPr>
                <w:p/>
              </w:tc>
              <w:tc>
                <w:tcPr>
                  <w:tcW w:type="dxa" w:w="37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导播提词器</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提词器：为接线领导设计专用提词器，显示群众的诉求内容和导播台提供的政策信息或解决建议。</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16</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题词推送：导播台可将诉求内容和政策信息或解决建议实时推送到提词器，供接线领导参考。</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17</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提词更新：提词器可自动获取或接收最新的诉求内容和参考内容。</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18</w:t>
                  </w:r>
                </w:p>
              </w:tc>
              <w:tc>
                <w:tcPr>
                  <w:tcW w:type="dxa" w:w="235"/>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基层扫一扫</w:t>
                  </w: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基层</w:t>
                  </w:r>
                  <w:r>
                    <w:rPr>
                      <w:rFonts w:ascii="仿宋_GB2312" w:hAnsi="仿宋_GB2312" w:cs="仿宋_GB2312" w:eastAsia="仿宋_GB2312"/>
                      <w:sz w:val="32"/>
                      <w:color w:val="000000"/>
                    </w:rPr>
                    <w:t>“扫一扫”鉴权</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各个街办通过验证后可自行生成各地区二维码，实现群众按照不同区域进行诉求提交进而实现接诉即办。</w:t>
                  </w:r>
                </w:p>
              </w:tc>
              <w:tc>
                <w:tcPr>
                  <w:tcW w:type="dxa" w:w="13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19</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二维码挂载</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对接各街办政务门户及自有媒体渠道，实现</w:t>
                  </w:r>
                  <w:r>
                    <w:rPr>
                      <w:rFonts w:ascii="仿宋_GB2312" w:hAnsi="仿宋_GB2312" w:cs="仿宋_GB2312" w:eastAsia="仿宋_GB2312"/>
                      <w:sz w:val="32"/>
                      <w:color w:val="000000"/>
                    </w:rPr>
                    <w:t>“扫一扫”二维码挂载。</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23</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诉求留言</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群众扫一扫后可直接填写诉求信息，提交后进入工单任务池。</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29</w:t>
                  </w:r>
                </w:p>
              </w:tc>
              <w:tc>
                <w:tcPr>
                  <w:tcW w:type="dxa" w:w="235"/>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工单管理系统</w:t>
                  </w: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业务工单受理</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从</w:t>
                  </w:r>
                  <w:r>
                    <w:rPr>
                      <w:rFonts w:ascii="仿宋_GB2312" w:hAnsi="仿宋_GB2312" w:cs="仿宋_GB2312" w:eastAsia="仿宋_GB2312"/>
                      <w:sz w:val="32"/>
                      <w:color w:val="000000"/>
                    </w:rPr>
                    <w:t>12345热线平台、基层扫一扫等各渠道市民提交的诉求信息坐席人员进行登记形成工单，主要功能有：来电弹屏、工单登记、工单提交、历史工单调取、工单催办、工单引用等；</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30</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业务工单调度</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通过</w:t>
                  </w:r>
                  <w:r>
                    <w:rPr>
                      <w:rFonts w:ascii="仿宋_GB2312" w:hAnsi="仿宋_GB2312" w:cs="仿宋_GB2312" w:eastAsia="仿宋_GB2312"/>
                      <w:sz w:val="32"/>
                      <w:color w:val="000000"/>
                    </w:rPr>
                    <w:t>“12345平台”派单机制和要求，平台适应运营机制调整支持二级、三级逐级调度，支持各级调度联合办理应用；主要功能有：直接答复、审核分派、工单编辑、工单退回、联合办理；</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31</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业务工单办理</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主要实现工单的工单接收、工单反馈、工单退回、工单延期、工单逾期等应用；</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32</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业务工单查询</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有权限的账号可进行工单查询应用；多条件自由组合查询应用；工单详情查阅及导出</w:t>
                  </w:r>
                  <w:r>
                    <w:rPr>
                      <w:rFonts w:ascii="仿宋_GB2312" w:hAnsi="仿宋_GB2312" w:cs="仿宋_GB2312" w:eastAsia="仿宋_GB2312"/>
                      <w:sz w:val="32"/>
                      <w:color w:val="000000"/>
                    </w:rPr>
                    <w:t>Excel应用；工单录音信息或附件信息下载及预览；工单办理明细、工单所有相关信息查阅；</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33</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业务工单回访</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对于办理单位回复后的工单会自动进入回访模块，由回访人员根据市民的要求进行回访或回访办结；功能包含：待回访工单管理；电话回访；工单重办管理等；</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34</w:t>
                  </w:r>
                </w:p>
              </w:tc>
              <w:tc>
                <w:tcPr>
                  <w:tcW w:type="dxa" w:w="235"/>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知识库系统</w:t>
                  </w:r>
                </w:p>
              </w:tc>
              <w:tc>
                <w:tcPr>
                  <w:tcW w:type="dxa" w:w="37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知识采集</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针对知识内容进行上传、审核、入库、更新优化等闭环式应用流程，完成知识内容收集、优化等需求。主要包括手工录入、文件数据导入、共建共享接口的功能。</w:t>
                  </w:r>
                </w:p>
              </w:tc>
              <w:tc>
                <w:tcPr>
                  <w:tcW w:type="dxa" w:w="13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vMerge/>
                  <w:tcBorders>
                    <w:top w:val="none" w:color="000000" w:sz="4"/>
                    <w:left w:val="single" w:color="000000" w:sz="4"/>
                    <w:bottom w:val="single" w:color="000000" w:sz="4"/>
                    <w:right w:val="single" w:color="000000" w:sz="4"/>
                  </w:tcBorders>
                </w:tcP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手工录入：知识库建设完毕后，需要补充知识内容。知识管理人员可以利用系统自带的知识录入功能，进行知识的录入补充。</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35</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文件数据导入：建设知识库时，系统支持提供对应的表格模板，将获取的知识按格式录入表格后，可以导入文件至数据库，实现大量数据一次录入，减轻手工录入工作量。</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36</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共建共享：开放对应的共建共享接口，支持与其他知识库系统实现知识库共建和应用共享。</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37</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知识库管理类</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针对已上传的知识内容，进行有序管理，主要包括知识列表管理、知识修改删除、关联问题设置、知识点下载（导出）、知识分类管理、数据字典管理的功能。</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38</w:t>
                  </w:r>
                </w:p>
              </w:tc>
              <w:tc>
                <w:tcPr>
                  <w:tcW w:type="dxa" w:w="235"/>
                  <w:vMerge/>
                  <w:tcBorders>
                    <w:top w:val="none" w:color="000000" w:sz="4"/>
                    <w:left w:val="single" w:color="000000" w:sz="4"/>
                    <w:bottom w:val="single" w:color="000000" w:sz="4"/>
                    <w:right w:val="single" w:color="000000" w:sz="4"/>
                  </w:tcBorders>
                </w:tcPr>
                <w:p/>
              </w:tc>
              <w:tc>
                <w:tcPr>
                  <w:tcW w:type="dxa" w:w="37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知识库检索</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支持知识点的关键词检索、整句检索、关联词检索、热点推送检索、预设词检索等多种检索方式。</w:t>
                  </w:r>
                </w:p>
              </w:tc>
              <w:tc>
                <w:tcPr>
                  <w:tcW w:type="dxa" w:w="13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39</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支持坐席联动检索，即在登记工单时，可以同步检索工单标题中输入的信息，同屏同步显示匹配的知识点列表和简要内容。</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40</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检索知识时，高亮显示检索的关键字；</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41</w:t>
                  </w:r>
                </w:p>
              </w:tc>
              <w:tc>
                <w:tcPr>
                  <w:tcW w:type="dxa" w:w="235"/>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统计分析系统</w:t>
                  </w:r>
                </w:p>
              </w:tc>
              <w:tc>
                <w:tcPr>
                  <w:tcW w:type="dxa" w:w="37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话务统计报表</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平台通话情况统计：系统提供话务中心整体接通量统计，可按照天、周、月、年进行数据查询，内容包含接通量、接通率、游客率、人工率（转办量）、通话时长、等待时长、平均通话时长、漏接电话量等话务数据报表。</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42</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坐席通话情况工作统计：系统提供坐席人员通话情况工作统计功能，可按照自定义时间段、天、周、月、年等时间点进行数据统计分析。主要包含接通量、接通率、转办量、平均通话时长、置忙时间、漏接电话量。</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43</w:t>
                  </w:r>
                </w:p>
              </w:tc>
              <w:tc>
                <w:tcPr>
                  <w:tcW w:type="dxa" w:w="235"/>
                  <w:vMerge/>
                  <w:tcBorders>
                    <w:top w:val="none" w:color="000000" w:sz="4"/>
                    <w:left w:val="single" w:color="000000" w:sz="4"/>
                    <w:bottom w:val="single" w:color="000000" w:sz="4"/>
                    <w:right w:val="single" w:color="000000" w:sz="4"/>
                  </w:tcBorders>
                </w:tcPr>
                <w:p/>
              </w:tc>
              <w:tc>
                <w:tcPr>
                  <w:tcW w:type="dxa" w:w="37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业务统计报表</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部门工作小结：系统提供部门整体工作统计展示，可按照天、周、月、年进行数据查询，内容包含总工单量、各类型工单量、在途工单展示、办理质量情况、热点问题等数据图表。</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44</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部门办理热点统计：系统提供委办单位统计报表，主要根据自定义日期、日、周、月、年，承办单位、办理方式等条件，统计工单热点信息，系统可统计到二级热点数据管理，并且可导出</w:t>
                  </w:r>
                  <w:r>
                    <w:rPr>
                      <w:rFonts w:ascii="仿宋_GB2312" w:hAnsi="仿宋_GB2312" w:cs="仿宋_GB2312" w:eastAsia="仿宋_GB2312"/>
                      <w:sz w:val="32"/>
                      <w:color w:val="000000"/>
                    </w:rPr>
                    <w:t>excel表格进行管理。</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45</w:t>
                  </w:r>
                </w:p>
              </w:tc>
              <w:tc>
                <w:tcPr>
                  <w:tcW w:type="dxa" w:w="235"/>
                  <w:vMerge/>
                  <w:tcBorders>
                    <w:top w:val="none" w:color="000000" w:sz="4"/>
                    <w:left w:val="single" w:color="000000" w:sz="4"/>
                    <w:bottom w:val="single" w:color="000000" w:sz="4"/>
                    <w:right w:val="single" w:color="000000" w:sz="4"/>
                  </w:tcBorders>
                </w:tcPr>
                <w:p/>
              </w:tc>
              <w:tc>
                <w:tcPr>
                  <w:tcW w:type="dxa" w:w="37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可视化应用</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在途工单情况概览：（</w:t>
                  </w:r>
                  <w:r>
                    <w:rPr>
                      <w:rFonts w:ascii="仿宋_GB2312" w:hAnsi="仿宋_GB2312" w:cs="仿宋_GB2312" w:eastAsia="仿宋_GB2312"/>
                      <w:sz w:val="32"/>
                      <w:color w:val="000000"/>
                    </w:rPr>
                    <w:t>1）在途工单量总量（2）当前在途工单状态（3）近30日运营数据；</w:t>
                  </w:r>
                </w:p>
              </w:tc>
              <w:tc>
                <w:tcPr>
                  <w:tcW w:type="dxa" w:w="13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46</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近</w:t>
                  </w:r>
                  <w:r>
                    <w:rPr>
                      <w:rFonts w:ascii="仿宋_GB2312" w:hAnsi="仿宋_GB2312" w:cs="仿宋_GB2312" w:eastAsia="仿宋_GB2312"/>
                      <w:sz w:val="32"/>
                      <w:color w:val="000000"/>
                    </w:rPr>
                    <w:t>30日工单分派总量数据分析：以柱状图形式展示近30日普通工单和紧急工单分派情况，分派工单平均时长与工单量展示。</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47</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办理中监测预警：对预逾期工单量、超期工单量进行数据预警并以不同颜色进行展示分析。</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48</w:t>
                  </w: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预逾期工单：对排名</w:t>
                  </w:r>
                  <w:r>
                    <w:rPr>
                      <w:rFonts w:ascii="仿宋_GB2312" w:hAnsi="仿宋_GB2312" w:cs="仿宋_GB2312" w:eastAsia="仿宋_GB2312"/>
                      <w:sz w:val="32"/>
                      <w:color w:val="000000"/>
                    </w:rPr>
                    <w:t>TOP5的预逾期工单展示处理部门及总工单量；</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vMerge/>
                  <w:tcBorders>
                    <w:top w:val="none" w:color="000000" w:sz="4"/>
                    <w:left w:val="single" w:color="000000" w:sz="4"/>
                    <w:bottom w:val="single" w:color="000000" w:sz="4"/>
                    <w:right w:val="single" w:color="000000" w:sz="4"/>
                  </w:tcBorders>
                </w:tcPr>
                <w:p/>
              </w:tc>
              <w:tc>
                <w:tcPr>
                  <w:tcW w:type="dxa" w:w="235"/>
                  <w:vMerge/>
                  <w:tcBorders>
                    <w:top w:val="none" w:color="000000" w:sz="4"/>
                    <w:left w:val="single" w:color="000000" w:sz="4"/>
                    <w:bottom w:val="single" w:color="000000" w:sz="4"/>
                    <w:right w:val="single" w:color="000000" w:sz="4"/>
                  </w:tcBorders>
                </w:tcPr>
                <w:p/>
              </w:tc>
              <w:tc>
                <w:tcPr>
                  <w:tcW w:type="dxa" w:w="371"/>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逾期工单：对排名</w:t>
                  </w:r>
                  <w:r>
                    <w:rPr>
                      <w:rFonts w:ascii="仿宋_GB2312" w:hAnsi="仿宋_GB2312" w:cs="仿宋_GB2312" w:eastAsia="仿宋_GB2312"/>
                      <w:sz w:val="32"/>
                      <w:color w:val="000000"/>
                    </w:rPr>
                    <w:t>TOP5的逾期工单展示处理部门数据进行分析展示。</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49</w:t>
                  </w:r>
                </w:p>
              </w:tc>
              <w:tc>
                <w:tcPr>
                  <w:tcW w:type="dxa" w:w="235"/>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基础信息管理</w:t>
                  </w: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组织架构管理</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组织机构给树状结构展示，提供组织机构查询功能，部门实现树状结构展示，方便查看层级结构及数据过滤操作；</w:t>
                  </w:r>
                </w:p>
              </w:tc>
              <w:tc>
                <w:tcPr>
                  <w:tcW w:type="dxa" w:w="131"/>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套</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50</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模块权限管理</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权限等级按角色不同进行管理，自由分派操作权限和数据权限；</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51</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通讯录</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设置经常联系的人员联系方式及基本信息，方便查询及使用；</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52</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通知公告</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公告信息管理主要用于公告信息的发布和阅读部门内部和部门之间可以用公告栏模块功能来互相发送业务通知，通过这种方式加快信息传递，减少了工作量，提高工作效率；</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53</w:t>
                  </w:r>
                </w:p>
              </w:tc>
              <w:tc>
                <w:tcPr>
                  <w:tcW w:type="dxa" w:w="235"/>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工单功能设置数据维护</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工单紧急级别设置、工单类型设置、工单提醒设置、工单状态设置、回访机制设置、小休参数设置、延期权值设置、数据字典管理；</w:t>
                  </w:r>
                </w:p>
              </w:tc>
              <w:tc>
                <w:tcPr>
                  <w:tcW w:type="dxa" w:w="131"/>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54</w:t>
                  </w:r>
                </w:p>
              </w:tc>
              <w:tc>
                <w:tcPr>
                  <w:tcW w:type="dxa" w:w="23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平台对接</w:t>
                  </w:r>
                </w:p>
              </w:tc>
              <w:tc>
                <w:tcPr>
                  <w:tcW w:type="dxa" w:w="37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系统对接</w:t>
                  </w:r>
                </w:p>
              </w:tc>
              <w:tc>
                <w:tcPr>
                  <w:tcW w:type="dxa" w:w="1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12345业务平台已与市平台对接，实现数据的下派及上报汇聚应用。</w:t>
                  </w:r>
                </w:p>
              </w:tc>
              <w:tc>
                <w:tcPr>
                  <w:tcW w:type="dxa" w:w="13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1</w:t>
                  </w:r>
                </w:p>
              </w:tc>
              <w:tc>
                <w:tcPr>
                  <w:tcW w:type="dxa" w:w="1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color w:val="000000"/>
                    </w:rPr>
                    <w:t>个</w:t>
                  </w:r>
                </w:p>
              </w:tc>
            </w:tr>
          </w:tbl>
          <w:p>
            <w:pPr>
              <w:pStyle w:val="null3"/>
              <w:jc w:val="both"/>
              <w:outlineLvl w:val="1"/>
            </w:pPr>
            <w:r>
              <w:rPr>
                <w:rFonts w:ascii="仿宋_GB2312" w:hAnsi="仿宋_GB2312" w:cs="仿宋_GB2312" w:eastAsia="仿宋_GB2312"/>
                <w:sz w:val="32"/>
                <w:b/>
              </w:rPr>
              <w:t>16、</w:t>
            </w:r>
            <w:r>
              <w:rPr>
                <w:rFonts w:ascii="仿宋_GB2312" w:hAnsi="仿宋_GB2312" w:cs="仿宋_GB2312" w:eastAsia="仿宋_GB2312"/>
                <w:sz w:val="32"/>
                <w:b/>
              </w:rPr>
              <w:t>系统软硬件物理部署方案</w:t>
            </w:r>
          </w:p>
          <w:p>
            <w:pPr>
              <w:pStyle w:val="null3"/>
              <w:outlineLvl w:val="2"/>
            </w:pPr>
            <w:r>
              <w:rPr>
                <w:rFonts w:ascii="仿宋_GB2312" w:hAnsi="仿宋_GB2312" w:cs="仿宋_GB2312" w:eastAsia="仿宋_GB2312"/>
                <w:sz w:val="32"/>
                <w:b/>
              </w:rPr>
              <w:t>16.1</w:t>
            </w:r>
            <w:r>
              <w:rPr>
                <w:rFonts w:ascii="仿宋_GB2312" w:hAnsi="仿宋_GB2312" w:cs="仿宋_GB2312" w:eastAsia="仿宋_GB2312"/>
                <w:sz w:val="32"/>
                <w:b/>
              </w:rPr>
              <w:t>部署架构</w:t>
            </w:r>
          </w:p>
          <w:p>
            <w:pPr>
              <w:pStyle w:val="null3"/>
              <w:ind w:firstLine="640"/>
              <w:jc w:val="both"/>
            </w:pPr>
            <w:r>
              <w:rPr>
                <w:rFonts w:ascii="仿宋_GB2312" w:hAnsi="仿宋_GB2312" w:cs="仿宋_GB2312" w:eastAsia="仿宋_GB2312"/>
                <w:sz w:val="32"/>
              </w:rPr>
              <w:t>政务云部署：核心服务器（数据库服务器、应用服务器、中间件服务器等）部署在政务云数据中心，采用虚拟化技术，实现资源弹性调度。</w:t>
            </w:r>
          </w:p>
          <w:p>
            <w:pPr>
              <w:pStyle w:val="null3"/>
              <w:ind w:firstLine="640"/>
              <w:jc w:val="both"/>
            </w:pPr>
            <w:r>
              <w:rPr>
                <w:rFonts w:ascii="仿宋_GB2312" w:hAnsi="仿宋_GB2312" w:cs="仿宋_GB2312" w:eastAsia="仿宋_GB2312"/>
                <w:sz w:val="32"/>
              </w:rPr>
              <w:t>本地部署：坐席终端、</w:t>
            </w:r>
            <w:r>
              <w:rPr>
                <w:rFonts w:ascii="仿宋_GB2312" w:hAnsi="仿宋_GB2312" w:cs="仿宋_GB2312" w:eastAsia="仿宋_GB2312"/>
                <w:sz w:val="32"/>
              </w:rPr>
              <w:t>IP电话机、打印机等外设部署在澄城县12345热线分中心办公场所，通过专线接入政务云。</w:t>
            </w:r>
          </w:p>
          <w:p>
            <w:pPr>
              <w:pStyle w:val="null3"/>
              <w:ind w:firstLine="640"/>
              <w:jc w:val="both"/>
            </w:pPr>
            <w:r>
              <w:rPr>
                <w:rFonts w:ascii="仿宋_GB2312" w:hAnsi="仿宋_GB2312" w:cs="仿宋_GB2312" w:eastAsia="仿宋_GB2312"/>
                <w:sz w:val="32"/>
              </w:rPr>
              <w:t>政务内网区：部署数据库服务器、核心应用服务器，仅允许内部授权访问。</w:t>
            </w:r>
          </w:p>
          <w:p>
            <w:pPr>
              <w:pStyle w:val="null3"/>
              <w:ind w:firstLine="640"/>
              <w:jc w:val="both"/>
            </w:pPr>
            <w:r>
              <w:rPr>
                <w:rFonts w:ascii="仿宋_GB2312" w:hAnsi="仿宋_GB2312" w:cs="仿宋_GB2312" w:eastAsia="仿宋_GB2312"/>
                <w:sz w:val="32"/>
              </w:rPr>
              <w:t>政务外网区：部署</w:t>
            </w:r>
            <w:r>
              <w:rPr>
                <w:rFonts w:ascii="仿宋_GB2312" w:hAnsi="仿宋_GB2312" w:cs="仿宋_GB2312" w:eastAsia="仿宋_GB2312"/>
                <w:sz w:val="32"/>
              </w:rPr>
              <w:t>Web服务器、接口服务器、文件服务器，提供外部访问入口。</w:t>
            </w:r>
          </w:p>
          <w:p>
            <w:pPr>
              <w:pStyle w:val="null3"/>
              <w:ind w:firstLine="640"/>
              <w:jc w:val="both"/>
            </w:pPr>
            <w:r>
              <w:rPr>
                <w:rFonts w:ascii="仿宋_GB2312" w:hAnsi="仿宋_GB2312" w:cs="仿宋_GB2312" w:eastAsia="仿宋_GB2312"/>
                <w:sz w:val="32"/>
              </w:rPr>
              <w:t>DMZ区：部署防火墙、负载均衡设备，隔离内外网，保障核心区域安全。</w:t>
            </w:r>
          </w:p>
          <w:p>
            <w:pPr>
              <w:pStyle w:val="null3"/>
              <w:outlineLvl w:val="2"/>
            </w:pPr>
            <w:r>
              <w:rPr>
                <w:rFonts w:ascii="仿宋_GB2312" w:hAnsi="仿宋_GB2312" w:cs="仿宋_GB2312" w:eastAsia="仿宋_GB2312"/>
                <w:sz w:val="32"/>
                <w:b/>
              </w:rPr>
              <w:t>16.2</w:t>
            </w:r>
            <w:r>
              <w:rPr>
                <w:rFonts w:ascii="仿宋_GB2312" w:hAnsi="仿宋_GB2312" w:cs="仿宋_GB2312" w:eastAsia="仿宋_GB2312"/>
                <w:sz w:val="32"/>
                <w:b/>
              </w:rPr>
              <w:t>部署要求</w:t>
            </w:r>
          </w:p>
          <w:p>
            <w:pPr>
              <w:pStyle w:val="null3"/>
              <w:ind w:firstLine="640"/>
              <w:jc w:val="both"/>
            </w:pPr>
            <w:r>
              <w:rPr>
                <w:rFonts w:ascii="仿宋_GB2312" w:hAnsi="仿宋_GB2312" w:cs="仿宋_GB2312" w:eastAsia="仿宋_GB2312"/>
                <w:sz w:val="32"/>
              </w:rPr>
              <w:t>机房环境：政务云机房需满足温度</w:t>
            </w:r>
            <w:r>
              <w:rPr>
                <w:rFonts w:ascii="仿宋_GB2312" w:hAnsi="仿宋_GB2312" w:cs="仿宋_GB2312" w:eastAsia="仿宋_GB2312"/>
                <w:sz w:val="32"/>
              </w:rPr>
              <w:t>18-24℃、湿度40%-60%，具备防静电、防雷、消防等设施。</w:t>
            </w:r>
          </w:p>
          <w:p>
            <w:pPr>
              <w:pStyle w:val="null3"/>
              <w:ind w:firstLine="640"/>
              <w:jc w:val="both"/>
            </w:pPr>
            <w:r>
              <w:rPr>
                <w:rFonts w:ascii="仿宋_GB2312" w:hAnsi="仿宋_GB2312" w:cs="仿宋_GB2312" w:eastAsia="仿宋_GB2312"/>
                <w:sz w:val="32"/>
              </w:rPr>
              <w:t>办公场所部署：坐席区按每人</w:t>
            </w:r>
            <w:r>
              <w:rPr>
                <w:rFonts w:ascii="仿宋_GB2312" w:hAnsi="仿宋_GB2312" w:cs="仿宋_GB2312" w:eastAsia="仿宋_GB2312"/>
                <w:sz w:val="32"/>
              </w:rPr>
              <w:t>≥1.5平方米规划，配备空调、新风系统，保障办公环境舒适；设备摆放整齐，线路规范布置，做好标识。</w:t>
            </w:r>
          </w:p>
          <w:p>
            <w:pPr>
              <w:pStyle w:val="null3"/>
              <w:ind w:firstLine="640"/>
              <w:jc w:val="both"/>
            </w:pPr>
            <w:r>
              <w:rPr>
                <w:rFonts w:ascii="仿宋_GB2312" w:hAnsi="仿宋_GB2312" w:cs="仿宋_GB2312" w:eastAsia="仿宋_GB2312"/>
                <w:sz w:val="32"/>
              </w:rPr>
              <w:t>网络部署：网络设备按层级部署，核心设备与接入设备分离，链路冗余配置；接口服务器部署在</w:t>
            </w:r>
            <w:r>
              <w:rPr>
                <w:rFonts w:ascii="仿宋_GB2312" w:hAnsi="仿宋_GB2312" w:cs="仿宋_GB2312" w:eastAsia="仿宋_GB2312"/>
                <w:sz w:val="32"/>
              </w:rPr>
              <w:t>DMZ区，通过防火墙限制访问权限。</w:t>
            </w:r>
          </w:p>
          <w:p>
            <w:pPr>
              <w:pStyle w:val="null3"/>
              <w:ind w:firstLine="640"/>
              <w:jc w:val="both"/>
            </w:pPr>
            <w:r>
              <w:rPr>
                <w:rFonts w:ascii="仿宋_GB2312" w:hAnsi="仿宋_GB2312" w:cs="仿宋_GB2312" w:eastAsia="仿宋_GB2312"/>
                <w:sz w:val="32"/>
              </w:rPr>
              <w:t>安全部署：安全设备（防火墙、</w:t>
            </w:r>
            <w:r>
              <w:rPr>
                <w:rFonts w:ascii="仿宋_GB2312" w:hAnsi="仿宋_GB2312" w:cs="仿宋_GB2312" w:eastAsia="仿宋_GB2312"/>
                <w:sz w:val="32"/>
              </w:rPr>
              <w:t>IDS/IPS、防病毒网关）串联在网络链路中，实现全流量防护；加密设备部署在数据传输链路两端，保障数据加密传输。</w:t>
            </w:r>
          </w:p>
          <w:p>
            <w:pPr>
              <w:pStyle w:val="null3"/>
              <w:outlineLvl w:val="2"/>
            </w:pPr>
            <w:r>
              <w:rPr>
                <w:rFonts w:ascii="仿宋_GB2312" w:hAnsi="仿宋_GB2312" w:cs="仿宋_GB2312" w:eastAsia="仿宋_GB2312"/>
                <w:sz w:val="32"/>
                <w:b/>
              </w:rPr>
              <w:t>17、</w:t>
            </w:r>
            <w:r>
              <w:rPr>
                <w:rFonts w:ascii="仿宋_GB2312" w:hAnsi="仿宋_GB2312" w:cs="仿宋_GB2312" w:eastAsia="仿宋_GB2312"/>
                <w:sz w:val="32"/>
                <w:b/>
              </w:rPr>
              <w:t>等级保护方案</w:t>
            </w:r>
          </w:p>
          <w:p>
            <w:pPr>
              <w:pStyle w:val="null3"/>
              <w:ind w:firstLine="640"/>
              <w:jc w:val="both"/>
            </w:pPr>
            <w:r>
              <w:rPr>
                <w:rFonts w:ascii="仿宋_GB2312" w:hAnsi="仿宋_GB2312" w:cs="仿宋_GB2312" w:eastAsia="仿宋_GB2312"/>
                <w:sz w:val="32"/>
              </w:rPr>
              <w:t>保护等级：系统按照网络安全等级保护三级标准建设与运维。</w:t>
            </w:r>
          </w:p>
          <w:p>
            <w:pPr>
              <w:pStyle w:val="null3"/>
              <w:ind w:firstLine="640"/>
              <w:jc w:val="both"/>
            </w:pPr>
            <w:r>
              <w:rPr>
                <w:rFonts w:ascii="仿宋_GB2312" w:hAnsi="仿宋_GB2312" w:cs="仿宋_GB2312" w:eastAsia="仿宋_GB2312"/>
                <w:sz w:val="32"/>
              </w:rPr>
              <w:t>保护措施：</w:t>
            </w:r>
          </w:p>
          <w:p>
            <w:pPr>
              <w:pStyle w:val="null3"/>
              <w:ind w:firstLine="640"/>
              <w:jc w:val="both"/>
            </w:pPr>
            <w:r>
              <w:rPr>
                <w:rFonts w:ascii="仿宋_GB2312" w:hAnsi="仿宋_GB2312" w:cs="仿宋_GB2312" w:eastAsia="仿宋_GB2312"/>
                <w:sz w:val="32"/>
              </w:rPr>
              <w:t>物理环境：机房门禁、监控、消防、</w:t>
            </w:r>
            <w:r>
              <w:rPr>
                <w:rFonts w:ascii="仿宋_GB2312" w:hAnsi="仿宋_GB2312" w:cs="仿宋_GB2312" w:eastAsia="仿宋_GB2312"/>
                <w:sz w:val="32"/>
              </w:rPr>
              <w:t>UPS电源等安全设施齐全。</w:t>
            </w:r>
          </w:p>
          <w:p>
            <w:pPr>
              <w:pStyle w:val="null3"/>
              <w:ind w:firstLine="640"/>
              <w:jc w:val="both"/>
            </w:pPr>
            <w:r>
              <w:rPr>
                <w:rFonts w:ascii="仿宋_GB2312" w:hAnsi="仿宋_GB2312" w:cs="仿宋_GB2312" w:eastAsia="仿宋_GB2312"/>
                <w:sz w:val="32"/>
              </w:rPr>
              <w:t>网络安全：部署防火墙、</w:t>
            </w:r>
            <w:r>
              <w:rPr>
                <w:rFonts w:ascii="仿宋_GB2312" w:hAnsi="仿宋_GB2312" w:cs="仿宋_GB2312" w:eastAsia="仿宋_GB2312"/>
                <w:sz w:val="32"/>
              </w:rPr>
              <w:t>IDS/IPS、网络审计、防病毒网关，实现访问控制、异常监测。</w:t>
            </w:r>
          </w:p>
          <w:p>
            <w:pPr>
              <w:pStyle w:val="null3"/>
              <w:ind w:firstLine="640"/>
              <w:jc w:val="both"/>
            </w:pPr>
            <w:r>
              <w:rPr>
                <w:rFonts w:ascii="仿宋_GB2312" w:hAnsi="仿宋_GB2312" w:cs="仿宋_GB2312" w:eastAsia="仿宋_GB2312"/>
                <w:sz w:val="32"/>
              </w:rPr>
              <w:t>主机安全：服务器安全加固、漏洞扫描、补丁管理、主机入侵检测。</w:t>
            </w:r>
          </w:p>
          <w:p>
            <w:pPr>
              <w:pStyle w:val="null3"/>
              <w:ind w:firstLine="640"/>
              <w:jc w:val="both"/>
            </w:pPr>
            <w:r>
              <w:rPr>
                <w:rFonts w:ascii="仿宋_GB2312" w:hAnsi="仿宋_GB2312" w:cs="仿宋_GB2312" w:eastAsia="仿宋_GB2312"/>
                <w:sz w:val="32"/>
              </w:rPr>
              <w:t>应用安全：身份认证、权限分级、代码审计、数据加密。</w:t>
            </w:r>
          </w:p>
          <w:p>
            <w:pPr>
              <w:pStyle w:val="null3"/>
              <w:ind w:firstLine="640"/>
              <w:jc w:val="both"/>
            </w:pPr>
            <w:r>
              <w:rPr>
                <w:rFonts w:ascii="仿宋_GB2312" w:hAnsi="仿宋_GB2312" w:cs="仿宋_GB2312" w:eastAsia="仿宋_GB2312"/>
                <w:sz w:val="32"/>
              </w:rPr>
              <w:t>数据安全：数据备份、数据加密、访问审计、隐私保护。</w:t>
            </w:r>
          </w:p>
          <w:p>
            <w:pPr>
              <w:pStyle w:val="null3"/>
              <w:ind w:firstLine="640"/>
              <w:jc w:val="both"/>
            </w:pPr>
            <w:r>
              <w:rPr>
                <w:rFonts w:ascii="仿宋_GB2312" w:hAnsi="仿宋_GB2312" w:cs="仿宋_GB2312" w:eastAsia="仿宋_GB2312"/>
                <w:sz w:val="32"/>
              </w:rPr>
              <w:t>测评要求：项目建设完成后，委托具备资质的第三方机构进行三级等保测评，确保符合相关标准。</w:t>
            </w:r>
          </w:p>
          <w:p>
            <w:pPr>
              <w:pStyle w:val="null3"/>
              <w:ind w:firstLine="640"/>
            </w:pPr>
            <w:r>
              <w:rPr>
                <w:rFonts w:ascii="仿宋_GB2312" w:hAnsi="仿宋_GB2312" w:cs="仿宋_GB2312" w:eastAsia="仿宋_GB2312"/>
                <w:sz w:val="32"/>
                <w:b/>
              </w:rPr>
              <w:t>二、</w:t>
            </w:r>
            <w:r>
              <w:rPr>
                <w:rFonts w:ascii="仿宋_GB2312" w:hAnsi="仿宋_GB2312" w:cs="仿宋_GB2312" w:eastAsia="仿宋_GB2312"/>
                <w:sz w:val="32"/>
                <w:b/>
              </w:rPr>
              <w:t>项目建设与运维管理</w:t>
            </w:r>
          </w:p>
          <w:p>
            <w:pPr>
              <w:pStyle w:val="null3"/>
              <w:jc w:val="both"/>
              <w:outlineLvl w:val="1"/>
            </w:pPr>
            <w:r>
              <w:rPr>
                <w:rFonts w:ascii="仿宋_GB2312" w:hAnsi="仿宋_GB2312" w:cs="仿宋_GB2312" w:eastAsia="仿宋_GB2312"/>
                <w:sz w:val="32"/>
                <w:b/>
              </w:rPr>
              <w:t>1、</w:t>
            </w:r>
            <w:r>
              <w:rPr>
                <w:rFonts w:ascii="仿宋_GB2312" w:hAnsi="仿宋_GB2312" w:cs="仿宋_GB2312" w:eastAsia="仿宋_GB2312"/>
                <w:sz w:val="32"/>
                <w:b/>
              </w:rPr>
              <w:t>12345办公场所装修建设要求</w:t>
            </w:r>
          </w:p>
          <w:p>
            <w:pPr>
              <w:pStyle w:val="null3"/>
              <w:ind w:firstLine="640"/>
              <w:jc w:val="both"/>
            </w:pPr>
            <w:r>
              <w:rPr>
                <w:rFonts w:ascii="仿宋_GB2312" w:hAnsi="仿宋_GB2312" w:cs="仿宋_GB2312" w:eastAsia="仿宋_GB2312"/>
                <w:sz w:val="32"/>
              </w:rPr>
              <w:t>总体要求：办公场所装修需符合政务服务场所规范，布局合理、功能齐全、环境整洁，满足坐席办公、领导接待、会议交流等需求。</w:t>
            </w:r>
          </w:p>
          <w:p>
            <w:pPr>
              <w:pStyle w:val="null3"/>
              <w:ind w:firstLine="640"/>
              <w:jc w:val="both"/>
            </w:pPr>
            <w:r>
              <w:rPr>
                <w:rFonts w:ascii="仿宋_GB2312" w:hAnsi="仿宋_GB2312" w:cs="仿宋_GB2312" w:eastAsia="仿宋_GB2312"/>
                <w:sz w:val="32"/>
              </w:rPr>
              <w:t>功能分区：</w:t>
            </w:r>
          </w:p>
          <w:p>
            <w:pPr>
              <w:pStyle w:val="null3"/>
              <w:ind w:firstLine="640"/>
              <w:jc w:val="both"/>
            </w:pPr>
            <w:r>
              <w:rPr>
                <w:rFonts w:ascii="仿宋_GB2312" w:hAnsi="仿宋_GB2312" w:cs="仿宋_GB2312" w:eastAsia="仿宋_GB2312"/>
                <w:sz w:val="32"/>
              </w:rPr>
              <w:t>坐席区：设置</w:t>
            </w:r>
            <w:r>
              <w:rPr>
                <w:rFonts w:ascii="仿宋_GB2312" w:hAnsi="仿宋_GB2312" w:cs="仿宋_GB2312" w:eastAsia="仿宋_GB2312"/>
                <w:sz w:val="32"/>
              </w:rPr>
              <w:t>20个语音坐席工位、10个在线坐席工位，采用L型转角办公桌，配备屏风保障隐私；工位间距≥1.2米，预留设备摆放空间。</w:t>
            </w:r>
          </w:p>
          <w:p>
            <w:pPr>
              <w:pStyle w:val="null3"/>
              <w:ind w:firstLine="640"/>
              <w:jc w:val="both"/>
            </w:pPr>
            <w:r>
              <w:rPr>
                <w:rFonts w:ascii="仿宋_GB2312" w:hAnsi="仿宋_GB2312" w:cs="仿宋_GB2312" w:eastAsia="仿宋_GB2312"/>
                <w:sz w:val="32"/>
              </w:rPr>
              <w:t>领导办公区：设置</w:t>
            </w:r>
            <w:r>
              <w:rPr>
                <w:rFonts w:ascii="仿宋_GB2312" w:hAnsi="仿宋_GB2312" w:cs="仿宋_GB2312" w:eastAsia="仿宋_GB2312"/>
                <w:sz w:val="32"/>
              </w:rPr>
              <w:t>1间领导办公室，配备双人位连体办公桌、柜子等办公家具；设置1间接线</w:t>
            </w:r>
            <w:r>
              <w:rPr>
                <w:rFonts w:ascii="仿宋_GB2312" w:hAnsi="仿宋_GB2312" w:cs="仿宋_GB2312" w:eastAsia="仿宋_GB2312"/>
                <w:sz w:val="32"/>
              </w:rPr>
              <w:t>台席</w:t>
            </w:r>
            <w:r>
              <w:rPr>
                <w:rFonts w:ascii="仿宋_GB2312" w:hAnsi="仿宋_GB2312" w:cs="仿宋_GB2312" w:eastAsia="仿宋_GB2312"/>
                <w:sz w:val="32"/>
              </w:rPr>
              <w:t>，配备提词器、智能显示屏、录音设备。</w:t>
            </w:r>
          </w:p>
          <w:p>
            <w:pPr>
              <w:pStyle w:val="null3"/>
              <w:ind w:firstLine="640"/>
              <w:jc w:val="both"/>
            </w:pPr>
            <w:r>
              <w:rPr>
                <w:rFonts w:ascii="仿宋_GB2312" w:hAnsi="仿宋_GB2312" w:cs="仿宋_GB2312" w:eastAsia="仿宋_GB2312"/>
                <w:sz w:val="32"/>
              </w:rPr>
              <w:t>功能区：设置会议室、休息室、档案室，会议室配备多功能一体机、摄像头等设备；档案室配备防火、防潮、防盗设施。</w:t>
            </w:r>
          </w:p>
          <w:p>
            <w:pPr>
              <w:pStyle w:val="null3"/>
              <w:ind w:firstLine="640"/>
              <w:jc w:val="both"/>
            </w:pPr>
            <w:r>
              <w:rPr>
                <w:rFonts w:ascii="仿宋_GB2312" w:hAnsi="仿宋_GB2312" w:cs="仿宋_GB2312" w:eastAsia="仿宋_GB2312"/>
                <w:sz w:val="32"/>
              </w:rPr>
              <w:t>装修标准：</w:t>
            </w:r>
          </w:p>
          <w:p>
            <w:pPr>
              <w:pStyle w:val="null3"/>
              <w:ind w:firstLine="640"/>
              <w:jc w:val="both"/>
            </w:pPr>
            <w:r>
              <w:rPr>
                <w:rFonts w:ascii="仿宋_GB2312" w:hAnsi="仿宋_GB2312" w:cs="仿宋_GB2312" w:eastAsia="仿宋_GB2312"/>
                <w:sz w:val="32"/>
              </w:rPr>
              <w:t>地面：采用水泥自流平铺贴塑胶地板，耐磨、易清洁，颜色选择浅色系。</w:t>
            </w:r>
          </w:p>
          <w:p>
            <w:pPr>
              <w:pStyle w:val="null3"/>
              <w:ind w:firstLine="640"/>
              <w:jc w:val="both"/>
            </w:pPr>
            <w:r>
              <w:rPr>
                <w:rFonts w:ascii="仿宋_GB2312" w:hAnsi="仿宋_GB2312" w:cs="仿宋_GB2312" w:eastAsia="仿宋_GB2312"/>
                <w:sz w:val="32"/>
              </w:rPr>
              <w:t>墙面：原墙面铲平清理后刮腻子找平、刷环保乳胶漆，坐席区墙面安装</w:t>
            </w:r>
            <w:r>
              <w:rPr>
                <w:rFonts w:ascii="仿宋_GB2312" w:hAnsi="仿宋_GB2312" w:cs="仿宋_GB2312" w:eastAsia="仿宋_GB2312"/>
                <w:sz w:val="32"/>
              </w:rPr>
              <w:t>600mm宽护墙板，提升耐用性。</w:t>
            </w:r>
          </w:p>
          <w:p>
            <w:pPr>
              <w:pStyle w:val="null3"/>
              <w:ind w:firstLine="640"/>
              <w:jc w:val="both"/>
            </w:pPr>
            <w:r>
              <w:rPr>
                <w:rFonts w:ascii="仿宋_GB2312" w:hAnsi="仿宋_GB2312" w:cs="仿宋_GB2312" w:eastAsia="仿宋_GB2312"/>
                <w:sz w:val="32"/>
              </w:rPr>
              <w:t>吊顶：采用造型吊顶，安装</w:t>
            </w:r>
            <w:r>
              <w:rPr>
                <w:rFonts w:ascii="仿宋_GB2312" w:hAnsi="仿宋_GB2312" w:cs="仿宋_GB2312" w:eastAsia="仿宋_GB2312"/>
                <w:sz w:val="32"/>
              </w:rPr>
              <w:t>LED节能灯具，保证照明均匀，亮度≥300lux。</w:t>
            </w:r>
          </w:p>
          <w:p>
            <w:pPr>
              <w:pStyle w:val="null3"/>
              <w:ind w:firstLine="640"/>
              <w:jc w:val="both"/>
            </w:pPr>
            <w:r>
              <w:rPr>
                <w:rFonts w:ascii="仿宋_GB2312" w:hAnsi="仿宋_GB2312" w:cs="仿宋_GB2312" w:eastAsia="仿宋_GB2312"/>
                <w:sz w:val="32"/>
              </w:rPr>
              <w:t>电路改造：按工位配置电源插座（每个工位</w:t>
            </w:r>
            <w:r>
              <w:rPr>
                <w:rFonts w:ascii="仿宋_GB2312" w:hAnsi="仿宋_GB2312" w:cs="仿宋_GB2312" w:eastAsia="仿宋_GB2312"/>
                <w:sz w:val="32"/>
              </w:rPr>
              <w:t>≥4个）、网络接口（每个工位≥2个），线路暗敷，做好接地处理。</w:t>
            </w:r>
          </w:p>
          <w:p>
            <w:pPr>
              <w:pStyle w:val="null3"/>
              <w:ind w:firstLine="640"/>
              <w:jc w:val="both"/>
            </w:pPr>
            <w:r>
              <w:rPr>
                <w:rFonts w:ascii="仿宋_GB2312" w:hAnsi="仿宋_GB2312" w:cs="仿宋_GB2312" w:eastAsia="仿宋_GB2312"/>
                <w:sz w:val="32"/>
              </w:rPr>
              <w:t>空调新风：中央空调移机、维修，新增风口保障温度均匀；安装全热空气交换机（风量</w:t>
            </w:r>
            <w:r>
              <w:rPr>
                <w:rFonts w:ascii="仿宋_GB2312" w:hAnsi="仿宋_GB2312" w:cs="仿宋_GB2312" w:eastAsia="仿宋_GB2312"/>
                <w:sz w:val="32"/>
              </w:rPr>
              <w:t>≥1000m³/h），实现通风换气。</w:t>
            </w:r>
          </w:p>
          <w:p>
            <w:pPr>
              <w:pStyle w:val="null3"/>
              <w:ind w:firstLine="640"/>
              <w:jc w:val="both"/>
            </w:pPr>
            <w:r>
              <w:rPr>
                <w:rFonts w:ascii="仿宋_GB2312" w:hAnsi="仿宋_GB2312" w:cs="仿宋_GB2312" w:eastAsia="仿宋_GB2312"/>
                <w:sz w:val="32"/>
              </w:rPr>
              <w:t>安全要求：装修材料需符合环保标准（</w:t>
            </w:r>
            <w:r>
              <w:rPr>
                <w:rFonts w:ascii="仿宋_GB2312" w:hAnsi="仿宋_GB2312" w:cs="仿宋_GB2312" w:eastAsia="仿宋_GB2312"/>
                <w:sz w:val="32"/>
              </w:rPr>
              <w:t>E1级及以上），消防设施布局合理，疏散通道畅通，标识清晰。</w:t>
            </w:r>
          </w:p>
          <w:tbl>
            <w:tblPr>
              <w:tblBorders>
                <w:top w:val="none" w:color="000000" w:sz="4"/>
                <w:left w:val="none" w:color="000000" w:sz="4"/>
                <w:bottom w:val="none" w:color="000000" w:sz="4"/>
                <w:right w:val="none" w:color="000000" w:sz="4"/>
                <w:insideH w:val="none"/>
                <w:insideV w:val="none"/>
              </w:tblBorders>
            </w:tblPr>
            <w:tblGrid>
              <w:gridCol w:w="136"/>
              <w:gridCol w:w="232"/>
              <w:gridCol w:w="461"/>
              <w:gridCol w:w="248"/>
              <w:gridCol w:w="501"/>
              <w:gridCol w:w="501"/>
              <w:gridCol w:w="465"/>
            </w:tblGrid>
            <w:tr>
              <w:tc>
                <w:tcPr>
                  <w:tcW w:type="dxa" w:w="136"/>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序</w:t>
                  </w:r>
                </w:p>
                <w:p>
                  <w:pPr>
                    <w:pStyle w:val="null3"/>
                    <w:jc w:val="center"/>
                  </w:pPr>
                  <w:r>
                    <w:rPr>
                      <w:rFonts w:ascii="仿宋_GB2312" w:hAnsi="仿宋_GB2312" w:cs="仿宋_GB2312" w:eastAsia="仿宋_GB2312"/>
                      <w:sz w:val="32"/>
                    </w:rPr>
                    <w:t>号</w:t>
                  </w:r>
                </w:p>
              </w:tc>
              <w:tc>
                <w:tcPr>
                  <w:tcW w:type="dxa" w:w="232"/>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空间区域</w:t>
                  </w:r>
                </w:p>
              </w:tc>
              <w:tc>
                <w:tcPr>
                  <w:tcW w:type="dxa" w:w="461"/>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拆除项目</w:t>
                  </w:r>
                </w:p>
              </w:tc>
              <w:tc>
                <w:tcPr>
                  <w:tcW w:type="dxa" w:w="248"/>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地面做法</w:t>
                  </w:r>
                </w:p>
              </w:tc>
              <w:tc>
                <w:tcPr>
                  <w:tcW w:type="dxa" w:w="501"/>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墙面做法</w:t>
                  </w:r>
                </w:p>
              </w:tc>
              <w:tc>
                <w:tcPr>
                  <w:tcW w:type="dxa" w:w="501"/>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顶面做法</w:t>
                  </w:r>
                </w:p>
              </w:tc>
              <w:tc>
                <w:tcPr>
                  <w:tcW w:type="dxa" w:w="465"/>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备注</w:t>
                  </w:r>
                </w:p>
              </w:tc>
            </w:tr>
            <w:tr>
              <w:tc>
                <w:tcPr>
                  <w:tcW w:type="dxa" w:w="136"/>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一</w:t>
                  </w:r>
                </w:p>
              </w:tc>
              <w:tc>
                <w:tcPr>
                  <w:tcW w:type="dxa" w:w="23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门厅</w:t>
                  </w:r>
                </w:p>
              </w:tc>
              <w:tc>
                <w:tcPr>
                  <w:tcW w:type="dxa" w:w="46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1、办公台及门头拆除</w:t>
                  </w:r>
                </w:p>
                <w:p>
                  <w:pPr>
                    <w:pStyle w:val="null3"/>
                    <w:jc w:val="center"/>
                  </w:pPr>
                  <w:r>
                    <w:rPr>
                      <w:rFonts w:ascii="仿宋_GB2312" w:hAnsi="仿宋_GB2312" w:cs="仿宋_GB2312" w:eastAsia="仿宋_GB2312"/>
                      <w:sz w:val="32"/>
                    </w:rPr>
                    <w:t>2、石膏板局部开孔植吊筋</w:t>
                  </w:r>
                </w:p>
                <w:p>
                  <w:pPr>
                    <w:pStyle w:val="null3"/>
                    <w:jc w:val="center"/>
                  </w:pPr>
                  <w:r>
                    <w:rPr>
                      <w:rFonts w:ascii="仿宋_GB2312" w:hAnsi="仿宋_GB2312" w:cs="仿宋_GB2312" w:eastAsia="仿宋_GB2312"/>
                      <w:sz w:val="32"/>
                    </w:rPr>
                    <w:t>3、灯具烟感拆除</w:t>
                  </w:r>
                </w:p>
                <w:p>
                  <w:pPr>
                    <w:pStyle w:val="null3"/>
                    <w:jc w:val="center"/>
                  </w:pPr>
                  <w:r>
                    <w:rPr>
                      <w:rFonts w:ascii="仿宋_GB2312" w:hAnsi="仿宋_GB2312" w:cs="仿宋_GB2312" w:eastAsia="仿宋_GB2312"/>
                      <w:sz w:val="32"/>
                    </w:rPr>
                    <w:t>4、轻质隔墙拆除</w:t>
                  </w:r>
                </w:p>
              </w:tc>
              <w:tc>
                <w:tcPr>
                  <w:tcW w:type="dxa" w:w="2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水泥自流平铺贴塑胶地板</w:t>
                  </w:r>
                </w:p>
              </w:tc>
              <w:tc>
                <w:tcPr>
                  <w:tcW w:type="dxa" w:w="50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1、75系列轻钢龙骨石膏板隔墙内填80mm厚岩棉600mm宽护墙板饰面</w:t>
                  </w:r>
                </w:p>
              </w:tc>
              <w:tc>
                <w:tcPr>
                  <w:tcW w:type="dxa" w:w="50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1、轻钢龙骨1.2mm矿棉板吊顶</w:t>
                  </w:r>
                </w:p>
                <w:p>
                  <w:pPr>
                    <w:pStyle w:val="null3"/>
                    <w:jc w:val="center"/>
                  </w:pPr>
                  <w:r>
                    <w:rPr>
                      <w:rFonts w:ascii="仿宋_GB2312" w:hAnsi="仿宋_GB2312" w:cs="仿宋_GB2312" w:eastAsia="仿宋_GB2312"/>
                      <w:sz w:val="32"/>
                    </w:rPr>
                    <w:t>2、600×600集成LED平板灯</w:t>
                  </w:r>
                </w:p>
                <w:p>
                  <w:pPr>
                    <w:pStyle w:val="null3"/>
                    <w:jc w:val="center"/>
                  </w:pPr>
                  <w:r>
                    <w:rPr>
                      <w:rFonts w:ascii="仿宋_GB2312" w:hAnsi="仿宋_GB2312" w:cs="仿宋_GB2312" w:eastAsia="仿宋_GB2312"/>
                      <w:sz w:val="32"/>
                    </w:rPr>
                    <w:t>3、喷淋烟感根据吊顶改造</w:t>
                  </w:r>
                </w:p>
                <w:p>
                  <w:pPr>
                    <w:pStyle w:val="null3"/>
                    <w:jc w:val="center"/>
                  </w:pPr>
                  <w:r>
                    <w:rPr>
                      <w:rFonts w:ascii="仿宋_GB2312" w:hAnsi="仿宋_GB2312" w:cs="仿宋_GB2312" w:eastAsia="仿宋_GB2312"/>
                      <w:sz w:val="32"/>
                    </w:rPr>
                    <w:t>4、局部φ75射灯</w:t>
                  </w:r>
                </w:p>
              </w:tc>
              <w:tc>
                <w:tcPr>
                  <w:tcW w:type="dxa" w:w="46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1、新作600×600空调出风口，回风口可拆除安装在矿棉板上</w:t>
                  </w:r>
                </w:p>
                <w:p>
                  <w:pPr>
                    <w:pStyle w:val="null3"/>
                    <w:jc w:val="center"/>
                  </w:pPr>
                  <w:r>
                    <w:rPr>
                      <w:rFonts w:ascii="仿宋_GB2312" w:hAnsi="仿宋_GB2312" w:cs="仿宋_GB2312" w:eastAsia="仿宋_GB2312"/>
                      <w:sz w:val="32"/>
                    </w:rPr>
                    <w:t>2、现有家具需移走保存</w:t>
                  </w:r>
                </w:p>
              </w:tc>
            </w:tr>
            <w:tr>
              <w:tc>
                <w:tcPr>
                  <w:tcW w:type="dxa" w:w="136"/>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二</w:t>
                  </w:r>
                </w:p>
              </w:tc>
              <w:tc>
                <w:tcPr>
                  <w:tcW w:type="dxa" w:w="23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接线</w:t>
                  </w:r>
                  <w:r>
                    <w:rPr>
                      <w:rFonts w:ascii="仿宋_GB2312" w:hAnsi="仿宋_GB2312" w:cs="仿宋_GB2312" w:eastAsia="仿宋_GB2312"/>
                      <w:sz w:val="32"/>
                    </w:rPr>
                    <w:t>台席</w:t>
                  </w:r>
                </w:p>
              </w:tc>
              <w:tc>
                <w:tcPr>
                  <w:tcW w:type="dxa" w:w="46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1、办公台及门头拆除</w:t>
                  </w:r>
                </w:p>
                <w:p>
                  <w:pPr>
                    <w:pStyle w:val="null3"/>
                    <w:jc w:val="center"/>
                  </w:pPr>
                  <w:r>
                    <w:rPr>
                      <w:rFonts w:ascii="仿宋_GB2312" w:hAnsi="仿宋_GB2312" w:cs="仿宋_GB2312" w:eastAsia="仿宋_GB2312"/>
                      <w:sz w:val="32"/>
                    </w:rPr>
                    <w:t>2、石膏板局部开孔植吊筋</w:t>
                  </w:r>
                </w:p>
                <w:p>
                  <w:pPr>
                    <w:pStyle w:val="null3"/>
                    <w:jc w:val="center"/>
                  </w:pPr>
                  <w:r>
                    <w:rPr>
                      <w:rFonts w:ascii="仿宋_GB2312" w:hAnsi="仿宋_GB2312" w:cs="仿宋_GB2312" w:eastAsia="仿宋_GB2312"/>
                      <w:sz w:val="32"/>
                    </w:rPr>
                    <w:t>3、灯具烟感拆除</w:t>
                  </w:r>
                </w:p>
                <w:p>
                  <w:pPr>
                    <w:pStyle w:val="null3"/>
                    <w:jc w:val="center"/>
                  </w:pPr>
                  <w:r>
                    <w:rPr>
                      <w:rFonts w:ascii="仿宋_GB2312" w:hAnsi="仿宋_GB2312" w:cs="仿宋_GB2312" w:eastAsia="仿宋_GB2312"/>
                      <w:sz w:val="32"/>
                    </w:rPr>
                    <w:t>4、轻质隔墙拆除</w:t>
                  </w:r>
                </w:p>
              </w:tc>
              <w:tc>
                <w:tcPr>
                  <w:tcW w:type="dxa" w:w="2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水泥自流平铺贴塑胶地板</w:t>
                  </w:r>
                </w:p>
              </w:tc>
              <w:tc>
                <w:tcPr>
                  <w:tcW w:type="dxa" w:w="50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1、75系列轻钢龙骨石膏板隔墙内填80mm厚岩棉600mm宽护墙板饰面</w:t>
                  </w:r>
                </w:p>
                <w:p>
                  <w:pPr>
                    <w:pStyle w:val="null3"/>
                    <w:jc w:val="center"/>
                  </w:pPr>
                  <w:r>
                    <w:rPr>
                      <w:rFonts w:ascii="仿宋_GB2312" w:hAnsi="仿宋_GB2312" w:cs="仿宋_GB2312" w:eastAsia="仿宋_GB2312"/>
                      <w:sz w:val="32"/>
                    </w:rPr>
                    <w:t>2、阻燃板基层600mm宽护墙板饰面</w:t>
                  </w:r>
                </w:p>
                <w:p>
                  <w:pPr>
                    <w:pStyle w:val="null3"/>
                    <w:jc w:val="center"/>
                  </w:pPr>
                  <w:r>
                    <w:rPr>
                      <w:rFonts w:ascii="仿宋_GB2312" w:hAnsi="仿宋_GB2312" w:cs="仿宋_GB2312" w:eastAsia="仿宋_GB2312"/>
                      <w:sz w:val="32"/>
                    </w:rPr>
                    <w:t>3、阻燃板基层防撞板饰面造型</w:t>
                  </w:r>
                </w:p>
              </w:tc>
              <w:tc>
                <w:tcPr>
                  <w:tcW w:type="dxa" w:w="50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1、轻钢龙骨1.2mm矿棉板吊顶</w:t>
                  </w:r>
                </w:p>
                <w:p>
                  <w:pPr>
                    <w:pStyle w:val="null3"/>
                    <w:jc w:val="center"/>
                  </w:pPr>
                  <w:r>
                    <w:rPr>
                      <w:rFonts w:ascii="仿宋_GB2312" w:hAnsi="仿宋_GB2312" w:cs="仿宋_GB2312" w:eastAsia="仿宋_GB2312"/>
                      <w:sz w:val="32"/>
                    </w:rPr>
                    <w:t>2、600×600集成LED平板灯</w:t>
                  </w:r>
                </w:p>
                <w:p>
                  <w:pPr>
                    <w:pStyle w:val="null3"/>
                    <w:jc w:val="center"/>
                  </w:pPr>
                  <w:r>
                    <w:rPr>
                      <w:rFonts w:ascii="仿宋_GB2312" w:hAnsi="仿宋_GB2312" w:cs="仿宋_GB2312" w:eastAsia="仿宋_GB2312"/>
                      <w:sz w:val="32"/>
                    </w:rPr>
                    <w:t>3、喷淋烟感根据吊顶改造</w:t>
                  </w:r>
                </w:p>
                <w:p>
                  <w:pPr>
                    <w:pStyle w:val="null3"/>
                    <w:jc w:val="center"/>
                  </w:pPr>
                  <w:r>
                    <w:rPr>
                      <w:rFonts w:ascii="仿宋_GB2312" w:hAnsi="仿宋_GB2312" w:cs="仿宋_GB2312" w:eastAsia="仿宋_GB2312"/>
                      <w:sz w:val="32"/>
                    </w:rPr>
                    <w:t>4、局部φ75射灯</w:t>
                  </w:r>
                </w:p>
              </w:tc>
              <w:tc>
                <w:tcPr>
                  <w:tcW w:type="dxa" w:w="46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1、新作600×600空调出风口，回风口可拆除安装在矿棉板上</w:t>
                  </w:r>
                </w:p>
                <w:p>
                  <w:pPr>
                    <w:pStyle w:val="null3"/>
                    <w:jc w:val="center"/>
                  </w:pPr>
                  <w:r>
                    <w:rPr>
                      <w:rFonts w:ascii="仿宋_GB2312" w:hAnsi="仿宋_GB2312" w:cs="仿宋_GB2312" w:eastAsia="仿宋_GB2312"/>
                      <w:sz w:val="32"/>
                    </w:rPr>
                    <w:t>2、现有家具需移走保存</w:t>
                  </w:r>
                </w:p>
              </w:tc>
            </w:tr>
            <w:tr>
              <w:tc>
                <w:tcPr>
                  <w:tcW w:type="dxa" w:w="136"/>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三</w:t>
                  </w:r>
                </w:p>
              </w:tc>
              <w:tc>
                <w:tcPr>
                  <w:tcW w:type="dxa" w:w="23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话务中心</w:t>
                  </w:r>
                </w:p>
              </w:tc>
              <w:tc>
                <w:tcPr>
                  <w:tcW w:type="dxa" w:w="46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1、石膏板及矿棉板吊顶拆除</w:t>
                  </w:r>
                </w:p>
                <w:p>
                  <w:pPr>
                    <w:pStyle w:val="null3"/>
                    <w:jc w:val="center"/>
                  </w:pPr>
                  <w:r>
                    <w:rPr>
                      <w:rFonts w:ascii="仿宋_GB2312" w:hAnsi="仿宋_GB2312" w:cs="仿宋_GB2312" w:eastAsia="仿宋_GB2312"/>
                      <w:sz w:val="32"/>
                    </w:rPr>
                    <w:t>2、门拆除，原门移位</w:t>
                  </w:r>
                </w:p>
                <w:p>
                  <w:pPr>
                    <w:pStyle w:val="null3"/>
                    <w:jc w:val="center"/>
                  </w:pPr>
                  <w:r>
                    <w:rPr>
                      <w:rFonts w:ascii="仿宋_GB2312" w:hAnsi="仿宋_GB2312" w:cs="仿宋_GB2312" w:eastAsia="仿宋_GB2312"/>
                      <w:sz w:val="32"/>
                    </w:rPr>
                    <w:t>3、玻璃高隔断拆除</w:t>
                  </w:r>
                </w:p>
                <w:p>
                  <w:pPr>
                    <w:pStyle w:val="null3"/>
                    <w:jc w:val="center"/>
                  </w:pPr>
                  <w:r>
                    <w:rPr>
                      <w:rFonts w:ascii="仿宋_GB2312" w:hAnsi="仿宋_GB2312" w:cs="仿宋_GB2312" w:eastAsia="仿宋_GB2312"/>
                      <w:sz w:val="32"/>
                    </w:rPr>
                    <w:t>4、隔断上部分石膏板墙拆除</w:t>
                  </w:r>
                </w:p>
                <w:p>
                  <w:pPr>
                    <w:pStyle w:val="null3"/>
                    <w:jc w:val="center"/>
                  </w:pPr>
                  <w:r>
                    <w:rPr>
                      <w:rFonts w:ascii="仿宋_GB2312" w:hAnsi="仿宋_GB2312" w:cs="仿宋_GB2312" w:eastAsia="仿宋_GB2312"/>
                      <w:sz w:val="32"/>
                    </w:rPr>
                    <w:t>5、灯具烟感拆除</w:t>
                  </w:r>
                </w:p>
                <w:p>
                  <w:pPr>
                    <w:pStyle w:val="null3"/>
                    <w:jc w:val="center"/>
                  </w:pPr>
                  <w:r>
                    <w:rPr>
                      <w:rFonts w:ascii="仿宋_GB2312" w:hAnsi="仿宋_GB2312" w:cs="仿宋_GB2312" w:eastAsia="仿宋_GB2312"/>
                      <w:sz w:val="32"/>
                    </w:rPr>
                    <w:t>6、办公室门拆除</w:t>
                  </w:r>
                </w:p>
              </w:tc>
              <w:tc>
                <w:tcPr>
                  <w:tcW w:type="dxa" w:w="2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水泥自流平铺贴塑胶地板</w:t>
                  </w:r>
                </w:p>
              </w:tc>
              <w:tc>
                <w:tcPr>
                  <w:tcW w:type="dxa" w:w="50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1、600mm宽护墙板饰面</w:t>
                  </w:r>
                </w:p>
              </w:tc>
              <w:tc>
                <w:tcPr>
                  <w:tcW w:type="dxa" w:w="50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1、轻钢龙骨1.2mm矿棉板吊顶</w:t>
                  </w:r>
                </w:p>
                <w:p>
                  <w:pPr>
                    <w:pStyle w:val="null3"/>
                    <w:jc w:val="center"/>
                  </w:pPr>
                  <w:r>
                    <w:rPr>
                      <w:rFonts w:ascii="仿宋_GB2312" w:hAnsi="仿宋_GB2312" w:cs="仿宋_GB2312" w:eastAsia="仿宋_GB2312"/>
                      <w:sz w:val="32"/>
                    </w:rPr>
                    <w:t>2、600×600集成LED平板灯</w:t>
                  </w:r>
                </w:p>
                <w:p>
                  <w:pPr>
                    <w:pStyle w:val="null3"/>
                    <w:jc w:val="center"/>
                  </w:pPr>
                  <w:r>
                    <w:rPr>
                      <w:rFonts w:ascii="仿宋_GB2312" w:hAnsi="仿宋_GB2312" w:cs="仿宋_GB2312" w:eastAsia="仿宋_GB2312"/>
                      <w:sz w:val="32"/>
                    </w:rPr>
                    <w:t>3、喷淋烟感根据吊顶改造</w:t>
                  </w:r>
                </w:p>
                <w:p>
                  <w:pPr>
                    <w:pStyle w:val="null3"/>
                    <w:jc w:val="center"/>
                  </w:pPr>
                  <w:r>
                    <w:rPr>
                      <w:rFonts w:ascii="仿宋_GB2312" w:hAnsi="仿宋_GB2312" w:cs="仿宋_GB2312" w:eastAsia="仿宋_GB2312"/>
                      <w:sz w:val="32"/>
                    </w:rPr>
                    <w:t>4、局部φ75射灯</w:t>
                  </w:r>
                </w:p>
              </w:tc>
              <w:tc>
                <w:tcPr>
                  <w:tcW w:type="dxa" w:w="46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1、新作600×600空调出风口，回风口可拆除安装在矿棉板上</w:t>
                  </w:r>
                </w:p>
                <w:p>
                  <w:pPr>
                    <w:pStyle w:val="null3"/>
                    <w:jc w:val="center"/>
                  </w:pPr>
                  <w:r>
                    <w:rPr>
                      <w:rFonts w:ascii="仿宋_GB2312" w:hAnsi="仿宋_GB2312" w:cs="仿宋_GB2312" w:eastAsia="仿宋_GB2312"/>
                      <w:sz w:val="32"/>
                    </w:rPr>
                    <w:t>2、现有家具需移走保存</w:t>
                  </w:r>
                </w:p>
              </w:tc>
            </w:tr>
            <w:tr>
              <w:tc>
                <w:tcPr>
                  <w:tcW w:type="dxa" w:w="136"/>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四</w:t>
                  </w:r>
                </w:p>
              </w:tc>
              <w:tc>
                <w:tcPr>
                  <w:tcW w:type="dxa" w:w="23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更衣室兼库房</w:t>
                  </w:r>
                </w:p>
              </w:tc>
              <w:tc>
                <w:tcPr>
                  <w:tcW w:type="dxa" w:w="46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1、矿棉板吊顶拆除</w:t>
                  </w:r>
                </w:p>
                <w:p>
                  <w:pPr>
                    <w:pStyle w:val="null3"/>
                    <w:jc w:val="center"/>
                  </w:pPr>
                  <w:r>
                    <w:rPr>
                      <w:rFonts w:ascii="仿宋_GB2312" w:hAnsi="仿宋_GB2312" w:cs="仿宋_GB2312" w:eastAsia="仿宋_GB2312"/>
                      <w:sz w:val="32"/>
                    </w:rPr>
                    <w:t>2、灯具烟感拆除</w:t>
                  </w:r>
                </w:p>
              </w:tc>
              <w:tc>
                <w:tcPr>
                  <w:tcW w:type="dxa" w:w="2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水泥自流平铺贴塑胶地板</w:t>
                  </w:r>
                </w:p>
              </w:tc>
              <w:tc>
                <w:tcPr>
                  <w:tcW w:type="dxa" w:w="50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1、75系列轻钢龙骨石膏板隔墙内填80mm厚岩棉600mm宽护墙板饰面</w:t>
                  </w:r>
                </w:p>
              </w:tc>
              <w:tc>
                <w:tcPr>
                  <w:tcW w:type="dxa" w:w="50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1、轻钢龙骨1.2mm矿棉板吊顶</w:t>
                  </w:r>
                </w:p>
                <w:p>
                  <w:pPr>
                    <w:pStyle w:val="null3"/>
                    <w:jc w:val="center"/>
                  </w:pPr>
                  <w:r>
                    <w:rPr>
                      <w:rFonts w:ascii="仿宋_GB2312" w:hAnsi="仿宋_GB2312" w:cs="仿宋_GB2312" w:eastAsia="仿宋_GB2312"/>
                      <w:sz w:val="32"/>
                    </w:rPr>
                    <w:t>2、600×600集成LED平板灯</w:t>
                  </w:r>
                </w:p>
                <w:p>
                  <w:pPr>
                    <w:pStyle w:val="null3"/>
                    <w:jc w:val="center"/>
                  </w:pPr>
                  <w:r>
                    <w:rPr>
                      <w:rFonts w:ascii="仿宋_GB2312" w:hAnsi="仿宋_GB2312" w:cs="仿宋_GB2312" w:eastAsia="仿宋_GB2312"/>
                      <w:sz w:val="32"/>
                    </w:rPr>
                    <w:t>3、喷淋烟感根据吊顶改造</w:t>
                  </w:r>
                </w:p>
              </w:tc>
              <w:tc>
                <w:tcPr>
                  <w:tcW w:type="dxa" w:w="46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1、新作600×600空调出风口，回风口可拆除安装在矿棉板上</w:t>
                  </w:r>
                </w:p>
                <w:p>
                  <w:pPr>
                    <w:pStyle w:val="null3"/>
                    <w:jc w:val="center"/>
                  </w:pPr>
                  <w:r>
                    <w:rPr>
                      <w:rFonts w:ascii="仿宋_GB2312" w:hAnsi="仿宋_GB2312" w:cs="仿宋_GB2312" w:eastAsia="仿宋_GB2312"/>
                      <w:sz w:val="32"/>
                    </w:rPr>
                    <w:t>2、现有家具需移走保存</w:t>
                  </w:r>
                </w:p>
              </w:tc>
            </w:tr>
            <w:tr>
              <w:tc>
                <w:tcPr>
                  <w:tcW w:type="dxa" w:w="136"/>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五</w:t>
                  </w:r>
                </w:p>
              </w:tc>
              <w:tc>
                <w:tcPr>
                  <w:tcW w:type="dxa" w:w="23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办公室</w:t>
                  </w:r>
                </w:p>
              </w:tc>
              <w:tc>
                <w:tcPr>
                  <w:tcW w:type="dxa" w:w="46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1、通过方通顶空隙及局部开孔植吊筋</w:t>
                  </w:r>
                </w:p>
                <w:p>
                  <w:pPr>
                    <w:pStyle w:val="null3"/>
                    <w:jc w:val="center"/>
                  </w:pPr>
                  <w:r>
                    <w:rPr>
                      <w:rFonts w:ascii="仿宋_GB2312" w:hAnsi="仿宋_GB2312" w:cs="仿宋_GB2312" w:eastAsia="仿宋_GB2312"/>
                      <w:sz w:val="32"/>
                    </w:rPr>
                    <w:t>2、地台及背景墙拆除</w:t>
                  </w:r>
                </w:p>
                <w:p>
                  <w:pPr>
                    <w:pStyle w:val="null3"/>
                    <w:jc w:val="center"/>
                  </w:pPr>
                  <w:r>
                    <w:rPr>
                      <w:rFonts w:ascii="仿宋_GB2312" w:hAnsi="仿宋_GB2312" w:cs="仿宋_GB2312" w:eastAsia="仿宋_GB2312"/>
                      <w:sz w:val="32"/>
                    </w:rPr>
                    <w:t>3、灯具烟感拆除</w:t>
                  </w:r>
                </w:p>
              </w:tc>
              <w:tc>
                <w:tcPr>
                  <w:tcW w:type="dxa" w:w="2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水泥自流平铺贴塑胶地板</w:t>
                  </w:r>
                </w:p>
              </w:tc>
              <w:tc>
                <w:tcPr>
                  <w:tcW w:type="dxa" w:w="50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1、75系列轻钢龙骨石膏板隔墙内填80mm厚岩棉600mm宽护墙板饰面</w:t>
                  </w:r>
                </w:p>
                <w:p>
                  <w:pPr>
                    <w:pStyle w:val="null3"/>
                    <w:jc w:val="center"/>
                  </w:pPr>
                  <w:r>
                    <w:rPr>
                      <w:rFonts w:ascii="仿宋_GB2312" w:hAnsi="仿宋_GB2312" w:cs="仿宋_GB2312" w:eastAsia="仿宋_GB2312"/>
                      <w:sz w:val="32"/>
                    </w:rPr>
                    <w:t>2、成品双玻带百叶高隔断</w:t>
                  </w:r>
                </w:p>
                <w:p>
                  <w:pPr>
                    <w:pStyle w:val="null3"/>
                    <w:jc w:val="center"/>
                  </w:pPr>
                  <w:r>
                    <w:rPr>
                      <w:rFonts w:ascii="仿宋_GB2312" w:hAnsi="仿宋_GB2312" w:cs="仿宋_GB2312" w:eastAsia="仿宋_GB2312"/>
                      <w:sz w:val="32"/>
                    </w:rPr>
                    <w:t>3、隔断顶部150mm高阻燃板基层护墙板饰面</w:t>
                  </w:r>
                </w:p>
              </w:tc>
              <w:tc>
                <w:tcPr>
                  <w:tcW w:type="dxa" w:w="50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1、轻钢龙骨1.2mm矿棉板吊顶</w:t>
                  </w:r>
                </w:p>
                <w:p>
                  <w:pPr>
                    <w:pStyle w:val="null3"/>
                    <w:jc w:val="center"/>
                  </w:pPr>
                  <w:r>
                    <w:rPr>
                      <w:rFonts w:ascii="仿宋_GB2312" w:hAnsi="仿宋_GB2312" w:cs="仿宋_GB2312" w:eastAsia="仿宋_GB2312"/>
                      <w:sz w:val="32"/>
                    </w:rPr>
                    <w:t>2、600×600集成LED平板灯</w:t>
                  </w:r>
                </w:p>
                <w:p>
                  <w:pPr>
                    <w:pStyle w:val="null3"/>
                    <w:jc w:val="center"/>
                  </w:pPr>
                  <w:r>
                    <w:rPr>
                      <w:rFonts w:ascii="仿宋_GB2312" w:hAnsi="仿宋_GB2312" w:cs="仿宋_GB2312" w:eastAsia="仿宋_GB2312"/>
                      <w:sz w:val="32"/>
                    </w:rPr>
                    <w:t>3、喷淋烟感根据吊顶改造</w:t>
                  </w:r>
                </w:p>
              </w:tc>
              <w:tc>
                <w:tcPr>
                  <w:tcW w:type="dxa" w:w="46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32"/>
                    </w:rPr>
                    <w:t>1、新作600×600空调出风口，回风口可拆除安装在矿棉板上</w:t>
                  </w:r>
                </w:p>
                <w:p>
                  <w:pPr>
                    <w:pStyle w:val="null3"/>
                    <w:jc w:val="center"/>
                  </w:pPr>
                  <w:r>
                    <w:rPr>
                      <w:rFonts w:ascii="仿宋_GB2312" w:hAnsi="仿宋_GB2312" w:cs="仿宋_GB2312" w:eastAsia="仿宋_GB2312"/>
                      <w:sz w:val="32"/>
                    </w:rPr>
                    <w:t>2、现有家具需移走保存</w:t>
                  </w:r>
                </w:p>
              </w:tc>
            </w:tr>
          </w:tbl>
          <w:p>
            <w:pPr>
              <w:pStyle w:val="null3"/>
              <w:jc w:val="both"/>
              <w:outlineLvl w:val="1"/>
            </w:pPr>
            <w:r>
              <w:rPr>
                <w:rFonts w:ascii="仿宋_GB2312" w:hAnsi="仿宋_GB2312" w:cs="仿宋_GB2312" w:eastAsia="仿宋_GB2312"/>
                <w:sz w:val="32"/>
                <w:b/>
              </w:rPr>
              <w:t>2、</w:t>
            </w:r>
            <w:r>
              <w:rPr>
                <w:rFonts w:ascii="仿宋_GB2312" w:hAnsi="仿宋_GB2312" w:cs="仿宋_GB2312" w:eastAsia="仿宋_GB2312"/>
                <w:sz w:val="32"/>
                <w:b/>
              </w:rPr>
              <w:t>软件系统建设要求</w:t>
            </w:r>
          </w:p>
          <w:p>
            <w:pPr>
              <w:pStyle w:val="null3"/>
              <w:ind w:firstLine="640"/>
              <w:jc w:val="both"/>
            </w:pPr>
            <w:r>
              <w:rPr>
                <w:rFonts w:ascii="仿宋_GB2312" w:hAnsi="仿宋_GB2312" w:cs="仿宋_GB2312" w:eastAsia="仿宋_GB2312"/>
                <w:sz w:val="32"/>
              </w:rPr>
              <w:t>功能要求：严格按照需求规格说明书开发，实现呼叫中心、工单管理、知识库、数据分析等核心功能，支持多渠道接入、智能调度、全流程闭环管理。</w:t>
            </w:r>
          </w:p>
          <w:p>
            <w:pPr>
              <w:pStyle w:val="null3"/>
              <w:ind w:firstLine="640"/>
              <w:jc w:val="both"/>
            </w:pPr>
            <w:r>
              <w:rPr>
                <w:rFonts w:ascii="仿宋_GB2312" w:hAnsi="仿宋_GB2312" w:cs="仿宋_GB2312" w:eastAsia="仿宋_GB2312"/>
                <w:sz w:val="32"/>
              </w:rPr>
              <w:t>性能要求：系统支持</w:t>
            </w:r>
            <w:r>
              <w:rPr>
                <w:rFonts w:ascii="仿宋_GB2312" w:hAnsi="仿宋_GB2312" w:cs="仿宋_GB2312" w:eastAsia="仿宋_GB2312"/>
                <w:sz w:val="32"/>
              </w:rPr>
              <w:t>≥30路语音并发、≥10路在线并发，平均响应时间≤300ms，全年可用率≥99.9%。</w:t>
            </w:r>
          </w:p>
          <w:p>
            <w:pPr>
              <w:pStyle w:val="null3"/>
              <w:ind w:firstLine="640"/>
              <w:jc w:val="both"/>
            </w:pPr>
            <w:r>
              <w:rPr>
                <w:rFonts w:ascii="仿宋_GB2312" w:hAnsi="仿宋_GB2312" w:cs="仿宋_GB2312" w:eastAsia="仿宋_GB2312"/>
                <w:sz w:val="32"/>
              </w:rPr>
              <w:t>国产化要求：软件系统需适配国产服务器操作系统、中间件、数据库，兼容国产化硬件，无兼容性问题。</w:t>
            </w:r>
          </w:p>
          <w:p>
            <w:pPr>
              <w:pStyle w:val="null3"/>
              <w:ind w:firstLine="640"/>
              <w:jc w:val="both"/>
            </w:pPr>
            <w:r>
              <w:rPr>
                <w:rFonts w:ascii="仿宋_GB2312" w:hAnsi="仿宋_GB2312" w:cs="仿宋_GB2312" w:eastAsia="仿宋_GB2312"/>
                <w:sz w:val="32"/>
              </w:rPr>
              <w:t>安全要求：具备身份认证、权限控制、数据加密、日志审计等安全功能，防范常见安全漏洞，符合三级等保要求。</w:t>
            </w:r>
          </w:p>
          <w:p>
            <w:pPr>
              <w:pStyle w:val="null3"/>
              <w:ind w:firstLine="640"/>
              <w:jc w:val="both"/>
            </w:pPr>
            <w:r>
              <w:rPr>
                <w:rFonts w:ascii="仿宋_GB2312" w:hAnsi="仿宋_GB2312" w:cs="仿宋_GB2312" w:eastAsia="仿宋_GB2312"/>
                <w:sz w:val="32"/>
              </w:rPr>
              <w:t>易用性要求：操作界面简洁直观，流程清晰，坐席培训后可快速上手；支持自定义配置（如工单时限、路由规则），适应业务变化。</w:t>
            </w:r>
          </w:p>
          <w:p>
            <w:pPr>
              <w:pStyle w:val="null3"/>
              <w:ind w:firstLine="640"/>
              <w:jc w:val="both"/>
            </w:pPr>
            <w:r>
              <w:rPr>
                <w:rFonts w:ascii="仿宋_GB2312" w:hAnsi="仿宋_GB2312" w:cs="仿宋_GB2312" w:eastAsia="仿宋_GB2312"/>
                <w:sz w:val="32"/>
              </w:rPr>
              <w:t>扩展性要求：系统架构支持功能模块扩展、用户规模扩展，预留新增渠道（如</w:t>
            </w:r>
            <w:r>
              <w:rPr>
                <w:rFonts w:ascii="仿宋_GB2312" w:hAnsi="仿宋_GB2312" w:cs="仿宋_GB2312" w:eastAsia="仿宋_GB2312"/>
                <w:sz w:val="32"/>
              </w:rPr>
              <w:t>APP、短视频平台）接入接口。</w:t>
            </w:r>
          </w:p>
          <w:p>
            <w:pPr>
              <w:pStyle w:val="null3"/>
              <w:jc w:val="both"/>
              <w:outlineLvl w:val="1"/>
            </w:pPr>
            <w:r>
              <w:rPr>
                <w:rFonts w:ascii="仿宋_GB2312" w:hAnsi="仿宋_GB2312" w:cs="仿宋_GB2312" w:eastAsia="仿宋_GB2312"/>
                <w:sz w:val="32"/>
                <w:b/>
              </w:rPr>
              <w:t>3、</w:t>
            </w:r>
            <w:r>
              <w:rPr>
                <w:rFonts w:ascii="仿宋_GB2312" w:hAnsi="仿宋_GB2312" w:cs="仿宋_GB2312" w:eastAsia="仿宋_GB2312"/>
                <w:sz w:val="32"/>
                <w:b/>
              </w:rPr>
              <w:t>运维管理</w:t>
            </w:r>
          </w:p>
          <w:p>
            <w:pPr>
              <w:pStyle w:val="null3"/>
              <w:outlineLvl w:val="2"/>
            </w:pPr>
            <w:r>
              <w:rPr>
                <w:rFonts w:ascii="仿宋_GB2312" w:hAnsi="仿宋_GB2312" w:cs="仿宋_GB2312" w:eastAsia="仿宋_GB2312"/>
                <w:sz w:val="32"/>
                <w:b/>
              </w:rPr>
              <w:t>3</w:t>
            </w:r>
            <w:r>
              <w:rPr>
                <w:rFonts w:ascii="仿宋_GB2312" w:hAnsi="仿宋_GB2312" w:cs="仿宋_GB2312" w:eastAsia="仿宋_GB2312"/>
                <w:sz w:val="32"/>
                <w:b/>
              </w:rPr>
              <w:t>.1</w:t>
            </w:r>
            <w:r>
              <w:rPr>
                <w:rFonts w:ascii="仿宋_GB2312" w:hAnsi="仿宋_GB2312" w:cs="仿宋_GB2312" w:eastAsia="仿宋_GB2312"/>
                <w:sz w:val="32"/>
                <w:b/>
              </w:rPr>
              <w:t>运维组织架构</w:t>
            </w:r>
          </w:p>
          <w:p>
            <w:pPr>
              <w:pStyle w:val="null3"/>
              <w:ind w:firstLine="640"/>
              <w:jc w:val="both"/>
            </w:pPr>
            <w:r>
              <w:rPr>
                <w:rFonts w:ascii="仿宋_GB2312" w:hAnsi="仿宋_GB2312" w:cs="仿宋_GB2312" w:eastAsia="仿宋_GB2312"/>
                <w:sz w:val="32"/>
              </w:rPr>
              <w:t>运维团队：设置运维负责人，技术运维人员（负责系统、网络、硬件维护），数据运维人员（负责数据备份、统计分析）。</w:t>
            </w:r>
          </w:p>
          <w:p>
            <w:pPr>
              <w:pStyle w:val="null3"/>
              <w:ind w:firstLine="640"/>
              <w:jc w:val="both"/>
            </w:pPr>
            <w:r>
              <w:rPr>
                <w:rFonts w:ascii="仿宋_GB2312" w:hAnsi="仿宋_GB2312" w:cs="仿宋_GB2312" w:eastAsia="仿宋_GB2312"/>
                <w:sz w:val="32"/>
              </w:rPr>
              <w:t>责任分工：</w:t>
            </w:r>
          </w:p>
          <w:p>
            <w:pPr>
              <w:pStyle w:val="null3"/>
              <w:ind w:firstLine="640"/>
              <w:jc w:val="both"/>
            </w:pPr>
            <w:r>
              <w:rPr>
                <w:rFonts w:ascii="仿宋_GB2312" w:hAnsi="仿宋_GB2312" w:cs="仿宋_GB2312" w:eastAsia="仿宋_GB2312"/>
                <w:sz w:val="32"/>
              </w:rPr>
              <w:t>运维负责人：统筹运维工作，制定运维计划，协调处理重大故障。</w:t>
            </w:r>
          </w:p>
          <w:p>
            <w:pPr>
              <w:pStyle w:val="null3"/>
              <w:ind w:firstLine="640"/>
              <w:jc w:val="both"/>
            </w:pPr>
            <w:r>
              <w:rPr>
                <w:rFonts w:ascii="仿宋_GB2312" w:hAnsi="仿宋_GB2312" w:cs="仿宋_GB2312" w:eastAsia="仿宋_GB2312"/>
                <w:sz w:val="32"/>
              </w:rPr>
              <w:t>技术运维人员：负责服务器、网络设备、终端设备维护，系统故障排查与修复，软件升级与补丁更新。</w:t>
            </w:r>
          </w:p>
          <w:p>
            <w:pPr>
              <w:pStyle w:val="null3"/>
              <w:ind w:firstLine="640"/>
              <w:jc w:val="both"/>
            </w:pPr>
            <w:r>
              <w:rPr>
                <w:rFonts w:ascii="仿宋_GB2312" w:hAnsi="仿宋_GB2312" w:cs="仿宋_GB2312" w:eastAsia="仿宋_GB2312"/>
                <w:sz w:val="32"/>
              </w:rPr>
              <w:t>数据运维人员：负责数据备份与恢复，数据质量监控，统计报表生成，知识库更新维护。</w:t>
            </w:r>
          </w:p>
          <w:p>
            <w:pPr>
              <w:pStyle w:val="null3"/>
              <w:outlineLvl w:val="2"/>
            </w:pPr>
            <w:r>
              <w:rPr>
                <w:rFonts w:ascii="仿宋_GB2312" w:hAnsi="仿宋_GB2312" w:cs="仿宋_GB2312" w:eastAsia="仿宋_GB2312"/>
                <w:sz w:val="32"/>
                <w:b/>
              </w:rPr>
              <w:t>3</w:t>
            </w:r>
            <w:r>
              <w:rPr>
                <w:rFonts w:ascii="仿宋_GB2312" w:hAnsi="仿宋_GB2312" w:cs="仿宋_GB2312" w:eastAsia="仿宋_GB2312"/>
                <w:sz w:val="32"/>
                <w:b/>
              </w:rPr>
              <w:t>.</w:t>
            </w:r>
            <w:r>
              <w:rPr>
                <w:rFonts w:ascii="仿宋_GB2312" w:hAnsi="仿宋_GB2312" w:cs="仿宋_GB2312" w:eastAsia="仿宋_GB2312"/>
                <w:sz w:val="32"/>
                <w:b/>
              </w:rPr>
              <w:t>2</w:t>
            </w:r>
            <w:r>
              <w:rPr>
                <w:rFonts w:ascii="仿宋_GB2312" w:hAnsi="仿宋_GB2312" w:cs="仿宋_GB2312" w:eastAsia="仿宋_GB2312"/>
                <w:sz w:val="32"/>
                <w:b/>
              </w:rPr>
              <w:t>运维管理制度</w:t>
            </w:r>
          </w:p>
          <w:p>
            <w:pPr>
              <w:pStyle w:val="null3"/>
              <w:ind w:firstLine="640"/>
              <w:jc w:val="both"/>
            </w:pPr>
            <w:r>
              <w:rPr>
                <w:rFonts w:ascii="仿宋_GB2312" w:hAnsi="仿宋_GB2312" w:cs="仿宋_GB2312" w:eastAsia="仿宋_GB2312"/>
                <w:sz w:val="32"/>
              </w:rPr>
              <w:t>日常巡检制度：每日对系统运行状态、网络设备、服务器、终端设备进行巡检，记录巡检结果，发现问题及时处理。</w:t>
            </w:r>
          </w:p>
          <w:p>
            <w:pPr>
              <w:pStyle w:val="null3"/>
              <w:ind w:firstLine="640"/>
              <w:jc w:val="both"/>
            </w:pPr>
            <w:r>
              <w:rPr>
                <w:rFonts w:ascii="仿宋_GB2312" w:hAnsi="仿宋_GB2312" w:cs="仿宋_GB2312" w:eastAsia="仿宋_GB2312"/>
                <w:sz w:val="32"/>
              </w:rPr>
              <w:t>故障处理制度：建立故障分级机制（一级、二级、三级），明确故障响应时限与处理流程，确保故障快速解决。</w:t>
            </w:r>
          </w:p>
          <w:p>
            <w:pPr>
              <w:pStyle w:val="null3"/>
              <w:ind w:firstLine="640"/>
              <w:jc w:val="both"/>
            </w:pPr>
            <w:r>
              <w:rPr>
                <w:rFonts w:ascii="仿宋_GB2312" w:hAnsi="仿宋_GB2312" w:cs="仿宋_GB2312" w:eastAsia="仿宋_GB2312"/>
                <w:sz w:val="32"/>
              </w:rPr>
              <w:t>变更管理制度：系统变更（如软件升级、配置修改）需提交申请，经审批后实施，实施前做好备份，实施后进行验证。</w:t>
            </w:r>
          </w:p>
          <w:p>
            <w:pPr>
              <w:pStyle w:val="null3"/>
              <w:ind w:firstLine="640"/>
              <w:jc w:val="both"/>
            </w:pPr>
            <w:r>
              <w:rPr>
                <w:rFonts w:ascii="仿宋_GB2312" w:hAnsi="仿宋_GB2312" w:cs="仿宋_GB2312" w:eastAsia="仿宋_GB2312"/>
                <w:sz w:val="32"/>
              </w:rPr>
              <w:t>数据管理制度：规范数据采集、存储、使用、备份、销毁流程，确保数据安全与质量。</w:t>
            </w:r>
          </w:p>
          <w:p>
            <w:pPr>
              <w:pStyle w:val="null3"/>
              <w:ind w:firstLine="640"/>
              <w:jc w:val="both"/>
            </w:pPr>
            <w:r>
              <w:rPr>
                <w:rFonts w:ascii="仿宋_GB2312" w:hAnsi="仿宋_GB2312" w:cs="仿宋_GB2312" w:eastAsia="仿宋_GB2312"/>
                <w:sz w:val="32"/>
              </w:rPr>
              <w:t>安全管理制度：定期进行安全扫描、漏洞修复、病毒查杀，加强账号密码管理，防范安全风险。</w:t>
            </w:r>
          </w:p>
          <w:p>
            <w:pPr>
              <w:pStyle w:val="null3"/>
              <w:jc w:val="both"/>
              <w:outlineLvl w:val="1"/>
            </w:pPr>
            <w:r>
              <w:rPr>
                <w:rFonts w:ascii="仿宋_GB2312" w:hAnsi="仿宋_GB2312" w:cs="仿宋_GB2312" w:eastAsia="仿宋_GB2312"/>
                <w:sz w:val="32"/>
                <w:b/>
              </w:rPr>
              <w:t>4、</w:t>
            </w:r>
            <w:r>
              <w:rPr>
                <w:rFonts w:ascii="仿宋_GB2312" w:hAnsi="仿宋_GB2312" w:cs="仿宋_GB2312" w:eastAsia="仿宋_GB2312"/>
                <w:sz w:val="32"/>
                <w:b/>
              </w:rPr>
              <w:t>售后方案</w:t>
            </w:r>
          </w:p>
          <w:p>
            <w:pPr>
              <w:pStyle w:val="null3"/>
              <w:ind w:firstLine="640"/>
              <w:jc w:val="both"/>
            </w:pPr>
            <w:r>
              <w:rPr>
                <w:rFonts w:ascii="仿宋_GB2312" w:hAnsi="仿宋_GB2312" w:cs="仿宋_GB2312" w:eastAsia="仿宋_GB2312"/>
                <w:sz w:val="32"/>
              </w:rPr>
              <w:t>售后服务团队：厂商组建专业售后服务团队，配备技术支持人员，提供</w:t>
            </w:r>
            <w:r>
              <w:rPr>
                <w:rFonts w:ascii="仿宋_GB2312" w:hAnsi="仿宋_GB2312" w:cs="仿宋_GB2312" w:eastAsia="仿宋_GB2312"/>
                <w:sz w:val="32"/>
              </w:rPr>
              <w:t>7×24小时技术支持。</w:t>
            </w:r>
          </w:p>
          <w:p>
            <w:pPr>
              <w:pStyle w:val="null3"/>
              <w:ind w:firstLine="640"/>
              <w:jc w:val="both"/>
            </w:pPr>
            <w:r>
              <w:rPr>
                <w:rFonts w:ascii="仿宋_GB2312" w:hAnsi="仿宋_GB2312" w:cs="仿宋_GB2312" w:eastAsia="仿宋_GB2312"/>
                <w:sz w:val="32"/>
              </w:rPr>
              <w:t>服务内容：</w:t>
            </w:r>
          </w:p>
          <w:p>
            <w:pPr>
              <w:pStyle w:val="null3"/>
              <w:ind w:firstLine="640"/>
              <w:jc w:val="both"/>
            </w:pPr>
            <w:r>
              <w:rPr>
                <w:rFonts w:ascii="仿宋_GB2312" w:hAnsi="仿宋_GB2312" w:cs="仿宋_GB2312" w:eastAsia="仿宋_GB2312"/>
                <w:sz w:val="32"/>
              </w:rPr>
              <w:t>故障响应：接到故障报修后，</w:t>
            </w:r>
            <w:r>
              <w:rPr>
                <w:rFonts w:ascii="仿宋_GB2312" w:hAnsi="仿宋_GB2312" w:cs="仿宋_GB2312" w:eastAsia="仿宋_GB2312"/>
                <w:sz w:val="32"/>
              </w:rPr>
              <w:t>15分钟内响应，远程协助解决；远程无法解决的，4小时内到达现场（本地服务点）。</w:t>
            </w:r>
          </w:p>
          <w:p>
            <w:pPr>
              <w:pStyle w:val="null3"/>
              <w:ind w:firstLine="640"/>
              <w:jc w:val="both"/>
            </w:pPr>
            <w:r>
              <w:rPr>
                <w:rFonts w:ascii="仿宋_GB2312" w:hAnsi="仿宋_GB2312" w:cs="仿宋_GB2312" w:eastAsia="仿宋_GB2312"/>
                <w:sz w:val="32"/>
              </w:rPr>
              <w:t>软件维护：提供免费软件升级、</w:t>
            </w:r>
            <w:r>
              <w:rPr>
                <w:rFonts w:ascii="仿宋_GB2312" w:hAnsi="仿宋_GB2312" w:cs="仿宋_GB2312" w:eastAsia="仿宋_GB2312"/>
                <w:sz w:val="32"/>
              </w:rPr>
              <w:t>bug修复服务，保障系统功能持续优化。</w:t>
            </w:r>
          </w:p>
          <w:p>
            <w:pPr>
              <w:pStyle w:val="null3"/>
              <w:ind w:firstLine="640"/>
              <w:jc w:val="both"/>
            </w:pPr>
            <w:r>
              <w:rPr>
                <w:rFonts w:ascii="仿宋_GB2312" w:hAnsi="仿宋_GB2312" w:cs="仿宋_GB2312" w:eastAsia="仿宋_GB2312"/>
                <w:sz w:val="32"/>
              </w:rPr>
              <w:t>硬件保修：硬件设备提供免费保修，保修期内非人为损坏免费维修或更换。</w:t>
            </w:r>
          </w:p>
          <w:p>
            <w:pPr>
              <w:pStyle w:val="null3"/>
              <w:ind w:firstLine="640"/>
              <w:jc w:val="both"/>
            </w:pPr>
            <w:r>
              <w:rPr>
                <w:rFonts w:ascii="仿宋_GB2312" w:hAnsi="仿宋_GB2312" w:cs="仿宋_GB2312" w:eastAsia="仿宋_GB2312"/>
                <w:sz w:val="32"/>
              </w:rPr>
              <w:t>技术咨询：提供全年技术咨询服务，解答运维过程中的疑问。</w:t>
            </w:r>
          </w:p>
          <w:p>
            <w:pPr>
              <w:pStyle w:val="null3"/>
              <w:ind w:firstLine="640"/>
              <w:jc w:val="both"/>
            </w:pPr>
            <w:r>
              <w:rPr>
                <w:rFonts w:ascii="仿宋_GB2312" w:hAnsi="仿宋_GB2312" w:cs="仿宋_GB2312" w:eastAsia="仿宋_GB2312"/>
                <w:sz w:val="32"/>
              </w:rPr>
              <w:t>服务保障：建立售后服务台账，记录服务过程与结果；定期回访用户，收集反馈意见，持续提升服务质量。</w:t>
            </w:r>
          </w:p>
          <w:p>
            <w:pPr>
              <w:pStyle w:val="null3"/>
              <w:ind w:firstLine="643"/>
              <w:jc w:val="both"/>
            </w:pPr>
            <w:r>
              <w:rPr>
                <w:rFonts w:ascii="仿宋_GB2312" w:hAnsi="仿宋_GB2312" w:cs="仿宋_GB2312" w:eastAsia="仿宋_GB2312"/>
                <w:sz w:val="32"/>
                <w:b/>
              </w:rPr>
              <w:t>三、</w:t>
            </w:r>
            <w:r>
              <w:rPr>
                <w:rFonts w:ascii="仿宋_GB2312" w:hAnsi="仿宋_GB2312" w:cs="仿宋_GB2312" w:eastAsia="仿宋_GB2312"/>
                <w:sz w:val="32"/>
                <w:b/>
              </w:rPr>
              <w:t>人员配置与培训</w:t>
            </w:r>
          </w:p>
          <w:p>
            <w:pPr>
              <w:pStyle w:val="null3"/>
              <w:jc w:val="both"/>
              <w:outlineLvl w:val="1"/>
            </w:pPr>
            <w:r>
              <w:rPr>
                <w:rFonts w:ascii="仿宋_GB2312" w:hAnsi="仿宋_GB2312" w:cs="仿宋_GB2312" w:eastAsia="仿宋_GB2312"/>
                <w:sz w:val="32"/>
                <w:b/>
              </w:rPr>
              <w:t>1、</w:t>
            </w:r>
            <w:r>
              <w:rPr>
                <w:rFonts w:ascii="仿宋_GB2312" w:hAnsi="仿宋_GB2312" w:cs="仿宋_GB2312" w:eastAsia="仿宋_GB2312"/>
                <w:sz w:val="32"/>
                <w:b/>
              </w:rPr>
              <w:t>人员配置</w:t>
            </w:r>
          </w:p>
          <w:p>
            <w:pPr>
              <w:pStyle w:val="null3"/>
              <w:ind w:firstLine="640"/>
              <w:jc w:val="both"/>
            </w:pPr>
            <w:r>
              <w:rPr>
                <w:rFonts w:ascii="仿宋_GB2312" w:hAnsi="仿宋_GB2312" w:cs="仿宋_GB2312" w:eastAsia="仿宋_GB2312"/>
                <w:sz w:val="32"/>
              </w:rPr>
              <w:t>针对本次项目办公需求，要求组建一支</w:t>
            </w:r>
            <w:r>
              <w:rPr>
                <w:rFonts w:ascii="仿宋_GB2312" w:hAnsi="仿宋_GB2312" w:cs="仿宋_GB2312" w:eastAsia="仿宋_GB2312"/>
                <w:sz w:val="32"/>
              </w:rPr>
              <w:t>13人的办公团队，团队有</w:t>
            </w:r>
            <w:r>
              <w:rPr>
                <w:rFonts w:ascii="仿宋_GB2312" w:hAnsi="仿宋_GB2312" w:cs="仿宋_GB2312" w:eastAsia="仿宋_GB2312"/>
                <w:sz w:val="32"/>
              </w:rPr>
              <w:t>两</w:t>
            </w:r>
            <w:r>
              <w:rPr>
                <w:rFonts w:ascii="仿宋_GB2312" w:hAnsi="仿宋_GB2312" w:cs="仿宋_GB2312" w:eastAsia="仿宋_GB2312"/>
                <w:sz w:val="32"/>
              </w:rPr>
              <w:t>名组长进行带领，，所组建的办公团队成员皆具备良好的沟通能力、理解能力，对本次建设的软件系统也能熟练应用。</w:t>
            </w:r>
          </w:p>
          <w:p>
            <w:pPr>
              <w:pStyle w:val="null3"/>
              <w:ind w:firstLine="640"/>
              <w:jc w:val="both"/>
            </w:pPr>
            <w:r>
              <w:rPr>
                <w:rFonts w:ascii="仿宋_GB2312" w:hAnsi="仿宋_GB2312" w:cs="仿宋_GB2312" w:eastAsia="仿宋_GB2312"/>
                <w:sz w:val="32"/>
              </w:rPr>
              <w:t>同时团队成员对基本国情、省情、市情</w:t>
            </w:r>
            <w:r>
              <w:rPr>
                <w:rFonts w:ascii="仿宋_GB2312" w:hAnsi="仿宋_GB2312" w:cs="仿宋_GB2312" w:eastAsia="仿宋_GB2312"/>
                <w:sz w:val="32"/>
              </w:rPr>
              <w:t>,相关法律、法规、政策、政府职能,所在城市的地理信息、人文概况,保密制度等都有一定的了解.有较强的文字归纳和输入能力，具有良好的团队精神，有责任心，服从管理，能够承受较强的工作压力，适应能力强。能熟练操作计算机及办公软件，具备岗位专业服务必要的知识和能力。</w:t>
            </w:r>
          </w:p>
          <w:p>
            <w:pPr>
              <w:pStyle w:val="null3"/>
              <w:jc w:val="both"/>
              <w:outlineLvl w:val="1"/>
            </w:pPr>
            <w:r>
              <w:rPr>
                <w:rFonts w:ascii="仿宋_GB2312" w:hAnsi="仿宋_GB2312" w:cs="仿宋_GB2312" w:eastAsia="仿宋_GB2312"/>
                <w:sz w:val="32"/>
                <w:b/>
              </w:rPr>
              <w:t>2、</w:t>
            </w:r>
            <w:r>
              <w:rPr>
                <w:rFonts w:ascii="仿宋_GB2312" w:hAnsi="仿宋_GB2312" w:cs="仿宋_GB2312" w:eastAsia="仿宋_GB2312"/>
                <w:sz w:val="32"/>
                <w:b/>
              </w:rPr>
              <w:t>培训要求</w:t>
            </w:r>
          </w:p>
          <w:p>
            <w:pPr>
              <w:pStyle w:val="null3"/>
              <w:ind w:firstLine="640"/>
              <w:jc w:val="both"/>
            </w:pPr>
            <w:r>
              <w:rPr>
                <w:rFonts w:ascii="仿宋_GB2312" w:hAnsi="仿宋_GB2312" w:cs="仿宋_GB2312" w:eastAsia="仿宋_GB2312"/>
                <w:sz w:val="32"/>
              </w:rPr>
              <w:t>培训目标：使相关人员熟练掌握系统操作流程、业务处理规范、服务礼仪，具备独立开展工作的能力；技术人员掌握系统维护、故障排查技能，保障系统稳定运行。</w:t>
            </w:r>
          </w:p>
          <w:p>
            <w:pPr>
              <w:pStyle w:val="null3"/>
              <w:ind w:firstLine="640"/>
              <w:jc w:val="both"/>
            </w:pPr>
            <w:r>
              <w:rPr>
                <w:rFonts w:ascii="仿宋_GB2312" w:hAnsi="仿宋_GB2312" w:cs="仿宋_GB2312" w:eastAsia="仿宋_GB2312"/>
                <w:sz w:val="32"/>
              </w:rPr>
              <w:t>培训对象：全体工作人员（管理人员、坐席人员、技术人员）。</w:t>
            </w:r>
          </w:p>
          <w:p>
            <w:pPr>
              <w:pStyle w:val="null3"/>
              <w:ind w:firstLine="640"/>
              <w:jc w:val="both"/>
            </w:pPr>
            <w:r>
              <w:rPr>
                <w:rFonts w:ascii="仿宋_GB2312" w:hAnsi="仿宋_GB2312" w:cs="仿宋_GB2312" w:eastAsia="仿宋_GB2312"/>
                <w:sz w:val="32"/>
              </w:rPr>
              <w:t>培训内容：</w:t>
            </w:r>
          </w:p>
          <w:p>
            <w:pPr>
              <w:pStyle w:val="null3"/>
              <w:ind w:firstLine="640"/>
              <w:jc w:val="both"/>
            </w:pPr>
            <w:r>
              <w:rPr>
                <w:rFonts w:ascii="仿宋_GB2312" w:hAnsi="仿宋_GB2312" w:cs="仿宋_GB2312" w:eastAsia="仿宋_GB2312"/>
                <w:sz w:val="32"/>
              </w:rPr>
              <w:t>基础培训：政务服务相关政策法规、</w:t>
            </w:r>
            <w:r>
              <w:rPr>
                <w:rFonts w:ascii="仿宋_GB2312" w:hAnsi="仿宋_GB2312" w:cs="仿宋_GB2312" w:eastAsia="仿宋_GB2312"/>
                <w:sz w:val="32"/>
              </w:rPr>
              <w:t>12345热线工作规范、服务礼仪与沟通技巧。</w:t>
            </w:r>
          </w:p>
          <w:p>
            <w:pPr>
              <w:pStyle w:val="null3"/>
              <w:ind w:firstLine="640"/>
              <w:jc w:val="both"/>
            </w:pPr>
            <w:r>
              <w:rPr>
                <w:rFonts w:ascii="仿宋_GB2312" w:hAnsi="仿宋_GB2312" w:cs="仿宋_GB2312" w:eastAsia="仿宋_GB2312"/>
                <w:sz w:val="32"/>
              </w:rPr>
              <w:t>业务培训：工单受理、分派、办理、回访全流程操作，复杂诉求处理方法，知识库使用。</w:t>
            </w:r>
          </w:p>
          <w:p>
            <w:pPr>
              <w:pStyle w:val="null3"/>
              <w:ind w:firstLine="640"/>
              <w:jc w:val="both"/>
            </w:pPr>
            <w:r>
              <w:rPr>
                <w:rFonts w:ascii="仿宋_GB2312" w:hAnsi="仿宋_GB2312" w:cs="仿宋_GB2312" w:eastAsia="仿宋_GB2312"/>
                <w:sz w:val="32"/>
              </w:rPr>
              <w:t>技术培训：系统操作手册、服务器</w:t>
            </w:r>
            <w:r>
              <w:rPr>
                <w:rFonts w:ascii="仿宋_GB2312" w:hAnsi="仿宋_GB2312" w:cs="仿宋_GB2312" w:eastAsia="仿宋_GB2312"/>
                <w:sz w:val="32"/>
              </w:rPr>
              <w:t>/网络设备维护、故障排查流程、数据备份与恢复。</w:t>
            </w:r>
          </w:p>
          <w:p>
            <w:pPr>
              <w:pStyle w:val="null3"/>
              <w:ind w:firstLine="640"/>
              <w:jc w:val="both"/>
            </w:pPr>
            <w:r>
              <w:rPr>
                <w:rFonts w:ascii="仿宋_GB2312" w:hAnsi="仿宋_GB2312" w:cs="仿宋_GB2312" w:eastAsia="仿宋_GB2312"/>
                <w:sz w:val="32"/>
              </w:rPr>
              <w:t>培训考核：培训结束后进行理论考试与实操考核，考核合格方可上岗；定期组织复训与考核，确保技能持续提升。</w:t>
            </w:r>
          </w:p>
          <w:p>
            <w:pPr>
              <w:pStyle w:val="null3"/>
              <w:jc w:val="both"/>
              <w:outlineLvl w:val="1"/>
            </w:pPr>
            <w:r>
              <w:rPr>
                <w:rFonts w:ascii="仿宋_GB2312" w:hAnsi="仿宋_GB2312" w:cs="仿宋_GB2312" w:eastAsia="仿宋_GB2312"/>
                <w:sz w:val="32"/>
                <w:b/>
              </w:rPr>
              <w:t>3、</w:t>
            </w:r>
            <w:r>
              <w:rPr>
                <w:rFonts w:ascii="仿宋_GB2312" w:hAnsi="仿宋_GB2312" w:cs="仿宋_GB2312" w:eastAsia="仿宋_GB2312"/>
                <w:sz w:val="32"/>
                <w:b/>
              </w:rPr>
              <w:t>培训方案</w:t>
            </w:r>
          </w:p>
          <w:p>
            <w:pPr>
              <w:pStyle w:val="null3"/>
              <w:outlineLvl w:val="2"/>
            </w:pPr>
            <w:r>
              <w:rPr>
                <w:rFonts w:ascii="仿宋_GB2312" w:hAnsi="仿宋_GB2312" w:cs="仿宋_GB2312" w:eastAsia="仿宋_GB2312"/>
                <w:sz w:val="32"/>
                <w:b/>
              </w:rPr>
              <w:t>3.1</w:t>
            </w:r>
            <w:r>
              <w:rPr>
                <w:rFonts w:ascii="仿宋_GB2312" w:hAnsi="仿宋_GB2312" w:cs="仿宋_GB2312" w:eastAsia="仿宋_GB2312"/>
                <w:sz w:val="32"/>
                <w:b/>
              </w:rPr>
              <w:t>培训方式</w:t>
            </w:r>
          </w:p>
          <w:p>
            <w:pPr>
              <w:pStyle w:val="null3"/>
              <w:ind w:firstLine="640"/>
              <w:jc w:val="both"/>
            </w:pPr>
            <w:r>
              <w:rPr>
                <w:rFonts w:ascii="仿宋_GB2312" w:hAnsi="仿宋_GB2312" w:cs="仿宋_GB2312" w:eastAsia="仿宋_GB2312"/>
                <w:sz w:val="32"/>
              </w:rPr>
              <w:t>集中授课：邀请行业专家、厂商技术人员进行集中授课，讲解政策法规、业务知识、系统操作。</w:t>
            </w:r>
          </w:p>
          <w:p>
            <w:pPr>
              <w:pStyle w:val="null3"/>
              <w:ind w:firstLine="640"/>
              <w:jc w:val="both"/>
            </w:pPr>
            <w:r>
              <w:rPr>
                <w:rFonts w:ascii="仿宋_GB2312" w:hAnsi="仿宋_GB2312" w:cs="仿宋_GB2312" w:eastAsia="仿宋_GB2312"/>
                <w:sz w:val="32"/>
              </w:rPr>
              <w:t>实操培训：在模拟环境中进行实操训练，由技术人员现场指导，确保人员熟练掌握操作流程。</w:t>
            </w:r>
          </w:p>
          <w:p>
            <w:pPr>
              <w:pStyle w:val="null3"/>
              <w:ind w:firstLine="640"/>
              <w:jc w:val="both"/>
            </w:pPr>
            <w:r>
              <w:rPr>
                <w:rFonts w:ascii="仿宋_GB2312" w:hAnsi="仿宋_GB2312" w:cs="仿宋_GB2312" w:eastAsia="仿宋_GB2312"/>
                <w:sz w:val="32"/>
              </w:rPr>
              <w:t>跟岗学习：新员工跟随老员工跟岗学习，熟悉业务流程与工作方法，积累实践经验。</w:t>
            </w:r>
          </w:p>
          <w:p>
            <w:pPr>
              <w:pStyle w:val="null3"/>
              <w:ind w:firstLine="640"/>
              <w:jc w:val="both"/>
            </w:pPr>
            <w:r>
              <w:rPr>
                <w:rFonts w:ascii="仿宋_GB2312" w:hAnsi="仿宋_GB2312" w:cs="仿宋_GB2312" w:eastAsia="仿宋_GB2312"/>
                <w:sz w:val="32"/>
              </w:rPr>
              <w:t>线上培训：搭建线上培训平台，提供培训视频、操作手册、知识库等学习资源，方便人员随时学习。</w:t>
            </w:r>
          </w:p>
          <w:p>
            <w:pPr>
              <w:pStyle w:val="null3"/>
              <w:ind w:firstLine="640"/>
              <w:jc w:val="both"/>
            </w:pPr>
            <w:r>
              <w:rPr>
                <w:rFonts w:ascii="仿宋_GB2312" w:hAnsi="仿宋_GB2312" w:cs="仿宋_GB2312" w:eastAsia="仿宋_GB2312"/>
                <w:sz w:val="32"/>
              </w:rPr>
              <w:t>定期复训：每月组织</w:t>
            </w:r>
            <w:r>
              <w:rPr>
                <w:rFonts w:ascii="仿宋_GB2312" w:hAnsi="仿宋_GB2312" w:cs="仿宋_GB2312" w:eastAsia="仿宋_GB2312"/>
                <w:sz w:val="32"/>
              </w:rPr>
              <w:t>1次集中复训，针对工作中出现的问题进行专题讲解，更新业务知识与技能。</w:t>
            </w:r>
          </w:p>
          <w:p>
            <w:pPr>
              <w:pStyle w:val="null3"/>
              <w:outlineLvl w:val="2"/>
            </w:pPr>
            <w:r>
              <w:rPr>
                <w:rFonts w:ascii="仿宋_GB2312" w:hAnsi="仿宋_GB2312" w:cs="仿宋_GB2312" w:eastAsia="仿宋_GB2312"/>
                <w:sz w:val="32"/>
                <w:b/>
              </w:rPr>
              <w:t>3.2</w:t>
            </w:r>
            <w:r>
              <w:rPr>
                <w:rFonts w:ascii="仿宋_GB2312" w:hAnsi="仿宋_GB2312" w:cs="仿宋_GB2312" w:eastAsia="仿宋_GB2312"/>
                <w:sz w:val="32"/>
                <w:b/>
              </w:rPr>
              <w:t>培训计划</w:t>
            </w:r>
          </w:p>
          <w:tbl>
            <w:tblPr>
              <w:tblBorders>
                <w:top w:val="none" w:color="000000" w:sz="4"/>
                <w:left w:val="none" w:color="000000" w:sz="4"/>
                <w:bottom w:val="none" w:color="000000" w:sz="4"/>
                <w:right w:val="none" w:color="000000" w:sz="4"/>
                <w:insideH w:val="none"/>
                <w:insideV w:val="none"/>
              </w:tblBorders>
            </w:tblPr>
            <w:tblGrid>
              <w:gridCol w:w="418"/>
              <w:gridCol w:w="422"/>
              <w:gridCol w:w="455"/>
              <w:gridCol w:w="779"/>
              <w:gridCol w:w="467"/>
            </w:tblGrid>
            <w:tr>
              <w:tc>
                <w:tcPr>
                  <w:tcW w:type="dxa" w:w="41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培训阶段</w:t>
                  </w:r>
                </w:p>
              </w:tc>
              <w:tc>
                <w:tcPr>
                  <w:tcW w:type="dxa" w:w="42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培训时间</w:t>
                  </w:r>
                </w:p>
              </w:tc>
              <w:tc>
                <w:tcPr>
                  <w:tcW w:type="dxa" w:w="45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培训对象</w:t>
                  </w:r>
                </w:p>
              </w:tc>
              <w:tc>
                <w:tcPr>
                  <w:tcW w:type="dxa" w:w="77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培训内容</w:t>
                  </w:r>
                </w:p>
              </w:tc>
              <w:tc>
                <w:tcPr>
                  <w:tcW w:type="dxa" w:w="46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培训方式</w:t>
                  </w:r>
                </w:p>
              </w:tc>
            </w:tr>
            <w:tr>
              <w:tc>
                <w:tcPr>
                  <w:tcW w:type="dxa" w:w="4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岗前培训</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项目上线前</w:t>
                  </w:r>
                  <w:r>
                    <w:rPr>
                      <w:rFonts w:ascii="仿宋_GB2312" w:hAnsi="仿宋_GB2312" w:cs="仿宋_GB2312" w:eastAsia="仿宋_GB2312"/>
                      <w:sz w:val="32"/>
                      <w:color w:val="000000"/>
                    </w:rPr>
                    <w:t>1个月</w:t>
                  </w:r>
                </w:p>
              </w:tc>
              <w:tc>
                <w:tcPr>
                  <w:tcW w:type="dxa" w:w="45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全体人员</w:t>
                  </w:r>
                </w:p>
              </w:tc>
              <w:tc>
                <w:tcPr>
                  <w:tcW w:type="dxa" w:w="7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政策法规、工作规范、服务礼仪、系统操作、业务流程</w:t>
                  </w:r>
                </w:p>
              </w:tc>
              <w:tc>
                <w:tcPr>
                  <w:tcW w:type="dxa" w:w="4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集中授课</w:t>
                  </w:r>
                  <w:r>
                    <w:rPr>
                      <w:rFonts w:ascii="仿宋_GB2312" w:hAnsi="仿宋_GB2312" w:cs="仿宋_GB2312" w:eastAsia="仿宋_GB2312"/>
                      <w:sz w:val="32"/>
                      <w:color w:val="000000"/>
                    </w:rPr>
                    <w:t>+实操培训</w:t>
                  </w:r>
                </w:p>
              </w:tc>
            </w:tr>
            <w:tr>
              <w:tc>
                <w:tcPr>
                  <w:tcW w:type="dxa" w:w="4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跟岗学习</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项目上线后</w:t>
                  </w:r>
                  <w:r>
                    <w:rPr>
                      <w:rFonts w:ascii="仿宋_GB2312" w:hAnsi="仿宋_GB2312" w:cs="仿宋_GB2312" w:eastAsia="仿宋_GB2312"/>
                      <w:sz w:val="32"/>
                      <w:color w:val="000000"/>
                    </w:rPr>
                    <w:t>1个月</w:t>
                  </w:r>
                </w:p>
              </w:tc>
              <w:tc>
                <w:tcPr>
                  <w:tcW w:type="dxa" w:w="45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新员工</w:t>
                  </w:r>
                </w:p>
              </w:tc>
              <w:tc>
                <w:tcPr>
                  <w:tcW w:type="dxa" w:w="7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业务实操、复杂问题处理、沟通技巧</w:t>
                  </w:r>
                </w:p>
              </w:tc>
              <w:tc>
                <w:tcPr>
                  <w:tcW w:type="dxa" w:w="4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跟岗学习</w:t>
                  </w:r>
                  <w:r>
                    <w:rPr>
                      <w:rFonts w:ascii="仿宋_GB2312" w:hAnsi="仿宋_GB2312" w:cs="仿宋_GB2312" w:eastAsia="仿宋_GB2312"/>
                      <w:sz w:val="32"/>
                      <w:color w:val="000000"/>
                    </w:rPr>
                    <w:t>+导师指导</w:t>
                  </w:r>
                </w:p>
              </w:tc>
            </w:tr>
            <w:tr>
              <w:tc>
                <w:tcPr>
                  <w:tcW w:type="dxa" w:w="4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定期复训</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每月</w:t>
                  </w:r>
                  <w:r>
                    <w:rPr>
                      <w:rFonts w:ascii="仿宋_GB2312" w:hAnsi="仿宋_GB2312" w:cs="仿宋_GB2312" w:eastAsia="仿宋_GB2312"/>
                      <w:sz w:val="32"/>
                      <w:color w:val="000000"/>
                    </w:rPr>
                    <w:t>3次</w:t>
                  </w:r>
                </w:p>
              </w:tc>
              <w:tc>
                <w:tcPr>
                  <w:tcW w:type="dxa" w:w="45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全体人员</w:t>
                  </w:r>
                </w:p>
              </w:tc>
              <w:tc>
                <w:tcPr>
                  <w:tcW w:type="dxa" w:w="7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业务更新、问题复盘、技能提升</w:t>
                  </w:r>
                </w:p>
              </w:tc>
              <w:tc>
                <w:tcPr>
                  <w:tcW w:type="dxa" w:w="4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集中授课</w:t>
                  </w:r>
                  <w:r>
                    <w:rPr>
                      <w:rFonts w:ascii="仿宋_GB2312" w:hAnsi="仿宋_GB2312" w:cs="仿宋_GB2312" w:eastAsia="仿宋_GB2312"/>
                      <w:sz w:val="32"/>
                      <w:color w:val="000000"/>
                    </w:rPr>
                    <w:t>+线上学习</w:t>
                  </w:r>
                </w:p>
              </w:tc>
            </w:tr>
            <w:tr>
              <w:tc>
                <w:tcPr>
                  <w:tcW w:type="dxa" w:w="4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专项培训</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按需开展</w:t>
                  </w:r>
                </w:p>
              </w:tc>
              <w:tc>
                <w:tcPr>
                  <w:tcW w:type="dxa" w:w="45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技术人员</w:t>
                  </w:r>
                </w:p>
              </w:tc>
              <w:tc>
                <w:tcPr>
                  <w:tcW w:type="dxa" w:w="7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系统升级、新功能操作、故障排查</w:t>
                  </w:r>
                </w:p>
              </w:tc>
              <w:tc>
                <w:tcPr>
                  <w:tcW w:type="dxa" w:w="4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厂商培训</w:t>
                  </w:r>
                  <w:r>
                    <w:rPr>
                      <w:rFonts w:ascii="仿宋_GB2312" w:hAnsi="仿宋_GB2312" w:cs="仿宋_GB2312" w:eastAsia="仿宋_GB2312"/>
                      <w:sz w:val="32"/>
                      <w:color w:val="000000"/>
                    </w:rPr>
                    <w:t>+实操演练</w:t>
                  </w:r>
                </w:p>
              </w:tc>
            </w:tr>
          </w:tbl>
          <w:p>
            <w:pPr>
              <w:pStyle w:val="null3"/>
              <w:jc w:val="both"/>
              <w:outlineLvl w:val="1"/>
            </w:pPr>
            <w:r>
              <w:rPr>
                <w:rFonts w:ascii="仿宋_GB2312" w:hAnsi="仿宋_GB2312" w:cs="仿宋_GB2312" w:eastAsia="仿宋_GB2312"/>
                <w:sz w:val="32"/>
                <w:b/>
              </w:rPr>
              <w:t>四、项目验收：</w:t>
            </w:r>
          </w:p>
          <w:p>
            <w:pPr>
              <w:pStyle w:val="null3"/>
              <w:jc w:val="both"/>
              <w:outlineLvl w:val="1"/>
            </w:pPr>
            <w:r>
              <w:rPr>
                <w:rFonts w:ascii="仿宋_GB2312" w:hAnsi="仿宋_GB2312" w:cs="仿宋_GB2312" w:eastAsia="仿宋_GB2312"/>
                <w:sz w:val="32"/>
                <w:b/>
              </w:rPr>
              <w:t>1、</w:t>
            </w:r>
            <w:r>
              <w:rPr>
                <w:rFonts w:ascii="仿宋_GB2312" w:hAnsi="仿宋_GB2312" w:cs="仿宋_GB2312" w:eastAsia="仿宋_GB2312"/>
                <w:sz w:val="32"/>
                <w:b/>
              </w:rPr>
              <w:t>验收原则</w:t>
            </w:r>
          </w:p>
          <w:p>
            <w:pPr>
              <w:pStyle w:val="null3"/>
              <w:ind w:firstLine="640"/>
              <w:jc w:val="both"/>
            </w:pPr>
            <w:r>
              <w:rPr>
                <w:rFonts w:ascii="仿宋_GB2312" w:hAnsi="仿宋_GB2312" w:cs="仿宋_GB2312" w:eastAsia="仿宋_GB2312"/>
                <w:sz w:val="32"/>
              </w:rPr>
              <w:t>合规性原则：验收内容需符合国家相关政策法规、技术标准及项目招标文件、合同约定。</w:t>
            </w:r>
          </w:p>
          <w:p>
            <w:pPr>
              <w:pStyle w:val="null3"/>
              <w:ind w:firstLine="640"/>
              <w:jc w:val="both"/>
            </w:pPr>
            <w:r>
              <w:rPr>
                <w:rFonts w:ascii="仿宋_GB2312" w:hAnsi="仿宋_GB2312" w:cs="仿宋_GB2312" w:eastAsia="仿宋_GB2312"/>
                <w:sz w:val="32"/>
              </w:rPr>
              <w:t>完整性原则：所有建设内容（硬件、软件、装修、系统对接等）需全部完成，无遗漏。</w:t>
            </w:r>
          </w:p>
          <w:p>
            <w:pPr>
              <w:pStyle w:val="null3"/>
              <w:ind w:firstLine="640"/>
              <w:jc w:val="both"/>
            </w:pPr>
            <w:r>
              <w:rPr>
                <w:rFonts w:ascii="仿宋_GB2312" w:hAnsi="仿宋_GB2312" w:cs="仿宋_GB2312" w:eastAsia="仿宋_GB2312"/>
                <w:sz w:val="32"/>
              </w:rPr>
              <w:t>功能性原则：软件系统功能需满足需求规格说明书要求，硬件设备运行正常。</w:t>
            </w:r>
          </w:p>
          <w:p>
            <w:pPr>
              <w:pStyle w:val="null3"/>
              <w:ind w:firstLine="640"/>
              <w:jc w:val="both"/>
            </w:pPr>
            <w:r>
              <w:rPr>
                <w:rFonts w:ascii="仿宋_GB2312" w:hAnsi="仿宋_GB2312" w:cs="仿宋_GB2312" w:eastAsia="仿宋_GB2312"/>
                <w:sz w:val="32"/>
              </w:rPr>
              <w:t>安全性原则：系统需通过三级等保测评，符合密码应用要求，数据安全有保障。</w:t>
            </w:r>
          </w:p>
          <w:p>
            <w:pPr>
              <w:pStyle w:val="null3"/>
              <w:ind w:firstLine="640"/>
              <w:jc w:val="both"/>
            </w:pPr>
            <w:r>
              <w:rPr>
                <w:rFonts w:ascii="仿宋_GB2312" w:hAnsi="仿宋_GB2312" w:cs="仿宋_GB2312" w:eastAsia="仿宋_GB2312"/>
                <w:sz w:val="32"/>
              </w:rPr>
              <w:t>实用性原则：系统需满足实际业务需求，操作便捷，运行稳定，能提升工作效率。</w:t>
            </w:r>
          </w:p>
          <w:p>
            <w:pPr>
              <w:pStyle w:val="null3"/>
              <w:jc w:val="both"/>
              <w:outlineLvl w:val="1"/>
            </w:pPr>
            <w:r>
              <w:rPr>
                <w:rFonts w:ascii="仿宋_GB2312" w:hAnsi="仿宋_GB2312" w:cs="仿宋_GB2312" w:eastAsia="仿宋_GB2312"/>
                <w:sz w:val="32"/>
                <w:b/>
              </w:rPr>
              <w:t>2、</w:t>
            </w:r>
            <w:r>
              <w:rPr>
                <w:rFonts w:ascii="仿宋_GB2312" w:hAnsi="仿宋_GB2312" w:cs="仿宋_GB2312" w:eastAsia="仿宋_GB2312"/>
                <w:sz w:val="32"/>
                <w:b/>
              </w:rPr>
              <w:t>验收条件</w:t>
            </w:r>
          </w:p>
          <w:p>
            <w:pPr>
              <w:pStyle w:val="null3"/>
              <w:ind w:firstLine="640"/>
              <w:jc w:val="both"/>
            </w:pPr>
            <w:r>
              <w:rPr>
                <w:rFonts w:ascii="仿宋_GB2312" w:hAnsi="仿宋_GB2312" w:cs="仿宋_GB2312" w:eastAsia="仿宋_GB2312"/>
                <w:sz w:val="32"/>
              </w:rPr>
              <w:t>项目建设内容全部完成，符合设计方案及合同约定。</w:t>
            </w:r>
          </w:p>
          <w:p>
            <w:pPr>
              <w:pStyle w:val="null3"/>
              <w:ind w:firstLine="640"/>
              <w:jc w:val="both"/>
            </w:pPr>
            <w:r>
              <w:rPr>
                <w:rFonts w:ascii="仿宋_GB2312" w:hAnsi="仿宋_GB2312" w:cs="仿宋_GB2312" w:eastAsia="仿宋_GB2312"/>
                <w:sz w:val="32"/>
              </w:rPr>
              <w:t>软件系统功能全部实现，通过功能测试，无重大</w:t>
            </w:r>
            <w:r>
              <w:rPr>
                <w:rFonts w:ascii="仿宋_GB2312" w:hAnsi="仿宋_GB2312" w:cs="仿宋_GB2312" w:eastAsia="仿宋_GB2312"/>
                <w:sz w:val="32"/>
              </w:rPr>
              <w:t>bug。</w:t>
            </w:r>
          </w:p>
          <w:p>
            <w:pPr>
              <w:pStyle w:val="null3"/>
              <w:ind w:firstLine="640"/>
              <w:jc w:val="both"/>
            </w:pPr>
            <w:r>
              <w:rPr>
                <w:rFonts w:ascii="仿宋_GB2312" w:hAnsi="仿宋_GB2312" w:cs="仿宋_GB2312" w:eastAsia="仿宋_GB2312"/>
                <w:sz w:val="32"/>
              </w:rPr>
              <w:t>硬件设备安装调试完毕，运行正常，性能达标。</w:t>
            </w:r>
          </w:p>
          <w:p>
            <w:pPr>
              <w:pStyle w:val="null3"/>
              <w:ind w:firstLine="640"/>
              <w:jc w:val="both"/>
            </w:pPr>
            <w:r>
              <w:rPr>
                <w:rFonts w:ascii="仿宋_GB2312" w:hAnsi="仿宋_GB2312" w:cs="仿宋_GB2312" w:eastAsia="仿宋_GB2312"/>
                <w:sz w:val="32"/>
              </w:rPr>
              <w:t>系统与渭南市</w:t>
            </w:r>
            <w:r>
              <w:rPr>
                <w:rFonts w:ascii="仿宋_GB2312" w:hAnsi="仿宋_GB2312" w:cs="仿宋_GB2312" w:eastAsia="仿宋_GB2312"/>
                <w:sz w:val="32"/>
              </w:rPr>
              <w:t>12345平台对接成功，数据同步正常。</w:t>
            </w:r>
          </w:p>
          <w:p>
            <w:pPr>
              <w:pStyle w:val="null3"/>
              <w:ind w:firstLine="640"/>
              <w:jc w:val="both"/>
            </w:pPr>
            <w:r>
              <w:rPr>
                <w:rFonts w:ascii="仿宋_GB2312" w:hAnsi="仿宋_GB2312" w:cs="仿宋_GB2312" w:eastAsia="仿宋_GB2312"/>
                <w:sz w:val="32"/>
              </w:rPr>
              <w:t>国产化适配改造完成，兼容国产软硬件产品。</w:t>
            </w:r>
          </w:p>
          <w:p>
            <w:pPr>
              <w:pStyle w:val="null3"/>
              <w:ind w:firstLine="640"/>
              <w:jc w:val="both"/>
            </w:pPr>
            <w:r>
              <w:rPr>
                <w:rFonts w:ascii="仿宋_GB2312" w:hAnsi="仿宋_GB2312" w:cs="仿宋_GB2312" w:eastAsia="仿宋_GB2312"/>
                <w:sz w:val="32"/>
              </w:rPr>
              <w:t>系统通过三级等保测评及密码应用测评。</w:t>
            </w:r>
          </w:p>
          <w:p>
            <w:pPr>
              <w:pStyle w:val="null3"/>
              <w:ind w:firstLine="640"/>
              <w:jc w:val="both"/>
            </w:pPr>
            <w:r>
              <w:rPr>
                <w:rFonts w:ascii="仿宋_GB2312" w:hAnsi="仿宋_GB2312" w:cs="仿宋_GB2312" w:eastAsia="仿宋_GB2312"/>
                <w:sz w:val="32"/>
              </w:rPr>
              <w:t>项目文档齐全（包括设计方案、施工图纸、测试报告、用户手册、培训资料等）。</w:t>
            </w:r>
          </w:p>
          <w:p>
            <w:pPr>
              <w:pStyle w:val="null3"/>
              <w:ind w:firstLine="640"/>
              <w:jc w:val="both"/>
            </w:pPr>
            <w:r>
              <w:rPr>
                <w:rFonts w:ascii="仿宋_GB2312" w:hAnsi="仿宋_GB2312" w:cs="仿宋_GB2312" w:eastAsia="仿宋_GB2312"/>
                <w:sz w:val="32"/>
              </w:rPr>
              <w:t>试运行期</w:t>
            </w:r>
            <w:r>
              <w:rPr>
                <w:rFonts w:ascii="仿宋_GB2312" w:hAnsi="仿宋_GB2312" w:cs="仿宋_GB2312" w:eastAsia="仿宋_GB2312"/>
                <w:sz w:val="32"/>
              </w:rPr>
              <w:t>≥3个月，系统运行稳定，无重大故障，各项指标达标（如接通率、办结率、满意度等）。</w:t>
            </w:r>
          </w:p>
          <w:p>
            <w:pPr>
              <w:pStyle w:val="null3"/>
              <w:jc w:val="both"/>
              <w:outlineLvl w:val="1"/>
            </w:pPr>
            <w:r>
              <w:rPr>
                <w:rFonts w:ascii="仿宋_GB2312" w:hAnsi="仿宋_GB2312" w:cs="仿宋_GB2312" w:eastAsia="仿宋_GB2312"/>
                <w:sz w:val="32"/>
                <w:b/>
              </w:rPr>
              <w:t>3、</w:t>
            </w:r>
            <w:r>
              <w:rPr>
                <w:rFonts w:ascii="仿宋_GB2312" w:hAnsi="仿宋_GB2312" w:cs="仿宋_GB2312" w:eastAsia="仿宋_GB2312"/>
                <w:sz w:val="32"/>
                <w:b/>
              </w:rPr>
              <w:t>验收标准</w:t>
            </w:r>
          </w:p>
          <w:p>
            <w:pPr>
              <w:pStyle w:val="null3"/>
              <w:outlineLvl w:val="2"/>
            </w:pPr>
            <w:r>
              <w:rPr>
                <w:rFonts w:ascii="仿宋_GB2312" w:hAnsi="仿宋_GB2312" w:cs="仿宋_GB2312" w:eastAsia="仿宋_GB2312"/>
                <w:sz w:val="32"/>
                <w:b/>
              </w:rPr>
              <w:t>3.1</w:t>
            </w:r>
            <w:r>
              <w:rPr>
                <w:rFonts w:ascii="仿宋_GB2312" w:hAnsi="仿宋_GB2312" w:cs="仿宋_GB2312" w:eastAsia="仿宋_GB2312"/>
                <w:sz w:val="32"/>
                <w:b/>
              </w:rPr>
              <w:t>硬件设备验收标准</w:t>
            </w:r>
          </w:p>
          <w:tbl>
            <w:tblPr>
              <w:tblBorders>
                <w:top w:val="none" w:color="000000" w:sz="4"/>
                <w:left w:val="none" w:color="000000" w:sz="4"/>
                <w:bottom w:val="none" w:color="000000" w:sz="4"/>
                <w:right w:val="none" w:color="000000" w:sz="4"/>
                <w:insideH w:val="none"/>
                <w:insideV w:val="none"/>
              </w:tblBorders>
            </w:tblPr>
            <w:tblGrid>
              <w:gridCol w:w="420"/>
              <w:gridCol w:w="464"/>
              <w:gridCol w:w="1663"/>
            </w:tblGrid>
            <w:tr>
              <w:tc>
                <w:tcPr>
                  <w:tcW w:type="dxa" w:w="42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设备类别</w:t>
                  </w:r>
                </w:p>
              </w:tc>
              <w:tc>
                <w:tcPr>
                  <w:tcW w:type="dxa" w:w="464"/>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验收指标</w:t>
                  </w:r>
                </w:p>
              </w:tc>
              <w:tc>
                <w:tcPr>
                  <w:tcW w:type="dxa" w:w="166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验收标准</w:t>
                  </w:r>
                </w:p>
              </w:tc>
            </w:tr>
            <w:tr>
              <w:tc>
                <w:tcPr>
                  <w:tcW w:type="dxa" w:w="420"/>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计算机</w:t>
                  </w:r>
                </w:p>
              </w:tc>
              <w:tc>
                <w:tcPr>
                  <w:tcW w:type="dxa" w:w="4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配置参数</w:t>
                  </w:r>
                </w:p>
              </w:tc>
              <w:tc>
                <w:tcPr>
                  <w:tcW w:type="dxa" w:w="16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符合招标要求（</w:t>
                  </w:r>
                  <w:r>
                    <w:rPr>
                      <w:rFonts w:ascii="仿宋_GB2312" w:hAnsi="仿宋_GB2312" w:cs="仿宋_GB2312" w:eastAsia="仿宋_GB2312"/>
                      <w:sz w:val="32"/>
                      <w:color w:val="000000"/>
                    </w:rPr>
                    <w:t>CPU、内存、硬盘、显示器等），运行正常。</w:t>
                  </w:r>
                </w:p>
              </w:tc>
            </w:tr>
            <w:tr>
              <w:tc>
                <w:tcPr>
                  <w:tcW w:type="dxa" w:w="420"/>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性能测试</w:t>
                  </w:r>
                </w:p>
              </w:tc>
              <w:tc>
                <w:tcPr>
                  <w:tcW w:type="dxa" w:w="16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开机时间</w:t>
                  </w:r>
                  <w:r>
                    <w:rPr>
                      <w:rFonts w:ascii="仿宋_GB2312" w:hAnsi="仿宋_GB2312" w:cs="仿宋_GB2312" w:eastAsia="仿宋_GB2312"/>
                      <w:sz w:val="32"/>
                      <w:color w:val="000000"/>
                    </w:rPr>
                    <w:t>≤1分钟，运行办公软件、业务系统无卡顿。</w:t>
                  </w:r>
                </w:p>
              </w:tc>
            </w:tr>
            <w:tr>
              <w:tc>
                <w:tcPr>
                  <w:tcW w:type="dxa" w:w="4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IP电话机</w:t>
                  </w:r>
                </w:p>
              </w:tc>
              <w:tc>
                <w:tcPr>
                  <w:tcW w:type="dxa" w:w="4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功能测试</w:t>
                  </w:r>
                </w:p>
              </w:tc>
              <w:tc>
                <w:tcPr>
                  <w:tcW w:type="dxa" w:w="16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支持高清语音、来电显示、转接、保持等功能，通话清晰无杂音。</w:t>
                  </w:r>
                </w:p>
              </w:tc>
            </w:tr>
            <w:tr>
              <w:tc>
                <w:tcPr>
                  <w:tcW w:type="dxa" w:w="4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中继设备</w:t>
                  </w:r>
                </w:p>
              </w:tc>
              <w:tc>
                <w:tcPr>
                  <w:tcW w:type="dxa" w:w="4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并发处理</w:t>
                  </w:r>
                </w:p>
              </w:tc>
              <w:tc>
                <w:tcPr>
                  <w:tcW w:type="dxa" w:w="16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支持</w:t>
                  </w:r>
                  <w:r>
                    <w:rPr>
                      <w:rFonts w:ascii="仿宋_GB2312" w:hAnsi="仿宋_GB2312" w:cs="仿宋_GB2312" w:eastAsia="仿宋_GB2312"/>
                      <w:sz w:val="32"/>
                      <w:color w:val="000000"/>
                    </w:rPr>
                    <w:t>30路并发呼叫，IVR导航、ACD分配功能正常。</w:t>
                  </w:r>
                </w:p>
              </w:tc>
            </w:tr>
            <w:tr>
              <w:tc>
                <w:tcPr>
                  <w:tcW w:type="dxa" w:w="4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智能显示屏</w:t>
                  </w:r>
                </w:p>
              </w:tc>
              <w:tc>
                <w:tcPr>
                  <w:tcW w:type="dxa" w:w="4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显示效果</w:t>
                  </w:r>
                </w:p>
              </w:tc>
              <w:tc>
                <w:tcPr>
                  <w:tcW w:type="dxa" w:w="16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4K分辨率，显示清晰，触控灵敏，支持多格式文件播放。</w:t>
                  </w:r>
                </w:p>
              </w:tc>
            </w:tr>
            <w:tr>
              <w:tc>
                <w:tcPr>
                  <w:tcW w:type="dxa" w:w="4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网络设备</w:t>
                  </w:r>
                </w:p>
              </w:tc>
              <w:tc>
                <w:tcPr>
                  <w:tcW w:type="dxa" w:w="4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网络性能</w:t>
                  </w:r>
                </w:p>
              </w:tc>
              <w:tc>
                <w:tcPr>
                  <w:tcW w:type="dxa" w:w="16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带宽达标，数据传输稳定，无丢包、延迟现象。</w:t>
                  </w:r>
                </w:p>
              </w:tc>
            </w:tr>
          </w:tbl>
          <w:p>
            <w:pPr>
              <w:pStyle w:val="null3"/>
              <w:outlineLvl w:val="2"/>
            </w:pPr>
            <w:r>
              <w:rPr>
                <w:rFonts w:ascii="仿宋_GB2312" w:hAnsi="仿宋_GB2312" w:cs="仿宋_GB2312" w:eastAsia="仿宋_GB2312"/>
                <w:sz w:val="32"/>
                <w:b/>
              </w:rPr>
              <w:t>3.2</w:t>
            </w:r>
            <w:r>
              <w:rPr>
                <w:rFonts w:ascii="仿宋_GB2312" w:hAnsi="仿宋_GB2312" w:cs="仿宋_GB2312" w:eastAsia="仿宋_GB2312"/>
                <w:sz w:val="32"/>
                <w:b/>
              </w:rPr>
              <w:t>软件系统验收标准</w:t>
            </w:r>
          </w:p>
          <w:tbl>
            <w:tblPr>
              <w:tblBorders>
                <w:top w:val="none" w:color="000000" w:sz="4"/>
                <w:left w:val="none" w:color="000000" w:sz="4"/>
                <w:bottom w:val="none" w:color="000000" w:sz="4"/>
                <w:right w:val="none" w:color="000000" w:sz="4"/>
                <w:insideH w:val="none"/>
                <w:insideV w:val="none"/>
              </w:tblBorders>
            </w:tblPr>
            <w:tblGrid>
              <w:gridCol w:w="387"/>
              <w:gridCol w:w="448"/>
              <w:gridCol w:w="1708"/>
            </w:tblGrid>
            <w:tr>
              <w:tc>
                <w:tcPr>
                  <w:tcW w:type="dxa" w:w="38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系统模块</w:t>
                  </w:r>
                </w:p>
              </w:tc>
              <w:tc>
                <w:tcPr>
                  <w:tcW w:type="dxa" w:w="44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验收指标</w:t>
                  </w:r>
                </w:p>
              </w:tc>
              <w:tc>
                <w:tcPr>
                  <w:tcW w:type="dxa" w:w="170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验收标准</w:t>
                  </w:r>
                </w:p>
              </w:tc>
            </w:tr>
            <w:tr>
              <w:tc>
                <w:tcPr>
                  <w:tcW w:type="dxa" w:w="387"/>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呼叫中心系统</w:t>
                  </w:r>
                </w:p>
              </w:tc>
              <w:tc>
                <w:tcPr>
                  <w:tcW w:type="dxa" w:w="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接通率</w:t>
                  </w:r>
                </w:p>
              </w:tc>
              <w:tc>
                <w:tcPr>
                  <w:tcW w:type="dxa" w:w="17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语音坐席接通率</w:t>
                  </w:r>
                  <w:r>
                    <w:rPr>
                      <w:rFonts w:ascii="仿宋_GB2312" w:hAnsi="仿宋_GB2312" w:cs="仿宋_GB2312" w:eastAsia="仿宋_GB2312"/>
                      <w:sz w:val="32"/>
                      <w:color w:val="000000"/>
                    </w:rPr>
                    <w:t>≥95%，在线坐席响应率≥90%。</w:t>
                  </w:r>
                </w:p>
              </w:tc>
            </w:tr>
            <w:tr>
              <w:tc>
                <w:tcPr>
                  <w:tcW w:type="dxa" w:w="387"/>
                  <w:vMerge/>
                  <w:tcBorders>
                    <w:top w:val="none" w:color="000000" w:sz="4"/>
                    <w:left w:val="single" w:color="000000" w:sz="4"/>
                    <w:bottom w:val="single" w:color="000000" w:sz="4"/>
                    <w:right w:val="single" w:color="000000" w:sz="4"/>
                  </w:tcBorders>
                </w:tcPr>
                <w:p/>
              </w:tc>
              <w:tc>
                <w:tcPr>
                  <w:tcW w:type="dxa" w:w="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功能实现</w:t>
                  </w:r>
                </w:p>
              </w:tc>
              <w:tc>
                <w:tcPr>
                  <w:tcW w:type="dxa" w:w="17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呼叫控制、智能路由、录音、全媒体接入等功能正常。</w:t>
                  </w:r>
                </w:p>
              </w:tc>
            </w:tr>
            <w:tr>
              <w:tc>
                <w:tcPr>
                  <w:tcW w:type="dxa" w:w="387"/>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工单管理系统</w:t>
                  </w:r>
                </w:p>
              </w:tc>
              <w:tc>
                <w:tcPr>
                  <w:tcW w:type="dxa" w:w="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流程闭环</w:t>
                  </w:r>
                </w:p>
              </w:tc>
              <w:tc>
                <w:tcPr>
                  <w:tcW w:type="dxa" w:w="17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工单受理、分派、办理、回访、办结全流程正常，无卡顿。</w:t>
                  </w:r>
                </w:p>
              </w:tc>
            </w:tr>
            <w:tr>
              <w:tc>
                <w:tcPr>
                  <w:tcW w:type="dxa" w:w="387"/>
                  <w:vMerge/>
                  <w:tcBorders>
                    <w:top w:val="none" w:color="000000" w:sz="4"/>
                    <w:left w:val="single" w:color="000000" w:sz="4"/>
                    <w:bottom w:val="single" w:color="000000" w:sz="4"/>
                    <w:right w:val="single" w:color="000000" w:sz="4"/>
                  </w:tcBorders>
                </w:tcPr>
                <w:p/>
              </w:tc>
              <w:tc>
                <w:tcPr>
                  <w:tcW w:type="dxa" w:w="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办结率</w:t>
                  </w:r>
                </w:p>
              </w:tc>
              <w:tc>
                <w:tcPr>
                  <w:tcW w:type="dxa" w:w="17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普通工单办结率</w:t>
                  </w:r>
                  <w:r>
                    <w:rPr>
                      <w:rFonts w:ascii="仿宋_GB2312" w:hAnsi="仿宋_GB2312" w:cs="仿宋_GB2312" w:eastAsia="仿宋_GB2312"/>
                      <w:sz w:val="32"/>
                      <w:color w:val="000000"/>
                    </w:rPr>
                    <w:t>≥98%，紧急工单办结率≥100%。</w:t>
                  </w:r>
                </w:p>
              </w:tc>
            </w:tr>
            <w:tr>
              <w:tc>
                <w:tcPr>
                  <w:tcW w:type="dxa" w:w="387"/>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知识库系统</w:t>
                  </w:r>
                </w:p>
              </w:tc>
              <w:tc>
                <w:tcPr>
                  <w:tcW w:type="dxa" w:w="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检索准确率</w:t>
                  </w:r>
                </w:p>
              </w:tc>
              <w:tc>
                <w:tcPr>
                  <w:tcW w:type="dxa" w:w="17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知识检索准确率</w:t>
                  </w:r>
                  <w:r>
                    <w:rPr>
                      <w:rFonts w:ascii="仿宋_GB2312" w:hAnsi="仿宋_GB2312" w:cs="仿宋_GB2312" w:eastAsia="仿宋_GB2312"/>
                      <w:sz w:val="32"/>
                      <w:color w:val="000000"/>
                    </w:rPr>
                    <w:t>≥90%，响应时间≤1秒。</w:t>
                  </w:r>
                </w:p>
              </w:tc>
            </w:tr>
            <w:tr>
              <w:tc>
                <w:tcPr>
                  <w:tcW w:type="dxa" w:w="387"/>
                  <w:vMerge/>
                  <w:tcBorders>
                    <w:top w:val="none" w:color="000000" w:sz="4"/>
                    <w:left w:val="single" w:color="000000" w:sz="4"/>
                    <w:bottom w:val="single" w:color="000000" w:sz="4"/>
                    <w:right w:val="single" w:color="000000" w:sz="4"/>
                  </w:tcBorders>
                </w:tcPr>
                <w:p/>
              </w:tc>
              <w:tc>
                <w:tcPr>
                  <w:tcW w:type="dxa" w:w="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更新维护</w:t>
                  </w:r>
                </w:p>
              </w:tc>
              <w:tc>
                <w:tcPr>
                  <w:tcW w:type="dxa" w:w="17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支持知识录入、审核、更新、导出等功能，操作便捷。</w:t>
                  </w:r>
                </w:p>
              </w:tc>
            </w:tr>
            <w:tr>
              <w:tc>
                <w:tcPr>
                  <w:tcW w:type="dxa" w:w="387"/>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数据分析系统</w:t>
                  </w:r>
                </w:p>
              </w:tc>
              <w:tc>
                <w:tcPr>
                  <w:tcW w:type="dxa" w:w="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报表生成</w:t>
                  </w:r>
                </w:p>
              </w:tc>
              <w:tc>
                <w:tcPr>
                  <w:tcW w:type="dxa" w:w="17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支持话务、工单、知识等统计报表生成，数据准确。</w:t>
                  </w:r>
                </w:p>
              </w:tc>
            </w:tr>
            <w:tr>
              <w:tc>
                <w:tcPr>
                  <w:tcW w:type="dxa" w:w="387"/>
                  <w:vMerge/>
                  <w:tcBorders>
                    <w:top w:val="none" w:color="000000" w:sz="4"/>
                    <w:left w:val="single" w:color="000000" w:sz="4"/>
                    <w:bottom w:val="single" w:color="000000" w:sz="4"/>
                    <w:right w:val="single" w:color="000000" w:sz="4"/>
                  </w:tcBorders>
                </w:tcPr>
                <w:p/>
              </w:tc>
              <w:tc>
                <w:tcPr>
                  <w:tcW w:type="dxa" w:w="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可视化</w:t>
                  </w:r>
                </w:p>
              </w:tc>
              <w:tc>
                <w:tcPr>
                  <w:tcW w:type="dxa" w:w="17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可视化大屏展示清晰，数据实时更新，支持多维度分析。</w:t>
                  </w:r>
                </w:p>
              </w:tc>
            </w:tr>
            <w:tr>
              <w:tc>
                <w:tcPr>
                  <w:tcW w:type="dxa" w:w="38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系统对接</w:t>
                  </w:r>
                </w:p>
              </w:tc>
              <w:tc>
                <w:tcPr>
                  <w:tcW w:type="dxa" w:w="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数据同步</w:t>
                  </w:r>
                </w:p>
              </w:tc>
              <w:tc>
                <w:tcPr>
                  <w:tcW w:type="dxa" w:w="17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与渭南市</w:t>
                  </w:r>
                  <w:r>
                    <w:rPr>
                      <w:rFonts w:ascii="仿宋_GB2312" w:hAnsi="仿宋_GB2312" w:cs="仿宋_GB2312" w:eastAsia="仿宋_GB2312"/>
                      <w:sz w:val="32"/>
                      <w:color w:val="000000"/>
                    </w:rPr>
                    <w:t>12345平台数据同步延迟≤15分钟，成功率≥99.9%。</w:t>
                  </w:r>
                </w:p>
              </w:tc>
            </w:tr>
          </w:tbl>
          <w:p>
            <w:pPr>
              <w:pStyle w:val="null3"/>
              <w:outlineLvl w:val="2"/>
            </w:pPr>
            <w:r>
              <w:rPr>
                <w:rFonts w:ascii="仿宋_GB2312" w:hAnsi="仿宋_GB2312" w:cs="仿宋_GB2312" w:eastAsia="仿宋_GB2312"/>
                <w:sz w:val="32"/>
                <w:b/>
              </w:rPr>
              <w:t>3.3</w:t>
            </w:r>
            <w:r>
              <w:rPr>
                <w:rFonts w:ascii="仿宋_GB2312" w:hAnsi="仿宋_GB2312" w:cs="仿宋_GB2312" w:eastAsia="仿宋_GB2312"/>
                <w:sz w:val="32"/>
                <w:b/>
              </w:rPr>
              <w:t>装修工程验收标准</w:t>
            </w:r>
          </w:p>
          <w:tbl>
            <w:tblPr>
              <w:tblBorders>
                <w:top w:val="none" w:color="000000" w:sz="4"/>
                <w:left w:val="none" w:color="000000" w:sz="4"/>
                <w:bottom w:val="none" w:color="000000" w:sz="4"/>
                <w:right w:val="none" w:color="000000" w:sz="4"/>
                <w:insideH w:val="none"/>
                <w:insideV w:val="none"/>
              </w:tblBorders>
            </w:tblPr>
            <w:tblGrid>
              <w:gridCol w:w="446"/>
              <w:gridCol w:w="434"/>
              <w:gridCol w:w="1667"/>
            </w:tblGrid>
            <w:tr>
              <w:tc>
                <w:tcPr>
                  <w:tcW w:type="dxa" w:w="44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装修项目</w:t>
                  </w:r>
                </w:p>
              </w:tc>
              <w:tc>
                <w:tcPr>
                  <w:tcW w:type="dxa" w:w="434"/>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验收指标</w:t>
                  </w:r>
                </w:p>
              </w:tc>
              <w:tc>
                <w:tcPr>
                  <w:tcW w:type="dxa" w:w="166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验收标准</w:t>
                  </w:r>
                </w:p>
              </w:tc>
            </w:tr>
            <w:tr>
              <w:tc>
                <w:tcPr>
                  <w:tcW w:type="dxa" w:w="4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拆除工程</w:t>
                  </w:r>
                </w:p>
              </w:tc>
              <w:tc>
                <w:tcPr>
                  <w:tcW w:type="dxa" w:w="43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拆除质量</w:t>
                  </w:r>
                </w:p>
              </w:tc>
              <w:tc>
                <w:tcPr>
                  <w:tcW w:type="dxa" w:w="16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拆除彻底，无残留，墙面、地面平整，无损坏。</w:t>
                  </w:r>
                </w:p>
              </w:tc>
            </w:tr>
            <w:tr>
              <w:tc>
                <w:tcPr>
                  <w:tcW w:type="dxa" w:w="4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隔墙工程</w:t>
                  </w:r>
                </w:p>
              </w:tc>
              <w:tc>
                <w:tcPr>
                  <w:tcW w:type="dxa" w:w="43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施工质量</w:t>
                  </w:r>
                </w:p>
              </w:tc>
              <w:tc>
                <w:tcPr>
                  <w:tcW w:type="dxa" w:w="16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轻钢龙骨石膏板隔墙牢固，隔音效果良好；双玻带百叶高隔断安装平整，开启灵活。</w:t>
                  </w:r>
                </w:p>
              </w:tc>
            </w:tr>
            <w:tr>
              <w:tc>
                <w:tcPr>
                  <w:tcW w:type="dxa" w:w="4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地面装修</w:t>
                  </w:r>
                </w:p>
              </w:tc>
              <w:tc>
                <w:tcPr>
                  <w:tcW w:type="dxa" w:w="43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铺贴质量</w:t>
                  </w:r>
                </w:p>
              </w:tc>
              <w:tc>
                <w:tcPr>
                  <w:tcW w:type="dxa" w:w="16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塑胶地板铺贴平整，无气泡、起翘，接缝严密。</w:t>
                  </w:r>
                </w:p>
              </w:tc>
            </w:tr>
            <w:tr>
              <w:tc>
                <w:tcPr>
                  <w:tcW w:type="dxa" w:w="4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墙面装修</w:t>
                  </w:r>
                </w:p>
              </w:tc>
              <w:tc>
                <w:tcPr>
                  <w:tcW w:type="dxa" w:w="43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涂刷质量</w:t>
                  </w:r>
                </w:p>
              </w:tc>
              <w:tc>
                <w:tcPr>
                  <w:tcW w:type="dxa" w:w="16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乳胶漆涂刷均匀，无流挂、色差；护墙板安装牢固，表面平整。</w:t>
                  </w:r>
                </w:p>
              </w:tc>
            </w:tr>
            <w:tr>
              <w:tc>
                <w:tcPr>
                  <w:tcW w:type="dxa" w:w="4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电路改造</w:t>
                  </w:r>
                </w:p>
              </w:tc>
              <w:tc>
                <w:tcPr>
                  <w:tcW w:type="dxa" w:w="43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布线质量</w:t>
                  </w:r>
                </w:p>
              </w:tc>
              <w:tc>
                <w:tcPr>
                  <w:tcW w:type="dxa" w:w="16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线路暗敷规范，标识清晰，插座、开关安装牢固，通电正常。</w:t>
                  </w:r>
                </w:p>
              </w:tc>
            </w:tr>
            <w:tr>
              <w:tc>
                <w:tcPr>
                  <w:tcW w:type="dxa" w:w="4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空调新风</w:t>
                  </w:r>
                </w:p>
              </w:tc>
              <w:tc>
                <w:tcPr>
                  <w:tcW w:type="dxa" w:w="43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运行效果</w:t>
                  </w:r>
                </w:p>
              </w:tc>
              <w:tc>
                <w:tcPr>
                  <w:tcW w:type="dxa" w:w="16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32"/>
                      <w:color w:val="000000"/>
                    </w:rPr>
                    <w:t>中央空调制冷</w:t>
                  </w:r>
                  <w:r>
                    <w:rPr>
                      <w:rFonts w:ascii="仿宋_GB2312" w:hAnsi="仿宋_GB2312" w:cs="仿宋_GB2312" w:eastAsia="仿宋_GB2312"/>
                      <w:sz w:val="32"/>
                      <w:color w:val="000000"/>
                    </w:rPr>
                    <w:t>/制热效果良好，新风系统风量≥1000m³/h，室内空气质量达标。</w:t>
                  </w:r>
                </w:p>
              </w:tc>
            </w:tr>
          </w:tbl>
          <w:p>
            <w:pPr>
              <w:pStyle w:val="null3"/>
              <w:jc w:val="both"/>
              <w:outlineLvl w:val="1"/>
            </w:pPr>
            <w:r>
              <w:rPr>
                <w:rFonts w:ascii="仿宋_GB2312" w:hAnsi="仿宋_GB2312" w:cs="仿宋_GB2312" w:eastAsia="仿宋_GB2312"/>
                <w:sz w:val="32"/>
                <w:b/>
              </w:rPr>
              <w:t>4、</w:t>
            </w:r>
            <w:r>
              <w:rPr>
                <w:rFonts w:ascii="仿宋_GB2312" w:hAnsi="仿宋_GB2312" w:cs="仿宋_GB2312" w:eastAsia="仿宋_GB2312"/>
                <w:sz w:val="32"/>
                <w:b/>
              </w:rPr>
              <w:t>验收流程</w:t>
            </w:r>
          </w:p>
          <w:p>
            <w:pPr>
              <w:pStyle w:val="null3"/>
              <w:ind w:firstLine="640"/>
              <w:jc w:val="both"/>
            </w:pPr>
            <w:r>
              <w:rPr>
                <w:rFonts w:ascii="仿宋_GB2312" w:hAnsi="仿宋_GB2312" w:cs="仿宋_GB2312" w:eastAsia="仿宋_GB2312"/>
                <w:sz w:val="32"/>
              </w:rPr>
              <w:t>自查：施工单位、供应商完成项目建设后，进行自查，整理项目文档，提交验收申请。</w:t>
            </w:r>
          </w:p>
          <w:p>
            <w:pPr>
              <w:pStyle w:val="null3"/>
              <w:ind w:firstLine="640"/>
              <w:jc w:val="both"/>
            </w:pPr>
            <w:r>
              <w:rPr>
                <w:rFonts w:ascii="仿宋_GB2312" w:hAnsi="仿宋_GB2312" w:cs="仿宋_GB2312" w:eastAsia="仿宋_GB2312"/>
                <w:sz w:val="32"/>
              </w:rPr>
              <w:t>初验：建设单位组织相关人员进行初验，检查建设内容是否完成，系统是否正常运行，提出整改意见。</w:t>
            </w:r>
          </w:p>
          <w:p>
            <w:pPr>
              <w:pStyle w:val="null3"/>
              <w:ind w:firstLine="640"/>
              <w:jc w:val="both"/>
            </w:pPr>
            <w:r>
              <w:rPr>
                <w:rFonts w:ascii="仿宋_GB2312" w:hAnsi="仿宋_GB2312" w:cs="仿宋_GB2312" w:eastAsia="仿宋_GB2312"/>
                <w:sz w:val="32"/>
              </w:rPr>
              <w:t>整改：施工单位、供应商根据初验意见进行整改，整改完成后提交复验申请。</w:t>
            </w:r>
          </w:p>
          <w:p>
            <w:pPr>
              <w:pStyle w:val="null3"/>
              <w:ind w:firstLine="640"/>
              <w:jc w:val="both"/>
            </w:pPr>
            <w:r>
              <w:rPr>
                <w:rFonts w:ascii="仿宋_GB2312" w:hAnsi="仿宋_GB2312" w:cs="仿宋_GB2312" w:eastAsia="仿宋_GB2312"/>
                <w:sz w:val="32"/>
              </w:rPr>
              <w:t>复验：建设单位邀请专家、监理单位、渭南市</w:t>
            </w:r>
            <w:r>
              <w:rPr>
                <w:rFonts w:ascii="仿宋_GB2312" w:hAnsi="仿宋_GB2312" w:cs="仿宋_GB2312" w:eastAsia="仿宋_GB2312"/>
                <w:sz w:val="32"/>
              </w:rPr>
              <w:t>12345平台相关人员组成验收小组，进行复验，包括资料审查、现场测试、功能验证。</w:t>
            </w:r>
          </w:p>
          <w:p>
            <w:pPr>
              <w:pStyle w:val="null3"/>
              <w:ind w:firstLine="640"/>
              <w:jc w:val="both"/>
            </w:pPr>
            <w:r>
              <w:rPr>
                <w:rFonts w:ascii="仿宋_GB2312" w:hAnsi="仿宋_GB2312" w:cs="仿宋_GB2312" w:eastAsia="仿宋_GB2312"/>
                <w:sz w:val="32"/>
              </w:rPr>
              <w:t>验收结论：验收小组根据复验结果，形成验收报告，明确验收合格或不合格；验收合格的，签署验收报告；不合格的，要求限期整改后重新验收。</w:t>
            </w:r>
          </w:p>
          <w:p>
            <w:pPr>
              <w:pStyle w:val="null3"/>
              <w:jc w:val="both"/>
              <w:outlineLvl w:val="1"/>
            </w:pPr>
            <w:r>
              <w:rPr>
                <w:rFonts w:ascii="仿宋_GB2312" w:hAnsi="仿宋_GB2312" w:cs="仿宋_GB2312" w:eastAsia="仿宋_GB2312"/>
                <w:sz w:val="32"/>
                <w:b/>
              </w:rPr>
              <w:t>五、项目运维方案</w:t>
            </w:r>
          </w:p>
          <w:p>
            <w:pPr>
              <w:pStyle w:val="null3"/>
              <w:jc w:val="both"/>
              <w:outlineLvl w:val="1"/>
            </w:pPr>
            <w:r>
              <w:rPr>
                <w:rFonts w:ascii="仿宋_GB2312" w:hAnsi="仿宋_GB2312" w:cs="仿宋_GB2312" w:eastAsia="仿宋_GB2312"/>
                <w:sz w:val="32"/>
                <w:b/>
              </w:rPr>
              <w:t>1、运维方式（自行运维/运维外包）</w:t>
            </w:r>
          </w:p>
          <w:p>
            <w:pPr>
              <w:pStyle w:val="null3"/>
              <w:ind w:firstLine="640"/>
              <w:jc w:val="both"/>
            </w:pPr>
            <w:r>
              <w:rPr>
                <w:rFonts w:ascii="仿宋_GB2312" w:hAnsi="仿宋_GB2312" w:cs="仿宋_GB2312" w:eastAsia="仿宋_GB2312"/>
                <w:sz w:val="32"/>
              </w:rPr>
              <w:t>采用</w:t>
            </w:r>
            <w:r>
              <w:rPr>
                <w:rFonts w:ascii="仿宋_GB2312" w:hAnsi="仿宋_GB2312" w:cs="仿宋_GB2312" w:eastAsia="仿宋_GB2312"/>
                <w:sz w:val="32"/>
              </w:rPr>
              <w:t>“自行运维+运维外包”相结合的方式：</w:t>
            </w:r>
          </w:p>
          <w:p>
            <w:pPr>
              <w:pStyle w:val="null3"/>
              <w:ind w:firstLine="640"/>
              <w:jc w:val="both"/>
            </w:pPr>
            <w:r>
              <w:rPr>
                <w:rFonts w:ascii="仿宋_GB2312" w:hAnsi="仿宋_GB2312" w:cs="仿宋_GB2312" w:eastAsia="仿宋_GB2312"/>
                <w:sz w:val="32"/>
              </w:rPr>
              <w:t>自行运维：由项目内部运维团队负责日常运维工作，包括系统日常巡检、故障初步排查、数据备份、简单配置修改等。</w:t>
            </w:r>
          </w:p>
          <w:p>
            <w:pPr>
              <w:pStyle w:val="null3"/>
              <w:ind w:firstLine="640"/>
              <w:jc w:val="both"/>
            </w:pPr>
            <w:r>
              <w:rPr>
                <w:rFonts w:ascii="仿宋_GB2312" w:hAnsi="仿宋_GB2312" w:cs="仿宋_GB2312" w:eastAsia="仿宋_GB2312"/>
                <w:sz w:val="32"/>
              </w:rPr>
              <w:t>运维外包：将复杂技术问题（如系统核心故障修复、软件升级、国产化适配优化、网络架构调整等）外包给专业运维服务商，签订运维服务合同，明确服务内容与责任。</w:t>
            </w:r>
          </w:p>
          <w:p>
            <w:pPr>
              <w:pStyle w:val="null3"/>
              <w:jc w:val="both"/>
              <w:outlineLvl w:val="1"/>
            </w:pPr>
            <w:r>
              <w:rPr>
                <w:rFonts w:ascii="仿宋_GB2312" w:hAnsi="仿宋_GB2312" w:cs="仿宋_GB2312" w:eastAsia="仿宋_GB2312"/>
                <w:sz w:val="32"/>
                <w:b/>
              </w:rPr>
              <w:t>2、运维范围、内容、目标及边界</w:t>
            </w:r>
          </w:p>
          <w:p>
            <w:pPr>
              <w:pStyle w:val="null3"/>
              <w:jc w:val="both"/>
              <w:outlineLvl w:val="1"/>
            </w:pPr>
            <w:r>
              <w:rPr>
                <w:rFonts w:ascii="仿宋_GB2312" w:hAnsi="仿宋_GB2312" w:cs="仿宋_GB2312" w:eastAsia="仿宋_GB2312"/>
                <w:sz w:val="32"/>
                <w:b/>
              </w:rPr>
              <w:t>2.1运维范围</w:t>
            </w:r>
          </w:p>
          <w:p>
            <w:pPr>
              <w:pStyle w:val="null3"/>
              <w:ind w:firstLine="640"/>
              <w:jc w:val="both"/>
            </w:pPr>
            <w:r>
              <w:rPr>
                <w:rFonts w:ascii="仿宋_GB2312" w:hAnsi="仿宋_GB2312" w:cs="仿宋_GB2312" w:eastAsia="仿宋_GB2312"/>
                <w:sz w:val="32"/>
              </w:rPr>
              <w:t>硬件设备：包括计算机、</w:t>
            </w:r>
            <w:r>
              <w:rPr>
                <w:rFonts w:ascii="仿宋_GB2312" w:hAnsi="仿宋_GB2312" w:cs="仿宋_GB2312" w:eastAsia="仿宋_GB2312"/>
                <w:sz w:val="32"/>
              </w:rPr>
              <w:t>IP电话机、中继设备、服务器、网络设备、安全设备、智能显示屏等所有项目采购的硬件设备。</w:t>
            </w:r>
          </w:p>
          <w:p>
            <w:pPr>
              <w:pStyle w:val="null3"/>
              <w:ind w:firstLine="640"/>
              <w:jc w:val="both"/>
            </w:pPr>
            <w:r>
              <w:rPr>
                <w:rFonts w:ascii="仿宋_GB2312" w:hAnsi="仿宋_GB2312" w:cs="仿宋_GB2312" w:eastAsia="仿宋_GB2312"/>
                <w:sz w:val="32"/>
              </w:rPr>
              <w:t>软件系统：包括呼叫中心系统、工单管理系统、知识库系统、数据分析系统、特色模块等所有部署的软件系统。</w:t>
            </w:r>
          </w:p>
          <w:p>
            <w:pPr>
              <w:pStyle w:val="null3"/>
              <w:ind w:firstLine="640"/>
              <w:jc w:val="both"/>
            </w:pPr>
            <w:r>
              <w:rPr>
                <w:rFonts w:ascii="仿宋_GB2312" w:hAnsi="仿宋_GB2312" w:cs="仿宋_GB2312" w:eastAsia="仿宋_GB2312"/>
                <w:sz w:val="32"/>
              </w:rPr>
              <w:t>网络环境：包括政务云网络、办公场所局域网、专线链路等网络设施。</w:t>
            </w:r>
          </w:p>
          <w:p>
            <w:pPr>
              <w:pStyle w:val="null3"/>
              <w:ind w:firstLine="640"/>
              <w:jc w:val="both"/>
            </w:pPr>
            <w:r>
              <w:rPr>
                <w:rFonts w:ascii="仿宋_GB2312" w:hAnsi="仿宋_GB2312" w:cs="仿宋_GB2312" w:eastAsia="仿宋_GB2312"/>
                <w:sz w:val="32"/>
              </w:rPr>
              <w:t>数据资源：包括工单数据、话务数据、知识数据、用户数据等所有系统数据。</w:t>
            </w:r>
          </w:p>
          <w:p>
            <w:pPr>
              <w:pStyle w:val="null3"/>
              <w:ind w:firstLine="640"/>
              <w:jc w:val="both"/>
            </w:pPr>
            <w:r>
              <w:rPr>
                <w:rFonts w:ascii="仿宋_GB2312" w:hAnsi="仿宋_GB2312" w:cs="仿宋_GB2312" w:eastAsia="仿宋_GB2312"/>
                <w:sz w:val="32"/>
              </w:rPr>
              <w:t>办公场所设施：包括空调、新风系统、电路、弱电等装修配套设施。</w:t>
            </w:r>
          </w:p>
          <w:p>
            <w:pPr>
              <w:pStyle w:val="null3"/>
              <w:jc w:val="both"/>
              <w:outlineLvl w:val="1"/>
            </w:pPr>
            <w:r>
              <w:rPr>
                <w:rFonts w:ascii="仿宋_GB2312" w:hAnsi="仿宋_GB2312" w:cs="仿宋_GB2312" w:eastAsia="仿宋_GB2312"/>
                <w:sz w:val="32"/>
                <w:b/>
              </w:rPr>
              <w:t>2.2运维内容</w:t>
            </w:r>
          </w:p>
          <w:p>
            <w:pPr>
              <w:pStyle w:val="null3"/>
              <w:ind w:firstLine="640"/>
              <w:jc w:val="both"/>
            </w:pPr>
            <w:r>
              <w:rPr>
                <w:rFonts w:ascii="仿宋_GB2312" w:hAnsi="仿宋_GB2312" w:cs="仿宋_GB2312" w:eastAsia="仿宋_GB2312"/>
                <w:sz w:val="32"/>
              </w:rPr>
              <w:t>日常维护：</w:t>
            </w:r>
          </w:p>
          <w:p>
            <w:pPr>
              <w:pStyle w:val="null3"/>
              <w:ind w:firstLine="640"/>
              <w:jc w:val="both"/>
            </w:pPr>
            <w:r>
              <w:rPr>
                <w:rFonts w:ascii="仿宋_GB2312" w:hAnsi="仿宋_GB2312" w:cs="仿宋_GB2312" w:eastAsia="仿宋_GB2312"/>
                <w:sz w:val="32"/>
              </w:rPr>
              <w:t>硬件设备：定期巡检、清洁保养、故障排查与维修更换。</w:t>
            </w:r>
          </w:p>
          <w:p>
            <w:pPr>
              <w:pStyle w:val="null3"/>
              <w:ind w:firstLine="640"/>
              <w:jc w:val="both"/>
            </w:pPr>
            <w:r>
              <w:rPr>
                <w:rFonts w:ascii="仿宋_GB2312" w:hAnsi="仿宋_GB2312" w:cs="仿宋_GB2312" w:eastAsia="仿宋_GB2312"/>
                <w:sz w:val="32"/>
              </w:rPr>
              <w:t>软件系统：日常巡检、日志分析、</w:t>
            </w:r>
            <w:r>
              <w:rPr>
                <w:rFonts w:ascii="仿宋_GB2312" w:hAnsi="仿宋_GB2312" w:cs="仿宋_GB2312" w:eastAsia="仿宋_GB2312"/>
                <w:sz w:val="32"/>
              </w:rPr>
              <w:t>bug修复、补丁更新、配置优化。</w:t>
            </w:r>
          </w:p>
          <w:p>
            <w:pPr>
              <w:pStyle w:val="null3"/>
              <w:ind w:firstLine="640"/>
              <w:jc w:val="both"/>
            </w:pPr>
            <w:r>
              <w:rPr>
                <w:rFonts w:ascii="仿宋_GB2312" w:hAnsi="仿宋_GB2312" w:cs="仿宋_GB2312" w:eastAsia="仿宋_GB2312"/>
                <w:sz w:val="32"/>
              </w:rPr>
              <w:t>网络环境：网络状态监控、带宽优化、故障排查、安全防护。</w:t>
            </w:r>
          </w:p>
          <w:p>
            <w:pPr>
              <w:pStyle w:val="null3"/>
              <w:ind w:firstLine="640"/>
              <w:jc w:val="both"/>
            </w:pPr>
            <w:r>
              <w:rPr>
                <w:rFonts w:ascii="仿宋_GB2312" w:hAnsi="仿宋_GB2312" w:cs="仿宋_GB2312" w:eastAsia="仿宋_GB2312"/>
                <w:sz w:val="32"/>
              </w:rPr>
              <w:t>数据资源：数据备份、数据清理、数据质量监控、统计分析。</w:t>
            </w:r>
          </w:p>
          <w:p>
            <w:pPr>
              <w:pStyle w:val="null3"/>
              <w:ind w:firstLine="640"/>
              <w:jc w:val="both"/>
            </w:pPr>
            <w:r>
              <w:rPr>
                <w:rFonts w:ascii="仿宋_GB2312" w:hAnsi="仿宋_GB2312" w:cs="仿宋_GB2312" w:eastAsia="仿宋_GB2312"/>
                <w:sz w:val="32"/>
              </w:rPr>
              <w:t>故障处理：</w:t>
            </w:r>
          </w:p>
          <w:p>
            <w:pPr>
              <w:pStyle w:val="null3"/>
              <w:ind w:firstLine="640"/>
              <w:jc w:val="both"/>
            </w:pPr>
            <w:r>
              <w:rPr>
                <w:rFonts w:ascii="仿宋_GB2312" w:hAnsi="仿宋_GB2312" w:cs="仿宋_GB2312" w:eastAsia="仿宋_GB2312"/>
                <w:sz w:val="32"/>
              </w:rPr>
              <w:t>接收故障报修（内部人员、坐席人员），快速诊断故障原因。</w:t>
            </w:r>
          </w:p>
          <w:p>
            <w:pPr>
              <w:pStyle w:val="null3"/>
              <w:ind w:firstLine="640"/>
              <w:jc w:val="both"/>
            </w:pPr>
            <w:r>
              <w:rPr>
                <w:rFonts w:ascii="仿宋_GB2312" w:hAnsi="仿宋_GB2312" w:cs="仿宋_GB2312" w:eastAsia="仿宋_GB2312"/>
                <w:sz w:val="32"/>
              </w:rPr>
              <w:t>自行运维范围内的故障，及时修复；超出范围的，协调外包服务商处理。</w:t>
            </w:r>
          </w:p>
          <w:p>
            <w:pPr>
              <w:pStyle w:val="null3"/>
              <w:ind w:firstLine="640"/>
              <w:jc w:val="both"/>
            </w:pPr>
            <w:r>
              <w:rPr>
                <w:rFonts w:ascii="仿宋_GB2312" w:hAnsi="仿宋_GB2312" w:cs="仿宋_GB2312" w:eastAsia="仿宋_GB2312"/>
                <w:sz w:val="32"/>
              </w:rPr>
              <w:t>故障处理完成后，记录故障信息与处理过程，进行复盘分析。</w:t>
            </w:r>
          </w:p>
          <w:p>
            <w:pPr>
              <w:pStyle w:val="null3"/>
              <w:ind w:firstLine="640"/>
              <w:jc w:val="both"/>
            </w:pPr>
            <w:r>
              <w:rPr>
                <w:rFonts w:ascii="仿宋_GB2312" w:hAnsi="仿宋_GB2312" w:cs="仿宋_GB2312" w:eastAsia="仿宋_GB2312"/>
                <w:sz w:val="32"/>
              </w:rPr>
              <w:t>系统优化：</w:t>
            </w:r>
          </w:p>
          <w:p>
            <w:pPr>
              <w:pStyle w:val="null3"/>
              <w:ind w:firstLine="640"/>
              <w:jc w:val="both"/>
            </w:pPr>
            <w:r>
              <w:rPr>
                <w:rFonts w:ascii="仿宋_GB2312" w:hAnsi="仿宋_GB2312" w:cs="仿宋_GB2312" w:eastAsia="仿宋_GB2312"/>
                <w:sz w:val="32"/>
              </w:rPr>
              <w:t>根据业务需求变化，调整系统配置（如工单时限、路由规则）。</w:t>
            </w:r>
          </w:p>
          <w:p>
            <w:pPr>
              <w:pStyle w:val="null3"/>
              <w:ind w:firstLine="640"/>
              <w:jc w:val="both"/>
            </w:pPr>
            <w:r>
              <w:rPr>
                <w:rFonts w:ascii="仿宋_GB2312" w:hAnsi="仿宋_GB2312" w:cs="仿宋_GB2312" w:eastAsia="仿宋_GB2312"/>
                <w:sz w:val="32"/>
              </w:rPr>
              <w:t>优化系统性能（如数据库索引优化、代码优化），提升运行效率。</w:t>
            </w:r>
          </w:p>
          <w:p>
            <w:pPr>
              <w:pStyle w:val="null3"/>
              <w:ind w:firstLine="640"/>
              <w:jc w:val="both"/>
            </w:pPr>
            <w:r>
              <w:rPr>
                <w:rFonts w:ascii="仿宋_GB2312" w:hAnsi="仿宋_GB2312" w:cs="仿宋_GB2312" w:eastAsia="仿宋_GB2312"/>
                <w:sz w:val="32"/>
              </w:rPr>
              <w:t>配合业务部门新增功能模块或扩展现有功能。</w:t>
            </w:r>
          </w:p>
          <w:p>
            <w:pPr>
              <w:pStyle w:val="null3"/>
              <w:ind w:firstLine="640"/>
              <w:jc w:val="both"/>
            </w:pPr>
            <w:r>
              <w:rPr>
                <w:rFonts w:ascii="仿宋_GB2312" w:hAnsi="仿宋_GB2312" w:cs="仿宋_GB2312" w:eastAsia="仿宋_GB2312"/>
                <w:sz w:val="32"/>
              </w:rPr>
              <w:t>安全运维：</w:t>
            </w:r>
          </w:p>
          <w:p>
            <w:pPr>
              <w:pStyle w:val="null3"/>
              <w:ind w:firstLine="640"/>
              <w:jc w:val="both"/>
            </w:pPr>
            <w:r>
              <w:rPr>
                <w:rFonts w:ascii="仿宋_GB2312" w:hAnsi="仿宋_GB2312" w:cs="仿宋_GB2312" w:eastAsia="仿宋_GB2312"/>
                <w:sz w:val="32"/>
              </w:rPr>
              <w:t>定期进行安全扫描、漏洞修复、病毒查杀。</w:t>
            </w:r>
          </w:p>
          <w:p>
            <w:pPr>
              <w:pStyle w:val="null3"/>
              <w:ind w:firstLine="640"/>
              <w:jc w:val="both"/>
            </w:pPr>
            <w:r>
              <w:rPr>
                <w:rFonts w:ascii="仿宋_GB2312" w:hAnsi="仿宋_GB2312" w:cs="仿宋_GB2312" w:eastAsia="仿宋_GB2312"/>
                <w:sz w:val="32"/>
              </w:rPr>
              <w:t>监控安全日志，防范网络攻击与数据泄露。</w:t>
            </w:r>
          </w:p>
          <w:p>
            <w:pPr>
              <w:pStyle w:val="null3"/>
              <w:ind w:firstLine="640"/>
              <w:jc w:val="both"/>
            </w:pPr>
            <w:r>
              <w:rPr>
                <w:rFonts w:ascii="仿宋_GB2312" w:hAnsi="仿宋_GB2312" w:cs="仿宋_GB2312" w:eastAsia="仿宋_GB2312"/>
                <w:sz w:val="32"/>
              </w:rPr>
              <w:t>定期进行数据备份与恢复测试，确保数据安全。</w:t>
            </w:r>
          </w:p>
          <w:p>
            <w:pPr>
              <w:pStyle w:val="null3"/>
              <w:jc w:val="both"/>
              <w:outlineLvl w:val="1"/>
            </w:pPr>
            <w:r>
              <w:rPr>
                <w:rFonts w:ascii="仿宋_GB2312" w:hAnsi="仿宋_GB2312" w:cs="仿宋_GB2312" w:eastAsia="仿宋_GB2312"/>
                <w:sz w:val="32"/>
                <w:b/>
              </w:rPr>
              <w:t>2.3运维目标</w:t>
            </w:r>
          </w:p>
          <w:p>
            <w:pPr>
              <w:pStyle w:val="null3"/>
              <w:ind w:firstLine="640"/>
              <w:jc w:val="both"/>
            </w:pPr>
            <w:r>
              <w:rPr>
                <w:rFonts w:ascii="仿宋_GB2312" w:hAnsi="仿宋_GB2312" w:cs="仿宋_GB2312" w:eastAsia="仿宋_GB2312"/>
                <w:sz w:val="32"/>
              </w:rPr>
              <w:t>系统可用性：全年系统可用率</w:t>
            </w:r>
            <w:r>
              <w:rPr>
                <w:rFonts w:ascii="仿宋_GB2312" w:hAnsi="仿宋_GB2312" w:cs="仿宋_GB2312" w:eastAsia="仿宋_GB2312"/>
                <w:sz w:val="32"/>
              </w:rPr>
              <w:t>≥99.9%，单次故障恢复时间≤2小时。</w:t>
            </w:r>
          </w:p>
          <w:p>
            <w:pPr>
              <w:pStyle w:val="null3"/>
              <w:ind w:firstLine="640"/>
              <w:jc w:val="both"/>
            </w:pPr>
            <w:r>
              <w:rPr>
                <w:rFonts w:ascii="仿宋_GB2312" w:hAnsi="仿宋_GB2312" w:cs="仿宋_GB2312" w:eastAsia="仿宋_GB2312"/>
                <w:sz w:val="32"/>
              </w:rPr>
              <w:t>设备完好率：硬件设备完好率</w:t>
            </w:r>
            <w:r>
              <w:rPr>
                <w:rFonts w:ascii="仿宋_GB2312" w:hAnsi="仿宋_GB2312" w:cs="仿宋_GB2312" w:eastAsia="仿宋_GB2312"/>
                <w:sz w:val="32"/>
              </w:rPr>
              <w:t>≥98%，故障维修及时率≥95%。</w:t>
            </w:r>
          </w:p>
          <w:p>
            <w:pPr>
              <w:pStyle w:val="null3"/>
              <w:ind w:firstLine="640"/>
              <w:jc w:val="both"/>
            </w:pPr>
            <w:r>
              <w:rPr>
                <w:rFonts w:ascii="仿宋_GB2312" w:hAnsi="仿宋_GB2312" w:cs="仿宋_GB2312" w:eastAsia="仿宋_GB2312"/>
                <w:sz w:val="32"/>
              </w:rPr>
              <w:t>数据安全性：数据备份成功率</w:t>
            </w:r>
            <w:r>
              <w:rPr>
                <w:rFonts w:ascii="仿宋_GB2312" w:hAnsi="仿宋_GB2312" w:cs="仿宋_GB2312" w:eastAsia="仿宋_GB2312"/>
                <w:sz w:val="32"/>
              </w:rPr>
              <w:t>100%，无数据泄露、丢失、篡改事件。</w:t>
            </w:r>
          </w:p>
          <w:p>
            <w:pPr>
              <w:pStyle w:val="null3"/>
              <w:ind w:firstLine="640"/>
              <w:jc w:val="both"/>
            </w:pPr>
            <w:r>
              <w:rPr>
                <w:rFonts w:ascii="仿宋_GB2312" w:hAnsi="仿宋_GB2312" w:cs="仿宋_GB2312" w:eastAsia="仿宋_GB2312"/>
                <w:sz w:val="32"/>
              </w:rPr>
              <w:t>服务满意度：内部用户（坐席、管理人员）对运维服务满意度</w:t>
            </w:r>
            <w:r>
              <w:rPr>
                <w:rFonts w:ascii="仿宋_GB2312" w:hAnsi="仿宋_GB2312" w:cs="仿宋_GB2312" w:eastAsia="仿宋_GB2312"/>
                <w:sz w:val="32"/>
              </w:rPr>
              <w:t>≥90%。</w:t>
            </w:r>
          </w:p>
          <w:p>
            <w:pPr>
              <w:pStyle w:val="null3"/>
              <w:ind w:firstLine="640"/>
              <w:jc w:val="both"/>
            </w:pPr>
            <w:r>
              <w:rPr>
                <w:rFonts w:ascii="仿宋_GB2312" w:hAnsi="仿宋_GB2312" w:cs="仿宋_GB2312" w:eastAsia="仿宋_GB2312"/>
                <w:sz w:val="32"/>
              </w:rPr>
              <w:t>性能优化：系统响应时间</w:t>
            </w:r>
            <w:r>
              <w:rPr>
                <w:rFonts w:ascii="仿宋_GB2312" w:hAnsi="仿宋_GB2312" w:cs="仿宋_GB2312" w:eastAsia="仿宋_GB2312"/>
                <w:sz w:val="32"/>
              </w:rPr>
              <w:t>≤300ms，并发处理能力满足业务需求。</w:t>
            </w:r>
          </w:p>
          <w:p>
            <w:pPr>
              <w:pStyle w:val="null3"/>
              <w:jc w:val="both"/>
              <w:outlineLvl w:val="1"/>
            </w:pPr>
            <w:r>
              <w:rPr>
                <w:rFonts w:ascii="仿宋_GB2312" w:hAnsi="仿宋_GB2312" w:cs="仿宋_GB2312" w:eastAsia="仿宋_GB2312"/>
                <w:sz w:val="32"/>
                <w:b/>
              </w:rPr>
              <w:t>2.4运维边界</w:t>
            </w:r>
          </w:p>
          <w:p>
            <w:pPr>
              <w:pStyle w:val="null3"/>
              <w:ind w:firstLine="640"/>
              <w:jc w:val="both"/>
            </w:pPr>
            <w:r>
              <w:rPr>
                <w:rFonts w:ascii="仿宋_GB2312" w:hAnsi="仿宋_GB2312" w:cs="仿宋_GB2312" w:eastAsia="仿宋_GB2312"/>
                <w:sz w:val="32"/>
              </w:rPr>
              <w:t>不负责非项目采购的硬件设备、软件系统的运维。</w:t>
            </w:r>
          </w:p>
          <w:p>
            <w:pPr>
              <w:pStyle w:val="null3"/>
              <w:ind w:firstLine="640"/>
              <w:jc w:val="both"/>
            </w:pPr>
            <w:r>
              <w:rPr>
                <w:rFonts w:ascii="仿宋_GB2312" w:hAnsi="仿宋_GB2312" w:cs="仿宋_GB2312" w:eastAsia="仿宋_GB2312"/>
                <w:sz w:val="32"/>
              </w:rPr>
              <w:t>不负责因人为损坏（如坐席误操作、恶意破坏）导致的设备故障维修（需额外收费）。</w:t>
            </w:r>
          </w:p>
          <w:p>
            <w:pPr>
              <w:pStyle w:val="null3"/>
              <w:ind w:firstLine="640"/>
              <w:jc w:val="both"/>
            </w:pPr>
            <w:r>
              <w:rPr>
                <w:rFonts w:ascii="仿宋_GB2312" w:hAnsi="仿宋_GB2312" w:cs="仿宋_GB2312" w:eastAsia="仿宋_GB2312"/>
                <w:sz w:val="32"/>
              </w:rPr>
              <w:t>不负责因不可抗力（如地震、洪水、停电）导致的系统故障修复（协助处理，相关费用另计）。</w:t>
            </w:r>
          </w:p>
          <w:p>
            <w:pPr>
              <w:pStyle w:val="null3"/>
              <w:ind w:firstLine="640"/>
              <w:jc w:val="both"/>
            </w:pPr>
            <w:r>
              <w:rPr>
                <w:rFonts w:ascii="仿宋_GB2312" w:hAnsi="仿宋_GB2312" w:cs="仿宋_GB2312" w:eastAsia="仿宋_GB2312"/>
                <w:sz w:val="32"/>
              </w:rPr>
              <w:t>不负责超出合同约定的新增功能开发（可另行协商）。</w:t>
            </w:r>
          </w:p>
          <w:p>
            <w:pPr>
              <w:pStyle w:val="null3"/>
              <w:ind w:firstLine="640"/>
              <w:jc w:val="both"/>
            </w:pPr>
            <w:r>
              <w:rPr>
                <w:rFonts w:ascii="仿宋_GB2312" w:hAnsi="仿宋_GB2312" w:cs="仿宋_GB2312" w:eastAsia="仿宋_GB2312"/>
                <w:sz w:val="32"/>
              </w:rPr>
              <w:t>不负责办公场所外部的网络链路（如运营商专线）维护（协助联系运营商）。</w:t>
            </w:r>
          </w:p>
          <w:p>
            <w:pPr>
              <w:pStyle w:val="null3"/>
              <w:jc w:val="both"/>
              <w:outlineLvl w:val="1"/>
            </w:pPr>
            <w:r>
              <w:rPr>
                <w:rFonts w:ascii="仿宋_GB2312" w:hAnsi="仿宋_GB2312" w:cs="仿宋_GB2312" w:eastAsia="仿宋_GB2312"/>
                <w:sz w:val="32"/>
                <w:b/>
              </w:rPr>
              <w:t>3、运维清单构成（详见“建设内容清单”）</w:t>
            </w:r>
          </w:p>
          <w:p>
            <w:pPr>
              <w:pStyle w:val="null3"/>
              <w:jc w:val="both"/>
              <w:outlineLvl w:val="1"/>
            </w:pPr>
            <w:r>
              <w:rPr>
                <w:rFonts w:ascii="仿宋_GB2312" w:hAnsi="仿宋_GB2312" w:cs="仿宋_GB2312" w:eastAsia="仿宋_GB2312"/>
                <w:sz w:val="32"/>
                <w:b/>
              </w:rPr>
              <w:t>4、项目运行机制</w:t>
            </w:r>
          </w:p>
          <w:p>
            <w:pPr>
              <w:pStyle w:val="null3"/>
              <w:ind w:firstLine="640"/>
              <w:jc w:val="both"/>
            </w:pPr>
            <w:r>
              <w:rPr>
                <w:rFonts w:ascii="仿宋_GB2312" w:hAnsi="仿宋_GB2312" w:cs="仿宋_GB2312" w:eastAsia="仿宋_GB2312"/>
                <w:sz w:val="32"/>
              </w:rPr>
              <w:t>诉求受理机制：建立</w:t>
            </w:r>
            <w:r>
              <w:rPr>
                <w:rFonts w:ascii="仿宋_GB2312" w:hAnsi="仿宋_GB2312" w:cs="仿宋_GB2312" w:eastAsia="仿宋_GB2312"/>
                <w:sz w:val="32"/>
              </w:rPr>
              <w:t>“7×24小时”不间断受理机制，语音坐席、在线坐席轮流值班，确保群众诉求及时受理。</w:t>
            </w:r>
          </w:p>
          <w:p>
            <w:pPr>
              <w:pStyle w:val="null3"/>
              <w:ind w:firstLine="640"/>
              <w:jc w:val="both"/>
            </w:pPr>
            <w:r>
              <w:rPr>
                <w:rFonts w:ascii="仿宋_GB2312" w:hAnsi="仿宋_GB2312" w:cs="仿宋_GB2312" w:eastAsia="仿宋_GB2312"/>
                <w:sz w:val="32"/>
              </w:rPr>
              <w:t>工单流转机制：实行</w:t>
            </w:r>
            <w:r>
              <w:rPr>
                <w:rFonts w:ascii="仿宋_GB2312" w:hAnsi="仿宋_GB2312" w:cs="仿宋_GB2312" w:eastAsia="仿宋_GB2312"/>
                <w:sz w:val="32"/>
              </w:rPr>
              <w:t>“分级调度、限时办理”机制，普通工单1小时内分派，重要工单30分钟内分派，紧急工单15分钟内分派；承办单位超时未办理的，系统自动预警并催办。</w:t>
            </w:r>
          </w:p>
          <w:p>
            <w:pPr>
              <w:pStyle w:val="null3"/>
              <w:ind w:firstLine="640"/>
              <w:jc w:val="both"/>
            </w:pPr>
            <w:r>
              <w:rPr>
                <w:rFonts w:ascii="仿宋_GB2312" w:hAnsi="仿宋_GB2312" w:cs="仿宋_GB2312" w:eastAsia="仿宋_GB2312"/>
                <w:sz w:val="32"/>
              </w:rPr>
              <w:t>协同办理机制：对于跨部门、跨领域的复杂诉求，建立主办</w:t>
            </w:r>
            <w:r>
              <w:rPr>
                <w:rFonts w:ascii="仿宋_GB2312" w:hAnsi="仿宋_GB2312" w:cs="仿宋_GB2312" w:eastAsia="仿宋_GB2312"/>
                <w:sz w:val="32"/>
              </w:rPr>
              <w:t>/协办机制，明确主办单位、协办单位职责，由业务主管协调推进，确保诉求妥善解决。</w:t>
            </w:r>
          </w:p>
          <w:p>
            <w:pPr>
              <w:pStyle w:val="null3"/>
              <w:ind w:firstLine="640"/>
              <w:jc w:val="both"/>
            </w:pPr>
            <w:r>
              <w:rPr>
                <w:rFonts w:ascii="仿宋_GB2312" w:hAnsi="仿宋_GB2312" w:cs="仿宋_GB2312" w:eastAsia="仿宋_GB2312"/>
                <w:sz w:val="32"/>
              </w:rPr>
              <w:t>回访评价机制：工单办结后，</w:t>
            </w:r>
            <w:r>
              <w:rPr>
                <w:rFonts w:ascii="仿宋_GB2312" w:hAnsi="仿宋_GB2312" w:cs="仿宋_GB2312" w:eastAsia="仿宋_GB2312"/>
                <w:sz w:val="32"/>
              </w:rPr>
              <w:t>24小时内完成回访，收集群众满意度评价；不满意工单1小时内反馈至承办单位，要求3个工作日内整改并重新回访。</w:t>
            </w:r>
          </w:p>
          <w:p>
            <w:pPr>
              <w:pStyle w:val="null3"/>
              <w:ind w:firstLine="640"/>
              <w:jc w:val="both"/>
            </w:pPr>
            <w:r>
              <w:rPr>
                <w:rFonts w:ascii="仿宋_GB2312" w:hAnsi="仿宋_GB2312" w:cs="仿宋_GB2312" w:eastAsia="仿宋_GB2312"/>
                <w:sz w:val="32"/>
              </w:rPr>
              <w:t>数据分析机制：每周生成话务、工单统计报表，每月生成月度运营报告，分析热点问题、办理效能，为政务决策提供支撑。</w:t>
            </w:r>
          </w:p>
          <w:p>
            <w:pPr>
              <w:pStyle w:val="null3"/>
              <w:ind w:firstLine="640"/>
              <w:jc w:val="both"/>
            </w:pPr>
            <w:r>
              <w:rPr>
                <w:rFonts w:ascii="仿宋_GB2312" w:hAnsi="仿宋_GB2312" w:cs="仿宋_GB2312" w:eastAsia="仿宋_GB2312"/>
                <w:sz w:val="32"/>
              </w:rPr>
              <w:t>应急处置机制：建立系统故障、突发诉求等应急处置预案，明确应急响应流程、责任人员、处置时限，确保突发事件快速应对。</w:t>
            </w:r>
          </w:p>
          <w:p>
            <w:pPr>
              <w:pStyle w:val="null3"/>
              <w:jc w:val="both"/>
              <w:outlineLvl w:val="1"/>
            </w:pPr>
            <w:r>
              <w:rPr>
                <w:rFonts w:ascii="仿宋_GB2312" w:hAnsi="仿宋_GB2312" w:cs="仿宋_GB2312" w:eastAsia="仿宋_GB2312"/>
                <w:sz w:val="32"/>
                <w:b/>
              </w:rPr>
              <w:t>5、项目运行制度</w:t>
            </w:r>
          </w:p>
          <w:p>
            <w:pPr>
              <w:pStyle w:val="null3"/>
              <w:ind w:firstLine="640"/>
              <w:jc w:val="both"/>
            </w:pPr>
            <w:r>
              <w:rPr>
                <w:rFonts w:ascii="仿宋_GB2312" w:hAnsi="仿宋_GB2312" w:cs="仿宋_GB2312" w:eastAsia="仿宋_GB2312"/>
                <w:sz w:val="32"/>
              </w:rPr>
              <w:t>考勤管理制度：规范坐席人员、运维人员考勤，明确上下班时间、请假流程，确保工作正常开展。</w:t>
            </w:r>
          </w:p>
          <w:p>
            <w:pPr>
              <w:pStyle w:val="null3"/>
              <w:ind w:firstLine="640"/>
              <w:jc w:val="both"/>
            </w:pPr>
            <w:r>
              <w:rPr>
                <w:rFonts w:ascii="仿宋_GB2312" w:hAnsi="仿宋_GB2312" w:cs="仿宋_GB2312" w:eastAsia="仿宋_GB2312"/>
                <w:sz w:val="32"/>
              </w:rPr>
              <w:t>服务质量管理制度：制定坐席服务规范，包括服务礼仪、沟通技巧、工单录入标准等，定期进行服务质量检查与考核。</w:t>
            </w:r>
          </w:p>
          <w:p>
            <w:pPr>
              <w:pStyle w:val="null3"/>
              <w:ind w:firstLine="640"/>
              <w:jc w:val="both"/>
            </w:pPr>
            <w:r>
              <w:rPr>
                <w:rFonts w:ascii="仿宋_GB2312" w:hAnsi="仿宋_GB2312" w:cs="仿宋_GB2312" w:eastAsia="仿宋_GB2312"/>
                <w:sz w:val="32"/>
              </w:rPr>
              <w:t>工单管理制度：明确工单受理、分派、办理、回访、归档等各环节工作要求，确保工单流程规范、闭环管理。</w:t>
            </w:r>
          </w:p>
          <w:p>
            <w:pPr>
              <w:pStyle w:val="null3"/>
              <w:ind w:firstLine="640"/>
              <w:jc w:val="both"/>
            </w:pPr>
            <w:r>
              <w:rPr>
                <w:rFonts w:ascii="仿宋_GB2312" w:hAnsi="仿宋_GB2312" w:cs="仿宋_GB2312" w:eastAsia="仿宋_GB2312"/>
                <w:sz w:val="32"/>
              </w:rPr>
              <w:t>数据管理制度：规范数据采集、存储、使用、备份、销毁流程，明确数据访问权限，确保数据安全与质量。</w:t>
            </w:r>
          </w:p>
          <w:p>
            <w:pPr>
              <w:pStyle w:val="null3"/>
              <w:ind w:firstLine="640"/>
              <w:jc w:val="both"/>
            </w:pPr>
            <w:r>
              <w:rPr>
                <w:rFonts w:ascii="仿宋_GB2312" w:hAnsi="仿宋_GB2312" w:cs="仿宋_GB2312" w:eastAsia="仿宋_GB2312"/>
                <w:sz w:val="32"/>
              </w:rPr>
              <w:t>安全管理制度：包括网络安全、主机安全、应用安全、数据安全等管理制度，定期开展安全检查与演练。</w:t>
            </w:r>
          </w:p>
          <w:p>
            <w:pPr>
              <w:pStyle w:val="null3"/>
              <w:ind w:firstLine="640"/>
              <w:jc w:val="both"/>
            </w:pPr>
            <w:r>
              <w:rPr>
                <w:rFonts w:ascii="仿宋_GB2312" w:hAnsi="仿宋_GB2312" w:cs="仿宋_GB2312" w:eastAsia="仿宋_GB2312"/>
                <w:sz w:val="32"/>
              </w:rPr>
              <w:t>绩效考核制度：建立</w:t>
            </w:r>
            <w:r>
              <w:rPr>
                <w:rFonts w:ascii="仿宋_GB2312" w:hAnsi="仿宋_GB2312" w:cs="仿宋_GB2312" w:eastAsia="仿宋_GB2312"/>
                <w:sz w:val="32"/>
              </w:rPr>
              <w:t>“量化考核+定性评价”相结合的绩效考核体系，考核指标包括接通率、办结率、满意度、工单录入准确率等，考核结果与薪酬挂钩。</w:t>
            </w:r>
          </w:p>
          <w:p>
            <w:pPr>
              <w:pStyle w:val="null3"/>
              <w:ind w:firstLine="640"/>
              <w:jc w:val="both"/>
            </w:pPr>
            <w:r>
              <w:rPr>
                <w:rFonts w:ascii="仿宋_GB2312" w:hAnsi="仿宋_GB2312" w:cs="仿宋_GB2312" w:eastAsia="仿宋_GB2312"/>
                <w:sz w:val="32"/>
              </w:rPr>
              <w:t>学习培训制度：定期组织业务培训、技术培训、安全培训，提升工作人员业务能力与综合素质。</w:t>
            </w:r>
          </w:p>
          <w:p>
            <w:pPr>
              <w:pStyle w:val="null3"/>
              <w:jc w:val="both"/>
              <w:outlineLvl w:val="1"/>
            </w:pPr>
            <w:r>
              <w:rPr>
                <w:rFonts w:ascii="仿宋_GB2312" w:hAnsi="仿宋_GB2312" w:cs="仿宋_GB2312" w:eastAsia="仿宋_GB2312"/>
                <w:sz w:val="32"/>
                <w:b/>
              </w:rPr>
              <w:t>六、建设内容清单</w:t>
            </w:r>
          </w:p>
          <w:p>
            <w:pPr>
              <w:pStyle w:val="null3"/>
              <w:jc w:val="both"/>
              <w:outlineLvl w:val="1"/>
            </w:pPr>
            <w:r>
              <w:rPr>
                <w:rFonts w:ascii="仿宋_GB2312" w:hAnsi="仿宋_GB2312" w:cs="仿宋_GB2312" w:eastAsia="仿宋_GB2312"/>
                <w:sz w:val="32"/>
                <w:b/>
              </w:rPr>
              <w:t>1、软件建设内容</w:t>
            </w:r>
          </w:p>
          <w:tbl>
            <w:tblPr>
              <w:tblBorders>
                <w:top w:val="none" w:color="000000" w:sz="4"/>
                <w:left w:val="none" w:color="000000" w:sz="4"/>
                <w:bottom w:val="none" w:color="000000" w:sz="4"/>
                <w:right w:val="none" w:color="000000" w:sz="4"/>
                <w:insideH w:val="none"/>
                <w:insideV w:val="none"/>
              </w:tblBorders>
            </w:tblPr>
            <w:tblGrid>
              <w:gridCol w:w="164"/>
              <w:gridCol w:w="217"/>
              <w:gridCol w:w="329"/>
              <w:gridCol w:w="1403"/>
              <w:gridCol w:w="140"/>
              <w:gridCol w:w="140"/>
              <w:gridCol w:w="140"/>
            </w:tblGrid>
            <w:tr>
              <w:tc>
                <w:tcPr>
                  <w:tcW w:type="dxa" w:w="164"/>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序号</w:t>
                  </w:r>
                </w:p>
              </w:tc>
              <w:tc>
                <w:tcPr>
                  <w:tcW w:type="dxa" w:w="54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系统名称</w:t>
                  </w:r>
                </w:p>
              </w:tc>
              <w:tc>
                <w:tcPr>
                  <w:tcW w:type="dxa" w:w="1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建设内容概述</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数量</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单位</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备注</w:t>
                  </w: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话务管理系统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语音接入授权</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支持</w:t>
                  </w:r>
                  <w:r>
                    <w:rPr>
                      <w:rFonts w:ascii="仿宋_GB2312" w:hAnsi="仿宋_GB2312" w:cs="仿宋_GB2312" w:eastAsia="仿宋_GB2312"/>
                      <w:sz w:val="32"/>
                      <w:color w:val="000000"/>
                    </w:rPr>
                    <w:t>1E1（30路并发）线路接入授权；</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w:t>
                  </w:r>
                </w:p>
              </w:tc>
              <w:tc>
                <w:tcPr>
                  <w:tcW w:type="dxa" w:w="217"/>
                  <w:vMerge/>
                  <w:tcBorders>
                    <w:top w:val="none" w:color="000000" w:sz="4"/>
                    <w:left w:val="single" w:color="000000" w:sz="4"/>
                    <w:bottom w:val="single" w:color="000000" w:sz="4"/>
                    <w:right w:val="single" w:color="000000" w:sz="4"/>
                  </w:tcBorders>
                </w:tcPr>
                <w:p/>
              </w:tc>
              <w:tc>
                <w:tcPr>
                  <w:tcW w:type="dxa" w:w="3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话务分机管理</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话务分机实时状态监控管理，</w:t>
                  </w:r>
                  <w:r>
                    <w:br/>
                  </w:r>
                  <w:r>
                    <w:rPr>
                      <w:rFonts w:ascii="仿宋_GB2312" w:hAnsi="仿宋_GB2312" w:cs="仿宋_GB2312" w:eastAsia="仿宋_GB2312"/>
                      <w:sz w:val="32"/>
                      <w:color w:val="000000"/>
                    </w:rPr>
                    <w:t>支持对分机进行添加、配置、修改、删除操作；</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singl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w:t>
                  </w:r>
                </w:p>
              </w:tc>
              <w:tc>
                <w:tcPr>
                  <w:tcW w:type="dxa" w:w="217"/>
                  <w:vMerge/>
                  <w:tcBorders>
                    <w:top w:val="non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分机分组设置与管理，包括分机号码、分组名称、分组类型、分组成员；</w:t>
                  </w:r>
                  <w:r>
                    <w:br/>
                  </w:r>
                  <w:r>
                    <w:rPr>
                      <w:rFonts w:ascii="仿宋_GB2312" w:hAnsi="仿宋_GB2312" w:cs="仿宋_GB2312" w:eastAsia="仿宋_GB2312"/>
                      <w:sz w:val="32"/>
                      <w:color w:val="000000"/>
                    </w:rPr>
                    <w:t>支持对分机分组进行添加、修改、删除操作；</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singl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w:t>
                  </w:r>
                </w:p>
              </w:tc>
              <w:tc>
                <w:tcPr>
                  <w:tcW w:type="dxa" w:w="217"/>
                  <w:vMerge/>
                  <w:tcBorders>
                    <w:top w:val="none" w:color="000000" w:sz="4"/>
                    <w:left w:val="singl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智能路由管理（</w:t>
                  </w:r>
                  <w:r>
                    <w:rPr>
                      <w:rFonts w:ascii="仿宋_GB2312" w:hAnsi="仿宋_GB2312" w:cs="仿宋_GB2312" w:eastAsia="仿宋_GB2312"/>
                      <w:sz w:val="32"/>
                      <w:color w:val="000000"/>
                    </w:rPr>
                    <w:t>ACD）</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对分机路由开始结束时间、业务类型、处理参数进行管理配置；</w:t>
                  </w:r>
                  <w:r>
                    <w:br/>
                  </w:r>
                  <w:r>
                    <w:rPr>
                      <w:rFonts w:ascii="仿宋_GB2312" w:hAnsi="仿宋_GB2312" w:cs="仿宋_GB2312" w:eastAsia="仿宋_GB2312"/>
                      <w:sz w:val="32"/>
                      <w:color w:val="000000"/>
                    </w:rPr>
                    <w:t>支持对分机路由情况进行添加、复制、修改、删除操作；</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singl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w:t>
                  </w:r>
                </w:p>
              </w:tc>
              <w:tc>
                <w:tcPr>
                  <w:tcW w:type="dxa" w:w="217"/>
                  <w:vMerge/>
                  <w:tcBorders>
                    <w:top w:val="none" w:color="000000" w:sz="4"/>
                    <w:left w:val="singl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交互语音导航管理（</w:t>
                  </w:r>
                  <w:r>
                    <w:rPr>
                      <w:rFonts w:ascii="仿宋_GB2312" w:hAnsi="仿宋_GB2312" w:cs="仿宋_GB2312" w:eastAsia="仿宋_GB2312"/>
                      <w:sz w:val="32"/>
                      <w:color w:val="000000"/>
                    </w:rPr>
                    <w:t>IVR）</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管理录制语音文件、按标题、描述内容列表展示；</w:t>
                  </w:r>
                  <w:r>
                    <w:br/>
                  </w:r>
                  <w:r>
                    <w:rPr>
                      <w:rFonts w:ascii="仿宋_GB2312" w:hAnsi="仿宋_GB2312" w:cs="仿宋_GB2312" w:eastAsia="仿宋_GB2312"/>
                      <w:sz w:val="32"/>
                      <w:color w:val="000000"/>
                    </w:rPr>
                    <w:t>支持对语音文件进行新建、播放、下载、修改、删除操作；</w:t>
                  </w:r>
                  <w:r>
                    <w:br/>
                  </w:r>
                  <w:r>
                    <w:rPr>
                      <w:rFonts w:ascii="仿宋_GB2312" w:hAnsi="仿宋_GB2312" w:cs="仿宋_GB2312" w:eastAsia="仿宋_GB2312"/>
                      <w:sz w:val="32"/>
                      <w:color w:val="000000"/>
                    </w:rPr>
                    <w:t>支持语音文件上传；</w:t>
                  </w:r>
                  <w:r>
                    <w:br/>
                  </w:r>
                  <w:r>
                    <w:rPr>
                      <w:rFonts w:ascii="仿宋_GB2312" w:hAnsi="仿宋_GB2312" w:cs="仿宋_GB2312" w:eastAsia="仿宋_GB2312"/>
                      <w:sz w:val="32"/>
                      <w:color w:val="000000"/>
                    </w:rPr>
                    <w:t>管理语音菜单，按标题、描述内容列表展示；</w:t>
                  </w:r>
                  <w:r>
                    <w:br/>
                  </w:r>
                  <w:r>
                    <w:rPr>
                      <w:rFonts w:ascii="仿宋_GB2312" w:hAnsi="仿宋_GB2312" w:cs="仿宋_GB2312" w:eastAsia="仿宋_GB2312"/>
                      <w:sz w:val="32"/>
                      <w:color w:val="000000"/>
                    </w:rPr>
                    <w:t>支持对语音菜单进行修改、节点编辑、删除操作；</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singl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6</w:t>
                  </w:r>
                </w:p>
              </w:tc>
              <w:tc>
                <w:tcPr>
                  <w:tcW w:type="dxa" w:w="217"/>
                  <w:vMerge/>
                  <w:tcBorders>
                    <w:top w:val="none" w:color="000000" w:sz="4"/>
                    <w:left w:val="singl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提示音管理</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对转话等待音、排队等待音、保持等待音、分机忙提示音、振铃超时前转提示音、分机振铃超时提示音、接通之前评价提示音、坐席挂机后评价提示音、客户评价后的感谢语音等进行配置；</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singl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7</w:t>
                  </w:r>
                </w:p>
              </w:tc>
              <w:tc>
                <w:tcPr>
                  <w:tcW w:type="dxa" w:w="217"/>
                  <w:vMerge/>
                  <w:tcBorders>
                    <w:top w:val="none" w:color="000000" w:sz="4"/>
                    <w:left w:val="singl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通话录音管理</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全程通话录音录制、录音存储功能、录音变音处理、录音数据加密，支持</w:t>
                  </w:r>
                  <w:r>
                    <w:rPr>
                      <w:rFonts w:ascii="仿宋_GB2312" w:hAnsi="仿宋_GB2312" w:cs="仿宋_GB2312" w:eastAsia="仿宋_GB2312"/>
                      <w:sz w:val="32"/>
                      <w:color w:val="000000"/>
                    </w:rPr>
                    <w:t>wav格式存储、支持中继录音、支持内线坐席录音、支持三方通话录音、支持录音查询、下载、放音；</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singl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w:t>
                  </w:r>
                </w:p>
              </w:tc>
              <w:tc>
                <w:tcPr>
                  <w:tcW w:type="dxa" w:w="217"/>
                  <w:vMerge/>
                  <w:tcBorders>
                    <w:top w:val="none" w:color="000000" w:sz="4"/>
                    <w:left w:val="singl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坐席软件应用</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支持来电号码听取、来电等待、来电弹屏、转接及随路转移；支持座席端注册注销、小休恢复、保持释放、来电号码显示、状态显示、坐席电话转接、坐席外拨、自动报工号、话后处理功能；支持黑名单管理；支持客户满意度评价应用；</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singl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9</w:t>
                  </w:r>
                </w:p>
              </w:tc>
              <w:tc>
                <w:tcPr>
                  <w:tcW w:type="dxa" w:w="217"/>
                  <w:vMerge/>
                  <w:tcBorders>
                    <w:top w:val="none" w:color="000000" w:sz="4"/>
                    <w:left w:val="singl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坐席授权</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坐席软件授权</w:t>
                  </w:r>
                  <w:r>
                    <w:rPr>
                      <w:rFonts w:ascii="仿宋_GB2312" w:hAnsi="仿宋_GB2312" w:cs="仿宋_GB2312" w:eastAsia="仿宋_GB2312"/>
                      <w:sz w:val="32"/>
                      <w:color w:val="000000"/>
                    </w:rPr>
                    <w:t>License</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w:t>
                  </w:r>
                </w:p>
              </w:tc>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接线台席</w:t>
                  </w:r>
                </w:p>
              </w:tc>
              <w:tc>
                <w:tcPr>
                  <w:tcW w:type="dxa" w:w="3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数据随路转接</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导播台监控：话务受理人员可实时监控导播台的状态，根据导播台的状态实现是否电话转接的操作。</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11</w:t>
                  </w:r>
                </w:p>
              </w:tc>
              <w:tc>
                <w:tcPr>
                  <w:tcW w:type="dxa" w:w="217"/>
                  <w:vMerge/>
                  <w:tcBorders>
                    <w:top w:val="non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转接导播：导播台在空闲状态下进行电话转接和主叫号码传递功能。</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12</w:t>
                  </w:r>
                </w:p>
              </w:tc>
              <w:tc>
                <w:tcPr>
                  <w:tcW w:type="dxa" w:w="217"/>
                  <w:vMerge/>
                  <w:tcBorders>
                    <w:top w:val="non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数据转接：电话转接成功后可将暂存的工单数据传递到导播台，并可自动空闲，接听下一通电话。</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13</w:t>
                  </w:r>
                </w:p>
              </w:tc>
              <w:tc>
                <w:tcPr>
                  <w:tcW w:type="dxa" w:w="217"/>
                  <w:vMerge/>
                  <w:tcBorders>
                    <w:top w:val="non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弹屏加载：导播台接到转接电话后自动弹屏，并加载转接前暂存的工单数据。</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14</w:t>
                  </w:r>
                </w:p>
              </w:tc>
              <w:tc>
                <w:tcPr>
                  <w:tcW w:type="dxa" w:w="217"/>
                  <w:vMerge/>
                  <w:tcBorders>
                    <w:top w:val="non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通话导播：导播台可将电话导播给接线领导，并可协助领导完成工单登记。</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15</w:t>
                  </w:r>
                </w:p>
              </w:tc>
              <w:tc>
                <w:tcPr>
                  <w:tcW w:type="dxa" w:w="217"/>
                  <w:vMerge/>
                  <w:tcBorders>
                    <w:top w:val="none" w:color="000000" w:sz="4"/>
                    <w:left w:val="single" w:color="000000" w:sz="4"/>
                    <w:bottom w:val="single" w:color="000000" w:sz="4"/>
                    <w:right w:val="single" w:color="000000" w:sz="4"/>
                  </w:tcBorders>
                </w:tcPr>
                <w:p/>
              </w:tc>
              <w:tc>
                <w:tcPr>
                  <w:tcW w:type="dxa" w:w="3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导播提词器</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提词器：为接线领导设计专用提词器，显示群众的诉求内容和导播台提供的政策信息或解决建议。</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16</w:t>
                  </w:r>
                </w:p>
              </w:tc>
              <w:tc>
                <w:tcPr>
                  <w:tcW w:type="dxa" w:w="217"/>
                  <w:vMerge/>
                  <w:tcBorders>
                    <w:top w:val="non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题词推送：导播台可将诉求内容和政策信息或解决建议实时推送到提词器，供接线领导参考。</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17</w:t>
                  </w:r>
                </w:p>
              </w:tc>
              <w:tc>
                <w:tcPr>
                  <w:tcW w:type="dxa" w:w="217"/>
                  <w:vMerge/>
                  <w:tcBorders>
                    <w:top w:val="non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提词更新：提词器可自动获取或接收最新的诉求内容和参考内容。</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18</w:t>
                  </w:r>
                </w:p>
              </w:tc>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基层扫一扫</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基层</w:t>
                  </w:r>
                  <w:r>
                    <w:rPr>
                      <w:rFonts w:ascii="仿宋_GB2312" w:hAnsi="仿宋_GB2312" w:cs="仿宋_GB2312" w:eastAsia="仿宋_GB2312"/>
                      <w:sz w:val="32"/>
                      <w:color w:val="000000"/>
                    </w:rPr>
                    <w:t>“扫一扫”鉴权</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各个街办通过验证后可自行生成各地区二维码，实现群众按照不同区域进行诉求提交进而实现接诉即办。</w:t>
                  </w:r>
                </w:p>
              </w:tc>
              <w:tc>
                <w:tcPr>
                  <w:tcW w:type="dxa" w:w="1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19</w:t>
                  </w:r>
                </w:p>
              </w:tc>
              <w:tc>
                <w:tcPr>
                  <w:tcW w:type="dxa" w:w="217"/>
                  <w:vMerge/>
                  <w:tcBorders>
                    <w:top w:val="none" w:color="000000" w:sz="4"/>
                    <w:left w:val="singl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二维码挂载</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对接各街办政务门户及自有媒体渠道，实现</w:t>
                  </w:r>
                  <w:r>
                    <w:rPr>
                      <w:rFonts w:ascii="仿宋_GB2312" w:hAnsi="仿宋_GB2312" w:cs="仿宋_GB2312" w:eastAsia="仿宋_GB2312"/>
                      <w:sz w:val="32"/>
                      <w:color w:val="000000"/>
                    </w:rPr>
                    <w:t>“扫一扫”二维码挂载。</w:t>
                  </w:r>
                </w:p>
              </w:tc>
              <w:tc>
                <w:tcPr>
                  <w:tcW w:type="dxa" w:w="140"/>
                  <w:vMerge/>
                  <w:tcBorders>
                    <w:top w:val="none" w:color="000000" w:sz="4"/>
                    <w:left w:val="none" w:color="000000" w:sz="4"/>
                    <w:bottom w:val="none" w:color="000000" w:sz="4"/>
                    <w:right w:val="single" w:color="000000" w:sz="4"/>
                  </w:tcBorders>
                </w:tcPr>
                <w:p/>
              </w:tc>
              <w:tc>
                <w:tcPr>
                  <w:tcW w:type="dxa" w:w="140"/>
                  <w:vMerge/>
                  <w:tcBorders>
                    <w:top w:val="none" w:color="000000" w:sz="4"/>
                    <w:left w:val="none" w:color="000000" w:sz="4"/>
                    <w:bottom w:val="none" w:color="000000" w:sz="4"/>
                    <w:right w:val="single" w:color="000000" w:sz="4"/>
                  </w:tcBorders>
                </w:tcPr>
                <w:p/>
              </w:tc>
              <w:tc>
                <w:tcPr>
                  <w:tcW w:type="dxa" w:w="140"/>
                  <w:vMerge/>
                  <w:tcBorders>
                    <w:top w:val="none" w:color="000000" w:sz="4"/>
                    <w:left w:val="none" w:color="000000" w:sz="4"/>
                    <w:bottom w:val="non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23</w:t>
                  </w:r>
                </w:p>
              </w:tc>
              <w:tc>
                <w:tcPr>
                  <w:tcW w:type="dxa" w:w="217"/>
                  <w:vMerge/>
                  <w:tcBorders>
                    <w:top w:val="none" w:color="000000" w:sz="4"/>
                    <w:left w:val="singl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诉求留言</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群众扫一扫后可直接填写诉求信息，提交后进入工单任务池。</w:t>
                  </w:r>
                </w:p>
              </w:tc>
              <w:tc>
                <w:tcPr>
                  <w:tcW w:type="dxa" w:w="140"/>
                  <w:vMerge/>
                  <w:tcBorders>
                    <w:top w:val="none" w:color="000000" w:sz="4"/>
                    <w:left w:val="none" w:color="000000" w:sz="4"/>
                    <w:bottom w:val="none" w:color="000000" w:sz="4"/>
                    <w:right w:val="single" w:color="000000" w:sz="4"/>
                  </w:tcBorders>
                </w:tcPr>
                <w:p/>
              </w:tc>
              <w:tc>
                <w:tcPr>
                  <w:tcW w:type="dxa" w:w="140"/>
                  <w:vMerge/>
                  <w:tcBorders>
                    <w:top w:val="none" w:color="000000" w:sz="4"/>
                    <w:left w:val="none" w:color="000000" w:sz="4"/>
                    <w:bottom w:val="none" w:color="000000" w:sz="4"/>
                    <w:right w:val="single" w:color="000000" w:sz="4"/>
                  </w:tcBorders>
                </w:tcPr>
                <w:p/>
              </w:tc>
              <w:tc>
                <w:tcPr>
                  <w:tcW w:type="dxa" w:w="140"/>
                  <w:vMerge/>
                  <w:tcBorders>
                    <w:top w:val="none" w:color="000000" w:sz="4"/>
                    <w:left w:val="none" w:color="000000" w:sz="4"/>
                    <w:bottom w:val="non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29</w:t>
                  </w:r>
                </w:p>
              </w:tc>
              <w:tc>
                <w:tcPr>
                  <w:tcW w:type="dxa" w:w="2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工单管理系统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业务工单受理</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从</w:t>
                  </w:r>
                  <w:r>
                    <w:rPr>
                      <w:rFonts w:ascii="仿宋_GB2312" w:hAnsi="仿宋_GB2312" w:cs="仿宋_GB2312" w:eastAsia="仿宋_GB2312"/>
                      <w:sz w:val="32"/>
                      <w:color w:val="000000"/>
                    </w:rPr>
                    <w:t>12345热线平台、基层扫一扫等各渠道市民提交的诉求信息坐席人员进行登记形成工单，主要功能有：来电弹屏、工单登记、工单提交、历史工单调取、工单催办、工单引用等；</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30</w:t>
                  </w:r>
                </w:p>
              </w:tc>
              <w:tc>
                <w:tcPr>
                  <w:tcW w:type="dxa" w:w="217"/>
                  <w:vMerge/>
                  <w:tcBorders>
                    <w:top w:val="none" w:color="000000" w:sz="4"/>
                    <w:left w:val="single" w:color="000000" w:sz="4"/>
                    <w:bottom w:val="non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业务工单调度</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通过</w:t>
                  </w:r>
                  <w:r>
                    <w:rPr>
                      <w:rFonts w:ascii="仿宋_GB2312" w:hAnsi="仿宋_GB2312" w:cs="仿宋_GB2312" w:eastAsia="仿宋_GB2312"/>
                      <w:sz w:val="32"/>
                      <w:color w:val="000000"/>
                    </w:rPr>
                    <w:t>“12345平台”派单机制和要求，平台适应运营机制调整支持二级、三级逐级调度，支持各级调度联合办理应用；主要功能有：直接答复、审核分派、工单编辑、工单退回、联合办理；</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31</w:t>
                  </w:r>
                </w:p>
              </w:tc>
              <w:tc>
                <w:tcPr>
                  <w:tcW w:type="dxa" w:w="217"/>
                  <w:vMerge/>
                  <w:tcBorders>
                    <w:top w:val="none" w:color="000000" w:sz="4"/>
                    <w:left w:val="single" w:color="000000" w:sz="4"/>
                    <w:bottom w:val="non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业务工单办理</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主要实现工单的工单接收、工单反馈、</w:t>
                  </w:r>
                  <w:r>
                    <w:rPr>
                      <w:rFonts w:ascii="仿宋_GB2312" w:hAnsi="仿宋_GB2312" w:cs="仿宋_GB2312" w:eastAsia="仿宋_GB2312"/>
                      <w:sz w:val="32"/>
                      <w:color w:val="000000"/>
                    </w:rPr>
                    <w:t>工单退回、工单延期、工单逾期等应用；</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32</w:t>
                  </w:r>
                </w:p>
              </w:tc>
              <w:tc>
                <w:tcPr>
                  <w:tcW w:type="dxa" w:w="217"/>
                  <w:vMerge/>
                  <w:tcBorders>
                    <w:top w:val="none" w:color="000000" w:sz="4"/>
                    <w:left w:val="single" w:color="000000" w:sz="4"/>
                    <w:bottom w:val="non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业务工单查询</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有权限的账号可进行工单查询应用；多条件自由组合查询应用；工单详情查阅及导出</w:t>
                  </w:r>
                  <w:r>
                    <w:rPr>
                      <w:rFonts w:ascii="仿宋_GB2312" w:hAnsi="仿宋_GB2312" w:cs="仿宋_GB2312" w:eastAsia="仿宋_GB2312"/>
                      <w:sz w:val="32"/>
                      <w:color w:val="000000"/>
                    </w:rPr>
                    <w:t>Excel应用；工单录音信息或附件信息下载及预览；工单办理明细、工单所有相关信息查阅；</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33</w:t>
                  </w:r>
                </w:p>
              </w:tc>
              <w:tc>
                <w:tcPr>
                  <w:tcW w:type="dxa" w:w="217"/>
                  <w:vMerge/>
                  <w:tcBorders>
                    <w:top w:val="none" w:color="000000" w:sz="4"/>
                    <w:left w:val="single" w:color="000000" w:sz="4"/>
                    <w:bottom w:val="none" w:color="000000" w:sz="4"/>
                    <w:right w:val="single" w:color="000000" w:sz="4"/>
                  </w:tcBorders>
                </w:tcPr>
                <w:p/>
              </w:tc>
              <w:tc>
                <w:tcPr>
                  <w:tcW w:type="dxa" w:w="3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业务工单回访</w:t>
                  </w:r>
                </w:p>
              </w:tc>
              <w:tc>
                <w:tcPr>
                  <w:tcW w:type="dxa" w:w="140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对于办理单位回复后的工单会自动进入回访模块，由回访人员根据市民的要求进行回访或回访办结；功能包含：待回访工单管理；电话回访；工单重办管理等；</w:t>
                  </w:r>
                </w:p>
              </w:tc>
              <w:tc>
                <w:tcPr>
                  <w:tcW w:type="dxa" w:w="14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34</w:t>
                  </w:r>
                </w:p>
              </w:tc>
              <w:tc>
                <w:tcPr>
                  <w:tcW w:type="dxa" w:w="2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知识库系统</w:t>
                  </w:r>
                </w:p>
              </w:tc>
              <w:tc>
                <w:tcPr>
                  <w:tcW w:type="dxa" w:w="32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知识采集</w:t>
                  </w:r>
                </w:p>
              </w:tc>
              <w:tc>
                <w:tcPr>
                  <w:tcW w:type="dxa" w:w="1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针对知识内容进行上传、审核、入库、更新</w:t>
                  </w:r>
                  <w:r>
                    <w:rPr>
                      <w:rFonts w:ascii="仿宋_GB2312" w:hAnsi="仿宋_GB2312" w:cs="仿宋_GB2312" w:eastAsia="仿宋_GB2312"/>
                      <w:sz w:val="32"/>
                      <w:color w:val="000000"/>
                    </w:rPr>
                    <w:t>优化等闭环式应用流程，完成知识内容收集、优化等需求。主要包括手工录入、文件</w:t>
                  </w:r>
                  <w:r>
                    <w:rPr>
                      <w:rFonts w:ascii="仿宋_GB2312" w:hAnsi="仿宋_GB2312" w:cs="仿宋_GB2312" w:eastAsia="仿宋_GB2312"/>
                      <w:sz w:val="32"/>
                      <w:color w:val="000000"/>
                    </w:rPr>
                    <w:t>数据导入、共建共享接口的功能。</w:t>
                  </w:r>
                  <w:r>
                    <w:rPr>
                      <w:rFonts w:ascii="仿宋_GB2312" w:hAnsi="仿宋_GB2312" w:cs="仿宋_GB2312" w:eastAsia="仿宋_GB2312"/>
                      <w:sz w:val="32"/>
                      <w:color w:val="000000"/>
                    </w:rPr>
                    <w:t xml:space="preserve">  </w:t>
                  </w:r>
                  <w:r>
                    <w:br/>
                  </w:r>
                  <w:r>
                    <w:rPr>
                      <w:rFonts w:ascii="仿宋_GB2312" w:hAnsi="仿宋_GB2312" w:cs="仿宋_GB2312" w:eastAsia="仿宋_GB2312"/>
                      <w:sz w:val="32"/>
                      <w:color w:val="000000"/>
                    </w:rPr>
                    <w:t>手工录入：知识库建设完毕后，需要补充知</w:t>
                  </w:r>
                  <w:r>
                    <w:rPr>
                      <w:rFonts w:ascii="仿宋_GB2312" w:hAnsi="仿宋_GB2312" w:cs="仿宋_GB2312" w:eastAsia="仿宋_GB2312"/>
                      <w:sz w:val="32"/>
                      <w:color w:val="000000"/>
                    </w:rPr>
                    <w:t>识内容。知识管理人员可以利用系统自带的</w:t>
                  </w:r>
                  <w:r>
                    <w:rPr>
                      <w:rFonts w:ascii="仿宋_GB2312" w:hAnsi="仿宋_GB2312" w:cs="仿宋_GB2312" w:eastAsia="仿宋_GB2312"/>
                      <w:sz w:val="32"/>
                      <w:color w:val="000000"/>
                    </w:rPr>
                    <w:t>知识录入功能，进行知识的录入补充。</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35</w:t>
                  </w:r>
                </w:p>
              </w:tc>
              <w:tc>
                <w:tcPr>
                  <w:tcW w:type="dxa" w:w="217"/>
                  <w:vMerge/>
                  <w:tcBorders>
                    <w:top w:val="single" w:color="000000" w:sz="4"/>
                    <w:left w:val="single" w:color="000000" w:sz="4"/>
                    <w:bottom w:val="single" w:color="000000" w:sz="4"/>
                    <w:right w:val="single" w:color="000000" w:sz="4"/>
                  </w:tcBorders>
                </w:tcPr>
                <w:p/>
              </w:tc>
              <w:tc>
                <w:tcPr>
                  <w:tcW w:type="dxa" w:w="329"/>
                  <w:vMerge/>
                  <w:tcBorders>
                    <w:top w:val="singl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文件数据导入：建设知识库时，系统支持提供对应的表格模板，将获取的知识按格式录</w:t>
                  </w:r>
                  <w:r>
                    <w:rPr>
                      <w:rFonts w:ascii="仿宋_GB2312" w:hAnsi="仿宋_GB2312" w:cs="仿宋_GB2312" w:eastAsia="仿宋_GB2312"/>
                      <w:sz w:val="32"/>
                      <w:color w:val="000000"/>
                    </w:rPr>
                    <w:t>入表格后，可以导入文件至数据库，实现大</w:t>
                  </w:r>
                  <w:r>
                    <w:rPr>
                      <w:rFonts w:ascii="仿宋_GB2312" w:hAnsi="仿宋_GB2312" w:cs="仿宋_GB2312" w:eastAsia="仿宋_GB2312"/>
                      <w:sz w:val="32"/>
                      <w:color w:val="000000"/>
                    </w:rPr>
                    <w:t>量数据一次录入，减轻手工录入工作量。</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36</w:t>
                  </w:r>
                </w:p>
              </w:tc>
              <w:tc>
                <w:tcPr>
                  <w:tcW w:type="dxa" w:w="217"/>
                  <w:vMerge/>
                  <w:tcBorders>
                    <w:top w:val="single" w:color="000000" w:sz="4"/>
                    <w:left w:val="single" w:color="000000" w:sz="4"/>
                    <w:bottom w:val="single" w:color="000000" w:sz="4"/>
                    <w:right w:val="single" w:color="000000" w:sz="4"/>
                  </w:tcBorders>
                </w:tcPr>
                <w:p/>
              </w:tc>
              <w:tc>
                <w:tcPr>
                  <w:tcW w:type="dxa" w:w="329"/>
                  <w:vMerge/>
                  <w:tcBorders>
                    <w:top w:val="singl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共建共享：开放对应的共建共享接口，支持与其他知识库系统实现知识库共建和应用共享。</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37</w:t>
                  </w:r>
                </w:p>
              </w:tc>
              <w:tc>
                <w:tcPr>
                  <w:tcW w:type="dxa" w:w="217"/>
                  <w:vMerge/>
                  <w:tcBorders>
                    <w:top w:val="single" w:color="000000" w:sz="4"/>
                    <w:left w:val="singl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知识库管理类</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针对已上传的知识内容，进行有序管理，主要包括知识列表管理、知识修改删除、关联问题设置、知识点下载（导出）、知识分类管理、数据字典管理的功能。</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38</w:t>
                  </w:r>
                </w:p>
              </w:tc>
              <w:tc>
                <w:tcPr>
                  <w:tcW w:type="dxa" w:w="217"/>
                  <w:vMerge/>
                  <w:tcBorders>
                    <w:top w:val="single" w:color="000000" w:sz="4"/>
                    <w:left w:val="single" w:color="000000" w:sz="4"/>
                    <w:bottom w:val="single" w:color="000000" w:sz="4"/>
                    <w:right w:val="single" w:color="000000" w:sz="4"/>
                  </w:tcBorders>
                </w:tcPr>
                <w:p/>
              </w:tc>
              <w:tc>
                <w:tcPr>
                  <w:tcW w:type="dxa" w:w="3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知识库检索</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支持知识点的关键词检索、整句检索、关联词检索、热点推送检索、预设词检索等多种检索方式。</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39</w:t>
                  </w:r>
                </w:p>
              </w:tc>
              <w:tc>
                <w:tcPr>
                  <w:tcW w:type="dxa" w:w="217"/>
                  <w:vMerge/>
                  <w:tcBorders>
                    <w:top w:val="singl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支持坐席联动检索，即在登记工单时，可以同步检索工单标题中输入的信息，同屏同步显示匹配的知识点列表和简要内容。</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singl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40</w:t>
                  </w:r>
                </w:p>
              </w:tc>
              <w:tc>
                <w:tcPr>
                  <w:tcW w:type="dxa" w:w="217"/>
                  <w:vMerge/>
                  <w:tcBorders>
                    <w:top w:val="singl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检索知识时，高亮显示检索的关键字；</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singl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41</w:t>
                  </w:r>
                </w:p>
              </w:tc>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统计分析系统</w:t>
                  </w:r>
                </w:p>
              </w:tc>
              <w:tc>
                <w:tcPr>
                  <w:tcW w:type="dxa" w:w="3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话务统计报表</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平台通话情况统计：系统提供话务中心整体接通量统计，可按照天、周、月、年进行数据查询，内容包含接通量、接通率、游客率、人工率（转办量）、通话时长、等待时长、平均通话时长、漏接电话量等话务数据报表。</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42</w:t>
                  </w:r>
                </w:p>
              </w:tc>
              <w:tc>
                <w:tcPr>
                  <w:tcW w:type="dxa" w:w="217"/>
                  <w:vMerge/>
                  <w:tcBorders>
                    <w:top w:val="non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坐席通话情况工作统计：系统提供坐席人员通话情况工作统计功能，可按照自定义时间段、天、周、月、年等时间点进行数据统计分析。主要包含接通量、接通率、转办量、平均通话时长、置忙时间、漏接电话量。</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43</w:t>
                  </w:r>
                </w:p>
              </w:tc>
              <w:tc>
                <w:tcPr>
                  <w:tcW w:type="dxa" w:w="217"/>
                  <w:vMerge/>
                  <w:tcBorders>
                    <w:top w:val="none" w:color="000000" w:sz="4"/>
                    <w:left w:val="single" w:color="000000" w:sz="4"/>
                    <w:bottom w:val="single" w:color="000000" w:sz="4"/>
                    <w:right w:val="single" w:color="000000" w:sz="4"/>
                  </w:tcBorders>
                </w:tcPr>
                <w:p/>
              </w:tc>
              <w:tc>
                <w:tcPr>
                  <w:tcW w:type="dxa" w:w="3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业务统计报表</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部门工作小结：系统提供部门整体工作统计展示，可按照天、周、月、年进行数据查询，内容包含总工单量、各类型工单量、在途工单展示、办理质量情况、热点问题等数据图表。</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44</w:t>
                  </w:r>
                </w:p>
              </w:tc>
              <w:tc>
                <w:tcPr>
                  <w:tcW w:type="dxa" w:w="217"/>
                  <w:vMerge/>
                  <w:tcBorders>
                    <w:top w:val="non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部门办理热点统计：系统提供委办单位统计报表，主要根据自定义日期、日、周、月、年，承办单位、办理方式等条件，统计工单热点信息，系统可统计到二级热点数据管理，并且可导出</w:t>
                  </w:r>
                  <w:r>
                    <w:rPr>
                      <w:rFonts w:ascii="仿宋_GB2312" w:hAnsi="仿宋_GB2312" w:cs="仿宋_GB2312" w:eastAsia="仿宋_GB2312"/>
                      <w:sz w:val="32"/>
                      <w:color w:val="000000"/>
                    </w:rPr>
                    <w:t>excel表格进行管理。</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45</w:t>
                  </w:r>
                </w:p>
              </w:tc>
              <w:tc>
                <w:tcPr>
                  <w:tcW w:type="dxa" w:w="217"/>
                  <w:vMerge/>
                  <w:tcBorders>
                    <w:top w:val="none" w:color="000000" w:sz="4"/>
                    <w:left w:val="single" w:color="000000" w:sz="4"/>
                    <w:bottom w:val="single" w:color="000000" w:sz="4"/>
                    <w:right w:val="single" w:color="000000" w:sz="4"/>
                  </w:tcBorders>
                </w:tcPr>
                <w:p/>
              </w:tc>
              <w:tc>
                <w:tcPr>
                  <w:tcW w:type="dxa" w:w="3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可视化应用</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在途工单情况概览：（</w:t>
                  </w:r>
                  <w:r>
                    <w:rPr>
                      <w:rFonts w:ascii="仿宋_GB2312" w:hAnsi="仿宋_GB2312" w:cs="仿宋_GB2312" w:eastAsia="仿宋_GB2312"/>
                      <w:sz w:val="32"/>
                      <w:color w:val="000000"/>
                    </w:rPr>
                    <w:t>1）在途工单量总量（2）当前在途工单状态（3）近30日运营数据；</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46</w:t>
                  </w:r>
                </w:p>
              </w:tc>
              <w:tc>
                <w:tcPr>
                  <w:tcW w:type="dxa" w:w="217"/>
                  <w:vMerge/>
                  <w:tcBorders>
                    <w:top w:val="non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近</w:t>
                  </w:r>
                  <w:r>
                    <w:rPr>
                      <w:rFonts w:ascii="仿宋_GB2312" w:hAnsi="仿宋_GB2312" w:cs="仿宋_GB2312" w:eastAsia="仿宋_GB2312"/>
                      <w:sz w:val="32"/>
                      <w:color w:val="000000"/>
                    </w:rPr>
                    <w:t>30日工单分派总量数据分析：以柱状图形式展示近30日普通工单和紧急工单分派情况，分派工单平均时长与工单量展示。</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47</w:t>
                  </w:r>
                </w:p>
              </w:tc>
              <w:tc>
                <w:tcPr>
                  <w:tcW w:type="dxa" w:w="217"/>
                  <w:vMerge/>
                  <w:tcBorders>
                    <w:top w:val="non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办理中监测预警：对预逾期工单量、超期工单量进行数据预警并以不同颜色进行展示分析。</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48</w:t>
                  </w:r>
                </w:p>
              </w:tc>
              <w:tc>
                <w:tcPr>
                  <w:tcW w:type="dxa" w:w="217"/>
                  <w:vMerge/>
                  <w:tcBorders>
                    <w:top w:val="none" w:color="000000" w:sz="4"/>
                    <w:left w:val="single" w:color="000000" w:sz="4"/>
                    <w:bottom w:val="single" w:color="000000" w:sz="4"/>
                    <w:right w:val="single" w:color="000000" w:sz="4"/>
                  </w:tcBorders>
                </w:tcPr>
                <w:p/>
              </w:tc>
              <w:tc>
                <w:tcPr>
                  <w:tcW w:type="dxa" w:w="329"/>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预逾期工单：对排名</w:t>
                  </w:r>
                  <w:r>
                    <w:rPr>
                      <w:rFonts w:ascii="仿宋_GB2312" w:hAnsi="仿宋_GB2312" w:cs="仿宋_GB2312" w:eastAsia="仿宋_GB2312"/>
                      <w:sz w:val="32"/>
                      <w:color w:val="000000"/>
                    </w:rPr>
                    <w:t>TOP5的预逾期工单展示处理部门及总工单量；</w:t>
                  </w:r>
                  <w:r>
                    <w:br/>
                  </w:r>
                  <w:r>
                    <w:rPr>
                      <w:rFonts w:ascii="仿宋_GB2312" w:hAnsi="仿宋_GB2312" w:cs="仿宋_GB2312" w:eastAsia="仿宋_GB2312"/>
                      <w:sz w:val="32"/>
                      <w:color w:val="000000"/>
                    </w:rPr>
                    <w:t>逾期工单：对排名</w:t>
                  </w:r>
                  <w:r>
                    <w:rPr>
                      <w:rFonts w:ascii="仿宋_GB2312" w:hAnsi="仿宋_GB2312" w:cs="仿宋_GB2312" w:eastAsia="仿宋_GB2312"/>
                      <w:sz w:val="32"/>
                      <w:color w:val="000000"/>
                    </w:rPr>
                    <w:t>TOP5的逾期工单展示处理部门数据进行分析展示。</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49</w:t>
                  </w:r>
                </w:p>
              </w:tc>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基础信息管理</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组织架构管理</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组织机构给树状结构展示，提供组织机构查询功能，部门实现树状结构展示，方便查看层级结构及数据过滤操作；</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50</w:t>
                  </w:r>
                </w:p>
              </w:tc>
              <w:tc>
                <w:tcPr>
                  <w:tcW w:type="dxa" w:w="217"/>
                  <w:vMerge/>
                  <w:tcBorders>
                    <w:top w:val="none" w:color="000000" w:sz="4"/>
                    <w:left w:val="singl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模块权限管理</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权限等级按角色不同进行管理，自由分派操作权限和数据权限；</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51</w:t>
                  </w:r>
                </w:p>
              </w:tc>
              <w:tc>
                <w:tcPr>
                  <w:tcW w:type="dxa" w:w="217"/>
                  <w:vMerge/>
                  <w:tcBorders>
                    <w:top w:val="none" w:color="000000" w:sz="4"/>
                    <w:left w:val="singl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通讯录</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设置经常联系的人员联系方式及基本信息，方便查询及使用；</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52</w:t>
                  </w:r>
                </w:p>
              </w:tc>
              <w:tc>
                <w:tcPr>
                  <w:tcW w:type="dxa" w:w="217"/>
                  <w:vMerge/>
                  <w:tcBorders>
                    <w:top w:val="none" w:color="000000" w:sz="4"/>
                    <w:left w:val="singl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通知公告</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公告信息管理主要用于公告信息的发布和阅读部门内部和部门之间可以用公告栏模块功能来互相发送业务通知，通过这种方式加快信息传递，减少了工作量，提高工作效率；</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53</w:t>
                  </w:r>
                </w:p>
              </w:tc>
              <w:tc>
                <w:tcPr>
                  <w:tcW w:type="dxa" w:w="217"/>
                  <w:vMerge/>
                  <w:tcBorders>
                    <w:top w:val="none" w:color="000000" w:sz="4"/>
                    <w:left w:val="singl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工单功能设置数据维护</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工单紧急级别设置、工单类型设置、工单提醒设置、工单状态设置、回访机制设置、小休参数设置、延期权值设置、数据字典管理；</w:t>
                  </w:r>
                </w:p>
              </w:tc>
              <w:tc>
                <w:tcPr>
                  <w:tcW w:type="dxa" w:w="140"/>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54</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平台对接</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系统对接</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12345业务平台已与市平台对接，实现数据的下派及上报汇聚应用。</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outlineLvl w:val="1"/>
            </w:pPr>
            <w:r>
              <w:rPr>
                <w:rFonts w:ascii="仿宋_GB2312" w:hAnsi="仿宋_GB2312" w:cs="仿宋_GB2312" w:eastAsia="仿宋_GB2312"/>
                <w:sz w:val="32"/>
                <w:b/>
              </w:rPr>
              <w:t>2、硬件内容</w:t>
            </w:r>
          </w:p>
          <w:tbl>
            <w:tblPr>
              <w:tblBorders>
                <w:top w:val="none" w:color="000000" w:sz="4"/>
                <w:left w:val="none" w:color="000000" w:sz="4"/>
                <w:bottom w:val="none" w:color="000000" w:sz="4"/>
                <w:right w:val="none" w:color="000000" w:sz="4"/>
                <w:insideH w:val="none"/>
                <w:insideV w:val="none"/>
              </w:tblBorders>
            </w:tblPr>
            <w:tblGrid>
              <w:gridCol w:w="156"/>
              <w:gridCol w:w="244"/>
              <w:gridCol w:w="1474"/>
              <w:gridCol w:w="332"/>
              <w:gridCol w:w="192"/>
              <w:gridCol w:w="156"/>
            </w:tblGrid>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序号</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建设模块</w:t>
                  </w:r>
                </w:p>
              </w:tc>
              <w:tc>
                <w:tcPr>
                  <w:tcW w:type="dxa" w:w="1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描述</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单位</w:t>
                  </w:r>
                </w:p>
              </w:tc>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数量</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备注</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拆除工程</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拆除吊顶（</w:t>
                  </w:r>
                  <w:r>
                    <w:rPr>
                      <w:rFonts w:ascii="仿宋_GB2312" w:hAnsi="仿宋_GB2312" w:cs="仿宋_GB2312" w:eastAsia="仿宋_GB2312"/>
                      <w:sz w:val="32"/>
                      <w:color w:val="000000"/>
                    </w:rPr>
                    <w:t>193平：原场地113平，会议室50平、公共区域30平），隔墙、服务台、门头、门等（105平）及垃圾清运</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平方米</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298</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新建隔墙</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75系列轻钢龙骨石膏板隔墙内填80mm厚岩棉</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平方米</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77</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新建隔墙</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成品双玻带百叶高隔断</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平方米</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8</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门</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增高木质门含门套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樘</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4</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门</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钢化玻璃门含门套、智能锁</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樘</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6</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地面</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水泥自流平铺贴塑胶地板</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平方米</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113</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7</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墙面</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600mm宽护墙板饰面</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平方米</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45</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墙面</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原墙面、顶面铲平清理、刮腻子找平、刷漆（含材料）</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平方米</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480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9</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吊顶</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造型吊顶</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平方米</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193</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电路改造</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刻槽、线路、管子、灯具及插板开关等</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平方米</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193</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踢脚线</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不锈钢、黑钛，含基层</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米</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95</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中央空调维修</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中央空调移机、维修、更换配件、新增风口</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套</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13</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新风系统</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全热空气交换机，三层过滤，风量</w:t>
                  </w:r>
                  <w:r>
                    <w:rPr>
                      <w:rFonts w:ascii="仿宋_GB2312" w:hAnsi="仿宋_GB2312" w:cs="仿宋_GB2312" w:eastAsia="仿宋_GB2312"/>
                      <w:sz w:val="32"/>
                      <w:color w:val="000000"/>
                    </w:rPr>
                    <w:t>≥1000m³/h，含辅材安装</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套</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2</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14</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弱电改造</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刻槽、线路、管子、网线插板、交换机、弱电箱等</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平方米</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193</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15</w:t>
                  </w:r>
                </w:p>
              </w:tc>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办公桌</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双人位，连体或独立式</w:t>
                  </w:r>
                </w:p>
              </w:tc>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张</w:t>
                  </w:r>
                </w:p>
              </w:tc>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2</w:t>
                  </w:r>
                </w:p>
              </w:tc>
              <w:tc>
                <w:tcPr>
                  <w:tcW w:type="dxa" w:w="1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244"/>
                  <w:vMerge/>
                  <w:tcBorders>
                    <w:top w:val="none" w:color="000000" w:sz="4"/>
                    <w:left w:val="single" w:color="000000" w:sz="4"/>
                    <w:bottom w:val="single" w:color="000000" w:sz="4"/>
                    <w:right w:val="single" w:color="000000" w:sz="4"/>
                  </w:tcBorders>
                </w:tcP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每位宽度</w:t>
                  </w:r>
                  <w:r>
                    <w:rPr>
                      <w:rFonts w:ascii="仿宋_GB2312" w:hAnsi="仿宋_GB2312" w:cs="仿宋_GB2312" w:eastAsia="仿宋_GB2312"/>
                      <w:sz w:val="32"/>
                      <w:color w:val="000000"/>
                    </w:rPr>
                    <w:t>≥1200mm，桌面深度≥600mm，桌腿高度≥750mm。</w:t>
                  </w:r>
                </w:p>
              </w:tc>
              <w:tc>
                <w:tcPr>
                  <w:tcW w:type="dxa" w:w="332"/>
                  <w:vMerge/>
                  <w:tcBorders>
                    <w:top w:val="none" w:color="000000" w:sz="4"/>
                    <w:left w:val="single" w:color="000000" w:sz="4"/>
                    <w:bottom w:val="single" w:color="000000" w:sz="4"/>
                    <w:right w:val="single" w:color="000000" w:sz="4"/>
                  </w:tcBorders>
                </w:tcPr>
                <w:p/>
              </w:tc>
              <w:tc>
                <w:tcPr>
                  <w:tcW w:type="dxa" w:w="192"/>
                  <w:vMerge/>
                  <w:tcBorders>
                    <w:top w:val="none" w:color="000000" w:sz="4"/>
                    <w:left w:val="single" w:color="000000" w:sz="4"/>
                    <w:bottom w:val="single" w:color="000000" w:sz="4"/>
                    <w:right w:val="single" w:color="000000" w:sz="4"/>
                  </w:tcBorders>
                </w:tcPr>
                <w:p/>
              </w:tc>
              <w:tc>
                <w:tcPr>
                  <w:tcW w:type="dxa" w:w="156"/>
                  <w:vMerge/>
                  <w:tcBorders>
                    <w:top w:val="none" w:color="000000" w:sz="4"/>
                    <w:left w:val="single" w:color="000000" w:sz="4"/>
                    <w:bottom w:val="single" w:color="000000" w:sz="4"/>
                    <w:right w:val="single" w:color="000000" w:sz="4"/>
                  </w:tcBorders>
                </w:tcPr>
                <w:p/>
              </w:tc>
            </w:tr>
            <w:tr>
              <w:tc>
                <w:tcPr>
                  <w:tcW w:type="dxa" w:w="156"/>
                  <w:vMerge/>
                  <w:tcBorders>
                    <w:top w:val="none" w:color="000000" w:sz="4"/>
                    <w:left w:val="single" w:color="000000" w:sz="4"/>
                    <w:bottom w:val="single" w:color="000000" w:sz="4"/>
                    <w:right w:val="single" w:color="000000" w:sz="4"/>
                  </w:tcBorders>
                </w:tcPr>
                <w:p/>
              </w:tc>
              <w:tc>
                <w:tcPr>
                  <w:tcW w:type="dxa" w:w="244"/>
                  <w:vMerge/>
                  <w:tcBorders>
                    <w:top w:val="none" w:color="000000" w:sz="4"/>
                    <w:left w:val="single" w:color="000000" w:sz="4"/>
                    <w:bottom w:val="single" w:color="000000" w:sz="4"/>
                    <w:right w:val="single" w:color="000000" w:sz="4"/>
                  </w:tcBorders>
                </w:tcP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必须采用</w:t>
                  </w:r>
                  <w:r>
                    <w:rPr>
                      <w:rFonts w:ascii="仿宋_GB2312" w:hAnsi="仿宋_GB2312" w:cs="仿宋_GB2312" w:eastAsia="仿宋_GB2312"/>
                      <w:sz w:val="32"/>
                      <w:color w:val="000000"/>
                    </w:rPr>
                    <w:t>E1级或更优环保标准的板材，桌面饰面需为耐磨、耐刮、易清洁的材质。</w:t>
                  </w:r>
                </w:p>
              </w:tc>
              <w:tc>
                <w:tcPr>
                  <w:tcW w:type="dxa" w:w="332"/>
                  <w:vMerge/>
                  <w:tcBorders>
                    <w:top w:val="none" w:color="000000" w:sz="4"/>
                    <w:left w:val="single" w:color="000000" w:sz="4"/>
                    <w:bottom w:val="single" w:color="000000" w:sz="4"/>
                    <w:right w:val="single" w:color="000000" w:sz="4"/>
                  </w:tcBorders>
                </w:tcPr>
                <w:p/>
              </w:tc>
              <w:tc>
                <w:tcPr>
                  <w:tcW w:type="dxa" w:w="192"/>
                  <w:vMerge/>
                  <w:tcBorders>
                    <w:top w:val="none" w:color="000000" w:sz="4"/>
                    <w:left w:val="single" w:color="000000" w:sz="4"/>
                    <w:bottom w:val="single" w:color="000000" w:sz="4"/>
                    <w:right w:val="single" w:color="000000" w:sz="4"/>
                  </w:tcBorders>
                </w:tcPr>
                <w:p/>
              </w:tc>
              <w:tc>
                <w:tcPr>
                  <w:tcW w:type="dxa" w:w="156"/>
                  <w:vMerge/>
                  <w:tcBorders>
                    <w:top w:val="none" w:color="000000" w:sz="4"/>
                    <w:left w:val="single" w:color="000000" w:sz="4"/>
                    <w:bottom w:val="single" w:color="000000" w:sz="4"/>
                    <w:right w:val="single" w:color="000000" w:sz="4"/>
                  </w:tcBorders>
                </w:tc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16</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接线台席</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双人位连体或分体式式办公桌。</w:t>
                  </w:r>
                </w:p>
                <w:p>
                  <w:pPr>
                    <w:pStyle w:val="null3"/>
                    <w:jc w:val="left"/>
                  </w:pPr>
                  <w:r>
                    <w:rPr>
                      <w:rFonts w:ascii="仿宋_GB2312" w:hAnsi="仿宋_GB2312" w:cs="仿宋_GB2312" w:eastAsia="仿宋_GB2312"/>
                      <w:sz w:val="32"/>
                      <w:color w:val="000000"/>
                    </w:rPr>
                    <w:t>桌面总宽度</w:t>
                  </w:r>
                  <w:r>
                    <w:rPr>
                      <w:rFonts w:ascii="仿宋_GB2312" w:hAnsi="仿宋_GB2312" w:cs="仿宋_GB2312" w:eastAsia="仿宋_GB2312"/>
                      <w:sz w:val="32"/>
                      <w:color w:val="000000"/>
                    </w:rPr>
                    <w:t>≥2000mm，桌面深度≥700mm，桌体高度750mm±10mm。</w:t>
                  </w:r>
                </w:p>
                <w:p>
                  <w:pPr>
                    <w:pStyle w:val="null3"/>
                    <w:jc w:val="left"/>
                  </w:pPr>
                  <w:r>
                    <w:rPr>
                      <w:rFonts w:ascii="仿宋_GB2312" w:hAnsi="仿宋_GB2312" w:cs="仿宋_GB2312" w:eastAsia="仿宋_GB2312"/>
                      <w:sz w:val="32"/>
                      <w:color w:val="000000"/>
                    </w:rPr>
                    <w:t>桌面主材：优先采用实木贴皮（如胡桃木、樱桃木等）或高档饰面板，纹理自然、拼接美观。基材必须符合</w:t>
                  </w:r>
                  <w:r>
                    <w:rPr>
                      <w:rFonts w:ascii="仿宋_GB2312" w:hAnsi="仿宋_GB2312" w:cs="仿宋_GB2312" w:eastAsia="仿宋_GB2312"/>
                      <w:sz w:val="32"/>
                      <w:color w:val="000000"/>
                    </w:rPr>
                    <w:t>E0/E1级环保标准。</w:t>
                  </w:r>
                </w:p>
                <w:p>
                  <w:pPr>
                    <w:pStyle w:val="null3"/>
                    <w:jc w:val="left"/>
                  </w:pPr>
                  <w:r>
                    <w:rPr>
                      <w:rFonts w:ascii="仿宋_GB2312" w:hAnsi="仿宋_GB2312" w:cs="仿宋_GB2312" w:eastAsia="仿宋_GB2312"/>
                      <w:sz w:val="32"/>
                      <w:color w:val="000000"/>
                    </w:rPr>
                    <w:t>桌体框架：主要支撑结构（如侧板、中立板、桌腿）应采用同色系优质实木、高品质金属或高密度板。</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张</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17</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话务员办公桌</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桌型结构</w:t>
                  </w:r>
                  <w:r>
                    <w:rPr>
                      <w:rFonts w:ascii="仿宋_GB2312" w:hAnsi="仿宋_GB2312" w:cs="仿宋_GB2312" w:eastAsia="仿宋_GB2312"/>
                      <w:sz w:val="32"/>
                      <w:color w:val="000000"/>
                    </w:rPr>
                    <w:t>：</w:t>
                  </w:r>
                  <w:r>
                    <w:rPr>
                      <w:rFonts w:ascii="仿宋_GB2312" w:hAnsi="仿宋_GB2312" w:cs="仿宋_GB2312" w:eastAsia="仿宋_GB2312"/>
                      <w:sz w:val="32"/>
                      <w:color w:val="000000"/>
                    </w:rPr>
                    <w:t>L型转角办公桌，集成单侧屏风。屏风用于隔断相邻工位，保障话务员通话隐私。</w:t>
                  </w:r>
                </w:p>
                <w:p>
                  <w:pPr>
                    <w:pStyle w:val="null3"/>
                    <w:jc w:val="left"/>
                  </w:pPr>
                  <w:r>
                    <w:rPr>
                      <w:rFonts w:ascii="仿宋_GB2312" w:hAnsi="仿宋_GB2312" w:cs="仿宋_GB2312" w:eastAsia="仿宋_GB2312"/>
                      <w:sz w:val="32"/>
                      <w:color w:val="000000"/>
                    </w:rPr>
                    <w:t>主桌尺寸（长边）</w:t>
                  </w:r>
                  <w:r>
                    <w:rPr>
                      <w:rFonts w:ascii="仿宋_GB2312" w:hAnsi="仿宋_GB2312" w:cs="仿宋_GB2312" w:eastAsia="仿宋_GB2312"/>
                      <w:sz w:val="32"/>
                      <w:color w:val="000000"/>
                    </w:rPr>
                    <w:t>≥1400mm，侧桌尺寸（短边）≥ 700mm，桌面深度≥600mm，屏风高度≥300mm，屏风固定于桌面长边一侧，与桌面连接牢固，无晃动。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张</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8</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18</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办公椅子</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五爪椅脚：防爆钢板加强尼龙一体成型，爪盘直径</w:t>
                  </w:r>
                  <w:r>
                    <w:rPr>
                      <w:rFonts w:ascii="仿宋_GB2312" w:hAnsi="仿宋_GB2312" w:cs="仿宋_GB2312" w:eastAsia="仿宋_GB2312"/>
                      <w:sz w:val="32"/>
                      <w:color w:val="000000"/>
                    </w:rPr>
                    <w:t>≥600mm，承重测试≥110kg。</w:t>
                  </w:r>
                </w:p>
                <w:p>
                  <w:pPr>
                    <w:pStyle w:val="null3"/>
                    <w:jc w:val="left"/>
                  </w:pPr>
                  <w:r>
                    <w:rPr>
                      <w:rFonts w:ascii="仿宋_GB2312" w:hAnsi="仿宋_GB2312" w:cs="仿宋_GB2312" w:eastAsia="仿宋_GB2312"/>
                      <w:sz w:val="32"/>
                      <w:color w:val="000000"/>
                    </w:rPr>
                    <w:t>倾仰锁定：底盘须为钢制加厚结构，并具备倾仰锁定功能，防止后仰翻倒。</w:t>
                  </w:r>
                </w:p>
                <w:p>
                  <w:pPr>
                    <w:pStyle w:val="null3"/>
                    <w:jc w:val="left"/>
                  </w:pPr>
                  <w:r>
                    <w:rPr>
                      <w:rFonts w:ascii="仿宋_GB2312" w:hAnsi="仿宋_GB2312" w:cs="仿宋_GB2312" w:eastAsia="仿宋_GB2312"/>
                      <w:sz w:val="32"/>
                      <w:color w:val="000000"/>
                    </w:rPr>
                    <w:t>座垫与靠背填充：必须采用高密度原生海绵。</w:t>
                  </w:r>
                </w:p>
                <w:p>
                  <w:pPr>
                    <w:pStyle w:val="null3"/>
                    <w:jc w:val="left"/>
                  </w:pPr>
                  <w:r>
                    <w:rPr>
                      <w:rFonts w:ascii="仿宋_GB2312" w:hAnsi="仿宋_GB2312" w:cs="仿宋_GB2312" w:eastAsia="仿宋_GB2312"/>
                      <w:sz w:val="32"/>
                      <w:color w:val="000000"/>
                    </w:rPr>
                    <w:t>面料：耐磨透气网布或优质麻绒布。</w:t>
                  </w:r>
                </w:p>
                <w:p>
                  <w:pPr>
                    <w:pStyle w:val="null3"/>
                    <w:jc w:val="left"/>
                  </w:pPr>
                  <w:r>
                    <w:rPr>
                      <w:rFonts w:ascii="仿宋_GB2312" w:hAnsi="仿宋_GB2312" w:cs="仿宋_GB2312" w:eastAsia="仿宋_GB2312"/>
                      <w:sz w:val="32"/>
                      <w:color w:val="000000"/>
                    </w:rPr>
                    <w:t>调节功能：必须支持座椅高度调节（范围</w:t>
                  </w:r>
                  <w:r>
                    <w:rPr>
                      <w:rFonts w:ascii="仿宋_GB2312" w:hAnsi="仿宋_GB2312" w:cs="仿宋_GB2312" w:eastAsia="仿宋_GB2312"/>
                      <w:sz w:val="32"/>
                      <w:color w:val="000000"/>
                    </w:rPr>
                    <w:t>45-55cm）及靠背倾角调节。</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把</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15</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19</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柜子</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现代简约风格</w:t>
                  </w:r>
                </w:p>
                <w:p>
                  <w:pPr>
                    <w:pStyle w:val="null3"/>
                    <w:jc w:val="left"/>
                  </w:pPr>
                  <w:r>
                    <w:rPr>
                      <w:rFonts w:ascii="仿宋_GB2312" w:hAnsi="仿宋_GB2312" w:cs="仿宋_GB2312" w:eastAsia="仿宋_GB2312"/>
                      <w:sz w:val="32"/>
                      <w:color w:val="000000"/>
                    </w:rPr>
                    <w:t>外形尺寸：</w:t>
                  </w:r>
                </w:p>
                <w:p>
                  <w:pPr>
                    <w:pStyle w:val="null3"/>
                    <w:jc w:val="left"/>
                  </w:pPr>
                  <w:r>
                    <w:rPr>
                      <w:rFonts w:ascii="仿宋_GB2312" w:hAnsi="仿宋_GB2312" w:cs="仿宋_GB2312" w:eastAsia="仿宋_GB2312"/>
                      <w:sz w:val="32"/>
                      <w:color w:val="000000"/>
                    </w:rPr>
                    <w:t>宽度：</w:t>
                  </w:r>
                  <w:r>
                    <w:rPr>
                      <w:rFonts w:ascii="仿宋_GB2312" w:hAnsi="仿宋_GB2312" w:cs="仿宋_GB2312" w:eastAsia="仿宋_GB2312"/>
                      <w:sz w:val="32"/>
                      <w:color w:val="000000"/>
                    </w:rPr>
                    <w:t>2000 mm，深度：400-450 mm，高度：1800-2000 mm。</w:t>
                  </w:r>
                </w:p>
                <w:p>
                  <w:pPr>
                    <w:pStyle w:val="null3"/>
                    <w:jc w:val="left"/>
                  </w:pPr>
                  <w:r>
                    <w:rPr>
                      <w:rFonts w:ascii="仿宋_GB2312" w:hAnsi="仿宋_GB2312" w:cs="仿宋_GB2312" w:eastAsia="仿宋_GB2312"/>
                      <w:sz w:val="32"/>
                      <w:color w:val="000000"/>
                    </w:rPr>
                    <w:t>内部配置：</w:t>
                  </w:r>
                </w:p>
                <w:p>
                  <w:pPr>
                    <w:pStyle w:val="null3"/>
                    <w:jc w:val="left"/>
                  </w:pPr>
                  <w:r>
                    <w:rPr>
                      <w:rFonts w:ascii="仿宋_GB2312" w:hAnsi="仿宋_GB2312" w:cs="仿宋_GB2312" w:eastAsia="仿宋_GB2312"/>
                      <w:sz w:val="32"/>
                      <w:color w:val="000000"/>
                    </w:rPr>
                    <w:t>层板承重：静态承重</w:t>
                  </w:r>
                  <w:r>
                    <w:rPr>
                      <w:rFonts w:ascii="仿宋_GB2312" w:hAnsi="仿宋_GB2312" w:cs="仿宋_GB2312" w:eastAsia="仿宋_GB2312"/>
                      <w:sz w:val="32"/>
                      <w:color w:val="000000"/>
                    </w:rPr>
                    <w:t>≥30公斤。</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组</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2</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柜子</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现代简约风格</w:t>
                  </w:r>
                </w:p>
                <w:p>
                  <w:pPr>
                    <w:pStyle w:val="null3"/>
                    <w:jc w:val="left"/>
                  </w:pPr>
                  <w:r>
                    <w:rPr>
                      <w:rFonts w:ascii="仿宋_GB2312" w:hAnsi="仿宋_GB2312" w:cs="仿宋_GB2312" w:eastAsia="仿宋_GB2312"/>
                      <w:sz w:val="32"/>
                      <w:color w:val="000000"/>
                    </w:rPr>
                    <w:t>外形尺寸：</w:t>
                  </w:r>
                </w:p>
                <w:p>
                  <w:pPr>
                    <w:pStyle w:val="null3"/>
                    <w:jc w:val="left"/>
                  </w:pPr>
                  <w:r>
                    <w:rPr>
                      <w:rFonts w:ascii="仿宋_GB2312" w:hAnsi="仿宋_GB2312" w:cs="仿宋_GB2312" w:eastAsia="仿宋_GB2312"/>
                      <w:sz w:val="32"/>
                      <w:color w:val="000000"/>
                    </w:rPr>
                    <w:t>宽度：</w:t>
                  </w:r>
                  <w:r>
                    <w:rPr>
                      <w:rFonts w:ascii="仿宋_GB2312" w:hAnsi="仿宋_GB2312" w:cs="仿宋_GB2312" w:eastAsia="仿宋_GB2312"/>
                      <w:sz w:val="32"/>
                      <w:color w:val="000000"/>
                    </w:rPr>
                    <w:t>1200 mm，深度：400-450 mm，高度：1800-2000 mm。</w:t>
                  </w:r>
                </w:p>
                <w:p>
                  <w:pPr>
                    <w:pStyle w:val="null3"/>
                    <w:jc w:val="left"/>
                  </w:pPr>
                  <w:r>
                    <w:rPr>
                      <w:rFonts w:ascii="仿宋_GB2312" w:hAnsi="仿宋_GB2312" w:cs="仿宋_GB2312" w:eastAsia="仿宋_GB2312"/>
                      <w:sz w:val="32"/>
                      <w:color w:val="000000"/>
                    </w:rPr>
                    <w:t>内部配置：</w:t>
                  </w:r>
                </w:p>
                <w:p>
                  <w:pPr>
                    <w:pStyle w:val="null3"/>
                    <w:jc w:val="left"/>
                  </w:pPr>
                  <w:r>
                    <w:rPr>
                      <w:rFonts w:ascii="仿宋_GB2312" w:hAnsi="仿宋_GB2312" w:cs="仿宋_GB2312" w:eastAsia="仿宋_GB2312"/>
                      <w:sz w:val="32"/>
                      <w:color w:val="000000"/>
                    </w:rPr>
                    <w:t>层板承重：静态承重</w:t>
                  </w:r>
                  <w:r>
                    <w:rPr>
                      <w:rFonts w:ascii="仿宋_GB2312" w:hAnsi="仿宋_GB2312" w:cs="仿宋_GB2312" w:eastAsia="仿宋_GB2312"/>
                      <w:sz w:val="32"/>
                      <w:color w:val="000000"/>
                    </w:rPr>
                    <w:t>≥30公斤。</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组</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计算机</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CPU：8核处理器，主频≥2.7GHz 或使用国产C86架构处理器。</w:t>
                  </w:r>
                </w:p>
                <w:p>
                  <w:pPr>
                    <w:pStyle w:val="null3"/>
                    <w:jc w:val="both"/>
                  </w:pPr>
                  <w:r>
                    <w:rPr>
                      <w:rFonts w:ascii="仿宋_GB2312" w:hAnsi="仿宋_GB2312" w:cs="仿宋_GB2312" w:eastAsia="仿宋_GB2312"/>
                      <w:sz w:val="32"/>
                      <w:color w:val="000000"/>
                    </w:rPr>
                    <w:t>内存：</w:t>
                  </w:r>
                  <w:r>
                    <w:rPr>
                      <w:rFonts w:ascii="仿宋_GB2312" w:hAnsi="仿宋_GB2312" w:cs="仿宋_GB2312" w:eastAsia="仿宋_GB2312"/>
                      <w:sz w:val="32"/>
                      <w:color w:val="000000"/>
                    </w:rPr>
                    <w:t>16GB。</w:t>
                  </w:r>
                </w:p>
                <w:p>
                  <w:pPr>
                    <w:pStyle w:val="null3"/>
                    <w:jc w:val="both"/>
                  </w:pPr>
                  <w:r>
                    <w:rPr>
                      <w:rFonts w:ascii="仿宋_GB2312" w:hAnsi="仿宋_GB2312" w:cs="仿宋_GB2312" w:eastAsia="仿宋_GB2312"/>
                      <w:sz w:val="32"/>
                      <w:color w:val="000000"/>
                    </w:rPr>
                    <w:t>硬盘：</w:t>
                  </w:r>
                  <w:r>
                    <w:rPr>
                      <w:rFonts w:ascii="仿宋_GB2312" w:hAnsi="仿宋_GB2312" w:cs="仿宋_GB2312" w:eastAsia="仿宋_GB2312"/>
                      <w:sz w:val="32"/>
                      <w:color w:val="000000"/>
                    </w:rPr>
                    <w:t>512GB 固态硬盘 + 1TB 机械硬盘，或单块1TB固态硬盘。</w:t>
                  </w:r>
                </w:p>
                <w:p>
                  <w:pPr>
                    <w:pStyle w:val="null3"/>
                    <w:jc w:val="both"/>
                  </w:pPr>
                  <w:r>
                    <w:rPr>
                      <w:rFonts w:ascii="仿宋_GB2312" w:hAnsi="仿宋_GB2312" w:cs="仿宋_GB2312" w:eastAsia="仿宋_GB2312"/>
                      <w:sz w:val="32"/>
                      <w:color w:val="000000"/>
                    </w:rPr>
                    <w:t>显卡：集成显卡或入门级独立显卡（显存</w:t>
                  </w:r>
                  <w:r>
                    <w:rPr>
                      <w:rFonts w:ascii="仿宋_GB2312" w:hAnsi="仿宋_GB2312" w:cs="仿宋_GB2312" w:eastAsia="仿宋_GB2312"/>
                      <w:sz w:val="32"/>
                      <w:color w:val="000000"/>
                    </w:rPr>
                    <w:t>≥2GB)。</w:t>
                  </w:r>
                </w:p>
                <w:p>
                  <w:pPr>
                    <w:pStyle w:val="null3"/>
                    <w:jc w:val="both"/>
                  </w:pPr>
                  <w:r>
                    <w:rPr>
                      <w:rFonts w:ascii="仿宋_GB2312" w:hAnsi="仿宋_GB2312" w:cs="仿宋_GB2312" w:eastAsia="仿宋_GB2312"/>
                      <w:sz w:val="32"/>
                      <w:color w:val="000000"/>
                    </w:rPr>
                    <w:t>显示器</w:t>
                  </w:r>
                  <w:r>
                    <w:rPr>
                      <w:rFonts w:ascii="仿宋_GB2312" w:hAnsi="仿宋_GB2312" w:cs="仿宋_GB2312" w:eastAsia="仿宋_GB2312"/>
                      <w:sz w:val="32"/>
                      <w:color w:val="000000"/>
                    </w:rPr>
                    <w:t>(x2)：23.8英寸，1920x1080分辨率，IPS面板。</w:t>
                  </w:r>
                </w:p>
                <w:p>
                  <w:pPr>
                    <w:pStyle w:val="null3"/>
                    <w:jc w:val="both"/>
                  </w:pPr>
                  <w:r>
                    <w:rPr>
                      <w:rFonts w:ascii="仿宋_GB2312" w:hAnsi="仿宋_GB2312" w:cs="仿宋_GB2312" w:eastAsia="仿宋_GB2312"/>
                      <w:sz w:val="32"/>
                      <w:color w:val="000000"/>
                    </w:rPr>
                    <w:t>接口要求：主机需至少配备</w:t>
                  </w:r>
                  <w:r>
                    <w:rPr>
                      <w:rFonts w:ascii="仿宋_GB2312" w:hAnsi="仿宋_GB2312" w:cs="仿宋_GB2312" w:eastAsia="仿宋_GB2312"/>
                      <w:sz w:val="32"/>
                      <w:color w:val="000000"/>
                    </w:rPr>
                    <w:t>2个视频输出接口（如HDMI+VGA或双HDMI），以支持双屏同时输出。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台</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15</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IP电话机</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支持高清语音、来电显示、免提、静音、重拨、保持、转接等。</w:t>
                  </w:r>
                </w:p>
                <w:p>
                  <w:pPr>
                    <w:pStyle w:val="null3"/>
                    <w:jc w:val="both"/>
                  </w:pPr>
                  <w:r>
                    <w:rPr>
                      <w:rFonts w:ascii="仿宋_GB2312" w:hAnsi="仿宋_GB2312" w:cs="仿宋_GB2312" w:eastAsia="仿宋_GB2312"/>
                      <w:sz w:val="32"/>
                      <w:color w:val="000000"/>
                    </w:rPr>
                    <w:t>支持即插即用和</w:t>
                  </w:r>
                  <w:r>
                    <w:rPr>
                      <w:rFonts w:ascii="仿宋_GB2312" w:hAnsi="仿宋_GB2312" w:cs="仿宋_GB2312" w:eastAsia="仿宋_GB2312"/>
                      <w:sz w:val="32"/>
                      <w:color w:val="000000"/>
                    </w:rPr>
                    <w:t>PoE（以太网供电）。</w:t>
                  </w:r>
                </w:p>
                <w:p>
                  <w:pPr>
                    <w:pStyle w:val="null3"/>
                    <w:jc w:val="both"/>
                  </w:pPr>
                  <w:r>
                    <w:rPr>
                      <w:rFonts w:ascii="仿宋_GB2312" w:hAnsi="仿宋_GB2312" w:cs="仿宋_GB2312" w:eastAsia="仿宋_GB2312"/>
                      <w:sz w:val="32"/>
                      <w:color w:val="000000"/>
                    </w:rPr>
                    <w:t>必须与选定的语音中继设备（</w:t>
                  </w:r>
                  <w:r>
                    <w:rPr>
                      <w:rFonts w:ascii="仿宋_GB2312" w:hAnsi="仿宋_GB2312" w:cs="仿宋_GB2312" w:eastAsia="仿宋_GB2312"/>
                      <w:sz w:val="32"/>
                      <w:color w:val="000000"/>
                    </w:rPr>
                    <w:t>IP-PBX）完全兼容，需具备耳机接口，并支持外接专业话务耳机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台</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15</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23</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中继设备</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支持</w:t>
                  </w:r>
                  <w:r>
                    <w:rPr>
                      <w:rFonts w:ascii="仿宋_GB2312" w:hAnsi="仿宋_GB2312" w:cs="仿宋_GB2312" w:eastAsia="仿宋_GB2312"/>
                      <w:sz w:val="32"/>
                      <w:color w:val="000000"/>
                    </w:rPr>
                    <w:t>IVR自动语音导航、ACD智能话务分配、全程通话录音、话务监控（强插、强拆、监听）、来电弹屏、通话记录与统计报表、服务满意度评价。</w:t>
                  </w:r>
                </w:p>
                <w:p>
                  <w:pPr>
                    <w:pStyle w:val="null3"/>
                    <w:jc w:val="both"/>
                  </w:pPr>
                  <w:r>
                    <w:rPr>
                      <w:rFonts w:ascii="仿宋_GB2312" w:hAnsi="仿宋_GB2312" w:cs="仿宋_GB2312" w:eastAsia="仿宋_GB2312"/>
                      <w:sz w:val="32"/>
                      <w:color w:val="000000"/>
                    </w:rPr>
                    <w:t>需提供标准</w:t>
                  </w:r>
                  <w:r>
                    <w:rPr>
                      <w:rFonts w:ascii="仿宋_GB2312" w:hAnsi="仿宋_GB2312" w:cs="仿宋_GB2312" w:eastAsia="仿宋_GB2312"/>
                      <w:sz w:val="32"/>
                      <w:color w:val="000000"/>
                    </w:rPr>
                    <w:t>RJ45网络接口。需明确支持的数字中继（如PRI）或模拟中继接口数量，满足同时接入20部IP电话的要求。</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台</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24</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摄像头套装</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半球型</w:t>
                  </w:r>
                  <w:r>
                    <w:rPr>
                      <w:rFonts w:ascii="仿宋_GB2312" w:hAnsi="仿宋_GB2312" w:cs="仿宋_GB2312" w:eastAsia="仿宋_GB2312"/>
                      <w:sz w:val="32"/>
                      <w:color w:val="000000"/>
                    </w:rPr>
                    <w:t>IP摄像机4个，300万像素，1080P，POE供电，4路录像机1台，POE交换机1台，2T硬盘</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套</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小型打印机</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A4幅面黑白激光多功能一体机。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台</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15</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26</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笔记本电脑</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CPU：Intel Core i5-1240P或AMD Ryzen 5 6600U及以上。</w:t>
                  </w:r>
                </w:p>
                <w:p>
                  <w:pPr>
                    <w:pStyle w:val="null3"/>
                    <w:jc w:val="both"/>
                  </w:pPr>
                  <w:r>
                    <w:rPr>
                      <w:rFonts w:ascii="仿宋_GB2312" w:hAnsi="仿宋_GB2312" w:cs="仿宋_GB2312" w:eastAsia="仿宋_GB2312"/>
                      <w:sz w:val="32"/>
                      <w:color w:val="000000"/>
                    </w:rPr>
                    <w:t>内存：</w:t>
                  </w:r>
                  <w:r>
                    <w:rPr>
                      <w:rFonts w:ascii="仿宋_GB2312" w:hAnsi="仿宋_GB2312" w:cs="仿宋_GB2312" w:eastAsia="仿宋_GB2312"/>
                      <w:sz w:val="32"/>
                      <w:color w:val="000000"/>
                    </w:rPr>
                    <w:t>16GB DDR4 3200MHz 或更高规格内存。</w:t>
                  </w:r>
                </w:p>
                <w:p>
                  <w:pPr>
                    <w:pStyle w:val="null3"/>
                    <w:jc w:val="both"/>
                  </w:pPr>
                  <w:r>
                    <w:rPr>
                      <w:rFonts w:ascii="仿宋_GB2312" w:hAnsi="仿宋_GB2312" w:cs="仿宋_GB2312" w:eastAsia="仿宋_GB2312"/>
                      <w:sz w:val="32"/>
                      <w:color w:val="000000"/>
                    </w:rPr>
                    <w:t>存储：</w:t>
                  </w:r>
                  <w:r>
                    <w:rPr>
                      <w:rFonts w:ascii="仿宋_GB2312" w:hAnsi="仿宋_GB2312" w:cs="仿宋_GB2312" w:eastAsia="仿宋_GB2312"/>
                      <w:sz w:val="32"/>
                      <w:color w:val="000000"/>
                    </w:rPr>
                    <w:t>512GB NVMe PCIe 固态硬盘。不接受eMMC或SATA SSD。</w:t>
                  </w:r>
                </w:p>
                <w:p>
                  <w:pPr>
                    <w:pStyle w:val="null3"/>
                    <w:jc w:val="both"/>
                  </w:pPr>
                  <w:r>
                    <w:rPr>
                      <w:rFonts w:ascii="仿宋_GB2312" w:hAnsi="仿宋_GB2312" w:cs="仿宋_GB2312" w:eastAsia="仿宋_GB2312"/>
                      <w:sz w:val="32"/>
                      <w:color w:val="000000"/>
                    </w:rPr>
                    <w:t>网络与连接：支持</w:t>
                  </w:r>
                  <w:r>
                    <w:rPr>
                      <w:rFonts w:ascii="仿宋_GB2312" w:hAnsi="仿宋_GB2312" w:cs="仿宋_GB2312" w:eastAsia="仿宋_GB2312"/>
                      <w:sz w:val="32"/>
                      <w:color w:val="000000"/>
                    </w:rPr>
                    <w:t>Wi-Fi 6 (802.11ax)及蓝牙5.0+。接口：至少2个USB-A 3.2、1个全功能USB-C、HDMI、</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台</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27</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多功能一体机</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A4幅面彩色/黑白激光多功能一体机，集成打印、复印、扫描、传真功能。</w:t>
                  </w:r>
                </w:p>
                <w:p>
                  <w:pPr>
                    <w:pStyle w:val="null3"/>
                    <w:jc w:val="both"/>
                  </w:pPr>
                  <w:r>
                    <w:rPr>
                      <w:rFonts w:ascii="仿宋_GB2312" w:hAnsi="仿宋_GB2312" w:cs="仿宋_GB2312" w:eastAsia="仿宋_GB2312"/>
                      <w:sz w:val="32"/>
                      <w:color w:val="000000"/>
                    </w:rPr>
                    <w:t>黑白及彩色打印速度：</w:t>
                  </w:r>
                  <w:r>
                    <w:rPr>
                      <w:rFonts w:ascii="仿宋_GB2312" w:hAnsi="仿宋_GB2312" w:cs="仿宋_GB2312" w:eastAsia="仿宋_GB2312"/>
                      <w:sz w:val="32"/>
                      <w:color w:val="000000"/>
                    </w:rPr>
                    <w:t>≥22页/分钟 。</w:t>
                  </w:r>
                </w:p>
                <w:p>
                  <w:pPr>
                    <w:pStyle w:val="null3"/>
                    <w:jc w:val="both"/>
                  </w:pPr>
                  <w:r>
                    <w:rPr>
                      <w:rFonts w:ascii="仿宋_GB2312" w:hAnsi="仿宋_GB2312" w:cs="仿宋_GB2312" w:eastAsia="仿宋_GB2312"/>
                      <w:sz w:val="32"/>
                      <w:color w:val="000000"/>
                    </w:rPr>
                    <w:t>首页输出时间：</w:t>
                  </w:r>
                  <w:r>
                    <w:rPr>
                      <w:rFonts w:ascii="仿宋_GB2312" w:hAnsi="仿宋_GB2312" w:cs="仿宋_GB2312" w:eastAsia="仿宋_GB2312"/>
                      <w:sz w:val="32"/>
                      <w:color w:val="000000"/>
                    </w:rPr>
                    <w:t>≤10秒。</w:t>
                  </w:r>
                </w:p>
                <w:p>
                  <w:pPr>
                    <w:pStyle w:val="null3"/>
                    <w:jc w:val="both"/>
                  </w:pPr>
                  <w:r>
                    <w:rPr>
                      <w:rFonts w:ascii="仿宋_GB2312" w:hAnsi="仿宋_GB2312" w:cs="仿宋_GB2312" w:eastAsia="仿宋_GB2312"/>
                      <w:sz w:val="32"/>
                      <w:color w:val="000000"/>
                    </w:rPr>
                    <w:t>打印分辨率：</w:t>
                  </w:r>
                  <w:r>
                    <w:rPr>
                      <w:rFonts w:ascii="仿宋_GB2312" w:hAnsi="仿宋_GB2312" w:cs="仿宋_GB2312" w:eastAsia="仿宋_GB2312"/>
                      <w:sz w:val="32"/>
                      <w:color w:val="000000"/>
                    </w:rPr>
                    <w:t>≥600×600 dpi。</w:t>
                  </w:r>
                </w:p>
                <w:p>
                  <w:pPr>
                    <w:pStyle w:val="null3"/>
                    <w:jc w:val="both"/>
                  </w:pPr>
                  <w:r>
                    <w:rPr>
                      <w:rFonts w:ascii="仿宋_GB2312" w:hAnsi="仿宋_GB2312" w:cs="仿宋_GB2312" w:eastAsia="仿宋_GB2312"/>
                      <w:sz w:val="32"/>
                      <w:color w:val="000000"/>
                    </w:rPr>
                    <w:t>纸盒容量：</w:t>
                  </w:r>
                  <w:r>
                    <w:rPr>
                      <w:rFonts w:ascii="仿宋_GB2312" w:hAnsi="仿宋_GB2312" w:cs="仿宋_GB2312" w:eastAsia="仿宋_GB2312"/>
                      <w:sz w:val="32"/>
                      <w:color w:val="000000"/>
                    </w:rPr>
                    <w:t>≥250页。</w:t>
                  </w:r>
                </w:p>
                <w:p>
                  <w:pPr>
                    <w:pStyle w:val="null3"/>
                    <w:jc w:val="both"/>
                  </w:pPr>
                  <w:r>
                    <w:rPr>
                      <w:rFonts w:ascii="仿宋_GB2312" w:hAnsi="仿宋_GB2312" w:cs="仿宋_GB2312" w:eastAsia="仿宋_GB2312"/>
                      <w:sz w:val="32"/>
                      <w:color w:val="000000"/>
                    </w:rPr>
                    <w:t>必须标配自动双面打印单元。</w:t>
                  </w:r>
                </w:p>
                <w:p>
                  <w:pPr>
                    <w:pStyle w:val="null3"/>
                    <w:jc w:val="both"/>
                  </w:pPr>
                  <w:r>
                    <w:rPr>
                      <w:rFonts w:ascii="仿宋_GB2312" w:hAnsi="仿宋_GB2312" w:cs="仿宋_GB2312" w:eastAsia="仿宋_GB2312"/>
                      <w:sz w:val="32"/>
                      <w:color w:val="000000"/>
                    </w:rPr>
                    <w:t>必须标配自动输稿器（</w:t>
                  </w:r>
                  <w:r>
                    <w:rPr>
                      <w:rFonts w:ascii="仿宋_GB2312" w:hAnsi="仿宋_GB2312" w:cs="仿宋_GB2312" w:eastAsia="仿宋_GB2312"/>
                      <w:sz w:val="32"/>
                      <w:color w:val="000000"/>
                    </w:rPr>
                    <w:t>ADF），容量≥50页。</w:t>
                  </w:r>
                </w:p>
                <w:p>
                  <w:pPr>
                    <w:pStyle w:val="null3"/>
                    <w:jc w:val="both"/>
                  </w:pPr>
                  <w:r>
                    <w:rPr>
                      <w:rFonts w:ascii="仿宋_GB2312" w:hAnsi="仿宋_GB2312" w:cs="仿宋_GB2312" w:eastAsia="仿宋_GB2312"/>
                      <w:sz w:val="32"/>
                      <w:color w:val="000000"/>
                    </w:rPr>
                    <w:t>必须标配有线网络接口（</w:t>
                  </w:r>
                  <w:r>
                    <w:rPr>
                      <w:rFonts w:ascii="仿宋_GB2312" w:hAnsi="仿宋_GB2312" w:cs="仿宋_GB2312" w:eastAsia="仿宋_GB2312"/>
                      <w:sz w:val="32"/>
                      <w:color w:val="000000"/>
                    </w:rPr>
                    <w:t>10/100/1000Base-Tx），可支持无线网络（Wi-Fi）。</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台</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28</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碎纸机</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碎纸尺寸</w:t>
                  </w:r>
                  <w:r>
                    <w:rPr>
                      <w:rFonts w:ascii="仿宋_GB2312" w:hAnsi="仿宋_GB2312" w:cs="仿宋_GB2312" w:eastAsia="仿宋_GB2312"/>
                      <w:sz w:val="32"/>
                      <w:color w:val="000000"/>
                    </w:rPr>
                    <w:t>≤4×40mm</w:t>
                  </w:r>
                </w:p>
                <w:p>
                  <w:pPr>
                    <w:pStyle w:val="null3"/>
                    <w:jc w:val="both"/>
                  </w:pPr>
                  <w:r>
                    <w:rPr>
                      <w:rFonts w:ascii="仿宋_GB2312" w:hAnsi="仿宋_GB2312" w:cs="仿宋_GB2312" w:eastAsia="仿宋_GB2312"/>
                      <w:sz w:val="32"/>
                      <w:color w:val="000000"/>
                    </w:rPr>
                    <w:t>单次碎纸张数：</w:t>
                  </w:r>
                  <w:r>
                    <w:rPr>
                      <w:rFonts w:ascii="仿宋_GB2312" w:hAnsi="仿宋_GB2312" w:cs="仿宋_GB2312" w:eastAsia="仿宋_GB2312"/>
                      <w:sz w:val="32"/>
                      <w:color w:val="000000"/>
                    </w:rPr>
                    <w:t>≥12张/次。</w:t>
                  </w:r>
                </w:p>
                <w:p>
                  <w:pPr>
                    <w:pStyle w:val="null3"/>
                    <w:jc w:val="both"/>
                  </w:pPr>
                  <w:r>
                    <w:rPr>
                      <w:rFonts w:ascii="仿宋_GB2312" w:hAnsi="仿宋_GB2312" w:cs="仿宋_GB2312" w:eastAsia="仿宋_GB2312"/>
                      <w:sz w:val="32"/>
                      <w:color w:val="000000"/>
                    </w:rPr>
                    <w:t>碎纸速度：</w:t>
                  </w:r>
                  <w:r>
                    <w:rPr>
                      <w:rFonts w:ascii="仿宋_GB2312" w:hAnsi="仿宋_GB2312" w:cs="仿宋_GB2312" w:eastAsia="仿宋_GB2312"/>
                      <w:sz w:val="32"/>
                      <w:color w:val="000000"/>
                    </w:rPr>
                    <w:t>≥2米/分钟。</w:t>
                  </w:r>
                </w:p>
                <w:p>
                  <w:pPr>
                    <w:pStyle w:val="null3"/>
                    <w:jc w:val="both"/>
                  </w:pPr>
                  <w:r>
                    <w:rPr>
                      <w:rFonts w:ascii="仿宋_GB2312" w:hAnsi="仿宋_GB2312" w:cs="仿宋_GB2312" w:eastAsia="仿宋_GB2312"/>
                      <w:sz w:val="32"/>
                      <w:color w:val="000000"/>
                    </w:rPr>
                    <w:t>连续工作时间：</w:t>
                  </w:r>
                  <w:r>
                    <w:rPr>
                      <w:rFonts w:ascii="仿宋_GB2312" w:hAnsi="仿宋_GB2312" w:cs="仿宋_GB2312" w:eastAsia="仿宋_GB2312"/>
                      <w:sz w:val="32"/>
                      <w:color w:val="000000"/>
                    </w:rPr>
                    <w:t>≥30分钟。</w:t>
                  </w:r>
                </w:p>
                <w:p>
                  <w:pPr>
                    <w:pStyle w:val="null3"/>
                    <w:jc w:val="both"/>
                  </w:pPr>
                  <w:r>
                    <w:rPr>
                      <w:rFonts w:ascii="仿宋_GB2312" w:hAnsi="仿宋_GB2312" w:cs="仿宋_GB2312" w:eastAsia="仿宋_GB2312"/>
                      <w:sz w:val="32"/>
                      <w:color w:val="000000"/>
                    </w:rPr>
                    <w:t>碎纸箱容积：</w:t>
                  </w:r>
                  <w:r>
                    <w:rPr>
                      <w:rFonts w:ascii="仿宋_GB2312" w:hAnsi="仿宋_GB2312" w:cs="仿宋_GB2312" w:eastAsia="仿宋_GB2312"/>
                      <w:sz w:val="32"/>
                      <w:color w:val="000000"/>
                    </w:rPr>
                    <w:t>≥20升。</w:t>
                  </w:r>
                </w:p>
                <w:p>
                  <w:pPr>
                    <w:pStyle w:val="null3"/>
                    <w:jc w:val="both"/>
                  </w:pPr>
                  <w:r>
                    <w:rPr>
                      <w:rFonts w:ascii="仿宋_GB2312" w:hAnsi="仿宋_GB2312" w:cs="仿宋_GB2312" w:eastAsia="仿宋_GB2312"/>
                      <w:sz w:val="32"/>
                      <w:color w:val="000000"/>
                    </w:rPr>
                    <w:t>工作噪音：</w:t>
                  </w:r>
                  <w:r>
                    <w:rPr>
                      <w:rFonts w:ascii="仿宋_GB2312" w:hAnsi="仿宋_GB2312" w:cs="仿宋_GB2312" w:eastAsia="仿宋_GB2312"/>
                      <w:sz w:val="32"/>
                      <w:color w:val="000000"/>
                    </w:rPr>
                    <w:t>≤58分贝。</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个</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2</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29</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智能显示屏</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显示尺寸：</w:t>
                  </w:r>
                  <w:r>
                    <w:rPr>
                      <w:rFonts w:ascii="仿宋_GB2312" w:hAnsi="仿宋_GB2312" w:cs="仿宋_GB2312" w:eastAsia="仿宋_GB2312"/>
                      <w:sz w:val="32"/>
                      <w:color w:val="000000"/>
                    </w:rPr>
                    <w:t>≥75英寸或根据安装空间精确指定</w:t>
                  </w:r>
                </w:p>
                <w:p>
                  <w:pPr>
                    <w:pStyle w:val="null3"/>
                    <w:jc w:val="both"/>
                  </w:pPr>
                  <w:r>
                    <w:rPr>
                      <w:rFonts w:ascii="仿宋_GB2312" w:hAnsi="仿宋_GB2312" w:cs="仿宋_GB2312" w:eastAsia="仿宋_GB2312"/>
                      <w:sz w:val="32"/>
                      <w:color w:val="000000"/>
                    </w:rPr>
                    <w:t>屏幕分辨率：</w:t>
                  </w:r>
                  <w:r>
                    <w:rPr>
                      <w:rFonts w:ascii="仿宋_GB2312" w:hAnsi="仿宋_GB2312" w:cs="仿宋_GB2312" w:eastAsia="仿宋_GB2312"/>
                      <w:sz w:val="32"/>
                      <w:color w:val="000000"/>
                    </w:rPr>
                    <w:t>4K超高清 (3840x2160)</w:t>
                  </w:r>
                </w:p>
                <w:p>
                  <w:pPr>
                    <w:pStyle w:val="null3"/>
                    <w:jc w:val="both"/>
                  </w:pPr>
                  <w:r>
                    <w:rPr>
                      <w:rFonts w:ascii="仿宋_GB2312" w:hAnsi="仿宋_GB2312" w:cs="仿宋_GB2312" w:eastAsia="仿宋_GB2312"/>
                      <w:sz w:val="32"/>
                      <w:color w:val="000000"/>
                    </w:rPr>
                    <w:t>显示亮度：</w:t>
                  </w:r>
                  <w:r>
                    <w:rPr>
                      <w:rFonts w:ascii="仿宋_GB2312" w:hAnsi="仿宋_GB2312" w:cs="仿宋_GB2312" w:eastAsia="仿宋_GB2312"/>
                      <w:sz w:val="32"/>
                      <w:color w:val="000000"/>
                    </w:rPr>
                    <w:t>≥350尼特 (cd/m²)</w:t>
                  </w:r>
                </w:p>
                <w:p>
                  <w:pPr>
                    <w:pStyle w:val="null3"/>
                    <w:jc w:val="both"/>
                  </w:pPr>
                  <w:r>
                    <w:rPr>
                      <w:rFonts w:ascii="仿宋_GB2312" w:hAnsi="仿宋_GB2312" w:cs="仿宋_GB2312" w:eastAsia="仿宋_GB2312"/>
                      <w:sz w:val="32"/>
                      <w:color w:val="000000"/>
                    </w:rPr>
                    <w:t>色域与色准：覆盖</w:t>
                  </w:r>
                  <w:r>
                    <w:rPr>
                      <w:rFonts w:ascii="仿宋_GB2312" w:hAnsi="仿宋_GB2312" w:cs="仿宋_GB2312" w:eastAsia="仿宋_GB2312"/>
                      <w:sz w:val="32"/>
                      <w:color w:val="000000"/>
                    </w:rPr>
                    <w:t>≥95% sRGB色域</w:t>
                  </w:r>
                </w:p>
                <w:p>
                  <w:pPr>
                    <w:pStyle w:val="null3"/>
                    <w:jc w:val="both"/>
                  </w:pPr>
                  <w:r>
                    <w:rPr>
                      <w:rFonts w:ascii="仿宋_GB2312" w:hAnsi="仿宋_GB2312" w:cs="仿宋_GB2312" w:eastAsia="仿宋_GB2312"/>
                      <w:sz w:val="32"/>
                      <w:color w:val="000000"/>
                    </w:rPr>
                    <w:t>智能操作系统：安卓系统，支持应用安装与管理</w:t>
                  </w:r>
                </w:p>
                <w:p>
                  <w:pPr>
                    <w:pStyle w:val="null3"/>
                    <w:jc w:val="both"/>
                  </w:pPr>
                  <w:r>
                    <w:rPr>
                      <w:rFonts w:ascii="仿宋_GB2312" w:hAnsi="仿宋_GB2312" w:cs="仿宋_GB2312" w:eastAsia="仿宋_GB2312"/>
                      <w:sz w:val="32"/>
                      <w:color w:val="000000"/>
                    </w:rPr>
                    <w:t>处理器与存储：四核及以上处理器，内存</w:t>
                  </w:r>
                  <w:r>
                    <w:rPr>
                      <w:rFonts w:ascii="仿宋_GB2312" w:hAnsi="仿宋_GB2312" w:cs="仿宋_GB2312" w:eastAsia="仿宋_GB2312"/>
                      <w:sz w:val="32"/>
                      <w:color w:val="000000"/>
                    </w:rPr>
                    <w:t>≥2GB，存储≥8GB</w:t>
                  </w:r>
                </w:p>
                <w:p>
                  <w:pPr>
                    <w:pStyle w:val="null3"/>
                    <w:jc w:val="both"/>
                  </w:pPr>
                  <w:r>
                    <w:rPr>
                      <w:rFonts w:ascii="仿宋_GB2312" w:hAnsi="仿宋_GB2312" w:cs="仿宋_GB2312" w:eastAsia="仿宋_GB2312"/>
                      <w:sz w:val="32"/>
                      <w:color w:val="000000"/>
                    </w:rPr>
                    <w:t>网络与连接：内置</w:t>
                  </w:r>
                  <w:r>
                    <w:rPr>
                      <w:rFonts w:ascii="仿宋_GB2312" w:hAnsi="仿宋_GB2312" w:cs="仿宋_GB2312" w:eastAsia="仿宋_GB2312"/>
                      <w:sz w:val="32"/>
                      <w:color w:val="000000"/>
                    </w:rPr>
                    <w:t>Wi-Fi，支持有线网络(RJ45)，蓝牙</w:t>
                  </w:r>
                </w:p>
                <w:p>
                  <w:pPr>
                    <w:pStyle w:val="null3"/>
                    <w:jc w:val="both"/>
                  </w:pPr>
                  <w:r>
                    <w:rPr>
                      <w:rFonts w:ascii="仿宋_GB2312" w:hAnsi="仿宋_GB2312" w:cs="仿宋_GB2312" w:eastAsia="仿宋_GB2312"/>
                      <w:sz w:val="32"/>
                      <w:color w:val="000000"/>
                    </w:rPr>
                    <w:t>必须标配：</w:t>
                  </w:r>
                  <w:r>
                    <w:rPr>
                      <w:rFonts w:ascii="仿宋_GB2312" w:hAnsi="仿宋_GB2312" w:cs="仿宋_GB2312" w:eastAsia="仿宋_GB2312"/>
                      <w:sz w:val="32"/>
                      <w:color w:val="000000"/>
                    </w:rPr>
                    <w:t>HDMI ≥2个（建议HDMI 2.0或以上），USB ≥2个</w:t>
                  </w:r>
                </w:p>
                <w:p>
                  <w:pPr>
                    <w:pStyle w:val="null3"/>
                    <w:jc w:val="both"/>
                  </w:pPr>
                  <w:r>
                    <w:rPr>
                      <w:rFonts w:ascii="仿宋_GB2312" w:hAnsi="仿宋_GB2312" w:cs="仿宋_GB2312" w:eastAsia="仿宋_GB2312"/>
                      <w:sz w:val="32"/>
                      <w:color w:val="000000"/>
                    </w:rPr>
                    <w:t>支持</w:t>
                  </w:r>
                  <w:r>
                    <w:rPr>
                      <w:rFonts w:ascii="仿宋_GB2312" w:hAnsi="仿宋_GB2312" w:cs="仿宋_GB2312" w:eastAsia="仿宋_GB2312"/>
                      <w:sz w:val="32"/>
                      <w:color w:val="000000"/>
                    </w:rPr>
                    <w:t>RS232或RJ45串口，用于中控集成。</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台</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3</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照相机</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传感器：全画幅</w:t>
                  </w:r>
                  <w:r>
                    <w:rPr>
                      <w:rFonts w:ascii="仿宋_GB2312" w:hAnsi="仿宋_GB2312" w:cs="仿宋_GB2312" w:eastAsia="仿宋_GB2312"/>
                      <w:sz w:val="32"/>
                      <w:color w:val="000000"/>
                    </w:rPr>
                    <w:t>CMOS图像传感器。</w:t>
                  </w:r>
                </w:p>
                <w:p>
                  <w:pPr>
                    <w:pStyle w:val="null3"/>
                    <w:jc w:val="both"/>
                  </w:pPr>
                  <w:r>
                    <w:rPr>
                      <w:rFonts w:ascii="仿宋_GB2312" w:hAnsi="仿宋_GB2312" w:cs="仿宋_GB2312" w:eastAsia="仿宋_GB2312"/>
                      <w:sz w:val="32"/>
                      <w:color w:val="000000"/>
                    </w:rPr>
                    <w:t>像素：</w:t>
                  </w:r>
                  <w:r>
                    <w:rPr>
                      <w:rFonts w:ascii="仿宋_GB2312" w:hAnsi="仿宋_GB2312" w:cs="仿宋_GB2312" w:eastAsia="仿宋_GB2312"/>
                      <w:sz w:val="32"/>
                      <w:color w:val="000000"/>
                    </w:rPr>
                    <w:t>2400万至3300万像素。</w:t>
                  </w:r>
                </w:p>
                <w:p>
                  <w:pPr>
                    <w:pStyle w:val="null3"/>
                    <w:jc w:val="both"/>
                  </w:pPr>
                  <w:r>
                    <w:rPr>
                      <w:rFonts w:ascii="仿宋_GB2312" w:hAnsi="仿宋_GB2312" w:cs="仿宋_GB2312" w:eastAsia="仿宋_GB2312"/>
                      <w:sz w:val="32"/>
                      <w:color w:val="000000"/>
                    </w:rPr>
                    <w:t>对焦系统：相位检测自动对焦点数量</w:t>
                  </w:r>
                  <w:r>
                    <w:rPr>
                      <w:rFonts w:ascii="仿宋_GB2312" w:hAnsi="仿宋_GB2312" w:cs="仿宋_GB2312" w:eastAsia="仿宋_GB2312"/>
                      <w:sz w:val="32"/>
                      <w:color w:val="000000"/>
                    </w:rPr>
                    <w:t>≥ 700个。</w:t>
                  </w:r>
                </w:p>
                <w:p>
                  <w:pPr>
                    <w:pStyle w:val="null3"/>
                    <w:jc w:val="both"/>
                  </w:pPr>
                  <w:r>
                    <w:rPr>
                      <w:rFonts w:ascii="仿宋_GB2312" w:hAnsi="仿宋_GB2312" w:cs="仿宋_GB2312" w:eastAsia="仿宋_GB2312"/>
                      <w:sz w:val="32"/>
                      <w:color w:val="000000"/>
                    </w:rPr>
                    <w:t>连拍速度：</w:t>
                  </w:r>
                  <w:r>
                    <w:rPr>
                      <w:rFonts w:ascii="仿宋_GB2312" w:hAnsi="仿宋_GB2312" w:cs="仿宋_GB2312" w:eastAsia="仿宋_GB2312"/>
                      <w:sz w:val="32"/>
                      <w:color w:val="000000"/>
                    </w:rPr>
                    <w:t>≥ 5张/秒。</w:t>
                  </w:r>
                </w:p>
                <w:p>
                  <w:pPr>
                    <w:pStyle w:val="null3"/>
                    <w:jc w:val="both"/>
                  </w:pPr>
                  <w:r>
                    <w:rPr>
                      <w:rFonts w:ascii="仿宋_GB2312" w:hAnsi="仿宋_GB2312" w:cs="仿宋_GB2312" w:eastAsia="仿宋_GB2312"/>
                      <w:sz w:val="32"/>
                      <w:color w:val="000000"/>
                    </w:rPr>
                    <w:t>感光度范围：</w:t>
                  </w:r>
                  <w:r>
                    <w:rPr>
                      <w:rFonts w:ascii="仿宋_GB2312" w:hAnsi="仿宋_GB2312" w:cs="仿宋_GB2312" w:eastAsia="仿宋_GB2312"/>
                      <w:sz w:val="32"/>
                      <w:color w:val="000000"/>
                    </w:rPr>
                    <w:t>ISO 100-51200。</w:t>
                  </w:r>
                </w:p>
                <w:p>
                  <w:pPr>
                    <w:pStyle w:val="null3"/>
                    <w:jc w:val="both"/>
                  </w:pPr>
                  <w:r>
                    <w:rPr>
                      <w:rFonts w:ascii="仿宋_GB2312" w:hAnsi="仿宋_GB2312" w:cs="仿宋_GB2312" w:eastAsia="仿宋_GB2312"/>
                      <w:sz w:val="32"/>
                      <w:color w:val="000000"/>
                    </w:rPr>
                    <w:t>视频录制：支持</w:t>
                  </w:r>
                  <w:r>
                    <w:rPr>
                      <w:rFonts w:ascii="仿宋_GB2312" w:hAnsi="仿宋_GB2312" w:cs="仿宋_GB2312" w:eastAsia="仿宋_GB2312"/>
                      <w:sz w:val="32"/>
                      <w:color w:val="000000"/>
                    </w:rPr>
                    <w:t>4K超高清视频（3840x2160）录制，帧率不低于30p。</w:t>
                  </w:r>
                </w:p>
                <w:p>
                  <w:pPr>
                    <w:pStyle w:val="null3"/>
                    <w:jc w:val="both"/>
                  </w:pPr>
                  <w:r>
                    <w:rPr>
                      <w:rFonts w:ascii="仿宋_GB2312" w:hAnsi="仿宋_GB2312" w:cs="仿宋_GB2312" w:eastAsia="仿宋_GB2312"/>
                      <w:sz w:val="32"/>
                      <w:color w:val="000000"/>
                    </w:rPr>
                    <w:t>无线连接：必须内置</w:t>
                  </w:r>
                  <w:r>
                    <w:rPr>
                      <w:rFonts w:ascii="仿宋_GB2312" w:hAnsi="仿宋_GB2312" w:cs="仿宋_GB2312" w:eastAsia="仿宋_GB2312"/>
                      <w:sz w:val="32"/>
                      <w:color w:val="000000"/>
                    </w:rPr>
                    <w:t>Wi-Fi 和 蓝牙，支持与智能设备无线传输及遥控拍摄。</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台</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饮水机</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立式温热型饮水机，适配标准桶装水，制热功率不高于</w:t>
                  </w:r>
                  <w:r>
                    <w:rPr>
                      <w:rFonts w:ascii="仿宋_GB2312" w:hAnsi="仿宋_GB2312" w:cs="仿宋_GB2312" w:eastAsia="仿宋_GB2312"/>
                      <w:sz w:val="32"/>
                      <w:color w:val="000000"/>
                    </w:rPr>
                    <w:t>800W，热水温度≥90°C，具备防干烧、过热自动断电保护</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台</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4</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工服</w:t>
                  </w: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定制</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套</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15</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outlineLvl w:val="1"/>
            </w:pPr>
            <w:r>
              <w:rPr>
                <w:rFonts w:ascii="仿宋_GB2312" w:hAnsi="仿宋_GB2312" w:cs="仿宋_GB2312" w:eastAsia="仿宋_GB2312"/>
                <w:sz w:val="32"/>
                <w:b/>
              </w:rPr>
              <w:t>3、其他</w:t>
            </w:r>
          </w:p>
          <w:tbl>
            <w:tblPr>
              <w:tblBorders>
                <w:top w:val="none" w:color="000000" w:sz="4"/>
                <w:left w:val="none" w:color="000000" w:sz="4"/>
                <w:bottom w:val="none" w:color="000000" w:sz="4"/>
                <w:right w:val="none" w:color="000000" w:sz="4"/>
                <w:insideH w:val="none"/>
                <w:insideV w:val="none"/>
              </w:tblBorders>
            </w:tblPr>
            <w:tblGrid>
              <w:gridCol w:w="164"/>
              <w:gridCol w:w="447"/>
              <w:gridCol w:w="1364"/>
              <w:gridCol w:w="279"/>
              <w:gridCol w:w="160"/>
              <w:gridCol w:w="140"/>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序号</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建设模块</w:t>
                  </w:r>
                </w:p>
              </w:tc>
              <w:tc>
                <w:tcPr>
                  <w:tcW w:type="dxa" w:w="1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描述</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单位</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数量</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备注</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服务器云主机租赁及运维管理</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10台系统服务器资源，每台配置16核CPU，32GB内存，1T硬盘，可根据实际需求，在总资源范围内对服务器配置资源进行调整。</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台</w:t>
                  </w:r>
                  <w:r>
                    <w:rPr>
                      <w:rFonts w:ascii="仿宋_GB2312" w:hAnsi="仿宋_GB2312" w:cs="仿宋_GB2312" w:eastAsia="仿宋_GB2312"/>
                      <w:sz w:val="32"/>
                      <w:color w:val="000000"/>
                    </w:rPr>
                    <w:t>/年</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10</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安全设备硬件服务</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提供三级等保测评的机房物理环境、设施安全保障以及网络安全设备与服务</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年</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安全等级测评</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三级等保</w:t>
                  </w:r>
                  <w:r>
                    <w:rPr>
                      <w:rFonts w:ascii="仿宋_GB2312" w:hAnsi="仿宋_GB2312" w:cs="仿宋_GB2312" w:eastAsia="仿宋_GB2312"/>
                      <w:sz w:val="32"/>
                      <w:color w:val="000000"/>
                    </w:rPr>
                    <w:t>2.0测评</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次</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话务专线</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30B+D语音专线1条</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年</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互联网专线</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不低于</w:t>
                  </w:r>
                  <w:r>
                    <w:rPr>
                      <w:rFonts w:ascii="仿宋_GB2312" w:hAnsi="仿宋_GB2312" w:cs="仿宋_GB2312" w:eastAsia="仿宋_GB2312"/>
                      <w:sz w:val="32"/>
                      <w:color w:val="000000"/>
                    </w:rPr>
                    <w:t>800M专线1条</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年</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outlineLvl w:val="1"/>
            </w:pPr>
            <w:r>
              <w:rPr>
                <w:rFonts w:ascii="仿宋_GB2312" w:hAnsi="仿宋_GB2312" w:cs="仿宋_GB2312" w:eastAsia="仿宋_GB2312"/>
                <w:sz w:val="32"/>
                <w:b/>
              </w:rPr>
              <w:t>4、人员及培训</w:t>
            </w:r>
          </w:p>
          <w:tbl>
            <w:tblPr>
              <w:tblBorders>
                <w:top w:val="none" w:color="000000" w:sz="4"/>
                <w:left w:val="none" w:color="000000" w:sz="4"/>
                <w:bottom w:val="none" w:color="000000" w:sz="4"/>
                <w:right w:val="none" w:color="000000" w:sz="4"/>
                <w:insideH w:val="none"/>
                <w:insideV w:val="none"/>
              </w:tblBorders>
            </w:tblPr>
            <w:tblGrid>
              <w:gridCol w:w="154"/>
              <w:gridCol w:w="534"/>
              <w:gridCol w:w="1363"/>
              <w:gridCol w:w="162"/>
              <w:gridCol w:w="158"/>
              <w:gridCol w:w="182"/>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序号</w:t>
                  </w:r>
                </w:p>
              </w:tc>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建设模块</w:t>
                  </w:r>
                </w:p>
              </w:tc>
              <w:tc>
                <w:tcPr>
                  <w:tcW w:type="dxa" w:w="1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描述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单位</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数量</w:t>
                  </w:r>
                </w:p>
              </w:tc>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备注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5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人员</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管理人员</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人</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2</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w:t>
                  </w:r>
                </w:p>
              </w:tc>
              <w:tc>
                <w:tcPr>
                  <w:tcW w:type="dxa" w:w="534"/>
                  <w:vMerge/>
                  <w:tcBorders>
                    <w:top w:val="none" w:color="000000" w:sz="4"/>
                    <w:left w:val="single" w:color="000000" w:sz="4"/>
                    <w:bottom w:val="single" w:color="000000" w:sz="4"/>
                    <w:right w:val="single" w:color="000000" w:sz="4"/>
                  </w:tcBorders>
                </w:tcP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话务人员</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人</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11</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培训费</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包含首次的全面集训</w:t>
                  </w:r>
                  <w:r>
                    <w:rPr>
                      <w:rFonts w:ascii="仿宋_GB2312" w:hAnsi="仿宋_GB2312" w:cs="仿宋_GB2312" w:eastAsia="仿宋_GB2312"/>
                      <w:sz w:val="32"/>
                      <w:color w:val="000000"/>
                    </w:rPr>
                    <w:t>30天以及每月3次的常规培训</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年</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32"/>
                      <w:color w:val="000000"/>
                    </w:rPr>
                    <w:t>1</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标的名称：澄城县12345政务服务便民热线中心监理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1、项目实施过程中涉及的项目实施、集成、应用开发、系统测试、初步验收、试运行、竣工验收和移交、培训等各个阶段进行全程的监理服务，配合审计单位对项目提供初步验收、竣工验收、资金支付、资产移交等各个环节进行项目审计服务，实现项目实施过程中的质量把控、进度把控、投资管控、变更控制，参与项目建设各方关系的协调及审计等环节相关工作，配合采购人完成建设目标。在项目服务期内，协助采购人处理项目相关工作，全程跟踪承建单位的实施质量、督促整改。</w:t>
            </w:r>
          </w:p>
          <w:p>
            <w:pPr>
              <w:pStyle w:val="null3"/>
            </w:pPr>
            <w:r>
              <w:rPr>
                <w:rFonts w:ascii="仿宋_GB2312" w:hAnsi="仿宋_GB2312" w:cs="仿宋_GB2312" w:eastAsia="仿宋_GB2312"/>
                <w:sz w:val="24"/>
              </w:rPr>
              <w:t>2、按采购人要求，制定项目管理任务书对项目实施过程进行监督、管理，以保证项目在质量、费用和进度等方面满足要求。</w:t>
            </w:r>
          </w:p>
          <w:p>
            <w:pPr>
              <w:pStyle w:val="null3"/>
            </w:pPr>
            <w:r>
              <w:rPr>
                <w:rFonts w:ascii="仿宋_GB2312" w:hAnsi="仿宋_GB2312" w:cs="仿宋_GB2312" w:eastAsia="仿宋_GB2312"/>
                <w:sz w:val="24"/>
              </w:rPr>
              <w:t>3、及时向采购人报告项目的有关进度、质量及费用等方面的情况，对项目中存在设计缺陷的，及时发起项目变更。</w:t>
            </w:r>
          </w:p>
          <w:p>
            <w:pPr>
              <w:pStyle w:val="null3"/>
            </w:pPr>
            <w:r>
              <w:rPr>
                <w:rFonts w:ascii="仿宋_GB2312" w:hAnsi="仿宋_GB2312" w:cs="仿宋_GB2312" w:eastAsia="仿宋_GB2312"/>
                <w:sz w:val="24"/>
              </w:rPr>
              <w:t>4、协助采购人对项目实施过程中的有关问题进行协调处理。</w:t>
            </w:r>
          </w:p>
          <w:p>
            <w:pPr>
              <w:pStyle w:val="null3"/>
            </w:pPr>
            <w:r>
              <w:rPr>
                <w:rFonts w:ascii="仿宋_GB2312" w:hAnsi="仿宋_GB2312" w:cs="仿宋_GB2312" w:eastAsia="仿宋_GB2312"/>
                <w:sz w:val="24"/>
              </w:rPr>
              <w:t>5、配合做好人员培训、操作规程和规章制度的建立等准备工作。</w:t>
            </w:r>
          </w:p>
          <w:p>
            <w:pPr>
              <w:pStyle w:val="null3"/>
            </w:pPr>
            <w:r>
              <w:rPr>
                <w:rFonts w:ascii="仿宋_GB2312" w:hAnsi="仿宋_GB2312" w:cs="仿宋_GB2312" w:eastAsia="仿宋_GB2312"/>
                <w:sz w:val="24"/>
              </w:rPr>
              <w:t>6、配合采购人做好项目竣工验收前的准备工作。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建设期：合同签订后2个月内；运维期：验收合格之日起1年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合同签订后2个月内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合同签订后，软硬件安装调试完成</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验收合格，移交所有项目资料后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中标单位在中标结果发布后3个工作日内，需提交与电子化平台提交内容一致的签字盖章后的纸质版投标文件，正本壹份、副本壹份，纸质投标文件标明单位名称。若线上电子投标文件与纸质投标文件不一致的，以线上电子投标文件为准；若正本和副本不符，以正本为准；3.本项目同一单位只能参与报名一个采购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包(1)_投标人应提交的相关资格证明材料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包(2)_投标人应提交的相关资格证明材料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包(1)_投标人应提交的相关资格证明材料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含审计报告和审计报告中所涉及的财务报表和报表附注）或提供2024年度或2025年度完整的全套财务报表（应当包括资产负债表、利润表、现金流量表、所有者权益变动表、附注）或投标截止时间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包(1)_投标人应提交的相关资格证明材料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提供投标截止时间前一年内任意一个月的纳税证明或完税证明（以税款所属期为准，依法免税的应提供相关证明材料）；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包(1)_投标人应提交的相关资格证明材料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提供投标截止时间前一年内任意一个月的社会保障资金缴存单据或社保机构开具的社会保险参保缴费情况证明（依法不需要缴纳社会保障资金的投标人应提供相关证明）；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包(1)_投标人应提交的相关资格证明材料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提供具有履行合同所必需的设备和专业技术能力的说明及承诺（格式自拟，加盖投标人公章）；</w:t>
            </w:r>
          </w:p>
        </w:tc>
        <w:tc>
          <w:tcPr>
            <w:tcW w:type="dxa" w:w="1661"/>
          </w:tcPr>
          <w:p>
            <w:pPr>
              <w:pStyle w:val="null3"/>
            </w:pPr>
            <w:r>
              <w:rPr>
                <w:rFonts w:ascii="仿宋_GB2312" w:hAnsi="仿宋_GB2312" w:cs="仿宋_GB2312" w:eastAsia="仿宋_GB2312"/>
              </w:rPr>
              <w:t>包(1)_投标人应提交的相关资格证明材料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提供参加政府采购活动前三年内在经营活动中没有重大违法记录的书面声明（详见附件，加盖投标人公章）；</w:t>
            </w:r>
          </w:p>
        </w:tc>
        <w:tc>
          <w:tcPr>
            <w:tcW w:type="dxa" w:w="1661"/>
          </w:tcPr>
          <w:p>
            <w:pPr>
              <w:pStyle w:val="null3"/>
            </w:pPr>
            <w:r>
              <w:rPr>
                <w:rFonts w:ascii="仿宋_GB2312" w:hAnsi="仿宋_GB2312" w:cs="仿宋_GB2312" w:eastAsia="仿宋_GB2312"/>
              </w:rPr>
              <w:t>包(1)_投标人应提交的相关资格证明材料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法定代表人授权书（法定代表人直接参加的不提供,但须出具本人身份证原件及复印件，被授权人身份证原件及复印件）；</w:t>
            </w:r>
          </w:p>
        </w:tc>
        <w:tc>
          <w:tcPr>
            <w:tcW w:type="dxa" w:w="1661"/>
          </w:tcPr>
          <w:p>
            <w:pPr>
              <w:pStyle w:val="null3"/>
            </w:pPr>
            <w:r>
              <w:rPr>
                <w:rFonts w:ascii="仿宋_GB2312" w:hAnsi="仿宋_GB2312" w:cs="仿宋_GB2312" w:eastAsia="仿宋_GB2312"/>
              </w:rPr>
              <w:t>包(1)_投标人应提交的相关资格证明材料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失信主体名单的供应商，不得为中国政府采购网（www.ccgp.gov.cn）政府采购严重违法失信行为记录名单中被财政部门禁止参加政府采购活动的供应商（提供查询结果网页截图，网页截图时间范围为获取采购文件后至开标当日，并加盖供应商公章）；</w:t>
            </w:r>
          </w:p>
        </w:tc>
        <w:tc>
          <w:tcPr>
            <w:tcW w:type="dxa" w:w="1661"/>
          </w:tcPr>
          <w:p>
            <w:pPr>
              <w:pStyle w:val="null3"/>
            </w:pPr>
            <w:r>
              <w:rPr>
                <w:rFonts w:ascii="仿宋_GB2312" w:hAnsi="仿宋_GB2312" w:cs="仿宋_GB2312" w:eastAsia="仿宋_GB2312"/>
              </w:rPr>
              <w:t>包(1)_投标人应提交的相关资格证明材料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单位负责人为同一人或者存在直接控股、管理关系的不同供应商，不得参加同一合同项下的政府采购活动（提供书面承诺函，格式自拟加盖供应商公章）；</w:t>
            </w:r>
          </w:p>
        </w:tc>
        <w:tc>
          <w:tcPr>
            <w:tcW w:type="dxa" w:w="1661"/>
          </w:tcPr>
          <w:p>
            <w:pPr>
              <w:pStyle w:val="null3"/>
            </w:pPr>
            <w:r>
              <w:rPr>
                <w:rFonts w:ascii="仿宋_GB2312" w:hAnsi="仿宋_GB2312" w:cs="仿宋_GB2312" w:eastAsia="仿宋_GB2312"/>
              </w:rPr>
              <w:t>包(1)_投标人应提交的相关资格证明材料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本项目不接受联合体参与。（提供非联合体声明，格式自拟加盖供应商公章）。</w:t>
            </w:r>
          </w:p>
        </w:tc>
        <w:tc>
          <w:tcPr>
            <w:tcW w:type="dxa" w:w="1661"/>
          </w:tcPr>
          <w:p>
            <w:pPr>
              <w:pStyle w:val="null3"/>
            </w:pPr>
            <w:r>
              <w:rPr>
                <w:rFonts w:ascii="仿宋_GB2312" w:hAnsi="仿宋_GB2312" w:cs="仿宋_GB2312" w:eastAsia="仿宋_GB2312"/>
              </w:rPr>
              <w:t>包(1)_投标人应提交的相关资格证明材料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包(2)_投标人应提交的相关资格证明材料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含审计报告和审计报告中所涉及的财务报表和报表附注）或提供2024年度或2025年度完整的全套财务报表（应当包括资产负债表、利润表、现金流量表、所有者权益变动表、附注）或投标截止时间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包(2)_投标人应提交的相关资格证明材料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提供投标截止时间前一年内任意一个月的纳税证明或完税证明（以税款所属期为准，依法免税的应提供相关证明材料）；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包(2)_投标人应提交的相关资格证明材料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提供投标截止时间前一年内任意一个月的社会保障资金缴存单据或社保机构开具的社会保险参保缴费情况证明（依法不需要缴纳社会保障资金的投标人应提供相关证明）；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包(2)_投标人应提交的相关资格证明材料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提供具有履行合同所必需的设备和专业技术能力的说明及承诺（格式自拟，加盖投标人公章）；</w:t>
            </w:r>
          </w:p>
        </w:tc>
        <w:tc>
          <w:tcPr>
            <w:tcW w:type="dxa" w:w="1661"/>
          </w:tcPr>
          <w:p>
            <w:pPr>
              <w:pStyle w:val="null3"/>
            </w:pPr>
            <w:r>
              <w:rPr>
                <w:rFonts w:ascii="仿宋_GB2312" w:hAnsi="仿宋_GB2312" w:cs="仿宋_GB2312" w:eastAsia="仿宋_GB2312"/>
              </w:rPr>
              <w:t>包(2)_投标人应提交的相关资格证明材料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提供参加政府采购活动前三年内在经营活动中没有重大违法记录的书面声明（详见附件，加盖投标人公章）；</w:t>
            </w:r>
          </w:p>
        </w:tc>
        <w:tc>
          <w:tcPr>
            <w:tcW w:type="dxa" w:w="1661"/>
          </w:tcPr>
          <w:p>
            <w:pPr>
              <w:pStyle w:val="null3"/>
            </w:pPr>
            <w:r>
              <w:rPr>
                <w:rFonts w:ascii="仿宋_GB2312" w:hAnsi="仿宋_GB2312" w:cs="仿宋_GB2312" w:eastAsia="仿宋_GB2312"/>
              </w:rPr>
              <w:t>包(2)_投标人应提交的相关资格证明材料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供应商需具备工程监理综合资质或通信工程监理丙级(含丙级)或以上资质；</w:t>
            </w:r>
          </w:p>
        </w:tc>
        <w:tc>
          <w:tcPr>
            <w:tcW w:type="dxa" w:w="1661"/>
          </w:tcPr>
          <w:p>
            <w:pPr>
              <w:pStyle w:val="null3"/>
            </w:pPr>
            <w:r>
              <w:rPr>
                <w:rFonts w:ascii="仿宋_GB2312" w:hAnsi="仿宋_GB2312" w:cs="仿宋_GB2312" w:eastAsia="仿宋_GB2312"/>
              </w:rPr>
              <w:t>包(2)_投标人应提交的相关资格证明材料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职业资格及无在建声明</w:t>
            </w:r>
          </w:p>
        </w:tc>
        <w:tc>
          <w:tcPr>
            <w:tcW w:type="dxa" w:w="3322"/>
          </w:tcPr>
          <w:p>
            <w:pPr>
              <w:pStyle w:val="null3"/>
            </w:pPr>
            <w:r>
              <w:rPr>
                <w:rFonts w:ascii="仿宋_GB2312" w:hAnsi="仿宋_GB2312" w:cs="仿宋_GB2312" w:eastAsia="仿宋_GB2312"/>
              </w:rPr>
              <w:t>拟派总监理工程师须具备通信工程或机电安装工程专业国家注册监理工程师执业资格，在本单位注册，且未担任其他在建项目项目总监；</w:t>
            </w:r>
          </w:p>
        </w:tc>
        <w:tc>
          <w:tcPr>
            <w:tcW w:type="dxa" w:w="1661"/>
          </w:tcPr>
          <w:p>
            <w:pPr>
              <w:pStyle w:val="null3"/>
            </w:pPr>
            <w:r>
              <w:rPr>
                <w:rFonts w:ascii="仿宋_GB2312" w:hAnsi="仿宋_GB2312" w:cs="仿宋_GB2312" w:eastAsia="仿宋_GB2312"/>
              </w:rPr>
              <w:t>包(2)_投标人应提交的相关资格证明材料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法定代表人授权书（法定代表人直接参加的不提供,但须出具本人身份证原件及复印件，被授权人身份证原件及复印件）；</w:t>
            </w:r>
          </w:p>
        </w:tc>
        <w:tc>
          <w:tcPr>
            <w:tcW w:type="dxa" w:w="1661"/>
          </w:tcPr>
          <w:p>
            <w:pPr>
              <w:pStyle w:val="null3"/>
            </w:pPr>
            <w:r>
              <w:rPr>
                <w:rFonts w:ascii="仿宋_GB2312" w:hAnsi="仿宋_GB2312" w:cs="仿宋_GB2312" w:eastAsia="仿宋_GB2312"/>
              </w:rPr>
              <w:t>包(2)_投标人应提交的相关资格证明材料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失信主体名单的供应商，不得为中国政府采购网（www.ccgp.gov.cn）政府采购严重违法失信行为记录名单中被财政部门禁止参加政府采购活动的供应商（提供查询结果网页截图，网页截图时间范围为获取采购文件后至开标当日，并加盖供应商公章）；</w:t>
            </w:r>
          </w:p>
        </w:tc>
        <w:tc>
          <w:tcPr>
            <w:tcW w:type="dxa" w:w="1661"/>
          </w:tcPr>
          <w:p>
            <w:pPr>
              <w:pStyle w:val="null3"/>
            </w:pPr>
            <w:r>
              <w:rPr>
                <w:rFonts w:ascii="仿宋_GB2312" w:hAnsi="仿宋_GB2312" w:cs="仿宋_GB2312" w:eastAsia="仿宋_GB2312"/>
              </w:rPr>
              <w:t>包(2)_投标人应提交的相关资格证明材料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单位负责人为同一人或者存在直接控股、管理关系的不同供应商，不得参加同一合同项下的政府采购活动（提供书面承诺函，格式自拟加盖供应商公章）；</w:t>
            </w:r>
          </w:p>
        </w:tc>
        <w:tc>
          <w:tcPr>
            <w:tcW w:type="dxa" w:w="1661"/>
          </w:tcPr>
          <w:p>
            <w:pPr>
              <w:pStyle w:val="null3"/>
            </w:pPr>
            <w:r>
              <w:rPr>
                <w:rFonts w:ascii="仿宋_GB2312" w:hAnsi="仿宋_GB2312" w:cs="仿宋_GB2312" w:eastAsia="仿宋_GB2312"/>
              </w:rPr>
              <w:t>包(2)_投标人应提交的相关资格证明材料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本项目不接受联合体参与。（提供非联合体声明，格式自拟加盖供应商公章）。</w:t>
            </w:r>
          </w:p>
        </w:tc>
        <w:tc>
          <w:tcPr>
            <w:tcW w:type="dxa" w:w="1661"/>
          </w:tcPr>
          <w:p>
            <w:pPr>
              <w:pStyle w:val="null3"/>
            </w:pPr>
            <w:r>
              <w:rPr>
                <w:rFonts w:ascii="仿宋_GB2312" w:hAnsi="仿宋_GB2312" w:cs="仿宋_GB2312" w:eastAsia="仿宋_GB2312"/>
              </w:rPr>
              <w:t>包(2)_投标人应提交的相关资格证明材料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包(1)_详细报价表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w:t>
            </w:r>
          </w:p>
        </w:tc>
        <w:tc>
          <w:tcPr>
            <w:tcW w:type="dxa" w:w="1661"/>
          </w:tcPr>
          <w:p>
            <w:pPr>
              <w:pStyle w:val="null3"/>
            </w:pPr>
            <w:r>
              <w:rPr>
                <w:rFonts w:ascii="仿宋_GB2312" w:hAnsi="仿宋_GB2312" w:cs="仿宋_GB2312" w:eastAsia="仿宋_GB2312"/>
              </w:rPr>
              <w:t>开标一览表 包(1)_商务应答表 投标函 中小企业声明函 残疾人福利性单位声明函 包(1)_投标人应提交的相关资格证明材料 包(1)_服务内容及服务要求应答表 标的清单 投标文件封面 包(1)_详细报价表 监狱企业的证明文件 包(1)_业绩表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同时满足以下条款：（1）投标报价符合唯一性要求；（2）未超出采购预算或招标文件规定的最高限价。</w:t>
            </w:r>
          </w:p>
        </w:tc>
        <w:tc>
          <w:tcPr>
            <w:tcW w:type="dxa" w:w="1661"/>
          </w:tcPr>
          <w:p>
            <w:pPr>
              <w:pStyle w:val="null3"/>
            </w:pPr>
            <w:r>
              <w:rPr>
                <w:rFonts w:ascii="仿宋_GB2312" w:hAnsi="仿宋_GB2312" w:cs="仿宋_GB2312" w:eastAsia="仿宋_GB2312"/>
              </w:rPr>
              <w:t>开标一览表 标的清单 包(1)_详细报价表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开标一览表 包(1)_商务应答表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满足招标文件中要求的服务期限</w:t>
            </w:r>
          </w:p>
        </w:tc>
        <w:tc>
          <w:tcPr>
            <w:tcW w:type="dxa" w:w="1661"/>
          </w:tcPr>
          <w:p>
            <w:pPr>
              <w:pStyle w:val="null3"/>
            </w:pPr>
            <w:r>
              <w:rPr>
                <w:rFonts w:ascii="仿宋_GB2312" w:hAnsi="仿宋_GB2312" w:cs="仿宋_GB2312" w:eastAsia="仿宋_GB2312"/>
              </w:rPr>
              <w:t>开标一览表 包(1)_商务应答表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投标响应内容</w:t>
            </w:r>
          </w:p>
        </w:tc>
        <w:tc>
          <w:tcPr>
            <w:tcW w:type="dxa" w:w="3322"/>
          </w:tcPr>
          <w:p>
            <w:pPr>
              <w:pStyle w:val="null3"/>
            </w:pPr>
            <w:r>
              <w:rPr>
                <w:rFonts w:ascii="仿宋_GB2312" w:hAnsi="仿宋_GB2312" w:cs="仿宋_GB2312" w:eastAsia="仿宋_GB2312"/>
              </w:rPr>
              <w:t>实质性响应了招标文件中的要求；投标文件中没有含招标文件及相关法律法规中规定的无效情形。</w:t>
            </w:r>
          </w:p>
        </w:tc>
        <w:tc>
          <w:tcPr>
            <w:tcW w:type="dxa" w:w="1661"/>
          </w:tcPr>
          <w:p>
            <w:pPr>
              <w:pStyle w:val="null3"/>
            </w:pPr>
            <w:r>
              <w:rPr>
                <w:rFonts w:ascii="仿宋_GB2312" w:hAnsi="仿宋_GB2312" w:cs="仿宋_GB2312" w:eastAsia="仿宋_GB2312"/>
              </w:rPr>
              <w:t>开标一览表 包(1)_商务应答表 投标函 中小企业声明函 残疾人福利性单位声明函 包(1)_投标人应提交的相关资格证明材料 包(1)_服务内容及服务要求应答表 标的清单 包(1)_详细报价表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包(2)_详细报价表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w:t>
            </w:r>
          </w:p>
        </w:tc>
        <w:tc>
          <w:tcPr>
            <w:tcW w:type="dxa" w:w="1661"/>
          </w:tcPr>
          <w:p>
            <w:pPr>
              <w:pStyle w:val="null3"/>
            </w:pPr>
            <w:r>
              <w:rPr>
                <w:rFonts w:ascii="仿宋_GB2312" w:hAnsi="仿宋_GB2312" w:cs="仿宋_GB2312" w:eastAsia="仿宋_GB2312"/>
              </w:rPr>
              <w:t>开标一览表 投标函 中小企业声明函 残疾人福利性单位声明函 包(2)_商务应答表 包(2)_投标人应提交的相关资格证明材料 包(2)_服务内容及服务要求应答表 标的清单 投标文件封面 包(2)_业绩表 包(2)_详细报价表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同时满足以下条款：（1）投标报价符合唯一性要求；（2）未超出采购预算或招标文件规定的最高限价。</w:t>
            </w:r>
          </w:p>
        </w:tc>
        <w:tc>
          <w:tcPr>
            <w:tcW w:type="dxa" w:w="1661"/>
          </w:tcPr>
          <w:p>
            <w:pPr>
              <w:pStyle w:val="null3"/>
            </w:pPr>
            <w:r>
              <w:rPr>
                <w:rFonts w:ascii="仿宋_GB2312" w:hAnsi="仿宋_GB2312" w:cs="仿宋_GB2312" w:eastAsia="仿宋_GB2312"/>
              </w:rPr>
              <w:t>开标一览表 标的清单 包(2)_详细报价表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开标一览表 包(2)_商务应答表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满足招标文件中要求的服务期限。</w:t>
            </w:r>
          </w:p>
        </w:tc>
        <w:tc>
          <w:tcPr>
            <w:tcW w:type="dxa" w:w="1661"/>
          </w:tcPr>
          <w:p>
            <w:pPr>
              <w:pStyle w:val="null3"/>
            </w:pPr>
            <w:r>
              <w:rPr>
                <w:rFonts w:ascii="仿宋_GB2312" w:hAnsi="仿宋_GB2312" w:cs="仿宋_GB2312" w:eastAsia="仿宋_GB2312"/>
              </w:rPr>
              <w:t>开标一览表 包(2)_商务应答表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投标响应内容</w:t>
            </w:r>
          </w:p>
        </w:tc>
        <w:tc>
          <w:tcPr>
            <w:tcW w:type="dxa" w:w="3322"/>
          </w:tcPr>
          <w:p>
            <w:pPr>
              <w:pStyle w:val="null3"/>
            </w:pPr>
            <w:r>
              <w:rPr>
                <w:rFonts w:ascii="仿宋_GB2312" w:hAnsi="仿宋_GB2312" w:cs="仿宋_GB2312" w:eastAsia="仿宋_GB2312"/>
              </w:rPr>
              <w:t>实质性响应了招标文件中的要求；投标文件中没有含招标文件及相关法律法规中规定的无效情形。</w:t>
            </w:r>
          </w:p>
        </w:tc>
        <w:tc>
          <w:tcPr>
            <w:tcW w:type="dxa" w:w="1661"/>
          </w:tcPr>
          <w:p>
            <w:pPr>
              <w:pStyle w:val="null3"/>
            </w:pPr>
            <w:r>
              <w:rPr>
                <w:rFonts w:ascii="仿宋_GB2312" w:hAnsi="仿宋_GB2312" w:cs="仿宋_GB2312" w:eastAsia="仿宋_GB2312"/>
              </w:rPr>
              <w:t>开标一览表 投标函 中小企业声明函 残疾人福利性单位声明函 包(2)_商务应答表 包(2)_投标人应提交的相关资格证明材料 包(2)_服务内容及服务要求应答表 标的清单 包(2)_详细报价表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采购需求中各部分内容，提供相应的服务方案，方案内容包括但不限于①软件开发及集成②拆除及新建③运维④人员及培训等。1.服务方案科学严谨、内容全面详细、符合技术要求，计25分；2.服务方案科学合理、内容全面但描述不够详细、符合技术要求，计19分；3.服务方案合理，内容基本全面、符合技术要求，计13分；4.服务方案较合理，内容不够全面、符合技术要求，计7分；5.服务方案合理性欠缺，内容不够详细、不完全符合技术要求，计1分；不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包(1)_服务方案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重难点分析及解决思路</w:t>
            </w:r>
          </w:p>
        </w:tc>
        <w:tc>
          <w:tcPr>
            <w:tcW w:type="dxa" w:w="2492"/>
          </w:tcPr>
          <w:p>
            <w:pPr>
              <w:pStyle w:val="null3"/>
            </w:pPr>
            <w:r>
              <w:rPr>
                <w:rFonts w:ascii="仿宋_GB2312" w:hAnsi="仿宋_GB2312" w:cs="仿宋_GB2312" w:eastAsia="仿宋_GB2312"/>
              </w:rPr>
              <w:t>根据本项目需求，提出针对本项目实施过程中的重难点分析及解决思路，并给出解决方案。1.重难点内容科学全面、针对性强，解决思路可行性强，计10分；2.重难点内容全面、针对性较强，解决思路基本可行，计7分；3.重难点内容考虑不全面，解决思路有一定可行性，计4分；4.重难点内容考虑不全面、解决思路可行性较低，计1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包(1)_重难点分析及解决思路</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提供具有针对性的进度控制方案，包含但不限于工作时间进度计划、工作程序和步骤等。1.方案详细完整、合理可行，进度调配得当，控制措施紧密有效，针对性强，得10分；2.方案内容齐全、基本可行，控制措施有针对性较强，得7分；3.方案内容较齐全、相对可行，控制措施有一定针对性，得4分；4.方案内容欠缺，针对性较差得1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包(1)_进度控制</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采购需求中的内容，制定应急方案，方案内容包括但不限于①应急预案详述②应急工作流程③应急措施；1.应急方案内容全面、描述详细、可操作性强，计10分；2.应急方案内容全面但内容描述不够详细、可操作性较强，计7分；3.应急方案内容全面性不够，描述不够详细、有一定可操作性，计4分；4.应急方案内容全面性不够，描述模糊、可操作性低，计1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包(1)_应急方案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采购需求中的内容，制定质量保证措施内容，内容包括但不限于①质量目标②质量保证方法及措施；1.质量保证措施内容全面详细，目标明确，科学合理、针对性强，计10分；2.质量保证措施内容全面但描述不够详细，目标较明确，科学合理、针对性较强，计7分；3.质量保证措施内容全面性不够但描述详细，有一定针对性，计4分；4.质量保证措施内容全面性不够，描述不够详细，针对性低，计1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包(1)_质量保证</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针对本项目采购需求中的内容，制定项目团队人员配置方案；1.人员配置合理、岗位明确，符合项目实施的整体安排，得8分； 2.人员配置相对合理、岗位较为明确，基本符合项目实施的整体安排，得5分； 3.人员配置不足、岗位模糊，不符合项目实施的整体安排，得2分；未提供不得分。注：需明确投入本项目的人员岗位职务、身份证、学历证、社保缴纳证明等。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包(1)_人员配置</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针对本项目提供培训方案，方案包括但不限于①培训计划②培训内容③培训人员④培训方式⑤培训效果检验等。1.方案内容全面、描述详细、可操作性强，计8分；2.方案内容全面但部分描述不够详细、可操作性较强，计5分；3.方案内容全面性不够，描述不够详细，可操作性低，计2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包(1)_人员培训</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提供2023年2月1日至今（以合同签订时间为准）类似项目业绩，每提供1个计2分，满分4分。业绩以合同为准。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包(1)_业绩表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2.满足招标文件要求且最低的投标报价为评审基准价，其价格分为满分。其他各投标人的报价得分按下列公式计算： 投标报价得分=（基准价/投标总报价）×15 投标报价不完整的，不进入基准价的计算，本项计0分。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项目理解与认识</w:t>
            </w:r>
          </w:p>
        </w:tc>
        <w:tc>
          <w:tcPr>
            <w:tcW w:type="dxa" w:w="2492"/>
          </w:tcPr>
          <w:p>
            <w:pPr>
              <w:pStyle w:val="null3"/>
            </w:pPr>
            <w:r>
              <w:rPr>
                <w:rFonts w:ascii="仿宋_GB2312" w:hAnsi="仿宋_GB2312" w:cs="仿宋_GB2312" w:eastAsia="仿宋_GB2312"/>
              </w:rPr>
              <w:t>对本项目的理解与重难点分析，包括不限于：①对项目的理解和认识；②项目重难点分析；③合理化建议等。1.提供的方案详细、合理、科学可行，方案符合本项目采购需求，针对性强；计13分；2.提供的方案较为详细、合理、科学可行，方案符合本项目采购需求，针对性较强；计9分；3.提供的方案内容欠缺、描述不够详细，方案基本符合本项目采购需求，有一定针对性；计5分；4.提供的方案内容较多，描述模糊，方案不够符合采购需求，针对性较差；计1分；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包(2)_项目理解与认识</w:t>
            </w:r>
          </w:p>
        </w:tc>
      </w:tr>
      <w:tr>
        <w:tc>
          <w:tcPr>
            <w:tcW w:type="dxa" w:w="831"/>
            <w:vMerge/>
          </w:tcP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针对本项目特点制定该项目监理大纲，包括不限于①监理范围和服务内容；②监理工作程序、方法和制度；③监理机构设置、组成人员名单，监理人员岗位职责④质量、进度、投资、变更、安全文明施工控制措施；⑤合同、信息管理方案；⑥组织协调内容的具体程度、措施；⑦项目保密管理措施。每一项满分4分，共计28分。每一项计分方式如下：方案科学严谨、内容全面详细、符合技术要求，计4分；服务方案合理，内容全面性不够、基本符合技术要求，计2分；方案合理性欠缺，内容不够全面详细，计1分；不提供该项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包(2)_监理大纲</w:t>
            </w:r>
          </w:p>
        </w:tc>
      </w:tr>
      <w:tr>
        <w:tc>
          <w:tcPr>
            <w:tcW w:type="dxa" w:w="831"/>
            <w:vMerge/>
          </w:tcPr>
          <w:p/>
        </w:tc>
        <w:tc>
          <w:tcPr>
            <w:tcW w:type="dxa" w:w="1661"/>
          </w:tcPr>
          <w:p>
            <w:pPr>
              <w:pStyle w:val="null3"/>
            </w:pPr>
            <w:r>
              <w:rPr>
                <w:rFonts w:ascii="仿宋_GB2312" w:hAnsi="仿宋_GB2312" w:cs="仿宋_GB2312" w:eastAsia="仿宋_GB2312"/>
              </w:rPr>
              <w:t>监理服务团队</w:t>
            </w:r>
          </w:p>
        </w:tc>
        <w:tc>
          <w:tcPr>
            <w:tcW w:type="dxa" w:w="2492"/>
          </w:tcPr>
          <w:p>
            <w:pPr>
              <w:pStyle w:val="null3"/>
            </w:pPr>
            <w:r>
              <w:rPr>
                <w:rFonts w:ascii="仿宋_GB2312" w:hAnsi="仿宋_GB2312" w:cs="仿宋_GB2312" w:eastAsia="仿宋_GB2312"/>
              </w:rPr>
              <w:t>除总监理工程师外项目监理团队其他成员每具有一个通信工程或机电安装工程相关专业执业资格证书的，计2分，最高得8分；未提供不得分。（以上证件需提供证书复印件加盖单位公章）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包(2)_监理服务团队</w:t>
            </w:r>
          </w:p>
        </w:tc>
      </w:tr>
      <w:tr>
        <w:tc>
          <w:tcPr>
            <w:tcW w:type="dxa" w:w="831"/>
            <w:vMerge/>
          </w:tcPr>
          <w:p/>
        </w:tc>
        <w:tc>
          <w:tcPr>
            <w:tcW w:type="dxa" w:w="1661"/>
          </w:tcPr>
          <w:p>
            <w:pPr>
              <w:pStyle w:val="null3"/>
            </w:pPr>
            <w:r>
              <w:rPr>
                <w:rFonts w:ascii="仿宋_GB2312" w:hAnsi="仿宋_GB2312" w:cs="仿宋_GB2312" w:eastAsia="仿宋_GB2312"/>
              </w:rPr>
              <w:t>问题处理解决方案</w:t>
            </w:r>
          </w:p>
        </w:tc>
        <w:tc>
          <w:tcPr>
            <w:tcW w:type="dxa" w:w="2492"/>
          </w:tcPr>
          <w:p>
            <w:pPr>
              <w:pStyle w:val="null3"/>
            </w:pPr>
            <w:r>
              <w:rPr>
                <w:rFonts w:ascii="仿宋_GB2312" w:hAnsi="仿宋_GB2312" w:cs="仿宋_GB2312" w:eastAsia="仿宋_GB2312"/>
              </w:rPr>
              <w:t>供应商提供针对本项目的相关服务承诺，包括不限于①监理服务期内，问题处理解决方案；②监理服务质量保证；③能按时按质完成，达到服务要求且能保证项目质量承诺；④提供驻场服务承诺；⑤接受采购人对服务的监督及管理的承诺等。每一项满分3分，共计15分。每一项计分方式如下：方案科学严谨、内容全面详细、符合技术要求，计3分；服务方案合理，内容全面性不够、基本符合技术要求，计2分；方案合理性欠缺，内容不够全面详细，计1分；不提供该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包(2)_问题处理解决方案</w:t>
            </w:r>
          </w:p>
        </w:tc>
      </w:tr>
      <w:tr>
        <w:tc>
          <w:tcPr>
            <w:tcW w:type="dxa" w:w="831"/>
            <w:vMerge/>
          </w:tcPr>
          <w:p/>
        </w:tc>
        <w:tc>
          <w:tcPr>
            <w:tcW w:type="dxa" w:w="1661"/>
          </w:tcPr>
          <w:p>
            <w:pPr>
              <w:pStyle w:val="null3"/>
            </w:pPr>
            <w:r>
              <w:rPr>
                <w:rFonts w:ascii="仿宋_GB2312" w:hAnsi="仿宋_GB2312" w:cs="仿宋_GB2312" w:eastAsia="仿宋_GB2312"/>
              </w:rPr>
              <w:t>保密及廉洁措施</w:t>
            </w:r>
          </w:p>
        </w:tc>
        <w:tc>
          <w:tcPr>
            <w:tcW w:type="dxa" w:w="2492"/>
          </w:tcPr>
          <w:p>
            <w:pPr>
              <w:pStyle w:val="null3"/>
            </w:pPr>
            <w:r>
              <w:rPr>
                <w:rFonts w:ascii="仿宋_GB2312" w:hAnsi="仿宋_GB2312" w:cs="仿宋_GB2312" w:eastAsia="仿宋_GB2312"/>
              </w:rPr>
              <w:t>供应商提供针对本项目的保密及廉洁措施，包括不限于①供应商针对项目安全保密职责提供具体的保密措施②供应商针对项目廉洁管理提供具体的廉洁措施。1.提供的方案详细、合理、科学可行，方案符合本项目采购需求，针对性强；计8分；2.提供的方案较详细、合理、科学可行，方案符合本项目采购需求，有一定针对性；计5分；3.提供的方案内容较多，描述模糊，方案不够符合采购需求，针对性较差；计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包(2)_保密及廉洁措施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总监理工程师业绩2023年2月1日起至今，拟派总监理工程师承担过类似项目的监理服务业绩，项目案例每个得2分，最高得4分。（类似业绩时间、证明资料以投标人加盖公章的合同或中标通知书复印件或扫描件为准。总监理工程师业绩需体现总监理工程师姓名，总监理工程师业绩可与单位业绩重复记取）。2.提供2023年2月1日起至今类似项目业绩，每提供一项得3分，最高得9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包(2)_业绩表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2.满足招标文件要求且最低的投标报价为评审基准价，其价格分为满分。其他各投标人的报价得分按下列公式计算： 投标报价得分=（基准价/投标总报价）×15 投标报价不完整的，不进入基准价的计算，本项计0分。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详见附件：包(1)_详细报价表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详见附件：包(1)_投标人应提交的相关资格证明材料</w:t>
      </w:r>
    </w:p>
    <w:p>
      <w:pPr>
        <w:pStyle w:val="null3"/>
        <w:ind w:firstLine="960"/>
      </w:pPr>
      <w:r>
        <w:rPr>
          <w:rFonts w:ascii="仿宋_GB2312" w:hAnsi="仿宋_GB2312" w:cs="仿宋_GB2312" w:eastAsia="仿宋_GB2312"/>
        </w:rPr>
        <w:t>详见附件：包(1)_服务内容及服务要求应答表</w:t>
      </w:r>
    </w:p>
    <w:p>
      <w:pPr>
        <w:pStyle w:val="null3"/>
        <w:ind w:firstLine="960"/>
      </w:pPr>
      <w:r>
        <w:rPr>
          <w:rFonts w:ascii="仿宋_GB2312" w:hAnsi="仿宋_GB2312" w:cs="仿宋_GB2312" w:eastAsia="仿宋_GB2312"/>
        </w:rPr>
        <w:t>详见附件：包(1)_商务应答表</w:t>
      </w:r>
    </w:p>
    <w:p>
      <w:pPr>
        <w:pStyle w:val="null3"/>
        <w:ind w:firstLine="960"/>
      </w:pPr>
      <w:r>
        <w:rPr>
          <w:rFonts w:ascii="仿宋_GB2312" w:hAnsi="仿宋_GB2312" w:cs="仿宋_GB2312" w:eastAsia="仿宋_GB2312"/>
        </w:rPr>
        <w:t>详见附件：包(1)_服务方案</w:t>
      </w:r>
    </w:p>
    <w:p>
      <w:pPr>
        <w:pStyle w:val="null3"/>
        <w:ind w:firstLine="960"/>
      </w:pPr>
      <w:r>
        <w:rPr>
          <w:rFonts w:ascii="仿宋_GB2312" w:hAnsi="仿宋_GB2312" w:cs="仿宋_GB2312" w:eastAsia="仿宋_GB2312"/>
        </w:rPr>
        <w:t>详见附件：包(1)_重难点分析及解决思路</w:t>
      </w:r>
    </w:p>
    <w:p>
      <w:pPr>
        <w:pStyle w:val="null3"/>
        <w:ind w:firstLine="960"/>
      </w:pPr>
      <w:r>
        <w:rPr>
          <w:rFonts w:ascii="仿宋_GB2312" w:hAnsi="仿宋_GB2312" w:cs="仿宋_GB2312" w:eastAsia="仿宋_GB2312"/>
        </w:rPr>
        <w:t>详见附件：包(1)_进度控制</w:t>
      </w:r>
    </w:p>
    <w:p>
      <w:pPr>
        <w:pStyle w:val="null3"/>
        <w:ind w:firstLine="960"/>
      </w:pPr>
      <w:r>
        <w:rPr>
          <w:rFonts w:ascii="仿宋_GB2312" w:hAnsi="仿宋_GB2312" w:cs="仿宋_GB2312" w:eastAsia="仿宋_GB2312"/>
        </w:rPr>
        <w:t>详见附件：包(1)_应急方案</w:t>
      </w:r>
    </w:p>
    <w:p>
      <w:pPr>
        <w:pStyle w:val="null3"/>
        <w:ind w:firstLine="960"/>
      </w:pPr>
      <w:r>
        <w:rPr>
          <w:rFonts w:ascii="仿宋_GB2312" w:hAnsi="仿宋_GB2312" w:cs="仿宋_GB2312" w:eastAsia="仿宋_GB2312"/>
        </w:rPr>
        <w:t>详见附件：包(1)_质量保证</w:t>
      </w:r>
    </w:p>
    <w:p>
      <w:pPr>
        <w:pStyle w:val="null3"/>
        <w:ind w:firstLine="960"/>
      </w:pPr>
      <w:r>
        <w:rPr>
          <w:rFonts w:ascii="仿宋_GB2312" w:hAnsi="仿宋_GB2312" w:cs="仿宋_GB2312" w:eastAsia="仿宋_GB2312"/>
        </w:rPr>
        <w:t>详见附件：包(1)_人员配置</w:t>
      </w:r>
    </w:p>
    <w:p>
      <w:pPr>
        <w:pStyle w:val="null3"/>
        <w:ind w:firstLine="960"/>
      </w:pPr>
      <w:r>
        <w:rPr>
          <w:rFonts w:ascii="仿宋_GB2312" w:hAnsi="仿宋_GB2312" w:cs="仿宋_GB2312" w:eastAsia="仿宋_GB2312"/>
        </w:rPr>
        <w:t>详见附件：包(1)_人员培训</w:t>
      </w:r>
    </w:p>
    <w:p>
      <w:pPr>
        <w:pStyle w:val="null3"/>
        <w:ind w:firstLine="960"/>
      </w:pPr>
      <w:r>
        <w:rPr>
          <w:rFonts w:ascii="仿宋_GB2312" w:hAnsi="仿宋_GB2312" w:cs="仿宋_GB2312" w:eastAsia="仿宋_GB2312"/>
        </w:rPr>
        <w:t>详见附件：包(1)_业绩表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详见附件：包(2)_详细报价表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详见附件：包(2)_投标人应提交的相关资格证明材料</w:t>
      </w:r>
    </w:p>
    <w:p>
      <w:pPr>
        <w:pStyle w:val="null3"/>
        <w:ind w:firstLine="960"/>
      </w:pPr>
      <w:r>
        <w:rPr>
          <w:rFonts w:ascii="仿宋_GB2312" w:hAnsi="仿宋_GB2312" w:cs="仿宋_GB2312" w:eastAsia="仿宋_GB2312"/>
        </w:rPr>
        <w:t>详见附件：包(2)_服务内容及服务要求应答表</w:t>
      </w:r>
    </w:p>
    <w:p>
      <w:pPr>
        <w:pStyle w:val="null3"/>
        <w:ind w:firstLine="960"/>
      </w:pPr>
      <w:r>
        <w:rPr>
          <w:rFonts w:ascii="仿宋_GB2312" w:hAnsi="仿宋_GB2312" w:cs="仿宋_GB2312" w:eastAsia="仿宋_GB2312"/>
        </w:rPr>
        <w:t>详见附件：包(2)_商务应答表</w:t>
      </w:r>
    </w:p>
    <w:p>
      <w:pPr>
        <w:pStyle w:val="null3"/>
        <w:ind w:firstLine="960"/>
      </w:pPr>
      <w:r>
        <w:rPr>
          <w:rFonts w:ascii="仿宋_GB2312" w:hAnsi="仿宋_GB2312" w:cs="仿宋_GB2312" w:eastAsia="仿宋_GB2312"/>
        </w:rPr>
        <w:t>详见附件：包(2)_项目理解与认识</w:t>
      </w:r>
    </w:p>
    <w:p>
      <w:pPr>
        <w:pStyle w:val="null3"/>
        <w:ind w:firstLine="960"/>
      </w:pPr>
      <w:r>
        <w:rPr>
          <w:rFonts w:ascii="仿宋_GB2312" w:hAnsi="仿宋_GB2312" w:cs="仿宋_GB2312" w:eastAsia="仿宋_GB2312"/>
        </w:rPr>
        <w:t>详见附件：包(2)_监理大纲</w:t>
      </w:r>
    </w:p>
    <w:p>
      <w:pPr>
        <w:pStyle w:val="null3"/>
        <w:ind w:firstLine="960"/>
      </w:pPr>
      <w:r>
        <w:rPr>
          <w:rFonts w:ascii="仿宋_GB2312" w:hAnsi="仿宋_GB2312" w:cs="仿宋_GB2312" w:eastAsia="仿宋_GB2312"/>
        </w:rPr>
        <w:t>详见附件：包(2)_监理服务团队</w:t>
      </w:r>
    </w:p>
    <w:p>
      <w:pPr>
        <w:pStyle w:val="null3"/>
        <w:ind w:firstLine="960"/>
      </w:pPr>
      <w:r>
        <w:rPr>
          <w:rFonts w:ascii="仿宋_GB2312" w:hAnsi="仿宋_GB2312" w:cs="仿宋_GB2312" w:eastAsia="仿宋_GB2312"/>
        </w:rPr>
        <w:t>详见附件：包(2)_问题处理解决方案</w:t>
      </w:r>
    </w:p>
    <w:p>
      <w:pPr>
        <w:pStyle w:val="null3"/>
        <w:ind w:firstLine="960"/>
      </w:pPr>
      <w:r>
        <w:rPr>
          <w:rFonts w:ascii="仿宋_GB2312" w:hAnsi="仿宋_GB2312" w:cs="仿宋_GB2312" w:eastAsia="仿宋_GB2312"/>
        </w:rPr>
        <w:t>详见附件：包(2)_保密及廉洁措施</w:t>
      </w:r>
    </w:p>
    <w:p>
      <w:pPr>
        <w:pStyle w:val="null3"/>
        <w:ind w:firstLine="960"/>
      </w:pPr>
      <w:r>
        <w:rPr>
          <w:rFonts w:ascii="仿宋_GB2312" w:hAnsi="仿宋_GB2312" w:cs="仿宋_GB2312" w:eastAsia="仿宋_GB2312"/>
        </w:rPr>
        <w:t>详见附件：包(2)_业绩表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