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C12B8">
      <w:pPr>
        <w:pStyle w:val="24"/>
      </w:pPr>
      <w:r>
        <w:rPr>
          <w:rFonts w:ascii="仿宋_GB2312" w:hAnsi="仿宋_GB2312" w:eastAsia="仿宋_GB2312" w:cs="仿宋_GB2312"/>
        </w:rPr>
        <w:t>标的名称：2026年学位论文盲审平台</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1486"/>
        <w:gridCol w:w="5799"/>
      </w:tblGrid>
      <w:tr w14:paraId="21894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1964F17E">
            <w:pPr>
              <w:pStyle w:val="24"/>
            </w:pPr>
            <w:r>
              <w:rPr>
                <w:rFonts w:ascii="仿宋_GB2312" w:hAnsi="仿宋_GB2312" w:eastAsia="仿宋_GB2312" w:cs="仿宋_GB2312"/>
              </w:rPr>
              <w:t xml:space="preserve"> 序号</w:t>
            </w:r>
          </w:p>
        </w:tc>
        <w:tc>
          <w:tcPr>
            <w:tcW w:w="1486" w:type="dxa"/>
          </w:tcPr>
          <w:p w14:paraId="6F1F4654">
            <w:pPr>
              <w:pStyle w:val="24"/>
            </w:pPr>
            <w:r>
              <w:rPr>
                <w:rFonts w:ascii="仿宋_GB2312" w:hAnsi="仿宋_GB2312" w:eastAsia="仿宋_GB2312" w:cs="仿宋_GB2312"/>
              </w:rPr>
              <w:t xml:space="preserve"> 参数性质</w:t>
            </w:r>
          </w:p>
        </w:tc>
        <w:tc>
          <w:tcPr>
            <w:tcW w:w="5799" w:type="dxa"/>
          </w:tcPr>
          <w:p w14:paraId="30B18BB1">
            <w:pPr>
              <w:pStyle w:val="24"/>
            </w:pPr>
            <w:r>
              <w:rPr>
                <w:rFonts w:ascii="仿宋_GB2312" w:hAnsi="仿宋_GB2312" w:eastAsia="仿宋_GB2312" w:cs="仿宋_GB2312"/>
              </w:rPr>
              <w:t xml:space="preserve"> 技术参数与性能指标</w:t>
            </w:r>
          </w:p>
        </w:tc>
      </w:tr>
      <w:tr w14:paraId="2B25B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71709ECF">
            <w:pPr>
              <w:pStyle w:val="24"/>
            </w:pPr>
            <w:r>
              <w:rPr>
                <w:rFonts w:ascii="仿宋_GB2312" w:hAnsi="仿宋_GB2312" w:eastAsia="仿宋_GB2312" w:cs="仿宋_GB2312"/>
              </w:rPr>
              <w:t>1</w:t>
            </w:r>
          </w:p>
        </w:tc>
        <w:tc>
          <w:tcPr>
            <w:tcW w:w="1486" w:type="dxa"/>
          </w:tcPr>
          <w:p w14:paraId="47C5C5AC"/>
        </w:tc>
        <w:tc>
          <w:tcPr>
            <w:tcW w:w="5799" w:type="dxa"/>
          </w:tcPr>
          <w:p w14:paraId="466B32AB">
            <w:pPr>
              <w:pStyle w:val="24"/>
              <w:jc w:val="left"/>
              <w:outlineLvl w:val="3"/>
            </w:pPr>
            <w:r>
              <w:rPr>
                <w:rFonts w:ascii="仿宋_GB2312" w:hAnsi="仿宋_GB2312" w:eastAsia="仿宋_GB2312" w:cs="仿宋_GB2312"/>
                <w:b/>
                <w:sz w:val="24"/>
              </w:rPr>
              <w:t>（一）委托服务方式</w:t>
            </w:r>
          </w:p>
          <w:p w14:paraId="4EA7ADCA">
            <w:pPr>
              <w:pStyle w:val="24"/>
              <w:ind w:firstLine="480"/>
              <w:jc w:val="both"/>
            </w:pPr>
            <w:r>
              <w:rPr>
                <w:rFonts w:ascii="仿宋_GB2312" w:hAnsi="仿宋_GB2312" w:eastAsia="仿宋_GB2312" w:cs="仿宋_GB2312"/>
                <w:sz w:val="24"/>
              </w:rPr>
              <w:t>西安美术学院全权委托开展学位论文评审服务。</w:t>
            </w:r>
          </w:p>
          <w:p w14:paraId="3A9E78F6">
            <w:pPr>
              <w:pStyle w:val="24"/>
              <w:ind w:firstLine="480"/>
              <w:jc w:val="both"/>
            </w:pPr>
            <w:r>
              <w:rPr>
                <w:rFonts w:ascii="仿宋_GB2312" w:hAnsi="仿宋_GB2312" w:eastAsia="仿宋_GB2312" w:cs="仿宋_GB2312"/>
                <w:sz w:val="24"/>
              </w:rPr>
              <w:t>1.由西安美术学院提供论文送审清单及送审论文、评阅意见书模板；</w:t>
            </w:r>
          </w:p>
          <w:p w14:paraId="62AAD6CA">
            <w:pPr>
              <w:pStyle w:val="24"/>
              <w:ind w:firstLine="480"/>
              <w:jc w:val="both"/>
            </w:pPr>
            <w:r>
              <w:rPr>
                <w:rFonts w:ascii="仿宋_GB2312" w:hAnsi="仿宋_GB2312" w:eastAsia="仿宋_GB2312" w:cs="仿宋_GB2312"/>
                <w:sz w:val="24"/>
              </w:rPr>
              <w:t>2.供应商指导/配合材料，并负责按要求聘请专家、管理评审过程、支付专家劳务费与管理费等，平台需在2026年3月30日前将硕士学位论文、4月10日前将博士学位论文隐去姓名等信息送出评审，于2026年4月24日前、5月25日前分别将盲审后的硕士学位论文、博士学位论文反馈西安美术学院。</w:t>
            </w:r>
          </w:p>
          <w:p w14:paraId="7439555D">
            <w:pPr>
              <w:pStyle w:val="24"/>
              <w:ind w:firstLine="482"/>
              <w:jc w:val="both"/>
            </w:pPr>
            <w:r>
              <w:rPr>
                <w:rFonts w:ascii="仿宋_GB2312" w:hAnsi="仿宋_GB2312" w:eastAsia="仿宋_GB2312" w:cs="仿宋_GB2312"/>
                <w:sz w:val="24"/>
              </w:rPr>
              <w:t>3.供应商需严格遵守保密原则，做到双向匿名，不得向除评审专家外的第三方提供西安美术学院所提交的所有送审材料及相关信息，也不得向第三方提供评审专家名单和评审结果。</w:t>
            </w:r>
          </w:p>
        </w:tc>
      </w:tr>
      <w:tr w14:paraId="3762D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704DD1F4">
            <w:pPr>
              <w:pStyle w:val="24"/>
            </w:pPr>
            <w:r>
              <w:rPr>
                <w:rFonts w:ascii="仿宋_GB2312" w:hAnsi="仿宋_GB2312" w:eastAsia="仿宋_GB2312" w:cs="仿宋_GB2312"/>
              </w:rPr>
              <w:t>2</w:t>
            </w:r>
          </w:p>
        </w:tc>
        <w:tc>
          <w:tcPr>
            <w:tcW w:w="1486" w:type="dxa"/>
          </w:tcPr>
          <w:p w14:paraId="47281514"/>
        </w:tc>
        <w:tc>
          <w:tcPr>
            <w:tcW w:w="5799" w:type="dxa"/>
          </w:tcPr>
          <w:p w14:paraId="077BD8AA">
            <w:pPr>
              <w:pStyle w:val="24"/>
              <w:jc w:val="left"/>
              <w:outlineLvl w:val="3"/>
            </w:pPr>
            <w:r>
              <w:rPr>
                <w:rFonts w:ascii="仿宋_GB2312" w:hAnsi="仿宋_GB2312" w:eastAsia="仿宋_GB2312" w:cs="仿宋_GB2312"/>
                <w:b/>
                <w:sz w:val="24"/>
              </w:rPr>
              <w:t>（二）对论文评审单位的要求</w:t>
            </w:r>
          </w:p>
          <w:p w14:paraId="0ACC1C5E">
            <w:pPr>
              <w:pStyle w:val="24"/>
            </w:pPr>
            <w:r>
              <w:rPr>
                <w:rFonts w:ascii="仿宋_GB2312" w:hAnsi="仿宋_GB2312" w:eastAsia="仿宋_GB2312" w:cs="仿宋_GB2312"/>
                <w:sz w:val="24"/>
              </w:rPr>
              <w:t>供应商需保证论文送审结果的科学性与有效性，要求送往同层次艺术类院校评阅。同一作者的论文应送审不同的高校或研究院（所），博士论文评审单位应具有相应一级学科的博士学位授权，学位论文评审单位应具有相应一级学科的硕士学位授权。</w:t>
            </w:r>
          </w:p>
        </w:tc>
      </w:tr>
      <w:tr w14:paraId="7CC07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A2AE61A">
            <w:pPr>
              <w:pStyle w:val="24"/>
            </w:pPr>
            <w:r>
              <w:rPr>
                <w:rFonts w:ascii="仿宋_GB2312" w:hAnsi="仿宋_GB2312" w:eastAsia="仿宋_GB2312" w:cs="仿宋_GB2312"/>
              </w:rPr>
              <w:t>3</w:t>
            </w:r>
          </w:p>
        </w:tc>
        <w:tc>
          <w:tcPr>
            <w:tcW w:w="1486" w:type="dxa"/>
          </w:tcPr>
          <w:p w14:paraId="4D8696D4"/>
        </w:tc>
        <w:tc>
          <w:tcPr>
            <w:tcW w:w="5799" w:type="dxa"/>
          </w:tcPr>
          <w:p w14:paraId="5728C54E">
            <w:pPr>
              <w:pStyle w:val="24"/>
              <w:jc w:val="left"/>
              <w:outlineLvl w:val="3"/>
            </w:pPr>
            <w:r>
              <w:rPr>
                <w:rFonts w:ascii="仿宋_GB2312" w:hAnsi="仿宋_GB2312" w:eastAsia="仿宋_GB2312" w:cs="仿宋_GB2312"/>
                <w:b/>
                <w:sz w:val="24"/>
              </w:rPr>
              <w:t>（三）对论文评审专家的要求</w:t>
            </w:r>
          </w:p>
          <w:p w14:paraId="2712E09A">
            <w:pPr>
              <w:pStyle w:val="24"/>
              <w:ind w:firstLine="480"/>
              <w:jc w:val="both"/>
            </w:pPr>
            <w:r>
              <w:rPr>
                <w:rFonts w:ascii="仿宋_GB2312" w:hAnsi="仿宋_GB2312" w:eastAsia="仿宋_GB2312" w:cs="仿宋_GB2312"/>
                <w:sz w:val="24"/>
              </w:rPr>
              <w:t>博士论文评审专家均应为选题相关领域的、具有高级专业技术职务或博士研究生导师资格的专家；学位论文评审专家均应为选题相关领域的、具有副高级专业技术职务或硕士研究生导师资格的专家。</w:t>
            </w:r>
          </w:p>
        </w:tc>
      </w:tr>
      <w:tr w14:paraId="36540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44F9F71A">
            <w:pPr>
              <w:pStyle w:val="24"/>
            </w:pPr>
            <w:r>
              <w:rPr>
                <w:rFonts w:ascii="仿宋_GB2312" w:hAnsi="仿宋_GB2312" w:eastAsia="仿宋_GB2312" w:cs="仿宋_GB2312"/>
              </w:rPr>
              <w:t>4</w:t>
            </w:r>
          </w:p>
        </w:tc>
        <w:tc>
          <w:tcPr>
            <w:tcW w:w="1486" w:type="dxa"/>
          </w:tcPr>
          <w:p w14:paraId="5A9F0B0C"/>
        </w:tc>
        <w:tc>
          <w:tcPr>
            <w:tcW w:w="5799" w:type="dxa"/>
          </w:tcPr>
          <w:p w14:paraId="648A88ED">
            <w:pPr>
              <w:pStyle w:val="24"/>
              <w:jc w:val="left"/>
              <w:outlineLvl w:val="3"/>
            </w:pPr>
            <w:r>
              <w:rPr>
                <w:rFonts w:ascii="仿宋_GB2312" w:hAnsi="仿宋_GB2312" w:eastAsia="仿宋_GB2312" w:cs="仿宋_GB2312"/>
                <w:b/>
                <w:sz w:val="24"/>
              </w:rPr>
              <w:t>（四）服务平台功能要求</w:t>
            </w:r>
          </w:p>
          <w:p w14:paraId="5D8A4CAA">
            <w:pPr>
              <w:pStyle w:val="24"/>
              <w:ind w:firstLine="480"/>
            </w:pPr>
            <w:r>
              <w:rPr>
                <w:rFonts w:ascii="仿宋_GB2312" w:hAnsi="仿宋_GB2312" w:eastAsia="仿宋_GB2312" w:cs="仿宋_GB2312"/>
                <w:sz w:val="24"/>
              </w:rPr>
              <w:t>（1）平台采用https协议，保证信息传输的安全性。</w:t>
            </w:r>
          </w:p>
          <w:p w14:paraId="2C3ADBA4">
            <w:pPr>
              <w:pStyle w:val="24"/>
              <w:ind w:firstLine="480"/>
            </w:pPr>
            <w:r>
              <w:rPr>
                <w:rFonts w:ascii="仿宋_GB2312" w:hAnsi="仿宋_GB2312" w:eastAsia="仿宋_GB2312" w:cs="仿宋_GB2312"/>
                <w:sz w:val="24"/>
              </w:rPr>
              <w:t>（2）支持按照采购人要求单独配置送审参数，包括但不限于：评阅模版类型、论文送审专家数量、结果返回时间、送审要求设置、单个专家评审数量限制。</w:t>
            </w:r>
          </w:p>
          <w:p w14:paraId="23DAC74F">
            <w:pPr>
              <w:pStyle w:val="24"/>
              <w:ind w:firstLine="480"/>
            </w:pPr>
            <w:r>
              <w:rPr>
                <w:rFonts w:ascii="仿宋_GB2312" w:hAnsi="仿宋_GB2312" w:eastAsia="仿宋_GB2312" w:cs="仿宋_GB2312"/>
                <w:sz w:val="24"/>
              </w:rPr>
              <w:t>（3）支持账户的分级权限管理：包括设置账户状态（正常/停用）、匿名送审（是/否）、下载评审结果（允许/不允许）、查看代送审结果（允许/不允许）、劳务费比例等。</w:t>
            </w:r>
          </w:p>
          <w:p w14:paraId="1369D00A">
            <w:pPr>
              <w:pStyle w:val="24"/>
              <w:ind w:firstLine="480"/>
            </w:pPr>
            <w:r>
              <w:rPr>
                <w:rFonts w:ascii="仿宋_GB2312" w:hAnsi="仿宋_GB2312" w:eastAsia="仿宋_GB2312" w:cs="仿宋_GB2312"/>
                <w:sz w:val="24"/>
              </w:rPr>
              <w:t>（4）支持批量上传送审论文电子版及汇总表，支持单篇或批量下载评审结果及汇总信息，支持按院系、姓名对评审结果排序。</w:t>
            </w:r>
          </w:p>
          <w:p w14:paraId="49EC917E">
            <w:pPr>
              <w:pStyle w:val="24"/>
              <w:ind w:firstLine="480"/>
            </w:pPr>
            <w:r>
              <w:rPr>
                <w:rFonts w:ascii="仿宋_GB2312" w:hAnsi="仿宋_GB2312" w:eastAsia="仿宋_GB2312" w:cs="仿宋_GB2312"/>
                <w:sz w:val="24"/>
              </w:rPr>
              <w:t>（5）支持学校账户可对院系账户送审情况进行实时监督与管理；学校账户可查看院系账户论文上传、送审进度情况。</w:t>
            </w:r>
          </w:p>
          <w:p w14:paraId="7AF9E0B8">
            <w:pPr>
              <w:pStyle w:val="24"/>
              <w:ind w:firstLine="480"/>
            </w:pPr>
            <w:r>
              <w:rPr>
                <w:rFonts w:ascii="仿宋_GB2312" w:hAnsi="仿宋_GB2312" w:eastAsia="仿宋_GB2312" w:cs="仿宋_GB2312"/>
                <w:sz w:val="24"/>
              </w:rPr>
              <w:t>（6）支持学校灵活定制论文评阅书模板。</w:t>
            </w:r>
          </w:p>
          <w:p w14:paraId="7C9CE0E9">
            <w:pPr>
              <w:pStyle w:val="24"/>
              <w:ind w:firstLine="480"/>
            </w:pPr>
            <w:r>
              <w:rPr>
                <w:rFonts w:ascii="仿宋_GB2312" w:hAnsi="仿宋_GB2312" w:eastAsia="仿宋_GB2312" w:cs="仿宋_GB2312"/>
                <w:sz w:val="24"/>
              </w:rPr>
              <w:t>（7）支持专家查看、评审、下载、拒评论文；支持专家临时保存评阅意见、提交评阅意见，支持专家采用上传签名文件和在线手写签名两种方式。</w:t>
            </w:r>
          </w:p>
          <w:p w14:paraId="52FCA127">
            <w:pPr>
              <w:pStyle w:val="24"/>
              <w:ind w:firstLine="480"/>
            </w:pPr>
            <w:r>
              <w:rPr>
                <w:rFonts w:ascii="仿宋_GB2312" w:hAnsi="仿宋_GB2312" w:eastAsia="仿宋_GB2312" w:cs="仿宋_GB2312"/>
                <w:sz w:val="24"/>
              </w:rPr>
              <w:t>（8）支持批量或单个下载pdf论文评阅书及评阅汇总表，论文评阅书支持匿名和非匿名两种版本。</w:t>
            </w:r>
          </w:p>
          <w:p w14:paraId="193C3877">
            <w:pPr>
              <w:pStyle w:val="24"/>
              <w:ind w:firstLine="480"/>
            </w:pPr>
            <w:r>
              <w:rPr>
                <w:rFonts w:ascii="仿宋_GB2312" w:hAnsi="仿宋_GB2312" w:eastAsia="仿宋_GB2312" w:cs="仿宋_GB2312"/>
                <w:sz w:val="24"/>
              </w:rPr>
              <w:t>（9）支持原论文加送及论文修改后再送审模式，能够方便高效进行特殊业务评审。</w:t>
            </w:r>
          </w:p>
          <w:p w14:paraId="6F97DF57">
            <w:pPr>
              <w:pStyle w:val="24"/>
            </w:pPr>
            <w:r>
              <w:rPr>
                <w:rFonts w:ascii="仿宋_GB2312" w:hAnsi="仿宋_GB2312" w:eastAsia="仿宋_GB2312" w:cs="仿宋_GB2312"/>
                <w:sz w:val="24"/>
              </w:rPr>
              <w:t xml:space="preserve">  （10）支持在线提取费用，支持系统自动扣税功能，保证支付安全。</w:t>
            </w:r>
          </w:p>
        </w:tc>
      </w:tr>
      <w:tr w14:paraId="5B632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8D6FE65">
            <w:pPr>
              <w:pStyle w:val="24"/>
            </w:pPr>
            <w:r>
              <w:rPr>
                <w:rFonts w:ascii="仿宋_GB2312" w:hAnsi="仿宋_GB2312" w:eastAsia="仿宋_GB2312" w:cs="仿宋_GB2312"/>
              </w:rPr>
              <w:t>5</w:t>
            </w:r>
          </w:p>
        </w:tc>
        <w:tc>
          <w:tcPr>
            <w:tcW w:w="1486" w:type="dxa"/>
          </w:tcPr>
          <w:p w14:paraId="606D03CE"/>
        </w:tc>
        <w:tc>
          <w:tcPr>
            <w:tcW w:w="5799" w:type="dxa"/>
          </w:tcPr>
          <w:p w14:paraId="661850E0">
            <w:pPr>
              <w:pStyle w:val="24"/>
              <w:jc w:val="left"/>
              <w:outlineLvl w:val="3"/>
            </w:pPr>
            <w:r>
              <w:rPr>
                <w:rFonts w:ascii="仿宋_GB2312" w:hAnsi="仿宋_GB2312" w:eastAsia="仿宋_GB2312" w:cs="仿宋_GB2312"/>
                <w:b/>
                <w:sz w:val="24"/>
              </w:rPr>
              <w:t>（五）预毕业人数及报价要求</w:t>
            </w:r>
          </w:p>
          <w:p w14:paraId="0218EF31">
            <w:pPr>
              <w:pStyle w:val="24"/>
              <w:ind w:firstLine="480"/>
            </w:pPr>
            <w:r>
              <w:rPr>
                <w:rFonts w:ascii="仿宋_GB2312" w:hAnsi="仿宋_GB2312" w:eastAsia="仿宋_GB2312" w:cs="仿宋_GB2312"/>
                <w:sz w:val="24"/>
              </w:rPr>
              <w:t>2026年西安美术学院研究生学位论文全委托送审项目清单（见下表），此为暂估数据，仅作磋商响应报价使用。本项目按单价据实结算，预毕业人数仅作参考，因学位论文送审存在是否通过，如不通过需要加送的情况，最终以实际毕业人数及成交单价据实结算。</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1"/>
              <w:gridCol w:w="1334"/>
              <w:gridCol w:w="1469"/>
              <w:gridCol w:w="1494"/>
            </w:tblGrid>
            <w:tr w14:paraId="3549A0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15C425">
                  <w:pPr>
                    <w:pStyle w:val="24"/>
                  </w:pPr>
                  <w:r>
                    <w:rPr>
                      <w:rFonts w:ascii="仿宋_GB2312" w:hAnsi="仿宋_GB2312" w:eastAsia="仿宋_GB2312" w:cs="仿宋_GB2312"/>
                      <w:b/>
                      <w:sz w:val="24"/>
                    </w:rPr>
                    <w:t>序号</w:t>
                  </w:r>
                </w:p>
              </w:tc>
              <w:tc>
                <w:tcPr>
                  <w:tcW w:w="13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1EE43A">
                  <w:pPr>
                    <w:pStyle w:val="24"/>
                  </w:pPr>
                  <w:r>
                    <w:rPr>
                      <w:rFonts w:ascii="仿宋_GB2312" w:hAnsi="仿宋_GB2312" w:eastAsia="仿宋_GB2312" w:cs="仿宋_GB2312"/>
                      <w:b/>
                      <w:sz w:val="24"/>
                    </w:rPr>
                    <w:t>学位层次</w:t>
                  </w:r>
                </w:p>
              </w:tc>
              <w:tc>
                <w:tcPr>
                  <w:tcW w:w="1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52911B">
                  <w:pPr>
                    <w:pStyle w:val="24"/>
                  </w:pPr>
                  <w:r>
                    <w:rPr>
                      <w:rFonts w:ascii="仿宋_GB2312" w:hAnsi="仿宋_GB2312" w:eastAsia="仿宋_GB2312" w:cs="仿宋_GB2312"/>
                      <w:b/>
                      <w:sz w:val="24"/>
                    </w:rPr>
                    <w:t>预毕业人数（人）</w:t>
                  </w:r>
                </w:p>
              </w:tc>
              <w:tc>
                <w:tcPr>
                  <w:tcW w:w="14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EA4597">
                  <w:pPr>
                    <w:pStyle w:val="24"/>
                  </w:pPr>
                  <w:r>
                    <w:rPr>
                      <w:rFonts w:ascii="仿宋_GB2312" w:hAnsi="仿宋_GB2312" w:eastAsia="仿宋_GB2312" w:cs="仿宋_GB2312"/>
                      <w:b/>
                      <w:sz w:val="24"/>
                    </w:rPr>
                    <w:t>送审份数（人/份）</w:t>
                  </w:r>
                </w:p>
              </w:tc>
            </w:tr>
            <w:tr w14:paraId="055A6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9F5493">
                  <w:pPr>
                    <w:pStyle w:val="24"/>
                    <w:jc w:val="center"/>
                  </w:pPr>
                  <w:r>
                    <w:rPr>
                      <w:rFonts w:ascii="仿宋_GB2312" w:hAnsi="仿宋_GB2312" w:eastAsia="仿宋_GB2312" w:cs="仿宋_GB2312"/>
                      <w:sz w:val="24"/>
                    </w:rPr>
                    <w:t>1</w:t>
                  </w:r>
                </w:p>
              </w:tc>
              <w:tc>
                <w:tcPr>
                  <w:tcW w:w="13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FCD1B3">
                  <w:pPr>
                    <w:pStyle w:val="24"/>
                    <w:jc w:val="center"/>
                  </w:pPr>
                  <w:r>
                    <w:rPr>
                      <w:rFonts w:ascii="仿宋_GB2312" w:hAnsi="仿宋_GB2312" w:eastAsia="仿宋_GB2312" w:cs="仿宋_GB2312"/>
                      <w:sz w:val="24"/>
                    </w:rPr>
                    <w:t>硕士研究生</w:t>
                  </w:r>
                </w:p>
              </w:tc>
              <w:tc>
                <w:tcPr>
                  <w:tcW w:w="14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EA32FD">
                  <w:pPr>
                    <w:pStyle w:val="24"/>
                    <w:jc w:val="center"/>
                  </w:pPr>
                  <w:r>
                    <w:rPr>
                      <w:rFonts w:ascii="仿宋_GB2312" w:hAnsi="仿宋_GB2312" w:eastAsia="仿宋_GB2312" w:cs="仿宋_GB2312"/>
                      <w:sz w:val="24"/>
                    </w:rPr>
                    <w:t>485</w:t>
                  </w:r>
                </w:p>
              </w:tc>
              <w:tc>
                <w:tcPr>
                  <w:tcW w:w="14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E80ADE">
                  <w:pPr>
                    <w:pStyle w:val="24"/>
                    <w:jc w:val="center"/>
                  </w:pPr>
                  <w:r>
                    <w:rPr>
                      <w:rFonts w:ascii="仿宋_GB2312" w:hAnsi="仿宋_GB2312" w:eastAsia="仿宋_GB2312" w:cs="仿宋_GB2312"/>
                      <w:sz w:val="24"/>
                    </w:rPr>
                    <w:t>每生送审2份</w:t>
                  </w:r>
                </w:p>
              </w:tc>
            </w:tr>
            <w:tr w14:paraId="5F68E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B7D106">
                  <w:pPr>
                    <w:pStyle w:val="24"/>
                    <w:jc w:val="center"/>
                  </w:pPr>
                  <w:r>
                    <w:rPr>
                      <w:rFonts w:ascii="仿宋_GB2312" w:hAnsi="仿宋_GB2312" w:eastAsia="仿宋_GB2312" w:cs="仿宋_GB2312"/>
                      <w:sz w:val="24"/>
                    </w:rPr>
                    <w:t>2</w:t>
                  </w:r>
                </w:p>
              </w:tc>
              <w:tc>
                <w:tcPr>
                  <w:tcW w:w="13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1D867A">
                  <w:pPr>
                    <w:pStyle w:val="24"/>
                    <w:jc w:val="center"/>
                  </w:pPr>
                  <w:r>
                    <w:rPr>
                      <w:rFonts w:ascii="仿宋_GB2312" w:hAnsi="仿宋_GB2312" w:eastAsia="仿宋_GB2312" w:cs="仿宋_GB2312"/>
                      <w:sz w:val="24"/>
                    </w:rPr>
                    <w:t>博士研究生</w:t>
                  </w:r>
                </w:p>
              </w:tc>
              <w:tc>
                <w:tcPr>
                  <w:tcW w:w="14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E314C7">
                  <w:pPr>
                    <w:pStyle w:val="24"/>
                    <w:jc w:val="center"/>
                  </w:pPr>
                  <w:r>
                    <w:rPr>
                      <w:rFonts w:ascii="仿宋_GB2312" w:hAnsi="仿宋_GB2312" w:eastAsia="仿宋_GB2312" w:cs="仿宋_GB2312"/>
                      <w:sz w:val="24"/>
                    </w:rPr>
                    <w:t>65</w:t>
                  </w:r>
                </w:p>
              </w:tc>
              <w:tc>
                <w:tcPr>
                  <w:tcW w:w="14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390540">
                  <w:pPr>
                    <w:pStyle w:val="24"/>
                    <w:jc w:val="center"/>
                  </w:pPr>
                  <w:r>
                    <w:rPr>
                      <w:rFonts w:ascii="仿宋_GB2312" w:hAnsi="仿宋_GB2312" w:eastAsia="仿宋_GB2312" w:cs="仿宋_GB2312"/>
                      <w:sz w:val="24"/>
                    </w:rPr>
                    <w:t>每生送审5份</w:t>
                  </w:r>
                </w:p>
              </w:tc>
            </w:tr>
          </w:tbl>
          <w:p w14:paraId="59FAE40D"/>
        </w:tc>
      </w:tr>
    </w:tbl>
    <w:p w14:paraId="34F94E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77421"/>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E2B7622"/>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A876CAF"/>
    <w:rsid w:val="3B5C400D"/>
    <w:rsid w:val="3BA4698B"/>
    <w:rsid w:val="3C70268B"/>
    <w:rsid w:val="3D711112"/>
    <w:rsid w:val="3F6842E5"/>
    <w:rsid w:val="3F787D27"/>
    <w:rsid w:val="42843912"/>
    <w:rsid w:val="428471F1"/>
    <w:rsid w:val="434033E5"/>
    <w:rsid w:val="43584653"/>
    <w:rsid w:val="440F052B"/>
    <w:rsid w:val="444E2D35"/>
    <w:rsid w:val="451A4083"/>
    <w:rsid w:val="464F0AA0"/>
    <w:rsid w:val="470E332D"/>
    <w:rsid w:val="47F449BF"/>
    <w:rsid w:val="486A6177"/>
    <w:rsid w:val="48F73E0E"/>
    <w:rsid w:val="4CDE6A97"/>
    <w:rsid w:val="4D2C0C77"/>
    <w:rsid w:val="4D31095B"/>
    <w:rsid w:val="503D5436"/>
    <w:rsid w:val="51BA62F1"/>
    <w:rsid w:val="53AD2C2D"/>
    <w:rsid w:val="5427247B"/>
    <w:rsid w:val="54803B90"/>
    <w:rsid w:val="560D6F51"/>
    <w:rsid w:val="56C86F6D"/>
    <w:rsid w:val="56E122FB"/>
    <w:rsid w:val="5825126E"/>
    <w:rsid w:val="5A377421"/>
    <w:rsid w:val="5A581238"/>
    <w:rsid w:val="5BE11727"/>
    <w:rsid w:val="5C66723E"/>
    <w:rsid w:val="5D131446"/>
    <w:rsid w:val="5D1564AC"/>
    <w:rsid w:val="5D572A52"/>
    <w:rsid w:val="5F2B0CC9"/>
    <w:rsid w:val="620852F1"/>
    <w:rsid w:val="639F579F"/>
    <w:rsid w:val="64025AB8"/>
    <w:rsid w:val="64674C53"/>
    <w:rsid w:val="673C6346"/>
    <w:rsid w:val="676F425C"/>
    <w:rsid w:val="67C12E69"/>
    <w:rsid w:val="67DD6BED"/>
    <w:rsid w:val="69F91AE9"/>
    <w:rsid w:val="6A082CE3"/>
    <w:rsid w:val="6C7E2CAC"/>
    <w:rsid w:val="6CEC129F"/>
    <w:rsid w:val="6DD966FB"/>
    <w:rsid w:val="6F36347B"/>
    <w:rsid w:val="6FB5018B"/>
    <w:rsid w:val="6FC935DB"/>
    <w:rsid w:val="7072622A"/>
    <w:rsid w:val="70CD1B9F"/>
    <w:rsid w:val="71EA7315"/>
    <w:rsid w:val="72AC1CC9"/>
    <w:rsid w:val="7312541D"/>
    <w:rsid w:val="741D2E7E"/>
    <w:rsid w:val="753A6D9B"/>
    <w:rsid w:val="76127D2C"/>
    <w:rsid w:val="76193FBE"/>
    <w:rsid w:val="766D75CC"/>
    <w:rsid w:val="774F0B38"/>
    <w:rsid w:val="77C307FF"/>
    <w:rsid w:val="77FA5285"/>
    <w:rsid w:val="788A35B0"/>
    <w:rsid w:val="79F74C45"/>
    <w:rsid w:val="7A0D5D0B"/>
    <w:rsid w:val="7B1B065A"/>
    <w:rsid w:val="7B232107"/>
    <w:rsid w:val="7C0F2859"/>
    <w:rsid w:val="7C4F1CC3"/>
    <w:rsid w:val="7E6E636B"/>
    <w:rsid w:val="7ED57FAF"/>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5"/>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6"/>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20"/>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2"/>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b/>
      <w:sz w:val="24"/>
      <w:szCs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新宋体" w:cs="Times New Roman"/>
      <w:sz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0">
    <w:name w:val="Body Text"/>
    <w:basedOn w:val="1"/>
    <w:next w:val="1"/>
    <w:link w:val="18"/>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5">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6">
    <w:name w:val="标题 3 字符1"/>
    <w:link w:val="4"/>
    <w:autoRedefine/>
    <w:qFormat/>
    <w:uiPriority w:val="0"/>
    <w:rPr>
      <w:rFonts w:ascii="宋体" w:hAnsi="宋体" w:eastAsia="宋体" w:cs="宋体"/>
      <w:b/>
      <w:sz w:val="28"/>
      <w:szCs w:val="24"/>
    </w:rPr>
  </w:style>
  <w:style w:type="character" w:customStyle="1" w:styleId="17">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8">
    <w:name w:val="正文文本 Char"/>
    <w:link w:val="10"/>
    <w:qFormat/>
    <w:uiPriority w:val="0"/>
    <w:rPr>
      <w:rFonts w:ascii="宋体" w:hAnsi="宋体" w:eastAsia="宋体" w:cs="宋体"/>
      <w:sz w:val="24"/>
      <w:szCs w:val="28"/>
      <w:lang w:val="zh-CN" w:bidi="zh-CN"/>
    </w:rPr>
  </w:style>
  <w:style w:type="paragraph" w:customStyle="1" w:styleId="19">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0">
    <w:name w:val="标题 4 Char"/>
    <w:link w:val="5"/>
    <w:qFormat/>
    <w:uiPriority w:val="0"/>
    <w:rPr>
      <w:rFonts w:ascii="宋体" w:hAnsi="宋体" w:eastAsia="宋体" w:cs="宋体"/>
      <w:b/>
      <w:bCs/>
      <w:kern w:val="2"/>
      <w:sz w:val="28"/>
      <w:szCs w:val="28"/>
    </w:rPr>
  </w:style>
  <w:style w:type="character" w:customStyle="1" w:styleId="21">
    <w:name w:val="标题 6 Char"/>
    <w:link w:val="7"/>
    <w:qFormat/>
    <w:uiPriority w:val="0"/>
    <w:rPr>
      <w:rFonts w:ascii="Arial" w:hAnsi="Arial" w:eastAsia="宋体" w:cs="Times New Roman"/>
      <w:b/>
      <w:bCs/>
      <w:kern w:val="0"/>
      <w:sz w:val="28"/>
      <w:szCs w:val="24"/>
    </w:rPr>
  </w:style>
  <w:style w:type="character" w:customStyle="1" w:styleId="22">
    <w:name w:val="标题 5 Char"/>
    <w:link w:val="6"/>
    <w:qFormat/>
    <w:uiPriority w:val="0"/>
    <w:rPr>
      <w:rFonts w:ascii="Times New Roman" w:hAnsi="Times New Roman" w:eastAsia="宋体" w:cs="Times New Roman"/>
      <w:b/>
      <w:bCs/>
      <w:kern w:val="0"/>
      <w:sz w:val="28"/>
      <w:szCs w:val="28"/>
    </w:rPr>
  </w:style>
  <w:style w:type="paragraph" w:customStyle="1" w:styleId="23">
    <w:name w:val="居中"/>
    <w:basedOn w:val="1"/>
    <w:qFormat/>
    <w:uiPriority w:val="0"/>
    <w:pPr>
      <w:jc w:val="center"/>
    </w:pPr>
    <w:rPr>
      <w:rFonts w:ascii="Times New Roman" w:hAnsi="Times New Roman" w:eastAsia="宋体"/>
      <w:b/>
      <w:sz w:val="28"/>
    </w:rPr>
  </w:style>
  <w:style w:type="paragraph" w:customStyle="1" w:styleId="2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2026-03-11T06:14:00Z</dcterms:created>
  <dc:creator>hh</dc:creator>
  <cp:lastModifiedBy>hh</cp:lastModifiedBy>
  <dcterms:modified xsi:type="dcterms:W3CDTF">2026-03-11T06:16:05Z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184197E0DD2C4428882765915E853EC6_11</vt:lpwstr>
  </property>
  <property fmtid="{D5CDD505-2E9C-101B-9397-08002B2CF9AE}" pid="4" name="KSOTemplateDocerSaveRecord">
    <vt:lpwstr>eyJoZGlkIjoiMDE0MWExYzZhN2MyNGJiNTVhNDFjN2I1MzgyYTEyNWYiLCJ1c2VySWQiOiI1NTQxNTg5NzAifQ==</vt:lpwstr>
  </property>
</Properties>
</file>