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F15E8">
      <w:pPr>
        <w:pageBreakBefore w:val="0"/>
        <w:kinsoku/>
        <w:topLinePunct w:val="0"/>
        <w:bidi w:val="0"/>
        <w:spacing w:line="360" w:lineRule="auto"/>
        <w:ind w:firstLine="482" w:firstLineChars="200"/>
        <w:textAlignment w:val="auto"/>
        <w:outlineLvl w:val="9"/>
        <w:rPr>
          <w:rFonts w:hint="eastAsia" w:ascii="宋体" w:hAnsi="宋体" w:eastAsia="宋体" w:cs="宋体"/>
          <w:b/>
          <w:bCs/>
          <w:sz w:val="24"/>
          <w:szCs w:val="24"/>
        </w:rPr>
      </w:pPr>
      <w:bookmarkStart w:id="0" w:name="_Toc127672210"/>
      <w:bookmarkEnd w:id="0"/>
      <w:bookmarkStart w:id="1" w:name="_Toc2063"/>
      <w:bookmarkEnd w:id="1"/>
      <w:bookmarkStart w:id="2" w:name="_Toc514601571"/>
      <w:bookmarkStart w:id="3" w:name="_Toc9639"/>
      <w:r>
        <w:rPr>
          <w:rFonts w:hint="eastAsia" w:ascii="宋体" w:hAnsi="宋体" w:eastAsia="宋体" w:cs="宋体"/>
          <w:b/>
          <w:bCs/>
          <w:sz w:val="24"/>
          <w:szCs w:val="24"/>
        </w:rPr>
        <w:t>一、项目概况</w:t>
      </w:r>
      <w:bookmarkEnd w:id="2"/>
      <w:bookmarkEnd w:id="3"/>
    </w:p>
    <w:p w14:paraId="019E409E">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lang w:val="en-US" w:eastAsia="zh-CN"/>
        </w:rPr>
      </w:pPr>
      <w:bookmarkStart w:id="4" w:name="_Toc127672211"/>
      <w:bookmarkEnd w:id="4"/>
      <w:bookmarkStart w:id="5" w:name="_Toc12241"/>
      <w:bookmarkEnd w:id="5"/>
      <w:bookmarkStart w:id="6" w:name="_Toc4403"/>
      <w:bookmarkStart w:id="7" w:name="_Toc514601572"/>
      <w:r>
        <w:rPr>
          <w:rFonts w:hint="eastAsia" w:ascii="宋体" w:hAnsi="宋体" w:eastAsia="宋体" w:cs="宋体"/>
          <w:sz w:val="24"/>
          <w:szCs w:val="24"/>
          <w:lang w:val="en-US" w:eastAsia="zh-CN"/>
        </w:rPr>
        <w:t>通过实施陕西省北洛河中游及延河上游测雨雷达建设项目，在吴起县、志丹县、靖边县、甘泉县、宝塔区、安塞区6个区域，布设6部测雨雷达，包括北洛河的周河、葫芦河、头道川、二道川、三道川、乱石头川，延河上游的杏子河西川河、蟠龙川，芦河和红柳河，以及志丹、吴起、安塞、宝塔城区，覆盖面积2.6万km2。设备选用全固态X波段机械扫描测雨雷达，按照全面组网、协同覆盖、消除盲区的要求进行站点选址，建成覆盖无盲区、精度可追溯的智能测雨雷达网络。同步建设雷达铁塔、方舱(机房)、防雷接地、供配电、通信及安防等配套设施。开展定标调试、数据质量控制、雨量反演模型构建及临近预报模型开发，确保雷达数据实时接入省级山洪灾害监测预报预警平台，实现“降雨-产流一洪峰”滚动预报，及时提供区域雨量信息，实现精细化面雨量监测、临近预报和强降雨追踪目的，解决该区域监测盲区大、预警提前量短的问题，全面提升该区域水旱灾害监测预报预警能力。</w:t>
      </w:r>
    </w:p>
    <w:p w14:paraId="2B32C6CD">
      <w:pPr>
        <w:pStyle w:val="5"/>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二、采购内容</w:t>
      </w:r>
    </w:p>
    <w:p w14:paraId="7AFCB216">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采购内容如下：</w:t>
      </w:r>
      <w:bookmarkStart w:id="8" w:name="_Hlk150875772"/>
      <w:bookmarkStart w:id="9" w:name="_Hlk150875286"/>
    </w:p>
    <w:p w14:paraId="5360526F">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陕西省北洛河上中游及延河上游测雨雷达建设勘测设计</w:t>
      </w:r>
      <w:r>
        <w:rPr>
          <w:rFonts w:hint="eastAsia" w:cs="宋体"/>
          <w:sz w:val="24"/>
          <w:szCs w:val="24"/>
          <w:lang w:val="en-US" w:eastAsia="zh-CN"/>
        </w:rPr>
        <w:t>标段：</w:t>
      </w:r>
      <w:r>
        <w:rPr>
          <w:rFonts w:hint="eastAsia" w:ascii="宋体" w:hAnsi="宋体" w:eastAsia="宋体" w:cs="宋体"/>
          <w:sz w:val="24"/>
          <w:szCs w:val="24"/>
          <w:lang w:val="en-US" w:eastAsia="zh-CN"/>
        </w:rPr>
        <w:t>开展测雨雷达建设地质地形勘察、站点选址、施工设计及工程量清单、后续设计交底、变更服务及专题报告编制（包括但不限于环评、水保、林评等），协助招标人开展用地、环评、水保、无线电频率使用许可等相关审批手续办理</w:t>
      </w:r>
    </w:p>
    <w:bookmarkEnd w:id="8"/>
    <w:bookmarkEnd w:id="9"/>
    <w:p w14:paraId="41FFD4F7">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2" w:firstLineChars="200"/>
        <w:textAlignment w:val="auto"/>
        <w:outlineLvl w:val="9"/>
        <w:rPr>
          <w:rFonts w:hint="eastAsia" w:cs="宋体"/>
          <w:b/>
          <w:color w:val="auto"/>
          <w:sz w:val="24"/>
          <w:szCs w:val="24"/>
          <w:lang w:val="en-US" w:eastAsia="zh-CN"/>
        </w:rPr>
      </w:pPr>
      <w:r>
        <w:rPr>
          <w:rFonts w:hint="eastAsia" w:cs="宋体"/>
          <w:b/>
          <w:color w:val="auto"/>
          <w:sz w:val="24"/>
          <w:szCs w:val="24"/>
          <w:lang w:val="en-US" w:eastAsia="zh-CN"/>
        </w:rPr>
        <w:t>相关要求及依据</w:t>
      </w:r>
    </w:p>
    <w:p w14:paraId="20D2C1F2">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（1）法律法规</w:t>
      </w:r>
    </w:p>
    <w:p w14:paraId="3208BAFF">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1）《中华人民共和国水法》（主席令第48号，2016年修订）；</w:t>
      </w:r>
    </w:p>
    <w:p w14:paraId="621ABE21">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2）《中华人民共和国防洪法》（主席令第88号，2009年修订）。</w:t>
      </w:r>
    </w:p>
    <w:p w14:paraId="2A001834">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）技术标准</w:t>
      </w:r>
    </w:p>
    <w:p w14:paraId="47AE097F">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《水利测雨雷达系统建设与应用技术要求（试行）》</w:t>
      </w:r>
      <w:r>
        <w:rPr>
          <w:rFonts w:hint="eastAsia" w:ascii="宋体" w:hAnsi="宋体" w:cs="宋体"/>
          <w:sz w:val="24"/>
          <w:szCs w:val="24"/>
          <w:lang w:val="en-US" w:eastAsia="zh-CN"/>
        </w:rPr>
        <w:t>；</w:t>
      </w:r>
    </w:p>
    <w:p w14:paraId="7AAF34C2">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《水利业务“四预”基本技术要求（试行）》</w:t>
      </w:r>
      <w:r>
        <w:rPr>
          <w:rFonts w:hint="eastAsia" w:ascii="宋体" w:hAnsi="宋体" w:cs="宋体"/>
          <w:sz w:val="24"/>
          <w:szCs w:val="24"/>
          <w:lang w:val="en-US" w:eastAsia="zh-CN"/>
        </w:rPr>
        <w:t>；</w:t>
      </w:r>
    </w:p>
    <w:p w14:paraId="2E87FEB3">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《中华人民共和国民用航空法》</w:t>
      </w:r>
      <w:r>
        <w:rPr>
          <w:rFonts w:hint="eastAsia" w:ascii="宋体" w:hAnsi="宋体" w:cs="宋体"/>
          <w:sz w:val="24"/>
          <w:szCs w:val="24"/>
          <w:lang w:val="en-US" w:eastAsia="zh-CN"/>
        </w:rPr>
        <w:t>；</w:t>
      </w:r>
    </w:p>
    <w:p w14:paraId="3242D532">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《建筑物防雷设计规范》（GB 50057-2010）</w:t>
      </w:r>
      <w:r>
        <w:rPr>
          <w:rFonts w:hint="eastAsia" w:ascii="宋体" w:hAnsi="宋体" w:cs="宋体"/>
          <w:sz w:val="24"/>
          <w:szCs w:val="24"/>
          <w:lang w:val="en-US" w:eastAsia="zh-CN"/>
        </w:rPr>
        <w:t>；</w:t>
      </w:r>
    </w:p>
    <w:p w14:paraId="48F9B388">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《电磁辐射防护规定》（GB 8702-1988）</w:t>
      </w:r>
      <w:r>
        <w:rPr>
          <w:rFonts w:hint="eastAsia" w:ascii="宋体" w:hAnsi="宋体" w:cs="宋体"/>
          <w:sz w:val="24"/>
          <w:szCs w:val="24"/>
          <w:lang w:val="en-US" w:eastAsia="zh-CN"/>
        </w:rPr>
        <w:t>；</w:t>
      </w:r>
    </w:p>
    <w:p w14:paraId="2E69567A">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《作业场所微波辐射卫生标准》（GB 10436-89）</w:t>
      </w:r>
      <w:r>
        <w:rPr>
          <w:rFonts w:hint="eastAsia" w:ascii="宋体" w:hAnsi="宋体" w:cs="宋体"/>
          <w:sz w:val="24"/>
          <w:szCs w:val="24"/>
          <w:lang w:val="en-US" w:eastAsia="zh-CN"/>
        </w:rPr>
        <w:t>；</w:t>
      </w:r>
    </w:p>
    <w:p w14:paraId="1A2759A5">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《地面雷达结构设计通用要求》（SJ 20630-1997）</w:t>
      </w:r>
      <w:r>
        <w:rPr>
          <w:rFonts w:hint="eastAsia" w:ascii="宋体" w:hAnsi="宋体" w:cs="宋体"/>
          <w:sz w:val="24"/>
          <w:szCs w:val="24"/>
          <w:lang w:val="en-US" w:eastAsia="zh-CN"/>
        </w:rPr>
        <w:t>；</w:t>
      </w:r>
    </w:p>
    <w:p w14:paraId="72A6C1D1">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《装备可靠性工作通用要求》（GJB 450A-2004）</w:t>
      </w:r>
      <w:r>
        <w:rPr>
          <w:rFonts w:hint="eastAsia" w:ascii="宋体" w:hAnsi="宋体" w:cs="宋体"/>
          <w:sz w:val="24"/>
          <w:szCs w:val="24"/>
          <w:lang w:val="en-US" w:eastAsia="zh-CN"/>
        </w:rPr>
        <w:t>；</w:t>
      </w:r>
    </w:p>
    <w:p w14:paraId="02665595">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《数字孪生流域共建共享管理办法（试行）》（水信息〔2022〕146号）</w:t>
      </w:r>
      <w:r>
        <w:rPr>
          <w:rFonts w:hint="eastAsia" w:ascii="宋体" w:hAnsi="宋体" w:cs="宋体"/>
          <w:sz w:val="24"/>
          <w:szCs w:val="24"/>
          <w:lang w:val="en-US" w:eastAsia="zh-CN"/>
        </w:rPr>
        <w:t>；</w:t>
      </w:r>
    </w:p>
    <w:p w14:paraId="2AEDE2E9">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《数字孪生流域建设技术大纲（试行）》（水信息〔2022〕147号）</w:t>
      </w:r>
      <w:r>
        <w:rPr>
          <w:rFonts w:hint="eastAsia" w:ascii="宋体" w:hAnsi="宋体" w:cs="宋体"/>
          <w:sz w:val="24"/>
          <w:szCs w:val="24"/>
          <w:lang w:val="en-US" w:eastAsia="zh-CN"/>
        </w:rPr>
        <w:t>；</w:t>
      </w:r>
    </w:p>
    <w:p w14:paraId="0326DDD1">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11）</w:t>
      </w:r>
      <w:r>
        <w:rPr>
          <w:rFonts w:hint="eastAsia" w:ascii="宋体" w:hAnsi="宋体" w:eastAsia="宋体" w:cs="宋体"/>
          <w:sz w:val="24"/>
          <w:szCs w:val="24"/>
          <w:lang w:val="en-US" w:eastAsia="zh-CN"/>
        </w:rPr>
        <w:t>《数字孪生水利工程建设技术导则（试行）》（水信息〔2022〕148号）</w:t>
      </w:r>
      <w:r>
        <w:rPr>
          <w:rFonts w:hint="eastAsia" w:ascii="宋体" w:hAnsi="宋体" w:cs="宋体"/>
          <w:sz w:val="24"/>
          <w:szCs w:val="24"/>
          <w:lang w:val="en-US" w:eastAsia="zh-CN"/>
        </w:rPr>
        <w:t>；</w:t>
      </w:r>
    </w:p>
    <w:p w14:paraId="36AF88C6">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12）</w:t>
      </w:r>
      <w:r>
        <w:rPr>
          <w:rFonts w:hint="eastAsia" w:ascii="宋体" w:hAnsi="宋体" w:eastAsia="宋体" w:cs="宋体"/>
          <w:sz w:val="24"/>
          <w:szCs w:val="24"/>
          <w:lang w:val="en-US" w:eastAsia="zh-CN"/>
        </w:rPr>
        <w:t>《数字孪生水网建设技术导则（试行）》（水信息〔2022〕397号）</w:t>
      </w:r>
      <w:r>
        <w:rPr>
          <w:rFonts w:hint="eastAsia" w:ascii="宋体" w:hAnsi="宋体" w:eastAsia="宋体" w:cs="宋体"/>
          <w:sz w:val="24"/>
          <w:szCs w:val="24"/>
          <w:lang w:val="en-US" w:eastAsia="zh-CN"/>
        </w:rPr>
        <w:t>10）</w:t>
      </w:r>
      <w:r>
        <w:rPr>
          <w:rFonts w:hint="eastAsia" w:ascii="宋体" w:hAnsi="宋体" w:cs="宋体"/>
          <w:sz w:val="24"/>
          <w:szCs w:val="24"/>
          <w:lang w:val="en-US" w:eastAsia="zh-CN"/>
        </w:rPr>
        <w:t>；</w:t>
      </w:r>
    </w:p>
    <w:p w14:paraId="05C7421C">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13）</w:t>
      </w:r>
      <w:r>
        <w:rPr>
          <w:rFonts w:hint="eastAsia" w:ascii="宋体" w:hAnsi="宋体" w:eastAsia="宋体" w:cs="宋体"/>
          <w:sz w:val="24"/>
          <w:szCs w:val="24"/>
          <w:lang w:val="en-US" w:eastAsia="zh-CN"/>
        </w:rPr>
        <w:t>《水利部办公厅关于印发《水利工程建设项目法人工作手册（2023版）》的通知》（办建设函〔2023〕1292号）；</w:t>
      </w:r>
    </w:p>
    <w:p w14:paraId="66A60B1D">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水利测雨雷达</w:t>
      </w:r>
      <w:r>
        <w:rPr>
          <w:rFonts w:hint="eastAsia" w:ascii="宋体" w:hAnsi="宋体" w:eastAsia="宋体" w:cs="宋体"/>
          <w:sz w:val="24"/>
          <w:szCs w:val="24"/>
          <w:lang w:val="en-US" w:eastAsia="zh-CN"/>
        </w:rPr>
        <w:t>项目相关的最新标准、技术要求等。</w:t>
      </w:r>
    </w:p>
    <w:p w14:paraId="56E20646">
      <w:pPr>
        <w:pStyle w:val="5"/>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w:t>
      </w:r>
      <w:r>
        <w:rPr>
          <w:rFonts w:hint="eastAsia" w:cs="宋体"/>
          <w:b/>
          <w:color w:val="auto"/>
          <w:sz w:val="24"/>
          <w:szCs w:val="24"/>
          <w:lang w:val="en-US" w:eastAsia="zh-CN"/>
        </w:rPr>
        <w:t>实施目标</w:t>
      </w:r>
    </w:p>
    <w:p w14:paraId="497F9C5B">
      <w:pPr>
        <w:pageBreakBefore w:val="0"/>
        <w:kinsoku/>
        <w:topLinePunct w:val="0"/>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水利测雨雷达系统建设与应用技术要求（试行）》的要求，在北洛河及延河上游流域重点降雨区域建设6部水利测雨雷达，构建一张覆盖探测区域内0-2公里近地层空域的水利雷达面雨量监测和预报预警系统，发挥水利测雨雷达观测精度高、扫描速度快、探测覆盖盲区少等综合优势，为突发性山洪灾害、城市洪涝以及中小流域生态降水监测提供定量及时的区域面雨量信息，全面提升流</w:t>
      </w:r>
      <w:bookmarkStart w:id="10" w:name="_GoBack"/>
      <w:bookmarkEnd w:id="10"/>
      <w:r>
        <w:rPr>
          <w:rFonts w:hint="eastAsia" w:ascii="宋体" w:hAnsi="宋体" w:eastAsia="宋体" w:cs="宋体"/>
          <w:sz w:val="24"/>
          <w:szCs w:val="24"/>
          <w:lang w:val="en-US" w:eastAsia="zh-CN"/>
        </w:rPr>
        <w:t>域水旱灾害监测预报预警能力，为防汛抗旱减灾水资源管理和保护、水生态文明建设和经济社会发展提供可靠支撑。</w:t>
      </w:r>
    </w:p>
    <w:p w14:paraId="022214FE">
      <w:pPr>
        <w:pStyle w:val="5"/>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rPr>
        <w:t>主要成果</w:t>
      </w:r>
    </w:p>
    <w:p w14:paraId="67B0AF42">
      <w:pPr>
        <w:pageBreakBefore w:val="0"/>
        <w:kinsoku/>
        <w:topLinePunct w:val="0"/>
        <w:bidi w:val="0"/>
        <w:spacing w:line="360"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形成</w:t>
      </w:r>
      <w:r>
        <w:rPr>
          <w:rFonts w:hint="eastAsia" w:ascii="宋体" w:hAnsi="宋体" w:eastAsia="宋体" w:cs="宋体"/>
          <w:sz w:val="24"/>
          <w:szCs w:val="24"/>
          <w:lang w:val="en-US" w:eastAsia="zh-CN"/>
        </w:rPr>
        <w:t>测雨雷达建设</w:t>
      </w:r>
      <w:r>
        <w:rPr>
          <w:rFonts w:hint="eastAsia" w:ascii="宋体" w:hAnsi="宋体" w:cs="宋体"/>
          <w:sz w:val="24"/>
          <w:szCs w:val="24"/>
          <w:lang w:val="en-US" w:eastAsia="zh-CN"/>
        </w:rPr>
        <w:t>各类</w:t>
      </w:r>
      <w:r>
        <w:rPr>
          <w:rFonts w:hint="eastAsia" w:ascii="宋体" w:hAnsi="宋体" w:eastAsia="宋体" w:cs="宋体"/>
          <w:sz w:val="24"/>
          <w:szCs w:val="24"/>
          <w:lang w:val="en-US" w:eastAsia="zh-CN"/>
        </w:rPr>
        <w:t>勘察</w:t>
      </w:r>
      <w:r>
        <w:rPr>
          <w:rFonts w:hint="eastAsia" w:ascii="宋体" w:hAnsi="宋体" w:cs="宋体"/>
          <w:sz w:val="24"/>
          <w:szCs w:val="24"/>
          <w:lang w:val="en-US" w:eastAsia="zh-CN"/>
        </w:rPr>
        <w:t>报告、</w:t>
      </w:r>
      <w:r>
        <w:rPr>
          <w:rFonts w:hint="eastAsia" w:ascii="宋体" w:hAnsi="宋体" w:eastAsia="宋体" w:cs="宋体"/>
          <w:sz w:val="24"/>
          <w:szCs w:val="24"/>
          <w:lang w:val="en-US" w:eastAsia="zh-CN"/>
        </w:rPr>
        <w:t>施工</w:t>
      </w:r>
      <w:r>
        <w:rPr>
          <w:rFonts w:hint="eastAsia" w:ascii="宋体" w:hAnsi="宋体" w:cs="宋体"/>
          <w:sz w:val="24"/>
          <w:szCs w:val="24"/>
          <w:lang w:val="en-US" w:eastAsia="zh-CN"/>
        </w:rPr>
        <w:t>图、</w:t>
      </w:r>
      <w:r>
        <w:rPr>
          <w:rFonts w:hint="eastAsia" w:ascii="宋体" w:hAnsi="宋体" w:eastAsia="宋体" w:cs="宋体"/>
          <w:sz w:val="24"/>
          <w:szCs w:val="24"/>
          <w:lang w:val="en-US" w:eastAsia="zh-CN"/>
        </w:rPr>
        <w:t>专题报告</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工程量清单</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后续设计交底服务</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协助招标人开展用地、环评、水保、无线电频率使用许可等相关审批手续办理。</w:t>
      </w:r>
    </w:p>
    <w:bookmarkEnd w:id="6"/>
    <w:bookmarkEnd w:id="7"/>
    <w:p w14:paraId="24E03C6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20A0A"/>
    <w:multiLevelType w:val="singleLevel"/>
    <w:tmpl w:val="B2B20A0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ODFiMWJhZTAyNmY2ZTcwYzcxYjFiNWFlNTMyNmYifQ=="/>
  </w:docVars>
  <w:rsids>
    <w:rsidRoot w:val="00000000"/>
    <w:rsid w:val="0D576F5E"/>
    <w:rsid w:val="17BA3846"/>
    <w:rsid w:val="22A55C69"/>
    <w:rsid w:val="23AA1642"/>
    <w:rsid w:val="26AC3A6A"/>
    <w:rsid w:val="3067146C"/>
    <w:rsid w:val="359A7ED8"/>
    <w:rsid w:val="3CA54D8C"/>
    <w:rsid w:val="485338EE"/>
    <w:rsid w:val="4D8857C6"/>
    <w:rsid w:val="500A7F88"/>
    <w:rsid w:val="523B4C65"/>
    <w:rsid w:val="5F103E8F"/>
    <w:rsid w:val="79D04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Lines="0" w:afterLines="0"/>
      <w:outlineLvl w:val="3"/>
    </w:pPr>
    <w:rPr>
      <w:rFonts w:hint="eastAsia" w:ascii="Arial" w:hAnsi="Arial"/>
      <w:b/>
      <w:sz w:val="32"/>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240" w:lineRule="auto"/>
      <w:ind w:firstLine="200" w:firstLineChars="200"/>
    </w:pPr>
    <w:rPr>
      <w:rFonts w:eastAsia="仿宋_GB2312"/>
      <w:kern w:val="0"/>
      <w:sz w:val="20"/>
      <w:szCs w:val="20"/>
    </w:rPr>
  </w:style>
  <w:style w:type="paragraph" w:styleId="4">
    <w:name w:val="Body Text"/>
    <w:basedOn w:val="1"/>
    <w:qFormat/>
    <w:uiPriority w:val="0"/>
    <w:pPr>
      <w:autoSpaceDE w:val="0"/>
      <w:autoSpaceDN w:val="0"/>
      <w:spacing w:before="177" w:line="240" w:lineRule="auto"/>
      <w:ind w:left="0"/>
      <w:jc w:val="left"/>
    </w:pPr>
    <w:rPr>
      <w:rFonts w:ascii="宋体" w:hAnsi="宋体" w:cs="宋体"/>
      <w:kern w:val="0"/>
      <w:sz w:val="24"/>
      <w:szCs w:val="24"/>
      <w:lang w:val="zh-CN" w:bidi="zh-CN"/>
    </w:rPr>
  </w:style>
  <w:style w:type="paragraph" w:styleId="5">
    <w:name w:val="Body Text 2"/>
    <w:basedOn w:val="1"/>
    <w:qFormat/>
    <w:uiPriority w:val="0"/>
    <w:pPr>
      <w:adjustRightInd w:val="0"/>
      <w:snapToGrid w:val="0"/>
      <w:spacing w:line="480" w:lineRule="atLeast"/>
    </w:pPr>
    <w:rPr>
      <w:rFonts w:ascii="宋体" w:hAnsi="宋体"/>
      <w:sz w:val="28"/>
    </w:rPr>
  </w:style>
  <w:style w:type="paragraph" w:customStyle="1" w:styleId="8">
    <w:name w:val="_Style 1"/>
    <w:qFormat/>
    <w:uiPriority w:val="0"/>
    <w:pPr>
      <w:widowControl w:val="0"/>
      <w:jc w:val="both"/>
    </w:pPr>
    <w:rPr>
      <w:rFonts w:ascii="仿宋" w:hAnsi="仿宋" w:eastAsia="仿宋"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1988</Words>
  <Characters>2133</Characters>
  <Lines>0</Lines>
  <Paragraphs>0</Paragraphs>
  <TotalTime>4</TotalTime>
  <ScaleCrop>false</ScaleCrop>
  <LinksUpToDate>false</LinksUpToDate>
  <CharactersWithSpaces>2153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2023-11-23T07:30:00Z</dcterms:created>
  <dc:creator>DELL</dc:creator>
  <cp:lastModifiedBy>abcdefg</cp:lastModifiedBy>
  <dcterms:modified xsi:type="dcterms:W3CDTF">2026-03-11T02:17:26Z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4F3A63CF6BB845E2964883254CF36CAB_12</vt:lpwstr>
  </property>
  <property fmtid="{D5CDD505-2E9C-101B-9397-08002B2CF9AE}" pid="4" name="KSOTemplateDocerSaveRecord">
    <vt:lpwstr>eyJoZGlkIjoiNmI2ZjIyNzAyMDMwNzdiYjU1NWM5NTU0MGUzNTIwNGUiLCJ1c2VySWQiOiIxMDQ2MDM0Nzk4In0=</vt:lpwstr>
  </property>
</Properties>
</file>