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tabs>
          <w:tab w:val="left" w:pos="0"/>
        </w:tabs>
        <w:kinsoku/>
        <w:wordWrap/>
        <w:overflowPunct/>
        <w:topLinePunct w:val="0"/>
        <w:autoSpaceDE w:val="0"/>
        <w:autoSpaceDN w:val="0"/>
        <w:bidi w:val="0"/>
        <w:adjustRightInd w:val="0"/>
        <w:snapToGrid/>
        <w:spacing w:before="0" w:after="0" w:line="540" w:lineRule="exact"/>
        <w:ind w:right="-483" w:rightChars="-230"/>
        <w:jc w:val="center"/>
        <w:textAlignment w:val="auto"/>
        <w:rPr>
          <w:rFonts w:ascii="华文中宋" w:hAnsi="华文中宋" w:eastAsia="华文中宋"/>
          <w:color w:val="000000" w:themeColor="text1"/>
        </w:rPr>
      </w:pPr>
      <w:r>
        <w:rPr>
          <w:rFonts w:hint="eastAsia" w:ascii="华文中宋" w:hAnsi="华文中宋" w:eastAsia="华文中宋"/>
          <w:color w:val="000000" w:themeColor="text1"/>
        </w:rPr>
        <w:t>关于西安市消防救援支队曲江大队芙蓉西路消防救援站家具采购项目的成交结果公告</w:t>
      </w:r>
    </w:p>
    <w:p>
      <w:pPr>
        <w:pageBreakBefore w:val="0"/>
        <w:widowControl w:val="0"/>
        <w:kinsoku/>
        <w:wordWrap/>
        <w:overflowPunct/>
        <w:topLinePunct w:val="0"/>
        <w:bidi w:val="0"/>
        <w:snapToGrid/>
        <w:spacing w:line="540" w:lineRule="exact"/>
        <w:textAlignment w:val="auto"/>
        <w:rPr>
          <w:rFonts w:hint="eastAsia" w:ascii="黑体" w:hAnsi="黑体" w:eastAsia="黑体"/>
          <w:color w:val="000000" w:themeColor="text1"/>
          <w:sz w:val="28"/>
          <w:szCs w:val="28"/>
        </w:rPr>
      </w:pPr>
      <w:bookmarkStart w:id="0" w:name="OLE_LINK1"/>
      <w:bookmarkStart w:id="1" w:name="OLE_LINK4"/>
      <w:bookmarkStart w:id="2" w:name="OLE_LINK5"/>
      <w:bookmarkStart w:id="3" w:name="OLE_LINK3"/>
      <w:bookmarkStart w:id="4" w:name="OLE_LINK2"/>
    </w:p>
    <w:p>
      <w:pPr>
        <w:pageBreakBefore w:val="0"/>
        <w:widowControl w:val="0"/>
        <w:kinsoku/>
        <w:wordWrap/>
        <w:overflowPunct/>
        <w:topLinePunct w:val="0"/>
        <w:bidi w:val="0"/>
        <w:snapToGrid/>
        <w:spacing w:line="540" w:lineRule="exact"/>
        <w:textAlignment w:val="auto"/>
        <w:rPr>
          <w:rFonts w:hint="default" w:ascii="仿宋" w:hAnsi="仿宋" w:eastAsia="仿宋"/>
          <w:color w:val="000000" w:themeColor="text1"/>
          <w:sz w:val="28"/>
          <w:szCs w:val="28"/>
          <w:lang w:val="en-US" w:eastAsia="zh-CN"/>
        </w:rPr>
      </w:pPr>
      <w:r>
        <w:rPr>
          <w:rFonts w:hint="eastAsia" w:ascii="黑体" w:hAnsi="黑体" w:eastAsia="黑体"/>
          <w:color w:val="000000" w:themeColor="text1"/>
          <w:sz w:val="28"/>
          <w:szCs w:val="28"/>
        </w:rPr>
        <w:t>一、项目编号：</w:t>
      </w:r>
      <w:r>
        <w:rPr>
          <w:rFonts w:hint="eastAsia" w:ascii="仿宋" w:hAnsi="仿宋" w:eastAsia="仿宋"/>
          <w:color w:val="000000" w:themeColor="text1"/>
          <w:sz w:val="28"/>
          <w:szCs w:val="28"/>
        </w:rPr>
        <w:t>XCZX2025-0191-2</w:t>
      </w:r>
    </w:p>
    <w:p>
      <w:pPr>
        <w:pageBreakBefore w:val="0"/>
        <w:widowControl w:val="0"/>
        <w:kinsoku/>
        <w:wordWrap/>
        <w:overflowPunct/>
        <w:topLinePunct w:val="0"/>
        <w:bidi w:val="0"/>
        <w:snapToGrid/>
        <w:spacing w:line="540" w:lineRule="exact"/>
        <w:ind w:firstLine="560" w:firstLineChars="200"/>
        <w:textAlignment w:val="auto"/>
        <w:rPr>
          <w:rFonts w:hint="eastAsia" w:ascii="仿宋" w:hAnsi="仿宋" w:eastAsia="仿宋"/>
          <w:color w:val="000000" w:themeColor="text1"/>
          <w:sz w:val="28"/>
          <w:szCs w:val="28"/>
        </w:rPr>
      </w:pPr>
      <w:r>
        <w:rPr>
          <w:rFonts w:hint="eastAsia" w:ascii="黑体" w:hAnsi="黑体" w:eastAsia="黑体"/>
          <w:color w:val="000000" w:themeColor="text1"/>
          <w:sz w:val="28"/>
          <w:szCs w:val="28"/>
        </w:rPr>
        <w:t>备案编号：</w:t>
      </w:r>
      <w:r>
        <w:rPr>
          <w:rFonts w:hint="eastAsia" w:ascii="仿宋" w:hAnsi="仿宋" w:eastAsia="仿宋"/>
          <w:color w:val="000000" w:themeColor="text1"/>
          <w:sz w:val="28"/>
          <w:szCs w:val="28"/>
        </w:rPr>
        <w:t>ZCSP-西安市-2025-00974</w:t>
      </w:r>
    </w:p>
    <w:p>
      <w:pPr>
        <w:pageBreakBefore w:val="0"/>
        <w:widowControl w:val="0"/>
        <w:numPr>
          <w:ilvl w:val="0"/>
          <w:numId w:val="0"/>
        </w:numPr>
        <w:kinsoku/>
        <w:wordWrap/>
        <w:overflowPunct/>
        <w:topLinePunct w:val="0"/>
        <w:bidi w:val="0"/>
        <w:snapToGrid/>
        <w:spacing w:line="540" w:lineRule="exact"/>
        <w:textAlignment w:val="auto"/>
        <w:rPr>
          <w:rFonts w:hint="eastAsia" w:ascii="仿宋" w:hAnsi="仿宋" w:eastAsia="仿宋"/>
          <w:color w:val="000000" w:themeColor="text1"/>
          <w:sz w:val="28"/>
          <w:szCs w:val="28"/>
        </w:rPr>
      </w:pPr>
      <w:r>
        <w:rPr>
          <w:rFonts w:hint="eastAsia" w:ascii="黑体" w:hAnsi="黑体" w:eastAsia="黑体"/>
          <w:color w:val="000000" w:themeColor="text1"/>
          <w:sz w:val="28"/>
          <w:szCs w:val="28"/>
          <w:lang w:val="en-US" w:eastAsia="zh-CN"/>
        </w:rPr>
        <w:t>二、</w:t>
      </w:r>
      <w:r>
        <w:rPr>
          <w:rFonts w:hint="eastAsia" w:ascii="黑体" w:hAnsi="黑体" w:eastAsia="黑体"/>
          <w:color w:val="000000" w:themeColor="text1"/>
          <w:sz w:val="28"/>
          <w:szCs w:val="28"/>
        </w:rPr>
        <w:t>项目名称：</w:t>
      </w:r>
      <w:r>
        <w:rPr>
          <w:rFonts w:hint="eastAsia" w:ascii="仿宋" w:hAnsi="仿宋" w:eastAsia="仿宋"/>
          <w:color w:val="000000" w:themeColor="text1"/>
          <w:sz w:val="28"/>
          <w:szCs w:val="28"/>
        </w:rPr>
        <w:t>西安市消防救援支队曲江大队芙蓉西路消防救援站家具采购项目</w:t>
      </w:r>
    </w:p>
    <w:p>
      <w:pPr>
        <w:pageBreakBefore w:val="0"/>
        <w:widowControl w:val="0"/>
        <w:numPr>
          <w:ilvl w:val="0"/>
          <w:numId w:val="0"/>
        </w:numPr>
        <w:kinsoku/>
        <w:wordWrap/>
        <w:overflowPunct/>
        <w:topLinePunct w:val="0"/>
        <w:bidi w:val="0"/>
        <w:snapToGrid/>
        <w:spacing w:line="540" w:lineRule="exact"/>
        <w:textAlignment w:val="auto"/>
        <w:rPr>
          <w:rFonts w:ascii="黑体" w:hAnsi="黑体" w:eastAsia="黑体"/>
          <w:color w:val="000000" w:themeColor="text1"/>
          <w:sz w:val="28"/>
          <w:szCs w:val="28"/>
        </w:rPr>
      </w:pPr>
      <w:r>
        <w:rPr>
          <w:rFonts w:hint="eastAsia" w:ascii="黑体" w:hAnsi="黑体" w:eastAsia="黑体"/>
          <w:color w:val="000000" w:themeColor="text1"/>
          <w:sz w:val="28"/>
          <w:szCs w:val="28"/>
          <w:lang w:val="en-US" w:eastAsia="zh-CN"/>
        </w:rPr>
        <w:t>三、</w:t>
      </w:r>
      <w:r>
        <w:rPr>
          <w:rFonts w:hint="eastAsia" w:ascii="黑体" w:hAnsi="黑体" w:eastAsia="黑体"/>
          <w:color w:val="000000" w:themeColor="text1"/>
          <w:sz w:val="28"/>
          <w:szCs w:val="28"/>
        </w:rPr>
        <w:t>成交信息</w:t>
      </w:r>
    </w:p>
    <w:p>
      <w:pPr>
        <w:pageBreakBefore w:val="0"/>
        <w:widowControl w:val="0"/>
        <w:kinsoku/>
        <w:wordWrap/>
        <w:overflowPunct/>
        <w:topLinePunct w:val="0"/>
        <w:bidi w:val="0"/>
        <w:snapToGrid/>
        <w:spacing w:line="540" w:lineRule="exact"/>
        <w:ind w:firstLine="560" w:firstLineChars="200"/>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lang w:val="en-US" w:eastAsia="zh-CN"/>
        </w:rPr>
        <w:t>供应商</w:t>
      </w:r>
      <w:r>
        <w:rPr>
          <w:rFonts w:hint="eastAsia" w:ascii="仿宋" w:hAnsi="仿宋" w:eastAsia="仿宋"/>
          <w:color w:val="000000" w:themeColor="text1"/>
          <w:sz w:val="28"/>
          <w:szCs w:val="28"/>
        </w:rPr>
        <w:t>名称:</w:t>
      </w:r>
      <w:r>
        <w:rPr>
          <w:rFonts w:ascii="仿宋" w:hAnsi="仿宋" w:eastAsia="仿宋"/>
          <w:color w:val="000000" w:themeColor="text1"/>
          <w:sz w:val="28"/>
          <w:szCs w:val="28"/>
        </w:rPr>
        <w:t xml:space="preserve"> </w:t>
      </w:r>
      <w:r>
        <w:rPr>
          <w:rFonts w:hint="eastAsia" w:ascii="仿宋" w:hAnsi="仿宋" w:eastAsia="仿宋"/>
          <w:color w:val="000000" w:themeColor="text1"/>
          <w:sz w:val="28"/>
          <w:szCs w:val="28"/>
        </w:rPr>
        <w:t>陕西蓝美家具装饰有限公司</w:t>
      </w:r>
    </w:p>
    <w:p>
      <w:pPr>
        <w:pageBreakBefore w:val="0"/>
        <w:widowControl w:val="0"/>
        <w:kinsoku/>
        <w:wordWrap/>
        <w:overflowPunct/>
        <w:topLinePunct w:val="0"/>
        <w:bidi w:val="0"/>
        <w:snapToGrid/>
        <w:spacing w:line="540" w:lineRule="exact"/>
        <w:ind w:firstLine="560" w:firstLineChars="200"/>
        <w:textAlignment w:val="auto"/>
        <w:rPr>
          <w:rFonts w:hint="eastAsia" w:ascii="仿宋" w:hAnsi="仿宋" w:eastAsia="仿宋"/>
          <w:color w:val="000000" w:themeColor="text1"/>
          <w:sz w:val="28"/>
          <w:szCs w:val="28"/>
          <w:lang w:eastAsia="zh-CN"/>
        </w:rPr>
      </w:pPr>
      <w:r>
        <w:rPr>
          <w:rFonts w:hint="eastAsia" w:ascii="仿宋" w:hAnsi="仿宋" w:eastAsia="仿宋"/>
          <w:color w:val="000000" w:themeColor="text1"/>
          <w:sz w:val="28"/>
          <w:szCs w:val="28"/>
          <w:lang w:val="en-US" w:eastAsia="zh-CN"/>
        </w:rPr>
        <w:t>成交</w:t>
      </w:r>
      <w:r>
        <w:rPr>
          <w:rFonts w:hint="eastAsia" w:ascii="仿宋" w:hAnsi="仿宋" w:eastAsia="仿宋"/>
          <w:color w:val="000000" w:themeColor="text1"/>
          <w:sz w:val="28"/>
          <w:szCs w:val="28"/>
        </w:rPr>
        <w:t>金额：496000.00</w:t>
      </w:r>
      <w:r>
        <w:rPr>
          <w:rFonts w:hint="eastAsia" w:ascii="仿宋" w:hAnsi="仿宋" w:eastAsia="仿宋"/>
          <w:color w:val="000000" w:themeColor="text1"/>
          <w:sz w:val="28"/>
          <w:szCs w:val="28"/>
          <w:lang w:eastAsia="zh-CN"/>
        </w:rPr>
        <w:t>元</w:t>
      </w:r>
    </w:p>
    <w:p>
      <w:pPr>
        <w:pageBreakBefore w:val="0"/>
        <w:widowControl w:val="0"/>
        <w:kinsoku/>
        <w:wordWrap/>
        <w:overflowPunct/>
        <w:topLinePunct w:val="0"/>
        <w:bidi w:val="0"/>
        <w:snapToGrid/>
        <w:spacing w:line="540" w:lineRule="exact"/>
        <w:ind w:firstLine="560" w:firstLineChars="200"/>
        <w:jc w:val="both"/>
        <w:textAlignment w:val="auto"/>
        <w:rPr>
          <w:rFonts w:hint="default" w:ascii="仿宋" w:hAnsi="仿宋" w:eastAsia="仿宋"/>
          <w:color w:val="000000" w:themeColor="text1"/>
          <w:sz w:val="28"/>
          <w:szCs w:val="28"/>
          <w:lang w:val="en-US" w:eastAsia="zh-CN"/>
        </w:rPr>
      </w:pPr>
      <w:r>
        <w:rPr>
          <w:rFonts w:hint="eastAsia" w:ascii="仿宋" w:hAnsi="仿宋" w:eastAsia="仿宋"/>
          <w:color w:val="000000" w:themeColor="text1"/>
          <w:sz w:val="28"/>
          <w:szCs w:val="28"/>
          <w:lang w:val="en-US" w:eastAsia="zh-CN"/>
        </w:rPr>
        <w:t>供应商</w:t>
      </w:r>
      <w:r>
        <w:rPr>
          <w:rFonts w:hint="eastAsia" w:ascii="仿宋" w:hAnsi="仿宋" w:eastAsia="仿宋"/>
          <w:color w:val="000000" w:themeColor="text1"/>
          <w:sz w:val="28"/>
          <w:szCs w:val="28"/>
        </w:rPr>
        <w:t>地址:陕西省西安市雁塔区科技西路 2825 号绿地鸿海大厦 A 座 2301 室</w:t>
      </w:r>
    </w:p>
    <w:p>
      <w:pPr>
        <w:pageBreakBefore w:val="0"/>
        <w:widowControl w:val="0"/>
        <w:kinsoku/>
        <w:wordWrap/>
        <w:overflowPunct/>
        <w:topLinePunct w:val="0"/>
        <w:bidi w:val="0"/>
        <w:snapToGrid/>
        <w:spacing w:line="540" w:lineRule="exact"/>
        <w:ind w:left="2205" w:leftChars="250" w:hanging="1680" w:hangingChars="600"/>
        <w:textAlignment w:val="auto"/>
        <w:rPr>
          <w:rFonts w:hint="eastAsia" w:ascii="仿宋" w:hAnsi="仿宋" w:eastAsia="仿宋"/>
          <w:color w:val="000000" w:themeColor="text1"/>
          <w:sz w:val="28"/>
          <w:szCs w:val="28"/>
          <w:lang w:val="en-US" w:eastAsia="zh-CN"/>
        </w:rPr>
      </w:pPr>
      <w:r>
        <w:rPr>
          <w:rFonts w:hint="eastAsia" w:ascii="仿宋" w:hAnsi="仿宋" w:eastAsia="仿宋"/>
          <w:color w:val="000000" w:themeColor="text1"/>
          <w:sz w:val="28"/>
          <w:szCs w:val="28"/>
        </w:rPr>
        <w:t>联系人:</w:t>
      </w:r>
      <w:r>
        <w:rPr>
          <w:rFonts w:hint="eastAsia" w:ascii="仿宋" w:hAnsi="仿宋" w:eastAsia="仿宋"/>
          <w:color w:val="000000" w:themeColor="text1"/>
          <w:sz w:val="28"/>
          <w:szCs w:val="28"/>
          <w:lang w:eastAsia="zh-CN"/>
        </w:rPr>
        <w:t>张战卫</w:t>
      </w:r>
    </w:p>
    <w:p>
      <w:pPr>
        <w:pageBreakBefore w:val="0"/>
        <w:widowControl w:val="0"/>
        <w:kinsoku/>
        <w:wordWrap/>
        <w:overflowPunct/>
        <w:topLinePunct w:val="0"/>
        <w:bidi w:val="0"/>
        <w:snapToGrid/>
        <w:spacing w:line="540" w:lineRule="exact"/>
        <w:ind w:left="2205" w:leftChars="250" w:hanging="1680" w:hangingChars="600"/>
        <w:textAlignment w:val="auto"/>
        <w:rPr>
          <w:rFonts w:hint="default" w:ascii="仿宋" w:hAnsi="仿宋" w:eastAsia="仿宋"/>
          <w:color w:val="000000" w:themeColor="text1"/>
          <w:sz w:val="28"/>
          <w:szCs w:val="28"/>
          <w:lang w:val="en-US" w:eastAsia="zh-CN"/>
        </w:rPr>
      </w:pPr>
      <w:r>
        <w:rPr>
          <w:rFonts w:hint="eastAsia" w:ascii="仿宋" w:hAnsi="仿宋" w:eastAsia="仿宋"/>
          <w:color w:val="000000" w:themeColor="text1"/>
          <w:sz w:val="28"/>
          <w:szCs w:val="28"/>
        </w:rPr>
        <w:t>联系方式:18629391153</w:t>
      </w:r>
    </w:p>
    <w:p>
      <w:pPr>
        <w:pageBreakBefore w:val="0"/>
        <w:widowControl w:val="0"/>
        <w:kinsoku/>
        <w:wordWrap/>
        <w:overflowPunct/>
        <w:topLinePunct w:val="0"/>
        <w:bidi w:val="0"/>
        <w:snapToGrid/>
        <w:spacing w:line="540" w:lineRule="exact"/>
        <w:textAlignment w:val="auto"/>
        <w:rPr>
          <w:rFonts w:ascii="黑体" w:hAnsi="黑体" w:eastAsia="黑体"/>
          <w:color w:val="000000" w:themeColor="text1"/>
          <w:sz w:val="28"/>
          <w:szCs w:val="28"/>
        </w:rPr>
      </w:pPr>
      <w:r>
        <w:rPr>
          <w:rFonts w:hint="eastAsia" w:ascii="黑体" w:hAnsi="黑体" w:eastAsia="黑体"/>
          <w:color w:val="000000" w:themeColor="text1"/>
          <w:sz w:val="28"/>
          <w:szCs w:val="28"/>
        </w:rPr>
        <w:t>四、主要标的信息</w:t>
      </w:r>
    </w:p>
    <w:tbl>
      <w:tblPr>
        <w:tblStyle w:val="11"/>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pPr>
              <w:pageBreakBefore w:val="0"/>
              <w:widowControl w:val="0"/>
              <w:kinsoku/>
              <w:wordWrap/>
              <w:overflowPunct/>
              <w:topLinePunct w:val="0"/>
              <w:bidi w:val="0"/>
              <w:snapToGrid/>
              <w:spacing w:line="540" w:lineRule="exact"/>
              <w:jc w:val="center"/>
              <w:textAlignment w:val="auto"/>
              <w:rPr>
                <w:rFonts w:ascii="黑体" w:hAnsi="黑体" w:eastAsia="黑体"/>
                <w:color w:val="000000" w:themeColor="text1"/>
                <w:kern w:val="0"/>
                <w:sz w:val="28"/>
                <w:szCs w:val="28"/>
              </w:rPr>
            </w:pPr>
            <w:r>
              <w:rPr>
                <w:rFonts w:hint="eastAsia" w:ascii="黑体" w:hAnsi="黑体" w:eastAsia="黑体"/>
                <w:color w:val="000000" w:themeColor="text1"/>
                <w:kern w:val="0"/>
                <w:sz w:val="28"/>
                <w:szCs w:val="28"/>
                <w:lang w:eastAsia="zh-CN"/>
              </w:rPr>
              <w:t>货物</w:t>
            </w:r>
            <w:r>
              <w:rPr>
                <w:rFonts w:hint="eastAsia" w:ascii="黑体" w:hAnsi="黑体" w:eastAsia="黑体"/>
                <w:color w:val="000000" w:themeColor="text1"/>
                <w:kern w:val="0"/>
                <w:sz w:val="28"/>
                <w:szCs w:val="28"/>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pPr>
              <w:pageBreakBefore w:val="0"/>
              <w:widowControl w:val="0"/>
              <w:kinsoku/>
              <w:wordWrap/>
              <w:overflowPunct/>
              <w:topLinePunct w:val="0"/>
              <w:bidi w:val="0"/>
              <w:snapToGrid/>
              <w:spacing w:line="540" w:lineRule="exact"/>
              <w:textAlignment w:val="auto"/>
              <w:rPr>
                <w:rFonts w:ascii="仿宋" w:hAnsi="仿宋" w:eastAsia="仿宋"/>
                <w:color w:val="000000" w:themeColor="text1"/>
                <w:kern w:val="0"/>
                <w:sz w:val="28"/>
                <w:szCs w:val="28"/>
              </w:rPr>
            </w:pPr>
            <w:r>
              <w:rPr>
                <w:rFonts w:hint="eastAsia" w:ascii="仿宋" w:hAnsi="仿宋" w:eastAsia="仿宋"/>
                <w:color w:val="000000" w:themeColor="text1"/>
                <w:kern w:val="0"/>
                <w:sz w:val="28"/>
                <w:szCs w:val="28"/>
                <w:lang w:eastAsia="zh-CN"/>
              </w:rPr>
              <w:t>详见附件。</w:t>
            </w:r>
          </w:p>
        </w:tc>
      </w:tr>
    </w:tbl>
    <w:p>
      <w:pPr>
        <w:pageBreakBefore w:val="0"/>
        <w:widowControl w:val="0"/>
        <w:numPr>
          <w:ilvl w:val="0"/>
          <w:numId w:val="0"/>
        </w:numPr>
        <w:kinsoku/>
        <w:wordWrap/>
        <w:overflowPunct/>
        <w:topLinePunct w:val="0"/>
        <w:bidi w:val="0"/>
        <w:snapToGrid/>
        <w:spacing w:line="540" w:lineRule="exact"/>
        <w:textAlignment w:val="auto"/>
        <w:rPr>
          <w:rFonts w:hint="eastAsia" w:ascii="仿宋" w:hAnsi="仿宋" w:eastAsia="仿宋"/>
          <w:color w:val="000000" w:themeColor="text1"/>
          <w:sz w:val="28"/>
          <w:szCs w:val="28"/>
          <w:lang w:val="en-US" w:eastAsia="zh-CN"/>
        </w:rPr>
      </w:pPr>
      <w:r>
        <w:rPr>
          <w:rFonts w:hint="eastAsia" w:ascii="黑体" w:hAnsi="黑体" w:eastAsia="黑体"/>
          <w:color w:val="000000" w:themeColor="text1"/>
          <w:sz w:val="28"/>
          <w:szCs w:val="28"/>
          <w:lang w:val="en-US" w:eastAsia="zh-CN"/>
        </w:rPr>
        <w:t>五、</w:t>
      </w:r>
      <w:r>
        <w:rPr>
          <w:rFonts w:hint="eastAsia" w:ascii="黑体" w:hAnsi="黑体" w:eastAsia="黑体"/>
          <w:color w:val="000000" w:themeColor="text1"/>
          <w:sz w:val="28"/>
          <w:szCs w:val="28"/>
        </w:rPr>
        <w:t>评审专家名单：</w:t>
      </w:r>
      <w:r>
        <w:rPr>
          <w:rFonts w:hint="eastAsia" w:ascii="仿宋" w:hAnsi="仿宋" w:eastAsia="仿宋"/>
          <w:color w:val="000000" w:themeColor="text1"/>
          <w:sz w:val="28"/>
          <w:szCs w:val="28"/>
          <w:lang w:val="en-US" w:eastAsia="zh-CN"/>
        </w:rPr>
        <w:t>史小娟、樊红琴、李菊萍。</w:t>
      </w:r>
    </w:p>
    <w:p>
      <w:pPr>
        <w:pageBreakBefore w:val="0"/>
        <w:widowControl w:val="0"/>
        <w:numPr>
          <w:ilvl w:val="0"/>
          <w:numId w:val="0"/>
        </w:numPr>
        <w:kinsoku/>
        <w:wordWrap/>
        <w:overflowPunct/>
        <w:topLinePunct w:val="0"/>
        <w:bidi w:val="0"/>
        <w:snapToGrid/>
        <w:spacing w:line="540" w:lineRule="exact"/>
        <w:textAlignment w:val="auto"/>
        <w:rPr>
          <w:rFonts w:ascii="仿宋" w:hAnsi="仿宋" w:eastAsia="仿宋" w:cs="宋体"/>
          <w:color w:val="000000" w:themeColor="text1"/>
          <w:kern w:val="0"/>
          <w:sz w:val="28"/>
          <w:szCs w:val="28"/>
        </w:rPr>
      </w:pPr>
      <w:r>
        <w:rPr>
          <w:rFonts w:hint="eastAsia" w:ascii="黑体" w:hAnsi="黑体" w:eastAsia="黑体"/>
          <w:color w:val="000000" w:themeColor="text1"/>
          <w:sz w:val="28"/>
          <w:szCs w:val="28"/>
        </w:rPr>
        <w:t>六、公告期限：</w:t>
      </w:r>
      <w:r>
        <w:rPr>
          <w:rFonts w:hint="eastAsia" w:ascii="仿宋" w:hAnsi="仿宋" w:eastAsia="仿宋" w:cs="宋体"/>
          <w:color w:val="000000" w:themeColor="text1"/>
          <w:kern w:val="0"/>
          <w:sz w:val="28"/>
          <w:szCs w:val="28"/>
        </w:rPr>
        <w:t>自本公告发布之日起</w:t>
      </w:r>
      <w:r>
        <w:rPr>
          <w:rFonts w:ascii="仿宋" w:hAnsi="仿宋" w:eastAsia="仿宋" w:cs="宋体"/>
          <w:color w:val="000000" w:themeColor="text1"/>
          <w:kern w:val="0"/>
          <w:sz w:val="28"/>
          <w:szCs w:val="28"/>
        </w:rPr>
        <w:t>1</w:t>
      </w:r>
      <w:r>
        <w:rPr>
          <w:rFonts w:hint="eastAsia" w:ascii="仿宋" w:hAnsi="仿宋" w:eastAsia="仿宋" w:cs="宋体"/>
          <w:color w:val="000000" w:themeColor="text1"/>
          <w:kern w:val="0"/>
          <w:sz w:val="28"/>
          <w:szCs w:val="28"/>
        </w:rPr>
        <w:t>个工作日。</w:t>
      </w:r>
    </w:p>
    <w:p>
      <w:pPr>
        <w:pageBreakBefore w:val="0"/>
        <w:widowControl w:val="0"/>
        <w:kinsoku/>
        <w:wordWrap/>
        <w:overflowPunct/>
        <w:topLinePunct w:val="0"/>
        <w:bidi w:val="0"/>
        <w:snapToGrid/>
        <w:spacing w:line="540" w:lineRule="exact"/>
        <w:textAlignment w:val="auto"/>
        <w:rPr>
          <w:rFonts w:hint="eastAsia" w:ascii="仿宋" w:hAnsi="仿宋" w:eastAsia="仿宋" w:cs="宋体"/>
          <w:bCs/>
          <w:sz w:val="28"/>
          <w:szCs w:val="28"/>
        </w:rPr>
      </w:pPr>
      <w:r>
        <w:rPr>
          <w:rFonts w:hint="eastAsia" w:ascii="黑体" w:hAnsi="黑体" w:eastAsia="黑体" w:cs="仿宋"/>
          <w:color w:val="000000" w:themeColor="text1"/>
          <w:sz w:val="28"/>
          <w:szCs w:val="28"/>
        </w:rPr>
        <w:t>七、其他补充事宜</w:t>
      </w:r>
    </w:p>
    <w:p>
      <w:pPr>
        <w:pageBreakBefore w:val="0"/>
        <w:widowControl w:val="0"/>
        <w:kinsoku/>
        <w:wordWrap/>
        <w:overflowPunct/>
        <w:topLinePunct w:val="0"/>
        <w:bidi w:val="0"/>
        <w:snapToGrid/>
        <w:spacing w:line="540" w:lineRule="exact"/>
        <w:ind w:firstLine="560" w:firstLineChars="200"/>
        <w:textAlignment w:val="auto"/>
        <w:rPr>
          <w:rFonts w:hint="default" w:ascii="仿宋" w:hAnsi="仿宋" w:eastAsia="仿宋" w:cs="宋体"/>
          <w:bCs/>
          <w:sz w:val="28"/>
          <w:szCs w:val="28"/>
          <w:lang w:val="en-US" w:eastAsia="zh-CN"/>
        </w:rPr>
      </w:pPr>
      <w:r>
        <w:rPr>
          <w:rFonts w:hint="eastAsia" w:ascii="仿宋" w:hAnsi="仿宋" w:eastAsia="仿宋" w:cs="宋体"/>
          <w:bCs/>
          <w:sz w:val="28"/>
          <w:szCs w:val="28"/>
          <w:lang w:val="en-US" w:eastAsia="zh-CN"/>
        </w:rPr>
        <w:t>1、本项目为专门面向中小企业的采购项目，成交供应商企业性质详见附件。</w:t>
      </w:r>
    </w:p>
    <w:p>
      <w:pPr>
        <w:pageBreakBefore w:val="0"/>
        <w:widowControl w:val="0"/>
        <w:kinsoku/>
        <w:wordWrap/>
        <w:overflowPunct/>
        <w:topLinePunct w:val="0"/>
        <w:bidi w:val="0"/>
        <w:snapToGrid/>
        <w:spacing w:line="540" w:lineRule="exact"/>
        <w:ind w:firstLine="560" w:firstLineChars="200"/>
        <w:textAlignment w:val="auto"/>
        <w:rPr>
          <w:rFonts w:hint="default" w:ascii="仿宋" w:hAnsi="仿宋" w:eastAsia="仿宋" w:cs="宋体"/>
          <w:bCs/>
          <w:sz w:val="28"/>
          <w:szCs w:val="28"/>
          <w:lang w:val="en-US" w:eastAsia="zh-CN"/>
        </w:rPr>
      </w:pPr>
      <w:r>
        <w:rPr>
          <w:rFonts w:hint="eastAsia" w:ascii="仿宋" w:hAnsi="仿宋" w:eastAsia="仿宋" w:cs="宋体"/>
          <w:bCs/>
          <w:sz w:val="28"/>
          <w:szCs w:val="28"/>
          <w:lang w:val="en-US" w:eastAsia="zh-CN"/>
        </w:rPr>
        <w:t>2、本项目采用综合评分法，现依据市财函【2024】817号文件规定，成交供应商评审总得分为85.61分,评审价格为496000.00元。</w:t>
      </w:r>
    </w:p>
    <w:p>
      <w:pPr>
        <w:pageBreakBefore w:val="0"/>
        <w:widowControl w:val="0"/>
        <w:kinsoku/>
        <w:wordWrap/>
        <w:overflowPunct/>
        <w:topLinePunct w:val="0"/>
        <w:bidi w:val="0"/>
        <w:snapToGrid/>
        <w:spacing w:line="540" w:lineRule="exact"/>
        <w:ind w:firstLine="560" w:firstLineChars="200"/>
        <w:textAlignment w:val="auto"/>
        <w:rPr>
          <w:rFonts w:ascii="仿宋" w:hAnsi="仿宋" w:eastAsia="仿宋" w:cs="宋体"/>
          <w:bCs/>
          <w:color w:val="000000" w:themeColor="text1"/>
          <w:sz w:val="28"/>
          <w:szCs w:val="28"/>
        </w:rPr>
      </w:pPr>
      <w:r>
        <w:rPr>
          <w:rFonts w:hint="eastAsia" w:ascii="仿宋" w:hAnsi="仿宋" w:eastAsia="仿宋" w:cs="宋体"/>
          <w:bCs/>
          <w:color w:val="000000" w:themeColor="text1"/>
          <w:sz w:val="28"/>
          <w:szCs w:val="28"/>
          <w:lang w:val="en-US" w:eastAsia="zh-CN"/>
        </w:rPr>
        <w:t>3、</w:t>
      </w:r>
      <w:r>
        <w:rPr>
          <w:rFonts w:hint="eastAsia" w:ascii="仿宋" w:hAnsi="仿宋" w:eastAsia="仿宋" w:cs="宋体"/>
          <w:bCs/>
          <w:color w:val="000000" w:themeColor="text1"/>
          <w:sz w:val="28"/>
          <w:szCs w:val="28"/>
        </w:rPr>
        <w:t>请成交</w:t>
      </w:r>
      <w:r>
        <w:rPr>
          <w:rFonts w:hint="eastAsia" w:ascii="仿宋" w:hAnsi="仿宋" w:eastAsia="仿宋" w:cs="宋体"/>
          <w:bCs/>
          <w:color w:val="000000" w:themeColor="text1"/>
          <w:sz w:val="28"/>
          <w:szCs w:val="28"/>
          <w:lang w:val="en-US" w:eastAsia="zh-CN"/>
        </w:rPr>
        <w:t>供应商</w:t>
      </w:r>
      <w:r>
        <w:rPr>
          <w:rFonts w:hint="eastAsia" w:ascii="仿宋" w:hAnsi="仿宋" w:eastAsia="仿宋" w:cs="宋体"/>
          <w:bCs/>
          <w:color w:val="000000" w:themeColor="text1"/>
          <w:sz w:val="28"/>
          <w:szCs w:val="28"/>
        </w:rPr>
        <w:t>于本项目公告期届满之日起，在西安市公共资源交易中心网站——企业端下载该项目电子版成交通知书，同时须前往西安市公共资源交易中心八楼提交纸质响应文件一正两副，内容与电子响应文件完全一致。</w:t>
      </w:r>
    </w:p>
    <w:p>
      <w:pPr>
        <w:pageBreakBefore w:val="0"/>
        <w:widowControl w:val="0"/>
        <w:kinsoku/>
        <w:wordWrap/>
        <w:overflowPunct/>
        <w:topLinePunct w:val="0"/>
        <w:bidi w:val="0"/>
        <w:snapToGrid/>
        <w:spacing w:line="540" w:lineRule="exact"/>
        <w:textAlignment w:val="auto"/>
        <w:rPr>
          <w:rFonts w:ascii="黑体" w:hAnsi="黑体" w:eastAsia="黑体" w:cs="宋体"/>
          <w:color w:val="000000" w:themeColor="text1"/>
          <w:kern w:val="0"/>
          <w:sz w:val="28"/>
          <w:szCs w:val="28"/>
        </w:rPr>
      </w:pPr>
      <w:r>
        <w:rPr>
          <w:rFonts w:hint="eastAsia" w:ascii="黑体" w:hAnsi="黑体" w:eastAsia="黑体" w:cs="宋体"/>
          <w:color w:val="000000" w:themeColor="text1"/>
          <w:kern w:val="0"/>
          <w:sz w:val="28"/>
          <w:szCs w:val="28"/>
        </w:rPr>
        <w:t>八、凡对本次公告内容提出询问，请按以下方式联系。</w:t>
      </w:r>
    </w:p>
    <w:p>
      <w:pPr>
        <w:pageBreakBefore w:val="0"/>
        <w:widowControl w:val="0"/>
        <w:kinsoku/>
        <w:wordWrap/>
        <w:overflowPunct/>
        <w:topLinePunct w:val="0"/>
        <w:bidi w:val="0"/>
        <w:snapToGrid/>
        <w:spacing w:line="540" w:lineRule="exact"/>
        <w:ind w:firstLine="562" w:firstLineChars="200"/>
        <w:textAlignment w:val="auto"/>
        <w:rPr>
          <w:rFonts w:ascii="黑体" w:hAnsi="黑体" w:eastAsia="黑体" w:cs="宋体"/>
          <w:color w:val="000000" w:themeColor="text1"/>
          <w:kern w:val="0"/>
          <w:sz w:val="28"/>
          <w:szCs w:val="28"/>
        </w:rPr>
      </w:pPr>
      <w:r>
        <w:rPr>
          <w:rFonts w:hint="eastAsia" w:ascii="仿宋" w:hAnsi="仿宋" w:eastAsia="仿宋" w:cs="宋体"/>
          <w:b/>
          <w:bCs/>
          <w:sz w:val="28"/>
          <w:szCs w:val="28"/>
        </w:rPr>
        <w:t>1.采购人信息</w:t>
      </w:r>
    </w:p>
    <w:p>
      <w:pPr>
        <w:pageBreakBefore w:val="0"/>
        <w:widowControl w:val="0"/>
        <w:kinsoku/>
        <w:wordWrap/>
        <w:overflowPunct/>
        <w:topLinePunct w:val="0"/>
        <w:bidi w:val="0"/>
        <w:snapToGrid/>
        <w:spacing w:line="540" w:lineRule="exact"/>
        <w:ind w:firstLine="700" w:firstLineChars="250"/>
        <w:jc w:val="left"/>
        <w:textAlignment w:val="auto"/>
        <w:rPr>
          <w:rFonts w:hint="eastAsia" w:ascii="仿宋" w:hAnsi="仿宋" w:eastAsia="仿宋"/>
          <w:color w:val="000000" w:themeColor="text1"/>
          <w:sz w:val="28"/>
          <w:szCs w:val="28"/>
        </w:rPr>
      </w:pPr>
      <w:r>
        <w:rPr>
          <w:rFonts w:hint="eastAsia" w:ascii="仿宋" w:hAnsi="仿宋" w:eastAsia="仿宋"/>
          <w:color w:val="000000" w:themeColor="text1"/>
          <w:sz w:val="28"/>
          <w:szCs w:val="28"/>
        </w:rPr>
        <w:t>名</w:t>
      </w:r>
      <w:r>
        <w:rPr>
          <w:rFonts w:hint="eastAsia" w:ascii="仿宋" w:hAnsi="仿宋" w:eastAsia="仿宋"/>
          <w:color w:val="000000" w:themeColor="text1"/>
          <w:sz w:val="28"/>
          <w:szCs w:val="28"/>
          <w:lang w:val="en-US" w:eastAsia="zh-CN"/>
        </w:rPr>
        <w:t xml:space="preserve">    </w:t>
      </w:r>
      <w:r>
        <w:rPr>
          <w:rFonts w:hint="eastAsia" w:ascii="仿宋" w:hAnsi="仿宋" w:eastAsia="仿宋"/>
          <w:color w:val="000000" w:themeColor="text1"/>
          <w:sz w:val="28"/>
          <w:szCs w:val="28"/>
        </w:rPr>
        <w:t>称：西安市消防救援支队</w:t>
      </w:r>
    </w:p>
    <w:p>
      <w:pPr>
        <w:pageBreakBefore w:val="0"/>
        <w:widowControl w:val="0"/>
        <w:kinsoku/>
        <w:wordWrap/>
        <w:overflowPunct/>
        <w:topLinePunct w:val="0"/>
        <w:bidi w:val="0"/>
        <w:snapToGrid/>
        <w:spacing w:line="540" w:lineRule="exact"/>
        <w:ind w:firstLine="700" w:firstLineChars="250"/>
        <w:jc w:val="left"/>
        <w:textAlignment w:val="auto"/>
        <w:rPr>
          <w:rFonts w:hint="eastAsia" w:ascii="仿宋" w:hAnsi="仿宋" w:eastAsia="仿宋"/>
          <w:color w:val="000000" w:themeColor="text1"/>
          <w:sz w:val="28"/>
          <w:szCs w:val="28"/>
        </w:rPr>
      </w:pPr>
      <w:r>
        <w:rPr>
          <w:rFonts w:hint="eastAsia" w:ascii="仿宋" w:hAnsi="仿宋" w:eastAsia="仿宋"/>
          <w:color w:val="000000" w:themeColor="text1"/>
          <w:sz w:val="28"/>
          <w:szCs w:val="28"/>
        </w:rPr>
        <w:t>地</w:t>
      </w:r>
      <w:r>
        <w:rPr>
          <w:rFonts w:hint="eastAsia" w:ascii="仿宋" w:hAnsi="仿宋" w:eastAsia="仿宋"/>
          <w:color w:val="000000" w:themeColor="text1"/>
          <w:sz w:val="28"/>
          <w:szCs w:val="28"/>
          <w:lang w:val="en-US" w:eastAsia="zh-CN"/>
        </w:rPr>
        <w:t xml:space="preserve">    </w:t>
      </w:r>
      <w:r>
        <w:rPr>
          <w:rFonts w:hint="eastAsia" w:ascii="仿宋" w:hAnsi="仿宋" w:eastAsia="仿宋"/>
          <w:color w:val="000000" w:themeColor="text1"/>
          <w:sz w:val="28"/>
          <w:szCs w:val="28"/>
        </w:rPr>
        <w:t>址：西安市高新区丈八沟街道科技七路10号</w:t>
      </w:r>
    </w:p>
    <w:p>
      <w:pPr>
        <w:pageBreakBefore w:val="0"/>
        <w:widowControl w:val="0"/>
        <w:kinsoku/>
        <w:wordWrap/>
        <w:overflowPunct/>
        <w:topLinePunct w:val="0"/>
        <w:bidi w:val="0"/>
        <w:snapToGrid/>
        <w:spacing w:line="540" w:lineRule="exact"/>
        <w:ind w:firstLine="700" w:firstLineChars="250"/>
        <w:jc w:val="left"/>
        <w:textAlignment w:val="auto"/>
        <w:rPr>
          <w:rFonts w:hint="eastAsia" w:ascii="仿宋" w:hAnsi="仿宋" w:eastAsia="仿宋"/>
          <w:color w:val="000000" w:themeColor="text1"/>
          <w:sz w:val="28"/>
          <w:szCs w:val="28"/>
        </w:rPr>
      </w:pPr>
      <w:r>
        <w:rPr>
          <w:rFonts w:hint="eastAsia" w:ascii="仿宋" w:hAnsi="仿宋" w:eastAsia="仿宋"/>
          <w:color w:val="000000" w:themeColor="text1"/>
          <w:sz w:val="28"/>
          <w:szCs w:val="28"/>
        </w:rPr>
        <w:t>联系电话：029-86750035</w:t>
      </w:r>
    </w:p>
    <w:p>
      <w:pPr>
        <w:pageBreakBefore w:val="0"/>
        <w:widowControl w:val="0"/>
        <w:numPr>
          <w:ilvl w:val="0"/>
          <w:numId w:val="0"/>
        </w:numPr>
        <w:kinsoku/>
        <w:wordWrap/>
        <w:overflowPunct/>
        <w:topLinePunct w:val="0"/>
        <w:bidi w:val="0"/>
        <w:snapToGrid/>
        <w:spacing w:line="540" w:lineRule="exact"/>
        <w:ind w:firstLine="562" w:firstLineChars="200"/>
        <w:jc w:val="left"/>
        <w:textAlignment w:val="auto"/>
        <w:rPr>
          <w:rFonts w:hint="eastAsia" w:ascii="仿宋" w:hAnsi="仿宋" w:eastAsia="仿宋" w:cs="宋体"/>
          <w:b/>
          <w:bCs/>
          <w:sz w:val="28"/>
          <w:szCs w:val="28"/>
        </w:rPr>
      </w:pPr>
      <w:r>
        <w:rPr>
          <w:rFonts w:hint="eastAsia" w:ascii="仿宋" w:hAnsi="仿宋" w:eastAsia="仿宋" w:cs="宋体"/>
          <w:b/>
          <w:bCs/>
          <w:sz w:val="28"/>
          <w:szCs w:val="28"/>
          <w:lang w:val="en-US" w:eastAsia="zh-CN"/>
        </w:rPr>
        <w:t>2.采购代理机构信息</w:t>
      </w:r>
    </w:p>
    <w:p>
      <w:pPr>
        <w:pageBreakBefore w:val="0"/>
        <w:widowControl w:val="0"/>
        <w:numPr>
          <w:ilvl w:val="0"/>
          <w:numId w:val="0"/>
        </w:numPr>
        <w:kinsoku/>
        <w:wordWrap/>
        <w:overflowPunct/>
        <w:topLinePunct w:val="0"/>
        <w:bidi w:val="0"/>
        <w:snapToGrid/>
        <w:spacing w:line="540" w:lineRule="exact"/>
        <w:ind w:firstLine="560" w:firstLineChars="200"/>
        <w:jc w:val="left"/>
        <w:textAlignment w:val="auto"/>
        <w:rPr>
          <w:rFonts w:hint="eastAsia" w:ascii="仿宋" w:hAnsi="仿宋" w:eastAsia="仿宋"/>
          <w:color w:val="000000" w:themeColor="text1"/>
          <w:sz w:val="28"/>
          <w:szCs w:val="28"/>
        </w:rPr>
      </w:pPr>
      <w:r>
        <w:rPr>
          <w:rFonts w:hint="eastAsia" w:ascii="仿宋" w:hAnsi="仿宋" w:eastAsia="仿宋"/>
          <w:color w:val="000000" w:themeColor="text1"/>
          <w:sz w:val="28"/>
          <w:szCs w:val="28"/>
        </w:rPr>
        <w:t>名</w:t>
      </w:r>
      <w:r>
        <w:rPr>
          <w:rFonts w:hint="eastAsia" w:ascii="仿宋" w:hAnsi="仿宋" w:eastAsia="仿宋"/>
          <w:color w:val="000000" w:themeColor="text1"/>
          <w:sz w:val="28"/>
          <w:szCs w:val="28"/>
          <w:lang w:val="en-US" w:eastAsia="zh-CN"/>
        </w:rPr>
        <w:t xml:space="preserve">    </w:t>
      </w:r>
      <w:r>
        <w:rPr>
          <w:rFonts w:hint="eastAsia" w:ascii="仿宋" w:hAnsi="仿宋" w:eastAsia="仿宋"/>
          <w:color w:val="000000" w:themeColor="text1"/>
          <w:sz w:val="28"/>
          <w:szCs w:val="28"/>
        </w:rPr>
        <w:t>称：西安市市级单位政府采购中心</w:t>
      </w:r>
    </w:p>
    <w:p>
      <w:pPr>
        <w:pageBreakBefore w:val="0"/>
        <w:widowControl w:val="0"/>
        <w:numPr>
          <w:ilvl w:val="0"/>
          <w:numId w:val="0"/>
        </w:numPr>
        <w:kinsoku/>
        <w:wordWrap/>
        <w:overflowPunct/>
        <w:topLinePunct w:val="0"/>
        <w:bidi w:val="0"/>
        <w:snapToGrid/>
        <w:spacing w:line="540" w:lineRule="exact"/>
        <w:ind w:firstLine="560" w:firstLineChars="200"/>
        <w:jc w:val="left"/>
        <w:textAlignment w:val="auto"/>
        <w:rPr>
          <w:rFonts w:hint="eastAsia" w:ascii="仿宋" w:hAnsi="仿宋" w:eastAsia="仿宋"/>
          <w:color w:val="000000" w:themeColor="text1"/>
          <w:sz w:val="28"/>
          <w:szCs w:val="28"/>
        </w:rPr>
      </w:pPr>
      <w:r>
        <w:rPr>
          <w:rFonts w:hint="eastAsia" w:ascii="仿宋" w:hAnsi="仿宋" w:eastAsia="仿宋"/>
          <w:color w:val="000000" w:themeColor="text1"/>
          <w:sz w:val="28"/>
          <w:szCs w:val="28"/>
        </w:rPr>
        <w:t>地</w:t>
      </w:r>
      <w:r>
        <w:rPr>
          <w:rFonts w:hint="eastAsia" w:ascii="仿宋" w:hAnsi="仿宋" w:eastAsia="仿宋"/>
          <w:color w:val="000000" w:themeColor="text1"/>
          <w:sz w:val="28"/>
          <w:szCs w:val="28"/>
          <w:lang w:val="en-US" w:eastAsia="zh-CN"/>
        </w:rPr>
        <w:t xml:space="preserve">  </w:t>
      </w:r>
      <w:r>
        <w:rPr>
          <w:rFonts w:hint="eastAsia" w:ascii="仿宋" w:hAnsi="仿宋" w:eastAsia="仿宋"/>
          <w:color w:val="000000" w:themeColor="text1"/>
          <w:sz w:val="28"/>
          <w:szCs w:val="28"/>
        </w:rPr>
        <w:t>　址：西安市未央区文景北路16号白桦林国际B座</w:t>
      </w:r>
    </w:p>
    <w:p>
      <w:pPr>
        <w:pageBreakBefore w:val="0"/>
        <w:widowControl w:val="0"/>
        <w:numPr>
          <w:ilvl w:val="0"/>
          <w:numId w:val="0"/>
        </w:numPr>
        <w:kinsoku/>
        <w:wordWrap/>
        <w:overflowPunct/>
        <w:topLinePunct w:val="0"/>
        <w:bidi w:val="0"/>
        <w:snapToGrid/>
        <w:spacing w:line="540" w:lineRule="exact"/>
        <w:ind w:firstLine="560" w:firstLineChars="200"/>
        <w:jc w:val="left"/>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rPr>
        <w:t>项目联系人：苏老师</w:t>
      </w:r>
    </w:p>
    <w:p>
      <w:pPr>
        <w:pageBreakBefore w:val="0"/>
        <w:widowControl w:val="0"/>
        <w:numPr>
          <w:ilvl w:val="0"/>
          <w:numId w:val="0"/>
        </w:numPr>
        <w:kinsoku/>
        <w:wordWrap/>
        <w:overflowPunct/>
        <w:topLinePunct w:val="0"/>
        <w:bidi w:val="0"/>
        <w:snapToGrid/>
        <w:spacing w:line="540" w:lineRule="exact"/>
        <w:ind w:firstLine="560" w:firstLineChars="200"/>
        <w:jc w:val="left"/>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lang w:val="en-US" w:eastAsia="zh-CN"/>
        </w:rPr>
        <w:t>联系</w:t>
      </w:r>
      <w:r>
        <w:rPr>
          <w:rFonts w:hint="eastAsia" w:ascii="仿宋" w:hAnsi="仿宋" w:eastAsia="仿宋"/>
          <w:color w:val="000000" w:themeColor="text1"/>
          <w:sz w:val="28"/>
          <w:szCs w:val="28"/>
        </w:rPr>
        <w:t>电话：029-865</w:t>
      </w:r>
      <w:bookmarkStart w:id="5" w:name="_GoBack"/>
      <w:bookmarkEnd w:id="5"/>
      <w:r>
        <w:rPr>
          <w:rFonts w:hint="eastAsia" w:ascii="仿宋" w:hAnsi="仿宋" w:eastAsia="仿宋"/>
          <w:color w:val="000000" w:themeColor="text1"/>
          <w:sz w:val="28"/>
          <w:szCs w:val="28"/>
        </w:rPr>
        <w:t>10029、86510365转分机80837</w:t>
      </w:r>
    </w:p>
    <w:p>
      <w:pPr>
        <w:pageBreakBefore w:val="0"/>
        <w:widowControl w:val="0"/>
        <w:kinsoku/>
        <w:wordWrap/>
        <w:overflowPunct/>
        <w:topLinePunct w:val="0"/>
        <w:bidi w:val="0"/>
        <w:snapToGrid/>
        <w:spacing w:line="540" w:lineRule="exact"/>
        <w:ind w:right="420" w:firstLine="840" w:firstLineChars="300"/>
        <w:jc w:val="right"/>
        <w:textAlignment w:val="auto"/>
        <w:rPr>
          <w:rFonts w:hint="eastAsia" w:ascii="仿宋" w:hAnsi="仿宋" w:eastAsia="仿宋"/>
          <w:color w:val="000000" w:themeColor="text1"/>
          <w:sz w:val="28"/>
          <w:szCs w:val="28"/>
        </w:rPr>
      </w:pPr>
    </w:p>
    <w:p>
      <w:pPr>
        <w:pageBreakBefore w:val="0"/>
        <w:widowControl w:val="0"/>
        <w:kinsoku/>
        <w:wordWrap/>
        <w:overflowPunct/>
        <w:topLinePunct w:val="0"/>
        <w:bidi w:val="0"/>
        <w:snapToGrid/>
        <w:spacing w:line="540" w:lineRule="exact"/>
        <w:ind w:right="420" w:firstLine="840" w:firstLineChars="300"/>
        <w:jc w:val="right"/>
        <w:textAlignment w:val="auto"/>
        <w:rPr>
          <w:rFonts w:hint="eastAsia" w:ascii="仿宋" w:hAnsi="仿宋" w:eastAsia="仿宋"/>
          <w:color w:val="000000" w:themeColor="text1"/>
          <w:sz w:val="28"/>
          <w:szCs w:val="28"/>
        </w:rPr>
      </w:pPr>
    </w:p>
    <w:p>
      <w:pPr>
        <w:pageBreakBefore w:val="0"/>
        <w:widowControl w:val="0"/>
        <w:kinsoku/>
        <w:wordWrap/>
        <w:overflowPunct/>
        <w:topLinePunct w:val="0"/>
        <w:bidi w:val="0"/>
        <w:snapToGrid/>
        <w:spacing w:line="540" w:lineRule="exact"/>
        <w:ind w:right="420" w:firstLine="840" w:firstLineChars="300"/>
        <w:jc w:val="right"/>
        <w:textAlignment w:val="auto"/>
        <w:rPr>
          <w:rFonts w:hint="eastAsia" w:ascii="仿宋" w:hAnsi="仿宋" w:eastAsia="仿宋"/>
          <w:color w:val="000000" w:themeColor="text1"/>
          <w:sz w:val="28"/>
          <w:szCs w:val="28"/>
        </w:rPr>
      </w:pPr>
    </w:p>
    <w:p>
      <w:pPr>
        <w:pageBreakBefore w:val="0"/>
        <w:widowControl w:val="0"/>
        <w:kinsoku/>
        <w:wordWrap/>
        <w:overflowPunct/>
        <w:topLinePunct w:val="0"/>
        <w:bidi w:val="0"/>
        <w:snapToGrid/>
        <w:spacing w:line="540" w:lineRule="exact"/>
        <w:ind w:right="420" w:firstLine="840" w:firstLineChars="300"/>
        <w:jc w:val="right"/>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rPr>
        <w:t>西</w:t>
      </w:r>
      <w:r>
        <w:rPr>
          <w:rFonts w:ascii="仿宋" w:hAnsi="仿宋" w:eastAsia="仿宋"/>
          <w:color w:val="000000" w:themeColor="text1"/>
          <w:sz w:val="28"/>
          <w:szCs w:val="28"/>
        </w:rPr>
        <w:t>安市市级单位政府采购中心</w:t>
      </w:r>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r>
        <w:rPr>
          <w:rFonts w:ascii="仿宋" w:hAnsi="仿宋" w:eastAsia="仿宋"/>
          <w:color w:val="000000" w:themeColor="text1"/>
          <w:sz w:val="28"/>
          <w:szCs w:val="28"/>
        </w:rPr>
        <w:t>202</w:t>
      </w:r>
      <w:r>
        <w:rPr>
          <w:rFonts w:hint="eastAsia" w:ascii="仿宋" w:hAnsi="仿宋" w:eastAsia="仿宋"/>
          <w:color w:val="000000" w:themeColor="text1"/>
          <w:sz w:val="28"/>
          <w:szCs w:val="28"/>
          <w:lang w:val="en-US" w:eastAsia="zh-CN"/>
        </w:rPr>
        <w:t>6</w:t>
      </w:r>
      <w:r>
        <w:rPr>
          <w:rFonts w:ascii="仿宋" w:hAnsi="仿宋" w:eastAsia="仿宋"/>
          <w:color w:val="000000" w:themeColor="text1"/>
          <w:sz w:val="28"/>
          <w:szCs w:val="28"/>
        </w:rPr>
        <w:t>年</w:t>
      </w:r>
      <w:bookmarkEnd w:id="0"/>
      <w:r>
        <w:rPr>
          <w:rFonts w:hint="eastAsia" w:ascii="仿宋" w:hAnsi="仿宋" w:eastAsia="仿宋"/>
          <w:color w:val="000000" w:themeColor="text1"/>
          <w:sz w:val="28"/>
          <w:szCs w:val="28"/>
          <w:lang w:val="en-US" w:eastAsia="zh-CN"/>
        </w:rPr>
        <w:t>3</w:t>
      </w:r>
      <w:r>
        <w:rPr>
          <w:rFonts w:hint="eastAsia" w:ascii="仿宋" w:hAnsi="仿宋" w:eastAsia="仿宋"/>
          <w:color w:val="000000" w:themeColor="text1"/>
          <w:sz w:val="28"/>
          <w:szCs w:val="28"/>
        </w:rPr>
        <w:t>月</w:t>
      </w:r>
      <w:r>
        <w:rPr>
          <w:rFonts w:hint="eastAsia" w:ascii="仿宋" w:hAnsi="仿宋" w:eastAsia="仿宋"/>
          <w:color w:val="000000" w:themeColor="text1"/>
          <w:sz w:val="28"/>
          <w:szCs w:val="28"/>
          <w:lang w:val="en-US" w:eastAsia="zh-CN"/>
        </w:rPr>
        <w:t>25</w:t>
      </w:r>
      <w:r>
        <w:rPr>
          <w:rFonts w:ascii="仿宋" w:hAnsi="仿宋" w:eastAsia="仿宋"/>
          <w:sz w:val="28"/>
          <w:szCs w:val="28"/>
        </w:rPr>
        <w:t>日</w:t>
      </w:r>
      <w:bookmarkEnd w:id="1"/>
      <w:bookmarkEnd w:id="2"/>
      <w:bookmarkEnd w:id="3"/>
      <w:bookmarkEnd w:id="4"/>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p>
    <w:p>
      <w:pPr>
        <w:pageBreakBefore w:val="0"/>
        <w:widowControl w:val="0"/>
        <w:kinsoku/>
        <w:wordWrap/>
        <w:overflowPunct/>
        <w:topLinePunct w:val="0"/>
        <w:bidi w:val="0"/>
        <w:snapToGrid/>
        <w:spacing w:line="540" w:lineRule="exact"/>
        <w:textAlignment w:val="auto"/>
        <w:rPr>
          <w:rFonts w:ascii="仿宋" w:hAnsi="仿宋" w:eastAsia="仿宋"/>
          <w:sz w:val="28"/>
          <w:szCs w:val="28"/>
        </w:rPr>
      </w:pPr>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drawing>
          <wp:anchor distT="0" distB="0" distL="114300" distR="114300" simplePos="0" relativeHeight="251659264" behindDoc="1" locked="0" layoutInCell="1" allowOverlap="1">
            <wp:simplePos x="0" y="0"/>
            <wp:positionH relativeFrom="column">
              <wp:posOffset>-30480</wp:posOffset>
            </wp:positionH>
            <wp:positionV relativeFrom="paragraph">
              <wp:posOffset>579120</wp:posOffset>
            </wp:positionV>
            <wp:extent cx="5577840" cy="5654040"/>
            <wp:effectExtent l="0" t="0" r="0" b="0"/>
            <wp:wrapTight wrapText="bothSides">
              <wp:wrapPolygon>
                <wp:start x="0" y="0"/>
                <wp:lineTo x="0" y="21542"/>
                <wp:lineTo x="21541" y="21542"/>
                <wp:lineTo x="2154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77840" cy="5654040"/>
                    </a:xfrm>
                    <a:prstGeom prst="rect">
                      <a:avLst/>
                    </a:prstGeom>
                    <a:noFill/>
                    <a:ln>
                      <a:noFill/>
                    </a:ln>
                  </pic:spPr>
                </pic:pic>
              </a:graphicData>
            </a:graphic>
          </wp:anchor>
        </w:drawing>
      </w:r>
      <w:r>
        <w:rPr>
          <w:rFonts w:hint="eastAsia" w:ascii="黑体" w:hAnsi="黑体" w:eastAsia="黑体" w:cs="宋体"/>
          <w:color w:val="000000" w:themeColor="text1"/>
          <w:kern w:val="0"/>
          <w:sz w:val="28"/>
          <w:szCs w:val="28"/>
          <w:lang w:val="en-US" w:eastAsia="zh-CN"/>
        </w:rPr>
        <w:t>九、附件</w:t>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drawing>
          <wp:anchor distT="0" distB="0" distL="114300" distR="114300" simplePos="0" relativeHeight="251660288" behindDoc="1" locked="0" layoutInCell="1" allowOverlap="1">
            <wp:simplePos x="0" y="0"/>
            <wp:positionH relativeFrom="column">
              <wp:posOffset>198120</wp:posOffset>
            </wp:positionH>
            <wp:positionV relativeFrom="paragraph">
              <wp:posOffset>60960</wp:posOffset>
            </wp:positionV>
            <wp:extent cx="4901565" cy="7414260"/>
            <wp:effectExtent l="0" t="0" r="0" b="0"/>
            <wp:wrapTight wrapText="bothSides">
              <wp:wrapPolygon>
                <wp:start x="0" y="0"/>
                <wp:lineTo x="0" y="21578"/>
                <wp:lineTo x="21558" y="21578"/>
                <wp:lineTo x="21558"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901565" cy="7414260"/>
                    </a:xfrm>
                    <a:prstGeom prst="rect">
                      <a:avLst/>
                    </a:prstGeom>
                    <a:noFill/>
                    <a:ln>
                      <a:noFill/>
                    </a:ln>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drawing>
          <wp:anchor distT="0" distB="0" distL="114300" distR="114300" simplePos="0" relativeHeight="251661312" behindDoc="1" locked="0" layoutInCell="1" allowOverlap="1">
            <wp:simplePos x="0" y="0"/>
            <wp:positionH relativeFrom="column">
              <wp:posOffset>186690</wp:posOffset>
            </wp:positionH>
            <wp:positionV relativeFrom="paragraph">
              <wp:posOffset>236220</wp:posOffset>
            </wp:positionV>
            <wp:extent cx="4891405" cy="7673340"/>
            <wp:effectExtent l="0" t="0" r="0" b="0"/>
            <wp:wrapTight wrapText="bothSides">
              <wp:wrapPolygon>
                <wp:start x="0" y="0"/>
                <wp:lineTo x="0" y="21579"/>
                <wp:lineTo x="21536" y="21579"/>
                <wp:lineTo x="2153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891405" cy="7673340"/>
                    </a:xfrm>
                    <a:prstGeom prst="rect">
                      <a:avLst/>
                    </a:prstGeom>
                    <a:noFill/>
                    <a:ln>
                      <a:noFill/>
                    </a:ln>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drawing>
          <wp:anchor distT="0" distB="0" distL="114300" distR="114300" simplePos="0" relativeHeight="251662336" behindDoc="1" locked="0" layoutInCell="1" allowOverlap="1">
            <wp:simplePos x="0" y="0"/>
            <wp:positionH relativeFrom="column">
              <wp:posOffset>271780</wp:posOffset>
            </wp:positionH>
            <wp:positionV relativeFrom="paragraph">
              <wp:posOffset>297180</wp:posOffset>
            </wp:positionV>
            <wp:extent cx="4737735" cy="6849745"/>
            <wp:effectExtent l="0" t="0" r="0" b="0"/>
            <wp:wrapTight wrapText="bothSides">
              <wp:wrapPolygon>
                <wp:start x="0" y="0"/>
                <wp:lineTo x="0" y="21530"/>
                <wp:lineTo x="21539" y="21530"/>
                <wp:lineTo x="21539"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737735" cy="6849745"/>
                    </a:xfrm>
                    <a:prstGeom prst="rect">
                      <a:avLst/>
                    </a:prstGeom>
                    <a:noFill/>
                    <a:ln>
                      <a:noFill/>
                    </a:ln>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sectPr>
          <w:pgSz w:w="11906" w:h="16838"/>
          <w:pgMar w:top="1440" w:right="1416" w:bottom="1440" w:left="1701" w:header="851" w:footer="992" w:gutter="0"/>
          <w:cols w:space="425" w:num="1"/>
          <w:docGrid w:type="lines" w:linePitch="312" w:charSpace="0"/>
        </w:sectPr>
      </w:pPr>
    </w:p>
    <w:p>
      <w:pPr>
        <w:pStyle w:val="32"/>
        <w:keepNext w:val="0"/>
        <w:keepLines/>
        <w:pageBreakBefore/>
        <w:widowControl w:val="0"/>
        <w:kinsoku/>
        <w:wordWrap/>
        <w:overflowPunct/>
        <w:topLinePunct w:val="0"/>
        <w:autoSpaceDE/>
        <w:autoSpaceDN/>
        <w:bidi w:val="0"/>
        <w:adjustRightInd/>
        <w:snapToGrid/>
        <w:jc w:val="center"/>
        <w:textAlignment w:val="auto"/>
        <w:rPr>
          <w:rFonts w:ascii="宋体" w:hAnsi="宋体" w:eastAsia="宋体"/>
        </w:rPr>
      </w:pPr>
      <w:r>
        <w:rPr>
          <w:rFonts w:hint="eastAsia" w:ascii="宋体" w:hAnsi="宋体" w:eastAsia="宋体"/>
        </w:rPr>
        <w:t>分项报价</w:t>
      </w:r>
      <w:r>
        <w:rPr>
          <w:rFonts w:ascii="宋体" w:hAnsi="宋体" w:eastAsia="宋体"/>
        </w:rPr>
        <w:t>表</w:t>
      </w:r>
    </w:p>
    <w:p>
      <w:pPr>
        <w:pStyle w:val="30"/>
        <w:tabs>
          <w:tab w:val="right" w:pos="13892"/>
        </w:tabs>
        <w:rPr>
          <w:rFonts w:ascii="宋体" w:hAnsi="宋体" w:eastAsia="宋体" w:cs="Calibri"/>
          <w:color w:val="auto"/>
          <w:sz w:val="24"/>
          <w:szCs w:val="24"/>
        </w:rPr>
      </w:pPr>
      <w:r>
        <w:rPr>
          <w:rFonts w:hint="eastAsia" w:ascii="宋体" w:hAnsi="宋体" w:eastAsia="宋体" w:cs="Calibri"/>
          <w:color w:val="auto"/>
          <w:sz w:val="24"/>
          <w:szCs w:val="24"/>
        </w:rPr>
        <w:t>采购包</w:t>
      </w:r>
      <w:r>
        <w:rPr>
          <w:rFonts w:ascii="宋体" w:hAnsi="宋体" w:eastAsia="宋体" w:cs="Calibri"/>
          <w:color w:val="auto"/>
          <w:sz w:val="24"/>
          <w:szCs w:val="24"/>
        </w:rPr>
        <w:t>［</w:t>
      </w:r>
      <w:r>
        <w:rPr>
          <w:rFonts w:hint="eastAsia" w:ascii="宋体" w:hAnsi="宋体" w:eastAsia="宋体" w:cs="Calibri"/>
          <w:color w:val="auto"/>
          <w:sz w:val="24"/>
          <w:szCs w:val="24"/>
          <w:u w:val="single"/>
        </w:rPr>
        <w:t xml:space="preserve"> / </w:t>
      </w:r>
      <w:r>
        <w:rPr>
          <w:rFonts w:ascii="宋体" w:hAnsi="宋体" w:eastAsia="宋体" w:cs="Calibri"/>
          <w:color w:val="auto"/>
          <w:sz w:val="24"/>
          <w:szCs w:val="24"/>
        </w:rPr>
        <w:t>］</w:t>
      </w:r>
    </w:p>
    <w:tbl>
      <w:tblPr>
        <w:tblStyle w:val="10"/>
        <w:tblW w:w="14165" w:type="dxa"/>
        <w:tblInd w:w="118" w:type="dxa"/>
        <w:tblLayout w:type="fixed"/>
        <w:tblCellMar>
          <w:top w:w="0" w:type="dxa"/>
          <w:left w:w="108" w:type="dxa"/>
          <w:bottom w:w="0" w:type="dxa"/>
          <w:right w:w="108" w:type="dxa"/>
        </w:tblCellMar>
      </w:tblPr>
      <w:tblGrid>
        <w:gridCol w:w="780"/>
        <w:gridCol w:w="1565"/>
        <w:gridCol w:w="1331"/>
        <w:gridCol w:w="1134"/>
        <w:gridCol w:w="2495"/>
        <w:gridCol w:w="3458"/>
        <w:gridCol w:w="709"/>
        <w:gridCol w:w="1276"/>
        <w:gridCol w:w="1417"/>
      </w:tblGrid>
      <w:tr>
        <w:tblPrEx>
          <w:tblCellMar>
            <w:top w:w="0" w:type="dxa"/>
            <w:left w:w="108" w:type="dxa"/>
            <w:bottom w:w="0" w:type="dxa"/>
            <w:right w:w="108" w:type="dxa"/>
          </w:tblCellMar>
        </w:tblPrEx>
        <w:trPr>
          <w:trHeight w:val="285" w:hRule="atLeast"/>
        </w:trPr>
        <w:tc>
          <w:tcPr>
            <w:tcW w:w="780" w:type="dxa"/>
            <w:tcBorders>
              <w:top w:val="single" w:color="auto" w:sz="8" w:space="0"/>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一</w:t>
            </w:r>
          </w:p>
        </w:tc>
        <w:tc>
          <w:tcPr>
            <w:tcW w:w="13385" w:type="dxa"/>
            <w:gridSpan w:val="8"/>
            <w:tcBorders>
              <w:top w:val="single" w:color="auto" w:sz="8" w:space="0"/>
              <w:left w:val="nil"/>
              <w:bottom w:val="single" w:color="auto" w:sz="8" w:space="0"/>
              <w:right w:val="single" w:color="000000"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产品购置费</w:t>
            </w:r>
          </w:p>
        </w:tc>
      </w:tr>
      <w:tr>
        <w:tblPrEx>
          <w:tblCellMar>
            <w:top w:w="0" w:type="dxa"/>
            <w:left w:w="108" w:type="dxa"/>
            <w:bottom w:w="0" w:type="dxa"/>
            <w:right w:w="108" w:type="dxa"/>
          </w:tblCellMar>
        </w:tblPrEx>
        <w:trPr>
          <w:trHeight w:val="300"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序号</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标的名称</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品牌</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型号</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规格</w:t>
            </w:r>
          </w:p>
        </w:tc>
        <w:tc>
          <w:tcPr>
            <w:tcW w:w="3458"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制造商</w:t>
            </w:r>
          </w:p>
        </w:tc>
        <w:tc>
          <w:tcPr>
            <w:tcW w:w="709"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数量</w:t>
            </w:r>
          </w:p>
        </w:tc>
        <w:tc>
          <w:tcPr>
            <w:tcW w:w="1276" w:type="dxa"/>
            <w:tcBorders>
              <w:top w:val="nil"/>
              <w:left w:val="nil"/>
              <w:bottom w:val="nil"/>
              <w:right w:val="single" w:color="auto" w:sz="8" w:space="0"/>
            </w:tcBorders>
            <w:shd w:val="clear" w:color="000000" w:fill="auto"/>
            <w:noWrap w:val="0"/>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单价</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总价</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 xml:space="preserve">1m </w:t>
            </w:r>
            <w:r>
              <w:rPr>
                <w:rFonts w:hint="eastAsia" w:ascii="宋体" w:hAnsi="宋体" w:cs="Calibri"/>
                <w:color w:val="000000"/>
                <w:kern w:val="0"/>
                <w:sz w:val="24"/>
                <w:szCs w:val="24"/>
              </w:rPr>
              <w:t>单人床</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1000*2030*1100mm</w:t>
            </w:r>
            <w:r>
              <w:rPr>
                <w:rFonts w:ascii="宋体" w:hAnsi="宋体" w:cs="Calibri"/>
                <w:color w:val="000000"/>
                <w:kern w:val="0"/>
                <w:sz w:val="24"/>
                <w:szCs w:val="24"/>
              </w:rPr>
              <w:br w:type="textWrapping"/>
            </w:r>
            <w:r>
              <w:rPr>
                <w:rFonts w:hint="eastAsia" w:ascii="宋体" w:hAnsi="宋体" w:cs="Calibri"/>
                <w:color w:val="000000"/>
                <w:kern w:val="0"/>
                <w:sz w:val="24"/>
                <w:szCs w:val="24"/>
              </w:rPr>
              <w:t>（背板的高度）</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51</w:t>
            </w:r>
          </w:p>
        </w:tc>
        <w:tc>
          <w:tcPr>
            <w:tcW w:w="1276" w:type="dxa"/>
            <w:tcBorders>
              <w:top w:val="single" w:color="auto" w:sz="8" w:space="0"/>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994.00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50694.00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 xml:space="preserve">1m </w:t>
            </w:r>
            <w:r>
              <w:rPr>
                <w:rFonts w:hint="eastAsia" w:ascii="宋体" w:hAnsi="宋体" w:cs="Calibri"/>
                <w:color w:val="000000"/>
                <w:kern w:val="0"/>
                <w:sz w:val="24"/>
                <w:szCs w:val="24"/>
              </w:rPr>
              <w:t>床垫</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960*1950*60mm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51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368.00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18768.00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 xml:space="preserve">1.2m </w:t>
            </w:r>
            <w:r>
              <w:rPr>
                <w:rFonts w:hint="eastAsia" w:ascii="宋体" w:hAnsi="宋体" w:cs="Calibri"/>
                <w:color w:val="000000"/>
                <w:kern w:val="0"/>
                <w:sz w:val="24"/>
                <w:szCs w:val="24"/>
              </w:rPr>
              <w:t>单人床</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1200*2030*1100mm</w:t>
            </w:r>
            <w:r>
              <w:rPr>
                <w:rFonts w:ascii="宋体" w:hAnsi="宋体" w:cs="Calibri"/>
                <w:color w:val="000000"/>
                <w:kern w:val="0"/>
                <w:sz w:val="24"/>
                <w:szCs w:val="24"/>
              </w:rPr>
              <w:br w:type="textWrapping"/>
            </w:r>
            <w:r>
              <w:rPr>
                <w:rFonts w:hint="eastAsia" w:ascii="宋体" w:hAnsi="宋体" w:cs="Calibri"/>
                <w:color w:val="000000"/>
                <w:kern w:val="0"/>
                <w:sz w:val="24"/>
                <w:szCs w:val="24"/>
              </w:rPr>
              <w:t>（背板的高度）</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9</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1012.00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9108.00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 xml:space="preserve">1.2m </w:t>
            </w:r>
            <w:r>
              <w:rPr>
                <w:rFonts w:hint="eastAsia" w:ascii="宋体" w:hAnsi="宋体" w:cs="Calibri"/>
                <w:color w:val="000000"/>
                <w:kern w:val="0"/>
                <w:sz w:val="24"/>
                <w:szCs w:val="24"/>
              </w:rPr>
              <w:t>床垫</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KM-4</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1160*1950*60mm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9</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377.00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3393.00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5</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双人床</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KM-5</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1500*2000*1100mm</w:t>
            </w:r>
            <w:r>
              <w:rPr>
                <w:rFonts w:ascii="宋体" w:hAnsi="宋体" w:cs="Calibri"/>
                <w:color w:val="000000"/>
                <w:kern w:val="0"/>
                <w:sz w:val="24"/>
                <w:szCs w:val="24"/>
              </w:rPr>
              <w:br w:type="textWrapping"/>
            </w:r>
            <w:r>
              <w:rPr>
                <w:rFonts w:hint="eastAsia" w:ascii="宋体" w:hAnsi="宋体" w:cs="Calibri"/>
                <w:color w:val="000000"/>
                <w:kern w:val="0"/>
                <w:sz w:val="24"/>
                <w:szCs w:val="24"/>
              </w:rPr>
              <w:t>（背板的高度）</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1288.00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1288.00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6</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双人床床垫</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KM-6</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1500*2000*280mm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506.00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506.00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7</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床头柜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KM-7</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400*400*550mm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44</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184.00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8096.00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8</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定制通顶柜子</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KM-8</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8000*550*2600mm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20838.00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20838.00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9</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定制通顶柜子</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KM-9</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7000*550*2600mm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2</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18216.00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36432.00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10</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定制通顶衣柜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KM-10</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1380*600*2670mm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4103.00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4103.00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11</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定制通顶柜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KM-11</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6560*600*2600mm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4</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18078.00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72312.00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12</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更衣间更衣柜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KM-12</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12600*400*2400mm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32826.00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32826.00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13</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定制异形展柜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KM-13</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4950*370*2700mm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2</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12144.00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24288.00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14</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鞋柜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KM-14</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1200*400*1100mm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9</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726.00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6534.00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15</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学习桌</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KM-15</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2400*1200*750mm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4</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2116.00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8464.00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16</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站务部学习桌</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KM-16</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2800*1400*750mm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2438.00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2438.00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17</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定制学习桌</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KM-17</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2800*1400*750mm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3266.00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3266.00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18</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学习桌椅子</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KM-18</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630*650*770mm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10</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644.00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6440.00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19</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更衣间长条凳</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KM-19</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1600*550*450mm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828.00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828.00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20</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餐桌</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KM-20</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1800*750mm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1932.00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1932.00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21</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餐椅</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KM-21</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460*920*460mm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10</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276.00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2760.00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22</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餐桌</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KM-22</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1600*750mm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6</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1748.00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10488.00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23</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餐椅</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KM-23</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460*920*460mm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48</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276.00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13248.00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24</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卡座</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KM-24</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1700*760*1000mm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2</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2116.00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4232.00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25</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休闲椅</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KM-25</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780-640mm*430*400mm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10</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814.00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8140.00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26</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休闲桌</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KM-26</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600*600*720mm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5</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956.00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4780.00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27</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三门衣柜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KM-27</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1200*600*2000mm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865.00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865.00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28</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两门衣柜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KM-28</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900*600*2000mm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14</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685.00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9590.00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29</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两门书柜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KM-29</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900*400*2000mm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22</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760.00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16720.00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30</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铁皮柜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KM-30</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850*390*1800mm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2</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608.00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1216.00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31</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茶水柜</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KM-31</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1200*400*900mm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15</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796.00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11940.00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32</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学习椅</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KM-32</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1000*500*540mm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40</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415.00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16600.00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33</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班台</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KM-33</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1600*800*750 mm</w:t>
            </w:r>
            <w:r>
              <w:rPr>
                <w:rFonts w:hint="eastAsia" w:ascii="宋体" w:hAnsi="宋体" w:cs="Calibri"/>
                <w:color w:val="000000"/>
                <w:kern w:val="0"/>
                <w:sz w:val="24"/>
                <w:szCs w:val="24"/>
              </w:rPr>
              <w:t>带副柜</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2</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2255.00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4510.00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34</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中班椅</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KM-34</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1140-1200*650*500*480-540mm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2</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676.00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1352.00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35</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会客椅</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KM-35</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760*560*525mm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4</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480.00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1920.00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36</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1.4m 电脑桌</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KM-36</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1400*700*750mm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13</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1455.00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18915.00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37</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办公椅</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KM-37</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1070*480*570mm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18</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505.00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9090.00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38</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会议桌</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KM-38</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5200*1400-1200*750mm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4600.00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4600.00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39</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会议椅</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KM-39</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640*650*1060mm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18</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410.00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7380.00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40</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椅子</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KM-40</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1070*590*580mm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10</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410.00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4100.00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41</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单人沙发</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KM-41</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900*750*830mm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10</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773.00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7730.00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42</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三人沙发</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KM-42</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1900*900*1000mm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1638.00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1638.00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43</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茶几</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KM-43</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1200*600*450mm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777.00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777.00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44</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方几</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KM-44</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600*600*600mm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5</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305.00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1525.00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45</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边几</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KM-45</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700*500*500mm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5</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378.00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1890.00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46</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会议室椅子</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KM-46</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900*460*480mm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35</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410.00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14350.00 </w:t>
            </w:r>
          </w:p>
        </w:tc>
      </w:tr>
      <w:tr>
        <w:tblPrEx>
          <w:tblCellMar>
            <w:top w:w="0" w:type="dxa"/>
            <w:left w:w="108" w:type="dxa"/>
            <w:bottom w:w="0" w:type="dxa"/>
            <w:right w:w="108" w:type="dxa"/>
          </w:tblCellMar>
        </w:tblPrEx>
        <w:trPr>
          <w:trHeight w:val="737"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47</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会议室主席椅</w:t>
            </w:r>
          </w:p>
        </w:tc>
        <w:tc>
          <w:tcPr>
            <w:tcW w:w="1331"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盛世凯美</w:t>
            </w:r>
          </w:p>
        </w:tc>
        <w:tc>
          <w:tcPr>
            <w:tcW w:w="1134"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KM-47</w:t>
            </w:r>
          </w:p>
        </w:tc>
        <w:tc>
          <w:tcPr>
            <w:tcW w:w="2495"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1100*530*620mm</w:t>
            </w:r>
          </w:p>
        </w:tc>
        <w:tc>
          <w:tcPr>
            <w:tcW w:w="3458"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中山市凯美家具制造有限公司</w:t>
            </w:r>
          </w:p>
        </w:tc>
        <w:tc>
          <w:tcPr>
            <w:tcW w:w="709" w:type="dxa"/>
            <w:tcBorders>
              <w:top w:val="nil"/>
              <w:left w:val="nil"/>
              <w:bottom w:val="single" w:color="auto" w:sz="8" w:space="0"/>
              <w:right w:val="nil"/>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5</w:t>
            </w:r>
          </w:p>
        </w:tc>
        <w:tc>
          <w:tcPr>
            <w:tcW w:w="1276" w:type="dxa"/>
            <w:tcBorders>
              <w:top w:val="nil"/>
              <w:left w:val="single" w:color="auto" w:sz="8" w:space="0"/>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618.00 </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r>
              <w:rPr>
                <w:rFonts w:eastAsia="等线" w:cs="Calibri"/>
                <w:color w:val="000000"/>
                <w:sz w:val="24"/>
                <w:szCs w:val="24"/>
              </w:rPr>
              <w:t xml:space="preserve">3090.00 </w:t>
            </w:r>
          </w:p>
        </w:tc>
      </w:tr>
      <w:tr>
        <w:tblPrEx>
          <w:tblCellMar>
            <w:top w:w="0" w:type="dxa"/>
            <w:left w:w="108" w:type="dxa"/>
            <w:bottom w:w="0" w:type="dxa"/>
            <w:right w:w="108" w:type="dxa"/>
          </w:tblCellMar>
        </w:tblPrEx>
        <w:trPr>
          <w:trHeight w:val="300"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二</w:t>
            </w:r>
          </w:p>
        </w:tc>
        <w:tc>
          <w:tcPr>
            <w:tcW w:w="13385" w:type="dxa"/>
            <w:gridSpan w:val="8"/>
            <w:tcBorders>
              <w:top w:val="single" w:color="auto" w:sz="8" w:space="0"/>
              <w:left w:val="nil"/>
              <w:bottom w:val="single" w:color="auto" w:sz="8" w:space="0"/>
              <w:right w:val="single" w:color="000000"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其他费用</w:t>
            </w:r>
          </w:p>
        </w:tc>
      </w:tr>
      <w:tr>
        <w:tblPrEx>
          <w:tblCellMar>
            <w:top w:w="0" w:type="dxa"/>
            <w:left w:w="108" w:type="dxa"/>
            <w:bottom w:w="0" w:type="dxa"/>
            <w:right w:w="108" w:type="dxa"/>
          </w:tblCellMar>
        </w:tblPrEx>
        <w:trPr>
          <w:trHeight w:val="285"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序号</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费用名称</w:t>
            </w:r>
          </w:p>
        </w:tc>
        <w:tc>
          <w:tcPr>
            <w:tcW w:w="8418" w:type="dxa"/>
            <w:gridSpan w:val="4"/>
            <w:tcBorders>
              <w:top w:val="single" w:color="auto" w:sz="8" w:space="0"/>
              <w:left w:val="nil"/>
              <w:bottom w:val="single" w:color="auto" w:sz="8" w:space="0"/>
              <w:right w:val="single" w:color="000000"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费用描述</w:t>
            </w:r>
          </w:p>
        </w:tc>
        <w:tc>
          <w:tcPr>
            <w:tcW w:w="709"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数量</w:t>
            </w:r>
          </w:p>
        </w:tc>
        <w:tc>
          <w:tcPr>
            <w:tcW w:w="1276"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单价</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宋体"/>
                <w:b/>
                <w:bCs/>
                <w:color w:val="000000"/>
                <w:kern w:val="0"/>
                <w:sz w:val="24"/>
                <w:szCs w:val="24"/>
              </w:rPr>
            </w:pPr>
            <w:r>
              <w:rPr>
                <w:rFonts w:hint="eastAsia" w:ascii="宋体" w:hAnsi="宋体" w:cs="宋体"/>
                <w:b/>
                <w:bCs/>
                <w:color w:val="000000"/>
                <w:kern w:val="0"/>
                <w:sz w:val="24"/>
                <w:szCs w:val="24"/>
              </w:rPr>
              <w:t>总价</w:t>
            </w:r>
          </w:p>
        </w:tc>
      </w:tr>
      <w:tr>
        <w:tblPrEx>
          <w:tblCellMar>
            <w:top w:w="0" w:type="dxa"/>
            <w:left w:w="108" w:type="dxa"/>
            <w:bottom w:w="0" w:type="dxa"/>
            <w:right w:w="108" w:type="dxa"/>
          </w:tblCellMar>
        </w:tblPrEx>
        <w:trPr>
          <w:trHeight w:val="285"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hint="eastAsia" w:ascii="宋体" w:hAnsi="宋体" w:cs="Calibri"/>
                <w:color w:val="000000"/>
                <w:kern w:val="0"/>
                <w:sz w:val="24"/>
                <w:szCs w:val="24"/>
              </w:rPr>
            </w:pPr>
            <w:r>
              <w:rPr>
                <w:rFonts w:ascii="宋体" w:hAnsi="宋体" w:cs="Calibri"/>
                <w:color w:val="000000"/>
                <w:kern w:val="0"/>
                <w:sz w:val="24"/>
                <w:szCs w:val="24"/>
              </w:rPr>
              <w:t>1</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hint="eastAsia" w:ascii="宋体" w:hAnsi="宋体" w:cs="Calibri"/>
                <w:color w:val="000000"/>
                <w:kern w:val="0"/>
                <w:sz w:val="24"/>
                <w:szCs w:val="24"/>
              </w:rPr>
              <w:t>其他费用</w:t>
            </w:r>
          </w:p>
        </w:tc>
        <w:tc>
          <w:tcPr>
            <w:tcW w:w="8418" w:type="dxa"/>
            <w:gridSpan w:val="4"/>
            <w:tcBorders>
              <w:top w:val="single" w:color="auto" w:sz="8" w:space="0"/>
              <w:left w:val="nil"/>
              <w:bottom w:val="single" w:color="auto" w:sz="8" w:space="0"/>
              <w:right w:val="single" w:color="000000" w:sz="8" w:space="0"/>
            </w:tcBorders>
            <w:shd w:val="clear" w:color="000000" w:fill="auto"/>
            <w:noWrap/>
            <w:vAlign w:val="center"/>
          </w:tcPr>
          <w:p>
            <w:pPr>
              <w:widowControl/>
              <w:jc w:val="left"/>
              <w:rPr>
                <w:rFonts w:ascii="宋体" w:hAnsi="宋体" w:cs="Calibri"/>
                <w:color w:val="000000"/>
                <w:kern w:val="0"/>
                <w:sz w:val="24"/>
                <w:szCs w:val="24"/>
              </w:rPr>
            </w:pPr>
            <w:r>
              <w:rPr>
                <w:rFonts w:hint="eastAsia" w:ascii="宋体" w:hAnsi="宋体" w:cs="Calibri"/>
                <w:color w:val="000000"/>
                <w:kern w:val="0"/>
                <w:sz w:val="24"/>
                <w:szCs w:val="24"/>
              </w:rPr>
              <w:t>包括完成采购内容所需的直接费、间接费、利润、税金及其它相关的一切费用</w:t>
            </w:r>
          </w:p>
        </w:tc>
        <w:tc>
          <w:tcPr>
            <w:tcW w:w="709"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hint="eastAsia" w:ascii="宋体" w:hAnsi="宋体" w:cs="Calibri"/>
                <w:color w:val="000000"/>
                <w:kern w:val="0"/>
                <w:sz w:val="24"/>
                <w:szCs w:val="24"/>
              </w:rPr>
              <w:t>1</w:t>
            </w:r>
          </w:p>
        </w:tc>
        <w:tc>
          <w:tcPr>
            <w:tcW w:w="1276"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hint="eastAsia" w:ascii="宋体" w:hAnsi="宋体" w:cs="Calibri"/>
                <w:color w:val="000000"/>
                <w:kern w:val="0"/>
                <w:sz w:val="24"/>
                <w:szCs w:val="24"/>
              </w:rPr>
              <w:t>0.00</w:t>
            </w: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hint="eastAsia" w:ascii="宋体" w:hAnsi="宋体" w:cs="Calibri"/>
                <w:color w:val="000000"/>
                <w:kern w:val="0"/>
                <w:sz w:val="24"/>
                <w:szCs w:val="24"/>
              </w:rPr>
            </w:pPr>
            <w:r>
              <w:rPr>
                <w:rFonts w:hint="eastAsia" w:ascii="宋体" w:hAnsi="宋体" w:cs="Calibri"/>
                <w:color w:val="000000"/>
                <w:kern w:val="0"/>
                <w:sz w:val="24"/>
                <w:szCs w:val="24"/>
              </w:rPr>
              <w:t>0.00</w:t>
            </w:r>
          </w:p>
        </w:tc>
      </w:tr>
      <w:tr>
        <w:tblPrEx>
          <w:tblCellMar>
            <w:top w:w="0" w:type="dxa"/>
            <w:left w:w="108" w:type="dxa"/>
            <w:bottom w:w="0" w:type="dxa"/>
            <w:right w:w="108" w:type="dxa"/>
          </w:tblCellMar>
        </w:tblPrEx>
        <w:trPr>
          <w:trHeight w:val="285"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r>
              <w:rPr>
                <w:rFonts w:ascii="宋体" w:hAnsi="宋体" w:cs="Calibri"/>
                <w:color w:val="000000"/>
                <w:kern w:val="0"/>
                <w:sz w:val="24"/>
                <w:szCs w:val="24"/>
              </w:rPr>
              <w:t>2</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p>
        </w:tc>
        <w:tc>
          <w:tcPr>
            <w:tcW w:w="8418" w:type="dxa"/>
            <w:gridSpan w:val="4"/>
            <w:tcBorders>
              <w:top w:val="single" w:color="auto" w:sz="8" w:space="0"/>
              <w:left w:val="nil"/>
              <w:bottom w:val="single" w:color="auto" w:sz="8" w:space="0"/>
              <w:right w:val="single" w:color="000000" w:sz="8" w:space="0"/>
            </w:tcBorders>
            <w:shd w:val="clear" w:color="000000" w:fill="auto"/>
            <w:noWrap/>
            <w:vAlign w:val="center"/>
          </w:tcPr>
          <w:p>
            <w:pPr>
              <w:widowControl/>
              <w:jc w:val="center"/>
              <w:rPr>
                <w:rFonts w:ascii="宋体" w:hAnsi="宋体" w:cs="Calibri"/>
                <w:color w:val="000000"/>
                <w:kern w:val="0"/>
                <w:sz w:val="24"/>
                <w:szCs w:val="24"/>
              </w:rPr>
            </w:pPr>
          </w:p>
        </w:tc>
        <w:tc>
          <w:tcPr>
            <w:tcW w:w="709"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Calibri"/>
                <w:color w:val="000000"/>
                <w:kern w:val="0"/>
                <w:sz w:val="24"/>
                <w:szCs w:val="24"/>
              </w:rPr>
            </w:pPr>
          </w:p>
        </w:tc>
        <w:tc>
          <w:tcPr>
            <w:tcW w:w="1276"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p>
        </w:tc>
      </w:tr>
      <w:tr>
        <w:tblPrEx>
          <w:tblCellMar>
            <w:top w:w="0" w:type="dxa"/>
            <w:left w:w="108" w:type="dxa"/>
            <w:bottom w:w="0" w:type="dxa"/>
            <w:right w:w="108" w:type="dxa"/>
          </w:tblCellMar>
        </w:tblPrEx>
        <w:trPr>
          <w:trHeight w:val="285" w:hRule="atLeast"/>
        </w:trPr>
        <w:tc>
          <w:tcPr>
            <w:tcW w:w="780" w:type="dxa"/>
            <w:tcBorders>
              <w:top w:val="nil"/>
              <w:left w:val="single" w:color="auto" w:sz="8" w:space="0"/>
              <w:bottom w:val="single" w:color="auto" w:sz="8" w:space="0"/>
              <w:right w:val="single" w:color="auto" w:sz="8" w:space="0"/>
            </w:tcBorders>
            <w:shd w:val="clear" w:color="000000" w:fill="auto"/>
            <w:noWrap/>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565" w:type="dxa"/>
            <w:tcBorders>
              <w:top w:val="nil"/>
              <w:left w:val="nil"/>
              <w:bottom w:val="single" w:color="auto" w:sz="8" w:space="0"/>
              <w:right w:val="single" w:color="auto" w:sz="8" w:space="0"/>
            </w:tcBorders>
            <w:shd w:val="clear" w:color="000000" w:fill="auto"/>
            <w:noWrap/>
            <w:vAlign w:val="center"/>
          </w:tcPr>
          <w:p>
            <w:pPr>
              <w:widowControl/>
              <w:jc w:val="center"/>
              <w:rPr>
                <w:rFonts w:hint="eastAsia" w:ascii="宋体" w:hAnsi="宋体" w:cs="Calibri"/>
                <w:color w:val="000000"/>
                <w:kern w:val="0"/>
                <w:sz w:val="24"/>
                <w:szCs w:val="24"/>
              </w:rPr>
            </w:pPr>
          </w:p>
        </w:tc>
        <w:tc>
          <w:tcPr>
            <w:tcW w:w="8418" w:type="dxa"/>
            <w:gridSpan w:val="4"/>
            <w:tcBorders>
              <w:top w:val="single" w:color="auto" w:sz="8" w:space="0"/>
              <w:left w:val="nil"/>
              <w:bottom w:val="single" w:color="auto" w:sz="8" w:space="0"/>
              <w:right w:val="single" w:color="000000" w:sz="8" w:space="0"/>
            </w:tcBorders>
            <w:shd w:val="clear" w:color="000000" w:fill="auto"/>
            <w:noWrap/>
            <w:vAlign w:val="center"/>
          </w:tcPr>
          <w:p>
            <w:pPr>
              <w:widowControl/>
              <w:jc w:val="center"/>
              <w:rPr>
                <w:rFonts w:ascii="宋体" w:hAnsi="宋体" w:cs="Calibri"/>
                <w:color w:val="000000"/>
                <w:kern w:val="0"/>
                <w:sz w:val="24"/>
                <w:szCs w:val="24"/>
              </w:rPr>
            </w:pPr>
          </w:p>
        </w:tc>
        <w:tc>
          <w:tcPr>
            <w:tcW w:w="709" w:type="dxa"/>
            <w:tcBorders>
              <w:top w:val="nil"/>
              <w:left w:val="nil"/>
              <w:bottom w:val="single" w:color="auto" w:sz="8" w:space="0"/>
              <w:right w:val="single" w:color="auto" w:sz="8" w:space="0"/>
            </w:tcBorders>
            <w:shd w:val="clear" w:color="000000" w:fill="auto"/>
            <w:noWrap/>
            <w:vAlign w:val="center"/>
          </w:tcPr>
          <w:p>
            <w:pPr>
              <w:widowControl/>
              <w:jc w:val="center"/>
              <w:rPr>
                <w:rFonts w:ascii="宋体" w:hAnsi="宋体" w:cs="Calibri"/>
                <w:color w:val="000000"/>
                <w:kern w:val="0"/>
                <w:sz w:val="24"/>
                <w:szCs w:val="24"/>
              </w:rPr>
            </w:pPr>
          </w:p>
        </w:tc>
        <w:tc>
          <w:tcPr>
            <w:tcW w:w="1276"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p>
        </w:tc>
        <w:tc>
          <w:tcPr>
            <w:tcW w:w="1417" w:type="dxa"/>
            <w:tcBorders>
              <w:top w:val="nil"/>
              <w:left w:val="nil"/>
              <w:bottom w:val="single" w:color="auto" w:sz="8" w:space="0"/>
              <w:right w:val="single" w:color="auto" w:sz="8" w:space="0"/>
            </w:tcBorders>
            <w:shd w:val="clear" w:color="000000" w:fill="auto"/>
            <w:noWrap w:val="0"/>
            <w:vAlign w:val="center"/>
          </w:tcPr>
          <w:p>
            <w:pPr>
              <w:widowControl/>
              <w:jc w:val="center"/>
              <w:rPr>
                <w:rFonts w:ascii="宋体" w:hAnsi="宋体" w:cs="Calibri"/>
                <w:color w:val="000000"/>
                <w:kern w:val="0"/>
                <w:sz w:val="24"/>
                <w:szCs w:val="24"/>
              </w:rPr>
            </w:pPr>
          </w:p>
        </w:tc>
      </w:tr>
      <w:tr>
        <w:tblPrEx>
          <w:tblCellMar>
            <w:top w:w="0" w:type="dxa"/>
            <w:left w:w="108" w:type="dxa"/>
            <w:bottom w:w="0" w:type="dxa"/>
            <w:right w:w="108" w:type="dxa"/>
          </w:tblCellMar>
        </w:tblPrEx>
        <w:trPr>
          <w:trHeight w:val="285" w:hRule="atLeast"/>
        </w:trPr>
        <w:tc>
          <w:tcPr>
            <w:tcW w:w="12748" w:type="dxa"/>
            <w:gridSpan w:val="8"/>
            <w:tcBorders>
              <w:top w:val="single" w:color="auto" w:sz="8" w:space="0"/>
              <w:left w:val="single" w:color="auto" w:sz="8" w:space="0"/>
              <w:bottom w:val="single" w:color="auto" w:sz="8" w:space="0"/>
              <w:right w:val="single" w:color="000000" w:sz="8" w:space="0"/>
            </w:tcBorders>
            <w:noWrap w:val="0"/>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合计</w:t>
            </w:r>
          </w:p>
        </w:tc>
        <w:tc>
          <w:tcPr>
            <w:tcW w:w="1417" w:type="dxa"/>
            <w:tcBorders>
              <w:top w:val="nil"/>
              <w:left w:val="nil"/>
              <w:bottom w:val="single" w:color="auto" w:sz="8" w:space="0"/>
              <w:right w:val="single" w:color="auto" w:sz="8" w:space="0"/>
            </w:tcBorders>
            <w:noWrap w:val="0"/>
            <w:vAlign w:val="center"/>
          </w:tcPr>
          <w:p>
            <w:pPr>
              <w:widowControl/>
              <w:jc w:val="center"/>
              <w:rPr>
                <w:rFonts w:hint="eastAsia" w:ascii="宋体" w:hAnsi="宋体" w:cs="Calibri"/>
                <w:b/>
                <w:bCs/>
                <w:color w:val="000000"/>
                <w:kern w:val="0"/>
                <w:sz w:val="24"/>
                <w:szCs w:val="24"/>
              </w:rPr>
            </w:pPr>
            <w:r>
              <w:rPr>
                <w:rFonts w:hint="eastAsia" w:ascii="宋体" w:hAnsi="宋体" w:cs="Calibri"/>
                <w:b/>
                <w:bCs/>
                <w:color w:val="000000"/>
                <w:kern w:val="0"/>
                <w:sz w:val="24"/>
                <w:szCs w:val="24"/>
              </w:rPr>
              <w:t>496000</w:t>
            </w:r>
            <w:r>
              <w:rPr>
                <w:rFonts w:ascii="宋体" w:hAnsi="宋体" w:cs="Calibri"/>
                <w:b/>
                <w:bCs/>
                <w:color w:val="000000"/>
                <w:kern w:val="0"/>
                <w:sz w:val="24"/>
                <w:szCs w:val="24"/>
              </w:rPr>
              <w:t xml:space="preserve">.00 </w:t>
            </w:r>
          </w:p>
        </w:tc>
      </w:tr>
    </w:tbl>
    <w:p>
      <w:pPr>
        <w:rPr>
          <w:rFonts w:hint="eastAsia" w:ascii="宋体" w:hAnsi="宋体"/>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sectPr>
      <w:pgSz w:w="16838" w:h="11906" w:orient="landscape"/>
      <w:pgMar w:top="1701" w:right="1440" w:bottom="141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zYTUzZDZlYzU2ZmMyNjViMjExMzhmMzE1NGZmMGQifQ=="/>
  </w:docVars>
  <w:rsids>
    <w:rsidRoot w:val="007542E0"/>
    <w:rsid w:val="000152AA"/>
    <w:rsid w:val="00025E2A"/>
    <w:rsid w:val="00030028"/>
    <w:rsid w:val="00033DCE"/>
    <w:rsid w:val="00044C8A"/>
    <w:rsid w:val="000517E3"/>
    <w:rsid w:val="00054433"/>
    <w:rsid w:val="00063CA7"/>
    <w:rsid w:val="0006594F"/>
    <w:rsid w:val="0009743E"/>
    <w:rsid w:val="000B4505"/>
    <w:rsid w:val="000C14F9"/>
    <w:rsid w:val="000F52BE"/>
    <w:rsid w:val="00154A74"/>
    <w:rsid w:val="001737ED"/>
    <w:rsid w:val="001832C6"/>
    <w:rsid w:val="00191564"/>
    <w:rsid w:val="001A0A10"/>
    <w:rsid w:val="001B0C0E"/>
    <w:rsid w:val="0020185C"/>
    <w:rsid w:val="0022797A"/>
    <w:rsid w:val="00243293"/>
    <w:rsid w:val="002505D0"/>
    <w:rsid w:val="002523EA"/>
    <w:rsid w:val="002612B8"/>
    <w:rsid w:val="00263345"/>
    <w:rsid w:val="002B2887"/>
    <w:rsid w:val="002C02AE"/>
    <w:rsid w:val="002D0555"/>
    <w:rsid w:val="002E5EC3"/>
    <w:rsid w:val="00342CE8"/>
    <w:rsid w:val="00354D47"/>
    <w:rsid w:val="0035764B"/>
    <w:rsid w:val="00375945"/>
    <w:rsid w:val="003A78D4"/>
    <w:rsid w:val="003C37D9"/>
    <w:rsid w:val="003E77F6"/>
    <w:rsid w:val="003F0CFA"/>
    <w:rsid w:val="003F1542"/>
    <w:rsid w:val="003F5126"/>
    <w:rsid w:val="00424A5D"/>
    <w:rsid w:val="00435970"/>
    <w:rsid w:val="00442B73"/>
    <w:rsid w:val="00451C7B"/>
    <w:rsid w:val="00460587"/>
    <w:rsid w:val="00465B43"/>
    <w:rsid w:val="004730D2"/>
    <w:rsid w:val="00480175"/>
    <w:rsid w:val="004823D6"/>
    <w:rsid w:val="004C1E69"/>
    <w:rsid w:val="004D7D55"/>
    <w:rsid w:val="004E228F"/>
    <w:rsid w:val="004E53F6"/>
    <w:rsid w:val="004F0933"/>
    <w:rsid w:val="004F1AE6"/>
    <w:rsid w:val="004F50DE"/>
    <w:rsid w:val="005033A0"/>
    <w:rsid w:val="005145F6"/>
    <w:rsid w:val="005234D9"/>
    <w:rsid w:val="00525D40"/>
    <w:rsid w:val="00526851"/>
    <w:rsid w:val="0058402F"/>
    <w:rsid w:val="0059004B"/>
    <w:rsid w:val="005A0F81"/>
    <w:rsid w:val="005A7BB8"/>
    <w:rsid w:val="005B26CF"/>
    <w:rsid w:val="00602EDA"/>
    <w:rsid w:val="006276B8"/>
    <w:rsid w:val="006466AF"/>
    <w:rsid w:val="00653F8B"/>
    <w:rsid w:val="006554C0"/>
    <w:rsid w:val="00696A10"/>
    <w:rsid w:val="006A4F00"/>
    <w:rsid w:val="006E3C93"/>
    <w:rsid w:val="006E517D"/>
    <w:rsid w:val="006F5233"/>
    <w:rsid w:val="007542E0"/>
    <w:rsid w:val="00766466"/>
    <w:rsid w:val="00781EF6"/>
    <w:rsid w:val="007A68BB"/>
    <w:rsid w:val="007A6C32"/>
    <w:rsid w:val="007E3B8B"/>
    <w:rsid w:val="007F583C"/>
    <w:rsid w:val="008239C0"/>
    <w:rsid w:val="00823E4E"/>
    <w:rsid w:val="008262F6"/>
    <w:rsid w:val="00844ED7"/>
    <w:rsid w:val="0085172E"/>
    <w:rsid w:val="008568A7"/>
    <w:rsid w:val="008609D8"/>
    <w:rsid w:val="00871A0B"/>
    <w:rsid w:val="00884634"/>
    <w:rsid w:val="00893BE6"/>
    <w:rsid w:val="00894C28"/>
    <w:rsid w:val="008A1B77"/>
    <w:rsid w:val="008C00DA"/>
    <w:rsid w:val="008D1068"/>
    <w:rsid w:val="008E1603"/>
    <w:rsid w:val="008F62C3"/>
    <w:rsid w:val="00900F7A"/>
    <w:rsid w:val="00907C5D"/>
    <w:rsid w:val="00923320"/>
    <w:rsid w:val="00923CA6"/>
    <w:rsid w:val="009240C7"/>
    <w:rsid w:val="00942F20"/>
    <w:rsid w:val="009749A7"/>
    <w:rsid w:val="009A7D5E"/>
    <w:rsid w:val="009D5315"/>
    <w:rsid w:val="009E3F73"/>
    <w:rsid w:val="00A070A8"/>
    <w:rsid w:val="00A32F8C"/>
    <w:rsid w:val="00A43CD5"/>
    <w:rsid w:val="00A44641"/>
    <w:rsid w:val="00A533E2"/>
    <w:rsid w:val="00A60391"/>
    <w:rsid w:val="00A7702D"/>
    <w:rsid w:val="00AB310A"/>
    <w:rsid w:val="00AD5009"/>
    <w:rsid w:val="00AE4481"/>
    <w:rsid w:val="00B33CDE"/>
    <w:rsid w:val="00B7115C"/>
    <w:rsid w:val="00B71651"/>
    <w:rsid w:val="00B95BAA"/>
    <w:rsid w:val="00BB089E"/>
    <w:rsid w:val="00BF24A6"/>
    <w:rsid w:val="00BF70FB"/>
    <w:rsid w:val="00C00820"/>
    <w:rsid w:val="00C039A3"/>
    <w:rsid w:val="00C03A46"/>
    <w:rsid w:val="00C11DE0"/>
    <w:rsid w:val="00C21619"/>
    <w:rsid w:val="00C31F69"/>
    <w:rsid w:val="00C36A85"/>
    <w:rsid w:val="00C63B2B"/>
    <w:rsid w:val="00C640CA"/>
    <w:rsid w:val="00C6460C"/>
    <w:rsid w:val="00C85C86"/>
    <w:rsid w:val="00C924B3"/>
    <w:rsid w:val="00C95D11"/>
    <w:rsid w:val="00CF67FF"/>
    <w:rsid w:val="00CF715D"/>
    <w:rsid w:val="00D0230C"/>
    <w:rsid w:val="00D02FCB"/>
    <w:rsid w:val="00D26A49"/>
    <w:rsid w:val="00D30F9C"/>
    <w:rsid w:val="00D44F64"/>
    <w:rsid w:val="00D47C9E"/>
    <w:rsid w:val="00D64B94"/>
    <w:rsid w:val="00DA00B3"/>
    <w:rsid w:val="00DC0835"/>
    <w:rsid w:val="00DC48FF"/>
    <w:rsid w:val="00DE45BD"/>
    <w:rsid w:val="00E0220D"/>
    <w:rsid w:val="00E06770"/>
    <w:rsid w:val="00E31310"/>
    <w:rsid w:val="00E32883"/>
    <w:rsid w:val="00E607AC"/>
    <w:rsid w:val="00E63375"/>
    <w:rsid w:val="00E818EA"/>
    <w:rsid w:val="00E81D6A"/>
    <w:rsid w:val="00EA4B7B"/>
    <w:rsid w:val="00ED37A4"/>
    <w:rsid w:val="00EE31ED"/>
    <w:rsid w:val="00EE49DF"/>
    <w:rsid w:val="00F038D0"/>
    <w:rsid w:val="00F32483"/>
    <w:rsid w:val="00F3661A"/>
    <w:rsid w:val="00F446DA"/>
    <w:rsid w:val="00F71343"/>
    <w:rsid w:val="00F75109"/>
    <w:rsid w:val="00F904A3"/>
    <w:rsid w:val="00FA66CA"/>
    <w:rsid w:val="00FB0306"/>
    <w:rsid w:val="00FB5BA8"/>
    <w:rsid w:val="00FB7CE8"/>
    <w:rsid w:val="00FD384F"/>
    <w:rsid w:val="00FD47FB"/>
    <w:rsid w:val="00FD5CB4"/>
    <w:rsid w:val="00FF0746"/>
    <w:rsid w:val="00FF3F4F"/>
    <w:rsid w:val="00FF5AAB"/>
    <w:rsid w:val="033B6E6B"/>
    <w:rsid w:val="041E18A5"/>
    <w:rsid w:val="04FC4516"/>
    <w:rsid w:val="0601332E"/>
    <w:rsid w:val="07B74AED"/>
    <w:rsid w:val="093E75E3"/>
    <w:rsid w:val="09726FF2"/>
    <w:rsid w:val="0AC40184"/>
    <w:rsid w:val="0EEC5BC1"/>
    <w:rsid w:val="0F375C57"/>
    <w:rsid w:val="10281004"/>
    <w:rsid w:val="108F06DD"/>
    <w:rsid w:val="12E81275"/>
    <w:rsid w:val="16E47A20"/>
    <w:rsid w:val="1A027607"/>
    <w:rsid w:val="1A9E6B4A"/>
    <w:rsid w:val="1B0F5B73"/>
    <w:rsid w:val="1B4C70B5"/>
    <w:rsid w:val="1FB43A7B"/>
    <w:rsid w:val="21D05D2B"/>
    <w:rsid w:val="246C707C"/>
    <w:rsid w:val="247A4353"/>
    <w:rsid w:val="25FB518D"/>
    <w:rsid w:val="27847894"/>
    <w:rsid w:val="2D992527"/>
    <w:rsid w:val="2EE5656D"/>
    <w:rsid w:val="30E868BA"/>
    <w:rsid w:val="31A54A43"/>
    <w:rsid w:val="339D01C6"/>
    <w:rsid w:val="35AA617E"/>
    <w:rsid w:val="383412F3"/>
    <w:rsid w:val="38E45D1C"/>
    <w:rsid w:val="3DF40CC1"/>
    <w:rsid w:val="41421BAA"/>
    <w:rsid w:val="414B4916"/>
    <w:rsid w:val="45F20273"/>
    <w:rsid w:val="49061ABB"/>
    <w:rsid w:val="49BC395C"/>
    <w:rsid w:val="4A663DFF"/>
    <w:rsid w:val="4AC10885"/>
    <w:rsid w:val="4D990B9C"/>
    <w:rsid w:val="4F4D104D"/>
    <w:rsid w:val="4FB34CBE"/>
    <w:rsid w:val="51634A02"/>
    <w:rsid w:val="51E57DDD"/>
    <w:rsid w:val="52C27562"/>
    <w:rsid w:val="53077BCA"/>
    <w:rsid w:val="56BE0668"/>
    <w:rsid w:val="5F3F3957"/>
    <w:rsid w:val="624D3D25"/>
    <w:rsid w:val="66AB1DBB"/>
    <w:rsid w:val="698E6DB2"/>
    <w:rsid w:val="6AA71259"/>
    <w:rsid w:val="6BB42A0C"/>
    <w:rsid w:val="6F004D4E"/>
    <w:rsid w:val="70610073"/>
    <w:rsid w:val="7298352A"/>
    <w:rsid w:val="73C240BE"/>
    <w:rsid w:val="78090E99"/>
    <w:rsid w:val="784933B8"/>
    <w:rsid w:val="79E4172E"/>
    <w:rsid w:val="7B0F7141"/>
    <w:rsid w:val="7C112A59"/>
    <w:rsid w:val="7D8652AA"/>
    <w:rsid w:val="7DBD0D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9"/>
    <w:semiHidden/>
    <w:unhideWhenUsed/>
    <w:qFormat/>
    <w:uiPriority w:val="0"/>
    <w:rPr>
      <w:rFonts w:ascii="宋体" w:eastAsia="宋体"/>
      <w:sz w:val="18"/>
      <w:szCs w:val="18"/>
    </w:rPr>
  </w:style>
  <w:style w:type="paragraph" w:styleId="5">
    <w:name w:val="Plain Text"/>
    <w:basedOn w:val="1"/>
    <w:link w:val="27"/>
    <w:qFormat/>
    <w:uiPriority w:val="0"/>
    <w:rPr>
      <w:rFonts w:ascii="宋体" w:hAnsi="Courier New"/>
      <w:szCs w:val="22"/>
    </w:rPr>
  </w:style>
  <w:style w:type="paragraph" w:styleId="6">
    <w:name w:val="Balloon Text"/>
    <w:basedOn w:val="1"/>
    <w:link w:val="28"/>
    <w:semiHidden/>
    <w:unhideWhenUsed/>
    <w:qFormat/>
    <w:uiPriority w:val="0"/>
    <w:rPr>
      <w:sz w:val="18"/>
      <w:szCs w:val="18"/>
    </w:rPr>
  </w:style>
  <w:style w:type="paragraph" w:styleId="7">
    <w:name w:val="footer"/>
    <w:basedOn w:val="1"/>
    <w:link w:val="26"/>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jc w:val="left"/>
    </w:pPr>
    <w:rPr>
      <w:rFonts w:cs="Times New Roman"/>
      <w:kern w:val="0"/>
      <w:sz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bCs/>
    </w:rPr>
  </w:style>
  <w:style w:type="character" w:styleId="14">
    <w:name w:val="FollowedHyperlink"/>
    <w:basedOn w:val="12"/>
    <w:qFormat/>
    <w:uiPriority w:val="0"/>
    <w:rPr>
      <w:color w:val="800080"/>
      <w:u w:val="none"/>
    </w:rPr>
  </w:style>
  <w:style w:type="character" w:styleId="15">
    <w:name w:val="Emphasis"/>
    <w:basedOn w:val="12"/>
    <w:qFormat/>
    <w:uiPriority w:val="0"/>
    <w:rPr>
      <w:b/>
      <w:bCs/>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hint="default"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styleId="25">
    <w:name w:val="List Paragraph"/>
    <w:basedOn w:val="1"/>
    <w:qFormat/>
    <w:uiPriority w:val="99"/>
    <w:pPr>
      <w:ind w:firstLine="420" w:firstLineChars="200"/>
    </w:pPr>
  </w:style>
  <w:style w:type="character" w:customStyle="1" w:styleId="26">
    <w:name w:val="页脚 Char"/>
    <w:basedOn w:val="12"/>
    <w:link w:val="7"/>
    <w:qFormat/>
    <w:uiPriority w:val="0"/>
    <w:rPr>
      <w:rFonts w:asciiTheme="minorHAnsi" w:hAnsiTheme="minorHAnsi" w:eastAsiaTheme="minorEastAsia"/>
      <w:kern w:val="2"/>
      <w:sz w:val="18"/>
      <w:szCs w:val="18"/>
    </w:rPr>
  </w:style>
  <w:style w:type="character" w:customStyle="1" w:styleId="27">
    <w:name w:val="纯文本 Char"/>
    <w:basedOn w:val="12"/>
    <w:link w:val="5"/>
    <w:qFormat/>
    <w:uiPriority w:val="0"/>
    <w:rPr>
      <w:rFonts w:ascii="宋体" w:hAnsi="Courier New" w:eastAsiaTheme="minorEastAsia"/>
      <w:kern w:val="2"/>
      <w:sz w:val="21"/>
      <w:szCs w:val="22"/>
    </w:rPr>
  </w:style>
  <w:style w:type="character" w:customStyle="1" w:styleId="28">
    <w:name w:val="批注框文本 Char"/>
    <w:basedOn w:val="12"/>
    <w:link w:val="6"/>
    <w:semiHidden/>
    <w:qFormat/>
    <w:uiPriority w:val="0"/>
    <w:rPr>
      <w:kern w:val="2"/>
      <w:sz w:val="18"/>
      <w:szCs w:val="18"/>
    </w:rPr>
  </w:style>
  <w:style w:type="character" w:customStyle="1" w:styleId="29">
    <w:name w:val="文档结构图 Char"/>
    <w:basedOn w:val="12"/>
    <w:link w:val="4"/>
    <w:semiHidden/>
    <w:qFormat/>
    <w:uiPriority w:val="0"/>
    <w:rPr>
      <w:rFonts w:ascii="宋体" w:eastAsia="宋体"/>
      <w:kern w:val="2"/>
      <w:sz w:val="18"/>
      <w:szCs w:val="18"/>
    </w:rPr>
  </w:style>
  <w:style w:type="paragraph" w:customStyle="1" w:styleId="30">
    <w:name w:val="※正文"/>
    <w:basedOn w:val="1"/>
    <w:next w:val="1"/>
    <w:qFormat/>
    <w:uiPriority w:val="0"/>
    <w:pPr>
      <w:widowControl/>
      <w:wordWrap w:val="0"/>
      <w:spacing w:line="400" w:lineRule="exact"/>
    </w:pPr>
    <w:rPr>
      <w:rFonts w:ascii="Calibri Light" w:hAnsi="Calibri Light" w:eastAsia="华文仿宋"/>
      <w:sz w:val="28"/>
      <w:szCs w:val="28"/>
    </w:rPr>
  </w:style>
  <w:style w:type="paragraph" w:customStyle="1" w:styleId="31">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32">
    <w:name w:val="※章节标题（第Z部分分项）"/>
    <w:basedOn w:val="1"/>
    <w:qFormat/>
    <w:uiPriority w:val="0"/>
    <w:pPr>
      <w:widowControl/>
      <w:jc w:val="center"/>
      <w:outlineLvl w:val="2"/>
    </w:pPr>
    <w:rPr>
      <w:rFonts w:ascii="Calibri Light" w:hAnsi="Calibri Light" w:eastAsia="黑体"/>
      <w:color w:val="1F4E79"/>
      <w:kern w:val="0"/>
      <w:sz w:val="32"/>
      <w:szCs w:val="3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Pages>
  <Words>574</Words>
  <Characters>685</Characters>
  <Lines>1</Lines>
  <Paragraphs>1</Paragraphs>
  <TotalTime>8</TotalTime>
  <ScaleCrop>false</ScaleCrop>
  <LinksUpToDate>false</LinksUpToDate>
  <CharactersWithSpaces>707</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2024-10-23T04:30:00Z</dcterms:created>
  <dc:creator>admin</dc:creator>
  <cp:lastModifiedBy>趋之若鹜</cp:lastModifiedBy>
  <cp:lastPrinted>2026-03-25T04:43:00Z</cp:lastPrinted>
  <dcterms:modified xsi:type="dcterms:W3CDTF">2026-03-25T09:28:13Z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0E714A7D74F0421DAE7714AB33786D53</vt:lpwstr>
  </property>
  <property fmtid="{D5CDD505-2E9C-101B-9397-08002B2CF9AE}" pid="4" name="KSOTemplateDocerSaveRecord">
    <vt:lpwstr>eyJoZGlkIjoiYTk0YzVlMzk2M2IzYjA5YjI0OThkYmMxMTI4M2IzMjIifQ==</vt:lpwstr>
  </property>
</Properties>
</file>