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CF12B">
      <w:pPr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技术参数及要求</w:t>
      </w:r>
    </w:p>
    <w:p w14:paraId="3C20FE1D">
      <w:pPr>
        <w:spacing w:line="360" w:lineRule="auto"/>
        <w:ind w:firstLine="120" w:firstLineChars="5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一．项目概述</w:t>
      </w:r>
    </w:p>
    <w:p w14:paraId="4E7A148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陕西省杂交油菜研究中心主要油料作物（油菜、大豆）品种选育仪器设备采购项目</w:t>
      </w:r>
    </w:p>
    <w:p w14:paraId="7CFE899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2、交 货 期：合同签订之日起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日历日内完成供货及安装，并交付甲方验收合格。</w:t>
      </w:r>
    </w:p>
    <w:p w14:paraId="57342DC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3、质保期：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</w:p>
    <w:p w14:paraId="67A6E632">
      <w:pPr>
        <w:spacing w:line="360" w:lineRule="auto"/>
        <w:ind w:right="-168" w:rightChars="-8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二．技术要求</w:t>
      </w:r>
    </w:p>
    <w:p w14:paraId="7678EF44">
      <w:pPr>
        <w:spacing w:line="360" w:lineRule="auto"/>
        <w:ind w:left="479" w:leftChars="228" w:right="-168" w:rightChars="-80" w:firstLine="0" w:firstLineChars="0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eastAsia="zh-CN"/>
        </w:rPr>
        <w:t>说明：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“★”参数出现负偏离，按无效文件处理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；</w:t>
      </w:r>
    </w:p>
    <w:p w14:paraId="3DD2CE36">
      <w:pPr>
        <w:spacing w:line="360" w:lineRule="auto"/>
        <w:ind w:left="479" w:leftChars="228" w:right="-168" w:rightChars="-80" w:firstLine="0" w:firstLineChars="0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“未带标识”参数</w:t>
      </w: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出现负偏离为扣分项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；</w:t>
      </w:r>
    </w:p>
    <w:p w14:paraId="0CB8E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default" w:ascii="宋体" w:hAnsi="宋体" w:cs="宋体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需提供佐证材料不限于制造商盖章的产品说明书、技术白皮书、官网截图等佐证资料并加盖公章。</w:t>
      </w:r>
    </w:p>
    <w:p w14:paraId="7388AE65">
      <w:pPr>
        <w:spacing w:line="336" w:lineRule="auto"/>
        <w:rPr>
          <w:rFonts w:hint="default" w:ascii="宋体" w:hAnsi="宋体" w:eastAsia="宋体" w:cs="宋体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包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分子育种：设备技术要求：</w:t>
      </w:r>
    </w:p>
    <w:tbl>
      <w:tblPr>
        <w:tblStyle w:val="10"/>
        <w:tblW w:w="5164" w:type="pct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76"/>
        <w:gridCol w:w="1080"/>
        <w:gridCol w:w="5852"/>
      </w:tblGrid>
      <w:tr w14:paraId="378C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42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DF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143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  <w:p w14:paraId="3950CB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（台/套）</w:t>
            </w:r>
          </w:p>
        </w:tc>
        <w:tc>
          <w:tcPr>
            <w:tcW w:w="3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D9A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542B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A4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744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高速冷冻离心机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B4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最大相对离心力（rcf）：1.5 ml固定角转： 20,800 × g（14,000 rpm）                                           5 ml固定角转： 20,913 × g（14,000 rpm）</w:t>
            </w:r>
          </w:p>
          <w:p w14:paraId="77C76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 ml固定角转：20,130 x g (12,100 rpm)</w:t>
            </w:r>
          </w:p>
          <w:p w14:paraId="100FB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水平转子：4,500 × g（5,000 rpm）</w:t>
            </w:r>
          </w:p>
          <w:p w14:paraId="68842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工作板转子：2,250 × g（3,700 rpm）</w:t>
            </w:r>
          </w:p>
          <w:p w14:paraId="7159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转速/离心力： 200 ‐ 14,00 rpm；200 ‐ 5,000 rpm，10 rpm 递增；5,000-14,000 rpm, 100 rpm递增</w:t>
            </w:r>
          </w:p>
          <w:p w14:paraId="1CD31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离心力：10 - 20,913 x g；10 ‐ 3,000 x g, 10 x g 递增；3,000 - 20,913 x g，100 x g递增</w:t>
            </w:r>
          </w:p>
          <w:p w14:paraId="0B3D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离心时间：1 min ‐ 99 min，1 min 递增；</w:t>
            </w:r>
          </w:p>
          <w:p w14:paraId="35D6D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最大转子容量： 4 × 750 mL 离心管；</w:t>
            </w:r>
          </w:p>
          <w:p w14:paraId="3770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最大容量：4 × 750 mL （水平转子），6 × 85 mL、48 × 1.5 /2.0 mL、20 × 5 mL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离心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管、48 × 15 mL 玻璃管（ 固定角转），16 × MTP（工作板转子）</w:t>
            </w:r>
          </w:p>
          <w:p w14:paraId="0AED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具备自动识别转子、限速控制和转子失衡控制等功能，确保离心安全</w:t>
            </w:r>
          </w:p>
          <w:p w14:paraId="14910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可选择程序记忆功能，最多存储35 个用户程序</w:t>
            </w:r>
          </w:p>
          <w:p w14:paraId="642A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铝合金材质转子, 导热性好，保护温度敏感性样品</w:t>
            </w:r>
          </w:p>
          <w:p w14:paraId="3890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具有5 ml Ep固定角转，离心力不小于20,913 × g</w:t>
            </w:r>
          </w:p>
          <w:p w14:paraId="2EC12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工作板转子，最大承载高度不小于89 mm</w:t>
            </w:r>
          </w:p>
          <w:p w14:paraId="0C09F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定速计时功能，达到预定转速后才开始倒计时，提高离心重复性</w:t>
            </w:r>
          </w:p>
          <w:p w14:paraId="5219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温度范围：-9°C 至40°C</w:t>
            </w:r>
          </w:p>
          <w:p w14:paraId="5E2D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快速制冷功能，只需15分钟即可预冷腔体</w:t>
            </w:r>
          </w:p>
          <w:p w14:paraId="651CC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待机冷却功能，离心机盖关闭的状态下保持设定温度 </w:t>
            </w:r>
          </w:p>
          <w:p w14:paraId="6964B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内置冷凝水槽，避免水珠积聚，防止腐蚀</w:t>
            </w:r>
          </w:p>
          <w:p w14:paraId="4BA0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配置：</w:t>
            </w:r>
          </w:p>
          <w:p w14:paraId="1A4B0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①主机1套</w:t>
            </w:r>
          </w:p>
          <w:p w14:paraId="686A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②水平转子4 x 750 ml，最大转速：3,900 rpm, 最大离心力：3,214 x g；</w:t>
            </w:r>
          </w:p>
          <w:p w14:paraId="3A97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③适配器：16 x 15 ml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离心管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，4个；7 x 50 ml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离心管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，4个；</w:t>
            </w:r>
          </w:p>
          <w:p w14:paraId="36F18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④微孔板吊蓝 4个</w:t>
            </w:r>
          </w:p>
        </w:tc>
      </w:tr>
      <w:tr w14:paraId="507B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78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49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移液工作站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52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0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基本功能：全自动完成生命科学各类实验中的液体转移和样本处理工作，如样本和试剂的移液、连续分液、混合等；若选配有相应功能模块则还可执行移液流程中所需的样本制冷、震荡混合等。</w:t>
            </w:r>
          </w:p>
          <w:p w14:paraId="48247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含1个可X、Y、Z独立运转的机械臂，搭载8通道移液核心，定位精度±0.1mm。</w:t>
            </w:r>
          </w:p>
          <w:p w14:paraId="6C5F7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移液通道：8通道移液，也可软件自动控制错位加载1~8数量的枪头。</w:t>
            </w:r>
          </w:p>
          <w:p w14:paraId="59D07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移液准确性：5μL，±6%；50μL，±2%；200μL，±1.5%；1000μL，±1%。</w:t>
            </w:r>
          </w:p>
          <w:p w14:paraId="157CF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移液均一性：5uL，≤3%; 50μL，≤1%；200μL，≤0.5%；1000μL，≤0.3%。</w:t>
            </w:r>
          </w:p>
          <w:p w14:paraId="61B17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移液核心可匹配10μL、50μL、300μL、1000μL等多种规格的塑料枪头，移液可使用普通塑料枪头、无菌无热源枪头、带滤芯枪头等。</w:t>
            </w:r>
          </w:p>
          <w:p w14:paraId="6EBF1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可适配各类96孔板、384孔板，酶标板、PCR板等。</w:t>
            </w:r>
          </w:p>
          <w:p w14:paraId="6A283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80" w:leftChars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24+8试剂管适配器：试剂管适配器可插入24个1.5mL EP管或2mL试剂管，还可额外插入1条PCR8联排管。</w:t>
            </w:r>
          </w:p>
          <w:p w14:paraId="7CC06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20" w:leftChars="20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>可选配金属浴模块：可选择搭载试剂管适配器或PCR板适配器，分别用于低温保护试剂管或PCR板内的试剂；温度范围：4℃~室温。</w:t>
            </w:r>
          </w:p>
          <w:p w14:paraId="1274E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360" w:lineRule="auto"/>
              <w:ind w:left="420" w:leftChars="20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TW" w:bidi="ar-SA"/>
              </w:rPr>
              <w:t xml:space="preserve">可选配震荡模块：振动幅度：100-1200rpm。 </w:t>
            </w:r>
          </w:p>
        </w:tc>
      </w:tr>
      <w:tr w14:paraId="209DC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7B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F2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PCR扩增仪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AF0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1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配备5.7"高分辨率彩色液晶触摸屏，方便程序设置，图文实时显示温控及运行状态</w:t>
            </w:r>
          </w:p>
          <w:p w14:paraId="0C39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容量：96孔</w:t>
            </w:r>
          </w:p>
          <w:p w14:paraId="12C4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PCR管：0.2 ml 单管、八连管、96孔板</w:t>
            </w:r>
          </w:p>
          <w:p w14:paraId="4E13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升降温速率：4℃/秒</w:t>
            </w:r>
          </w:p>
          <w:p w14:paraId="1A6F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温度梯度：同时运行8个不同温度；温度梯度范围：30 - 100℃；温差范围：1 - 25℃，孵育时间：相同；</w:t>
            </w:r>
          </w:p>
          <w:p w14:paraId="6A092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温控范围：4-100℃</w:t>
            </w:r>
          </w:p>
          <w:p w14:paraId="6228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温度精度：0.5℃</w:t>
            </w:r>
          </w:p>
          <w:p w14:paraId="659F1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温度均一性：0.5℃</w:t>
            </w:r>
          </w:p>
          <w:p w14:paraId="13A78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可存储500个用户程序</w:t>
            </w:r>
          </w:p>
          <w:p w14:paraId="26DF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接口：1个USB⑩</w:t>
            </w:r>
          </w:p>
        </w:tc>
      </w:tr>
      <w:tr w14:paraId="1B18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6B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98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全自动立式高压蒸汽灭菌器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83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D49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有效容积：≥100L</w:t>
            </w:r>
          </w:p>
          <w:p w14:paraId="5D5CCE6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腔体材质：06Cr19Ni10（304）不锈钢</w:t>
            </w:r>
          </w:p>
          <w:p w14:paraId="18991DC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设计压力：-0.1 MPa ～ 0.28 MPa</w:t>
            </w:r>
          </w:p>
          <w:p w14:paraId="7819F35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设计温度：142℃</w:t>
            </w:r>
          </w:p>
          <w:p w14:paraId="715446D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灭菌温度范围：105℃～138℃ </w:t>
            </w:r>
          </w:p>
          <w:p w14:paraId="62BC1750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熔解温度范围：60℃～100℃</w:t>
            </w:r>
          </w:p>
          <w:p w14:paraId="09623B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保温温度范围：40℃～60℃</w:t>
            </w:r>
          </w:p>
          <w:p w14:paraId="09DF109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温度显示精度：0.1℃</w:t>
            </w:r>
          </w:p>
          <w:p w14:paraId="7F683FA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时间设定范围：0～99h59min</w:t>
            </w:r>
          </w:p>
          <w:p w14:paraId="7AF30D7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压力表量程：0～0.4MPa</w:t>
            </w:r>
          </w:p>
          <w:p w14:paraId="1E1F423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控制与功能要求</w:t>
            </w:r>
          </w:p>
          <w:p w14:paraId="581653B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①控制方式：微电脑全自动控制，触摸按键，LED 数字显示 ② 程序模式：内置器械、敷料、橡胶、液体、培养基等专用程序，支持自定义 ③ 排气模式：快排、慢排、不排三档可选 ④ 排气方式：正压动态脉冲排气，排除冷空气更彻底  ⑤干燥功能：腔壁加热 + 后热力干燥，灭菌后物品干燥无冷凝水⑥ 循环方式：内置水箱，汽水内循环，无蒸汽外排⑦ 预热功能：开机自动预热⑧ 显示功能：温度、时间、程序、动态曲线显示⑨ 报警功能：故障代码显示、声光报警⑩ 数据输出：支持选配打印机</w:t>
            </w:r>
          </w:p>
          <w:p w14:paraId="68D3BD5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.安全保护系统</w:t>
            </w:r>
          </w:p>
          <w:p w14:paraId="6F55494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门安全联锁装置：有压力时无法开门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超温自动保护：超温自动停止加热并报警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超压安全阀保护：压力超标自动泄压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防干烧保护：缺水自动停机报警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电气过载、短路保护 </w:t>
            </w:r>
          </w:p>
          <w:p w14:paraId="21CE932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.结构与配置</w:t>
            </w:r>
          </w:p>
          <w:p w14:paraId="23B2584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门体：手动平移式密封门</w:t>
            </w:r>
          </w:p>
          <w:p w14:paraId="7E31D18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密封圈：自胀式医用硅橡胶</w:t>
            </w:r>
          </w:p>
          <w:p w14:paraId="236E3D6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标配不锈钢消毒提篮2 个</w:t>
            </w:r>
          </w:p>
          <w:p w14:paraId="7CF956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整机保温层设计，节能防烫</w:t>
            </w:r>
          </w:p>
        </w:tc>
      </w:tr>
    </w:tbl>
    <w:p w14:paraId="5AFED80F">
      <w:pPr>
        <w:autoSpaceDE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包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. 生物技术研究室采购计划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tbl>
      <w:tblPr>
        <w:tblStyle w:val="10"/>
        <w:tblW w:w="8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47"/>
        <w:gridCol w:w="1174"/>
        <w:gridCol w:w="5862"/>
      </w:tblGrid>
      <w:tr w14:paraId="749B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B62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04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1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  <w:p w14:paraId="0B43E2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A1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089B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A8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6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3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D7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1.容积≧630L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3BB53F9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2.储藏温度：负40到负86℃；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3.制冷方式：直冷；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4.显示精度：0.1℃；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5.内胆材质：304不锈钢；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6.冻存架装载量：2英寸标准冻存盒≧400个，2ml标准冻存管≧40000份样本；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7.独立的冷链监控系统，可独立实时监控冰箱温度变化并随时在线查询温度变化记录；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8.中国质量认证中心节能、环保双认证。</w:t>
            </w:r>
          </w:p>
        </w:tc>
      </w:tr>
      <w:tr w14:paraId="0956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9F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43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微量电动移液器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58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96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1.功能在选项盘上，操作方便，5种功能模式可直接通过选项盘选择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2.彩色液晶屏显示，可用≧9种语言（含中文）快速而简便地编程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3.弹性吸嘴功能，安装和脱卸吸头用力小，移液重复性高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4.下半支可徒手拆卸，维护方便简单，整个下半支可高温高压灭菌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5.具备用户调节功能，可根据实际情况调整移液器，如海拔高度、液体属性等，使移液更精准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★6.8通道移液器具有通道指示器，确保移液器工作时方向性一致，提高精确度,量程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1200微升。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7.8通道移液器独立通道设计，每个通道可单独拆卸，维护简单灵活</w:t>
            </w:r>
          </w:p>
        </w:tc>
      </w:tr>
      <w:tr w14:paraId="2766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36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BE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高压灭菌锅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CE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E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容积≧75升；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功率：3.5KW；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.工作温度：135-139℃；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.工作压力：0.22-0.25MPa；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.灭菌定时：4-120分钟；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.材质：SUS304不锈钢（内胆、外壳、网篮）</w:t>
            </w:r>
          </w:p>
          <w:p w14:paraId="1DD909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.提篮2个；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.安全功能：首轮式快开门联锁，超温/超压/断水/低水位保护、自动排气、蜂鸣提醒。</w:t>
            </w:r>
          </w:p>
        </w:tc>
      </w:tr>
      <w:tr w14:paraId="23B5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7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A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超低温培养箱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7F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E5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★1.控温范围-25～55℃；</w:t>
            </w:r>
          </w:p>
          <w:p w14:paraId="2A6B8C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湿度范围：50-95%RH；</w:t>
            </w:r>
          </w:p>
          <w:p w14:paraId="73278C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光照强度：0-20000LX；</w:t>
            </w:r>
          </w:p>
          <w:p w14:paraId="3CFEE0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4.容积≧500L。</w:t>
            </w:r>
          </w:p>
        </w:tc>
      </w:tr>
      <w:tr w14:paraId="10BB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11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D4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冷冻干燥机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38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23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1.冷阱最低温度：≤-80℃；</w:t>
            </w:r>
          </w:p>
          <w:p w14:paraId="1A6183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冻干面积(㎡)≧0.12；</w:t>
            </w:r>
          </w:p>
          <w:p w14:paraId="6B71D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捕水容量（kg/批）≧3；</w:t>
            </w:r>
          </w:p>
          <w:p w14:paraId="19F13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装瓶量：Φ12mm：920，Φ16mm：480，Φ22mm：260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8FF73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盘装溶液（L)≧1.5；</w:t>
            </w:r>
          </w:p>
          <w:p w14:paraId="69321F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板层尺寸（mm）≧Φ200；</w:t>
            </w:r>
          </w:p>
          <w:p w14:paraId="65D35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板层间距(mm)≧70；</w:t>
            </w:r>
          </w:p>
          <w:p w14:paraId="557BB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板层数量(块）≧4；</w:t>
            </w:r>
          </w:p>
          <w:p w14:paraId="2B75AA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9.冷阱尺寸（mm）≧Φ250×150</w:t>
            </w:r>
          </w:p>
        </w:tc>
      </w:tr>
      <w:tr w14:paraId="20D5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4E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4E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多功能离心机配套转子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9D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6F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1.4x250ml方杯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吊桶转子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F0CC2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2.4×4个96孔微孔板转子；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★3.转子适配Genespeed1580R离心机；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4.转速≥4000rpm。</w:t>
            </w:r>
          </w:p>
        </w:tc>
      </w:tr>
    </w:tbl>
    <w:p w14:paraId="1B170221">
      <w:pPr>
        <w:autoSpaceDE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.植保研究室：产品参数要求</w:t>
      </w:r>
    </w:p>
    <w:tbl>
      <w:tblPr>
        <w:tblStyle w:val="11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15"/>
        <w:gridCol w:w="958"/>
        <w:gridCol w:w="6239"/>
      </w:tblGrid>
      <w:tr w14:paraId="20E6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C0F6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3B3C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0D7A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  <w:p w14:paraId="4B8FEE03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A59D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479C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6BD8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C76F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酶标仪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AA0A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C78E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1.波长范围：320-1000nm（钨灯）</w:t>
            </w:r>
          </w:p>
          <w:p w14:paraId="16A682C7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2.滤光片：内置滤光片轮，标准配置405 nm、450 nm、492nm、600nm和650nm五块滤光片</w:t>
            </w:r>
          </w:p>
          <w:p w14:paraId="50058A91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3.测定范围：0-4Abs</w:t>
            </w:r>
          </w:p>
          <w:p w14:paraId="61AB06BC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4.线性范围：0-3Abs，±2％96孔板</w:t>
            </w:r>
          </w:p>
          <w:p w14:paraId="647B9734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5.准确性（450nm）：±1% (0-3Abs)，±2%（3-4Abs）</w:t>
            </w:r>
          </w:p>
          <w:p w14:paraId="68173FB0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6.精确性(450nm):CV≤0.2%(0-3Abs)，CV≤1.0%(3-4Abs)</w:t>
            </w:r>
          </w:p>
          <w:p w14:paraId="206F001F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7.测量速度：≤6s，96 孔板（钨灯）</w:t>
            </w:r>
          </w:p>
          <w:p w14:paraId="3354ADAF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8.微孔板类型：96孔板</w:t>
            </w:r>
          </w:p>
          <w:p w14:paraId="151419D9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9.分辨率：0.0001Abs</w:t>
            </w:r>
          </w:p>
          <w:p w14:paraId="506AB779"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10.振荡器：线性振荡，多档速度、强度可选</w:t>
            </w:r>
          </w:p>
          <w:p w14:paraId="6C6F0320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11.温控范围：0℃—65℃（制冷时可以达到室温-15℃）</w:t>
            </w:r>
          </w:p>
        </w:tc>
      </w:tr>
      <w:tr w14:paraId="3ACB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50A9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3260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PH计（溶液）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60DB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78C2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1.pH测量范围：-5.00～20.00</w:t>
            </w:r>
          </w:p>
          <w:p w14:paraId="4E645FAF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2.pH分辨率：0.01pH/0.1pH</w:t>
            </w:r>
          </w:p>
          <w:p w14:paraId="6F20CCE0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3.基本误差：±0.01pH</w:t>
            </w:r>
          </w:p>
          <w:p w14:paraId="62C4B76A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4.支持多参数测量系统：pH、mV（可测ORP、离子）、T 值</w:t>
            </w:r>
          </w:p>
          <w:p w14:paraId="5305423B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5.温度单位：℃、℉、K</w:t>
            </w:r>
          </w:p>
          <w:p w14:paraId="6397A549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6.读数方式：手动读数、自动平衡读数、定时读数</w:t>
            </w:r>
          </w:p>
          <w:p w14:paraId="4857A7D8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7.超限智能报警</w:t>
            </w:r>
          </w:p>
          <w:p w14:paraId="0802E736">
            <w:pPr>
              <w:autoSpaceDE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8.支持一键校准，快速完成最多5点pH值校准，1点ORP校准</w:t>
            </w:r>
          </w:p>
        </w:tc>
      </w:tr>
      <w:tr w14:paraId="7E76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C0FE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91AA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便携式叶绿素测定仪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071C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CF9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1.测量范围：叶绿素：0.0-99.9SPAD  </w:t>
            </w:r>
          </w:p>
          <w:p w14:paraId="6B37F64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2.叶面温度：-10-99.9℃</w:t>
            </w:r>
          </w:p>
          <w:p w14:paraId="0DFBAE4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3.测量精度：叶绿素：±3.0 SPAD单位以内 (室温下，SPAD值介于0-50)叶面温度：±0.5℃</w:t>
            </w:r>
          </w:p>
          <w:p w14:paraId="2EBD9C6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4.重复性：叶绿素：±0.3SPAD单位以内(SPAD值介于0-50)叶面温度：±0.2℃</w:t>
            </w:r>
          </w:p>
          <w:p w14:paraId="48AEA65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5.测量面积：2mm×2mm</w:t>
            </w:r>
          </w:p>
          <w:p w14:paraId="02E3542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6.测量时间间隔：小于3秒数</w:t>
            </w:r>
          </w:p>
          <w:p w14:paraId="406AB20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7.据存储容量：32KB</w:t>
            </w:r>
          </w:p>
          <w:p w14:paraId="65B3D699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8.电源：4.2V可充电锂电池</w:t>
            </w:r>
          </w:p>
          <w:p w14:paraId="6BBF8E6B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9.电池容量：2000mah</w:t>
            </w:r>
          </w:p>
        </w:tc>
      </w:tr>
      <w:tr w14:paraId="12CE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DE17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8DCE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土壤盐分测定仪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9479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ED3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1.固态传感器可直接埋入土壤中</w:t>
            </w:r>
          </w:p>
          <w:p w14:paraId="553E1C6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2.测量范围：0～23mS/cm</w:t>
            </w:r>
          </w:p>
          <w:p w14:paraId="01EA27F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3.测量精度：±2%</w:t>
            </w:r>
          </w:p>
          <w:p w14:paraId="4762E43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4.分辨率：0.01mS/cm</w:t>
            </w:r>
          </w:p>
          <w:p w14:paraId="4343348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5.pH测定范围：0-14</w:t>
            </w:r>
          </w:p>
          <w:p w14:paraId="5A7AC85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6.测定精度：±0.5</w:t>
            </w:r>
          </w:p>
          <w:p w14:paraId="382F0420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7.测试时间：≤2秒 </w:t>
            </w:r>
          </w:p>
          <w:p w14:paraId="61C10E6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8.记录时间：1分钟---99小时</w:t>
            </w:r>
          </w:p>
          <w:p w14:paraId="16FF0E4A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9.电源：7.4V大容量锂电池，具有充电保护、电压过低提示功能</w:t>
            </w:r>
          </w:p>
        </w:tc>
      </w:tr>
      <w:tr w14:paraId="3A70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D1D4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35B6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制冰机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6038">
            <w:pPr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C04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1.总容积：80L</w:t>
            </w:r>
          </w:p>
          <w:p w14:paraId="2DA554C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2.控温方式：机械控温</w:t>
            </w:r>
          </w:p>
          <w:p w14:paraId="2D5012B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3.制冷方式：直冷</w:t>
            </w:r>
          </w:p>
          <w:p w14:paraId="2890ACE8">
            <w:pPr>
              <w:autoSpaceDE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4.能效等级：1级</w:t>
            </w:r>
          </w:p>
        </w:tc>
      </w:tr>
    </w:tbl>
    <w:p w14:paraId="2B302868">
      <w:pPr>
        <w:spacing w:line="336" w:lineRule="auto"/>
        <w:ind w:firstLine="120" w:firstLineChars="5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3.良繁栽培研究室仪器设备采购</w:t>
      </w:r>
    </w:p>
    <w:tbl>
      <w:tblPr>
        <w:tblStyle w:val="11"/>
        <w:tblW w:w="9121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925"/>
        <w:gridCol w:w="962"/>
        <w:gridCol w:w="6446"/>
      </w:tblGrid>
      <w:tr w14:paraId="62E8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 w14:paraId="1ACD6A89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25" w:type="dxa"/>
            <w:noWrap w:val="0"/>
            <w:vAlign w:val="center"/>
          </w:tcPr>
          <w:p w14:paraId="09CB9518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962" w:type="dxa"/>
            <w:noWrap w:val="0"/>
            <w:vAlign w:val="center"/>
          </w:tcPr>
          <w:p w14:paraId="20196EF0">
            <w:pPr>
              <w:spacing w:line="336" w:lineRule="auto"/>
              <w:ind w:firstLine="120" w:firstLineChars="5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  <w:p w14:paraId="2A9D3C96">
            <w:pPr>
              <w:spacing w:line="336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446" w:type="dxa"/>
            <w:noWrap w:val="0"/>
            <w:vAlign w:val="center"/>
          </w:tcPr>
          <w:p w14:paraId="3994EEE5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</w:tr>
      <w:tr w14:paraId="0C70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88" w:type="dxa"/>
            <w:noWrap w:val="0"/>
            <w:vAlign w:val="center"/>
          </w:tcPr>
          <w:p w14:paraId="2E195BF2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925" w:type="dxa"/>
            <w:noWrap w:val="0"/>
            <w:vAlign w:val="center"/>
          </w:tcPr>
          <w:p w14:paraId="6E55D803">
            <w:pPr>
              <w:spacing w:line="336" w:lineRule="auto"/>
              <w:ind w:firstLine="120" w:firstLineChars="5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冰箱</w:t>
            </w:r>
          </w:p>
        </w:tc>
        <w:tc>
          <w:tcPr>
            <w:tcW w:w="962" w:type="dxa"/>
            <w:noWrap w:val="0"/>
            <w:vAlign w:val="center"/>
          </w:tcPr>
          <w:p w14:paraId="70D06AB4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46" w:type="dxa"/>
            <w:noWrap w:val="0"/>
            <w:vAlign w:val="center"/>
          </w:tcPr>
          <w:p w14:paraId="00EF4A9F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配备独立的制冷系统，分别控制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4℃冷藏区和-20℃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冷冻区，确保温区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温度互不干扰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CBF5D05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2.具备精准温控系统‌，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并具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快速恢复能力，在频繁开关门后，也能迅速稳定在设定温度。</w:t>
            </w:r>
          </w:p>
          <w:p w14:paraId="3DCB98D8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3.有效容积≥600L，冷藏室与冷冻室容积接近，以满足不同试剂盒、药品、植物样本的储存需求。</w:t>
            </w:r>
          </w:p>
          <w:p w14:paraId="65C4CEA6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能效等级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一级能耗，运行稳定可靠。</w:t>
            </w:r>
          </w:p>
          <w:p w14:paraId="18E83E5A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5.可储藏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需静置、避免振动的精密试剂。</w:t>
            </w:r>
          </w:p>
          <w:p w14:paraId="262A2144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6.EPP超净系统，有效防止易挥发试剂间的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交叉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污染。</w:t>
            </w:r>
          </w:p>
          <w:p w14:paraId="6D6495A9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7.十字对开门，温度稳定，存取高效。</w:t>
            </w:r>
          </w:p>
        </w:tc>
      </w:tr>
      <w:tr w14:paraId="608D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noWrap w:val="0"/>
            <w:vAlign w:val="center"/>
          </w:tcPr>
          <w:p w14:paraId="6681301C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925" w:type="dxa"/>
            <w:noWrap w:val="0"/>
            <w:vAlign w:val="center"/>
          </w:tcPr>
          <w:p w14:paraId="5EC147B8">
            <w:pPr>
              <w:spacing w:line="336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光照培养箱</w:t>
            </w:r>
          </w:p>
        </w:tc>
        <w:tc>
          <w:tcPr>
            <w:tcW w:w="962" w:type="dxa"/>
            <w:noWrap w:val="0"/>
            <w:vAlign w:val="center"/>
          </w:tcPr>
          <w:p w14:paraId="31F2204B">
            <w:pPr>
              <w:spacing w:line="336" w:lineRule="auto"/>
              <w:ind w:firstLine="12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446" w:type="dxa"/>
            <w:noWrap w:val="0"/>
            <w:vAlign w:val="center"/>
          </w:tcPr>
          <w:p w14:paraId="61761E4A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1.采用机械压缩机制冷，确保在高温环境下的强效制冷能力和长期运行可靠性。</w:t>
            </w:r>
          </w:p>
          <w:p w14:paraId="3155F71E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2.有效容积≥500L，同时能为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植物纵向生长提供充足的空间。</w:t>
            </w:r>
          </w:p>
          <w:p w14:paraId="2A931CF4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3.具备0~50℃控范围，且控温精度需达到0.1℃。</w:t>
            </w:r>
          </w:p>
          <w:p w14:paraId="72709AE2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4.光照强度0~25000Lux，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高光照强度能满足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油菜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的光饱和点需求，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同时可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用于需要强光诱导的生理生化实验。</w:t>
            </w:r>
          </w:p>
          <w:p w14:paraId="0592F3F8">
            <w:pPr>
              <w:spacing w:line="336" w:lineRule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5.采用LED灯板，减少维护成本和因更换光源导致的实验中断。</w:t>
            </w:r>
          </w:p>
        </w:tc>
      </w:tr>
    </w:tbl>
    <w:p w14:paraId="53777CD4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D4AB5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A52F5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OqXm5zwAAAAUB&#10;AAAPAAAAAAAAAAEAIAAAACIAAABkcnMvZG93bnJldi54bWxQSwECFAAUAAAACACHTuJAmg671+sB&#10;AADUAwAADgAAAAAAAAABACAAAAAe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A52F5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A0FFE"/>
    <w:rsid w:val="01A21D3D"/>
    <w:rsid w:val="0C1A0FFE"/>
    <w:rsid w:val="1193410E"/>
    <w:rsid w:val="1360023A"/>
    <w:rsid w:val="17503798"/>
    <w:rsid w:val="1E4A2212"/>
    <w:rsid w:val="2AC04827"/>
    <w:rsid w:val="33CD5EE0"/>
    <w:rsid w:val="3AE3337B"/>
    <w:rsid w:val="4A5516B4"/>
    <w:rsid w:val="712133CC"/>
    <w:rsid w:val="7B3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rPr>
      <w:color w:val="993300"/>
      <w:sz w:val="24"/>
    </w:rPr>
  </w:style>
  <w:style w:type="paragraph" w:styleId="7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qFormat/>
    <w:uiPriority w:val="0"/>
    <w:pPr>
      <w:spacing w:after="120" w:afterLines="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table" w:styleId="11">
    <w:name w:val="Table Grid"/>
    <w:basedOn w:val="10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2026-03-27T07:52:00Z</dcterms:created>
  <dc:creator>绿军装的梦</dc:creator>
  <cp:lastModifiedBy>绿军装的梦</cp:lastModifiedBy>
  <dcterms:modified xsi:type="dcterms:W3CDTF">2026-03-27T07:53:13Z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45BD2F90EB7A4909A8480358C2A9384B_11</vt:lpwstr>
  </property>
  <property fmtid="{D5CDD505-2E9C-101B-9397-08002B2CF9AE}" pid="4" name="KSOTemplateDocerSaveRecord">
    <vt:lpwstr>eyJoZGlkIjoiMTRhMDRjM2IwN2Q3NzdjZDIyNzg3NGFkNjIxODBmMTciLCJ1c2VySWQiOiIyNTUwMzE5MDEifQ==</vt:lpwstr>
  </property>
</Properties>
</file>