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AB839">
      <w:pPr>
        <w:pStyle w:val="4"/>
      </w:pPr>
      <w:r>
        <w:rPr>
          <w:rFonts w:ascii="仿宋_GB2312" w:hAnsi="仿宋_GB2312" w:eastAsia="仿宋_GB2312" w:cs="仿宋_GB2312"/>
        </w:rPr>
        <w:t>标的名称：高重频高能量全固态激光器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51"/>
        <w:gridCol w:w="7088"/>
      </w:tblGrid>
      <w:tr w14:paraId="77E4C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79" w:type="dxa"/>
            <w:vAlign w:val="center"/>
          </w:tcPr>
          <w:p w14:paraId="4B2E7E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51" w:type="dxa"/>
            <w:vAlign w:val="center"/>
          </w:tcPr>
          <w:p w14:paraId="2B00033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088" w:type="dxa"/>
            <w:vAlign w:val="center"/>
          </w:tcPr>
          <w:p w14:paraId="16B6FE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690A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9" w:type="dxa"/>
            <w:vAlign w:val="center"/>
          </w:tcPr>
          <w:p w14:paraId="03FB00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51" w:type="dxa"/>
            <w:vAlign w:val="center"/>
          </w:tcPr>
          <w:p w14:paraId="6AD1FB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7088" w:type="dxa"/>
          </w:tcPr>
          <w:p w14:paraId="7252E5B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中心波长：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354.7±0.05nm，532.1±0.05nm，1064.2±0.05nm；(空气中)</w:t>
            </w:r>
          </w:p>
        </w:tc>
      </w:tr>
      <w:tr w14:paraId="2E915D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6B1815C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651" w:type="dxa"/>
            <w:vAlign w:val="center"/>
          </w:tcPr>
          <w:p w14:paraId="367330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7088" w:type="dxa"/>
          </w:tcPr>
          <w:p w14:paraId="5C30E38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重复频率：100Hz</w:t>
            </w:r>
          </w:p>
        </w:tc>
      </w:tr>
      <w:tr w14:paraId="14578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2312F3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651" w:type="dxa"/>
            <w:vAlign w:val="center"/>
          </w:tcPr>
          <w:p w14:paraId="11041F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7088" w:type="dxa"/>
          </w:tcPr>
          <w:p w14:paraId="1610141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脉冲宽度：≤10ns@355nm</w:t>
            </w:r>
          </w:p>
        </w:tc>
      </w:tr>
      <w:tr w14:paraId="304B6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5A64A7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651" w:type="dxa"/>
            <w:vAlign w:val="center"/>
          </w:tcPr>
          <w:p w14:paraId="5C3799F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7088" w:type="dxa"/>
          </w:tcPr>
          <w:p w14:paraId="63AE865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线宽：≤200MHz@355nm</w:t>
            </w:r>
          </w:p>
        </w:tc>
      </w:tr>
      <w:tr w14:paraId="5FDB50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9" w:type="dxa"/>
            <w:vAlign w:val="center"/>
          </w:tcPr>
          <w:p w14:paraId="18B8E0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651" w:type="dxa"/>
            <w:vAlign w:val="center"/>
          </w:tcPr>
          <w:p w14:paraId="0B7FAF57">
            <w:pPr>
              <w:jc w:val="center"/>
            </w:pPr>
          </w:p>
        </w:tc>
        <w:tc>
          <w:tcPr>
            <w:tcW w:w="7088" w:type="dxa"/>
          </w:tcPr>
          <w:p w14:paraId="76F3C3E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基频种子光与脉冲光中心频率偏差：≤5MHz@1小时</w:t>
            </w:r>
          </w:p>
        </w:tc>
      </w:tr>
      <w:tr w14:paraId="64442F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79" w:type="dxa"/>
            <w:vAlign w:val="center"/>
          </w:tcPr>
          <w:p w14:paraId="10300A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651" w:type="dxa"/>
            <w:vAlign w:val="center"/>
          </w:tcPr>
          <w:p w14:paraId="08C0C6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7088" w:type="dxa"/>
          </w:tcPr>
          <w:p w14:paraId="10333A8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脉冲能量：≥200mJ@354.7nm；≥80mJ@532.1nm；≥120mJ@1064.2nm；</w:t>
            </w:r>
          </w:p>
        </w:tc>
      </w:tr>
      <w:tr w14:paraId="63DAC5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9" w:type="dxa"/>
            <w:vAlign w:val="center"/>
          </w:tcPr>
          <w:p w14:paraId="5D003FF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651" w:type="dxa"/>
            <w:vAlign w:val="center"/>
          </w:tcPr>
          <w:p w14:paraId="1943024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7088" w:type="dxa"/>
          </w:tcPr>
          <w:p w14:paraId="0BF0D99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发散角（全角）：≤0.15mrad@354.7nm；≤0.2mrad@532.1nm；≤0.2mrad@1064.2nm；</w:t>
            </w:r>
          </w:p>
        </w:tc>
      </w:tr>
      <w:tr w14:paraId="70910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9" w:type="dxa"/>
            <w:vAlign w:val="center"/>
          </w:tcPr>
          <w:p w14:paraId="6D158CA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651" w:type="dxa"/>
            <w:vAlign w:val="center"/>
          </w:tcPr>
          <w:p w14:paraId="554137E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7088" w:type="dxa"/>
          </w:tcPr>
          <w:p w14:paraId="746ED47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功率稳定性（2h,RMS）：≤3%@室温</w:t>
            </w:r>
          </w:p>
        </w:tc>
      </w:tr>
      <w:tr w14:paraId="2D6D5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2896E2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651" w:type="dxa"/>
            <w:vAlign w:val="center"/>
          </w:tcPr>
          <w:p w14:paraId="14E0DA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▲</w:t>
            </w:r>
          </w:p>
        </w:tc>
        <w:tc>
          <w:tcPr>
            <w:tcW w:w="7088" w:type="dxa"/>
          </w:tcPr>
          <w:p w14:paraId="12BC9C6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光斑大小（扩束后）：≤20mm</w:t>
            </w:r>
          </w:p>
        </w:tc>
      </w:tr>
      <w:tr w14:paraId="196C0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9" w:type="dxa"/>
            <w:vAlign w:val="center"/>
          </w:tcPr>
          <w:p w14:paraId="1A7333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651" w:type="dxa"/>
            <w:vAlign w:val="center"/>
          </w:tcPr>
          <w:p w14:paraId="244F5024">
            <w:pPr>
              <w:jc w:val="center"/>
            </w:pPr>
          </w:p>
        </w:tc>
        <w:tc>
          <w:tcPr>
            <w:tcW w:w="7088" w:type="dxa"/>
          </w:tcPr>
          <w:p w14:paraId="67C0CC7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同步输出信号：3.3~5V@50Ω TTL信号，宽度≥1μs，上升沿≤50ns，Jitter＜2ns （相对于光脉冲）</w:t>
            </w:r>
          </w:p>
        </w:tc>
      </w:tr>
      <w:tr w14:paraId="2FCAA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9" w:type="dxa"/>
            <w:vAlign w:val="center"/>
          </w:tcPr>
          <w:p w14:paraId="16119D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651" w:type="dxa"/>
            <w:vAlign w:val="center"/>
          </w:tcPr>
          <w:p w14:paraId="5227365B">
            <w:pPr>
              <w:jc w:val="center"/>
            </w:pPr>
          </w:p>
        </w:tc>
        <w:tc>
          <w:tcPr>
            <w:tcW w:w="7088" w:type="dxa"/>
          </w:tcPr>
          <w:p w14:paraId="4F6D848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触发信号：3.3~5V@50Ω TTL信号</w:t>
            </w:r>
          </w:p>
        </w:tc>
      </w:tr>
      <w:tr w14:paraId="6C2AE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9" w:type="dxa"/>
            <w:vAlign w:val="center"/>
          </w:tcPr>
          <w:p w14:paraId="2CAB96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12</w:t>
            </w:r>
          </w:p>
        </w:tc>
        <w:tc>
          <w:tcPr>
            <w:tcW w:w="651" w:type="dxa"/>
            <w:vAlign w:val="center"/>
          </w:tcPr>
          <w:p w14:paraId="4A4BE9CD">
            <w:pPr>
              <w:jc w:val="center"/>
            </w:pPr>
          </w:p>
        </w:tc>
        <w:tc>
          <w:tcPr>
            <w:tcW w:w="7088" w:type="dxa"/>
          </w:tcPr>
          <w:p w14:paraId="71935A5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功率监测：对种子光、1064.2nm基频光输出、354.7nm输出光功率进行监测</w:t>
            </w:r>
          </w:p>
        </w:tc>
      </w:tr>
      <w:tr w14:paraId="6E1DA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411A231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13</w:t>
            </w:r>
          </w:p>
        </w:tc>
        <w:tc>
          <w:tcPr>
            <w:tcW w:w="651" w:type="dxa"/>
            <w:vAlign w:val="center"/>
          </w:tcPr>
          <w:p w14:paraId="308737E4">
            <w:pPr>
              <w:jc w:val="center"/>
            </w:pPr>
          </w:p>
        </w:tc>
        <w:tc>
          <w:tcPr>
            <w:tcW w:w="7088" w:type="dxa"/>
          </w:tcPr>
          <w:p w14:paraId="304056B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触发方式：外触发/内触发</w:t>
            </w:r>
          </w:p>
        </w:tc>
      </w:tr>
      <w:tr w14:paraId="688F2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573FFF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14</w:t>
            </w:r>
          </w:p>
        </w:tc>
        <w:tc>
          <w:tcPr>
            <w:tcW w:w="651" w:type="dxa"/>
            <w:vAlign w:val="center"/>
          </w:tcPr>
          <w:p w14:paraId="2D0D7D50">
            <w:pPr>
              <w:jc w:val="center"/>
            </w:pPr>
          </w:p>
        </w:tc>
        <w:tc>
          <w:tcPr>
            <w:tcW w:w="7088" w:type="dxa"/>
          </w:tcPr>
          <w:p w14:paraId="3667E3B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通信协议：RS422</w:t>
            </w:r>
          </w:p>
        </w:tc>
      </w:tr>
      <w:tr w14:paraId="2236F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79" w:type="dxa"/>
            <w:vAlign w:val="center"/>
          </w:tcPr>
          <w:p w14:paraId="55C4D7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15</w:t>
            </w:r>
          </w:p>
        </w:tc>
        <w:tc>
          <w:tcPr>
            <w:tcW w:w="651" w:type="dxa"/>
            <w:vAlign w:val="center"/>
          </w:tcPr>
          <w:p w14:paraId="09798EC6">
            <w:pPr>
              <w:jc w:val="center"/>
            </w:pPr>
          </w:p>
        </w:tc>
        <w:tc>
          <w:tcPr>
            <w:tcW w:w="7088" w:type="dxa"/>
          </w:tcPr>
          <w:p w14:paraId="5423148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冷却方式：水冷</w:t>
            </w:r>
          </w:p>
        </w:tc>
      </w:tr>
      <w:tr w14:paraId="102E3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9" w:type="dxa"/>
            <w:vAlign w:val="center"/>
          </w:tcPr>
          <w:p w14:paraId="3A0A84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16</w:t>
            </w:r>
          </w:p>
        </w:tc>
        <w:tc>
          <w:tcPr>
            <w:tcW w:w="651" w:type="dxa"/>
            <w:vAlign w:val="center"/>
          </w:tcPr>
          <w:p w14:paraId="2897028F">
            <w:pPr>
              <w:jc w:val="center"/>
            </w:pPr>
          </w:p>
        </w:tc>
        <w:tc>
          <w:tcPr>
            <w:tcW w:w="7088" w:type="dxa"/>
          </w:tcPr>
          <w:p w14:paraId="66D8FA3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存储环境温度：-20~50℃（含冷却液）</w:t>
            </w:r>
          </w:p>
        </w:tc>
      </w:tr>
    </w:tbl>
    <w:p w14:paraId="1390F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25648"/>
    <w:rsid w:val="486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2026-04-01T06:04:00Z</dcterms:created>
  <dc:creator>hh</dc:creator>
  <cp:lastModifiedBy>hh</cp:lastModifiedBy>
  <dcterms:modified xsi:type="dcterms:W3CDTF">2026-04-01T06:05:43Z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01A052619E2F42EAB7A8864D1906C9A7_11</vt:lpwstr>
  </property>
  <property fmtid="{D5CDD505-2E9C-101B-9397-08002B2CF9AE}" pid="4" name="KSOTemplateDocerSaveRecord">
    <vt:lpwstr>eyJoZGlkIjoiMGQ4ZTdmZWNkZThhYzU1MTNmMWJlNWM0M2ExM2M5MDQiLCJ1c2VySWQiOiI1NTQxNTg5NzAifQ==</vt:lpwstr>
  </property>
</Properties>
</file>