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87" w:name="_GoBack"/>
      <w:bookmarkEnd w:id="87"/>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7"/>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5"/>
        <w:widowControl w:val="0"/>
        <w:topLinePunct/>
        <w:rPr>
          <w:rFonts w:cstheme="minorHAnsi"/>
        </w:rPr>
      </w:pPr>
      <w:r>
        <w:rPr>
          <w:rFonts w:hint="eastAsia" w:cstheme="minorHAnsi"/>
        </w:rPr>
        <w:t>竞争性磋商</w:t>
      </w:r>
      <w:r>
        <w:rPr>
          <w:rFonts w:cstheme="minorHAnsi"/>
        </w:rPr>
        <w:t>文件</w:t>
      </w:r>
    </w:p>
    <w:p>
      <w:pPr>
        <w:widowControl w:val="0"/>
        <w:topLinePunct/>
        <w:spacing w:line="360" w:lineRule="auto"/>
        <w:jc w:val="center"/>
        <w:rPr>
          <w:rFonts w:eastAsia="宋体" w:cs="Tahoma"/>
          <w:sz w:val="36"/>
          <w:szCs w:val="36"/>
        </w:rPr>
      </w:pPr>
    </w:p>
    <w:p>
      <w:pPr>
        <w:pStyle w:val="38"/>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西安市小寨区域海绵城市PPP项目决算评审工程造价咨询服务</w:t>
      </w:r>
    </w:p>
    <w:p>
      <w:pPr>
        <w:pStyle w:val="38"/>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XCZX2026-0021</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6"/>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2026年4月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Ansi="华文仿宋" w:eastAsia="华文仿宋" w:cstheme="minorHAnsi"/>
          <w:sz w:val="36"/>
          <w:szCs w:val="30"/>
        </w:rPr>
        <w:fldChar w:fldCharType="begin"/>
      </w:r>
      <w:r>
        <w:rPr>
          <w:rFonts w:hAnsi="华文仿宋" w:eastAsia="华文仿宋" w:cstheme="minorHAnsi"/>
          <w:sz w:val="36"/>
          <w:szCs w:val="30"/>
        </w:rPr>
        <w:instrText xml:space="preserve"> TOC \o "1-1" \f - \t "-1" </w:instrText>
      </w:r>
      <w:r>
        <w:rPr>
          <w:rFonts w:hAnsi="华文仿宋" w:eastAsia="华文仿宋" w:cstheme="minorHAnsi"/>
          <w:sz w:val="36"/>
          <w:szCs w:val="30"/>
        </w:rPr>
        <w:fldChar w:fldCharType="separate"/>
      </w:r>
      <w:r>
        <w:rPr>
          <w:rFonts w:hint="eastAsia" w:hAnsi="华文仿宋" w:eastAsia="华文仿宋"/>
          <w:sz w:val="36"/>
        </w:rPr>
        <w:t>第一章　磋商邀请函</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_Toc224555749 \h </w:instrText>
      </w:r>
      <w:r>
        <w:rPr>
          <w:rFonts w:hAnsi="华文仿宋" w:eastAsia="华文仿宋"/>
          <w:sz w:val="36"/>
        </w:rPr>
        <w:fldChar w:fldCharType="separate"/>
      </w:r>
      <w:r>
        <w:rPr>
          <w:rFonts w:hAnsi="华文仿宋" w:eastAsia="华文仿宋"/>
          <w:sz w:val="36"/>
        </w:rPr>
        <w:t>1</w:t>
      </w:r>
      <w:r>
        <w:rPr>
          <w:rFonts w:hAnsi="华文仿宋" w:eastAsia="华文仿宋"/>
          <w:sz w:val="36"/>
        </w:rPr>
        <w:fldChar w:fldCharType="end"/>
      </w:r>
    </w:p>
    <w:p>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第二章　供应商须知</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_Toc224555750 \h </w:instrText>
      </w:r>
      <w:r>
        <w:rPr>
          <w:rFonts w:hAnsi="华文仿宋" w:eastAsia="华文仿宋"/>
          <w:sz w:val="36"/>
        </w:rPr>
        <w:fldChar w:fldCharType="separate"/>
      </w:r>
      <w:r>
        <w:rPr>
          <w:rFonts w:hAnsi="华文仿宋" w:eastAsia="华文仿宋"/>
          <w:sz w:val="36"/>
        </w:rPr>
        <w:t>4</w:t>
      </w:r>
      <w:r>
        <w:rPr>
          <w:rFonts w:hAnsi="华文仿宋" w:eastAsia="华文仿宋"/>
          <w:sz w:val="36"/>
        </w:rPr>
        <w:fldChar w:fldCharType="end"/>
      </w:r>
    </w:p>
    <w:p>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第三章　磋商内容及要求</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_Toc224555751 \h </w:instrText>
      </w:r>
      <w:r>
        <w:rPr>
          <w:rFonts w:hAnsi="华文仿宋" w:eastAsia="华文仿宋"/>
          <w:sz w:val="36"/>
        </w:rPr>
        <w:fldChar w:fldCharType="separate"/>
      </w:r>
      <w:r>
        <w:rPr>
          <w:rFonts w:hAnsi="华文仿宋" w:eastAsia="华文仿宋"/>
          <w:sz w:val="36"/>
        </w:rPr>
        <w:t>33</w:t>
      </w:r>
      <w:r>
        <w:rPr>
          <w:rFonts w:hAnsi="华文仿宋" w:eastAsia="华文仿宋"/>
          <w:sz w:val="36"/>
        </w:rPr>
        <w:fldChar w:fldCharType="end"/>
      </w:r>
    </w:p>
    <w:p>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第四章　合同草案条款</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_Toc224555752 \h </w:instrText>
      </w:r>
      <w:r>
        <w:rPr>
          <w:rFonts w:hAnsi="华文仿宋" w:eastAsia="华文仿宋"/>
          <w:sz w:val="36"/>
        </w:rPr>
        <w:fldChar w:fldCharType="separate"/>
      </w:r>
      <w:r>
        <w:rPr>
          <w:rFonts w:hAnsi="华文仿宋" w:eastAsia="华文仿宋"/>
          <w:sz w:val="36"/>
        </w:rPr>
        <w:t>37</w:t>
      </w:r>
      <w:r>
        <w:rPr>
          <w:rFonts w:hAnsi="华文仿宋" w:eastAsia="华文仿宋"/>
          <w:sz w:val="36"/>
        </w:rPr>
        <w:fldChar w:fldCharType="end"/>
      </w:r>
    </w:p>
    <w:p>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第五章　响应文件构成及格式</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_Toc224555753 \h </w:instrText>
      </w:r>
      <w:r>
        <w:rPr>
          <w:rFonts w:hAnsi="华文仿宋" w:eastAsia="华文仿宋"/>
          <w:sz w:val="36"/>
        </w:rPr>
        <w:fldChar w:fldCharType="separate"/>
      </w:r>
      <w:r>
        <w:rPr>
          <w:rFonts w:hAnsi="华文仿宋" w:eastAsia="华文仿宋"/>
          <w:sz w:val="36"/>
        </w:rPr>
        <w:t>47</w:t>
      </w:r>
      <w:r>
        <w:rPr>
          <w:rFonts w:hAnsi="华文仿宋" w:eastAsia="华文仿宋"/>
          <w:sz w:val="36"/>
        </w:rPr>
        <w:fldChar w:fldCharType="end"/>
      </w: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r>
        <w:rPr>
          <w:rFonts w:ascii="Calibri" w:hAnsi="华文仿宋" w:eastAsia="华文仿宋" w:cstheme="minorHAnsi"/>
          <w:sz w:val="36"/>
          <w:szCs w:val="30"/>
        </w:rPr>
        <w:fldChar w:fldCharType="end"/>
      </w:r>
    </w:p>
    <w:p>
      <w:pPr>
        <w:pStyle w:val="2"/>
        <w:spacing w:beforeLines="0" w:afterLines="0"/>
      </w:pPr>
      <w:bookmarkStart w:id="0" w:name="_Toc212455737"/>
      <w:bookmarkStart w:id="1" w:name="_Toc224555749"/>
      <w:r>
        <w:rPr>
          <w:rFonts w:hint="eastAsia"/>
        </w:rPr>
        <w:t>第一章　磋商邀请函</w:t>
      </w:r>
      <w:bookmarkEnd w:id="0"/>
      <w:bookmarkEnd w:id="1"/>
    </w:p>
    <w:p>
      <w:pPr>
        <w:widowControl w:val="0"/>
        <w:topLinePunct/>
        <w:ind w:firstLine="480" w:firstLineChars="200"/>
        <w:jc w:val="both"/>
      </w:pPr>
      <w:r>
        <w:rPr>
          <w:rFonts w:hint="eastAsia"/>
        </w:rPr>
        <w:t>西安市市级单位政府采购中心受</w:t>
      </w:r>
      <w:bookmarkStart w:id="2" w:name="OLE_LINK13"/>
      <w:bookmarkStart w:id="3" w:name="OLE_LINK14"/>
      <w:r>
        <w:rPr>
          <w:rFonts w:hint="eastAsia"/>
          <w:color w:val="C00000"/>
        </w:rPr>
        <w:t>西安市财政投资评审中心</w:t>
      </w:r>
      <w:bookmarkEnd w:id="2"/>
      <w:bookmarkEnd w:id="3"/>
      <w:r>
        <w:rPr>
          <w:rFonts w:hint="eastAsia"/>
        </w:rPr>
        <w:t>的委托，经政府采购监管部门批准，按照政府采购程序，对</w:t>
      </w:r>
      <w:r>
        <w:rPr>
          <w:rFonts w:hint="eastAsia"/>
          <w:color w:val="C00000"/>
        </w:rPr>
        <w:t>西安市小寨区域海绵城市PPP项目决算评审工程造价咨询服务</w:t>
      </w:r>
      <w:r>
        <w:rPr>
          <w:rFonts w:hint="eastAsia"/>
        </w:rPr>
        <w:t>进行竞争性磋商，欢迎符合资格条件的、有能力提供本项目所需货物、服务或</w:t>
      </w:r>
      <w:r>
        <w:t>工程</w:t>
      </w:r>
      <w:r>
        <w:rPr>
          <w:rFonts w:hint="eastAsia"/>
        </w:rPr>
        <w:t>的供应商参加磋商。</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西安市小寨区域海绵城市PPP项目决算评审工程造价咨询服务</w:t>
      </w:r>
    </w:p>
    <w:p>
      <w:pPr>
        <w:widowControl w:val="0"/>
        <w:topLinePunct/>
        <w:ind w:firstLine="480" w:firstLineChars="200"/>
        <w:jc w:val="both"/>
      </w:pPr>
      <w:r>
        <w:rPr>
          <w:rFonts w:hint="eastAsia"/>
        </w:rPr>
        <w:t>项目编号：</w:t>
      </w:r>
      <w:r>
        <w:rPr>
          <w:rFonts w:hint="eastAsia"/>
          <w:color w:val="C00000"/>
        </w:rPr>
        <w:t>XCZX2026-0021</w:t>
      </w:r>
    </w:p>
    <w:p>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2026-0021</w:t>
      </w:r>
      <w:r>
        <w:rPr>
          <w:color w:val="C00000"/>
        </w:rPr>
        <w:t>8</w:t>
      </w:r>
    </w:p>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pPr>
        <w:widowControl w:val="0"/>
        <w:topLinePunct/>
        <w:ind w:firstLine="480" w:firstLineChars="200"/>
        <w:jc w:val="both"/>
        <w:rPr>
          <w:color w:val="C00000"/>
        </w:rPr>
      </w:pPr>
      <w:r>
        <w:rPr>
          <w:rFonts w:hint="eastAsia"/>
          <w:b/>
        </w:rPr>
        <w:t>三、采购预算：</w:t>
      </w:r>
      <w:r>
        <w:rPr>
          <w:rFonts w:hint="eastAsia"/>
          <w:color w:val="C00000"/>
        </w:rPr>
        <w:t>9</w:t>
      </w:r>
      <w:r>
        <w:rPr>
          <w:color w:val="C00000"/>
        </w:rPr>
        <w:t>35787.68</w:t>
      </w:r>
      <w:r>
        <w:rPr>
          <w:rFonts w:hint="eastAsia"/>
          <w:color w:val="C00000"/>
        </w:rPr>
        <w:t>元</w:t>
      </w:r>
    </w:p>
    <w:p>
      <w:pPr>
        <w:widowControl w:val="0"/>
        <w:topLinePunct/>
        <w:ind w:firstLine="480" w:firstLineChars="200"/>
        <w:jc w:val="both"/>
      </w:pPr>
      <w:r>
        <w:rPr>
          <w:b/>
        </w:rPr>
        <w:t>四、采购</w:t>
      </w:r>
      <w:r>
        <w:rPr>
          <w:rFonts w:hint="eastAsia"/>
          <w:b/>
        </w:rPr>
        <w:t>内容和要求：</w:t>
      </w:r>
      <w:r>
        <w:rPr>
          <w:rFonts w:hint="eastAsia"/>
          <w:color w:val="C00000"/>
        </w:rPr>
        <w:t>西安市小寨区域海绵城市PPP项目决算评审工程造价咨询服务</w:t>
      </w:r>
    </w:p>
    <w:p>
      <w:pPr>
        <w:widowControl w:val="0"/>
        <w:topLinePunct/>
        <w:ind w:firstLine="480" w:firstLineChars="200"/>
        <w:jc w:val="both"/>
      </w:pPr>
      <w:r>
        <w:rPr>
          <w:rFonts w:hint="eastAsia"/>
        </w:rPr>
        <w:t>详见第三章「磋商内容及要求」。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七、获取磋商文件的时间及方式：</w:t>
      </w:r>
    </w:p>
    <w:p>
      <w:pPr>
        <w:widowControl w:val="0"/>
        <w:topLinePunct/>
        <w:ind w:firstLine="480" w:firstLineChars="200"/>
        <w:jc w:val="both"/>
      </w:pPr>
      <w:r>
        <w:rPr>
          <w:rFonts w:hint="eastAsia"/>
        </w:rPr>
        <w:t>1．获取时间：自磋商公告发布之日起5个工作日内。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3"/>
          <w:rFonts w:hint="eastAsia"/>
        </w:rPr>
        <w:t>http://sxggzyjy.xa.gov.cn/</w:t>
      </w:r>
      <w:r>
        <w:rPr>
          <w:rStyle w:val="33"/>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pPr>
        <w:widowControl w:val="0"/>
        <w:topLinePunct/>
        <w:ind w:firstLine="480" w:firstLineChars="200"/>
        <w:jc w:val="both"/>
        <w:rPr>
          <w:b/>
        </w:rPr>
      </w:pPr>
      <w:r>
        <w:rPr>
          <w:rFonts w:hint="eastAsia"/>
          <w:b/>
        </w:rPr>
        <w:t>八、提交首次响应文件截止时间及方式：</w:t>
      </w:r>
    </w:p>
    <w:p>
      <w:pPr>
        <w:widowControl w:val="0"/>
        <w:topLinePunct/>
        <w:ind w:firstLine="480" w:firstLineChars="200"/>
        <w:jc w:val="both"/>
      </w:pPr>
      <w:r>
        <w:rPr>
          <w:rFonts w:hint="eastAsia"/>
        </w:rPr>
        <w:t>1．提交首次响应文件截止时间：</w:t>
      </w:r>
      <w:r>
        <w:rPr>
          <w:rFonts w:hint="eastAsia"/>
          <w:u w:val="single"/>
        </w:rPr>
        <w:t>2026</w:t>
      </w:r>
      <w:r>
        <w:rPr>
          <w:rFonts w:hint="eastAsia"/>
        </w:rPr>
        <w:t>年_</w:t>
      </w:r>
      <w:r>
        <w:t>3</w:t>
      </w:r>
      <w:r>
        <w:rPr>
          <w:rFonts w:hint="eastAsia"/>
        </w:rPr>
        <w:t>月_</w:t>
      </w:r>
      <w:r>
        <w:t>30</w:t>
      </w:r>
      <w:r>
        <w:rPr>
          <w:rFonts w:hint="eastAsia"/>
        </w:rPr>
        <w:t>日10:30，逾期提交的，系统将拒绝接收。</w:t>
      </w:r>
    </w:p>
    <w:p>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pPr>
        <w:widowControl w:val="0"/>
        <w:topLinePunct/>
        <w:ind w:firstLine="480" w:firstLineChars="200"/>
        <w:jc w:val="both"/>
      </w:pPr>
      <w:r>
        <w:rPr>
          <w:rFonts w:hint="eastAsia"/>
          <w:b/>
        </w:rPr>
        <w:t>九、开启时间、地点及开标形式：</w:t>
      </w:r>
    </w:p>
    <w:p>
      <w:pPr>
        <w:widowControl w:val="0"/>
        <w:topLinePunct/>
        <w:ind w:firstLine="480" w:firstLineChars="200"/>
        <w:jc w:val="both"/>
      </w:pPr>
      <w:r>
        <w:t>1</w:t>
      </w:r>
      <w:r>
        <w:rPr>
          <w:rFonts w:hint="eastAsia"/>
        </w:rPr>
        <w:t>．开启时间：</w:t>
      </w:r>
      <w:r>
        <w:rPr>
          <w:rFonts w:hint="eastAsia"/>
          <w:u w:val="single"/>
        </w:rPr>
        <w:t>2026</w:t>
      </w:r>
      <w:r>
        <w:rPr>
          <w:rFonts w:hint="eastAsia"/>
        </w:rPr>
        <w:t>年__</w:t>
      </w:r>
      <w:r>
        <w:t>_3</w:t>
      </w:r>
      <w:r>
        <w:rPr>
          <w:rFonts w:hint="eastAsia"/>
        </w:rPr>
        <w:t>月</w:t>
      </w:r>
      <w:r>
        <w:t>30_</w:t>
      </w:r>
      <w:r>
        <w:rPr>
          <w:rFonts w:hint="eastAsia"/>
        </w:rPr>
        <w:t>日10:3</w:t>
      </w:r>
      <w:r>
        <w:t>0</w:t>
      </w:r>
    </w:p>
    <w:p>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t>4_</w:t>
      </w:r>
      <w:r>
        <w:rPr>
          <w:rFonts w:hint="eastAsia"/>
        </w:rPr>
        <w:t>。</w:t>
      </w:r>
    </w:p>
    <w:p>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1．采购人：西安市财政投资评审中心</w:t>
      </w:r>
    </w:p>
    <w:p>
      <w:pPr>
        <w:widowControl w:val="0"/>
        <w:topLinePunct/>
        <w:ind w:firstLine="480" w:firstLineChars="200"/>
        <w:jc w:val="both"/>
      </w:pPr>
      <w:r>
        <w:rPr>
          <w:rFonts w:hint="eastAsia"/>
        </w:rPr>
        <w:t>地址：西安市未央区凤城八路168号西北国金中心A座</w:t>
      </w:r>
    </w:p>
    <w:p>
      <w:pPr>
        <w:widowControl w:val="0"/>
        <w:topLinePunct/>
        <w:ind w:firstLine="480" w:firstLineChars="200"/>
        <w:jc w:val="both"/>
      </w:pPr>
      <w:r>
        <w:rPr>
          <w:rFonts w:hint="eastAsia"/>
        </w:rPr>
        <w:t>联系人：杜老师</w:t>
      </w:r>
    </w:p>
    <w:p>
      <w:pPr>
        <w:widowControl w:val="0"/>
        <w:topLinePunct/>
        <w:ind w:firstLine="480" w:firstLineChars="200"/>
        <w:jc w:val="both"/>
      </w:pPr>
      <w:r>
        <w:rPr>
          <w:rFonts w:hint="eastAsia"/>
        </w:rPr>
        <w:t>联系电话：</w:t>
      </w:r>
      <w:r>
        <w:t>029-89822166</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标书联系人及分机号：徐老师（</w:t>
      </w:r>
      <w:r>
        <w:t>80845</w:t>
      </w:r>
      <w:r>
        <w:rPr>
          <w:rFonts w:hint="eastAsia"/>
        </w:rPr>
        <w:t>）</w:t>
      </w:r>
    </w:p>
    <w:p>
      <w:pPr>
        <w:widowControl w:val="0"/>
        <w:topLinePunct/>
        <w:ind w:firstLine="480" w:firstLineChars="200"/>
        <w:jc w:val="both"/>
      </w:pPr>
      <w:r>
        <w:rPr>
          <w:rFonts w:hint="eastAsia"/>
        </w:rPr>
        <w:t>开标联系人及分机号：吴老师（80870）</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4" w:name="_Toc534656414"/>
      <w:bookmarkStart w:id="5" w:name="_Toc224555750"/>
      <w:bookmarkStart w:id="6" w:name="_Toc445407251"/>
      <w:bookmarkStart w:id="7" w:name="_Toc97563329"/>
      <w:bookmarkStart w:id="8" w:name="_Toc534656409"/>
      <w:bookmarkStart w:id="9" w:name="_Toc533363235"/>
      <w:bookmarkStart w:id="10" w:name="_Toc533363262"/>
      <w:bookmarkStart w:id="11" w:name="_Toc498349068"/>
      <w:bookmarkStart w:id="12" w:name="_Toc212455738"/>
      <w:r>
        <w:t>第二章</w:t>
      </w:r>
      <w:r>
        <w:rPr>
          <w:rFonts w:hint="eastAsia"/>
        </w:rPr>
        <w:t>　</w:t>
      </w:r>
      <w:r>
        <w:t>供应商须知</w:t>
      </w:r>
      <w:bookmarkEnd w:id="4"/>
      <w:bookmarkEnd w:id="5"/>
      <w:bookmarkEnd w:id="6"/>
      <w:bookmarkEnd w:id="7"/>
      <w:bookmarkEnd w:id="8"/>
      <w:bookmarkEnd w:id="9"/>
      <w:bookmarkEnd w:id="10"/>
      <w:bookmarkEnd w:id="11"/>
      <w:bookmarkEnd w:id="12"/>
    </w:p>
    <w:p>
      <w:pPr>
        <w:jc w:val="center"/>
        <w:outlineLvl w:val="2"/>
        <w:rPr>
          <w:rFonts w:cstheme="minorHAnsi"/>
        </w:rPr>
      </w:pPr>
      <w:r>
        <w:rPr>
          <w:rFonts w:hint="eastAsia" w:ascii="黑体" w:hAnsi="黑体" w:eastAsia="黑体" w:cstheme="minorHAnsi"/>
          <w:color w:val="0070C0"/>
          <w:sz w:val="32"/>
          <w:szCs w:val="32"/>
        </w:rPr>
        <w:t>『前附表』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西安市小寨区域海绵城市PPP项目决算评审工程造价咨询服务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XCZX2026-0021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2"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9</w:t>
            </w:r>
            <w:r>
              <w:rPr>
                <w:rFonts w:ascii="Calibri" w:hAnsi="宋体" w:eastAsia="宋体" w:cstheme="minorHAnsi"/>
                <w:sz w:val="21"/>
              </w:rPr>
              <w:t>35787.68</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bookmarkStart w:id="13" w:name="OLE_LINK8"/>
            <w:bookmarkStart w:id="14" w:name="OLE_LINK5"/>
            <w:r>
              <w:rPr>
                <w:color w:val="7030A0"/>
                <w:sz w:val="21"/>
                <w:szCs w:val="21"/>
                <w:u w:val="single"/>
              </w:rPr>
              <w:t>其他未列明行业</w:t>
            </w:r>
            <w:bookmarkEnd w:id="13"/>
            <w:bookmarkEnd w:id="1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p>
      <w:pPr>
        <w:rPr>
          <w:rFonts w:ascii="Calibri" w:hAnsi="Calibri" w:eastAsia="黑体" w:cstheme="majorBidi"/>
          <w:bCs/>
          <w:iCs/>
          <w:kern w:val="32"/>
          <w:sz w:val="28"/>
          <w:szCs w:val="28"/>
        </w:rPr>
      </w:pPr>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3"/>
          <w:rFonts w:hint="eastAsia" w:cstheme="minorHAnsi"/>
        </w:rPr>
        <w:t>http</w:t>
      </w:r>
      <w:r>
        <w:rPr>
          <w:rStyle w:val="33"/>
          <w:rFonts w:cstheme="minorHAnsi"/>
        </w:rPr>
        <w:t>://sxggzyjy.xa.gov.cn</w:t>
      </w:r>
      <w:r>
        <w:rPr>
          <w:rStyle w:val="33"/>
          <w:rFonts w:hint="eastAsia" w:cstheme="minorHAnsi"/>
        </w:rPr>
        <w:t>/</w:t>
      </w:r>
      <w:r>
        <w:rPr>
          <w:rStyle w:val="33"/>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3"/>
          <w:rFonts w:cstheme="minorHAnsi"/>
        </w:rPr>
        <w:t>http://www.sxggzyjy.cn:9002/TPBidder/memberLogin</w:t>
      </w:r>
      <w:r>
        <w:rPr>
          <w:rStyle w:val="33"/>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5" w:name="OLE_LINK10"/>
      <w:bookmarkStart w:id="16" w:name="OLE_LINK9"/>
      <w:r>
        <w:rPr>
          <w:rFonts w:hint="eastAsia"/>
          <w:color w:val="C00000"/>
        </w:rPr>
        <w:t>采购文件公告期限届满之日</w:t>
      </w:r>
      <w:bookmarkEnd w:id="15"/>
      <w:bookmarkEnd w:id="16"/>
      <w:r>
        <w:rPr>
          <w:rFonts w:hint="eastAsia"/>
          <w:color w:val="C00000"/>
        </w:rPr>
        <w:t>。</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3"/>
        </w:rPr>
        <w:t>http://download.ccgp.gov.cn/2018/zhiyihanfanben.zip</w:t>
      </w:r>
      <w:r>
        <w:rPr>
          <w:rStyle w:val="33"/>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3"/>
          <w:rFonts w:cstheme="minorHAnsi"/>
          <w:color w:val="0070C0"/>
        </w:rPr>
        <w:t>http://download.ccgp.gov.cn/2018/tousushufanben.zip</w:t>
      </w:r>
      <w:r>
        <w:rPr>
          <w:rStyle w:val="33"/>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pPr>
        <w:ind w:firstLine="480" w:firstLineChars="200"/>
        <w:jc w:val="both"/>
        <w:rPr>
          <w:rFonts w:cstheme="minorHAnsi"/>
          <w:b/>
        </w:rPr>
      </w:pPr>
      <w:r>
        <w:rPr>
          <w:rFonts w:hint="eastAsia" w:cstheme="minorHAnsi"/>
          <w:b/>
        </w:rPr>
        <w:t>（1）陕西省中小企业政府采购信用融资办法</w:t>
      </w:r>
    </w:p>
    <w:p>
      <w:pPr>
        <w:wordWrap w:val="0"/>
        <w:ind w:firstLine="480" w:firstLineChars="200"/>
        <w:jc w:val="both"/>
        <w:rPr>
          <w:rStyle w:val="33"/>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3"/>
          <w:rFonts w:hint="eastAsia" w:cstheme="minorHAnsi"/>
          <w:color w:val="0070C0"/>
        </w:rPr>
        <w:t>http://www.ccgp-shaanxi.gov.cn/zcdservice/zcd/shanxi/</w:t>
      </w:r>
    </w:p>
    <w:p>
      <w:pPr>
        <w:ind w:firstLine="480" w:firstLineChars="200"/>
        <w:jc w:val="both"/>
        <w:rPr>
          <w:b/>
        </w:rPr>
      </w:pPr>
      <w:r>
        <w:rPr>
          <w:rFonts w:hint="eastAsia" w:cstheme="minorHAnsi"/>
          <w:b/>
        </w:rPr>
        <w:t>（2）</w:t>
      </w:r>
      <w:r>
        <w:rPr>
          <w:b/>
        </w:rPr>
        <w:t>西安市政府采购信用担保及信用融资政策</w:t>
      </w:r>
    </w:p>
    <w:p>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3"/>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3"/>
          <w:rFonts w:eastAsiaTheme="majorEastAsia" w:cstheme="minorHAnsi"/>
          <w:color w:val="0070C0"/>
        </w:rPr>
        <w:t>https://www.creditchina.gov.cn</w:t>
      </w:r>
      <w:r>
        <w:rPr>
          <w:rStyle w:val="33"/>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3"/>
          <w:rFonts w:eastAsiaTheme="majorEastAsia" w:cstheme="minorHAnsi"/>
          <w:color w:val="0070C0"/>
        </w:rPr>
        <w:t>http://www.ccgp.gov.cn/</w:t>
      </w:r>
      <w:r>
        <w:rPr>
          <w:rStyle w:val="33"/>
          <w:rFonts w:eastAsiaTheme="majorEastAsia" w:cstheme="minorHAnsi"/>
        </w:rPr>
        <w:t>）</w:t>
      </w:r>
      <w:r>
        <w:rPr>
          <w:rStyle w:val="33"/>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7．联合体出现下列情形之一的，响</w:t>
      </w:r>
      <w:r>
        <w:rPr>
          <w:rFonts w:hint="eastAsia"/>
          <w:w w:val="1"/>
        </w:rPr>
        <w:t>　</w:t>
      </w:r>
      <w:r>
        <w:rPr>
          <w:rFonts w:hint="eastAsia"/>
        </w:rPr>
        <w:t>应无效：</w:t>
      </w:r>
    </w:p>
    <w:p>
      <w:pPr>
        <w:ind w:firstLine="480" w:firstLineChars="200"/>
        <w:jc w:val="both"/>
      </w:pPr>
      <w:r>
        <w:rPr>
          <w:rFonts w:hint="eastAsia"/>
        </w:rPr>
        <w:t>（1）联合体没有提交有效的联合协议的；</w:t>
      </w:r>
    </w:p>
    <w:p>
      <w:pPr>
        <w:ind w:firstLine="480" w:firstLineChars="200"/>
        <w:jc w:val="both"/>
      </w:pPr>
      <w:r>
        <w:rPr>
          <w:rFonts w:hint="eastAsia"/>
        </w:rPr>
        <w:t xml:space="preserve">（2）进行资格预审的项目，资格预审后联合体增减、更换成员的； </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三、磋商文件</w:t>
      </w:r>
    </w:p>
    <w:p>
      <w:pPr>
        <w:pStyle w:val="4"/>
        <w:ind w:firstLine="482"/>
      </w:pPr>
      <w:r>
        <w:t>（一）磋商</w:t>
      </w:r>
      <w:r>
        <w:rPr>
          <w:rFonts w:hint="eastAsia"/>
        </w:rPr>
        <w:t>文件的解释权</w:t>
      </w:r>
    </w:p>
    <w:p>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pPr>
        <w:pStyle w:val="4"/>
        <w:ind w:firstLine="482"/>
      </w:pPr>
      <w:r>
        <w:t>（二）磋商文件主要内容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（三）磋商文件的检查及阅读</w:t>
      </w:r>
    </w:p>
    <w:p>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pPr>
        <w:pStyle w:val="4"/>
        <w:ind w:firstLine="482"/>
      </w:pPr>
      <w:r>
        <w:t>（四）磋商文件的修改、澄清</w:t>
      </w:r>
    </w:p>
    <w:p>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3"/>
          <w:color w:val="0070C0"/>
        </w:rPr>
        <w:t>http://www.ccgp-shaanxi.gov.cn/</w:t>
      </w:r>
      <w:r>
        <w:rPr>
          <w:rStyle w:val="33"/>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3"/>
          <w:rFonts w:hint="eastAsia"/>
          <w:color w:val="0070C0"/>
        </w:rPr>
        <w:t>http://</w:t>
      </w:r>
      <w:r>
        <w:rPr>
          <w:rStyle w:val="33"/>
          <w:color w:val="0070C0"/>
        </w:rPr>
        <w:t>sxggzyjy.xa.gov.cn/</w:t>
      </w:r>
      <w:r>
        <w:rPr>
          <w:rStyle w:val="33"/>
          <w:color w:val="0070C0"/>
        </w:rPr>
        <w:fldChar w:fldCharType="end"/>
      </w:r>
      <w:r>
        <w:t>）中的〖首页·〉交易大厅·〉政府采购〗。</w:t>
      </w:r>
    </w:p>
    <w:p>
      <w:pPr>
        <w:pStyle w:val="3"/>
      </w:pPr>
      <w:r>
        <w:t>四、响应文件</w:t>
      </w:r>
    </w:p>
    <w:p>
      <w:pPr>
        <w:pStyle w:val="4"/>
        <w:ind w:firstLine="482"/>
      </w:pPr>
      <w:r>
        <w:rPr>
          <w:rFonts w:hint="eastAsia"/>
        </w:rPr>
        <w:t>（一）响应文件</w:t>
      </w:r>
      <w:r>
        <w:t>的式样</w:t>
      </w:r>
    </w:p>
    <w:p>
      <w:pPr>
        <w:pStyle w:val="83"/>
        <w:ind w:firstLine="480"/>
      </w:pPr>
      <w:r>
        <w:t>1</w:t>
      </w:r>
      <w:r>
        <w:rPr>
          <w:rFonts w:hint="eastAsia"/>
          <w:color w:val="auto"/>
        </w:rPr>
        <w:t>．</w:t>
      </w:r>
      <w:r>
        <w:rPr>
          <w:rFonts w:hint="eastAsia"/>
        </w:rPr>
        <w:t>组成</w:t>
      </w:r>
      <w:r>
        <w:t>及格式</w:t>
      </w:r>
    </w:p>
    <w:p>
      <w:pPr>
        <w:pStyle w:val="83"/>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pPr>
        <w:pStyle w:val="83"/>
        <w:ind w:firstLine="480"/>
      </w:pPr>
      <w:r>
        <w:rPr>
          <w:rFonts w:hint="eastAsia"/>
        </w:rPr>
        <w:t>2</w:t>
      </w:r>
      <w:r>
        <w:rPr>
          <w:rFonts w:hint="eastAsia"/>
          <w:color w:val="auto"/>
        </w:rPr>
        <w:t>．</w:t>
      </w:r>
      <w:r>
        <w:rPr>
          <w:rFonts w:hint="eastAsia"/>
        </w:rPr>
        <w:t>语言</w:t>
      </w:r>
    </w:p>
    <w:p>
      <w:pPr>
        <w:pStyle w:val="83"/>
        <w:ind w:firstLine="480"/>
      </w:pPr>
      <w:r>
        <w:rPr>
          <w:rFonts w:hint="eastAsia"/>
        </w:rPr>
        <w:t>磋商活动的所有文件、资料、函电文字均使用简体中文，确需提交用其他语言形成的资料，必须翻译成简体中文，如有差异，以简体中文为准。</w:t>
      </w:r>
    </w:p>
    <w:p>
      <w:pPr>
        <w:pStyle w:val="83"/>
        <w:ind w:firstLine="480"/>
      </w:pPr>
      <w:r>
        <w:rPr>
          <w:rFonts w:hint="eastAsia"/>
        </w:rPr>
        <w:t>3</w:t>
      </w:r>
      <w:r>
        <w:rPr>
          <w:rFonts w:hint="eastAsia"/>
          <w:color w:val="auto"/>
        </w:rPr>
        <w:t>．</w:t>
      </w:r>
      <w:r>
        <w:t>计量单位</w:t>
      </w:r>
    </w:p>
    <w:p>
      <w:pPr>
        <w:pStyle w:val="83"/>
        <w:ind w:firstLine="480"/>
      </w:pPr>
      <w:r>
        <w:rPr>
          <w:rFonts w:hint="eastAsia"/>
        </w:rPr>
        <w:t>响应文件的计量单位应使用中华人民共和国法定计量单位，但磋商文件另有规定的除外。</w:t>
      </w:r>
    </w:p>
    <w:p>
      <w:pPr>
        <w:pStyle w:val="4"/>
        <w:ind w:firstLine="482"/>
      </w:pPr>
      <w:r>
        <w:rPr>
          <w:rFonts w:hint="eastAsia"/>
        </w:rPr>
        <w:t>（二）响应文件</w:t>
      </w:r>
      <w:r>
        <w:t>的有效期</w:t>
      </w:r>
    </w:p>
    <w:p>
      <w:pPr>
        <w:pStyle w:val="83"/>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pPr>
        <w:pStyle w:val="4"/>
        <w:ind w:firstLine="482"/>
      </w:pPr>
      <w:r>
        <w:rPr>
          <w:rFonts w:hint="eastAsia"/>
        </w:rPr>
        <w:t>（三）磋商</w:t>
      </w:r>
      <w:r>
        <w:t>报价</w:t>
      </w:r>
    </w:p>
    <w:p>
      <w:pPr>
        <w:pStyle w:val="83"/>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3"/>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pPr>
        <w:pStyle w:val="83"/>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pPr>
        <w:pStyle w:val="83"/>
        <w:ind w:firstLine="480"/>
      </w:pPr>
      <w:r>
        <w:t>（</w:t>
      </w:r>
      <w:r>
        <w:rPr>
          <w:rFonts w:hint="eastAsia"/>
        </w:rPr>
        <w:t>1</w:t>
      </w:r>
      <w:r>
        <w:t>）第一次报价：</w:t>
      </w:r>
      <w:r>
        <w:rPr>
          <w:rFonts w:hint="eastAsia"/>
        </w:rPr>
        <w:t>供应商应按照响应文件「第一次磋商报价表」中的相关要求填写分类报价及其他需要响应的内容。</w:t>
      </w:r>
    </w:p>
    <w:p>
      <w:pPr>
        <w:pStyle w:val="83"/>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pPr>
        <w:pStyle w:val="83"/>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pPr>
        <w:pStyle w:val="83"/>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pPr>
        <w:pStyle w:val="4"/>
        <w:ind w:firstLine="482"/>
      </w:pPr>
      <w:r>
        <w:rPr>
          <w:rFonts w:hint="eastAsia"/>
        </w:rPr>
        <w:t>（四）电子响应文件</w:t>
      </w:r>
      <w:r>
        <w:t>的</w:t>
      </w:r>
      <w:r>
        <w:rPr>
          <w:rFonts w:hint="eastAsia"/>
        </w:rPr>
        <w:t>制作、</w:t>
      </w:r>
      <w:r>
        <w:t>签章及加密</w:t>
      </w:r>
    </w:p>
    <w:p>
      <w:pPr>
        <w:pStyle w:val="83"/>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3"/>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3"/>
          <w:rFonts w:asciiTheme="minorHAnsi" w:hAnsiTheme="minorHAnsi" w:eastAsiaTheme="minorEastAsia"/>
          <w:color w:val="0070C0"/>
        </w:rPr>
        <w:t>http://sxggzyjy.xa.gov.cn/fwzn/004003/20181115/4d59c184-e8f6-4d5a-a416-c2f6b0601e66.html</w:t>
      </w:r>
      <w:r>
        <w:rPr>
          <w:rStyle w:val="33"/>
          <w:rFonts w:asciiTheme="minorHAnsi" w:hAnsiTheme="minorHAnsi" w:eastAsiaTheme="minorEastAsia"/>
          <w:color w:val="0070C0"/>
        </w:rPr>
        <w:fldChar w:fldCharType="end"/>
      </w:r>
    </w:p>
    <w:p>
      <w:pPr>
        <w:pStyle w:val="83"/>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pPr>
        <w:pStyle w:val="83"/>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pPr>
        <w:pStyle w:val="83"/>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3"/>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pPr>
        <w:pStyle w:val="83"/>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pPr>
        <w:pStyle w:val="4"/>
        <w:ind w:firstLine="482"/>
      </w:pPr>
      <w:r>
        <w:rPr>
          <w:rFonts w:hint="eastAsia"/>
        </w:rPr>
        <w:t>（五）电子响应文件</w:t>
      </w:r>
      <w:r>
        <w:t>的提交</w:t>
      </w:r>
    </w:p>
    <w:p>
      <w:pPr>
        <w:pStyle w:val="83"/>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pPr>
        <w:pStyle w:val="83"/>
        <w:ind w:firstLine="480"/>
      </w:pPr>
      <w:r>
        <w:t>出现下述情形的，电子响应文件将被系统拒收：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逾期提交电子响应文件的；</w:t>
      </w:r>
    </w:p>
    <w:p>
      <w:pPr>
        <w:ind w:firstLine="480" w:firstLineChars="200"/>
        <w:jc w:val="both"/>
        <w:rPr>
          <w:rFonts w:cstheme="minorHAnsi"/>
        </w:rPr>
      </w:pPr>
      <w:r>
        <w:rPr>
          <w:rFonts w:cstheme="minorHAnsi"/>
        </w:rPr>
        <w:t>3</w:t>
      </w:r>
      <w:r>
        <w:rPr>
          <w:rFonts w:hint="eastAsia" w:cstheme="minorHAnsi"/>
        </w:rPr>
        <w:t>．使用旧版电子磋商文件制作电子响应文件的。</w:t>
      </w:r>
    </w:p>
    <w:p>
      <w:pPr>
        <w:pStyle w:val="4"/>
        <w:ind w:firstLine="482"/>
      </w:pPr>
      <w:r>
        <w:t>（</w:t>
      </w:r>
      <w:r>
        <w:rPr>
          <w:rFonts w:hint="eastAsia"/>
        </w:rPr>
        <w:t>六</w:t>
      </w:r>
      <w:r>
        <w:t>）电子响应文件的撤回、补充及修改</w:t>
      </w:r>
    </w:p>
    <w:p>
      <w:pPr>
        <w:pStyle w:val="83"/>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pPr>
        <w:pStyle w:val="83"/>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pPr>
        <w:pStyle w:val="4"/>
        <w:ind w:firstLine="482"/>
      </w:pPr>
      <w:r>
        <w:rPr>
          <w:rFonts w:hint="eastAsia"/>
        </w:rPr>
        <w:t>（七）关于电子投</w:t>
      </w:r>
      <w:r>
        <w:rPr>
          <w:rFonts w:hint="eastAsia"/>
          <w:w w:val="1"/>
        </w:rPr>
        <w:t>　</w:t>
      </w:r>
      <w:r>
        <w:rPr>
          <w:rFonts w:hint="eastAsia"/>
        </w:rPr>
        <w:t>标文件的雷同性分析</w:t>
      </w:r>
    </w:p>
    <w:p>
      <w:pPr>
        <w:pStyle w:val="83"/>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pPr>
        <w:pStyle w:val="83"/>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pPr>
        <w:pStyle w:val="83"/>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pPr>
        <w:pStyle w:val="83"/>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pPr>
        <w:pStyle w:val="4"/>
        <w:ind w:firstLine="482"/>
      </w:pPr>
      <w:r>
        <w:rPr>
          <w:rFonts w:hint="eastAsia"/>
        </w:rPr>
        <w:t>（八）响应文件出现下列情形之一的，视为供应商串通投</w:t>
      </w:r>
      <w:r>
        <w:rPr>
          <w:rFonts w:hint="eastAsia"/>
          <w:w w:val="1"/>
        </w:rPr>
        <w:t>　</w:t>
      </w:r>
      <w:r>
        <w:rPr>
          <w:rFonts w:hint="eastAsia"/>
        </w:rPr>
        <w:t>标，其响应无效：</w:t>
      </w:r>
    </w:p>
    <w:p>
      <w:pPr>
        <w:pStyle w:val="83"/>
        <w:ind w:firstLine="480"/>
      </w:pPr>
      <w:r>
        <w:rPr>
          <w:rFonts w:hint="eastAsia"/>
        </w:rPr>
        <w:t>1．不同供应商的响应文件由同一单位或者个人编制的；</w:t>
      </w:r>
    </w:p>
    <w:p>
      <w:pPr>
        <w:pStyle w:val="83"/>
        <w:ind w:firstLine="480"/>
      </w:pPr>
      <w:r>
        <w:rPr>
          <w:rFonts w:hint="eastAsia"/>
        </w:rPr>
        <w:t>2．不同供应商委托同一单位或者个人办理磋商事宜的；</w:t>
      </w:r>
    </w:p>
    <w:p>
      <w:pPr>
        <w:pStyle w:val="83"/>
        <w:ind w:firstLine="480"/>
      </w:pPr>
      <w:r>
        <w:rPr>
          <w:rFonts w:hint="eastAsia"/>
        </w:rPr>
        <w:t>3．不同供应商的响应文件载明的项目管理成员或者联系人员为同一人的；</w:t>
      </w:r>
    </w:p>
    <w:p>
      <w:pPr>
        <w:pStyle w:val="83"/>
        <w:ind w:firstLine="480"/>
      </w:pPr>
      <w:r>
        <w:rPr>
          <w:rFonts w:hint="eastAsia"/>
        </w:rPr>
        <w:t>4．不同供应商的响应文件异常一致或者报价呈规律性差异的；</w:t>
      </w:r>
    </w:p>
    <w:p>
      <w:pPr>
        <w:pStyle w:val="83"/>
        <w:ind w:firstLine="480"/>
      </w:pPr>
      <w:r>
        <w:rPr>
          <w:rFonts w:hint="eastAsia"/>
        </w:rPr>
        <w:t>5．不同供应商的响应文件相互混编或混装的。</w:t>
      </w:r>
    </w:p>
    <w:p>
      <w:pPr>
        <w:pStyle w:val="3"/>
      </w:pPr>
      <w:r>
        <w:rPr>
          <w:rFonts w:hint="eastAsia"/>
        </w:rPr>
        <w:t>五</w:t>
      </w:r>
      <w:r>
        <w:t>、开启</w:t>
      </w:r>
    </w:p>
    <w:p>
      <w:pPr>
        <w:pStyle w:val="83"/>
        <w:ind w:firstLine="480"/>
      </w:pPr>
      <w:r>
        <w:rPr>
          <w:rFonts w:hint="eastAsia"/>
        </w:rPr>
        <w:t>开启工作由采购代理机构组织实施，整个过程受同级政府采购监管部门的监督、管理。</w:t>
      </w:r>
    </w:p>
    <w:p>
      <w:pPr>
        <w:pStyle w:val="83"/>
        <w:ind w:firstLine="480"/>
        <w:rPr>
          <w:color w:val="auto"/>
        </w:rPr>
      </w:pPr>
      <w:r>
        <w:rPr>
          <w:rFonts w:hint="eastAsia"/>
        </w:rPr>
        <w:t>1</w:t>
      </w:r>
      <w:r>
        <w:rPr>
          <w:rFonts w:hint="eastAsia"/>
          <w:color w:val="auto"/>
        </w:rPr>
        <w:t>．提交首次响应文件截止时间前，请各供应商务必确认已正常提交了响应文件。</w:t>
      </w:r>
    </w:p>
    <w:p>
      <w:pPr>
        <w:pStyle w:val="83"/>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pPr>
        <w:pStyle w:val="83"/>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3"/>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3"/>
          <w:rFonts w:hint="eastAsia"/>
          <w:color w:val="0070C0"/>
        </w:rPr>
        <w:t>http://sxggzyjy.xa.gov.cn/fwzn/004003/20200426/bc8b2c1e-abe2-4168-913c-68ff93345faf.html</w:t>
      </w:r>
      <w:r>
        <w:rPr>
          <w:rStyle w:val="33"/>
          <w:rFonts w:hint="eastAsia"/>
          <w:color w:val="0070C0"/>
        </w:rPr>
        <w:fldChar w:fldCharType="end"/>
      </w:r>
    </w:p>
    <w:p>
      <w:pPr>
        <w:pStyle w:val="83"/>
        <w:ind w:firstLine="480"/>
      </w:pPr>
      <w:r>
        <w:rPr>
          <w:rStyle w:val="33"/>
          <w:color w:val="auto"/>
          <w:u w:val="none"/>
        </w:rPr>
        <w:t>（</w:t>
      </w:r>
      <w:r>
        <w:rPr>
          <w:rStyle w:val="33"/>
          <w:rFonts w:hint="eastAsia"/>
          <w:color w:val="auto"/>
          <w:u w:val="none"/>
        </w:rPr>
        <w:t>3</w:t>
      </w:r>
      <w:r>
        <w:rPr>
          <w:rStyle w:val="33"/>
          <w:color w:val="auto"/>
          <w:u w:val="none"/>
        </w:rPr>
        <w:t>）突发状况的处置：整个磋商期间，</w:t>
      </w:r>
      <w:r>
        <w:rPr>
          <w:rStyle w:val="33"/>
          <w:rFonts w:hint="eastAsia"/>
          <w:color w:val="auto"/>
          <w:u w:val="none"/>
        </w:rPr>
        <w:t>如因停电、断网、电子化系统故障等特殊原因导致电子化开标、评标工作无法正常进行时，采购代理机构将及时汇报政府采购监管部门，并等待或中止后续活动。</w:t>
      </w:r>
    </w:p>
    <w:p>
      <w:pPr>
        <w:pStyle w:val="83"/>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pPr>
        <w:pStyle w:val="83"/>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pPr>
        <w:pStyle w:val="83"/>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pPr>
        <w:pStyle w:val="83"/>
        <w:ind w:firstLine="480"/>
        <w:rPr>
          <w:color w:val="auto"/>
        </w:rPr>
      </w:pPr>
      <w:r>
        <w:rPr>
          <w:rFonts w:hint="eastAsia"/>
          <w:color w:val="auto"/>
        </w:rPr>
        <w:t>（3）上传</w:t>
      </w:r>
      <w:r>
        <w:rPr>
          <w:color w:val="auto"/>
        </w:rPr>
        <w:t>的电子响应文件无法正常打开的；</w:t>
      </w:r>
    </w:p>
    <w:p>
      <w:pPr>
        <w:pStyle w:val="83"/>
        <w:ind w:firstLine="480"/>
        <w:rPr>
          <w:color w:val="auto"/>
        </w:rPr>
      </w:pPr>
      <w:r>
        <w:rPr>
          <w:rFonts w:hint="eastAsia"/>
          <w:color w:val="auto"/>
        </w:rPr>
        <w:t>（4）</w:t>
      </w:r>
      <w:r>
        <w:rPr>
          <w:color w:val="auto"/>
        </w:rPr>
        <w:t>政府采购法律法规规定的其他无效情形。</w:t>
      </w:r>
    </w:p>
    <w:p>
      <w:pPr>
        <w:pStyle w:val="83"/>
        <w:ind w:firstLine="480"/>
        <w:rPr>
          <w:color w:val="C00000"/>
        </w:rPr>
      </w:pPr>
      <w:r>
        <w:rPr>
          <w:rFonts w:hint="eastAsia"/>
          <w:color w:val="C00000"/>
        </w:rPr>
        <w:t>按照《政府采购竞争性磋商采购方式管理暂行办法》（财库〔2014〕214号）相关规定，对供应商的各轮磋商报价均不予公开。</w:t>
      </w:r>
    </w:p>
    <w:p>
      <w:pPr>
        <w:pStyle w:val="83"/>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pPr>
        <w:pStyle w:val="3"/>
      </w:pPr>
      <w:r>
        <w:t>六、磋商方法和程序</w:t>
      </w:r>
    </w:p>
    <w:p>
      <w:pPr>
        <w:pStyle w:val="4"/>
        <w:ind w:firstLine="482"/>
      </w:pPr>
      <w:r>
        <w:rPr>
          <w:rFonts w:hint="eastAsia"/>
        </w:rPr>
        <w:t>（一）组建磋商小组</w:t>
      </w:r>
    </w:p>
    <w:p>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ind w:firstLine="480" w:firstLineChars="200"/>
        <w:jc w:val="both"/>
      </w:pPr>
      <w:r>
        <w:rPr>
          <w:rFonts w:hint="eastAsia"/>
        </w:rPr>
        <w:t>由采购代理机构组织磋商小组推选评审组长，采购人代表不得担任组长。</w:t>
      </w:r>
    </w:p>
    <w:p>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pPr>
        <w:pStyle w:val="4"/>
        <w:ind w:firstLine="482"/>
      </w:pPr>
      <w:r>
        <w:t>（二）资格性审查</w:t>
      </w:r>
    </w:p>
    <w:p>
      <w:pPr>
        <w:pStyle w:val="83"/>
        <w:ind w:firstLine="480"/>
      </w:pPr>
      <w:r>
        <w:rPr>
          <w:rFonts w:hint="eastAsia"/>
        </w:rPr>
        <w:t>磋商文件经确认后，磋商小组对响应文件中的供应商资格证明文件进行审查（其中供应商信用记录审查由采购人进行）。</w:t>
      </w:r>
    </w:p>
    <w:p>
      <w:pPr>
        <w:pStyle w:val="83"/>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pPr>
        <w:pStyle w:val="83"/>
        <w:ind w:firstLine="480"/>
      </w:pPr>
      <w:r>
        <w:rPr>
          <w:rFonts w:hint="eastAsia"/>
        </w:rPr>
        <w:t>（1）不具备磋商文件中规定的资格要求的；</w:t>
      </w:r>
    </w:p>
    <w:p>
      <w:pPr>
        <w:pStyle w:val="83"/>
        <w:ind w:firstLine="480"/>
      </w:pPr>
      <w:r>
        <w:rPr>
          <w:rFonts w:hint="eastAsia"/>
        </w:rPr>
        <w:t>（2）未按磋商文件要求提供资格证明文件，或资格证明文件未按磋商文件要求签字、盖章的；</w:t>
      </w:r>
    </w:p>
    <w:p>
      <w:pPr>
        <w:pStyle w:val="83"/>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pPr>
        <w:pStyle w:val="83"/>
        <w:ind w:firstLine="480"/>
      </w:pPr>
      <w:r>
        <w:rPr>
          <w:rFonts w:hint="eastAsia"/>
        </w:rPr>
        <w:t>（4）法律法规规定的其他无效情形。</w:t>
      </w:r>
    </w:p>
    <w:p>
      <w:pPr>
        <w:pStyle w:val="83"/>
        <w:ind w:firstLine="480"/>
      </w:pPr>
      <w:r>
        <w:rPr>
          <w:rFonts w:hint="eastAsia"/>
        </w:rPr>
        <w:t>资格审查结束后，磋商小组成员应当对审查结果进行签字确认，并告知无效响应供应商资格审查未通过的原因。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6"/>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年度或2025年</w:t>
            </w:r>
            <w:r>
              <w:rPr>
                <w:rFonts w:ascii="Calibri" w:hAnsi="宋体" w:eastAsia="宋体" w:cstheme="minorHAnsi"/>
                <w:bCs/>
                <w:sz w:val="21"/>
              </w:rPr>
              <w:t>度</w:t>
            </w:r>
            <w:r>
              <w:rPr>
                <w:rFonts w:hint="eastAsia" w:ascii="Calibri" w:hAnsi="宋体" w:eastAsia="宋体" w:cstheme="minorHAnsi"/>
                <w:bCs/>
                <w:sz w:val="21"/>
              </w:rPr>
              <w:t>经审计的财务会计报告（成立时间至提交响应文件截止时间不足一年的可提供成立后任意时段的资产负债表）；</w:t>
            </w:r>
          </w:p>
          <w:p>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7</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7</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pPr>
              <w:spacing w:line="400" w:lineRule="exact"/>
              <w:jc w:val="both"/>
              <w:rPr>
                <w:rFonts w:ascii="Calibri" w:hAnsi="宋体" w:eastAsia="宋体" w:cstheme="minorHAnsi"/>
                <w:bCs/>
                <w:color w:val="C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C0000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pPr>
        <w:pStyle w:val="4"/>
        <w:ind w:firstLine="482"/>
      </w:pPr>
      <w:r>
        <w:t>（三）符合性审查</w:t>
      </w:r>
    </w:p>
    <w:p>
      <w:pPr>
        <w:pStyle w:val="83"/>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pPr>
        <w:pStyle w:val="83"/>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pPr>
        <w:pStyle w:val="83"/>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6"/>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4"/>
        <w:ind w:firstLine="482"/>
      </w:pPr>
      <w:r>
        <w:t>（四）磋商</w:t>
      </w:r>
    </w:p>
    <w:p>
      <w:pPr>
        <w:ind w:firstLine="480" w:firstLineChars="200"/>
        <w:jc w:val="both"/>
      </w:pPr>
      <w:r>
        <w:rPr>
          <w:rFonts w:hint="eastAsia"/>
        </w:rPr>
        <w:t>磋商小组所有成员将集中与单一供应商分别进行磋商，并给予所有参加磋商的供应商平等的磋商机会。</w:t>
      </w:r>
    </w:p>
    <w:p>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4"/>
        <w:ind w:firstLine="482"/>
      </w:pPr>
      <w:r>
        <w:t>（五）提交最后报价</w:t>
      </w:r>
    </w:p>
    <w:p>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pPr>
        <w:ind w:firstLine="480" w:firstLineChars="200"/>
        <w:jc w:val="both"/>
      </w:pPr>
      <w:r>
        <w:rPr>
          <w:rFonts w:hint="eastAsia"/>
        </w:rPr>
        <w:t>提交最后报价的供应商不得少于3家，但以下情形除外：</w:t>
      </w:r>
    </w:p>
    <w:p>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pPr>
        <w:pStyle w:val="4"/>
        <w:ind w:firstLine="482"/>
      </w:pPr>
      <w:bookmarkStart w:id="17" w:name="OLE_LINK6"/>
      <w:r>
        <w:t>（</w:t>
      </w:r>
      <w:r>
        <w:rPr>
          <w:rFonts w:hint="eastAsia"/>
        </w:rPr>
        <w:t>六</w:t>
      </w:r>
      <w:r>
        <w:t>）</w:t>
      </w:r>
      <w:r>
        <w:rPr>
          <w:rFonts w:hint="eastAsia"/>
        </w:rPr>
        <w:t>异常低价的审查</w:t>
      </w:r>
    </w:p>
    <w:bookmarkEnd w:id="17"/>
    <w:p>
      <w:pPr>
        <w:pStyle w:val="101"/>
        <w:snapToGrid w:val="0"/>
        <w:spacing w:line="360" w:lineRule="auto"/>
        <w:ind w:firstLine="420" w:firstLineChars="200"/>
        <w:textAlignment w:val="auto"/>
        <w:rPr>
          <w:rFonts w:hAnsi="宋体" w:cs="宋体"/>
          <w:sz w:val="24"/>
          <w:szCs w:val="24"/>
        </w:rPr>
      </w:pPr>
      <w:r>
        <w:t>1</w:t>
      </w:r>
      <w:r>
        <w:rPr>
          <w:rFonts w:hint="eastAsia"/>
        </w:rPr>
        <w:t>．</w:t>
      </w:r>
      <w:r>
        <w:rPr>
          <w:rFonts w:hint="eastAsia" w:hAnsi="宋体" w:cs="宋体"/>
          <w:sz w:val="24"/>
          <w:szCs w:val="24"/>
        </w:rPr>
        <w:t>评审中出现下列情形之一的，磋商小组应当启动异常低价响应审查程序：</w:t>
      </w:r>
    </w:p>
    <w:p>
      <w:pPr>
        <w:pStyle w:val="101"/>
        <w:snapToGrid w:val="0"/>
        <w:spacing w:line="360" w:lineRule="auto"/>
        <w:ind w:firstLine="480" w:firstLineChars="200"/>
        <w:textAlignment w:val="auto"/>
        <w:rPr>
          <w:color w:val="FF0000"/>
          <w:sz w:val="24"/>
          <w:szCs w:val="24"/>
        </w:rPr>
      </w:pPr>
      <w:r>
        <w:rPr>
          <w:rFonts w:hint="eastAsia"/>
          <w:color w:val="FF0000"/>
          <w:sz w:val="24"/>
          <w:szCs w:val="24"/>
        </w:rPr>
        <w:t>① 响应</w:t>
      </w:r>
      <w:r>
        <w:rPr>
          <w:color w:val="FF0000"/>
          <w:sz w:val="24"/>
          <w:szCs w:val="24"/>
        </w:rPr>
        <w:t>报价低于全部通过符合性审查供应商响应报价平均值</w:t>
      </w:r>
      <w:r>
        <w:rPr>
          <w:color w:val="FF0000"/>
          <w:sz w:val="24"/>
          <w:szCs w:val="24"/>
          <w:u w:val="single"/>
        </w:rPr>
        <w:t>65</w:t>
      </w:r>
      <w:r>
        <w:rPr>
          <w:color w:val="FF0000"/>
          <w:sz w:val="24"/>
          <w:szCs w:val="24"/>
        </w:rPr>
        <w:t>%的，即</w:t>
      </w:r>
      <w:r>
        <w:rPr>
          <w:rFonts w:hint="eastAsia"/>
          <w:color w:val="FF0000"/>
          <w:sz w:val="24"/>
          <w:szCs w:val="24"/>
        </w:rPr>
        <w:t>响应</w:t>
      </w:r>
      <w:r>
        <w:rPr>
          <w:color w:val="FF0000"/>
          <w:sz w:val="24"/>
          <w:szCs w:val="24"/>
        </w:rPr>
        <w:t>报价</w:t>
      </w:r>
      <w:r>
        <w:rPr>
          <w:rFonts w:hint="eastAsia"/>
          <w:color w:val="FF0000"/>
          <w:sz w:val="24"/>
          <w:szCs w:val="24"/>
        </w:rPr>
        <w:t>＜</w:t>
      </w:r>
      <w:r>
        <w:rPr>
          <w:color w:val="FF0000"/>
          <w:sz w:val="24"/>
          <w:szCs w:val="24"/>
        </w:rPr>
        <w:t>全部通过符合性审查供应商响应报价平均值×</w:t>
      </w:r>
      <w:r>
        <w:rPr>
          <w:color w:val="FF0000"/>
          <w:sz w:val="24"/>
          <w:szCs w:val="24"/>
          <w:u w:val="single"/>
        </w:rPr>
        <w:t>65</w:t>
      </w:r>
      <w:r>
        <w:rPr>
          <w:color w:val="FF0000"/>
          <w:sz w:val="24"/>
          <w:szCs w:val="24"/>
        </w:rPr>
        <w:t>%；</w:t>
      </w:r>
    </w:p>
    <w:p>
      <w:pPr>
        <w:pStyle w:val="101"/>
        <w:snapToGrid w:val="0"/>
        <w:spacing w:line="360" w:lineRule="auto"/>
        <w:ind w:firstLine="480" w:firstLineChars="200"/>
        <w:textAlignment w:val="auto"/>
        <w:rPr>
          <w:color w:val="FF0000"/>
          <w:sz w:val="24"/>
          <w:szCs w:val="24"/>
        </w:rPr>
      </w:pPr>
      <w:r>
        <w:rPr>
          <w:rFonts w:hint="eastAsia"/>
          <w:color w:val="FF0000"/>
          <w:sz w:val="24"/>
          <w:szCs w:val="24"/>
        </w:rPr>
        <w:t>② 响应</w:t>
      </w:r>
      <w:r>
        <w:rPr>
          <w:color w:val="FF0000"/>
          <w:sz w:val="24"/>
          <w:szCs w:val="24"/>
        </w:rPr>
        <w:t>报价低于通过符合性审查的次低报价供应商响应报价</w:t>
      </w:r>
      <w:r>
        <w:rPr>
          <w:color w:val="FF0000"/>
          <w:sz w:val="24"/>
          <w:szCs w:val="24"/>
          <w:u w:val="single"/>
        </w:rPr>
        <w:t>65</w:t>
      </w:r>
      <w:r>
        <w:rPr>
          <w:color w:val="FF0000"/>
          <w:sz w:val="24"/>
          <w:szCs w:val="24"/>
        </w:rPr>
        <w:t>%的，即响应报价</w:t>
      </w:r>
      <w:r>
        <w:rPr>
          <w:rFonts w:hint="eastAsia"/>
          <w:color w:val="FF0000"/>
          <w:sz w:val="24"/>
          <w:szCs w:val="24"/>
        </w:rPr>
        <w:t>＜</w:t>
      </w:r>
      <w:r>
        <w:rPr>
          <w:color w:val="FF0000"/>
          <w:sz w:val="24"/>
          <w:szCs w:val="24"/>
        </w:rPr>
        <w:t>通过符合性审查的次低报价供应商响应报价×</w:t>
      </w:r>
      <w:r>
        <w:rPr>
          <w:color w:val="FF0000"/>
          <w:sz w:val="24"/>
          <w:szCs w:val="24"/>
          <w:u w:val="single"/>
        </w:rPr>
        <w:t>65</w:t>
      </w:r>
      <w:r>
        <w:rPr>
          <w:color w:val="FF0000"/>
          <w:sz w:val="24"/>
          <w:szCs w:val="24"/>
        </w:rPr>
        <w:t>%；</w:t>
      </w:r>
    </w:p>
    <w:p>
      <w:pPr>
        <w:pStyle w:val="101"/>
        <w:snapToGrid w:val="0"/>
        <w:spacing w:line="360" w:lineRule="auto"/>
        <w:ind w:firstLine="480" w:firstLineChars="200"/>
        <w:textAlignment w:val="auto"/>
        <w:rPr>
          <w:rFonts w:hAnsi="宋体" w:cs="宋体"/>
          <w:color w:val="FF0000"/>
          <w:sz w:val="24"/>
          <w:szCs w:val="24"/>
        </w:rPr>
      </w:pPr>
      <w:r>
        <w:rPr>
          <w:rFonts w:hint="eastAsia"/>
          <w:color w:val="FF0000"/>
          <w:sz w:val="24"/>
          <w:szCs w:val="24"/>
        </w:rPr>
        <w:t xml:space="preserve">③ </w:t>
      </w:r>
      <w:r>
        <w:rPr>
          <w:color w:val="FF0000"/>
          <w:sz w:val="24"/>
          <w:szCs w:val="24"/>
        </w:rPr>
        <w:t>响应报价低于采购项目最高限价</w:t>
      </w:r>
      <w:r>
        <w:rPr>
          <w:color w:val="FF0000"/>
          <w:sz w:val="24"/>
          <w:szCs w:val="24"/>
          <w:u w:val="single"/>
        </w:rPr>
        <w:t>65</w:t>
      </w:r>
      <w:r>
        <w:rPr>
          <w:color w:val="FF0000"/>
          <w:sz w:val="24"/>
          <w:szCs w:val="24"/>
        </w:rPr>
        <w:t>%的，即响应报价</w:t>
      </w:r>
      <w:r>
        <w:rPr>
          <w:rFonts w:hint="eastAsia"/>
          <w:color w:val="FF0000"/>
          <w:sz w:val="24"/>
          <w:szCs w:val="24"/>
        </w:rPr>
        <w:t>＜</w:t>
      </w:r>
      <w:r>
        <w:rPr>
          <w:color w:val="FF0000"/>
          <w:sz w:val="24"/>
          <w:szCs w:val="24"/>
        </w:rPr>
        <w:t>采购项目最高限价×</w:t>
      </w:r>
      <w:r>
        <w:rPr>
          <w:color w:val="FF0000"/>
          <w:sz w:val="24"/>
          <w:szCs w:val="24"/>
          <w:u w:val="single"/>
        </w:rPr>
        <w:t>65</w:t>
      </w:r>
      <w:r>
        <w:rPr>
          <w:color w:val="FF0000"/>
          <w:sz w:val="24"/>
          <w:szCs w:val="24"/>
        </w:rPr>
        <w:t>%</w:t>
      </w:r>
      <w:r>
        <w:rPr>
          <w:rFonts w:hint="eastAsia" w:hAnsi="宋体" w:cs="宋体"/>
          <w:color w:val="FF0000"/>
          <w:sz w:val="24"/>
          <w:szCs w:val="24"/>
        </w:rPr>
        <w:t>；</w:t>
      </w:r>
    </w:p>
    <w:p>
      <w:pPr>
        <w:pStyle w:val="101"/>
        <w:snapToGrid w:val="0"/>
        <w:spacing w:line="360" w:lineRule="auto"/>
        <w:ind w:firstLine="480" w:firstLineChars="200"/>
        <w:textAlignment w:val="auto"/>
        <w:rPr>
          <w:rFonts w:hAnsi="宋体" w:cs="宋体"/>
          <w:sz w:val="24"/>
          <w:szCs w:val="24"/>
        </w:rPr>
      </w:pPr>
      <w:r>
        <w:rPr>
          <w:rFonts w:hint="eastAsia" w:hAnsi="宋体" w:cs="宋体"/>
          <w:sz w:val="24"/>
          <w:szCs w:val="24"/>
        </w:rPr>
        <w:t>④ 磋商小组基于专业判断，认为供应商报价过低，有可能影响产品质量或者不能诚信履约的其他情形。</w:t>
      </w:r>
    </w:p>
    <w:p>
      <w:pPr>
        <w:pStyle w:val="101"/>
        <w:snapToGrid w:val="0"/>
        <w:spacing w:line="360" w:lineRule="auto"/>
        <w:ind w:firstLine="420" w:firstLineChars="200"/>
        <w:textAlignment w:val="auto"/>
        <w:rPr>
          <w:rFonts w:hAnsi="宋体" w:cs="宋体"/>
          <w:sz w:val="24"/>
          <w:szCs w:val="24"/>
        </w:rPr>
      </w:pPr>
      <w:r>
        <w:t>2</w:t>
      </w:r>
      <w:r>
        <w:rPr>
          <w:rFonts w:hint="eastAsia"/>
        </w:rPr>
        <w:t>．</w:t>
      </w:r>
      <w:r>
        <w:rPr>
          <w:rFonts w:hint="eastAsia" w:hAnsi="宋体" w:cs="宋体"/>
          <w:sz w:val="24"/>
          <w:szCs w:val="24"/>
        </w:rPr>
        <w:t>磋商小组启动异常低价投标审查后，属于第①项至第④项情形的，相关供应商应当在40分钟</w:t>
      </w:r>
      <w:r>
        <w:rPr>
          <w:rFonts w:hAnsi="宋体" w:cs="宋体"/>
          <w:sz w:val="24"/>
          <w:szCs w:val="24"/>
        </w:rPr>
        <w:t>内</w:t>
      </w:r>
      <w:r>
        <w:rPr>
          <w:rFonts w:hint="eastAsia" w:hAnsi="宋体" w:cs="宋体"/>
          <w:sz w:val="24"/>
          <w:szCs w:val="24"/>
        </w:rPr>
        <w:t>通过电子化</w:t>
      </w:r>
      <w:r>
        <w:rPr>
          <w:rFonts w:hAnsi="宋体" w:cs="宋体"/>
          <w:sz w:val="24"/>
          <w:szCs w:val="24"/>
        </w:rPr>
        <w:t>交易平台，</w:t>
      </w:r>
      <w:r>
        <w:rPr>
          <w:rFonts w:hint="eastAsia" w:hAnsi="宋体" w:cs="宋体"/>
          <w:sz w:val="24"/>
          <w:szCs w:val="24"/>
        </w:rPr>
        <w:t>提供项目具体成本测算等与报价合理性相关的书面说明及必要的证明材料，包括但不限于原材料成本、人工成本、制造费用等。其中，属于第③项情形，供应商已随投标文件一并提交相关书面说明及必要的证明材料的，可不再重复提交。</w:t>
      </w:r>
    </w:p>
    <w:p>
      <w:pPr>
        <w:pStyle w:val="101"/>
        <w:snapToGrid w:val="0"/>
        <w:spacing w:line="360" w:lineRule="auto"/>
        <w:ind w:firstLine="480" w:firstLineChars="200"/>
        <w:textAlignment w:val="auto"/>
        <w:rPr>
          <w:rFonts w:hAnsi="宋体" w:cs="宋体"/>
          <w:sz w:val="24"/>
          <w:szCs w:val="24"/>
        </w:rPr>
      </w:pPr>
      <w:r>
        <w:rPr>
          <w:rFonts w:hint="eastAsia" w:hAnsi="宋体" w:cs="宋体"/>
          <w:sz w:val="24"/>
          <w:szCs w:val="24"/>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p>
      <w:pPr>
        <w:pStyle w:val="101"/>
        <w:snapToGrid w:val="0"/>
        <w:spacing w:line="360" w:lineRule="auto"/>
        <w:ind w:firstLine="480" w:firstLineChars="200"/>
        <w:textAlignment w:val="auto"/>
        <w:rPr>
          <w:rFonts w:hAnsi="宋体" w:cs="宋体"/>
          <w:sz w:val="24"/>
          <w:szCs w:val="24"/>
        </w:rPr>
      </w:pPr>
      <w:r>
        <w:rPr>
          <w:rFonts w:hint="eastAsia" w:hAnsi="宋体" w:cs="宋体"/>
          <w:sz w:val="24"/>
          <w:szCs w:val="24"/>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pStyle w:val="101"/>
        <w:snapToGrid w:val="0"/>
        <w:spacing w:line="360" w:lineRule="auto"/>
        <w:ind w:firstLine="480" w:firstLineChars="200"/>
        <w:textAlignment w:val="auto"/>
        <w:rPr>
          <w:rFonts w:hAnsi="宋体" w:cs="宋体"/>
          <w:sz w:val="24"/>
          <w:szCs w:val="24"/>
        </w:rPr>
      </w:pPr>
      <w:r>
        <w:rPr>
          <w:rFonts w:hint="eastAsia" w:hAnsi="宋体" w:cs="宋体"/>
          <w:sz w:val="24"/>
          <w:szCs w:val="24"/>
        </w:rPr>
        <w:t>异常低价响应审查的启动原因、审查意见和审查结果应当在评审报告中记录，并随供应商提供的相关书面说明及证明材料，以及磋商小组有关互联网浏览、查询历史一并归档。</w:t>
      </w:r>
    </w:p>
    <w:p>
      <w:pPr>
        <w:pStyle w:val="4"/>
        <w:ind w:firstLine="482"/>
        <w:jc w:val="both"/>
      </w:pPr>
      <w:r>
        <w:t>（</w:t>
      </w:r>
      <w:r>
        <w:rPr>
          <w:rFonts w:hint="eastAsia"/>
        </w:rPr>
        <w:t>七</w:t>
      </w:r>
      <w:r>
        <w:t>）综合比较与评分</w:t>
      </w:r>
    </w:p>
    <w:p>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6"/>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692"/>
        <w:gridCol w:w="153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5692"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1535"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5692"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ind w:firstLine="420"/>
              <w:jc w:val="center"/>
              <w:rPr>
                <w:rFonts w:ascii="Calibri" w:hAnsi="宋体" w:eastAsia="宋体" w:cstheme="minorHAnsi"/>
                <w:bCs/>
                <w:sz w:val="21"/>
                <w:szCs w:val="21"/>
              </w:rPr>
            </w:pPr>
          </w:p>
        </w:tc>
        <w:tc>
          <w:tcPr>
            <w:tcW w:w="1535"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10</w:t>
            </w:r>
          </w:p>
        </w:tc>
        <w:tc>
          <w:tcPr>
            <w:tcW w:w="5692" w:type="dxa"/>
            <w:tcBorders>
              <w:top w:val="single" w:color="auto" w:sz="2" w:space="0"/>
            </w:tcBorders>
            <w:shd w:val="clear" w:color="auto" w:fill="auto"/>
            <w:vAlign w:val="center"/>
          </w:tcPr>
          <w:p>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满足磋商文件要求且最后报价最低的供应商的价格为磋商基准价得</w:t>
            </w:r>
            <w:r>
              <w:rPr>
                <w:rFonts w:ascii="Calibri" w:hAnsi="宋体" w:eastAsia="宋体" w:cs="宋体"/>
                <w:sz w:val="21"/>
                <w:szCs w:val="21"/>
              </w:rPr>
              <w:t>1</w:t>
            </w:r>
            <w:r>
              <w:rPr>
                <w:rFonts w:hint="eastAsia" w:ascii="Calibri" w:hAnsi="宋体" w:eastAsia="宋体" w:cs="宋体"/>
                <w:sz w:val="21"/>
                <w:szCs w:val="21"/>
              </w:rPr>
              <w:t>0分，其他各供应商的最后报价得分按下列公式计算：（磋商基准价/最后磋商报价）×</w:t>
            </w:r>
            <w:r>
              <w:rPr>
                <w:rFonts w:ascii="Calibri" w:hAnsi="宋体" w:eastAsia="宋体" w:cs="宋体"/>
                <w:sz w:val="21"/>
                <w:szCs w:val="21"/>
              </w:rPr>
              <w:t>1</w:t>
            </w:r>
            <w:r>
              <w:rPr>
                <w:rFonts w:hint="eastAsia" w:ascii="Calibri" w:hAnsi="宋体" w:eastAsia="宋体" w:cs="宋体"/>
                <w:sz w:val="21"/>
                <w:szCs w:val="21"/>
              </w:rPr>
              <w:t>0％×100。</w:t>
            </w:r>
          </w:p>
        </w:tc>
        <w:tc>
          <w:tcPr>
            <w:tcW w:w="1535" w:type="dxa"/>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w:t>
            </w:r>
            <w:r>
              <w:rPr>
                <w:rFonts w:hint="eastAsia" w:ascii="Calibri" w:hAnsi="宋体" w:eastAsia="宋体"/>
                <w:color w:val="000000" w:themeColor="text1"/>
                <w:szCs w:val="21"/>
                <w14:textFill>
                  <w14:solidFill>
                    <w14:schemeClr w14:val="tx1"/>
                  </w14:solidFill>
                </w14:textFill>
              </w:rPr>
              <w:t>部分</w:t>
            </w:r>
          </w:p>
        </w:tc>
        <w:tc>
          <w:tcPr>
            <w:tcW w:w="640" w:type="dxa"/>
            <w:vMerge w:val="restart"/>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27</w:t>
            </w:r>
          </w:p>
        </w:tc>
        <w:tc>
          <w:tcPr>
            <w:tcW w:w="860" w:type="dxa"/>
            <w:shd w:val="clear" w:color="auto" w:fill="auto"/>
            <w:vAlign w:val="center"/>
          </w:tcPr>
          <w:p>
            <w:pPr>
              <w:spacing w:line="400" w:lineRule="exact"/>
              <w:jc w:val="both"/>
              <w:rPr>
                <w:rFonts w:ascii="Calibri" w:hAnsi="宋体" w:eastAsia="宋体" w:cs="宋体"/>
                <w:bCs/>
                <w:sz w:val="21"/>
                <w:szCs w:val="21"/>
              </w:rPr>
            </w:pPr>
            <w:r>
              <w:rPr>
                <w:rFonts w:ascii="Calibri" w:hAnsi="宋体" w:eastAsia="宋体" w:cs="宋体"/>
                <w:bCs/>
                <w:sz w:val="21"/>
                <w:szCs w:val="21"/>
              </w:rPr>
              <w:t>6</w:t>
            </w:r>
          </w:p>
        </w:tc>
        <w:tc>
          <w:tcPr>
            <w:tcW w:w="5692" w:type="dxa"/>
            <w:tcBorders>
              <w:top w:val="single" w:color="auto" w:sz="2" w:space="0"/>
            </w:tcBorders>
            <w:shd w:val="clear" w:color="auto" w:fill="auto"/>
            <w:vAlign w:val="center"/>
          </w:tcPr>
          <w:p>
            <w:pPr>
              <w:spacing w:line="320" w:lineRule="exact"/>
              <w:ind w:firstLine="422"/>
              <w:rPr>
                <w:rFonts w:ascii="Calibri" w:hAnsi="宋体" w:eastAsia="宋体" w:cs="Calibri"/>
                <w:b/>
                <w:bCs/>
                <w:color w:val="FF0000"/>
                <w:sz w:val="21"/>
                <w:szCs w:val="21"/>
              </w:rPr>
            </w:pPr>
            <w:bookmarkStart w:id="18" w:name="OLE_LINK55"/>
            <w:bookmarkStart w:id="19" w:name="OLE_LINK56"/>
            <w:r>
              <w:rPr>
                <w:rFonts w:hint="eastAsia" w:ascii="Calibri" w:hAnsi="宋体" w:eastAsia="宋体" w:cs="Calibri"/>
                <w:b/>
                <w:bCs/>
                <w:color w:val="FF0000"/>
                <w:sz w:val="21"/>
                <w:szCs w:val="21"/>
              </w:rPr>
              <w:t>服务方案</w:t>
            </w:r>
            <w:bookmarkEnd w:id="18"/>
            <w:bookmarkEnd w:id="19"/>
            <w:r>
              <w:rPr>
                <w:rFonts w:hint="eastAsia" w:ascii="Calibri" w:hAnsi="宋体" w:eastAsia="宋体" w:cs="Calibri"/>
                <w:b/>
                <w:bCs/>
                <w:color w:val="FF0000"/>
                <w:sz w:val="21"/>
                <w:szCs w:val="21"/>
              </w:rPr>
              <w:t>：</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一、评审内容</w:t>
            </w:r>
          </w:p>
          <w:p>
            <w:pPr>
              <w:tabs>
                <w:tab w:val="left" w:pos="547"/>
              </w:tabs>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根据造价咨询业务的专业、重难点、工作流程、工作方法及内容，造价咨询业务符合国家相关标准、规范，阐述其服务方案。</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二、评审标准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1、完整性：方案须全面，对评审内容中的各项要求有详细描述及说明；</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2、可实施性：切合本项目实际情况，实施步骤清晰、合理；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3、针对性：方案能够紧扣项目实际情况，</w:t>
            </w:r>
            <w:r>
              <w:rPr>
                <w:rFonts w:hint="eastAsia" w:ascii="Calibri" w:hAnsi="宋体" w:eastAsia="宋体" w:cs="宋体"/>
                <w:bCs/>
                <w:sz w:val="21"/>
                <w:szCs w:val="21"/>
              </w:rPr>
              <w:t>重点突出</w:t>
            </w:r>
            <w:r>
              <w:rPr>
                <w:rFonts w:hint="eastAsia" w:ascii="Calibri" w:hAnsi="宋体" w:eastAsia="宋体" w:cs="Calibri"/>
                <w:bCs/>
                <w:sz w:val="21"/>
                <w:szCs w:val="21"/>
              </w:rPr>
              <w:t>。</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三、赋分标准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每完全满足一项评审标准得</w:t>
            </w:r>
            <w:r>
              <w:rPr>
                <w:rFonts w:ascii="Calibri" w:hAnsi="宋体" w:eastAsia="宋体" w:cs="Calibri"/>
                <w:bCs/>
                <w:sz w:val="21"/>
                <w:szCs w:val="21"/>
              </w:rPr>
              <w:t>2</w:t>
            </w:r>
            <w:r>
              <w:rPr>
                <w:rFonts w:hint="eastAsia" w:ascii="Calibri" w:hAnsi="宋体" w:eastAsia="宋体" w:cs="Calibri"/>
                <w:bCs/>
                <w:sz w:val="21"/>
                <w:szCs w:val="21"/>
              </w:rPr>
              <w:t>分，满分</w:t>
            </w:r>
            <w:r>
              <w:rPr>
                <w:rFonts w:ascii="Calibri" w:hAnsi="宋体" w:eastAsia="宋体" w:cs="Calibri"/>
                <w:bCs/>
                <w:sz w:val="21"/>
                <w:szCs w:val="21"/>
              </w:rPr>
              <w:t>6</w:t>
            </w:r>
            <w:r>
              <w:rPr>
                <w:rFonts w:hint="eastAsia" w:ascii="Calibri" w:hAnsi="宋体" w:eastAsia="宋体" w:cs="Calibri"/>
                <w:bCs/>
                <w:sz w:val="21"/>
                <w:szCs w:val="21"/>
              </w:rPr>
              <w:t>分；</w:t>
            </w:r>
          </w:p>
        </w:tc>
        <w:tc>
          <w:tcPr>
            <w:tcW w:w="1535" w:type="dxa"/>
            <w:vMerge w:val="restart"/>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both"/>
              <w:rPr>
                <w:rFonts w:ascii="Calibri" w:hAnsi="宋体" w:eastAsia="宋体" w:cs="宋体"/>
                <w:bCs/>
                <w:sz w:val="21"/>
                <w:szCs w:val="21"/>
              </w:rPr>
            </w:pPr>
            <w:r>
              <w:rPr>
                <w:rFonts w:ascii="Calibri" w:hAnsi="宋体" w:eastAsia="宋体" w:cs="宋体"/>
                <w:bCs/>
                <w:sz w:val="21"/>
                <w:szCs w:val="21"/>
              </w:rPr>
              <w:t>6</w:t>
            </w:r>
          </w:p>
        </w:tc>
        <w:tc>
          <w:tcPr>
            <w:tcW w:w="5692" w:type="dxa"/>
            <w:tcBorders>
              <w:top w:val="single" w:color="auto" w:sz="2" w:space="0"/>
            </w:tcBorders>
            <w:shd w:val="clear" w:color="auto" w:fill="auto"/>
            <w:vAlign w:val="center"/>
          </w:tcPr>
          <w:p>
            <w:pPr>
              <w:spacing w:line="320" w:lineRule="exact"/>
              <w:ind w:firstLine="422"/>
              <w:rPr>
                <w:rFonts w:ascii="Calibri" w:hAnsi="宋体" w:eastAsia="宋体" w:cs="Calibri"/>
                <w:b/>
                <w:bCs/>
                <w:color w:val="FF0000"/>
                <w:sz w:val="21"/>
                <w:szCs w:val="21"/>
              </w:rPr>
            </w:pPr>
            <w:r>
              <w:rPr>
                <w:rFonts w:hint="eastAsia" w:ascii="Calibri" w:hAnsi="宋体" w:eastAsia="宋体" w:cs="Calibri"/>
                <w:b/>
                <w:bCs/>
                <w:color w:val="FF0000"/>
                <w:sz w:val="21"/>
                <w:szCs w:val="21"/>
              </w:rPr>
              <w:t>进度保证措施：</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一、评审内容</w:t>
            </w:r>
          </w:p>
          <w:p>
            <w:pPr>
              <w:tabs>
                <w:tab w:val="left" w:pos="547"/>
              </w:tabs>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进度保证措施全面完整，细节明确，各环节配合科学紧凑，针对性强。</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二、评审标准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1、完整性：方案须全面，对评审内容中的各项要求有详细描述及说明；</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2、可实施性：切合本项目实际情况，实施步骤清晰、合理；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3、针对性：方案能够紧扣项目实际情况，内容科学合理。</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三、赋分标准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每完全满足一项评审标准得</w:t>
            </w:r>
            <w:r>
              <w:rPr>
                <w:rFonts w:ascii="Calibri" w:hAnsi="宋体" w:eastAsia="宋体" w:cs="Calibri"/>
                <w:bCs/>
                <w:sz w:val="21"/>
                <w:szCs w:val="21"/>
              </w:rPr>
              <w:t>2</w:t>
            </w:r>
            <w:r>
              <w:rPr>
                <w:rFonts w:hint="eastAsia" w:ascii="Calibri" w:hAnsi="宋体" w:eastAsia="宋体" w:cs="Calibri"/>
                <w:bCs/>
                <w:sz w:val="21"/>
                <w:szCs w:val="21"/>
              </w:rPr>
              <w:t>分，满分</w:t>
            </w:r>
            <w:r>
              <w:rPr>
                <w:rFonts w:ascii="Calibri" w:hAnsi="宋体" w:eastAsia="宋体" w:cs="Calibri"/>
                <w:bCs/>
                <w:sz w:val="21"/>
                <w:szCs w:val="21"/>
              </w:rPr>
              <w:t>6</w:t>
            </w:r>
            <w:r>
              <w:rPr>
                <w:rFonts w:hint="eastAsia" w:ascii="Calibri" w:hAnsi="宋体" w:eastAsia="宋体" w:cs="Calibri"/>
                <w:bCs/>
                <w:sz w:val="21"/>
                <w:szCs w:val="21"/>
              </w:rPr>
              <w:t>分。</w:t>
            </w:r>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25"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both"/>
              <w:rPr>
                <w:rFonts w:ascii="Calibri" w:hAnsi="宋体" w:eastAsia="宋体" w:cs="宋体"/>
                <w:bCs/>
                <w:sz w:val="21"/>
                <w:szCs w:val="21"/>
              </w:rPr>
            </w:pPr>
            <w:r>
              <w:rPr>
                <w:rFonts w:ascii="Calibri" w:hAnsi="宋体" w:eastAsia="宋体" w:cs="宋体"/>
                <w:bCs/>
                <w:sz w:val="21"/>
                <w:szCs w:val="21"/>
              </w:rPr>
              <w:t>9</w:t>
            </w:r>
          </w:p>
        </w:tc>
        <w:tc>
          <w:tcPr>
            <w:tcW w:w="5692" w:type="dxa"/>
            <w:tcBorders>
              <w:top w:val="single" w:color="auto" w:sz="2" w:space="0"/>
            </w:tcBorders>
            <w:shd w:val="clear" w:color="auto" w:fill="auto"/>
            <w:vAlign w:val="center"/>
          </w:tcPr>
          <w:p>
            <w:pPr>
              <w:spacing w:line="320" w:lineRule="exact"/>
              <w:ind w:firstLine="422"/>
              <w:rPr>
                <w:rFonts w:ascii="Calibri" w:hAnsi="宋体" w:eastAsia="宋体" w:cs="Calibri"/>
                <w:b/>
                <w:bCs/>
                <w:color w:val="FF0000"/>
                <w:sz w:val="21"/>
                <w:szCs w:val="21"/>
              </w:rPr>
            </w:pPr>
            <w:r>
              <w:rPr>
                <w:rFonts w:hint="eastAsia" w:ascii="Calibri" w:hAnsi="宋体" w:eastAsia="宋体" w:cs="Calibri"/>
                <w:b/>
                <w:bCs/>
                <w:color w:val="FF0000"/>
                <w:sz w:val="21"/>
                <w:szCs w:val="21"/>
              </w:rPr>
              <w:t>服务质量保证措施：</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一、评审内容</w:t>
            </w:r>
          </w:p>
          <w:p>
            <w:pPr>
              <w:tabs>
                <w:tab w:val="left" w:pos="547"/>
              </w:tabs>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在工作计划、工作时效、服务水平等方面具有相应的服务质量保证措施，有</w:t>
            </w:r>
            <w:r>
              <w:rPr>
                <w:rFonts w:ascii="Calibri" w:hAnsi="宋体" w:eastAsia="宋体" w:cs="宋体"/>
                <w:bCs/>
                <w:sz w:val="21"/>
                <w:szCs w:val="21"/>
              </w:rPr>
              <w:t>明确的</w:t>
            </w:r>
            <w:r>
              <w:rPr>
                <w:rFonts w:hint="eastAsia" w:ascii="Calibri" w:hAnsi="宋体" w:eastAsia="宋体" w:cs="宋体"/>
                <w:bCs/>
                <w:sz w:val="21"/>
                <w:szCs w:val="21"/>
              </w:rPr>
              <w:t>工作效率承诺。</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二、评审标准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1、完整性：方案须全面，对评审内容中的各项要求有详细描述及说明；</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2、可实施性：切合本项目实际情况，实施步骤清晰、合理；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3、针对性：方案能够紧扣项目实际情况，内容科学合理。</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三、赋分标准</w:t>
            </w:r>
          </w:p>
          <w:p>
            <w:pPr>
              <w:tabs>
                <w:tab w:val="left" w:pos="547"/>
              </w:tabs>
              <w:spacing w:line="400" w:lineRule="exact"/>
              <w:ind w:firstLine="420" w:firstLineChars="200"/>
              <w:jc w:val="both"/>
              <w:rPr>
                <w:rFonts w:ascii="Calibri" w:hAnsi="宋体" w:eastAsia="宋体" w:cs="宋体"/>
                <w:bCs/>
                <w:sz w:val="21"/>
                <w:szCs w:val="21"/>
              </w:rPr>
            </w:pPr>
            <w:r>
              <w:rPr>
                <w:rFonts w:hint="eastAsia" w:ascii="Calibri" w:hAnsi="宋体" w:eastAsia="宋体" w:cs="Calibri"/>
                <w:bCs/>
                <w:sz w:val="21"/>
                <w:szCs w:val="21"/>
              </w:rPr>
              <w:t>每完全满足一项评审标准得</w:t>
            </w:r>
            <w:r>
              <w:rPr>
                <w:rFonts w:ascii="Calibri" w:hAnsi="宋体" w:eastAsia="宋体" w:cs="Calibri"/>
                <w:bCs/>
                <w:sz w:val="21"/>
                <w:szCs w:val="21"/>
              </w:rPr>
              <w:t>3</w:t>
            </w:r>
            <w:r>
              <w:rPr>
                <w:rFonts w:hint="eastAsia" w:ascii="Calibri" w:hAnsi="宋体" w:eastAsia="宋体" w:cs="Calibri"/>
                <w:bCs/>
                <w:sz w:val="21"/>
                <w:szCs w:val="21"/>
              </w:rPr>
              <w:t>分，满分</w:t>
            </w:r>
            <w:r>
              <w:rPr>
                <w:rFonts w:ascii="Calibri" w:hAnsi="宋体" w:eastAsia="宋体" w:cs="Calibri"/>
                <w:bCs/>
                <w:sz w:val="21"/>
                <w:szCs w:val="21"/>
              </w:rPr>
              <w:t>9</w:t>
            </w:r>
            <w:r>
              <w:rPr>
                <w:rFonts w:hint="eastAsia" w:ascii="Calibri" w:hAnsi="宋体" w:eastAsia="宋体" w:cs="Calibri"/>
                <w:bCs/>
                <w:sz w:val="21"/>
                <w:szCs w:val="21"/>
              </w:rPr>
              <w:t>分。</w:t>
            </w:r>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both"/>
              <w:rPr>
                <w:rFonts w:ascii="Calibri" w:hAnsi="宋体" w:eastAsia="宋体" w:cs="宋体"/>
                <w:bCs/>
                <w:sz w:val="21"/>
                <w:szCs w:val="21"/>
              </w:rPr>
            </w:pPr>
            <w:r>
              <w:rPr>
                <w:rFonts w:ascii="Calibri" w:hAnsi="宋体" w:eastAsia="宋体" w:cs="宋体"/>
                <w:bCs/>
                <w:sz w:val="21"/>
                <w:szCs w:val="21"/>
              </w:rPr>
              <w:t>3</w:t>
            </w:r>
          </w:p>
        </w:tc>
        <w:tc>
          <w:tcPr>
            <w:tcW w:w="5692" w:type="dxa"/>
            <w:shd w:val="clear" w:color="auto" w:fill="auto"/>
            <w:vAlign w:val="center"/>
          </w:tcPr>
          <w:p>
            <w:pPr>
              <w:spacing w:line="320" w:lineRule="exact"/>
              <w:ind w:firstLine="422"/>
              <w:rPr>
                <w:rFonts w:ascii="Calibri" w:hAnsi="宋体" w:eastAsia="宋体" w:cs="Calibri"/>
                <w:b/>
                <w:bCs/>
                <w:color w:val="FF0000"/>
                <w:sz w:val="21"/>
                <w:szCs w:val="21"/>
              </w:rPr>
            </w:pPr>
            <w:r>
              <w:rPr>
                <w:rFonts w:hint="eastAsia" w:ascii="Calibri" w:hAnsi="宋体" w:eastAsia="宋体" w:cs="Calibri"/>
                <w:b/>
                <w:bCs/>
                <w:color w:val="FF0000"/>
                <w:sz w:val="21"/>
                <w:szCs w:val="21"/>
              </w:rPr>
              <w:t>资料档案管理：</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一、评审内容</w:t>
            </w:r>
          </w:p>
          <w:p>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提供详细</w:t>
            </w:r>
            <w:r>
              <w:rPr>
                <w:rFonts w:ascii="Calibri" w:hAnsi="宋体" w:eastAsia="宋体" w:cs="宋体"/>
                <w:bCs/>
                <w:sz w:val="21"/>
                <w:szCs w:val="21"/>
              </w:rPr>
              <w:t>的</w:t>
            </w:r>
            <w:r>
              <w:rPr>
                <w:rFonts w:hint="eastAsia" w:ascii="Calibri" w:hAnsi="宋体" w:eastAsia="宋体" w:cs="宋体"/>
                <w:bCs/>
                <w:sz w:val="21"/>
                <w:szCs w:val="21"/>
              </w:rPr>
              <w:t>项目资料管理方案。</w:t>
            </w:r>
          </w:p>
          <w:p>
            <w:pPr>
              <w:spacing w:line="320" w:lineRule="exact"/>
              <w:rPr>
                <w:rFonts w:ascii="Calibri" w:hAnsi="宋体" w:eastAsia="宋体" w:cs="Calibri"/>
                <w:b/>
                <w:bCs/>
                <w:sz w:val="21"/>
                <w:szCs w:val="21"/>
              </w:rPr>
            </w:pPr>
            <w:bookmarkStart w:id="20" w:name="OLE_LINK17"/>
            <w:r>
              <w:rPr>
                <w:rFonts w:hint="eastAsia" w:ascii="Calibri" w:hAnsi="宋体" w:eastAsia="宋体" w:cs="Calibri"/>
                <w:b/>
                <w:bCs/>
                <w:sz w:val="21"/>
                <w:szCs w:val="21"/>
              </w:rPr>
              <w:t>二、评审标准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1、完整性：方案须全面，对评审内容中的各项要求有详细描述及说明；</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2、可实施性：切合本项目实际情况，实施步骤清晰、合理；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3、针对性：方案能够紧扣项目实际情况，内容科学合理。</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三、赋分标准</w:t>
            </w:r>
          </w:p>
          <w:p>
            <w:pPr>
              <w:spacing w:line="400" w:lineRule="exact"/>
              <w:ind w:firstLine="420" w:firstLineChars="200"/>
              <w:jc w:val="both"/>
              <w:rPr>
                <w:rFonts w:ascii="Calibri" w:hAnsi="宋体" w:eastAsia="宋体" w:cs="宋体"/>
                <w:bCs/>
                <w:sz w:val="21"/>
                <w:szCs w:val="21"/>
              </w:rPr>
            </w:pPr>
            <w:r>
              <w:rPr>
                <w:rFonts w:hint="eastAsia" w:ascii="Calibri" w:hAnsi="宋体" w:eastAsia="宋体" w:cs="Calibri"/>
                <w:bCs/>
                <w:sz w:val="21"/>
                <w:szCs w:val="21"/>
              </w:rPr>
              <w:t>每完全满足一项评审标准得</w:t>
            </w:r>
            <w:r>
              <w:rPr>
                <w:rFonts w:ascii="Calibri" w:hAnsi="宋体" w:eastAsia="宋体" w:cs="Calibri"/>
                <w:bCs/>
                <w:sz w:val="21"/>
                <w:szCs w:val="21"/>
              </w:rPr>
              <w:t>1</w:t>
            </w:r>
            <w:r>
              <w:rPr>
                <w:rFonts w:hint="eastAsia" w:ascii="Calibri" w:hAnsi="宋体" w:eastAsia="宋体" w:cs="Calibri"/>
                <w:bCs/>
                <w:sz w:val="21"/>
                <w:szCs w:val="21"/>
              </w:rPr>
              <w:t>分，满分</w:t>
            </w:r>
            <w:r>
              <w:rPr>
                <w:rFonts w:ascii="Calibri" w:hAnsi="宋体" w:eastAsia="宋体" w:cs="Calibri"/>
                <w:bCs/>
                <w:sz w:val="21"/>
                <w:szCs w:val="21"/>
              </w:rPr>
              <w:t>3</w:t>
            </w:r>
            <w:r>
              <w:rPr>
                <w:rFonts w:hint="eastAsia" w:ascii="Calibri" w:hAnsi="宋体" w:eastAsia="宋体" w:cs="Calibri"/>
                <w:bCs/>
                <w:sz w:val="21"/>
                <w:szCs w:val="21"/>
              </w:rPr>
              <w:t>分。</w:t>
            </w:r>
            <w:bookmarkEnd w:id="20"/>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65" w:hRule="atLeast"/>
        </w:trPr>
        <w:tc>
          <w:tcPr>
            <w:tcW w:w="756" w:type="dxa"/>
            <w:vMerge w:val="continue"/>
            <w:tcBorders>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tcBorders>
              <w:bottom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860" w:type="dxa"/>
            <w:tcBorders>
              <w:bottom w:val="single" w:color="auto" w:sz="2" w:space="0"/>
            </w:tcBorders>
            <w:shd w:val="clear" w:color="auto" w:fill="auto"/>
            <w:vAlign w:val="center"/>
          </w:tcPr>
          <w:p>
            <w:pPr>
              <w:spacing w:line="400" w:lineRule="exact"/>
              <w:jc w:val="both"/>
              <w:rPr>
                <w:rFonts w:ascii="Calibri" w:hAnsi="宋体" w:eastAsia="宋体" w:cs="宋体"/>
                <w:bCs/>
                <w:sz w:val="21"/>
                <w:szCs w:val="21"/>
              </w:rPr>
            </w:pPr>
            <w:r>
              <w:rPr>
                <w:rFonts w:ascii="Calibri" w:hAnsi="宋体" w:eastAsia="宋体" w:cs="宋体"/>
                <w:bCs/>
                <w:sz w:val="21"/>
                <w:szCs w:val="21"/>
              </w:rPr>
              <w:t>3</w:t>
            </w:r>
          </w:p>
        </w:tc>
        <w:tc>
          <w:tcPr>
            <w:tcW w:w="5692" w:type="dxa"/>
            <w:tcBorders>
              <w:bottom w:val="single" w:color="auto" w:sz="2" w:space="0"/>
            </w:tcBorders>
            <w:shd w:val="clear" w:color="auto" w:fill="auto"/>
            <w:vAlign w:val="center"/>
          </w:tcPr>
          <w:p>
            <w:pPr>
              <w:spacing w:line="320" w:lineRule="exact"/>
              <w:ind w:firstLine="422"/>
              <w:rPr>
                <w:rFonts w:ascii="Calibri" w:hAnsi="宋体" w:eastAsia="宋体" w:cs="Calibri"/>
                <w:b/>
                <w:bCs/>
                <w:color w:val="FF0000"/>
                <w:sz w:val="21"/>
                <w:szCs w:val="21"/>
              </w:rPr>
            </w:pPr>
            <w:r>
              <w:rPr>
                <w:rFonts w:hint="eastAsia" w:ascii="Calibri" w:hAnsi="宋体" w:eastAsia="宋体" w:cs="Calibri"/>
                <w:b/>
                <w:bCs/>
                <w:color w:val="FF0000"/>
                <w:sz w:val="21"/>
                <w:szCs w:val="21"/>
              </w:rPr>
              <w:t>廉洁从业措施和保密措施：</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一、评审内容</w:t>
            </w:r>
          </w:p>
          <w:p>
            <w:pPr>
              <w:spacing w:line="320" w:lineRule="exact"/>
              <w:ind w:firstLine="315" w:firstLineChars="150"/>
              <w:rPr>
                <w:rFonts w:ascii="Calibri" w:hAnsi="宋体" w:eastAsia="宋体" w:cs="宋体"/>
                <w:bCs/>
                <w:sz w:val="21"/>
                <w:szCs w:val="21"/>
              </w:rPr>
            </w:pPr>
            <w:r>
              <w:rPr>
                <w:rFonts w:hint="eastAsia" w:ascii="Calibri" w:hAnsi="宋体" w:eastAsia="宋体" w:cs="宋体"/>
                <w:bCs/>
                <w:sz w:val="21"/>
                <w:szCs w:val="21"/>
              </w:rPr>
              <w:t>提供针对项目从业人员的廉洁从业措施和保密工作规定。</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二、评审标准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1、完整性：方案须全面，对评审内容中的各项要求有详细描述及说明；</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2、可实施性：切合本项目实际情况，实施步骤清晰、合理；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3、针对性：方案能够紧扣项目实际情况，内容科学合理。</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三、赋分标准</w:t>
            </w:r>
          </w:p>
          <w:p>
            <w:pPr>
              <w:spacing w:line="400" w:lineRule="exact"/>
              <w:ind w:firstLine="420" w:firstLineChars="200"/>
              <w:jc w:val="both"/>
              <w:rPr>
                <w:rFonts w:ascii="Calibri" w:hAnsi="宋体" w:eastAsia="宋体" w:cs="宋体"/>
                <w:bCs/>
                <w:sz w:val="21"/>
                <w:szCs w:val="21"/>
              </w:rPr>
            </w:pPr>
            <w:r>
              <w:rPr>
                <w:rFonts w:hint="eastAsia" w:ascii="Calibri" w:hAnsi="宋体" w:eastAsia="宋体" w:cs="Calibri"/>
                <w:bCs/>
                <w:sz w:val="21"/>
                <w:szCs w:val="21"/>
              </w:rPr>
              <w:t>每完全满足一项评审标准得</w:t>
            </w:r>
            <w:r>
              <w:rPr>
                <w:rFonts w:ascii="Calibri" w:hAnsi="宋体" w:eastAsia="宋体" w:cs="Calibri"/>
                <w:bCs/>
                <w:sz w:val="21"/>
                <w:szCs w:val="21"/>
              </w:rPr>
              <w:t>1</w:t>
            </w:r>
            <w:r>
              <w:rPr>
                <w:rFonts w:hint="eastAsia" w:ascii="Calibri" w:hAnsi="宋体" w:eastAsia="宋体" w:cs="Calibri"/>
                <w:bCs/>
                <w:sz w:val="21"/>
                <w:szCs w:val="21"/>
              </w:rPr>
              <w:t>分，满分</w:t>
            </w:r>
            <w:r>
              <w:rPr>
                <w:rFonts w:ascii="Calibri" w:hAnsi="宋体" w:eastAsia="宋体" w:cs="Calibri"/>
                <w:bCs/>
                <w:sz w:val="21"/>
                <w:szCs w:val="21"/>
              </w:rPr>
              <w:t>3</w:t>
            </w:r>
            <w:r>
              <w:rPr>
                <w:rFonts w:hint="eastAsia" w:ascii="Calibri" w:hAnsi="宋体" w:eastAsia="宋体" w:cs="Calibri"/>
                <w:bCs/>
                <w:sz w:val="21"/>
                <w:szCs w:val="21"/>
              </w:rPr>
              <w:t>分。</w:t>
            </w:r>
          </w:p>
        </w:tc>
        <w:tc>
          <w:tcPr>
            <w:tcW w:w="1535" w:type="dxa"/>
            <w:vMerge w:val="continue"/>
            <w:tcBorders>
              <w:bottom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63</w:t>
            </w: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25</w:t>
            </w:r>
          </w:p>
        </w:tc>
        <w:tc>
          <w:tcPr>
            <w:tcW w:w="5692" w:type="dxa"/>
            <w:shd w:val="clear" w:color="auto" w:fill="auto"/>
            <w:vAlign w:val="center"/>
          </w:tcPr>
          <w:p>
            <w:pPr>
              <w:spacing w:line="320" w:lineRule="exact"/>
              <w:ind w:firstLine="422"/>
              <w:rPr>
                <w:rFonts w:ascii="Calibri" w:hAnsi="宋体" w:eastAsia="宋体" w:cs="Calibri"/>
                <w:b/>
                <w:bCs/>
                <w:color w:val="FF0000"/>
                <w:sz w:val="21"/>
                <w:szCs w:val="21"/>
              </w:rPr>
            </w:pPr>
            <w:r>
              <w:rPr>
                <w:rFonts w:hint="eastAsia" w:ascii="Calibri" w:hAnsi="宋体" w:eastAsia="宋体" w:cs="Calibri"/>
                <w:b/>
                <w:bCs/>
                <w:color w:val="FF0000"/>
                <w:sz w:val="21"/>
                <w:szCs w:val="21"/>
              </w:rPr>
              <w:t>项目负责人</w:t>
            </w:r>
            <w:bookmarkStart w:id="21" w:name="OLE_LINK88"/>
            <w:bookmarkStart w:id="22" w:name="OLE_LINK89"/>
            <w:r>
              <w:rPr>
                <w:rFonts w:hint="eastAsia" w:ascii="Calibri" w:hAnsi="宋体" w:eastAsia="宋体" w:cs="Calibri"/>
                <w:b/>
                <w:bCs/>
                <w:color w:val="FF0000"/>
                <w:sz w:val="21"/>
                <w:szCs w:val="21"/>
              </w:rPr>
              <w:t>（提供2026年1月1日</w:t>
            </w:r>
            <w:r>
              <w:rPr>
                <w:rFonts w:ascii="Calibri" w:hAnsi="宋体" w:eastAsia="宋体" w:cs="Calibri"/>
                <w:b/>
                <w:bCs/>
                <w:color w:val="FF0000"/>
                <w:sz w:val="21"/>
                <w:szCs w:val="21"/>
              </w:rPr>
              <w:t>起</w:t>
            </w:r>
            <w:r>
              <w:rPr>
                <w:rFonts w:hint="eastAsia" w:ascii="Calibri" w:hAnsi="宋体" w:eastAsia="宋体" w:cs="Calibri"/>
                <w:b/>
                <w:bCs/>
                <w:color w:val="FF0000"/>
                <w:sz w:val="21"/>
                <w:szCs w:val="21"/>
              </w:rPr>
              <w:t>供应商</w:t>
            </w:r>
            <w:r>
              <w:rPr>
                <w:rFonts w:ascii="Calibri" w:hAnsi="宋体" w:eastAsia="宋体" w:cs="Calibri"/>
                <w:b/>
                <w:bCs/>
                <w:color w:val="FF0000"/>
                <w:sz w:val="21"/>
                <w:szCs w:val="21"/>
              </w:rPr>
              <w:t>为</w:t>
            </w:r>
            <w:r>
              <w:rPr>
                <w:rFonts w:hint="eastAsia" w:ascii="Calibri" w:hAnsi="宋体" w:eastAsia="宋体" w:cs="Calibri"/>
                <w:b/>
                <w:bCs/>
                <w:color w:val="FF0000"/>
                <w:sz w:val="21"/>
                <w:szCs w:val="21"/>
              </w:rPr>
              <w:t>其</w:t>
            </w:r>
            <w:r>
              <w:rPr>
                <w:rFonts w:ascii="Calibri" w:hAnsi="宋体" w:eastAsia="宋体" w:cs="Calibri"/>
                <w:b/>
                <w:bCs/>
                <w:color w:val="FF0000"/>
                <w:sz w:val="21"/>
                <w:szCs w:val="21"/>
              </w:rPr>
              <w:t>缴纳的</w:t>
            </w:r>
            <w:r>
              <w:rPr>
                <w:rFonts w:hint="eastAsia" w:ascii="Calibri" w:hAnsi="宋体" w:eastAsia="宋体" w:cs="Calibri"/>
                <w:b/>
                <w:bCs/>
                <w:color w:val="FF0000"/>
                <w:sz w:val="21"/>
                <w:szCs w:val="21"/>
              </w:rPr>
              <w:t>任意一个月的社保证明材料，</w:t>
            </w:r>
            <w:r>
              <w:rPr>
                <w:rFonts w:ascii="Calibri" w:hAnsi="宋体" w:eastAsia="宋体" w:cs="Calibri"/>
                <w:b/>
                <w:bCs/>
                <w:color w:val="FF0000"/>
                <w:sz w:val="21"/>
                <w:szCs w:val="21"/>
              </w:rPr>
              <w:t>否则</w:t>
            </w:r>
            <w:r>
              <w:rPr>
                <w:rFonts w:hint="eastAsia" w:ascii="Calibri" w:hAnsi="宋体" w:eastAsia="宋体" w:cs="Calibri"/>
                <w:b/>
                <w:bCs/>
                <w:color w:val="FF0000"/>
                <w:sz w:val="21"/>
                <w:szCs w:val="21"/>
              </w:rPr>
              <w:t>以下</w:t>
            </w:r>
            <w:r>
              <w:rPr>
                <w:rFonts w:ascii="Calibri" w:hAnsi="宋体" w:eastAsia="宋体" w:cs="Calibri"/>
                <w:b/>
                <w:bCs/>
                <w:color w:val="FF0000"/>
                <w:sz w:val="21"/>
                <w:szCs w:val="21"/>
              </w:rPr>
              <w:t>均不得分</w:t>
            </w:r>
            <w:r>
              <w:rPr>
                <w:rFonts w:hint="eastAsia" w:ascii="Calibri" w:hAnsi="宋体" w:eastAsia="宋体" w:cs="Calibri"/>
                <w:b/>
                <w:bCs/>
                <w:color w:val="FF0000"/>
                <w:sz w:val="21"/>
                <w:szCs w:val="21"/>
              </w:rPr>
              <w:t>）</w:t>
            </w:r>
            <w:bookmarkEnd w:id="21"/>
            <w:bookmarkEnd w:id="22"/>
            <w:r>
              <w:rPr>
                <w:rFonts w:hint="eastAsia" w:ascii="Calibri" w:hAnsi="宋体" w:eastAsia="宋体" w:cs="Calibri"/>
                <w:b/>
                <w:bCs/>
                <w:color w:val="FF0000"/>
                <w:sz w:val="21"/>
                <w:szCs w:val="21"/>
              </w:rPr>
              <w:t>：</w:t>
            </w:r>
          </w:p>
          <w:p>
            <w:pPr>
              <w:spacing w:line="320" w:lineRule="exact"/>
              <w:ind w:firstLine="420"/>
              <w:rPr>
                <w:rFonts w:ascii="Calibri" w:hAnsi="宋体" w:eastAsia="宋体" w:cs="Calibri"/>
                <w:b/>
                <w:bCs/>
                <w:sz w:val="21"/>
                <w:szCs w:val="21"/>
              </w:rPr>
            </w:pPr>
            <w:r>
              <w:rPr>
                <w:rFonts w:hint="eastAsia" w:ascii="Calibri" w:hAnsi="宋体" w:eastAsia="宋体" w:cs="Calibri"/>
                <w:b/>
                <w:bCs/>
                <w:sz w:val="21"/>
                <w:szCs w:val="21"/>
              </w:rPr>
              <w:t>1. 基本要求（</w:t>
            </w:r>
            <w:r>
              <w:rPr>
                <w:rFonts w:ascii="Calibri" w:hAnsi="宋体" w:eastAsia="宋体" w:cs="Calibri"/>
                <w:b/>
                <w:bCs/>
                <w:sz w:val="21"/>
                <w:szCs w:val="21"/>
              </w:rPr>
              <w:t>4</w:t>
            </w:r>
            <w:r>
              <w:rPr>
                <w:rFonts w:hint="eastAsia" w:ascii="Calibri" w:hAnsi="宋体" w:eastAsia="宋体" w:cs="Calibri"/>
                <w:b/>
                <w:bCs/>
                <w:sz w:val="21"/>
                <w:szCs w:val="21"/>
              </w:rPr>
              <w:t>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负责过政府投资项目造价审核工作（在业绩汇总表中备注）。满足得</w:t>
            </w:r>
            <w:r>
              <w:rPr>
                <w:rFonts w:ascii="Calibri" w:hAnsi="宋体" w:eastAsia="宋体" w:cs="Calibri"/>
                <w:bCs/>
                <w:sz w:val="21"/>
                <w:szCs w:val="21"/>
              </w:rPr>
              <w:t>4</w:t>
            </w:r>
            <w:r>
              <w:rPr>
                <w:rFonts w:hint="eastAsia" w:ascii="Calibri" w:hAnsi="宋体" w:eastAsia="宋体" w:cs="Calibri"/>
                <w:bCs/>
                <w:sz w:val="21"/>
                <w:szCs w:val="21"/>
              </w:rPr>
              <w:t>分。</w:t>
            </w:r>
          </w:p>
          <w:p>
            <w:pPr>
              <w:spacing w:line="320" w:lineRule="exact"/>
              <w:ind w:firstLine="420"/>
              <w:rPr>
                <w:rFonts w:ascii="Calibri" w:hAnsi="宋体" w:eastAsia="宋体" w:cs="Calibri"/>
                <w:b/>
                <w:bCs/>
                <w:sz w:val="21"/>
                <w:szCs w:val="21"/>
              </w:rPr>
            </w:pPr>
            <w:r>
              <w:rPr>
                <w:rFonts w:hint="eastAsia" w:ascii="Calibri" w:hAnsi="宋体" w:eastAsia="宋体" w:cs="Calibri"/>
                <w:b/>
                <w:bCs/>
                <w:sz w:val="21"/>
                <w:szCs w:val="21"/>
              </w:rPr>
              <w:t>2. 职称与执业（</w:t>
            </w:r>
            <w:r>
              <w:rPr>
                <w:rFonts w:ascii="Calibri" w:hAnsi="宋体" w:eastAsia="宋体" w:cs="Calibri"/>
                <w:b/>
                <w:bCs/>
                <w:sz w:val="21"/>
                <w:szCs w:val="21"/>
              </w:rPr>
              <w:t>5</w:t>
            </w:r>
            <w:r>
              <w:rPr>
                <w:rFonts w:hint="eastAsia" w:ascii="Calibri" w:hAnsi="宋体" w:eastAsia="宋体" w:cs="Calibri"/>
                <w:b/>
                <w:bCs/>
                <w:sz w:val="21"/>
                <w:szCs w:val="21"/>
              </w:rPr>
              <w:t>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具备与工程有关的专业高级职称得</w:t>
            </w:r>
            <w:r>
              <w:rPr>
                <w:rFonts w:ascii="Calibri" w:hAnsi="宋体" w:eastAsia="宋体" w:cs="Calibri"/>
                <w:bCs/>
                <w:sz w:val="21"/>
                <w:szCs w:val="21"/>
              </w:rPr>
              <w:t>3</w:t>
            </w:r>
            <w:r>
              <w:rPr>
                <w:rFonts w:hint="eastAsia" w:ascii="Calibri" w:hAnsi="宋体" w:eastAsia="宋体" w:cs="Calibri"/>
                <w:bCs/>
                <w:sz w:val="21"/>
                <w:szCs w:val="21"/>
              </w:rPr>
              <w:t>分；同时持有2个及</w:t>
            </w:r>
            <w:r>
              <w:rPr>
                <w:rFonts w:ascii="Calibri" w:hAnsi="宋体" w:eastAsia="宋体" w:cs="Calibri"/>
                <w:bCs/>
                <w:sz w:val="21"/>
                <w:szCs w:val="21"/>
              </w:rPr>
              <w:t>以上</w:t>
            </w:r>
            <w:r>
              <w:rPr>
                <w:rFonts w:hint="eastAsia" w:ascii="Calibri" w:hAnsi="宋体" w:eastAsia="宋体" w:cs="Calibri"/>
                <w:bCs/>
                <w:sz w:val="21"/>
                <w:szCs w:val="21"/>
              </w:rPr>
              <w:t>一级造价工程师注册证书（如土木建筑工程及安装工程）得</w:t>
            </w:r>
            <w:r>
              <w:rPr>
                <w:rFonts w:ascii="Calibri" w:hAnsi="宋体" w:eastAsia="宋体" w:cs="Calibri"/>
                <w:bCs/>
                <w:sz w:val="21"/>
                <w:szCs w:val="21"/>
              </w:rPr>
              <w:t>2</w:t>
            </w:r>
            <w:r>
              <w:rPr>
                <w:rFonts w:hint="eastAsia" w:ascii="Calibri" w:hAnsi="宋体" w:eastAsia="宋体" w:cs="Calibri"/>
                <w:bCs/>
                <w:sz w:val="21"/>
                <w:szCs w:val="21"/>
              </w:rPr>
              <w:t>分。</w:t>
            </w:r>
            <w:r>
              <w:rPr>
                <w:rFonts w:hint="eastAsia" w:ascii="Calibri" w:hAnsi="宋体" w:eastAsia="宋体"/>
                <w:sz w:val="21"/>
              </w:rPr>
              <w:t>提供职称、资格证书扫描件加盖供应商公章作为计分</w:t>
            </w:r>
            <w:r>
              <w:rPr>
                <w:rFonts w:ascii="Calibri" w:hAnsi="宋体" w:eastAsia="宋体"/>
                <w:sz w:val="21"/>
              </w:rPr>
              <w:t>依据。</w:t>
            </w:r>
          </w:p>
          <w:p>
            <w:pPr>
              <w:spacing w:line="320" w:lineRule="exact"/>
              <w:ind w:firstLine="420"/>
              <w:rPr>
                <w:rFonts w:ascii="Calibri" w:hAnsi="宋体" w:eastAsia="宋体" w:cs="Calibri"/>
                <w:b/>
                <w:bCs/>
                <w:sz w:val="21"/>
                <w:szCs w:val="21"/>
              </w:rPr>
            </w:pPr>
            <w:r>
              <w:rPr>
                <w:rFonts w:hint="eastAsia" w:ascii="Calibri" w:hAnsi="宋体" w:eastAsia="宋体" w:cs="Calibri"/>
                <w:b/>
                <w:bCs/>
                <w:sz w:val="21"/>
                <w:szCs w:val="21"/>
              </w:rPr>
              <w:t>3、工作经验（</w:t>
            </w:r>
            <w:r>
              <w:rPr>
                <w:rFonts w:ascii="Calibri" w:hAnsi="宋体" w:eastAsia="宋体" w:cs="Calibri"/>
                <w:b/>
                <w:bCs/>
                <w:sz w:val="21"/>
                <w:szCs w:val="21"/>
              </w:rPr>
              <w:t>10</w:t>
            </w:r>
            <w:r>
              <w:rPr>
                <w:rFonts w:hint="eastAsia" w:ascii="Calibri" w:hAnsi="宋体" w:eastAsia="宋体" w:cs="Calibri"/>
                <w:b/>
                <w:bCs/>
                <w:sz w:val="21"/>
                <w:szCs w:val="21"/>
              </w:rPr>
              <w:t>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自2023年1月1日</w:t>
            </w:r>
            <w:r>
              <w:rPr>
                <w:rFonts w:ascii="Calibri" w:hAnsi="宋体" w:eastAsia="宋体" w:cs="Calibri"/>
                <w:bCs/>
                <w:sz w:val="21"/>
                <w:szCs w:val="21"/>
              </w:rPr>
              <w:t>起</w:t>
            </w:r>
            <w:r>
              <w:rPr>
                <w:rFonts w:hint="eastAsia" w:ascii="Calibri" w:hAnsi="宋体" w:eastAsia="宋体" w:cs="Calibri"/>
                <w:bCs/>
                <w:sz w:val="21"/>
                <w:szCs w:val="21"/>
              </w:rPr>
              <w:t>作为项目负责人完成同类型项目，</w:t>
            </w:r>
            <w:r>
              <w:rPr>
                <w:rFonts w:ascii="Calibri" w:hAnsi="宋体" w:eastAsia="宋体" w:cs="Calibri"/>
                <w:bCs/>
                <w:sz w:val="21"/>
                <w:szCs w:val="21"/>
              </w:rPr>
              <w:t>每具有1</w:t>
            </w:r>
            <w:r>
              <w:rPr>
                <w:rFonts w:hint="eastAsia" w:ascii="Calibri" w:hAnsi="宋体" w:eastAsia="宋体" w:cs="Calibri"/>
                <w:bCs/>
                <w:sz w:val="21"/>
                <w:szCs w:val="21"/>
              </w:rPr>
              <w:t>个业绩得</w:t>
            </w:r>
            <w:r>
              <w:rPr>
                <w:rFonts w:ascii="Calibri" w:hAnsi="宋体" w:eastAsia="宋体" w:cs="Calibri"/>
                <w:bCs/>
                <w:sz w:val="21"/>
                <w:szCs w:val="21"/>
              </w:rPr>
              <w:t>1</w:t>
            </w:r>
            <w:r>
              <w:rPr>
                <w:rFonts w:hint="eastAsia" w:ascii="Calibri" w:hAnsi="宋体" w:eastAsia="宋体" w:cs="Calibri"/>
                <w:bCs/>
                <w:sz w:val="21"/>
                <w:szCs w:val="21"/>
              </w:rPr>
              <w:t>分</w:t>
            </w:r>
            <w:r>
              <w:rPr>
                <w:rFonts w:ascii="Calibri" w:hAnsi="宋体" w:eastAsia="宋体" w:cs="Calibri"/>
                <w:bCs/>
                <w:sz w:val="21"/>
                <w:szCs w:val="21"/>
              </w:rPr>
              <w:t>，</w:t>
            </w:r>
            <w:r>
              <w:rPr>
                <w:rFonts w:hint="eastAsia" w:ascii="Calibri" w:hAnsi="宋体" w:eastAsia="宋体" w:cs="Calibri"/>
                <w:bCs/>
                <w:sz w:val="21"/>
                <w:szCs w:val="21"/>
              </w:rPr>
              <w:t>本项最多得1</w:t>
            </w:r>
            <w:r>
              <w:rPr>
                <w:rFonts w:ascii="Calibri" w:hAnsi="宋体" w:eastAsia="宋体" w:cs="Calibri"/>
                <w:bCs/>
                <w:sz w:val="21"/>
                <w:szCs w:val="21"/>
              </w:rPr>
              <w:t>0</w:t>
            </w:r>
            <w:r>
              <w:rPr>
                <w:rFonts w:hint="eastAsia" w:ascii="Calibri" w:hAnsi="宋体" w:eastAsia="宋体" w:cs="Calibri"/>
                <w:bCs/>
                <w:sz w:val="21"/>
                <w:szCs w:val="21"/>
              </w:rPr>
              <w:t>分。</w:t>
            </w:r>
          </w:p>
          <w:p>
            <w:pPr>
              <w:spacing w:line="320" w:lineRule="exact"/>
              <w:ind w:firstLine="420"/>
              <w:rPr>
                <w:rFonts w:ascii="Calibri" w:hAnsi="宋体" w:eastAsia="宋体" w:cs="Calibri"/>
                <w:b/>
                <w:bCs/>
                <w:sz w:val="21"/>
                <w:szCs w:val="21"/>
              </w:rPr>
            </w:pPr>
            <w:r>
              <w:rPr>
                <w:rFonts w:ascii="Calibri" w:hAnsi="宋体" w:eastAsia="宋体" w:cs="Calibri"/>
                <w:b/>
                <w:bCs/>
                <w:sz w:val="21"/>
                <w:szCs w:val="21"/>
              </w:rPr>
              <w:t>4</w:t>
            </w:r>
            <w:r>
              <w:rPr>
                <w:rFonts w:hint="eastAsia" w:ascii="Calibri" w:hAnsi="宋体" w:eastAsia="宋体" w:cs="Calibri"/>
                <w:b/>
                <w:bCs/>
                <w:sz w:val="21"/>
                <w:szCs w:val="21"/>
              </w:rPr>
              <w:t>. 工作能力（6分）：</w:t>
            </w:r>
          </w:p>
          <w:p>
            <w:pPr>
              <w:spacing w:line="320" w:lineRule="exact"/>
              <w:ind w:firstLine="420"/>
              <w:rPr>
                <w:rFonts w:ascii="Calibri" w:hAnsi="宋体" w:eastAsia="宋体" w:cs="Calibri"/>
                <w:bCs/>
                <w:sz w:val="21"/>
                <w:szCs w:val="21"/>
              </w:rPr>
            </w:pPr>
            <w:bookmarkStart w:id="23" w:name="OLE_LINK26"/>
            <w:bookmarkStart w:id="24" w:name="OLE_LINK27"/>
            <w:r>
              <w:rPr>
                <w:rFonts w:hint="eastAsia" w:ascii="Calibri" w:hAnsi="宋体" w:eastAsia="宋体" w:cs="Calibri"/>
                <w:bCs/>
                <w:sz w:val="21"/>
                <w:szCs w:val="21"/>
              </w:rPr>
              <w:t>自2023年1月1日</w:t>
            </w:r>
            <w:r>
              <w:rPr>
                <w:rFonts w:ascii="Calibri" w:hAnsi="宋体" w:eastAsia="宋体" w:cs="Calibri"/>
                <w:bCs/>
                <w:sz w:val="21"/>
                <w:szCs w:val="21"/>
              </w:rPr>
              <w:t>起</w:t>
            </w:r>
            <w:bookmarkEnd w:id="23"/>
            <w:bookmarkEnd w:id="24"/>
            <w:r>
              <w:rPr>
                <w:rFonts w:hint="eastAsia" w:ascii="Calibri" w:hAnsi="宋体" w:eastAsia="宋体" w:cs="Calibri"/>
                <w:bCs/>
                <w:sz w:val="21"/>
                <w:szCs w:val="21"/>
              </w:rPr>
              <w:t>作为项目负责人完成的同类型项目中，单项项目投资额≥3亿元的业绩，每</w:t>
            </w:r>
            <w:r>
              <w:rPr>
                <w:rFonts w:ascii="Calibri" w:hAnsi="宋体" w:eastAsia="宋体" w:cs="Calibri"/>
                <w:bCs/>
                <w:sz w:val="21"/>
                <w:szCs w:val="21"/>
              </w:rPr>
              <w:t>具有</w:t>
            </w:r>
            <w:r>
              <w:rPr>
                <w:rFonts w:hint="eastAsia" w:ascii="Calibri" w:hAnsi="宋体" w:eastAsia="宋体" w:cs="Calibri"/>
                <w:bCs/>
                <w:sz w:val="21"/>
                <w:szCs w:val="21"/>
              </w:rPr>
              <w:t>1个得2分，本项最多得6分（投资额以合同或验收报告载明金额为准）。</w:t>
            </w:r>
          </w:p>
          <w:p>
            <w:pPr>
              <w:spacing w:line="320" w:lineRule="exact"/>
              <w:ind w:firstLine="420"/>
              <w:rPr>
                <w:rFonts w:ascii="Calibri" w:hAnsi="宋体" w:eastAsia="宋体"/>
                <w:sz w:val="21"/>
              </w:rPr>
            </w:pPr>
            <w:r>
              <w:rPr>
                <w:rFonts w:hint="eastAsia" w:ascii="Calibri" w:hAnsi="宋体" w:eastAsia="宋体"/>
                <w:sz w:val="21"/>
              </w:rPr>
              <w:t>注：①同类型项目应为建筑工程、装饰工程、安装工程、市政工程、园林绿化工程等项目结算或决算审核；</w:t>
            </w:r>
            <w:r>
              <w:rPr>
                <w:rFonts w:hint="eastAsia" w:ascii="Calibri" w:hAnsi="宋体" w:eastAsia="宋体" w:cs="Calibri"/>
                <w:bCs/>
                <w:sz w:val="21"/>
                <w:szCs w:val="21"/>
              </w:rPr>
              <w:t>业绩证明资料</w:t>
            </w:r>
            <w:r>
              <w:rPr>
                <w:rFonts w:ascii="Calibri" w:hAnsi="宋体" w:eastAsia="宋体" w:cs="Calibri"/>
                <w:bCs/>
                <w:sz w:val="21"/>
                <w:szCs w:val="21"/>
              </w:rPr>
              <w:t>提供</w:t>
            </w:r>
            <w:r>
              <w:rPr>
                <w:rFonts w:ascii="Calibri" w:hAnsi="宋体" w:eastAsia="宋体"/>
                <w:sz w:val="21"/>
              </w:rPr>
              <w:t>合同或成果</w:t>
            </w:r>
            <w:r>
              <w:rPr>
                <w:rFonts w:hint="eastAsia" w:ascii="Calibri" w:hAnsi="宋体" w:eastAsia="宋体"/>
                <w:sz w:val="21"/>
              </w:rPr>
              <w:t>文件，</w:t>
            </w:r>
            <w:r>
              <w:rPr>
                <w:rFonts w:ascii="Calibri" w:hAnsi="宋体" w:eastAsia="宋体"/>
                <w:sz w:val="21"/>
              </w:rPr>
              <w:t>业绩时间以合同签订</w:t>
            </w:r>
            <w:r>
              <w:rPr>
                <w:rFonts w:hint="eastAsia" w:ascii="Calibri" w:hAnsi="宋体" w:eastAsia="宋体"/>
                <w:sz w:val="21"/>
              </w:rPr>
              <w:t>时间</w:t>
            </w:r>
            <w:r>
              <w:rPr>
                <w:rFonts w:ascii="Calibri" w:hAnsi="宋体" w:eastAsia="宋体"/>
                <w:sz w:val="21"/>
              </w:rPr>
              <w:t>，或</w:t>
            </w:r>
            <w:r>
              <w:rPr>
                <w:rFonts w:hint="eastAsia" w:ascii="Calibri" w:hAnsi="宋体" w:eastAsia="宋体"/>
                <w:sz w:val="21"/>
              </w:rPr>
              <w:t>成果文件开具</w:t>
            </w:r>
            <w:r>
              <w:rPr>
                <w:rFonts w:ascii="Calibri" w:hAnsi="宋体" w:eastAsia="宋体"/>
                <w:sz w:val="21"/>
              </w:rPr>
              <w:t>时间为准</w:t>
            </w:r>
            <w:r>
              <w:rPr>
                <w:rFonts w:hint="eastAsia" w:ascii="Calibri" w:hAnsi="宋体" w:eastAsia="宋体"/>
                <w:sz w:val="21"/>
              </w:rPr>
              <w:t>；同时</w:t>
            </w:r>
            <w:r>
              <w:rPr>
                <w:rFonts w:ascii="Calibri" w:hAnsi="宋体" w:eastAsia="宋体"/>
                <w:sz w:val="21"/>
              </w:rPr>
              <w:t>提供</w:t>
            </w:r>
            <w:r>
              <w:rPr>
                <w:rFonts w:hint="eastAsia" w:ascii="Calibri" w:hAnsi="宋体" w:eastAsia="宋体"/>
                <w:sz w:val="21"/>
              </w:rPr>
              <w:t>合同及</w:t>
            </w:r>
            <w:r>
              <w:rPr>
                <w:rFonts w:ascii="Calibri" w:hAnsi="宋体" w:eastAsia="宋体"/>
                <w:sz w:val="21"/>
              </w:rPr>
              <w:t>成果文件的，</w:t>
            </w:r>
            <w:r>
              <w:rPr>
                <w:rFonts w:hint="eastAsia" w:ascii="Calibri" w:hAnsi="宋体" w:eastAsia="宋体"/>
                <w:sz w:val="21"/>
              </w:rPr>
              <w:t>业绩时间</w:t>
            </w:r>
            <w:r>
              <w:rPr>
                <w:rFonts w:ascii="Calibri" w:hAnsi="宋体" w:eastAsia="宋体"/>
                <w:sz w:val="21"/>
              </w:rPr>
              <w:t>以成果报告</w:t>
            </w:r>
            <w:r>
              <w:rPr>
                <w:rFonts w:hint="eastAsia" w:ascii="Calibri" w:hAnsi="宋体" w:eastAsia="宋体"/>
                <w:sz w:val="21"/>
              </w:rPr>
              <w:t>认定。</w:t>
            </w:r>
          </w:p>
          <w:p>
            <w:pPr>
              <w:spacing w:line="320" w:lineRule="exact"/>
              <w:ind w:firstLine="420"/>
              <w:rPr>
                <w:rFonts w:ascii="Calibri" w:hAnsi="宋体" w:eastAsia="宋体"/>
                <w:sz w:val="21"/>
              </w:rPr>
            </w:pPr>
            <w:r>
              <w:rPr>
                <w:rFonts w:ascii="Calibri" w:hAnsi="宋体" w:eastAsia="宋体"/>
                <w:sz w:val="21"/>
              </w:rPr>
              <w:t>②</w:t>
            </w:r>
            <w:r>
              <w:rPr>
                <w:rFonts w:hint="eastAsia" w:ascii="Calibri" w:hAnsi="宋体" w:eastAsia="宋体"/>
                <w:sz w:val="21"/>
              </w:rPr>
              <w:t>项目负责人业绩须提供汇总表及相关证明材料并加盖公章（未提供</w:t>
            </w:r>
            <w:r>
              <w:rPr>
                <w:rFonts w:ascii="Calibri" w:hAnsi="宋体" w:eastAsia="宋体"/>
                <w:sz w:val="21"/>
              </w:rPr>
              <w:t>不</w:t>
            </w:r>
            <w:r>
              <w:rPr>
                <w:rFonts w:hint="eastAsia" w:ascii="Calibri" w:hAnsi="宋体" w:eastAsia="宋体"/>
                <w:sz w:val="21"/>
              </w:rPr>
              <w:t>得分）。</w:t>
            </w:r>
          </w:p>
        </w:tc>
        <w:tc>
          <w:tcPr>
            <w:tcW w:w="1535" w:type="dxa"/>
            <w:vMerge w:val="restart"/>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25</w:t>
            </w:r>
          </w:p>
        </w:tc>
        <w:tc>
          <w:tcPr>
            <w:tcW w:w="5692" w:type="dxa"/>
            <w:shd w:val="clear" w:color="auto" w:fill="auto"/>
            <w:vAlign w:val="center"/>
          </w:tcPr>
          <w:p>
            <w:pPr>
              <w:spacing w:line="320" w:lineRule="exact"/>
              <w:ind w:firstLine="422"/>
              <w:rPr>
                <w:rFonts w:ascii="Calibri" w:hAnsi="宋体" w:eastAsia="宋体" w:cs="Calibri"/>
                <w:b/>
                <w:bCs/>
                <w:color w:val="FF0000"/>
                <w:sz w:val="21"/>
                <w:szCs w:val="21"/>
              </w:rPr>
            </w:pPr>
            <w:bookmarkStart w:id="25" w:name="OLE_LINK11"/>
            <w:r>
              <w:rPr>
                <w:rFonts w:hint="eastAsia" w:ascii="Calibri" w:hAnsi="宋体" w:eastAsia="宋体" w:cs="Calibri"/>
                <w:b/>
                <w:bCs/>
                <w:color w:val="FF0000"/>
                <w:sz w:val="21"/>
                <w:szCs w:val="21"/>
              </w:rPr>
              <w:t>团队成员配备（除</w:t>
            </w:r>
            <w:r>
              <w:rPr>
                <w:rFonts w:ascii="Calibri" w:hAnsi="宋体" w:eastAsia="宋体" w:cs="Calibri"/>
                <w:b/>
                <w:bCs/>
                <w:color w:val="FF0000"/>
                <w:sz w:val="21"/>
                <w:szCs w:val="21"/>
              </w:rPr>
              <w:t>项目负责人外</w:t>
            </w:r>
            <w:r>
              <w:rPr>
                <w:rFonts w:hint="eastAsia" w:ascii="Calibri" w:hAnsi="宋体" w:eastAsia="宋体" w:cs="Calibri"/>
                <w:b/>
                <w:bCs/>
                <w:color w:val="FF0000"/>
                <w:sz w:val="21"/>
                <w:szCs w:val="21"/>
              </w:rPr>
              <w:t>）（提供2026年1月1日</w:t>
            </w:r>
            <w:r>
              <w:rPr>
                <w:rFonts w:ascii="Calibri" w:hAnsi="宋体" w:eastAsia="宋体" w:cs="Calibri"/>
                <w:b/>
                <w:bCs/>
                <w:color w:val="FF0000"/>
                <w:sz w:val="21"/>
                <w:szCs w:val="21"/>
              </w:rPr>
              <w:t>起</w:t>
            </w:r>
            <w:r>
              <w:rPr>
                <w:rFonts w:hint="eastAsia" w:ascii="Calibri" w:hAnsi="宋体" w:eastAsia="宋体" w:cs="Calibri"/>
                <w:b/>
                <w:bCs/>
                <w:color w:val="FF0000"/>
                <w:sz w:val="21"/>
                <w:szCs w:val="21"/>
              </w:rPr>
              <w:t>供应商</w:t>
            </w:r>
            <w:r>
              <w:rPr>
                <w:rFonts w:ascii="Calibri" w:hAnsi="宋体" w:eastAsia="宋体" w:cs="Calibri"/>
                <w:b/>
                <w:bCs/>
                <w:color w:val="FF0000"/>
                <w:sz w:val="21"/>
                <w:szCs w:val="21"/>
              </w:rPr>
              <w:t>为</w:t>
            </w:r>
            <w:r>
              <w:rPr>
                <w:rFonts w:hint="eastAsia" w:ascii="Calibri" w:hAnsi="宋体" w:eastAsia="宋体" w:cs="Calibri"/>
                <w:b/>
                <w:bCs/>
                <w:color w:val="FF0000"/>
                <w:sz w:val="21"/>
                <w:szCs w:val="21"/>
              </w:rPr>
              <w:t>人员</w:t>
            </w:r>
            <w:r>
              <w:rPr>
                <w:rFonts w:ascii="Calibri" w:hAnsi="宋体" w:eastAsia="宋体" w:cs="Calibri"/>
                <w:b/>
                <w:bCs/>
                <w:color w:val="FF0000"/>
                <w:sz w:val="21"/>
                <w:szCs w:val="21"/>
              </w:rPr>
              <w:t>缴纳的</w:t>
            </w:r>
            <w:r>
              <w:rPr>
                <w:rFonts w:hint="eastAsia" w:ascii="Calibri" w:hAnsi="宋体" w:eastAsia="宋体" w:cs="Calibri"/>
                <w:b/>
                <w:bCs/>
                <w:color w:val="FF0000"/>
                <w:sz w:val="21"/>
                <w:szCs w:val="21"/>
              </w:rPr>
              <w:t>任意一个月的社保证明材料，</w:t>
            </w:r>
            <w:r>
              <w:rPr>
                <w:rFonts w:ascii="Calibri" w:hAnsi="宋体" w:eastAsia="宋体" w:cs="Calibri"/>
                <w:b/>
                <w:bCs/>
                <w:color w:val="FF0000"/>
                <w:sz w:val="21"/>
                <w:szCs w:val="21"/>
              </w:rPr>
              <w:t>否则</w:t>
            </w:r>
            <w:r>
              <w:rPr>
                <w:rFonts w:hint="eastAsia" w:ascii="Calibri" w:hAnsi="宋体" w:eastAsia="宋体" w:cs="Calibri"/>
                <w:b/>
                <w:bCs/>
                <w:color w:val="FF0000"/>
                <w:sz w:val="21"/>
                <w:szCs w:val="21"/>
              </w:rPr>
              <w:t>该</w:t>
            </w:r>
            <w:r>
              <w:rPr>
                <w:rFonts w:ascii="Calibri" w:hAnsi="宋体" w:eastAsia="宋体" w:cs="Calibri"/>
                <w:b/>
                <w:bCs/>
                <w:color w:val="FF0000"/>
                <w:sz w:val="21"/>
                <w:szCs w:val="21"/>
              </w:rPr>
              <w:t>人员</w:t>
            </w:r>
            <w:r>
              <w:rPr>
                <w:rFonts w:hint="eastAsia" w:ascii="Calibri" w:hAnsi="宋体" w:eastAsia="宋体" w:cs="Calibri"/>
                <w:b/>
                <w:bCs/>
                <w:color w:val="FF0000"/>
                <w:sz w:val="21"/>
                <w:szCs w:val="21"/>
              </w:rPr>
              <w:t>不计分）</w:t>
            </w:r>
            <w:bookmarkEnd w:id="25"/>
            <w:r>
              <w:rPr>
                <w:rFonts w:hint="eastAsia" w:ascii="Calibri" w:hAnsi="宋体" w:eastAsia="宋体" w:cs="Calibri"/>
                <w:b/>
                <w:bCs/>
                <w:color w:val="FF0000"/>
                <w:sz w:val="21"/>
                <w:szCs w:val="21"/>
              </w:rPr>
              <w:t>：</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一</w:t>
            </w:r>
            <w:r>
              <w:rPr>
                <w:rFonts w:ascii="Calibri" w:hAnsi="宋体" w:eastAsia="宋体" w:cs="Calibri"/>
                <w:bCs/>
                <w:sz w:val="21"/>
                <w:szCs w:val="21"/>
              </w:rPr>
              <w:t>、</w:t>
            </w:r>
            <w:r>
              <w:rPr>
                <w:rFonts w:hint="eastAsia" w:ascii="Calibri" w:hAnsi="宋体" w:eastAsia="宋体" w:cs="Calibri"/>
                <w:b/>
                <w:bCs/>
                <w:sz w:val="21"/>
                <w:szCs w:val="21"/>
              </w:rPr>
              <w:t>基础结构（</w:t>
            </w:r>
            <w:r>
              <w:rPr>
                <w:rFonts w:ascii="Calibri" w:hAnsi="宋体" w:eastAsia="宋体" w:cs="Calibri"/>
                <w:b/>
                <w:bCs/>
                <w:sz w:val="21"/>
                <w:szCs w:val="21"/>
              </w:rPr>
              <w:t>9</w:t>
            </w:r>
            <w:r>
              <w:rPr>
                <w:rFonts w:hint="eastAsia" w:ascii="Calibri" w:hAnsi="宋体" w:eastAsia="宋体" w:cs="Calibri"/>
                <w:b/>
                <w:bCs/>
                <w:sz w:val="21"/>
                <w:szCs w:val="21"/>
              </w:rPr>
              <w:t>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拟派团队中至少配备土木建筑工程、安装工程2个专业一级注册造价工程师各1名，中级及</w:t>
            </w:r>
            <w:r>
              <w:rPr>
                <w:rFonts w:ascii="Calibri" w:hAnsi="宋体" w:eastAsia="宋体" w:cs="Calibri"/>
                <w:bCs/>
                <w:sz w:val="21"/>
                <w:szCs w:val="21"/>
              </w:rPr>
              <w:t>以上</w:t>
            </w:r>
            <w:r>
              <w:rPr>
                <w:rFonts w:hint="eastAsia" w:ascii="Calibri" w:hAnsi="宋体" w:eastAsia="宋体" w:cs="Calibri"/>
                <w:bCs/>
                <w:sz w:val="21"/>
                <w:szCs w:val="21"/>
              </w:rPr>
              <w:t>会计师1名，满足得</w:t>
            </w:r>
            <w:r>
              <w:rPr>
                <w:rFonts w:ascii="Calibri" w:hAnsi="宋体" w:eastAsia="宋体" w:cs="Calibri"/>
                <w:bCs/>
                <w:sz w:val="21"/>
                <w:szCs w:val="21"/>
              </w:rPr>
              <w:t>9</w:t>
            </w:r>
            <w:r>
              <w:rPr>
                <w:rFonts w:hint="eastAsia" w:ascii="Calibri" w:hAnsi="宋体" w:eastAsia="宋体" w:cs="Calibri"/>
                <w:bCs/>
                <w:sz w:val="21"/>
                <w:szCs w:val="21"/>
              </w:rPr>
              <w:t>分，</w:t>
            </w:r>
            <w:r>
              <w:rPr>
                <w:rFonts w:ascii="Calibri" w:hAnsi="宋体" w:eastAsia="宋体" w:cs="Calibri"/>
                <w:bCs/>
                <w:sz w:val="21"/>
                <w:szCs w:val="21"/>
              </w:rPr>
              <w:t>不满足</w:t>
            </w:r>
            <w:r>
              <w:rPr>
                <w:rFonts w:hint="eastAsia" w:ascii="Calibri" w:hAnsi="宋体" w:eastAsia="宋体" w:cs="Calibri"/>
                <w:bCs/>
                <w:sz w:val="21"/>
                <w:szCs w:val="21"/>
              </w:rPr>
              <w:t>得0分。</w:t>
            </w:r>
            <w:r>
              <w:rPr>
                <w:rFonts w:hint="eastAsia" w:ascii="Calibri" w:hAnsi="宋体" w:eastAsia="宋体"/>
                <w:sz w:val="21"/>
              </w:rPr>
              <w:t>提供资格证书扫描件加盖供应商公章作为计分</w:t>
            </w:r>
            <w:r>
              <w:rPr>
                <w:rFonts w:ascii="Calibri" w:hAnsi="宋体" w:eastAsia="宋体"/>
                <w:sz w:val="21"/>
              </w:rPr>
              <w:t>依据。</w:t>
            </w:r>
          </w:p>
          <w:p>
            <w:pPr>
              <w:spacing w:line="320" w:lineRule="exact"/>
              <w:ind w:firstLine="420"/>
              <w:rPr>
                <w:rFonts w:ascii="Calibri" w:hAnsi="宋体" w:eastAsia="宋体" w:cs="Calibri"/>
                <w:b/>
                <w:bCs/>
                <w:sz w:val="21"/>
                <w:szCs w:val="21"/>
              </w:rPr>
            </w:pPr>
            <w:r>
              <w:rPr>
                <w:rFonts w:hint="eastAsia" w:ascii="Calibri" w:hAnsi="宋体" w:eastAsia="宋体" w:cs="Calibri"/>
                <w:b/>
                <w:bCs/>
                <w:sz w:val="21"/>
                <w:szCs w:val="21"/>
              </w:rPr>
              <w:t>二、其他人员（6分）：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在满足基础结构人员要求基础上，团队中一级注册造价工程师</w:t>
            </w:r>
            <w:r>
              <w:rPr>
                <w:rFonts w:ascii="Calibri" w:hAnsi="宋体" w:eastAsia="宋体" w:cs="Calibri"/>
                <w:bCs/>
                <w:sz w:val="21"/>
                <w:szCs w:val="21"/>
              </w:rPr>
              <w:t>或</w:t>
            </w:r>
            <w:r>
              <w:rPr>
                <w:rFonts w:hint="eastAsia" w:ascii="Calibri" w:hAnsi="宋体" w:eastAsia="宋体" w:cs="Calibri"/>
                <w:bCs/>
                <w:sz w:val="21"/>
                <w:szCs w:val="21"/>
              </w:rPr>
              <w:t>中级及</w:t>
            </w:r>
            <w:r>
              <w:rPr>
                <w:rFonts w:ascii="Calibri" w:hAnsi="宋体" w:eastAsia="宋体" w:cs="Calibri"/>
                <w:bCs/>
                <w:sz w:val="21"/>
                <w:szCs w:val="21"/>
              </w:rPr>
              <w:t>以上</w:t>
            </w:r>
            <w:r>
              <w:rPr>
                <w:rFonts w:hint="eastAsia" w:ascii="Calibri" w:hAnsi="宋体" w:eastAsia="宋体" w:cs="Calibri"/>
                <w:bCs/>
                <w:sz w:val="21"/>
                <w:szCs w:val="21"/>
              </w:rPr>
              <w:t>会计师，每增加一名加1分，</w:t>
            </w:r>
            <w:r>
              <w:rPr>
                <w:rFonts w:ascii="Calibri" w:hAnsi="宋体" w:eastAsia="宋体" w:cs="Calibri"/>
                <w:bCs/>
                <w:sz w:val="21"/>
                <w:szCs w:val="21"/>
              </w:rPr>
              <w:t>本项</w:t>
            </w:r>
            <w:r>
              <w:rPr>
                <w:rFonts w:hint="eastAsia" w:ascii="Calibri" w:hAnsi="宋体" w:eastAsia="宋体" w:cs="Calibri"/>
                <w:bCs/>
                <w:sz w:val="21"/>
                <w:szCs w:val="21"/>
              </w:rPr>
              <w:t>最高加6分。</w:t>
            </w:r>
            <w:r>
              <w:rPr>
                <w:rFonts w:hint="eastAsia" w:ascii="Calibri" w:hAnsi="宋体" w:eastAsia="宋体"/>
                <w:sz w:val="21"/>
              </w:rPr>
              <w:t>提供证书扫描件加盖供应商公章，否则</w:t>
            </w:r>
            <w:r>
              <w:rPr>
                <w:rFonts w:ascii="Calibri" w:hAnsi="宋体" w:eastAsia="宋体"/>
                <w:sz w:val="21"/>
              </w:rPr>
              <w:t>不计分。</w:t>
            </w:r>
          </w:p>
          <w:p>
            <w:pPr>
              <w:spacing w:line="320" w:lineRule="exact"/>
              <w:ind w:firstLine="420"/>
              <w:rPr>
                <w:rFonts w:ascii="Calibri" w:hAnsi="宋体" w:eastAsia="宋体" w:cs="Calibri"/>
                <w:b/>
                <w:bCs/>
                <w:sz w:val="21"/>
                <w:szCs w:val="21"/>
              </w:rPr>
            </w:pPr>
            <w:r>
              <w:rPr>
                <w:rFonts w:hint="eastAsia" w:ascii="Calibri" w:hAnsi="宋体" w:eastAsia="宋体" w:cs="Calibri"/>
                <w:b/>
                <w:bCs/>
                <w:sz w:val="21"/>
                <w:szCs w:val="21"/>
              </w:rPr>
              <w:t>三</w:t>
            </w:r>
            <w:r>
              <w:rPr>
                <w:rFonts w:ascii="Calibri" w:hAnsi="宋体" w:eastAsia="宋体" w:cs="Calibri"/>
                <w:b/>
                <w:bCs/>
                <w:sz w:val="21"/>
                <w:szCs w:val="21"/>
              </w:rPr>
              <w:t>、</w:t>
            </w:r>
            <w:r>
              <w:rPr>
                <w:rFonts w:hint="eastAsia" w:ascii="Calibri" w:hAnsi="宋体" w:eastAsia="宋体" w:cs="Calibri"/>
                <w:b/>
                <w:bCs/>
                <w:sz w:val="21"/>
                <w:szCs w:val="21"/>
              </w:rPr>
              <w:t>团队所有成员均要有同类型项目审核经验（10分）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1、</w:t>
            </w:r>
            <w:bookmarkStart w:id="26" w:name="OLE_LINK32"/>
            <w:r>
              <w:rPr>
                <w:rFonts w:hint="eastAsia" w:ascii="Calibri" w:hAnsi="宋体" w:eastAsia="宋体" w:cs="Calibri"/>
                <w:bCs/>
                <w:sz w:val="21"/>
                <w:szCs w:val="21"/>
              </w:rPr>
              <w:t>自2023年1月1日起</w:t>
            </w:r>
            <w:r>
              <w:rPr>
                <w:rFonts w:ascii="Calibri" w:hAnsi="宋体" w:eastAsia="宋体" w:cs="Calibri"/>
                <w:bCs/>
                <w:sz w:val="21"/>
                <w:szCs w:val="21"/>
              </w:rPr>
              <w:t>，</w:t>
            </w:r>
            <w:r>
              <w:rPr>
                <w:rFonts w:hint="eastAsia" w:ascii="Calibri" w:hAnsi="宋体" w:eastAsia="宋体" w:cs="Calibri"/>
                <w:bCs/>
                <w:sz w:val="21"/>
                <w:szCs w:val="21"/>
              </w:rPr>
              <w:t>个人具有</w:t>
            </w:r>
            <w:bookmarkEnd w:id="26"/>
            <w:r>
              <w:rPr>
                <w:rFonts w:hint="eastAsia" w:ascii="Calibri" w:hAnsi="宋体" w:eastAsia="宋体" w:cs="Calibri"/>
                <w:bCs/>
                <w:sz w:val="21"/>
                <w:szCs w:val="21"/>
              </w:rPr>
              <w:t>15个及</w:t>
            </w:r>
            <w:r>
              <w:rPr>
                <w:rFonts w:ascii="Calibri" w:hAnsi="宋体" w:eastAsia="宋体" w:cs="Calibri"/>
                <w:bCs/>
                <w:sz w:val="21"/>
                <w:szCs w:val="21"/>
              </w:rPr>
              <w:t>以上</w:t>
            </w:r>
            <w:r>
              <w:rPr>
                <w:rFonts w:hint="eastAsia" w:ascii="Calibri" w:hAnsi="宋体" w:eastAsia="宋体" w:cs="Calibri"/>
                <w:bCs/>
                <w:sz w:val="21"/>
                <w:szCs w:val="21"/>
              </w:rPr>
              <w:t>同类型工程造价咨询项目业绩，满足该要求的成员每具有1人</w:t>
            </w:r>
            <w:r>
              <w:rPr>
                <w:rFonts w:ascii="Calibri" w:hAnsi="宋体" w:eastAsia="宋体" w:cs="Calibri"/>
                <w:bCs/>
                <w:sz w:val="21"/>
                <w:szCs w:val="21"/>
              </w:rPr>
              <w:t>得</w:t>
            </w:r>
            <w:r>
              <w:rPr>
                <w:rFonts w:hint="eastAsia" w:ascii="Calibri" w:hAnsi="宋体" w:eastAsia="宋体" w:cs="Calibri"/>
                <w:bCs/>
                <w:sz w:val="21"/>
                <w:szCs w:val="21"/>
              </w:rPr>
              <w:t>1分</w:t>
            </w:r>
            <w:r>
              <w:rPr>
                <w:rFonts w:ascii="Calibri" w:hAnsi="宋体" w:eastAsia="宋体" w:cs="Calibri"/>
                <w:bCs/>
                <w:sz w:val="21"/>
                <w:szCs w:val="21"/>
              </w:rPr>
              <w:t>，</w:t>
            </w:r>
            <w:r>
              <w:rPr>
                <w:rFonts w:hint="eastAsia" w:ascii="Calibri" w:hAnsi="宋体" w:eastAsia="宋体" w:cs="Calibri"/>
                <w:bCs/>
                <w:sz w:val="21"/>
                <w:szCs w:val="21"/>
              </w:rPr>
              <w:t>最高</w:t>
            </w:r>
            <w:r>
              <w:rPr>
                <w:rFonts w:ascii="Calibri" w:hAnsi="宋体" w:eastAsia="宋体" w:cs="Calibri"/>
                <w:bCs/>
                <w:sz w:val="21"/>
                <w:szCs w:val="21"/>
              </w:rPr>
              <w:t>得</w:t>
            </w:r>
            <w:r>
              <w:rPr>
                <w:rFonts w:hint="eastAsia" w:ascii="Calibri" w:hAnsi="宋体" w:eastAsia="宋体" w:cs="Calibri"/>
                <w:bCs/>
                <w:sz w:val="21"/>
                <w:szCs w:val="21"/>
              </w:rPr>
              <w:t>4分。</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2、自2023年1月1日</w:t>
            </w:r>
            <w:r>
              <w:rPr>
                <w:rFonts w:ascii="Calibri" w:hAnsi="宋体" w:eastAsia="宋体" w:cs="Calibri"/>
                <w:bCs/>
                <w:sz w:val="21"/>
                <w:szCs w:val="21"/>
              </w:rPr>
              <w:t>起</w:t>
            </w:r>
            <w:r>
              <w:rPr>
                <w:rFonts w:hint="eastAsia" w:ascii="Calibri" w:hAnsi="宋体" w:eastAsia="宋体" w:cs="Calibri"/>
                <w:bCs/>
                <w:sz w:val="21"/>
                <w:szCs w:val="21"/>
              </w:rPr>
              <w:t>，团队成员参与的同类型项目中，</w:t>
            </w:r>
            <w:bookmarkStart w:id="27" w:name="OLE_LINK33"/>
            <w:r>
              <w:rPr>
                <w:rFonts w:hint="eastAsia" w:ascii="Calibri" w:hAnsi="宋体" w:eastAsia="宋体" w:cs="Calibri"/>
                <w:bCs/>
                <w:sz w:val="21"/>
                <w:szCs w:val="21"/>
              </w:rPr>
              <w:t>具有</w:t>
            </w:r>
            <w:bookmarkEnd w:id="27"/>
            <w:r>
              <w:rPr>
                <w:rFonts w:hint="eastAsia" w:ascii="Calibri" w:hAnsi="宋体" w:eastAsia="宋体" w:cs="Calibri"/>
                <w:bCs/>
                <w:sz w:val="21"/>
                <w:szCs w:val="21"/>
              </w:rPr>
              <w:t>单项项目投资额≥1亿元的业绩，按每人次得0.2分</w:t>
            </w:r>
            <w:r>
              <w:rPr>
                <w:rFonts w:ascii="Calibri" w:hAnsi="宋体" w:eastAsia="宋体" w:cs="Calibri"/>
                <w:bCs/>
                <w:sz w:val="21"/>
                <w:szCs w:val="21"/>
              </w:rPr>
              <w:t>计分，最多得</w:t>
            </w:r>
            <w:r>
              <w:rPr>
                <w:rFonts w:hint="eastAsia" w:ascii="Calibri" w:hAnsi="宋体" w:eastAsia="宋体" w:cs="Calibri"/>
                <w:bCs/>
                <w:sz w:val="21"/>
                <w:szCs w:val="21"/>
              </w:rPr>
              <w:t>6分</w:t>
            </w:r>
            <w:r>
              <w:rPr>
                <w:rFonts w:ascii="Calibri" w:hAnsi="宋体" w:eastAsia="宋体" w:cs="Calibri"/>
                <w:bCs/>
                <w:sz w:val="21"/>
                <w:szCs w:val="21"/>
              </w:rPr>
              <w:t>。</w:t>
            </w:r>
          </w:p>
          <w:p>
            <w:pPr>
              <w:spacing w:line="320" w:lineRule="exact"/>
              <w:ind w:firstLine="420"/>
              <w:rPr>
                <w:rFonts w:ascii="Calibri" w:hAnsi="宋体" w:eastAsia="宋体"/>
                <w:sz w:val="21"/>
              </w:rPr>
            </w:pPr>
            <w:bookmarkStart w:id="28" w:name="OLE_LINK59"/>
            <w:bookmarkStart w:id="29" w:name="OLE_LINK72"/>
            <w:r>
              <w:rPr>
                <w:rFonts w:hint="eastAsia" w:ascii="Calibri" w:hAnsi="宋体" w:eastAsia="宋体"/>
                <w:sz w:val="21"/>
              </w:rPr>
              <w:t>注：①同类型项目应为建筑工程、装饰工程、安装工程、市政工程、园林绿化工程等项目结算或决算审核；</w:t>
            </w:r>
            <w:r>
              <w:rPr>
                <w:rFonts w:hint="eastAsia" w:ascii="Calibri" w:hAnsi="宋体" w:eastAsia="宋体" w:cs="Calibri"/>
                <w:bCs/>
                <w:sz w:val="21"/>
                <w:szCs w:val="21"/>
              </w:rPr>
              <w:t>业绩证明资料</w:t>
            </w:r>
            <w:r>
              <w:rPr>
                <w:rFonts w:ascii="Calibri" w:hAnsi="宋体" w:eastAsia="宋体" w:cs="Calibri"/>
                <w:bCs/>
                <w:sz w:val="21"/>
                <w:szCs w:val="21"/>
              </w:rPr>
              <w:t>提供</w:t>
            </w:r>
            <w:r>
              <w:rPr>
                <w:rFonts w:ascii="Calibri" w:hAnsi="宋体" w:eastAsia="宋体"/>
                <w:sz w:val="21"/>
              </w:rPr>
              <w:t>合同或成果</w:t>
            </w:r>
            <w:r>
              <w:rPr>
                <w:rFonts w:hint="eastAsia" w:ascii="Calibri" w:hAnsi="宋体" w:eastAsia="宋体"/>
                <w:sz w:val="21"/>
              </w:rPr>
              <w:t>文件，</w:t>
            </w:r>
            <w:r>
              <w:rPr>
                <w:rFonts w:ascii="Calibri" w:hAnsi="宋体" w:eastAsia="宋体"/>
                <w:sz w:val="21"/>
              </w:rPr>
              <w:t>业绩时间以合同签订</w:t>
            </w:r>
            <w:r>
              <w:rPr>
                <w:rFonts w:hint="eastAsia" w:ascii="Calibri" w:hAnsi="宋体" w:eastAsia="宋体"/>
                <w:sz w:val="21"/>
              </w:rPr>
              <w:t>时间</w:t>
            </w:r>
            <w:r>
              <w:rPr>
                <w:rFonts w:ascii="Calibri" w:hAnsi="宋体" w:eastAsia="宋体"/>
                <w:sz w:val="21"/>
              </w:rPr>
              <w:t>，或</w:t>
            </w:r>
            <w:r>
              <w:rPr>
                <w:rFonts w:hint="eastAsia" w:ascii="Calibri" w:hAnsi="宋体" w:eastAsia="宋体"/>
                <w:sz w:val="21"/>
              </w:rPr>
              <w:t>成果文件开具</w:t>
            </w:r>
            <w:r>
              <w:rPr>
                <w:rFonts w:ascii="Calibri" w:hAnsi="宋体" w:eastAsia="宋体"/>
                <w:sz w:val="21"/>
              </w:rPr>
              <w:t>时间为准</w:t>
            </w:r>
            <w:r>
              <w:rPr>
                <w:rFonts w:hint="eastAsia" w:ascii="Calibri" w:hAnsi="宋体" w:eastAsia="宋体"/>
                <w:sz w:val="21"/>
              </w:rPr>
              <w:t>；同时</w:t>
            </w:r>
            <w:r>
              <w:rPr>
                <w:rFonts w:ascii="Calibri" w:hAnsi="宋体" w:eastAsia="宋体"/>
                <w:sz w:val="21"/>
              </w:rPr>
              <w:t>提供</w:t>
            </w:r>
            <w:r>
              <w:rPr>
                <w:rFonts w:hint="eastAsia" w:ascii="Calibri" w:hAnsi="宋体" w:eastAsia="宋体"/>
                <w:sz w:val="21"/>
              </w:rPr>
              <w:t>合同及</w:t>
            </w:r>
            <w:r>
              <w:rPr>
                <w:rFonts w:ascii="Calibri" w:hAnsi="宋体" w:eastAsia="宋体"/>
                <w:sz w:val="21"/>
              </w:rPr>
              <w:t>成果文件的，</w:t>
            </w:r>
            <w:r>
              <w:rPr>
                <w:rFonts w:hint="eastAsia" w:ascii="Calibri" w:hAnsi="宋体" w:eastAsia="宋体"/>
                <w:sz w:val="21"/>
              </w:rPr>
              <w:t>业绩时间</w:t>
            </w:r>
            <w:r>
              <w:rPr>
                <w:rFonts w:ascii="Calibri" w:hAnsi="宋体" w:eastAsia="宋体"/>
                <w:sz w:val="21"/>
              </w:rPr>
              <w:t>以成果报告</w:t>
            </w:r>
            <w:r>
              <w:rPr>
                <w:rFonts w:hint="eastAsia" w:ascii="Calibri" w:hAnsi="宋体" w:eastAsia="宋体"/>
                <w:sz w:val="21"/>
              </w:rPr>
              <w:t>认定。</w:t>
            </w:r>
          </w:p>
          <w:p>
            <w:pPr>
              <w:spacing w:line="320" w:lineRule="exact"/>
              <w:ind w:firstLine="420"/>
              <w:rPr>
                <w:rFonts w:ascii="Calibri" w:hAnsi="宋体" w:eastAsia="宋体"/>
                <w:sz w:val="21"/>
              </w:rPr>
            </w:pPr>
            <w:r>
              <w:rPr>
                <w:rFonts w:ascii="Calibri" w:hAnsi="宋体" w:eastAsia="宋体"/>
                <w:sz w:val="21"/>
              </w:rPr>
              <w:t>②</w:t>
            </w:r>
            <w:r>
              <w:rPr>
                <w:rFonts w:hint="eastAsia" w:ascii="Calibri" w:hAnsi="宋体" w:eastAsia="宋体"/>
                <w:sz w:val="21"/>
              </w:rPr>
              <w:t>团队成员业绩须提供汇总表及相关证明材料并加盖公章（未提供</w:t>
            </w:r>
            <w:r>
              <w:rPr>
                <w:rFonts w:ascii="Calibri" w:hAnsi="宋体" w:eastAsia="宋体"/>
                <w:sz w:val="21"/>
              </w:rPr>
              <w:t>不</w:t>
            </w:r>
            <w:r>
              <w:rPr>
                <w:rFonts w:hint="eastAsia" w:ascii="Calibri" w:hAnsi="宋体" w:eastAsia="宋体"/>
                <w:sz w:val="21"/>
              </w:rPr>
              <w:t>得分）。</w:t>
            </w:r>
            <w:bookmarkEnd w:id="28"/>
            <w:bookmarkEnd w:id="29"/>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65" w:hRule="atLeast"/>
        </w:trPr>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tcBorders>
              <w:bottom w:val="single" w:color="auto" w:sz="1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sz w:val="21"/>
              </w:rPr>
              <w:t>10</w:t>
            </w:r>
          </w:p>
        </w:tc>
        <w:tc>
          <w:tcPr>
            <w:tcW w:w="5692" w:type="dxa"/>
            <w:tcBorders>
              <w:bottom w:val="single" w:color="auto" w:sz="12" w:space="0"/>
            </w:tcBorders>
            <w:shd w:val="clear" w:color="auto" w:fill="auto"/>
            <w:vAlign w:val="center"/>
          </w:tcPr>
          <w:p>
            <w:pPr>
              <w:spacing w:line="320" w:lineRule="exact"/>
              <w:ind w:firstLine="422"/>
              <w:rPr>
                <w:rFonts w:ascii="Calibri" w:hAnsi="宋体" w:eastAsia="宋体" w:cs="Calibri"/>
                <w:b/>
                <w:bCs/>
                <w:color w:val="FF0000"/>
                <w:sz w:val="21"/>
                <w:szCs w:val="21"/>
              </w:rPr>
            </w:pPr>
            <w:r>
              <w:rPr>
                <w:rFonts w:hint="eastAsia" w:ascii="Calibri" w:hAnsi="宋体" w:eastAsia="宋体" w:cs="Calibri"/>
                <w:b/>
                <w:bCs/>
                <w:color w:val="FF0000"/>
                <w:sz w:val="21"/>
                <w:szCs w:val="21"/>
              </w:rPr>
              <w:t>人员工作年限：</w:t>
            </w:r>
          </w:p>
          <w:p>
            <w:pPr>
              <w:spacing w:line="320" w:lineRule="exact"/>
              <w:ind w:firstLine="420"/>
              <w:rPr>
                <w:rFonts w:ascii="Calibri" w:hAnsi="宋体" w:eastAsia="宋体" w:cs="Calibri"/>
                <w:bCs/>
                <w:sz w:val="21"/>
                <w:szCs w:val="21"/>
              </w:rPr>
            </w:pPr>
            <w:r>
              <w:rPr>
                <w:rFonts w:hint="eastAsia" w:ascii="Calibri" w:hAnsi="宋体" w:eastAsia="宋体" w:cs="Calibri"/>
                <w:bCs/>
                <w:sz w:val="21"/>
                <w:szCs w:val="21"/>
              </w:rPr>
              <w:t>拟派全体团队成员（含负责人）相关行业平均从业</w:t>
            </w:r>
            <w:r>
              <w:rPr>
                <w:rFonts w:hint="eastAsia" w:ascii="Calibri" w:hAnsi="宋体" w:eastAsia="宋体"/>
                <w:sz w:val="21"/>
              </w:rPr>
              <w:t>满3年得1分</w:t>
            </w:r>
            <w:r>
              <w:rPr>
                <w:rFonts w:ascii="Calibri" w:hAnsi="宋体" w:eastAsia="宋体"/>
                <w:sz w:val="21"/>
              </w:rPr>
              <w:t>，每增加</w:t>
            </w:r>
            <w:r>
              <w:rPr>
                <w:rFonts w:hint="eastAsia" w:ascii="Calibri" w:hAnsi="宋体" w:eastAsia="宋体"/>
                <w:sz w:val="21"/>
              </w:rPr>
              <w:t>1年</w:t>
            </w:r>
            <w:r>
              <w:rPr>
                <w:rFonts w:ascii="Calibri" w:hAnsi="宋体" w:eastAsia="宋体"/>
                <w:sz w:val="21"/>
              </w:rPr>
              <w:t>加</w:t>
            </w:r>
            <w:r>
              <w:rPr>
                <w:rFonts w:hint="eastAsia" w:ascii="Calibri" w:hAnsi="宋体" w:eastAsia="宋体"/>
                <w:sz w:val="21"/>
              </w:rPr>
              <w:t>1分</w:t>
            </w:r>
            <w:r>
              <w:rPr>
                <w:rFonts w:hint="eastAsia" w:ascii="Calibri" w:hAnsi="宋体" w:eastAsia="宋体" w:cs="Calibri"/>
                <w:bCs/>
                <w:sz w:val="21"/>
                <w:szCs w:val="21"/>
              </w:rPr>
              <w:t>，本项满分10分；</w:t>
            </w:r>
            <w:r>
              <w:rPr>
                <w:rFonts w:ascii="Calibri" w:hAnsi="宋体" w:eastAsia="宋体" w:cs="Calibri"/>
                <w:bCs/>
                <w:sz w:val="21"/>
                <w:szCs w:val="21"/>
              </w:rPr>
              <w:t>不满</w:t>
            </w:r>
            <w:r>
              <w:rPr>
                <w:rFonts w:hint="eastAsia" w:ascii="Calibri" w:hAnsi="宋体" w:eastAsia="宋体" w:cs="Calibri"/>
                <w:bCs/>
                <w:sz w:val="21"/>
                <w:szCs w:val="21"/>
              </w:rPr>
              <w:t>3年</w:t>
            </w:r>
            <w:r>
              <w:rPr>
                <w:rFonts w:ascii="Calibri" w:hAnsi="宋体" w:eastAsia="宋体" w:cs="Calibri"/>
                <w:bCs/>
                <w:sz w:val="21"/>
                <w:szCs w:val="21"/>
              </w:rPr>
              <w:t>不得分</w:t>
            </w:r>
            <w:r>
              <w:rPr>
                <w:rFonts w:hint="eastAsia" w:ascii="Calibri" w:hAnsi="宋体" w:eastAsia="宋体" w:cs="Calibri"/>
                <w:bCs/>
                <w:sz w:val="21"/>
                <w:szCs w:val="21"/>
              </w:rPr>
              <w:t>（工作年限指从事本行业工作时间）。</w:t>
            </w:r>
          </w:p>
          <w:p>
            <w:pPr>
              <w:spacing w:line="320" w:lineRule="exact"/>
              <w:ind w:firstLine="420"/>
              <w:rPr>
                <w:rFonts w:ascii="Calibri" w:hAnsi="宋体" w:eastAsia="宋体"/>
                <w:sz w:val="21"/>
              </w:rPr>
            </w:pPr>
            <w:r>
              <w:rPr>
                <w:rFonts w:hint="eastAsia" w:ascii="Calibri" w:hAnsi="宋体" w:eastAsia="宋体" w:cs="Calibri"/>
                <w:bCs/>
                <w:sz w:val="21"/>
                <w:szCs w:val="21"/>
              </w:rPr>
              <w:t>供应商</w:t>
            </w:r>
            <w:r>
              <w:rPr>
                <w:rFonts w:ascii="Calibri" w:hAnsi="宋体" w:eastAsia="宋体" w:cs="Calibri"/>
                <w:bCs/>
                <w:sz w:val="21"/>
                <w:szCs w:val="21"/>
              </w:rPr>
              <w:t>提供拟派人员构成情况表</w:t>
            </w:r>
            <w:r>
              <w:rPr>
                <w:rFonts w:hint="eastAsia" w:ascii="Calibri" w:hAnsi="宋体" w:eastAsia="宋体" w:cs="Calibri"/>
                <w:bCs/>
                <w:sz w:val="21"/>
                <w:szCs w:val="21"/>
              </w:rPr>
              <w:t>，对人员行业从业经历</w:t>
            </w:r>
            <w:r>
              <w:rPr>
                <w:rFonts w:ascii="Calibri" w:hAnsi="宋体" w:eastAsia="宋体" w:cs="Calibri"/>
                <w:bCs/>
                <w:sz w:val="21"/>
                <w:szCs w:val="21"/>
              </w:rPr>
              <w:t>和年限</w:t>
            </w:r>
            <w:r>
              <w:rPr>
                <w:rFonts w:hint="eastAsia" w:ascii="Calibri" w:hAnsi="宋体" w:eastAsia="宋体" w:cs="Calibri"/>
                <w:bCs/>
                <w:sz w:val="21"/>
                <w:szCs w:val="21"/>
              </w:rPr>
              <w:t>明确</w:t>
            </w:r>
            <w:r>
              <w:rPr>
                <w:rFonts w:ascii="Calibri" w:hAnsi="宋体" w:eastAsia="宋体" w:cs="Calibri"/>
                <w:bCs/>
                <w:sz w:val="21"/>
                <w:szCs w:val="21"/>
              </w:rPr>
              <w:t>说明，并</w:t>
            </w:r>
            <w:r>
              <w:rPr>
                <w:rFonts w:hint="eastAsia" w:ascii="Calibri" w:hAnsi="宋体" w:eastAsia="宋体" w:cs="Calibri"/>
                <w:bCs/>
                <w:sz w:val="21"/>
                <w:szCs w:val="21"/>
              </w:rPr>
              <w:t>提供</w:t>
            </w:r>
            <w:r>
              <w:rPr>
                <w:rFonts w:ascii="Calibri" w:hAnsi="宋体" w:eastAsia="宋体" w:cs="Calibri"/>
                <w:bCs/>
                <w:sz w:val="21"/>
                <w:szCs w:val="21"/>
              </w:rPr>
              <w:t>平均从业年限数值</w:t>
            </w:r>
            <w:r>
              <w:rPr>
                <w:rFonts w:hint="eastAsia" w:ascii="Calibri" w:hAnsi="宋体" w:eastAsia="宋体" w:cs="Calibri"/>
                <w:bCs/>
                <w:sz w:val="21"/>
                <w:szCs w:val="21"/>
              </w:rPr>
              <w:t>（未提供不得分）。</w:t>
            </w:r>
          </w:p>
        </w:tc>
        <w:tc>
          <w:tcPr>
            <w:tcW w:w="1535" w:type="dxa"/>
            <w:vMerge w:val="continue"/>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1" w:hRule="atLeast"/>
        </w:trPr>
        <w:tc>
          <w:tcPr>
            <w:tcW w:w="756" w:type="dxa"/>
            <w:vMerge w:val="continue"/>
            <w:tcBorders>
              <w:bottom w:val="single" w:color="auto" w:sz="12" w:space="0"/>
            </w:tcBorders>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tcBorders>
              <w:bottom w:val="single" w:color="auto" w:sz="12" w:space="0"/>
            </w:tcBorders>
            <w:shd w:val="clear" w:color="auto" w:fill="auto"/>
            <w:vAlign w:val="center"/>
          </w:tcPr>
          <w:p>
            <w:pPr>
              <w:spacing w:line="400" w:lineRule="exact"/>
              <w:jc w:val="center"/>
              <w:rPr>
                <w:rFonts w:ascii="Calibri" w:hAnsi="宋体" w:eastAsia="宋体" w:cs="宋体"/>
                <w:bCs/>
                <w:sz w:val="21"/>
                <w:szCs w:val="21"/>
              </w:rPr>
            </w:pPr>
          </w:p>
        </w:tc>
        <w:tc>
          <w:tcPr>
            <w:tcW w:w="860" w:type="dxa"/>
            <w:tcBorders>
              <w:bottom w:val="single" w:color="auto" w:sz="12" w:space="0"/>
            </w:tcBorders>
            <w:shd w:val="clear" w:color="auto" w:fill="auto"/>
            <w:vAlign w:val="center"/>
          </w:tcPr>
          <w:p>
            <w:pPr>
              <w:spacing w:line="400" w:lineRule="exact"/>
              <w:jc w:val="center"/>
              <w:rPr>
                <w:rFonts w:ascii="Calibri" w:hAnsi="宋体" w:eastAsia="宋体"/>
                <w:sz w:val="21"/>
              </w:rPr>
            </w:pPr>
            <w:r>
              <w:rPr>
                <w:rFonts w:ascii="Calibri" w:hAnsi="宋体" w:eastAsia="宋体" w:cs="宋体"/>
                <w:bCs/>
                <w:sz w:val="21"/>
                <w:szCs w:val="21"/>
              </w:rPr>
              <w:t>3</w:t>
            </w:r>
          </w:p>
        </w:tc>
        <w:tc>
          <w:tcPr>
            <w:tcW w:w="5692" w:type="dxa"/>
            <w:tcBorders>
              <w:bottom w:val="single" w:color="auto" w:sz="12" w:space="0"/>
            </w:tcBorders>
            <w:shd w:val="clear" w:color="auto" w:fill="auto"/>
            <w:vAlign w:val="center"/>
          </w:tcPr>
          <w:p>
            <w:pPr>
              <w:spacing w:line="320" w:lineRule="exact"/>
              <w:ind w:firstLine="422"/>
              <w:rPr>
                <w:rFonts w:ascii="Calibri" w:hAnsi="宋体" w:eastAsia="宋体" w:cs="Calibri"/>
                <w:b/>
                <w:bCs/>
                <w:color w:val="FF0000"/>
                <w:sz w:val="21"/>
                <w:szCs w:val="21"/>
              </w:rPr>
            </w:pPr>
            <w:bookmarkStart w:id="30" w:name="OLE_LINK12"/>
            <w:bookmarkStart w:id="31" w:name="OLE_LINK18"/>
            <w:r>
              <w:rPr>
                <w:rFonts w:hint="eastAsia" w:ascii="Calibri" w:hAnsi="宋体" w:eastAsia="宋体" w:cs="Calibri"/>
                <w:b/>
                <w:bCs/>
                <w:color w:val="FF0000"/>
                <w:sz w:val="21"/>
                <w:szCs w:val="21"/>
              </w:rPr>
              <w:t>服务承诺</w:t>
            </w:r>
            <w:bookmarkEnd w:id="30"/>
            <w:bookmarkEnd w:id="31"/>
            <w:r>
              <w:rPr>
                <w:rFonts w:hint="eastAsia" w:ascii="Calibri" w:hAnsi="宋体" w:eastAsia="宋体" w:cs="Calibri"/>
                <w:b/>
                <w:bCs/>
                <w:color w:val="FF0000"/>
                <w:sz w:val="21"/>
                <w:szCs w:val="21"/>
              </w:rPr>
              <w:t>：</w:t>
            </w:r>
          </w:p>
          <w:p>
            <w:pPr>
              <w:spacing w:line="320" w:lineRule="exact"/>
              <w:rPr>
                <w:rFonts w:ascii="Calibri" w:hAnsi="宋体" w:eastAsia="宋体" w:cs="Calibri"/>
                <w:b/>
                <w:bCs/>
                <w:sz w:val="21"/>
                <w:szCs w:val="21"/>
              </w:rPr>
            </w:pPr>
            <w:r>
              <w:rPr>
                <w:rFonts w:hint="eastAsia" w:ascii="Calibri" w:hAnsi="宋体" w:eastAsia="宋体" w:cs="Calibri"/>
                <w:b/>
                <w:bCs/>
                <w:sz w:val="21"/>
                <w:szCs w:val="21"/>
              </w:rPr>
              <w:t>一、评审内容</w:t>
            </w:r>
          </w:p>
          <w:p>
            <w:pPr>
              <w:tabs>
                <w:tab w:val="left" w:pos="547"/>
              </w:tabs>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对能够完成本项目工作的服务承诺，包括①无条件修改调整方案承诺、②工作底稿准确规范性与成果文件一致性情况等作出实质性承诺（应包含不能完全履行承诺时愿意接受相关处罚的措施）。</w:t>
            </w:r>
          </w:p>
          <w:p>
            <w:pPr>
              <w:spacing w:line="320" w:lineRule="exact"/>
              <w:rPr>
                <w:rFonts w:ascii="Calibri" w:hAnsi="宋体" w:eastAsia="宋体" w:cs="Calibri"/>
                <w:bCs/>
                <w:sz w:val="21"/>
                <w:szCs w:val="21"/>
              </w:rPr>
            </w:pPr>
            <w:r>
              <w:rPr>
                <w:rFonts w:hint="eastAsia" w:ascii="Calibri" w:hAnsi="宋体" w:eastAsia="宋体" w:cs="Calibri"/>
                <w:b/>
                <w:bCs/>
                <w:sz w:val="21"/>
                <w:szCs w:val="21"/>
              </w:rPr>
              <w:t>二、赋分标准</w:t>
            </w:r>
          </w:p>
          <w:p>
            <w:pPr>
              <w:spacing w:line="320" w:lineRule="exact"/>
              <w:ind w:firstLine="422"/>
              <w:rPr>
                <w:rFonts w:ascii="Calibri" w:hAnsi="宋体" w:eastAsia="宋体" w:cs="Calibri"/>
                <w:b/>
                <w:bCs/>
                <w:color w:val="FF0000"/>
                <w:sz w:val="21"/>
                <w:szCs w:val="21"/>
              </w:rPr>
            </w:pPr>
            <w:r>
              <w:rPr>
                <w:rFonts w:hint="eastAsia" w:ascii="Calibri" w:hAnsi="宋体" w:eastAsia="宋体" w:cs="Calibri"/>
                <w:bCs/>
                <w:sz w:val="21"/>
                <w:szCs w:val="21"/>
              </w:rPr>
              <w:t>以上提供承诺函加盖供应商公章，每提供一项承诺得</w:t>
            </w:r>
            <w:r>
              <w:rPr>
                <w:rFonts w:ascii="Calibri" w:hAnsi="宋体" w:eastAsia="宋体" w:cs="Calibri"/>
                <w:bCs/>
                <w:sz w:val="21"/>
                <w:szCs w:val="21"/>
              </w:rPr>
              <w:t>1.5</w:t>
            </w:r>
            <w:r>
              <w:rPr>
                <w:rFonts w:hint="eastAsia" w:ascii="Calibri" w:hAnsi="宋体" w:eastAsia="宋体" w:cs="Calibri"/>
                <w:bCs/>
                <w:sz w:val="21"/>
                <w:szCs w:val="21"/>
              </w:rPr>
              <w:t>分，满分</w:t>
            </w:r>
            <w:r>
              <w:rPr>
                <w:rFonts w:ascii="Calibri" w:hAnsi="宋体" w:eastAsia="宋体" w:cs="Calibri"/>
                <w:bCs/>
                <w:sz w:val="21"/>
                <w:szCs w:val="21"/>
              </w:rPr>
              <w:t>3</w:t>
            </w:r>
            <w:r>
              <w:rPr>
                <w:rFonts w:hint="eastAsia" w:ascii="Calibri" w:hAnsi="宋体" w:eastAsia="宋体" w:cs="Calibri"/>
                <w:bCs/>
                <w:sz w:val="21"/>
                <w:szCs w:val="21"/>
              </w:rPr>
              <w:t>分。</w:t>
            </w:r>
          </w:p>
        </w:tc>
        <w:tc>
          <w:tcPr>
            <w:tcW w:w="1535" w:type="dxa"/>
            <w:vMerge w:val="continue"/>
            <w:tcBorders>
              <w:bottom w:val="single" w:color="auto" w:sz="1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1．评标委员会成员必须按照本评审要素据实打分，各类数字计算均按“四舍五入”保留小数点后两位。</w:t>
            </w:r>
          </w:p>
          <w:p>
            <w:pPr>
              <w:spacing w:line="400" w:lineRule="exact"/>
              <w:ind w:firstLine="420" w:firstLineChars="200"/>
              <w:jc w:val="both"/>
              <w:rPr>
                <w:rFonts w:ascii="Calibri" w:hAnsi="宋体" w:eastAsia="宋体" w:cs="宋体"/>
                <w:bCs/>
                <w:color w:val="FF0000"/>
                <w:sz w:val="21"/>
                <w:szCs w:val="21"/>
              </w:rPr>
            </w:pPr>
            <w:r>
              <w:rPr>
                <w:rFonts w:ascii="Calibri" w:hAnsi="宋体" w:eastAsia="宋体" w:cs="宋体"/>
                <w:bCs/>
                <w:sz w:val="21"/>
                <w:szCs w:val="21"/>
              </w:rPr>
              <w:t>2．价格评审优惠：</w:t>
            </w:r>
            <w:r>
              <w:rPr>
                <w:rFonts w:hint="eastAsia" w:ascii="Calibri" w:hAnsi="宋体" w:eastAsia="宋体" w:cs="宋体"/>
                <w:bCs/>
                <w:sz w:val="21"/>
                <w:szCs w:val="21"/>
              </w:rPr>
              <w:t>对符合政府采购优惠政策的小型和微型企业制造的货物、承接的服务的报价给予</w:t>
            </w:r>
            <w:r>
              <w:rPr>
                <w:rFonts w:hint="eastAsia" w:ascii="Calibri" w:hAnsi="宋体" w:eastAsia="宋体" w:cs="宋体"/>
                <w:bCs/>
                <w:sz w:val="21"/>
                <w:szCs w:val="21"/>
                <w:u w:val="single"/>
              </w:rPr>
              <w:t>10%</w:t>
            </w:r>
            <w:r>
              <w:rPr>
                <w:rFonts w:hint="eastAsia" w:ascii="Calibri" w:hAnsi="宋体" w:eastAsia="宋体" w:cs="宋体"/>
                <w:bCs/>
                <w:sz w:val="21"/>
                <w:szCs w:val="21"/>
              </w:rPr>
              <w:t>的扣除，用扣除后的价格参加评审。未提供中小企业声明函的不享受价格扣除优惠政策；供应商所供货物并非全部由小型或微型企业生产的，不享受价格扣除优惠政策。</w:t>
            </w:r>
          </w:p>
        </w:tc>
      </w:tr>
    </w:tbl>
    <w:p>
      <w:pPr>
        <w:pStyle w:val="83"/>
        <w:ind w:firstLine="482"/>
        <w:rPr>
          <w:b/>
        </w:rPr>
      </w:pPr>
      <w:r>
        <w:rPr>
          <w:b/>
        </w:rPr>
        <w:t>（</w:t>
      </w:r>
      <w:r>
        <w:rPr>
          <w:rFonts w:hint="eastAsia"/>
          <w:b/>
        </w:rPr>
        <w:t>八</w:t>
      </w:r>
      <w:r>
        <w:rPr>
          <w:b/>
        </w:rPr>
        <w:t>）推荐成交候选人并编写评审报告</w:t>
      </w:r>
    </w:p>
    <w:p>
      <w:pPr>
        <w:pStyle w:val="83"/>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pPr>
        <w:pStyle w:val="83"/>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
      </w:pPr>
      <w:r>
        <w:t>七、成交</w:t>
      </w:r>
    </w:p>
    <w:p>
      <w:pPr>
        <w:pStyle w:val="83"/>
        <w:ind w:firstLine="480"/>
      </w:pPr>
      <w:r>
        <w:rPr>
          <w:rFonts w:hint="eastAsia"/>
        </w:rPr>
        <w:t>1</w:t>
      </w:r>
      <w:r>
        <w:rPr>
          <w:rFonts w:hint="eastAsia"/>
          <w:color w:val="auto"/>
        </w:rPr>
        <w:t>．</w:t>
      </w:r>
      <w:r>
        <w:t>采购代理机构在评审工作结束后2个工作日内，将评审报告送采购人确认。</w:t>
      </w:r>
    </w:p>
    <w:p>
      <w:pPr>
        <w:pStyle w:val="83"/>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83"/>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3"/>
          <w:color w:val="auto"/>
        </w:rPr>
        <w:t>】</w:t>
      </w:r>
      <w:r>
        <w:t>（</w:t>
      </w:r>
      <w:r>
        <w:fldChar w:fldCharType="begin"/>
      </w:r>
      <w:r>
        <w:instrText xml:space="preserve"> HYPERLINK "http://www.ccgp-shaanxi.gov.cn/" </w:instrText>
      </w:r>
      <w:r>
        <w:fldChar w:fldCharType="separate"/>
      </w:r>
      <w:r>
        <w:rPr>
          <w:rStyle w:val="33"/>
          <w:color w:val="0070C0"/>
        </w:rPr>
        <w:t>http://www.ccgp-shaanxi.gov.cn</w:t>
      </w:r>
      <w:r>
        <w:rPr>
          <w:rStyle w:val="33"/>
          <w:rFonts w:hint="eastAsia"/>
          <w:color w:val="0070C0"/>
        </w:rPr>
        <w:t>/</w:t>
      </w:r>
      <w:r>
        <w:rPr>
          <w:rStyle w:val="33"/>
          <w:rFonts w:hint="eastAsia"/>
          <w:color w:val="0070C0"/>
        </w:rPr>
        <w:fldChar w:fldCharType="end"/>
      </w:r>
      <w:r>
        <w:t>）上公布成交结果。成交公告期限为1个工作日。</w:t>
      </w:r>
    </w:p>
    <w:p>
      <w:pPr>
        <w:pStyle w:val="83"/>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pPr>
        <w:pStyle w:val="83"/>
        <w:ind w:firstLine="480"/>
      </w:pPr>
      <w:r>
        <w:rPr>
          <w:color w:val="auto"/>
        </w:rPr>
        <w:t>5</w:t>
      </w:r>
      <w:r>
        <w:rPr>
          <w:rFonts w:hint="eastAsia"/>
          <w:color w:val="auto"/>
        </w:rPr>
        <w:t>．</w:t>
      </w:r>
      <w:r>
        <w:rPr>
          <w:rFonts w:hint="eastAsia"/>
        </w:rPr>
        <w:t>采购代理机构按照相关规定将评审报告送同级政府采购监管部门备案。</w:t>
      </w:r>
    </w:p>
    <w:p>
      <w:pPr>
        <w:pStyle w:val="3"/>
      </w:pPr>
      <w:r>
        <w:t>八、合同签订、履行及验收</w:t>
      </w:r>
    </w:p>
    <w:p>
      <w:pPr>
        <w:pStyle w:val="83"/>
        <w:ind w:firstLine="480"/>
      </w:pPr>
      <w:r>
        <w:t>磋商文件、响应文件、澄清、补充合同等为政府采购合同的组成部分，具有同等法律效力。</w:t>
      </w:r>
    </w:p>
    <w:p>
      <w:pPr>
        <w:pStyle w:val="4"/>
        <w:ind w:firstLine="482"/>
      </w:pPr>
      <w:r>
        <w:t>（一）签订政府采购合同</w:t>
      </w:r>
    </w:p>
    <w:p>
      <w:pPr>
        <w:pStyle w:val="83"/>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pPr>
        <w:pStyle w:val="83"/>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pPr>
        <w:pStyle w:val="83"/>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pPr>
        <w:pStyle w:val="83"/>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pPr>
        <w:pStyle w:val="83"/>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pPr>
        <w:pStyle w:val="4"/>
        <w:ind w:firstLine="482"/>
      </w:pPr>
      <w:r>
        <w:t>（二）合同公示</w:t>
      </w:r>
    </w:p>
    <w:p>
      <w:pPr>
        <w:pStyle w:val="83"/>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3"/>
        </w:rPr>
        <w:t>http://www.ccgp-shaanxi.gov.cn/</w:t>
      </w:r>
      <w:r>
        <w:rPr>
          <w:rStyle w:val="33"/>
        </w:rPr>
        <w:fldChar w:fldCharType="end"/>
      </w:r>
      <w:r>
        <w:rPr>
          <w:rFonts w:hint="eastAsia"/>
        </w:rPr>
        <w:t>）对合同进行公示，但政府采购合同中涉及国家秘密、商业秘密的内容除外。</w:t>
      </w:r>
    </w:p>
    <w:p>
      <w:pPr>
        <w:pStyle w:val="4"/>
        <w:ind w:firstLine="482"/>
      </w:pPr>
      <w:r>
        <w:t>（三）合同履行</w:t>
      </w:r>
    </w:p>
    <w:p>
      <w:pPr>
        <w:pStyle w:val="83"/>
        <w:ind w:firstLine="480"/>
        <w:rPr>
          <w:color w:val="auto"/>
        </w:rPr>
      </w:pPr>
      <w:r>
        <w:rPr>
          <w:rFonts w:hint="eastAsia"/>
        </w:rPr>
        <w:t>1</w:t>
      </w:r>
      <w:r>
        <w:rPr>
          <w:rFonts w:hint="eastAsia"/>
          <w:color w:val="auto"/>
        </w:rPr>
        <w:t>．采购人与成交供应商应当根据合同的约定依法履行合同义务。</w:t>
      </w:r>
    </w:p>
    <w:p>
      <w:pPr>
        <w:pStyle w:val="83"/>
        <w:ind w:firstLine="480"/>
      </w:pPr>
      <w:r>
        <w:rPr>
          <w:rFonts w:hint="eastAsia"/>
          <w:color w:val="auto"/>
        </w:rPr>
        <w:t>2．政府采购合同的履行、违约责任和解决争议的方法等适用《中华人民共和国民法典》。</w:t>
      </w:r>
    </w:p>
    <w:p>
      <w:pPr>
        <w:pStyle w:val="4"/>
        <w:ind w:firstLine="482"/>
      </w:pPr>
      <w:r>
        <w:t>（四）验收或考核</w:t>
      </w:r>
    </w:p>
    <w:p>
      <w:pPr>
        <w:pStyle w:val="83"/>
        <w:ind w:firstLine="480"/>
      </w:pPr>
      <w:r>
        <w:rPr>
          <w:rFonts w:hint="eastAsia"/>
        </w:rPr>
        <w:t>1</w:t>
      </w:r>
      <w:r>
        <w:rPr>
          <w:rFonts w:hint="eastAsia"/>
          <w:color w:val="auto"/>
        </w:rPr>
        <w:t>．</w:t>
      </w:r>
      <w:r>
        <w:rPr>
          <w:rFonts w:hint="eastAsia"/>
        </w:rPr>
        <w:t>采购人严格按照国家相关法律法规的要求及磋商文件的要求组织验收或考核。</w:t>
      </w:r>
    </w:p>
    <w:p>
      <w:pPr>
        <w:pStyle w:val="83"/>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九、其他</w:t>
      </w:r>
    </w:p>
    <w:p>
      <w:pPr>
        <w:pStyle w:val="83"/>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pPr>
        <w:pStyle w:val="83"/>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pPr>
        <w:pStyle w:val="83"/>
        <w:ind w:firstLine="480"/>
      </w:pPr>
      <w:r>
        <w:t>3</w:t>
      </w:r>
      <w:r>
        <w:rPr>
          <w:rFonts w:hint="eastAsia"/>
        </w:rPr>
        <w:t>．出现下列情形之一的，采购人或者采购代理机构应当终止竞争性磋商采购活动，发布项目终止公告并说明原因，重新开展采购活动：</w:t>
      </w:r>
    </w:p>
    <w:p>
      <w:pPr>
        <w:pStyle w:val="83"/>
        <w:ind w:firstLine="480"/>
      </w:pPr>
      <w:r>
        <w:rPr>
          <w:rFonts w:hint="eastAsia"/>
        </w:rPr>
        <w:t>（1）因情况变化，不再符合规定的竞争性磋商采购方式适用情形的；</w:t>
      </w:r>
    </w:p>
    <w:p>
      <w:pPr>
        <w:pStyle w:val="83"/>
        <w:ind w:firstLine="480"/>
      </w:pPr>
      <w:r>
        <w:rPr>
          <w:rFonts w:hint="eastAsia"/>
        </w:rPr>
        <w:t>（2）出现影响采购公正的违法、违规行为的；</w:t>
      </w:r>
    </w:p>
    <w:p>
      <w:pPr>
        <w:pStyle w:val="83"/>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pPr>
        <w:pStyle w:val="83"/>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3"/>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3"/>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pPr>
        <w:pStyle w:val="83"/>
        <w:ind w:firstLine="0" w:firstLineChars="0"/>
      </w:pPr>
    </w:p>
    <w:p>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32" w:name="_Toc212455739"/>
      <w:bookmarkStart w:id="33" w:name="_Toc224555751"/>
      <w:r>
        <w:rPr>
          <w:rFonts w:hint="eastAsia"/>
        </w:rPr>
        <w:t>第三章　磋商内容及要求</w:t>
      </w:r>
      <w:bookmarkEnd w:id="32"/>
      <w:bookmarkEnd w:id="33"/>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ind w:firstLine="480" w:firstLineChars="200"/>
      </w:pPr>
      <w:r>
        <w:rPr>
          <w:rFonts w:hint="eastAsia"/>
        </w:rPr>
        <w:t>为保证西安市财政投资评审工作顺利进行，拟委托一家工程造价咨询机构对西安市小寨区域海绵城市PPP项目进行决算评审。</w:t>
      </w:r>
    </w:p>
    <w:p>
      <w:pPr>
        <w:ind w:firstLine="480" w:firstLineChars="200"/>
      </w:pPr>
      <w:r>
        <w:rPr>
          <w:rFonts w:hint="eastAsia"/>
        </w:rPr>
        <w:t>项目总送审金额1898253156.27元，其中：</w:t>
      </w:r>
      <w:bookmarkStart w:id="34" w:name="OLE_LINK87"/>
      <w:r>
        <w:rPr>
          <w:rFonts w:hint="eastAsia"/>
        </w:rPr>
        <w:t>建安工程投资送审金额</w:t>
      </w:r>
      <w:bookmarkEnd w:id="34"/>
      <w:r>
        <w:rPr>
          <w:rFonts w:hint="eastAsia"/>
        </w:rPr>
        <w:t>1602359934.25元，待摊投资送审金额295893222.02元。</w:t>
      </w:r>
    </w:p>
    <w:p>
      <w:pPr>
        <w:pStyle w:val="3"/>
        <w:jc w:val="both"/>
      </w:pPr>
      <w:r>
        <w:rPr>
          <w:rFonts w:hint="eastAsia"/>
        </w:rPr>
        <w:t>二、</w:t>
      </w:r>
      <w:r>
        <w:t>采购</w:t>
      </w:r>
      <w:r>
        <w:rPr>
          <w:rFonts w:hint="eastAsia"/>
        </w:rPr>
        <w:t>内容</w:t>
      </w:r>
    </w:p>
    <w:p>
      <w:pPr>
        <w:ind w:firstLine="480" w:firstLineChars="200"/>
      </w:pPr>
      <w:r>
        <w:rPr>
          <w:rFonts w:hint="eastAsia"/>
        </w:rPr>
        <w:t>西安市小寨区域海绵城市PPP项目决算评审，主要包括：海绵化改造工程、地下调蓄库工程、雨水管道工程、清淤工程、智慧运维管控系统及待摊投资支出等。</w:t>
      </w:r>
    </w:p>
    <w:p>
      <w:pPr>
        <w:pStyle w:val="3"/>
        <w:jc w:val="both"/>
      </w:pPr>
      <w:r>
        <w:t>三、</w:t>
      </w:r>
      <w:r>
        <w:rPr>
          <w:rFonts w:hint="eastAsia"/>
        </w:rPr>
        <w:t>技术（服务）要求</w:t>
      </w:r>
    </w:p>
    <w:p>
      <w:pPr>
        <w:ind w:firstLine="480" w:firstLineChars="200"/>
      </w:pPr>
      <w:r>
        <w:rPr>
          <w:rFonts w:hint="eastAsia"/>
        </w:rPr>
        <w:t>1、供应商应查阅项目立项、可行性研究报告、初步设计概算批复等批准文件，审核项目基本建设程序的完整性。审查工程结算的编制是否遵守国家、省、市有关规定以及招标文件和合同条款的约定。包括对工程量计算、变更签证、定额选用、材料、设备价格及取费等进行审核。审查项目待摊费用支出及其分摊是否合理、正确；项目待摊费用支出的真实性、合法性、合规性；项目资金是否全部到位，核算是否规范，资金使用是否合理，有无挤占、挪用现象；项目形成资产及交付资产分摊是否全面反映，计价是否准确，资产接受单位是否落实；待核销基建支出和转出投资有无依据，是否合理；竣工财务决算报表所填列的数据是否完整，表间勾稽关系是否清晰、正确；财务资料的内容和格式是否符合国家有关规定；财务资料报送是否完整、决算数据间是否存在错误。</w:t>
      </w:r>
    </w:p>
    <w:p>
      <w:pPr>
        <w:ind w:firstLine="480" w:firstLineChars="200"/>
      </w:pPr>
      <w:r>
        <w:rPr>
          <w:rFonts w:hint="eastAsia"/>
        </w:rPr>
        <w:t>2、供应商根据决算审核任务要求制定审核方案。审核方案包括基本情况、审核重点关注内容、审核方法和依据、审核工作组成人员、时间及进度安排等。</w:t>
      </w:r>
    </w:p>
    <w:p>
      <w:pPr>
        <w:ind w:firstLine="480" w:firstLineChars="200"/>
      </w:pPr>
      <w:r>
        <w:rPr>
          <w:rFonts w:hint="eastAsia"/>
        </w:rPr>
        <w:t>3、供应商根据审核方案实施项目审核。初步审核结论形成后，应及时反馈给采购人。</w:t>
      </w:r>
    </w:p>
    <w:p>
      <w:pPr>
        <w:ind w:firstLine="480" w:firstLineChars="200"/>
      </w:pPr>
      <w:r>
        <w:rPr>
          <w:rFonts w:hint="eastAsia"/>
        </w:rPr>
        <w:t>4、供应商根据有关意见对审核结论进行完善，并出具审核报告。审核报告应包括基本情况、审核依据、审核结论、问题和建议，如有项目申报单位签署的意见或者需要特殊说明的情况，在报告中一并体现。</w:t>
      </w:r>
    </w:p>
    <w:p>
      <w:pPr>
        <w:ind w:firstLine="480" w:firstLineChars="200"/>
      </w:pPr>
      <w:r>
        <w:rPr>
          <w:rFonts w:hint="eastAsia"/>
        </w:rPr>
        <w:t>5、供应商出具审核报告后，及时整理审核资料移交采购人。</w:t>
      </w:r>
    </w:p>
    <w:p>
      <w:pPr>
        <w:pStyle w:val="3"/>
        <w:jc w:val="both"/>
      </w:pPr>
      <w:r>
        <w:rPr>
          <w:rFonts w:hint="eastAsia"/>
        </w:rPr>
        <w:t>四、商务要求</w:t>
      </w:r>
    </w:p>
    <w:p>
      <w:pPr>
        <w:pStyle w:val="4"/>
        <w:ind w:firstLine="482"/>
      </w:pPr>
      <w:bookmarkStart w:id="35" w:name="OLE_LINK28"/>
      <w:bookmarkStart w:id="36" w:name="OLE_LINK29"/>
      <w:r>
        <w:rPr>
          <w:rFonts w:hint="eastAsia"/>
        </w:rPr>
        <w:t>（一）履约要求</w:t>
      </w:r>
    </w:p>
    <w:p>
      <w:pPr>
        <w:pStyle w:val="83"/>
        <w:ind w:firstLine="482"/>
        <w:rPr>
          <w:b/>
        </w:rPr>
      </w:pPr>
      <w:r>
        <w:rPr>
          <w:rFonts w:hint="eastAsia"/>
          <w:b/>
        </w:rPr>
        <w:t>1、履约时间：</w:t>
      </w:r>
    </w:p>
    <w:p>
      <w:pPr>
        <w:pStyle w:val="83"/>
        <w:ind w:firstLine="480"/>
      </w:pPr>
      <w:r>
        <w:rPr>
          <w:rFonts w:hint="eastAsia"/>
        </w:rPr>
        <w:t>自合同签订至出具采购人确认的评审报告，服务周期结束。</w:t>
      </w:r>
    </w:p>
    <w:p>
      <w:pPr>
        <w:pStyle w:val="83"/>
        <w:ind w:firstLine="482"/>
        <w:rPr>
          <w:b/>
        </w:rPr>
      </w:pPr>
      <w:r>
        <w:rPr>
          <w:b/>
        </w:rPr>
        <w:t>2</w:t>
      </w:r>
      <w:r>
        <w:rPr>
          <w:rFonts w:hint="eastAsia"/>
          <w:b/>
        </w:rPr>
        <w:t>、成果</w:t>
      </w:r>
      <w:r>
        <w:rPr>
          <w:b/>
        </w:rPr>
        <w:t>交付</w:t>
      </w:r>
      <w:r>
        <w:rPr>
          <w:rFonts w:hint="eastAsia"/>
          <w:b/>
        </w:rPr>
        <w:t>时限</w:t>
      </w:r>
      <w:r>
        <w:rPr>
          <w:b/>
        </w:rPr>
        <w:t>：</w:t>
      </w:r>
    </w:p>
    <w:p>
      <w:pPr>
        <w:pStyle w:val="83"/>
        <w:ind w:firstLine="480"/>
        <w:rPr>
          <w:rFonts w:cs="Times New Roman" w:asciiTheme="minorHAnsi" w:hAnsiTheme="minorHAnsi"/>
          <w:color w:val="auto"/>
          <w:kern w:val="0"/>
        </w:rPr>
      </w:pPr>
      <w:r>
        <w:t>自</w:t>
      </w:r>
      <w:r>
        <w:rPr>
          <w:rFonts w:hint="eastAsia" w:cs="Times New Roman" w:asciiTheme="minorHAnsi" w:hAnsiTheme="minorHAnsi" w:eastAsiaTheme="minorEastAsia"/>
          <w:color w:val="auto"/>
          <w:kern w:val="0"/>
        </w:rPr>
        <w:t>接到采购人通知之日起25个工作日内完成项目初审；15个工作日内配合采购人完成初审稿的复审工作；25个工作日内完成项目核对，形成项目审核结论，出具审核报</w:t>
      </w:r>
      <w:r>
        <w:rPr>
          <w:rFonts w:hint="eastAsia" w:cs="Times New Roman" w:asciiTheme="minorHAnsi" w:hAnsiTheme="minorHAnsi"/>
          <w:color w:val="auto"/>
          <w:kern w:val="0"/>
        </w:rPr>
        <w:t>告。</w:t>
      </w:r>
    </w:p>
    <w:p>
      <w:pPr>
        <w:pStyle w:val="83"/>
        <w:ind w:firstLine="482"/>
        <w:rPr>
          <w:b/>
        </w:rPr>
      </w:pPr>
      <w:r>
        <w:rPr>
          <w:rFonts w:cs="Times New Roman" w:asciiTheme="minorHAnsi" w:hAnsiTheme="minorHAnsi"/>
          <w:b/>
          <w:color w:val="auto"/>
          <w:kern w:val="0"/>
        </w:rPr>
        <w:t>3</w:t>
      </w:r>
      <w:r>
        <w:rPr>
          <w:rFonts w:hint="eastAsia" w:cs="Times New Roman" w:asciiTheme="minorHAnsi" w:hAnsiTheme="minorHAnsi"/>
          <w:b/>
          <w:color w:val="auto"/>
          <w:kern w:val="0"/>
        </w:rPr>
        <w:t>、阶段</w:t>
      </w:r>
      <w:r>
        <w:rPr>
          <w:rFonts w:cs="Times New Roman" w:asciiTheme="minorHAnsi" w:hAnsiTheme="minorHAnsi"/>
          <w:b/>
          <w:color w:val="auto"/>
          <w:kern w:val="0"/>
        </w:rPr>
        <w:t>要求：</w:t>
      </w:r>
    </w:p>
    <w:p>
      <w:pPr>
        <w:pStyle w:val="83"/>
        <w:ind w:firstLine="480"/>
      </w:pPr>
      <w:r>
        <w:t>各阶段</w:t>
      </w:r>
      <w:r>
        <w:rPr>
          <w:rFonts w:hint="eastAsia"/>
        </w:rPr>
        <w:t>供应商</w:t>
      </w:r>
      <w:r>
        <w:t>应按照</w:t>
      </w:r>
      <w:r>
        <w:rPr>
          <w:rFonts w:hint="eastAsia"/>
        </w:rPr>
        <w:t>采购人</w:t>
      </w:r>
      <w:r>
        <w:t>的要求提供相关成果文件，</w:t>
      </w:r>
      <w:r>
        <w:rPr>
          <w:rFonts w:hint="eastAsia"/>
        </w:rPr>
        <w:t>供应商提交的各阶段成果文件需经采购人指定人员初步确认后，方可进入下一阶段工作。</w:t>
      </w:r>
    </w:p>
    <w:p>
      <w:pPr>
        <w:pStyle w:val="4"/>
        <w:ind w:firstLine="482"/>
      </w:pPr>
      <w:r>
        <w:t>4</w:t>
      </w:r>
      <w:r>
        <w:rPr>
          <w:rFonts w:hint="eastAsia"/>
        </w:rPr>
        <w:t>、</w:t>
      </w:r>
      <w:r>
        <w:t>成果</w:t>
      </w:r>
      <w:r>
        <w:rPr>
          <w:rFonts w:hint="eastAsia"/>
        </w:rPr>
        <w:t>交付</w:t>
      </w:r>
    </w:p>
    <w:p>
      <w:pPr>
        <w:pStyle w:val="83"/>
        <w:ind w:firstLine="480"/>
      </w:pPr>
      <w:r>
        <w:rPr>
          <w:rFonts w:hint="eastAsia"/>
        </w:rPr>
        <w:t>终审完成，需向采购人出具真实、客观、公平的审核报告贰份和完整电子文件，对出具的审核报告的真实性、合法性、准确性负有永久的法律责任。</w:t>
      </w:r>
    </w:p>
    <w:p>
      <w:pPr>
        <w:pStyle w:val="83"/>
        <w:ind w:firstLine="480"/>
      </w:pPr>
      <w:r>
        <w:rPr>
          <w:rFonts w:hint="eastAsia"/>
        </w:rPr>
        <w:t>供应商出具审核报告后，及时整理审核资料移交采购人。</w:t>
      </w:r>
    </w:p>
    <w:p>
      <w:pPr>
        <w:ind w:firstLine="480" w:firstLineChars="200"/>
        <w:rPr>
          <w:rFonts w:ascii="Segoe UI Symbol" w:hAnsi="Segoe UI Symbol" w:cs="Segoe UI Symbol"/>
          <w:b/>
          <w:color w:val="C00000"/>
        </w:rPr>
      </w:pPr>
      <w:r>
        <w:rPr>
          <w:rFonts w:ascii="Segoe UI Symbol" w:hAnsi="Segoe UI Symbol" w:cs="Segoe UI Symbol"/>
          <w:b/>
          <w:color w:val="C00000"/>
        </w:rPr>
        <w:t>★5</w:t>
      </w:r>
      <w:r>
        <w:rPr>
          <w:rFonts w:hint="eastAsia" w:ascii="Segoe UI Symbol" w:hAnsi="Segoe UI Symbol" w:cs="Segoe UI Symbol"/>
          <w:b/>
          <w:color w:val="C00000"/>
        </w:rPr>
        <w:t>、驻场</w:t>
      </w:r>
      <w:r>
        <w:rPr>
          <w:rFonts w:ascii="Segoe UI Symbol" w:hAnsi="Segoe UI Symbol" w:cs="Segoe UI Symbol"/>
          <w:b/>
          <w:color w:val="C00000"/>
        </w:rPr>
        <w:t>要求</w:t>
      </w:r>
    </w:p>
    <w:p>
      <w:pPr>
        <w:ind w:firstLine="480" w:firstLineChars="200"/>
        <w:rPr>
          <w:rFonts w:ascii="Segoe UI Symbol" w:hAnsi="Segoe UI Symbol" w:cs="Segoe UI Symbol"/>
          <w:color w:val="C00000"/>
        </w:rPr>
      </w:pPr>
      <w:r>
        <w:rPr>
          <w:rFonts w:hint="eastAsia" w:ascii="Segoe UI Symbol" w:hAnsi="Segoe UI Symbol" w:cs="Segoe UI Symbol"/>
          <w:color w:val="C00000"/>
        </w:rPr>
        <w:t>为</w:t>
      </w:r>
      <w:r>
        <w:rPr>
          <w:rFonts w:ascii="Segoe UI Symbol" w:hAnsi="Segoe UI Symbol" w:cs="Segoe UI Symbol"/>
          <w:color w:val="C00000"/>
        </w:rPr>
        <w:t>保证项目</w:t>
      </w:r>
      <w:r>
        <w:rPr>
          <w:rFonts w:hint="eastAsia" w:ascii="Segoe UI Symbol" w:hAnsi="Segoe UI Symbol" w:cs="Segoe UI Symbol"/>
          <w:color w:val="C00000"/>
        </w:rPr>
        <w:t>及时推进，自复审工作开始至项目结束，供应商项目</w:t>
      </w:r>
      <w:r>
        <w:rPr>
          <w:rFonts w:ascii="Segoe UI Symbol" w:hAnsi="Segoe UI Symbol" w:cs="Segoe UI Symbol"/>
          <w:color w:val="C00000"/>
        </w:rPr>
        <w:t>团队人员</w:t>
      </w:r>
      <w:r>
        <w:rPr>
          <w:rFonts w:hint="eastAsia" w:ascii="Segoe UI Symbol" w:hAnsi="Segoe UI Symbol" w:cs="Segoe UI Symbol"/>
          <w:color w:val="C00000"/>
        </w:rPr>
        <w:t>须在采购人单位驻场办公，供应商提供</w:t>
      </w:r>
      <w:r>
        <w:rPr>
          <w:rFonts w:ascii="Segoe UI Symbol" w:hAnsi="Segoe UI Symbol" w:cs="Segoe UI Symbol"/>
          <w:color w:val="C00000"/>
        </w:rPr>
        <w:t>承诺函加盖公章</w:t>
      </w:r>
      <w:r>
        <w:rPr>
          <w:rFonts w:hint="eastAsia" w:ascii="Segoe UI Symbol" w:hAnsi="Segoe UI Symbol" w:cs="Segoe UI Symbol"/>
          <w:color w:val="C00000"/>
        </w:rPr>
        <w:t>（格式</w:t>
      </w:r>
      <w:r>
        <w:rPr>
          <w:rFonts w:ascii="Segoe UI Symbol" w:hAnsi="Segoe UI Symbol" w:cs="Segoe UI Symbol"/>
          <w:color w:val="C00000"/>
        </w:rPr>
        <w:t>自拟</w:t>
      </w:r>
      <w:r>
        <w:rPr>
          <w:rFonts w:hint="eastAsia" w:ascii="Segoe UI Symbol" w:hAnsi="Segoe UI Symbol" w:cs="Segoe UI Symbol"/>
          <w:color w:val="C00000"/>
        </w:rPr>
        <w:t>）。</w:t>
      </w:r>
    </w:p>
    <w:p>
      <w:pPr>
        <w:pStyle w:val="4"/>
      </w:pPr>
      <w:r>
        <w:rPr>
          <w:rFonts w:hint="eastAsia"/>
        </w:rPr>
        <w:t>（三）人员</w:t>
      </w:r>
      <w:r>
        <w:t>要求</w:t>
      </w:r>
    </w:p>
    <w:p>
      <w:pPr>
        <w:pStyle w:val="83"/>
        <w:ind w:firstLine="480"/>
        <w:rPr>
          <w:color w:val="C00000"/>
        </w:rPr>
      </w:pPr>
      <w:bookmarkStart w:id="37" w:name="OLE_LINK65"/>
      <w:bookmarkStart w:id="38" w:name="OLE_LINK66"/>
      <w:r>
        <w:rPr>
          <w:rFonts w:ascii="Segoe UI Symbol" w:hAnsi="Segoe UI Symbol" w:cs="Segoe UI Symbol"/>
          <w:color w:val="C00000"/>
        </w:rPr>
        <w:t>★</w:t>
      </w:r>
      <w:bookmarkEnd w:id="37"/>
      <w:bookmarkEnd w:id="38"/>
      <w:r>
        <w:rPr>
          <w:rFonts w:hint="eastAsia"/>
          <w:color w:val="C00000"/>
        </w:rPr>
        <w:t>1、供应商应配备满足项目评审工作所需的专业技术人员至少16名（包括项目</w:t>
      </w:r>
      <w:r>
        <w:rPr>
          <w:color w:val="C00000"/>
        </w:rPr>
        <w:t>负责人</w:t>
      </w:r>
      <w:r>
        <w:rPr>
          <w:rFonts w:hint="eastAsia"/>
          <w:color w:val="C00000"/>
        </w:rPr>
        <w:t>1</w:t>
      </w:r>
      <w:r>
        <w:rPr>
          <w:color w:val="C00000"/>
        </w:rPr>
        <w:t>名</w:t>
      </w:r>
      <w:r>
        <w:rPr>
          <w:rFonts w:hint="eastAsia"/>
          <w:color w:val="C00000"/>
        </w:rPr>
        <w:t>），</w:t>
      </w:r>
      <w:r>
        <w:rPr>
          <w:color w:val="C00000"/>
        </w:rPr>
        <w:t>提供</w:t>
      </w:r>
      <w:r>
        <w:rPr>
          <w:rFonts w:hint="eastAsia"/>
          <w:color w:val="C00000"/>
        </w:rPr>
        <w:t>《拟派人员构成情况表》（至少</w:t>
      </w:r>
      <w:r>
        <w:rPr>
          <w:color w:val="C00000"/>
        </w:rPr>
        <w:t>包括人员姓名、身份</w:t>
      </w:r>
      <w:r>
        <w:rPr>
          <w:rFonts w:hint="eastAsia"/>
          <w:color w:val="C00000"/>
        </w:rPr>
        <w:t>证号）。</w:t>
      </w:r>
    </w:p>
    <w:p>
      <w:pPr>
        <w:pStyle w:val="83"/>
        <w:ind w:firstLine="480"/>
      </w:pPr>
      <w:r>
        <w:rPr>
          <w:rFonts w:hint="eastAsia"/>
        </w:rPr>
        <w:t>2、所配备技术</w:t>
      </w:r>
      <w:r>
        <w:t>人员应当</w:t>
      </w:r>
      <w:r>
        <w:rPr>
          <w:rFonts w:hint="eastAsia"/>
        </w:rPr>
        <w:t>具有</w:t>
      </w:r>
      <w:r>
        <w:t>相应工作经验及</w:t>
      </w:r>
      <w:r>
        <w:rPr>
          <w:rFonts w:hint="eastAsia"/>
        </w:rPr>
        <w:t>项目</w:t>
      </w:r>
      <w:r>
        <w:t>业绩。</w:t>
      </w:r>
    </w:p>
    <w:p>
      <w:pPr>
        <w:pStyle w:val="83"/>
        <w:ind w:firstLine="480"/>
        <w:rPr>
          <w:color w:val="C00000"/>
        </w:rPr>
      </w:pPr>
      <w:r>
        <w:rPr>
          <w:rFonts w:ascii="Segoe UI Symbol" w:hAnsi="Segoe UI Symbol" w:cs="Segoe UI Symbol"/>
          <w:color w:val="C00000"/>
        </w:rPr>
        <w:t>★</w:t>
      </w:r>
      <w:r>
        <w:rPr>
          <w:color w:val="C00000"/>
        </w:rPr>
        <w:t>3</w:t>
      </w:r>
      <w:r>
        <w:rPr>
          <w:rFonts w:hint="eastAsia"/>
          <w:color w:val="C00000"/>
        </w:rPr>
        <w:t>、项目负责人须具备一级注册造价工程师职业资格，并在本单位注册，提供</w:t>
      </w:r>
      <w:r>
        <w:rPr>
          <w:color w:val="C00000"/>
        </w:rPr>
        <w:t>证书</w:t>
      </w:r>
      <w:r>
        <w:rPr>
          <w:rFonts w:hint="eastAsia"/>
          <w:color w:val="C00000"/>
        </w:rPr>
        <w:t>扫描件</w:t>
      </w:r>
      <w:r>
        <w:rPr>
          <w:color w:val="C00000"/>
        </w:rPr>
        <w:t>。</w:t>
      </w:r>
    </w:p>
    <w:p>
      <w:pPr>
        <w:pStyle w:val="83"/>
        <w:ind w:firstLine="480"/>
      </w:pPr>
      <w:r>
        <w:rPr>
          <w:rFonts w:hint="eastAsia"/>
        </w:rPr>
        <w:t>4、项目负责人熟悉政府投资项目相关政策要求，参与过政府投资项目评审工作。</w:t>
      </w:r>
    </w:p>
    <w:bookmarkEnd w:id="35"/>
    <w:bookmarkEnd w:id="36"/>
    <w:p>
      <w:pPr>
        <w:pStyle w:val="3"/>
      </w:pPr>
      <w:r>
        <w:t>五、</w:t>
      </w:r>
      <w:r>
        <w:rPr>
          <w:rFonts w:hint="eastAsia"/>
        </w:rPr>
        <w:t>服务质量要求</w:t>
      </w:r>
    </w:p>
    <w:p>
      <w:pPr>
        <w:pStyle w:val="83"/>
        <w:ind w:firstLine="480"/>
      </w:pPr>
      <w:r>
        <w:rPr>
          <w:rFonts w:hint="eastAsia"/>
        </w:rPr>
        <w:t>1、按照国家法律、法规的有关规定，依据西安市财政投资项目评审规定及操作规程，遵照客观、公平、公正的原则开展工程决算审核业务。</w:t>
      </w:r>
    </w:p>
    <w:p>
      <w:pPr>
        <w:pStyle w:val="83"/>
        <w:ind w:firstLine="480"/>
      </w:pPr>
      <w:r>
        <w:rPr>
          <w:rFonts w:hint="eastAsia"/>
        </w:rPr>
        <w:t>2、执行《政府投资项目管理办法（试行）》《西安市本级财政投资评审管理办法》、《西安市本级财政投资评审工作实施细则》、《西安市财政投资评审中心社会中介机构选用考核规程》，遵循财政投资评审人员职业道德规范，遵守评审工作纪律。</w:t>
      </w:r>
    </w:p>
    <w:p>
      <w:pPr>
        <w:pStyle w:val="83"/>
        <w:ind w:firstLine="480"/>
      </w:pPr>
      <w:r>
        <w:rPr>
          <w:rFonts w:hint="eastAsia"/>
        </w:rPr>
        <w:t>3、独立完成工程结(决算)审核任务，不得以任何形式将已接收的工程结(决算)审核任务再委托给其他机构。</w:t>
      </w:r>
    </w:p>
    <w:p>
      <w:pPr>
        <w:pStyle w:val="83"/>
        <w:ind w:firstLine="0" w:firstLineChars="0"/>
      </w:pPr>
      <w:r>
        <w:rPr>
          <w:rFonts w:hint="eastAsia"/>
        </w:rPr>
        <w:t xml:space="preserve"> </w:t>
      </w:r>
      <w:r>
        <w:t xml:space="preserve">   </w:t>
      </w:r>
      <w:r>
        <w:rPr>
          <w:rFonts w:hint="eastAsia"/>
        </w:rPr>
        <w:t>4、对于项目审核进展情况要定期向采购人报告，及时答复有关问题；对在工程结(决算)审核中遇到的重大问题应及时向采购人报告。</w:t>
      </w:r>
    </w:p>
    <w:p>
      <w:pPr>
        <w:pStyle w:val="83"/>
        <w:ind w:firstLine="480"/>
      </w:pPr>
      <w:r>
        <w:rPr>
          <w:rFonts w:hint="eastAsia"/>
        </w:rPr>
        <w:t>5、未经采购人批准，不得以任何形式向任何单位或个人披露审核项目的有关信息，不得对外提供、泄露或公开审核项目的有关情况。</w:t>
      </w:r>
    </w:p>
    <w:p>
      <w:pPr>
        <w:pStyle w:val="3"/>
      </w:pPr>
      <w:r>
        <w:rPr>
          <w:rFonts w:hint="eastAsia"/>
        </w:rPr>
        <w:t>六</w:t>
      </w:r>
      <w:r>
        <w:t>、</w:t>
      </w:r>
      <w:r>
        <w:rPr>
          <w:rFonts w:hint="eastAsia"/>
        </w:rPr>
        <w:t>合同</w:t>
      </w:r>
      <w:r>
        <w:t>价款与</w:t>
      </w:r>
      <w:bookmarkStart w:id="39" w:name="OLE_LINK15"/>
      <w:bookmarkStart w:id="40" w:name="OLE_LINK16"/>
      <w:r>
        <w:rPr>
          <w:rFonts w:hint="eastAsia"/>
        </w:rPr>
        <w:t>磋商</w:t>
      </w:r>
      <w:bookmarkEnd w:id="39"/>
      <w:bookmarkEnd w:id="40"/>
      <w:r>
        <w:t>报价说明</w:t>
      </w:r>
    </w:p>
    <w:p>
      <w:pPr>
        <w:pStyle w:val="4"/>
        <w:ind w:firstLine="482"/>
      </w:pPr>
      <w:r>
        <w:rPr>
          <w:rFonts w:hint="eastAsia"/>
        </w:rPr>
        <w:t>（一）合同价</w:t>
      </w:r>
      <w:r>
        <w:t>款说明</w:t>
      </w:r>
    </w:p>
    <w:p>
      <w:pPr>
        <w:pStyle w:val="83"/>
        <w:ind w:firstLine="480"/>
      </w:pPr>
      <w:r>
        <w:rPr>
          <w:rFonts w:hint="eastAsia"/>
        </w:rPr>
        <w:t>1. 本项目为</w:t>
      </w:r>
      <w:r>
        <w:t>费率报价</w:t>
      </w:r>
      <w:bookmarkStart w:id="41" w:name="OLE_LINK67"/>
      <w:bookmarkStart w:id="42" w:name="OLE_LINK64"/>
      <w:r>
        <w:rPr>
          <w:rFonts w:hint="eastAsia"/>
        </w:rPr>
        <w:t>（单位：%）</w:t>
      </w:r>
      <w:bookmarkEnd w:id="41"/>
      <w:bookmarkEnd w:id="42"/>
      <w:r>
        <w:rPr>
          <w:rFonts w:hint="eastAsia"/>
        </w:rPr>
        <w:t>，其中</w:t>
      </w:r>
      <w:r>
        <w:t>：</w:t>
      </w:r>
    </w:p>
    <w:p>
      <w:pPr>
        <w:pStyle w:val="83"/>
        <w:ind w:firstLine="480"/>
      </w:pPr>
      <w:r>
        <w:rPr>
          <w:rFonts w:hint="eastAsia"/>
        </w:rPr>
        <w:t>A</w:t>
      </w:r>
      <w:r>
        <w:t>1</w:t>
      </w:r>
      <w:r>
        <w:rPr>
          <w:rFonts w:hint="eastAsia"/>
        </w:rPr>
        <w:t>为建设工程部分结算审查审核</w:t>
      </w:r>
      <w:r>
        <w:t>费率</w:t>
      </w:r>
      <w:r>
        <w:rPr>
          <w:rFonts w:hint="eastAsia"/>
        </w:rPr>
        <w:t>；</w:t>
      </w:r>
    </w:p>
    <w:p>
      <w:pPr>
        <w:pStyle w:val="83"/>
        <w:ind w:firstLine="480"/>
      </w:pPr>
      <w:r>
        <w:rPr>
          <w:rFonts w:hint="eastAsia"/>
        </w:rPr>
        <w:t>A2为待摊投资部分财务审查审核</w:t>
      </w:r>
      <w:r>
        <w:t>费率</w:t>
      </w:r>
      <w:r>
        <w:rPr>
          <w:rFonts w:hint="eastAsia"/>
        </w:rPr>
        <w:t>；</w:t>
      </w:r>
    </w:p>
    <w:p>
      <w:pPr>
        <w:pStyle w:val="83"/>
        <w:ind w:firstLine="480"/>
      </w:pPr>
      <w:r>
        <w:rPr>
          <w:rFonts w:hint="eastAsia"/>
        </w:rPr>
        <w:t>B</w:t>
      </w:r>
      <w:r>
        <w:t>1</w:t>
      </w:r>
      <w:r>
        <w:rPr>
          <w:rFonts w:hint="eastAsia"/>
        </w:rPr>
        <w:t>为建设工程部分结算审查审减率10%（含）以内部分审减费率；</w:t>
      </w:r>
    </w:p>
    <w:p>
      <w:pPr>
        <w:pStyle w:val="83"/>
        <w:ind w:firstLine="480"/>
      </w:pPr>
      <w:r>
        <w:rPr>
          <w:rFonts w:hint="eastAsia"/>
        </w:rPr>
        <w:t>B2为建设工程部分结算审查审减率10%以上部分审减费率。</w:t>
      </w:r>
    </w:p>
    <w:p>
      <w:pPr>
        <w:pStyle w:val="83"/>
        <w:ind w:firstLine="480"/>
      </w:pPr>
      <w:r>
        <w:rPr>
          <w:rFonts w:hint="eastAsia"/>
        </w:rPr>
        <w:t>合同最终</w:t>
      </w:r>
      <w:r>
        <w:t>结算</w:t>
      </w:r>
      <w:r>
        <w:rPr>
          <w:rFonts w:hint="eastAsia"/>
        </w:rPr>
        <w:t>金额=建设</w:t>
      </w:r>
      <w:r>
        <w:t>工程部分</w:t>
      </w:r>
      <w:r>
        <w:rPr>
          <w:rFonts w:hint="eastAsia"/>
        </w:rPr>
        <w:t>结算</w:t>
      </w:r>
      <w:r>
        <w:t>审查费用</w:t>
      </w:r>
      <w:r>
        <w:rPr>
          <w:rFonts w:hint="eastAsia"/>
        </w:rPr>
        <w:t>+待摊</w:t>
      </w:r>
      <w:r>
        <w:t>投资部分财务审查费用</w:t>
      </w:r>
    </w:p>
    <w:p>
      <w:pPr>
        <w:pStyle w:val="83"/>
        <w:ind w:firstLine="480"/>
      </w:pPr>
      <w:r>
        <w:rPr>
          <w:rFonts w:hint="eastAsia"/>
        </w:rPr>
        <w:t>其中</w:t>
      </w:r>
      <w:r>
        <w:t>：</w:t>
      </w:r>
      <w:r>
        <w:rPr>
          <w:rFonts w:hint="eastAsia"/>
        </w:rPr>
        <w:t>建设</w:t>
      </w:r>
      <w:r>
        <w:t>工程部分</w:t>
      </w:r>
      <w:r>
        <w:rPr>
          <w:rFonts w:hint="eastAsia"/>
        </w:rPr>
        <w:t>结算</w:t>
      </w:r>
      <w:r>
        <w:t>审查费用</w:t>
      </w:r>
      <w:r>
        <w:rPr>
          <w:rFonts w:hint="eastAsia"/>
        </w:rPr>
        <w:t>=</w:t>
      </w:r>
      <w:bookmarkStart w:id="43" w:name="OLE_LINK35"/>
      <w:bookmarkStart w:id="44" w:name="OLE_LINK34"/>
      <w:r>
        <w:rPr>
          <w:rFonts w:hint="eastAsia"/>
        </w:rPr>
        <w:t>建安工程投资送审金额×</w:t>
      </w:r>
      <w:bookmarkEnd w:id="43"/>
      <w:bookmarkEnd w:id="44"/>
      <w:r>
        <w:rPr>
          <w:rFonts w:hint="eastAsia"/>
        </w:rPr>
        <w:t>A</w:t>
      </w:r>
      <w:r>
        <w:t>1</w:t>
      </w:r>
      <w:r>
        <w:rPr>
          <w:rFonts w:hint="eastAsia"/>
        </w:rPr>
        <w:t>+建安工程部分审减金额（审减率10%（含）以内）</w:t>
      </w:r>
      <w:bookmarkStart w:id="45" w:name="OLE_LINK39"/>
      <w:bookmarkStart w:id="46" w:name="OLE_LINK38"/>
      <w:r>
        <w:rPr>
          <w:rFonts w:hint="eastAsia"/>
        </w:rPr>
        <w:t>×B</w:t>
      </w:r>
      <w:r>
        <w:t>1</w:t>
      </w:r>
      <w:bookmarkEnd w:id="45"/>
      <w:bookmarkEnd w:id="46"/>
      <w:r>
        <w:t>+</w:t>
      </w:r>
      <w:r>
        <w:rPr>
          <w:rFonts w:hint="eastAsia"/>
        </w:rPr>
        <w:t>建安工程部分审减金额审减金额（审减率10%以上部分）×B</w:t>
      </w:r>
      <w:r>
        <w:t>2</w:t>
      </w:r>
    </w:p>
    <w:p>
      <w:pPr>
        <w:pStyle w:val="83"/>
        <w:ind w:firstLine="480"/>
      </w:pPr>
      <w:r>
        <w:rPr>
          <w:rFonts w:hint="eastAsia"/>
        </w:rPr>
        <w:t>待摊投资部分财务审查费用=待摊投资送审金额×A</w:t>
      </w:r>
      <w:r>
        <w:t>2</w:t>
      </w:r>
    </w:p>
    <w:p>
      <w:pPr>
        <w:pStyle w:val="83"/>
        <w:ind w:firstLine="480"/>
      </w:pPr>
      <w:r>
        <w:t>2</w:t>
      </w:r>
      <w:r>
        <w:rPr>
          <w:rFonts w:hint="eastAsia"/>
        </w:rPr>
        <w:t>、合同</w:t>
      </w:r>
      <w:r>
        <w:t>最终</w:t>
      </w:r>
      <w:r>
        <w:rPr>
          <w:rFonts w:hint="eastAsia"/>
        </w:rPr>
        <w:t>结算时按照成交费率计算，合同最终</w:t>
      </w:r>
      <w:r>
        <w:t>结算金额</w:t>
      </w:r>
      <w:r>
        <w:rPr>
          <w:rFonts w:hint="eastAsia"/>
        </w:rPr>
        <w:t>在限价内据实结算，超过最高限价按限价结算</w:t>
      </w:r>
    </w:p>
    <w:p>
      <w:pPr>
        <w:pStyle w:val="83"/>
        <w:ind w:firstLine="480"/>
      </w:pPr>
      <w:r>
        <w:t>3</w:t>
      </w:r>
      <w:r>
        <w:rPr>
          <w:rFonts w:hint="eastAsia"/>
        </w:rPr>
        <w:t>、本项目</w:t>
      </w:r>
      <w:r>
        <w:t>费率最高</w:t>
      </w:r>
      <w:r>
        <w:rPr>
          <w:rFonts w:hint="eastAsia"/>
        </w:rPr>
        <w:t>限价</w:t>
      </w:r>
      <w:r>
        <w:t>如下</w:t>
      </w:r>
      <w:r>
        <w:rPr>
          <w:rFonts w:hint="eastAsia"/>
        </w:rPr>
        <w:t>表，</w:t>
      </w:r>
      <w:r>
        <w:t>超过最高限价</w:t>
      </w:r>
      <w:r>
        <w:rPr>
          <w:rFonts w:hint="eastAsia"/>
        </w:rPr>
        <w:t>响应</w:t>
      </w:r>
      <w:r>
        <w:t>无效。</w:t>
      </w:r>
    </w:p>
    <w:tbl>
      <w:tblPr>
        <w:tblStyle w:val="26"/>
        <w:tblW w:w="9483" w:type="dxa"/>
        <w:tblInd w:w="0" w:type="dxa"/>
        <w:tblLayout w:type="fixed"/>
        <w:tblCellMar>
          <w:top w:w="0" w:type="dxa"/>
          <w:left w:w="108" w:type="dxa"/>
          <w:bottom w:w="0" w:type="dxa"/>
          <w:right w:w="108" w:type="dxa"/>
        </w:tblCellMar>
      </w:tblPr>
      <w:tblGrid>
        <w:gridCol w:w="720"/>
        <w:gridCol w:w="1827"/>
        <w:gridCol w:w="2268"/>
        <w:gridCol w:w="2425"/>
        <w:gridCol w:w="2243"/>
      </w:tblGrid>
      <w:tr>
        <w:tblPrEx>
          <w:tblCellMar>
            <w:top w:w="0" w:type="dxa"/>
            <w:left w:w="108" w:type="dxa"/>
            <w:bottom w:w="0" w:type="dxa"/>
            <w:right w:w="108" w:type="dxa"/>
          </w:tblCellMar>
        </w:tblPrEx>
        <w:trPr>
          <w:trHeight w:val="49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b/>
                <w:bCs/>
                <w:color w:val="000000"/>
                <w:sz w:val="22"/>
              </w:rPr>
            </w:pPr>
            <w:r>
              <w:rPr>
                <w:rFonts w:hint="eastAsia" w:ascii="宋体" w:hAnsi="宋体" w:eastAsia="宋体" w:cs="宋体"/>
                <w:b/>
                <w:bCs/>
                <w:color w:val="000000"/>
                <w:sz w:val="22"/>
              </w:rPr>
              <w:t>序号</w:t>
            </w:r>
          </w:p>
        </w:tc>
        <w:tc>
          <w:tcPr>
            <w:tcW w:w="18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b/>
                <w:bCs/>
                <w:color w:val="000000"/>
                <w:sz w:val="22"/>
              </w:rPr>
            </w:pPr>
            <w:r>
              <w:rPr>
                <w:rFonts w:hint="eastAsia" w:ascii="宋体" w:hAnsi="宋体" w:eastAsia="宋体" w:cs="宋体"/>
                <w:b/>
                <w:bCs/>
                <w:color w:val="000000"/>
                <w:sz w:val="22"/>
              </w:rPr>
              <w:t>项目</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b/>
                <w:bCs/>
                <w:color w:val="000000"/>
                <w:sz w:val="22"/>
              </w:rPr>
            </w:pPr>
            <w:r>
              <w:rPr>
                <w:rFonts w:hint="eastAsia" w:ascii="宋体" w:hAnsi="宋体" w:eastAsia="宋体" w:cs="宋体"/>
                <w:b/>
                <w:bCs/>
                <w:color w:val="000000"/>
                <w:sz w:val="22"/>
              </w:rPr>
              <w:t>审核费率</w:t>
            </w:r>
            <w:bookmarkStart w:id="47" w:name="OLE_LINK36"/>
            <w:bookmarkStart w:id="48" w:name="OLE_LINK37"/>
            <w:r>
              <w:rPr>
                <w:rFonts w:hint="eastAsia" w:ascii="宋体" w:hAnsi="宋体" w:eastAsia="宋体" w:cs="宋体"/>
                <w:b/>
                <w:bCs/>
                <w:color w:val="000000"/>
                <w:sz w:val="22"/>
              </w:rPr>
              <w:t>最高</w:t>
            </w:r>
            <w:r>
              <w:rPr>
                <w:rFonts w:ascii="宋体" w:hAnsi="宋体" w:eastAsia="宋体" w:cs="宋体"/>
                <w:b/>
                <w:bCs/>
                <w:color w:val="000000"/>
                <w:sz w:val="22"/>
              </w:rPr>
              <w:t>限价</w:t>
            </w:r>
            <w:bookmarkEnd w:id="47"/>
            <w:bookmarkEnd w:id="48"/>
            <w:r>
              <w:rPr>
                <w:rFonts w:hint="eastAsia" w:ascii="宋体" w:hAnsi="宋体" w:eastAsia="宋体" w:cs="宋体"/>
                <w:b/>
                <w:bCs/>
                <w:color w:val="000000"/>
                <w:sz w:val="22"/>
              </w:rPr>
              <w:t>（百分比）A</w:t>
            </w:r>
          </w:p>
        </w:tc>
        <w:tc>
          <w:tcPr>
            <w:tcW w:w="4668"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000000"/>
                <w:sz w:val="22"/>
              </w:rPr>
            </w:pPr>
            <w:r>
              <w:rPr>
                <w:rFonts w:hint="eastAsia" w:ascii="宋体" w:hAnsi="宋体" w:eastAsia="宋体" w:cs="宋体"/>
                <w:b/>
                <w:bCs/>
                <w:color w:val="000000"/>
                <w:sz w:val="22"/>
              </w:rPr>
              <w:t>审减费率最高</w:t>
            </w:r>
            <w:r>
              <w:rPr>
                <w:rFonts w:ascii="宋体" w:hAnsi="宋体" w:eastAsia="宋体" w:cs="宋体"/>
                <w:b/>
                <w:bCs/>
                <w:color w:val="000000"/>
                <w:sz w:val="22"/>
              </w:rPr>
              <w:t>限价</w:t>
            </w:r>
            <w:r>
              <w:rPr>
                <w:rFonts w:hint="eastAsia" w:ascii="宋体" w:hAnsi="宋体" w:eastAsia="宋体" w:cs="宋体"/>
                <w:b/>
                <w:bCs/>
                <w:color w:val="000000"/>
                <w:sz w:val="22"/>
              </w:rPr>
              <w:t>（百分比）</w:t>
            </w:r>
          </w:p>
        </w:tc>
      </w:tr>
      <w:tr>
        <w:tblPrEx>
          <w:tblCellMar>
            <w:top w:w="0" w:type="dxa"/>
            <w:left w:w="108" w:type="dxa"/>
            <w:bottom w:w="0" w:type="dxa"/>
            <w:right w:w="108" w:type="dxa"/>
          </w:tblCellMar>
        </w:tblPrEx>
        <w:trPr>
          <w:trHeight w:val="49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18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2"/>
              </w:rPr>
            </w:pPr>
          </w:p>
        </w:tc>
        <w:tc>
          <w:tcPr>
            <w:tcW w:w="24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000000"/>
                <w:sz w:val="22"/>
              </w:rPr>
            </w:pPr>
            <w:r>
              <w:rPr>
                <w:rFonts w:hint="eastAsia" w:ascii="宋体" w:hAnsi="宋体" w:eastAsia="宋体" w:cs="宋体"/>
                <w:b/>
                <w:bCs/>
                <w:color w:val="000000"/>
                <w:sz w:val="22"/>
              </w:rPr>
              <w:t>审减率10%（含）以内</w:t>
            </w:r>
          </w:p>
          <w:p>
            <w:pPr>
              <w:jc w:val="center"/>
              <w:rPr>
                <w:rFonts w:ascii="宋体" w:hAnsi="宋体" w:eastAsia="宋体" w:cs="宋体"/>
                <w:b/>
                <w:bCs/>
                <w:color w:val="000000"/>
                <w:sz w:val="22"/>
              </w:rPr>
            </w:pPr>
            <w:r>
              <w:rPr>
                <w:rFonts w:hint="eastAsia" w:ascii="宋体" w:hAnsi="宋体" w:eastAsia="宋体" w:cs="宋体"/>
                <w:b/>
                <w:bCs/>
                <w:color w:val="000000"/>
                <w:sz w:val="22"/>
              </w:rPr>
              <w:t>审减费率</w:t>
            </w:r>
            <w:r>
              <w:rPr>
                <w:rFonts w:hint="eastAsia" w:ascii="宋体" w:hAnsi="宋体" w:eastAsia="宋体" w:cs="宋体"/>
                <w:b/>
                <w:bCs/>
                <w:color w:val="FF0000"/>
                <w:sz w:val="22"/>
              </w:rPr>
              <w:t>B1</w:t>
            </w:r>
          </w:p>
        </w:tc>
        <w:tc>
          <w:tcPr>
            <w:tcW w:w="2243"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bCs/>
                <w:color w:val="000000"/>
                <w:sz w:val="22"/>
              </w:rPr>
            </w:pPr>
            <w:r>
              <w:rPr>
                <w:rFonts w:hint="eastAsia" w:ascii="宋体" w:hAnsi="宋体" w:eastAsia="宋体" w:cs="宋体"/>
                <w:b/>
                <w:bCs/>
                <w:color w:val="000000"/>
                <w:sz w:val="22"/>
              </w:rPr>
              <w:t>审减率10%以上</w:t>
            </w:r>
          </w:p>
          <w:p>
            <w:pPr>
              <w:jc w:val="center"/>
              <w:rPr>
                <w:rFonts w:ascii="宋体" w:hAnsi="宋体" w:eastAsia="宋体" w:cs="宋体"/>
                <w:b/>
                <w:bCs/>
                <w:color w:val="000000"/>
                <w:sz w:val="22"/>
              </w:rPr>
            </w:pPr>
            <w:r>
              <w:rPr>
                <w:rFonts w:hint="eastAsia" w:ascii="宋体" w:hAnsi="宋体" w:eastAsia="宋体" w:cs="宋体"/>
                <w:b/>
                <w:bCs/>
                <w:color w:val="000000"/>
                <w:sz w:val="22"/>
              </w:rPr>
              <w:t>审减费率</w:t>
            </w:r>
            <w:r>
              <w:rPr>
                <w:rFonts w:hint="eastAsia" w:ascii="宋体" w:hAnsi="宋体" w:eastAsia="宋体" w:cs="宋体"/>
                <w:b/>
                <w:bCs/>
                <w:color w:val="FF0000"/>
                <w:sz w:val="22"/>
              </w:rPr>
              <w:t>B2</w:t>
            </w:r>
          </w:p>
        </w:tc>
      </w:tr>
      <w:tr>
        <w:tblPrEx>
          <w:tblCellMar>
            <w:top w:w="0" w:type="dxa"/>
            <w:left w:w="108" w:type="dxa"/>
            <w:bottom w:w="0" w:type="dxa"/>
            <w:right w:w="108" w:type="dxa"/>
          </w:tblCellMar>
        </w:tblPrEx>
        <w:trPr>
          <w:trHeight w:val="499"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1</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建设工程部分结算审查</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0.03</w:t>
            </w:r>
            <w:r>
              <w:rPr>
                <w:rFonts w:hint="eastAsia" w:ascii="宋体" w:hAnsi="宋体" w:eastAsia="宋体" w:cs="宋体"/>
                <w:b/>
                <w:bCs/>
                <w:color w:val="FF0000"/>
                <w:sz w:val="22"/>
              </w:rPr>
              <w:t>（A</w:t>
            </w:r>
            <w:r>
              <w:rPr>
                <w:rFonts w:ascii="宋体" w:hAnsi="宋体" w:eastAsia="宋体" w:cs="宋体"/>
                <w:b/>
                <w:bCs/>
                <w:color w:val="FF0000"/>
                <w:sz w:val="22"/>
              </w:rPr>
              <w:t>1</w:t>
            </w:r>
            <w:r>
              <w:rPr>
                <w:rFonts w:hint="eastAsia" w:ascii="宋体" w:hAnsi="宋体" w:eastAsia="宋体" w:cs="宋体"/>
                <w:b/>
                <w:bCs/>
                <w:color w:val="FF0000"/>
                <w:sz w:val="22"/>
              </w:rPr>
              <w:t>）</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0.2</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0.12</w:t>
            </w:r>
          </w:p>
        </w:tc>
      </w:tr>
      <w:tr>
        <w:tblPrEx>
          <w:tblCellMar>
            <w:top w:w="0" w:type="dxa"/>
            <w:left w:w="108" w:type="dxa"/>
            <w:bottom w:w="0" w:type="dxa"/>
            <w:right w:w="108" w:type="dxa"/>
          </w:tblCellMar>
        </w:tblPrEx>
        <w:trPr>
          <w:trHeight w:val="499"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2</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待摊投资部分财务审查</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0.01</w:t>
            </w:r>
            <w:r>
              <w:rPr>
                <w:rFonts w:ascii="宋体" w:hAnsi="宋体" w:eastAsia="宋体" w:cs="宋体"/>
                <w:color w:val="000000"/>
                <w:sz w:val="22"/>
              </w:rPr>
              <w:t>3</w:t>
            </w:r>
            <w:r>
              <w:rPr>
                <w:rFonts w:hint="eastAsia" w:ascii="宋体" w:hAnsi="宋体" w:eastAsia="宋体" w:cs="宋体"/>
                <w:color w:val="000000"/>
                <w:sz w:val="22"/>
              </w:rPr>
              <w:t>（</w:t>
            </w:r>
            <w:r>
              <w:rPr>
                <w:rFonts w:hint="eastAsia" w:ascii="宋体" w:hAnsi="宋体" w:eastAsia="宋体" w:cs="宋体"/>
                <w:b/>
                <w:bCs/>
                <w:color w:val="FF0000"/>
                <w:sz w:val="22"/>
              </w:rPr>
              <w:t>A2</w:t>
            </w:r>
            <w:r>
              <w:rPr>
                <w:rFonts w:hint="eastAsia" w:ascii="宋体" w:hAnsi="宋体" w:eastAsia="宋体" w:cs="宋体"/>
                <w:color w:val="000000"/>
                <w:sz w:val="22"/>
              </w:rPr>
              <w:t>）</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w:t>
            </w:r>
          </w:p>
        </w:tc>
        <w:tc>
          <w:tcPr>
            <w:tcW w:w="22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w:t>
            </w:r>
          </w:p>
        </w:tc>
      </w:tr>
    </w:tbl>
    <w:p>
      <w:pPr>
        <w:pStyle w:val="4"/>
        <w:ind w:firstLine="482"/>
      </w:pPr>
      <w:r>
        <w:rPr>
          <w:rFonts w:hint="eastAsia"/>
        </w:rPr>
        <w:t>（二）磋商报价填报</w:t>
      </w:r>
      <w:r>
        <w:t>说明</w:t>
      </w:r>
    </w:p>
    <w:p>
      <w:pPr>
        <w:pStyle w:val="83"/>
        <w:ind w:firstLine="480"/>
      </w:pPr>
      <w:r>
        <w:rPr>
          <w:rFonts w:hint="eastAsia"/>
        </w:rPr>
        <w:t>1.</w:t>
      </w:r>
      <w:bookmarkStart w:id="49" w:name="OLE_LINK47"/>
      <w:bookmarkStart w:id="50" w:name="OLE_LINK46"/>
      <w:r>
        <w:rPr>
          <w:rFonts w:hint="eastAsia"/>
        </w:rPr>
        <w:t>磋商报价</w:t>
      </w:r>
      <w:r>
        <w:t>时</w:t>
      </w:r>
      <w:r>
        <w:rPr>
          <w:rFonts w:hint="eastAsia"/>
        </w:rPr>
        <w:t>统一按建安工程投资送审金额审减率15%填报，仅</w:t>
      </w:r>
      <w:r>
        <w:t>作为计算价格分的依据。</w:t>
      </w:r>
    </w:p>
    <w:p>
      <w:pPr>
        <w:pStyle w:val="83"/>
        <w:ind w:firstLine="480"/>
      </w:pPr>
      <w:r>
        <w:rPr>
          <w:rFonts w:hint="eastAsia"/>
        </w:rPr>
        <w:t>即磋商</w:t>
      </w:r>
      <w:r>
        <w:t>报价</w:t>
      </w:r>
      <w:r>
        <w:rPr>
          <w:rFonts w:hint="eastAsia"/>
        </w:rPr>
        <w:t>=【建安工程投资送审金额×A</w:t>
      </w:r>
      <w:r>
        <w:t>1</w:t>
      </w:r>
      <w:r>
        <w:rPr>
          <w:rFonts w:hint="eastAsia"/>
        </w:rPr>
        <w:t>+建安工程投资送审金额×10%×B</w:t>
      </w:r>
      <w:r>
        <w:t>1+</w:t>
      </w:r>
      <w:r>
        <w:rPr>
          <w:rFonts w:hint="eastAsia"/>
        </w:rPr>
        <w:t>建建安工程投资送审金额×</w:t>
      </w:r>
      <w:r>
        <w:t>5</w:t>
      </w:r>
      <w:r>
        <w:rPr>
          <w:rFonts w:hint="eastAsia"/>
        </w:rPr>
        <w:t>%×B</w:t>
      </w:r>
      <w:r>
        <w:t>2</w:t>
      </w:r>
      <w:r>
        <w:rPr>
          <w:rFonts w:hint="eastAsia"/>
        </w:rPr>
        <w:t>】+待摊投资送审金额×A</w:t>
      </w:r>
      <w:r>
        <w:t>2</w:t>
      </w:r>
    </w:p>
    <w:bookmarkEnd w:id="49"/>
    <w:bookmarkEnd w:id="50"/>
    <w:p>
      <w:pPr>
        <w:pStyle w:val="83"/>
        <w:ind w:firstLine="480"/>
      </w:pPr>
      <w:r>
        <w:rPr>
          <w:rFonts w:hint="eastAsia"/>
        </w:rPr>
        <w:t>2.</w:t>
      </w:r>
      <w:r>
        <w:t xml:space="preserve"> </w:t>
      </w:r>
      <w:r>
        <w:rPr>
          <w:rFonts w:hint="eastAsia"/>
        </w:rPr>
        <w:t>供应商按照自身情况进行报价，所报费率不得超过费率最高限价，总报价不得超过采购包预算。</w:t>
      </w:r>
    </w:p>
    <w:p>
      <w:pPr>
        <w:pStyle w:val="83"/>
        <w:ind w:firstLine="480"/>
      </w:pPr>
      <w:r>
        <w:t>3.报价及费率均保留两位小数。</w:t>
      </w:r>
    </w:p>
    <w:p>
      <w:pPr>
        <w:pStyle w:val="83"/>
        <w:ind w:firstLine="480"/>
      </w:pPr>
    </w:p>
    <w:p>
      <w:pPr>
        <w:pStyle w:val="83"/>
        <w:ind w:firstLine="0" w:firstLineChars="0"/>
      </w:pPr>
    </w:p>
    <w:p>
      <w:pPr>
        <w:pStyle w:val="83"/>
        <w:ind w:firstLine="0" w:firstLineChars="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2"/>
        <w:spacing w:before="230" w:after="230"/>
        <w:rPr>
          <w:color w:val="C00000"/>
        </w:rPr>
      </w:pPr>
      <w:bookmarkStart w:id="51" w:name="_Toc212455740"/>
      <w:bookmarkStart w:id="52" w:name="_Toc224555752"/>
      <w:r>
        <w:rPr>
          <w:rFonts w:hint="eastAsia"/>
        </w:rPr>
        <w:t>第四章　合同草案条款</w:t>
      </w:r>
      <w:bookmarkEnd w:id="51"/>
      <w:bookmarkEnd w:id="52"/>
    </w:p>
    <w:p>
      <w:pPr>
        <w:snapToGrid w:val="0"/>
        <w:spacing w:before="120" w:line="360" w:lineRule="auto"/>
        <w:textAlignment w:val="baseline"/>
        <w:rPr>
          <w:rFonts w:cstheme="minorHAnsi"/>
          <w:sz w:val="30"/>
          <w:szCs w:val="30"/>
        </w:rPr>
      </w:pPr>
      <w:r>
        <w:rPr>
          <w:rFonts w:hint="eastAsia" w:cstheme="minorHAnsi"/>
          <w:sz w:val="30"/>
          <w:szCs w:val="30"/>
        </w:rPr>
        <w:t>合同编号：</w:t>
      </w:r>
    </w:p>
    <w:p>
      <w:pPr>
        <w:spacing w:line="520" w:lineRule="exact"/>
        <w:jc w:val="center"/>
        <w:rPr>
          <w:rFonts w:ascii="宋体" w:hAnsi="宋体"/>
          <w:b/>
          <w:bCs/>
          <w:kern w:val="44"/>
          <w:sz w:val="44"/>
          <w:szCs w:val="44"/>
        </w:rPr>
      </w:pPr>
    </w:p>
    <w:p>
      <w:pPr>
        <w:spacing w:line="520" w:lineRule="exact"/>
        <w:jc w:val="center"/>
        <w:rPr>
          <w:rFonts w:ascii="宋体" w:hAnsi="宋体"/>
          <w:b/>
          <w:bCs/>
          <w:kern w:val="44"/>
          <w:sz w:val="44"/>
          <w:szCs w:val="44"/>
        </w:rPr>
      </w:pPr>
    </w:p>
    <w:p>
      <w:pPr>
        <w:jc w:val="center"/>
        <w:rPr>
          <w:rFonts w:cstheme="minorHAnsi"/>
          <w:b/>
          <w:bCs/>
          <w:sz w:val="28"/>
          <w:szCs w:val="28"/>
        </w:rPr>
      </w:pPr>
    </w:p>
    <w:p>
      <w:pPr>
        <w:spacing w:line="520" w:lineRule="exact"/>
        <w:jc w:val="center"/>
        <w:rPr>
          <w:rFonts w:cstheme="minorHAnsi"/>
          <w:sz w:val="44"/>
          <w:szCs w:val="44"/>
        </w:rPr>
      </w:pPr>
      <w:r>
        <w:rPr>
          <w:rFonts w:cstheme="minorHAnsi"/>
          <w:sz w:val="36"/>
        </w:rPr>
        <w:t>_____________________</w:t>
      </w:r>
      <w:r>
        <w:rPr>
          <w:rFonts w:hint="eastAsia" w:cstheme="minorHAnsi"/>
          <w:sz w:val="44"/>
          <w:szCs w:val="44"/>
        </w:rPr>
        <w:t>咨询服务合同</w:t>
      </w:r>
    </w:p>
    <w:p>
      <w:pPr>
        <w:spacing w:line="520" w:lineRule="exact"/>
        <w:jc w:val="center"/>
        <w:rPr>
          <w:rFonts w:cstheme="minorHAnsi"/>
          <w:sz w:val="28"/>
          <w:szCs w:val="28"/>
        </w:rPr>
      </w:pPr>
    </w:p>
    <w:p>
      <w:pPr>
        <w:spacing w:line="520" w:lineRule="exact"/>
        <w:jc w:val="center"/>
        <w:rPr>
          <w:rFonts w:ascii="宋体" w:hAnsi="宋体"/>
          <w:b/>
          <w:bCs/>
          <w:kern w:val="44"/>
          <w:sz w:val="44"/>
          <w:szCs w:val="44"/>
        </w:rPr>
      </w:pPr>
    </w:p>
    <w:p>
      <w:pPr>
        <w:spacing w:line="520" w:lineRule="exact"/>
        <w:jc w:val="center"/>
        <w:rPr>
          <w:rFonts w:ascii="宋体" w:hAnsi="宋体"/>
          <w:b/>
          <w:bCs/>
          <w:kern w:val="44"/>
          <w:sz w:val="44"/>
          <w:szCs w:val="44"/>
        </w:rPr>
      </w:pPr>
    </w:p>
    <w:p>
      <w:pPr>
        <w:spacing w:line="520" w:lineRule="exact"/>
        <w:rPr>
          <w:rFonts w:ascii="宋体" w:hAnsi="宋体"/>
          <w:b/>
          <w:bCs/>
          <w:kern w:val="44"/>
          <w:sz w:val="44"/>
          <w:szCs w:val="44"/>
        </w:rPr>
      </w:pPr>
    </w:p>
    <w:p>
      <w:pPr>
        <w:spacing w:line="520" w:lineRule="exact"/>
        <w:rPr>
          <w:rFonts w:ascii="宋体" w:hAnsi="宋体"/>
          <w:b/>
          <w:bCs/>
          <w:kern w:val="44"/>
          <w:sz w:val="44"/>
          <w:szCs w:val="44"/>
        </w:rPr>
      </w:pPr>
    </w:p>
    <w:p>
      <w:pPr>
        <w:spacing w:line="520" w:lineRule="exact"/>
        <w:rPr>
          <w:rFonts w:ascii="宋体" w:hAnsi="宋体"/>
          <w:b/>
          <w:bCs/>
          <w:kern w:val="44"/>
          <w:sz w:val="44"/>
          <w:szCs w:val="44"/>
        </w:rPr>
      </w:pPr>
    </w:p>
    <w:p>
      <w:pPr>
        <w:spacing w:line="520" w:lineRule="exact"/>
        <w:rPr>
          <w:rFonts w:ascii="宋体" w:hAnsi="宋体"/>
          <w:kern w:val="44"/>
          <w:sz w:val="30"/>
          <w:szCs w:val="30"/>
        </w:rPr>
      </w:pPr>
    </w:p>
    <w:p>
      <w:pPr>
        <w:spacing w:line="520" w:lineRule="exact"/>
        <w:rPr>
          <w:rFonts w:ascii="宋体" w:hAnsi="宋体"/>
          <w:kern w:val="44"/>
          <w:sz w:val="30"/>
          <w:szCs w:val="30"/>
        </w:rPr>
      </w:pPr>
    </w:p>
    <w:p>
      <w:pPr>
        <w:pStyle w:val="15"/>
        <w:spacing w:after="460"/>
        <w:ind w:left="1680" w:right="480" w:hanging="1200"/>
        <w:rPr>
          <w:rFonts w:hAnsi="宋体"/>
          <w:kern w:val="44"/>
          <w:sz w:val="30"/>
          <w:szCs w:val="30"/>
        </w:rPr>
      </w:pPr>
    </w:p>
    <w:p>
      <w:pPr>
        <w:pStyle w:val="15"/>
        <w:spacing w:after="460"/>
        <w:ind w:left="1680" w:right="480" w:hanging="1200"/>
        <w:rPr>
          <w:rFonts w:hAnsi="宋体"/>
          <w:kern w:val="44"/>
          <w:sz w:val="30"/>
          <w:szCs w:val="30"/>
        </w:rPr>
      </w:pPr>
    </w:p>
    <w:p>
      <w:pPr>
        <w:pStyle w:val="25"/>
        <w:ind w:left="480" w:firstLine="600"/>
        <w:rPr>
          <w:kern w:val="44"/>
          <w:sz w:val="30"/>
          <w:szCs w:val="30"/>
        </w:rPr>
      </w:pPr>
    </w:p>
    <w:p>
      <w:pPr>
        <w:pStyle w:val="104"/>
        <w:ind w:firstLine="561"/>
      </w:pPr>
    </w:p>
    <w:p>
      <w:pPr>
        <w:spacing w:line="520" w:lineRule="exact"/>
        <w:jc w:val="center"/>
        <w:rPr>
          <w:rFonts w:cstheme="minorHAnsi"/>
          <w:sz w:val="32"/>
          <w:szCs w:val="32"/>
        </w:rPr>
      </w:pPr>
      <w:r>
        <w:rPr>
          <w:rFonts w:cstheme="minorHAnsi"/>
          <w:sz w:val="32"/>
          <w:szCs w:val="32"/>
        </w:rPr>
        <w:t>甲方：西安市财政投资评审中心</w:t>
      </w:r>
    </w:p>
    <w:p>
      <w:pPr>
        <w:spacing w:line="520" w:lineRule="exact"/>
        <w:ind w:firstLine="2240" w:firstLineChars="700"/>
        <w:rPr>
          <w:rFonts w:cstheme="minorHAnsi"/>
          <w:sz w:val="32"/>
          <w:szCs w:val="32"/>
        </w:rPr>
      </w:pPr>
      <w:r>
        <w:rPr>
          <w:rFonts w:cstheme="minorHAnsi"/>
          <w:sz w:val="32"/>
          <w:szCs w:val="32"/>
        </w:rPr>
        <w:t xml:space="preserve">乙方：____________________  </w:t>
      </w:r>
    </w:p>
    <w:p>
      <w:pPr>
        <w:spacing w:line="520" w:lineRule="exact"/>
        <w:jc w:val="center"/>
        <w:rPr>
          <w:rFonts w:cstheme="minorHAnsi"/>
          <w:sz w:val="32"/>
          <w:szCs w:val="32"/>
        </w:rPr>
      </w:pPr>
      <w:r>
        <w:rPr>
          <w:rFonts w:cstheme="minorHAnsi"/>
          <w:sz w:val="32"/>
          <w:szCs w:val="32"/>
        </w:rPr>
        <w:t>签署日期：____年____月____日</w:t>
      </w:r>
      <w:r>
        <w:rPr>
          <w:rFonts w:cstheme="minorHAnsi"/>
          <w:sz w:val="32"/>
          <w:szCs w:val="32"/>
        </w:rPr>
        <w:br w:type="page"/>
      </w:r>
    </w:p>
    <w:p>
      <w:pPr>
        <w:spacing w:line="480" w:lineRule="auto"/>
        <w:jc w:val="center"/>
        <w:rPr>
          <w:rFonts w:cstheme="minorHAnsi"/>
          <w:b/>
          <w:sz w:val="30"/>
          <w:szCs w:val="30"/>
        </w:rPr>
      </w:pPr>
      <w:r>
        <w:rPr>
          <w:rFonts w:hint="eastAsia" w:cstheme="minorHAnsi"/>
          <w:b/>
          <w:sz w:val="30"/>
          <w:szCs w:val="30"/>
        </w:rPr>
        <w:t>采购合同及主要条款</w:t>
      </w:r>
    </w:p>
    <w:p>
      <w:pPr>
        <w:pStyle w:val="106"/>
        <w:snapToGrid w:val="0"/>
        <w:ind w:left="3059" w:firstLineChars="0"/>
        <w:rPr>
          <w:rStyle w:val="105"/>
          <w:rFonts w:ascii="仿宋" w:hAnsi="仿宋" w:eastAsia="仿宋" w:cs="仿宋"/>
          <w:color w:val="000000"/>
          <w:lang w:val="zh-CN"/>
        </w:rPr>
      </w:pPr>
    </w:p>
    <w:p>
      <w:pPr>
        <w:snapToGrid w:val="0"/>
        <w:spacing w:line="480" w:lineRule="auto"/>
        <w:ind w:firstLine="360" w:firstLineChars="150"/>
        <w:rPr>
          <w:rFonts w:ascii="Calibri" w:hAnsi="Calibri" w:eastAsia="宋体" w:cstheme="minorHAnsi"/>
          <w:kern w:val="24"/>
        </w:rPr>
      </w:pPr>
      <w:r>
        <w:rPr>
          <w:rFonts w:hint="eastAsia" w:ascii="Calibri" w:hAnsi="Calibri" w:eastAsia="宋体" w:cstheme="minorHAnsi"/>
          <w:kern w:val="24"/>
        </w:rPr>
        <w:t>甲方：西安市财政投资评审中心</w:t>
      </w:r>
    </w:p>
    <w:p>
      <w:pPr>
        <w:snapToGrid w:val="0"/>
        <w:spacing w:line="480" w:lineRule="auto"/>
        <w:ind w:firstLine="360" w:firstLineChars="150"/>
        <w:rPr>
          <w:rFonts w:ascii="Calibri" w:hAnsi="Calibri" w:eastAsia="宋体" w:cstheme="minorHAnsi"/>
          <w:kern w:val="24"/>
        </w:rPr>
      </w:pPr>
      <w:r>
        <w:rPr>
          <w:rFonts w:hint="eastAsia" w:ascii="Calibri" w:hAnsi="Calibri" w:eastAsia="宋体" w:cstheme="minorHAnsi"/>
          <w:kern w:val="24"/>
        </w:rPr>
        <w:t>乙方：</w:t>
      </w:r>
      <w:r>
        <w:rPr>
          <w:rFonts w:ascii="Calibri" w:hAnsi="Calibri" w:eastAsia="宋体" w:cstheme="minorHAnsi"/>
          <w:color w:val="000000"/>
          <w:kern w:val="24"/>
        </w:rPr>
        <w:t>_______________</w:t>
      </w:r>
    </w:p>
    <w:p>
      <w:pPr>
        <w:pStyle w:val="83"/>
        <w:ind w:firstLine="480"/>
      </w:pPr>
      <w:r>
        <w:rPr>
          <w:rFonts w:hint="eastAsia"/>
        </w:rPr>
        <w:t>根据《中华人民共和国民法典》及其他有关法律、法规，遵循平等、自愿、公平和诚信的原则，双方就下述项目范围与相关服务事项协商一致，订立本合同。</w:t>
      </w:r>
    </w:p>
    <w:p>
      <w:pPr>
        <w:pStyle w:val="83"/>
        <w:ind w:firstLine="482"/>
        <w:rPr>
          <w:b/>
        </w:rPr>
      </w:pPr>
      <w:bookmarkStart w:id="53" w:name="_Toc24878"/>
      <w:bookmarkStart w:id="54" w:name="_Toc32674"/>
      <w:bookmarkStart w:id="55" w:name="_Toc18394"/>
      <w:r>
        <w:rPr>
          <w:rFonts w:hint="eastAsia"/>
          <w:b/>
        </w:rPr>
        <w:t>一、项目概况</w:t>
      </w:r>
      <w:bookmarkEnd w:id="53"/>
      <w:bookmarkEnd w:id="54"/>
      <w:bookmarkEnd w:id="55"/>
    </w:p>
    <w:p>
      <w:pPr>
        <w:pStyle w:val="83"/>
        <w:ind w:firstLine="480"/>
      </w:pPr>
      <w:r>
        <w:rPr>
          <w:rFonts w:hint="eastAsia"/>
        </w:rPr>
        <w:t>项目名称：</w:t>
      </w:r>
    </w:p>
    <w:p>
      <w:pPr>
        <w:pStyle w:val="83"/>
        <w:ind w:firstLine="482"/>
        <w:rPr>
          <w:b/>
        </w:rPr>
      </w:pPr>
      <w:bookmarkStart w:id="56" w:name="_Toc17253"/>
      <w:bookmarkStart w:id="57" w:name="_Toc14865"/>
      <w:bookmarkStart w:id="58" w:name="_Toc29828"/>
      <w:r>
        <w:rPr>
          <w:rFonts w:hint="eastAsia"/>
          <w:b/>
        </w:rPr>
        <w:t>二、组成本合同的文件</w:t>
      </w:r>
      <w:bookmarkEnd w:id="56"/>
      <w:bookmarkEnd w:id="57"/>
      <w:bookmarkEnd w:id="58"/>
    </w:p>
    <w:p>
      <w:pPr>
        <w:pStyle w:val="83"/>
        <w:ind w:firstLine="480"/>
      </w:pPr>
      <w:r>
        <w:rPr>
          <w:rFonts w:hint="eastAsia"/>
        </w:rPr>
        <w:t>（一）成交通知书、磋商文件、响应文件、澄清、磋商文件补充文件；</w:t>
      </w:r>
    </w:p>
    <w:p>
      <w:pPr>
        <w:pStyle w:val="83"/>
        <w:ind w:firstLine="480"/>
      </w:pPr>
      <w:r>
        <w:rPr>
          <w:rFonts w:hint="eastAsia"/>
        </w:rPr>
        <w:t>（二）附件，即：附表内相关服务的范围和内容；</w:t>
      </w:r>
    </w:p>
    <w:p>
      <w:pPr>
        <w:pStyle w:val="83"/>
        <w:ind w:firstLine="480"/>
      </w:pPr>
      <w:r>
        <w:rPr>
          <w:rFonts w:hint="eastAsia"/>
        </w:rPr>
        <w:t>（三）本合同签订后，双方依法签订的补充协议也是本合同文件的组成部分。</w:t>
      </w:r>
    </w:p>
    <w:p>
      <w:pPr>
        <w:pStyle w:val="83"/>
        <w:ind w:firstLine="482"/>
        <w:rPr>
          <w:b/>
        </w:rPr>
      </w:pPr>
      <w:bookmarkStart w:id="59" w:name="_Toc23926"/>
      <w:bookmarkStart w:id="60" w:name="_Toc3731"/>
      <w:r>
        <w:rPr>
          <w:rFonts w:hint="eastAsia"/>
          <w:b/>
        </w:rPr>
        <w:t>三、服务</w:t>
      </w:r>
      <w:bookmarkEnd w:id="59"/>
      <w:r>
        <w:rPr>
          <w:rFonts w:hint="eastAsia"/>
          <w:b/>
        </w:rPr>
        <w:t>要求</w:t>
      </w:r>
      <w:bookmarkEnd w:id="60"/>
    </w:p>
    <w:p>
      <w:pPr>
        <w:pStyle w:val="83"/>
        <w:ind w:firstLine="480"/>
      </w:pPr>
      <w:r>
        <w:t>1.</w:t>
      </w:r>
      <w:r>
        <w:rPr>
          <w:rFonts w:hint="eastAsia"/>
        </w:rPr>
        <w:t>乙方严格按照投标时报送《拟派人员构成情况表》的要求向甲方提交项目负责人、项目组其他人员（每个专业不少于1人，且所有人员的资质、专业经验需符合甲方对本项目的专业要求）的身份证复印件、职称复印件、执业资格证复印件加盖公章报送甲方备案。</w:t>
      </w:r>
    </w:p>
    <w:p>
      <w:pPr>
        <w:spacing w:line="360" w:lineRule="auto"/>
        <w:ind w:firstLine="480" w:firstLineChars="200"/>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拟派人员构成情况表</w:t>
      </w:r>
    </w:p>
    <w:tbl>
      <w:tblPr>
        <w:tblStyle w:val="26"/>
        <w:tblW w:w="862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995"/>
        <w:gridCol w:w="709"/>
        <w:gridCol w:w="850"/>
        <w:gridCol w:w="990"/>
        <w:gridCol w:w="850"/>
        <w:gridCol w:w="915"/>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right"/>
        </w:trPr>
        <w:tc>
          <w:tcPr>
            <w:tcW w:w="988" w:type="dxa"/>
            <w:noWrap/>
            <w:vAlign w:val="center"/>
          </w:tcPr>
          <w:p>
            <w:pPr>
              <w:jc w:val="center"/>
              <w:rPr>
                <w:rFonts w:ascii="仿宋" w:hAnsi="仿宋" w:eastAsia="仿宋" w:cs="仿宋"/>
                <w:bCs/>
                <w:color w:val="000000" w:themeColor="text1"/>
                <w:sz w:val="21"/>
                <w:szCs w:val="2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姓名</w:t>
            </w:r>
          </w:p>
        </w:tc>
        <w:tc>
          <w:tcPr>
            <w:tcW w:w="995"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身份证号码</w:t>
            </w:r>
          </w:p>
        </w:tc>
        <w:tc>
          <w:tcPr>
            <w:tcW w:w="709" w:type="dxa"/>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职务</w:t>
            </w:r>
          </w:p>
        </w:tc>
        <w:tc>
          <w:tcPr>
            <w:tcW w:w="850"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职称</w:t>
            </w:r>
          </w:p>
        </w:tc>
        <w:tc>
          <w:tcPr>
            <w:tcW w:w="990"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执业证书</w:t>
            </w:r>
          </w:p>
        </w:tc>
        <w:tc>
          <w:tcPr>
            <w:tcW w:w="850"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从事</w:t>
            </w:r>
          </w:p>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专业</w:t>
            </w:r>
          </w:p>
        </w:tc>
        <w:tc>
          <w:tcPr>
            <w:tcW w:w="915"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从事专业年限</w:t>
            </w:r>
          </w:p>
        </w:tc>
        <w:tc>
          <w:tcPr>
            <w:tcW w:w="1339"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联系</w:t>
            </w:r>
          </w:p>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项目</w:t>
            </w:r>
          </w:p>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负责人</w:t>
            </w:r>
          </w:p>
        </w:tc>
        <w:tc>
          <w:tcPr>
            <w:tcW w:w="992" w:type="dxa"/>
            <w:noWrap/>
            <w:vAlign w:val="center"/>
          </w:tcPr>
          <w:p>
            <w:pPr>
              <w:jc w:val="center"/>
              <w:rPr>
                <w:rFonts w:ascii="Calibri" w:hAnsi="Calibri" w:eastAsia="宋体" w:cstheme="minorHAnsi"/>
                <w:color w:val="000000"/>
                <w:kern w:val="24"/>
                <w:sz w:val="21"/>
                <w:szCs w:val="21"/>
              </w:rPr>
            </w:pPr>
          </w:p>
        </w:tc>
        <w:tc>
          <w:tcPr>
            <w:tcW w:w="995" w:type="dxa"/>
            <w:noWrap/>
            <w:vAlign w:val="center"/>
          </w:tcPr>
          <w:p>
            <w:pPr>
              <w:jc w:val="center"/>
              <w:rPr>
                <w:rFonts w:ascii="Calibri" w:hAnsi="Calibri" w:eastAsia="宋体" w:cstheme="minorHAnsi"/>
                <w:color w:val="000000"/>
                <w:kern w:val="24"/>
                <w:sz w:val="21"/>
                <w:szCs w:val="21"/>
              </w:rPr>
            </w:pPr>
          </w:p>
        </w:tc>
        <w:tc>
          <w:tcPr>
            <w:tcW w:w="709" w:type="dxa"/>
            <w:vAlign w:val="center"/>
          </w:tcPr>
          <w:p>
            <w:pPr>
              <w:jc w:val="center"/>
              <w:rPr>
                <w:rFonts w:ascii="Calibri" w:hAnsi="Calibri" w:eastAsia="宋体" w:cstheme="minorHAnsi"/>
                <w:color w:val="000000"/>
                <w:kern w:val="24"/>
                <w:sz w:val="21"/>
                <w:szCs w:val="21"/>
              </w:rPr>
            </w:pPr>
          </w:p>
        </w:tc>
        <w:tc>
          <w:tcPr>
            <w:tcW w:w="850" w:type="dxa"/>
            <w:noWrap/>
            <w:vAlign w:val="center"/>
          </w:tcPr>
          <w:p>
            <w:pPr>
              <w:jc w:val="center"/>
              <w:rPr>
                <w:rFonts w:ascii="Calibri" w:hAnsi="Calibri" w:eastAsia="宋体" w:cstheme="minorHAnsi"/>
                <w:color w:val="000000"/>
                <w:kern w:val="24"/>
                <w:sz w:val="21"/>
                <w:szCs w:val="21"/>
              </w:rPr>
            </w:pPr>
          </w:p>
        </w:tc>
        <w:tc>
          <w:tcPr>
            <w:tcW w:w="990" w:type="dxa"/>
            <w:noWrap/>
            <w:vAlign w:val="center"/>
          </w:tcPr>
          <w:p>
            <w:pPr>
              <w:jc w:val="center"/>
              <w:rPr>
                <w:rFonts w:ascii="Calibri" w:hAnsi="Calibri" w:eastAsia="宋体" w:cstheme="minorHAnsi"/>
                <w:color w:val="000000"/>
                <w:kern w:val="24"/>
                <w:sz w:val="21"/>
                <w:szCs w:val="21"/>
              </w:rPr>
            </w:pPr>
          </w:p>
        </w:tc>
        <w:tc>
          <w:tcPr>
            <w:tcW w:w="850" w:type="dxa"/>
            <w:noWrap/>
            <w:vAlign w:val="center"/>
          </w:tcPr>
          <w:p>
            <w:pPr>
              <w:jc w:val="center"/>
              <w:rPr>
                <w:rFonts w:ascii="Calibri" w:hAnsi="Calibri" w:eastAsia="宋体" w:cstheme="minorHAnsi"/>
                <w:color w:val="000000"/>
                <w:kern w:val="24"/>
                <w:sz w:val="21"/>
                <w:szCs w:val="21"/>
              </w:rPr>
            </w:pPr>
          </w:p>
        </w:tc>
        <w:tc>
          <w:tcPr>
            <w:tcW w:w="915" w:type="dxa"/>
            <w:noWrap/>
            <w:vAlign w:val="center"/>
          </w:tcPr>
          <w:p>
            <w:pPr>
              <w:jc w:val="center"/>
              <w:rPr>
                <w:rFonts w:ascii="Calibri" w:hAnsi="Calibri" w:eastAsia="宋体" w:cstheme="minorHAnsi"/>
                <w:color w:val="000000"/>
                <w:kern w:val="24"/>
                <w:sz w:val="21"/>
                <w:szCs w:val="21"/>
              </w:rPr>
            </w:pPr>
          </w:p>
        </w:tc>
        <w:tc>
          <w:tcPr>
            <w:tcW w:w="1339" w:type="dxa"/>
            <w:noWrap/>
            <w:vAlign w:val="center"/>
          </w:tcPr>
          <w:p>
            <w:pPr>
              <w:jc w:val="center"/>
              <w:rPr>
                <w:rFonts w:ascii="Calibri" w:hAnsi="Calibri" w:eastAsia="宋体" w:cstheme="minorHAnsi"/>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restart"/>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审核项目组其他人员</w:t>
            </w:r>
          </w:p>
        </w:tc>
        <w:tc>
          <w:tcPr>
            <w:tcW w:w="992" w:type="dxa"/>
            <w:noWrap/>
            <w:vAlign w:val="center"/>
          </w:tcPr>
          <w:p>
            <w:pPr>
              <w:jc w:val="center"/>
              <w:rPr>
                <w:rFonts w:ascii="Calibri" w:hAnsi="Calibri" w:eastAsia="宋体" w:cstheme="minorHAnsi"/>
                <w:color w:val="000000"/>
                <w:kern w:val="24"/>
                <w:sz w:val="21"/>
                <w:szCs w:val="21"/>
              </w:rPr>
            </w:pPr>
          </w:p>
        </w:tc>
        <w:tc>
          <w:tcPr>
            <w:tcW w:w="995" w:type="dxa"/>
            <w:noWrap/>
            <w:vAlign w:val="center"/>
          </w:tcPr>
          <w:p>
            <w:pPr>
              <w:jc w:val="center"/>
              <w:rPr>
                <w:rFonts w:ascii="Calibri" w:hAnsi="Calibri" w:eastAsia="宋体" w:cstheme="minorHAnsi"/>
                <w:color w:val="000000"/>
                <w:kern w:val="24"/>
                <w:sz w:val="21"/>
                <w:szCs w:val="21"/>
              </w:rPr>
            </w:pPr>
          </w:p>
        </w:tc>
        <w:tc>
          <w:tcPr>
            <w:tcW w:w="709" w:type="dxa"/>
            <w:vAlign w:val="center"/>
          </w:tcPr>
          <w:p>
            <w:pPr>
              <w:jc w:val="center"/>
              <w:rPr>
                <w:rFonts w:ascii="Calibri" w:hAnsi="Calibri" w:eastAsia="宋体" w:cstheme="minorHAnsi"/>
                <w:color w:val="000000"/>
                <w:kern w:val="24"/>
                <w:sz w:val="21"/>
                <w:szCs w:val="21"/>
              </w:rPr>
            </w:pPr>
          </w:p>
        </w:tc>
        <w:tc>
          <w:tcPr>
            <w:tcW w:w="850" w:type="dxa"/>
            <w:noWrap/>
            <w:vAlign w:val="center"/>
          </w:tcPr>
          <w:p>
            <w:pPr>
              <w:jc w:val="center"/>
              <w:rPr>
                <w:rFonts w:ascii="Calibri" w:hAnsi="Calibri" w:eastAsia="宋体" w:cstheme="minorHAnsi"/>
                <w:color w:val="000000"/>
                <w:kern w:val="24"/>
                <w:sz w:val="21"/>
                <w:szCs w:val="21"/>
              </w:rPr>
            </w:pPr>
          </w:p>
        </w:tc>
        <w:tc>
          <w:tcPr>
            <w:tcW w:w="990" w:type="dxa"/>
            <w:noWrap/>
            <w:vAlign w:val="center"/>
          </w:tcPr>
          <w:p>
            <w:pPr>
              <w:jc w:val="center"/>
              <w:rPr>
                <w:rFonts w:ascii="Calibri" w:hAnsi="Calibri" w:eastAsia="宋体" w:cstheme="minorHAnsi"/>
                <w:color w:val="000000"/>
                <w:kern w:val="24"/>
                <w:sz w:val="21"/>
                <w:szCs w:val="21"/>
              </w:rPr>
            </w:pPr>
          </w:p>
        </w:tc>
        <w:tc>
          <w:tcPr>
            <w:tcW w:w="850" w:type="dxa"/>
            <w:noWrap/>
            <w:vAlign w:val="center"/>
          </w:tcPr>
          <w:p>
            <w:pPr>
              <w:jc w:val="center"/>
              <w:rPr>
                <w:rFonts w:ascii="Calibri" w:hAnsi="Calibri" w:eastAsia="宋体" w:cstheme="minorHAnsi"/>
                <w:color w:val="000000"/>
                <w:kern w:val="24"/>
                <w:sz w:val="21"/>
                <w:szCs w:val="21"/>
              </w:rPr>
            </w:pPr>
          </w:p>
        </w:tc>
        <w:tc>
          <w:tcPr>
            <w:tcW w:w="915" w:type="dxa"/>
            <w:noWrap/>
            <w:vAlign w:val="center"/>
          </w:tcPr>
          <w:p>
            <w:pPr>
              <w:jc w:val="center"/>
              <w:rPr>
                <w:rFonts w:ascii="Calibri" w:hAnsi="Calibri" w:eastAsia="宋体" w:cstheme="minorHAnsi"/>
                <w:color w:val="000000"/>
                <w:kern w:val="24"/>
                <w:sz w:val="21"/>
                <w:szCs w:val="21"/>
              </w:rPr>
            </w:pPr>
          </w:p>
        </w:tc>
        <w:tc>
          <w:tcPr>
            <w:tcW w:w="1339" w:type="dxa"/>
            <w:noWrap/>
            <w:vAlign w:val="center"/>
          </w:tcPr>
          <w:p>
            <w:pPr>
              <w:jc w:val="center"/>
              <w:rPr>
                <w:rFonts w:ascii="Calibri" w:hAnsi="Calibri" w:eastAsia="宋体" w:cstheme="minorHAnsi"/>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continue"/>
            <w:noWrap/>
            <w:vAlign w:val="center"/>
          </w:tcPr>
          <w:p>
            <w:pPr>
              <w:jc w:val="center"/>
              <w:rPr>
                <w:rFonts w:ascii="仿宋" w:hAnsi="仿宋" w:eastAsia="仿宋" w:cs="仿宋"/>
                <w:bCs/>
                <w:color w:val="000000" w:themeColor="text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rPr>
            </w:pPr>
          </w:p>
        </w:tc>
        <w:tc>
          <w:tcPr>
            <w:tcW w:w="995" w:type="dxa"/>
            <w:noWrap/>
            <w:vAlign w:val="center"/>
          </w:tcPr>
          <w:p>
            <w:pPr>
              <w:jc w:val="center"/>
              <w:rPr>
                <w:rFonts w:ascii="Calibri" w:hAnsi="Calibri" w:eastAsia="宋体" w:cstheme="minorHAnsi"/>
                <w:color w:val="000000"/>
                <w:kern w:val="24"/>
              </w:rPr>
            </w:pPr>
          </w:p>
        </w:tc>
        <w:tc>
          <w:tcPr>
            <w:tcW w:w="709" w:type="dxa"/>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90" w:type="dxa"/>
            <w:noWrap/>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15" w:type="dxa"/>
            <w:noWrap/>
            <w:vAlign w:val="center"/>
          </w:tcPr>
          <w:p>
            <w:pPr>
              <w:jc w:val="center"/>
              <w:rPr>
                <w:rFonts w:ascii="Calibri" w:hAnsi="Calibri" w:eastAsia="宋体" w:cstheme="minorHAnsi"/>
                <w:color w:val="000000"/>
                <w:kern w:val="24"/>
              </w:rPr>
            </w:pPr>
          </w:p>
        </w:tc>
        <w:tc>
          <w:tcPr>
            <w:tcW w:w="1339" w:type="dxa"/>
            <w:noWrap/>
            <w:vAlign w:val="center"/>
          </w:tcPr>
          <w:p>
            <w:pPr>
              <w:jc w:val="center"/>
              <w:rPr>
                <w:rFonts w:ascii="Calibri" w:hAnsi="Calibri" w:eastAsia="宋体" w:cstheme="minorHAnsi"/>
                <w:color w:val="000000"/>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continue"/>
            <w:noWrap/>
            <w:vAlign w:val="center"/>
          </w:tcPr>
          <w:p>
            <w:pPr>
              <w:jc w:val="center"/>
              <w:rPr>
                <w:rFonts w:ascii="仿宋" w:hAnsi="仿宋" w:eastAsia="仿宋" w:cs="仿宋"/>
                <w:bCs/>
                <w:color w:val="000000" w:themeColor="text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rPr>
            </w:pPr>
          </w:p>
        </w:tc>
        <w:tc>
          <w:tcPr>
            <w:tcW w:w="995" w:type="dxa"/>
            <w:noWrap/>
            <w:vAlign w:val="center"/>
          </w:tcPr>
          <w:p>
            <w:pPr>
              <w:jc w:val="center"/>
              <w:rPr>
                <w:rFonts w:ascii="Calibri" w:hAnsi="Calibri" w:eastAsia="宋体" w:cstheme="minorHAnsi"/>
                <w:color w:val="000000"/>
                <w:kern w:val="24"/>
              </w:rPr>
            </w:pPr>
          </w:p>
        </w:tc>
        <w:tc>
          <w:tcPr>
            <w:tcW w:w="709" w:type="dxa"/>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90" w:type="dxa"/>
            <w:noWrap/>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15" w:type="dxa"/>
            <w:noWrap/>
            <w:vAlign w:val="center"/>
          </w:tcPr>
          <w:p>
            <w:pPr>
              <w:jc w:val="center"/>
              <w:rPr>
                <w:rFonts w:ascii="Calibri" w:hAnsi="Calibri" w:eastAsia="宋体" w:cstheme="minorHAnsi"/>
                <w:color w:val="000000"/>
                <w:kern w:val="24"/>
              </w:rPr>
            </w:pPr>
          </w:p>
        </w:tc>
        <w:tc>
          <w:tcPr>
            <w:tcW w:w="1339" w:type="dxa"/>
            <w:noWrap/>
            <w:vAlign w:val="center"/>
          </w:tcPr>
          <w:p>
            <w:pPr>
              <w:jc w:val="center"/>
              <w:rPr>
                <w:rFonts w:ascii="Calibri" w:hAnsi="Calibri" w:eastAsia="宋体" w:cstheme="minorHAnsi"/>
                <w:color w:val="000000"/>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continue"/>
            <w:noWrap/>
            <w:vAlign w:val="center"/>
          </w:tcPr>
          <w:p>
            <w:pPr>
              <w:jc w:val="center"/>
              <w:rPr>
                <w:rFonts w:ascii="仿宋" w:hAnsi="仿宋" w:eastAsia="仿宋" w:cs="仿宋"/>
                <w:bCs/>
                <w:color w:val="000000" w:themeColor="text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rPr>
            </w:pPr>
          </w:p>
        </w:tc>
        <w:tc>
          <w:tcPr>
            <w:tcW w:w="995" w:type="dxa"/>
            <w:noWrap/>
            <w:vAlign w:val="center"/>
          </w:tcPr>
          <w:p>
            <w:pPr>
              <w:jc w:val="center"/>
              <w:rPr>
                <w:rFonts w:ascii="Calibri" w:hAnsi="Calibri" w:eastAsia="宋体" w:cstheme="minorHAnsi"/>
                <w:color w:val="000000"/>
                <w:kern w:val="24"/>
              </w:rPr>
            </w:pPr>
          </w:p>
        </w:tc>
        <w:tc>
          <w:tcPr>
            <w:tcW w:w="709" w:type="dxa"/>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90" w:type="dxa"/>
            <w:noWrap/>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15" w:type="dxa"/>
            <w:noWrap/>
            <w:vAlign w:val="center"/>
          </w:tcPr>
          <w:p>
            <w:pPr>
              <w:jc w:val="center"/>
              <w:rPr>
                <w:rFonts w:ascii="Calibri" w:hAnsi="Calibri" w:eastAsia="宋体" w:cstheme="minorHAnsi"/>
                <w:color w:val="000000"/>
                <w:kern w:val="24"/>
              </w:rPr>
            </w:pPr>
          </w:p>
        </w:tc>
        <w:tc>
          <w:tcPr>
            <w:tcW w:w="1339" w:type="dxa"/>
            <w:noWrap/>
            <w:vAlign w:val="center"/>
          </w:tcPr>
          <w:p>
            <w:pPr>
              <w:jc w:val="center"/>
              <w:rPr>
                <w:rFonts w:ascii="Calibri" w:hAnsi="Calibri" w:eastAsia="宋体" w:cstheme="minorHAnsi"/>
                <w:color w:val="000000"/>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continue"/>
            <w:noWrap/>
            <w:vAlign w:val="center"/>
          </w:tcPr>
          <w:p>
            <w:pPr>
              <w:jc w:val="center"/>
              <w:rPr>
                <w:rFonts w:ascii="仿宋" w:hAnsi="仿宋" w:eastAsia="仿宋" w:cs="仿宋"/>
                <w:bCs/>
                <w:color w:val="000000" w:themeColor="text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rPr>
            </w:pPr>
          </w:p>
        </w:tc>
        <w:tc>
          <w:tcPr>
            <w:tcW w:w="995" w:type="dxa"/>
            <w:noWrap/>
            <w:vAlign w:val="center"/>
          </w:tcPr>
          <w:p>
            <w:pPr>
              <w:jc w:val="center"/>
              <w:rPr>
                <w:rFonts w:ascii="Calibri" w:hAnsi="Calibri" w:eastAsia="宋体" w:cstheme="minorHAnsi"/>
                <w:color w:val="000000"/>
                <w:kern w:val="24"/>
              </w:rPr>
            </w:pPr>
          </w:p>
        </w:tc>
        <w:tc>
          <w:tcPr>
            <w:tcW w:w="709" w:type="dxa"/>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90" w:type="dxa"/>
            <w:noWrap/>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15" w:type="dxa"/>
            <w:noWrap/>
            <w:vAlign w:val="center"/>
          </w:tcPr>
          <w:p>
            <w:pPr>
              <w:jc w:val="center"/>
              <w:rPr>
                <w:rFonts w:ascii="Calibri" w:hAnsi="Calibri" w:eastAsia="宋体" w:cstheme="minorHAnsi"/>
                <w:color w:val="000000"/>
                <w:kern w:val="24"/>
              </w:rPr>
            </w:pPr>
          </w:p>
        </w:tc>
        <w:tc>
          <w:tcPr>
            <w:tcW w:w="1339" w:type="dxa"/>
            <w:noWrap/>
            <w:vAlign w:val="center"/>
          </w:tcPr>
          <w:p>
            <w:pPr>
              <w:jc w:val="center"/>
              <w:rPr>
                <w:rFonts w:ascii="Calibri" w:hAnsi="Calibri" w:eastAsia="宋体" w:cstheme="minorHAnsi"/>
                <w:color w:val="000000"/>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continue"/>
            <w:noWrap/>
            <w:vAlign w:val="center"/>
          </w:tcPr>
          <w:p>
            <w:pPr>
              <w:jc w:val="center"/>
              <w:rPr>
                <w:rFonts w:ascii="仿宋" w:hAnsi="仿宋" w:eastAsia="仿宋" w:cs="仿宋"/>
                <w:bCs/>
                <w:color w:val="000000" w:themeColor="text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rPr>
            </w:pPr>
          </w:p>
        </w:tc>
        <w:tc>
          <w:tcPr>
            <w:tcW w:w="995" w:type="dxa"/>
            <w:noWrap/>
            <w:vAlign w:val="center"/>
          </w:tcPr>
          <w:p>
            <w:pPr>
              <w:jc w:val="center"/>
              <w:rPr>
                <w:rFonts w:ascii="Calibri" w:hAnsi="Calibri" w:eastAsia="宋体" w:cstheme="minorHAnsi"/>
                <w:color w:val="000000"/>
                <w:kern w:val="24"/>
              </w:rPr>
            </w:pPr>
          </w:p>
        </w:tc>
        <w:tc>
          <w:tcPr>
            <w:tcW w:w="709" w:type="dxa"/>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90" w:type="dxa"/>
            <w:noWrap/>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15" w:type="dxa"/>
            <w:noWrap/>
            <w:vAlign w:val="center"/>
          </w:tcPr>
          <w:p>
            <w:pPr>
              <w:jc w:val="center"/>
              <w:rPr>
                <w:rFonts w:ascii="Calibri" w:hAnsi="Calibri" w:eastAsia="宋体" w:cstheme="minorHAnsi"/>
                <w:color w:val="000000"/>
                <w:kern w:val="24"/>
              </w:rPr>
            </w:pPr>
          </w:p>
        </w:tc>
        <w:tc>
          <w:tcPr>
            <w:tcW w:w="1339" w:type="dxa"/>
            <w:noWrap/>
            <w:vAlign w:val="center"/>
          </w:tcPr>
          <w:p>
            <w:pPr>
              <w:jc w:val="center"/>
              <w:rPr>
                <w:rFonts w:ascii="Calibri" w:hAnsi="Calibri" w:eastAsia="宋体" w:cstheme="minorHAnsi"/>
                <w:color w:val="000000"/>
                <w:kern w:val="24"/>
              </w:rPr>
            </w:pPr>
          </w:p>
        </w:tc>
      </w:tr>
    </w:tbl>
    <w:p>
      <w:pPr>
        <w:pStyle w:val="83"/>
        <w:ind w:firstLine="480"/>
      </w:pPr>
      <w:r>
        <w:t>2</w:t>
      </w:r>
      <w:r>
        <w:rPr>
          <w:rFonts w:hint="eastAsia"/>
        </w:rPr>
        <w:t>、服务乙方应于接受委托之日起：</w:t>
      </w:r>
    </w:p>
    <w:p>
      <w:pPr>
        <w:pStyle w:val="83"/>
        <w:ind w:firstLine="480"/>
      </w:pPr>
      <w:r>
        <w:rPr>
          <w:rFonts w:hint="eastAsia"/>
        </w:rPr>
        <w:t>乙方根据决算审核任务要求制定审核方案。审核方案包括基本情况、审核重点关注内容、审核方法和依据、审核工作组成人员、时间及进度安排等。</w:t>
      </w:r>
    </w:p>
    <w:p>
      <w:pPr>
        <w:pStyle w:val="83"/>
        <w:ind w:firstLine="480"/>
      </w:pPr>
      <w:r>
        <w:rPr>
          <w:rFonts w:hint="eastAsia"/>
        </w:rPr>
        <w:t>乙方应于</w:t>
      </w:r>
      <w:r>
        <w:t>25个工作日内完成项目初审；15个工作日内配合甲方完成初审稿的复审工作；25个工作日内完成项目核对，形成项目初步评审结论。</w:t>
      </w:r>
    </w:p>
    <w:p>
      <w:pPr>
        <w:pStyle w:val="83"/>
        <w:ind w:firstLine="480"/>
      </w:pPr>
      <w:r>
        <w:t>各阶段乙方应按照甲方的要求提供相关成果文件，</w:t>
      </w:r>
      <w:r>
        <w:rPr>
          <w:rFonts w:hint="eastAsia"/>
        </w:rPr>
        <w:t>乙方提交的各阶段成果文件需经甲方指定人员初步确认后，方可进入下一阶段工作。</w:t>
      </w:r>
    </w:p>
    <w:p>
      <w:pPr>
        <w:pStyle w:val="83"/>
        <w:ind w:firstLine="480"/>
      </w:pPr>
      <w:r>
        <w:rPr>
          <w:rFonts w:hint="eastAsia"/>
        </w:rPr>
        <w:t>终审完成，需向甲方出具真实、客观、公平的审核报告贰份和完整电子文件，对出具的审核报告的真实性、合法性、准确性负有永久的法律责任。</w:t>
      </w:r>
    </w:p>
    <w:p>
      <w:pPr>
        <w:pStyle w:val="83"/>
        <w:ind w:firstLine="480"/>
      </w:pPr>
      <w:r>
        <w:rPr>
          <w:rFonts w:hint="eastAsia"/>
        </w:rPr>
        <w:t>审核报告主要包括但不限于：基本情况、审核依据、审核结论、问题和建议，如有项目申报单位签署的意见或者需要特殊说明的情况，在报告中一并体现；结算对照表；工作底稿及其引证资料；主要审增审减原因分析；如果审核报告出现超概算情况，则对超概算原因进行分析。</w:t>
      </w:r>
    </w:p>
    <w:p>
      <w:pPr>
        <w:pStyle w:val="83"/>
        <w:ind w:firstLine="480"/>
        <w:rPr>
          <w:color w:val="auto"/>
        </w:rPr>
      </w:pPr>
      <w:r>
        <w:rPr>
          <w:rFonts w:hint="eastAsia"/>
        </w:rPr>
        <w:t>如果甲方认为此项目需要提取技术经济指标，乙方应按照甲方格式要求提取指标并对结果负责。有特殊要求</w:t>
      </w:r>
      <w:r>
        <w:rPr>
          <w:rFonts w:hint="eastAsia"/>
          <w:color w:val="auto"/>
        </w:rPr>
        <w:t>的另行约定。</w:t>
      </w:r>
    </w:p>
    <w:p>
      <w:pPr>
        <w:pStyle w:val="83"/>
        <w:ind w:firstLine="480"/>
        <w:rPr>
          <w:color w:val="auto"/>
        </w:rPr>
      </w:pPr>
      <w:r>
        <w:rPr>
          <w:rFonts w:hint="eastAsia"/>
          <w:color w:val="auto"/>
        </w:rPr>
        <w:t>乙方出具审核报告后，及时整理审核资料移交甲方。</w:t>
      </w:r>
    </w:p>
    <w:p>
      <w:pPr>
        <w:pStyle w:val="83"/>
        <w:ind w:firstLine="480"/>
        <w:rPr>
          <w:color w:val="auto"/>
        </w:rPr>
      </w:pPr>
      <w:r>
        <w:rPr>
          <w:rFonts w:hint="eastAsia"/>
          <w:color w:val="auto"/>
        </w:rPr>
        <w:t>3.履约时间：自</w:t>
      </w:r>
      <w:r>
        <w:rPr>
          <w:color w:val="auto"/>
        </w:rPr>
        <w:t>___</w:t>
      </w:r>
      <w:r>
        <w:rPr>
          <w:rFonts w:hint="eastAsia"/>
          <w:color w:val="auto"/>
        </w:rPr>
        <w:t>年</w:t>
      </w:r>
      <w:r>
        <w:rPr>
          <w:color w:val="auto"/>
        </w:rPr>
        <w:t>___</w:t>
      </w:r>
      <w:r>
        <w:rPr>
          <w:rFonts w:hint="eastAsia"/>
          <w:color w:val="auto"/>
        </w:rPr>
        <w:t>月</w:t>
      </w:r>
      <w:r>
        <w:rPr>
          <w:color w:val="auto"/>
        </w:rPr>
        <w:t>___</w:t>
      </w:r>
      <w:r>
        <w:rPr>
          <w:rFonts w:hint="eastAsia"/>
          <w:color w:val="auto"/>
        </w:rPr>
        <w:t>日至</w:t>
      </w:r>
      <w:r>
        <w:rPr>
          <w:color w:val="auto"/>
        </w:rPr>
        <w:t>___</w:t>
      </w:r>
      <w:r>
        <w:rPr>
          <w:rFonts w:hint="eastAsia"/>
          <w:color w:val="auto"/>
        </w:rPr>
        <w:t>年</w:t>
      </w:r>
      <w:r>
        <w:rPr>
          <w:color w:val="auto"/>
        </w:rPr>
        <w:t>___</w:t>
      </w:r>
      <w:r>
        <w:rPr>
          <w:rFonts w:hint="eastAsia"/>
          <w:color w:val="auto"/>
        </w:rPr>
        <w:t>月</w:t>
      </w:r>
      <w:r>
        <w:rPr>
          <w:color w:val="auto"/>
        </w:rPr>
        <w:t>___</w:t>
      </w:r>
      <w:r>
        <w:rPr>
          <w:rFonts w:hint="eastAsia"/>
          <w:color w:val="auto"/>
        </w:rPr>
        <w:t>日，（自合同签订至出具甲方确认的评审报告，服务周期结束。）.履约地点：西安市未央区凤城八路168号。</w:t>
      </w:r>
    </w:p>
    <w:p>
      <w:pPr>
        <w:snapToGrid w:val="0"/>
        <w:spacing w:line="360" w:lineRule="auto"/>
        <w:rPr>
          <w:rFonts w:ascii="Calibri" w:hAnsi="Calibri" w:eastAsia="宋体" w:cstheme="minorHAnsi"/>
          <w:b/>
          <w:kern w:val="24"/>
        </w:rPr>
      </w:pPr>
      <w:bookmarkStart w:id="61" w:name="_Toc20824"/>
      <w:r>
        <w:rPr>
          <w:rFonts w:hint="eastAsia" w:ascii="Calibri" w:hAnsi="Calibri" w:eastAsia="宋体" w:cstheme="minorHAnsi"/>
          <w:b/>
          <w:kern w:val="24"/>
        </w:rPr>
        <w:t>四、</w:t>
      </w:r>
      <w:bookmarkEnd w:id="61"/>
      <w:r>
        <w:rPr>
          <w:rFonts w:hint="eastAsia" w:ascii="Calibri" w:hAnsi="Calibri" w:eastAsia="宋体" w:cstheme="minorHAnsi"/>
          <w:b/>
          <w:kern w:val="24"/>
        </w:rPr>
        <w:t>合同金额及结算</w:t>
      </w:r>
    </w:p>
    <w:p>
      <w:pPr>
        <w:snapToGrid w:val="0"/>
        <w:spacing w:line="360" w:lineRule="auto"/>
        <w:ind w:firstLine="480" w:firstLineChars="200"/>
        <w:rPr>
          <w:rFonts w:ascii="Calibri" w:hAnsi="Calibri" w:eastAsia="宋体" w:cstheme="minorHAnsi"/>
          <w:kern w:val="24"/>
        </w:rPr>
      </w:pPr>
      <w:bookmarkStart w:id="62" w:name="_Toc9487"/>
      <w:bookmarkStart w:id="63" w:name="_Toc30459"/>
      <w:r>
        <w:rPr>
          <w:rFonts w:hint="eastAsia" w:ascii="Calibri" w:hAnsi="Calibri" w:eastAsia="宋体" w:cstheme="minorHAnsi"/>
          <w:kern w:val="24"/>
        </w:rPr>
        <w:t>1.合同金额:本合同暂定总价</w:t>
      </w:r>
      <w:r>
        <w:rPr>
          <w:rFonts w:cstheme="minorHAnsi"/>
        </w:rPr>
        <w:t>_________</w:t>
      </w:r>
      <w:r>
        <w:rPr>
          <w:rFonts w:hint="eastAsia" w:ascii="Calibri" w:hAnsi="Calibri" w:eastAsia="宋体" w:cstheme="minorHAnsi"/>
          <w:kern w:val="24"/>
        </w:rPr>
        <w:t>元（大写：</w:t>
      </w:r>
      <w:r>
        <w:rPr>
          <w:rFonts w:cstheme="minorHAnsi"/>
        </w:rPr>
        <w:t>_________</w:t>
      </w:r>
      <w:r>
        <w:rPr>
          <w:rFonts w:hint="eastAsia" w:ascii="Calibri" w:hAnsi="Calibri" w:eastAsia="宋体" w:cstheme="minorHAnsi"/>
          <w:kern w:val="24"/>
        </w:rPr>
        <w:t>，含税总价），最终合同结算依据甲方出具的审核报告据实结算，超过招标文件最高限价按最高限价结算；</w:t>
      </w:r>
    </w:p>
    <w:p>
      <w:pPr>
        <w:snapToGrid w:val="0"/>
        <w:spacing w:line="360" w:lineRule="auto"/>
        <w:ind w:firstLine="480" w:firstLineChars="200"/>
        <w:rPr>
          <w:rFonts w:ascii="Calibri" w:hAnsi="Calibri" w:eastAsia="宋体" w:cstheme="minorHAnsi"/>
          <w:kern w:val="24"/>
        </w:rPr>
      </w:pPr>
      <w:r>
        <w:rPr>
          <w:rFonts w:hint="eastAsia" w:ascii="Calibri" w:hAnsi="Calibri" w:eastAsia="宋体" w:cstheme="minorHAnsi"/>
          <w:kern w:val="24"/>
        </w:rPr>
        <w:t>2.费用计算：</w:t>
      </w:r>
      <w:bookmarkStart w:id="64" w:name="OLE_LINK44"/>
      <w:bookmarkStart w:id="65" w:name="OLE_LINK45"/>
      <w:r>
        <w:rPr>
          <w:rFonts w:hint="eastAsia" w:ascii="Calibri" w:hAnsi="Calibri" w:eastAsia="宋体" w:cstheme="minorHAnsi"/>
          <w:kern w:val="24"/>
        </w:rPr>
        <w:t>审核费费率</w:t>
      </w:r>
      <w:r>
        <w:rPr>
          <w:rFonts w:ascii="Calibri" w:hAnsi="Calibri" w:eastAsia="宋体" w:cstheme="minorHAnsi"/>
          <w:kern w:val="24"/>
          <w:u w:val="single"/>
        </w:rPr>
        <w:t xml:space="preserve">    </w:t>
      </w:r>
      <w:r>
        <w:rPr>
          <w:rFonts w:hint="eastAsia" w:ascii="Calibri" w:hAnsi="Calibri" w:eastAsia="宋体" w:cstheme="minorHAnsi"/>
          <w:kern w:val="24"/>
        </w:rPr>
        <w:t>%，审减率10%（含）以内审减费率</w:t>
      </w:r>
      <w:r>
        <w:rPr>
          <w:rFonts w:cstheme="minorHAnsi"/>
        </w:rPr>
        <w:t>______</w:t>
      </w:r>
      <w:r>
        <w:rPr>
          <w:rFonts w:hint="eastAsia" w:ascii="Calibri" w:hAnsi="Calibri" w:eastAsia="宋体" w:cstheme="minorHAnsi"/>
          <w:kern w:val="24"/>
        </w:rPr>
        <w:t>%，审减率10%以上审减费率</w:t>
      </w:r>
      <w:r>
        <w:rPr>
          <w:rFonts w:cstheme="minorHAnsi"/>
        </w:rPr>
        <w:t>______</w:t>
      </w:r>
      <w:r>
        <w:rPr>
          <w:rFonts w:hint="eastAsia" w:ascii="Calibri" w:hAnsi="Calibri" w:eastAsia="宋体" w:cstheme="minorHAnsi"/>
          <w:kern w:val="24"/>
        </w:rPr>
        <w:t>%。</w:t>
      </w:r>
      <w:bookmarkEnd w:id="64"/>
      <w:bookmarkEnd w:id="65"/>
    </w:p>
    <w:p>
      <w:pPr>
        <w:snapToGrid w:val="0"/>
        <w:spacing w:line="360" w:lineRule="auto"/>
        <w:rPr>
          <w:rFonts w:ascii="Calibri" w:hAnsi="Calibri" w:eastAsia="宋体" w:cstheme="minorHAnsi"/>
          <w:b/>
          <w:kern w:val="24"/>
        </w:rPr>
      </w:pPr>
      <w:r>
        <w:rPr>
          <w:rFonts w:hint="eastAsia" w:ascii="Calibri" w:hAnsi="Calibri" w:eastAsia="宋体" w:cstheme="minorHAnsi"/>
          <w:b/>
          <w:kern w:val="24"/>
        </w:rPr>
        <w:t>五、款项</w:t>
      </w:r>
      <w:bookmarkEnd w:id="62"/>
      <w:bookmarkEnd w:id="63"/>
      <w:r>
        <w:rPr>
          <w:rFonts w:hint="eastAsia" w:ascii="Calibri" w:hAnsi="Calibri" w:eastAsia="宋体" w:cstheme="minorHAnsi"/>
          <w:b/>
          <w:kern w:val="24"/>
        </w:rPr>
        <w:t>支付</w:t>
      </w:r>
    </w:p>
    <w:p>
      <w:pPr>
        <w:snapToGrid w:val="0"/>
        <w:spacing w:line="360" w:lineRule="auto"/>
        <w:ind w:firstLine="480" w:firstLineChars="200"/>
        <w:rPr>
          <w:rFonts w:ascii="Calibri" w:hAnsi="Calibri" w:eastAsia="宋体" w:cstheme="minorHAnsi"/>
          <w:kern w:val="24"/>
        </w:rPr>
      </w:pPr>
      <w:r>
        <w:rPr>
          <w:rFonts w:hint="eastAsia" w:ascii="Calibri" w:hAnsi="Calibri" w:eastAsia="宋体" w:cstheme="minorHAnsi"/>
          <w:kern w:val="24"/>
        </w:rPr>
        <w:t>乙方合同约定的项目服务工作全部完成，经甲方确认合格并出具评审报告后，甲方在收到乙方开具的等额增值税专用发票后</w:t>
      </w:r>
      <w:r>
        <w:rPr>
          <w:rFonts w:ascii="Calibri" w:hAnsi="Calibri" w:eastAsia="宋体" w:cstheme="minorHAnsi"/>
          <w:kern w:val="24"/>
        </w:rPr>
        <w:t>10</w:t>
      </w:r>
      <w:r>
        <w:rPr>
          <w:rFonts w:hint="eastAsia" w:ascii="Calibri" w:hAnsi="Calibri" w:eastAsia="宋体" w:cstheme="minorHAnsi"/>
          <w:kern w:val="24"/>
        </w:rPr>
        <w:t>个工作日内将费用支付给乙方。</w:t>
      </w:r>
    </w:p>
    <w:p>
      <w:pPr>
        <w:snapToGrid w:val="0"/>
        <w:spacing w:line="360" w:lineRule="auto"/>
        <w:rPr>
          <w:rFonts w:ascii="Calibri" w:hAnsi="Calibri" w:eastAsia="宋体" w:cstheme="minorHAnsi"/>
          <w:b/>
          <w:kern w:val="24"/>
        </w:rPr>
      </w:pPr>
      <w:bookmarkStart w:id="66" w:name="_Toc22093"/>
      <w:bookmarkStart w:id="67" w:name="_Toc27173"/>
      <w:r>
        <w:rPr>
          <w:rFonts w:hint="eastAsia" w:ascii="Calibri" w:hAnsi="Calibri" w:eastAsia="宋体" w:cstheme="minorHAnsi"/>
          <w:b/>
          <w:kern w:val="24"/>
        </w:rPr>
        <w:t>六、权利和义务</w:t>
      </w:r>
      <w:bookmarkEnd w:id="66"/>
    </w:p>
    <w:p>
      <w:pPr>
        <w:spacing w:line="360" w:lineRule="auto"/>
        <w:ind w:firstLine="470" w:firstLineChars="196"/>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（一）甲方权利</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1.如乙方从业人员不按合同履行</w:t>
      </w:r>
      <w:r>
        <w:rPr>
          <w:rFonts w:hint="eastAsia" w:ascii="Calibri" w:hAnsi="Calibri" w:eastAsia="宋体" w:cstheme="minorHAnsi"/>
          <w:kern w:val="24"/>
        </w:rPr>
        <w:t>职责、不符合甲方专业要求或存在其他影响服务质量的情形时，甲方有权要求更换相关人员，乙方应当及时进行配合，以致达到甲方要求。</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2.甲方有权向乙方就工作内容的相关事宜向乙方质询，并对乙方工作结果进行复审。</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3.乙方在审核过程中，服务质量、进度无法达到甲方要求时，应及时书面告知甲方，</w:t>
      </w:r>
      <w:r>
        <w:rPr>
          <w:rFonts w:hint="eastAsia" w:ascii="Calibri" w:hAnsi="Calibri" w:eastAsia="宋体" w:cstheme="minorHAnsi"/>
          <w:kern w:val="24"/>
        </w:rPr>
        <w:t>甲方有权根据项目审核情况对委托内容、费用作相应调整或终止合同。</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4.甲方享有获得乙方出具审核报告及相关审核资料的权利。审核报告及相关资料的知识产权归甲方所有。乙方不得将审核报告及相关资料用于本合同约定之</w:t>
      </w:r>
      <w:r>
        <w:rPr>
          <w:rFonts w:hint="eastAsia" w:ascii="Calibri" w:hAnsi="Calibri" w:eastAsia="宋体" w:cstheme="minorHAnsi"/>
          <w:kern w:val="24"/>
        </w:rPr>
        <w:t>外的任何其他用途。甲方有权要求乙方提取经济技术指标。</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5.甲方有权结合项目的实际情况，针对乙方服务及质量情况进行考核，</w:t>
      </w:r>
      <w:r>
        <w:rPr>
          <w:rFonts w:hint="eastAsia" w:ascii="Calibri" w:hAnsi="Calibri" w:eastAsia="宋体" w:cstheme="minorHAnsi"/>
          <w:kern w:val="24"/>
        </w:rPr>
        <w:t>考核</w:t>
      </w:r>
      <w:r>
        <w:rPr>
          <w:rFonts w:ascii="Calibri" w:hAnsi="Calibri" w:eastAsia="宋体" w:cstheme="minorHAnsi"/>
          <w:kern w:val="24"/>
        </w:rPr>
        <w:t>结果与最终支付服务费挂钩，详见附件1。</w:t>
      </w:r>
    </w:p>
    <w:p>
      <w:pPr>
        <w:spacing w:line="360" w:lineRule="auto"/>
        <w:ind w:firstLine="470" w:firstLineChars="196"/>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（二）乙方权利</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1.</w:t>
      </w:r>
      <w:r>
        <w:rPr>
          <w:rFonts w:hint="eastAsia" w:ascii="Calibri" w:hAnsi="Calibri" w:eastAsia="宋体" w:cstheme="minorHAnsi"/>
          <w:kern w:val="24"/>
        </w:rPr>
        <w:t>乙方在服务中，如甲方提供的资料有误或不明确时，有权要求甲方予以协调。</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2.</w:t>
      </w:r>
      <w:r>
        <w:rPr>
          <w:rFonts w:hint="eastAsia" w:ascii="Calibri" w:hAnsi="Calibri" w:eastAsia="宋体" w:cstheme="minorHAnsi"/>
          <w:kern w:val="24"/>
        </w:rPr>
        <w:t>乙方在服务过程中，有到现场勘查的权利，甲方应予配合。</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3.</w:t>
      </w:r>
      <w:r>
        <w:rPr>
          <w:rFonts w:hint="eastAsia" w:ascii="Calibri" w:hAnsi="Calibri" w:eastAsia="宋体" w:cstheme="minorHAnsi"/>
          <w:kern w:val="24"/>
        </w:rPr>
        <w:t>要求甲方按合同约定支付服务费用。</w:t>
      </w:r>
    </w:p>
    <w:p>
      <w:pPr>
        <w:spacing w:line="360" w:lineRule="auto"/>
        <w:ind w:firstLine="470" w:firstLineChars="196"/>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（三）甲方义务</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1.</w:t>
      </w:r>
      <w:r>
        <w:rPr>
          <w:rFonts w:hint="eastAsia" w:ascii="Calibri" w:hAnsi="Calibri" w:eastAsia="宋体" w:cstheme="minorHAnsi"/>
          <w:kern w:val="24"/>
        </w:rPr>
        <w:t>甲方应执行乙方权利中约定的内容。</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2.</w:t>
      </w:r>
      <w:r>
        <w:rPr>
          <w:rFonts w:hint="eastAsia" w:ascii="Calibri" w:hAnsi="Calibri" w:eastAsia="宋体" w:cstheme="minorHAnsi"/>
          <w:kern w:val="24"/>
        </w:rPr>
        <w:t>协调并及时向乙方提供审核所需的资料。</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3.</w:t>
      </w:r>
      <w:r>
        <w:rPr>
          <w:rFonts w:hint="eastAsia" w:ascii="Calibri" w:hAnsi="Calibri" w:eastAsia="宋体" w:cstheme="minorHAnsi"/>
          <w:kern w:val="24"/>
        </w:rPr>
        <w:t>协调并为乙方派出的有关工作人员提供必要的工作条件和协助。</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4.</w:t>
      </w:r>
      <w:r>
        <w:rPr>
          <w:rFonts w:hint="eastAsia" w:ascii="Calibri" w:hAnsi="Calibri" w:eastAsia="宋体" w:cstheme="minorHAnsi"/>
          <w:kern w:val="24"/>
        </w:rPr>
        <w:t>按合同约定支付服务费用。</w:t>
      </w:r>
    </w:p>
    <w:p>
      <w:pPr>
        <w:spacing w:line="360" w:lineRule="auto"/>
        <w:ind w:firstLine="470" w:firstLineChars="196"/>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（四）乙方义务</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1.</w:t>
      </w:r>
      <w:r>
        <w:rPr>
          <w:rFonts w:hint="eastAsia" w:ascii="Calibri" w:hAnsi="Calibri" w:eastAsia="宋体" w:cstheme="minorHAnsi"/>
          <w:kern w:val="24"/>
        </w:rPr>
        <w:t>乙方应执行甲方权利中约定的内容。</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2.</w:t>
      </w:r>
      <w:r>
        <w:rPr>
          <w:rFonts w:hint="eastAsia" w:ascii="Calibri" w:hAnsi="Calibri" w:eastAsia="宋体" w:cstheme="minorHAnsi"/>
          <w:kern w:val="24"/>
        </w:rPr>
        <w:t>甲方对乙方人员中涉及与被审核项目对象有利害关系的人员有权要求其回避并更换。未经甲方书面同意，乙方不得更换、减派《拟派人员构成情况表》中任何人员；若乙方人员因自身原因无法履职，乙方应立即书面告知甲方，并在【</w:t>
      </w:r>
      <w:r>
        <w:rPr>
          <w:rFonts w:cstheme="minorHAnsi"/>
        </w:rPr>
        <w:t>______</w:t>
      </w:r>
      <w:r>
        <w:rPr>
          <w:rFonts w:hint="eastAsia" w:ascii="Calibri" w:hAnsi="Calibri" w:eastAsia="宋体" w:cstheme="minorHAnsi"/>
          <w:kern w:val="24"/>
        </w:rPr>
        <w:t>】个工作日内推荐符合甲方要求的备选人员，经甲方确认后更换到位，否则视为违约。表中项目负责人应作为审查现场负责人，除协调审核项目有关事宜外，还应承担管理责任，须管控并推进项目的总体进度，积极主动沟通、保质按时将项目完成。最终出具的正式成果报告，须有项目负责人签章。</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3.</w:t>
      </w:r>
      <w:r>
        <w:rPr>
          <w:rFonts w:hint="eastAsia" w:ascii="Calibri" w:hAnsi="Calibri" w:eastAsia="宋体" w:cstheme="minorHAnsi"/>
          <w:kern w:val="24"/>
        </w:rPr>
        <w:t>在工作执行过程中，坚持独立、客观、公正的原则，认真执行有关法律和法规、行业规范，对出具的审核报告负有永久法律责任。</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4.</w:t>
      </w:r>
      <w:r>
        <w:rPr>
          <w:rFonts w:hint="eastAsia" w:ascii="Calibri" w:hAnsi="Calibri" w:eastAsia="宋体" w:cstheme="minorHAnsi"/>
          <w:kern w:val="24"/>
        </w:rPr>
        <w:t>乙方务必与甲方就审核资料进行详细的、逐件的签字备案制的交接，建立交接台账并妥善保管，若资料因乙方责任发生丢失，应视情节严重承担违约甚至违法责任。</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5.</w:t>
      </w:r>
      <w:r>
        <w:rPr>
          <w:rFonts w:hint="eastAsia" w:ascii="Calibri" w:hAnsi="Calibri" w:eastAsia="宋体" w:cstheme="minorHAnsi"/>
          <w:kern w:val="24"/>
        </w:rPr>
        <w:t>乙方在执业过程中涉及的国家秘密和甲方及被审核单位秘密，应遵守国家保密条例和有关保密协定。</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6.</w:t>
      </w:r>
      <w:r>
        <w:rPr>
          <w:rFonts w:hint="eastAsia" w:ascii="Calibri" w:hAnsi="Calibri" w:eastAsia="宋体" w:cstheme="minorHAnsi"/>
          <w:kern w:val="24"/>
        </w:rPr>
        <w:t>乙方根据甲方提供的项目审核范围、对象及期限要求，进行审核工作，及时向甲方出具科学、客观、公正且符合规定的报告。本项目业务不得转包、分包给任何第三方，乙方对审核报告负法律责任，未经甲方事先书面同意，不得将与本项目相关的任何资料、信息以任何形式提供给第三方。</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7.</w:t>
      </w:r>
      <w:r>
        <w:rPr>
          <w:rFonts w:hint="eastAsia" w:ascii="Calibri" w:hAnsi="Calibri" w:eastAsia="宋体" w:cstheme="minorHAnsi"/>
          <w:kern w:val="24"/>
        </w:rPr>
        <w:t>乙方应与甲方签订《西安市财政投资项目审核廉政保密承诺书》并严格遵守（见附件</w:t>
      </w:r>
      <w:r>
        <w:rPr>
          <w:rFonts w:ascii="Calibri" w:hAnsi="Calibri" w:eastAsia="宋体" w:cstheme="minorHAnsi"/>
          <w:kern w:val="24"/>
        </w:rPr>
        <w:t>2</w:t>
      </w:r>
      <w:r>
        <w:rPr>
          <w:rFonts w:hint="eastAsia" w:ascii="Calibri" w:hAnsi="Calibri" w:eastAsia="宋体" w:cstheme="minorHAnsi"/>
          <w:kern w:val="24"/>
        </w:rPr>
        <w:t>）。如遇申诉、上级检查等情况，无论合同服务是否结束，乙方应当无条件配合。</w:t>
      </w:r>
      <w:bookmarkStart w:id="68" w:name="_Toc31667"/>
    </w:p>
    <w:p>
      <w:pPr>
        <w:snapToGrid w:val="0"/>
        <w:spacing w:line="360" w:lineRule="auto"/>
        <w:rPr>
          <w:rFonts w:ascii="Calibri" w:hAnsi="Calibri" w:eastAsia="宋体" w:cstheme="minorHAnsi"/>
          <w:b/>
          <w:kern w:val="24"/>
        </w:rPr>
      </w:pPr>
      <w:r>
        <w:rPr>
          <w:rFonts w:hint="eastAsia" w:ascii="Calibri" w:hAnsi="Calibri" w:eastAsia="宋体" w:cstheme="minorHAnsi"/>
          <w:b/>
          <w:kern w:val="24"/>
        </w:rPr>
        <w:t>七、</w:t>
      </w:r>
      <w:bookmarkEnd w:id="67"/>
      <w:bookmarkEnd w:id="68"/>
      <w:r>
        <w:rPr>
          <w:rFonts w:hint="eastAsia" w:ascii="Calibri" w:hAnsi="Calibri" w:eastAsia="宋体" w:cstheme="minorHAnsi"/>
          <w:b/>
          <w:kern w:val="24"/>
        </w:rPr>
        <w:t>违约责任</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1.</w:t>
      </w:r>
      <w:r>
        <w:rPr>
          <w:rFonts w:hint="eastAsia" w:ascii="Calibri" w:hAnsi="Calibri" w:eastAsia="宋体" w:cstheme="minorHAnsi"/>
          <w:kern w:val="24"/>
        </w:rPr>
        <w:t>按《民法典》中的相关条款执行。</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2.</w:t>
      </w:r>
      <w:r>
        <w:rPr>
          <w:rFonts w:hint="eastAsia" w:ascii="Calibri" w:hAnsi="Calibri" w:eastAsia="宋体" w:cstheme="minorHAnsi"/>
          <w:kern w:val="24"/>
        </w:rPr>
        <w:t>乙方未按合同要求提供服务或服务质量不能满足合同要求，甲方有权依据《民法典》有关条款及合同约定终止合同，并要求乙方承担违约责任，包括但不限于退还已收取的全部费用、赔偿甲方全部损失，并应承担乙方在《西安市财政投资项目审核廉政保密承诺书》中承诺的相应责任。同时，政府采购监管部门有权依据《政府采购法》及相关法律法规对乙方的违法行为进行相应的处罚。</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3.</w:t>
      </w:r>
      <w:r>
        <w:rPr>
          <w:rFonts w:hint="eastAsia" w:ascii="Calibri" w:hAnsi="Calibri" w:eastAsia="宋体" w:cstheme="minorHAnsi"/>
          <w:kern w:val="24"/>
        </w:rPr>
        <w:t>乙方如不能按进度出具审核报告，应承担违约责任，甲方有权根据本合同附件</w:t>
      </w:r>
      <w:r>
        <w:rPr>
          <w:rFonts w:ascii="Calibri" w:hAnsi="Calibri" w:eastAsia="宋体" w:cstheme="minorHAnsi"/>
          <w:kern w:val="24"/>
        </w:rPr>
        <w:t>1的考核机制</w:t>
      </w:r>
      <w:r>
        <w:rPr>
          <w:rFonts w:hint="eastAsia" w:ascii="Calibri" w:hAnsi="Calibri" w:eastAsia="宋体" w:cstheme="minorHAnsi"/>
          <w:kern w:val="24"/>
        </w:rPr>
        <w:t>扣减相应审核费用；若该等迟延导致合同目的无法实现或给甲方造成其他损失的，乙方应赔偿甲方的全部损失及由此产生的合理维权成本。</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4.</w:t>
      </w:r>
      <w:r>
        <w:rPr>
          <w:rFonts w:hint="eastAsia" w:ascii="Calibri" w:hAnsi="Calibri" w:eastAsia="宋体" w:cstheme="minorHAnsi"/>
          <w:kern w:val="24"/>
        </w:rPr>
        <w:t>甲方有权定期或不定期对乙方的工作进行抽审，或安排不同中介机构之间进行交叉复审。对乙方有违约、舞弊或过失行为的，甲方有权随时终止委托，且不支付审核费用，乙方已收取审核费用的应退还甲方。上述行为造成甲方经济损失的，乙方应赔偿甲方的全部损失及由此产生的合理维权成本。</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5.</w:t>
      </w:r>
      <w:r>
        <w:rPr>
          <w:rFonts w:hint="eastAsia" w:ascii="Calibri" w:hAnsi="Calibri" w:eastAsia="宋体" w:cstheme="minorHAnsi"/>
          <w:kern w:val="24"/>
        </w:rPr>
        <w:t>甲方无故终止委托，乙方有权终止审核并要求赔偿相应经济损失。</w:t>
      </w:r>
    </w:p>
    <w:p>
      <w:pPr>
        <w:snapToGrid w:val="0"/>
        <w:spacing w:line="360" w:lineRule="auto"/>
        <w:rPr>
          <w:rFonts w:ascii="Calibri" w:hAnsi="Calibri" w:eastAsia="宋体" w:cstheme="minorHAnsi"/>
          <w:b/>
          <w:kern w:val="24"/>
        </w:rPr>
      </w:pPr>
      <w:bookmarkStart w:id="69" w:name="_Toc14740"/>
      <w:bookmarkStart w:id="70" w:name="_Toc19659"/>
      <w:r>
        <w:rPr>
          <w:rFonts w:hint="eastAsia" w:ascii="Calibri" w:hAnsi="Calibri" w:eastAsia="宋体" w:cstheme="minorHAnsi"/>
          <w:b/>
          <w:kern w:val="24"/>
        </w:rPr>
        <w:t>八、合同生效及其他</w:t>
      </w:r>
      <w:bookmarkEnd w:id="69"/>
      <w:bookmarkEnd w:id="70"/>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1.</w:t>
      </w:r>
      <w:r>
        <w:rPr>
          <w:rFonts w:hint="eastAsia" w:ascii="Calibri" w:hAnsi="Calibri" w:eastAsia="宋体" w:cstheme="minorHAnsi"/>
          <w:kern w:val="24"/>
        </w:rPr>
        <w:t>本合同自甲、乙双方法定代表人或授权代表签字并加盖公章之日起生效。</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2.</w:t>
      </w:r>
      <w:r>
        <w:rPr>
          <w:rFonts w:hint="eastAsia" w:ascii="Calibri" w:hAnsi="Calibri" w:eastAsia="宋体" w:cstheme="minorHAnsi"/>
          <w:kern w:val="24"/>
        </w:rPr>
        <w:t>本合同附件为本合同不可分割的组成部分，与本合同具有同等效力。</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3.</w:t>
      </w:r>
      <w:r>
        <w:rPr>
          <w:rFonts w:hint="eastAsia" w:ascii="Calibri" w:hAnsi="Calibri" w:eastAsia="宋体" w:cstheme="minorHAnsi"/>
          <w:kern w:val="24"/>
        </w:rPr>
        <w:t>本合同部分条款的无效或者变更不影响其他条款的效力。</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4.</w:t>
      </w:r>
      <w:r>
        <w:rPr>
          <w:rFonts w:hint="eastAsia" w:ascii="Calibri" w:hAnsi="Calibri" w:eastAsia="宋体" w:cstheme="minorHAnsi"/>
          <w:kern w:val="24"/>
        </w:rPr>
        <w:t>本合同一式贰份，甲、乙双方各执壹份，具有同等效力。</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5.</w:t>
      </w:r>
      <w:r>
        <w:rPr>
          <w:rFonts w:hint="eastAsia" w:ascii="Calibri" w:hAnsi="Calibri" w:eastAsia="宋体" w:cstheme="minorHAnsi"/>
          <w:kern w:val="24"/>
        </w:rPr>
        <w:t>合同内容如有与国家法律法规强制性规定冲突的，从其规定。</w:t>
      </w:r>
    </w:p>
    <w:p>
      <w:pPr>
        <w:snapToGrid w:val="0"/>
        <w:spacing w:line="360" w:lineRule="auto"/>
        <w:ind w:firstLine="480" w:firstLineChars="200"/>
        <w:rPr>
          <w:rFonts w:ascii="Calibri" w:hAnsi="Calibri" w:eastAsia="宋体" w:cstheme="minorHAnsi"/>
          <w:kern w:val="24"/>
        </w:rPr>
      </w:pPr>
      <w:r>
        <w:rPr>
          <w:rFonts w:ascii="Calibri" w:hAnsi="Calibri" w:eastAsia="宋体" w:cstheme="minorHAnsi"/>
          <w:kern w:val="24"/>
        </w:rPr>
        <w:t>6.</w:t>
      </w:r>
      <w:r>
        <w:rPr>
          <w:rFonts w:hint="eastAsia" w:ascii="Calibri" w:hAnsi="Calibri" w:eastAsia="宋体" w:cstheme="minorHAnsi"/>
          <w:kern w:val="24"/>
        </w:rPr>
        <w:t>如合同有未尽事宜，以招标文件为准，招标文件未做要求的，由双方依法订立补充合同。</w:t>
      </w:r>
    </w:p>
    <w:p>
      <w:pPr>
        <w:snapToGrid w:val="0"/>
        <w:spacing w:line="360" w:lineRule="auto"/>
        <w:rPr>
          <w:rFonts w:ascii="Calibri" w:hAnsi="Calibri" w:eastAsia="宋体" w:cstheme="minorHAnsi"/>
          <w:b/>
          <w:kern w:val="24"/>
        </w:rPr>
      </w:pPr>
      <w:bookmarkStart w:id="71" w:name="_Toc32739"/>
      <w:bookmarkStart w:id="72" w:name="_Toc2595"/>
      <w:bookmarkStart w:id="73" w:name="_Toc7262"/>
      <w:r>
        <w:rPr>
          <w:rFonts w:hint="eastAsia" w:ascii="Calibri" w:hAnsi="Calibri" w:eastAsia="宋体" w:cstheme="minorHAnsi"/>
          <w:b/>
          <w:kern w:val="24"/>
        </w:rPr>
        <w:t>九、合同争议解决的方式</w:t>
      </w:r>
      <w:bookmarkEnd w:id="71"/>
      <w:bookmarkEnd w:id="72"/>
      <w:bookmarkEnd w:id="73"/>
    </w:p>
    <w:p>
      <w:pPr>
        <w:snapToGrid w:val="0"/>
        <w:spacing w:line="360" w:lineRule="auto"/>
        <w:ind w:firstLine="480" w:firstLineChars="200"/>
        <w:rPr>
          <w:rFonts w:ascii="Calibri" w:hAnsi="Calibri" w:eastAsia="宋体" w:cstheme="minorHAnsi"/>
          <w:kern w:val="24"/>
        </w:rPr>
      </w:pPr>
      <w:r>
        <w:rPr>
          <w:rFonts w:hint="eastAsia" w:ascii="Calibri" w:hAnsi="Calibri" w:eastAsia="宋体" w:cstheme="minorHAnsi"/>
          <w:kern w:val="24"/>
        </w:rPr>
        <w:t>因本合同引起的或与本合同有关的任何争议，由甲、乙双方当事人协商解决，协商不成的，任何一方均有权向甲方住所地有管辖权的人民法院提起诉讼。</w:t>
      </w:r>
    </w:p>
    <w:p>
      <w:pPr>
        <w:snapToGrid w:val="0"/>
        <w:spacing w:line="360" w:lineRule="auto"/>
        <w:rPr>
          <w:rFonts w:ascii="Calibri" w:hAnsi="Calibri" w:eastAsia="宋体" w:cstheme="minorHAnsi"/>
          <w:b/>
          <w:kern w:val="24"/>
        </w:rPr>
      </w:pPr>
      <w:r>
        <w:rPr>
          <w:rFonts w:hint="eastAsia" w:ascii="Calibri" w:hAnsi="Calibri" w:eastAsia="宋体" w:cstheme="minorHAnsi"/>
          <w:b/>
          <w:kern w:val="24"/>
        </w:rPr>
        <w:t>十</w:t>
      </w:r>
      <w:r>
        <w:rPr>
          <w:rFonts w:ascii="Calibri" w:hAnsi="Calibri" w:eastAsia="宋体" w:cstheme="minorHAnsi"/>
          <w:b/>
          <w:kern w:val="24"/>
        </w:rPr>
        <w:t>、附件</w:t>
      </w:r>
    </w:p>
    <w:p>
      <w:pPr>
        <w:snapToGrid w:val="0"/>
        <w:spacing w:line="360" w:lineRule="auto"/>
        <w:rPr>
          <w:rFonts w:ascii="Calibri" w:hAnsi="Calibri" w:eastAsia="宋体" w:cstheme="minorHAnsi"/>
          <w:b/>
          <w:kern w:val="24"/>
        </w:rPr>
      </w:pPr>
      <w:r>
        <w:rPr>
          <w:rFonts w:hint="eastAsia" w:ascii="Calibri" w:hAnsi="Calibri" w:eastAsia="宋体" w:cstheme="minorHAnsi"/>
          <w:b/>
          <w:kern w:val="24"/>
        </w:rPr>
        <w:t>附件1：</w:t>
      </w:r>
    </w:p>
    <w:p>
      <w:pPr>
        <w:snapToGrid w:val="0"/>
        <w:spacing w:line="360" w:lineRule="auto"/>
        <w:jc w:val="center"/>
        <w:rPr>
          <w:rFonts w:ascii="Calibri" w:hAnsi="Calibri" w:eastAsia="宋体" w:cstheme="minorHAnsi"/>
          <w:b/>
          <w:kern w:val="24"/>
        </w:rPr>
      </w:pPr>
      <w:r>
        <w:rPr>
          <w:rFonts w:hint="eastAsia" w:ascii="Calibri" w:hAnsi="Calibri" w:eastAsia="宋体" w:cstheme="minorHAnsi"/>
          <w:b/>
          <w:kern w:val="24"/>
        </w:rPr>
        <w:t>招标项目中标机构考核内容</w:t>
      </w:r>
    </w:p>
    <w:p>
      <w:pPr>
        <w:pStyle w:val="83"/>
        <w:ind w:firstLine="480"/>
      </w:pPr>
      <w:r>
        <w:rPr>
          <w:rFonts w:hint="eastAsia"/>
        </w:rPr>
        <w:t>第一条  中标机构审核方案确定后，不得更换上报人员。如果发生人员变化，每更换一人，考核时人员投入情况扣10分。</w:t>
      </w:r>
    </w:p>
    <w:p>
      <w:pPr>
        <w:pStyle w:val="83"/>
        <w:ind w:firstLine="480"/>
      </w:pPr>
      <w:r>
        <w:rPr>
          <w:rFonts w:hint="eastAsia"/>
        </w:rPr>
        <w:t>第二条  中标机构的考核由中心业务部、监审部和信息专家部分别对每个合作项目进行全过程工作质量考核（均为百分制，考核标准见下表），涉及采价的项目按照业务部占40%、监审部占30%、信息专家部占30%加权平均后作为考核结果；未涉及采价的项目按照业务部占60%、监审部占40%加权平均后作为考核结果。</w:t>
      </w:r>
    </w:p>
    <w:p>
      <w:pPr>
        <w:pStyle w:val="83"/>
        <w:ind w:firstLine="480"/>
      </w:pPr>
      <w:r>
        <w:rPr>
          <w:rFonts w:hint="eastAsia"/>
        </w:rPr>
        <w:t>第三条  考核得分作为中标机构参与财政投资项目工作质量的评定依据。</w:t>
      </w:r>
    </w:p>
    <w:p>
      <w:pPr>
        <w:pStyle w:val="83"/>
        <w:ind w:firstLine="480"/>
      </w:pPr>
      <w:r>
        <w:rPr>
          <w:rFonts w:hint="eastAsia"/>
        </w:rPr>
        <w:t>第四条  考核结果与审核服务费挂钩。具体如下：</w:t>
      </w:r>
    </w:p>
    <w:p>
      <w:pPr>
        <w:pStyle w:val="83"/>
        <w:ind w:firstLine="480"/>
      </w:pPr>
      <w:r>
        <w:rPr>
          <w:rFonts w:hint="eastAsia"/>
        </w:rPr>
        <w:t>（一）考核分值在80分（含）以上的按合同全额支付审核服务费；</w:t>
      </w:r>
    </w:p>
    <w:p>
      <w:pPr>
        <w:pStyle w:val="83"/>
        <w:ind w:firstLine="480"/>
      </w:pPr>
      <w:r>
        <w:rPr>
          <w:rFonts w:hint="eastAsia"/>
        </w:rPr>
        <w:t>（二）考核分值在80分（不含）—70分（含）之间，扣除审核服务费的10%；</w:t>
      </w:r>
    </w:p>
    <w:p>
      <w:pPr>
        <w:pStyle w:val="83"/>
        <w:ind w:firstLine="480"/>
      </w:pPr>
      <w:r>
        <w:rPr>
          <w:rFonts w:hint="eastAsia"/>
        </w:rPr>
        <w:t>（三）考核分值在70分（不含）—60分（含），扣除审核服务费的20%；</w:t>
      </w:r>
    </w:p>
    <w:p>
      <w:pPr>
        <w:pStyle w:val="83"/>
        <w:ind w:firstLine="480"/>
      </w:pPr>
      <w:r>
        <w:rPr>
          <w:rFonts w:hint="eastAsia"/>
        </w:rPr>
        <w:t>（四）考核分值低于60分，扣除审核服务费的50%。</w:t>
      </w:r>
    </w:p>
    <w:p>
      <w:pPr>
        <w:pStyle w:val="83"/>
        <w:ind w:firstLine="480"/>
      </w:pPr>
      <w:r>
        <w:rPr>
          <w:rFonts w:hint="eastAsia"/>
        </w:rPr>
        <w:t>第五条  中标机构及审核人员工作出现重大过失，给审核工作造成损失或严重后果的承担相应的法律责任。</w:t>
      </w:r>
    </w:p>
    <w:p>
      <w:pPr>
        <w:pStyle w:val="83"/>
        <w:ind w:firstLine="480"/>
      </w:pPr>
    </w:p>
    <w:p>
      <w:pPr>
        <w:pStyle w:val="83"/>
        <w:ind w:firstLine="480"/>
      </w:pPr>
    </w:p>
    <w:tbl>
      <w:tblPr>
        <w:tblStyle w:val="26"/>
        <w:tblW w:w="9324" w:type="dxa"/>
        <w:tblInd w:w="-252" w:type="dxa"/>
        <w:tblLayout w:type="fixed"/>
        <w:tblCellMar>
          <w:top w:w="0" w:type="dxa"/>
          <w:left w:w="108" w:type="dxa"/>
          <w:bottom w:w="0" w:type="dxa"/>
          <w:right w:w="108" w:type="dxa"/>
        </w:tblCellMar>
      </w:tblPr>
      <w:tblGrid>
        <w:gridCol w:w="900"/>
        <w:gridCol w:w="1620"/>
        <w:gridCol w:w="705"/>
        <w:gridCol w:w="1705"/>
        <w:gridCol w:w="635"/>
        <w:gridCol w:w="1350"/>
        <w:gridCol w:w="1275"/>
        <w:gridCol w:w="1134"/>
      </w:tblGrid>
      <w:tr>
        <w:tblPrEx>
          <w:tblCellMar>
            <w:top w:w="0" w:type="dxa"/>
            <w:left w:w="108" w:type="dxa"/>
            <w:bottom w:w="0" w:type="dxa"/>
            <w:right w:w="108" w:type="dxa"/>
          </w:tblCellMar>
        </w:tblPrEx>
        <w:trPr>
          <w:trHeight w:val="476" w:hRule="atLeast"/>
        </w:trPr>
        <w:tc>
          <w:tcPr>
            <w:tcW w:w="9324" w:type="dxa"/>
            <w:gridSpan w:val="8"/>
            <w:tcBorders>
              <w:top w:val="nil"/>
              <w:left w:val="nil"/>
              <w:bottom w:val="nil"/>
              <w:right w:val="nil"/>
            </w:tcBorders>
            <w:shd w:val="clear" w:color="auto" w:fill="auto"/>
            <w:noWrap/>
            <w:vAlign w:val="center"/>
          </w:tcPr>
          <w:p>
            <w:pPr>
              <w:snapToGrid w:val="0"/>
              <w:spacing w:line="360" w:lineRule="auto"/>
              <w:jc w:val="center"/>
              <w:rPr>
                <w:rFonts w:ascii="Calibri" w:hAnsi="Calibri" w:eastAsia="宋体" w:cstheme="minorHAnsi"/>
                <w:b/>
                <w:kern w:val="24"/>
              </w:rPr>
            </w:pPr>
            <w:r>
              <w:rPr>
                <w:rFonts w:hint="eastAsia" w:ascii="Calibri" w:hAnsi="Calibri" w:eastAsia="宋体" w:cstheme="minorHAnsi"/>
                <w:b/>
                <w:kern w:val="24"/>
              </w:rPr>
              <w:t>项目审核工作质量考核评分表(评审业务部）</w:t>
            </w:r>
          </w:p>
        </w:tc>
      </w:tr>
      <w:tr>
        <w:tblPrEx>
          <w:tblCellMar>
            <w:top w:w="0" w:type="dxa"/>
            <w:left w:w="108" w:type="dxa"/>
            <w:bottom w:w="0" w:type="dxa"/>
            <w:right w:w="108" w:type="dxa"/>
          </w:tblCellMar>
        </w:tblPrEx>
        <w:trPr>
          <w:trHeight w:val="285" w:hRule="atLeast"/>
        </w:trPr>
        <w:tc>
          <w:tcPr>
            <w:tcW w:w="2520" w:type="dxa"/>
            <w:gridSpan w:val="2"/>
            <w:tcBorders>
              <w:top w:val="nil"/>
              <w:left w:val="nil"/>
              <w:bottom w:val="nil"/>
              <w:right w:val="nil"/>
            </w:tcBorders>
            <w:shd w:val="clear" w:color="auto" w:fill="auto"/>
            <w:noWrap/>
            <w:vAlign w:val="center"/>
          </w:tcPr>
          <w:p>
            <w:pPr>
              <w:snapToGrid w:val="0"/>
              <w:spacing w:line="360" w:lineRule="auto"/>
              <w:jc w:val="center"/>
              <w:rPr>
                <w:rFonts w:ascii="Calibri" w:hAnsi="Calibri" w:eastAsia="宋体" w:cstheme="minorHAnsi"/>
                <w:b/>
                <w:kern w:val="24"/>
              </w:rPr>
            </w:pPr>
            <w:r>
              <w:rPr>
                <w:rFonts w:hint="eastAsia" w:ascii="Calibri" w:hAnsi="Calibri" w:eastAsia="宋体" w:cstheme="minorHAnsi"/>
                <w:b/>
                <w:kern w:val="24"/>
              </w:rPr>
              <w:t>合作中介机构名称：</w:t>
            </w:r>
          </w:p>
        </w:tc>
        <w:tc>
          <w:tcPr>
            <w:tcW w:w="2410" w:type="dxa"/>
            <w:gridSpan w:val="2"/>
            <w:tcBorders>
              <w:top w:val="nil"/>
              <w:left w:val="nil"/>
              <w:bottom w:val="nil"/>
              <w:right w:val="nil"/>
            </w:tcBorders>
            <w:shd w:val="clear" w:color="auto" w:fill="auto"/>
            <w:noWrap/>
            <w:vAlign w:val="center"/>
          </w:tcPr>
          <w:p>
            <w:pPr>
              <w:snapToGrid w:val="0"/>
              <w:spacing w:line="360" w:lineRule="auto"/>
              <w:jc w:val="center"/>
              <w:rPr>
                <w:rFonts w:ascii="Calibri" w:hAnsi="Calibri" w:eastAsia="宋体" w:cstheme="minorHAnsi"/>
                <w:b/>
                <w:kern w:val="24"/>
              </w:rPr>
            </w:pPr>
          </w:p>
        </w:tc>
        <w:tc>
          <w:tcPr>
            <w:tcW w:w="1985" w:type="dxa"/>
            <w:gridSpan w:val="2"/>
            <w:tcBorders>
              <w:top w:val="nil"/>
              <w:left w:val="nil"/>
              <w:bottom w:val="nil"/>
              <w:right w:val="nil"/>
            </w:tcBorders>
            <w:shd w:val="clear" w:color="auto" w:fill="auto"/>
            <w:noWrap/>
            <w:vAlign w:val="center"/>
          </w:tcPr>
          <w:p>
            <w:pPr>
              <w:snapToGrid w:val="0"/>
              <w:spacing w:line="360" w:lineRule="auto"/>
              <w:jc w:val="center"/>
              <w:rPr>
                <w:rFonts w:ascii="Calibri" w:hAnsi="Calibri" w:eastAsia="宋体" w:cstheme="minorHAnsi"/>
                <w:b/>
                <w:kern w:val="24"/>
              </w:rPr>
            </w:pPr>
            <w:r>
              <w:rPr>
                <w:rFonts w:hint="eastAsia" w:ascii="Calibri" w:hAnsi="Calibri" w:eastAsia="宋体" w:cstheme="minorHAnsi"/>
                <w:b/>
                <w:kern w:val="24"/>
              </w:rPr>
              <w:t>审核项目名称：</w:t>
            </w:r>
          </w:p>
        </w:tc>
        <w:tc>
          <w:tcPr>
            <w:tcW w:w="2409" w:type="dxa"/>
            <w:gridSpan w:val="2"/>
            <w:tcBorders>
              <w:top w:val="nil"/>
              <w:left w:val="nil"/>
              <w:bottom w:val="nil"/>
              <w:right w:val="nil"/>
            </w:tcBorders>
            <w:shd w:val="clear" w:color="auto" w:fill="auto"/>
            <w:noWrap/>
            <w:vAlign w:val="center"/>
          </w:tcPr>
          <w:p>
            <w:pPr>
              <w:snapToGrid w:val="0"/>
              <w:spacing w:line="360" w:lineRule="auto"/>
              <w:jc w:val="center"/>
              <w:rPr>
                <w:rFonts w:ascii="Calibri" w:hAnsi="Calibri" w:eastAsia="宋体" w:cstheme="minorHAnsi"/>
                <w:b/>
                <w:kern w:val="24"/>
              </w:rPr>
            </w:pPr>
          </w:p>
        </w:tc>
      </w:tr>
      <w:tr>
        <w:tblPrEx>
          <w:tblCellMar>
            <w:top w:w="0" w:type="dxa"/>
            <w:left w:w="108" w:type="dxa"/>
            <w:bottom w:w="0" w:type="dxa"/>
            <w:right w:w="108" w:type="dxa"/>
          </w:tblCellMar>
        </w:tblPrEx>
        <w:trPr>
          <w:trHeight w:val="918"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考核指标</w:t>
            </w:r>
          </w:p>
        </w:tc>
        <w:tc>
          <w:tcPr>
            <w:tcW w:w="1620" w:type="dxa"/>
            <w:tcBorders>
              <w:top w:val="single" w:color="auto" w:sz="4" w:space="0"/>
              <w:left w:val="nil"/>
              <w:bottom w:val="single" w:color="auto" w:sz="4" w:space="0"/>
              <w:right w:val="single" w:color="auto" w:sz="4" w:space="0"/>
            </w:tcBorders>
            <w:shd w:val="clear" w:color="auto" w:fill="auto"/>
            <w:vAlign w:val="center"/>
          </w:tcPr>
          <w:p>
            <w:pPr>
              <w:spacing w:line="240" w:lineRule="exact"/>
              <w:ind w:left="-139" w:leftChars="-58" w:right="-122" w:rightChars="-51"/>
              <w:jc w:val="center"/>
              <w:rPr>
                <w:rFonts w:ascii="仿宋_GB2312" w:hAnsi="宋体" w:eastAsia="仿宋_GB2312" w:cs="宋体"/>
                <w:b/>
                <w:sz w:val="18"/>
                <w:szCs w:val="18"/>
              </w:rPr>
            </w:pPr>
            <w:r>
              <w:rPr>
                <w:rFonts w:hint="eastAsia" w:ascii="仿宋_GB2312" w:hAnsi="宋体" w:eastAsia="仿宋_GB2312" w:cs="宋体"/>
                <w:b/>
                <w:sz w:val="18"/>
                <w:szCs w:val="18"/>
              </w:rPr>
              <w:t>人员投入情况</w:t>
            </w:r>
          </w:p>
          <w:p>
            <w:pPr>
              <w:spacing w:line="240" w:lineRule="exact"/>
              <w:ind w:left="-139" w:leftChars="-58" w:right="-122" w:rightChars="-51"/>
              <w:jc w:val="center"/>
              <w:rPr>
                <w:rFonts w:ascii="仿宋_GB2312" w:hAnsi="宋体" w:eastAsia="仿宋_GB2312" w:cs="宋体"/>
                <w:b/>
                <w:sz w:val="18"/>
                <w:szCs w:val="18"/>
              </w:rPr>
            </w:pPr>
            <w:r>
              <w:rPr>
                <w:rFonts w:hint="eastAsia" w:ascii="仿宋_GB2312" w:hAnsi="宋体" w:eastAsia="仿宋_GB2312" w:cs="宋体"/>
                <w:b/>
                <w:sz w:val="18"/>
                <w:szCs w:val="18"/>
              </w:rPr>
              <w:t>（15分）</w:t>
            </w:r>
          </w:p>
        </w:tc>
        <w:tc>
          <w:tcPr>
            <w:tcW w:w="241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审核过程（35分）</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exact"/>
              <w:ind w:right="-105" w:rightChars="-44"/>
              <w:jc w:val="center"/>
              <w:rPr>
                <w:rFonts w:ascii="仿宋_GB2312" w:hAnsi="宋体" w:eastAsia="仿宋_GB2312" w:cs="宋体"/>
                <w:b/>
                <w:sz w:val="18"/>
                <w:szCs w:val="18"/>
              </w:rPr>
            </w:pPr>
            <w:r>
              <w:rPr>
                <w:rFonts w:hint="eastAsia" w:ascii="仿宋_GB2312" w:hAnsi="宋体" w:eastAsia="仿宋_GB2312" w:cs="宋体"/>
                <w:b/>
                <w:sz w:val="18"/>
                <w:szCs w:val="18"/>
              </w:rPr>
              <w:t>审核质量（40分）</w:t>
            </w:r>
          </w:p>
        </w:tc>
        <w:tc>
          <w:tcPr>
            <w:tcW w:w="1275"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审核时限（10分）</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40" w:lineRule="exact"/>
              <w:ind w:right="-105" w:rightChars="-44"/>
              <w:jc w:val="center"/>
              <w:rPr>
                <w:rFonts w:ascii="仿宋_GB2312" w:hAnsi="宋体" w:eastAsia="仿宋_GB2312" w:cs="宋体"/>
                <w:b/>
                <w:sz w:val="18"/>
                <w:szCs w:val="18"/>
              </w:rPr>
            </w:pPr>
            <w:r>
              <w:rPr>
                <w:rFonts w:hint="eastAsia" w:ascii="仿宋_GB2312" w:hAnsi="宋体" w:eastAsia="仿宋_GB2312" w:cs="宋体"/>
                <w:b/>
                <w:sz w:val="18"/>
                <w:szCs w:val="18"/>
              </w:rPr>
              <w:t>合计（100分）</w:t>
            </w:r>
          </w:p>
        </w:tc>
      </w:tr>
      <w:tr>
        <w:tblPrEx>
          <w:tblCellMar>
            <w:top w:w="0" w:type="dxa"/>
            <w:left w:w="108" w:type="dxa"/>
            <w:bottom w:w="0" w:type="dxa"/>
            <w:right w:w="108" w:type="dxa"/>
          </w:tblCellMar>
        </w:tblPrEx>
        <w:trPr>
          <w:trHeight w:val="1665"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b/>
                <w:sz w:val="21"/>
                <w:szCs w:val="21"/>
              </w:rPr>
            </w:pPr>
            <w:r>
              <w:rPr>
                <w:rFonts w:hint="eastAsia" w:ascii="仿宋_GB2312" w:hAnsi="宋体" w:eastAsia="仿宋_GB2312" w:cs="宋体"/>
                <w:b/>
                <w:sz w:val="21"/>
                <w:szCs w:val="21"/>
              </w:rPr>
              <w:t>考核     内容</w:t>
            </w:r>
          </w:p>
        </w:tc>
        <w:tc>
          <w:tcPr>
            <w:tcW w:w="1620"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项目审核人员及数量是否配备合理；组织管理是否得力</w:t>
            </w:r>
          </w:p>
        </w:tc>
        <w:tc>
          <w:tcPr>
            <w:tcW w:w="2410" w:type="dxa"/>
            <w:gridSpan w:val="2"/>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技术准备是否充分；现场勘验及交流是否及时深入；审核协商工作会议组织参与及准备情况</w:t>
            </w:r>
          </w:p>
        </w:tc>
        <w:tc>
          <w:tcPr>
            <w:tcW w:w="1985" w:type="dxa"/>
            <w:gridSpan w:val="2"/>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是否按财政投资评审规定的要求执行；是否合法合理；审核内容是否全面；表述是否清晰；数据结论是否准确；是否建立技术档案等。</w:t>
            </w:r>
          </w:p>
        </w:tc>
        <w:tc>
          <w:tcPr>
            <w:tcW w:w="1275" w:type="dxa"/>
            <w:tcBorders>
              <w:top w:val="nil"/>
              <w:left w:val="nil"/>
              <w:bottom w:val="single" w:color="auto" w:sz="4" w:space="0"/>
              <w:right w:val="single" w:color="auto" w:sz="4" w:space="0"/>
            </w:tcBorders>
            <w:shd w:val="clear" w:color="auto" w:fill="auto"/>
            <w:vAlign w:val="center"/>
          </w:tcPr>
          <w:p>
            <w:pPr>
              <w:spacing w:line="240" w:lineRule="exact"/>
              <w:ind w:right="-122" w:rightChars="-51"/>
              <w:rPr>
                <w:rFonts w:ascii="仿宋_GB2312" w:hAnsi="宋体" w:eastAsia="仿宋_GB2312" w:cs="宋体"/>
                <w:sz w:val="18"/>
                <w:szCs w:val="18"/>
              </w:rPr>
            </w:pPr>
            <w:r>
              <w:rPr>
                <w:rFonts w:hint="eastAsia" w:ascii="仿宋_GB2312" w:hAnsi="宋体" w:eastAsia="仿宋_GB2312" w:cs="宋体"/>
                <w:sz w:val="18"/>
                <w:szCs w:val="18"/>
              </w:rPr>
              <w:t xml:space="preserve">是否在规定时间内完成 </w:t>
            </w:r>
          </w:p>
        </w:tc>
        <w:tc>
          <w:tcPr>
            <w:tcW w:w="1134" w:type="dxa"/>
            <w:vMerge w:val="restart"/>
            <w:tcBorders>
              <w:top w:val="nil"/>
              <w:left w:val="nil"/>
              <w:right w:val="single" w:color="auto" w:sz="4" w:space="0"/>
            </w:tcBorders>
            <w:shd w:val="clear" w:color="auto" w:fill="auto"/>
            <w:vAlign w:val="center"/>
          </w:tcPr>
          <w:p>
            <w:pPr>
              <w:widowControl w:val="0"/>
              <w:spacing w:line="240" w:lineRule="exact"/>
              <w:rPr>
                <w:rFonts w:ascii="仿宋_GB2312" w:hAnsi="宋体" w:eastAsia="仿宋_GB2312" w:cs="宋体"/>
                <w:sz w:val="18"/>
                <w:szCs w:val="18"/>
              </w:rPr>
            </w:pPr>
          </w:p>
          <w:p>
            <w:pPr>
              <w:widowControl w:val="0"/>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1185" w:hRule="atLeast"/>
        </w:trPr>
        <w:tc>
          <w:tcPr>
            <w:tcW w:w="900"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exact"/>
              <w:jc w:val="center"/>
              <w:rPr>
                <w:rFonts w:ascii="仿宋_GB2312" w:hAnsi="宋体" w:eastAsia="仿宋_GB2312" w:cs="宋体"/>
                <w:b/>
                <w:sz w:val="21"/>
                <w:szCs w:val="21"/>
              </w:rPr>
            </w:pPr>
            <w:r>
              <w:rPr>
                <w:rFonts w:hint="eastAsia" w:ascii="仿宋_GB2312" w:hAnsi="宋体" w:eastAsia="仿宋_GB2312" w:cs="宋体"/>
                <w:b/>
                <w:sz w:val="21"/>
                <w:szCs w:val="21"/>
              </w:rPr>
              <w:t>评分标准</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配置合理，管理得力10－15分         配置一般，管理一般5－9分         配置不足，管理较差0－5分。</w:t>
            </w:r>
          </w:p>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另：如果发生人员变化，每更换一人扣5分，以此类推。</w:t>
            </w:r>
          </w:p>
        </w:tc>
        <w:tc>
          <w:tcPr>
            <w:tcW w:w="2410" w:type="dxa"/>
            <w:gridSpan w:val="2"/>
            <w:tcBorders>
              <w:top w:val="nil"/>
              <w:left w:val="nil"/>
              <w:bottom w:val="nil"/>
              <w:right w:val="single" w:color="auto" w:sz="4" w:space="0"/>
            </w:tcBorders>
            <w:shd w:val="clear" w:color="auto" w:fill="auto"/>
            <w:vAlign w:val="center"/>
          </w:tcPr>
          <w:p>
            <w:pPr>
              <w:spacing w:line="240" w:lineRule="exact"/>
              <w:rPr>
                <w:rFonts w:ascii="仿宋_GB2312" w:hAnsi="宋体" w:eastAsia="仿宋_GB2312" w:cs="宋体"/>
                <w:spacing w:val="-20"/>
                <w:sz w:val="18"/>
                <w:szCs w:val="18"/>
              </w:rPr>
            </w:pPr>
            <w:r>
              <w:rPr>
                <w:rFonts w:hint="eastAsia" w:ascii="仿宋_GB2312" w:hAnsi="宋体" w:eastAsia="仿宋_GB2312" w:cs="宋体"/>
                <w:spacing w:val="-20"/>
                <w:sz w:val="18"/>
                <w:szCs w:val="18"/>
              </w:rPr>
              <w:t>准备充分，勘验及交流及时深入，15－20分；准备一般，勘验及交流一般，10－14分；准备不足，勘验及交流较差0－9分。</w:t>
            </w:r>
          </w:p>
        </w:tc>
        <w:tc>
          <w:tcPr>
            <w:tcW w:w="198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按财政投资评审规定的要求执行，合理合法 0-15分，审核内容全面、表述清晰 0-10分，数据结论准确0-10分，建立技术档案0-5分</w:t>
            </w: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在规定时间内完成,10分；未在规定时间内完成， 0分。</w:t>
            </w:r>
          </w:p>
        </w:tc>
        <w:tc>
          <w:tcPr>
            <w:tcW w:w="1134" w:type="dxa"/>
            <w:vMerge w:val="continue"/>
            <w:tcBorders>
              <w:left w:val="single" w:color="auto" w:sz="4" w:space="0"/>
              <w:right w:val="single" w:color="auto" w:sz="4" w:space="0"/>
            </w:tcBorders>
            <w:shd w:val="clear" w:color="auto" w:fill="auto"/>
            <w:vAlign w:val="center"/>
          </w:tcPr>
          <w:p>
            <w:pPr>
              <w:widowControl w:val="0"/>
              <w:spacing w:line="240" w:lineRule="exact"/>
              <w:rPr>
                <w:rFonts w:ascii="仿宋_GB2312" w:hAnsi="宋体" w:eastAsia="仿宋_GB2312" w:cs="宋体"/>
                <w:sz w:val="18"/>
                <w:szCs w:val="18"/>
              </w:rPr>
            </w:pPr>
          </w:p>
        </w:tc>
      </w:tr>
      <w:tr>
        <w:tblPrEx>
          <w:tblCellMar>
            <w:top w:w="0" w:type="dxa"/>
            <w:left w:w="108" w:type="dxa"/>
            <w:bottom w:w="0" w:type="dxa"/>
            <w:right w:w="108" w:type="dxa"/>
          </w:tblCellMar>
        </w:tblPrEx>
        <w:trPr>
          <w:trHeight w:val="1680" w:hRule="atLeast"/>
        </w:trPr>
        <w:tc>
          <w:tcPr>
            <w:tcW w:w="900" w:type="dxa"/>
            <w:vMerge w:val="continue"/>
            <w:tcBorders>
              <w:top w:val="nil"/>
              <w:left w:val="single" w:color="auto" w:sz="4" w:space="0"/>
              <w:bottom w:val="single" w:color="000000" w:sz="4" w:space="0"/>
              <w:right w:val="single" w:color="auto" w:sz="4" w:space="0"/>
            </w:tcBorders>
            <w:shd w:val="clear" w:color="auto" w:fill="auto"/>
            <w:vAlign w:val="center"/>
          </w:tcPr>
          <w:p>
            <w:pPr>
              <w:spacing w:line="240" w:lineRule="exact"/>
              <w:rPr>
                <w:rFonts w:ascii="仿宋_GB2312" w:hAnsi="宋体" w:eastAsia="仿宋_GB2312" w:cs="宋体"/>
                <w:sz w:val="21"/>
                <w:szCs w:val="21"/>
              </w:rPr>
            </w:pPr>
          </w:p>
        </w:tc>
        <w:tc>
          <w:tcPr>
            <w:tcW w:w="1620" w:type="dxa"/>
            <w:vMerge w:val="continue"/>
            <w:tcBorders>
              <w:top w:val="nil"/>
              <w:left w:val="single" w:color="auto" w:sz="4" w:space="0"/>
              <w:bottom w:val="single" w:color="000000"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p>
        </w:tc>
        <w:tc>
          <w:tcPr>
            <w:tcW w:w="241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pacing w:val="-20"/>
                <w:sz w:val="18"/>
                <w:szCs w:val="18"/>
              </w:rPr>
            </w:pPr>
            <w:r>
              <w:rPr>
                <w:rFonts w:hint="eastAsia" w:ascii="仿宋_GB2312" w:hAnsi="宋体" w:eastAsia="仿宋_GB2312" w:cs="宋体"/>
                <w:spacing w:val="-20"/>
                <w:sz w:val="18"/>
                <w:szCs w:val="18"/>
              </w:rPr>
              <w:t>审核协商工作会议准备及参与（15分）：人员参与会议是否按时，完整（0-2.5分），会议期间准备是否充分，对施工单位和建设单位提出的问题是否能清楚地指导并给与明确的答复（0-10分），对会议形成的决议是否能按时、准确执行（0-2.5分），根据实际情况酌情打分。</w:t>
            </w:r>
          </w:p>
        </w:tc>
        <w:tc>
          <w:tcPr>
            <w:tcW w:w="1985" w:type="dxa"/>
            <w:gridSpan w:val="2"/>
            <w:vMerge w:val="continue"/>
            <w:tcBorders>
              <w:top w:val="nil"/>
              <w:left w:val="single" w:color="auto" w:sz="4" w:space="0"/>
              <w:bottom w:val="single" w:color="000000" w:sz="4" w:space="0"/>
              <w:right w:val="single" w:color="auto" w:sz="4" w:space="0"/>
            </w:tcBorders>
            <w:vAlign w:val="center"/>
          </w:tcPr>
          <w:p>
            <w:pPr>
              <w:spacing w:line="240" w:lineRule="exact"/>
              <w:rPr>
                <w:rFonts w:ascii="仿宋_GB2312" w:hAnsi="宋体" w:eastAsia="仿宋_GB2312" w:cs="宋体"/>
                <w:sz w:val="18"/>
                <w:szCs w:val="18"/>
              </w:rPr>
            </w:pPr>
          </w:p>
        </w:tc>
        <w:tc>
          <w:tcPr>
            <w:tcW w:w="1275"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宋体"/>
                <w:sz w:val="18"/>
                <w:szCs w:val="18"/>
              </w:rPr>
            </w:pPr>
          </w:p>
        </w:tc>
        <w:tc>
          <w:tcPr>
            <w:tcW w:w="1134" w:type="dxa"/>
            <w:vMerge w:val="continue"/>
            <w:tcBorders>
              <w:left w:val="single" w:color="auto" w:sz="4" w:space="0"/>
              <w:right w:val="single" w:color="auto" w:sz="4" w:space="0"/>
            </w:tcBorders>
            <w:vAlign w:val="center"/>
          </w:tcPr>
          <w:p>
            <w:pPr>
              <w:widowControl w:val="0"/>
              <w:spacing w:line="240" w:lineRule="exact"/>
              <w:rPr>
                <w:rFonts w:ascii="仿宋_GB2312" w:hAnsi="宋体" w:eastAsia="仿宋_GB2312" w:cs="宋体"/>
                <w:sz w:val="18"/>
                <w:szCs w:val="18"/>
              </w:rPr>
            </w:pPr>
          </w:p>
        </w:tc>
      </w:tr>
      <w:tr>
        <w:tblPrEx>
          <w:tblCellMar>
            <w:top w:w="0" w:type="dxa"/>
            <w:left w:w="108" w:type="dxa"/>
            <w:bottom w:w="0" w:type="dxa"/>
            <w:right w:w="108" w:type="dxa"/>
          </w:tblCellMar>
        </w:tblPrEx>
        <w:trPr>
          <w:trHeight w:val="860"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b/>
                <w:sz w:val="21"/>
                <w:szCs w:val="21"/>
              </w:rPr>
            </w:pPr>
            <w:r>
              <w:rPr>
                <w:rFonts w:hint="eastAsia" w:ascii="仿宋_GB2312" w:hAnsi="宋体" w:eastAsia="仿宋_GB2312" w:cs="宋体"/>
                <w:b/>
                <w:sz w:val="21"/>
                <w:szCs w:val="21"/>
              </w:rPr>
              <w:t>得分</w:t>
            </w:r>
          </w:p>
        </w:tc>
        <w:tc>
          <w:tcPr>
            <w:tcW w:w="1620"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2410" w:type="dxa"/>
            <w:gridSpan w:val="2"/>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985" w:type="dxa"/>
            <w:gridSpan w:val="2"/>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134" w:type="dxa"/>
            <w:vMerge w:val="continue"/>
            <w:tcBorders>
              <w:left w:val="nil"/>
              <w:right w:val="single" w:color="auto" w:sz="4" w:space="0"/>
            </w:tcBorders>
            <w:shd w:val="clear" w:color="auto" w:fill="auto"/>
            <w:vAlign w:val="center"/>
          </w:tcPr>
          <w:p>
            <w:pPr>
              <w:widowControl w:val="0"/>
              <w:spacing w:line="240" w:lineRule="exact"/>
              <w:rPr>
                <w:rFonts w:ascii="仿宋_GB2312" w:hAnsi="宋体" w:eastAsia="仿宋_GB2312" w:cs="宋体"/>
                <w:sz w:val="18"/>
                <w:szCs w:val="18"/>
              </w:rPr>
            </w:pPr>
          </w:p>
        </w:tc>
      </w:tr>
      <w:tr>
        <w:tblPrEx>
          <w:tblCellMar>
            <w:top w:w="0" w:type="dxa"/>
            <w:left w:w="108" w:type="dxa"/>
            <w:bottom w:w="0" w:type="dxa"/>
            <w:right w:w="108" w:type="dxa"/>
          </w:tblCellMar>
        </w:tblPrEx>
        <w:trPr>
          <w:trHeight w:val="1009" w:hRule="atLeast"/>
        </w:trPr>
        <w:tc>
          <w:tcPr>
            <w:tcW w:w="900"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b/>
                <w:sz w:val="21"/>
                <w:szCs w:val="21"/>
              </w:rPr>
            </w:pPr>
            <w:r>
              <w:rPr>
                <w:rFonts w:hint="eastAsia" w:ascii="仿宋_GB2312" w:hAnsi="宋体" w:eastAsia="仿宋_GB2312" w:cs="宋体"/>
                <w:b/>
                <w:sz w:val="21"/>
                <w:szCs w:val="21"/>
              </w:rPr>
              <w:t>备注</w:t>
            </w:r>
          </w:p>
        </w:tc>
        <w:tc>
          <w:tcPr>
            <w:tcW w:w="1620" w:type="dxa"/>
            <w:tcBorders>
              <w:top w:val="nil"/>
              <w:left w:val="nil"/>
              <w:bottom w:val="single" w:color="auto" w:sz="4" w:space="0"/>
              <w:right w:val="single" w:color="auto" w:sz="4" w:space="0"/>
            </w:tcBorders>
            <w:shd w:val="clear" w:color="auto" w:fill="auto"/>
            <w:noWrap/>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2410" w:type="dxa"/>
            <w:gridSpan w:val="2"/>
            <w:tcBorders>
              <w:top w:val="nil"/>
              <w:left w:val="nil"/>
              <w:bottom w:val="single" w:color="auto" w:sz="4" w:space="0"/>
              <w:right w:val="single" w:color="auto" w:sz="4" w:space="0"/>
            </w:tcBorders>
            <w:shd w:val="clear" w:color="auto" w:fill="auto"/>
            <w:noWrap/>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985" w:type="dxa"/>
            <w:gridSpan w:val="2"/>
            <w:tcBorders>
              <w:top w:val="nil"/>
              <w:left w:val="nil"/>
              <w:bottom w:val="single" w:color="auto" w:sz="4" w:space="0"/>
              <w:right w:val="single" w:color="auto" w:sz="4" w:space="0"/>
            </w:tcBorders>
            <w:shd w:val="clear" w:color="auto" w:fill="auto"/>
            <w:noWrap/>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134" w:type="dxa"/>
            <w:vMerge w:val="continue"/>
            <w:tcBorders>
              <w:left w:val="nil"/>
              <w:bottom w:val="single" w:color="auto" w:sz="4" w:space="0"/>
              <w:right w:val="single" w:color="auto" w:sz="4" w:space="0"/>
            </w:tcBorders>
            <w:shd w:val="clear" w:color="auto" w:fill="auto"/>
            <w:noWrap/>
            <w:vAlign w:val="center"/>
          </w:tcPr>
          <w:p>
            <w:pPr>
              <w:spacing w:line="240" w:lineRule="exact"/>
              <w:rPr>
                <w:rFonts w:ascii="仿宋_GB2312" w:hAnsi="宋体" w:eastAsia="仿宋_GB2312" w:cs="宋体"/>
                <w:sz w:val="18"/>
                <w:szCs w:val="18"/>
              </w:rPr>
            </w:pPr>
          </w:p>
        </w:tc>
      </w:tr>
      <w:tr>
        <w:tblPrEx>
          <w:tblCellMar>
            <w:top w:w="0" w:type="dxa"/>
            <w:left w:w="108" w:type="dxa"/>
            <w:bottom w:w="0" w:type="dxa"/>
            <w:right w:w="108" w:type="dxa"/>
          </w:tblCellMar>
        </w:tblPrEx>
        <w:trPr>
          <w:trHeight w:val="466" w:hRule="atLeast"/>
        </w:trPr>
        <w:tc>
          <w:tcPr>
            <w:tcW w:w="3225" w:type="dxa"/>
            <w:gridSpan w:val="3"/>
            <w:tcBorders>
              <w:top w:val="nil"/>
              <w:left w:val="nil"/>
              <w:bottom w:val="nil"/>
              <w:right w:val="nil"/>
            </w:tcBorders>
            <w:shd w:val="clear" w:color="auto" w:fill="auto"/>
            <w:noWrap/>
            <w:vAlign w:val="center"/>
          </w:tcPr>
          <w:p>
            <w:pPr>
              <w:spacing w:line="240" w:lineRule="exact"/>
              <w:jc w:val="both"/>
              <w:rPr>
                <w:rFonts w:ascii="仿宋_GB2312" w:hAnsi="宋体" w:eastAsia="仿宋_GB2312" w:cs="宋体"/>
                <w:sz w:val="18"/>
                <w:szCs w:val="18"/>
              </w:rPr>
            </w:pPr>
            <w:r>
              <w:rPr>
                <w:rFonts w:hint="eastAsia" w:ascii="仿宋_GB2312" w:hAnsi="宋体" w:eastAsia="仿宋_GB2312" w:cs="宋体"/>
                <w:sz w:val="18"/>
                <w:szCs w:val="18"/>
              </w:rPr>
              <w:t>项目负责人：</w:t>
            </w:r>
          </w:p>
        </w:tc>
        <w:tc>
          <w:tcPr>
            <w:tcW w:w="2340" w:type="dxa"/>
            <w:gridSpan w:val="2"/>
            <w:tcBorders>
              <w:top w:val="nil"/>
              <w:left w:val="nil"/>
              <w:bottom w:val="nil"/>
              <w:right w:val="nil"/>
            </w:tcBorders>
            <w:shd w:val="clear" w:color="auto" w:fill="auto"/>
            <w:noWrap/>
            <w:vAlign w:val="center"/>
          </w:tcPr>
          <w:p>
            <w:pPr>
              <w:spacing w:line="240" w:lineRule="exact"/>
              <w:jc w:val="both"/>
              <w:rPr>
                <w:rFonts w:ascii="仿宋_GB2312" w:hAnsi="宋体" w:eastAsia="仿宋_GB2312" w:cs="宋体"/>
                <w:sz w:val="18"/>
                <w:szCs w:val="18"/>
              </w:rPr>
            </w:pPr>
            <w:r>
              <w:rPr>
                <w:rFonts w:hint="eastAsia" w:ascii="仿宋_GB2312" w:hAnsi="宋体" w:eastAsia="仿宋_GB2312" w:cs="宋体"/>
                <w:sz w:val="18"/>
                <w:szCs w:val="18"/>
              </w:rPr>
              <w:t>部门负责人：</w:t>
            </w:r>
          </w:p>
        </w:tc>
        <w:tc>
          <w:tcPr>
            <w:tcW w:w="2625" w:type="dxa"/>
            <w:gridSpan w:val="2"/>
            <w:tcBorders>
              <w:top w:val="nil"/>
              <w:left w:val="nil"/>
              <w:bottom w:val="nil"/>
              <w:right w:val="nil"/>
            </w:tcBorders>
            <w:shd w:val="clear" w:color="auto" w:fill="auto"/>
            <w:vAlign w:val="center"/>
          </w:tcPr>
          <w:p>
            <w:pPr>
              <w:spacing w:line="240" w:lineRule="exact"/>
              <w:jc w:val="both"/>
              <w:rPr>
                <w:rFonts w:ascii="仿宋_GB2312" w:hAnsi="宋体" w:eastAsia="仿宋_GB2312" w:cs="宋体"/>
                <w:sz w:val="18"/>
                <w:szCs w:val="18"/>
              </w:rPr>
            </w:pPr>
            <w:r>
              <w:rPr>
                <w:rFonts w:hint="eastAsia" w:ascii="仿宋_GB2312" w:hAnsi="宋体" w:eastAsia="仿宋_GB2312" w:cs="宋体"/>
                <w:sz w:val="18"/>
                <w:szCs w:val="18"/>
              </w:rPr>
              <w:t xml:space="preserve"> </w:t>
            </w:r>
          </w:p>
        </w:tc>
        <w:tc>
          <w:tcPr>
            <w:tcW w:w="1134" w:type="dxa"/>
            <w:tcBorders>
              <w:top w:val="nil"/>
              <w:left w:val="nil"/>
              <w:bottom w:val="nil"/>
              <w:right w:val="nil"/>
            </w:tcBorders>
            <w:shd w:val="clear" w:color="auto" w:fill="auto"/>
            <w:noWrap/>
            <w:vAlign w:val="center"/>
          </w:tcPr>
          <w:p>
            <w:pPr>
              <w:spacing w:line="240" w:lineRule="exact"/>
              <w:ind w:right="-122" w:rightChars="-51"/>
              <w:jc w:val="both"/>
              <w:rPr>
                <w:rFonts w:ascii="仿宋_GB2312" w:hAnsi="宋体" w:eastAsia="仿宋_GB2312" w:cs="宋体"/>
                <w:sz w:val="18"/>
                <w:szCs w:val="18"/>
              </w:rPr>
            </w:pPr>
            <w:r>
              <w:rPr>
                <w:rFonts w:hint="eastAsia" w:ascii="仿宋_GB2312" w:hAnsi="宋体" w:eastAsia="仿宋_GB2312" w:cs="宋体"/>
                <w:sz w:val="18"/>
                <w:szCs w:val="18"/>
              </w:rPr>
              <w:t>考核日期：</w:t>
            </w:r>
          </w:p>
        </w:tc>
      </w:tr>
    </w:tbl>
    <w:p>
      <w:pPr>
        <w:widowControl w:val="0"/>
        <w:spacing w:after="120"/>
        <w:jc w:val="both"/>
        <w:rPr>
          <w:rFonts w:ascii="Calibri" w:hAnsi="Calibri" w:eastAsia="宋体"/>
          <w:kern w:val="2"/>
          <w:sz w:val="21"/>
          <w:szCs w:val="22"/>
        </w:rPr>
      </w:pPr>
    </w:p>
    <w:tbl>
      <w:tblPr>
        <w:tblStyle w:val="26"/>
        <w:tblW w:w="9356" w:type="dxa"/>
        <w:tblInd w:w="-259" w:type="dxa"/>
        <w:tblLayout w:type="fixed"/>
        <w:tblCellMar>
          <w:top w:w="0" w:type="dxa"/>
          <w:left w:w="108" w:type="dxa"/>
          <w:bottom w:w="0" w:type="dxa"/>
          <w:right w:w="108" w:type="dxa"/>
        </w:tblCellMar>
      </w:tblPr>
      <w:tblGrid>
        <w:gridCol w:w="993"/>
        <w:gridCol w:w="1894"/>
        <w:gridCol w:w="2160"/>
        <w:gridCol w:w="1899"/>
        <w:gridCol w:w="1276"/>
        <w:gridCol w:w="1134"/>
      </w:tblGrid>
      <w:tr>
        <w:tblPrEx>
          <w:tblCellMar>
            <w:top w:w="0" w:type="dxa"/>
            <w:left w:w="108" w:type="dxa"/>
            <w:bottom w:w="0" w:type="dxa"/>
            <w:right w:w="108" w:type="dxa"/>
          </w:tblCellMar>
        </w:tblPrEx>
        <w:trPr>
          <w:trHeight w:val="405" w:hRule="atLeast"/>
        </w:trPr>
        <w:tc>
          <w:tcPr>
            <w:tcW w:w="9356" w:type="dxa"/>
            <w:gridSpan w:val="6"/>
            <w:tcBorders>
              <w:top w:val="nil"/>
              <w:left w:val="nil"/>
              <w:bottom w:val="nil"/>
              <w:right w:val="nil"/>
            </w:tcBorders>
            <w:shd w:val="clear" w:color="auto" w:fill="auto"/>
            <w:noWrap/>
            <w:vAlign w:val="center"/>
          </w:tcPr>
          <w:p>
            <w:pPr>
              <w:snapToGrid w:val="0"/>
              <w:spacing w:line="360" w:lineRule="auto"/>
              <w:jc w:val="center"/>
              <w:rPr>
                <w:rFonts w:ascii="Calibri" w:hAnsi="Calibri" w:eastAsia="宋体" w:cstheme="minorHAnsi"/>
                <w:b/>
                <w:kern w:val="24"/>
              </w:rPr>
            </w:pPr>
            <w:r>
              <w:rPr>
                <w:rFonts w:hint="eastAsia" w:ascii="Calibri" w:hAnsi="Calibri" w:eastAsia="宋体" w:cstheme="minorHAnsi"/>
                <w:b/>
                <w:kern w:val="24"/>
              </w:rPr>
              <w:t>项目审核工作质量考核评分表（监审部）</w:t>
            </w:r>
          </w:p>
        </w:tc>
      </w:tr>
      <w:tr>
        <w:tblPrEx>
          <w:tblCellMar>
            <w:top w:w="0" w:type="dxa"/>
            <w:left w:w="108" w:type="dxa"/>
            <w:bottom w:w="0" w:type="dxa"/>
            <w:right w:w="108" w:type="dxa"/>
          </w:tblCellMar>
        </w:tblPrEx>
        <w:trPr>
          <w:trHeight w:val="285" w:hRule="atLeast"/>
        </w:trPr>
        <w:tc>
          <w:tcPr>
            <w:tcW w:w="2887" w:type="dxa"/>
            <w:gridSpan w:val="2"/>
            <w:tcBorders>
              <w:top w:val="nil"/>
              <w:left w:val="nil"/>
              <w:bottom w:val="nil"/>
              <w:right w:val="nil"/>
            </w:tcBorders>
            <w:shd w:val="clear" w:color="auto" w:fill="auto"/>
            <w:noWrap/>
            <w:vAlign w:val="center"/>
          </w:tcPr>
          <w:p>
            <w:pPr>
              <w:spacing w:line="240" w:lineRule="exact"/>
              <w:rPr>
                <w:rFonts w:ascii="仿宋_GB2312" w:hAnsi="宋体" w:eastAsia="仿宋_GB2312" w:cs="宋体"/>
                <w:b/>
                <w:sz w:val="18"/>
                <w:szCs w:val="18"/>
              </w:rPr>
            </w:pPr>
            <w:r>
              <w:rPr>
                <w:rFonts w:hint="eastAsia" w:ascii="仿宋_GB2312" w:hAnsi="宋体" w:eastAsia="仿宋_GB2312" w:cs="宋体"/>
                <w:b/>
                <w:szCs w:val="22"/>
              </w:rPr>
              <w:t>合作中介机构名称：</w:t>
            </w:r>
          </w:p>
        </w:tc>
        <w:tc>
          <w:tcPr>
            <w:tcW w:w="2160" w:type="dxa"/>
            <w:tcBorders>
              <w:top w:val="nil"/>
              <w:left w:val="nil"/>
              <w:bottom w:val="nil"/>
              <w:right w:val="nil"/>
            </w:tcBorders>
            <w:shd w:val="clear" w:color="auto" w:fill="auto"/>
            <w:noWrap/>
            <w:vAlign w:val="center"/>
          </w:tcPr>
          <w:p>
            <w:pPr>
              <w:spacing w:line="240" w:lineRule="exact"/>
              <w:rPr>
                <w:rFonts w:ascii="仿宋_GB2312" w:hAnsi="宋体" w:eastAsia="仿宋_GB2312" w:cs="宋体"/>
                <w:b/>
                <w:sz w:val="18"/>
                <w:szCs w:val="18"/>
              </w:rPr>
            </w:pPr>
          </w:p>
        </w:tc>
        <w:tc>
          <w:tcPr>
            <w:tcW w:w="1899" w:type="dxa"/>
            <w:tcBorders>
              <w:top w:val="nil"/>
              <w:left w:val="nil"/>
              <w:bottom w:val="nil"/>
              <w:right w:val="nil"/>
            </w:tcBorders>
            <w:shd w:val="clear" w:color="auto" w:fill="auto"/>
            <w:noWrap/>
            <w:vAlign w:val="center"/>
          </w:tcPr>
          <w:p>
            <w:pPr>
              <w:spacing w:line="240" w:lineRule="exact"/>
              <w:rPr>
                <w:rFonts w:ascii="仿宋_GB2312" w:hAnsi="宋体" w:eastAsia="仿宋_GB2312" w:cs="宋体"/>
                <w:b/>
                <w:sz w:val="18"/>
                <w:szCs w:val="18"/>
              </w:rPr>
            </w:pPr>
            <w:r>
              <w:rPr>
                <w:rFonts w:hint="eastAsia" w:ascii="仿宋_GB2312" w:hAnsi="宋体" w:eastAsia="仿宋_GB2312" w:cs="宋体"/>
                <w:b/>
                <w:szCs w:val="22"/>
              </w:rPr>
              <w:t>审核项目名称：</w:t>
            </w:r>
          </w:p>
        </w:tc>
        <w:tc>
          <w:tcPr>
            <w:tcW w:w="1276" w:type="dxa"/>
            <w:tcBorders>
              <w:top w:val="nil"/>
              <w:left w:val="nil"/>
              <w:bottom w:val="nil"/>
              <w:right w:val="nil"/>
            </w:tcBorders>
            <w:shd w:val="clear" w:color="auto" w:fill="auto"/>
            <w:noWrap/>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xml:space="preserve"> </w:t>
            </w:r>
          </w:p>
        </w:tc>
        <w:tc>
          <w:tcPr>
            <w:tcW w:w="1134" w:type="dxa"/>
            <w:tcBorders>
              <w:top w:val="nil"/>
              <w:left w:val="nil"/>
              <w:bottom w:val="nil"/>
              <w:right w:val="nil"/>
            </w:tcBorders>
            <w:shd w:val="clear" w:color="auto" w:fill="auto"/>
            <w:noWrap/>
            <w:vAlign w:val="center"/>
          </w:tcPr>
          <w:p>
            <w:pPr>
              <w:spacing w:line="240" w:lineRule="exact"/>
              <w:rPr>
                <w:rFonts w:ascii="仿宋_GB2312" w:hAnsi="宋体" w:eastAsia="仿宋_GB2312" w:cs="宋体"/>
                <w:sz w:val="18"/>
                <w:szCs w:val="18"/>
              </w:rPr>
            </w:pPr>
          </w:p>
        </w:tc>
      </w:tr>
      <w:tr>
        <w:tblPrEx>
          <w:tblCellMar>
            <w:top w:w="0" w:type="dxa"/>
            <w:left w:w="108" w:type="dxa"/>
            <w:bottom w:w="0" w:type="dxa"/>
            <w:right w:w="108" w:type="dxa"/>
          </w:tblCellMar>
        </w:tblPrEx>
        <w:trPr>
          <w:trHeight w:val="705"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hAnsi="宋体" w:eastAsia="仿宋_GB2312" w:cs="宋体"/>
                <w:b/>
                <w:sz w:val="18"/>
                <w:szCs w:val="18"/>
              </w:rPr>
            </w:pPr>
            <w:r>
              <w:rPr>
                <w:rFonts w:hint="eastAsia" w:ascii="仿宋_GB2312" w:hAnsi="宋体" w:eastAsia="仿宋_GB2312" w:cs="宋体"/>
                <w:b/>
                <w:sz w:val="18"/>
                <w:szCs w:val="18"/>
              </w:rPr>
              <w:t>考核指标</w:t>
            </w:r>
          </w:p>
        </w:tc>
        <w:tc>
          <w:tcPr>
            <w:tcW w:w="189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工作底稿情况</w:t>
            </w:r>
          </w:p>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（20分）</w:t>
            </w:r>
          </w:p>
        </w:tc>
        <w:tc>
          <w:tcPr>
            <w:tcW w:w="216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工作沟通情况</w:t>
            </w:r>
          </w:p>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（20分）</w:t>
            </w:r>
          </w:p>
        </w:tc>
        <w:tc>
          <w:tcPr>
            <w:tcW w:w="1899"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技术质量</w:t>
            </w:r>
          </w:p>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（50分）</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工作实效（10分）</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合计</w:t>
            </w:r>
          </w:p>
          <w:p>
            <w:pPr>
              <w:spacing w:line="240" w:lineRule="exact"/>
              <w:jc w:val="center"/>
              <w:rPr>
                <w:rFonts w:ascii="仿宋_GB2312" w:hAnsi="宋体" w:eastAsia="仿宋_GB2312" w:cs="宋体"/>
                <w:b/>
                <w:sz w:val="18"/>
                <w:szCs w:val="18"/>
              </w:rPr>
            </w:pPr>
            <w:r>
              <w:rPr>
                <w:rFonts w:hint="eastAsia" w:ascii="仿宋_GB2312" w:hAnsi="宋体" w:eastAsia="仿宋_GB2312" w:cs="宋体"/>
                <w:b/>
                <w:sz w:val="18"/>
                <w:szCs w:val="18"/>
              </w:rPr>
              <w:t>（100分）</w:t>
            </w:r>
          </w:p>
        </w:tc>
      </w:tr>
      <w:tr>
        <w:tblPrEx>
          <w:tblCellMar>
            <w:top w:w="0" w:type="dxa"/>
            <w:left w:w="108" w:type="dxa"/>
            <w:bottom w:w="0" w:type="dxa"/>
            <w:right w:w="108" w:type="dxa"/>
          </w:tblCellMar>
        </w:tblPrEx>
        <w:trPr>
          <w:trHeight w:val="1846"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考核内容</w:t>
            </w:r>
          </w:p>
        </w:tc>
        <w:tc>
          <w:tcPr>
            <w:tcW w:w="189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 xml:space="preserve"> 工作底稿是否详细整洁，编制思路是否清晰，计算结果是否准确</w:t>
            </w:r>
          </w:p>
        </w:tc>
        <w:tc>
          <w:tcPr>
            <w:tcW w:w="2160"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xml:space="preserve"> 对现场勘验情况、会商情况记录是否认真、详实，与评审中心复审工程师交流沟通是否顺畅</w:t>
            </w:r>
          </w:p>
        </w:tc>
        <w:tc>
          <w:tcPr>
            <w:tcW w:w="1899"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对项目情况及资料是否熟悉，审核方法是否得当，定额使用是否正确，审核结论是否准确等</w:t>
            </w:r>
          </w:p>
        </w:tc>
        <w:tc>
          <w:tcPr>
            <w:tcW w:w="1276"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复审阶段时间的把握上是否紧凑</w:t>
            </w: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r>
      <w:tr>
        <w:tblPrEx>
          <w:tblCellMar>
            <w:top w:w="0" w:type="dxa"/>
            <w:left w:w="108" w:type="dxa"/>
            <w:bottom w:w="0" w:type="dxa"/>
            <w:right w:w="108" w:type="dxa"/>
          </w:tblCellMar>
        </w:tblPrEx>
        <w:trPr>
          <w:trHeight w:val="1830" w:hRule="atLeast"/>
        </w:trPr>
        <w:tc>
          <w:tcPr>
            <w:tcW w:w="993"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评分标准</w:t>
            </w:r>
          </w:p>
        </w:tc>
        <w:tc>
          <w:tcPr>
            <w:tcW w:w="1894"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底稿详细度、整洁度、清晰度、准确度较高15－20分；         底稿详细度、整洁度、清晰度、准确度一般10－14分；         底稿详细度、整洁度、清晰度、准确度较差0－10分。</w:t>
            </w:r>
          </w:p>
        </w:tc>
        <w:tc>
          <w:tcPr>
            <w:tcW w:w="2160"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勘验及会商记录认真、详实，交流沟通顺畅15－20分；        记录一般，交流沟通一般，10－14分；                       记录及交流沟通交差0－10分。</w:t>
            </w:r>
          </w:p>
        </w:tc>
        <w:tc>
          <w:tcPr>
            <w:tcW w:w="1899"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 xml:space="preserve">对项目情况及资料熟悉，审核方法得当，定额使用基本正确，审核结论较准确35-50分；                                       各考核要素表现均一般20-35分；                各考核要素表现均较差0-20分；                                </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时间安排较紧凑5-10分；      时间安排上有不紧凑的现象0-5分。</w:t>
            </w:r>
          </w:p>
        </w:tc>
        <w:tc>
          <w:tcPr>
            <w:tcW w:w="1134"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宋体"/>
                <w:sz w:val="18"/>
                <w:szCs w:val="18"/>
              </w:rPr>
            </w:pPr>
          </w:p>
        </w:tc>
      </w:tr>
      <w:tr>
        <w:tblPrEx>
          <w:tblCellMar>
            <w:top w:w="0" w:type="dxa"/>
            <w:left w:w="108" w:type="dxa"/>
            <w:bottom w:w="0" w:type="dxa"/>
            <w:right w:w="108" w:type="dxa"/>
          </w:tblCellMar>
        </w:tblPrEx>
        <w:trPr>
          <w:trHeight w:val="240" w:hRule="atLeast"/>
        </w:trPr>
        <w:tc>
          <w:tcPr>
            <w:tcW w:w="993" w:type="dxa"/>
            <w:vMerge w:val="continue"/>
            <w:tcBorders>
              <w:top w:val="nil"/>
              <w:left w:val="single" w:color="auto" w:sz="4" w:space="0"/>
              <w:bottom w:val="single" w:color="000000" w:sz="4" w:space="0"/>
              <w:right w:val="single" w:color="auto" w:sz="4" w:space="0"/>
            </w:tcBorders>
            <w:vAlign w:val="center"/>
          </w:tcPr>
          <w:p>
            <w:pPr>
              <w:spacing w:line="240" w:lineRule="exact"/>
              <w:rPr>
                <w:rFonts w:ascii="仿宋_GB2312" w:hAnsi="宋体" w:eastAsia="仿宋_GB2312" w:cs="宋体"/>
                <w:sz w:val="18"/>
                <w:szCs w:val="18"/>
              </w:rPr>
            </w:pPr>
          </w:p>
        </w:tc>
        <w:tc>
          <w:tcPr>
            <w:tcW w:w="1894" w:type="dxa"/>
            <w:vMerge w:val="continue"/>
            <w:tcBorders>
              <w:top w:val="nil"/>
              <w:left w:val="single" w:color="auto" w:sz="4" w:space="0"/>
              <w:bottom w:val="single" w:color="000000" w:sz="4" w:space="0"/>
              <w:right w:val="single" w:color="auto" w:sz="4" w:space="0"/>
            </w:tcBorders>
            <w:vAlign w:val="center"/>
          </w:tcPr>
          <w:p>
            <w:pPr>
              <w:spacing w:line="240" w:lineRule="exact"/>
              <w:rPr>
                <w:rFonts w:ascii="仿宋_GB2312" w:hAnsi="宋体" w:eastAsia="仿宋_GB2312" w:cs="宋体"/>
                <w:sz w:val="18"/>
                <w:szCs w:val="18"/>
              </w:rPr>
            </w:pPr>
          </w:p>
        </w:tc>
        <w:tc>
          <w:tcPr>
            <w:tcW w:w="2160" w:type="dxa"/>
            <w:vMerge w:val="continue"/>
            <w:tcBorders>
              <w:top w:val="nil"/>
              <w:left w:val="single" w:color="auto" w:sz="4" w:space="0"/>
              <w:bottom w:val="single" w:color="000000" w:sz="4" w:space="0"/>
              <w:right w:val="single" w:color="auto" w:sz="4" w:space="0"/>
            </w:tcBorders>
            <w:vAlign w:val="center"/>
          </w:tcPr>
          <w:p>
            <w:pPr>
              <w:spacing w:line="240" w:lineRule="exact"/>
              <w:rPr>
                <w:rFonts w:ascii="仿宋_GB2312" w:hAnsi="宋体" w:eastAsia="仿宋_GB2312" w:cs="宋体"/>
                <w:sz w:val="18"/>
                <w:szCs w:val="18"/>
              </w:rPr>
            </w:pPr>
          </w:p>
        </w:tc>
        <w:tc>
          <w:tcPr>
            <w:tcW w:w="1899" w:type="dxa"/>
            <w:vMerge w:val="continue"/>
            <w:tcBorders>
              <w:top w:val="nil"/>
              <w:left w:val="single" w:color="auto" w:sz="4" w:space="0"/>
              <w:bottom w:val="single" w:color="000000" w:sz="4" w:space="0"/>
              <w:right w:val="single" w:color="auto" w:sz="4" w:space="0"/>
            </w:tcBorders>
            <w:vAlign w:val="center"/>
          </w:tcPr>
          <w:p>
            <w:pPr>
              <w:spacing w:line="240" w:lineRule="exact"/>
              <w:rPr>
                <w:rFonts w:ascii="仿宋_GB2312" w:hAnsi="宋体" w:eastAsia="仿宋_GB2312" w:cs="宋体"/>
                <w:sz w:val="18"/>
                <w:szCs w:val="18"/>
              </w:rPr>
            </w:pPr>
          </w:p>
        </w:tc>
        <w:tc>
          <w:tcPr>
            <w:tcW w:w="1276"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宋体"/>
                <w:sz w:val="18"/>
                <w:szCs w:val="18"/>
              </w:rPr>
            </w:pPr>
          </w:p>
        </w:tc>
        <w:tc>
          <w:tcPr>
            <w:tcW w:w="1134"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宋体"/>
                <w:sz w:val="18"/>
                <w:szCs w:val="18"/>
              </w:rPr>
            </w:pPr>
          </w:p>
        </w:tc>
      </w:tr>
      <w:tr>
        <w:tblPrEx>
          <w:tblCellMar>
            <w:top w:w="0" w:type="dxa"/>
            <w:left w:w="108" w:type="dxa"/>
            <w:bottom w:w="0" w:type="dxa"/>
            <w:right w:w="108" w:type="dxa"/>
          </w:tblCellMar>
        </w:tblPrEx>
        <w:trPr>
          <w:trHeight w:val="511"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1894"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　</w:t>
            </w:r>
          </w:p>
        </w:tc>
        <w:tc>
          <w:tcPr>
            <w:tcW w:w="2160"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899"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276" w:type="dxa"/>
            <w:tcBorders>
              <w:top w:val="nil"/>
              <w:left w:val="nil"/>
              <w:bottom w:val="single" w:color="auto" w:sz="4" w:space="0"/>
              <w:right w:val="single" w:color="auto" w:sz="4" w:space="0"/>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134"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宋体"/>
                <w:sz w:val="18"/>
                <w:szCs w:val="18"/>
              </w:rPr>
            </w:pPr>
          </w:p>
        </w:tc>
      </w:tr>
      <w:tr>
        <w:tblPrEx>
          <w:tblCellMar>
            <w:top w:w="0" w:type="dxa"/>
            <w:left w:w="108" w:type="dxa"/>
            <w:bottom w:w="0" w:type="dxa"/>
            <w:right w:w="108" w:type="dxa"/>
          </w:tblCellMar>
        </w:tblPrEx>
        <w:trPr>
          <w:trHeight w:val="561"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备注</w:t>
            </w:r>
          </w:p>
        </w:tc>
        <w:tc>
          <w:tcPr>
            <w:tcW w:w="1894"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　</w:t>
            </w:r>
          </w:p>
        </w:tc>
        <w:tc>
          <w:tcPr>
            <w:tcW w:w="2160" w:type="dxa"/>
            <w:tcBorders>
              <w:top w:val="nil"/>
              <w:left w:val="nil"/>
              <w:bottom w:val="single" w:color="auto" w:sz="4" w:space="0"/>
              <w:right w:val="single" w:color="auto" w:sz="4" w:space="0"/>
            </w:tcBorders>
            <w:shd w:val="clear" w:color="auto" w:fill="auto"/>
            <w:noWrap/>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899" w:type="dxa"/>
            <w:tcBorders>
              <w:top w:val="nil"/>
              <w:left w:val="nil"/>
              <w:bottom w:val="single" w:color="auto" w:sz="4" w:space="0"/>
              <w:right w:val="single" w:color="auto" w:sz="4" w:space="0"/>
            </w:tcBorders>
            <w:shd w:val="clear" w:color="auto" w:fill="auto"/>
            <w:noWrap/>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w:t>
            </w:r>
          </w:p>
        </w:tc>
        <w:tc>
          <w:tcPr>
            <w:tcW w:w="1134" w:type="dxa"/>
            <w:vMerge w:val="continue"/>
            <w:tcBorders>
              <w:top w:val="nil"/>
              <w:left w:val="single" w:color="auto" w:sz="4" w:space="0"/>
              <w:bottom w:val="single" w:color="auto" w:sz="4" w:space="0"/>
              <w:right w:val="single" w:color="auto" w:sz="4" w:space="0"/>
            </w:tcBorders>
            <w:vAlign w:val="center"/>
          </w:tcPr>
          <w:p>
            <w:pPr>
              <w:spacing w:line="240" w:lineRule="exact"/>
              <w:rPr>
                <w:rFonts w:ascii="仿宋_GB2312" w:hAnsi="宋体" w:eastAsia="仿宋_GB2312" w:cs="宋体"/>
                <w:sz w:val="18"/>
                <w:szCs w:val="18"/>
              </w:rPr>
            </w:pPr>
          </w:p>
        </w:tc>
      </w:tr>
      <w:tr>
        <w:tblPrEx>
          <w:tblCellMar>
            <w:top w:w="0" w:type="dxa"/>
            <w:left w:w="108" w:type="dxa"/>
            <w:bottom w:w="0" w:type="dxa"/>
            <w:right w:w="108" w:type="dxa"/>
          </w:tblCellMar>
        </w:tblPrEx>
        <w:trPr>
          <w:trHeight w:val="466" w:hRule="atLeast"/>
        </w:trPr>
        <w:tc>
          <w:tcPr>
            <w:tcW w:w="2887" w:type="dxa"/>
            <w:gridSpan w:val="2"/>
            <w:tcBorders>
              <w:top w:val="nil"/>
              <w:left w:val="nil"/>
              <w:bottom w:val="nil"/>
              <w:right w:val="nil"/>
            </w:tcBorders>
            <w:shd w:val="clear" w:color="auto" w:fill="auto"/>
            <w:noWrap/>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复审工程师：</w:t>
            </w:r>
          </w:p>
        </w:tc>
        <w:tc>
          <w:tcPr>
            <w:tcW w:w="2160" w:type="dxa"/>
            <w:tcBorders>
              <w:top w:val="nil"/>
              <w:left w:val="nil"/>
              <w:bottom w:val="nil"/>
              <w:right w:val="nil"/>
            </w:tcBorders>
            <w:shd w:val="clear" w:color="auto" w:fill="auto"/>
            <w:noWrap/>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部门负责人：</w:t>
            </w:r>
          </w:p>
        </w:tc>
        <w:tc>
          <w:tcPr>
            <w:tcW w:w="1899" w:type="dxa"/>
            <w:tcBorders>
              <w:top w:val="nil"/>
              <w:left w:val="nil"/>
              <w:bottom w:val="nil"/>
              <w:right w:val="nil"/>
            </w:tcBorders>
            <w:shd w:val="clear" w:color="auto" w:fill="auto"/>
            <w:vAlign w:val="center"/>
          </w:tcPr>
          <w:p>
            <w:pPr>
              <w:spacing w:line="240" w:lineRule="exact"/>
              <w:rPr>
                <w:rFonts w:ascii="仿宋_GB2312" w:hAnsi="宋体" w:eastAsia="仿宋_GB2312" w:cs="宋体"/>
                <w:sz w:val="18"/>
                <w:szCs w:val="18"/>
              </w:rPr>
            </w:pPr>
            <w:r>
              <w:rPr>
                <w:rFonts w:hint="eastAsia" w:ascii="仿宋_GB2312" w:hAnsi="宋体" w:eastAsia="仿宋_GB2312" w:cs="宋体"/>
                <w:sz w:val="18"/>
                <w:szCs w:val="18"/>
              </w:rPr>
              <w:t xml:space="preserve"> </w:t>
            </w:r>
          </w:p>
        </w:tc>
        <w:tc>
          <w:tcPr>
            <w:tcW w:w="1276" w:type="dxa"/>
            <w:tcBorders>
              <w:top w:val="nil"/>
              <w:left w:val="nil"/>
              <w:bottom w:val="nil"/>
              <w:right w:val="nil"/>
            </w:tcBorders>
            <w:shd w:val="clear" w:color="auto" w:fill="auto"/>
            <w:noWrap/>
            <w:vAlign w:val="center"/>
          </w:tcPr>
          <w:p>
            <w:pPr>
              <w:spacing w:line="240" w:lineRule="exact"/>
              <w:ind w:right="-122" w:rightChars="-51"/>
              <w:rPr>
                <w:rFonts w:ascii="仿宋_GB2312" w:hAnsi="宋体" w:eastAsia="仿宋_GB2312" w:cs="宋体"/>
                <w:sz w:val="18"/>
                <w:szCs w:val="18"/>
              </w:rPr>
            </w:pPr>
            <w:r>
              <w:rPr>
                <w:rFonts w:hint="eastAsia" w:ascii="仿宋_GB2312" w:hAnsi="宋体" w:eastAsia="仿宋_GB2312" w:cs="宋体"/>
                <w:sz w:val="18"/>
                <w:szCs w:val="18"/>
              </w:rPr>
              <w:t>考核日期：</w:t>
            </w:r>
          </w:p>
        </w:tc>
        <w:tc>
          <w:tcPr>
            <w:tcW w:w="1134" w:type="dxa"/>
            <w:tcBorders>
              <w:top w:val="nil"/>
              <w:left w:val="nil"/>
              <w:bottom w:val="nil"/>
              <w:right w:val="nil"/>
            </w:tcBorders>
            <w:shd w:val="clear" w:color="auto" w:fill="auto"/>
            <w:noWrap/>
            <w:vAlign w:val="center"/>
          </w:tcPr>
          <w:p>
            <w:pPr>
              <w:spacing w:line="240" w:lineRule="exact"/>
              <w:rPr>
                <w:rFonts w:ascii="仿宋_GB2312" w:hAnsi="宋体" w:eastAsia="仿宋_GB2312" w:cs="宋体"/>
                <w:sz w:val="18"/>
                <w:szCs w:val="18"/>
              </w:rPr>
            </w:pPr>
          </w:p>
        </w:tc>
      </w:tr>
    </w:tbl>
    <w:p>
      <w:pPr>
        <w:snapToGrid w:val="0"/>
        <w:spacing w:line="360" w:lineRule="auto"/>
        <w:jc w:val="center"/>
        <w:rPr>
          <w:rFonts w:ascii="Calibri" w:hAnsi="Calibri" w:eastAsia="宋体"/>
          <w:kern w:val="2"/>
          <w:sz w:val="21"/>
          <w:szCs w:val="22"/>
        </w:rPr>
      </w:pPr>
    </w:p>
    <w:p>
      <w:pPr>
        <w:snapToGrid w:val="0"/>
        <w:spacing w:line="360" w:lineRule="auto"/>
        <w:jc w:val="center"/>
        <w:rPr>
          <w:rFonts w:ascii="Calibri" w:hAnsi="Calibri" w:eastAsia="宋体" w:cstheme="minorHAnsi"/>
          <w:b/>
          <w:kern w:val="24"/>
        </w:rPr>
      </w:pPr>
      <w:r>
        <w:rPr>
          <w:rFonts w:hint="eastAsia" w:ascii="Calibri" w:hAnsi="Calibri" w:eastAsia="宋体" w:cstheme="minorHAnsi"/>
          <w:b/>
          <w:kern w:val="24"/>
        </w:rPr>
        <w:t>项目审核工作质量考核评分表（信息专家部）</w:t>
      </w:r>
    </w:p>
    <w:p>
      <w:pPr>
        <w:widowControl w:val="0"/>
        <w:spacing w:line="360" w:lineRule="auto"/>
        <w:rPr>
          <w:rFonts w:ascii="仿宋_GB2312" w:hAnsi="宋体" w:eastAsia="仿宋_GB2312" w:cs="宋体"/>
          <w:b/>
          <w:bCs/>
          <w:sz w:val="32"/>
          <w:szCs w:val="32"/>
        </w:rPr>
      </w:pPr>
      <w:r>
        <w:rPr>
          <w:rFonts w:hint="eastAsia" w:ascii="仿宋_GB2312" w:hAnsi="宋体" w:eastAsia="仿宋_GB2312" w:cs="宋体"/>
          <w:b/>
          <w:szCs w:val="22"/>
        </w:rPr>
        <w:t>合作中介机构名称：                    审核项目名称：</w:t>
      </w:r>
    </w:p>
    <w:tbl>
      <w:tblPr>
        <w:tblStyle w:val="26"/>
        <w:tblW w:w="9498" w:type="dxa"/>
        <w:tblInd w:w="-284" w:type="dxa"/>
        <w:tblLayout w:type="fixed"/>
        <w:tblCellMar>
          <w:top w:w="0" w:type="dxa"/>
          <w:left w:w="108" w:type="dxa"/>
          <w:bottom w:w="0" w:type="dxa"/>
          <w:right w:w="108" w:type="dxa"/>
        </w:tblCellMar>
      </w:tblPr>
      <w:tblGrid>
        <w:gridCol w:w="993"/>
        <w:gridCol w:w="2126"/>
        <w:gridCol w:w="2374"/>
        <w:gridCol w:w="2871"/>
        <w:gridCol w:w="1134"/>
      </w:tblGrid>
      <w:tr>
        <w:tblPrEx>
          <w:tblCellMar>
            <w:top w:w="0" w:type="dxa"/>
            <w:left w:w="108" w:type="dxa"/>
            <w:bottom w:w="0" w:type="dxa"/>
            <w:right w:w="108" w:type="dxa"/>
          </w:tblCellMar>
        </w:tblPrEx>
        <w:trPr>
          <w:trHeight w:val="660" w:hRule="atLeast"/>
        </w:trPr>
        <w:tc>
          <w:tcPr>
            <w:tcW w:w="993" w:type="dxa"/>
            <w:vMerge w:val="restart"/>
            <w:tcBorders>
              <w:top w:val="single" w:color="auto" w:sz="8" w:space="0"/>
              <w:left w:val="single" w:color="auto" w:sz="8" w:space="0"/>
              <w:bottom w:val="single" w:color="000000" w:sz="8" w:space="0"/>
              <w:right w:val="single" w:color="auto" w:sz="8" w:space="0"/>
            </w:tcBorders>
            <w:shd w:val="clear" w:color="auto" w:fill="auto"/>
            <w:vAlign w:val="bottom"/>
          </w:tcPr>
          <w:p>
            <w:pPr>
              <w:spacing w:line="240" w:lineRule="exact"/>
              <w:rPr>
                <w:rFonts w:ascii="仿宋_GB2312" w:hAnsi="宋体" w:eastAsia="仿宋_GB2312" w:cs="宋体"/>
                <w:b/>
                <w:bCs/>
                <w:szCs w:val="22"/>
              </w:rPr>
            </w:pPr>
            <w:r>
              <w:rPr>
                <w:rFonts w:hint="eastAsia" w:ascii="仿宋_GB2312" w:hAnsi="宋体" w:eastAsia="仿宋_GB2312" w:cs="宋体"/>
                <w:b/>
                <w:bCs/>
                <w:szCs w:val="22"/>
              </w:rPr>
              <w:t>考核指标</w:t>
            </w:r>
          </w:p>
        </w:tc>
        <w:tc>
          <w:tcPr>
            <w:tcW w:w="2126" w:type="dxa"/>
            <w:tcBorders>
              <w:top w:val="single" w:color="auto" w:sz="8" w:space="0"/>
              <w:left w:val="nil"/>
              <w:bottom w:val="nil"/>
              <w:right w:val="single" w:color="auto" w:sz="8" w:space="0"/>
            </w:tcBorders>
            <w:shd w:val="clear" w:color="auto" w:fill="auto"/>
            <w:vAlign w:val="bottom"/>
          </w:tcPr>
          <w:p>
            <w:pPr>
              <w:spacing w:line="240" w:lineRule="exact"/>
              <w:jc w:val="center"/>
              <w:rPr>
                <w:rFonts w:ascii="仿宋_GB2312" w:hAnsi="宋体" w:eastAsia="仿宋_GB2312" w:cs="宋体"/>
                <w:b/>
                <w:bCs/>
                <w:szCs w:val="22"/>
              </w:rPr>
            </w:pPr>
            <w:r>
              <w:rPr>
                <w:rFonts w:hint="eastAsia" w:ascii="仿宋_GB2312" w:hAnsi="宋体" w:eastAsia="仿宋_GB2312" w:cs="宋体"/>
                <w:b/>
                <w:bCs/>
                <w:szCs w:val="22"/>
              </w:rPr>
              <w:t>采价表格式规范</w:t>
            </w:r>
          </w:p>
        </w:tc>
        <w:tc>
          <w:tcPr>
            <w:tcW w:w="2374" w:type="dxa"/>
            <w:tcBorders>
              <w:top w:val="single" w:color="auto" w:sz="8" w:space="0"/>
              <w:left w:val="nil"/>
              <w:bottom w:val="nil"/>
              <w:right w:val="single" w:color="auto" w:sz="8" w:space="0"/>
            </w:tcBorders>
            <w:shd w:val="clear" w:color="auto" w:fill="auto"/>
            <w:vAlign w:val="bottom"/>
          </w:tcPr>
          <w:p>
            <w:pPr>
              <w:spacing w:line="240" w:lineRule="exact"/>
              <w:jc w:val="center"/>
              <w:rPr>
                <w:rFonts w:ascii="仿宋_GB2312" w:hAnsi="宋体" w:eastAsia="仿宋_GB2312" w:cs="宋体"/>
                <w:b/>
                <w:bCs/>
                <w:szCs w:val="22"/>
              </w:rPr>
            </w:pPr>
            <w:r>
              <w:rPr>
                <w:rFonts w:hint="eastAsia" w:ascii="仿宋_GB2312" w:hAnsi="宋体" w:eastAsia="仿宋_GB2312" w:cs="宋体"/>
                <w:b/>
                <w:bCs/>
                <w:szCs w:val="22"/>
              </w:rPr>
              <w:t>现场勘验情况</w:t>
            </w:r>
          </w:p>
        </w:tc>
        <w:tc>
          <w:tcPr>
            <w:tcW w:w="2871" w:type="dxa"/>
            <w:tcBorders>
              <w:top w:val="single" w:color="auto" w:sz="8" w:space="0"/>
              <w:left w:val="nil"/>
              <w:bottom w:val="nil"/>
              <w:right w:val="single" w:color="auto" w:sz="8" w:space="0"/>
            </w:tcBorders>
            <w:shd w:val="clear" w:color="auto" w:fill="auto"/>
            <w:vAlign w:val="bottom"/>
          </w:tcPr>
          <w:p>
            <w:pPr>
              <w:spacing w:line="240" w:lineRule="exact"/>
              <w:jc w:val="center"/>
              <w:rPr>
                <w:rFonts w:ascii="仿宋_GB2312" w:hAnsi="宋体" w:eastAsia="仿宋_GB2312" w:cs="宋体"/>
                <w:b/>
                <w:bCs/>
                <w:szCs w:val="22"/>
              </w:rPr>
            </w:pPr>
            <w:r>
              <w:rPr>
                <w:rFonts w:hint="eastAsia" w:ascii="仿宋_GB2312" w:hAnsi="宋体" w:eastAsia="仿宋_GB2312" w:cs="宋体"/>
                <w:b/>
                <w:bCs/>
                <w:szCs w:val="22"/>
              </w:rPr>
              <w:t>采价准确率</w:t>
            </w:r>
          </w:p>
        </w:tc>
        <w:tc>
          <w:tcPr>
            <w:tcW w:w="1134" w:type="dxa"/>
            <w:vMerge w:val="restart"/>
            <w:tcBorders>
              <w:top w:val="single" w:color="auto" w:sz="8" w:space="0"/>
              <w:left w:val="single" w:color="auto" w:sz="8" w:space="0"/>
              <w:bottom w:val="single" w:color="000000" w:sz="8" w:space="0"/>
              <w:right w:val="single" w:color="auto" w:sz="8" w:space="0"/>
            </w:tcBorders>
            <w:shd w:val="clear" w:color="auto" w:fill="auto"/>
            <w:vAlign w:val="bottom"/>
          </w:tcPr>
          <w:p>
            <w:pPr>
              <w:spacing w:line="240" w:lineRule="exact"/>
              <w:jc w:val="center"/>
              <w:rPr>
                <w:rFonts w:ascii="仿宋_GB2312" w:hAnsi="宋体" w:eastAsia="仿宋_GB2312" w:cs="宋体"/>
                <w:b/>
                <w:bCs/>
                <w:szCs w:val="22"/>
              </w:rPr>
            </w:pPr>
            <w:r>
              <w:rPr>
                <w:rFonts w:hint="eastAsia" w:ascii="仿宋_GB2312" w:hAnsi="宋体" w:eastAsia="仿宋_GB2312" w:cs="宋体"/>
                <w:b/>
                <w:bCs/>
                <w:szCs w:val="22"/>
              </w:rPr>
              <w:t>合计</w:t>
            </w:r>
          </w:p>
          <w:p>
            <w:pPr>
              <w:spacing w:line="240" w:lineRule="exact"/>
              <w:jc w:val="center"/>
              <w:rPr>
                <w:rFonts w:ascii="仿宋_GB2312" w:hAnsi="宋体" w:eastAsia="仿宋_GB2312" w:cs="宋体"/>
                <w:b/>
                <w:bCs/>
                <w:szCs w:val="22"/>
              </w:rPr>
            </w:pPr>
            <w:r>
              <w:rPr>
                <w:rFonts w:hint="eastAsia" w:ascii="仿宋_GB2312" w:hAnsi="宋体" w:eastAsia="仿宋_GB2312" w:cs="宋体"/>
                <w:b/>
                <w:bCs/>
                <w:szCs w:val="22"/>
              </w:rPr>
              <w:t>（100分）</w:t>
            </w:r>
          </w:p>
        </w:tc>
      </w:tr>
      <w:tr>
        <w:tblPrEx>
          <w:tblCellMar>
            <w:top w:w="0" w:type="dxa"/>
            <w:left w:w="108" w:type="dxa"/>
            <w:bottom w:w="0" w:type="dxa"/>
            <w:right w:w="108" w:type="dxa"/>
          </w:tblCellMar>
        </w:tblPrEx>
        <w:trPr>
          <w:trHeight w:val="300" w:hRule="atLeast"/>
        </w:trPr>
        <w:tc>
          <w:tcPr>
            <w:tcW w:w="993"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spacing w:line="240" w:lineRule="exact"/>
              <w:rPr>
                <w:rFonts w:ascii="仿宋_GB2312" w:hAnsi="宋体" w:eastAsia="仿宋_GB2312" w:cs="宋体"/>
                <w:b/>
                <w:bCs/>
                <w:szCs w:val="22"/>
              </w:rPr>
            </w:pPr>
          </w:p>
        </w:tc>
        <w:tc>
          <w:tcPr>
            <w:tcW w:w="2126" w:type="dxa"/>
            <w:tcBorders>
              <w:top w:val="nil"/>
              <w:left w:val="nil"/>
              <w:bottom w:val="single" w:color="auto" w:sz="8" w:space="0"/>
              <w:right w:val="single" w:color="auto" w:sz="8" w:space="0"/>
            </w:tcBorders>
            <w:shd w:val="clear" w:color="auto" w:fill="auto"/>
            <w:vAlign w:val="bottom"/>
          </w:tcPr>
          <w:p>
            <w:pPr>
              <w:spacing w:line="240" w:lineRule="exact"/>
              <w:jc w:val="center"/>
              <w:rPr>
                <w:rFonts w:ascii="仿宋_GB2312" w:hAnsi="宋体" w:eastAsia="仿宋_GB2312" w:cs="宋体"/>
                <w:b/>
                <w:bCs/>
                <w:szCs w:val="22"/>
              </w:rPr>
            </w:pPr>
            <w:r>
              <w:rPr>
                <w:rFonts w:hint="eastAsia" w:ascii="仿宋_GB2312" w:hAnsi="宋体" w:eastAsia="仿宋_GB2312" w:cs="宋体"/>
                <w:b/>
                <w:bCs/>
                <w:szCs w:val="22"/>
              </w:rPr>
              <w:t>（20分）</w:t>
            </w:r>
          </w:p>
        </w:tc>
        <w:tc>
          <w:tcPr>
            <w:tcW w:w="2374" w:type="dxa"/>
            <w:tcBorders>
              <w:top w:val="nil"/>
              <w:left w:val="nil"/>
              <w:bottom w:val="single" w:color="auto" w:sz="8" w:space="0"/>
              <w:right w:val="single" w:color="auto" w:sz="8" w:space="0"/>
            </w:tcBorders>
            <w:shd w:val="clear" w:color="auto" w:fill="auto"/>
            <w:vAlign w:val="bottom"/>
          </w:tcPr>
          <w:p>
            <w:pPr>
              <w:spacing w:line="240" w:lineRule="exact"/>
              <w:jc w:val="center"/>
              <w:rPr>
                <w:rFonts w:ascii="仿宋_GB2312" w:hAnsi="宋体" w:eastAsia="仿宋_GB2312" w:cs="宋体"/>
                <w:b/>
                <w:bCs/>
                <w:szCs w:val="22"/>
              </w:rPr>
            </w:pPr>
            <w:r>
              <w:rPr>
                <w:rFonts w:hint="eastAsia" w:ascii="仿宋_GB2312" w:hAnsi="宋体" w:eastAsia="仿宋_GB2312" w:cs="宋体"/>
                <w:b/>
                <w:bCs/>
                <w:szCs w:val="22"/>
              </w:rPr>
              <w:t>（20分）</w:t>
            </w:r>
          </w:p>
        </w:tc>
        <w:tc>
          <w:tcPr>
            <w:tcW w:w="2871" w:type="dxa"/>
            <w:tcBorders>
              <w:top w:val="nil"/>
              <w:left w:val="nil"/>
              <w:bottom w:val="single" w:color="auto" w:sz="8" w:space="0"/>
              <w:right w:val="single" w:color="auto" w:sz="8" w:space="0"/>
            </w:tcBorders>
            <w:shd w:val="clear" w:color="auto" w:fill="auto"/>
            <w:vAlign w:val="bottom"/>
          </w:tcPr>
          <w:p>
            <w:pPr>
              <w:spacing w:line="240" w:lineRule="exact"/>
              <w:jc w:val="center"/>
              <w:rPr>
                <w:rFonts w:ascii="仿宋_GB2312" w:hAnsi="宋体" w:eastAsia="仿宋_GB2312" w:cs="宋体"/>
                <w:b/>
                <w:bCs/>
                <w:szCs w:val="22"/>
              </w:rPr>
            </w:pPr>
            <w:r>
              <w:rPr>
                <w:rFonts w:hint="eastAsia" w:ascii="仿宋_GB2312" w:hAnsi="宋体" w:eastAsia="仿宋_GB2312" w:cs="宋体"/>
                <w:b/>
                <w:bCs/>
                <w:szCs w:val="22"/>
              </w:rPr>
              <w:t>（60分）</w:t>
            </w: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pPr>
              <w:spacing w:line="240" w:lineRule="exact"/>
              <w:rPr>
                <w:rFonts w:ascii="仿宋_GB2312" w:hAnsi="宋体" w:eastAsia="仿宋_GB2312" w:cs="宋体"/>
                <w:b/>
                <w:bCs/>
                <w:szCs w:val="22"/>
              </w:rPr>
            </w:pPr>
          </w:p>
        </w:tc>
      </w:tr>
      <w:tr>
        <w:tblPrEx>
          <w:tblCellMar>
            <w:top w:w="0" w:type="dxa"/>
            <w:left w:w="108" w:type="dxa"/>
            <w:bottom w:w="0" w:type="dxa"/>
            <w:right w:w="108" w:type="dxa"/>
          </w:tblCellMar>
        </w:tblPrEx>
        <w:trPr>
          <w:trHeight w:val="147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spacing w:line="240" w:lineRule="exact"/>
              <w:jc w:val="center"/>
              <w:rPr>
                <w:rFonts w:ascii="仿宋_GB2312" w:hAnsi="宋体" w:eastAsia="仿宋_GB2312" w:cs="宋体"/>
                <w:sz w:val="20"/>
                <w:szCs w:val="20"/>
              </w:rPr>
            </w:pPr>
            <w:r>
              <w:rPr>
                <w:rFonts w:hint="eastAsia" w:ascii="仿宋_GB2312" w:hAnsi="宋体" w:eastAsia="仿宋_GB2312" w:cs="宋体"/>
                <w:sz w:val="20"/>
                <w:szCs w:val="20"/>
              </w:rPr>
              <w:t>考核内容</w:t>
            </w:r>
          </w:p>
        </w:tc>
        <w:tc>
          <w:tcPr>
            <w:tcW w:w="2126" w:type="dxa"/>
            <w:tcBorders>
              <w:top w:val="nil"/>
              <w:left w:val="nil"/>
              <w:bottom w:val="single" w:color="auto" w:sz="8" w:space="0"/>
              <w:right w:val="single" w:color="auto" w:sz="8" w:space="0"/>
            </w:tcBorders>
            <w:shd w:val="clear" w:color="auto" w:fill="auto"/>
            <w:vAlign w:val="center"/>
          </w:tcPr>
          <w:p>
            <w:pPr>
              <w:spacing w:line="240" w:lineRule="exact"/>
              <w:jc w:val="center"/>
              <w:rPr>
                <w:rFonts w:ascii="仿宋_GB2312" w:hAnsi="宋体" w:eastAsia="仿宋_GB2312" w:cs="宋体"/>
                <w:sz w:val="20"/>
                <w:szCs w:val="20"/>
              </w:rPr>
            </w:pPr>
            <w:r>
              <w:rPr>
                <w:rFonts w:hint="eastAsia" w:ascii="仿宋_GB2312" w:hAnsi="宋体" w:eastAsia="仿宋_GB2312" w:cs="宋体"/>
                <w:sz w:val="20"/>
                <w:szCs w:val="20"/>
              </w:rPr>
              <w:t>采价表是否按照中心要求填写（包括材质、规格型号、技术参数、图纸、出厂合格证、检验报告、订货合同等）</w:t>
            </w:r>
          </w:p>
        </w:tc>
        <w:tc>
          <w:tcPr>
            <w:tcW w:w="2374" w:type="dxa"/>
            <w:tcBorders>
              <w:top w:val="nil"/>
              <w:left w:val="nil"/>
              <w:bottom w:val="single" w:color="auto" w:sz="8" w:space="0"/>
              <w:right w:val="single" w:color="auto" w:sz="8" w:space="0"/>
            </w:tcBorders>
            <w:shd w:val="clear" w:color="auto" w:fill="auto"/>
            <w:vAlign w:val="center"/>
          </w:tcPr>
          <w:p>
            <w:pPr>
              <w:spacing w:line="240" w:lineRule="exact"/>
              <w:jc w:val="center"/>
              <w:rPr>
                <w:rFonts w:ascii="仿宋_GB2312" w:hAnsi="宋体" w:eastAsia="仿宋_GB2312" w:cs="宋体"/>
                <w:sz w:val="20"/>
                <w:szCs w:val="20"/>
              </w:rPr>
            </w:pPr>
            <w:r>
              <w:rPr>
                <w:rFonts w:hint="eastAsia" w:ascii="仿宋_GB2312" w:hAnsi="宋体" w:eastAsia="仿宋_GB2312" w:cs="宋体"/>
                <w:sz w:val="20"/>
                <w:szCs w:val="20"/>
              </w:rPr>
              <w:t>是否对项目进行现场勘验，提交现场勘验记录，检查报送资料与现场情况是否一致，并按照现场实际情况对报送资料进行调整</w:t>
            </w:r>
          </w:p>
        </w:tc>
        <w:tc>
          <w:tcPr>
            <w:tcW w:w="2871" w:type="dxa"/>
            <w:tcBorders>
              <w:top w:val="nil"/>
              <w:left w:val="nil"/>
              <w:bottom w:val="single" w:color="auto" w:sz="8" w:space="0"/>
              <w:right w:val="single" w:color="auto" w:sz="8" w:space="0"/>
            </w:tcBorders>
            <w:shd w:val="clear" w:color="auto" w:fill="auto"/>
            <w:vAlign w:val="center"/>
          </w:tcPr>
          <w:p>
            <w:pPr>
              <w:spacing w:line="240" w:lineRule="exact"/>
              <w:jc w:val="center"/>
              <w:rPr>
                <w:rFonts w:ascii="仿宋_GB2312" w:hAnsi="宋体" w:eastAsia="仿宋_GB2312" w:cs="宋体"/>
                <w:sz w:val="20"/>
                <w:szCs w:val="20"/>
              </w:rPr>
            </w:pPr>
            <w:r>
              <w:rPr>
                <w:rFonts w:hint="eastAsia" w:ascii="仿宋_GB2312" w:hAnsi="宋体" w:eastAsia="仿宋_GB2312" w:cs="宋体"/>
                <w:sz w:val="20"/>
                <w:szCs w:val="20"/>
              </w:rPr>
              <w:t>采价结果是否准确（价格浮动在±10%)</w:t>
            </w:r>
          </w:p>
        </w:tc>
        <w:tc>
          <w:tcPr>
            <w:tcW w:w="1134" w:type="dxa"/>
            <w:vMerge w:val="restart"/>
            <w:tcBorders>
              <w:top w:val="nil"/>
              <w:left w:val="single" w:color="auto" w:sz="8" w:space="0"/>
              <w:bottom w:val="single" w:color="000000" w:sz="8" w:space="0"/>
              <w:right w:val="single" w:color="auto" w:sz="8" w:space="0"/>
            </w:tcBorders>
            <w:shd w:val="clear" w:color="auto" w:fill="auto"/>
            <w:noWrap/>
            <w:vAlign w:val="bottom"/>
          </w:tcPr>
          <w:p>
            <w:pPr>
              <w:spacing w:line="240" w:lineRule="exact"/>
              <w:rPr>
                <w:rFonts w:ascii="仿宋_GB2312" w:hAnsi="宋体" w:eastAsia="仿宋_GB2312" w:cs="宋体"/>
                <w:szCs w:val="22"/>
              </w:rPr>
            </w:pPr>
            <w:r>
              <w:rPr>
                <w:rFonts w:hint="eastAsia" w:ascii="仿宋_GB2312" w:hAnsi="宋体" w:eastAsia="仿宋_GB2312" w:cs="宋体"/>
                <w:szCs w:val="22"/>
              </w:rPr>
              <w:t>　</w:t>
            </w:r>
          </w:p>
        </w:tc>
      </w:tr>
      <w:tr>
        <w:tblPrEx>
          <w:tblCellMar>
            <w:top w:w="0" w:type="dxa"/>
            <w:left w:w="108" w:type="dxa"/>
            <w:bottom w:w="0" w:type="dxa"/>
            <w:right w:w="108" w:type="dxa"/>
          </w:tblCellMar>
        </w:tblPrEx>
        <w:trPr>
          <w:trHeight w:val="1845" w:hRule="atLeast"/>
        </w:trPr>
        <w:tc>
          <w:tcPr>
            <w:tcW w:w="993" w:type="dxa"/>
            <w:vMerge w:val="restart"/>
            <w:tcBorders>
              <w:top w:val="nil"/>
              <w:left w:val="single" w:color="auto" w:sz="8" w:space="0"/>
              <w:bottom w:val="single" w:color="000000" w:sz="8" w:space="0"/>
              <w:right w:val="single" w:color="auto" w:sz="8" w:space="0"/>
            </w:tcBorders>
            <w:shd w:val="clear" w:color="auto" w:fill="auto"/>
            <w:vAlign w:val="center"/>
          </w:tcPr>
          <w:p>
            <w:pPr>
              <w:spacing w:line="240" w:lineRule="exact"/>
              <w:jc w:val="center"/>
              <w:rPr>
                <w:rFonts w:ascii="仿宋_GB2312" w:hAnsi="宋体" w:eastAsia="仿宋_GB2312" w:cs="宋体"/>
                <w:sz w:val="20"/>
                <w:szCs w:val="20"/>
              </w:rPr>
            </w:pPr>
            <w:r>
              <w:rPr>
                <w:rFonts w:hint="eastAsia" w:ascii="仿宋_GB2312" w:hAnsi="宋体" w:eastAsia="仿宋_GB2312" w:cs="宋体"/>
                <w:sz w:val="20"/>
                <w:szCs w:val="20"/>
              </w:rPr>
              <w:t>评分标准</w:t>
            </w:r>
          </w:p>
        </w:tc>
        <w:tc>
          <w:tcPr>
            <w:tcW w:w="2126" w:type="dxa"/>
            <w:vMerge w:val="restart"/>
            <w:tcBorders>
              <w:top w:val="nil"/>
              <w:left w:val="single" w:color="auto" w:sz="8" w:space="0"/>
              <w:bottom w:val="single" w:color="000000" w:sz="8" w:space="0"/>
              <w:right w:val="single" w:color="auto" w:sz="8" w:space="0"/>
            </w:tcBorders>
            <w:shd w:val="clear" w:color="auto" w:fill="auto"/>
            <w:vAlign w:val="center"/>
          </w:tcPr>
          <w:p>
            <w:pPr>
              <w:spacing w:line="240" w:lineRule="exact"/>
              <w:jc w:val="center"/>
              <w:rPr>
                <w:rFonts w:ascii="仿宋_GB2312" w:hAnsi="宋体" w:eastAsia="仿宋_GB2312" w:cs="宋体"/>
                <w:sz w:val="20"/>
                <w:szCs w:val="20"/>
              </w:rPr>
            </w:pPr>
            <w:r>
              <w:rPr>
                <w:rFonts w:hint="eastAsia" w:ascii="仿宋_GB2312" w:hAnsi="宋体" w:eastAsia="仿宋_GB2312" w:cs="宋体"/>
                <w:sz w:val="20"/>
                <w:szCs w:val="20"/>
              </w:rPr>
              <w:t>采价表95%以上按照中心要求填写20分；80%-95%按照中心要求填写10-15分；60%-80%按照中心要求填写5-10分；60%以下按照中心要求填写0分</w:t>
            </w:r>
          </w:p>
        </w:tc>
        <w:tc>
          <w:tcPr>
            <w:tcW w:w="2374" w:type="dxa"/>
            <w:vMerge w:val="restart"/>
            <w:tcBorders>
              <w:top w:val="nil"/>
              <w:left w:val="single" w:color="auto" w:sz="8" w:space="0"/>
              <w:bottom w:val="single" w:color="000000" w:sz="8" w:space="0"/>
              <w:right w:val="single" w:color="auto" w:sz="8" w:space="0"/>
            </w:tcBorders>
            <w:shd w:val="clear" w:color="auto" w:fill="auto"/>
            <w:vAlign w:val="center"/>
          </w:tcPr>
          <w:p>
            <w:pPr>
              <w:spacing w:line="240" w:lineRule="exact"/>
              <w:jc w:val="center"/>
              <w:rPr>
                <w:rFonts w:ascii="仿宋_GB2312" w:hAnsi="宋体" w:eastAsia="仿宋_GB2312" w:cs="宋体"/>
                <w:sz w:val="20"/>
                <w:szCs w:val="20"/>
              </w:rPr>
            </w:pPr>
            <w:r>
              <w:rPr>
                <w:rFonts w:hint="eastAsia" w:ascii="仿宋_GB2312" w:hAnsi="宋体" w:eastAsia="仿宋_GB2312" w:cs="宋体"/>
                <w:sz w:val="20"/>
                <w:szCs w:val="20"/>
              </w:rPr>
              <w:t>全部按照考核内容20分；一项未按照考核内容0分</w:t>
            </w:r>
          </w:p>
        </w:tc>
        <w:tc>
          <w:tcPr>
            <w:tcW w:w="2871" w:type="dxa"/>
            <w:vMerge w:val="restart"/>
            <w:tcBorders>
              <w:top w:val="nil"/>
              <w:left w:val="single" w:color="auto" w:sz="8" w:space="0"/>
              <w:bottom w:val="single" w:color="000000" w:sz="8" w:space="0"/>
              <w:right w:val="single" w:color="auto" w:sz="8" w:space="0"/>
            </w:tcBorders>
            <w:shd w:val="clear" w:color="auto" w:fill="auto"/>
            <w:vAlign w:val="center"/>
          </w:tcPr>
          <w:p>
            <w:pPr>
              <w:spacing w:line="240" w:lineRule="exact"/>
              <w:jc w:val="center"/>
              <w:rPr>
                <w:rFonts w:ascii="仿宋_GB2312" w:hAnsi="宋体" w:eastAsia="仿宋_GB2312" w:cs="宋体"/>
                <w:sz w:val="20"/>
                <w:szCs w:val="20"/>
              </w:rPr>
            </w:pPr>
            <w:r>
              <w:rPr>
                <w:rFonts w:hint="eastAsia" w:ascii="仿宋_GB2312" w:hAnsi="宋体" w:eastAsia="仿宋_GB2312" w:cs="宋体"/>
                <w:sz w:val="20"/>
                <w:szCs w:val="20"/>
              </w:rPr>
              <w:t>采价结果准确率95%以上60分；采价结果准确率80%-95%，45-60分；采价结果准确率60%-80%，30-45分；采价结果准确率60%以下，0分</w:t>
            </w:r>
          </w:p>
        </w:tc>
        <w:tc>
          <w:tcPr>
            <w:tcW w:w="1134" w:type="dxa"/>
            <w:vMerge w:val="continue"/>
            <w:tcBorders>
              <w:top w:val="nil"/>
              <w:left w:val="single" w:color="auto" w:sz="8" w:space="0"/>
              <w:bottom w:val="single" w:color="000000" w:sz="8" w:space="0"/>
              <w:right w:val="single" w:color="auto" w:sz="8" w:space="0"/>
            </w:tcBorders>
            <w:vAlign w:val="center"/>
          </w:tcPr>
          <w:p>
            <w:pPr>
              <w:spacing w:line="240" w:lineRule="exact"/>
              <w:rPr>
                <w:rFonts w:ascii="仿宋_GB2312" w:hAnsi="宋体" w:eastAsia="仿宋_GB2312" w:cs="宋体"/>
                <w:szCs w:val="22"/>
              </w:rPr>
            </w:pPr>
          </w:p>
        </w:tc>
      </w:tr>
      <w:tr>
        <w:tblPrEx>
          <w:tblCellMar>
            <w:top w:w="0" w:type="dxa"/>
            <w:left w:w="108" w:type="dxa"/>
            <w:bottom w:w="0" w:type="dxa"/>
            <w:right w:w="108" w:type="dxa"/>
          </w:tblCellMar>
        </w:tblPrEx>
        <w:trPr>
          <w:trHeight w:val="240" w:hRule="atLeast"/>
        </w:trPr>
        <w:tc>
          <w:tcPr>
            <w:tcW w:w="993" w:type="dxa"/>
            <w:vMerge w:val="continue"/>
            <w:tcBorders>
              <w:top w:val="nil"/>
              <w:left w:val="single" w:color="auto" w:sz="8" w:space="0"/>
              <w:bottom w:val="single" w:color="000000" w:sz="8" w:space="0"/>
              <w:right w:val="single" w:color="auto" w:sz="8" w:space="0"/>
            </w:tcBorders>
            <w:vAlign w:val="center"/>
          </w:tcPr>
          <w:p>
            <w:pPr>
              <w:spacing w:line="240" w:lineRule="exact"/>
              <w:rPr>
                <w:rFonts w:ascii="仿宋_GB2312" w:hAnsi="宋体" w:eastAsia="仿宋_GB2312" w:cs="宋体"/>
                <w:sz w:val="20"/>
                <w:szCs w:val="20"/>
              </w:rPr>
            </w:pPr>
          </w:p>
        </w:tc>
        <w:tc>
          <w:tcPr>
            <w:tcW w:w="2126" w:type="dxa"/>
            <w:vMerge w:val="continue"/>
            <w:tcBorders>
              <w:top w:val="nil"/>
              <w:left w:val="single" w:color="auto" w:sz="8" w:space="0"/>
              <w:bottom w:val="single" w:color="000000" w:sz="8" w:space="0"/>
              <w:right w:val="single" w:color="auto" w:sz="8" w:space="0"/>
            </w:tcBorders>
            <w:vAlign w:val="center"/>
          </w:tcPr>
          <w:p>
            <w:pPr>
              <w:spacing w:line="240" w:lineRule="exact"/>
              <w:rPr>
                <w:rFonts w:ascii="仿宋_GB2312" w:hAnsi="宋体" w:eastAsia="仿宋_GB2312" w:cs="宋体"/>
                <w:sz w:val="20"/>
                <w:szCs w:val="20"/>
              </w:rPr>
            </w:pPr>
          </w:p>
        </w:tc>
        <w:tc>
          <w:tcPr>
            <w:tcW w:w="2374" w:type="dxa"/>
            <w:vMerge w:val="continue"/>
            <w:tcBorders>
              <w:top w:val="nil"/>
              <w:left w:val="single" w:color="auto" w:sz="8" w:space="0"/>
              <w:bottom w:val="single" w:color="000000" w:sz="8" w:space="0"/>
              <w:right w:val="single" w:color="auto" w:sz="8" w:space="0"/>
            </w:tcBorders>
            <w:vAlign w:val="center"/>
          </w:tcPr>
          <w:p>
            <w:pPr>
              <w:spacing w:line="240" w:lineRule="exact"/>
              <w:rPr>
                <w:rFonts w:ascii="仿宋_GB2312" w:hAnsi="宋体" w:eastAsia="仿宋_GB2312" w:cs="宋体"/>
                <w:sz w:val="20"/>
                <w:szCs w:val="20"/>
              </w:rPr>
            </w:pPr>
          </w:p>
        </w:tc>
        <w:tc>
          <w:tcPr>
            <w:tcW w:w="2871" w:type="dxa"/>
            <w:vMerge w:val="continue"/>
            <w:tcBorders>
              <w:top w:val="nil"/>
              <w:left w:val="single" w:color="auto" w:sz="8" w:space="0"/>
              <w:bottom w:val="single" w:color="000000" w:sz="8" w:space="0"/>
              <w:right w:val="single" w:color="auto" w:sz="8" w:space="0"/>
            </w:tcBorders>
            <w:vAlign w:val="center"/>
          </w:tcPr>
          <w:p>
            <w:pPr>
              <w:spacing w:line="240" w:lineRule="exact"/>
              <w:rPr>
                <w:rFonts w:ascii="仿宋_GB2312" w:hAnsi="宋体" w:eastAsia="仿宋_GB2312" w:cs="宋体"/>
                <w:sz w:val="20"/>
                <w:szCs w:val="20"/>
              </w:rPr>
            </w:pPr>
          </w:p>
        </w:tc>
        <w:tc>
          <w:tcPr>
            <w:tcW w:w="1134" w:type="dxa"/>
            <w:vMerge w:val="continue"/>
            <w:tcBorders>
              <w:top w:val="nil"/>
              <w:left w:val="single" w:color="auto" w:sz="8" w:space="0"/>
              <w:bottom w:val="single" w:color="000000" w:sz="8" w:space="0"/>
              <w:right w:val="single" w:color="auto" w:sz="8" w:space="0"/>
            </w:tcBorders>
            <w:vAlign w:val="center"/>
          </w:tcPr>
          <w:p>
            <w:pPr>
              <w:spacing w:line="240" w:lineRule="exact"/>
              <w:rPr>
                <w:rFonts w:ascii="仿宋_GB2312" w:hAnsi="宋体" w:eastAsia="仿宋_GB2312" w:cs="宋体"/>
                <w:szCs w:val="22"/>
              </w:rPr>
            </w:pPr>
          </w:p>
        </w:tc>
      </w:tr>
      <w:tr>
        <w:tblPrEx>
          <w:tblCellMar>
            <w:top w:w="0" w:type="dxa"/>
            <w:left w:w="108" w:type="dxa"/>
            <w:bottom w:w="0" w:type="dxa"/>
            <w:right w:w="108" w:type="dxa"/>
          </w:tblCellMar>
        </w:tblPrEx>
        <w:trPr>
          <w:trHeight w:val="562" w:hRule="atLeast"/>
        </w:trPr>
        <w:tc>
          <w:tcPr>
            <w:tcW w:w="993" w:type="dxa"/>
            <w:tcBorders>
              <w:top w:val="nil"/>
              <w:left w:val="single" w:color="auto" w:sz="8" w:space="0"/>
              <w:bottom w:val="single" w:color="auto" w:sz="8" w:space="0"/>
              <w:right w:val="single" w:color="auto" w:sz="8" w:space="0"/>
            </w:tcBorders>
            <w:shd w:val="clear" w:color="auto" w:fill="auto"/>
            <w:noWrap/>
            <w:vAlign w:val="bottom"/>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得分</w:t>
            </w:r>
          </w:p>
        </w:tc>
        <w:tc>
          <w:tcPr>
            <w:tcW w:w="2126" w:type="dxa"/>
            <w:tcBorders>
              <w:top w:val="nil"/>
              <w:left w:val="nil"/>
              <w:bottom w:val="single" w:color="auto" w:sz="8" w:space="0"/>
              <w:right w:val="single" w:color="auto" w:sz="8" w:space="0"/>
            </w:tcBorders>
            <w:shd w:val="clear" w:color="auto" w:fill="auto"/>
            <w:vAlign w:val="bottom"/>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　</w:t>
            </w:r>
          </w:p>
        </w:tc>
        <w:tc>
          <w:tcPr>
            <w:tcW w:w="2374" w:type="dxa"/>
            <w:tcBorders>
              <w:top w:val="nil"/>
              <w:left w:val="nil"/>
              <w:bottom w:val="single" w:color="auto" w:sz="8" w:space="0"/>
              <w:right w:val="single" w:color="auto" w:sz="8" w:space="0"/>
            </w:tcBorders>
            <w:shd w:val="clear" w:color="auto" w:fill="auto"/>
            <w:vAlign w:val="bottom"/>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　</w:t>
            </w:r>
          </w:p>
        </w:tc>
        <w:tc>
          <w:tcPr>
            <w:tcW w:w="2871" w:type="dxa"/>
            <w:tcBorders>
              <w:top w:val="nil"/>
              <w:left w:val="nil"/>
              <w:bottom w:val="single" w:color="auto" w:sz="8" w:space="0"/>
              <w:right w:val="single" w:color="auto" w:sz="8" w:space="0"/>
            </w:tcBorders>
            <w:shd w:val="clear" w:color="auto" w:fill="auto"/>
            <w:vAlign w:val="bottom"/>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　</w:t>
            </w:r>
          </w:p>
        </w:tc>
        <w:tc>
          <w:tcPr>
            <w:tcW w:w="1134" w:type="dxa"/>
            <w:vMerge w:val="continue"/>
            <w:tcBorders>
              <w:top w:val="nil"/>
              <w:left w:val="single" w:color="auto" w:sz="8" w:space="0"/>
              <w:bottom w:val="single" w:color="000000" w:sz="8" w:space="0"/>
              <w:right w:val="single" w:color="auto" w:sz="8" w:space="0"/>
            </w:tcBorders>
            <w:vAlign w:val="center"/>
          </w:tcPr>
          <w:p>
            <w:pPr>
              <w:spacing w:line="240" w:lineRule="exact"/>
              <w:jc w:val="center"/>
              <w:rPr>
                <w:rFonts w:ascii="仿宋_GB2312" w:hAnsi="宋体" w:eastAsia="仿宋_GB2312" w:cs="宋体"/>
                <w:sz w:val="18"/>
                <w:szCs w:val="18"/>
              </w:rPr>
            </w:pPr>
          </w:p>
        </w:tc>
      </w:tr>
      <w:tr>
        <w:tblPrEx>
          <w:tblCellMar>
            <w:top w:w="0" w:type="dxa"/>
            <w:left w:w="108" w:type="dxa"/>
            <w:bottom w:w="0" w:type="dxa"/>
            <w:right w:w="108" w:type="dxa"/>
          </w:tblCellMar>
        </w:tblPrEx>
        <w:trPr>
          <w:trHeight w:val="543" w:hRule="atLeast"/>
        </w:trPr>
        <w:tc>
          <w:tcPr>
            <w:tcW w:w="993" w:type="dxa"/>
            <w:tcBorders>
              <w:top w:val="nil"/>
              <w:left w:val="single" w:color="auto" w:sz="8" w:space="0"/>
              <w:bottom w:val="single" w:color="auto" w:sz="8" w:space="0"/>
              <w:right w:val="single" w:color="auto" w:sz="8" w:space="0"/>
            </w:tcBorders>
            <w:shd w:val="clear" w:color="auto" w:fill="auto"/>
            <w:noWrap/>
            <w:vAlign w:val="bottom"/>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备注</w:t>
            </w:r>
          </w:p>
        </w:tc>
        <w:tc>
          <w:tcPr>
            <w:tcW w:w="2126" w:type="dxa"/>
            <w:tcBorders>
              <w:top w:val="nil"/>
              <w:left w:val="nil"/>
              <w:bottom w:val="single" w:color="auto" w:sz="8" w:space="0"/>
              <w:right w:val="single" w:color="auto" w:sz="8" w:space="0"/>
            </w:tcBorders>
            <w:shd w:val="clear" w:color="auto" w:fill="auto"/>
            <w:noWrap/>
            <w:vAlign w:val="bottom"/>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　</w:t>
            </w:r>
          </w:p>
        </w:tc>
        <w:tc>
          <w:tcPr>
            <w:tcW w:w="2374" w:type="dxa"/>
            <w:tcBorders>
              <w:top w:val="nil"/>
              <w:left w:val="nil"/>
              <w:bottom w:val="single" w:color="auto" w:sz="8" w:space="0"/>
              <w:right w:val="single" w:color="auto" w:sz="8" w:space="0"/>
            </w:tcBorders>
            <w:shd w:val="clear" w:color="auto" w:fill="auto"/>
            <w:noWrap/>
            <w:vAlign w:val="bottom"/>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　</w:t>
            </w:r>
          </w:p>
        </w:tc>
        <w:tc>
          <w:tcPr>
            <w:tcW w:w="2871" w:type="dxa"/>
            <w:tcBorders>
              <w:top w:val="nil"/>
              <w:left w:val="nil"/>
              <w:bottom w:val="single" w:color="auto" w:sz="8" w:space="0"/>
              <w:right w:val="single" w:color="auto" w:sz="8" w:space="0"/>
            </w:tcBorders>
            <w:shd w:val="clear" w:color="auto" w:fill="auto"/>
            <w:noWrap/>
            <w:vAlign w:val="bottom"/>
          </w:tcPr>
          <w:p>
            <w:pPr>
              <w:spacing w:line="240" w:lineRule="exact"/>
              <w:jc w:val="center"/>
              <w:rPr>
                <w:rFonts w:ascii="仿宋_GB2312" w:hAnsi="宋体" w:eastAsia="仿宋_GB2312" w:cs="宋体"/>
                <w:sz w:val="18"/>
                <w:szCs w:val="18"/>
              </w:rPr>
            </w:pPr>
            <w:r>
              <w:rPr>
                <w:rFonts w:hint="eastAsia" w:ascii="仿宋_GB2312" w:hAnsi="宋体" w:eastAsia="仿宋_GB2312" w:cs="宋体"/>
                <w:sz w:val="18"/>
                <w:szCs w:val="18"/>
              </w:rPr>
              <w:t>　</w:t>
            </w:r>
          </w:p>
        </w:tc>
        <w:tc>
          <w:tcPr>
            <w:tcW w:w="1134" w:type="dxa"/>
            <w:vMerge w:val="continue"/>
            <w:tcBorders>
              <w:top w:val="nil"/>
              <w:left w:val="single" w:color="auto" w:sz="8" w:space="0"/>
              <w:bottom w:val="single" w:color="000000" w:sz="8" w:space="0"/>
              <w:right w:val="single" w:color="auto" w:sz="8" w:space="0"/>
            </w:tcBorders>
            <w:vAlign w:val="center"/>
          </w:tcPr>
          <w:p>
            <w:pPr>
              <w:spacing w:line="240" w:lineRule="exact"/>
              <w:jc w:val="center"/>
              <w:rPr>
                <w:rFonts w:ascii="仿宋_GB2312" w:hAnsi="宋体" w:eastAsia="仿宋_GB2312" w:cs="宋体"/>
                <w:sz w:val="18"/>
                <w:szCs w:val="18"/>
              </w:rPr>
            </w:pPr>
          </w:p>
        </w:tc>
      </w:tr>
    </w:tbl>
    <w:p>
      <w:pPr>
        <w:widowControl w:val="0"/>
        <w:spacing w:line="360" w:lineRule="auto"/>
        <w:jc w:val="both"/>
        <w:rPr>
          <w:rFonts w:ascii="仿宋_GB2312" w:hAnsi="Calibri" w:eastAsia="仿宋_GB2312"/>
          <w:kern w:val="2"/>
          <w:sz w:val="21"/>
          <w:szCs w:val="22"/>
        </w:rPr>
      </w:pPr>
      <w:r>
        <w:rPr>
          <w:rFonts w:hint="eastAsia" w:ascii="仿宋_GB2312" w:hAnsi="Calibri" w:eastAsia="仿宋_GB2312"/>
          <w:kern w:val="2"/>
          <w:sz w:val="21"/>
          <w:szCs w:val="22"/>
        </w:rPr>
        <w:t>采价工程师：               部门负责人：                考核日期：</w:t>
      </w:r>
      <w:r>
        <w:rPr>
          <w:rFonts w:ascii="仿宋_GB2312" w:hAnsi="Calibri" w:eastAsia="仿宋_GB2312"/>
          <w:kern w:val="2"/>
          <w:sz w:val="21"/>
          <w:szCs w:val="22"/>
        </w:rPr>
        <w:br w:type="page"/>
      </w:r>
    </w:p>
    <w:p>
      <w:pPr>
        <w:rPr>
          <w:rFonts w:ascii="Calibri" w:hAnsi="Calibri" w:eastAsia="宋体" w:cstheme="minorHAnsi"/>
          <w:b/>
          <w:color w:val="000000"/>
          <w:kern w:val="24"/>
        </w:rPr>
      </w:pPr>
      <w:r>
        <w:rPr>
          <w:rFonts w:hint="eastAsia" w:ascii="Calibri" w:hAnsi="Calibri" w:eastAsia="宋体" w:cstheme="minorHAnsi"/>
          <w:b/>
          <w:color w:val="000000"/>
          <w:kern w:val="24"/>
        </w:rPr>
        <w:t>附件</w:t>
      </w:r>
      <w:r>
        <w:rPr>
          <w:rFonts w:ascii="Calibri" w:hAnsi="Calibri" w:eastAsia="宋体" w:cstheme="minorHAnsi"/>
          <w:b/>
          <w:color w:val="000000"/>
          <w:kern w:val="24"/>
        </w:rPr>
        <w:t>2</w:t>
      </w:r>
      <w:r>
        <w:rPr>
          <w:rFonts w:hint="eastAsia" w:ascii="Calibri" w:hAnsi="Calibri" w:eastAsia="宋体" w:cstheme="minorHAnsi"/>
          <w:b/>
          <w:color w:val="000000"/>
          <w:kern w:val="24"/>
        </w:rPr>
        <w:t>：</w:t>
      </w:r>
    </w:p>
    <w:p>
      <w:pPr>
        <w:snapToGrid w:val="0"/>
        <w:spacing w:line="360" w:lineRule="auto"/>
        <w:jc w:val="center"/>
        <w:rPr>
          <w:rFonts w:ascii="Calibri" w:hAnsi="Calibri" w:eastAsia="宋体" w:cstheme="minorHAnsi"/>
          <w:b/>
          <w:kern w:val="24"/>
        </w:rPr>
      </w:pPr>
      <w:r>
        <w:rPr>
          <w:rFonts w:hint="eastAsia" w:ascii="Calibri" w:hAnsi="Calibri" w:eastAsia="宋体" w:cstheme="minorHAnsi"/>
          <w:b/>
          <w:kern w:val="24"/>
        </w:rPr>
        <w:t>西安市财政投资项目审核廉政保密承诺书</w:t>
      </w:r>
    </w:p>
    <w:p>
      <w:pPr>
        <w:pStyle w:val="83"/>
        <w:ind w:firstLine="480"/>
      </w:pPr>
      <w:r>
        <w:rPr>
          <w:rFonts w:hint="eastAsia"/>
        </w:rPr>
        <w:t>西安市财政投资评审中心：</w:t>
      </w:r>
    </w:p>
    <w:p>
      <w:pPr>
        <w:pStyle w:val="83"/>
        <w:ind w:firstLine="480"/>
      </w:pPr>
      <w:r>
        <w:rPr>
          <w:rFonts w:hint="eastAsia"/>
          <w:color w:val="auto"/>
        </w:rPr>
        <w:t>为做好</w:t>
      </w:r>
      <w:r>
        <w:rPr>
          <w:color w:val="auto"/>
        </w:rPr>
        <w:t>____________项目</w:t>
      </w:r>
      <w:r>
        <w:rPr>
          <w:rFonts w:hint="eastAsia"/>
          <w:color w:val="auto"/>
        </w:rPr>
        <w:t>廉政保密工作，预防质量事故发生，根据有关法律、法规</w:t>
      </w:r>
      <w:r>
        <w:rPr>
          <w:rFonts w:hint="eastAsia"/>
        </w:rPr>
        <w:t>和廉政保密建设责任制的规定，本单位在服务期内郑重做出如下承诺：</w:t>
      </w:r>
    </w:p>
    <w:p>
      <w:pPr>
        <w:pStyle w:val="83"/>
        <w:ind w:firstLine="480"/>
      </w:pPr>
      <w:r>
        <w:rPr>
          <w:rFonts w:hint="eastAsia"/>
        </w:rPr>
        <w:t>一、严格遵守国家法律法规、廉洁自律准则及各项管理规章制度，认真履行单位职责，坚决杜绝违规、违法犯罪行为的发生。</w:t>
      </w:r>
    </w:p>
    <w:p>
      <w:pPr>
        <w:pStyle w:val="83"/>
        <w:ind w:firstLine="480"/>
      </w:pPr>
      <w:r>
        <w:rPr>
          <w:rFonts w:hint="eastAsia"/>
        </w:rPr>
        <w:t>二、做好作业人员党风廉政建设和反腐败工作，加强作业人员廉洁从业教育，进一步强化作业人员廉政保密意识和风险防控意识，诚信守法、行为规范。</w:t>
      </w:r>
    </w:p>
    <w:p>
      <w:pPr>
        <w:pStyle w:val="83"/>
        <w:ind w:firstLine="480"/>
      </w:pPr>
      <w:r>
        <w:rPr>
          <w:rFonts w:hint="eastAsia"/>
        </w:rPr>
        <w:t>三、坚持实事求是、公平、公开、公正的原则，廉洁、高效完成各项审核业务，不徇私舞弊和弄虚作假。</w:t>
      </w:r>
    </w:p>
    <w:p>
      <w:pPr>
        <w:pStyle w:val="83"/>
        <w:ind w:firstLine="480"/>
      </w:pPr>
      <w:r>
        <w:rPr>
          <w:rFonts w:hint="eastAsia"/>
        </w:rPr>
        <w:t>四、严格约束作业人员行为，并遵守以下要求：</w:t>
      </w:r>
    </w:p>
    <w:p>
      <w:pPr>
        <w:pStyle w:val="83"/>
        <w:ind w:firstLine="480"/>
      </w:pPr>
      <w:r>
        <w:rPr>
          <w:rFonts w:hint="eastAsia"/>
        </w:rPr>
        <w:t>（一）严格按照规定程序办事，提高工作效率，不得借故推、拖、卡、压、故意刁难被审核项目单位。</w:t>
      </w:r>
    </w:p>
    <w:p>
      <w:pPr>
        <w:pStyle w:val="83"/>
        <w:ind w:firstLine="480"/>
      </w:pPr>
      <w:r>
        <w:rPr>
          <w:rFonts w:hint="eastAsia"/>
        </w:rPr>
        <w:t>（二）不得以任何形式向被审核项目单位借钱借物和报销应由个人开支的费用。</w:t>
      </w:r>
    </w:p>
    <w:p>
      <w:pPr>
        <w:pStyle w:val="83"/>
        <w:ind w:firstLine="480"/>
      </w:pPr>
      <w:r>
        <w:rPr>
          <w:rFonts w:hint="eastAsia"/>
        </w:rPr>
        <w:t>（三）不准接受被审核项目单位免费或廉价提供的各种劳务、商品或福利待遇。</w:t>
      </w:r>
    </w:p>
    <w:p>
      <w:pPr>
        <w:pStyle w:val="83"/>
        <w:ind w:firstLine="480"/>
      </w:pPr>
      <w:r>
        <w:rPr>
          <w:rFonts w:hint="eastAsia"/>
        </w:rPr>
        <w:t>（四）不准索取或收受任何形式回扣、礼金礼品、各种有价证券及贵重物品。</w:t>
      </w:r>
    </w:p>
    <w:p>
      <w:pPr>
        <w:pStyle w:val="83"/>
        <w:ind w:firstLine="480"/>
      </w:pPr>
      <w:r>
        <w:rPr>
          <w:rFonts w:hint="eastAsia"/>
        </w:rPr>
        <w:t>（五）不准接受被审核项目单位的宴请和娱乐活动。</w:t>
      </w:r>
    </w:p>
    <w:p>
      <w:pPr>
        <w:pStyle w:val="83"/>
        <w:ind w:firstLine="480"/>
      </w:pPr>
      <w:r>
        <w:rPr>
          <w:rFonts w:hint="eastAsia"/>
        </w:rPr>
        <w:t>（六）不得要求和接受被审核项目单位无偿提供通讯工具、交通工具等。</w:t>
      </w:r>
    </w:p>
    <w:p>
      <w:pPr>
        <w:pStyle w:val="83"/>
        <w:ind w:firstLine="480"/>
      </w:pPr>
      <w:r>
        <w:rPr>
          <w:rFonts w:hint="eastAsia"/>
        </w:rPr>
        <w:t>（七）不得借工作之便为自己或亲友谋取不正当利益。</w:t>
      </w:r>
    </w:p>
    <w:p>
      <w:pPr>
        <w:pStyle w:val="83"/>
        <w:ind w:firstLine="480"/>
      </w:pPr>
      <w:r>
        <w:rPr>
          <w:rFonts w:hint="eastAsia"/>
        </w:rPr>
        <w:t>（八）不得为谋取私利擅自与被审核项目单位就工程项目审核问题进行私下商谈或达成默契。</w:t>
      </w:r>
    </w:p>
    <w:p>
      <w:pPr>
        <w:pStyle w:val="83"/>
        <w:ind w:firstLine="480"/>
      </w:pPr>
      <w:r>
        <w:rPr>
          <w:rFonts w:hint="eastAsia"/>
        </w:rPr>
        <w:t>（九）不得瞒报、蓄意误报审核项目中存在的问题。</w:t>
      </w:r>
    </w:p>
    <w:p>
      <w:pPr>
        <w:pStyle w:val="83"/>
        <w:ind w:firstLine="480"/>
      </w:pPr>
      <w:r>
        <w:rPr>
          <w:rFonts w:hint="eastAsia"/>
        </w:rPr>
        <w:t>（十）严格遵守国家和贵单位的保密制度，不得擅自向被审核项目单位泄漏审核过程等相关情况。</w:t>
      </w:r>
    </w:p>
    <w:p>
      <w:pPr>
        <w:pStyle w:val="83"/>
        <w:ind w:firstLine="480"/>
      </w:pPr>
      <w:r>
        <w:rPr>
          <w:rFonts w:hint="eastAsia"/>
        </w:rPr>
        <w:t>（十一）发现与被审核项目（或单位）有直接利害关系时，必须主动报告并回避。</w:t>
      </w:r>
    </w:p>
    <w:p>
      <w:pPr>
        <w:pStyle w:val="83"/>
        <w:ind w:firstLine="480"/>
      </w:pPr>
      <w:r>
        <w:rPr>
          <w:rFonts w:hint="eastAsia"/>
        </w:rPr>
        <w:t>五、做好作业人员的廉政监督工作，作业人员违反以上承诺的，一经发现将严肃处理，由此给贵单位造成的损失及法律风险，一律由本单位承担相应责任。</w:t>
      </w:r>
    </w:p>
    <w:p>
      <w:pPr>
        <w:pStyle w:val="83"/>
        <w:ind w:firstLine="480"/>
      </w:pPr>
      <w:r>
        <w:rPr>
          <w:rFonts w:hint="eastAsia"/>
        </w:rPr>
        <w:t>以上承诺本单位将严格履行，自愿接受监督，如有违反，愿接受责任追究。</w:t>
      </w:r>
    </w:p>
    <w:p>
      <w:pPr>
        <w:pStyle w:val="83"/>
        <w:ind w:firstLine="480"/>
      </w:pPr>
    </w:p>
    <w:p>
      <w:pPr>
        <w:pStyle w:val="83"/>
        <w:ind w:firstLine="480"/>
      </w:pPr>
    </w:p>
    <w:p>
      <w:pPr>
        <w:pStyle w:val="83"/>
        <w:tabs>
          <w:tab w:val="left" w:pos="5520"/>
          <w:tab w:val="right" w:pos="7990"/>
        </w:tabs>
        <w:ind w:right="1080" w:firstLine="480"/>
        <w:jc w:val="left"/>
      </w:pPr>
      <w:r>
        <w:tab/>
      </w:r>
      <w:r>
        <w:rPr>
          <w:rFonts w:hint="eastAsia"/>
        </w:rPr>
        <w:t>承诺单位（盖章）：</w:t>
      </w:r>
    </w:p>
    <w:p>
      <w:pPr>
        <w:pStyle w:val="83"/>
        <w:ind w:right="1320" w:firstLine="480"/>
        <w:jc w:val="right"/>
      </w:pPr>
      <w:r>
        <w:t>法定代表人（签字）：</w:t>
      </w:r>
    </w:p>
    <w:p>
      <w:pPr>
        <w:pStyle w:val="83"/>
        <w:ind w:firstLine="480"/>
        <w:jc w:val="right"/>
      </w:pPr>
      <w:r>
        <w:t>_________年______月______日</w:t>
      </w:r>
    </w:p>
    <w:p>
      <w:pPr>
        <w:pStyle w:val="42"/>
        <w:spacing w:line="240" w:lineRule="auto"/>
        <w:ind w:firstLine="560" w:firstLineChars="200"/>
        <w:jc w:val="both"/>
        <w:rPr>
          <w:rFonts w:asciiTheme="minorHAnsi" w:hAnsiTheme="minorHAnsi" w:eastAsiaTheme="minorEastAsia"/>
          <w:color w:val="7030A0"/>
          <w:sz w:val="24"/>
          <w:szCs w:val="24"/>
        </w:rPr>
      </w:pPr>
      <w:r>
        <w:br w:type="page"/>
      </w:r>
    </w:p>
    <w:p>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74" w:name="_Toc224555753"/>
      <w:bookmarkStart w:id="75" w:name="_Toc212455742"/>
      <w:r>
        <w:rPr>
          <w:rFonts w:hint="eastAsia"/>
        </w:rPr>
        <w:t>第五章　响应文件构成及格式</w:t>
      </w:r>
      <w:bookmarkEnd w:id="74"/>
      <w:bookmarkEnd w:id="75"/>
    </w:p>
    <w:p>
      <w:pPr>
        <w:jc w:val="center"/>
        <w:rPr>
          <w:rFonts w:cstheme="minorHAnsi"/>
          <w:sz w:val="36"/>
          <w:szCs w:val="36"/>
        </w:rPr>
      </w:pPr>
    </w:p>
    <w:p>
      <w:pPr>
        <w:jc w:val="center"/>
        <w:rPr>
          <w:rFonts w:cstheme="minorHAnsi"/>
          <w:sz w:val="36"/>
          <w:szCs w:val="36"/>
        </w:rPr>
      </w:pPr>
    </w:p>
    <w:p>
      <w:pPr>
        <w:jc w:val="center"/>
        <w:rPr>
          <w:rFonts w:cstheme="minorHAnsi"/>
          <w:sz w:val="36"/>
          <w:szCs w:val="36"/>
        </w:rPr>
      </w:pPr>
    </w:p>
    <w:p>
      <w:pPr>
        <w:jc w:val="center"/>
        <w:rPr>
          <w:rFonts w:cstheme="minorHAnsi"/>
          <w:b/>
          <w:color w:val="C00000"/>
          <w:sz w:val="44"/>
          <w:szCs w:val="44"/>
        </w:rPr>
      </w:pPr>
      <w:r>
        <w:rPr>
          <w:rFonts w:cstheme="minorHAnsi"/>
          <w:b/>
          <w:color w:val="C00000"/>
          <w:sz w:val="36"/>
          <w:szCs w:val="36"/>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1．我方已详细阅读了磋商文件，完全理解并同意磋商文件的所有事项及内容。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4．我方理解最低价不是成交的唯一条件，并尊重磋商小组的评审结果。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．若我方成交，我方承诺：</w:t>
      </w:r>
    </w:p>
    <w:p>
      <w:pPr>
        <w:ind w:firstLine="567"/>
        <w:jc w:val="both"/>
        <w:rPr>
          <w:rFonts w:cstheme="minorHAnsi"/>
          <w:color w:val="000000"/>
        </w:rPr>
      </w:pPr>
      <w:r>
        <w:rPr>
          <w:rFonts w:hint="eastAsia" w:cstheme="minorHAnsi"/>
          <w:color w:val="000000"/>
        </w:rPr>
        <w:t>（1）将成交文件有效期延长至合同执行完毕；</w:t>
      </w:r>
    </w:p>
    <w:p>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pPr>
        <w:ind w:firstLine="567"/>
        <w:jc w:val="both"/>
        <w:rPr>
          <w:rFonts w:cstheme="minorHAnsi"/>
          <w:color w:val="000000"/>
        </w:rPr>
      </w:pPr>
      <w:r>
        <w:rPr>
          <w:rFonts w:hint="eastAsia" w:cstheme="minorHAnsi"/>
          <w:color w:val="000000"/>
        </w:rPr>
        <w:t>（3）遵照磋商文件中的要求，完成本项目的合同责任和义务。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pPr>
        <w:pStyle w:val="42"/>
        <w:jc w:val="center"/>
        <w:rPr>
          <w:rFonts w:asciiTheme="minorHAnsi" w:hAnsiTheme="minorHAnsi" w:eastAsiaTheme="minorEastAsia"/>
          <w:b/>
          <w:color w:val="C00000"/>
          <w:sz w:val="24"/>
          <w:szCs w:val="24"/>
        </w:rPr>
      </w:pPr>
    </w:p>
    <w:tbl>
      <w:tblPr>
        <w:tblStyle w:val="2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bookmarkStart w:id="76" w:name="OLE_LINK40"/>
            <w:bookmarkStart w:id="77" w:name="OLE_LINK41"/>
            <w:r>
              <w:rPr>
                <w:rFonts w:hint="eastAsia"/>
                <w:b/>
              </w:rPr>
              <w:t>磋商报价</w:t>
            </w:r>
            <w:bookmarkEnd w:id="76"/>
            <w:bookmarkEnd w:id="77"/>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pPr>
              <w:jc w:val="center"/>
              <w:rPr>
                <w:b/>
              </w:rPr>
            </w:pPr>
            <w:bookmarkStart w:id="78" w:name="OLE_LINK60"/>
            <w:bookmarkStart w:id="79" w:name="OLE_LINK61"/>
            <w:r>
              <w:rPr>
                <w:rFonts w:hint="eastAsia"/>
                <w:b/>
              </w:rPr>
              <w:t>成果</w:t>
            </w:r>
            <w:r>
              <w:rPr>
                <w:b/>
              </w:rPr>
              <w:t>交付</w:t>
            </w:r>
            <w:r>
              <w:rPr>
                <w:rFonts w:hint="eastAsia"/>
                <w:b/>
              </w:rPr>
              <w:t>时限</w:t>
            </w:r>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rPr>
          <w:kern w:val="24"/>
        </w:rPr>
      </w:pPr>
    </w:p>
    <w:p>
      <w:pPr>
        <w:pStyle w:val="83"/>
        <w:ind w:firstLine="480"/>
      </w:pPr>
      <w:r>
        <w:t>〖注〗</w:t>
      </w:r>
      <w:r>
        <w:rPr>
          <w:rFonts w:hint="eastAsia"/>
        </w:rPr>
        <w:t>（一）报价</w:t>
      </w:r>
      <w:r>
        <w:t>说明</w:t>
      </w:r>
    </w:p>
    <w:p>
      <w:pPr>
        <w:pStyle w:val="83"/>
        <w:ind w:firstLine="480"/>
      </w:pPr>
      <w:r>
        <w:rPr>
          <w:rFonts w:hint="eastAsia"/>
        </w:rPr>
        <w:t>供应商磋商报价统一按</w:t>
      </w:r>
      <w:bookmarkStart w:id="80" w:name="OLE_LINK48"/>
      <w:bookmarkStart w:id="81" w:name="OLE_LINK49"/>
      <w:r>
        <w:rPr>
          <w:rFonts w:hint="eastAsia"/>
        </w:rPr>
        <w:t>建安工程投资送审金额审减率为15%</w:t>
      </w:r>
      <w:bookmarkEnd w:id="80"/>
      <w:bookmarkEnd w:id="81"/>
      <w:r>
        <w:rPr>
          <w:rFonts w:hint="eastAsia"/>
        </w:rPr>
        <w:t>时填报，即按以下</w:t>
      </w:r>
      <w:r>
        <w:t xml:space="preserve">公示计算： </w:t>
      </w:r>
    </w:p>
    <w:p>
      <w:pPr>
        <w:pStyle w:val="83"/>
        <w:ind w:firstLine="480"/>
      </w:pPr>
      <w:r>
        <w:rPr>
          <w:rFonts w:hint="eastAsia"/>
        </w:rPr>
        <w:t>磋商</w:t>
      </w:r>
      <w:r>
        <w:t>报价</w:t>
      </w:r>
      <w:r>
        <w:rPr>
          <w:rFonts w:hint="eastAsia"/>
        </w:rPr>
        <w:t>=【建安工程投资送审金额×A</w:t>
      </w:r>
      <w:r>
        <w:t>1</w:t>
      </w:r>
      <w:r>
        <w:rPr>
          <w:rFonts w:hint="eastAsia"/>
        </w:rPr>
        <w:t>+建安工程投资送审金额×10%×B</w:t>
      </w:r>
      <w:r>
        <w:t>1+</w:t>
      </w:r>
      <w:r>
        <w:rPr>
          <w:rFonts w:hint="eastAsia"/>
        </w:rPr>
        <w:t>建安工程投资送审金额×</w:t>
      </w:r>
      <w:r>
        <w:t>5</w:t>
      </w:r>
      <w:r>
        <w:rPr>
          <w:rFonts w:hint="eastAsia"/>
        </w:rPr>
        <w:t>%×B</w:t>
      </w:r>
      <w:r>
        <w:t>2</w:t>
      </w:r>
      <w:r>
        <w:rPr>
          <w:rFonts w:hint="eastAsia"/>
        </w:rPr>
        <w:t>】+待摊投资送审金额×A</w:t>
      </w:r>
      <w:r>
        <w:t>2</w:t>
      </w:r>
    </w:p>
    <w:p>
      <w:pPr>
        <w:pStyle w:val="83"/>
        <w:ind w:firstLine="480"/>
      </w:pPr>
      <w:r>
        <w:t>（二）“</w:t>
      </w:r>
      <w:r>
        <w:rPr>
          <w:rFonts w:hint="eastAsia"/>
        </w:rPr>
        <w:t>磋商报价</w:t>
      </w:r>
      <w:r>
        <w:t>”仅作为计算价格分的依据，实际结算以供应商所报</w:t>
      </w:r>
      <w:r>
        <w:rPr>
          <w:rFonts w:hint="eastAsia"/>
        </w:rPr>
        <w:t>成交费率</w:t>
      </w:r>
      <w:r>
        <w:t>据实结算。</w:t>
      </w:r>
    </w:p>
    <w:p>
      <w:pPr>
        <w:pStyle w:val="83"/>
        <w:ind w:firstLine="480"/>
      </w:pPr>
      <w:r>
        <w:rPr>
          <w:rFonts w:hint="eastAsia"/>
        </w:rPr>
        <w:t>（三）</w:t>
      </w:r>
      <w:r>
        <w:t>以下情况按无效</w:t>
      </w:r>
      <w:r>
        <w:rPr>
          <w:rFonts w:hint="eastAsia"/>
        </w:rPr>
        <w:t>响应</w:t>
      </w:r>
      <w:r>
        <w:t>处理：</w:t>
      </w:r>
    </w:p>
    <w:p>
      <w:pPr>
        <w:pStyle w:val="83"/>
        <w:ind w:firstLine="480"/>
      </w:pPr>
      <w:r>
        <w:t>1．A栏未按阿拉伯小写金额样式填写，B栏未填写</w:t>
      </w:r>
      <w:r>
        <w:rPr>
          <w:rFonts w:hint="eastAsia"/>
        </w:rPr>
        <w:t>成果交付时限</w:t>
      </w:r>
      <w:r>
        <w:t>。</w:t>
      </w:r>
    </w:p>
    <w:p>
      <w:pPr>
        <w:ind w:firstLine="480" w:firstLineChars="200"/>
        <w:jc w:val="both"/>
        <w:rPr>
          <w:kern w:val="24"/>
        </w:rPr>
      </w:pPr>
      <w:r>
        <w:rPr>
          <w:kern w:val="24"/>
        </w:rPr>
        <w:t>2</w:t>
      </w:r>
      <w:r>
        <w:rPr>
          <w:rFonts w:hint="eastAsia"/>
          <w:kern w:val="24"/>
        </w:rPr>
        <w:t xml:space="preserve">. </w:t>
      </w:r>
      <w:r>
        <w:rPr>
          <w:rFonts w:hint="eastAsia"/>
        </w:rPr>
        <w:t>磋商</w:t>
      </w:r>
      <w:r>
        <w:rPr>
          <w:rFonts w:hint="eastAsia"/>
          <w:kern w:val="24"/>
        </w:rPr>
        <w:t>报价</w:t>
      </w:r>
      <w:r>
        <w:rPr>
          <w:kern w:val="24"/>
        </w:rPr>
        <w:t>超过本</w:t>
      </w:r>
      <w:r>
        <w:rPr>
          <w:rFonts w:hint="eastAsia"/>
          <w:kern w:val="24"/>
        </w:rPr>
        <w:t>项目</w:t>
      </w:r>
      <w:r>
        <w:rPr>
          <w:kern w:val="24"/>
        </w:rPr>
        <w:t>预算的。</w:t>
      </w:r>
    </w:p>
    <w:p>
      <w:pPr>
        <w:rPr>
          <w:rFonts w:ascii="Calibri" w:hAnsi="Calibri" w:eastAsia="宋体"/>
          <w:kern w:val="24"/>
        </w:rPr>
      </w:pPr>
      <w:r>
        <w:rPr>
          <w:rFonts w:ascii="Calibri" w:hAnsi="Calibri" w:eastAsia="宋体"/>
          <w:kern w:val="24"/>
        </w:rPr>
        <w:br w:type="page"/>
      </w:r>
    </w:p>
    <w:p>
      <w:pPr>
        <w:pStyle w:val="42"/>
        <w:ind w:firstLine="560" w:firstLineChars="200"/>
        <w:jc w:val="both"/>
        <w:rPr>
          <w:rFonts w:hAnsi="华文仿宋"/>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w:t>
      </w:r>
      <w:r>
        <w:rPr>
          <w:rFonts w:ascii="黑体" w:hAnsi="黑体" w:eastAsia="黑体" w:cs="Calibri Light"/>
          <w:color w:val="1F4E79"/>
          <w:sz w:val="32"/>
          <w:szCs w:val="36"/>
        </w:rPr>
        <w:t>报价表</w:t>
      </w:r>
    </w:p>
    <w:p>
      <w:pPr>
        <w:pStyle w:val="42"/>
        <w:tabs>
          <w:tab w:val="right" w:pos="13892"/>
        </w:tabs>
        <w:jc w:val="both"/>
        <w:rPr>
          <w:rFonts w:asciiTheme="minorHAnsi" w:hAnsiTheme="minorHAnsi" w:eastAsiaTheme="minorEastAsia"/>
          <w:vanish/>
          <w:color w:val="00B05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6"/>
        <w:tblW w:w="837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90"/>
        <w:gridCol w:w="5670"/>
        <w:gridCol w:w="17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990"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hint="eastAsia" w:cs="Calibri Light"/>
                <w:b/>
                <w:color w:val="000000"/>
                <w:sz w:val="21"/>
                <w:szCs w:val="21"/>
              </w:rPr>
              <w:t>代</w:t>
            </w:r>
            <w:r>
              <w:rPr>
                <w:rFonts w:cs="Calibri Light"/>
                <w:b/>
                <w:color w:val="000000"/>
                <w:sz w:val="21"/>
                <w:szCs w:val="21"/>
              </w:rPr>
              <w:t>号</w:t>
            </w:r>
          </w:p>
        </w:tc>
        <w:tc>
          <w:tcPr>
            <w:tcW w:w="5670"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w:t>
            </w:r>
            <w:r>
              <w:rPr>
                <w:rFonts w:hint="eastAsia" w:cs="Calibri Light"/>
                <w:b/>
                <w:color w:val="000000"/>
                <w:sz w:val="21"/>
                <w:szCs w:val="21"/>
              </w:rPr>
              <w:t>率</w:t>
            </w:r>
            <w:r>
              <w:rPr>
                <w:rFonts w:cs="Calibri Light"/>
                <w:b/>
                <w:color w:val="000000"/>
                <w:sz w:val="21"/>
                <w:szCs w:val="21"/>
              </w:rPr>
              <w:t>名称</w:t>
            </w:r>
          </w:p>
        </w:tc>
        <w:tc>
          <w:tcPr>
            <w:tcW w:w="1710"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w:t>
            </w:r>
            <w:r>
              <w:rPr>
                <w:rFonts w:hint="eastAsia" w:cs="Calibri Light"/>
                <w:b/>
                <w:color w:val="000000"/>
                <w:sz w:val="21"/>
                <w:szCs w:val="21"/>
              </w:rPr>
              <w:t>率报价</w:t>
            </w:r>
            <w:r>
              <w:rPr>
                <w:rFonts w:cs="Calibri Light"/>
                <w:b/>
                <w:color w:val="000000"/>
                <w:sz w:val="21"/>
                <w:szCs w:val="21"/>
              </w:rPr>
              <w:t>（</w:t>
            </w:r>
            <w:r>
              <w:rPr>
                <w:rFonts w:hint="eastAsia" w:cs="Calibri Light"/>
                <w:b/>
                <w:color w:val="000000"/>
                <w:sz w:val="21"/>
                <w:szCs w:val="21"/>
              </w:rPr>
              <w:t>%</w:t>
            </w:r>
            <w:r>
              <w:rPr>
                <w:rFonts w:cs="Calibri Light"/>
                <w:b/>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990"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bookmarkStart w:id="82" w:name="_Hlk223973516"/>
            <w:r>
              <w:rPr>
                <w:rFonts w:hint="eastAsia" w:cs="Calibri Light"/>
                <w:b/>
                <w:bCs/>
                <w:color w:val="000000"/>
                <w:sz w:val="21"/>
                <w:szCs w:val="21"/>
              </w:rPr>
              <w:t>A</w:t>
            </w:r>
            <w:r>
              <w:rPr>
                <w:rFonts w:cs="Calibri Light"/>
                <w:b/>
                <w:bCs/>
                <w:color w:val="000000"/>
                <w:sz w:val="21"/>
                <w:szCs w:val="21"/>
              </w:rPr>
              <w:t>1</w:t>
            </w:r>
          </w:p>
        </w:tc>
        <w:tc>
          <w:tcPr>
            <w:tcW w:w="5670"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hint="eastAsia" w:ascii="宋体" w:hAnsi="宋体" w:cs="宋体"/>
                <w:sz w:val="22"/>
              </w:rPr>
              <w:t>建设工程部分结算审查审核</w:t>
            </w:r>
            <w:r>
              <w:rPr>
                <w:rFonts w:ascii="宋体" w:hAnsi="宋体" w:cs="宋体"/>
                <w:sz w:val="22"/>
              </w:rPr>
              <w:t>费率</w:t>
            </w:r>
            <w:r>
              <w:rPr>
                <w:rFonts w:hint="eastAsia" w:ascii="Calibri" w:hAnsi="Calibri" w:eastAsia="宋体" w:cstheme="minorHAnsi"/>
                <w:kern w:val="24"/>
              </w:rPr>
              <w:t xml:space="preserve"> </w:t>
            </w:r>
          </w:p>
        </w:tc>
        <w:tc>
          <w:tcPr>
            <w:tcW w:w="1710"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990"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hint="eastAsia" w:cs="Calibri Light"/>
                <w:b/>
                <w:bCs/>
                <w:color w:val="000000"/>
                <w:sz w:val="21"/>
                <w:szCs w:val="21"/>
              </w:rPr>
              <w:t>A2</w:t>
            </w:r>
          </w:p>
        </w:tc>
        <w:tc>
          <w:tcPr>
            <w:tcW w:w="5670" w:type="dxa"/>
            <w:noWrap/>
            <w:tcMar>
              <w:top w:w="20" w:type="dxa"/>
              <w:left w:w="20" w:type="dxa"/>
              <w:bottom w:w="0" w:type="dxa"/>
              <w:right w:w="20" w:type="dxa"/>
            </w:tcMar>
            <w:vAlign w:val="center"/>
          </w:tcPr>
          <w:p>
            <w:pPr>
              <w:spacing w:line="440" w:lineRule="exact"/>
              <w:jc w:val="center"/>
              <w:rPr>
                <w:rFonts w:ascii="Calibri" w:hAnsi="Calibri" w:eastAsia="宋体" w:cstheme="minorHAnsi"/>
                <w:kern w:val="24"/>
              </w:rPr>
            </w:pPr>
            <w:r>
              <w:rPr>
                <w:rFonts w:hint="eastAsia" w:ascii="宋体" w:hAnsi="宋体" w:cs="宋体"/>
                <w:sz w:val="22"/>
              </w:rPr>
              <w:t>待摊投资部分财务审查审核</w:t>
            </w:r>
            <w:r>
              <w:rPr>
                <w:rFonts w:ascii="宋体" w:hAnsi="宋体" w:cs="宋体"/>
                <w:sz w:val="22"/>
              </w:rPr>
              <w:t>费率</w:t>
            </w:r>
          </w:p>
        </w:tc>
        <w:tc>
          <w:tcPr>
            <w:tcW w:w="1710"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r>
      <w:bookmarkEnd w:id="82"/>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990"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hint="eastAsia" w:cs="Calibri Light"/>
                <w:b/>
                <w:bCs/>
                <w:color w:val="000000"/>
                <w:sz w:val="21"/>
                <w:szCs w:val="21"/>
              </w:rPr>
              <w:t>B1</w:t>
            </w:r>
          </w:p>
        </w:tc>
        <w:tc>
          <w:tcPr>
            <w:tcW w:w="5670" w:type="dxa"/>
            <w:noWrap/>
            <w:tcMar>
              <w:top w:w="20" w:type="dxa"/>
              <w:left w:w="20" w:type="dxa"/>
              <w:bottom w:w="0" w:type="dxa"/>
              <w:right w:w="20" w:type="dxa"/>
            </w:tcMar>
            <w:vAlign w:val="center"/>
          </w:tcPr>
          <w:p>
            <w:pPr>
              <w:spacing w:line="440" w:lineRule="exact"/>
              <w:jc w:val="center"/>
              <w:rPr>
                <w:rFonts w:ascii="宋体" w:hAnsi="宋体" w:cs="宋体"/>
                <w:sz w:val="22"/>
              </w:rPr>
            </w:pPr>
            <w:r>
              <w:rPr>
                <w:rFonts w:hint="eastAsia" w:ascii="宋体" w:hAnsi="宋体" w:cs="宋体"/>
                <w:sz w:val="22"/>
              </w:rPr>
              <w:t>建设工程部分结算审查审减率10%（含）以内审减费率</w:t>
            </w:r>
          </w:p>
        </w:tc>
        <w:tc>
          <w:tcPr>
            <w:tcW w:w="1710"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990"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hint="eastAsia" w:cs="Calibri Light"/>
                <w:b/>
                <w:bCs/>
                <w:color w:val="000000"/>
                <w:sz w:val="21"/>
                <w:szCs w:val="21"/>
              </w:rPr>
              <w:t>B2</w:t>
            </w:r>
          </w:p>
        </w:tc>
        <w:tc>
          <w:tcPr>
            <w:tcW w:w="5670" w:type="dxa"/>
            <w:noWrap/>
            <w:tcMar>
              <w:top w:w="20" w:type="dxa"/>
              <w:left w:w="20" w:type="dxa"/>
              <w:bottom w:w="0" w:type="dxa"/>
              <w:right w:w="20" w:type="dxa"/>
            </w:tcMar>
            <w:vAlign w:val="center"/>
          </w:tcPr>
          <w:p>
            <w:pPr>
              <w:spacing w:line="440" w:lineRule="exact"/>
              <w:jc w:val="center"/>
              <w:rPr>
                <w:rFonts w:ascii="宋体" w:hAnsi="宋体" w:cs="宋体"/>
                <w:sz w:val="22"/>
              </w:rPr>
            </w:pPr>
            <w:r>
              <w:rPr>
                <w:rFonts w:hint="eastAsia" w:ascii="宋体" w:hAnsi="宋体" w:cs="宋体"/>
                <w:sz w:val="22"/>
              </w:rPr>
              <w:t>建设工程部分结算审查审减率10%以上审减费率</w:t>
            </w:r>
          </w:p>
        </w:tc>
        <w:tc>
          <w:tcPr>
            <w:tcW w:w="1710"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wordWrap w:val="0"/>
        <w:spacing w:line="400" w:lineRule="exact"/>
        <w:jc w:val="both"/>
      </w:pPr>
      <w:r>
        <w:t>说明：1．</w:t>
      </w:r>
      <w:r>
        <w:rPr>
          <w:rFonts w:hint="eastAsia"/>
        </w:rPr>
        <w:t>本表费率报价</w:t>
      </w:r>
      <w:r>
        <w:t>有缺漏项，或</w:t>
      </w:r>
      <w:r>
        <w:rPr>
          <w:rFonts w:hint="eastAsia"/>
        </w:rPr>
        <w:t>报价超过该</w:t>
      </w:r>
      <w:r>
        <w:t>费率最高限价</w:t>
      </w:r>
      <w:r>
        <w:rPr>
          <w:rFonts w:hint="eastAsia"/>
        </w:rPr>
        <w:t>的</w:t>
      </w:r>
      <w:r>
        <w:t>，按无效</w:t>
      </w:r>
      <w:r>
        <w:rPr>
          <w:rFonts w:hint="eastAsia"/>
        </w:rPr>
        <w:t>响应</w:t>
      </w:r>
      <w:r>
        <w:t>处理；</w:t>
      </w:r>
    </w:p>
    <w:p>
      <w:pPr>
        <w:tabs>
          <w:tab w:val="right" w:pos="9070"/>
        </w:tabs>
        <w:spacing w:line="440" w:lineRule="exact"/>
        <w:ind w:firstLine="720" w:firstLineChars="300"/>
      </w:pPr>
      <w:r>
        <w:t>2．表格空间不足时，可以自行扩展。</w:t>
      </w:r>
    </w:p>
    <w:p>
      <w:r>
        <w:br w:type="page"/>
      </w:r>
    </w:p>
    <w:p>
      <w:pPr>
        <w:jc w:val="both"/>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6"/>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widowControl w:val="0"/>
        <w:spacing w:before="120" w:after="60"/>
      </w:pPr>
      <w:r>
        <w:br w:type="page"/>
      </w: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ascii="黑体" w:hAnsi="黑体" w:eastAsia="黑体"/>
          <w:kern w:val="28"/>
          <w:sz w:val="28"/>
          <w:szCs w:val="28"/>
        </w:rPr>
        <w:t>特定资格条件（如有）</w:t>
      </w:r>
    </w:p>
    <w:p>
      <w:pPr>
        <w:jc w:val="both"/>
        <w:rPr>
          <w:rFonts w:ascii="Calibri" w:hAnsi="Calibri" w:eastAsia="黑体"/>
          <w:kern w:val="28"/>
          <w:sz w:val="28"/>
        </w:rPr>
      </w:pPr>
    </w:p>
    <w:p>
      <w:pPr>
        <w:jc w:val="both"/>
        <w:rPr>
          <w:rFonts w:ascii="Calibri" w:hAnsi="Calibri" w:eastAsia="黑体"/>
          <w:kern w:val="28"/>
          <w:sz w:val="28"/>
        </w:rPr>
      </w:pPr>
    </w:p>
    <w:p>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pPr>
        <w:outlineLvl w:val="2"/>
        <w:rPr>
          <w:rFonts w:ascii="黑体" w:hAnsi="黑体" w:eastAsia="黑体"/>
          <w:sz w:val="28"/>
          <w:szCs w:val="28"/>
        </w:rPr>
      </w:pPr>
      <w:r>
        <w:rPr>
          <w:rFonts w:ascii="黑体" w:hAnsi="黑体" w:eastAsia="黑体"/>
          <w:sz w:val="28"/>
          <w:szCs w:val="28"/>
        </w:rPr>
        <w:t>（一）技术（服务）条款响应</w:t>
      </w:r>
    </w:p>
    <w:p>
      <w:pPr>
        <w:outlineLvl w:val="2"/>
        <w:rPr>
          <w:rFonts w:ascii="黑体" w:hAnsi="黑体" w:eastAsia="黑体"/>
          <w:sz w:val="28"/>
          <w:szCs w:val="28"/>
        </w:rPr>
      </w:pPr>
    </w:p>
    <w:p>
      <w:pPr>
        <w:jc w:val="center"/>
        <w:rPr>
          <w:rFonts w:cstheme="minorHAnsi"/>
          <w:b/>
        </w:rPr>
      </w:pPr>
      <w:r>
        <w:rPr>
          <w:rFonts w:hint="eastAsia" w:cstheme="minorHAnsi"/>
          <w:b/>
        </w:rPr>
        <w:t>技术（服务）部分响应方案</w:t>
      </w:r>
    </w:p>
    <w:p>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pPr>
        <w:rPr>
          <w:i/>
          <w:color w:val="C00000"/>
        </w:rPr>
      </w:pPr>
    </w:p>
    <w:p>
      <w:pPr>
        <w:rPr>
          <w:rFonts w:asciiTheme="minorEastAsia" w:hAnsiTheme="minorEastAsia"/>
        </w:rPr>
      </w:pPr>
      <w:r>
        <w:rPr>
          <w:rFonts w:hint="eastAsia" w:asciiTheme="minorEastAsia" w:hAnsiTheme="minorEastAsia"/>
        </w:rPr>
        <w:t>1．服务方案</w:t>
      </w:r>
    </w:p>
    <w:p>
      <w:pPr>
        <w:rPr>
          <w:rFonts w:asciiTheme="minorEastAsia" w:hAnsiTheme="minorEastAsia"/>
        </w:rPr>
      </w:pPr>
    </w:p>
    <w:p>
      <w:pPr>
        <w:rPr>
          <w:rFonts w:asciiTheme="minorEastAsia" w:hAnsiTheme="minorEastAsia"/>
        </w:rPr>
      </w:pPr>
      <w:r>
        <w:rPr>
          <w:rFonts w:asciiTheme="minorEastAsia" w:hAnsiTheme="minorEastAsia"/>
        </w:rPr>
        <w:t>2</w:t>
      </w:r>
      <w:r>
        <w:rPr>
          <w:rFonts w:hint="eastAsia" w:asciiTheme="minorEastAsia" w:hAnsiTheme="minorEastAsia"/>
        </w:rPr>
        <w:t>．</w:t>
      </w:r>
      <w:r>
        <w:rPr>
          <w:rFonts w:asciiTheme="minorEastAsia" w:hAnsiTheme="minorEastAsia"/>
        </w:rPr>
        <w:t xml:space="preserve"> ……</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cstheme="minorHAnsi"/>
          <w:b/>
        </w:rPr>
      </w:pPr>
      <w:r>
        <w:rPr>
          <w:rFonts w:hint="eastAsia" w:cstheme="minorHAnsi"/>
          <w:b/>
        </w:rPr>
        <w:t>商务评审部分方案</w:t>
      </w:r>
    </w:p>
    <w:p>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pPr>
        <w:rPr>
          <w:rFonts w:asciiTheme="minorEastAsia" w:hAnsiTheme="minorEastAsia" w:cstheme="minorHAnsi"/>
          <w:b/>
          <w:color w:val="000000"/>
          <w:kern w:val="24"/>
        </w:rPr>
      </w:pPr>
    </w:p>
    <w:p>
      <w:pPr>
        <w:rPr>
          <w:rFonts w:asciiTheme="minorEastAsia" w:hAnsiTheme="minorEastAsia" w:cstheme="minorHAnsi"/>
          <w:color w:val="000000"/>
          <w:kern w:val="24"/>
        </w:rPr>
      </w:pPr>
      <w:r>
        <w:rPr>
          <w:rFonts w:asciiTheme="minorEastAsia" w:hAnsiTheme="minorEastAsia" w:cstheme="minorHAnsi"/>
          <w:color w:val="000000"/>
          <w:kern w:val="24"/>
        </w:rPr>
        <w:t>1</w:t>
      </w:r>
      <w:r>
        <w:rPr>
          <w:rFonts w:hint="eastAsia" w:asciiTheme="minorEastAsia" w:hAnsiTheme="minorEastAsia" w:cstheme="minorHAnsi"/>
          <w:color w:val="000000"/>
          <w:kern w:val="24"/>
        </w:rPr>
        <w:t>.项目负责人</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color w:val="C00000"/>
          <w:kern w:val="24"/>
        </w:rPr>
      </w:pPr>
      <w:r>
        <w:rPr>
          <w:rFonts w:asciiTheme="minorEastAsia" w:hAnsiTheme="minorEastAsia" w:cstheme="minorHAnsi"/>
          <w:b/>
          <w:color w:val="000000"/>
          <w:kern w:val="24"/>
        </w:rPr>
        <w:t>2</w:t>
      </w:r>
      <w:bookmarkStart w:id="83" w:name="OLE_LINK57"/>
      <w:bookmarkStart w:id="84" w:name="OLE_LINK58"/>
      <w:r>
        <w:rPr>
          <w:rFonts w:hint="eastAsia" w:asciiTheme="minorEastAsia" w:hAnsiTheme="minorEastAsia" w:cstheme="minorHAnsi"/>
          <w:b/>
          <w:color w:val="000000"/>
          <w:kern w:val="24"/>
        </w:rPr>
        <w:t>．</w:t>
      </w:r>
      <w:bookmarkEnd w:id="83"/>
      <w:bookmarkEnd w:id="84"/>
      <w:r>
        <w:rPr>
          <w:rFonts w:hint="eastAsia" w:asciiTheme="minorEastAsia" w:hAnsiTheme="minorEastAsia" w:cstheme="minorHAnsi"/>
          <w:b/>
          <w:color w:val="000000"/>
          <w:kern w:val="24"/>
        </w:rPr>
        <w:t>……</w:t>
      </w:r>
    </w:p>
    <w:p>
      <w:pPr>
        <w:rPr>
          <w:rFonts w:asciiTheme="minorEastAsia" w:hAnsiTheme="minorEastAsia" w:cstheme="minorHAnsi"/>
          <w:b/>
          <w:color w:val="000000"/>
          <w:kern w:val="24"/>
        </w:rPr>
      </w:pPr>
    </w:p>
    <w:p>
      <w:pPr>
        <w:rPr>
          <w:rFonts w:asciiTheme="minorEastAsia" w:hAnsiTheme="minorEastAsia" w:cstheme="minorHAnsi"/>
          <w:color w:val="C00000"/>
          <w:kern w:val="24"/>
        </w:rPr>
      </w:pPr>
    </w:p>
    <w:tbl>
      <w:tblPr>
        <w:tblStyle w:val="26"/>
        <w:tblW w:w="935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995"/>
        <w:gridCol w:w="709"/>
        <w:gridCol w:w="850"/>
        <w:gridCol w:w="990"/>
        <w:gridCol w:w="850"/>
        <w:gridCol w:w="915"/>
        <w:gridCol w:w="723"/>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right"/>
        </w:trPr>
        <w:tc>
          <w:tcPr>
            <w:tcW w:w="9351" w:type="dxa"/>
            <w:gridSpan w:val="10"/>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拟派人员构成情况表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right"/>
        </w:trPr>
        <w:tc>
          <w:tcPr>
            <w:tcW w:w="988" w:type="dxa"/>
            <w:noWrap/>
            <w:vAlign w:val="center"/>
          </w:tcPr>
          <w:p>
            <w:pPr>
              <w:jc w:val="center"/>
              <w:rPr>
                <w:rFonts w:ascii="仿宋" w:hAnsi="仿宋" w:eastAsia="仿宋" w:cs="仿宋"/>
                <w:bCs/>
                <w:color w:val="000000" w:themeColor="text1"/>
                <w:sz w:val="21"/>
                <w:szCs w:val="2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姓名</w:t>
            </w:r>
          </w:p>
        </w:tc>
        <w:tc>
          <w:tcPr>
            <w:tcW w:w="995"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身份证号码</w:t>
            </w:r>
          </w:p>
        </w:tc>
        <w:tc>
          <w:tcPr>
            <w:tcW w:w="709" w:type="dxa"/>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职务</w:t>
            </w:r>
          </w:p>
        </w:tc>
        <w:tc>
          <w:tcPr>
            <w:tcW w:w="850"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职称</w:t>
            </w:r>
          </w:p>
        </w:tc>
        <w:tc>
          <w:tcPr>
            <w:tcW w:w="990"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执业证书</w:t>
            </w:r>
          </w:p>
        </w:tc>
        <w:tc>
          <w:tcPr>
            <w:tcW w:w="850"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从事</w:t>
            </w:r>
          </w:p>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专业</w:t>
            </w:r>
          </w:p>
        </w:tc>
        <w:tc>
          <w:tcPr>
            <w:tcW w:w="915"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从事专业经历</w:t>
            </w:r>
          </w:p>
        </w:tc>
        <w:tc>
          <w:tcPr>
            <w:tcW w:w="723" w:type="dxa"/>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从事专业年限</w:t>
            </w:r>
          </w:p>
        </w:tc>
        <w:tc>
          <w:tcPr>
            <w:tcW w:w="1339"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联系</w:t>
            </w:r>
          </w:p>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right"/>
        </w:trPr>
        <w:tc>
          <w:tcPr>
            <w:tcW w:w="988" w:type="dxa"/>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项目</w:t>
            </w:r>
          </w:p>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负责人</w:t>
            </w:r>
          </w:p>
        </w:tc>
        <w:tc>
          <w:tcPr>
            <w:tcW w:w="992" w:type="dxa"/>
            <w:noWrap/>
            <w:vAlign w:val="center"/>
          </w:tcPr>
          <w:p>
            <w:pPr>
              <w:jc w:val="center"/>
              <w:rPr>
                <w:rFonts w:ascii="Calibri" w:hAnsi="Calibri" w:eastAsia="宋体" w:cstheme="minorHAnsi"/>
                <w:color w:val="000000"/>
                <w:kern w:val="24"/>
                <w:sz w:val="21"/>
                <w:szCs w:val="21"/>
              </w:rPr>
            </w:pPr>
          </w:p>
        </w:tc>
        <w:tc>
          <w:tcPr>
            <w:tcW w:w="995" w:type="dxa"/>
            <w:noWrap/>
            <w:vAlign w:val="center"/>
          </w:tcPr>
          <w:p>
            <w:pPr>
              <w:jc w:val="center"/>
              <w:rPr>
                <w:rFonts w:ascii="Calibri" w:hAnsi="Calibri" w:eastAsia="宋体" w:cstheme="minorHAnsi"/>
                <w:color w:val="000000"/>
                <w:kern w:val="24"/>
                <w:sz w:val="21"/>
                <w:szCs w:val="21"/>
              </w:rPr>
            </w:pPr>
          </w:p>
        </w:tc>
        <w:tc>
          <w:tcPr>
            <w:tcW w:w="709" w:type="dxa"/>
            <w:vAlign w:val="center"/>
          </w:tcPr>
          <w:p>
            <w:pPr>
              <w:jc w:val="center"/>
              <w:rPr>
                <w:rFonts w:ascii="Calibri" w:hAnsi="Calibri" w:eastAsia="宋体" w:cstheme="minorHAnsi"/>
                <w:color w:val="000000"/>
                <w:kern w:val="24"/>
                <w:sz w:val="21"/>
                <w:szCs w:val="21"/>
              </w:rPr>
            </w:pPr>
          </w:p>
        </w:tc>
        <w:tc>
          <w:tcPr>
            <w:tcW w:w="850" w:type="dxa"/>
            <w:noWrap/>
            <w:vAlign w:val="center"/>
          </w:tcPr>
          <w:p>
            <w:pPr>
              <w:jc w:val="center"/>
              <w:rPr>
                <w:rFonts w:ascii="Calibri" w:hAnsi="Calibri" w:eastAsia="宋体" w:cstheme="minorHAnsi"/>
                <w:color w:val="000000"/>
                <w:kern w:val="24"/>
                <w:sz w:val="21"/>
                <w:szCs w:val="21"/>
              </w:rPr>
            </w:pPr>
          </w:p>
        </w:tc>
        <w:tc>
          <w:tcPr>
            <w:tcW w:w="990" w:type="dxa"/>
            <w:noWrap/>
            <w:vAlign w:val="center"/>
          </w:tcPr>
          <w:p>
            <w:pPr>
              <w:jc w:val="center"/>
              <w:rPr>
                <w:rFonts w:ascii="Calibri" w:hAnsi="Calibri" w:eastAsia="宋体" w:cstheme="minorHAnsi"/>
                <w:color w:val="000000"/>
                <w:kern w:val="24"/>
                <w:sz w:val="21"/>
                <w:szCs w:val="21"/>
              </w:rPr>
            </w:pPr>
          </w:p>
        </w:tc>
        <w:tc>
          <w:tcPr>
            <w:tcW w:w="850" w:type="dxa"/>
            <w:noWrap/>
            <w:vAlign w:val="center"/>
          </w:tcPr>
          <w:p>
            <w:pPr>
              <w:jc w:val="center"/>
              <w:rPr>
                <w:rFonts w:ascii="Calibri" w:hAnsi="Calibri" w:eastAsia="宋体" w:cstheme="minorHAnsi"/>
                <w:color w:val="000000"/>
                <w:kern w:val="24"/>
                <w:sz w:val="21"/>
                <w:szCs w:val="21"/>
              </w:rPr>
            </w:pPr>
          </w:p>
        </w:tc>
        <w:tc>
          <w:tcPr>
            <w:tcW w:w="915" w:type="dxa"/>
            <w:noWrap/>
            <w:vAlign w:val="center"/>
          </w:tcPr>
          <w:p>
            <w:pPr>
              <w:jc w:val="center"/>
              <w:rPr>
                <w:rFonts w:ascii="Calibri" w:hAnsi="Calibri" w:eastAsia="宋体" w:cstheme="minorHAnsi"/>
                <w:color w:val="000000"/>
                <w:kern w:val="24"/>
                <w:sz w:val="21"/>
                <w:szCs w:val="21"/>
              </w:rPr>
            </w:pPr>
          </w:p>
        </w:tc>
        <w:tc>
          <w:tcPr>
            <w:tcW w:w="723" w:type="dxa"/>
            <w:vAlign w:val="center"/>
          </w:tcPr>
          <w:p>
            <w:pPr>
              <w:jc w:val="center"/>
              <w:rPr>
                <w:rFonts w:ascii="Calibri" w:hAnsi="Calibri" w:eastAsia="宋体" w:cstheme="minorHAnsi"/>
                <w:color w:val="000000"/>
                <w:kern w:val="24"/>
                <w:sz w:val="21"/>
                <w:szCs w:val="21"/>
              </w:rPr>
            </w:pPr>
          </w:p>
        </w:tc>
        <w:tc>
          <w:tcPr>
            <w:tcW w:w="1339" w:type="dxa"/>
            <w:noWrap/>
            <w:vAlign w:val="center"/>
          </w:tcPr>
          <w:p>
            <w:pPr>
              <w:jc w:val="center"/>
              <w:rPr>
                <w:rFonts w:ascii="Calibri" w:hAnsi="Calibri" w:eastAsia="宋体" w:cstheme="minorHAnsi"/>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restart"/>
            <w:noWrap/>
            <w:vAlign w:val="center"/>
          </w:tcPr>
          <w:p>
            <w:pPr>
              <w:jc w:val="center"/>
              <w:rPr>
                <w:rFonts w:ascii="Calibri" w:hAnsi="Calibri" w:eastAsia="宋体" w:cstheme="minorHAnsi"/>
                <w:color w:val="000000"/>
                <w:kern w:val="24"/>
                <w:sz w:val="21"/>
                <w:szCs w:val="21"/>
              </w:rPr>
            </w:pPr>
            <w:r>
              <w:rPr>
                <w:rFonts w:hint="eastAsia" w:ascii="Calibri" w:hAnsi="Calibri" w:eastAsia="宋体" w:cstheme="minorHAnsi"/>
                <w:color w:val="000000"/>
                <w:kern w:val="24"/>
                <w:sz w:val="21"/>
                <w:szCs w:val="21"/>
              </w:rPr>
              <w:t>审核项目组其他人员</w:t>
            </w:r>
          </w:p>
        </w:tc>
        <w:tc>
          <w:tcPr>
            <w:tcW w:w="992" w:type="dxa"/>
            <w:noWrap/>
            <w:vAlign w:val="center"/>
          </w:tcPr>
          <w:p>
            <w:pPr>
              <w:jc w:val="center"/>
              <w:rPr>
                <w:rFonts w:ascii="Calibri" w:hAnsi="Calibri" w:eastAsia="宋体" w:cstheme="minorHAnsi"/>
                <w:color w:val="000000"/>
                <w:kern w:val="24"/>
                <w:sz w:val="21"/>
                <w:szCs w:val="21"/>
              </w:rPr>
            </w:pPr>
          </w:p>
        </w:tc>
        <w:tc>
          <w:tcPr>
            <w:tcW w:w="995" w:type="dxa"/>
            <w:noWrap/>
            <w:vAlign w:val="center"/>
          </w:tcPr>
          <w:p>
            <w:pPr>
              <w:jc w:val="center"/>
              <w:rPr>
                <w:rFonts w:ascii="Calibri" w:hAnsi="Calibri" w:eastAsia="宋体" w:cstheme="minorHAnsi"/>
                <w:color w:val="000000"/>
                <w:kern w:val="24"/>
                <w:sz w:val="21"/>
                <w:szCs w:val="21"/>
              </w:rPr>
            </w:pPr>
          </w:p>
        </w:tc>
        <w:tc>
          <w:tcPr>
            <w:tcW w:w="709" w:type="dxa"/>
            <w:vAlign w:val="center"/>
          </w:tcPr>
          <w:p>
            <w:pPr>
              <w:jc w:val="center"/>
              <w:rPr>
                <w:rFonts w:ascii="Calibri" w:hAnsi="Calibri" w:eastAsia="宋体" w:cstheme="minorHAnsi"/>
                <w:color w:val="000000"/>
                <w:kern w:val="24"/>
                <w:sz w:val="21"/>
                <w:szCs w:val="21"/>
              </w:rPr>
            </w:pPr>
          </w:p>
        </w:tc>
        <w:tc>
          <w:tcPr>
            <w:tcW w:w="850" w:type="dxa"/>
            <w:noWrap/>
            <w:vAlign w:val="center"/>
          </w:tcPr>
          <w:p>
            <w:pPr>
              <w:jc w:val="center"/>
              <w:rPr>
                <w:rFonts w:ascii="Calibri" w:hAnsi="Calibri" w:eastAsia="宋体" w:cstheme="minorHAnsi"/>
                <w:color w:val="000000"/>
                <w:kern w:val="24"/>
                <w:sz w:val="21"/>
                <w:szCs w:val="21"/>
              </w:rPr>
            </w:pPr>
          </w:p>
        </w:tc>
        <w:tc>
          <w:tcPr>
            <w:tcW w:w="990" w:type="dxa"/>
            <w:noWrap/>
            <w:vAlign w:val="center"/>
          </w:tcPr>
          <w:p>
            <w:pPr>
              <w:jc w:val="center"/>
              <w:rPr>
                <w:rFonts w:ascii="Calibri" w:hAnsi="Calibri" w:eastAsia="宋体" w:cstheme="minorHAnsi"/>
                <w:color w:val="000000"/>
                <w:kern w:val="24"/>
                <w:sz w:val="21"/>
                <w:szCs w:val="21"/>
              </w:rPr>
            </w:pPr>
          </w:p>
        </w:tc>
        <w:tc>
          <w:tcPr>
            <w:tcW w:w="850" w:type="dxa"/>
            <w:noWrap/>
            <w:vAlign w:val="center"/>
          </w:tcPr>
          <w:p>
            <w:pPr>
              <w:jc w:val="center"/>
              <w:rPr>
                <w:rFonts w:ascii="Calibri" w:hAnsi="Calibri" w:eastAsia="宋体" w:cstheme="minorHAnsi"/>
                <w:color w:val="000000"/>
                <w:kern w:val="24"/>
                <w:sz w:val="21"/>
                <w:szCs w:val="21"/>
              </w:rPr>
            </w:pPr>
          </w:p>
        </w:tc>
        <w:tc>
          <w:tcPr>
            <w:tcW w:w="915" w:type="dxa"/>
            <w:noWrap/>
            <w:vAlign w:val="center"/>
          </w:tcPr>
          <w:p>
            <w:pPr>
              <w:jc w:val="center"/>
              <w:rPr>
                <w:rFonts w:ascii="Calibri" w:hAnsi="Calibri" w:eastAsia="宋体" w:cstheme="minorHAnsi"/>
                <w:color w:val="000000"/>
                <w:kern w:val="24"/>
                <w:sz w:val="21"/>
                <w:szCs w:val="21"/>
              </w:rPr>
            </w:pPr>
          </w:p>
        </w:tc>
        <w:tc>
          <w:tcPr>
            <w:tcW w:w="723" w:type="dxa"/>
            <w:vAlign w:val="center"/>
          </w:tcPr>
          <w:p>
            <w:pPr>
              <w:jc w:val="center"/>
              <w:rPr>
                <w:rFonts w:ascii="Calibri" w:hAnsi="Calibri" w:eastAsia="宋体" w:cstheme="minorHAnsi"/>
                <w:color w:val="000000"/>
                <w:kern w:val="24"/>
                <w:sz w:val="21"/>
                <w:szCs w:val="21"/>
              </w:rPr>
            </w:pPr>
          </w:p>
        </w:tc>
        <w:tc>
          <w:tcPr>
            <w:tcW w:w="1339" w:type="dxa"/>
            <w:noWrap/>
            <w:vAlign w:val="center"/>
          </w:tcPr>
          <w:p>
            <w:pPr>
              <w:jc w:val="center"/>
              <w:rPr>
                <w:rFonts w:ascii="Calibri" w:hAnsi="Calibri" w:eastAsia="宋体" w:cstheme="minorHAnsi"/>
                <w:color w:val="000000"/>
                <w:kern w:val="2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continue"/>
            <w:noWrap/>
            <w:vAlign w:val="center"/>
          </w:tcPr>
          <w:p>
            <w:pPr>
              <w:jc w:val="center"/>
              <w:rPr>
                <w:rFonts w:ascii="仿宋" w:hAnsi="仿宋" w:eastAsia="仿宋" w:cs="仿宋"/>
                <w:bCs/>
                <w:color w:val="000000" w:themeColor="text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rPr>
            </w:pPr>
          </w:p>
        </w:tc>
        <w:tc>
          <w:tcPr>
            <w:tcW w:w="995" w:type="dxa"/>
            <w:noWrap/>
            <w:vAlign w:val="center"/>
          </w:tcPr>
          <w:p>
            <w:pPr>
              <w:jc w:val="center"/>
              <w:rPr>
                <w:rFonts w:ascii="Calibri" w:hAnsi="Calibri" w:eastAsia="宋体" w:cstheme="minorHAnsi"/>
                <w:color w:val="000000"/>
                <w:kern w:val="24"/>
              </w:rPr>
            </w:pPr>
          </w:p>
        </w:tc>
        <w:tc>
          <w:tcPr>
            <w:tcW w:w="709" w:type="dxa"/>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90" w:type="dxa"/>
            <w:noWrap/>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15" w:type="dxa"/>
            <w:noWrap/>
            <w:vAlign w:val="center"/>
          </w:tcPr>
          <w:p>
            <w:pPr>
              <w:jc w:val="center"/>
              <w:rPr>
                <w:rFonts w:ascii="Calibri" w:hAnsi="Calibri" w:eastAsia="宋体" w:cstheme="minorHAnsi"/>
                <w:color w:val="000000"/>
                <w:kern w:val="24"/>
              </w:rPr>
            </w:pPr>
          </w:p>
        </w:tc>
        <w:tc>
          <w:tcPr>
            <w:tcW w:w="723" w:type="dxa"/>
            <w:vAlign w:val="center"/>
          </w:tcPr>
          <w:p>
            <w:pPr>
              <w:jc w:val="center"/>
              <w:rPr>
                <w:rFonts w:ascii="Calibri" w:hAnsi="Calibri" w:eastAsia="宋体" w:cstheme="minorHAnsi"/>
                <w:color w:val="000000"/>
                <w:kern w:val="24"/>
              </w:rPr>
            </w:pPr>
          </w:p>
        </w:tc>
        <w:tc>
          <w:tcPr>
            <w:tcW w:w="1339" w:type="dxa"/>
            <w:noWrap/>
            <w:vAlign w:val="center"/>
          </w:tcPr>
          <w:p>
            <w:pPr>
              <w:jc w:val="center"/>
              <w:rPr>
                <w:rFonts w:ascii="Calibri" w:hAnsi="Calibri" w:eastAsia="宋体" w:cstheme="minorHAnsi"/>
                <w:color w:val="000000"/>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continue"/>
            <w:noWrap/>
            <w:vAlign w:val="center"/>
          </w:tcPr>
          <w:p>
            <w:pPr>
              <w:jc w:val="center"/>
              <w:rPr>
                <w:rFonts w:ascii="仿宋" w:hAnsi="仿宋" w:eastAsia="仿宋" w:cs="仿宋"/>
                <w:bCs/>
                <w:color w:val="000000" w:themeColor="text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rPr>
            </w:pPr>
          </w:p>
        </w:tc>
        <w:tc>
          <w:tcPr>
            <w:tcW w:w="995" w:type="dxa"/>
            <w:noWrap/>
            <w:vAlign w:val="center"/>
          </w:tcPr>
          <w:p>
            <w:pPr>
              <w:jc w:val="center"/>
              <w:rPr>
                <w:rFonts w:ascii="Calibri" w:hAnsi="Calibri" w:eastAsia="宋体" w:cstheme="minorHAnsi"/>
                <w:color w:val="000000"/>
                <w:kern w:val="24"/>
              </w:rPr>
            </w:pPr>
          </w:p>
        </w:tc>
        <w:tc>
          <w:tcPr>
            <w:tcW w:w="709" w:type="dxa"/>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90" w:type="dxa"/>
            <w:noWrap/>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15" w:type="dxa"/>
            <w:noWrap/>
            <w:vAlign w:val="center"/>
          </w:tcPr>
          <w:p>
            <w:pPr>
              <w:jc w:val="center"/>
              <w:rPr>
                <w:rFonts w:ascii="Calibri" w:hAnsi="Calibri" w:eastAsia="宋体" w:cstheme="minorHAnsi"/>
                <w:color w:val="000000"/>
                <w:kern w:val="24"/>
              </w:rPr>
            </w:pPr>
          </w:p>
        </w:tc>
        <w:tc>
          <w:tcPr>
            <w:tcW w:w="723" w:type="dxa"/>
            <w:vAlign w:val="center"/>
          </w:tcPr>
          <w:p>
            <w:pPr>
              <w:jc w:val="center"/>
              <w:rPr>
                <w:rFonts w:ascii="Calibri" w:hAnsi="Calibri" w:eastAsia="宋体" w:cstheme="minorHAnsi"/>
                <w:color w:val="000000"/>
                <w:kern w:val="24"/>
              </w:rPr>
            </w:pPr>
          </w:p>
        </w:tc>
        <w:tc>
          <w:tcPr>
            <w:tcW w:w="1339" w:type="dxa"/>
            <w:noWrap/>
            <w:vAlign w:val="center"/>
          </w:tcPr>
          <w:p>
            <w:pPr>
              <w:jc w:val="center"/>
              <w:rPr>
                <w:rFonts w:ascii="Calibri" w:hAnsi="Calibri" w:eastAsia="宋体" w:cstheme="minorHAnsi"/>
                <w:color w:val="000000"/>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continue"/>
            <w:noWrap/>
            <w:vAlign w:val="center"/>
          </w:tcPr>
          <w:p>
            <w:pPr>
              <w:jc w:val="center"/>
              <w:rPr>
                <w:rFonts w:ascii="仿宋" w:hAnsi="仿宋" w:eastAsia="仿宋" w:cs="仿宋"/>
                <w:bCs/>
                <w:color w:val="000000" w:themeColor="text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rPr>
            </w:pPr>
          </w:p>
        </w:tc>
        <w:tc>
          <w:tcPr>
            <w:tcW w:w="995" w:type="dxa"/>
            <w:noWrap/>
            <w:vAlign w:val="center"/>
          </w:tcPr>
          <w:p>
            <w:pPr>
              <w:jc w:val="center"/>
              <w:rPr>
                <w:rFonts w:ascii="Calibri" w:hAnsi="Calibri" w:eastAsia="宋体" w:cstheme="minorHAnsi"/>
                <w:color w:val="000000"/>
                <w:kern w:val="24"/>
              </w:rPr>
            </w:pPr>
          </w:p>
        </w:tc>
        <w:tc>
          <w:tcPr>
            <w:tcW w:w="709" w:type="dxa"/>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90" w:type="dxa"/>
            <w:noWrap/>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15" w:type="dxa"/>
            <w:noWrap/>
            <w:vAlign w:val="center"/>
          </w:tcPr>
          <w:p>
            <w:pPr>
              <w:jc w:val="center"/>
              <w:rPr>
                <w:rFonts w:ascii="Calibri" w:hAnsi="Calibri" w:eastAsia="宋体" w:cstheme="minorHAnsi"/>
                <w:color w:val="000000"/>
                <w:kern w:val="24"/>
              </w:rPr>
            </w:pPr>
          </w:p>
        </w:tc>
        <w:tc>
          <w:tcPr>
            <w:tcW w:w="723" w:type="dxa"/>
            <w:vAlign w:val="center"/>
          </w:tcPr>
          <w:p>
            <w:pPr>
              <w:jc w:val="center"/>
              <w:rPr>
                <w:rFonts w:ascii="Calibri" w:hAnsi="Calibri" w:eastAsia="宋体" w:cstheme="minorHAnsi"/>
                <w:color w:val="000000"/>
                <w:kern w:val="24"/>
              </w:rPr>
            </w:pPr>
          </w:p>
        </w:tc>
        <w:tc>
          <w:tcPr>
            <w:tcW w:w="1339" w:type="dxa"/>
            <w:noWrap/>
            <w:vAlign w:val="center"/>
          </w:tcPr>
          <w:p>
            <w:pPr>
              <w:jc w:val="center"/>
              <w:rPr>
                <w:rFonts w:ascii="Calibri" w:hAnsi="Calibri" w:eastAsia="宋体" w:cstheme="minorHAnsi"/>
                <w:color w:val="000000"/>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continue"/>
            <w:noWrap/>
            <w:vAlign w:val="center"/>
          </w:tcPr>
          <w:p>
            <w:pPr>
              <w:jc w:val="center"/>
              <w:rPr>
                <w:rFonts w:ascii="仿宋" w:hAnsi="仿宋" w:eastAsia="仿宋" w:cs="仿宋"/>
                <w:bCs/>
                <w:color w:val="000000" w:themeColor="text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rPr>
            </w:pPr>
          </w:p>
        </w:tc>
        <w:tc>
          <w:tcPr>
            <w:tcW w:w="995" w:type="dxa"/>
            <w:noWrap/>
            <w:vAlign w:val="center"/>
          </w:tcPr>
          <w:p>
            <w:pPr>
              <w:jc w:val="center"/>
              <w:rPr>
                <w:rFonts w:ascii="Calibri" w:hAnsi="Calibri" w:eastAsia="宋体" w:cstheme="minorHAnsi"/>
                <w:color w:val="000000"/>
                <w:kern w:val="24"/>
              </w:rPr>
            </w:pPr>
          </w:p>
        </w:tc>
        <w:tc>
          <w:tcPr>
            <w:tcW w:w="709" w:type="dxa"/>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90" w:type="dxa"/>
            <w:noWrap/>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15" w:type="dxa"/>
            <w:noWrap/>
            <w:vAlign w:val="center"/>
          </w:tcPr>
          <w:p>
            <w:pPr>
              <w:jc w:val="center"/>
              <w:rPr>
                <w:rFonts w:ascii="Calibri" w:hAnsi="Calibri" w:eastAsia="宋体" w:cstheme="minorHAnsi"/>
                <w:color w:val="000000"/>
                <w:kern w:val="24"/>
              </w:rPr>
            </w:pPr>
          </w:p>
        </w:tc>
        <w:tc>
          <w:tcPr>
            <w:tcW w:w="723" w:type="dxa"/>
            <w:vAlign w:val="center"/>
          </w:tcPr>
          <w:p>
            <w:pPr>
              <w:jc w:val="center"/>
              <w:rPr>
                <w:rFonts w:ascii="Calibri" w:hAnsi="Calibri" w:eastAsia="宋体" w:cstheme="minorHAnsi"/>
                <w:color w:val="000000"/>
                <w:kern w:val="24"/>
              </w:rPr>
            </w:pPr>
          </w:p>
        </w:tc>
        <w:tc>
          <w:tcPr>
            <w:tcW w:w="1339" w:type="dxa"/>
            <w:noWrap/>
            <w:vAlign w:val="center"/>
          </w:tcPr>
          <w:p>
            <w:pPr>
              <w:jc w:val="center"/>
              <w:rPr>
                <w:rFonts w:ascii="Calibri" w:hAnsi="Calibri" w:eastAsia="宋体" w:cstheme="minorHAnsi"/>
                <w:color w:val="000000"/>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vMerge w:val="continue"/>
            <w:noWrap/>
            <w:vAlign w:val="center"/>
          </w:tcPr>
          <w:p>
            <w:pPr>
              <w:jc w:val="center"/>
              <w:rPr>
                <w:rFonts w:ascii="仿宋" w:hAnsi="仿宋" w:eastAsia="仿宋" w:cs="仿宋"/>
                <w:bCs/>
                <w:color w:val="000000" w:themeColor="text1"/>
                <w14:textFill>
                  <w14:solidFill>
                    <w14:schemeClr w14:val="tx1"/>
                  </w14:solidFill>
                </w14:textFill>
              </w:rPr>
            </w:pPr>
          </w:p>
        </w:tc>
        <w:tc>
          <w:tcPr>
            <w:tcW w:w="992" w:type="dxa"/>
            <w:noWrap/>
            <w:vAlign w:val="center"/>
          </w:tcPr>
          <w:p>
            <w:pPr>
              <w:jc w:val="center"/>
              <w:rPr>
                <w:rFonts w:ascii="Calibri" w:hAnsi="Calibri" w:eastAsia="宋体" w:cstheme="minorHAnsi"/>
                <w:color w:val="000000"/>
                <w:kern w:val="24"/>
              </w:rPr>
            </w:pPr>
          </w:p>
        </w:tc>
        <w:tc>
          <w:tcPr>
            <w:tcW w:w="995" w:type="dxa"/>
            <w:noWrap/>
            <w:vAlign w:val="center"/>
          </w:tcPr>
          <w:p>
            <w:pPr>
              <w:jc w:val="center"/>
              <w:rPr>
                <w:rFonts w:ascii="Calibri" w:hAnsi="Calibri" w:eastAsia="宋体" w:cstheme="minorHAnsi"/>
                <w:color w:val="000000"/>
                <w:kern w:val="24"/>
              </w:rPr>
            </w:pPr>
          </w:p>
        </w:tc>
        <w:tc>
          <w:tcPr>
            <w:tcW w:w="709" w:type="dxa"/>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90" w:type="dxa"/>
            <w:noWrap/>
            <w:vAlign w:val="center"/>
          </w:tcPr>
          <w:p>
            <w:pPr>
              <w:jc w:val="center"/>
              <w:rPr>
                <w:rFonts w:ascii="Calibri" w:hAnsi="Calibri" w:eastAsia="宋体" w:cstheme="minorHAnsi"/>
                <w:color w:val="000000"/>
                <w:kern w:val="24"/>
              </w:rPr>
            </w:pPr>
          </w:p>
        </w:tc>
        <w:tc>
          <w:tcPr>
            <w:tcW w:w="850" w:type="dxa"/>
            <w:noWrap/>
            <w:vAlign w:val="center"/>
          </w:tcPr>
          <w:p>
            <w:pPr>
              <w:jc w:val="center"/>
              <w:rPr>
                <w:rFonts w:ascii="Calibri" w:hAnsi="Calibri" w:eastAsia="宋体" w:cstheme="minorHAnsi"/>
                <w:color w:val="000000"/>
                <w:kern w:val="24"/>
              </w:rPr>
            </w:pPr>
          </w:p>
        </w:tc>
        <w:tc>
          <w:tcPr>
            <w:tcW w:w="915" w:type="dxa"/>
            <w:noWrap/>
            <w:vAlign w:val="center"/>
          </w:tcPr>
          <w:p>
            <w:pPr>
              <w:jc w:val="center"/>
              <w:rPr>
                <w:rFonts w:ascii="Calibri" w:hAnsi="Calibri" w:eastAsia="宋体" w:cstheme="minorHAnsi"/>
                <w:color w:val="000000"/>
                <w:kern w:val="24"/>
              </w:rPr>
            </w:pPr>
          </w:p>
        </w:tc>
        <w:tc>
          <w:tcPr>
            <w:tcW w:w="723" w:type="dxa"/>
            <w:vAlign w:val="center"/>
          </w:tcPr>
          <w:p>
            <w:pPr>
              <w:jc w:val="center"/>
              <w:rPr>
                <w:rFonts w:ascii="Calibri" w:hAnsi="Calibri" w:eastAsia="宋体" w:cstheme="minorHAnsi"/>
                <w:color w:val="000000"/>
                <w:kern w:val="24"/>
              </w:rPr>
            </w:pPr>
          </w:p>
        </w:tc>
        <w:tc>
          <w:tcPr>
            <w:tcW w:w="1339" w:type="dxa"/>
            <w:noWrap/>
            <w:vAlign w:val="center"/>
          </w:tcPr>
          <w:p>
            <w:pPr>
              <w:jc w:val="center"/>
              <w:rPr>
                <w:rFonts w:ascii="Calibri" w:hAnsi="Calibri" w:eastAsia="宋体" w:cstheme="minorHAnsi"/>
                <w:color w:val="000000"/>
                <w:kern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noWrap/>
            <w:vAlign w:val="center"/>
          </w:tcPr>
          <w:p>
            <w:pPr>
              <w:jc w:val="center"/>
              <w:rPr>
                <w:rFonts w:ascii="仿宋" w:hAnsi="仿宋" w:eastAsia="仿宋" w:cs="仿宋"/>
                <w:bCs/>
                <w:color w:val="000000" w:themeColor="text1"/>
                <w14:textFill>
                  <w14:solidFill>
                    <w14:schemeClr w14:val="tx1"/>
                  </w14:solidFill>
                </w14:textFill>
              </w:rPr>
            </w:pPr>
          </w:p>
        </w:tc>
        <w:tc>
          <w:tcPr>
            <w:tcW w:w="5386" w:type="dxa"/>
            <w:gridSpan w:val="6"/>
            <w:noWrap/>
            <w:vAlign w:val="center"/>
          </w:tcPr>
          <w:p>
            <w:pPr>
              <w:jc w:val="center"/>
              <w:rPr>
                <w:rFonts w:ascii="Calibri" w:hAnsi="Calibri" w:eastAsia="宋体" w:cstheme="minorHAnsi"/>
                <w:color w:val="000000"/>
                <w:kern w:val="24"/>
              </w:rPr>
            </w:pPr>
          </w:p>
        </w:tc>
        <w:tc>
          <w:tcPr>
            <w:tcW w:w="2977" w:type="dxa"/>
            <w:gridSpan w:val="3"/>
            <w:noWrap/>
            <w:vAlign w:val="center"/>
          </w:tcPr>
          <w:p>
            <w:pPr>
              <w:rPr>
                <w:rFonts w:ascii="Calibri" w:hAnsi="Calibri" w:eastAsia="宋体" w:cstheme="minorHAnsi"/>
                <w:color w:val="000000"/>
                <w:kern w:val="24"/>
              </w:rPr>
            </w:pPr>
            <w:r>
              <w:rPr>
                <w:rFonts w:ascii="Calibri" w:hAnsi="宋体" w:eastAsia="宋体" w:cs="Calibri"/>
                <w:bCs/>
                <w:sz w:val="21"/>
                <w:szCs w:val="21"/>
              </w:rPr>
              <w:t>平均从业年限</w:t>
            </w:r>
            <w:r>
              <w:rPr>
                <w:rFonts w:ascii="Calibri" w:hAnsi="Calibri" w:eastAsia="宋体" w:cstheme="minorHAnsi"/>
                <w:color w:val="000000"/>
                <w:kern w:val="24"/>
                <w:sz w:val="21"/>
                <w:szCs w:val="21"/>
              </w:rPr>
              <w:t>（</w:t>
            </w:r>
            <w:r>
              <w:rPr>
                <w:rFonts w:hint="eastAsia" w:ascii="Calibri" w:hAnsi="Calibri" w:eastAsia="宋体" w:cstheme="minorHAnsi"/>
                <w:color w:val="000000"/>
                <w:kern w:val="24"/>
                <w:sz w:val="21"/>
                <w:szCs w:val="21"/>
              </w:rPr>
              <w:t>保留</w:t>
            </w:r>
            <w:r>
              <w:rPr>
                <w:rFonts w:ascii="Calibri" w:hAnsi="Calibri" w:eastAsia="宋体" w:cstheme="minorHAnsi"/>
                <w:color w:val="000000"/>
                <w:kern w:val="24"/>
                <w:sz w:val="21"/>
                <w:szCs w:val="21"/>
              </w:rPr>
              <w:t>小数点后</w:t>
            </w:r>
            <w:r>
              <w:rPr>
                <w:rFonts w:hint="eastAsia" w:ascii="Calibri" w:hAnsi="Calibri" w:eastAsia="宋体" w:cstheme="minorHAnsi"/>
                <w:color w:val="000000"/>
                <w:kern w:val="24"/>
                <w:sz w:val="21"/>
                <w:szCs w:val="21"/>
              </w:rPr>
              <w:t>2位</w:t>
            </w:r>
            <w:r>
              <w:rPr>
                <w:rFonts w:ascii="Calibri" w:hAnsi="Calibri" w:eastAsia="宋体" w:cstheme="minorHAnsi"/>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right"/>
        </w:trPr>
        <w:tc>
          <w:tcPr>
            <w:tcW w:w="988" w:type="dxa"/>
            <w:noWrap/>
            <w:vAlign w:val="center"/>
          </w:tcPr>
          <w:p>
            <w:pPr>
              <w:jc w:val="center"/>
              <w:rPr>
                <w:rFonts w:ascii="仿宋" w:hAnsi="仿宋" w:eastAsia="仿宋" w:cs="仿宋"/>
                <w:bCs/>
                <w:color w:val="000000" w:themeColor="text1"/>
                <w14:textFill>
                  <w14:solidFill>
                    <w14:schemeClr w14:val="tx1"/>
                  </w14:solidFill>
                </w14:textFill>
              </w:rPr>
            </w:pPr>
          </w:p>
        </w:tc>
        <w:tc>
          <w:tcPr>
            <w:tcW w:w="3546" w:type="dxa"/>
            <w:gridSpan w:val="4"/>
            <w:noWrap/>
            <w:vAlign w:val="center"/>
          </w:tcPr>
          <w:p>
            <w:pPr>
              <w:rPr>
                <w:rFonts w:ascii="Calibri" w:hAnsi="Calibri" w:eastAsia="宋体" w:cstheme="minorHAnsi"/>
                <w:color w:val="000000"/>
                <w:kern w:val="24"/>
              </w:rPr>
            </w:pPr>
            <w:r>
              <w:rPr>
                <w:rFonts w:hint="eastAsia" w:ascii="宋体" w:hAnsi="宋体" w:eastAsia="宋体" w:cs="宋体"/>
                <w:color w:val="000000"/>
                <w:sz w:val="22"/>
                <w:szCs w:val="22"/>
              </w:rPr>
              <w:t>填表时间：</w:t>
            </w:r>
          </w:p>
        </w:tc>
        <w:tc>
          <w:tcPr>
            <w:tcW w:w="4817" w:type="dxa"/>
            <w:gridSpan w:val="5"/>
            <w:noWrap/>
            <w:vAlign w:val="center"/>
          </w:tcPr>
          <w:p>
            <w:pPr>
              <w:rPr>
                <w:rFonts w:ascii="Calibri" w:hAnsi="宋体" w:eastAsia="宋体" w:cs="Calibri"/>
                <w:bCs/>
                <w:sz w:val="21"/>
                <w:szCs w:val="21"/>
              </w:rPr>
            </w:pPr>
            <w:r>
              <w:rPr>
                <w:rFonts w:hint="eastAsia" w:ascii="宋体" w:hAnsi="宋体" w:eastAsia="宋体" w:cs="宋体"/>
                <w:color w:val="000000"/>
                <w:sz w:val="22"/>
                <w:szCs w:val="22"/>
              </w:rPr>
              <w:t>单位名称（公章）：</w:t>
            </w:r>
          </w:p>
        </w:tc>
      </w:tr>
    </w:tbl>
    <w:p>
      <w:pPr>
        <w:rPr>
          <w:rFonts w:asciiTheme="minorEastAsia" w:hAnsiTheme="minorEastAsia" w:cstheme="minorHAnsi"/>
          <w:b/>
          <w:color w:val="000000"/>
          <w:kern w:val="24"/>
        </w:rPr>
      </w:pPr>
    </w:p>
    <w:p>
      <w:pPr>
        <w:rPr>
          <w:rFonts w:asciiTheme="minorEastAsia" w:hAnsiTheme="minorEastAsia" w:cstheme="minorHAnsi"/>
          <w:b/>
        </w:rPr>
      </w:pPr>
    </w:p>
    <w:p>
      <w:pPr>
        <w:rPr>
          <w:rFonts w:asciiTheme="minorEastAsia" w:hAnsiTheme="minorEastAsia" w:cstheme="minorHAnsi"/>
          <w:b/>
        </w:rPr>
      </w:pPr>
    </w:p>
    <w:tbl>
      <w:tblPr>
        <w:tblStyle w:val="26"/>
        <w:tblW w:w="9498" w:type="dxa"/>
        <w:tblInd w:w="-264" w:type="dxa"/>
        <w:tblLayout w:type="autofit"/>
        <w:tblCellMar>
          <w:top w:w="0" w:type="dxa"/>
          <w:left w:w="108" w:type="dxa"/>
          <w:bottom w:w="0" w:type="dxa"/>
          <w:right w:w="108" w:type="dxa"/>
        </w:tblCellMar>
      </w:tblPr>
      <w:tblGrid>
        <w:gridCol w:w="1139"/>
        <w:gridCol w:w="1393"/>
        <w:gridCol w:w="993"/>
        <w:gridCol w:w="1134"/>
        <w:gridCol w:w="1417"/>
        <w:gridCol w:w="1134"/>
        <w:gridCol w:w="1276"/>
        <w:gridCol w:w="1012"/>
      </w:tblGrid>
      <w:tr>
        <w:tblPrEx>
          <w:tblCellMar>
            <w:top w:w="0" w:type="dxa"/>
            <w:left w:w="108" w:type="dxa"/>
            <w:bottom w:w="0" w:type="dxa"/>
            <w:right w:w="108" w:type="dxa"/>
          </w:tblCellMar>
        </w:tblPrEx>
        <w:trPr>
          <w:trHeight w:val="460" w:hRule="atLeast"/>
        </w:trPr>
        <w:tc>
          <w:tcPr>
            <w:tcW w:w="9498" w:type="dxa"/>
            <w:gridSpan w:val="8"/>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cstheme="minorHAnsi"/>
                <w:color w:val="000000"/>
                <w:kern w:val="24"/>
              </w:rPr>
            </w:pPr>
            <w:bookmarkStart w:id="85" w:name="RANGE!A1:H12"/>
            <w:r>
              <w:rPr>
                <w:rFonts w:hint="eastAsia" w:asciiTheme="minorEastAsia" w:hAnsiTheme="minorEastAsia" w:cstheme="minorHAnsi"/>
                <w:color w:val="000000"/>
                <w:kern w:val="24"/>
              </w:rPr>
              <w:t>项目负责人业绩汇总表</w:t>
            </w:r>
            <w:bookmarkEnd w:id="85"/>
          </w:p>
        </w:tc>
      </w:tr>
      <w:tr>
        <w:tblPrEx>
          <w:tblCellMar>
            <w:top w:w="0" w:type="dxa"/>
            <w:left w:w="108" w:type="dxa"/>
            <w:bottom w:w="0" w:type="dxa"/>
            <w:right w:w="108" w:type="dxa"/>
          </w:tblCellMar>
        </w:tblPrEx>
        <w:trPr>
          <w:trHeight w:val="460" w:hRule="atLeast"/>
        </w:trPr>
        <w:tc>
          <w:tcPr>
            <w:tcW w:w="9498" w:type="dxa"/>
            <w:gridSpan w:val="8"/>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color w:val="000000"/>
                <w:sz w:val="28"/>
                <w:szCs w:val="28"/>
              </w:rPr>
            </w:pPr>
          </w:p>
        </w:tc>
      </w:tr>
      <w:tr>
        <w:tblPrEx>
          <w:tblCellMar>
            <w:top w:w="0" w:type="dxa"/>
            <w:left w:w="108" w:type="dxa"/>
            <w:bottom w:w="0" w:type="dxa"/>
            <w:right w:w="108" w:type="dxa"/>
          </w:tblCellMar>
        </w:tblPrEx>
        <w:trPr>
          <w:trHeight w:val="460" w:hRule="atLeast"/>
        </w:trPr>
        <w:tc>
          <w:tcPr>
            <w:tcW w:w="1139" w:type="dxa"/>
            <w:vMerge w:val="restart"/>
            <w:tcBorders>
              <w:top w:val="single" w:color="auto" w:sz="4" w:space="0"/>
              <w:left w:val="single" w:color="auto" w:sz="8" w:space="0"/>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序号</w:t>
            </w:r>
          </w:p>
        </w:tc>
        <w:tc>
          <w:tcPr>
            <w:tcW w:w="1393"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姓名</w:t>
            </w:r>
          </w:p>
        </w:tc>
        <w:tc>
          <w:tcPr>
            <w:tcW w:w="993"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项目</w:t>
            </w:r>
          </w:p>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名称</w:t>
            </w:r>
          </w:p>
        </w:tc>
        <w:tc>
          <w:tcPr>
            <w:tcW w:w="1134"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项目</w:t>
            </w:r>
          </w:p>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投资额</w:t>
            </w:r>
          </w:p>
        </w:tc>
        <w:tc>
          <w:tcPr>
            <w:tcW w:w="1417"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项目类型</w:t>
            </w:r>
          </w:p>
        </w:tc>
        <w:tc>
          <w:tcPr>
            <w:tcW w:w="1134"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工作</w:t>
            </w:r>
          </w:p>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内容</w:t>
            </w:r>
          </w:p>
        </w:tc>
        <w:tc>
          <w:tcPr>
            <w:tcW w:w="1276"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完成</w:t>
            </w:r>
          </w:p>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时间</w:t>
            </w:r>
          </w:p>
        </w:tc>
        <w:tc>
          <w:tcPr>
            <w:tcW w:w="1012" w:type="dxa"/>
            <w:vMerge w:val="restart"/>
            <w:tcBorders>
              <w:top w:val="single" w:color="auto" w:sz="4" w:space="0"/>
              <w:left w:val="nil"/>
              <w:bottom w:val="single" w:color="000000"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备注</w:t>
            </w:r>
          </w:p>
        </w:tc>
      </w:tr>
      <w:tr>
        <w:tblPrEx>
          <w:tblCellMar>
            <w:top w:w="0" w:type="dxa"/>
            <w:left w:w="108" w:type="dxa"/>
            <w:bottom w:w="0" w:type="dxa"/>
            <w:right w:w="108" w:type="dxa"/>
          </w:tblCellMar>
        </w:tblPrEx>
        <w:trPr>
          <w:trHeight w:val="460" w:hRule="atLeast"/>
        </w:trPr>
        <w:tc>
          <w:tcPr>
            <w:tcW w:w="1139" w:type="dxa"/>
            <w:vMerge w:val="continue"/>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cs="宋体"/>
                <w:color w:val="000000"/>
              </w:rPr>
            </w:pPr>
          </w:p>
        </w:tc>
        <w:tc>
          <w:tcPr>
            <w:tcW w:w="1393"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993"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1134"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1417"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1134"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1276"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1012" w:type="dxa"/>
            <w:vMerge w:val="continue"/>
            <w:tcBorders>
              <w:top w:val="single" w:color="auto" w:sz="8" w:space="0"/>
              <w:left w:val="nil"/>
              <w:bottom w:val="single" w:color="000000" w:sz="8" w:space="0"/>
              <w:right w:val="single" w:color="auto" w:sz="8" w:space="0"/>
            </w:tcBorders>
            <w:vAlign w:val="center"/>
          </w:tcPr>
          <w:p>
            <w:pPr>
              <w:rPr>
                <w:rFonts w:ascii="仿宋_GB2312" w:hAnsi="宋体" w:eastAsia="仿宋_GB2312" w:cs="宋体"/>
                <w:color w:val="000000"/>
              </w:rPr>
            </w:pPr>
          </w:p>
        </w:tc>
      </w:tr>
      <w:tr>
        <w:tblPrEx>
          <w:tblCellMar>
            <w:top w:w="0" w:type="dxa"/>
            <w:left w:w="108" w:type="dxa"/>
            <w:bottom w:w="0" w:type="dxa"/>
            <w:right w:w="108" w:type="dxa"/>
          </w:tblCellMar>
        </w:tblPrEx>
        <w:trPr>
          <w:trHeight w:val="405" w:hRule="atLeast"/>
        </w:trPr>
        <w:tc>
          <w:tcPr>
            <w:tcW w:w="1139"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rPr>
            </w:pPr>
            <w:r>
              <w:rPr>
                <w:rFonts w:hint="eastAsia" w:ascii="仿宋_GB2312" w:hAnsi="宋体" w:eastAsia="仿宋_GB2312" w:cs="宋体"/>
                <w:color w:val="000000"/>
              </w:rPr>
              <w:t>　</w:t>
            </w:r>
          </w:p>
        </w:tc>
        <w:tc>
          <w:tcPr>
            <w:tcW w:w="13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417"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276"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012"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r>
      <w:tr>
        <w:tblPrEx>
          <w:tblCellMar>
            <w:top w:w="0" w:type="dxa"/>
            <w:left w:w="108" w:type="dxa"/>
            <w:bottom w:w="0" w:type="dxa"/>
            <w:right w:w="108" w:type="dxa"/>
          </w:tblCellMar>
        </w:tblPrEx>
        <w:trPr>
          <w:trHeight w:val="405" w:hRule="atLeast"/>
        </w:trPr>
        <w:tc>
          <w:tcPr>
            <w:tcW w:w="1139"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rPr>
            </w:pPr>
            <w:r>
              <w:rPr>
                <w:rFonts w:hint="eastAsia" w:ascii="仿宋_GB2312" w:hAnsi="宋体" w:eastAsia="仿宋_GB2312" w:cs="宋体"/>
                <w:color w:val="000000"/>
              </w:rPr>
              <w:t>　</w:t>
            </w:r>
          </w:p>
        </w:tc>
        <w:tc>
          <w:tcPr>
            <w:tcW w:w="13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417"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276"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012"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r>
      <w:tr>
        <w:tblPrEx>
          <w:tblCellMar>
            <w:top w:w="0" w:type="dxa"/>
            <w:left w:w="108" w:type="dxa"/>
            <w:bottom w:w="0" w:type="dxa"/>
            <w:right w:w="108" w:type="dxa"/>
          </w:tblCellMar>
        </w:tblPrEx>
        <w:trPr>
          <w:trHeight w:val="405" w:hRule="atLeast"/>
        </w:trPr>
        <w:tc>
          <w:tcPr>
            <w:tcW w:w="1139"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3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417"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276"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012"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r>
      <w:tr>
        <w:tblPrEx>
          <w:tblCellMar>
            <w:top w:w="0" w:type="dxa"/>
            <w:left w:w="108" w:type="dxa"/>
            <w:bottom w:w="0" w:type="dxa"/>
            <w:right w:w="108" w:type="dxa"/>
          </w:tblCellMar>
        </w:tblPrEx>
        <w:trPr>
          <w:trHeight w:val="405" w:hRule="atLeast"/>
        </w:trPr>
        <w:tc>
          <w:tcPr>
            <w:tcW w:w="1139"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3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417"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276"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012"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r>
      <w:tr>
        <w:tblPrEx>
          <w:tblCellMar>
            <w:top w:w="0" w:type="dxa"/>
            <w:left w:w="108" w:type="dxa"/>
            <w:bottom w:w="0" w:type="dxa"/>
            <w:right w:w="108" w:type="dxa"/>
          </w:tblCellMar>
        </w:tblPrEx>
        <w:trPr>
          <w:trHeight w:val="405" w:hRule="atLeast"/>
        </w:trPr>
        <w:tc>
          <w:tcPr>
            <w:tcW w:w="1139" w:type="dxa"/>
            <w:tcBorders>
              <w:top w:val="nil"/>
              <w:left w:val="single" w:color="auto" w:sz="8" w:space="0"/>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393"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3"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417"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276"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012"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r>
      <w:tr>
        <w:tblPrEx>
          <w:tblCellMar>
            <w:top w:w="0" w:type="dxa"/>
            <w:left w:w="108" w:type="dxa"/>
            <w:bottom w:w="0" w:type="dxa"/>
            <w:right w:w="108" w:type="dxa"/>
          </w:tblCellMar>
        </w:tblPrEx>
        <w:trPr>
          <w:trHeight w:val="270" w:hRule="atLeast"/>
        </w:trPr>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sz w:val="32"/>
                <w:szCs w:val="32"/>
              </w:rPr>
            </w:pP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r>
      <w:tr>
        <w:tblPrEx>
          <w:tblCellMar>
            <w:top w:w="0" w:type="dxa"/>
            <w:left w:w="108" w:type="dxa"/>
            <w:bottom w:w="0" w:type="dxa"/>
            <w:right w:w="108" w:type="dxa"/>
          </w:tblCellMar>
        </w:tblPrEx>
        <w:trPr>
          <w:trHeight w:val="270" w:hRule="atLeast"/>
        </w:trPr>
        <w:tc>
          <w:tcPr>
            <w:tcW w:w="113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填表时间：</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25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单位名称（公章）：</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p>
        </w:tc>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r>
    </w:tbl>
    <w:p>
      <w:pPr>
        <w:rPr>
          <w:rFonts w:asciiTheme="minorEastAsia" w:hAnsiTheme="minorEastAsia" w:cstheme="minorHAnsi"/>
          <w:b/>
        </w:rPr>
      </w:pPr>
    </w:p>
    <w:tbl>
      <w:tblPr>
        <w:tblStyle w:val="26"/>
        <w:tblW w:w="9498" w:type="dxa"/>
        <w:tblInd w:w="-289" w:type="dxa"/>
        <w:tblLayout w:type="autofit"/>
        <w:tblCellMar>
          <w:top w:w="0" w:type="dxa"/>
          <w:left w:w="108" w:type="dxa"/>
          <w:bottom w:w="0" w:type="dxa"/>
          <w:right w:w="108" w:type="dxa"/>
        </w:tblCellMar>
      </w:tblPr>
      <w:tblGrid>
        <w:gridCol w:w="1164"/>
        <w:gridCol w:w="1388"/>
        <w:gridCol w:w="993"/>
        <w:gridCol w:w="1134"/>
        <w:gridCol w:w="1417"/>
        <w:gridCol w:w="1134"/>
        <w:gridCol w:w="1276"/>
        <w:gridCol w:w="992"/>
      </w:tblGrid>
      <w:tr>
        <w:tblPrEx>
          <w:tblCellMar>
            <w:top w:w="0" w:type="dxa"/>
            <w:left w:w="108" w:type="dxa"/>
            <w:bottom w:w="0" w:type="dxa"/>
            <w:right w:w="108" w:type="dxa"/>
          </w:tblCellMar>
        </w:tblPrEx>
        <w:trPr>
          <w:trHeight w:val="460" w:hRule="atLeast"/>
        </w:trPr>
        <w:tc>
          <w:tcPr>
            <w:tcW w:w="9498" w:type="dxa"/>
            <w:gridSpan w:val="8"/>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cstheme="minorHAnsi"/>
                <w:b/>
                <w:color w:val="000000"/>
                <w:kern w:val="24"/>
              </w:rPr>
            </w:pPr>
            <w:r>
              <w:rPr>
                <w:rFonts w:hint="eastAsia" w:asciiTheme="minorEastAsia" w:hAnsiTheme="minorEastAsia" w:cstheme="minorHAnsi"/>
                <w:b/>
                <w:color w:val="000000"/>
                <w:kern w:val="24"/>
              </w:rPr>
              <w:t>其他团队</w:t>
            </w:r>
            <w:r>
              <w:rPr>
                <w:rFonts w:asciiTheme="minorEastAsia" w:hAnsiTheme="minorEastAsia" w:cstheme="minorHAnsi"/>
                <w:b/>
                <w:color w:val="000000"/>
                <w:kern w:val="24"/>
              </w:rPr>
              <w:t>人员</w:t>
            </w:r>
            <w:r>
              <w:rPr>
                <w:rFonts w:hint="eastAsia" w:asciiTheme="minorEastAsia" w:hAnsiTheme="minorEastAsia" w:cstheme="minorHAnsi"/>
                <w:b/>
                <w:color w:val="000000"/>
                <w:kern w:val="24"/>
              </w:rPr>
              <w:t>业绩汇总表</w:t>
            </w:r>
          </w:p>
        </w:tc>
      </w:tr>
      <w:tr>
        <w:tblPrEx>
          <w:tblCellMar>
            <w:top w:w="0" w:type="dxa"/>
            <w:left w:w="108" w:type="dxa"/>
            <w:bottom w:w="0" w:type="dxa"/>
            <w:right w:w="108" w:type="dxa"/>
          </w:tblCellMar>
        </w:tblPrEx>
        <w:trPr>
          <w:trHeight w:val="460" w:hRule="atLeast"/>
        </w:trPr>
        <w:tc>
          <w:tcPr>
            <w:tcW w:w="9498" w:type="dxa"/>
            <w:gridSpan w:val="8"/>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sz w:val="21"/>
                <w:szCs w:val="21"/>
              </w:rPr>
            </w:pPr>
          </w:p>
        </w:tc>
      </w:tr>
      <w:tr>
        <w:tblPrEx>
          <w:tblCellMar>
            <w:top w:w="0" w:type="dxa"/>
            <w:left w:w="108" w:type="dxa"/>
            <w:bottom w:w="0" w:type="dxa"/>
            <w:right w:w="108" w:type="dxa"/>
          </w:tblCellMar>
        </w:tblPrEx>
        <w:trPr>
          <w:trHeight w:val="460" w:hRule="atLeast"/>
        </w:trPr>
        <w:tc>
          <w:tcPr>
            <w:tcW w:w="1164" w:type="dxa"/>
            <w:vMerge w:val="restart"/>
            <w:tcBorders>
              <w:top w:val="single" w:color="auto" w:sz="4" w:space="0"/>
              <w:left w:val="single" w:color="auto" w:sz="8" w:space="0"/>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序号</w:t>
            </w:r>
          </w:p>
        </w:tc>
        <w:tc>
          <w:tcPr>
            <w:tcW w:w="1388"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姓名</w:t>
            </w:r>
          </w:p>
        </w:tc>
        <w:tc>
          <w:tcPr>
            <w:tcW w:w="993"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项目</w:t>
            </w:r>
          </w:p>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名称</w:t>
            </w:r>
          </w:p>
        </w:tc>
        <w:tc>
          <w:tcPr>
            <w:tcW w:w="1134"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项目</w:t>
            </w:r>
          </w:p>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投资额</w:t>
            </w:r>
          </w:p>
        </w:tc>
        <w:tc>
          <w:tcPr>
            <w:tcW w:w="1417"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项目类型</w:t>
            </w:r>
          </w:p>
        </w:tc>
        <w:tc>
          <w:tcPr>
            <w:tcW w:w="1134"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工作</w:t>
            </w:r>
          </w:p>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内容</w:t>
            </w:r>
          </w:p>
        </w:tc>
        <w:tc>
          <w:tcPr>
            <w:tcW w:w="1276" w:type="dxa"/>
            <w:vMerge w:val="restart"/>
            <w:tcBorders>
              <w:top w:val="single" w:color="auto" w:sz="4" w:space="0"/>
              <w:left w:val="nil"/>
              <w:bottom w:val="single" w:color="auto"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完成</w:t>
            </w:r>
          </w:p>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时间</w:t>
            </w:r>
          </w:p>
        </w:tc>
        <w:tc>
          <w:tcPr>
            <w:tcW w:w="992" w:type="dxa"/>
            <w:vMerge w:val="restart"/>
            <w:tcBorders>
              <w:top w:val="single" w:color="auto" w:sz="4" w:space="0"/>
              <w:left w:val="nil"/>
              <w:bottom w:val="single" w:color="000000" w:sz="8" w:space="0"/>
              <w:right w:val="single" w:color="auto" w:sz="8" w:space="0"/>
            </w:tcBorders>
            <w:shd w:val="clear" w:color="auto" w:fill="auto"/>
            <w:noWrap/>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备注</w:t>
            </w:r>
          </w:p>
        </w:tc>
      </w:tr>
      <w:tr>
        <w:tblPrEx>
          <w:tblCellMar>
            <w:top w:w="0" w:type="dxa"/>
            <w:left w:w="108" w:type="dxa"/>
            <w:bottom w:w="0" w:type="dxa"/>
            <w:right w:w="108" w:type="dxa"/>
          </w:tblCellMar>
        </w:tblPrEx>
        <w:trPr>
          <w:trHeight w:val="460" w:hRule="atLeast"/>
        </w:trPr>
        <w:tc>
          <w:tcPr>
            <w:tcW w:w="1164" w:type="dxa"/>
            <w:vMerge w:val="continue"/>
            <w:tcBorders>
              <w:top w:val="single" w:color="auto" w:sz="8" w:space="0"/>
              <w:left w:val="single" w:color="auto" w:sz="8" w:space="0"/>
              <w:bottom w:val="single" w:color="auto" w:sz="8" w:space="0"/>
              <w:right w:val="single" w:color="auto" w:sz="8" w:space="0"/>
            </w:tcBorders>
            <w:vAlign w:val="center"/>
          </w:tcPr>
          <w:p>
            <w:pPr>
              <w:rPr>
                <w:rFonts w:ascii="仿宋_GB2312" w:hAnsi="宋体" w:eastAsia="仿宋_GB2312" w:cs="宋体"/>
                <w:color w:val="000000"/>
              </w:rPr>
            </w:pPr>
          </w:p>
        </w:tc>
        <w:tc>
          <w:tcPr>
            <w:tcW w:w="1388"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993"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1134"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1417"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1134"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1276" w:type="dxa"/>
            <w:vMerge w:val="continue"/>
            <w:tcBorders>
              <w:top w:val="single" w:color="auto" w:sz="8" w:space="0"/>
              <w:left w:val="nil"/>
              <w:bottom w:val="single" w:color="auto" w:sz="8" w:space="0"/>
              <w:right w:val="single" w:color="auto" w:sz="8" w:space="0"/>
            </w:tcBorders>
            <w:vAlign w:val="center"/>
          </w:tcPr>
          <w:p>
            <w:pPr>
              <w:rPr>
                <w:rFonts w:ascii="仿宋_GB2312" w:hAnsi="宋体" w:eastAsia="仿宋_GB2312" w:cs="宋体"/>
                <w:color w:val="000000"/>
              </w:rPr>
            </w:pPr>
          </w:p>
        </w:tc>
        <w:tc>
          <w:tcPr>
            <w:tcW w:w="992" w:type="dxa"/>
            <w:vMerge w:val="continue"/>
            <w:tcBorders>
              <w:top w:val="single" w:color="auto" w:sz="8" w:space="0"/>
              <w:left w:val="nil"/>
              <w:bottom w:val="single" w:color="000000" w:sz="8" w:space="0"/>
              <w:right w:val="single" w:color="auto" w:sz="8" w:space="0"/>
            </w:tcBorders>
            <w:vAlign w:val="center"/>
          </w:tcPr>
          <w:p>
            <w:pPr>
              <w:rPr>
                <w:rFonts w:ascii="仿宋_GB2312" w:hAnsi="宋体" w:eastAsia="仿宋_GB2312" w:cs="宋体"/>
                <w:color w:val="000000"/>
              </w:rPr>
            </w:pPr>
          </w:p>
        </w:tc>
      </w:tr>
      <w:tr>
        <w:tblPrEx>
          <w:tblCellMar>
            <w:top w:w="0" w:type="dxa"/>
            <w:left w:w="108" w:type="dxa"/>
            <w:bottom w:w="0" w:type="dxa"/>
            <w:right w:w="108" w:type="dxa"/>
          </w:tblCellMar>
        </w:tblPrEx>
        <w:trPr>
          <w:trHeight w:val="405" w:hRule="atLeast"/>
        </w:trPr>
        <w:tc>
          <w:tcPr>
            <w:tcW w:w="1164"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rPr>
            </w:pPr>
            <w:r>
              <w:rPr>
                <w:rFonts w:hint="eastAsia" w:ascii="仿宋_GB2312" w:hAnsi="宋体" w:eastAsia="仿宋_GB2312" w:cs="宋体"/>
                <w:color w:val="000000"/>
              </w:rPr>
              <w:t>　</w:t>
            </w:r>
          </w:p>
        </w:tc>
        <w:tc>
          <w:tcPr>
            <w:tcW w:w="1388"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417"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276"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2"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r>
      <w:tr>
        <w:tblPrEx>
          <w:tblCellMar>
            <w:top w:w="0" w:type="dxa"/>
            <w:left w:w="108" w:type="dxa"/>
            <w:bottom w:w="0" w:type="dxa"/>
            <w:right w:w="108" w:type="dxa"/>
          </w:tblCellMar>
        </w:tblPrEx>
        <w:trPr>
          <w:trHeight w:val="405" w:hRule="atLeast"/>
        </w:trPr>
        <w:tc>
          <w:tcPr>
            <w:tcW w:w="1164"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rPr>
            </w:pPr>
            <w:r>
              <w:rPr>
                <w:rFonts w:hint="eastAsia" w:ascii="仿宋_GB2312" w:hAnsi="宋体" w:eastAsia="仿宋_GB2312" w:cs="宋体"/>
                <w:color w:val="000000"/>
              </w:rPr>
              <w:t>　</w:t>
            </w:r>
          </w:p>
        </w:tc>
        <w:tc>
          <w:tcPr>
            <w:tcW w:w="1388"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417"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276"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2"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r>
      <w:tr>
        <w:tblPrEx>
          <w:tblCellMar>
            <w:top w:w="0" w:type="dxa"/>
            <w:left w:w="108" w:type="dxa"/>
            <w:bottom w:w="0" w:type="dxa"/>
            <w:right w:w="108" w:type="dxa"/>
          </w:tblCellMar>
        </w:tblPrEx>
        <w:trPr>
          <w:trHeight w:val="405" w:hRule="atLeast"/>
        </w:trPr>
        <w:tc>
          <w:tcPr>
            <w:tcW w:w="1164"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388"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417"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276"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2"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r>
      <w:tr>
        <w:tblPrEx>
          <w:tblCellMar>
            <w:top w:w="0" w:type="dxa"/>
            <w:left w:w="108" w:type="dxa"/>
            <w:bottom w:w="0" w:type="dxa"/>
            <w:right w:w="108" w:type="dxa"/>
          </w:tblCellMar>
        </w:tblPrEx>
        <w:trPr>
          <w:trHeight w:val="405" w:hRule="atLeast"/>
        </w:trPr>
        <w:tc>
          <w:tcPr>
            <w:tcW w:w="1164"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388"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3"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417"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276"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2" w:type="dxa"/>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r>
      <w:tr>
        <w:tblPrEx>
          <w:tblCellMar>
            <w:top w:w="0" w:type="dxa"/>
            <w:left w:w="108" w:type="dxa"/>
            <w:bottom w:w="0" w:type="dxa"/>
            <w:right w:w="108" w:type="dxa"/>
          </w:tblCellMar>
        </w:tblPrEx>
        <w:trPr>
          <w:trHeight w:val="405" w:hRule="atLeast"/>
        </w:trPr>
        <w:tc>
          <w:tcPr>
            <w:tcW w:w="1164" w:type="dxa"/>
            <w:tcBorders>
              <w:top w:val="nil"/>
              <w:left w:val="single" w:color="auto" w:sz="8" w:space="0"/>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388"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3"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417"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134"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1276"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c>
          <w:tcPr>
            <w:tcW w:w="992" w:type="dxa"/>
            <w:tcBorders>
              <w:top w:val="nil"/>
              <w:left w:val="nil"/>
              <w:bottom w:val="single" w:color="auto" w:sz="4" w:space="0"/>
              <w:right w:val="single" w:color="auto" w:sz="8" w:space="0"/>
            </w:tcBorders>
            <w:shd w:val="clear" w:color="auto" w:fill="auto"/>
            <w:noWrap/>
            <w:vAlign w:val="center"/>
          </w:tcPr>
          <w:p>
            <w:pPr>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tc>
      </w:tr>
      <w:tr>
        <w:tblPrEx>
          <w:tblCellMar>
            <w:top w:w="0" w:type="dxa"/>
            <w:left w:w="108" w:type="dxa"/>
            <w:bottom w:w="0" w:type="dxa"/>
            <w:right w:w="108" w:type="dxa"/>
          </w:tblCellMar>
        </w:tblPrEx>
        <w:trPr>
          <w:trHeight w:val="270"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sz w:val="32"/>
                <w:szCs w:val="32"/>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r>
      <w:tr>
        <w:tblPrEx>
          <w:tblCellMar>
            <w:top w:w="0" w:type="dxa"/>
            <w:left w:w="108" w:type="dxa"/>
            <w:bottom w:w="0" w:type="dxa"/>
            <w:right w:w="108" w:type="dxa"/>
          </w:tblCellMar>
        </w:tblPrEx>
        <w:trPr>
          <w:trHeight w:val="270" w:hRule="atLeast"/>
        </w:trPr>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填表时间：</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c>
          <w:tcPr>
            <w:tcW w:w="25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单位名称（公章）：</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color w:val="000000"/>
                <w:sz w:val="22"/>
                <w:szCs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Times New Roman"/>
                <w:sz w:val="20"/>
                <w:szCs w:val="20"/>
              </w:rPr>
            </w:pPr>
          </w:p>
        </w:tc>
      </w:tr>
    </w:tbl>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6"/>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6"/>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bookmarkStart w:id="86" w:name="OLE_LINK19"/>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3"/>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bookmarkEnd w:id="86"/>
    <w:p>
      <w:pPr>
        <w:keepNext/>
        <w:spacing w:before="120" w:after="60"/>
        <w:jc w:val="both"/>
        <w:outlineLvl w:val="2"/>
        <w:rPr>
          <w:rFonts w:ascii="Calibri" w:hAnsi="Calibri" w:eastAsia="黑体"/>
          <w:kern w:val="28"/>
          <w:sz w:val="28"/>
        </w:rPr>
      </w:pPr>
      <w:r>
        <w:rPr>
          <w:rFonts w:ascii="Calibri" w:hAnsi="Calibri" w:eastAsia="黑体"/>
          <w:kern w:val="28"/>
          <w:sz w:val="28"/>
        </w:rPr>
        <w:t>（三）享受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未按要求提供的，将不享受磋商文件</w:t>
      </w:r>
      <w:r>
        <w:rPr>
          <w:color w:val="C00000"/>
        </w:rPr>
        <w:t>规定的</w:t>
      </w:r>
      <w:r>
        <w:rPr>
          <w:rFonts w:hint="eastAsia"/>
          <w:color w:val="C00000"/>
        </w:rPr>
        <w:t>价格扣除，但不影响响应文件的有效性。</w:t>
      </w:r>
    </w:p>
    <w:p>
      <w:pPr>
        <w:ind w:firstLine="480" w:firstLineChars="200"/>
        <w:jc w:val="both"/>
      </w:pPr>
      <w:r>
        <w:rPr>
          <w:rFonts w:hint="eastAsia"/>
        </w:rPr>
        <w:t>成交供应商享受了政府采购优惠政策的，将随成交结果公开其声明函\证明函，接受社会监督。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2"/>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2"/>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2"/>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2"/>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pPr>
        <w:tabs>
          <w:tab w:val="left" w:pos="5670"/>
        </w:tabs>
        <w:ind w:firstLine="480" w:firstLineChars="200"/>
        <w:jc w:val="both"/>
        <w:rPr>
          <w:rFonts w:cstheme="minorHAnsi"/>
          <w:b/>
          <w:color w:val="C00000"/>
        </w:rPr>
      </w:pPr>
    </w:p>
    <w:p>
      <w:pPr>
        <w:tabs>
          <w:tab w:val="left" w:pos="5670"/>
        </w:tabs>
        <w:jc w:val="center"/>
        <w:rPr>
          <w:rFonts w:cs="Calibri Light"/>
          <w:b/>
          <w:color w:val="1F4E79"/>
          <w:sz w:val="28"/>
          <w:szCs w:val="36"/>
        </w:rPr>
      </w:pPr>
      <w:r>
        <w:rPr>
          <w:rFonts w:cs="Calibri Light"/>
          <w:b/>
          <w:color w:val="1F4E79"/>
          <w:sz w:val="28"/>
          <w:szCs w:val="36"/>
        </w:rPr>
        <w:t>『中小企业声明函』（服务类格式）</w:t>
      </w:r>
    </w:p>
    <w:p>
      <w:pPr>
        <w:pStyle w:val="42"/>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pPr>
        <w:pStyle w:val="42"/>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2"/>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2"/>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pPr>
        <w:tabs>
          <w:tab w:val="left" w:pos="5670"/>
        </w:tabs>
        <w:ind w:firstLine="480" w:firstLineChars="200"/>
        <w:jc w:val="both"/>
        <w:rPr>
          <w:rFonts w:cs="Calibri Light"/>
          <w:color w:val="000000"/>
        </w:rPr>
      </w:pPr>
      <w:r>
        <w:rPr>
          <w:rFonts w:cs="Calibri Light"/>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33" w:type="default"/>
      <w:footerReference r:id="rId34"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西安市小寨区域海绵城市</w:t>
    </w:r>
    <w:r>
      <w:rPr>
        <w:rFonts w:ascii="宋体" w:hAnsi="宋体" w:eastAsia="宋体"/>
      </w:rPr>
      <w:t>PPP项目决算评审工程造价咨询服务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西安市小寨区域海绵城市</w:t>
    </w:r>
    <w:r>
      <w:rPr>
        <w:rFonts w:ascii="宋体" w:hAnsi="宋体" w:eastAsia="宋体"/>
      </w:rPr>
      <w:t>PPP项目决算评审工程造价咨询服务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西安市小寨区域海绵城市</w:t>
    </w:r>
    <w:r>
      <w:rPr>
        <w:rFonts w:ascii="宋体" w:hAnsi="宋体" w:eastAsia="宋体"/>
      </w:rPr>
      <w:t>PPP项目决算评审工程造价咨询服务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100"/>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0D4"/>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D02"/>
    <w:rsid w:val="00111F0F"/>
    <w:rsid w:val="001131D6"/>
    <w:rsid w:val="00113B9B"/>
    <w:rsid w:val="00121FC0"/>
    <w:rsid w:val="001221AC"/>
    <w:rsid w:val="00122D76"/>
    <w:rsid w:val="001232DE"/>
    <w:rsid w:val="001232E1"/>
    <w:rsid w:val="00123FBF"/>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344"/>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35EC"/>
    <w:rsid w:val="001A5309"/>
    <w:rsid w:val="001A5764"/>
    <w:rsid w:val="001A5AF6"/>
    <w:rsid w:val="001A7BDA"/>
    <w:rsid w:val="001B003B"/>
    <w:rsid w:val="001B0699"/>
    <w:rsid w:val="001B0C7B"/>
    <w:rsid w:val="001B2019"/>
    <w:rsid w:val="001B49FD"/>
    <w:rsid w:val="001B5302"/>
    <w:rsid w:val="001B5B8B"/>
    <w:rsid w:val="001B6638"/>
    <w:rsid w:val="001B799F"/>
    <w:rsid w:val="001C0A0A"/>
    <w:rsid w:val="001C0BA3"/>
    <w:rsid w:val="001C0BBD"/>
    <w:rsid w:val="001C25ED"/>
    <w:rsid w:val="001C4AFC"/>
    <w:rsid w:val="001C5BE5"/>
    <w:rsid w:val="001C607B"/>
    <w:rsid w:val="001C62A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32FD"/>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1FA9"/>
    <w:rsid w:val="002B35C4"/>
    <w:rsid w:val="002B36C2"/>
    <w:rsid w:val="002B59BE"/>
    <w:rsid w:val="002B5B32"/>
    <w:rsid w:val="002B60BE"/>
    <w:rsid w:val="002B65AB"/>
    <w:rsid w:val="002B696D"/>
    <w:rsid w:val="002B69BA"/>
    <w:rsid w:val="002C03FE"/>
    <w:rsid w:val="002C05A3"/>
    <w:rsid w:val="002C07D6"/>
    <w:rsid w:val="002C2CAB"/>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885"/>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A98"/>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5B80"/>
    <w:rsid w:val="003564FB"/>
    <w:rsid w:val="00357EC3"/>
    <w:rsid w:val="00360830"/>
    <w:rsid w:val="0036148F"/>
    <w:rsid w:val="003625C6"/>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A6E5A"/>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2402"/>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4B5"/>
    <w:rsid w:val="0047799A"/>
    <w:rsid w:val="00482B46"/>
    <w:rsid w:val="004846F1"/>
    <w:rsid w:val="00484E0D"/>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B7BC8"/>
    <w:rsid w:val="004C0141"/>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4935"/>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555B"/>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1705"/>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52D"/>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3490"/>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06B3"/>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8BB"/>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84C94"/>
    <w:rsid w:val="0079003B"/>
    <w:rsid w:val="00791F35"/>
    <w:rsid w:val="0079398D"/>
    <w:rsid w:val="00794787"/>
    <w:rsid w:val="00794AA9"/>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66F78"/>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4FC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33DC"/>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0B7"/>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2D13"/>
    <w:rsid w:val="009A5BD6"/>
    <w:rsid w:val="009A64BA"/>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439"/>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2B4"/>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47E6"/>
    <w:rsid w:val="00A3527C"/>
    <w:rsid w:val="00A352E6"/>
    <w:rsid w:val="00A35CB4"/>
    <w:rsid w:val="00A36E1D"/>
    <w:rsid w:val="00A37E7E"/>
    <w:rsid w:val="00A405B3"/>
    <w:rsid w:val="00A4093C"/>
    <w:rsid w:val="00A4098F"/>
    <w:rsid w:val="00A4193A"/>
    <w:rsid w:val="00A41E41"/>
    <w:rsid w:val="00A422C3"/>
    <w:rsid w:val="00A42D4A"/>
    <w:rsid w:val="00A43E84"/>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8A6"/>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226"/>
    <w:rsid w:val="00A83B44"/>
    <w:rsid w:val="00A86383"/>
    <w:rsid w:val="00A86960"/>
    <w:rsid w:val="00A869B7"/>
    <w:rsid w:val="00A86B01"/>
    <w:rsid w:val="00A87B06"/>
    <w:rsid w:val="00A91267"/>
    <w:rsid w:val="00A91A54"/>
    <w:rsid w:val="00A91B7E"/>
    <w:rsid w:val="00A94247"/>
    <w:rsid w:val="00A96571"/>
    <w:rsid w:val="00A96F13"/>
    <w:rsid w:val="00AA00E5"/>
    <w:rsid w:val="00AA0CCD"/>
    <w:rsid w:val="00AA1080"/>
    <w:rsid w:val="00AA16D3"/>
    <w:rsid w:val="00AA18CA"/>
    <w:rsid w:val="00AA1D98"/>
    <w:rsid w:val="00AA3063"/>
    <w:rsid w:val="00AA3BFA"/>
    <w:rsid w:val="00AA4BCE"/>
    <w:rsid w:val="00AA5A0A"/>
    <w:rsid w:val="00AA5E84"/>
    <w:rsid w:val="00AA615A"/>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59B3"/>
    <w:rsid w:val="00AD6114"/>
    <w:rsid w:val="00AD74EC"/>
    <w:rsid w:val="00AE01B3"/>
    <w:rsid w:val="00AE0CFD"/>
    <w:rsid w:val="00AE16D0"/>
    <w:rsid w:val="00AE1978"/>
    <w:rsid w:val="00AE1B97"/>
    <w:rsid w:val="00AE1DA8"/>
    <w:rsid w:val="00AE2616"/>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0779F"/>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6FC9"/>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28A"/>
    <w:rsid w:val="00C20D1A"/>
    <w:rsid w:val="00C21DB4"/>
    <w:rsid w:val="00C224CD"/>
    <w:rsid w:val="00C2391D"/>
    <w:rsid w:val="00C25539"/>
    <w:rsid w:val="00C25B4A"/>
    <w:rsid w:val="00C25C2B"/>
    <w:rsid w:val="00C264E6"/>
    <w:rsid w:val="00C2744F"/>
    <w:rsid w:val="00C278BB"/>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8D3"/>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CC3"/>
    <w:rsid w:val="00C87FD1"/>
    <w:rsid w:val="00C90072"/>
    <w:rsid w:val="00C900F8"/>
    <w:rsid w:val="00C90803"/>
    <w:rsid w:val="00C91B57"/>
    <w:rsid w:val="00C92EEA"/>
    <w:rsid w:val="00C93209"/>
    <w:rsid w:val="00C9533B"/>
    <w:rsid w:val="00C95A92"/>
    <w:rsid w:val="00C96DC0"/>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15F"/>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316C"/>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7D6"/>
    <w:rsid w:val="00E40872"/>
    <w:rsid w:val="00E40AB9"/>
    <w:rsid w:val="00E41594"/>
    <w:rsid w:val="00E4296F"/>
    <w:rsid w:val="00E44D88"/>
    <w:rsid w:val="00E46034"/>
    <w:rsid w:val="00E46A08"/>
    <w:rsid w:val="00E47BE1"/>
    <w:rsid w:val="00E518FB"/>
    <w:rsid w:val="00E51911"/>
    <w:rsid w:val="00E56FE8"/>
    <w:rsid w:val="00E57A29"/>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53C5"/>
    <w:rsid w:val="00EC6880"/>
    <w:rsid w:val="00ED0960"/>
    <w:rsid w:val="00ED187D"/>
    <w:rsid w:val="00ED3632"/>
    <w:rsid w:val="00ED3782"/>
    <w:rsid w:val="00ED56C1"/>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A3C"/>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3E0"/>
    <w:rsid w:val="00F474AB"/>
    <w:rsid w:val="00F476F6"/>
    <w:rsid w:val="00F47A28"/>
    <w:rsid w:val="00F5050C"/>
    <w:rsid w:val="00F5134E"/>
    <w:rsid w:val="00F528DD"/>
    <w:rsid w:val="00F52A18"/>
    <w:rsid w:val="00F52C68"/>
    <w:rsid w:val="00F53CC6"/>
    <w:rsid w:val="00F53E50"/>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05D"/>
    <w:rsid w:val="00FA5992"/>
    <w:rsid w:val="00FA7224"/>
    <w:rsid w:val="00FA7C51"/>
    <w:rsid w:val="00FB1215"/>
    <w:rsid w:val="00FB1F82"/>
    <w:rsid w:val="00FB2935"/>
    <w:rsid w:val="00FB3936"/>
    <w:rsid w:val="00FB3D8E"/>
    <w:rsid w:val="00FB4CB0"/>
    <w:rsid w:val="00FB608E"/>
    <w:rsid w:val="00FB6392"/>
    <w:rsid w:val="00FB6B49"/>
    <w:rsid w:val="00FB70B8"/>
    <w:rsid w:val="00FC0A59"/>
    <w:rsid w:val="00FC149A"/>
    <w:rsid w:val="00FC3953"/>
    <w:rsid w:val="00FC39BA"/>
    <w:rsid w:val="00FC3DAC"/>
    <w:rsid w:val="00FC5864"/>
    <w:rsid w:val="00FC5A0A"/>
    <w:rsid w:val="00FC7208"/>
    <w:rsid w:val="00FD1428"/>
    <w:rsid w:val="00FD20C5"/>
    <w:rsid w:val="00FD2761"/>
    <w:rsid w:val="00FD2AA0"/>
    <w:rsid w:val="00FD2C3F"/>
    <w:rsid w:val="00FD37B5"/>
    <w:rsid w:val="00FD4568"/>
    <w:rsid w:val="00FD5AA7"/>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 w:val="64AA1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8"/>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9"/>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60"/>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2"/>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3"/>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4"/>
    <w:semiHidden/>
    <w:unhideWhenUsed/>
    <w:qFormat/>
    <w:uiPriority w:val="9"/>
    <w:pPr>
      <w:numPr>
        <w:ilvl w:val="6"/>
        <w:numId w:val="1"/>
      </w:numPr>
      <w:spacing w:before="240" w:after="60"/>
      <w:outlineLvl w:val="6"/>
    </w:pPr>
  </w:style>
  <w:style w:type="paragraph" w:styleId="9">
    <w:name w:val="heading 8"/>
    <w:basedOn w:val="1"/>
    <w:next w:val="1"/>
    <w:link w:val="65"/>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90"/>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2"/>
    <w:unhideWhenUsed/>
    <w:qFormat/>
    <w:uiPriority w:val="99"/>
    <w:pPr>
      <w:spacing w:line="400" w:lineRule="exact"/>
    </w:pPr>
    <w:rPr>
      <w:rFonts w:ascii="Calibri Light" w:hAnsi="Calibri Light" w:eastAsia="华文仿宋" w:cs="Calibri Light"/>
      <w:kern w:val="2"/>
      <w:sz w:val="28"/>
      <w:szCs w:val="28"/>
    </w:rPr>
  </w:style>
  <w:style w:type="paragraph" w:styleId="14">
    <w:name w:val="Body Text Indent"/>
    <w:basedOn w:val="1"/>
    <w:link w:val="102"/>
    <w:semiHidden/>
    <w:unhideWhenUsed/>
    <w:uiPriority w:val="99"/>
    <w:pPr>
      <w:spacing w:after="120"/>
      <w:ind w:left="420" w:leftChars="200"/>
    </w:pPr>
  </w:style>
  <w:style w:type="paragraph" w:styleId="15">
    <w:name w:val="Plain Text"/>
    <w:basedOn w:val="1"/>
    <w:link w:val="94"/>
    <w:unhideWhenUsed/>
    <w:qFormat/>
    <w:uiPriority w:val="0"/>
    <w:rPr>
      <w:rFonts w:ascii="宋体" w:hAnsi="Courier New" w:eastAsia="宋体" w:cs="Courier New"/>
      <w:sz w:val="21"/>
      <w:szCs w:val="21"/>
    </w:rPr>
  </w:style>
  <w:style w:type="paragraph" w:styleId="16">
    <w:name w:val="Date"/>
    <w:basedOn w:val="1"/>
    <w:next w:val="1"/>
    <w:link w:val="55"/>
    <w:semiHidden/>
    <w:unhideWhenUsed/>
    <w:qFormat/>
    <w:uiPriority w:val="99"/>
    <w:pPr>
      <w:ind w:left="100" w:leftChars="2500"/>
    </w:pPr>
  </w:style>
  <w:style w:type="paragraph" w:styleId="17">
    <w:name w:val="Balloon Text"/>
    <w:basedOn w:val="1"/>
    <w:link w:val="81"/>
    <w:semiHidden/>
    <w:unhideWhenUsed/>
    <w:qFormat/>
    <w:uiPriority w:val="99"/>
    <w:rPr>
      <w:sz w:val="18"/>
      <w:szCs w:val="18"/>
    </w:rPr>
  </w:style>
  <w:style w:type="paragraph" w:styleId="18">
    <w:name w:val="footer"/>
    <w:basedOn w:val="1"/>
    <w:link w:val="57"/>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8"/>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0"/>
  </w:style>
  <w:style w:type="paragraph" w:styleId="23">
    <w:name w:val="Title"/>
    <w:basedOn w:val="1"/>
    <w:next w:val="1"/>
    <w:link w:val="6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3"/>
    <w:next w:val="13"/>
    <w:link w:val="89"/>
    <w:semiHidden/>
    <w:unhideWhenUsed/>
    <w:qFormat/>
    <w:uiPriority w:val="99"/>
    <w:rPr>
      <w:b/>
      <w:bCs/>
    </w:rPr>
  </w:style>
  <w:style w:type="paragraph" w:styleId="25">
    <w:name w:val="Body Text First Indent 2"/>
    <w:basedOn w:val="14"/>
    <w:link w:val="103"/>
    <w:semiHidden/>
    <w:unhideWhenUsed/>
    <w:uiPriority w:val="99"/>
    <w:pPr>
      <w:ind w:firstLine="420" w:firstLineChars="200"/>
    </w:p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qFormat/>
    <w:uiPriority w:val="0"/>
    <w:rPr>
      <w:rFonts w:ascii="Times New Roman" w:hAnsi="Times New Roman" w:eastAsia="宋体" w:cs="Times New Roman"/>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basedOn w:val="28"/>
    <w:qFormat/>
    <w:uiPriority w:val="20"/>
    <w:rPr>
      <w:rFonts w:asciiTheme="minorHAnsi" w:hAnsiTheme="minorHAnsi"/>
      <w:b/>
      <w:i/>
      <w:iCs/>
    </w:rPr>
  </w:style>
  <w:style w:type="character" w:styleId="33">
    <w:name w:val="Hyperlink"/>
    <w:basedOn w:val="28"/>
    <w:unhideWhenUsed/>
    <w:qFormat/>
    <w:uiPriority w:val="99"/>
    <w:rPr>
      <w:color w:val="0563C1" w:themeColor="hyperlink"/>
      <w:u w:val="single"/>
      <w14:textFill>
        <w14:solidFill>
          <w14:schemeClr w14:val="hlink"/>
        </w14:solidFill>
      </w14:textFill>
    </w:rPr>
  </w:style>
  <w:style w:type="character" w:styleId="34">
    <w:name w:val="annotation reference"/>
    <w:basedOn w:val="28"/>
    <w:semiHidden/>
    <w:unhideWhenUsed/>
    <w:qFormat/>
    <w:uiPriority w:val="99"/>
    <w:rPr>
      <w:sz w:val="21"/>
      <w:szCs w:val="21"/>
    </w:rPr>
  </w:style>
  <w:style w:type="paragraph" w:customStyle="1" w:styleId="35">
    <w:name w:val="※封面大标题"/>
    <w:basedOn w:val="1"/>
    <w:next w:val="1"/>
    <w:qFormat/>
    <w:uiPriority w:val="0"/>
    <w:pPr>
      <w:jc w:val="center"/>
    </w:pPr>
    <w:rPr>
      <w:rFonts w:ascii="华文中宋" w:hAnsi="华文中宋" w:eastAsia="华文中宋"/>
      <w:sz w:val="96"/>
      <w:szCs w:val="96"/>
    </w:rPr>
  </w:style>
  <w:style w:type="paragraph" w:customStyle="1" w:styleId="36">
    <w:name w:val="※封面题颌"/>
    <w:basedOn w:val="1"/>
    <w:next w:val="1"/>
    <w:qFormat/>
    <w:uiPriority w:val="0"/>
    <w:pPr>
      <w:jc w:val="center"/>
    </w:pPr>
    <w:rPr>
      <w:rFonts w:ascii="Calibri Light" w:hAnsi="Calibri Light" w:eastAsia="华文仿宋"/>
      <w:sz w:val="36"/>
      <w:szCs w:val="36"/>
    </w:rPr>
  </w:style>
  <w:style w:type="paragraph" w:customStyle="1" w:styleId="37">
    <w:name w:val="※封面题眉"/>
    <w:basedOn w:val="1"/>
    <w:next w:val="35"/>
    <w:qFormat/>
    <w:uiPriority w:val="0"/>
    <w:pPr>
      <w:jc w:val="center"/>
    </w:pPr>
    <w:rPr>
      <w:rFonts w:ascii="华文仿宋" w:hAnsi="华文仿宋" w:eastAsia="华文仿宋"/>
      <w:sz w:val="52"/>
      <w:szCs w:val="28"/>
    </w:rPr>
  </w:style>
  <w:style w:type="paragraph" w:customStyle="1" w:styleId="38">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9">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0">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1">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2">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3">
    <w:name w:val="※小标题 一"/>
    <w:basedOn w:val="42"/>
    <w:next w:val="42"/>
    <w:qFormat/>
    <w:uiPriority w:val="0"/>
    <w:pPr>
      <w:spacing w:before="120" w:line="240" w:lineRule="auto"/>
      <w:outlineLvl w:val="2"/>
    </w:pPr>
    <w:rPr>
      <w:b/>
      <w:color w:val="203864" w:themeColor="accent5" w:themeShade="80"/>
      <w:sz w:val="32"/>
    </w:rPr>
  </w:style>
  <w:style w:type="paragraph" w:customStyle="1" w:styleId="44">
    <w:name w:val="※小标题（1）"/>
    <w:basedOn w:val="1"/>
    <w:next w:val="42"/>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5">
    <w:name w:val="※小标题（一）"/>
    <w:basedOn w:val="1"/>
    <w:next w:val="42"/>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6">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7">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8">
    <w:name w:val="※页眉"/>
    <w:basedOn w:val="42"/>
    <w:qFormat/>
    <w:uiPriority w:val="0"/>
    <w:pPr>
      <w:pBdr>
        <w:bottom w:val="single" w:color="auto" w:sz="4" w:space="1"/>
      </w:pBdr>
      <w:spacing w:line="240" w:lineRule="atLeast"/>
      <w:jc w:val="right"/>
    </w:pPr>
    <w:rPr>
      <w:rFonts w:ascii="宋体" w:hAnsi="宋体" w:eastAsia="宋体"/>
      <w:sz w:val="18"/>
    </w:rPr>
  </w:style>
  <w:style w:type="paragraph" w:customStyle="1" w:styleId="49">
    <w:name w:val="※章节标题（第X章）"/>
    <w:basedOn w:val="1"/>
    <w:qFormat/>
    <w:uiPriority w:val="0"/>
    <w:pPr>
      <w:jc w:val="center"/>
      <w:outlineLvl w:val="0"/>
    </w:pPr>
    <w:rPr>
      <w:rFonts w:ascii="Calibri Light" w:hAnsi="Calibri Light" w:eastAsia="黑体"/>
      <w:sz w:val="36"/>
      <w:szCs w:val="28"/>
    </w:rPr>
  </w:style>
  <w:style w:type="paragraph" w:customStyle="1" w:styleId="50">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1">
    <w:name w:val="※章节标题（第Z部分分项）"/>
    <w:basedOn w:val="50"/>
    <w:qFormat/>
    <w:uiPriority w:val="0"/>
    <w:pPr>
      <w:outlineLvl w:val="2"/>
    </w:pPr>
  </w:style>
  <w:style w:type="paragraph" w:customStyle="1" w:styleId="52">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3">
    <w:name w:val="※正文（缩进2）"/>
    <w:basedOn w:val="42"/>
    <w:qFormat/>
    <w:uiPriority w:val="0"/>
    <w:pPr>
      <w:ind w:firstLine="200" w:firstLineChars="200"/>
    </w:pPr>
  </w:style>
  <w:style w:type="paragraph" w:customStyle="1" w:styleId="54">
    <w:name w:val="※正文（缩进4）"/>
    <w:basedOn w:val="42"/>
    <w:qFormat/>
    <w:uiPriority w:val="0"/>
    <w:pPr>
      <w:ind w:firstLine="400" w:firstLineChars="400"/>
    </w:pPr>
  </w:style>
  <w:style w:type="character" w:customStyle="1" w:styleId="55">
    <w:name w:val="日期 Char"/>
    <w:basedOn w:val="28"/>
    <w:link w:val="16"/>
    <w:semiHidden/>
    <w:qFormat/>
    <w:uiPriority w:val="99"/>
    <w:rPr>
      <w:rFonts w:ascii="华文仿宋" w:hAnsi="华文仿宋" w:eastAsia="华文仿宋"/>
      <w:sz w:val="28"/>
      <w:szCs w:val="28"/>
    </w:rPr>
  </w:style>
  <w:style w:type="character" w:customStyle="1" w:styleId="56">
    <w:name w:val="页眉 Char"/>
    <w:basedOn w:val="28"/>
    <w:link w:val="19"/>
    <w:qFormat/>
    <w:uiPriority w:val="0"/>
    <w:rPr>
      <w:rFonts w:ascii="华文仿宋" w:hAnsi="华文仿宋" w:eastAsia="华文仿宋"/>
      <w:sz w:val="18"/>
      <w:szCs w:val="18"/>
    </w:rPr>
  </w:style>
  <w:style w:type="character" w:customStyle="1" w:styleId="57">
    <w:name w:val="页脚 Char"/>
    <w:basedOn w:val="28"/>
    <w:link w:val="18"/>
    <w:qFormat/>
    <w:uiPriority w:val="99"/>
    <w:rPr>
      <w:rFonts w:ascii="华文仿宋" w:hAnsi="华文仿宋" w:eastAsia="华文仿宋"/>
      <w:sz w:val="18"/>
      <w:szCs w:val="18"/>
    </w:rPr>
  </w:style>
  <w:style w:type="character" w:customStyle="1" w:styleId="58">
    <w:name w:val="标题 1 Char"/>
    <w:basedOn w:val="28"/>
    <w:link w:val="2"/>
    <w:qFormat/>
    <w:uiPriority w:val="9"/>
    <w:rPr>
      <w:rFonts w:ascii="Calibri" w:hAnsi="Calibri" w:eastAsia="黑体"/>
      <w:bCs/>
      <w:kern w:val="36"/>
      <w:sz w:val="32"/>
      <w:szCs w:val="32"/>
    </w:rPr>
  </w:style>
  <w:style w:type="character" w:customStyle="1" w:styleId="59">
    <w:name w:val="标题 2 Char"/>
    <w:basedOn w:val="28"/>
    <w:link w:val="3"/>
    <w:qFormat/>
    <w:uiPriority w:val="9"/>
    <w:rPr>
      <w:rFonts w:ascii="Calibri" w:hAnsi="Calibri" w:eastAsia="黑体" w:cstheme="majorBidi"/>
      <w:bCs/>
      <w:iCs/>
      <w:kern w:val="32"/>
      <w:sz w:val="28"/>
      <w:szCs w:val="28"/>
    </w:rPr>
  </w:style>
  <w:style w:type="character" w:customStyle="1" w:styleId="60">
    <w:name w:val="标题 3 Char"/>
    <w:basedOn w:val="28"/>
    <w:link w:val="4"/>
    <w:qFormat/>
    <w:uiPriority w:val="9"/>
    <w:rPr>
      <w:rFonts w:ascii="Calibri Light" w:hAnsi="Calibri Light" w:eastAsia="宋体"/>
      <w:b/>
      <w:bCs/>
      <w:kern w:val="30"/>
      <w:sz w:val="24"/>
      <w:szCs w:val="26"/>
    </w:rPr>
  </w:style>
  <w:style w:type="character" w:customStyle="1" w:styleId="61">
    <w:name w:val="标题 4 Char"/>
    <w:basedOn w:val="28"/>
    <w:link w:val="5"/>
    <w:semiHidden/>
    <w:qFormat/>
    <w:uiPriority w:val="9"/>
    <w:rPr>
      <w:rFonts w:cstheme="majorBidi"/>
      <w:b/>
      <w:bCs/>
      <w:sz w:val="28"/>
      <w:szCs w:val="28"/>
    </w:rPr>
  </w:style>
  <w:style w:type="character" w:customStyle="1" w:styleId="62">
    <w:name w:val="标题 5 Char"/>
    <w:basedOn w:val="28"/>
    <w:link w:val="6"/>
    <w:semiHidden/>
    <w:qFormat/>
    <w:uiPriority w:val="9"/>
    <w:rPr>
      <w:b/>
      <w:bCs/>
      <w:i/>
      <w:iCs/>
      <w:sz w:val="26"/>
      <w:szCs w:val="26"/>
    </w:rPr>
  </w:style>
  <w:style w:type="character" w:customStyle="1" w:styleId="63">
    <w:name w:val="标题 6 Char"/>
    <w:basedOn w:val="28"/>
    <w:link w:val="7"/>
    <w:semiHidden/>
    <w:qFormat/>
    <w:uiPriority w:val="9"/>
    <w:rPr>
      <w:rFonts w:cstheme="majorBidi"/>
      <w:b/>
      <w:bCs/>
    </w:rPr>
  </w:style>
  <w:style w:type="character" w:customStyle="1" w:styleId="64">
    <w:name w:val="标题 7 Char"/>
    <w:basedOn w:val="28"/>
    <w:link w:val="8"/>
    <w:semiHidden/>
    <w:qFormat/>
    <w:uiPriority w:val="9"/>
    <w:rPr>
      <w:sz w:val="24"/>
      <w:szCs w:val="24"/>
    </w:rPr>
  </w:style>
  <w:style w:type="character" w:customStyle="1" w:styleId="65">
    <w:name w:val="标题 8 Char"/>
    <w:basedOn w:val="28"/>
    <w:link w:val="9"/>
    <w:semiHidden/>
    <w:qFormat/>
    <w:uiPriority w:val="9"/>
    <w:rPr>
      <w:rFonts w:cstheme="majorBidi"/>
      <w:i/>
      <w:iCs/>
      <w:sz w:val="24"/>
      <w:szCs w:val="24"/>
    </w:rPr>
  </w:style>
  <w:style w:type="character" w:customStyle="1" w:styleId="66">
    <w:name w:val="标题 9 Char"/>
    <w:basedOn w:val="28"/>
    <w:link w:val="10"/>
    <w:semiHidden/>
    <w:qFormat/>
    <w:uiPriority w:val="9"/>
    <w:rPr>
      <w:rFonts w:asciiTheme="majorHAnsi" w:hAnsiTheme="majorHAnsi" w:eastAsiaTheme="majorEastAsia" w:cstheme="majorBidi"/>
    </w:rPr>
  </w:style>
  <w:style w:type="character" w:customStyle="1" w:styleId="67">
    <w:name w:val="标题 Char"/>
    <w:basedOn w:val="28"/>
    <w:link w:val="23"/>
    <w:qFormat/>
    <w:uiPriority w:val="10"/>
    <w:rPr>
      <w:rFonts w:asciiTheme="majorHAnsi" w:hAnsiTheme="majorHAnsi" w:eastAsiaTheme="majorEastAsia" w:cstheme="majorBidi"/>
      <w:b/>
      <w:bCs/>
      <w:kern w:val="28"/>
      <w:sz w:val="32"/>
      <w:szCs w:val="32"/>
    </w:rPr>
  </w:style>
  <w:style w:type="character" w:customStyle="1" w:styleId="68">
    <w:name w:val="副标题 Char"/>
    <w:basedOn w:val="28"/>
    <w:link w:val="21"/>
    <w:qFormat/>
    <w:uiPriority w:val="11"/>
    <w:rPr>
      <w:rFonts w:ascii="Calibri" w:hAnsi="Calibri" w:eastAsia="黑体" w:cstheme="majorBidi"/>
      <w:sz w:val="32"/>
      <w:szCs w:val="24"/>
    </w:rPr>
  </w:style>
  <w:style w:type="paragraph" w:styleId="69">
    <w:name w:val="No Spacing"/>
    <w:basedOn w:val="1"/>
    <w:qFormat/>
    <w:uiPriority w:val="1"/>
    <w:rPr>
      <w:szCs w:val="32"/>
    </w:rPr>
  </w:style>
  <w:style w:type="paragraph" w:styleId="70">
    <w:name w:val="List Paragraph"/>
    <w:basedOn w:val="1"/>
    <w:qFormat/>
    <w:uiPriority w:val="0"/>
    <w:pPr>
      <w:ind w:left="720"/>
      <w:contextualSpacing/>
    </w:pPr>
  </w:style>
  <w:style w:type="paragraph" w:styleId="71">
    <w:name w:val="Quote"/>
    <w:basedOn w:val="1"/>
    <w:next w:val="1"/>
    <w:link w:val="72"/>
    <w:qFormat/>
    <w:uiPriority w:val="29"/>
    <w:rPr>
      <w:i/>
    </w:rPr>
  </w:style>
  <w:style w:type="character" w:customStyle="1" w:styleId="72">
    <w:name w:val="引用 Char"/>
    <w:basedOn w:val="28"/>
    <w:link w:val="71"/>
    <w:qFormat/>
    <w:uiPriority w:val="29"/>
    <w:rPr>
      <w:i/>
      <w:sz w:val="24"/>
      <w:szCs w:val="24"/>
    </w:rPr>
  </w:style>
  <w:style w:type="paragraph" w:styleId="73">
    <w:name w:val="Intense Quote"/>
    <w:basedOn w:val="1"/>
    <w:next w:val="1"/>
    <w:link w:val="74"/>
    <w:qFormat/>
    <w:uiPriority w:val="30"/>
    <w:pPr>
      <w:ind w:left="720" w:right="720"/>
    </w:pPr>
    <w:rPr>
      <w:b/>
      <w:i/>
      <w:szCs w:val="22"/>
    </w:rPr>
  </w:style>
  <w:style w:type="character" w:customStyle="1" w:styleId="74">
    <w:name w:val="明显引用 Char"/>
    <w:basedOn w:val="28"/>
    <w:link w:val="73"/>
    <w:qFormat/>
    <w:uiPriority w:val="30"/>
    <w:rPr>
      <w:b/>
      <w:i/>
      <w:sz w:val="24"/>
    </w:rPr>
  </w:style>
  <w:style w:type="character" w:customStyle="1" w:styleId="75">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6">
    <w:name w:val="Intense Emphasis"/>
    <w:basedOn w:val="28"/>
    <w:qFormat/>
    <w:uiPriority w:val="21"/>
    <w:rPr>
      <w:b/>
      <w:i/>
      <w:sz w:val="24"/>
      <w:szCs w:val="24"/>
      <w:u w:val="single"/>
    </w:rPr>
  </w:style>
  <w:style w:type="character" w:customStyle="1" w:styleId="77">
    <w:name w:val="Subtle Reference"/>
    <w:basedOn w:val="28"/>
    <w:qFormat/>
    <w:uiPriority w:val="31"/>
    <w:rPr>
      <w:sz w:val="24"/>
      <w:szCs w:val="24"/>
      <w:u w:val="single"/>
    </w:rPr>
  </w:style>
  <w:style w:type="character" w:customStyle="1" w:styleId="78">
    <w:name w:val="Intense Reference"/>
    <w:basedOn w:val="28"/>
    <w:qFormat/>
    <w:uiPriority w:val="32"/>
    <w:rPr>
      <w:b/>
      <w:sz w:val="24"/>
      <w:u w:val="single"/>
    </w:rPr>
  </w:style>
  <w:style w:type="character" w:customStyle="1" w:styleId="79">
    <w:name w:val="Book Title"/>
    <w:basedOn w:val="28"/>
    <w:qFormat/>
    <w:uiPriority w:val="33"/>
    <w:rPr>
      <w:rFonts w:asciiTheme="majorHAnsi" w:hAnsiTheme="majorHAnsi" w:eastAsiaTheme="majorEastAsia"/>
      <w:b/>
      <w:i/>
      <w:sz w:val="24"/>
      <w:szCs w:val="24"/>
    </w:rPr>
  </w:style>
  <w:style w:type="paragraph" w:customStyle="1" w:styleId="80">
    <w:name w:val="TOC Heading"/>
    <w:basedOn w:val="2"/>
    <w:next w:val="1"/>
    <w:semiHidden/>
    <w:unhideWhenUsed/>
    <w:qFormat/>
    <w:uiPriority w:val="39"/>
    <w:pPr>
      <w:outlineLvl w:val="9"/>
    </w:pPr>
  </w:style>
  <w:style w:type="character" w:customStyle="1" w:styleId="81">
    <w:name w:val="批注框文本 Char"/>
    <w:basedOn w:val="28"/>
    <w:link w:val="17"/>
    <w:semiHidden/>
    <w:qFormat/>
    <w:uiPriority w:val="99"/>
    <w:rPr>
      <w:sz w:val="18"/>
      <w:szCs w:val="18"/>
    </w:rPr>
  </w:style>
  <w:style w:type="character" w:customStyle="1" w:styleId="82">
    <w:name w:val="批注文字 Char"/>
    <w:basedOn w:val="28"/>
    <w:link w:val="13"/>
    <w:qFormat/>
    <w:uiPriority w:val="99"/>
    <w:rPr>
      <w:rFonts w:ascii="Calibri Light" w:hAnsi="Calibri Light" w:eastAsia="华文仿宋" w:cs="Calibri Light"/>
      <w:kern w:val="2"/>
      <w:sz w:val="28"/>
      <w:szCs w:val="28"/>
    </w:rPr>
  </w:style>
  <w:style w:type="paragraph" w:customStyle="1" w:styleId="83">
    <w:name w:val="@正文"/>
    <w:basedOn w:val="42"/>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4">
    <w:name w:val="@一级小标题"/>
    <w:basedOn w:val="1"/>
    <w:next w:val="83"/>
    <w:qFormat/>
    <w:uiPriority w:val="0"/>
    <w:pPr>
      <w:keepNext/>
      <w:spacing w:before="120" w:after="60"/>
      <w:outlineLvl w:val="2"/>
    </w:pPr>
    <w:rPr>
      <w:rFonts w:ascii="Calibri" w:hAnsi="Calibri" w:eastAsia="黑体"/>
      <w:kern w:val="28"/>
      <w:sz w:val="28"/>
    </w:rPr>
  </w:style>
  <w:style w:type="paragraph" w:customStyle="1" w:styleId="85">
    <w:name w:val="@标题"/>
    <w:basedOn w:val="1"/>
    <w:next w:val="83"/>
    <w:qFormat/>
    <w:uiPriority w:val="0"/>
    <w:pPr>
      <w:keepNext/>
      <w:spacing w:before="50" w:beforeLines="50" w:after="50" w:afterLines="50"/>
      <w:jc w:val="center"/>
      <w:outlineLvl w:val="1"/>
    </w:pPr>
    <w:rPr>
      <w:rFonts w:ascii="Calibri" w:hAnsi="Calibri" w:eastAsia="黑体"/>
      <w:kern w:val="32"/>
      <w:sz w:val="32"/>
    </w:rPr>
  </w:style>
  <w:style w:type="table" w:customStyle="1" w:styleId="86">
    <w:name w:val="网格型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页眉 Char1"/>
    <w:basedOn w:val="28"/>
    <w:semiHidden/>
    <w:qFormat/>
    <w:uiPriority w:val="99"/>
    <w:rPr>
      <w:rFonts w:cs="Calibri Light"/>
      <w:sz w:val="18"/>
      <w:szCs w:val="18"/>
    </w:rPr>
  </w:style>
  <w:style w:type="character" w:customStyle="1" w:styleId="88">
    <w:name w:val="页脚 Char1"/>
    <w:basedOn w:val="28"/>
    <w:semiHidden/>
    <w:qFormat/>
    <w:uiPriority w:val="99"/>
    <w:rPr>
      <w:rFonts w:cs="Calibri Light"/>
      <w:sz w:val="18"/>
      <w:szCs w:val="18"/>
    </w:rPr>
  </w:style>
  <w:style w:type="character" w:customStyle="1" w:styleId="89">
    <w:name w:val="批注主题 Char"/>
    <w:basedOn w:val="82"/>
    <w:link w:val="24"/>
    <w:semiHidden/>
    <w:qFormat/>
    <w:uiPriority w:val="99"/>
    <w:rPr>
      <w:rFonts w:ascii="Calibri Light" w:hAnsi="Calibri Light" w:eastAsia="华文仿宋" w:cs="Calibri Light"/>
      <w:b/>
      <w:bCs/>
      <w:kern w:val="2"/>
      <w:sz w:val="28"/>
      <w:szCs w:val="28"/>
    </w:rPr>
  </w:style>
  <w:style w:type="character" w:customStyle="1" w:styleId="90">
    <w:name w:val="文档结构图 Char"/>
    <w:basedOn w:val="28"/>
    <w:link w:val="12"/>
    <w:semiHidden/>
    <w:qFormat/>
    <w:uiPriority w:val="99"/>
    <w:rPr>
      <w:rFonts w:ascii="宋体" w:hAnsi="Calibri Light" w:eastAsia="宋体" w:cs="Calibri Light"/>
      <w:kern w:val="2"/>
      <w:sz w:val="18"/>
      <w:szCs w:val="18"/>
    </w:rPr>
  </w:style>
  <w:style w:type="character" w:styleId="91">
    <w:name w:val="Placeholder Text"/>
    <w:basedOn w:val="28"/>
    <w:semiHidden/>
    <w:qFormat/>
    <w:uiPriority w:val="99"/>
    <w:rPr>
      <w:color w:val="808080"/>
    </w:rPr>
  </w:style>
  <w:style w:type="table" w:customStyle="1" w:styleId="92">
    <w:name w:val="网格型1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网格型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纯文本 Char"/>
    <w:basedOn w:val="28"/>
    <w:link w:val="15"/>
    <w:qFormat/>
    <w:uiPriority w:val="0"/>
    <w:rPr>
      <w:rFonts w:ascii="宋体" w:hAnsi="Courier New" w:eastAsia="宋体" w:cs="Courier New"/>
      <w:sz w:val="21"/>
      <w:szCs w:val="21"/>
    </w:rPr>
  </w:style>
  <w:style w:type="character" w:customStyle="1" w:styleId="95">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6">
    <w:name w:val="明显强调1"/>
    <w:basedOn w:val="28"/>
    <w:qFormat/>
    <w:uiPriority w:val="21"/>
    <w:rPr>
      <w:b/>
      <w:i/>
      <w:sz w:val="24"/>
      <w:szCs w:val="24"/>
      <w:u w:val="single"/>
    </w:rPr>
  </w:style>
  <w:style w:type="character" w:customStyle="1" w:styleId="97">
    <w:name w:val="不明显参考1"/>
    <w:basedOn w:val="28"/>
    <w:qFormat/>
    <w:uiPriority w:val="31"/>
    <w:rPr>
      <w:sz w:val="24"/>
      <w:szCs w:val="24"/>
      <w:u w:val="single"/>
    </w:rPr>
  </w:style>
  <w:style w:type="character" w:customStyle="1" w:styleId="98">
    <w:name w:val="明显参考1"/>
    <w:basedOn w:val="28"/>
    <w:qFormat/>
    <w:uiPriority w:val="32"/>
    <w:rPr>
      <w:b/>
      <w:sz w:val="24"/>
      <w:u w:val="single"/>
    </w:rPr>
  </w:style>
  <w:style w:type="character" w:customStyle="1" w:styleId="99">
    <w:name w:val="书籍标题1"/>
    <w:basedOn w:val="28"/>
    <w:qFormat/>
    <w:uiPriority w:val="33"/>
    <w:rPr>
      <w:rFonts w:asciiTheme="majorHAnsi" w:hAnsiTheme="majorHAnsi" w:eastAsiaTheme="majorEastAsia"/>
      <w:b/>
      <w:i/>
      <w:sz w:val="24"/>
      <w:szCs w:val="24"/>
    </w:rPr>
  </w:style>
  <w:style w:type="paragraph" w:customStyle="1" w:styleId="100">
    <w:name w:val="TOC 标题1"/>
    <w:basedOn w:val="2"/>
    <w:next w:val="1"/>
    <w:semiHidden/>
    <w:unhideWhenUsed/>
    <w:qFormat/>
    <w:uiPriority w:val="39"/>
    <w:pPr>
      <w:numPr>
        <w:numId w:val="2"/>
      </w:numPr>
      <w:outlineLvl w:val="9"/>
    </w:pPr>
  </w:style>
  <w:style w:type="paragraph" w:customStyle="1" w:styleId="101">
    <w:name w:val="样式1"/>
    <w:basedOn w:val="1"/>
    <w:uiPriority w:val="0"/>
    <w:pPr>
      <w:widowControl w:val="0"/>
      <w:adjustRightInd w:val="0"/>
      <w:jc w:val="both"/>
      <w:textAlignment w:val="baseline"/>
    </w:pPr>
    <w:rPr>
      <w:rFonts w:ascii="宋体" w:hAnsi="Times New Roman" w:eastAsia="宋体"/>
      <w:sz w:val="21"/>
      <w:szCs w:val="21"/>
    </w:rPr>
  </w:style>
  <w:style w:type="character" w:customStyle="1" w:styleId="102">
    <w:name w:val="正文文本缩进 Char"/>
    <w:basedOn w:val="28"/>
    <w:link w:val="14"/>
    <w:semiHidden/>
    <w:qFormat/>
    <w:uiPriority w:val="99"/>
    <w:rPr>
      <w:sz w:val="24"/>
      <w:szCs w:val="24"/>
    </w:rPr>
  </w:style>
  <w:style w:type="character" w:customStyle="1" w:styleId="103">
    <w:name w:val="正文首行缩进 2 Char"/>
    <w:basedOn w:val="102"/>
    <w:link w:val="25"/>
    <w:semiHidden/>
    <w:uiPriority w:val="99"/>
    <w:rPr>
      <w:sz w:val="24"/>
      <w:szCs w:val="24"/>
    </w:rPr>
  </w:style>
  <w:style w:type="paragraph" w:customStyle="1" w:styleId="104">
    <w:name w:val="正文格式"/>
    <w:basedOn w:val="1"/>
    <w:qFormat/>
    <w:uiPriority w:val="0"/>
    <w:pPr>
      <w:widowControl w:val="0"/>
      <w:jc w:val="both"/>
    </w:pPr>
    <w:rPr>
      <w:rFonts w:ascii="宋体" w:hAnsi="宋体" w:eastAsia="宋体"/>
      <w:kern w:val="2"/>
      <w:sz w:val="28"/>
      <w:szCs w:val="20"/>
    </w:rPr>
  </w:style>
  <w:style w:type="character" w:customStyle="1" w:styleId="105">
    <w:name w:val="NormalCharacter"/>
    <w:qFormat/>
    <w:uiPriority w:val="0"/>
  </w:style>
  <w:style w:type="paragraph" w:customStyle="1" w:styleId="106">
    <w:name w:val="UserStyle_159"/>
    <w:basedOn w:val="1"/>
    <w:qFormat/>
    <w:uiPriority w:val="0"/>
    <w:pPr>
      <w:widowControl w:val="0"/>
      <w:ind w:firstLine="420" w:firstLineChars="200"/>
      <w:jc w:val="both"/>
    </w:pPr>
    <w:rPr>
      <w:rFonts w:ascii="Times New Roman" w:hAnsi="Times New Roman" w:eastAsia="宋体"/>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theme" Target="theme/theme1.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60CEF"/>
    <w:rsid w:val="00076ED9"/>
    <w:rsid w:val="00082A19"/>
    <w:rsid w:val="000D27B6"/>
    <w:rsid w:val="000D2840"/>
    <w:rsid w:val="000F0D9C"/>
    <w:rsid w:val="001039B1"/>
    <w:rsid w:val="00113420"/>
    <w:rsid w:val="00154C96"/>
    <w:rsid w:val="00176C3B"/>
    <w:rsid w:val="00184BF2"/>
    <w:rsid w:val="00194026"/>
    <w:rsid w:val="001E1C14"/>
    <w:rsid w:val="001E6971"/>
    <w:rsid w:val="00214DB6"/>
    <w:rsid w:val="0025478B"/>
    <w:rsid w:val="00292A7B"/>
    <w:rsid w:val="002C2685"/>
    <w:rsid w:val="002E3790"/>
    <w:rsid w:val="003326D5"/>
    <w:rsid w:val="003362FC"/>
    <w:rsid w:val="00345A21"/>
    <w:rsid w:val="00375459"/>
    <w:rsid w:val="003C7E4A"/>
    <w:rsid w:val="003E20A5"/>
    <w:rsid w:val="00406612"/>
    <w:rsid w:val="00503E8D"/>
    <w:rsid w:val="00563B20"/>
    <w:rsid w:val="005774E0"/>
    <w:rsid w:val="00577B07"/>
    <w:rsid w:val="00580B99"/>
    <w:rsid w:val="00591C73"/>
    <w:rsid w:val="005B3059"/>
    <w:rsid w:val="005D4A80"/>
    <w:rsid w:val="005E51DE"/>
    <w:rsid w:val="005F0E23"/>
    <w:rsid w:val="005F4BCD"/>
    <w:rsid w:val="005F723A"/>
    <w:rsid w:val="00622B6C"/>
    <w:rsid w:val="00626103"/>
    <w:rsid w:val="006D613E"/>
    <w:rsid w:val="0072520E"/>
    <w:rsid w:val="00745006"/>
    <w:rsid w:val="0076050E"/>
    <w:rsid w:val="007970D2"/>
    <w:rsid w:val="007C0CC8"/>
    <w:rsid w:val="007D2B0D"/>
    <w:rsid w:val="007E7C2D"/>
    <w:rsid w:val="00823F53"/>
    <w:rsid w:val="009014DE"/>
    <w:rsid w:val="0091562D"/>
    <w:rsid w:val="0093199E"/>
    <w:rsid w:val="00946FAF"/>
    <w:rsid w:val="00955B88"/>
    <w:rsid w:val="009776E3"/>
    <w:rsid w:val="009A1BF6"/>
    <w:rsid w:val="009F2A1D"/>
    <w:rsid w:val="00A3218D"/>
    <w:rsid w:val="00A84B89"/>
    <w:rsid w:val="00AD148E"/>
    <w:rsid w:val="00AE7542"/>
    <w:rsid w:val="00BA36F6"/>
    <w:rsid w:val="00C47AA5"/>
    <w:rsid w:val="00C47C35"/>
    <w:rsid w:val="00C969C4"/>
    <w:rsid w:val="00CC69AE"/>
    <w:rsid w:val="00CD5949"/>
    <w:rsid w:val="00CF08BA"/>
    <w:rsid w:val="00D55BA1"/>
    <w:rsid w:val="00D83E68"/>
    <w:rsid w:val="00D938D8"/>
    <w:rsid w:val="00DD1067"/>
    <w:rsid w:val="00DE3500"/>
    <w:rsid w:val="00DF3362"/>
    <w:rsid w:val="00E66484"/>
    <w:rsid w:val="00F23E54"/>
    <w:rsid w:val="00F4086C"/>
    <w:rsid w:val="00F516FE"/>
    <w:rsid w:val="00F642E7"/>
    <w:rsid w:val="00F90E58"/>
    <w:rsid w:val="00F93E3E"/>
    <w:rsid w:val="00FB6DFE"/>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443FB-BAF1-4C2D-B782-4C7A674D618D}">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71</Pages>
  <Words>6452</Words>
  <Characters>36777</Characters>
  <Lines>306</Lines>
  <Paragraphs>86</Paragraphs>
  <TotalTime>1603</TotalTime>
  <ScaleCrop>false</ScaleCrop>
  <LinksUpToDate>false</LinksUpToDate>
  <CharactersWithSpaces>43143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趋之若鹜</cp:lastModifiedBy>
  <cp:lastPrinted>2026-03-19T01:26:00Z</cp:lastPrinted>
  <dcterms:modified xsi:type="dcterms:W3CDTF">2026-04-07T09:36:49Z</dcterms:modified>
  <cp:revision>619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41E0B0E2892B42258742FE5BF52EB8C6</vt:lpwstr>
  </property>
</Properties>
</file>