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15C26">
      <w:pPr>
        <w:pStyle w:val="4"/>
        <w:outlineLvl w:val="0"/>
      </w:pPr>
      <w:r>
        <w:rPr>
          <w:rFonts w:ascii="仿宋_GB2312" w:hAnsi="仿宋_GB2312" w:eastAsia="仿宋_GB2312" w:cs="仿宋_GB2312"/>
          <w:b/>
          <w:sz w:val="48"/>
        </w:rPr>
        <w:t>政府采购项目采购需求</w:t>
      </w:r>
    </w:p>
    <w:p w14:paraId="17621FE3">
      <w:pPr>
        <w:pStyle w:val="4"/>
        <w:spacing w:before="3000"/>
        <w:outlineLvl w:val="2"/>
      </w:pPr>
      <w:r>
        <w:rPr>
          <w:rFonts w:ascii="仿宋_GB2312" w:hAnsi="仿宋_GB2312" w:eastAsia="仿宋_GB2312" w:cs="仿宋_GB2312"/>
          <w:b/>
          <w:sz w:val="28"/>
        </w:rPr>
        <w:t>采购单位：</w:t>
      </w:r>
    </w:p>
    <w:p w14:paraId="5154E325">
      <w:pPr>
        <w:pStyle w:val="4"/>
        <w:outlineLvl w:val="2"/>
      </w:pPr>
      <w:r>
        <w:rPr>
          <w:rFonts w:ascii="仿宋_GB2312" w:hAnsi="仿宋_GB2312" w:eastAsia="仿宋_GB2312" w:cs="仿宋_GB2312"/>
          <w:b/>
          <w:sz w:val="28"/>
        </w:rPr>
        <w:t>汉中市生态环境局镇巴分局</w:t>
      </w:r>
    </w:p>
    <w:p w14:paraId="76A3A477">
      <w:pPr>
        <w:pStyle w:val="4"/>
        <w:jc w:val="right"/>
        <w:outlineLvl w:val="2"/>
      </w:pPr>
      <w:r>
        <w:rPr>
          <w:rFonts w:ascii="仿宋_GB2312" w:hAnsi="仿宋_GB2312" w:eastAsia="仿宋_GB2312" w:cs="仿宋_GB2312"/>
          <w:b/>
          <w:sz w:val="28"/>
        </w:rPr>
        <w:t>所属年度：</w:t>
      </w:r>
    </w:p>
    <w:p w14:paraId="72887F48">
      <w:pPr>
        <w:pStyle w:val="4"/>
        <w:outlineLvl w:val="2"/>
      </w:pPr>
      <w:r>
        <w:rPr>
          <w:rFonts w:ascii="仿宋_GB2312" w:hAnsi="仿宋_GB2312" w:eastAsia="仿宋_GB2312" w:cs="仿宋_GB2312"/>
          <w:b/>
          <w:sz w:val="28"/>
        </w:rPr>
        <w:t>2026年</w:t>
      </w:r>
    </w:p>
    <w:p w14:paraId="733230EF">
      <w:pPr>
        <w:pStyle w:val="4"/>
        <w:jc w:val="right"/>
        <w:outlineLvl w:val="2"/>
      </w:pPr>
      <w:r>
        <w:rPr>
          <w:rFonts w:ascii="仿宋_GB2312" w:hAnsi="仿宋_GB2312" w:eastAsia="仿宋_GB2312" w:cs="仿宋_GB2312"/>
          <w:b/>
          <w:sz w:val="28"/>
        </w:rPr>
        <w:t>编制单位：</w:t>
      </w:r>
    </w:p>
    <w:p w14:paraId="2F9176FA">
      <w:pPr>
        <w:pStyle w:val="4"/>
        <w:outlineLvl w:val="2"/>
      </w:pPr>
      <w:r>
        <w:rPr>
          <w:rFonts w:ascii="仿宋_GB2312" w:hAnsi="仿宋_GB2312" w:eastAsia="仿宋_GB2312" w:cs="仿宋_GB2312"/>
          <w:b/>
          <w:sz w:val="28"/>
        </w:rPr>
        <w:t>汉中市生态环境局镇巴分局</w:t>
      </w:r>
    </w:p>
    <w:p w14:paraId="5E73883F">
      <w:pPr>
        <w:pStyle w:val="4"/>
        <w:jc w:val="right"/>
        <w:outlineLvl w:val="2"/>
      </w:pPr>
      <w:r>
        <w:rPr>
          <w:rFonts w:ascii="仿宋_GB2312" w:hAnsi="仿宋_GB2312" w:eastAsia="仿宋_GB2312" w:cs="仿宋_GB2312"/>
          <w:b/>
          <w:sz w:val="28"/>
        </w:rPr>
        <w:t>编制时间：</w:t>
      </w:r>
    </w:p>
    <w:p w14:paraId="09B95422">
      <w:pPr>
        <w:pStyle w:val="4"/>
        <w:outlineLvl w:val="2"/>
      </w:pPr>
      <w:r>
        <w:rPr>
          <w:rFonts w:ascii="仿宋_GB2312" w:hAnsi="仿宋_GB2312" w:eastAsia="仿宋_GB2312" w:cs="仿宋_GB2312"/>
          <w:b/>
          <w:sz w:val="28"/>
        </w:rPr>
        <w:t>2026年04月17日</w:t>
      </w:r>
    </w:p>
    <w:p w14:paraId="54085A0E">
      <w:pPr>
        <w:pStyle w:val="4"/>
        <w:outlineLvl w:val="2"/>
      </w:pPr>
      <w:r>
        <w:rPr>
          <w:rFonts w:ascii="仿宋_GB2312" w:hAnsi="仿宋_GB2312" w:eastAsia="仿宋_GB2312" w:cs="仿宋_GB2312"/>
          <w:b/>
          <w:sz w:val="28"/>
        </w:rPr>
        <w:t>一、项目总体情况</w:t>
      </w:r>
    </w:p>
    <w:p w14:paraId="690E741D">
      <w:pPr>
        <w:pStyle w:val="4"/>
      </w:pPr>
      <w:r>
        <w:rPr>
          <w:rFonts w:ascii="仿宋_GB2312" w:hAnsi="仿宋_GB2312" w:eastAsia="仿宋_GB2312" w:cs="仿宋_GB2312"/>
        </w:rPr>
        <w:t xml:space="preserve"> （一）项目名称： 镇巴县乡镇级集中式饮用水水源地保护项目</w:t>
      </w:r>
    </w:p>
    <w:p w14:paraId="6993DD66">
      <w:pPr>
        <w:pStyle w:val="4"/>
      </w:pPr>
      <w:r>
        <w:rPr>
          <w:rFonts w:ascii="仿宋_GB2312" w:hAnsi="仿宋_GB2312" w:eastAsia="仿宋_GB2312" w:cs="仿宋_GB2312"/>
        </w:rPr>
        <w:t xml:space="preserve"> （二）项目所属年度： 2026年</w:t>
      </w:r>
    </w:p>
    <w:p w14:paraId="2F5FC439">
      <w:pPr>
        <w:pStyle w:val="4"/>
      </w:pPr>
      <w:r>
        <w:rPr>
          <w:rFonts w:ascii="仿宋_GB2312" w:hAnsi="仿宋_GB2312" w:eastAsia="仿宋_GB2312" w:cs="仿宋_GB2312"/>
        </w:rPr>
        <w:t xml:space="preserve"> （三）项目所属分类： 工程</w:t>
      </w:r>
    </w:p>
    <w:p w14:paraId="4862AD01">
      <w:pPr>
        <w:pStyle w:val="4"/>
      </w:pPr>
      <w:r>
        <w:rPr>
          <w:rFonts w:ascii="仿宋_GB2312" w:hAnsi="仿宋_GB2312" w:eastAsia="仿宋_GB2312" w:cs="仿宋_GB2312"/>
        </w:rPr>
        <w:t xml:space="preserve"> （四）预算金额（元）：3,220,000.00元 ，大写（人民币）：叁佰贰拾贰万元整</w:t>
      </w:r>
    </w:p>
    <w:p w14:paraId="0681DAD3">
      <w:pPr>
        <w:pStyle w:val="4"/>
        <w:ind w:firstLine="1200"/>
      </w:pPr>
      <w:r>
        <w:rPr>
          <w:rFonts w:ascii="仿宋_GB2312" w:hAnsi="仿宋_GB2312" w:eastAsia="仿宋_GB2312" w:cs="仿宋_GB2312"/>
        </w:rPr>
        <w:t xml:space="preserve"> （五）项目概况：</w:t>
      </w:r>
    </w:p>
    <w:p w14:paraId="034B6AC0">
      <w:pPr>
        <w:pStyle w:val="4"/>
        <w:ind w:left="480"/>
      </w:pPr>
      <w:r>
        <w:rPr>
          <w:rFonts w:ascii="仿宋_GB2312" w:hAnsi="仿宋_GB2312" w:eastAsia="仿宋_GB2312" w:cs="仿宋_GB2312"/>
        </w:rPr>
        <w:t>建设规模及建设内容:新建三格式化粪池50座，设置隔离防护设施20处共计10556m、界标53个、交通警示牌6个、宣传牌23个。</w:t>
      </w:r>
    </w:p>
    <w:p w14:paraId="2669DC49">
      <w:pPr>
        <w:pStyle w:val="4"/>
      </w:pPr>
      <w:r>
        <w:rPr>
          <w:rFonts w:ascii="仿宋_GB2312" w:hAnsi="仿宋_GB2312" w:eastAsia="仿宋_GB2312" w:cs="仿宋_GB2312"/>
        </w:rPr>
        <w:t xml:space="preserve"> （六）本项目是否有为采购项目提供整体设计、规范编制或者项目管理、监理、检测等服务的供应商：否</w:t>
      </w:r>
    </w:p>
    <w:p w14:paraId="40A4DD90">
      <w:pPr>
        <w:pStyle w:val="4"/>
        <w:outlineLvl w:val="2"/>
      </w:pPr>
      <w:r>
        <w:rPr>
          <w:rFonts w:ascii="仿宋_GB2312" w:hAnsi="仿宋_GB2312" w:eastAsia="仿宋_GB2312" w:cs="仿宋_GB2312"/>
          <w:b/>
          <w:sz w:val="28"/>
        </w:rPr>
        <w:t>二、项目需求调查情况</w:t>
      </w:r>
    </w:p>
    <w:p w14:paraId="0043B408">
      <w:pPr>
        <w:pStyle w:val="4"/>
      </w:pPr>
      <w:r>
        <w:rPr>
          <w:rFonts w:ascii="仿宋_GB2312" w:hAnsi="仿宋_GB2312" w:eastAsia="仿宋_GB2312" w:cs="仿宋_GB2312"/>
        </w:rPr>
        <w:t>依据《政府采购需求管理办法》的规定，本项目不需要需求调查，具体情况如下：</w:t>
      </w:r>
    </w:p>
    <w:p w14:paraId="5BC1E9CA">
      <w:pPr>
        <w:pStyle w:val="4"/>
      </w:pPr>
      <w:r>
        <w:rPr>
          <w:rFonts w:ascii="仿宋_GB2312" w:hAnsi="仿宋_GB2312" w:eastAsia="仿宋_GB2312" w:cs="仿宋_GB2312"/>
        </w:rPr>
        <w:t>（一）需求调查方式</w:t>
      </w:r>
    </w:p>
    <w:p w14:paraId="77271C8A">
      <w:pPr>
        <w:pStyle w:val="4"/>
        <w:ind w:firstLine="840"/>
      </w:pPr>
      <w:r>
        <w:rPr>
          <w:rFonts w:ascii="仿宋_GB2312" w:hAnsi="仿宋_GB2312" w:eastAsia="仿宋_GB2312" w:cs="仿宋_GB2312"/>
        </w:rPr>
        <w:t>（二）需求调查对象</w:t>
      </w:r>
    </w:p>
    <w:p w14:paraId="0C45E1FB">
      <w:pPr>
        <w:pStyle w:val="4"/>
        <w:ind w:firstLine="840"/>
      </w:pPr>
      <w:r>
        <w:rPr>
          <w:rFonts w:ascii="仿宋_GB2312" w:hAnsi="仿宋_GB2312" w:eastAsia="仿宋_GB2312" w:cs="仿宋_GB2312"/>
        </w:rPr>
        <w:t>（三）需求调查结果</w:t>
      </w:r>
    </w:p>
    <w:p w14:paraId="37222279">
      <w:pPr>
        <w:pStyle w:val="4"/>
        <w:ind w:firstLine="840"/>
      </w:pPr>
      <w:r>
        <w:rPr>
          <w:rFonts w:ascii="仿宋_GB2312" w:hAnsi="仿宋_GB2312" w:eastAsia="仿宋_GB2312" w:cs="仿宋_GB2312"/>
        </w:rPr>
        <w:t>1.相关产业发展情况</w:t>
      </w:r>
    </w:p>
    <w:p w14:paraId="16D74272">
      <w:pPr>
        <w:pStyle w:val="4"/>
        <w:ind w:firstLine="840"/>
      </w:pPr>
      <w:r>
        <w:rPr>
          <w:rFonts w:ascii="仿宋_GB2312" w:hAnsi="仿宋_GB2312" w:eastAsia="仿宋_GB2312" w:cs="仿宋_GB2312"/>
        </w:rPr>
        <w:t>2.市场供给情况</w:t>
      </w:r>
    </w:p>
    <w:p w14:paraId="38631392">
      <w:pPr>
        <w:pStyle w:val="4"/>
        <w:ind w:firstLine="840"/>
      </w:pPr>
      <w:r>
        <w:rPr>
          <w:rFonts w:ascii="仿宋_GB2312" w:hAnsi="仿宋_GB2312" w:eastAsia="仿宋_GB2312" w:cs="仿宋_GB2312"/>
        </w:rPr>
        <w:t>3.同类采购项目历史成交信息情况</w:t>
      </w:r>
    </w:p>
    <w:p w14:paraId="6D0C6186">
      <w:pPr>
        <w:pStyle w:val="4"/>
        <w:ind w:firstLine="840"/>
      </w:pPr>
      <w:r>
        <w:rPr>
          <w:rFonts w:ascii="仿宋_GB2312" w:hAnsi="仿宋_GB2312" w:eastAsia="仿宋_GB2312" w:cs="仿宋_GB2312"/>
        </w:rPr>
        <w:t>4.可能涉及的运行维护、升级更新、备品备件、耗材等后续采购情况</w:t>
      </w:r>
    </w:p>
    <w:p w14:paraId="1EDD933C">
      <w:pPr>
        <w:pStyle w:val="4"/>
        <w:ind w:firstLine="840"/>
      </w:pPr>
      <w:r>
        <w:rPr>
          <w:rFonts w:ascii="仿宋_GB2312" w:hAnsi="仿宋_GB2312" w:eastAsia="仿宋_GB2312" w:cs="仿宋_GB2312"/>
        </w:rPr>
        <w:t>5.其他相关情况</w:t>
      </w:r>
    </w:p>
    <w:p w14:paraId="58796084">
      <w:pPr>
        <w:pStyle w:val="4"/>
        <w:ind w:firstLine="840"/>
        <w:outlineLvl w:val="2"/>
      </w:pPr>
      <w:r>
        <w:rPr>
          <w:rFonts w:ascii="仿宋_GB2312" w:hAnsi="仿宋_GB2312" w:eastAsia="仿宋_GB2312" w:cs="仿宋_GB2312"/>
          <w:b/>
          <w:sz w:val="28"/>
        </w:rPr>
        <w:t>三、项目采购实施计划</w:t>
      </w:r>
    </w:p>
    <w:p w14:paraId="77C9F64B">
      <w:pPr>
        <w:pStyle w:val="4"/>
      </w:pPr>
      <w:r>
        <w:rPr>
          <w:rFonts w:ascii="仿宋_GB2312" w:hAnsi="仿宋_GB2312" w:eastAsia="仿宋_GB2312" w:cs="仿宋_GB2312"/>
        </w:rPr>
        <w:t>（一）采购组织形式：部门集中采购</w:t>
      </w:r>
    </w:p>
    <w:p w14:paraId="6C224938">
      <w:pPr>
        <w:pStyle w:val="4"/>
      </w:pPr>
      <w:r>
        <w:rPr>
          <w:rFonts w:ascii="仿宋_GB2312" w:hAnsi="仿宋_GB2312" w:eastAsia="仿宋_GB2312" w:cs="仿宋_GB2312"/>
        </w:rPr>
        <w:t>（二）采购方式：竞争性磋商</w:t>
      </w:r>
    </w:p>
    <w:p w14:paraId="44799727">
      <w:pPr>
        <w:pStyle w:val="4"/>
      </w:pPr>
      <w:r>
        <w:rPr>
          <w:rFonts w:ascii="仿宋_GB2312" w:hAnsi="仿宋_GB2312" w:eastAsia="仿宋_GB2312" w:cs="仿宋_GB2312"/>
        </w:rPr>
        <w:t>（三）本项目是否单位自行组织采购：否</w:t>
      </w:r>
    </w:p>
    <w:p w14:paraId="4876FB1D">
      <w:pPr>
        <w:pStyle w:val="4"/>
      </w:pPr>
      <w:r>
        <w:rPr>
          <w:rFonts w:ascii="仿宋_GB2312" w:hAnsi="仿宋_GB2312" w:eastAsia="仿宋_GB2312" w:cs="仿宋_GB2312"/>
        </w:rPr>
        <w:t>（四）采购包划分：不分包采购</w:t>
      </w:r>
    </w:p>
    <w:p w14:paraId="21F37EAF">
      <w:pPr>
        <w:pStyle w:val="4"/>
      </w:pPr>
      <w:r>
        <w:rPr>
          <w:rFonts w:ascii="仿宋_GB2312" w:hAnsi="仿宋_GB2312" w:eastAsia="仿宋_GB2312" w:cs="仿宋_GB2312"/>
        </w:rPr>
        <w:t>（五）执行政府采购促进中小企业发展的相关政策</w:t>
      </w:r>
    </w:p>
    <w:p w14:paraId="329D69F1">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44226081">
      <w:pPr>
        <w:pStyle w:val="4"/>
        <w:ind w:firstLine="840"/>
      </w:pPr>
      <w:r>
        <w:rPr>
          <w:rFonts w:ascii="仿宋_GB2312" w:hAnsi="仿宋_GB2312" w:eastAsia="仿宋_GB2312" w:cs="仿宋_GB2312"/>
          <w:i/>
        </w:rPr>
        <w:t>注：监狱企业和残疾人福利单位视同小微企业。</w:t>
      </w:r>
    </w:p>
    <w:p w14:paraId="48594EC6">
      <w:pPr>
        <w:pStyle w:val="4"/>
      </w:pPr>
      <w:r>
        <w:rPr>
          <w:rFonts w:ascii="仿宋_GB2312" w:hAnsi="仿宋_GB2312" w:eastAsia="仿宋_GB2312" w:cs="仿宋_GB2312"/>
        </w:rPr>
        <w:t>（六）是否采购环境标识产品：否</w:t>
      </w:r>
    </w:p>
    <w:p w14:paraId="0195CA1D">
      <w:pPr>
        <w:pStyle w:val="4"/>
      </w:pPr>
      <w:r>
        <w:rPr>
          <w:rFonts w:ascii="仿宋_GB2312" w:hAnsi="仿宋_GB2312" w:eastAsia="仿宋_GB2312" w:cs="仿宋_GB2312"/>
        </w:rPr>
        <w:t>（七）是否采购节能产品：否</w:t>
      </w:r>
    </w:p>
    <w:p w14:paraId="26E09189">
      <w:pPr>
        <w:pStyle w:val="4"/>
      </w:pPr>
      <w:r>
        <w:rPr>
          <w:rFonts w:ascii="仿宋_GB2312" w:hAnsi="仿宋_GB2312" w:eastAsia="仿宋_GB2312" w:cs="仿宋_GB2312"/>
        </w:rPr>
        <w:t>（八）项目的采购标的是否包含进口产品：否</w:t>
      </w:r>
    </w:p>
    <w:p w14:paraId="115AB20D">
      <w:pPr>
        <w:pStyle w:val="4"/>
      </w:pPr>
      <w:r>
        <w:rPr>
          <w:rFonts w:ascii="仿宋_GB2312" w:hAnsi="仿宋_GB2312" w:eastAsia="仿宋_GB2312" w:cs="仿宋_GB2312"/>
        </w:rPr>
        <w:t>（九）采购标的是否属于政府购买服务：否</w:t>
      </w:r>
    </w:p>
    <w:p w14:paraId="52A27F01">
      <w:pPr>
        <w:pStyle w:val="4"/>
      </w:pPr>
      <w:r>
        <w:rPr>
          <w:rFonts w:ascii="仿宋_GB2312" w:hAnsi="仿宋_GB2312" w:eastAsia="仿宋_GB2312" w:cs="仿宋_GB2312"/>
        </w:rPr>
        <w:t>（十）是否属于政务信息系统项目：否</w:t>
      </w:r>
    </w:p>
    <w:p w14:paraId="1AEAC9E6">
      <w:pPr>
        <w:pStyle w:val="4"/>
      </w:pPr>
      <w:r>
        <w:rPr>
          <w:rFonts w:ascii="仿宋_GB2312" w:hAnsi="仿宋_GB2312" w:eastAsia="仿宋_GB2312" w:cs="仿宋_GB2312"/>
        </w:rPr>
        <w:t>（十一）是否属于高校、科研院所的科研仪器设备采购：否</w:t>
      </w:r>
    </w:p>
    <w:p w14:paraId="5B1394B5">
      <w:pPr>
        <w:pStyle w:val="4"/>
      </w:pPr>
      <w:r>
        <w:rPr>
          <w:rFonts w:ascii="仿宋_GB2312" w:hAnsi="仿宋_GB2312" w:eastAsia="仿宋_GB2312" w:cs="仿宋_GB2312"/>
        </w:rPr>
        <w:t>（十二）是否属于一签多年项目：否</w:t>
      </w:r>
    </w:p>
    <w:p w14:paraId="0683C014">
      <w:pPr>
        <w:pStyle w:val="4"/>
        <w:ind w:firstLine="1275"/>
        <w:outlineLvl w:val="2"/>
      </w:pPr>
      <w:r>
        <w:rPr>
          <w:rFonts w:ascii="仿宋_GB2312" w:hAnsi="仿宋_GB2312" w:eastAsia="仿宋_GB2312" w:cs="仿宋_GB2312"/>
          <w:b/>
          <w:sz w:val="28"/>
        </w:rPr>
        <w:t>四、项目需求及分包情况、采购标的</w:t>
      </w:r>
    </w:p>
    <w:p w14:paraId="269FFBD6">
      <w:pPr>
        <w:pStyle w:val="4"/>
        <w:outlineLvl w:val="4"/>
      </w:pPr>
      <w:r>
        <w:rPr>
          <w:rFonts w:ascii="仿宋_GB2312" w:hAnsi="仿宋_GB2312" w:eastAsia="仿宋_GB2312" w:cs="仿宋_GB2312"/>
          <w:b/>
          <w:sz w:val="20"/>
        </w:rPr>
        <w:t>（一）分包名称：施工</w:t>
      </w:r>
    </w:p>
    <w:p w14:paraId="5A7E8CDC">
      <w:pPr>
        <w:pStyle w:val="4"/>
      </w:pPr>
      <w:r>
        <w:rPr>
          <w:rFonts w:ascii="仿宋_GB2312" w:hAnsi="仿宋_GB2312" w:eastAsia="仿宋_GB2312" w:cs="仿宋_GB2312"/>
        </w:rPr>
        <w:t>1、执行政府采购促进中小企业发展的相关政策</w:t>
      </w:r>
    </w:p>
    <w:p w14:paraId="2541F187">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110496D5">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59A49AA0">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16048619">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2CF1645E">
      <w:pPr>
        <w:pStyle w:val="4"/>
      </w:pPr>
      <w:r>
        <w:rPr>
          <w:rFonts w:ascii="仿宋_GB2312" w:hAnsi="仿宋_GB2312" w:eastAsia="仿宋_GB2312" w:cs="仿宋_GB2312"/>
        </w:rPr>
        <w:t>2、预算金额（元）：3,220,000.00 ，大写（人民币）： 叁佰贰拾贰万元整</w:t>
      </w:r>
    </w:p>
    <w:p w14:paraId="5BF29180">
      <w:pPr>
        <w:pStyle w:val="4"/>
        <w:ind w:firstLine="780"/>
      </w:pPr>
      <w:r>
        <w:rPr>
          <w:rFonts w:ascii="仿宋_GB2312" w:hAnsi="仿宋_GB2312" w:eastAsia="仿宋_GB2312" w:cs="仿宋_GB2312"/>
        </w:rPr>
        <w:t xml:space="preserve"> 最高限价（元）： 3,178,375.61 ，大写（人民币）： 叁佰壹拾柒万捌仟叁佰柒拾伍元陆角壹分</w:t>
      </w:r>
    </w:p>
    <w:p w14:paraId="12F64EB3">
      <w:pPr>
        <w:pStyle w:val="4"/>
      </w:pPr>
      <w:r>
        <w:rPr>
          <w:rFonts w:ascii="仿宋_GB2312" w:hAnsi="仿宋_GB2312" w:eastAsia="仿宋_GB2312" w:cs="仿宋_GB2312"/>
        </w:rPr>
        <w:t>3、评审方法：综合评分法</w:t>
      </w:r>
    </w:p>
    <w:p w14:paraId="1B16FD98">
      <w:pPr>
        <w:pStyle w:val="4"/>
      </w:pPr>
      <w:r>
        <w:rPr>
          <w:rFonts w:ascii="仿宋_GB2312" w:hAnsi="仿宋_GB2312" w:eastAsia="仿宋_GB2312" w:cs="仿宋_GB2312"/>
        </w:rPr>
        <w:t>4、是否支持联合体投标：否</w:t>
      </w:r>
    </w:p>
    <w:p w14:paraId="097DEA95">
      <w:pPr>
        <w:pStyle w:val="4"/>
      </w:pPr>
      <w:r>
        <w:rPr>
          <w:rFonts w:ascii="仿宋_GB2312" w:hAnsi="仿宋_GB2312" w:eastAsia="仿宋_GB2312" w:cs="仿宋_GB2312"/>
        </w:rPr>
        <w:t>5、是否允许合同分包选项：否</w:t>
      </w:r>
    </w:p>
    <w:p w14:paraId="417219F5">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7FD98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68D72E32">
            <w:pPr>
              <w:pStyle w:val="4"/>
            </w:pPr>
            <w:r>
              <w:rPr>
                <w:rFonts w:ascii="仿宋_GB2312" w:hAnsi="仿宋_GB2312" w:eastAsia="仿宋_GB2312" w:cs="仿宋_GB2312"/>
              </w:rPr>
              <w:t>1</w:t>
            </w:r>
          </w:p>
        </w:tc>
        <w:tc>
          <w:tcPr>
            <w:tcW w:w="1993" w:type="dxa"/>
          </w:tcPr>
          <w:p w14:paraId="378E4AA6">
            <w:pPr>
              <w:pStyle w:val="4"/>
              <w:jc w:val="center"/>
            </w:pPr>
            <w:r>
              <w:rPr>
                <w:rFonts w:ascii="仿宋_GB2312" w:hAnsi="仿宋_GB2312" w:eastAsia="仿宋_GB2312" w:cs="仿宋_GB2312"/>
                <w:b/>
                <w:color w:val="000000"/>
              </w:rPr>
              <w:t>采购品目</w:t>
            </w:r>
          </w:p>
        </w:tc>
        <w:tc>
          <w:tcPr>
            <w:tcW w:w="1661" w:type="dxa"/>
          </w:tcPr>
          <w:p w14:paraId="61486D40">
            <w:pPr>
              <w:pStyle w:val="4"/>
            </w:pPr>
            <w:r>
              <w:rPr>
                <w:rFonts w:ascii="仿宋_GB2312" w:hAnsi="仿宋_GB2312" w:eastAsia="仿宋_GB2312" w:cs="仿宋_GB2312"/>
              </w:rPr>
              <w:t>其他环保工程施工</w:t>
            </w:r>
          </w:p>
        </w:tc>
        <w:tc>
          <w:tcPr>
            <w:tcW w:w="1993" w:type="dxa"/>
          </w:tcPr>
          <w:p w14:paraId="72A9BDDB">
            <w:pPr>
              <w:pStyle w:val="4"/>
              <w:jc w:val="center"/>
            </w:pPr>
            <w:r>
              <w:rPr>
                <w:rFonts w:ascii="仿宋_GB2312" w:hAnsi="仿宋_GB2312" w:eastAsia="仿宋_GB2312" w:cs="仿宋_GB2312"/>
                <w:b/>
                <w:color w:val="000000"/>
              </w:rPr>
              <w:t>标的名称</w:t>
            </w:r>
          </w:p>
        </w:tc>
        <w:tc>
          <w:tcPr>
            <w:tcW w:w="1661" w:type="dxa"/>
          </w:tcPr>
          <w:p w14:paraId="1AEB4AC3">
            <w:pPr>
              <w:pStyle w:val="4"/>
            </w:pPr>
            <w:r>
              <w:rPr>
                <w:rFonts w:ascii="仿宋_GB2312" w:hAnsi="仿宋_GB2312" w:eastAsia="仿宋_GB2312" w:cs="仿宋_GB2312"/>
              </w:rPr>
              <w:t>水源地保护工程</w:t>
            </w:r>
          </w:p>
        </w:tc>
      </w:tr>
      <w:tr w14:paraId="6CB26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7BEB0F8"/>
        </w:tc>
        <w:tc>
          <w:tcPr>
            <w:tcW w:w="1993" w:type="dxa"/>
          </w:tcPr>
          <w:p w14:paraId="26E2C7EB">
            <w:pPr>
              <w:pStyle w:val="4"/>
              <w:jc w:val="center"/>
            </w:pPr>
            <w:r>
              <w:rPr>
                <w:rFonts w:ascii="仿宋_GB2312" w:hAnsi="仿宋_GB2312" w:eastAsia="仿宋_GB2312" w:cs="仿宋_GB2312"/>
                <w:b/>
                <w:color w:val="000000"/>
              </w:rPr>
              <w:t>数量</w:t>
            </w:r>
          </w:p>
        </w:tc>
        <w:tc>
          <w:tcPr>
            <w:tcW w:w="1661" w:type="dxa"/>
          </w:tcPr>
          <w:p w14:paraId="0ED67810">
            <w:pPr>
              <w:pStyle w:val="4"/>
              <w:jc w:val="right"/>
            </w:pPr>
            <w:r>
              <w:rPr>
                <w:rFonts w:ascii="仿宋_GB2312" w:hAnsi="仿宋_GB2312" w:eastAsia="仿宋_GB2312" w:cs="仿宋_GB2312"/>
              </w:rPr>
              <w:t>1.00</w:t>
            </w:r>
          </w:p>
        </w:tc>
        <w:tc>
          <w:tcPr>
            <w:tcW w:w="1993" w:type="dxa"/>
          </w:tcPr>
          <w:p w14:paraId="18729843">
            <w:pPr>
              <w:pStyle w:val="4"/>
              <w:jc w:val="center"/>
            </w:pPr>
            <w:r>
              <w:rPr>
                <w:rFonts w:ascii="仿宋_GB2312" w:hAnsi="仿宋_GB2312" w:eastAsia="仿宋_GB2312" w:cs="仿宋_GB2312"/>
                <w:b/>
                <w:color w:val="000000"/>
              </w:rPr>
              <w:t>单位</w:t>
            </w:r>
          </w:p>
        </w:tc>
        <w:tc>
          <w:tcPr>
            <w:tcW w:w="1661" w:type="dxa"/>
          </w:tcPr>
          <w:p w14:paraId="03FB49F4">
            <w:pPr>
              <w:pStyle w:val="4"/>
            </w:pPr>
            <w:r>
              <w:rPr>
                <w:rFonts w:ascii="仿宋_GB2312" w:hAnsi="仿宋_GB2312" w:eastAsia="仿宋_GB2312" w:cs="仿宋_GB2312"/>
              </w:rPr>
              <w:t>项</w:t>
            </w:r>
          </w:p>
        </w:tc>
      </w:tr>
      <w:tr w14:paraId="6A867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4DDDDBD0"/>
        </w:tc>
        <w:tc>
          <w:tcPr>
            <w:tcW w:w="1993" w:type="dxa"/>
          </w:tcPr>
          <w:p w14:paraId="09167B81">
            <w:pPr>
              <w:pStyle w:val="4"/>
              <w:jc w:val="center"/>
            </w:pPr>
            <w:r>
              <w:rPr>
                <w:rFonts w:ascii="仿宋_GB2312" w:hAnsi="仿宋_GB2312" w:eastAsia="仿宋_GB2312" w:cs="仿宋_GB2312"/>
                <w:b/>
                <w:color w:val="000000"/>
              </w:rPr>
              <w:t>合计金额（元）</w:t>
            </w:r>
          </w:p>
        </w:tc>
        <w:tc>
          <w:tcPr>
            <w:tcW w:w="1661" w:type="dxa"/>
          </w:tcPr>
          <w:p w14:paraId="5D86288B">
            <w:pPr>
              <w:pStyle w:val="4"/>
              <w:jc w:val="right"/>
            </w:pPr>
            <w:r>
              <w:rPr>
                <w:rFonts w:ascii="仿宋_GB2312" w:hAnsi="仿宋_GB2312" w:eastAsia="仿宋_GB2312" w:cs="仿宋_GB2312"/>
              </w:rPr>
              <w:t>3,220,000.00</w:t>
            </w:r>
          </w:p>
        </w:tc>
        <w:tc>
          <w:tcPr>
            <w:tcW w:w="1993" w:type="dxa"/>
          </w:tcPr>
          <w:p w14:paraId="2CA440AE">
            <w:pPr>
              <w:pStyle w:val="4"/>
              <w:jc w:val="center"/>
            </w:pPr>
            <w:r>
              <w:rPr>
                <w:rFonts w:ascii="仿宋_GB2312" w:hAnsi="仿宋_GB2312" w:eastAsia="仿宋_GB2312" w:cs="仿宋_GB2312"/>
                <w:b/>
                <w:color w:val="000000"/>
              </w:rPr>
              <w:t>单价（元）</w:t>
            </w:r>
          </w:p>
        </w:tc>
        <w:tc>
          <w:tcPr>
            <w:tcW w:w="1661" w:type="dxa"/>
          </w:tcPr>
          <w:p w14:paraId="78AF2EA5">
            <w:pPr>
              <w:pStyle w:val="4"/>
              <w:jc w:val="right"/>
            </w:pPr>
            <w:r>
              <w:rPr>
                <w:rFonts w:ascii="仿宋_GB2312" w:hAnsi="仿宋_GB2312" w:eastAsia="仿宋_GB2312" w:cs="仿宋_GB2312"/>
              </w:rPr>
              <w:t>3,220,000.00</w:t>
            </w:r>
          </w:p>
        </w:tc>
      </w:tr>
      <w:tr w14:paraId="5F7DC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1B57F8F"/>
        </w:tc>
        <w:tc>
          <w:tcPr>
            <w:tcW w:w="1993" w:type="dxa"/>
          </w:tcPr>
          <w:p w14:paraId="63925CA4">
            <w:pPr>
              <w:pStyle w:val="4"/>
              <w:jc w:val="center"/>
            </w:pPr>
            <w:r>
              <w:rPr>
                <w:rFonts w:ascii="仿宋_GB2312" w:hAnsi="仿宋_GB2312" w:eastAsia="仿宋_GB2312" w:cs="仿宋_GB2312"/>
                <w:b/>
                <w:color w:val="000000"/>
              </w:rPr>
              <w:t>是否采购节能产品</w:t>
            </w:r>
          </w:p>
        </w:tc>
        <w:tc>
          <w:tcPr>
            <w:tcW w:w="1661" w:type="dxa"/>
          </w:tcPr>
          <w:p w14:paraId="38199CE1">
            <w:pPr>
              <w:pStyle w:val="4"/>
            </w:pPr>
            <w:r>
              <w:rPr>
                <w:rFonts w:ascii="仿宋_GB2312" w:hAnsi="仿宋_GB2312" w:eastAsia="仿宋_GB2312" w:cs="仿宋_GB2312"/>
              </w:rPr>
              <w:t>否</w:t>
            </w:r>
          </w:p>
        </w:tc>
        <w:tc>
          <w:tcPr>
            <w:tcW w:w="1993" w:type="dxa"/>
          </w:tcPr>
          <w:p w14:paraId="7C1F8512">
            <w:pPr>
              <w:pStyle w:val="4"/>
              <w:jc w:val="center"/>
            </w:pPr>
            <w:r>
              <w:rPr>
                <w:rFonts w:ascii="仿宋_GB2312" w:hAnsi="仿宋_GB2312" w:eastAsia="仿宋_GB2312" w:cs="仿宋_GB2312"/>
                <w:b/>
                <w:color w:val="000000"/>
              </w:rPr>
              <w:t>未采购节能产品原因</w:t>
            </w:r>
          </w:p>
        </w:tc>
        <w:tc>
          <w:tcPr>
            <w:tcW w:w="1661" w:type="dxa"/>
          </w:tcPr>
          <w:p w14:paraId="46BF9F7A">
            <w:pPr>
              <w:pStyle w:val="4"/>
            </w:pPr>
            <w:r>
              <w:rPr>
                <w:rFonts w:ascii="仿宋_GB2312" w:hAnsi="仿宋_GB2312" w:eastAsia="仿宋_GB2312" w:cs="仿宋_GB2312"/>
              </w:rPr>
              <w:t>/</w:t>
            </w:r>
          </w:p>
        </w:tc>
      </w:tr>
      <w:tr w14:paraId="076B7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1333B358"/>
        </w:tc>
        <w:tc>
          <w:tcPr>
            <w:tcW w:w="1993" w:type="dxa"/>
          </w:tcPr>
          <w:p w14:paraId="415ED17A">
            <w:pPr>
              <w:pStyle w:val="4"/>
              <w:jc w:val="center"/>
            </w:pPr>
            <w:r>
              <w:rPr>
                <w:rFonts w:ascii="仿宋_GB2312" w:hAnsi="仿宋_GB2312" w:eastAsia="仿宋_GB2312" w:cs="仿宋_GB2312"/>
                <w:b/>
                <w:color w:val="000000"/>
              </w:rPr>
              <w:t>是否采购环保产品</w:t>
            </w:r>
          </w:p>
        </w:tc>
        <w:tc>
          <w:tcPr>
            <w:tcW w:w="1661" w:type="dxa"/>
          </w:tcPr>
          <w:p w14:paraId="6AC0FE81">
            <w:pPr>
              <w:pStyle w:val="4"/>
            </w:pPr>
            <w:r>
              <w:rPr>
                <w:rFonts w:ascii="仿宋_GB2312" w:hAnsi="仿宋_GB2312" w:eastAsia="仿宋_GB2312" w:cs="仿宋_GB2312"/>
              </w:rPr>
              <w:t>否</w:t>
            </w:r>
          </w:p>
        </w:tc>
        <w:tc>
          <w:tcPr>
            <w:tcW w:w="1993" w:type="dxa"/>
          </w:tcPr>
          <w:p w14:paraId="081DDB7D">
            <w:pPr>
              <w:pStyle w:val="4"/>
              <w:jc w:val="center"/>
            </w:pPr>
            <w:r>
              <w:rPr>
                <w:rFonts w:ascii="仿宋_GB2312" w:hAnsi="仿宋_GB2312" w:eastAsia="仿宋_GB2312" w:cs="仿宋_GB2312"/>
                <w:b/>
                <w:color w:val="000000"/>
              </w:rPr>
              <w:t>未采购环保产品原因</w:t>
            </w:r>
          </w:p>
        </w:tc>
        <w:tc>
          <w:tcPr>
            <w:tcW w:w="1661" w:type="dxa"/>
          </w:tcPr>
          <w:p w14:paraId="6FD7C049">
            <w:pPr>
              <w:pStyle w:val="4"/>
            </w:pPr>
            <w:r>
              <w:rPr>
                <w:rFonts w:ascii="仿宋_GB2312" w:hAnsi="仿宋_GB2312" w:eastAsia="仿宋_GB2312" w:cs="仿宋_GB2312"/>
              </w:rPr>
              <w:t>/</w:t>
            </w:r>
          </w:p>
        </w:tc>
      </w:tr>
      <w:tr w14:paraId="1AFCB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57297B69"/>
        </w:tc>
        <w:tc>
          <w:tcPr>
            <w:tcW w:w="1993" w:type="dxa"/>
          </w:tcPr>
          <w:p w14:paraId="0E5DED65">
            <w:pPr>
              <w:pStyle w:val="4"/>
              <w:jc w:val="center"/>
            </w:pPr>
            <w:r>
              <w:rPr>
                <w:rFonts w:ascii="仿宋_GB2312" w:hAnsi="仿宋_GB2312" w:eastAsia="仿宋_GB2312" w:cs="仿宋_GB2312"/>
                <w:b/>
                <w:color w:val="000000"/>
              </w:rPr>
              <w:t>是否采购进口产品</w:t>
            </w:r>
          </w:p>
        </w:tc>
        <w:tc>
          <w:tcPr>
            <w:tcW w:w="1661" w:type="dxa"/>
          </w:tcPr>
          <w:p w14:paraId="7300CFD0">
            <w:pPr>
              <w:pStyle w:val="4"/>
            </w:pPr>
            <w:r>
              <w:rPr>
                <w:rFonts w:ascii="仿宋_GB2312" w:hAnsi="仿宋_GB2312" w:eastAsia="仿宋_GB2312" w:cs="仿宋_GB2312"/>
              </w:rPr>
              <w:t>否</w:t>
            </w:r>
          </w:p>
        </w:tc>
        <w:tc>
          <w:tcPr>
            <w:tcW w:w="1993" w:type="dxa"/>
          </w:tcPr>
          <w:p w14:paraId="343B82D0">
            <w:pPr>
              <w:pStyle w:val="4"/>
              <w:jc w:val="center"/>
            </w:pPr>
            <w:r>
              <w:rPr>
                <w:rFonts w:ascii="仿宋_GB2312" w:hAnsi="仿宋_GB2312" w:eastAsia="仿宋_GB2312" w:cs="仿宋_GB2312"/>
                <w:b/>
                <w:color w:val="000000"/>
              </w:rPr>
              <w:t>标的物所属行业</w:t>
            </w:r>
          </w:p>
        </w:tc>
        <w:tc>
          <w:tcPr>
            <w:tcW w:w="1661" w:type="dxa"/>
          </w:tcPr>
          <w:p w14:paraId="74E5FECB">
            <w:pPr>
              <w:pStyle w:val="4"/>
            </w:pPr>
            <w:r>
              <w:rPr>
                <w:rFonts w:ascii="仿宋_GB2312" w:hAnsi="仿宋_GB2312" w:eastAsia="仿宋_GB2312" w:cs="仿宋_GB2312"/>
              </w:rPr>
              <w:t>建筑业</w:t>
            </w:r>
          </w:p>
        </w:tc>
      </w:tr>
    </w:tbl>
    <w:p w14:paraId="00153EDB">
      <w:pPr>
        <w:pStyle w:val="4"/>
      </w:pPr>
      <w:r>
        <w:rPr>
          <w:rFonts w:ascii="仿宋_GB2312" w:hAnsi="仿宋_GB2312" w:eastAsia="仿宋_GB2312" w:cs="仿宋_GB2312"/>
        </w:rPr>
        <w:t>标的名称：水源地保护工程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3A71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91AE80">
            <w:pPr>
              <w:pStyle w:val="4"/>
            </w:pPr>
            <w:r>
              <w:rPr>
                <w:rFonts w:ascii="仿宋_GB2312" w:hAnsi="仿宋_GB2312" w:eastAsia="仿宋_GB2312" w:cs="仿宋_GB2312"/>
              </w:rPr>
              <w:t xml:space="preserve"> 参数性质</w:t>
            </w:r>
          </w:p>
        </w:tc>
        <w:tc>
          <w:tcPr>
            <w:tcW w:w="2769" w:type="dxa"/>
          </w:tcPr>
          <w:p w14:paraId="00616389">
            <w:pPr>
              <w:pStyle w:val="4"/>
            </w:pPr>
            <w:r>
              <w:rPr>
                <w:rFonts w:ascii="仿宋_GB2312" w:hAnsi="仿宋_GB2312" w:eastAsia="仿宋_GB2312" w:cs="仿宋_GB2312"/>
              </w:rPr>
              <w:t xml:space="preserve"> 序号</w:t>
            </w:r>
          </w:p>
        </w:tc>
        <w:tc>
          <w:tcPr>
            <w:tcW w:w="2769" w:type="dxa"/>
          </w:tcPr>
          <w:p w14:paraId="416276A5">
            <w:pPr>
              <w:pStyle w:val="4"/>
            </w:pPr>
            <w:r>
              <w:rPr>
                <w:rFonts w:ascii="仿宋_GB2312" w:hAnsi="仿宋_GB2312" w:eastAsia="仿宋_GB2312" w:cs="仿宋_GB2312"/>
              </w:rPr>
              <w:t xml:space="preserve"> 技术参数与性能指标</w:t>
            </w:r>
          </w:p>
        </w:tc>
      </w:tr>
      <w:tr w14:paraId="74E65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DD4A3A">
            <w:pPr>
              <w:pStyle w:val="4"/>
            </w:pPr>
            <w:r>
              <w:rPr>
                <w:rFonts w:ascii="仿宋_GB2312" w:hAnsi="仿宋_GB2312" w:eastAsia="仿宋_GB2312" w:cs="仿宋_GB2312"/>
              </w:rPr>
              <w:t>★</w:t>
            </w:r>
          </w:p>
        </w:tc>
        <w:tc>
          <w:tcPr>
            <w:tcW w:w="2769" w:type="dxa"/>
          </w:tcPr>
          <w:p w14:paraId="0774DA8B">
            <w:pPr>
              <w:pStyle w:val="4"/>
            </w:pPr>
            <w:r>
              <w:rPr>
                <w:rFonts w:ascii="仿宋_GB2312" w:hAnsi="仿宋_GB2312" w:eastAsia="仿宋_GB2312" w:cs="仿宋_GB2312"/>
              </w:rPr>
              <w:t>1</w:t>
            </w:r>
          </w:p>
        </w:tc>
        <w:tc>
          <w:tcPr>
            <w:tcW w:w="2769" w:type="dxa"/>
          </w:tcPr>
          <w:p w14:paraId="6B6C01E9">
            <w:pPr>
              <w:pStyle w:val="4"/>
            </w:pPr>
            <w:r>
              <w:rPr>
                <w:rFonts w:ascii="仿宋_GB2312" w:hAnsi="仿宋_GB2312" w:eastAsia="仿宋_GB2312" w:cs="仿宋_GB2312"/>
              </w:rPr>
              <w:t>达到国家相关验收合格标准</w:t>
            </w:r>
          </w:p>
        </w:tc>
      </w:tr>
    </w:tbl>
    <w:p w14:paraId="256136DF">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4F2A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06F89D">
            <w:pPr>
              <w:pStyle w:val="4"/>
            </w:pPr>
            <w:r>
              <w:rPr>
                <w:rFonts w:ascii="仿宋_GB2312" w:hAnsi="仿宋_GB2312" w:eastAsia="仿宋_GB2312" w:cs="仿宋_GB2312"/>
              </w:rPr>
              <w:t>序号</w:t>
            </w:r>
          </w:p>
        </w:tc>
        <w:tc>
          <w:tcPr>
            <w:tcW w:w="2769" w:type="dxa"/>
          </w:tcPr>
          <w:p w14:paraId="4CD7AF2C">
            <w:pPr>
              <w:pStyle w:val="4"/>
            </w:pPr>
            <w:r>
              <w:rPr>
                <w:rFonts w:ascii="仿宋_GB2312" w:hAnsi="仿宋_GB2312" w:eastAsia="仿宋_GB2312" w:cs="仿宋_GB2312"/>
              </w:rPr>
              <w:t>资格要求名称</w:t>
            </w:r>
          </w:p>
        </w:tc>
        <w:tc>
          <w:tcPr>
            <w:tcW w:w="2769" w:type="dxa"/>
          </w:tcPr>
          <w:p w14:paraId="4CB0CA99">
            <w:pPr>
              <w:pStyle w:val="4"/>
            </w:pPr>
            <w:r>
              <w:rPr>
                <w:rFonts w:ascii="仿宋_GB2312" w:hAnsi="仿宋_GB2312" w:eastAsia="仿宋_GB2312" w:cs="仿宋_GB2312"/>
              </w:rPr>
              <w:t>资格要求详细说明</w:t>
            </w:r>
          </w:p>
        </w:tc>
      </w:tr>
      <w:tr w14:paraId="7C0B6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0393A2">
            <w:pPr>
              <w:pStyle w:val="4"/>
            </w:pPr>
            <w:r>
              <w:rPr>
                <w:rFonts w:ascii="仿宋_GB2312" w:hAnsi="仿宋_GB2312" w:eastAsia="仿宋_GB2312" w:cs="仿宋_GB2312"/>
              </w:rPr>
              <w:t>1</w:t>
            </w:r>
          </w:p>
        </w:tc>
        <w:tc>
          <w:tcPr>
            <w:tcW w:w="2769" w:type="dxa"/>
          </w:tcPr>
          <w:p w14:paraId="65995895">
            <w:pPr>
              <w:pStyle w:val="4"/>
            </w:pPr>
            <w:r>
              <w:rPr>
                <w:rFonts w:ascii="仿宋_GB2312" w:hAnsi="仿宋_GB2312" w:eastAsia="仿宋_GB2312" w:cs="仿宋_GB2312"/>
              </w:rPr>
              <w:t>供应商应具备《中华人民共和国政府采购法》第二十二条规定的条件。</w:t>
            </w:r>
          </w:p>
        </w:tc>
        <w:tc>
          <w:tcPr>
            <w:tcW w:w="2769" w:type="dxa"/>
          </w:tcPr>
          <w:p w14:paraId="6FA58360">
            <w:pPr>
              <w:pStyle w:val="4"/>
            </w:pPr>
            <w:r>
              <w:rPr>
                <w:rFonts w:ascii="仿宋_GB2312" w:hAnsi="仿宋_GB2312" w:eastAsia="仿宋_GB2312" w:cs="仿宋_GB2312"/>
              </w:rPr>
              <w:t>供应商需在项目电子化交易系统中按要求填写《响应函》完成承诺并进行电子签章。</w:t>
            </w:r>
          </w:p>
        </w:tc>
      </w:tr>
      <w:tr w14:paraId="46723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A2A900">
            <w:pPr>
              <w:pStyle w:val="4"/>
            </w:pPr>
            <w:r>
              <w:rPr>
                <w:rFonts w:ascii="仿宋_GB2312" w:hAnsi="仿宋_GB2312" w:eastAsia="仿宋_GB2312" w:cs="仿宋_GB2312"/>
              </w:rPr>
              <w:t>2</w:t>
            </w:r>
          </w:p>
        </w:tc>
        <w:tc>
          <w:tcPr>
            <w:tcW w:w="2769" w:type="dxa"/>
          </w:tcPr>
          <w:p w14:paraId="09B1AA52">
            <w:pPr>
              <w:pStyle w:val="4"/>
            </w:pPr>
            <w:r>
              <w:rPr>
                <w:rFonts w:ascii="仿宋_GB2312" w:hAnsi="仿宋_GB2312" w:eastAsia="仿宋_GB2312" w:cs="仿宋_GB2312"/>
              </w:rPr>
              <w:t>供应商应提供健全的财务会计制度的证明材料。</w:t>
            </w:r>
          </w:p>
        </w:tc>
        <w:tc>
          <w:tcPr>
            <w:tcW w:w="2769" w:type="dxa"/>
          </w:tcPr>
          <w:p w14:paraId="7346DA52">
            <w:pPr>
              <w:pStyle w:val="4"/>
            </w:pPr>
            <w:r>
              <w:rPr>
                <w:rFonts w:ascii="仿宋_GB2312" w:hAnsi="仿宋_GB2312" w:eastAsia="仿宋_GB2312" w:cs="仿宋_GB2312"/>
              </w:rPr>
              <w:t>关于财务会计制度的证明材料｛注：①可提供XXXX或XXXX年度经审计的财务报告（包含审计报告和审计报告中所涉及的财务报表和报表附注），②可提供XXXX或XXXX年度供应商完整的全套财务报表（应当包括资产负债表、利润表、现金流量表、所有者权益变动表、附注），③可提供截至资格预审申请文件提交截止日一年内银行出具的资信证明，④供应商注册时间截至资格预审申请文件提交截止日不足一年的，也可提供在工商管理部门备案的公司章程。不得要求供应商提供证明财务报告中签字签章人或者第三方机构的身份证明、财务报告中数据信息真实性有效性的证明材料。｝ 供应商需在项目电子化交易系统中按要求上传相应证明文件并进行电子签章。</w:t>
            </w:r>
          </w:p>
        </w:tc>
      </w:tr>
      <w:tr w14:paraId="7C109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EE7A7F0">
            <w:pPr>
              <w:pStyle w:val="4"/>
            </w:pPr>
            <w:r>
              <w:rPr>
                <w:rFonts w:ascii="仿宋_GB2312" w:hAnsi="仿宋_GB2312" w:eastAsia="仿宋_GB2312" w:cs="仿宋_GB2312"/>
              </w:rPr>
              <w:t>3</w:t>
            </w:r>
          </w:p>
        </w:tc>
        <w:tc>
          <w:tcPr>
            <w:tcW w:w="2769" w:type="dxa"/>
          </w:tcPr>
          <w:p w14:paraId="5F29432A">
            <w:pPr>
              <w:pStyle w:val="4"/>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供应商为采购人、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w="2769" w:type="dxa"/>
          </w:tcPr>
          <w:p w14:paraId="4080E77A">
            <w:pPr>
              <w:pStyle w:val="4"/>
            </w:pPr>
            <w:r>
              <w:rPr>
                <w:rFonts w:ascii="仿宋_GB2312" w:hAnsi="仿宋_GB2312" w:eastAsia="仿宋_GB2312" w:cs="仿宋_GB2312"/>
              </w:rPr>
              <w:t>供应商需在项目电子化交易系统中按要求填写《响应函》完成承诺并进行电子签章。</w:t>
            </w:r>
          </w:p>
        </w:tc>
      </w:tr>
    </w:tbl>
    <w:p w14:paraId="46E1A258">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816"/>
      </w:tblGrid>
      <w:tr w14:paraId="01F9D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68C679">
            <w:pPr>
              <w:pStyle w:val="4"/>
            </w:pPr>
            <w:r>
              <w:rPr>
                <w:rFonts w:ascii="仿宋_GB2312" w:hAnsi="仿宋_GB2312" w:eastAsia="仿宋_GB2312" w:cs="仿宋_GB2312"/>
              </w:rPr>
              <w:t>序号</w:t>
            </w:r>
          </w:p>
        </w:tc>
        <w:tc>
          <w:tcPr>
            <w:tcW w:w="2769" w:type="dxa"/>
          </w:tcPr>
          <w:p w14:paraId="7C277432">
            <w:pPr>
              <w:pStyle w:val="4"/>
            </w:pPr>
            <w:r>
              <w:rPr>
                <w:rFonts w:ascii="仿宋_GB2312" w:hAnsi="仿宋_GB2312" w:eastAsia="仿宋_GB2312" w:cs="仿宋_GB2312"/>
              </w:rPr>
              <w:t>资格要求名称</w:t>
            </w:r>
          </w:p>
        </w:tc>
        <w:tc>
          <w:tcPr>
            <w:tcW w:w="2769" w:type="dxa"/>
          </w:tcPr>
          <w:p w14:paraId="4DA39DDA">
            <w:pPr>
              <w:pStyle w:val="4"/>
            </w:pPr>
            <w:r>
              <w:rPr>
                <w:rFonts w:ascii="仿宋_GB2312" w:hAnsi="仿宋_GB2312" w:eastAsia="仿宋_GB2312" w:cs="仿宋_GB2312"/>
              </w:rPr>
              <w:t>资格要求详细说明</w:t>
            </w:r>
          </w:p>
        </w:tc>
      </w:tr>
      <w:tr w14:paraId="09F31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2D2058">
            <w:pPr>
              <w:pStyle w:val="4"/>
            </w:pPr>
            <w:r>
              <w:rPr>
                <w:rFonts w:ascii="仿宋_GB2312" w:hAnsi="仿宋_GB2312" w:eastAsia="仿宋_GB2312" w:cs="仿宋_GB2312"/>
              </w:rPr>
              <w:t>1</w:t>
            </w:r>
          </w:p>
        </w:tc>
        <w:tc>
          <w:tcPr>
            <w:tcW w:w="2769" w:type="dxa"/>
          </w:tcPr>
          <w:p w14:paraId="0944411C">
            <w:pPr>
              <w:pStyle w:val="4"/>
            </w:pPr>
            <w:r>
              <w:rPr>
                <w:rFonts w:ascii="仿宋_GB2312" w:hAnsi="仿宋_GB2312" w:eastAsia="仿宋_GB2312" w:cs="仿宋_GB2312"/>
              </w:rPr>
              <w:t>企业资质要求</w:t>
            </w:r>
          </w:p>
        </w:tc>
        <w:tc>
          <w:tcPr>
            <w:tcW w:w="2769" w:type="dxa"/>
          </w:tcPr>
          <w:p w14:paraId="43A6C0EE">
            <w:pPr>
              <w:pStyle w:val="4"/>
            </w:pPr>
            <w:r>
              <w:rPr>
                <w:rFonts w:ascii="仿宋_GB2312" w:hAnsi="仿宋_GB2312" w:eastAsia="仿宋_GB2312" w:cs="仿宋_GB2312"/>
              </w:rPr>
              <w:t>具备水利水电工程施工总承包三级及以上资质，且持有建设行政主管部门颁发的有效安全生产许可证；</w:t>
            </w:r>
          </w:p>
        </w:tc>
      </w:tr>
      <w:tr w14:paraId="7DEC7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4D4251">
            <w:pPr>
              <w:pStyle w:val="4"/>
            </w:pPr>
            <w:r>
              <w:rPr>
                <w:rFonts w:ascii="仿宋_GB2312" w:hAnsi="仿宋_GB2312" w:eastAsia="仿宋_GB2312" w:cs="仿宋_GB2312"/>
              </w:rPr>
              <w:t>2</w:t>
            </w:r>
          </w:p>
        </w:tc>
        <w:tc>
          <w:tcPr>
            <w:tcW w:w="2769" w:type="dxa"/>
          </w:tcPr>
          <w:p w14:paraId="4E2EA1EC">
            <w:pPr>
              <w:pStyle w:val="4"/>
            </w:pPr>
            <w:r>
              <w:rPr>
                <w:rFonts w:ascii="仿宋_GB2312" w:hAnsi="仿宋_GB2312" w:eastAsia="仿宋_GB2312" w:cs="仿宋_GB2312"/>
              </w:rPr>
              <w:t>拟派项目负责人资质要求</w:t>
            </w:r>
          </w:p>
        </w:tc>
        <w:tc>
          <w:tcPr>
            <w:tcW w:w="2769" w:type="dxa"/>
          </w:tcPr>
          <w:p w14:paraId="1181A979">
            <w:pPr>
              <w:pStyle w:val="4"/>
            </w:pPr>
            <w:r>
              <w:rPr>
                <w:rFonts w:ascii="仿宋_GB2312" w:hAnsi="仿宋_GB2312" w:eastAsia="仿宋_GB2312" w:cs="仿宋_GB2312"/>
              </w:rPr>
              <w:t>拟派项目负责人须具有水利水电工程二级及以上注册建造师执业资格，持有有效安全生产考核合格证 (B 证)，且未担任其他在建工程项目的项目经理。</w:t>
            </w:r>
          </w:p>
        </w:tc>
      </w:tr>
      <w:tr w14:paraId="62DDD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E04E4B">
            <w:pPr>
              <w:pStyle w:val="4"/>
            </w:pPr>
            <w:r>
              <w:rPr>
                <w:rFonts w:ascii="仿宋_GB2312" w:hAnsi="仿宋_GB2312" w:eastAsia="仿宋_GB2312" w:cs="仿宋_GB2312"/>
              </w:rPr>
              <w:t>3</w:t>
            </w:r>
          </w:p>
        </w:tc>
        <w:tc>
          <w:tcPr>
            <w:tcW w:w="2769" w:type="dxa"/>
          </w:tcPr>
          <w:p w14:paraId="2D490F92">
            <w:pPr>
              <w:pStyle w:val="4"/>
            </w:pPr>
            <w:r>
              <w:rPr>
                <w:rFonts w:ascii="仿宋_GB2312" w:hAnsi="仿宋_GB2312" w:eastAsia="仿宋_GB2312" w:cs="仿宋_GB2312"/>
              </w:rPr>
              <w:t>法人或授权委托人</w:t>
            </w:r>
          </w:p>
        </w:tc>
        <w:tc>
          <w:tcPr>
            <w:tcW w:w="2769" w:type="dxa"/>
          </w:tcPr>
          <w:p w14:paraId="22062CF1">
            <w:pPr>
              <w:pStyle w:val="4"/>
            </w:pPr>
            <w:r>
              <w:rPr>
                <w:rFonts w:ascii="仿宋_GB2312" w:hAnsi="仿宋_GB2312" w:eastAsia="仿宋_GB2312" w:cs="仿宋_GB2312"/>
              </w:rPr>
              <w:t>法定代表人直接参加磋商的，须出具法人身份证;法定代表人授权代表参加磋商的，须出具法定代表人授权书及授权代表身份证;</w:t>
            </w:r>
          </w:p>
        </w:tc>
      </w:tr>
      <w:tr w14:paraId="1DD12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7E9C03">
            <w:pPr>
              <w:pStyle w:val="4"/>
            </w:pPr>
            <w:r>
              <w:rPr>
                <w:rFonts w:ascii="仿宋_GB2312" w:hAnsi="仿宋_GB2312" w:eastAsia="仿宋_GB2312" w:cs="仿宋_GB2312"/>
              </w:rPr>
              <w:t>4</w:t>
            </w:r>
          </w:p>
        </w:tc>
        <w:tc>
          <w:tcPr>
            <w:tcW w:w="2769" w:type="dxa"/>
          </w:tcPr>
          <w:p w14:paraId="41618088">
            <w:pPr>
              <w:pStyle w:val="4"/>
            </w:pPr>
            <w:r>
              <w:rPr>
                <w:rFonts w:ascii="仿宋_GB2312" w:hAnsi="仿宋_GB2312" w:eastAsia="仿宋_GB2312" w:cs="仿宋_GB2312"/>
              </w:rPr>
              <w:t>财务及信誉要求</w:t>
            </w:r>
          </w:p>
        </w:tc>
        <w:tc>
          <w:tcPr>
            <w:tcW w:w="2769" w:type="dxa"/>
          </w:tcPr>
          <w:p w14:paraId="544BECAA">
            <w:pPr>
              <w:pStyle w:val="4"/>
            </w:pPr>
            <w:r>
              <w:rPr>
                <w:rFonts w:ascii="仿宋_GB2312" w:hAnsi="仿宋_GB2312" w:eastAsia="仿宋_GB2312" w:cs="仿宋_GB2312"/>
              </w:rPr>
              <w:t>具有良好的商业信誉和健全的财务会计制度，具有履行合同所必需的设备和专业技术能力，具有依法缴纳税收和社会保障金的良好记录，参加本项目采购活动前三年内无重大违法活动记录，未列入在信用中国网站“失信被执行人”、“重大税收违法案件当事人名单”中(wwW.Creditchina.gov.Cn)，也未列入中国政府采购网"政府采购严重违法失信行为记录名单”中wwW.Ccgp.gov.cn)，供应商应按照汉中市财政局《关于全面推行政府采购供应商基本资格条件承诺制的通知》(汉采办采管[2024]20号)文件要求，提供资格承诺函;(承诺函模板详见磋商文件格式);</w:t>
            </w:r>
          </w:p>
        </w:tc>
      </w:tr>
    </w:tbl>
    <w:p w14:paraId="1EB977A8">
      <w:pPr>
        <w:pStyle w:val="4"/>
      </w:pPr>
      <w:r>
        <w:rPr>
          <w:rFonts w:ascii="仿宋_GB2312" w:hAnsi="仿宋_GB2312" w:eastAsia="仿宋_GB2312" w:cs="仿宋_GB2312"/>
        </w:rPr>
        <w:t>9、分包的评审条款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516"/>
        <w:gridCol w:w="1384"/>
        <w:gridCol w:w="1384"/>
      </w:tblGrid>
      <w:tr w14:paraId="24073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B03EEC5">
            <w:pPr>
              <w:pStyle w:val="4"/>
            </w:pPr>
            <w:r>
              <w:rPr>
                <w:rFonts w:ascii="仿宋_GB2312" w:hAnsi="仿宋_GB2312" w:eastAsia="仿宋_GB2312" w:cs="仿宋_GB2312"/>
              </w:rPr>
              <w:t>评审项编号</w:t>
            </w:r>
          </w:p>
        </w:tc>
        <w:tc>
          <w:tcPr>
            <w:tcW w:w="1384" w:type="dxa"/>
          </w:tcPr>
          <w:p w14:paraId="66BFFB87">
            <w:pPr>
              <w:pStyle w:val="4"/>
            </w:pPr>
            <w:r>
              <w:rPr>
                <w:rFonts w:ascii="仿宋_GB2312" w:hAnsi="仿宋_GB2312" w:eastAsia="仿宋_GB2312" w:cs="仿宋_GB2312"/>
              </w:rPr>
              <w:t>一级评审项</w:t>
            </w:r>
          </w:p>
        </w:tc>
        <w:tc>
          <w:tcPr>
            <w:tcW w:w="1384" w:type="dxa"/>
          </w:tcPr>
          <w:p w14:paraId="65685063">
            <w:pPr>
              <w:pStyle w:val="4"/>
            </w:pPr>
            <w:r>
              <w:rPr>
                <w:rFonts w:ascii="仿宋_GB2312" w:hAnsi="仿宋_GB2312" w:eastAsia="仿宋_GB2312" w:cs="仿宋_GB2312"/>
              </w:rPr>
              <w:t>二级评审项</w:t>
            </w:r>
          </w:p>
        </w:tc>
        <w:tc>
          <w:tcPr>
            <w:tcW w:w="1384" w:type="dxa"/>
          </w:tcPr>
          <w:p w14:paraId="5979FAF2">
            <w:pPr>
              <w:pStyle w:val="4"/>
            </w:pPr>
            <w:r>
              <w:rPr>
                <w:rFonts w:ascii="仿宋_GB2312" w:hAnsi="仿宋_GB2312" w:eastAsia="仿宋_GB2312" w:cs="仿宋_GB2312"/>
              </w:rPr>
              <w:t>详细要求</w:t>
            </w:r>
          </w:p>
        </w:tc>
        <w:tc>
          <w:tcPr>
            <w:tcW w:w="1384" w:type="dxa"/>
          </w:tcPr>
          <w:p w14:paraId="7485D352">
            <w:pPr>
              <w:pStyle w:val="4"/>
            </w:pPr>
            <w:r>
              <w:rPr>
                <w:rFonts w:ascii="仿宋_GB2312" w:hAnsi="仿宋_GB2312" w:eastAsia="仿宋_GB2312" w:cs="仿宋_GB2312"/>
              </w:rPr>
              <w:t>分值</w:t>
            </w:r>
          </w:p>
        </w:tc>
        <w:tc>
          <w:tcPr>
            <w:tcW w:w="1384" w:type="dxa"/>
          </w:tcPr>
          <w:p w14:paraId="7BFE5DE3">
            <w:pPr>
              <w:pStyle w:val="4"/>
            </w:pPr>
            <w:r>
              <w:rPr>
                <w:rFonts w:ascii="仿宋_GB2312" w:hAnsi="仿宋_GB2312" w:eastAsia="仿宋_GB2312" w:cs="仿宋_GB2312"/>
              </w:rPr>
              <w:t>客观评审项</w:t>
            </w:r>
          </w:p>
        </w:tc>
      </w:tr>
      <w:tr w14:paraId="3B1E3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EF01196">
            <w:pPr>
              <w:pStyle w:val="4"/>
            </w:pPr>
            <w:r>
              <w:rPr>
                <w:rFonts w:ascii="仿宋_GB2312" w:hAnsi="仿宋_GB2312" w:eastAsia="仿宋_GB2312" w:cs="仿宋_GB2312"/>
              </w:rPr>
              <w:t>1</w:t>
            </w:r>
          </w:p>
        </w:tc>
        <w:tc>
          <w:tcPr>
            <w:tcW w:w="1384" w:type="dxa"/>
          </w:tcPr>
          <w:p w14:paraId="7BA6E3E5">
            <w:pPr>
              <w:pStyle w:val="4"/>
            </w:pPr>
            <w:r>
              <w:rPr>
                <w:rFonts w:ascii="仿宋_GB2312" w:hAnsi="仿宋_GB2312" w:eastAsia="仿宋_GB2312" w:cs="仿宋_GB2312"/>
              </w:rPr>
              <w:t>详细评审</w:t>
            </w:r>
          </w:p>
        </w:tc>
        <w:tc>
          <w:tcPr>
            <w:tcW w:w="1384" w:type="dxa"/>
          </w:tcPr>
          <w:p w14:paraId="746CA11C">
            <w:pPr>
              <w:pStyle w:val="4"/>
            </w:pPr>
            <w:r>
              <w:rPr>
                <w:rFonts w:ascii="仿宋_GB2312" w:hAnsi="仿宋_GB2312" w:eastAsia="仿宋_GB2312" w:cs="仿宋_GB2312"/>
              </w:rPr>
              <w:t>施工方案</w:t>
            </w:r>
          </w:p>
        </w:tc>
        <w:tc>
          <w:tcPr>
            <w:tcW w:w="1384" w:type="dxa"/>
          </w:tcPr>
          <w:p w14:paraId="02B07613">
            <w:pPr>
              <w:pStyle w:val="4"/>
            </w:pPr>
            <w:r>
              <w:rPr>
                <w:rFonts w:ascii="仿宋_GB2312" w:hAnsi="仿宋_GB2312" w:eastAsia="仿宋_GB2312" w:cs="仿宋_GB2312"/>
              </w:rPr>
              <w:t>施工方案全面、合理，施工方法先进，可行性强，完全满足工程施工要求的得（8.0--12.0）分； 施工方案全面、合理，施工方法较先进，有一定的可行性，能满足工程施工要求的得（4.0-7.9）分； 施工方案存在部分不完整，施工方法针对本项目基本可行的得（1.0-3.9）分； 未提供的不得分。</w:t>
            </w:r>
          </w:p>
        </w:tc>
        <w:tc>
          <w:tcPr>
            <w:tcW w:w="1384" w:type="dxa"/>
          </w:tcPr>
          <w:p w14:paraId="3CFFE006">
            <w:pPr>
              <w:pStyle w:val="4"/>
              <w:jc w:val="right"/>
            </w:pPr>
            <w:r>
              <w:rPr>
                <w:rFonts w:ascii="仿宋_GB2312" w:hAnsi="仿宋_GB2312" w:eastAsia="仿宋_GB2312" w:cs="仿宋_GB2312"/>
              </w:rPr>
              <w:t>12.0000</w:t>
            </w:r>
          </w:p>
        </w:tc>
        <w:tc>
          <w:tcPr>
            <w:tcW w:w="1384" w:type="dxa"/>
          </w:tcPr>
          <w:p w14:paraId="206763D2">
            <w:pPr>
              <w:pStyle w:val="4"/>
            </w:pPr>
            <w:r>
              <w:rPr>
                <w:rFonts w:ascii="仿宋_GB2312" w:hAnsi="仿宋_GB2312" w:eastAsia="仿宋_GB2312" w:cs="仿宋_GB2312"/>
              </w:rPr>
              <w:t>否</w:t>
            </w:r>
          </w:p>
        </w:tc>
      </w:tr>
      <w:tr w14:paraId="16872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57E43F4">
            <w:pPr>
              <w:pStyle w:val="4"/>
            </w:pPr>
            <w:r>
              <w:rPr>
                <w:rFonts w:ascii="仿宋_GB2312" w:hAnsi="仿宋_GB2312" w:eastAsia="仿宋_GB2312" w:cs="仿宋_GB2312"/>
              </w:rPr>
              <w:t>2</w:t>
            </w:r>
          </w:p>
        </w:tc>
        <w:tc>
          <w:tcPr>
            <w:tcW w:w="1384" w:type="dxa"/>
          </w:tcPr>
          <w:p w14:paraId="2E98CE8E">
            <w:pPr>
              <w:pStyle w:val="4"/>
            </w:pPr>
            <w:r>
              <w:rPr>
                <w:rFonts w:ascii="仿宋_GB2312" w:hAnsi="仿宋_GB2312" w:eastAsia="仿宋_GB2312" w:cs="仿宋_GB2312"/>
              </w:rPr>
              <w:t>详细评审</w:t>
            </w:r>
          </w:p>
        </w:tc>
        <w:tc>
          <w:tcPr>
            <w:tcW w:w="1384" w:type="dxa"/>
          </w:tcPr>
          <w:p w14:paraId="5C8E5013">
            <w:pPr>
              <w:pStyle w:val="4"/>
            </w:pPr>
            <w:r>
              <w:rPr>
                <w:rFonts w:ascii="仿宋_GB2312" w:hAnsi="仿宋_GB2312" w:eastAsia="仿宋_GB2312" w:cs="仿宋_GB2312"/>
              </w:rPr>
              <w:t>确保工程质量的技术组织措施</w:t>
            </w:r>
          </w:p>
        </w:tc>
        <w:tc>
          <w:tcPr>
            <w:tcW w:w="1384" w:type="dxa"/>
          </w:tcPr>
          <w:p w14:paraId="5D2ED8FA">
            <w:pPr>
              <w:pStyle w:val="4"/>
            </w:pPr>
            <w:r>
              <w:rPr>
                <w:rFonts w:ascii="仿宋_GB2312" w:hAnsi="仿宋_GB2312" w:eastAsia="仿宋_GB2312" w:cs="仿宋_GB2312"/>
              </w:rPr>
              <w:t>有清晰合理的质量保证措施，实施方法安排合理，可行性强，具有详细明确的质量保证措施实施计划，能够确保工程保质完成的得（8.0--12.0）分； 质量保证措施安排合理，有一定的可行性，实施计划基本明确的能够基本保证项目完成质量的得（4.0-7.9）分； 质量保证措施安排合理性、可行性均较差的得（1.0-3.9）； 未提供的不得分。</w:t>
            </w:r>
          </w:p>
        </w:tc>
        <w:tc>
          <w:tcPr>
            <w:tcW w:w="1384" w:type="dxa"/>
          </w:tcPr>
          <w:p w14:paraId="2D2DE66D">
            <w:pPr>
              <w:pStyle w:val="4"/>
              <w:jc w:val="right"/>
            </w:pPr>
            <w:r>
              <w:rPr>
                <w:rFonts w:ascii="仿宋_GB2312" w:hAnsi="仿宋_GB2312" w:eastAsia="仿宋_GB2312" w:cs="仿宋_GB2312"/>
              </w:rPr>
              <w:t>12.0000</w:t>
            </w:r>
          </w:p>
        </w:tc>
        <w:tc>
          <w:tcPr>
            <w:tcW w:w="1384" w:type="dxa"/>
          </w:tcPr>
          <w:p w14:paraId="2DC5D314">
            <w:pPr>
              <w:pStyle w:val="4"/>
            </w:pPr>
            <w:r>
              <w:rPr>
                <w:rFonts w:ascii="仿宋_GB2312" w:hAnsi="仿宋_GB2312" w:eastAsia="仿宋_GB2312" w:cs="仿宋_GB2312"/>
              </w:rPr>
              <w:t>否</w:t>
            </w:r>
          </w:p>
        </w:tc>
      </w:tr>
      <w:tr w14:paraId="1AF7D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7544A62">
            <w:pPr>
              <w:pStyle w:val="4"/>
            </w:pPr>
            <w:r>
              <w:rPr>
                <w:rFonts w:ascii="仿宋_GB2312" w:hAnsi="仿宋_GB2312" w:eastAsia="仿宋_GB2312" w:cs="仿宋_GB2312"/>
              </w:rPr>
              <w:t>3</w:t>
            </w:r>
          </w:p>
        </w:tc>
        <w:tc>
          <w:tcPr>
            <w:tcW w:w="1384" w:type="dxa"/>
          </w:tcPr>
          <w:p w14:paraId="79010F54">
            <w:pPr>
              <w:pStyle w:val="4"/>
            </w:pPr>
            <w:r>
              <w:rPr>
                <w:rFonts w:ascii="仿宋_GB2312" w:hAnsi="仿宋_GB2312" w:eastAsia="仿宋_GB2312" w:cs="仿宋_GB2312"/>
              </w:rPr>
              <w:t>详细评审</w:t>
            </w:r>
          </w:p>
        </w:tc>
        <w:tc>
          <w:tcPr>
            <w:tcW w:w="1384" w:type="dxa"/>
          </w:tcPr>
          <w:p w14:paraId="30B1663A">
            <w:pPr>
              <w:pStyle w:val="4"/>
            </w:pPr>
            <w:r>
              <w:rPr>
                <w:rFonts w:ascii="仿宋_GB2312" w:hAnsi="仿宋_GB2312" w:eastAsia="仿宋_GB2312" w:cs="仿宋_GB2312"/>
              </w:rPr>
              <w:t>确保安全生产的技术组织措施</w:t>
            </w:r>
          </w:p>
        </w:tc>
        <w:tc>
          <w:tcPr>
            <w:tcW w:w="1384" w:type="dxa"/>
          </w:tcPr>
          <w:p w14:paraId="2E8C4F30">
            <w:pPr>
              <w:pStyle w:val="4"/>
            </w:pPr>
            <w:r>
              <w:rPr>
                <w:rFonts w:ascii="仿宋_GB2312" w:hAnsi="仿宋_GB2312" w:eastAsia="仿宋_GB2312" w:cs="仿宋_GB2312"/>
              </w:rPr>
              <w:t>措施完整全面，能够从多方面保证安全生产，且合理性、可行性强的得（8.0--12.0）分；措施基本完整全面，能从多个方面确保安全生产，基本合理、可行的得（4.0-7.9）分；措施不完整、全面，但有一定的可行性的得（1.0-3.9）分；未提供的不得分。</w:t>
            </w:r>
          </w:p>
        </w:tc>
        <w:tc>
          <w:tcPr>
            <w:tcW w:w="1384" w:type="dxa"/>
          </w:tcPr>
          <w:p w14:paraId="4F1191AD">
            <w:pPr>
              <w:pStyle w:val="4"/>
              <w:jc w:val="right"/>
            </w:pPr>
            <w:r>
              <w:rPr>
                <w:rFonts w:ascii="仿宋_GB2312" w:hAnsi="仿宋_GB2312" w:eastAsia="仿宋_GB2312" w:cs="仿宋_GB2312"/>
              </w:rPr>
              <w:t>12.0000</w:t>
            </w:r>
          </w:p>
        </w:tc>
        <w:tc>
          <w:tcPr>
            <w:tcW w:w="1384" w:type="dxa"/>
          </w:tcPr>
          <w:p w14:paraId="654B57C4">
            <w:pPr>
              <w:pStyle w:val="4"/>
            </w:pPr>
            <w:r>
              <w:rPr>
                <w:rFonts w:ascii="仿宋_GB2312" w:hAnsi="仿宋_GB2312" w:eastAsia="仿宋_GB2312" w:cs="仿宋_GB2312"/>
              </w:rPr>
              <w:t>否</w:t>
            </w:r>
          </w:p>
        </w:tc>
      </w:tr>
      <w:tr w14:paraId="37BD2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2A63CA4">
            <w:pPr>
              <w:pStyle w:val="4"/>
            </w:pPr>
            <w:r>
              <w:rPr>
                <w:rFonts w:ascii="仿宋_GB2312" w:hAnsi="仿宋_GB2312" w:eastAsia="仿宋_GB2312" w:cs="仿宋_GB2312"/>
              </w:rPr>
              <w:t>4</w:t>
            </w:r>
          </w:p>
        </w:tc>
        <w:tc>
          <w:tcPr>
            <w:tcW w:w="1384" w:type="dxa"/>
          </w:tcPr>
          <w:p w14:paraId="7433A0A1">
            <w:pPr>
              <w:pStyle w:val="4"/>
            </w:pPr>
            <w:r>
              <w:rPr>
                <w:rFonts w:ascii="仿宋_GB2312" w:hAnsi="仿宋_GB2312" w:eastAsia="仿宋_GB2312" w:cs="仿宋_GB2312"/>
              </w:rPr>
              <w:t>详细评审</w:t>
            </w:r>
          </w:p>
        </w:tc>
        <w:tc>
          <w:tcPr>
            <w:tcW w:w="1384" w:type="dxa"/>
          </w:tcPr>
          <w:p w14:paraId="142C048F">
            <w:pPr>
              <w:pStyle w:val="4"/>
            </w:pPr>
            <w:r>
              <w:rPr>
                <w:rFonts w:ascii="仿宋_GB2312" w:hAnsi="仿宋_GB2312" w:eastAsia="仿宋_GB2312" w:cs="仿宋_GB2312"/>
              </w:rPr>
              <w:t>确保文明施工的技术措施及环境保护措施</w:t>
            </w:r>
          </w:p>
        </w:tc>
        <w:tc>
          <w:tcPr>
            <w:tcW w:w="1384" w:type="dxa"/>
          </w:tcPr>
          <w:p w14:paraId="4839F840">
            <w:pPr>
              <w:pStyle w:val="4"/>
            </w:pPr>
            <w:r>
              <w:rPr>
                <w:rFonts w:ascii="仿宋_GB2312" w:hAnsi="仿宋_GB2312" w:eastAsia="仿宋_GB2312" w:cs="仿宋_GB2312"/>
              </w:rPr>
              <w:t>措施全面、完整，能从多方面确保文明施工、考虑影响环境得因素，并提出相关解决和防治措施，实施度高、可落地性强，可确保达到环境保护的要求得（8.0--12.0）分； 措施基本全面、完整，基本有一定的可行性，能基本满足文明施工、环境保护要求的得（4.0-7.9）分 措施存在较大不合理性、内容简单的得（1.0-3.9）分； 未提供的不得分。</w:t>
            </w:r>
          </w:p>
        </w:tc>
        <w:tc>
          <w:tcPr>
            <w:tcW w:w="1384" w:type="dxa"/>
          </w:tcPr>
          <w:p w14:paraId="08CBC4E4">
            <w:pPr>
              <w:pStyle w:val="4"/>
              <w:jc w:val="right"/>
            </w:pPr>
            <w:r>
              <w:rPr>
                <w:rFonts w:ascii="仿宋_GB2312" w:hAnsi="仿宋_GB2312" w:eastAsia="仿宋_GB2312" w:cs="仿宋_GB2312"/>
              </w:rPr>
              <w:t>12.0000</w:t>
            </w:r>
          </w:p>
        </w:tc>
        <w:tc>
          <w:tcPr>
            <w:tcW w:w="1384" w:type="dxa"/>
          </w:tcPr>
          <w:p w14:paraId="0BF6233E">
            <w:pPr>
              <w:pStyle w:val="4"/>
            </w:pPr>
            <w:r>
              <w:rPr>
                <w:rFonts w:ascii="仿宋_GB2312" w:hAnsi="仿宋_GB2312" w:eastAsia="仿宋_GB2312" w:cs="仿宋_GB2312"/>
              </w:rPr>
              <w:t>否</w:t>
            </w:r>
          </w:p>
        </w:tc>
      </w:tr>
      <w:tr w14:paraId="1C469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5C3515B">
            <w:pPr>
              <w:pStyle w:val="4"/>
            </w:pPr>
            <w:r>
              <w:rPr>
                <w:rFonts w:ascii="仿宋_GB2312" w:hAnsi="仿宋_GB2312" w:eastAsia="仿宋_GB2312" w:cs="仿宋_GB2312"/>
              </w:rPr>
              <w:t>5</w:t>
            </w:r>
          </w:p>
        </w:tc>
        <w:tc>
          <w:tcPr>
            <w:tcW w:w="1384" w:type="dxa"/>
          </w:tcPr>
          <w:p w14:paraId="259E90D2">
            <w:pPr>
              <w:pStyle w:val="4"/>
            </w:pPr>
            <w:r>
              <w:rPr>
                <w:rFonts w:ascii="仿宋_GB2312" w:hAnsi="仿宋_GB2312" w:eastAsia="仿宋_GB2312" w:cs="仿宋_GB2312"/>
              </w:rPr>
              <w:t>详细评审</w:t>
            </w:r>
          </w:p>
        </w:tc>
        <w:tc>
          <w:tcPr>
            <w:tcW w:w="1384" w:type="dxa"/>
          </w:tcPr>
          <w:p w14:paraId="249044C4">
            <w:pPr>
              <w:pStyle w:val="4"/>
            </w:pPr>
            <w:r>
              <w:rPr>
                <w:rFonts w:ascii="仿宋_GB2312" w:hAnsi="仿宋_GB2312" w:eastAsia="仿宋_GB2312" w:cs="仿宋_GB2312"/>
              </w:rPr>
              <w:t>确保工期的技术组织措施</w:t>
            </w:r>
          </w:p>
        </w:tc>
        <w:tc>
          <w:tcPr>
            <w:tcW w:w="1384" w:type="dxa"/>
          </w:tcPr>
          <w:p w14:paraId="0126EFD1">
            <w:pPr>
              <w:pStyle w:val="4"/>
            </w:pPr>
            <w:r>
              <w:rPr>
                <w:rFonts w:ascii="仿宋_GB2312" w:hAnsi="仿宋_GB2312" w:eastAsia="仿宋_GB2312" w:cs="仿宋_GB2312"/>
              </w:rPr>
              <w:t>有清晰合理的工期计划措施，实施进度安排合理，可行性强，具有详细明确的实施进度计划表，能够确保工程如期保质完成的得（8.0--12.0）分； 进度安排合理，有一定的可行性，实施进度计划基本明确的能够基本保证项目如期完成的得（4.0-7.9）分； 进度安排合理性、可行性均较差的得（1.0-3.9）分； 未提供的不得分。</w:t>
            </w:r>
          </w:p>
        </w:tc>
        <w:tc>
          <w:tcPr>
            <w:tcW w:w="1384" w:type="dxa"/>
          </w:tcPr>
          <w:p w14:paraId="46068BBD">
            <w:pPr>
              <w:pStyle w:val="4"/>
              <w:jc w:val="right"/>
            </w:pPr>
            <w:r>
              <w:rPr>
                <w:rFonts w:ascii="仿宋_GB2312" w:hAnsi="仿宋_GB2312" w:eastAsia="仿宋_GB2312" w:cs="仿宋_GB2312"/>
              </w:rPr>
              <w:t>12.0000</w:t>
            </w:r>
          </w:p>
        </w:tc>
        <w:tc>
          <w:tcPr>
            <w:tcW w:w="1384" w:type="dxa"/>
          </w:tcPr>
          <w:p w14:paraId="349AB6EF">
            <w:pPr>
              <w:pStyle w:val="4"/>
            </w:pPr>
            <w:r>
              <w:rPr>
                <w:rFonts w:ascii="仿宋_GB2312" w:hAnsi="仿宋_GB2312" w:eastAsia="仿宋_GB2312" w:cs="仿宋_GB2312"/>
              </w:rPr>
              <w:t>否</w:t>
            </w:r>
          </w:p>
        </w:tc>
      </w:tr>
      <w:tr w14:paraId="3CD3B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092E309">
            <w:pPr>
              <w:pStyle w:val="4"/>
            </w:pPr>
            <w:r>
              <w:rPr>
                <w:rFonts w:ascii="仿宋_GB2312" w:hAnsi="仿宋_GB2312" w:eastAsia="仿宋_GB2312" w:cs="仿宋_GB2312"/>
              </w:rPr>
              <w:t>6</w:t>
            </w:r>
          </w:p>
        </w:tc>
        <w:tc>
          <w:tcPr>
            <w:tcW w:w="1384" w:type="dxa"/>
          </w:tcPr>
          <w:p w14:paraId="61ACD76F">
            <w:pPr>
              <w:pStyle w:val="4"/>
            </w:pPr>
            <w:r>
              <w:rPr>
                <w:rFonts w:ascii="仿宋_GB2312" w:hAnsi="仿宋_GB2312" w:eastAsia="仿宋_GB2312" w:cs="仿宋_GB2312"/>
              </w:rPr>
              <w:t>详细评审</w:t>
            </w:r>
          </w:p>
        </w:tc>
        <w:tc>
          <w:tcPr>
            <w:tcW w:w="1384" w:type="dxa"/>
          </w:tcPr>
          <w:p w14:paraId="5703300E">
            <w:pPr>
              <w:pStyle w:val="4"/>
            </w:pPr>
            <w:r>
              <w:rPr>
                <w:rFonts w:ascii="仿宋_GB2312" w:hAnsi="仿宋_GB2312" w:eastAsia="仿宋_GB2312" w:cs="仿宋_GB2312"/>
              </w:rPr>
              <w:t>企业类似项目业绩</w:t>
            </w:r>
          </w:p>
        </w:tc>
        <w:tc>
          <w:tcPr>
            <w:tcW w:w="1384" w:type="dxa"/>
          </w:tcPr>
          <w:p w14:paraId="0D5A35D1">
            <w:pPr>
              <w:pStyle w:val="4"/>
            </w:pPr>
            <w:r>
              <w:rPr>
                <w:rFonts w:ascii="仿宋_GB2312" w:hAnsi="仿宋_GB2312" w:eastAsia="仿宋_GB2312" w:cs="仿宋_GB2312"/>
              </w:rPr>
              <w:t>2023年1月至今，投标企业，承担过类似项目业绩，以合同或中标/成交通知书复印件并加盖单位公章为准，否则不得分。 每有1项得3分，最高得3分。</w:t>
            </w:r>
          </w:p>
        </w:tc>
        <w:tc>
          <w:tcPr>
            <w:tcW w:w="1384" w:type="dxa"/>
          </w:tcPr>
          <w:p w14:paraId="4D8F2CD0">
            <w:pPr>
              <w:pStyle w:val="4"/>
              <w:jc w:val="right"/>
            </w:pPr>
            <w:r>
              <w:rPr>
                <w:rFonts w:ascii="仿宋_GB2312" w:hAnsi="仿宋_GB2312" w:eastAsia="仿宋_GB2312" w:cs="仿宋_GB2312"/>
              </w:rPr>
              <w:t>3.0000</w:t>
            </w:r>
          </w:p>
        </w:tc>
        <w:tc>
          <w:tcPr>
            <w:tcW w:w="1384" w:type="dxa"/>
          </w:tcPr>
          <w:p w14:paraId="2356A195">
            <w:pPr>
              <w:pStyle w:val="4"/>
            </w:pPr>
            <w:r>
              <w:rPr>
                <w:rFonts w:ascii="仿宋_GB2312" w:hAnsi="仿宋_GB2312" w:eastAsia="仿宋_GB2312" w:cs="仿宋_GB2312"/>
              </w:rPr>
              <w:t>是</w:t>
            </w:r>
          </w:p>
        </w:tc>
      </w:tr>
      <w:tr w14:paraId="1F552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5F1B034">
            <w:pPr>
              <w:pStyle w:val="4"/>
            </w:pPr>
            <w:r>
              <w:rPr>
                <w:rFonts w:ascii="仿宋_GB2312" w:hAnsi="仿宋_GB2312" w:eastAsia="仿宋_GB2312" w:cs="仿宋_GB2312"/>
              </w:rPr>
              <w:t>7</w:t>
            </w:r>
          </w:p>
        </w:tc>
        <w:tc>
          <w:tcPr>
            <w:tcW w:w="1384" w:type="dxa"/>
          </w:tcPr>
          <w:p w14:paraId="54F4F4D2">
            <w:pPr>
              <w:pStyle w:val="4"/>
            </w:pPr>
            <w:r>
              <w:rPr>
                <w:rFonts w:ascii="仿宋_GB2312" w:hAnsi="仿宋_GB2312" w:eastAsia="仿宋_GB2312" w:cs="仿宋_GB2312"/>
              </w:rPr>
              <w:t>详细评审</w:t>
            </w:r>
          </w:p>
        </w:tc>
        <w:tc>
          <w:tcPr>
            <w:tcW w:w="1384" w:type="dxa"/>
          </w:tcPr>
          <w:p w14:paraId="0602FB02">
            <w:pPr>
              <w:pStyle w:val="4"/>
            </w:pPr>
            <w:r>
              <w:rPr>
                <w:rFonts w:ascii="仿宋_GB2312" w:hAnsi="仿宋_GB2312" w:eastAsia="仿宋_GB2312" w:cs="仿宋_GB2312"/>
              </w:rPr>
              <w:t>项目负责人类似业绩</w:t>
            </w:r>
          </w:p>
        </w:tc>
        <w:tc>
          <w:tcPr>
            <w:tcW w:w="1384" w:type="dxa"/>
          </w:tcPr>
          <w:p w14:paraId="463D694D">
            <w:pPr>
              <w:pStyle w:val="4"/>
            </w:pPr>
            <w:r>
              <w:rPr>
                <w:rFonts w:ascii="仿宋_GB2312" w:hAnsi="仿宋_GB2312" w:eastAsia="仿宋_GB2312" w:cs="仿宋_GB2312"/>
              </w:rPr>
              <w:t>2023年1月至今，项目负责人，承担过类似项目业绩，以合同或中标/成交通知书为准，否则不得分。 每有1项得2分，最高得2分。 注：项目负责人业绩为本公司业绩，可以累加到企业业绩。</w:t>
            </w:r>
          </w:p>
        </w:tc>
        <w:tc>
          <w:tcPr>
            <w:tcW w:w="1384" w:type="dxa"/>
          </w:tcPr>
          <w:p w14:paraId="18D7F9BD">
            <w:pPr>
              <w:pStyle w:val="4"/>
              <w:jc w:val="right"/>
            </w:pPr>
            <w:r>
              <w:rPr>
                <w:rFonts w:ascii="仿宋_GB2312" w:hAnsi="仿宋_GB2312" w:eastAsia="仿宋_GB2312" w:cs="仿宋_GB2312"/>
              </w:rPr>
              <w:t>2.0000</w:t>
            </w:r>
          </w:p>
        </w:tc>
        <w:tc>
          <w:tcPr>
            <w:tcW w:w="1384" w:type="dxa"/>
          </w:tcPr>
          <w:p w14:paraId="499974D8">
            <w:pPr>
              <w:pStyle w:val="4"/>
            </w:pPr>
            <w:r>
              <w:rPr>
                <w:rFonts w:ascii="仿宋_GB2312" w:hAnsi="仿宋_GB2312" w:eastAsia="仿宋_GB2312" w:cs="仿宋_GB2312"/>
              </w:rPr>
              <w:t>是</w:t>
            </w:r>
          </w:p>
        </w:tc>
      </w:tr>
      <w:tr w14:paraId="0A1F9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DC222EB">
            <w:pPr>
              <w:pStyle w:val="4"/>
            </w:pPr>
            <w:r>
              <w:rPr>
                <w:rFonts w:ascii="仿宋_GB2312" w:hAnsi="仿宋_GB2312" w:eastAsia="仿宋_GB2312" w:cs="仿宋_GB2312"/>
              </w:rPr>
              <w:t>8</w:t>
            </w:r>
          </w:p>
        </w:tc>
        <w:tc>
          <w:tcPr>
            <w:tcW w:w="1384" w:type="dxa"/>
          </w:tcPr>
          <w:p w14:paraId="6418147A">
            <w:pPr>
              <w:pStyle w:val="4"/>
            </w:pPr>
            <w:r>
              <w:rPr>
                <w:rFonts w:ascii="仿宋_GB2312" w:hAnsi="仿宋_GB2312" w:eastAsia="仿宋_GB2312" w:cs="仿宋_GB2312"/>
              </w:rPr>
              <w:t>详细评审</w:t>
            </w:r>
          </w:p>
        </w:tc>
        <w:tc>
          <w:tcPr>
            <w:tcW w:w="1384" w:type="dxa"/>
          </w:tcPr>
          <w:p w14:paraId="31C0C9D8">
            <w:pPr>
              <w:pStyle w:val="4"/>
            </w:pPr>
            <w:r>
              <w:rPr>
                <w:rFonts w:ascii="仿宋_GB2312" w:hAnsi="仿宋_GB2312" w:eastAsia="仿宋_GB2312" w:cs="仿宋_GB2312"/>
              </w:rPr>
              <w:t>项目管理机构配置</w:t>
            </w:r>
          </w:p>
        </w:tc>
        <w:tc>
          <w:tcPr>
            <w:tcW w:w="1384" w:type="dxa"/>
          </w:tcPr>
          <w:p w14:paraId="5E741500">
            <w:pPr>
              <w:pStyle w:val="4"/>
            </w:pPr>
            <w:r>
              <w:rPr>
                <w:rFonts w:ascii="仿宋_GB2312" w:hAnsi="仿宋_GB2312" w:eastAsia="仿宋_GB2312" w:cs="仿宋_GB2312"/>
              </w:rPr>
              <w:t>1、拟派项目负责人具备工程类或相关类别中级以上职称得2分；2、拟派技术负责人具备工程类或相关类别中级以上职称得2分，拟派技术负责人具备工程类或相关类别高级及以上职称得3分</w:t>
            </w:r>
          </w:p>
        </w:tc>
        <w:tc>
          <w:tcPr>
            <w:tcW w:w="1384" w:type="dxa"/>
          </w:tcPr>
          <w:p w14:paraId="3973B108">
            <w:pPr>
              <w:pStyle w:val="4"/>
              <w:jc w:val="right"/>
            </w:pPr>
            <w:r>
              <w:rPr>
                <w:rFonts w:ascii="仿宋_GB2312" w:hAnsi="仿宋_GB2312" w:eastAsia="仿宋_GB2312" w:cs="仿宋_GB2312"/>
              </w:rPr>
              <w:t>5.0000</w:t>
            </w:r>
          </w:p>
        </w:tc>
        <w:tc>
          <w:tcPr>
            <w:tcW w:w="1384" w:type="dxa"/>
          </w:tcPr>
          <w:p w14:paraId="152DCD5E">
            <w:pPr>
              <w:pStyle w:val="4"/>
            </w:pPr>
            <w:r>
              <w:rPr>
                <w:rFonts w:ascii="仿宋_GB2312" w:hAnsi="仿宋_GB2312" w:eastAsia="仿宋_GB2312" w:cs="仿宋_GB2312"/>
              </w:rPr>
              <w:t>是</w:t>
            </w:r>
          </w:p>
        </w:tc>
      </w:tr>
      <w:tr w14:paraId="722F9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414254F">
            <w:pPr>
              <w:pStyle w:val="4"/>
            </w:pPr>
            <w:r>
              <w:rPr>
                <w:rFonts w:ascii="仿宋_GB2312" w:hAnsi="仿宋_GB2312" w:eastAsia="仿宋_GB2312" w:cs="仿宋_GB2312"/>
              </w:rPr>
              <w:t>1</w:t>
            </w:r>
          </w:p>
        </w:tc>
        <w:tc>
          <w:tcPr>
            <w:tcW w:w="1384" w:type="dxa"/>
          </w:tcPr>
          <w:p w14:paraId="201456C2">
            <w:pPr>
              <w:pStyle w:val="4"/>
            </w:pPr>
            <w:r>
              <w:rPr>
                <w:rFonts w:ascii="仿宋_GB2312" w:hAnsi="仿宋_GB2312" w:eastAsia="仿宋_GB2312" w:cs="仿宋_GB2312"/>
              </w:rPr>
              <w:t>价格分</w:t>
            </w:r>
          </w:p>
        </w:tc>
        <w:tc>
          <w:tcPr>
            <w:tcW w:w="1384" w:type="dxa"/>
          </w:tcPr>
          <w:p w14:paraId="69306B48">
            <w:pPr>
              <w:pStyle w:val="4"/>
            </w:pPr>
            <w:r>
              <w:rPr>
                <w:rFonts w:ascii="仿宋_GB2312" w:hAnsi="仿宋_GB2312" w:eastAsia="仿宋_GB2312" w:cs="仿宋_GB2312"/>
              </w:rPr>
              <w:t>价格分</w:t>
            </w:r>
          </w:p>
        </w:tc>
        <w:tc>
          <w:tcPr>
            <w:tcW w:w="1384" w:type="dxa"/>
          </w:tcPr>
          <w:p w14:paraId="234A60BC">
            <w:pPr>
              <w:pStyle w:val="4"/>
            </w:pPr>
            <w:r>
              <w:rPr>
                <w:rFonts w:ascii="仿宋_GB2312" w:hAnsi="仿宋_GB2312" w:eastAsia="仿宋_GB2312" w:cs="仿宋_GB2312"/>
              </w:rPr>
              <w:t>以实质性满足招标文件要求的最低投标价格为基准值，投标报价得分=（评标基准价/投标报价）×30。</w:t>
            </w:r>
          </w:p>
        </w:tc>
        <w:tc>
          <w:tcPr>
            <w:tcW w:w="1384" w:type="dxa"/>
          </w:tcPr>
          <w:p w14:paraId="66DA5803">
            <w:pPr>
              <w:pStyle w:val="4"/>
              <w:jc w:val="right"/>
            </w:pPr>
            <w:r>
              <w:rPr>
                <w:rFonts w:ascii="仿宋_GB2312" w:hAnsi="仿宋_GB2312" w:eastAsia="仿宋_GB2312" w:cs="仿宋_GB2312"/>
              </w:rPr>
              <w:t>30.0000</w:t>
            </w:r>
          </w:p>
        </w:tc>
        <w:tc>
          <w:tcPr>
            <w:tcW w:w="1384" w:type="dxa"/>
          </w:tcPr>
          <w:p w14:paraId="646803A7">
            <w:pPr>
              <w:pStyle w:val="4"/>
            </w:pPr>
            <w:r>
              <w:rPr>
                <w:rFonts w:ascii="仿宋_GB2312" w:hAnsi="仿宋_GB2312" w:eastAsia="仿宋_GB2312" w:cs="仿宋_GB2312"/>
              </w:rPr>
              <w:t>是</w:t>
            </w:r>
          </w:p>
        </w:tc>
      </w:tr>
    </w:tbl>
    <w:p w14:paraId="493B6E8F">
      <w:pPr>
        <w:pStyle w:val="4"/>
      </w:pPr>
      <w:r>
        <w:rPr>
          <w:rFonts w:ascii="仿宋_GB2312" w:hAnsi="仿宋_GB2312" w:eastAsia="仿宋_GB2312" w:cs="仿宋_GB2312"/>
        </w:rPr>
        <w:t>10、合同管理安排</w:t>
      </w:r>
    </w:p>
    <w:p w14:paraId="069E2B4B">
      <w:pPr>
        <w:pStyle w:val="4"/>
        <w:ind w:firstLine="840"/>
      </w:pPr>
      <w:r>
        <w:rPr>
          <w:rFonts w:ascii="仿宋_GB2312" w:hAnsi="仿宋_GB2312" w:eastAsia="仿宋_GB2312" w:cs="仿宋_GB2312"/>
        </w:rPr>
        <w:t>1）合同类型：建设工程合同</w:t>
      </w:r>
    </w:p>
    <w:p w14:paraId="3151D417">
      <w:pPr>
        <w:pStyle w:val="4"/>
        <w:ind w:firstLine="840"/>
      </w:pPr>
      <w:r>
        <w:rPr>
          <w:rFonts w:ascii="仿宋_GB2312" w:hAnsi="仿宋_GB2312" w:eastAsia="仿宋_GB2312" w:cs="仿宋_GB2312"/>
        </w:rPr>
        <w:t>2）合同履行期限： 90日历天</w:t>
      </w:r>
    </w:p>
    <w:p w14:paraId="57907B85">
      <w:pPr>
        <w:pStyle w:val="4"/>
        <w:ind w:firstLine="840"/>
      </w:pPr>
      <w:r>
        <w:rPr>
          <w:rFonts w:ascii="仿宋_GB2312" w:hAnsi="仿宋_GB2312" w:eastAsia="仿宋_GB2312" w:cs="仿宋_GB2312"/>
        </w:rPr>
        <w:t>3）合同履约地点：采购人指定地点</w:t>
      </w:r>
    </w:p>
    <w:p w14:paraId="672A4C3E">
      <w:pPr>
        <w:pStyle w:val="4"/>
        <w:ind w:firstLine="840"/>
      </w:pPr>
      <w:r>
        <w:rPr>
          <w:rFonts w:ascii="仿宋_GB2312" w:hAnsi="仿宋_GB2312" w:eastAsia="仿宋_GB2312" w:cs="仿宋_GB2312"/>
        </w:rPr>
        <w:t>4）支付方式：分期付款</w:t>
      </w:r>
    </w:p>
    <w:p w14:paraId="629B4C32">
      <w:pPr>
        <w:pStyle w:val="4"/>
        <w:ind w:firstLine="840"/>
      </w:pPr>
      <w:r>
        <w:rPr>
          <w:rFonts w:ascii="仿宋_GB2312" w:hAnsi="仿宋_GB2312" w:eastAsia="仿宋_GB2312" w:cs="仿宋_GB2312"/>
        </w:rPr>
        <w:t>5）履约保证金及缴纳形式：</w:t>
      </w:r>
    </w:p>
    <w:p w14:paraId="4D8D15D3">
      <w:pPr>
        <w:pStyle w:val="4"/>
      </w:pPr>
      <w:r>
        <w:rPr>
          <w:rFonts w:ascii="仿宋_GB2312" w:hAnsi="仿宋_GB2312" w:eastAsia="仿宋_GB2312" w:cs="仿宋_GB2312"/>
        </w:rPr>
        <w:t>中标/成交供应商是否需要缴纳履约保证金：否</w:t>
      </w:r>
    </w:p>
    <w:p w14:paraId="4E982F9E">
      <w:pPr>
        <w:pStyle w:val="4"/>
        <w:ind w:firstLine="840"/>
      </w:pPr>
      <w:r>
        <w:rPr>
          <w:rFonts w:ascii="仿宋_GB2312" w:hAnsi="仿宋_GB2312" w:eastAsia="仿宋_GB2312" w:cs="仿宋_GB2312"/>
        </w:rPr>
        <w:t>6）质量保证金及缴纳形式：</w:t>
      </w:r>
    </w:p>
    <w:p w14:paraId="5AC52E51">
      <w:pPr>
        <w:pStyle w:val="4"/>
      </w:pPr>
      <w:r>
        <w:rPr>
          <w:rFonts w:ascii="仿宋_GB2312" w:hAnsi="仿宋_GB2312" w:eastAsia="仿宋_GB2312" w:cs="仿宋_GB2312"/>
        </w:rPr>
        <w:t>中标/成交供应商是否需要缴纳质量保证金：否</w:t>
      </w:r>
    </w:p>
    <w:p w14:paraId="6E239F63">
      <w:pPr>
        <w:pStyle w:val="4"/>
        <w:ind w:firstLine="840"/>
      </w:pPr>
      <w:r>
        <w:rPr>
          <w:rFonts w:ascii="仿宋_GB2312" w:hAnsi="仿宋_GB2312" w:eastAsia="仿宋_GB2312" w:cs="仿宋_GB2312"/>
        </w:rPr>
        <w:t>7）合同支付约定：</w:t>
      </w:r>
    </w:p>
    <w:p w14:paraId="3A26E9FC">
      <w:pPr>
        <w:pStyle w:val="4"/>
      </w:pPr>
      <w:r>
        <w:rPr>
          <w:rFonts w:ascii="仿宋_GB2312" w:hAnsi="仿宋_GB2312" w:eastAsia="仿宋_GB2312" w:cs="仿宋_GB2312"/>
        </w:rPr>
        <w:t xml:space="preserve">1、 付款条件说明： 施工合同签订，人员机械进场后 ，达到付款条件起 10 日内，支付合同总金额的 </w:t>
      </w:r>
      <w:r>
        <w:rPr>
          <w:rFonts w:hint="eastAsia" w:ascii="仿宋_GB2312" w:hAnsi="仿宋_GB2312" w:eastAsia="仿宋_GB2312" w:cs="仿宋_GB2312"/>
          <w:lang w:val="en-US" w:eastAsia="zh-CN"/>
        </w:rPr>
        <w:t>30</w:t>
      </w:r>
      <w:r>
        <w:rPr>
          <w:rFonts w:ascii="仿宋_GB2312" w:hAnsi="仿宋_GB2312" w:eastAsia="仿宋_GB2312" w:cs="仿宋_GB2312"/>
        </w:rPr>
        <w:t>.00%。</w:t>
      </w:r>
    </w:p>
    <w:p w14:paraId="32BB8EBB">
      <w:pPr>
        <w:pStyle w:val="4"/>
        <w:ind w:firstLine="1200"/>
      </w:pPr>
      <w:r>
        <w:rPr>
          <w:rFonts w:ascii="仿宋_GB2312" w:hAnsi="仿宋_GB2312" w:eastAsia="仿宋_GB2312" w:cs="仿宋_GB2312"/>
        </w:rPr>
        <w:t xml:space="preserve">2、 付款条件说明： 按期完成半程进度计划 ，达到付款条件起 10 日内，支付合同总金额的 </w:t>
      </w:r>
      <w:r>
        <w:rPr>
          <w:rFonts w:hint="eastAsia" w:ascii="仿宋_GB2312" w:hAnsi="仿宋_GB2312" w:eastAsia="仿宋_GB2312" w:cs="仿宋_GB2312"/>
          <w:lang w:val="en-US" w:eastAsia="zh-CN"/>
        </w:rPr>
        <w:t>20</w:t>
      </w:r>
      <w:r>
        <w:rPr>
          <w:rFonts w:ascii="仿宋_GB2312" w:hAnsi="仿宋_GB2312" w:eastAsia="仿宋_GB2312" w:cs="仿宋_GB2312"/>
        </w:rPr>
        <w:t>.00%。</w:t>
      </w:r>
    </w:p>
    <w:p w14:paraId="1D2F940E">
      <w:pPr>
        <w:pStyle w:val="4"/>
        <w:ind w:firstLine="1200"/>
      </w:pPr>
      <w:r>
        <w:rPr>
          <w:rFonts w:ascii="仿宋_GB2312" w:hAnsi="仿宋_GB2312" w:eastAsia="仿宋_GB2312" w:cs="仿宋_GB2312"/>
        </w:rPr>
        <w:t>3、 付款条件说明： 竣工验收合格 ，达到付款条件起 10 日内，支付合同总金额的 30.00%。</w:t>
      </w:r>
    </w:p>
    <w:p w14:paraId="7F73B314">
      <w:pPr>
        <w:pStyle w:val="4"/>
        <w:ind w:firstLine="1200"/>
        <w:rPr>
          <w:rFonts w:hint="eastAsia" w:ascii="仿宋_GB2312" w:hAnsi="仿宋_GB2312" w:eastAsia="仿宋_GB2312" w:cs="仿宋_GB2312"/>
          <w:color w:val="FF0000"/>
          <w:lang w:val="en-US" w:eastAsia="zh-CN"/>
        </w:rPr>
      </w:pPr>
      <w:r>
        <w:rPr>
          <w:rFonts w:ascii="仿宋_GB2312" w:hAnsi="仿宋_GB2312" w:eastAsia="仿宋_GB2312" w:cs="仿宋_GB2312"/>
        </w:rPr>
        <w:t>4、 付款条件说明：</w:t>
      </w:r>
      <w:r>
        <w:rPr>
          <w:rFonts w:ascii="仿宋_GB2312" w:hAnsi="仿宋_GB2312" w:eastAsia="仿宋_GB2312" w:cs="仿宋_GB2312"/>
          <w:color w:val="FF0000"/>
        </w:rPr>
        <w:t xml:space="preserve"> </w:t>
      </w:r>
      <w:r>
        <w:rPr>
          <w:rFonts w:hint="eastAsia" w:ascii="仿宋_GB2312" w:hAnsi="仿宋_GB2312" w:eastAsia="仿宋_GB2312" w:cs="仿宋_GB2312"/>
          <w:color w:val="FF0000"/>
          <w:lang w:val="en-US" w:eastAsia="zh-CN"/>
        </w:rPr>
        <w:t>通过完工验收且结算完成后扣除结算金额的3%作为质保金支付剩余款项;质保期满，结清剩余质保金。</w:t>
      </w:r>
      <w:bookmarkStart w:id="0" w:name="_GoBack"/>
      <w:bookmarkEnd w:id="0"/>
    </w:p>
    <w:p w14:paraId="41B8B479">
      <w:pPr>
        <w:pStyle w:val="4"/>
        <w:ind w:firstLine="840"/>
      </w:pPr>
      <w:r>
        <w:rPr>
          <w:rFonts w:ascii="仿宋_GB2312" w:hAnsi="仿宋_GB2312" w:eastAsia="仿宋_GB2312" w:cs="仿宋_GB2312"/>
        </w:rPr>
        <w:t>8）验收交付标准和方法：按照国家级行业相关标准执行</w:t>
      </w:r>
    </w:p>
    <w:p w14:paraId="0DF64D74">
      <w:pPr>
        <w:pStyle w:val="4"/>
        <w:ind w:firstLine="840"/>
      </w:pPr>
      <w:r>
        <w:rPr>
          <w:rFonts w:ascii="仿宋_GB2312" w:hAnsi="仿宋_GB2312" w:eastAsia="仿宋_GB2312" w:cs="仿宋_GB2312"/>
        </w:rPr>
        <w:t>9）质量保修范围和保修期：质保期不少于24个月，质保范围为全功施工内容</w:t>
      </w:r>
    </w:p>
    <w:p w14:paraId="09B1D424">
      <w:pPr>
        <w:pStyle w:val="4"/>
        <w:ind w:firstLine="840"/>
      </w:pPr>
      <w:r>
        <w:rPr>
          <w:rFonts w:ascii="仿宋_GB2312" w:hAnsi="仿宋_GB2312" w:eastAsia="仿宋_GB2312" w:cs="仿宋_GB2312"/>
        </w:rPr>
        <w:t>10）知识产权归属和处理方式：由成交供应商承担本次项目所涉及的相关知识产权风险</w:t>
      </w:r>
    </w:p>
    <w:p w14:paraId="5518CD25">
      <w:pPr>
        <w:pStyle w:val="4"/>
        <w:ind w:firstLine="840"/>
      </w:pPr>
      <w:r>
        <w:rPr>
          <w:rFonts w:ascii="仿宋_GB2312" w:hAnsi="仿宋_GB2312" w:eastAsia="仿宋_GB2312" w:cs="仿宋_GB2312"/>
        </w:rPr>
        <w:t>11）成本补偿和风险分担约定：无</w:t>
      </w:r>
    </w:p>
    <w:p w14:paraId="78F4280B">
      <w:pPr>
        <w:pStyle w:val="4"/>
        <w:ind w:firstLine="840"/>
      </w:pPr>
      <w:r>
        <w:rPr>
          <w:rFonts w:ascii="仿宋_GB2312" w:hAnsi="仿宋_GB2312" w:eastAsia="仿宋_GB2312" w:cs="仿宋_GB2312"/>
        </w:rPr>
        <w:t>12）违约责任与解决争议的方法：因违约或终止合同而引起的损失和损害的赔偿，委托单位与供应商之间应当协商解决;如未能达成一致，协商或调解不成的，根据双方约定提交仲裁，或向项目所在地人民法院提起诉讼。</w:t>
      </w:r>
    </w:p>
    <w:p w14:paraId="77EA8BD7">
      <w:pPr>
        <w:pStyle w:val="4"/>
        <w:ind w:firstLine="840"/>
      </w:pPr>
      <w:r>
        <w:rPr>
          <w:rFonts w:ascii="仿宋_GB2312" w:hAnsi="仿宋_GB2312" w:eastAsia="仿宋_GB2312" w:cs="仿宋_GB2312"/>
        </w:rPr>
        <w:t>13）合同其他条款：无</w:t>
      </w:r>
    </w:p>
    <w:p w14:paraId="1980BEAE">
      <w:pPr>
        <w:pStyle w:val="4"/>
      </w:pPr>
      <w:r>
        <w:rPr>
          <w:rFonts w:ascii="仿宋_GB2312" w:hAnsi="仿宋_GB2312" w:eastAsia="仿宋_GB2312" w:cs="仿宋_GB2312"/>
        </w:rPr>
        <w:t>11、履约验收方案</w:t>
      </w:r>
    </w:p>
    <w:p w14:paraId="5879E944">
      <w:pPr>
        <w:pStyle w:val="4"/>
        <w:ind w:firstLine="840"/>
      </w:pPr>
      <w:r>
        <w:rPr>
          <w:rFonts w:ascii="仿宋_GB2312" w:hAnsi="仿宋_GB2312" w:eastAsia="仿宋_GB2312" w:cs="仿宋_GB2312"/>
        </w:rPr>
        <w:t>1）验收组织方式：自行验收</w:t>
      </w:r>
    </w:p>
    <w:p w14:paraId="0CA82C05">
      <w:pPr>
        <w:pStyle w:val="4"/>
        <w:ind w:firstLine="840"/>
      </w:pPr>
      <w:r>
        <w:rPr>
          <w:rFonts w:ascii="仿宋_GB2312" w:hAnsi="仿宋_GB2312" w:eastAsia="仿宋_GB2312" w:cs="仿宋_GB2312"/>
        </w:rPr>
        <w:t>2）是否邀请本项目的其他供应商：否</w:t>
      </w:r>
    </w:p>
    <w:p w14:paraId="5BAFA92F">
      <w:pPr>
        <w:pStyle w:val="4"/>
        <w:ind w:firstLine="840"/>
      </w:pPr>
      <w:r>
        <w:rPr>
          <w:rFonts w:ascii="仿宋_GB2312" w:hAnsi="仿宋_GB2312" w:eastAsia="仿宋_GB2312" w:cs="仿宋_GB2312"/>
        </w:rPr>
        <w:t>3）是否邀请专家：是</w:t>
      </w:r>
    </w:p>
    <w:p w14:paraId="5695A673">
      <w:pPr>
        <w:pStyle w:val="4"/>
        <w:ind w:firstLine="840"/>
      </w:pPr>
      <w:r>
        <w:rPr>
          <w:rFonts w:ascii="仿宋_GB2312" w:hAnsi="仿宋_GB2312" w:eastAsia="仿宋_GB2312" w:cs="仿宋_GB2312"/>
        </w:rPr>
        <w:t>4）是否邀请服务对象：是</w:t>
      </w:r>
    </w:p>
    <w:p w14:paraId="717D875F">
      <w:pPr>
        <w:pStyle w:val="4"/>
        <w:ind w:firstLine="840"/>
      </w:pPr>
      <w:r>
        <w:rPr>
          <w:rFonts w:ascii="仿宋_GB2312" w:hAnsi="仿宋_GB2312" w:eastAsia="仿宋_GB2312" w:cs="仿宋_GB2312"/>
        </w:rPr>
        <w:t>5）是否邀请第三方检测机构：是</w:t>
      </w:r>
    </w:p>
    <w:p w14:paraId="3B4CA645">
      <w:pPr>
        <w:pStyle w:val="4"/>
        <w:ind w:firstLine="840"/>
      </w:pPr>
      <w:r>
        <w:rPr>
          <w:rFonts w:ascii="仿宋_GB2312" w:hAnsi="仿宋_GB2312" w:eastAsia="仿宋_GB2312" w:cs="仿宋_GB2312"/>
        </w:rPr>
        <w:t>6）履约验收程序：一次性验收</w:t>
      </w:r>
    </w:p>
    <w:p w14:paraId="1215849A">
      <w:pPr>
        <w:pStyle w:val="4"/>
        <w:ind w:firstLine="840"/>
      </w:pPr>
      <w:r>
        <w:rPr>
          <w:rFonts w:ascii="仿宋_GB2312" w:hAnsi="仿宋_GB2312" w:eastAsia="仿宋_GB2312" w:cs="仿宋_GB2312"/>
        </w:rPr>
        <w:t>7）履约验收时间：</w:t>
      </w:r>
    </w:p>
    <w:p w14:paraId="706E0330">
      <w:pPr>
        <w:pStyle w:val="4"/>
      </w:pPr>
      <w:r>
        <w:rPr>
          <w:rFonts w:ascii="仿宋_GB2312" w:hAnsi="仿宋_GB2312" w:eastAsia="仿宋_GB2312" w:cs="仿宋_GB2312"/>
        </w:rPr>
        <w:t>供应商提出验收申请之日起5日内组织验收</w:t>
      </w:r>
    </w:p>
    <w:p w14:paraId="31CC1DEF">
      <w:pPr>
        <w:pStyle w:val="4"/>
        <w:ind w:firstLine="840"/>
      </w:pPr>
      <w:r>
        <w:rPr>
          <w:rFonts w:ascii="仿宋_GB2312" w:hAnsi="仿宋_GB2312" w:eastAsia="仿宋_GB2312" w:cs="仿宋_GB2312"/>
        </w:rPr>
        <w:t>8）验收组织的其他事项：无</w:t>
      </w:r>
    </w:p>
    <w:p w14:paraId="4D060B46">
      <w:pPr>
        <w:pStyle w:val="4"/>
        <w:ind w:firstLine="840"/>
      </w:pPr>
      <w:r>
        <w:rPr>
          <w:rFonts w:ascii="仿宋_GB2312" w:hAnsi="仿宋_GB2312" w:eastAsia="仿宋_GB2312" w:cs="仿宋_GB2312"/>
        </w:rPr>
        <w:t>9）技术履约验收内容：严格按照政府采购相关法律法规以及《财政部关于进一步加强政府采购需求和履约验收管理的指导意见》（财库﹝2016﹞205号）的要求、招标文件的技术要求、商务要求、供应商的投标文件承诺以及合同约定标准，通过相关部门组织的验收。</w:t>
      </w:r>
    </w:p>
    <w:p w14:paraId="4935BFB0">
      <w:pPr>
        <w:pStyle w:val="4"/>
        <w:ind w:firstLine="840"/>
      </w:pPr>
      <w:r>
        <w:rPr>
          <w:rFonts w:ascii="仿宋_GB2312" w:hAnsi="仿宋_GB2312" w:eastAsia="仿宋_GB2312" w:cs="仿宋_GB2312"/>
        </w:rPr>
        <w:t>10）商务履约验收内容：严格按照政府采购相关法律法规以及《财政部关于进一步加强政府采购需求和履约验收管理的指导意见》（财库﹝2016﹞205号）的要求、招标文件的技术要求、商务要求、供应商的投标文件承诺以及合同约定标准，通过相关部门组织的验收。</w:t>
      </w:r>
    </w:p>
    <w:p w14:paraId="1452EF89">
      <w:pPr>
        <w:pStyle w:val="4"/>
        <w:ind w:firstLine="840"/>
      </w:pPr>
      <w:r>
        <w:rPr>
          <w:rFonts w:ascii="仿宋_GB2312" w:hAnsi="仿宋_GB2312" w:eastAsia="仿宋_GB2312" w:cs="仿宋_GB2312"/>
        </w:rPr>
        <w:t>11）履约验收标准：严格按照政府采购相关法律法规以及《财政部关于进一步加强政府采购需求和履约验收管理的指导意见》（财库﹝2016﹞205号）的要求、招标文件的技术要求、商务要求、供应商的投标文件承诺以及合同约定标准，通过相关部门组织的验收。</w:t>
      </w:r>
    </w:p>
    <w:p w14:paraId="407F392E">
      <w:pPr>
        <w:pStyle w:val="4"/>
        <w:ind w:firstLine="840"/>
      </w:pPr>
      <w:r>
        <w:rPr>
          <w:rFonts w:ascii="仿宋_GB2312" w:hAnsi="仿宋_GB2312" w:eastAsia="仿宋_GB2312" w:cs="仿宋_GB2312"/>
        </w:rPr>
        <w:t>12）履约验收其他事项：无</w:t>
      </w:r>
    </w:p>
    <w:p w14:paraId="4F12E032">
      <w:pPr>
        <w:pStyle w:val="4"/>
        <w:outlineLvl w:val="2"/>
      </w:pPr>
      <w:r>
        <w:rPr>
          <w:rFonts w:ascii="仿宋_GB2312" w:hAnsi="仿宋_GB2312" w:eastAsia="仿宋_GB2312" w:cs="仿宋_GB2312"/>
          <w:b/>
          <w:sz w:val="28"/>
        </w:rPr>
        <w:t>五、风险控制措施和替代方案</w:t>
      </w:r>
    </w:p>
    <w:p w14:paraId="1F60BEA6">
      <w:pPr>
        <w:pStyle w:val="4"/>
        <w:ind w:firstLine="840"/>
      </w:pPr>
      <w:r>
        <w:rPr>
          <w:rFonts w:ascii="仿宋_GB2312" w:hAnsi="仿宋_GB2312" w:eastAsia="仿宋_GB2312" w:cs="仿宋_GB2312"/>
        </w:rPr>
        <w:t>该采购项目按照《政府采购需求管理办法》第二十五条规定，本项目是否需要组织风险判断、提出处置措施和替代方案：否</w:t>
      </w:r>
    </w:p>
    <w:p w14:paraId="2FF2F173">
      <w:pPr>
        <w:pStyle w:val="4"/>
      </w:pPr>
    </w:p>
    <w:p w14:paraId="2E1B3FE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2110862"/>
    <w:rsid w:val="177F50ED"/>
    <w:rsid w:val="50660C5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2276</Words>
  <Characters>2453</Characters>
  <Lines>0</Lines>
  <Paragraphs>0</Paragraphs>
  <TotalTime>5</TotalTime>
  <ScaleCrop>false</ScaleCrop>
  <LinksUpToDate>false</LinksUpToDate>
  <CharactersWithSpaces>2479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小思绪〃</cp:lastModifiedBy>
  <dcterms:modified xsi:type="dcterms:W3CDTF">2026-04-17T08:34:04Z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eyJoZGlkIjoiZGFkMWZhNzg1NjM2ZmFlNjNkYjJiZDJhM2QwNTBlMjIiLCJ1c2VySWQiOiIxMTQ3MzEwNzcwIn0=</vt:lpwstr>
  </property>
  <property fmtid="{D5CDD505-2E9C-101B-9397-08002B2CF9AE}" pid="4" name="ICV">
    <vt:lpwstr>776B8A4FD12B49D4AC02C9AE04443E75_12</vt:lpwstr>
  </property>
</Properties>
</file>