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C66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采购需求</w:t>
      </w:r>
    </w:p>
    <w:p w14:paraId="44F719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outlineLvl w:val="1"/>
        <w:rPr>
          <w:rFonts w:hint="eastAsia" w:ascii="仿宋" w:hAnsi="仿宋" w:eastAsia="仿宋" w:cs="仿宋"/>
          <w:sz w:val="20"/>
          <w:szCs w:val="20"/>
        </w:rPr>
      </w:pPr>
      <w:bookmarkStart w:id="0" w:name="heading_0"/>
      <w:r>
        <w:rPr>
          <w:rFonts w:hint="eastAsia" w:ascii="仿宋" w:hAnsi="仿宋" w:eastAsia="仿宋" w:cs="仿宋"/>
          <w:sz w:val="20"/>
          <w:szCs w:val="20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 w:val="0"/>
          <w:sz w:val="20"/>
          <w:szCs w:val="20"/>
          <w:lang w:val="en-US" w:eastAsia="zh-CN"/>
        </w:rPr>
        <w:t>平台功能升级部分</w:t>
      </w:r>
    </w:p>
    <w:p w14:paraId="65EE0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0"/>
          <w:szCs w:val="20"/>
        </w:rPr>
        <w:t>平台整体架构与性能要求</w:t>
      </w:r>
      <w:bookmarkEnd w:id="0"/>
    </w:p>
    <w:p w14:paraId="269CA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技术架构：采用稳定可靠的技术架构，支持高并发访问，可承载不少于5000名用户同时在线操作，解决高峰时段系统响应迟缓问题，页面加载时间≤3秒，视频播放卡顿率≤1%。</w:t>
      </w:r>
    </w:p>
    <w:p w14:paraId="34BBB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多端适配：支持小程序、PC端（三秦终身学习港门户）多端协同，实现数据</w:t>
      </w:r>
      <w:bookmarkStart w:id="12" w:name="_GoBack"/>
      <w:bookmarkEnd w:id="12"/>
      <w:r>
        <w:rPr>
          <w:rFonts w:hint="eastAsia" w:ascii="仿宋" w:hAnsi="仿宋" w:eastAsia="仿宋" w:cs="仿宋"/>
          <w:sz w:val="20"/>
          <w:szCs w:val="20"/>
        </w:rPr>
        <w:t>互通、功能同步，适配不同操作系统及不同屏幕尺寸设备。</w:t>
      </w:r>
    </w:p>
    <w:p w14:paraId="36C381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系统对接：完成小程序与三秦终身学习港门户的用户数据、积分数据对接打通，实现数据实时同步，同步延迟≤5分钟；小程序需与校内信息化平台无缝对接，满足直播链接技术要求，可根据业务动态调整匹配。</w:t>
      </w:r>
    </w:p>
    <w:p w14:paraId="21B4C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  <w:bookmarkStart w:id="1" w:name="heading_1"/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）前端设计与交互要求</w:t>
      </w:r>
      <w:bookmarkEnd w:id="1"/>
    </w:p>
    <w:p w14:paraId="0654B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视觉界面设计：小程序及平台前端视觉风格统一，首页布局、色彩风格、图标按钮等符合用户操作习惯，简洁直观、重点突出；支持自定义主题配色，可根据需求调整视觉呈现效果。</w:t>
      </w:r>
    </w:p>
    <w:p w14:paraId="0EDB5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交互逻辑优化：简化智能服务操作流程，降低使用门槛；所有功能模块入口清晰，操作路径≤3步即可直达核心功能；支持手势操作（如滑动切换、下拉刷新等），交互反馈及时明确。</w:t>
      </w:r>
    </w:p>
    <w:p w14:paraId="4F887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20"/>
          <w:szCs w:val="20"/>
        </w:rPr>
      </w:pPr>
      <w:bookmarkStart w:id="2" w:name="heading_2"/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（三）模块化</w:t>
      </w: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升级</w:t>
      </w: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与资源管理要求</w:t>
      </w:r>
      <w:bookmarkEnd w:id="2"/>
    </w:p>
    <w:p w14:paraId="60582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学习资源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模块：支持中国精神、党史、强军之路、毛泽东思想概论、党性</w:t>
      </w:r>
      <w:r>
        <w:rPr>
          <w:rFonts w:hint="eastAsia" w:ascii="仿宋" w:hAnsi="仿宋" w:eastAsia="仿宋" w:cs="仿宋"/>
          <w:sz w:val="20"/>
          <w:szCs w:val="20"/>
        </w:rPr>
        <w:t>修养等分类视频管理，实现视频审核、上传、编目、上下架全流程管控；支持多端视频学习，具备播放历史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与</w:t>
      </w:r>
      <w:r>
        <w:rPr>
          <w:rFonts w:hint="eastAsia" w:ascii="仿宋" w:hAnsi="仿宋" w:eastAsia="仿宋" w:cs="仿宋"/>
          <w:sz w:val="20"/>
          <w:szCs w:val="20"/>
        </w:rPr>
        <w:t>收藏功能，视频学习对接积分系统实现积分累积。</w:t>
      </w:r>
    </w:p>
    <w:p w14:paraId="6A36D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优质讲座模块：提供适合大众学习的经典视频10000集，包含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科普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知识、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优质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讲座、名师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课堂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等栏目，实现每日更新。视频主讲人来自名校、名师的视频。</w:t>
      </w:r>
    </w:p>
    <w:p w14:paraId="0DB6E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大众期刊模块：精选1000余种高频订阅优质期刊，涵盖时政、财经、生活、时尚、文学等分类。</w:t>
      </w:r>
    </w:p>
    <w:p w14:paraId="49962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精品图书模块：提供2.5万册epub格式畅销经典电子书，每日更新，按中图分类法分类；支持图书在线阅读、亮度调节等功能，实现图书检索、生成海报、加入书房、分享。</w:t>
      </w:r>
    </w:p>
    <w:p w14:paraId="6970C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少儿绘本模块：提供不少于1000部少儿绘本资源，每年更新100部，包含自我成长、健康习惯、安全教育等分类；支持绘本翻页动画、语音朗读功能，适配儿童操作习惯。</w:t>
      </w:r>
    </w:p>
    <w:p w14:paraId="151B7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有声听书模块：提供不少于8500集听书资源，涵盖传奇史话、古代历史、人物传记、国学经典、中国文学、世界名著等分类；支持听书倍速、收藏、断点续听功能。</w:t>
      </w:r>
    </w:p>
    <w:p w14:paraId="5A2CB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每日一讲模块：每日推送30分钟独家录制视频讲座，主讲人为国内外知名学者、教授。</w:t>
      </w:r>
    </w:p>
    <w:p w14:paraId="5F7B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今日荐读模块：每周设定1个主题并附推荐语，每日推荐1本书并附荐书语；支持查看往期图书，提供分享好友、生成海报功能，海报包含图书信息及二维码，扫码可直接阅读。</w:t>
      </w:r>
    </w:p>
    <w:p w14:paraId="07266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主题书单模块：提供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根据节气、节日、纪念日等时间节点</w:t>
      </w:r>
      <w:r>
        <w:rPr>
          <w:rFonts w:hint="eastAsia" w:ascii="仿宋" w:hAnsi="仿宋" w:eastAsia="仿宋" w:cs="仿宋"/>
          <w:sz w:val="20"/>
          <w:szCs w:val="20"/>
        </w:rPr>
        <w:t>精挑细选的主题书单分类；支持书单收藏、分享，图书可直接加入“我的书房”。</w:t>
      </w:r>
    </w:p>
    <w:p w14:paraId="10FFA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bookmarkStart w:id="3" w:name="heading_5"/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）用户管理与权限控制要求</w:t>
      </w:r>
      <w:bookmarkEnd w:id="3"/>
    </w:p>
    <w:p w14:paraId="7FD19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基础用户管理：支持用户注册、登录（微信授权）；可按账号或手机号查询单位下用户，支持单个添加或批量导入用户（提供标准模板），可查看用户激活状态。</w:t>
      </w:r>
    </w:p>
    <w:p w14:paraId="65A4E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分级权限管理：建立省、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地市</w:t>
      </w:r>
      <w:r>
        <w:rPr>
          <w:rFonts w:hint="eastAsia" w:ascii="仿宋" w:hAnsi="仿宋" w:eastAsia="仿宋" w:cs="仿宋"/>
          <w:sz w:val="20"/>
          <w:szCs w:val="20"/>
        </w:rPr>
        <w:t>、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企业</w:t>
      </w:r>
      <w:r>
        <w:rPr>
          <w:rFonts w:hint="eastAsia" w:ascii="仿宋" w:hAnsi="仿宋" w:eastAsia="仿宋" w:cs="仿宋"/>
          <w:sz w:val="20"/>
          <w:szCs w:val="20"/>
        </w:rPr>
        <w:t>三级权限体系，支持树形层级建设、角色权限分配、组织区域架构管理；各地市联络员可直接通过平台推荐学员、查看管辖区域学习数据；支持组织架构部门排序，可批量导入部门下用户。</w:t>
      </w:r>
    </w:p>
    <w:p w14:paraId="23ACD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bookmarkStart w:id="4" w:name="heading_6"/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（五）积分与互动功能要求</w:t>
      </w:r>
      <w:bookmarkEnd w:id="4"/>
    </w:p>
    <w:p w14:paraId="6BF92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outlineLvl w:val="2"/>
        <w:rPr>
          <w:rFonts w:hint="eastAsia" w:ascii="仿宋" w:hAnsi="仿宋" w:eastAsia="仿宋" w:cs="仿宋"/>
          <w:sz w:val="20"/>
          <w:szCs w:val="20"/>
        </w:rPr>
      </w:pPr>
      <w:bookmarkStart w:id="5" w:name="heading_7"/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1、</w:t>
      </w:r>
      <w:r>
        <w:rPr>
          <w:rFonts w:hint="eastAsia" w:ascii="仿宋" w:hAnsi="仿宋" w:eastAsia="仿宋" w:cs="仿宋"/>
          <w:b/>
          <w:sz w:val="20"/>
          <w:szCs w:val="20"/>
        </w:rPr>
        <w:t>积分系统</w:t>
      </w:r>
      <w:bookmarkEnd w:id="5"/>
    </w:p>
    <w:p w14:paraId="17EAB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积分项配置：提供不少于10种可设置的积分项及对应分值，包括签到、图书添加书房、图书阅读、听书添加书房、听书、期刊添加书房、期刊阅读、绘本添加书房、绘本阅读、学习打卡等。</w:t>
      </w:r>
    </w:p>
    <w:p w14:paraId="3B29F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规则管理：积分规则和分值可在后台灵活设置，支持添加、修改、删除积分项；前端需清晰展示积分规则及各积分项对应分值。</w:t>
      </w:r>
    </w:p>
    <w:p w14:paraId="4AB6F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积分记录：提供个人“积分记录”功能，可查看实时积分明细（含积分增减原因、时间、分值）；支持积分明细导出。</w:t>
      </w:r>
    </w:p>
    <w:p w14:paraId="427B01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积分对接：与积分商城无缝对接，支持积分在线消耗兑换商品，兑换流程清晰，兑换记录实时同步。</w:t>
      </w:r>
    </w:p>
    <w:p w14:paraId="3462C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sz w:val="20"/>
          <w:szCs w:val="20"/>
          <w:lang w:val="en-US" w:eastAsia="zh-CN"/>
        </w:rPr>
      </w:pPr>
      <w:bookmarkStart w:id="6" w:name="heading_8"/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2、互动与打卡功能</w:t>
      </w:r>
      <w:bookmarkEnd w:id="6"/>
    </w:p>
    <w:p w14:paraId="02074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学习打卡：后台可灵活设置打卡规则周期；用户打卡可获得对应积分，打卡页面直观展示其他积分项，支持点击跳转学习；可累计打卡天数，间断打卡则重新累计，支持查看打卡历史与积分明细。</w:t>
      </w:r>
    </w:p>
    <w:p w14:paraId="31C15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  <w:bookmarkStart w:id="7" w:name="heading_9"/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（六）检索与个人中心功能要求</w:t>
      </w:r>
      <w:bookmarkEnd w:id="7"/>
    </w:p>
    <w:p w14:paraId="1F836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统一检索：实现图书、期刊、讲座、听书、绘本等小程序自带资源的一站式检索，支持关键词检索、分类检索；提供热门搜索词推荐及最近搜索记录。</w:t>
      </w:r>
    </w:p>
    <w:p w14:paraId="445F9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我的书房：聚合展示用户添加的图书、期刊、绘本、听书资源，支持按资源类型筛选；支持资源批量删除，方便用户查找与整理。</w:t>
      </w:r>
    </w:p>
    <w:p w14:paraId="09119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分享功能：小程序内图书、期刊、讲座、书单等自带资源支持“生成海报”功能，海报包含资源核心信息及二维码，读者扫码即可在线阅读学习。</w:t>
      </w:r>
    </w:p>
    <w:p w14:paraId="36C0B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  <w:bookmarkStart w:id="8" w:name="heading_10"/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（七）后台管理与数据统计要求</w:t>
      </w:r>
      <w:bookmarkEnd w:id="8"/>
    </w:p>
    <w:p w14:paraId="7E7E7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导航与轮播图管理：支持小程序头部导航显隐、新增及跳转配置；支持首页轮播图增删改查、排序、链接设置。</w:t>
      </w:r>
    </w:p>
    <w:p w14:paraId="03118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资源管理：支持单位自有学习视频资源的上传、排序、展示，可对接至三秦终身学习港门户PC端展示；支持学习资源分类的增加、删除、修改、查询、排序，可手动修改分类名称与排序顺序。</w:t>
      </w:r>
    </w:p>
    <w:p w14:paraId="0B7AB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积分商城管理：包含商品分类管理（添加、编辑）、商品管理（添加、编辑，可设置上下线时间、描述、封面、兑换积分、库存、状态、类别等）、交易记录管理（按用户号、订单号、商品复合查询，记录包含用户名、商品名称、订单号、消耗积分、操作时间、订单状态等）、兑换规则管理（自定义规则，读者可查看）。</w:t>
      </w:r>
    </w:p>
    <w:p w14:paraId="0A466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  <w:bookmarkStart w:id="9" w:name="heading_13"/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（八）资源更新与服务保障要求</w:t>
      </w:r>
      <w:bookmarkEnd w:id="9"/>
    </w:p>
    <w:p w14:paraId="3E62F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资源更新：合同期内持续更新平台资源，其中图书每日更新、少儿绘本每年更新100部、优质讲座每日更新、期刊按出版周期同步更新；定期评估资源使用情况，对过时、低质资源进行优化替换或归档下架。</w:t>
      </w:r>
    </w:p>
    <w:p w14:paraId="3C28E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技术维护：提供3年内免费故障修复与系统优化服务，故障响应时间≤2小时，一般故障24小时内解决，重大故障48小时内提供解决方案。</w:t>
      </w:r>
    </w:p>
    <w:p w14:paraId="4C3C6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售后支持：提供7×24小时技术咨询服务，通过电话、邮件、远程协助等方式响应需求；明确资源更新周期、系统迭代计划，配合招标人开展培训活动、政策推广，针对性上架专题学习资源。</w:t>
      </w:r>
    </w:p>
    <w:p w14:paraId="12C94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知识产权保障：确保所有提供的视频、图书、期刊、听书等资源无版权纠纷，可提供相关知识产权证明文件待查。</w:t>
      </w:r>
    </w:p>
    <w:p w14:paraId="172EA5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outlineLvl w:val="1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 w:val="0"/>
          <w:sz w:val="20"/>
          <w:szCs w:val="20"/>
          <w:lang w:val="en-US" w:eastAsia="zh-CN"/>
        </w:rPr>
        <w:t>平台功能定制开发部分</w:t>
      </w:r>
    </w:p>
    <w:p w14:paraId="30148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  <w:bookmarkStart w:id="10" w:name="heading_4"/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）定制化学习模块</w:t>
      </w:r>
      <w:bookmarkEnd w:id="10"/>
    </w:p>
    <w:p w14:paraId="5B295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独立模块开发：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针对“两司两员一主播”等新就业群体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独立开发“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暖‘新’育见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技能提升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”等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特色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学习模块，每个模块具备完整的资源管理、学习记录统计功能，“专题培训”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模块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配置独立学习规则，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学习路径规划、进度跟踪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学习记录统计等功能，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满足不同业务场景下的培训管理需求。支持不同模块间的权限隔离与内容独立展示，确保学员仅可访问授权模块资源，实现培训内容的精准投放与管理闭环。</w:t>
      </w:r>
    </w:p>
    <w:p w14:paraId="270D6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直播课堂模块：设立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可无缝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对接校内信息化平台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直播课堂模块，小程序接入信息化平台直播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链接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，实现学员在小程序端的直播观看，并根据业务发展动态进行实时调整与匹配。</w:t>
      </w:r>
    </w:p>
    <w:p w14:paraId="5E32A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）用户管理与权限控制要求</w:t>
      </w:r>
    </w:p>
    <w:p w14:paraId="4CDB2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</w:rPr>
        <w:t>权限与内容隔离：不同模块间实现权限隔离与内容独立展示，学员仅可访问授权模块资源；支持按组织架构、用户角色分配资源访问权限，实现精准化培训内容投放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。</w:t>
      </w:r>
    </w:p>
    <w:p w14:paraId="43875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安全与隐私管理：内置AI行为识别算法，实时监测学习时长、页面停留、交互频次等维度，自动标记异常学习行为并触发预警机制。保护学员个人信息，严格遵循《个人信息保护法》及教育行业数据安全规范。</w:t>
      </w:r>
    </w:p>
    <w:p w14:paraId="3E2F1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  <w:bookmarkStart w:id="11" w:name="heading_12"/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）数据统计与分析</w:t>
      </w:r>
      <w:bookmarkEnd w:id="11"/>
    </w:p>
    <w:p w14:paraId="4B65C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数据监测一览：实现新兴领域从业人员网络学习平台学员学习动态监测，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图表</w:t>
      </w:r>
      <w:r>
        <w:rPr>
          <w:rFonts w:hint="eastAsia" w:ascii="仿宋" w:hAnsi="仿宋" w:eastAsia="仿宋" w:cs="仿宋"/>
          <w:sz w:val="20"/>
          <w:szCs w:val="20"/>
        </w:rPr>
        <w:t>展示不同群体整体数据。</w:t>
      </w:r>
    </w:p>
    <w:p w14:paraId="0171253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数据筛选与展示：支持按不同模块（“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技能提升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”“专题培训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”等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）、不同批次学员整体数据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生成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；展示不同类别、市（区）、企业的学员数、激活账户人数、未激活账户人数、活跃账户人数、注册率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模块完成率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多维度可视化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并支持导出Excel报表。</w:t>
      </w:r>
    </w:p>
    <w:p w14:paraId="36E1F0E6">
      <w:r>
        <w:rPr>
          <w:rFonts w:hint="eastAsia" w:ascii="仿宋" w:hAnsi="仿宋" w:eastAsia="仿宋" w:cs="仿宋"/>
          <w:b/>
          <w:kern w:val="2"/>
          <w:sz w:val="20"/>
          <w:szCs w:val="20"/>
          <w:highlight w:val="none"/>
          <w:lang w:val="en-US" w:eastAsia="zh-CN" w:bidi="ar-SA"/>
        </w:rPr>
        <w:t>三、演示要求;本项目供应商须进行</w:t>
      </w:r>
      <w:r>
        <w:rPr>
          <w:rFonts w:hint="eastAsia" w:ascii="仿宋" w:hAnsi="仿宋" w:eastAsia="仿宋" w:cs="仿宋"/>
          <w:b/>
          <w:color w:val="auto"/>
          <w:sz w:val="20"/>
          <w:szCs w:val="20"/>
          <w:highlight w:val="none"/>
          <w:lang w:val="en-US" w:eastAsia="zh-CN"/>
        </w:rPr>
        <w:t>真实系统</w:t>
      </w:r>
      <w:r>
        <w:rPr>
          <w:rFonts w:hint="eastAsia" w:ascii="仿宋" w:hAnsi="仿宋" w:eastAsia="仿宋" w:cs="仿宋"/>
          <w:b/>
          <w:kern w:val="2"/>
          <w:sz w:val="20"/>
          <w:szCs w:val="20"/>
          <w:highlight w:val="none"/>
          <w:lang w:val="en-US" w:eastAsia="zh-CN" w:bidi="ar-SA"/>
        </w:rPr>
        <w:t>现场功能演示，放弃演示、无演示或演示内容与本项目采购需求功能无关，其响应文件无效。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F53BA"/>
    <w:rsid w:val="0A2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2026-04-22T01:20:00Z</dcterms:created>
  <dc:creator>德仁招标</dc:creator>
  <cp:lastModifiedBy>德仁招标</cp:lastModifiedBy>
  <dcterms:modified xsi:type="dcterms:W3CDTF">2026-04-22T01:20:39Z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D0788CC277A44904B60C62A4E84B23F4_11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