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88C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一、项目概况</w:t>
      </w:r>
    </w:p>
    <w:p w14:paraId="3075718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1.项目名称：蓝田猿人遗址数字化场景建设及设施提升项目</w:t>
      </w:r>
    </w:p>
    <w:p w14:paraId="223406F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2.工程地点：蓝田县九间房镇公王村猿人遗址</w:t>
      </w:r>
    </w:p>
    <w:p w14:paraId="239B9D9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3.</w:t>
      </w:r>
      <w:r>
        <w:rPr>
          <w:rFonts w:hint="eastAsia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项目</w:t>
      </w: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范围：主要建设内容为室外景观绿化、景区大门、展厅、数字化展厅、配套用房、公共卫生间六部分内容：</w:t>
      </w:r>
    </w:p>
    <w:p w14:paraId="798AA4D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①数字化场景搭建：包括沉浸式CAVE区的五面柔性LED屏系统、中控系统和静态展示区的墙面展板及灯箱陈列。</w:t>
      </w:r>
    </w:p>
    <w:p w14:paraId="45EE9D9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②既有建筑改造修缮：总改造建筑面积约605.90平方米，包括景区大门111.7平方米，数字化展厅145.25平方米，配套用房75.24平方米，公厕122.14平方米，展厅151.56平方米。</w:t>
      </w:r>
      <w:bookmarkStart w:id="0" w:name="_GoBack"/>
      <w:bookmarkEnd w:id="0"/>
    </w:p>
    <w:p w14:paraId="2C6765A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③附属设施提升：地面铺装更新青石板铺砌约1251.66平方米，小青砖铺砌约474平方米，增设景区无障碍设计；对现有绿化区域（总面积约515.9平方米）进行规整梳理与补植更新；更新室外景观灯具、壁灯等照明设施；更换园区垃圾桶、标识标牌等服务设施；对园区围墙、护栏进行系统性修缮与更新</w:t>
      </w:r>
      <w:r>
        <w:rPr>
          <w:rFonts w:hint="eastAsia" w:cs="宋体"/>
          <w:snapToGrid/>
          <w:kern w:val="2"/>
          <w:sz w:val="24"/>
          <w:szCs w:val="24"/>
          <w:highlight w:val="none"/>
          <w:shd w:val="clear" w:color="auto" w:fill="FFFFFF"/>
          <w:lang w:val="en-US" w:eastAsia="zh-CN" w:bidi="ar"/>
        </w:rPr>
        <w:t>。</w:t>
      </w:r>
    </w:p>
    <w:p w14:paraId="4D6B85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、工程内容和计划工期</w:t>
      </w:r>
    </w:p>
    <w:p w14:paraId="2D8B660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1.工程内容：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蓝田猿人遗址数字化场景建设及设施提升项目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工程量清单及图纸所包含的全部内容。</w:t>
      </w:r>
    </w:p>
    <w:p w14:paraId="5BDF526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计划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个月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。</w:t>
      </w:r>
    </w:p>
    <w:p w14:paraId="56B770C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、编制依据</w:t>
      </w:r>
    </w:p>
    <w:p w14:paraId="51C34FF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本工程计量依据《陕西省建设工程工程量清单计价计算标准》（2025）及其配套文件，《房屋建筑与装饰工程工程量计算标准》（2025）、《通用安装工程工程量计算标准》（2025）、《市政工程工程量计算标准》（2025）、《园林绿化工程工程量计算标准》（2025）。</w:t>
      </w:r>
    </w:p>
    <w:p w14:paraId="07692B8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2.依据《关于印发2025陕西省建设工程费用规则等计价依据的通知》（陕建管发〔2025〕10号）、《建设工程工程量清单计价标准》（2025）；</w:t>
      </w:r>
    </w:p>
    <w:p w14:paraId="1B99FF3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3.《陕西省建设工程费用规则》（2025）；</w:t>
      </w:r>
    </w:p>
    <w:p w14:paraId="3F4DD2B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4.《陕西省房屋建筑与装饰工程消耗量定额（2025）》、《陕西省通用安装工程消耗量定额（2025）》、《陕西省市政工程消耗量定额（2025）》、《陕西省园林绿化工程消耗量定额（2025）》及其配套的基价表（2025）、费用定额勘误和补充等相关文件等；</w:t>
      </w:r>
    </w:p>
    <w:p w14:paraId="0FDC07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5.参考建设工程项目有关的标准、规范、技术资料等；</w:t>
      </w:r>
    </w:p>
    <w:p w14:paraId="2AA3503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6.劳保统筹按规定计入工程造价；</w:t>
      </w:r>
    </w:p>
    <w:p w14:paraId="2CD24EE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7.《蓝田猿人遗址数字化场景建设及设施提升项目》设计图纸；</w:t>
      </w:r>
    </w:p>
    <w:p w14:paraId="1E5EC4C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8.计价软件采用广联达云计价平台GCCP 7.0 版本：7.5000.23.2。</w:t>
      </w:r>
    </w:p>
    <w:p w14:paraId="38E9C29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、商务要求</w:t>
      </w:r>
    </w:p>
    <w:p w14:paraId="1D56819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1、付款方式：</w:t>
      </w:r>
    </w:p>
    <w:p w14:paraId="0EDF918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双方签订合同后，支付合同总金额的百分之四十（40%）预付款，工程竣工验收合格付至工程款87%，待工程审计结束付清至97%；尾款3%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待缺陷责任期满后支付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。</w:t>
      </w:r>
    </w:p>
    <w:p w14:paraId="1E333A9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2、质量要求：</w:t>
      </w:r>
    </w:p>
    <w:p w14:paraId="08C5BD5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达到国家及行业现行技术规范标准，符合国家及行业验收合格标准。</w:t>
      </w:r>
    </w:p>
    <w:p w14:paraId="4C9190D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3、质量保修期：</w:t>
      </w:r>
    </w:p>
    <w:p w14:paraId="23DC16C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①基础设施工程、房屋建筑的地基基础工程和主体结构工程，为设计文件规定的该工程的合理使用年限；</w:t>
      </w:r>
    </w:p>
    <w:p w14:paraId="38CB5D2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②屋面防水工程、有防水要求的卫生间、房间和外墙面的防渗漏，为5年；</w:t>
      </w:r>
    </w:p>
    <w:p w14:paraId="6D89EBF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③供热与供冷系统，为2个采暖期、供冷期；</w:t>
      </w:r>
    </w:p>
    <w:p w14:paraId="6410B89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④电气管线、给排水管道、设备安装和装修工程，为2年。</w:t>
      </w:r>
    </w:p>
    <w:p w14:paraId="441522F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其他项目的保修期限由发包方与承包方约定。</w:t>
      </w:r>
    </w:p>
    <w:p w14:paraId="17F3531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textAlignment w:val="baseline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建设工程的保修期，自竣工验收合格之日起计算。</w:t>
      </w:r>
    </w:p>
    <w:p w14:paraId="79D73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</w:rPr>
        <w:t>4、缺陷责任期：1年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6DC1"/>
    <w:rsid w:val="24A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2026-04-22T13:12:00Z</dcterms:created>
  <dc:creator>User</dc:creator>
  <cp:lastModifiedBy>User</cp:lastModifiedBy>
  <dcterms:modified xsi:type="dcterms:W3CDTF">2026-04-22T13:13:00Z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16F79E2C21314F089D06D0C238F262EE_11</vt:lpwstr>
  </property>
  <property fmtid="{D5CDD505-2E9C-101B-9397-08002B2CF9AE}" pid="4" name="KSOTemplateDocerSaveRecord">
    <vt:lpwstr>eyJoZGlkIjoiNzYyYzllN2JjNWZkNTYzZjY4YWNmM2JiYzdiYzBmYmYifQ==</vt:lpwstr>
  </property>
</Properties>
</file>