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CFCE">
      <w:pPr>
        <w:pStyle w:val="4"/>
        <w:outlineLvl w:val="0"/>
      </w:pPr>
      <w:r>
        <w:rPr>
          <w:rFonts w:ascii="仿宋_GB2312" w:hAnsi="仿宋_GB2312" w:eastAsia="仿宋_GB2312" w:cs="仿宋_GB2312"/>
          <w:b/>
          <w:sz w:val="48"/>
        </w:rPr>
        <w:t>政府采购项目采购需求</w:t>
      </w:r>
    </w:p>
    <w:p w14:paraId="1FC2303B">
      <w:pPr>
        <w:pStyle w:val="4"/>
        <w:spacing w:before="3000"/>
        <w:outlineLvl w:val="2"/>
      </w:pPr>
      <w:r>
        <w:rPr>
          <w:rFonts w:ascii="仿宋_GB2312" w:hAnsi="仿宋_GB2312" w:eastAsia="仿宋_GB2312" w:cs="仿宋_GB2312"/>
          <w:b/>
          <w:sz w:val="28"/>
        </w:rPr>
        <w:t>采购单位：</w:t>
      </w:r>
    </w:p>
    <w:p w14:paraId="51E8F69B">
      <w:pPr>
        <w:pStyle w:val="4"/>
        <w:outlineLvl w:val="2"/>
      </w:pPr>
      <w:r>
        <w:rPr>
          <w:rFonts w:ascii="仿宋_GB2312" w:hAnsi="仿宋_GB2312" w:eastAsia="仿宋_GB2312" w:cs="仿宋_GB2312"/>
          <w:b/>
          <w:sz w:val="28"/>
        </w:rPr>
        <w:t>西安市殡仪馆</w:t>
      </w:r>
    </w:p>
    <w:p w14:paraId="6E335A82">
      <w:pPr>
        <w:pStyle w:val="4"/>
        <w:jc w:val="right"/>
        <w:outlineLvl w:val="2"/>
      </w:pPr>
      <w:r>
        <w:rPr>
          <w:rFonts w:ascii="仿宋_GB2312" w:hAnsi="仿宋_GB2312" w:eastAsia="仿宋_GB2312" w:cs="仿宋_GB2312"/>
          <w:b/>
          <w:sz w:val="28"/>
        </w:rPr>
        <w:t>所属年度：</w:t>
      </w:r>
    </w:p>
    <w:p w14:paraId="2C27BA56">
      <w:pPr>
        <w:pStyle w:val="4"/>
        <w:outlineLvl w:val="2"/>
      </w:pPr>
      <w:r>
        <w:rPr>
          <w:rFonts w:ascii="仿宋_GB2312" w:hAnsi="仿宋_GB2312" w:eastAsia="仿宋_GB2312" w:cs="仿宋_GB2312"/>
          <w:b/>
          <w:sz w:val="28"/>
        </w:rPr>
        <w:t>2026年</w:t>
      </w:r>
    </w:p>
    <w:p w14:paraId="3223830B">
      <w:pPr>
        <w:pStyle w:val="4"/>
        <w:jc w:val="right"/>
        <w:outlineLvl w:val="2"/>
      </w:pPr>
      <w:r>
        <w:rPr>
          <w:rFonts w:ascii="仿宋_GB2312" w:hAnsi="仿宋_GB2312" w:eastAsia="仿宋_GB2312" w:cs="仿宋_GB2312"/>
          <w:b/>
          <w:sz w:val="28"/>
        </w:rPr>
        <w:t>编制单位：</w:t>
      </w:r>
    </w:p>
    <w:p w14:paraId="22313FAF">
      <w:pPr>
        <w:pStyle w:val="4"/>
        <w:outlineLvl w:val="2"/>
      </w:pPr>
      <w:r>
        <w:rPr>
          <w:rFonts w:ascii="仿宋_GB2312" w:hAnsi="仿宋_GB2312" w:eastAsia="仿宋_GB2312" w:cs="仿宋_GB2312"/>
          <w:b/>
          <w:sz w:val="28"/>
        </w:rPr>
        <w:t>西安市殡仪馆</w:t>
      </w:r>
    </w:p>
    <w:p w14:paraId="579E3414">
      <w:pPr>
        <w:pStyle w:val="4"/>
        <w:jc w:val="right"/>
        <w:outlineLvl w:val="2"/>
      </w:pPr>
      <w:r>
        <w:rPr>
          <w:rFonts w:ascii="仿宋_GB2312" w:hAnsi="仿宋_GB2312" w:eastAsia="仿宋_GB2312" w:cs="仿宋_GB2312"/>
          <w:b/>
          <w:sz w:val="28"/>
        </w:rPr>
        <w:t>编制时间：</w:t>
      </w:r>
    </w:p>
    <w:p w14:paraId="56CC20E0">
      <w:pPr>
        <w:pStyle w:val="4"/>
        <w:outlineLvl w:val="2"/>
      </w:pPr>
      <w:r>
        <w:rPr>
          <w:rFonts w:ascii="仿宋_GB2312" w:hAnsi="仿宋_GB2312" w:eastAsia="仿宋_GB2312" w:cs="仿宋_GB2312"/>
          <w:b/>
          <w:sz w:val="28"/>
        </w:rPr>
        <w:t>2026年04月15日</w:t>
      </w:r>
    </w:p>
    <w:p w14:paraId="76462AB6">
      <w:pPr>
        <w:pStyle w:val="4"/>
        <w:outlineLvl w:val="2"/>
      </w:pPr>
      <w:r>
        <w:rPr>
          <w:rFonts w:ascii="仿宋_GB2312" w:hAnsi="仿宋_GB2312" w:eastAsia="仿宋_GB2312" w:cs="仿宋_GB2312"/>
          <w:b/>
          <w:sz w:val="28"/>
        </w:rPr>
        <w:t>一、项目总体情况</w:t>
      </w:r>
    </w:p>
    <w:p w14:paraId="02C96C93">
      <w:pPr>
        <w:pStyle w:val="4"/>
      </w:pPr>
      <w:r>
        <w:rPr>
          <w:rFonts w:ascii="仿宋_GB2312" w:hAnsi="仿宋_GB2312" w:eastAsia="仿宋_GB2312" w:cs="仿宋_GB2312"/>
        </w:rPr>
        <w:t xml:space="preserve"> （一）项目名称： 遗物和花圈处置服务项目</w:t>
      </w:r>
    </w:p>
    <w:p w14:paraId="61B0FF64">
      <w:pPr>
        <w:pStyle w:val="4"/>
      </w:pPr>
      <w:r>
        <w:rPr>
          <w:rFonts w:ascii="仿宋_GB2312" w:hAnsi="仿宋_GB2312" w:eastAsia="仿宋_GB2312" w:cs="仿宋_GB2312"/>
        </w:rPr>
        <w:t xml:space="preserve"> （二）项目所属年度： 2026年</w:t>
      </w:r>
    </w:p>
    <w:p w14:paraId="6E95A06F">
      <w:pPr>
        <w:pStyle w:val="4"/>
      </w:pPr>
      <w:r>
        <w:rPr>
          <w:rFonts w:ascii="仿宋_GB2312" w:hAnsi="仿宋_GB2312" w:eastAsia="仿宋_GB2312" w:cs="仿宋_GB2312"/>
        </w:rPr>
        <w:t xml:space="preserve"> （三）项目所属分类： 服务</w:t>
      </w:r>
    </w:p>
    <w:p w14:paraId="26E08568">
      <w:pPr>
        <w:pStyle w:val="4"/>
      </w:pPr>
      <w:r>
        <w:rPr>
          <w:rFonts w:ascii="仿宋_GB2312" w:hAnsi="仿宋_GB2312" w:eastAsia="仿宋_GB2312" w:cs="仿宋_GB2312"/>
        </w:rPr>
        <w:t xml:space="preserve"> （四）预算金额（元）：500,000.00元 ，大写（人民币）：伍拾万元整</w:t>
      </w:r>
    </w:p>
    <w:p w14:paraId="4E43F065">
      <w:pPr>
        <w:pStyle w:val="4"/>
        <w:ind w:firstLine="200" w:firstLineChars="100"/>
      </w:pPr>
      <w:r>
        <w:rPr>
          <w:rFonts w:ascii="仿宋_GB2312" w:hAnsi="仿宋_GB2312" w:eastAsia="仿宋_GB2312" w:cs="仿宋_GB2312"/>
        </w:rPr>
        <w:t>（五）项目概况：</w:t>
      </w:r>
    </w:p>
    <w:p w14:paraId="096D44B3">
      <w:pPr>
        <w:pStyle w:val="4"/>
        <w:ind w:left="480"/>
      </w:pPr>
      <w:r>
        <w:rPr>
          <w:rFonts w:ascii="仿宋_GB2312" w:hAnsi="仿宋_GB2312" w:eastAsia="仿宋_GB2312" w:cs="仿宋_GB2312"/>
        </w:rPr>
        <w:t>西安市殡仪馆提供遗体接运、遗体冷藏、遗体火化、骨灰寄存安葬及安放等全流程殡葬服务，运营过程中产生的遗物、花圈等废弃物，统一归集至祭奠园指定存放位置，需依规、及时开展处置工作。为保障馆内环境整洁有序，规范废弃物处置全流程，契合国家环保及殡葬行业管理相关要求，提升场馆整体运营服务质量，本馆现采购遗物和花圈处置服务，明确处置标准、作业要求及权责划分，确保遗物和花圈处置工作安全、环保、高效开展</w:t>
      </w:r>
    </w:p>
    <w:p w14:paraId="7CC40B67">
      <w:pPr>
        <w:pStyle w:val="4"/>
      </w:pPr>
      <w:r>
        <w:rPr>
          <w:rFonts w:ascii="仿宋_GB2312" w:hAnsi="仿宋_GB2312" w:eastAsia="仿宋_GB2312" w:cs="仿宋_GB2312"/>
        </w:rPr>
        <w:t xml:space="preserve"> （六）本项目是否有为采购项目提供整体设计、规范编制或者项目管理、监理、检测等服务的供应商：否</w:t>
      </w:r>
    </w:p>
    <w:p w14:paraId="2F6DCF25">
      <w:pPr>
        <w:pStyle w:val="4"/>
        <w:outlineLvl w:val="2"/>
      </w:pPr>
      <w:r>
        <w:rPr>
          <w:rFonts w:ascii="仿宋_GB2312" w:hAnsi="仿宋_GB2312" w:eastAsia="仿宋_GB2312" w:cs="仿宋_GB2312"/>
          <w:b/>
          <w:sz w:val="28"/>
        </w:rPr>
        <w:t>二、项目需求调查情况</w:t>
      </w:r>
    </w:p>
    <w:p w14:paraId="4B234E3E">
      <w:pPr>
        <w:pStyle w:val="4"/>
      </w:pPr>
      <w:r>
        <w:rPr>
          <w:rFonts w:ascii="仿宋_GB2312" w:hAnsi="仿宋_GB2312" w:eastAsia="仿宋_GB2312" w:cs="仿宋_GB2312"/>
        </w:rPr>
        <w:t>依据《政府采购需求管理办法》的规定，本项目不需要需求调查，具体情况如下：</w:t>
      </w:r>
    </w:p>
    <w:p w14:paraId="4660AF6F">
      <w:pPr>
        <w:pStyle w:val="4"/>
      </w:pPr>
      <w:r>
        <w:rPr>
          <w:rFonts w:ascii="仿宋_GB2312" w:hAnsi="仿宋_GB2312" w:eastAsia="仿宋_GB2312" w:cs="仿宋_GB2312"/>
        </w:rPr>
        <w:t>（一）需求调查方式</w:t>
      </w:r>
    </w:p>
    <w:p w14:paraId="564780AE">
      <w:pPr>
        <w:pStyle w:val="4"/>
        <w:ind w:firstLine="840"/>
      </w:pPr>
      <w:r>
        <w:rPr>
          <w:rFonts w:ascii="仿宋_GB2312" w:hAnsi="仿宋_GB2312" w:eastAsia="仿宋_GB2312" w:cs="仿宋_GB2312"/>
        </w:rPr>
        <w:t>（二）需求调查对象</w:t>
      </w:r>
    </w:p>
    <w:p w14:paraId="7D38F6DE">
      <w:pPr>
        <w:pStyle w:val="4"/>
        <w:ind w:firstLine="840"/>
      </w:pPr>
      <w:r>
        <w:rPr>
          <w:rFonts w:ascii="仿宋_GB2312" w:hAnsi="仿宋_GB2312" w:eastAsia="仿宋_GB2312" w:cs="仿宋_GB2312"/>
        </w:rPr>
        <w:t>（三）需求调查结果</w:t>
      </w:r>
    </w:p>
    <w:p w14:paraId="24161E9E">
      <w:pPr>
        <w:pStyle w:val="4"/>
        <w:ind w:firstLine="840"/>
      </w:pPr>
      <w:r>
        <w:rPr>
          <w:rFonts w:ascii="仿宋_GB2312" w:hAnsi="仿宋_GB2312" w:eastAsia="仿宋_GB2312" w:cs="仿宋_GB2312"/>
        </w:rPr>
        <w:t>1.相关产业发展情况</w:t>
      </w:r>
    </w:p>
    <w:p w14:paraId="51D9DA10">
      <w:pPr>
        <w:pStyle w:val="4"/>
        <w:ind w:firstLine="840"/>
      </w:pPr>
      <w:r>
        <w:rPr>
          <w:rFonts w:ascii="仿宋_GB2312" w:hAnsi="仿宋_GB2312" w:eastAsia="仿宋_GB2312" w:cs="仿宋_GB2312"/>
        </w:rPr>
        <w:t>2.市场供给情况</w:t>
      </w:r>
    </w:p>
    <w:p w14:paraId="2C01BADA">
      <w:pPr>
        <w:pStyle w:val="4"/>
        <w:ind w:firstLine="840"/>
      </w:pPr>
      <w:r>
        <w:rPr>
          <w:rFonts w:ascii="仿宋_GB2312" w:hAnsi="仿宋_GB2312" w:eastAsia="仿宋_GB2312" w:cs="仿宋_GB2312"/>
        </w:rPr>
        <w:t>3.同类采购项目历史成交信息情况</w:t>
      </w:r>
    </w:p>
    <w:p w14:paraId="44A22311">
      <w:pPr>
        <w:pStyle w:val="4"/>
        <w:ind w:firstLine="840"/>
      </w:pPr>
      <w:r>
        <w:rPr>
          <w:rFonts w:ascii="仿宋_GB2312" w:hAnsi="仿宋_GB2312" w:eastAsia="仿宋_GB2312" w:cs="仿宋_GB2312"/>
        </w:rPr>
        <w:t>4.可能涉及的运行维护、升级更新、备品备件、耗材等后续采购情况</w:t>
      </w:r>
    </w:p>
    <w:p w14:paraId="18EADAB1">
      <w:pPr>
        <w:pStyle w:val="4"/>
        <w:ind w:firstLine="840"/>
      </w:pPr>
      <w:r>
        <w:rPr>
          <w:rFonts w:ascii="仿宋_GB2312" w:hAnsi="仿宋_GB2312" w:eastAsia="仿宋_GB2312" w:cs="仿宋_GB2312"/>
        </w:rPr>
        <w:t>5.其他相关情况</w:t>
      </w:r>
    </w:p>
    <w:p w14:paraId="79261F3F">
      <w:pPr>
        <w:pStyle w:val="4"/>
        <w:ind w:firstLine="840"/>
        <w:outlineLvl w:val="2"/>
      </w:pPr>
      <w:r>
        <w:rPr>
          <w:rFonts w:ascii="仿宋_GB2312" w:hAnsi="仿宋_GB2312" w:eastAsia="仿宋_GB2312" w:cs="仿宋_GB2312"/>
          <w:b/>
          <w:sz w:val="28"/>
        </w:rPr>
        <w:t>三、项目采购实施计划</w:t>
      </w:r>
    </w:p>
    <w:p w14:paraId="053B3E68">
      <w:pPr>
        <w:pStyle w:val="4"/>
      </w:pPr>
      <w:r>
        <w:rPr>
          <w:rFonts w:ascii="仿宋_GB2312" w:hAnsi="仿宋_GB2312" w:eastAsia="仿宋_GB2312" w:cs="仿宋_GB2312"/>
        </w:rPr>
        <w:t>（一）采购组织形式：部门集中采购</w:t>
      </w:r>
    </w:p>
    <w:p w14:paraId="4D7EE1A8">
      <w:pPr>
        <w:pStyle w:val="4"/>
      </w:pPr>
      <w:r>
        <w:rPr>
          <w:rFonts w:ascii="仿宋_GB2312" w:hAnsi="仿宋_GB2312" w:eastAsia="仿宋_GB2312" w:cs="仿宋_GB2312"/>
        </w:rPr>
        <w:t>（二）采购方式：竞争性磋商</w:t>
      </w:r>
    </w:p>
    <w:p w14:paraId="363F1571">
      <w:pPr>
        <w:pStyle w:val="4"/>
      </w:pPr>
      <w:r>
        <w:rPr>
          <w:rFonts w:ascii="仿宋_GB2312" w:hAnsi="仿宋_GB2312" w:eastAsia="仿宋_GB2312" w:cs="仿宋_GB2312"/>
        </w:rPr>
        <w:t>（三）本项目是否单位自行组织采购：否</w:t>
      </w:r>
    </w:p>
    <w:p w14:paraId="30F3C917">
      <w:pPr>
        <w:pStyle w:val="4"/>
      </w:pPr>
      <w:r>
        <w:rPr>
          <w:rFonts w:ascii="仿宋_GB2312" w:hAnsi="仿宋_GB2312" w:eastAsia="仿宋_GB2312" w:cs="仿宋_GB2312"/>
        </w:rPr>
        <w:t>（四）采购包划分：不分包采购</w:t>
      </w:r>
    </w:p>
    <w:p w14:paraId="7E774A1F">
      <w:pPr>
        <w:pStyle w:val="4"/>
      </w:pPr>
      <w:r>
        <w:rPr>
          <w:rFonts w:ascii="仿宋_GB2312" w:hAnsi="仿宋_GB2312" w:eastAsia="仿宋_GB2312" w:cs="仿宋_GB2312"/>
        </w:rPr>
        <w:t>（五）执行政府采购促进中小企业发展的相关政策</w:t>
      </w:r>
    </w:p>
    <w:p w14:paraId="2559E9F0">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3CF44EDF">
      <w:pPr>
        <w:pStyle w:val="4"/>
        <w:ind w:firstLine="840"/>
      </w:pPr>
      <w:r>
        <w:rPr>
          <w:rFonts w:ascii="仿宋_GB2312" w:hAnsi="仿宋_GB2312" w:eastAsia="仿宋_GB2312" w:cs="仿宋_GB2312"/>
          <w:i/>
        </w:rPr>
        <w:t>注：监狱企业和残疾人福利单位视同小微企业。</w:t>
      </w:r>
    </w:p>
    <w:p w14:paraId="678BBB1E">
      <w:pPr>
        <w:pStyle w:val="4"/>
      </w:pPr>
      <w:r>
        <w:rPr>
          <w:rFonts w:ascii="仿宋_GB2312" w:hAnsi="仿宋_GB2312" w:eastAsia="仿宋_GB2312" w:cs="仿宋_GB2312"/>
        </w:rPr>
        <w:t>（六）是否采购环境标识产品：否</w:t>
      </w:r>
    </w:p>
    <w:p w14:paraId="0308C034">
      <w:pPr>
        <w:pStyle w:val="4"/>
      </w:pPr>
      <w:r>
        <w:rPr>
          <w:rFonts w:ascii="仿宋_GB2312" w:hAnsi="仿宋_GB2312" w:eastAsia="仿宋_GB2312" w:cs="仿宋_GB2312"/>
        </w:rPr>
        <w:t>（七）是否采购节能产品：否</w:t>
      </w:r>
    </w:p>
    <w:p w14:paraId="545DBE08">
      <w:pPr>
        <w:pStyle w:val="4"/>
      </w:pPr>
      <w:r>
        <w:rPr>
          <w:rFonts w:ascii="仿宋_GB2312" w:hAnsi="仿宋_GB2312" w:eastAsia="仿宋_GB2312" w:cs="仿宋_GB2312"/>
        </w:rPr>
        <w:t>（八）项目的采购标的是否包含进口产品：否</w:t>
      </w:r>
    </w:p>
    <w:p w14:paraId="1C82D0EF">
      <w:pPr>
        <w:pStyle w:val="4"/>
      </w:pPr>
      <w:r>
        <w:rPr>
          <w:rFonts w:ascii="仿宋_GB2312" w:hAnsi="仿宋_GB2312" w:eastAsia="仿宋_GB2312" w:cs="仿宋_GB2312"/>
        </w:rPr>
        <w:t>（九）采购标的是否属于政府购买服务：否</w:t>
      </w:r>
    </w:p>
    <w:p w14:paraId="245A600E">
      <w:pPr>
        <w:pStyle w:val="4"/>
      </w:pPr>
      <w:r>
        <w:rPr>
          <w:rFonts w:ascii="仿宋_GB2312" w:hAnsi="仿宋_GB2312" w:eastAsia="仿宋_GB2312" w:cs="仿宋_GB2312"/>
        </w:rPr>
        <w:t>（十）是否属于政务信息系统项目：否</w:t>
      </w:r>
    </w:p>
    <w:p w14:paraId="36AF001F">
      <w:pPr>
        <w:pStyle w:val="4"/>
      </w:pPr>
      <w:r>
        <w:rPr>
          <w:rFonts w:ascii="仿宋_GB2312" w:hAnsi="仿宋_GB2312" w:eastAsia="仿宋_GB2312" w:cs="仿宋_GB2312"/>
        </w:rPr>
        <w:t>（十一）是否属于高校、科研院所的科研仪器设备采购：否</w:t>
      </w:r>
    </w:p>
    <w:p w14:paraId="151E88D0">
      <w:pPr>
        <w:pStyle w:val="4"/>
      </w:pPr>
      <w:r>
        <w:rPr>
          <w:rFonts w:ascii="仿宋_GB2312" w:hAnsi="仿宋_GB2312" w:eastAsia="仿宋_GB2312" w:cs="仿宋_GB2312"/>
        </w:rPr>
        <w:t>（十二）是否属于一签多年项目：否</w:t>
      </w:r>
    </w:p>
    <w:p w14:paraId="7926788E">
      <w:pPr>
        <w:pStyle w:val="4"/>
        <w:ind w:firstLine="1275"/>
        <w:outlineLvl w:val="2"/>
      </w:pPr>
      <w:r>
        <w:rPr>
          <w:rFonts w:ascii="仿宋_GB2312" w:hAnsi="仿宋_GB2312" w:eastAsia="仿宋_GB2312" w:cs="仿宋_GB2312"/>
          <w:b/>
          <w:sz w:val="28"/>
        </w:rPr>
        <w:t>四、项目需求及分包情况、采购标的</w:t>
      </w:r>
    </w:p>
    <w:p w14:paraId="03170875">
      <w:pPr>
        <w:pStyle w:val="4"/>
        <w:outlineLvl w:val="4"/>
      </w:pPr>
      <w:r>
        <w:rPr>
          <w:rFonts w:ascii="仿宋_GB2312" w:hAnsi="仿宋_GB2312" w:eastAsia="仿宋_GB2312" w:cs="仿宋_GB2312"/>
          <w:b/>
          <w:sz w:val="20"/>
        </w:rPr>
        <w:t>（一）分包名称：西安市殡仪馆遗物和花圈处置服务项目</w:t>
      </w:r>
    </w:p>
    <w:p w14:paraId="07A1048B">
      <w:pPr>
        <w:pStyle w:val="4"/>
      </w:pPr>
      <w:r>
        <w:rPr>
          <w:rFonts w:ascii="仿宋_GB2312" w:hAnsi="仿宋_GB2312" w:eastAsia="仿宋_GB2312" w:cs="仿宋_GB2312"/>
        </w:rPr>
        <w:t>1、执行政府采购促进中小企业发展的相关政策</w:t>
      </w:r>
    </w:p>
    <w:p w14:paraId="3B6FE1AE">
      <w:pPr>
        <w:pStyle w:val="4"/>
      </w:pPr>
      <w:r>
        <w:rPr>
          <w:rFonts w:ascii="仿宋_GB2312" w:hAnsi="仿宋_GB2312" w:eastAsia="仿宋_GB2312" w:cs="仿宋_GB2312"/>
          <w:color w:val="000000"/>
        </w:rPr>
        <w:t>1)</w:t>
      </w:r>
      <w:r>
        <w:rPr>
          <w:rFonts w:ascii="仿宋_GB2312" w:hAnsi="仿宋_GB2312" w:eastAsia="仿宋_GB2312" w:cs="仿宋_GB2312"/>
        </w:rPr>
        <w:t>专门面向中小企业采购</w:t>
      </w:r>
    </w:p>
    <w:p w14:paraId="6E06A3B5">
      <w:pPr>
        <w:pStyle w:val="4"/>
        <w:ind w:firstLine="840"/>
      </w:pPr>
      <w:r>
        <w:rPr>
          <w:rFonts w:ascii="仿宋_GB2312" w:hAnsi="仿宋_GB2312" w:eastAsia="仿宋_GB2312" w:cs="仿宋_GB2312"/>
          <w:color w:val="000000"/>
        </w:rPr>
        <w:t>2)面向的企业规模：</w:t>
      </w:r>
      <w:r>
        <w:rPr>
          <w:rFonts w:ascii="仿宋_GB2312" w:hAnsi="仿宋_GB2312" w:eastAsia="仿宋_GB2312" w:cs="仿宋_GB2312"/>
        </w:rPr>
        <w:t>中小企业</w:t>
      </w:r>
    </w:p>
    <w:p w14:paraId="1BE27562">
      <w:pPr>
        <w:pStyle w:val="4"/>
        <w:ind w:firstLine="840"/>
      </w:pPr>
      <w:r>
        <w:rPr>
          <w:rFonts w:ascii="仿宋_GB2312" w:hAnsi="仿宋_GB2312" w:eastAsia="仿宋_GB2312" w:cs="仿宋_GB2312"/>
          <w:color w:val="000000"/>
        </w:rPr>
        <w:t>3)预留形式：</w:t>
      </w:r>
      <w:r>
        <w:rPr>
          <w:rFonts w:ascii="仿宋_GB2312" w:hAnsi="仿宋_GB2312" w:eastAsia="仿宋_GB2312" w:cs="仿宋_GB2312"/>
        </w:rPr>
        <w:t>设置专门采购包</w:t>
      </w:r>
    </w:p>
    <w:p w14:paraId="3021D9AA">
      <w:pPr>
        <w:pStyle w:val="4"/>
        <w:ind w:firstLine="840"/>
      </w:pPr>
      <w:r>
        <w:rPr>
          <w:rFonts w:ascii="仿宋_GB2312" w:hAnsi="仿宋_GB2312" w:eastAsia="仿宋_GB2312" w:cs="仿宋_GB2312"/>
          <w:color w:val="000000"/>
        </w:rPr>
        <w:t>4)预留比例：</w:t>
      </w:r>
      <w:r>
        <w:rPr>
          <w:rFonts w:ascii="仿宋_GB2312" w:hAnsi="仿宋_GB2312" w:eastAsia="仿宋_GB2312" w:cs="仿宋_GB2312"/>
        </w:rPr>
        <w:t>100%</w:t>
      </w:r>
    </w:p>
    <w:p w14:paraId="465077D1">
      <w:pPr>
        <w:pStyle w:val="4"/>
      </w:pPr>
      <w:r>
        <w:rPr>
          <w:rFonts w:ascii="仿宋_GB2312" w:hAnsi="仿宋_GB2312" w:eastAsia="仿宋_GB2312" w:cs="仿宋_GB2312"/>
        </w:rPr>
        <w:t>2、预算金额（元）：500,000.00 ，大写（人民币）： 伍拾万元整</w:t>
      </w:r>
    </w:p>
    <w:p w14:paraId="4FA0057B">
      <w:pPr>
        <w:pStyle w:val="4"/>
        <w:ind w:firstLine="780"/>
      </w:pPr>
      <w:r>
        <w:rPr>
          <w:rFonts w:ascii="仿宋_GB2312" w:hAnsi="仿宋_GB2312" w:eastAsia="仿宋_GB2312" w:cs="仿宋_GB2312"/>
        </w:rPr>
        <w:t xml:space="preserve"> 最高限价（元）： 500,000.00 ，大写（人民币）： 伍拾万元整</w:t>
      </w:r>
    </w:p>
    <w:p w14:paraId="392C49AB">
      <w:pPr>
        <w:pStyle w:val="4"/>
      </w:pPr>
      <w:r>
        <w:rPr>
          <w:rFonts w:ascii="仿宋_GB2312" w:hAnsi="仿宋_GB2312" w:eastAsia="仿宋_GB2312" w:cs="仿宋_GB2312"/>
        </w:rPr>
        <w:t>3、评审方法：综合评分法</w:t>
      </w:r>
    </w:p>
    <w:p w14:paraId="44775041">
      <w:pPr>
        <w:pStyle w:val="4"/>
      </w:pPr>
      <w:r>
        <w:rPr>
          <w:rFonts w:ascii="仿宋_GB2312" w:hAnsi="仿宋_GB2312" w:eastAsia="仿宋_GB2312" w:cs="仿宋_GB2312"/>
        </w:rPr>
        <w:t>4、是否支持联合体投标：否</w:t>
      </w:r>
    </w:p>
    <w:p w14:paraId="7BA8CB9B">
      <w:pPr>
        <w:pStyle w:val="4"/>
      </w:pPr>
      <w:r>
        <w:rPr>
          <w:rFonts w:ascii="仿宋_GB2312" w:hAnsi="仿宋_GB2312" w:eastAsia="仿宋_GB2312" w:cs="仿宋_GB2312"/>
        </w:rPr>
        <w:t>5、是否允许合同分包选项：否</w:t>
      </w:r>
    </w:p>
    <w:p w14:paraId="0739CC42">
      <w:pPr>
        <w:pStyle w:val="4"/>
      </w:pPr>
      <w:r>
        <w:rPr>
          <w:rFonts w:ascii="仿宋_GB2312" w:hAnsi="仿宋_GB2312" w:eastAsia="仿宋_GB2312" w:cs="仿宋_GB2312"/>
        </w:rPr>
        <w:t>6、拟采购标的的技术要求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97"/>
        <w:gridCol w:w="1993"/>
        <w:gridCol w:w="1661"/>
        <w:gridCol w:w="1993"/>
        <w:gridCol w:w="1661"/>
      </w:tblGrid>
      <w:tr w14:paraId="4CE5E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restart"/>
          </w:tcPr>
          <w:p w14:paraId="0220196E">
            <w:pPr>
              <w:pStyle w:val="4"/>
            </w:pPr>
            <w:r>
              <w:rPr>
                <w:rFonts w:ascii="仿宋_GB2312" w:hAnsi="仿宋_GB2312" w:eastAsia="仿宋_GB2312" w:cs="仿宋_GB2312"/>
              </w:rPr>
              <w:t>1</w:t>
            </w:r>
          </w:p>
        </w:tc>
        <w:tc>
          <w:tcPr>
            <w:tcW w:w="1993" w:type="dxa"/>
          </w:tcPr>
          <w:p w14:paraId="3FBB3213">
            <w:pPr>
              <w:pStyle w:val="4"/>
              <w:jc w:val="center"/>
            </w:pPr>
            <w:r>
              <w:rPr>
                <w:rFonts w:ascii="仿宋_GB2312" w:hAnsi="仿宋_GB2312" w:eastAsia="仿宋_GB2312" w:cs="仿宋_GB2312"/>
                <w:b/>
                <w:color w:val="000000"/>
              </w:rPr>
              <w:t>采购品目</w:t>
            </w:r>
          </w:p>
        </w:tc>
        <w:tc>
          <w:tcPr>
            <w:tcW w:w="1661" w:type="dxa"/>
          </w:tcPr>
          <w:p w14:paraId="4EB3FEFD">
            <w:pPr>
              <w:pStyle w:val="4"/>
            </w:pPr>
            <w:r>
              <w:rPr>
                <w:rFonts w:ascii="仿宋_GB2312" w:hAnsi="仿宋_GB2312" w:eastAsia="仿宋_GB2312" w:cs="仿宋_GB2312"/>
              </w:rPr>
              <w:t>其他服务</w:t>
            </w:r>
          </w:p>
        </w:tc>
        <w:tc>
          <w:tcPr>
            <w:tcW w:w="1993" w:type="dxa"/>
          </w:tcPr>
          <w:p w14:paraId="442123AD">
            <w:pPr>
              <w:pStyle w:val="4"/>
              <w:jc w:val="center"/>
            </w:pPr>
            <w:r>
              <w:rPr>
                <w:rFonts w:ascii="仿宋_GB2312" w:hAnsi="仿宋_GB2312" w:eastAsia="仿宋_GB2312" w:cs="仿宋_GB2312"/>
                <w:b/>
                <w:color w:val="000000"/>
              </w:rPr>
              <w:t>标的名称</w:t>
            </w:r>
          </w:p>
        </w:tc>
        <w:tc>
          <w:tcPr>
            <w:tcW w:w="1661" w:type="dxa"/>
          </w:tcPr>
          <w:p w14:paraId="43C6B729">
            <w:pPr>
              <w:pStyle w:val="4"/>
            </w:pPr>
            <w:r>
              <w:rPr>
                <w:rFonts w:ascii="仿宋_GB2312" w:hAnsi="仿宋_GB2312" w:eastAsia="仿宋_GB2312" w:cs="仿宋_GB2312"/>
              </w:rPr>
              <w:t>遗物和花圈处置服务</w:t>
            </w:r>
          </w:p>
        </w:tc>
      </w:tr>
      <w:tr w14:paraId="333F0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1CF9B21B"/>
        </w:tc>
        <w:tc>
          <w:tcPr>
            <w:tcW w:w="1993" w:type="dxa"/>
          </w:tcPr>
          <w:p w14:paraId="585BE431">
            <w:pPr>
              <w:pStyle w:val="4"/>
              <w:jc w:val="center"/>
            </w:pPr>
            <w:r>
              <w:rPr>
                <w:rFonts w:ascii="仿宋_GB2312" w:hAnsi="仿宋_GB2312" w:eastAsia="仿宋_GB2312" w:cs="仿宋_GB2312"/>
                <w:b/>
                <w:color w:val="000000"/>
              </w:rPr>
              <w:t>数量</w:t>
            </w:r>
          </w:p>
        </w:tc>
        <w:tc>
          <w:tcPr>
            <w:tcW w:w="1661" w:type="dxa"/>
          </w:tcPr>
          <w:p w14:paraId="7A14623C">
            <w:pPr>
              <w:pStyle w:val="4"/>
              <w:jc w:val="right"/>
            </w:pPr>
            <w:r>
              <w:rPr>
                <w:rFonts w:ascii="仿宋_GB2312" w:hAnsi="仿宋_GB2312" w:eastAsia="仿宋_GB2312" w:cs="仿宋_GB2312"/>
              </w:rPr>
              <w:t>1.00</w:t>
            </w:r>
          </w:p>
        </w:tc>
        <w:tc>
          <w:tcPr>
            <w:tcW w:w="1993" w:type="dxa"/>
          </w:tcPr>
          <w:p w14:paraId="34BA3115">
            <w:pPr>
              <w:pStyle w:val="4"/>
              <w:jc w:val="center"/>
            </w:pPr>
            <w:r>
              <w:rPr>
                <w:rFonts w:ascii="仿宋_GB2312" w:hAnsi="仿宋_GB2312" w:eastAsia="仿宋_GB2312" w:cs="仿宋_GB2312"/>
                <w:b/>
                <w:color w:val="000000"/>
              </w:rPr>
              <w:t>单位</w:t>
            </w:r>
          </w:p>
        </w:tc>
        <w:tc>
          <w:tcPr>
            <w:tcW w:w="1661" w:type="dxa"/>
          </w:tcPr>
          <w:p w14:paraId="42014D62">
            <w:pPr>
              <w:pStyle w:val="4"/>
            </w:pPr>
            <w:r>
              <w:rPr>
                <w:rFonts w:ascii="仿宋_GB2312" w:hAnsi="仿宋_GB2312" w:eastAsia="仿宋_GB2312" w:cs="仿宋_GB2312"/>
              </w:rPr>
              <w:t>项</w:t>
            </w:r>
          </w:p>
        </w:tc>
      </w:tr>
      <w:tr w14:paraId="7BB06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642D009C"/>
        </w:tc>
        <w:tc>
          <w:tcPr>
            <w:tcW w:w="1993" w:type="dxa"/>
          </w:tcPr>
          <w:p w14:paraId="5FFD0047">
            <w:pPr>
              <w:pStyle w:val="4"/>
              <w:jc w:val="center"/>
            </w:pPr>
            <w:r>
              <w:rPr>
                <w:rFonts w:ascii="仿宋_GB2312" w:hAnsi="仿宋_GB2312" w:eastAsia="仿宋_GB2312" w:cs="仿宋_GB2312"/>
                <w:b/>
                <w:color w:val="000000"/>
              </w:rPr>
              <w:t>合计金额（元）</w:t>
            </w:r>
          </w:p>
        </w:tc>
        <w:tc>
          <w:tcPr>
            <w:tcW w:w="1661" w:type="dxa"/>
          </w:tcPr>
          <w:p w14:paraId="436A7E70">
            <w:pPr>
              <w:pStyle w:val="4"/>
              <w:jc w:val="right"/>
            </w:pPr>
            <w:r>
              <w:rPr>
                <w:rFonts w:ascii="仿宋_GB2312" w:hAnsi="仿宋_GB2312" w:eastAsia="仿宋_GB2312" w:cs="仿宋_GB2312"/>
              </w:rPr>
              <w:t>500,000.00</w:t>
            </w:r>
          </w:p>
        </w:tc>
        <w:tc>
          <w:tcPr>
            <w:tcW w:w="1993" w:type="dxa"/>
          </w:tcPr>
          <w:p w14:paraId="7A4FDA1B">
            <w:pPr>
              <w:pStyle w:val="4"/>
              <w:jc w:val="center"/>
            </w:pPr>
            <w:r>
              <w:rPr>
                <w:rFonts w:ascii="仿宋_GB2312" w:hAnsi="仿宋_GB2312" w:eastAsia="仿宋_GB2312" w:cs="仿宋_GB2312"/>
                <w:b/>
                <w:color w:val="000000"/>
              </w:rPr>
              <w:t>单价（元）</w:t>
            </w:r>
          </w:p>
        </w:tc>
        <w:tc>
          <w:tcPr>
            <w:tcW w:w="1661" w:type="dxa"/>
          </w:tcPr>
          <w:p w14:paraId="0C0EFB46">
            <w:pPr>
              <w:pStyle w:val="4"/>
              <w:jc w:val="right"/>
            </w:pPr>
            <w:r>
              <w:rPr>
                <w:rFonts w:ascii="仿宋_GB2312" w:hAnsi="仿宋_GB2312" w:eastAsia="仿宋_GB2312" w:cs="仿宋_GB2312"/>
              </w:rPr>
              <w:t>500,000.00</w:t>
            </w:r>
          </w:p>
        </w:tc>
      </w:tr>
      <w:tr w14:paraId="351FD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31EA214B"/>
        </w:tc>
        <w:tc>
          <w:tcPr>
            <w:tcW w:w="1993" w:type="dxa"/>
          </w:tcPr>
          <w:p w14:paraId="487654C7">
            <w:pPr>
              <w:pStyle w:val="4"/>
              <w:jc w:val="center"/>
            </w:pPr>
            <w:r>
              <w:rPr>
                <w:rFonts w:ascii="仿宋_GB2312" w:hAnsi="仿宋_GB2312" w:eastAsia="仿宋_GB2312" w:cs="仿宋_GB2312"/>
                <w:b/>
                <w:color w:val="000000"/>
              </w:rPr>
              <w:t>是否采购节能产品</w:t>
            </w:r>
          </w:p>
        </w:tc>
        <w:tc>
          <w:tcPr>
            <w:tcW w:w="1661" w:type="dxa"/>
          </w:tcPr>
          <w:p w14:paraId="0AE38C83">
            <w:pPr>
              <w:pStyle w:val="4"/>
            </w:pPr>
            <w:r>
              <w:rPr>
                <w:rFonts w:ascii="仿宋_GB2312" w:hAnsi="仿宋_GB2312" w:eastAsia="仿宋_GB2312" w:cs="仿宋_GB2312"/>
              </w:rPr>
              <w:t>否</w:t>
            </w:r>
          </w:p>
        </w:tc>
        <w:tc>
          <w:tcPr>
            <w:tcW w:w="1993" w:type="dxa"/>
          </w:tcPr>
          <w:p w14:paraId="7C856E53">
            <w:pPr>
              <w:pStyle w:val="4"/>
              <w:jc w:val="center"/>
            </w:pPr>
            <w:r>
              <w:rPr>
                <w:rFonts w:ascii="仿宋_GB2312" w:hAnsi="仿宋_GB2312" w:eastAsia="仿宋_GB2312" w:cs="仿宋_GB2312"/>
                <w:b/>
                <w:color w:val="000000"/>
              </w:rPr>
              <w:t>未采购节能产品原因</w:t>
            </w:r>
          </w:p>
        </w:tc>
        <w:tc>
          <w:tcPr>
            <w:tcW w:w="1661" w:type="dxa"/>
          </w:tcPr>
          <w:p w14:paraId="70B2AA01">
            <w:pPr>
              <w:pStyle w:val="4"/>
            </w:pPr>
            <w:r>
              <w:rPr>
                <w:rFonts w:ascii="仿宋_GB2312" w:hAnsi="仿宋_GB2312" w:eastAsia="仿宋_GB2312" w:cs="仿宋_GB2312"/>
              </w:rPr>
              <w:t>无</w:t>
            </w:r>
          </w:p>
        </w:tc>
      </w:tr>
      <w:tr w14:paraId="2E4C8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79669680"/>
        </w:tc>
        <w:tc>
          <w:tcPr>
            <w:tcW w:w="1993" w:type="dxa"/>
          </w:tcPr>
          <w:p w14:paraId="0B32279B">
            <w:pPr>
              <w:pStyle w:val="4"/>
              <w:jc w:val="center"/>
            </w:pPr>
            <w:r>
              <w:rPr>
                <w:rFonts w:ascii="仿宋_GB2312" w:hAnsi="仿宋_GB2312" w:eastAsia="仿宋_GB2312" w:cs="仿宋_GB2312"/>
                <w:b/>
                <w:color w:val="000000"/>
              </w:rPr>
              <w:t>是否采购环保产品</w:t>
            </w:r>
          </w:p>
        </w:tc>
        <w:tc>
          <w:tcPr>
            <w:tcW w:w="1661" w:type="dxa"/>
          </w:tcPr>
          <w:p w14:paraId="10172625">
            <w:pPr>
              <w:pStyle w:val="4"/>
            </w:pPr>
            <w:r>
              <w:rPr>
                <w:rFonts w:ascii="仿宋_GB2312" w:hAnsi="仿宋_GB2312" w:eastAsia="仿宋_GB2312" w:cs="仿宋_GB2312"/>
              </w:rPr>
              <w:t>否</w:t>
            </w:r>
          </w:p>
        </w:tc>
        <w:tc>
          <w:tcPr>
            <w:tcW w:w="1993" w:type="dxa"/>
          </w:tcPr>
          <w:p w14:paraId="4C84EF41">
            <w:pPr>
              <w:pStyle w:val="4"/>
              <w:jc w:val="center"/>
            </w:pPr>
            <w:r>
              <w:rPr>
                <w:rFonts w:ascii="仿宋_GB2312" w:hAnsi="仿宋_GB2312" w:eastAsia="仿宋_GB2312" w:cs="仿宋_GB2312"/>
                <w:b/>
                <w:color w:val="000000"/>
              </w:rPr>
              <w:t>未采购环保产品原因</w:t>
            </w:r>
          </w:p>
        </w:tc>
        <w:tc>
          <w:tcPr>
            <w:tcW w:w="1661" w:type="dxa"/>
          </w:tcPr>
          <w:p w14:paraId="3ABEC481">
            <w:pPr>
              <w:pStyle w:val="4"/>
            </w:pPr>
            <w:r>
              <w:rPr>
                <w:rFonts w:ascii="仿宋_GB2312" w:hAnsi="仿宋_GB2312" w:eastAsia="仿宋_GB2312" w:cs="仿宋_GB2312"/>
              </w:rPr>
              <w:t>无</w:t>
            </w:r>
          </w:p>
        </w:tc>
      </w:tr>
      <w:tr w14:paraId="1391B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7" w:type="dxa"/>
            <w:vMerge w:val="continue"/>
          </w:tcPr>
          <w:p w14:paraId="0CE85ACA"/>
        </w:tc>
        <w:tc>
          <w:tcPr>
            <w:tcW w:w="1993" w:type="dxa"/>
          </w:tcPr>
          <w:p w14:paraId="74C52795">
            <w:pPr>
              <w:pStyle w:val="4"/>
              <w:jc w:val="center"/>
            </w:pPr>
            <w:r>
              <w:rPr>
                <w:rFonts w:ascii="仿宋_GB2312" w:hAnsi="仿宋_GB2312" w:eastAsia="仿宋_GB2312" w:cs="仿宋_GB2312"/>
                <w:b/>
                <w:color w:val="000000"/>
              </w:rPr>
              <w:t>是否采购进口产品</w:t>
            </w:r>
          </w:p>
        </w:tc>
        <w:tc>
          <w:tcPr>
            <w:tcW w:w="1661" w:type="dxa"/>
          </w:tcPr>
          <w:p w14:paraId="094A23EF">
            <w:pPr>
              <w:pStyle w:val="4"/>
            </w:pPr>
            <w:r>
              <w:rPr>
                <w:rFonts w:ascii="仿宋_GB2312" w:hAnsi="仿宋_GB2312" w:eastAsia="仿宋_GB2312" w:cs="仿宋_GB2312"/>
              </w:rPr>
              <w:t>否</w:t>
            </w:r>
          </w:p>
        </w:tc>
        <w:tc>
          <w:tcPr>
            <w:tcW w:w="1993" w:type="dxa"/>
          </w:tcPr>
          <w:p w14:paraId="4FB5F6DF">
            <w:pPr>
              <w:pStyle w:val="4"/>
              <w:jc w:val="center"/>
            </w:pPr>
            <w:r>
              <w:rPr>
                <w:rFonts w:ascii="仿宋_GB2312" w:hAnsi="仿宋_GB2312" w:eastAsia="仿宋_GB2312" w:cs="仿宋_GB2312"/>
                <w:b/>
                <w:color w:val="000000"/>
              </w:rPr>
              <w:t>标的物所属行业</w:t>
            </w:r>
          </w:p>
        </w:tc>
        <w:tc>
          <w:tcPr>
            <w:tcW w:w="1661" w:type="dxa"/>
          </w:tcPr>
          <w:p w14:paraId="49E3AA11">
            <w:pPr>
              <w:pStyle w:val="4"/>
            </w:pPr>
            <w:r>
              <w:rPr>
                <w:rFonts w:ascii="仿宋_GB2312" w:hAnsi="仿宋_GB2312" w:eastAsia="仿宋_GB2312" w:cs="仿宋_GB2312"/>
              </w:rPr>
              <w:t>其他未列明行业</w:t>
            </w:r>
          </w:p>
        </w:tc>
      </w:tr>
    </w:tbl>
    <w:p w14:paraId="170C4170">
      <w:pPr>
        <w:pStyle w:val="4"/>
      </w:pPr>
      <w:r>
        <w:rPr>
          <w:rFonts w:ascii="仿宋_GB2312" w:hAnsi="仿宋_GB2312" w:eastAsia="仿宋_GB2312" w:cs="仿宋_GB2312"/>
        </w:rPr>
        <w:t>标的名称：遗物和花圈处置服务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7B116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CBE3D5">
            <w:pPr>
              <w:pStyle w:val="4"/>
            </w:pPr>
            <w:r>
              <w:rPr>
                <w:rFonts w:ascii="仿宋_GB2312" w:hAnsi="仿宋_GB2312" w:eastAsia="仿宋_GB2312" w:cs="仿宋_GB2312"/>
              </w:rPr>
              <w:t xml:space="preserve"> 参数性质</w:t>
            </w:r>
          </w:p>
        </w:tc>
        <w:tc>
          <w:tcPr>
            <w:tcW w:w="2769" w:type="dxa"/>
          </w:tcPr>
          <w:p w14:paraId="64DFF51B">
            <w:pPr>
              <w:pStyle w:val="4"/>
            </w:pPr>
            <w:r>
              <w:rPr>
                <w:rFonts w:ascii="仿宋_GB2312" w:hAnsi="仿宋_GB2312" w:eastAsia="仿宋_GB2312" w:cs="仿宋_GB2312"/>
              </w:rPr>
              <w:t xml:space="preserve"> 序号</w:t>
            </w:r>
          </w:p>
        </w:tc>
        <w:tc>
          <w:tcPr>
            <w:tcW w:w="2769" w:type="dxa"/>
          </w:tcPr>
          <w:p w14:paraId="2828FEF3">
            <w:pPr>
              <w:pStyle w:val="4"/>
            </w:pPr>
            <w:r>
              <w:rPr>
                <w:rFonts w:ascii="仿宋_GB2312" w:hAnsi="仿宋_GB2312" w:eastAsia="仿宋_GB2312" w:cs="仿宋_GB2312"/>
              </w:rPr>
              <w:t xml:space="preserve"> 技术参数与性能指标</w:t>
            </w:r>
          </w:p>
        </w:tc>
      </w:tr>
      <w:tr w14:paraId="229E6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308939">
            <w:pPr>
              <w:pStyle w:val="4"/>
            </w:pPr>
            <w:r>
              <w:rPr>
                <w:rFonts w:ascii="仿宋_GB2312" w:hAnsi="仿宋_GB2312" w:eastAsia="仿宋_GB2312" w:cs="仿宋_GB2312"/>
              </w:rPr>
              <w:t>★</w:t>
            </w:r>
          </w:p>
        </w:tc>
        <w:tc>
          <w:tcPr>
            <w:tcW w:w="2769" w:type="dxa"/>
          </w:tcPr>
          <w:p w14:paraId="1FFE1A84">
            <w:pPr>
              <w:pStyle w:val="4"/>
            </w:pPr>
            <w:r>
              <w:rPr>
                <w:rFonts w:ascii="仿宋_GB2312" w:hAnsi="仿宋_GB2312" w:eastAsia="仿宋_GB2312" w:cs="仿宋_GB2312"/>
              </w:rPr>
              <w:t>1</w:t>
            </w:r>
          </w:p>
        </w:tc>
        <w:tc>
          <w:tcPr>
            <w:tcW w:w="2769" w:type="dxa"/>
          </w:tcPr>
          <w:p w14:paraId="4AF27E93">
            <w:pPr>
              <w:pStyle w:val="4"/>
              <w:jc w:val="both"/>
            </w:pPr>
            <w:r>
              <w:rPr>
                <w:rFonts w:ascii="仿宋_GB2312" w:hAnsi="仿宋_GB2312" w:eastAsia="仿宋_GB2312" w:cs="仿宋_GB2312"/>
                <w:b/>
                <w:color w:val="000000"/>
                <w:sz w:val="21"/>
              </w:rPr>
              <w:t>服务内容：</w:t>
            </w:r>
          </w:p>
          <w:p w14:paraId="5DFF4126">
            <w:pPr>
              <w:pStyle w:val="4"/>
            </w:pPr>
            <w:r>
              <w:rPr>
                <w:rFonts w:ascii="仿宋_GB2312" w:hAnsi="仿宋_GB2312" w:eastAsia="仿宋_GB2312" w:cs="仿宋_GB2312"/>
                <w:color w:val="000000"/>
                <w:sz w:val="21"/>
              </w:rPr>
              <w:t>服务区域为西安市殡仪馆全域，所有区域产生的遗物、花圈均统一归集至祭奠园指定存放位置，核心工作内容为：在祭奠园指定存放位置完成遗物、花圈的集中收集、专业压缩、密闭装车，每日从该存放位置统一拉运，将废弃物运输至垃圾处理场并完成合规交接与处置，全程规范做好作业记录及台账管理工作。</w:t>
            </w:r>
          </w:p>
        </w:tc>
      </w:tr>
      <w:tr w14:paraId="7AAC5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13BB20D">
            <w:pPr>
              <w:pStyle w:val="4"/>
            </w:pPr>
            <w:r>
              <w:rPr>
                <w:rFonts w:ascii="仿宋_GB2312" w:hAnsi="仿宋_GB2312" w:eastAsia="仿宋_GB2312" w:cs="仿宋_GB2312"/>
              </w:rPr>
              <w:t>★</w:t>
            </w:r>
          </w:p>
        </w:tc>
        <w:tc>
          <w:tcPr>
            <w:tcW w:w="2769" w:type="dxa"/>
          </w:tcPr>
          <w:p w14:paraId="479BD197">
            <w:pPr>
              <w:pStyle w:val="4"/>
            </w:pPr>
            <w:r>
              <w:rPr>
                <w:rFonts w:ascii="仿宋_GB2312" w:hAnsi="仿宋_GB2312" w:eastAsia="仿宋_GB2312" w:cs="仿宋_GB2312"/>
              </w:rPr>
              <w:t>2</w:t>
            </w:r>
          </w:p>
        </w:tc>
        <w:tc>
          <w:tcPr>
            <w:tcW w:w="2769" w:type="dxa"/>
          </w:tcPr>
          <w:p w14:paraId="7145052E">
            <w:pPr>
              <w:pStyle w:val="4"/>
              <w:jc w:val="both"/>
            </w:pPr>
            <w:r>
              <w:rPr>
                <w:rFonts w:ascii="仿宋_GB2312" w:hAnsi="仿宋_GB2312" w:eastAsia="仿宋_GB2312" w:cs="仿宋_GB2312"/>
                <w:b/>
                <w:color w:val="000000"/>
                <w:sz w:val="21"/>
              </w:rPr>
              <w:t>技术要求：</w:t>
            </w:r>
          </w:p>
          <w:p w14:paraId="7B932358">
            <w:pPr>
              <w:pStyle w:val="4"/>
            </w:pPr>
            <w:r>
              <w:rPr>
                <w:rFonts w:ascii="仿宋_GB2312" w:hAnsi="仿宋_GB2312" w:eastAsia="仿宋_GB2312" w:cs="仿宋_GB2312"/>
                <w:color w:val="000000"/>
                <w:sz w:val="21"/>
              </w:rPr>
              <w:t>1.每日完成到馆内祭奠园指定位置拉运遗物、花圈等，做到日产日清、无堆积无遗漏，收集时间贴合馆内运营节奏，不得影响正常殡葬服务开展。</w:t>
            </w:r>
          </w:p>
          <w:p w14:paraId="465A167F">
            <w:pPr>
              <w:pStyle w:val="4"/>
            </w:pPr>
            <w:r>
              <w:rPr>
                <w:rFonts w:ascii="仿宋_GB2312" w:hAnsi="仿宋_GB2312" w:eastAsia="仿宋_GB2312" w:cs="仿宋_GB2312"/>
                <w:color w:val="000000"/>
                <w:sz w:val="21"/>
              </w:rPr>
              <w:t>2.对从祭奠园指定存放位置收集的遗物、花圈进行专业压缩处理，压缩作业全程落实防污染措施，保持作业区域整洁，杜绝二次污染。</w:t>
            </w:r>
          </w:p>
          <w:p w14:paraId="687F147C">
            <w:pPr>
              <w:pStyle w:val="4"/>
            </w:pPr>
            <w:r>
              <w:rPr>
                <w:rFonts w:ascii="仿宋_GB2312" w:hAnsi="仿宋_GB2312" w:eastAsia="仿宋_GB2312" w:cs="仿宋_GB2312"/>
                <w:color w:val="000000"/>
                <w:sz w:val="21"/>
              </w:rPr>
              <w:t>3.从祭奠园指定存放位置拉运的压缩后废弃物，须采用密闭式方式运输，全程严格执行密闭运输相关规范。</w:t>
            </w:r>
          </w:p>
          <w:p w14:paraId="3F9CB46B">
            <w:pPr>
              <w:pStyle w:val="4"/>
            </w:pPr>
            <w:r>
              <w:rPr>
                <w:rFonts w:ascii="仿宋_GB2312" w:hAnsi="仿宋_GB2312" w:eastAsia="仿宋_GB2312" w:cs="仿宋_GB2312"/>
                <w:color w:val="000000"/>
                <w:sz w:val="21"/>
              </w:rPr>
              <w:t>4.从祭奠园指定存放位置拉运至垃圾处理场的全运输过程，确保废弃物无外溢、无散落，详实记录作业全轨迹，包含祭奠园存放位置收集时间、运输出发时间、处置交接详情等信息，建立完整台账，并按要求向本馆提交作业报告。</w:t>
            </w:r>
          </w:p>
          <w:p w14:paraId="6BB98BD1">
            <w:pPr>
              <w:pStyle w:val="4"/>
            </w:pPr>
            <w:r>
              <w:rPr>
                <w:rFonts w:ascii="仿宋_GB2312" w:hAnsi="仿宋_GB2312" w:eastAsia="仿宋_GB2312" w:cs="仿宋_GB2312"/>
                <w:color w:val="000000"/>
                <w:sz w:val="21"/>
              </w:rPr>
              <w:t>5.在指定垃圾处理场完成废弃物的合规交接与处置，妥善留存处置凭证并及时提交本馆。</w:t>
            </w:r>
          </w:p>
          <w:p w14:paraId="59D97EFA">
            <w:pPr>
              <w:pStyle w:val="4"/>
            </w:pPr>
            <w:r>
              <w:rPr>
                <w:rFonts w:ascii="仿宋_GB2312" w:hAnsi="仿宋_GB2312" w:eastAsia="仿宋_GB2312" w:cs="仿宋_GB2312"/>
                <w:color w:val="000000"/>
                <w:sz w:val="21"/>
              </w:rPr>
              <w:t>6.配备专人作为日常对接专员，专属负责与本馆的工作衔接，及时响应本馆的作业调整要求，高效处理各类突发情况。</w:t>
            </w:r>
          </w:p>
        </w:tc>
      </w:tr>
      <w:tr w14:paraId="3A588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FBF669">
            <w:pPr>
              <w:pStyle w:val="4"/>
            </w:pPr>
            <w:r>
              <w:rPr>
                <w:rFonts w:ascii="仿宋_GB2312" w:hAnsi="仿宋_GB2312" w:eastAsia="仿宋_GB2312" w:cs="仿宋_GB2312"/>
              </w:rPr>
              <w:t>★</w:t>
            </w:r>
          </w:p>
        </w:tc>
        <w:tc>
          <w:tcPr>
            <w:tcW w:w="2769" w:type="dxa"/>
          </w:tcPr>
          <w:p w14:paraId="29587709">
            <w:pPr>
              <w:pStyle w:val="4"/>
            </w:pPr>
            <w:r>
              <w:rPr>
                <w:rFonts w:ascii="仿宋_GB2312" w:hAnsi="仿宋_GB2312" w:eastAsia="仿宋_GB2312" w:cs="仿宋_GB2312"/>
              </w:rPr>
              <w:t>3</w:t>
            </w:r>
          </w:p>
        </w:tc>
        <w:tc>
          <w:tcPr>
            <w:tcW w:w="2769" w:type="dxa"/>
          </w:tcPr>
          <w:p w14:paraId="79420B6E">
            <w:pPr>
              <w:pStyle w:val="4"/>
            </w:pPr>
            <w:r>
              <w:rPr>
                <w:rFonts w:ascii="仿宋_GB2312" w:hAnsi="仿宋_GB2312" w:eastAsia="仿宋_GB2312" w:cs="仿宋_GB2312"/>
                <w:b/>
                <w:color w:val="000000"/>
                <w:sz w:val="21"/>
              </w:rPr>
              <w:t>服务要求</w:t>
            </w:r>
          </w:p>
          <w:p w14:paraId="583C13B1">
            <w:pPr>
              <w:pStyle w:val="4"/>
            </w:pPr>
            <w:r>
              <w:rPr>
                <w:rFonts w:ascii="仿宋_GB2312" w:hAnsi="仿宋_GB2312" w:eastAsia="仿宋_GB2312" w:cs="仿宋_GB2312"/>
                <w:color w:val="000000"/>
                <w:sz w:val="21"/>
              </w:rPr>
              <w:t>1.成交供应商须配备符合国家环保标准及道路运输要求的密闭式压缩设备、运输车辆等，设备及车辆需定期检修维护，保持性能良好、车身整洁；车辆需张贴规范标识，不得在馆内随意停放，从祭奠园指定存放位置拉运作业时，按馆内指定路线行驶、指定区域操作。</w:t>
            </w:r>
          </w:p>
          <w:p w14:paraId="354C3E69">
            <w:pPr>
              <w:pStyle w:val="4"/>
            </w:pPr>
            <w:r>
              <w:rPr>
                <w:rFonts w:ascii="仿宋_GB2312" w:hAnsi="仿宋_GB2312" w:eastAsia="仿宋_GB2312" w:cs="仿宋_GB2312"/>
                <w:color w:val="000000"/>
                <w:sz w:val="21"/>
              </w:rPr>
              <w:t>2.成交供应商工作人员须经专业培训合格后上岗，作业时配备齐全劳动防护用品；在祭奠园指定存放位置及馆内相关区域作业过程中，严格遵守本馆场馆管理规定、消防安全制度及相关安全操作规程，规范操作作业设备。</w:t>
            </w:r>
          </w:p>
          <w:p w14:paraId="1CEE1A5E">
            <w:pPr>
              <w:pStyle w:val="4"/>
            </w:pPr>
            <w:r>
              <w:rPr>
                <w:rFonts w:ascii="仿宋_GB2312" w:hAnsi="仿宋_GB2312" w:eastAsia="仿宋_GB2312" w:cs="仿宋_GB2312"/>
                <w:color w:val="000000"/>
                <w:sz w:val="21"/>
              </w:rPr>
              <w:t>3.成交供应商工作人员在祭奠园指定存放位置及馆内作业期间，如发生工伤、意外事故等，一切人身损害赔偿、财产损失及相关费用均与本馆无关，由成交供应商全额承担。</w:t>
            </w:r>
          </w:p>
          <w:p w14:paraId="2D509A86">
            <w:pPr>
              <w:pStyle w:val="4"/>
            </w:pPr>
            <w:r>
              <w:rPr>
                <w:rFonts w:ascii="仿宋_GB2312" w:hAnsi="仿宋_GB2312" w:eastAsia="仿宋_GB2312" w:cs="仿宋_GB2312"/>
                <w:color w:val="000000"/>
                <w:sz w:val="21"/>
              </w:rPr>
              <w:t>4.成交供应商从祭奠园指定存放位置拉运、处置废弃物的全过程，须严格遵守《中华人民共和国环境保护法》《固体废物污染环境防治法》等国家及地方环保相关法律法规，符合道路运输及固体废物处置的环保要求。</w:t>
            </w:r>
          </w:p>
          <w:p w14:paraId="08127BCC">
            <w:pPr>
              <w:pStyle w:val="4"/>
            </w:pPr>
            <w:r>
              <w:rPr>
                <w:rFonts w:ascii="仿宋_GB2312" w:hAnsi="仿宋_GB2312" w:eastAsia="仿宋_GB2312" w:cs="仿宋_GB2312"/>
                <w:color w:val="000000"/>
                <w:sz w:val="21"/>
              </w:rPr>
              <w:t>5.成交供应商从祭奠园指定存放位置拉运废弃物过程中，若发生废弃物外溢、撒漏等情况，须第一时间采取应急清理措施，同时承担环保部门核定的罚款金额；若发生于馆内，还需全额承担本馆因清扫、处理撒漏物产生的人工、物料、设备等所有相关费用。</w:t>
            </w:r>
          </w:p>
          <w:p w14:paraId="40F7B68A">
            <w:pPr>
              <w:pStyle w:val="4"/>
            </w:pPr>
            <w:r>
              <w:rPr>
                <w:rFonts w:ascii="仿宋_GB2312" w:hAnsi="仿宋_GB2312" w:eastAsia="仿宋_GB2312" w:cs="仿宋_GB2312"/>
                <w:color w:val="000000"/>
                <w:sz w:val="21"/>
              </w:rPr>
              <w:t>6.若因成交供应商从祭奠园指定存放位置拉运、处置废弃物的行为，引发环保方面的投诉、举报、行政处罚等情形，所有法律责任、行政处罚费用及由此给本馆造成的名誉、经济损失，均由成交供应商全额承担。</w:t>
            </w:r>
          </w:p>
          <w:p w14:paraId="0D337576">
            <w:pPr>
              <w:pStyle w:val="4"/>
            </w:pPr>
            <w:r>
              <w:rPr>
                <w:rFonts w:ascii="仿宋_GB2312" w:hAnsi="仿宋_GB2312" w:eastAsia="仿宋_GB2312" w:cs="仿宋_GB2312"/>
                <w:color w:val="000000"/>
                <w:sz w:val="21"/>
              </w:rPr>
              <w:t>7.若因成交供应商从祭奠园指定存放位置拉运废弃物发生外溢、撒漏等行为引发社会不良影响，本馆将依法追究成交供应商的全部法律责任；同时成交供应商须承担本馆处理该事件的一切费用，并赔偿本馆的名誉损失。</w:t>
            </w:r>
          </w:p>
          <w:p w14:paraId="58910EB3">
            <w:pPr>
              <w:pStyle w:val="4"/>
            </w:pPr>
            <w:r>
              <w:rPr>
                <w:rFonts w:ascii="仿宋_GB2312" w:hAnsi="仿宋_GB2312" w:eastAsia="仿宋_GB2312" w:cs="仿宋_GB2312"/>
                <w:color w:val="000000"/>
                <w:sz w:val="21"/>
              </w:rPr>
              <w:t>8.成交供应商及工作人员须严格遵守保密规定，不得泄露本馆任何内部资料，包括但不限于火化信息、丧属个人信息、场馆运营数据、管理规定、祭奠园作业相关数据等；若发生信息泄露，成交供应商须承担由此给本馆及丧属造成的全部损失，本馆有权单方面解除合同并追究成交供应商的法律责任。</w:t>
            </w:r>
          </w:p>
          <w:p w14:paraId="6BB0F02B">
            <w:pPr>
              <w:pStyle w:val="4"/>
            </w:pPr>
            <w:r>
              <w:rPr>
                <w:rFonts w:ascii="仿宋_GB2312" w:hAnsi="仿宋_GB2312" w:eastAsia="仿宋_GB2312" w:cs="仿宋_GB2312"/>
                <w:color w:val="000000"/>
                <w:sz w:val="21"/>
              </w:rPr>
              <w:t>9.成交供应商在祭奠园指定存放位置及馆内作业过程中，不得损坏本馆的设施、设备、绿化等；若造成损坏，成交供应商须在规定时间内无偿修复或照价赔偿。</w:t>
            </w:r>
          </w:p>
          <w:p w14:paraId="218A81F3">
            <w:pPr>
              <w:pStyle w:val="4"/>
            </w:pPr>
            <w:r>
              <w:rPr>
                <w:rFonts w:ascii="仿宋_GB2312" w:hAnsi="仿宋_GB2312" w:eastAsia="仿宋_GB2312" w:cs="仿宋_GB2312"/>
                <w:color w:val="000000"/>
                <w:sz w:val="21"/>
              </w:rPr>
              <w:t>10.本馆有权对成交供应商在祭奠园指定存放位置的日常作业过程、台账记录、设备维护等情况进行不定期检查、抽查，成交供应商须积极配合；对检查发现的问题，须按本馆要求限期整改，整改不合格的，本馆有权扣除成交供应商服务费。</w:t>
            </w:r>
          </w:p>
          <w:p w14:paraId="381AD7EF">
            <w:pPr>
              <w:pStyle w:val="4"/>
            </w:pPr>
            <w:r>
              <w:rPr>
                <w:rFonts w:ascii="仿宋_GB2312" w:hAnsi="仿宋_GB2312" w:eastAsia="仿宋_GB2312" w:cs="仿宋_GB2312"/>
                <w:color w:val="000000"/>
                <w:sz w:val="21"/>
              </w:rPr>
              <w:t>11.成交供应商须按要求配备项目负责人、巡逻员、驾驶员、装车员等岗位人员，所有人员须定岗定责，保障遗物和花圈等处置全流程作业的有序开展。</w:t>
            </w:r>
          </w:p>
          <w:p w14:paraId="01542172">
            <w:pPr>
              <w:pStyle w:val="4"/>
            </w:pPr>
            <w:r>
              <w:rPr>
                <w:rFonts w:ascii="仿宋_GB2312" w:hAnsi="仿宋_GB2312" w:eastAsia="仿宋_GB2312" w:cs="仿宋_GB2312"/>
                <w:color w:val="000000"/>
                <w:sz w:val="21"/>
              </w:rPr>
              <w:t>12、服务期间，如遇本馆祭奠园指定存放位置调整、作业区域变更、作业要求修改等情况，成交供应商须无条件配合本馆的作业安排，不得以此为由要求增加服务费用。</w:t>
            </w:r>
          </w:p>
          <w:p w14:paraId="52960988">
            <w:pPr>
              <w:pStyle w:val="4"/>
            </w:pPr>
            <w:r>
              <w:rPr>
                <w:rFonts w:ascii="仿宋_GB2312" w:hAnsi="仿宋_GB2312" w:eastAsia="仿宋_GB2312" w:cs="仿宋_GB2312"/>
                <w:color w:val="000000"/>
                <w:sz w:val="21"/>
              </w:rPr>
              <w:t>13、若成交供应商未按本需求书要求履行遗物和花圈归集等、祭奠园指定存放位置拉运及处置相关义务，本馆有权单方面解除合同，成交供应商须全额或部分退还本馆已支付的相关费用，并承担由此给本馆造成的一切损失。</w:t>
            </w:r>
          </w:p>
        </w:tc>
      </w:tr>
    </w:tbl>
    <w:p w14:paraId="5396CD69">
      <w:pPr>
        <w:pStyle w:val="4"/>
      </w:pPr>
      <w:r>
        <w:rPr>
          <w:rFonts w:ascii="仿宋_GB2312" w:hAnsi="仿宋_GB2312" w:eastAsia="仿宋_GB2312" w:cs="仿宋_GB2312"/>
        </w:rPr>
        <w:t>7、供应商一般资格要求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6EB9E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1176DB2">
            <w:pPr>
              <w:pStyle w:val="4"/>
            </w:pPr>
            <w:r>
              <w:rPr>
                <w:rFonts w:ascii="仿宋_GB2312" w:hAnsi="仿宋_GB2312" w:eastAsia="仿宋_GB2312" w:cs="仿宋_GB2312"/>
              </w:rPr>
              <w:t>序号</w:t>
            </w:r>
          </w:p>
        </w:tc>
        <w:tc>
          <w:tcPr>
            <w:tcW w:w="2769" w:type="dxa"/>
          </w:tcPr>
          <w:p w14:paraId="3F116B5F">
            <w:pPr>
              <w:pStyle w:val="4"/>
            </w:pPr>
            <w:r>
              <w:rPr>
                <w:rFonts w:ascii="仿宋_GB2312" w:hAnsi="仿宋_GB2312" w:eastAsia="仿宋_GB2312" w:cs="仿宋_GB2312"/>
              </w:rPr>
              <w:t>资格要求名称</w:t>
            </w:r>
          </w:p>
        </w:tc>
        <w:tc>
          <w:tcPr>
            <w:tcW w:w="2769" w:type="dxa"/>
          </w:tcPr>
          <w:p w14:paraId="6D71296F">
            <w:pPr>
              <w:pStyle w:val="4"/>
            </w:pPr>
            <w:r>
              <w:rPr>
                <w:rFonts w:ascii="仿宋_GB2312" w:hAnsi="仿宋_GB2312" w:eastAsia="仿宋_GB2312" w:cs="仿宋_GB2312"/>
              </w:rPr>
              <w:t>资格要求详细说明</w:t>
            </w:r>
          </w:p>
        </w:tc>
      </w:tr>
      <w:tr w14:paraId="2D99F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3467EF1">
            <w:pPr>
              <w:pStyle w:val="4"/>
            </w:pPr>
            <w:r>
              <w:rPr>
                <w:rFonts w:ascii="仿宋_GB2312" w:hAnsi="仿宋_GB2312" w:eastAsia="仿宋_GB2312" w:cs="仿宋_GB2312"/>
              </w:rPr>
              <w:t>1</w:t>
            </w:r>
          </w:p>
        </w:tc>
        <w:tc>
          <w:tcPr>
            <w:tcW w:w="2769" w:type="dxa"/>
          </w:tcPr>
          <w:p w14:paraId="008E50CE">
            <w:pPr>
              <w:pStyle w:val="4"/>
            </w:pPr>
            <w:r>
              <w:rPr>
                <w:rFonts w:ascii="仿宋_GB2312" w:hAnsi="仿宋_GB2312" w:eastAsia="仿宋_GB2312" w:cs="仿宋_GB2312"/>
              </w:rPr>
              <w:t>供应商应具备《中华人民共和国政府采购法》第二十二条规定的条件</w:t>
            </w:r>
          </w:p>
        </w:tc>
        <w:tc>
          <w:tcPr>
            <w:tcW w:w="2769" w:type="dxa"/>
          </w:tcPr>
          <w:p w14:paraId="386FEBD5">
            <w:pPr>
              <w:pStyle w:val="4"/>
            </w:pPr>
            <w:r>
              <w:rPr>
                <w:rFonts w:ascii="仿宋_GB2312" w:hAnsi="仿宋_GB2312" w:eastAsia="仿宋_GB2312" w:cs="仿宋_GB2312"/>
              </w:rPr>
              <w:t>供应商需在项目电子化交易系统中按要求填写《投标函》完成承诺并进行电子签章。</w:t>
            </w:r>
          </w:p>
        </w:tc>
      </w:tr>
      <w:tr w14:paraId="1BB1C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8088DA">
            <w:pPr>
              <w:pStyle w:val="4"/>
            </w:pPr>
            <w:r>
              <w:rPr>
                <w:rFonts w:ascii="仿宋_GB2312" w:hAnsi="仿宋_GB2312" w:eastAsia="仿宋_GB2312" w:cs="仿宋_GB2312"/>
              </w:rPr>
              <w:t>2</w:t>
            </w:r>
          </w:p>
        </w:tc>
        <w:tc>
          <w:tcPr>
            <w:tcW w:w="2769" w:type="dxa"/>
          </w:tcPr>
          <w:p w14:paraId="4B66CF67">
            <w:pPr>
              <w:pStyle w:val="4"/>
            </w:pPr>
            <w:r>
              <w:rPr>
                <w:rFonts w:ascii="仿宋_GB2312" w:hAnsi="仿宋_GB2312" w:eastAsia="仿宋_GB2312" w:cs="仿宋_GB2312"/>
              </w:rPr>
              <w:t>供应商应提供健全的财务会计制度的证明材料；</w:t>
            </w:r>
          </w:p>
        </w:tc>
        <w:tc>
          <w:tcPr>
            <w:tcW w:w="2769" w:type="dxa"/>
          </w:tcPr>
          <w:p w14:paraId="48BD7076">
            <w:pPr>
              <w:pStyle w:val="4"/>
            </w:pPr>
            <w:r>
              <w:rPr>
                <w:rFonts w:ascii="仿宋_GB2312" w:hAnsi="仿宋_GB2312" w:eastAsia="仿宋_GB2312" w:cs="仿宋_GB2312"/>
              </w:rPr>
              <w:t>供应商需在项目电子化交易系统中按要求上传相应证明文件并进行电子签章。</w:t>
            </w:r>
          </w:p>
        </w:tc>
      </w:tr>
      <w:tr w14:paraId="155E2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EEB51F">
            <w:pPr>
              <w:pStyle w:val="4"/>
            </w:pPr>
            <w:r>
              <w:rPr>
                <w:rFonts w:ascii="仿宋_GB2312" w:hAnsi="仿宋_GB2312" w:eastAsia="仿宋_GB2312" w:cs="仿宋_GB2312"/>
              </w:rPr>
              <w:t>3</w:t>
            </w:r>
          </w:p>
        </w:tc>
        <w:tc>
          <w:tcPr>
            <w:tcW w:w="2769" w:type="dxa"/>
          </w:tcPr>
          <w:p w14:paraId="5959A127">
            <w:pPr>
              <w:pStyle w:val="4"/>
            </w:pPr>
            <w:r>
              <w:rPr>
                <w:rFonts w:ascii="仿宋_GB2312" w:hAnsi="仿宋_GB2312" w:eastAsia="仿宋_GB2312" w:cs="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w="2769" w:type="dxa"/>
          </w:tcPr>
          <w:p w14:paraId="42199385">
            <w:pPr>
              <w:pStyle w:val="4"/>
            </w:pPr>
            <w:r>
              <w:rPr>
                <w:rFonts w:ascii="仿宋_GB2312" w:hAnsi="仿宋_GB2312" w:eastAsia="仿宋_GB2312" w:cs="仿宋_GB2312"/>
              </w:rPr>
              <w:t>供应商需在项目电子化交易系统中按要求填写《投标函》完成承诺并进行电子签章。</w:t>
            </w:r>
          </w:p>
        </w:tc>
      </w:tr>
    </w:tbl>
    <w:p w14:paraId="75841453">
      <w:pPr>
        <w:pStyle w:val="4"/>
      </w:pPr>
      <w:r>
        <w:rPr>
          <w:rFonts w:ascii="仿宋_GB2312" w:hAnsi="仿宋_GB2312" w:eastAsia="仿宋_GB2312" w:cs="仿宋_GB2312"/>
        </w:rPr>
        <w:t>8、供应商特殊资格要求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51500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C8036A8">
            <w:pPr>
              <w:pStyle w:val="4"/>
            </w:pPr>
            <w:r>
              <w:rPr>
                <w:rFonts w:ascii="仿宋_GB2312" w:hAnsi="仿宋_GB2312" w:eastAsia="仿宋_GB2312" w:cs="仿宋_GB2312"/>
              </w:rPr>
              <w:t>序号</w:t>
            </w:r>
          </w:p>
        </w:tc>
        <w:tc>
          <w:tcPr>
            <w:tcW w:w="2769" w:type="dxa"/>
          </w:tcPr>
          <w:p w14:paraId="580CF0C3">
            <w:pPr>
              <w:pStyle w:val="4"/>
            </w:pPr>
            <w:r>
              <w:rPr>
                <w:rFonts w:ascii="仿宋_GB2312" w:hAnsi="仿宋_GB2312" w:eastAsia="仿宋_GB2312" w:cs="仿宋_GB2312"/>
              </w:rPr>
              <w:t>资格要求名称</w:t>
            </w:r>
          </w:p>
        </w:tc>
        <w:tc>
          <w:tcPr>
            <w:tcW w:w="2769" w:type="dxa"/>
          </w:tcPr>
          <w:p w14:paraId="0B38E8C6">
            <w:pPr>
              <w:pStyle w:val="4"/>
            </w:pPr>
            <w:r>
              <w:rPr>
                <w:rFonts w:ascii="仿宋_GB2312" w:hAnsi="仿宋_GB2312" w:eastAsia="仿宋_GB2312" w:cs="仿宋_GB2312"/>
              </w:rPr>
              <w:t>资格要求详细说明</w:t>
            </w:r>
          </w:p>
        </w:tc>
      </w:tr>
      <w:tr w14:paraId="3641A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F442E7">
            <w:pPr>
              <w:pStyle w:val="4"/>
            </w:pPr>
            <w:r>
              <w:rPr>
                <w:rFonts w:ascii="仿宋_GB2312" w:hAnsi="仿宋_GB2312" w:eastAsia="仿宋_GB2312" w:cs="仿宋_GB2312"/>
              </w:rPr>
              <w:t>1</w:t>
            </w:r>
          </w:p>
        </w:tc>
        <w:tc>
          <w:tcPr>
            <w:tcW w:w="2769" w:type="dxa"/>
          </w:tcPr>
          <w:p w14:paraId="74A0F6B6">
            <w:pPr>
              <w:pStyle w:val="4"/>
            </w:pPr>
            <w:r>
              <w:rPr>
                <w:rFonts w:ascii="仿宋_GB2312" w:hAnsi="仿宋_GB2312" w:eastAsia="仿宋_GB2312" w:cs="仿宋_GB2312"/>
              </w:rPr>
              <w:t>投标人主体</w:t>
            </w:r>
          </w:p>
        </w:tc>
        <w:tc>
          <w:tcPr>
            <w:tcW w:w="2769" w:type="dxa"/>
          </w:tcPr>
          <w:p w14:paraId="2BB9D16B">
            <w:pPr>
              <w:pStyle w:val="4"/>
            </w:pPr>
            <w:r>
              <w:rPr>
                <w:rFonts w:ascii="仿宋_GB2312" w:hAnsi="仿宋_GB2312" w:eastAsia="仿宋_GB2312" w:cs="仿宋_GB2312"/>
              </w:rPr>
              <w:t>提供投标人有效存续的的法人或其他组织的营业执照/事业单位法人证书/非企业专业服务机构执业许可证/民办非企业单位登记证书；</w:t>
            </w:r>
          </w:p>
        </w:tc>
      </w:tr>
      <w:tr w14:paraId="07D47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2A13248">
            <w:pPr>
              <w:pStyle w:val="4"/>
            </w:pPr>
            <w:r>
              <w:rPr>
                <w:rFonts w:ascii="仿宋_GB2312" w:hAnsi="仿宋_GB2312" w:eastAsia="仿宋_GB2312" w:cs="仿宋_GB2312"/>
              </w:rPr>
              <w:t>2</w:t>
            </w:r>
          </w:p>
        </w:tc>
        <w:tc>
          <w:tcPr>
            <w:tcW w:w="2769" w:type="dxa"/>
          </w:tcPr>
          <w:p w14:paraId="7D0FFAC4">
            <w:pPr>
              <w:pStyle w:val="4"/>
            </w:pPr>
            <w:r>
              <w:rPr>
                <w:rFonts w:ascii="仿宋_GB2312" w:hAnsi="仿宋_GB2312" w:eastAsia="仿宋_GB2312" w:cs="仿宋_GB2312"/>
              </w:rPr>
              <w:t>财务状况</w:t>
            </w:r>
          </w:p>
        </w:tc>
        <w:tc>
          <w:tcPr>
            <w:tcW w:w="2769" w:type="dxa"/>
          </w:tcPr>
          <w:p w14:paraId="63F5BEBD">
            <w:pPr>
              <w:pStyle w:val="4"/>
            </w:pPr>
            <w:r>
              <w:rPr>
                <w:rFonts w:ascii="仿宋_GB2312" w:hAnsi="仿宋_GB2312" w:eastAsia="仿宋_GB2312" w:cs="仿宋_GB2312"/>
              </w:rPr>
              <w:t>财务状况报告（以下三种资料提供任意一种即可）：（1）提供2024或2025年度经审计的财务报告（包括“四表一注”，即资产负债表、利润表、现金流量表、所有者权益变动表及其附注，符合《中小企业划型标准规定》的小型企业按照《小企业会计准则》执行。成立时间至提交投标文件截止时间不足一年的可提供成立后任意时段的资产负债表）；（2）其开标前半年内基本开户银行出具的资信证明；（3）信用担保机构出具的投标担保函；</w:t>
            </w:r>
          </w:p>
        </w:tc>
      </w:tr>
      <w:tr w14:paraId="335DC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5648395">
            <w:pPr>
              <w:pStyle w:val="4"/>
            </w:pPr>
            <w:r>
              <w:rPr>
                <w:rFonts w:ascii="仿宋_GB2312" w:hAnsi="仿宋_GB2312" w:eastAsia="仿宋_GB2312" w:cs="仿宋_GB2312"/>
              </w:rPr>
              <w:t>3</w:t>
            </w:r>
          </w:p>
        </w:tc>
        <w:tc>
          <w:tcPr>
            <w:tcW w:w="2769" w:type="dxa"/>
          </w:tcPr>
          <w:p w14:paraId="06AD0352">
            <w:pPr>
              <w:pStyle w:val="4"/>
            </w:pPr>
            <w:r>
              <w:rPr>
                <w:rFonts w:ascii="仿宋_GB2312" w:hAnsi="仿宋_GB2312" w:eastAsia="仿宋_GB2312" w:cs="仿宋_GB2312"/>
              </w:rPr>
              <w:t>纳税证明</w:t>
            </w:r>
          </w:p>
        </w:tc>
        <w:tc>
          <w:tcPr>
            <w:tcW w:w="2769" w:type="dxa"/>
          </w:tcPr>
          <w:p w14:paraId="6182C0DB">
            <w:pPr>
              <w:pStyle w:val="4"/>
            </w:pPr>
            <w:r>
              <w:rPr>
                <w:rFonts w:ascii="仿宋_GB2312" w:hAnsi="仿宋_GB2312" w:eastAsia="仿宋_GB2312" w:cs="仿宋_GB2312"/>
              </w:rPr>
              <w:t>提供供应商2025年4月至今已缴纳任意一个月完税凭证或税务机关开具的完税证明（时间以税款所属日期为准，凭据应有税务机关或代收机关的公章或业务专用章）；依法免税的应提供相关文件证明；</w:t>
            </w:r>
          </w:p>
        </w:tc>
      </w:tr>
      <w:tr w14:paraId="254A2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9D4723F">
            <w:pPr>
              <w:pStyle w:val="4"/>
            </w:pPr>
            <w:r>
              <w:rPr>
                <w:rFonts w:ascii="仿宋_GB2312" w:hAnsi="仿宋_GB2312" w:eastAsia="仿宋_GB2312" w:cs="仿宋_GB2312"/>
              </w:rPr>
              <w:t>4</w:t>
            </w:r>
          </w:p>
        </w:tc>
        <w:tc>
          <w:tcPr>
            <w:tcW w:w="2769" w:type="dxa"/>
          </w:tcPr>
          <w:p w14:paraId="384A131D">
            <w:pPr>
              <w:pStyle w:val="4"/>
            </w:pPr>
            <w:r>
              <w:rPr>
                <w:rFonts w:ascii="仿宋_GB2312" w:hAnsi="仿宋_GB2312" w:eastAsia="仿宋_GB2312" w:cs="仿宋_GB2312"/>
              </w:rPr>
              <w:t>社会保障资金缴纳证明</w:t>
            </w:r>
          </w:p>
        </w:tc>
        <w:tc>
          <w:tcPr>
            <w:tcW w:w="2769" w:type="dxa"/>
          </w:tcPr>
          <w:p w14:paraId="72595672">
            <w:pPr>
              <w:pStyle w:val="4"/>
            </w:pPr>
            <w:r>
              <w:rPr>
                <w:rFonts w:ascii="仿宋_GB2312" w:hAnsi="仿宋_GB2312" w:eastAsia="仿宋_GB2312" w:cs="仿宋_GB2312"/>
              </w:rPr>
              <w:t>提供供应商2025年4月至今已缴存的任意一个月的社会保障资金缴存单据或社保机构开具的社会保险参保缴费情况证明；依法不需要缴纳社会保障资金的应提供相关文件证明；</w:t>
            </w:r>
          </w:p>
        </w:tc>
      </w:tr>
      <w:tr w14:paraId="11C2D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BEA9B50">
            <w:pPr>
              <w:pStyle w:val="4"/>
            </w:pPr>
            <w:r>
              <w:rPr>
                <w:rFonts w:ascii="仿宋_GB2312" w:hAnsi="仿宋_GB2312" w:eastAsia="仿宋_GB2312" w:cs="仿宋_GB2312"/>
              </w:rPr>
              <w:t>5</w:t>
            </w:r>
          </w:p>
        </w:tc>
        <w:tc>
          <w:tcPr>
            <w:tcW w:w="2769" w:type="dxa"/>
          </w:tcPr>
          <w:p w14:paraId="61E08E18">
            <w:pPr>
              <w:pStyle w:val="4"/>
            </w:pPr>
            <w:r>
              <w:rPr>
                <w:rFonts w:ascii="仿宋_GB2312" w:hAnsi="仿宋_GB2312" w:eastAsia="仿宋_GB2312" w:cs="仿宋_GB2312"/>
              </w:rPr>
              <w:t>参加政府采购活动前3年内在经营活动中没有重大违法记录</w:t>
            </w:r>
          </w:p>
        </w:tc>
        <w:tc>
          <w:tcPr>
            <w:tcW w:w="2769" w:type="dxa"/>
          </w:tcPr>
          <w:p w14:paraId="5BE89D9A">
            <w:pPr>
              <w:pStyle w:val="4"/>
            </w:pPr>
            <w:r>
              <w:rPr>
                <w:rFonts w:ascii="仿宋_GB2312" w:hAnsi="仿宋_GB2312" w:eastAsia="仿宋_GB2312" w:cs="仿宋_GB2312"/>
              </w:rPr>
              <w:t>参加政府采购活动前3年内在经营活动中没有重大违法记录的书面声明</w:t>
            </w:r>
          </w:p>
        </w:tc>
      </w:tr>
      <w:tr w14:paraId="15FDE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B8393E3">
            <w:pPr>
              <w:pStyle w:val="4"/>
            </w:pPr>
            <w:r>
              <w:rPr>
                <w:rFonts w:ascii="仿宋_GB2312" w:hAnsi="仿宋_GB2312" w:eastAsia="仿宋_GB2312" w:cs="仿宋_GB2312"/>
              </w:rPr>
              <w:t>6</w:t>
            </w:r>
          </w:p>
        </w:tc>
        <w:tc>
          <w:tcPr>
            <w:tcW w:w="2769" w:type="dxa"/>
          </w:tcPr>
          <w:p w14:paraId="1472A26A">
            <w:pPr>
              <w:pStyle w:val="4"/>
            </w:pPr>
            <w:r>
              <w:rPr>
                <w:rFonts w:ascii="仿宋_GB2312" w:hAnsi="仿宋_GB2312" w:eastAsia="仿宋_GB2312" w:cs="仿宋_GB2312"/>
              </w:rPr>
              <w:t>具有履行合同所必需的设备和专业技术能力</w:t>
            </w:r>
          </w:p>
        </w:tc>
        <w:tc>
          <w:tcPr>
            <w:tcW w:w="2769" w:type="dxa"/>
          </w:tcPr>
          <w:p w14:paraId="1F1D523F">
            <w:pPr>
              <w:pStyle w:val="4"/>
            </w:pPr>
            <w:r>
              <w:rPr>
                <w:rFonts w:ascii="仿宋_GB2312" w:hAnsi="仿宋_GB2312" w:eastAsia="仿宋_GB2312" w:cs="仿宋_GB2312"/>
              </w:rPr>
              <w:t>具有履行合同所必需的设备和专业技术能力的承诺函。</w:t>
            </w:r>
          </w:p>
        </w:tc>
      </w:tr>
      <w:tr w14:paraId="27242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8443698">
            <w:pPr>
              <w:pStyle w:val="4"/>
            </w:pPr>
            <w:r>
              <w:rPr>
                <w:rFonts w:ascii="仿宋_GB2312" w:hAnsi="仿宋_GB2312" w:eastAsia="仿宋_GB2312" w:cs="仿宋_GB2312"/>
              </w:rPr>
              <w:t>7</w:t>
            </w:r>
          </w:p>
        </w:tc>
        <w:tc>
          <w:tcPr>
            <w:tcW w:w="2769" w:type="dxa"/>
          </w:tcPr>
          <w:p w14:paraId="773ECE1B">
            <w:pPr>
              <w:pStyle w:val="4"/>
            </w:pPr>
            <w:r>
              <w:rPr>
                <w:rFonts w:ascii="仿宋_GB2312" w:hAnsi="仿宋_GB2312" w:eastAsia="仿宋_GB2312" w:cs="仿宋_GB2312"/>
              </w:rPr>
              <w:t>投标人性质</w:t>
            </w:r>
          </w:p>
        </w:tc>
        <w:tc>
          <w:tcPr>
            <w:tcW w:w="2769" w:type="dxa"/>
          </w:tcPr>
          <w:p w14:paraId="36D54E1E">
            <w:pPr>
              <w:pStyle w:val="4"/>
            </w:pPr>
            <w:r>
              <w:rPr>
                <w:rFonts w:ascii="仿宋_GB2312" w:hAnsi="仿宋_GB2312" w:eastAsia="仿宋_GB2312" w:cs="仿宋_GB2312"/>
              </w:rPr>
              <w:t>本项目仅允许中小企业参与投标</w:t>
            </w:r>
          </w:p>
        </w:tc>
      </w:tr>
      <w:tr w14:paraId="47005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7DE52A2">
            <w:pPr>
              <w:pStyle w:val="4"/>
            </w:pPr>
            <w:r>
              <w:rPr>
                <w:rFonts w:ascii="仿宋_GB2312" w:hAnsi="仿宋_GB2312" w:eastAsia="仿宋_GB2312" w:cs="仿宋_GB2312"/>
              </w:rPr>
              <w:t>8</w:t>
            </w:r>
          </w:p>
        </w:tc>
        <w:tc>
          <w:tcPr>
            <w:tcW w:w="2769" w:type="dxa"/>
          </w:tcPr>
          <w:p w14:paraId="01194AEC">
            <w:pPr>
              <w:pStyle w:val="4"/>
            </w:pPr>
            <w:r>
              <w:rPr>
                <w:rFonts w:ascii="仿宋_GB2312" w:hAnsi="仿宋_GB2312" w:eastAsia="仿宋_GB2312" w:cs="仿宋_GB2312"/>
              </w:rPr>
              <w:t>信用记录</w:t>
            </w:r>
          </w:p>
        </w:tc>
        <w:tc>
          <w:tcPr>
            <w:tcW w:w="2769" w:type="dxa"/>
          </w:tcPr>
          <w:p w14:paraId="4752C4DD">
            <w:pPr>
              <w:pStyle w:val="4"/>
            </w:pPr>
            <w:r>
              <w:rPr>
                <w:rFonts w:ascii="仿宋_GB2312" w:hAnsi="仿宋_GB2312" w:eastAsia="仿宋_GB2312" w:cs="仿宋_GB2312"/>
              </w:rPr>
              <w:t>未被列入“信用中国”网站及“中国政府采购网”网站失信被执行人、 重大税收违法案件当事人名单、政府采购严重违法失信行为记录名单。</w:t>
            </w:r>
          </w:p>
        </w:tc>
      </w:tr>
    </w:tbl>
    <w:p w14:paraId="230D44D9">
      <w:pPr>
        <w:pStyle w:val="4"/>
      </w:pPr>
      <w:r>
        <w:rPr>
          <w:rFonts w:ascii="仿宋_GB2312" w:hAnsi="仿宋_GB2312" w:eastAsia="仿宋_GB2312" w:cs="仿宋_GB2312"/>
        </w:rPr>
        <w:t>9、分包的评审条款</w:t>
      </w:r>
    </w:p>
    <w:p w14:paraId="2020E697">
      <w:pPr>
        <w:pStyle w:val="4"/>
      </w:pPr>
      <w:bookmarkStart w:id="0" w:name="_GoBack"/>
      <w:bookmarkEnd w:id="0"/>
      <w:r>
        <w:rPr>
          <w:rFonts w:ascii="仿宋_GB2312" w:hAnsi="仿宋_GB2312" w:eastAsia="仿宋_GB2312" w:cs="仿宋_GB2312"/>
        </w:rPr>
        <w:t>10、合同管理安排</w:t>
      </w:r>
    </w:p>
    <w:p w14:paraId="3F844BC9">
      <w:pPr>
        <w:pStyle w:val="4"/>
        <w:ind w:firstLine="840"/>
      </w:pPr>
      <w:r>
        <w:rPr>
          <w:rFonts w:ascii="仿宋_GB2312" w:hAnsi="仿宋_GB2312" w:eastAsia="仿宋_GB2312" w:cs="仿宋_GB2312"/>
        </w:rPr>
        <w:t>1）合同类型：委托合同</w:t>
      </w:r>
    </w:p>
    <w:p w14:paraId="675BAD65">
      <w:pPr>
        <w:pStyle w:val="4"/>
        <w:ind w:firstLine="840"/>
      </w:pPr>
      <w:r>
        <w:rPr>
          <w:rFonts w:ascii="仿宋_GB2312" w:hAnsi="仿宋_GB2312" w:eastAsia="仿宋_GB2312" w:cs="仿宋_GB2312"/>
        </w:rPr>
        <w:t>2）合同履行期限： 合同签署之日起一年</w:t>
      </w:r>
    </w:p>
    <w:p w14:paraId="704E09CF">
      <w:pPr>
        <w:pStyle w:val="4"/>
        <w:ind w:firstLine="840"/>
      </w:pPr>
      <w:r>
        <w:rPr>
          <w:rFonts w:ascii="仿宋_GB2312" w:hAnsi="仿宋_GB2312" w:eastAsia="仿宋_GB2312" w:cs="仿宋_GB2312"/>
        </w:rPr>
        <w:t>3）合同履约地点：西安市殡仪馆馆内</w:t>
      </w:r>
    </w:p>
    <w:p w14:paraId="10F747F8">
      <w:pPr>
        <w:pStyle w:val="4"/>
        <w:ind w:firstLine="840"/>
      </w:pPr>
      <w:r>
        <w:rPr>
          <w:rFonts w:ascii="仿宋_GB2312" w:hAnsi="仿宋_GB2312" w:eastAsia="仿宋_GB2312" w:cs="仿宋_GB2312"/>
        </w:rPr>
        <w:t>4）支付方式：分期付款</w:t>
      </w:r>
    </w:p>
    <w:p w14:paraId="44A420D0">
      <w:pPr>
        <w:pStyle w:val="4"/>
        <w:ind w:firstLine="840"/>
      </w:pPr>
      <w:r>
        <w:rPr>
          <w:rFonts w:ascii="仿宋_GB2312" w:hAnsi="仿宋_GB2312" w:eastAsia="仿宋_GB2312" w:cs="仿宋_GB2312"/>
        </w:rPr>
        <w:t>5）履约保证金及缴纳形式：</w:t>
      </w:r>
    </w:p>
    <w:p w14:paraId="017B4ADF">
      <w:pPr>
        <w:pStyle w:val="4"/>
      </w:pPr>
      <w:r>
        <w:rPr>
          <w:rFonts w:ascii="仿宋_GB2312" w:hAnsi="仿宋_GB2312" w:eastAsia="仿宋_GB2312" w:cs="仿宋_GB2312"/>
        </w:rPr>
        <w:t>中标/成交供应商是否需要缴纳履约保证金：否</w:t>
      </w:r>
    </w:p>
    <w:p w14:paraId="7F8E1259">
      <w:pPr>
        <w:pStyle w:val="4"/>
        <w:ind w:firstLine="840"/>
      </w:pPr>
      <w:r>
        <w:rPr>
          <w:rFonts w:ascii="仿宋_GB2312" w:hAnsi="仿宋_GB2312" w:eastAsia="仿宋_GB2312" w:cs="仿宋_GB2312"/>
        </w:rPr>
        <w:t>6）质量保证金及缴纳形式：</w:t>
      </w:r>
    </w:p>
    <w:p w14:paraId="19442258">
      <w:pPr>
        <w:pStyle w:val="4"/>
      </w:pPr>
      <w:r>
        <w:rPr>
          <w:rFonts w:ascii="仿宋_GB2312" w:hAnsi="仿宋_GB2312" w:eastAsia="仿宋_GB2312" w:cs="仿宋_GB2312"/>
        </w:rPr>
        <w:t>中标/成交供应商是否需要缴纳质量保证金：否</w:t>
      </w:r>
    </w:p>
    <w:p w14:paraId="1D67FA64">
      <w:pPr>
        <w:pStyle w:val="4"/>
        <w:ind w:firstLine="840"/>
      </w:pPr>
      <w:r>
        <w:rPr>
          <w:rFonts w:ascii="仿宋_GB2312" w:hAnsi="仿宋_GB2312" w:eastAsia="仿宋_GB2312" w:cs="仿宋_GB2312"/>
        </w:rPr>
        <w:t>7）合同支付约定：</w:t>
      </w:r>
    </w:p>
    <w:p w14:paraId="51785F05">
      <w:pPr>
        <w:pStyle w:val="4"/>
      </w:pPr>
      <w:r>
        <w:rPr>
          <w:rFonts w:ascii="仿宋_GB2312" w:hAnsi="仿宋_GB2312" w:eastAsia="仿宋_GB2312" w:cs="仿宋_GB2312"/>
        </w:rPr>
        <w:t>1、 付款条件说明： 合同签订后按季度支付，每三个月结算一次，第一季度服务完成验收合格后 ，达到付款条件起 15 日内，支付合同总金额的 25.00%。</w:t>
      </w:r>
    </w:p>
    <w:p w14:paraId="2BA2B92E">
      <w:pPr>
        <w:pStyle w:val="4"/>
        <w:ind w:firstLine="1200"/>
      </w:pPr>
      <w:r>
        <w:rPr>
          <w:rFonts w:ascii="仿宋_GB2312" w:hAnsi="仿宋_GB2312" w:eastAsia="仿宋_GB2312" w:cs="仿宋_GB2312"/>
        </w:rPr>
        <w:t>2、 付款条件说明： 第二季度服务完成验收合格后 ，达到付款条件起 15 日内，支付合同总金额的 25.00%。</w:t>
      </w:r>
    </w:p>
    <w:p w14:paraId="21F7A83D">
      <w:pPr>
        <w:pStyle w:val="4"/>
        <w:ind w:firstLine="1200"/>
      </w:pPr>
      <w:r>
        <w:rPr>
          <w:rFonts w:ascii="仿宋_GB2312" w:hAnsi="仿宋_GB2312" w:eastAsia="仿宋_GB2312" w:cs="仿宋_GB2312"/>
        </w:rPr>
        <w:t>3、 付款条件说明： 第三季度服务完成验收合格后 ，达到付款条件起 15 日内，支付合同总金额的 25.00%。</w:t>
      </w:r>
    </w:p>
    <w:p w14:paraId="06BDEE27">
      <w:pPr>
        <w:pStyle w:val="4"/>
        <w:ind w:firstLine="1200"/>
      </w:pPr>
      <w:r>
        <w:rPr>
          <w:rFonts w:ascii="仿宋_GB2312" w:hAnsi="仿宋_GB2312" w:eastAsia="仿宋_GB2312" w:cs="仿宋_GB2312"/>
        </w:rPr>
        <w:t>4、 付款条件说明： 第四季度服务完成验收合格后 ，达到付款条件起 15 日内，支付合同总金额的 25.00%。</w:t>
      </w:r>
    </w:p>
    <w:p w14:paraId="63EC9A7A">
      <w:pPr>
        <w:pStyle w:val="4"/>
        <w:ind w:firstLine="840"/>
      </w:pPr>
      <w:r>
        <w:rPr>
          <w:rFonts w:ascii="仿宋_GB2312" w:hAnsi="仿宋_GB2312" w:eastAsia="仿宋_GB2312" w:cs="仿宋_GB2312"/>
        </w:rPr>
        <w:t>8）验收交付标准和方法：项目完成后由投标人提出验收申请，采购人收到验收申请后组织验收。投标人提供的服务必须符合国家标准和行业标准。投标人承诺的技术、服务条款必须与投标时提供的完全一致，不存在任何偏差。如出现不一致，投标人将承担违约责任。</w:t>
      </w:r>
    </w:p>
    <w:p w14:paraId="402DD7F4">
      <w:pPr>
        <w:pStyle w:val="4"/>
        <w:ind w:firstLine="840"/>
      </w:pPr>
      <w:r>
        <w:rPr>
          <w:rFonts w:ascii="仿宋_GB2312" w:hAnsi="仿宋_GB2312" w:eastAsia="仿宋_GB2312" w:cs="仿宋_GB2312"/>
        </w:rPr>
        <w:t>9）质量保修范围和保修期：按采购合同执行</w:t>
      </w:r>
    </w:p>
    <w:p w14:paraId="2AE4AC51">
      <w:pPr>
        <w:pStyle w:val="4"/>
        <w:ind w:firstLine="840"/>
      </w:pPr>
      <w:r>
        <w:rPr>
          <w:rFonts w:ascii="仿宋_GB2312" w:hAnsi="仿宋_GB2312" w:eastAsia="仿宋_GB2312" w:cs="仿宋_GB2312"/>
        </w:rPr>
        <w:t>10）知识产权归属和处理方式：无</w:t>
      </w:r>
    </w:p>
    <w:p w14:paraId="1EC36D4C">
      <w:pPr>
        <w:pStyle w:val="4"/>
        <w:ind w:firstLine="840"/>
      </w:pPr>
      <w:r>
        <w:rPr>
          <w:rFonts w:ascii="仿宋_GB2312" w:hAnsi="仿宋_GB2312" w:eastAsia="仿宋_GB2312" w:cs="仿宋_GB2312"/>
        </w:rPr>
        <w:t>11）成本补偿和风险分担约定：无</w:t>
      </w:r>
    </w:p>
    <w:p w14:paraId="32B89C18">
      <w:pPr>
        <w:pStyle w:val="4"/>
        <w:ind w:firstLine="840"/>
      </w:pPr>
      <w:r>
        <w:rPr>
          <w:rFonts w:ascii="仿宋_GB2312" w:hAnsi="仿宋_GB2312" w:eastAsia="仿宋_GB2312" w:cs="仿宋_GB2312"/>
        </w:rPr>
        <w:t>12）违约责任与解决争议的方法：按照合同约定内容执行</w:t>
      </w:r>
    </w:p>
    <w:p w14:paraId="785ACFCC">
      <w:pPr>
        <w:pStyle w:val="4"/>
        <w:ind w:firstLine="840"/>
      </w:pPr>
      <w:r>
        <w:rPr>
          <w:rFonts w:ascii="仿宋_GB2312" w:hAnsi="仿宋_GB2312" w:eastAsia="仿宋_GB2312" w:cs="仿宋_GB2312"/>
        </w:rPr>
        <w:t>13）合同其他条款：无</w:t>
      </w:r>
    </w:p>
    <w:p w14:paraId="54E98B8B">
      <w:pPr>
        <w:pStyle w:val="4"/>
      </w:pPr>
      <w:r>
        <w:rPr>
          <w:rFonts w:ascii="仿宋_GB2312" w:hAnsi="仿宋_GB2312" w:eastAsia="仿宋_GB2312" w:cs="仿宋_GB2312"/>
        </w:rPr>
        <w:t>11、履约验收方案</w:t>
      </w:r>
    </w:p>
    <w:p w14:paraId="5FA00472">
      <w:pPr>
        <w:pStyle w:val="4"/>
        <w:ind w:firstLine="840"/>
      </w:pPr>
      <w:r>
        <w:rPr>
          <w:rFonts w:ascii="仿宋_GB2312" w:hAnsi="仿宋_GB2312" w:eastAsia="仿宋_GB2312" w:cs="仿宋_GB2312"/>
        </w:rPr>
        <w:t>1）验收组织方式：自行验收</w:t>
      </w:r>
    </w:p>
    <w:p w14:paraId="28893562">
      <w:pPr>
        <w:pStyle w:val="4"/>
        <w:ind w:firstLine="840"/>
      </w:pPr>
      <w:r>
        <w:rPr>
          <w:rFonts w:ascii="仿宋_GB2312" w:hAnsi="仿宋_GB2312" w:eastAsia="仿宋_GB2312" w:cs="仿宋_GB2312"/>
        </w:rPr>
        <w:t>2）是否邀请本项目的其他供应商：否</w:t>
      </w:r>
    </w:p>
    <w:p w14:paraId="44BC60A4">
      <w:pPr>
        <w:pStyle w:val="4"/>
        <w:ind w:firstLine="840"/>
      </w:pPr>
      <w:r>
        <w:rPr>
          <w:rFonts w:ascii="仿宋_GB2312" w:hAnsi="仿宋_GB2312" w:eastAsia="仿宋_GB2312" w:cs="仿宋_GB2312"/>
        </w:rPr>
        <w:t>3）是否邀请专家：否</w:t>
      </w:r>
    </w:p>
    <w:p w14:paraId="583F59EB">
      <w:pPr>
        <w:pStyle w:val="4"/>
        <w:ind w:firstLine="840"/>
      </w:pPr>
      <w:r>
        <w:rPr>
          <w:rFonts w:ascii="仿宋_GB2312" w:hAnsi="仿宋_GB2312" w:eastAsia="仿宋_GB2312" w:cs="仿宋_GB2312"/>
        </w:rPr>
        <w:t>4）是否邀请服务对象：否</w:t>
      </w:r>
    </w:p>
    <w:p w14:paraId="226EBF23">
      <w:pPr>
        <w:pStyle w:val="4"/>
        <w:ind w:firstLine="840"/>
      </w:pPr>
      <w:r>
        <w:rPr>
          <w:rFonts w:ascii="仿宋_GB2312" w:hAnsi="仿宋_GB2312" w:eastAsia="仿宋_GB2312" w:cs="仿宋_GB2312"/>
        </w:rPr>
        <w:t>5）是否邀请第三方检测机构：否</w:t>
      </w:r>
    </w:p>
    <w:p w14:paraId="642927C7">
      <w:pPr>
        <w:pStyle w:val="4"/>
        <w:ind w:firstLine="840"/>
      </w:pPr>
      <w:r>
        <w:rPr>
          <w:rFonts w:ascii="仿宋_GB2312" w:hAnsi="仿宋_GB2312" w:eastAsia="仿宋_GB2312" w:cs="仿宋_GB2312"/>
        </w:rPr>
        <w:t>6）履约验收程序：分段/分期验收</w:t>
      </w:r>
    </w:p>
    <w:p w14:paraId="7E0786A9">
      <w:pPr>
        <w:pStyle w:val="4"/>
        <w:ind w:firstLine="840"/>
      </w:pPr>
      <w:r>
        <w:rPr>
          <w:rFonts w:ascii="仿宋_GB2312" w:hAnsi="仿宋_GB2312" w:eastAsia="仿宋_GB2312" w:cs="仿宋_GB2312"/>
        </w:rPr>
        <w:t>7）履约验收时间：</w:t>
      </w:r>
    </w:p>
    <w:p w14:paraId="5B02A53F">
      <w:pPr>
        <w:pStyle w:val="4"/>
      </w:pPr>
      <w:r>
        <w:rPr>
          <w:rFonts w:ascii="仿宋_GB2312" w:hAnsi="仿宋_GB2312" w:eastAsia="仿宋_GB2312" w:cs="仿宋_GB2312"/>
        </w:rPr>
        <w:t>供应商提出验收申请之日起5日内组织验收</w:t>
      </w:r>
    </w:p>
    <w:p w14:paraId="14F3A8CE">
      <w:pPr>
        <w:pStyle w:val="4"/>
        <w:ind w:firstLine="840"/>
      </w:pPr>
      <w:r>
        <w:rPr>
          <w:rFonts w:ascii="仿宋_GB2312" w:hAnsi="仿宋_GB2312" w:eastAsia="仿宋_GB2312" w:cs="仿宋_GB2312"/>
        </w:rPr>
        <w:t>8）验收组织的其他事项：按照合同约定内容执行</w:t>
      </w:r>
    </w:p>
    <w:p w14:paraId="3249A750">
      <w:pPr>
        <w:pStyle w:val="4"/>
        <w:ind w:firstLine="840"/>
      </w:pPr>
      <w:r>
        <w:rPr>
          <w:rFonts w:ascii="仿宋_GB2312" w:hAnsi="仿宋_GB2312" w:eastAsia="仿宋_GB2312" w:cs="仿宋_GB2312"/>
        </w:rPr>
        <w:t>9）技术履约验收内容：按照合同约定内容执行</w:t>
      </w:r>
    </w:p>
    <w:p w14:paraId="1AC5BE85">
      <w:pPr>
        <w:pStyle w:val="4"/>
        <w:ind w:firstLine="840"/>
      </w:pPr>
      <w:r>
        <w:rPr>
          <w:rFonts w:ascii="仿宋_GB2312" w:hAnsi="仿宋_GB2312" w:eastAsia="仿宋_GB2312" w:cs="仿宋_GB2312"/>
        </w:rPr>
        <w:t>10）商务履约验收内容：按照合同约定内容执行</w:t>
      </w:r>
    </w:p>
    <w:p w14:paraId="729C5222">
      <w:pPr>
        <w:pStyle w:val="4"/>
        <w:ind w:firstLine="840"/>
      </w:pPr>
      <w:r>
        <w:rPr>
          <w:rFonts w:ascii="仿宋_GB2312" w:hAnsi="仿宋_GB2312" w:eastAsia="仿宋_GB2312" w:cs="仿宋_GB2312"/>
        </w:rPr>
        <w:t>11）履约验收标准：以采购文件、响应文件及签订合同要求为准</w:t>
      </w:r>
    </w:p>
    <w:p w14:paraId="183B6E17">
      <w:pPr>
        <w:pStyle w:val="4"/>
        <w:ind w:firstLine="840"/>
      </w:pPr>
      <w:r>
        <w:rPr>
          <w:rFonts w:ascii="仿宋_GB2312" w:hAnsi="仿宋_GB2312" w:eastAsia="仿宋_GB2312" w:cs="仿宋_GB2312"/>
        </w:rPr>
        <w:t>12）履约验收其他事项：按照合同约定内容执行</w:t>
      </w:r>
    </w:p>
    <w:p w14:paraId="3AD15D2E">
      <w:pPr>
        <w:pStyle w:val="4"/>
        <w:outlineLvl w:val="2"/>
      </w:pPr>
      <w:r>
        <w:rPr>
          <w:rFonts w:ascii="仿宋_GB2312" w:hAnsi="仿宋_GB2312" w:eastAsia="仿宋_GB2312" w:cs="仿宋_GB2312"/>
          <w:b/>
          <w:sz w:val="28"/>
        </w:rPr>
        <w:t>五、风险控制措施和替代方案</w:t>
      </w:r>
    </w:p>
    <w:p w14:paraId="00818EBF">
      <w:pPr>
        <w:pStyle w:val="4"/>
        <w:ind w:firstLine="840"/>
      </w:pPr>
      <w:r>
        <w:rPr>
          <w:rFonts w:ascii="仿宋_GB2312" w:hAnsi="仿宋_GB2312" w:eastAsia="仿宋_GB2312" w:cs="仿宋_GB2312"/>
        </w:rPr>
        <w:t>该采购项目按照《政府采购需求管理办法》第二十五条规定，本项目是否需要组织风险判断、提出处置措施和替代方案：否</w:t>
      </w:r>
    </w:p>
    <w:p w14:paraId="42A2EE30">
      <w:pPr>
        <w:pStyle w:val="4"/>
      </w:pPr>
    </w:p>
    <w:p w14:paraId="384770D2">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2421266"/>
    <w:rsid w:val="177F50ED"/>
    <w:rsid w:val="53B52B8D"/>
    <w:rsid w:val="53D61556"/>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1249</Words>
  <Characters>1321</Characters>
  <Lines>0</Lines>
  <Paragraphs>0</Paragraphs>
  <TotalTime>1</TotalTime>
  <ScaleCrop>false</ScaleCrop>
  <LinksUpToDate>false</LinksUpToDate>
  <CharactersWithSpaces>1339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快乐猫</cp:lastModifiedBy>
  <dcterms:modified xsi:type="dcterms:W3CDTF">2026-04-23T01:59:00Z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eyJoZGlkIjoiM2NmYTlkNmQyOWE5NjNjOWY3Y2ZiMGFkYTc1MDQ4YzciLCJ1c2VySWQiOiIxNTE3ODQyNzU3In0=</vt:lpwstr>
  </property>
  <property fmtid="{D5CDD505-2E9C-101B-9397-08002B2CF9AE}" pid="4" name="ICV">
    <vt:lpwstr>C0877CE7DF3F44E9BF4056F5D0E8ECAA_12</vt:lpwstr>
  </property>
</Properties>
</file>