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西安市未央区机关事务服务中心未央区机关事务服务中心后勤综合服务采购项目招标公告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未央区机关事务服务中心后勤综合服务采购项目</w:t>
      </w:r>
      <w:r>
        <w:rPr>
          <w:rFonts w:ascii="仿宋_GB2312" w:hAnsi="仿宋_GB2312" w:cs="仿宋_GB2312" w:eastAsia="仿宋_GB2312"/>
        </w:rPr>
        <w:t>招标项目的潜在投标人应在</w:t>
      </w:r>
      <w:r>
        <w:rPr>
          <w:rFonts w:ascii="仿宋_GB2312" w:hAnsi="仿宋_GB2312" w:cs="仿宋_GB2312" w:eastAsia="仿宋_GB2312"/>
        </w:rPr>
        <w:t>全国公共资源交易平台（陕西省·西安市）网站〖首页〉电子交易平台〉陕西政府采购交易系统〉企业端〗</w:t>
      </w:r>
      <w:r>
        <w:rPr>
          <w:rFonts w:ascii="仿宋_GB2312" w:hAnsi="仿宋_GB2312" w:cs="仿宋_GB2312" w:eastAsia="仿宋_GB2312"/>
        </w:rPr>
        <w:t>获取招标文件，并于</w:t>
      </w:r>
      <w:r>
        <w:rPr>
          <w:rFonts w:ascii="仿宋_GB2312" w:hAnsi="仿宋_GB2312" w:cs="仿宋_GB2312" w:eastAsia="仿宋_GB2312"/>
        </w:rPr>
        <w:t xml:space="preserve"> 2026年05月20日 09时30分 </w:t>
      </w:r>
      <w:r>
        <w:rPr>
          <w:rFonts w:ascii="仿宋_GB2312" w:hAnsi="仿宋_GB2312" w:cs="仿宋_GB2312" w:eastAsia="仿宋_GB2312"/>
        </w:rPr>
        <w:t>（北京时间）前递交投标文件。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项目编号：ZJXG2026029</w:t>
      </w:r>
    </w:p>
    <w:p>
      <w:pPr>
        <w:pStyle w:val="null3"/>
      </w:pPr>
      <w:r>
        <w:rPr>
          <w:rFonts w:ascii="仿宋_GB2312" w:hAnsi="仿宋_GB2312" w:cs="仿宋_GB2312" w:eastAsia="仿宋_GB2312"/>
        </w:rPr>
        <w:t>项目名称：未央区机关事务服务中心后勤综合服务采购项目</w:t>
      </w:r>
    </w:p>
    <w:p>
      <w:pPr>
        <w:pStyle w:val="null3"/>
      </w:pPr>
      <w:r>
        <w:rPr>
          <w:rFonts w:ascii="仿宋_GB2312" w:hAnsi="仿宋_GB2312" w:cs="仿宋_GB2312" w:eastAsia="仿宋_GB2312"/>
        </w:rPr>
        <w:t>采购方式：公开招标</w:t>
      </w:r>
    </w:p>
    <w:p>
      <w:pPr>
        <w:pStyle w:val="null3"/>
      </w:pPr>
      <w:r>
        <w:rPr>
          <w:rFonts w:ascii="仿宋_GB2312" w:hAnsi="仿宋_GB2312" w:cs="仿宋_GB2312" w:eastAsia="仿宋_GB2312"/>
        </w:rPr>
        <w:t>预算金额：3,195,837.46元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合同包1(未央区机关事务服务中心后勤综合服务采购项目):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3,195,837.46元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3,195,837.46元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其他服务</w:t>
            </w:r>
          </w:p>
        </w:tc>
        <w:tc>
          <w:tcPr>
            <w:tcW w:type="dxa" w:w="1384"/>
          </w:tcPr>
          <w:p>
            <w:pPr>
              <w:pStyle w:val="null3"/>
            </w:pPr>
            <w:r>
              <w:rPr>
                <w:rFonts w:ascii="仿宋_GB2312" w:hAnsi="仿宋_GB2312" w:cs="仿宋_GB2312" w:eastAsia="仿宋_GB2312"/>
              </w:rPr>
              <w:t>后勤辅助服务和公车司机岗位人员外包服务</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3,195,837.46</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一年。</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合同包1(未央区机关事务服务中心后勤综合服务采购项目)落实政府采购政策需满足的资格要求如下:</w:t>
      </w:r>
    </w:p>
    <w:p>
      <w:pPr>
        <w:pStyle w:val="null3"/>
        <w:ind w:left="480"/>
      </w:pPr>
      <w:r>
        <w:rPr>
          <w:rFonts w:ascii="仿宋_GB2312" w:hAnsi="仿宋_GB2312" w:cs="仿宋_GB2312" w:eastAsia="仿宋_GB2312"/>
        </w:rPr>
        <w:t>本项目专门面向中小企业采购（残疾人福利性单位及监狱企业视同小型、微型企业）。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合同包1(未央区机关事务服务中心后勤综合服务采购项目)特定资格要求如下:</w:t>
      </w:r>
    </w:p>
    <w:p>
      <w:pPr>
        <w:pStyle w:val="null3"/>
        <w:ind w:left="480"/>
      </w:pPr>
      <w:r>
        <w:rPr>
          <w:rFonts w:ascii="仿宋_GB2312" w:hAnsi="仿宋_GB2312" w:cs="仿宋_GB2312" w:eastAsia="仿宋_GB2312"/>
        </w:rPr>
        <w:t>1、有效的主体资格证明：具有独立承担民事责任能力的法人、其他组织或自然人，并出具合法有效的相关证明材料。</w:t>
      </w:r>
      <w:r>
        <w:br/>
      </w:r>
      <w:r>
        <w:rPr>
          <w:rFonts w:ascii="仿宋_GB2312" w:hAnsi="仿宋_GB2312" w:cs="仿宋_GB2312" w:eastAsia="仿宋_GB2312"/>
        </w:rPr>
        <w:t>2、财务状况报告：提供2024年度或2025年度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w:t>
      </w:r>
      <w:r>
        <w:br/>
      </w:r>
      <w:r>
        <w:rPr>
          <w:rFonts w:ascii="仿宋_GB2312" w:hAnsi="仿宋_GB2312" w:cs="仿宋_GB2312" w:eastAsia="仿宋_GB2312"/>
        </w:rPr>
        <w:t>3、税收缴纳证明：提供投标截止时间前一年内任意一个月的纳税证明或完税证明，依法免税的单位应提供相关证明，此项可提供基本资格条件承诺函。</w:t>
      </w:r>
      <w:r>
        <w:br/>
      </w:r>
      <w:r>
        <w:rPr>
          <w:rFonts w:ascii="仿宋_GB2312" w:hAnsi="仿宋_GB2312" w:cs="仿宋_GB2312" w:eastAsia="仿宋_GB2312"/>
        </w:rPr>
        <w:t>4、社会保障资金缴纳证明：提供投标截止时间前一年内任意一个月的社会保障资金缴存单据或社保机构开具的社会保险参保缴费情况证明，依法不需要缴纳社会保障资金的单位应提供相关证明材料，此项可提供基本资格条件承诺函。</w:t>
      </w:r>
      <w:r>
        <w:br/>
      </w:r>
      <w:r>
        <w:rPr>
          <w:rFonts w:ascii="仿宋_GB2312" w:hAnsi="仿宋_GB2312" w:cs="仿宋_GB2312" w:eastAsia="仿宋_GB2312"/>
        </w:rPr>
        <w:t>5、履行合同所必需的设备和专业技术能力：提供具有履行合同所必需的设备和专业技术能力的承诺，此项可提供基本资格条件承诺函。</w:t>
      </w:r>
      <w:r>
        <w:br/>
      </w:r>
      <w:r>
        <w:rPr>
          <w:rFonts w:ascii="仿宋_GB2312" w:hAnsi="仿宋_GB2312" w:cs="仿宋_GB2312" w:eastAsia="仿宋_GB2312"/>
        </w:rPr>
        <w:t>6、前三年无重大违法记录声明：参加政府采购活动前三年内，在经营活动中没有重大违法记录的书面声明（成立时间至提交响应文件截止时间不足三年的可提供成立至今的书面声明），此项可提供基本资格条件承诺函。</w:t>
      </w:r>
      <w:r>
        <w:br/>
      </w:r>
      <w:r>
        <w:rPr>
          <w:rFonts w:ascii="仿宋_GB2312" w:hAnsi="仿宋_GB2312" w:cs="仿宋_GB2312" w:eastAsia="仿宋_GB2312"/>
        </w:rPr>
        <w:t>7、授权书被授权人身份证：法定代表人（主要负责人）亲自参加投标时，应提供法定代表人（主要负责人）身份证明书；法定代表人（主要负责人）委托代理人参加投标时，应提供法定代表人（主要负责人）委托授权书及代理人本单位证明（开标前六个月内任意一个月养老保险缴纳证明），非法人单位参照执行。</w:t>
      </w:r>
      <w:r>
        <w:br/>
      </w:r>
      <w:r>
        <w:rPr>
          <w:rFonts w:ascii="仿宋_GB2312" w:hAnsi="仿宋_GB2312" w:cs="仿宋_GB2312" w:eastAsia="仿宋_GB2312"/>
        </w:rPr>
        <w:t>8、信用查询：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投标文件递交截止之时）。此项可提供基本资格条件承诺函。</w:t>
      </w:r>
      <w:r>
        <w:br/>
      </w:r>
      <w:r>
        <w:rPr>
          <w:rFonts w:ascii="仿宋_GB2312" w:hAnsi="仿宋_GB2312" w:cs="仿宋_GB2312" w:eastAsia="仿宋_GB2312"/>
        </w:rPr>
        <w:t>9、其他要求：单位负责人为同一人或者存在直接控股、管理关系的不同供应商不得参加同一合同项下的政府采购活动；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r>
        <w:br/>
      </w:r>
      <w:r>
        <w:rPr>
          <w:rFonts w:ascii="仿宋_GB2312" w:hAnsi="仿宋_GB2312" w:cs="仿宋_GB2312" w:eastAsia="仿宋_GB2312"/>
        </w:rPr>
        <w:t>10、是否接受联合体投标：本项目不接受联合体投标（提供非联合体投标声明）。</w:t>
      </w:r>
      <w:r>
        <w:br/>
      </w:r>
      <w:r>
        <w:rPr>
          <w:rFonts w:ascii="仿宋_GB2312" w:hAnsi="仿宋_GB2312" w:cs="仿宋_GB2312" w:eastAsia="仿宋_GB2312"/>
        </w:rPr>
        <w:t>11、中小企业：本合同包为专门面向中小企业采购（提供中小企业声明函或监狱企业的证明文件或残疾人福利性单位声明函）。</w:t>
      </w:r>
    </w:p>
    <w:p>
      <w:pPr>
        <w:pStyle w:val="null3"/>
        <w:outlineLvl w:val="3"/>
      </w:pPr>
      <w:r>
        <w:rPr>
          <w:rFonts w:ascii="仿宋_GB2312" w:hAnsi="仿宋_GB2312" w:cs="仿宋_GB2312" w:eastAsia="仿宋_GB2312"/>
          <w:sz w:val="24"/>
          <w:b/>
        </w:rPr>
        <w:t>三、获取招标文件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2026年04月27日 </w:t>
      </w:r>
      <w:r>
        <w:rPr>
          <w:rFonts w:ascii="仿宋_GB2312" w:hAnsi="仿宋_GB2312" w:cs="仿宋_GB2312" w:eastAsia="仿宋_GB2312"/>
        </w:rPr>
        <w:t>至</w:t>
      </w:r>
      <w:r>
        <w:rPr>
          <w:rFonts w:ascii="仿宋_GB2312" w:hAnsi="仿宋_GB2312" w:cs="仿宋_GB2312" w:eastAsia="仿宋_GB2312"/>
        </w:rPr>
        <w:t xml:space="preserve"> 2026年05月06日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全国公共资源交易平台（陕西省·西安市）网站〖首页〉电子交易平台〉陕西政府采购交易系统〉企业端〗</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四、提交投标文件截止时间、开标时间和地点</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2026年05月20日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提交投标文件地点：</w:t>
      </w:r>
      <w:r>
        <w:rPr>
          <w:rFonts w:ascii="仿宋_GB2312" w:hAnsi="仿宋_GB2312" w:cs="仿宋_GB2312" w:eastAsia="仿宋_GB2312"/>
        </w:rPr>
        <w:t>全国公共资源交易平台（陕西省·西安市）网站〖首页〉电子交易平台&lt;陕西政府采购交易系统&gt;企业端〗，在线提交。</w:t>
      </w:r>
    </w:p>
    <w:p>
      <w:pPr>
        <w:pStyle w:val="null3"/>
      </w:pPr>
      <w:r>
        <w:rPr>
          <w:rFonts w:ascii="仿宋_GB2312" w:hAnsi="仿宋_GB2312" w:cs="仿宋_GB2312" w:eastAsia="仿宋_GB2312"/>
        </w:rPr>
        <w:t>开标地点：</w:t>
      </w:r>
      <w:r>
        <w:rPr>
          <w:rFonts w:ascii="仿宋_GB2312" w:hAnsi="仿宋_GB2312" w:cs="仿宋_GB2312" w:eastAsia="仿宋_GB2312"/>
        </w:rPr>
        <w:t>全国公共资源交易平台（陕西省·西安市）</w:t>
      </w:r>
    </w:p>
    <w:p>
      <w:pPr>
        <w:pStyle w:val="null3"/>
        <w:outlineLvl w:val="3"/>
      </w:pPr>
      <w:r>
        <w:rPr>
          <w:rFonts w:ascii="仿宋_GB2312" w:hAnsi="仿宋_GB2312" w:cs="仿宋_GB2312" w:eastAsia="仿宋_GB2312"/>
          <w:sz w:val="24"/>
          <w:b/>
        </w:rPr>
        <w:t>五、公告期限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六、其他补充事宜</w:t>
      </w:r>
    </w:p>
    <w:p>
      <w:pPr>
        <w:pStyle w:val="null3"/>
      </w:pPr>
      <w:r>
        <w:rPr>
          <w:rFonts w:ascii="仿宋_GB2312" w:hAnsi="仿宋_GB2312" w:cs="仿宋_GB2312" w:eastAsia="仿宋_GB2312"/>
        </w:rPr>
        <w:t>1、落实的政府采购政策: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7)《财政部发展改革委生态环境部市场监管总局关于调整优化节能产品、环境标志产品政府采购执行机制的通知》（财库〔2019〕9号）；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13）《关于政府采购支持绿色建材促进建筑品质提升试点工作的通知》（财库〔2020〕31号）；</w:t>
      </w:r>
    </w:p>
    <w:p>
      <w:pPr>
        <w:pStyle w:val="null3"/>
      </w:pPr>
      <w:r>
        <w:rPr>
          <w:rFonts w:ascii="仿宋_GB2312" w:hAnsi="仿宋_GB2312" w:cs="仿宋_GB2312" w:eastAsia="仿宋_GB2312"/>
        </w:rPr>
        <w:t>14）《财政部办公厅关于组织地方预算单位做好2023年政府采购脱贫地区农副产品工作的通知》（财办库〔2023〕45号）；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16）《国务院办公厅关于在政府采购中实施本国产品标准及相关政策的通知》（国办发〔2025〕34号）；</w:t>
      </w:r>
    </w:p>
    <w:p>
      <w:pPr>
        <w:pStyle w:val="null3"/>
      </w:pPr>
      <w:r>
        <w:rPr>
          <w:rFonts w:ascii="仿宋_GB2312" w:hAnsi="仿宋_GB2312" w:cs="仿宋_GB2312" w:eastAsia="仿宋_GB2312"/>
        </w:rPr>
        <w:t>17）《关于推动解决政府采购异常低价问题的通知》(财库〔2026〕2号)；</w:t>
      </w:r>
    </w:p>
    <w:p>
      <w:pPr>
        <w:pStyle w:val="null3"/>
      </w:pPr>
      <w:r>
        <w:rPr>
          <w:rFonts w:ascii="仿宋_GB2312" w:hAnsi="仿宋_GB2312" w:cs="仿宋_GB2312" w:eastAsia="仿宋_GB2312"/>
        </w:rPr>
        <w:t>18）其他需要落实的政府采购政策。</w:t>
      </w:r>
    </w:p>
    <w:p>
      <w:pPr>
        <w:pStyle w:val="null3"/>
      </w:pPr>
      <w:r>
        <w:rPr>
          <w:rFonts w:ascii="仿宋_GB2312" w:hAnsi="仿宋_GB2312" w:cs="仿宋_GB2312" w:eastAsia="仿宋_GB2312"/>
        </w:rPr>
        <w:t>2、友情提示：（1）供应商须按照陕西省财政厅《关于政府采购供应商注册登记有关事项的通知》中的要求，通过陕西省政府采购网（http://www.ccgp-shaanxi.gov.cn/）注册登记加入陕西省政府采购供应商库。（2）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3）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全国公共资源交易平台（陕西省·西安市）网站〖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pPr>
        <w:pStyle w:val="null3"/>
      </w:pPr>
      <w:r>
        <w:rPr>
          <w:rFonts w:ascii="仿宋_GB2312" w:hAnsi="仿宋_GB2312" w:cs="仿宋_GB2312" w:eastAsia="仿宋_GB2312"/>
        </w:rPr>
        <w:t>3、本项目招标公告在陕西省政府采购网(http://www.ccgp-shaanxi.gov.cn/)、全国公共资源交易平台（陕西省·西安市）（http://sxggzyjy.xa.gov.cn/）上发布。</w:t>
      </w:r>
    </w:p>
    <w:p>
      <w:pPr>
        <w:pStyle w:val="null3"/>
      </w:pPr>
      <w:r>
        <w:rPr>
          <w:rFonts w:ascii="仿宋_GB2312" w:hAnsi="仿宋_GB2312" w:cs="仿宋_GB2312" w:eastAsia="仿宋_GB2312"/>
        </w:rPr>
        <w:t>4、项目执行过程中，供应商对采购人或代理机构的质疑答复不满意，或者采购人或代理机构未在规定期限内作出答复的，可以在答复期满后15个工作日内向同级财政部门提起投诉。除线下书面投诉外，鼓励各供应商优先选择便捷的电子化投诉方式，电子化投诉流程参照《陕西省财政厅关于在全省开展电子化投诉工作有关事项的通知》（陕财办采函〔2022〕15号）执行。</w:t>
      </w:r>
    </w:p>
    <w:p>
      <w:pPr>
        <w:pStyle w:val="null3"/>
        <w:outlineLvl w:val="3"/>
      </w:pPr>
      <w:r>
        <w:rPr>
          <w:rFonts w:ascii="仿宋_GB2312" w:hAnsi="仿宋_GB2312" w:cs="仿宋_GB2312" w:eastAsia="仿宋_GB2312"/>
          <w:sz w:val="24"/>
          <w:b/>
        </w:rPr>
        <w:t>七、对本次招标提出询问，请按以下方式联系。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西安市未央区机关事务服务中心</w:t>
      </w:r>
    </w:p>
    <w:p>
      <w:pPr>
        <w:pStyle w:val="null3"/>
      </w:pPr>
      <w:r>
        <w:rPr>
          <w:rFonts w:ascii="仿宋_GB2312" w:hAnsi="仿宋_GB2312" w:cs="仿宋_GB2312" w:eastAsia="仿宋_GB2312"/>
        </w:rPr>
        <w:t>地址：</w:t>
      </w:r>
      <w:r>
        <w:rPr>
          <w:rFonts w:ascii="仿宋_GB2312" w:hAnsi="仿宋_GB2312" w:cs="仿宋_GB2312" w:eastAsia="仿宋_GB2312"/>
        </w:rPr>
        <w:t>西安市未央区龙首北路1号</w:t>
      </w:r>
    </w:p>
    <w:p>
      <w:pPr>
        <w:pStyle w:val="null3"/>
      </w:pPr>
      <w:r>
        <w:rPr>
          <w:rFonts w:ascii="仿宋_GB2312" w:hAnsi="仿宋_GB2312" w:cs="仿宋_GB2312" w:eastAsia="仿宋_GB2312"/>
        </w:rPr>
        <w:t>联系方式：</w:t>
      </w:r>
      <w:r>
        <w:rPr>
          <w:rFonts w:ascii="仿宋_GB2312" w:hAnsi="仿宋_GB2312" w:cs="仿宋_GB2312" w:eastAsia="仿宋_GB2312"/>
        </w:rPr>
        <w:t>029-86240406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白洁</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