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63A77">
      <w:pPr>
        <w:widowControl w:val="0"/>
        <w:spacing w:line="240" w:lineRule="auto"/>
        <w:jc w:val="center"/>
        <w:rPr>
          <w:rFonts w:cs="Times New Roman"/>
          <w:color w:val="000000"/>
          <w:sz w:val="52"/>
          <w:szCs w:val="52"/>
          <w:highlight w:val="none"/>
        </w:rPr>
      </w:pPr>
    </w:p>
    <w:p w14:paraId="7D8F6301">
      <w:pPr>
        <w:widowControl w:val="0"/>
        <w:spacing w:line="240" w:lineRule="auto"/>
        <w:jc w:val="center"/>
        <w:rPr>
          <w:rFonts w:cs="Times New Roman"/>
          <w:color w:val="000000"/>
          <w:sz w:val="52"/>
          <w:szCs w:val="52"/>
          <w:highlight w:val="none"/>
        </w:rPr>
      </w:pPr>
    </w:p>
    <w:p w14:paraId="1D32AF1F">
      <w:pPr>
        <w:widowControl w:val="0"/>
        <w:spacing w:line="240" w:lineRule="auto"/>
        <w:jc w:val="center"/>
        <w:rPr>
          <w:rFonts w:ascii="仿宋" w:hAnsi="仿宋" w:eastAsia="仿宋" w:cs="仿宋"/>
          <w:color w:val="000000"/>
          <w:kern w:val="0"/>
          <w:sz w:val="96"/>
          <w:szCs w:val="96"/>
          <w:highlight w:val="none"/>
        </w:rPr>
      </w:pPr>
      <w:r>
        <w:rPr>
          <w:rFonts w:hint="eastAsia" w:ascii="仿宋" w:hAnsi="仿宋" w:eastAsia="仿宋" w:cs="仿宋"/>
          <w:color w:val="000000"/>
          <w:sz w:val="52"/>
          <w:szCs w:val="52"/>
          <w:highlight w:val="none"/>
        </w:rPr>
        <w:t>陕西省省级单位政府采购中心</w:t>
      </w:r>
    </w:p>
    <w:p w14:paraId="3E5B0DED">
      <w:pPr>
        <w:widowControl w:val="0"/>
        <w:spacing w:line="240" w:lineRule="auto"/>
        <w:jc w:val="center"/>
        <w:rPr>
          <w:rFonts w:ascii="仿宋" w:hAnsi="仿宋" w:eastAsia="仿宋" w:cs="仿宋"/>
          <w:b/>
          <w:bCs/>
          <w:color w:val="000000"/>
          <w:kern w:val="0"/>
          <w:sz w:val="96"/>
          <w:szCs w:val="96"/>
          <w:highlight w:val="none"/>
        </w:rPr>
      </w:pPr>
      <w:r>
        <w:rPr>
          <w:rFonts w:hint="eastAsia" w:ascii="仿宋" w:hAnsi="仿宋" w:eastAsia="仿宋" w:cs="仿宋"/>
          <w:b/>
          <w:bCs/>
          <w:color w:val="000000"/>
          <w:kern w:val="0"/>
          <w:sz w:val="96"/>
          <w:szCs w:val="96"/>
          <w:highlight w:val="none"/>
        </w:rPr>
        <w:t>竞争性磋商文件</w:t>
      </w:r>
    </w:p>
    <w:p w14:paraId="49A4755D">
      <w:pPr>
        <w:widowControl w:val="0"/>
        <w:spacing w:line="240" w:lineRule="auto"/>
        <w:jc w:val="center"/>
        <w:rPr>
          <w:rFonts w:ascii="仿宋" w:hAnsi="仿宋" w:eastAsia="仿宋" w:cs="仿宋"/>
          <w:color w:val="000000"/>
          <w:sz w:val="36"/>
          <w:szCs w:val="36"/>
          <w:highlight w:val="none"/>
        </w:rPr>
      </w:pPr>
      <w:r>
        <w:rPr>
          <w:rFonts w:hint="eastAsia" w:ascii="仿宋" w:hAnsi="仿宋" w:eastAsia="仿宋" w:cs="仿宋"/>
          <w:color w:val="000000"/>
          <w:sz w:val="36"/>
          <w:szCs w:val="36"/>
          <w:highlight w:val="none"/>
        </w:rPr>
        <w:t>（专门面向中小企业项目）</w:t>
      </w:r>
    </w:p>
    <w:p w14:paraId="5E24F75D">
      <w:pPr>
        <w:pStyle w:val="8"/>
        <w:widowControl w:val="0"/>
        <w:spacing w:after="190"/>
        <w:rPr>
          <w:highlight w:val="none"/>
        </w:rPr>
      </w:pPr>
    </w:p>
    <w:p w14:paraId="0C9AC721">
      <w:pPr>
        <w:pStyle w:val="19"/>
        <w:widowControl w:val="0"/>
        <w:spacing w:after="190"/>
        <w:ind w:firstLine="0" w:firstLineChars="0"/>
        <w:rPr>
          <w:color w:val="000000"/>
          <w:sz w:val="36"/>
          <w:szCs w:val="36"/>
          <w:highlight w:val="none"/>
        </w:rPr>
      </w:pPr>
    </w:p>
    <w:p w14:paraId="522699A6">
      <w:pPr>
        <w:pStyle w:val="19"/>
        <w:widowControl w:val="0"/>
        <w:spacing w:after="190"/>
        <w:ind w:firstLine="0" w:firstLineChars="0"/>
        <w:rPr>
          <w:color w:val="000000"/>
          <w:sz w:val="36"/>
          <w:szCs w:val="36"/>
          <w:highlight w:val="none"/>
        </w:rPr>
      </w:pPr>
    </w:p>
    <w:p w14:paraId="69036237">
      <w:pPr>
        <w:widowControl w:val="0"/>
        <w:tabs>
          <w:tab w:val="center" w:pos="4536"/>
        </w:tabs>
        <w:spacing w:line="240" w:lineRule="auto"/>
        <w:ind w:left="2539" w:leftChars="256" w:right="707" w:rightChars="250" w:hanging="1815" w:hangingChars="500"/>
        <w:jc w:val="left"/>
        <w:rPr>
          <w:rFonts w:ascii="仿宋" w:hAnsi="仿宋" w:eastAsia="仿宋" w:cs="仿宋"/>
          <w:b/>
          <w:bCs/>
          <w:color w:val="000000"/>
          <w:sz w:val="36"/>
          <w:szCs w:val="36"/>
          <w:highlight w:val="none"/>
        </w:rPr>
      </w:pPr>
      <w:r>
        <w:rPr>
          <w:rFonts w:hint="eastAsia" w:ascii="仿宋" w:hAnsi="仿宋" w:eastAsia="仿宋" w:cs="仿宋"/>
          <w:b/>
          <w:bCs/>
          <w:color w:val="000000"/>
          <w:sz w:val="36"/>
          <w:szCs w:val="36"/>
          <w:highlight w:val="none"/>
        </w:rPr>
        <w:t>项目名称：陕西省档案馆2026年后库安保物业服务项目</w:t>
      </w:r>
    </w:p>
    <w:p w14:paraId="158A84B2">
      <w:pPr>
        <w:widowControl w:val="0"/>
        <w:tabs>
          <w:tab w:val="center" w:pos="4536"/>
        </w:tabs>
        <w:spacing w:line="240" w:lineRule="auto"/>
        <w:ind w:left="2539" w:leftChars="256" w:right="707" w:rightChars="250" w:hanging="1815" w:hangingChars="500"/>
        <w:jc w:val="left"/>
        <w:rPr>
          <w:rFonts w:ascii="仿宋" w:hAnsi="仿宋" w:eastAsia="仿宋" w:cs="仿宋"/>
          <w:b/>
          <w:bCs/>
          <w:color w:val="000000"/>
          <w:sz w:val="36"/>
          <w:szCs w:val="36"/>
          <w:highlight w:val="none"/>
        </w:rPr>
      </w:pPr>
      <w:r>
        <w:rPr>
          <w:rFonts w:hint="eastAsia" w:ascii="仿宋" w:hAnsi="仿宋" w:eastAsia="仿宋" w:cs="仿宋"/>
          <w:b/>
          <w:bCs/>
          <w:color w:val="000000"/>
          <w:sz w:val="36"/>
          <w:szCs w:val="36"/>
          <w:highlight w:val="none"/>
        </w:rPr>
        <w:t>项目编号：SNCG-FM-2026032</w:t>
      </w:r>
    </w:p>
    <w:p w14:paraId="69FA1700">
      <w:pPr>
        <w:widowControl w:val="0"/>
        <w:spacing w:line="240" w:lineRule="auto"/>
        <w:ind w:left="2539" w:leftChars="256" w:right="707" w:rightChars="250" w:hanging="1815" w:hangingChars="500"/>
        <w:jc w:val="left"/>
        <w:rPr>
          <w:rFonts w:ascii="仿宋" w:hAnsi="仿宋" w:eastAsia="仿宋" w:cs="仿宋"/>
          <w:color w:val="000000"/>
          <w:w w:val="98"/>
          <w:sz w:val="36"/>
          <w:szCs w:val="36"/>
          <w:highlight w:val="none"/>
        </w:rPr>
      </w:pPr>
      <w:r>
        <w:rPr>
          <w:rFonts w:hint="eastAsia" w:ascii="仿宋" w:hAnsi="仿宋" w:eastAsia="仿宋" w:cs="仿宋"/>
          <w:b/>
          <w:bCs/>
          <w:color w:val="000000"/>
          <w:sz w:val="36"/>
          <w:szCs w:val="36"/>
          <w:highlight w:val="none"/>
        </w:rPr>
        <w:t>采 购 人：陕西省档案馆</w:t>
      </w:r>
    </w:p>
    <w:p w14:paraId="1936D03C">
      <w:pPr>
        <w:widowControl w:val="0"/>
        <w:spacing w:line="240" w:lineRule="auto"/>
        <w:ind w:left="2539" w:leftChars="256" w:right="707" w:rightChars="250" w:hanging="1815" w:hangingChars="500"/>
        <w:jc w:val="left"/>
        <w:rPr>
          <w:rFonts w:ascii="仿宋" w:hAnsi="仿宋" w:eastAsia="仿宋" w:cs="仿宋"/>
          <w:b/>
          <w:bCs/>
          <w:color w:val="000000"/>
          <w:sz w:val="36"/>
          <w:szCs w:val="36"/>
          <w:highlight w:val="none"/>
        </w:rPr>
      </w:pPr>
      <w:r>
        <w:rPr>
          <w:rFonts w:hint="eastAsia" w:ascii="仿宋" w:hAnsi="仿宋" w:eastAsia="仿宋" w:cs="仿宋"/>
          <w:b/>
          <w:bCs/>
          <w:color w:val="000000"/>
          <w:sz w:val="36"/>
          <w:szCs w:val="36"/>
          <w:highlight w:val="none"/>
        </w:rPr>
        <w:t>采购代理机构：陕西省省级单位政府采购中心</w:t>
      </w:r>
    </w:p>
    <w:p w14:paraId="6B000053">
      <w:pPr>
        <w:pStyle w:val="8"/>
        <w:widowControl w:val="0"/>
        <w:spacing w:after="190"/>
        <w:rPr>
          <w:rFonts w:cs="Times New Roman"/>
          <w:highlight w:val="none"/>
        </w:rPr>
      </w:pPr>
    </w:p>
    <w:p w14:paraId="103F4305">
      <w:pPr>
        <w:widowControl w:val="0"/>
        <w:rPr>
          <w:rFonts w:cs="Times New Roman"/>
          <w:color w:val="000000"/>
          <w:highlight w:val="none"/>
        </w:rPr>
      </w:pPr>
    </w:p>
    <w:p w14:paraId="6AA5C1EA">
      <w:pPr>
        <w:pStyle w:val="5"/>
        <w:widowControl w:val="0"/>
        <w:rPr>
          <w:color w:val="000000"/>
          <w:highlight w:val="none"/>
        </w:rPr>
      </w:pPr>
    </w:p>
    <w:p w14:paraId="2E8F397E">
      <w:pPr>
        <w:widowControl w:val="0"/>
        <w:tabs>
          <w:tab w:val="right" w:leader="hyphen" w:pos="8504"/>
        </w:tabs>
        <w:spacing w:after="381" w:afterLines="100" w:line="440" w:lineRule="exact"/>
        <w:ind w:right="566" w:rightChars="200"/>
        <w:jc w:val="center"/>
        <w:rPr>
          <w:rFonts w:ascii="仿宋" w:hAnsi="仿宋" w:eastAsia="仿宋" w:cs="Times New Roman"/>
          <w:b/>
          <w:bCs/>
          <w:color w:val="000000"/>
          <w:sz w:val="36"/>
          <w:szCs w:val="36"/>
          <w:highlight w:val="none"/>
        </w:rPr>
        <w:sectPr>
          <w:headerReference r:id="rId5" w:type="default"/>
          <w:footerReference r:id="rId6" w:type="default"/>
          <w:pgSz w:w="11906" w:h="16838"/>
          <w:pgMar w:top="1417" w:right="1417" w:bottom="1417" w:left="1417" w:header="850" w:footer="992" w:gutter="0"/>
          <w:pgNumType w:start="1"/>
          <w:cols w:space="720" w:num="1"/>
          <w:docGrid w:type="linesAndChars" w:linePitch="381" w:charSpace="704"/>
        </w:sectPr>
      </w:pPr>
      <w:r>
        <w:rPr>
          <w:rFonts w:ascii="仿宋" w:hAnsi="仿宋" w:eastAsia="仿宋" w:cs="仿宋"/>
          <w:b/>
          <w:bCs/>
          <w:color w:val="000000"/>
          <w:sz w:val="36"/>
          <w:szCs w:val="36"/>
          <w:highlight w:val="none"/>
        </w:rPr>
        <w:t>202</w:t>
      </w:r>
      <w:r>
        <w:rPr>
          <w:rFonts w:hint="eastAsia" w:ascii="仿宋" w:hAnsi="仿宋" w:eastAsia="仿宋" w:cs="仿宋"/>
          <w:b/>
          <w:bCs/>
          <w:color w:val="000000"/>
          <w:sz w:val="36"/>
          <w:szCs w:val="36"/>
          <w:highlight w:val="none"/>
        </w:rPr>
        <w:t>6年</w:t>
      </w:r>
      <w:r>
        <w:rPr>
          <w:rFonts w:hint="eastAsia" w:ascii="仿宋" w:hAnsi="仿宋" w:eastAsia="仿宋" w:cs="仿宋"/>
          <w:b/>
          <w:bCs/>
          <w:color w:val="000000"/>
          <w:sz w:val="36"/>
          <w:szCs w:val="36"/>
          <w:highlight w:val="none"/>
          <w:lang w:val="en-US" w:eastAsia="zh-CN"/>
        </w:rPr>
        <w:t>04</w:t>
      </w:r>
      <w:r>
        <w:rPr>
          <w:rFonts w:hint="eastAsia" w:ascii="仿宋" w:hAnsi="仿宋" w:eastAsia="仿宋" w:cs="仿宋"/>
          <w:b/>
          <w:bCs/>
          <w:color w:val="000000"/>
          <w:sz w:val="36"/>
          <w:szCs w:val="36"/>
          <w:highlight w:val="none"/>
        </w:rPr>
        <w:t>月</w:t>
      </w:r>
      <w:r>
        <w:rPr>
          <w:rFonts w:hint="eastAsia" w:ascii="仿宋" w:hAnsi="仿宋" w:eastAsia="仿宋" w:cs="仿宋"/>
          <w:b/>
          <w:bCs/>
          <w:color w:val="000000"/>
          <w:sz w:val="36"/>
          <w:szCs w:val="36"/>
          <w:highlight w:val="none"/>
          <w:lang w:val="en-US" w:eastAsia="zh-CN"/>
        </w:rPr>
        <w:t>08</w:t>
      </w:r>
      <w:r>
        <w:rPr>
          <w:rFonts w:hint="eastAsia" w:ascii="仿宋" w:hAnsi="仿宋" w:eastAsia="仿宋" w:cs="仿宋"/>
          <w:b/>
          <w:bCs/>
          <w:color w:val="000000"/>
          <w:sz w:val="36"/>
          <w:szCs w:val="36"/>
          <w:highlight w:val="none"/>
        </w:rPr>
        <w:t>日</w:t>
      </w:r>
    </w:p>
    <w:p w14:paraId="394E77A7">
      <w:pPr>
        <w:pStyle w:val="17"/>
        <w:widowControl w:val="0"/>
        <w:tabs>
          <w:tab w:val="right" w:leader="dot" w:pos="9072"/>
        </w:tabs>
        <w:ind w:left="0" w:leftChars="0"/>
        <w:jc w:val="center"/>
        <w:rPr>
          <w:rFonts w:hint="eastAsia" w:ascii="黑体" w:hAnsi="黑体" w:eastAsia="黑体" w:cs="黑体"/>
          <w:color w:val="000000"/>
          <w:sz w:val="40"/>
          <w:szCs w:val="40"/>
          <w:highlight w:val="none"/>
          <w:lang w:val="en-US" w:eastAsia="zh-CN"/>
        </w:rPr>
      </w:pPr>
      <w:bookmarkStart w:id="0" w:name="_Toc29675"/>
      <w:bookmarkStart w:id="1" w:name="_Toc29970"/>
      <w:bookmarkStart w:id="2" w:name="_Toc447"/>
      <w:r>
        <w:rPr>
          <w:rFonts w:hint="eastAsia" w:ascii="黑体" w:hAnsi="黑体" w:eastAsia="黑体" w:cs="黑体"/>
          <w:color w:val="000000"/>
          <w:sz w:val="40"/>
          <w:szCs w:val="40"/>
          <w:highlight w:val="none"/>
          <w:lang w:val="en-US" w:eastAsia="zh-CN"/>
        </w:rPr>
        <w:t>目录</w:t>
      </w:r>
    </w:p>
    <w:bookmarkEnd w:id="0"/>
    <w:bookmarkEnd w:id="1"/>
    <w:bookmarkEnd w:id="2"/>
    <w:p w14:paraId="45A60EE1">
      <w:pPr>
        <w:pStyle w:val="16"/>
        <w:tabs>
          <w:tab w:val="right" w:leader="dot" w:pos="9072"/>
        </w:tabs>
        <w:rPr>
          <w:highlight w:val="none"/>
        </w:rPr>
      </w:pPr>
      <w:bookmarkStart w:id="3" w:name="_Toc26289"/>
      <w:bookmarkStart w:id="4" w:name="_Toc495014918"/>
      <w:bookmarkStart w:id="5" w:name="_Toc495012769"/>
      <w:bookmarkStart w:id="6" w:name="_Toc495012819"/>
      <w:bookmarkStart w:id="7" w:name="_Toc495014647"/>
      <w:bookmarkStart w:id="8" w:name="_Toc495014609"/>
      <w:bookmarkStart w:id="9" w:name="_Toc445306491"/>
      <w:bookmarkStart w:id="10" w:name="_Toc495014583"/>
    </w:p>
    <w:sdt>
      <w:sdtPr>
        <w:rPr>
          <w:rFonts w:ascii="宋体" w:hAnsi="宋体" w:eastAsia="宋体" w:cs="Calibri Light"/>
          <w:kern w:val="2"/>
          <w:sz w:val="21"/>
          <w:szCs w:val="28"/>
          <w:highlight w:val="none"/>
          <w:lang w:val="en-US" w:eastAsia="zh-CN" w:bidi="ar-SA"/>
        </w:rPr>
        <w:id w:val="147472115"/>
        <w15:color w:val="DBDBDB"/>
        <w:docPartObj>
          <w:docPartGallery w:val="Table of Contents"/>
          <w:docPartUnique/>
        </w:docPartObj>
      </w:sdtPr>
      <w:sdtEndPr>
        <w:rPr>
          <w:rFonts w:ascii="Calibri Light" w:hAnsi="Calibri Light" w:eastAsia="华文仿宋" w:cs="Calibri Light"/>
          <w:color w:val="000000"/>
          <w:kern w:val="2"/>
          <w:sz w:val="28"/>
          <w:szCs w:val="28"/>
          <w:highlight w:val="none"/>
          <w:lang w:val="en-US" w:eastAsia="zh-CN" w:bidi="ar-SA"/>
        </w:rPr>
      </w:sdtEndPr>
      <w:sdtContent>
        <w:p w14:paraId="4C5446C6">
          <w:pPr>
            <w:pStyle w:val="16"/>
            <w:tabs>
              <w:tab w:val="right" w:leader="dot" w:pos="9072"/>
            </w:tabs>
          </w:pPr>
          <w:r>
            <w:rPr>
              <w:color w:val="000000"/>
              <w:highlight w:val="none"/>
            </w:rPr>
            <w:fldChar w:fldCharType="begin"/>
          </w:r>
          <w:r>
            <w:rPr>
              <w:color w:val="000000"/>
              <w:highlight w:val="none"/>
            </w:rPr>
            <w:instrText xml:space="preserve">TOC \o "1-2" \h \u </w:instrText>
          </w:r>
          <w:r>
            <w:rPr>
              <w:color w:val="000000"/>
              <w:highlight w:val="none"/>
            </w:rPr>
            <w:fldChar w:fldCharType="separate"/>
          </w:r>
          <w:r>
            <w:rPr>
              <w:color w:val="000000"/>
              <w:highlight w:val="none"/>
            </w:rPr>
            <w:fldChar w:fldCharType="begin"/>
          </w:r>
          <w:r>
            <w:rPr>
              <w:highlight w:val="none"/>
            </w:rPr>
            <w:instrText xml:space="preserve"> HYPERLINK \l _Toc2632 </w:instrText>
          </w:r>
          <w:r>
            <w:rPr>
              <w:highlight w:val="none"/>
            </w:rPr>
            <w:fldChar w:fldCharType="separate"/>
          </w:r>
          <w:r>
            <w:rPr>
              <w:rFonts w:hint="eastAsia" w:ascii="黑体" w:hAnsi="黑体" w:eastAsia="黑体" w:cs="黑体"/>
              <w:bCs w:val="0"/>
              <w:szCs w:val="32"/>
              <w:highlight w:val="none"/>
            </w:rPr>
            <w:t>第一章  磋商邀请函</w:t>
          </w:r>
          <w:r>
            <w:tab/>
          </w:r>
          <w:r>
            <w:fldChar w:fldCharType="begin"/>
          </w:r>
          <w:r>
            <w:instrText xml:space="preserve"> PAGEREF _Toc2632 \h </w:instrText>
          </w:r>
          <w:r>
            <w:fldChar w:fldCharType="separate"/>
          </w:r>
          <w:r>
            <w:t>1</w:t>
          </w:r>
          <w:r>
            <w:fldChar w:fldCharType="end"/>
          </w:r>
          <w:r>
            <w:rPr>
              <w:color w:val="000000"/>
              <w:highlight w:val="none"/>
            </w:rPr>
            <w:fldChar w:fldCharType="end"/>
          </w:r>
        </w:p>
        <w:p w14:paraId="10503E05">
          <w:pPr>
            <w:pStyle w:val="16"/>
            <w:tabs>
              <w:tab w:val="right" w:leader="dot" w:pos="9072"/>
            </w:tabs>
          </w:pPr>
          <w:r>
            <w:rPr>
              <w:color w:val="000000"/>
              <w:highlight w:val="none"/>
            </w:rPr>
            <w:fldChar w:fldCharType="begin"/>
          </w:r>
          <w:r>
            <w:rPr>
              <w:highlight w:val="none"/>
            </w:rPr>
            <w:instrText xml:space="preserve"> HYPERLINK \l _Toc30017 </w:instrText>
          </w:r>
          <w:r>
            <w:rPr>
              <w:highlight w:val="none"/>
            </w:rPr>
            <w:fldChar w:fldCharType="separate"/>
          </w:r>
          <w:r>
            <w:rPr>
              <w:rFonts w:hint="eastAsia" w:ascii="黑体" w:hAnsi="黑体" w:eastAsia="黑体" w:cs="黑体"/>
              <w:bCs w:val="0"/>
              <w:szCs w:val="32"/>
              <w:highlight w:val="none"/>
            </w:rPr>
            <w:t>第二章  供应商须知</w:t>
          </w:r>
          <w:r>
            <w:tab/>
          </w:r>
          <w:r>
            <w:fldChar w:fldCharType="begin"/>
          </w:r>
          <w:r>
            <w:instrText xml:space="preserve"> PAGEREF _Toc30017 \h </w:instrText>
          </w:r>
          <w:r>
            <w:fldChar w:fldCharType="separate"/>
          </w:r>
          <w:r>
            <w:t>7</w:t>
          </w:r>
          <w:r>
            <w:fldChar w:fldCharType="end"/>
          </w:r>
          <w:r>
            <w:rPr>
              <w:color w:val="000000"/>
              <w:highlight w:val="none"/>
            </w:rPr>
            <w:fldChar w:fldCharType="end"/>
          </w:r>
        </w:p>
        <w:p w14:paraId="1FB79124">
          <w:pPr>
            <w:pStyle w:val="17"/>
            <w:tabs>
              <w:tab w:val="right" w:leader="dot" w:pos="9072"/>
            </w:tabs>
          </w:pPr>
          <w:r>
            <w:rPr>
              <w:color w:val="000000"/>
              <w:highlight w:val="none"/>
            </w:rPr>
            <w:fldChar w:fldCharType="begin"/>
          </w:r>
          <w:r>
            <w:rPr>
              <w:highlight w:val="none"/>
            </w:rPr>
            <w:instrText xml:space="preserve"> HYPERLINK \l _Toc21928 </w:instrText>
          </w:r>
          <w:r>
            <w:rPr>
              <w:highlight w:val="none"/>
            </w:rPr>
            <w:fldChar w:fldCharType="separate"/>
          </w:r>
          <w:r>
            <w:rPr>
              <w:rFonts w:hint="eastAsia" w:ascii="仿宋" w:hAnsi="仿宋" w:eastAsia="仿宋" w:cs="仿宋"/>
              <w:szCs w:val="28"/>
              <w:highlight w:val="none"/>
            </w:rPr>
            <w:t>一、定义</w:t>
          </w:r>
          <w:r>
            <w:tab/>
          </w:r>
          <w:r>
            <w:fldChar w:fldCharType="begin"/>
          </w:r>
          <w:r>
            <w:instrText xml:space="preserve"> PAGEREF _Toc21928 \h </w:instrText>
          </w:r>
          <w:r>
            <w:fldChar w:fldCharType="separate"/>
          </w:r>
          <w:r>
            <w:t>7</w:t>
          </w:r>
          <w:r>
            <w:fldChar w:fldCharType="end"/>
          </w:r>
          <w:r>
            <w:rPr>
              <w:color w:val="000000"/>
              <w:highlight w:val="none"/>
            </w:rPr>
            <w:fldChar w:fldCharType="end"/>
          </w:r>
        </w:p>
        <w:p w14:paraId="48E2A597">
          <w:pPr>
            <w:pStyle w:val="17"/>
            <w:tabs>
              <w:tab w:val="right" w:leader="dot" w:pos="9072"/>
            </w:tabs>
          </w:pPr>
          <w:r>
            <w:rPr>
              <w:color w:val="000000"/>
              <w:highlight w:val="none"/>
            </w:rPr>
            <w:fldChar w:fldCharType="begin"/>
          </w:r>
          <w:r>
            <w:rPr>
              <w:highlight w:val="none"/>
            </w:rPr>
            <w:instrText xml:space="preserve"> HYPERLINK \l _Toc12270 </w:instrText>
          </w:r>
          <w:r>
            <w:rPr>
              <w:highlight w:val="none"/>
            </w:rPr>
            <w:fldChar w:fldCharType="separate"/>
          </w:r>
          <w:r>
            <w:rPr>
              <w:rFonts w:hint="eastAsia" w:ascii="仿宋" w:hAnsi="仿宋" w:eastAsia="仿宋" w:cs="仿宋"/>
              <w:szCs w:val="28"/>
              <w:highlight w:val="none"/>
            </w:rPr>
            <w:t>二、供应商注意事项</w:t>
          </w:r>
          <w:r>
            <w:tab/>
          </w:r>
          <w:r>
            <w:fldChar w:fldCharType="begin"/>
          </w:r>
          <w:r>
            <w:instrText xml:space="preserve"> PAGEREF _Toc12270 \h </w:instrText>
          </w:r>
          <w:r>
            <w:fldChar w:fldCharType="separate"/>
          </w:r>
          <w:r>
            <w:t>7</w:t>
          </w:r>
          <w:r>
            <w:fldChar w:fldCharType="end"/>
          </w:r>
          <w:r>
            <w:rPr>
              <w:color w:val="000000"/>
              <w:highlight w:val="none"/>
            </w:rPr>
            <w:fldChar w:fldCharType="end"/>
          </w:r>
        </w:p>
        <w:p w14:paraId="3F5C8D90">
          <w:pPr>
            <w:pStyle w:val="17"/>
            <w:tabs>
              <w:tab w:val="right" w:leader="dot" w:pos="9072"/>
            </w:tabs>
          </w:pPr>
          <w:r>
            <w:rPr>
              <w:color w:val="000000"/>
              <w:highlight w:val="none"/>
            </w:rPr>
            <w:fldChar w:fldCharType="begin"/>
          </w:r>
          <w:r>
            <w:rPr>
              <w:highlight w:val="none"/>
            </w:rPr>
            <w:instrText xml:space="preserve"> HYPERLINK \l _Toc25418 </w:instrText>
          </w:r>
          <w:r>
            <w:rPr>
              <w:highlight w:val="none"/>
            </w:rPr>
            <w:fldChar w:fldCharType="separate"/>
          </w:r>
          <w:r>
            <w:rPr>
              <w:rFonts w:hint="eastAsia" w:ascii="仿宋" w:hAnsi="仿宋" w:eastAsia="仿宋" w:cs="仿宋"/>
              <w:szCs w:val="28"/>
              <w:highlight w:val="none"/>
            </w:rPr>
            <w:t>三、磋商文件</w:t>
          </w:r>
          <w:r>
            <w:tab/>
          </w:r>
          <w:r>
            <w:fldChar w:fldCharType="begin"/>
          </w:r>
          <w:r>
            <w:instrText xml:space="preserve"> PAGEREF _Toc25418 \h </w:instrText>
          </w:r>
          <w:r>
            <w:fldChar w:fldCharType="separate"/>
          </w:r>
          <w:r>
            <w:t>15</w:t>
          </w:r>
          <w:r>
            <w:fldChar w:fldCharType="end"/>
          </w:r>
          <w:r>
            <w:rPr>
              <w:color w:val="000000"/>
              <w:highlight w:val="none"/>
            </w:rPr>
            <w:fldChar w:fldCharType="end"/>
          </w:r>
        </w:p>
        <w:p w14:paraId="0657B031">
          <w:pPr>
            <w:pStyle w:val="17"/>
            <w:tabs>
              <w:tab w:val="right" w:leader="dot" w:pos="9072"/>
            </w:tabs>
          </w:pPr>
          <w:r>
            <w:rPr>
              <w:color w:val="000000"/>
              <w:highlight w:val="none"/>
            </w:rPr>
            <w:fldChar w:fldCharType="begin"/>
          </w:r>
          <w:r>
            <w:rPr>
              <w:highlight w:val="none"/>
            </w:rPr>
            <w:instrText xml:space="preserve"> HYPERLINK \l _Toc27280 </w:instrText>
          </w:r>
          <w:r>
            <w:rPr>
              <w:highlight w:val="none"/>
            </w:rPr>
            <w:fldChar w:fldCharType="separate"/>
          </w:r>
          <w:r>
            <w:rPr>
              <w:rFonts w:hint="eastAsia" w:ascii="仿宋" w:hAnsi="仿宋" w:eastAsia="仿宋" w:cs="仿宋"/>
              <w:szCs w:val="28"/>
              <w:highlight w:val="none"/>
            </w:rPr>
            <w:t>四、磋商报价</w:t>
          </w:r>
          <w:r>
            <w:tab/>
          </w:r>
          <w:r>
            <w:fldChar w:fldCharType="begin"/>
          </w:r>
          <w:r>
            <w:instrText xml:space="preserve"> PAGEREF _Toc27280 \h </w:instrText>
          </w:r>
          <w:r>
            <w:fldChar w:fldCharType="separate"/>
          </w:r>
          <w:r>
            <w:t>16</w:t>
          </w:r>
          <w:r>
            <w:fldChar w:fldCharType="end"/>
          </w:r>
          <w:r>
            <w:rPr>
              <w:color w:val="000000"/>
              <w:highlight w:val="none"/>
            </w:rPr>
            <w:fldChar w:fldCharType="end"/>
          </w:r>
        </w:p>
        <w:p w14:paraId="295F7E85">
          <w:pPr>
            <w:pStyle w:val="17"/>
            <w:tabs>
              <w:tab w:val="right" w:leader="dot" w:pos="9072"/>
            </w:tabs>
          </w:pPr>
          <w:r>
            <w:rPr>
              <w:color w:val="000000"/>
              <w:highlight w:val="none"/>
            </w:rPr>
            <w:fldChar w:fldCharType="begin"/>
          </w:r>
          <w:r>
            <w:rPr>
              <w:highlight w:val="none"/>
            </w:rPr>
            <w:instrText xml:space="preserve"> HYPERLINK \l _Toc4299 </w:instrText>
          </w:r>
          <w:r>
            <w:rPr>
              <w:highlight w:val="none"/>
            </w:rPr>
            <w:fldChar w:fldCharType="separate"/>
          </w:r>
          <w:r>
            <w:rPr>
              <w:rFonts w:hint="eastAsia" w:ascii="仿宋" w:hAnsi="仿宋" w:eastAsia="仿宋" w:cs="仿宋"/>
              <w:szCs w:val="28"/>
              <w:highlight w:val="none"/>
            </w:rPr>
            <w:t>五、响应文件</w:t>
          </w:r>
          <w:r>
            <w:tab/>
          </w:r>
          <w:r>
            <w:fldChar w:fldCharType="begin"/>
          </w:r>
          <w:r>
            <w:instrText xml:space="preserve"> PAGEREF _Toc4299 \h </w:instrText>
          </w:r>
          <w:r>
            <w:fldChar w:fldCharType="separate"/>
          </w:r>
          <w:r>
            <w:t>17</w:t>
          </w:r>
          <w:r>
            <w:fldChar w:fldCharType="end"/>
          </w:r>
          <w:r>
            <w:rPr>
              <w:color w:val="000000"/>
              <w:highlight w:val="none"/>
            </w:rPr>
            <w:fldChar w:fldCharType="end"/>
          </w:r>
        </w:p>
        <w:p w14:paraId="7BE85C25">
          <w:pPr>
            <w:pStyle w:val="17"/>
            <w:tabs>
              <w:tab w:val="right" w:leader="dot" w:pos="9072"/>
            </w:tabs>
          </w:pPr>
          <w:r>
            <w:rPr>
              <w:color w:val="000000"/>
              <w:highlight w:val="none"/>
            </w:rPr>
            <w:fldChar w:fldCharType="begin"/>
          </w:r>
          <w:r>
            <w:rPr>
              <w:highlight w:val="none"/>
            </w:rPr>
            <w:instrText xml:space="preserve"> HYPERLINK \l _Toc5762 </w:instrText>
          </w:r>
          <w:r>
            <w:rPr>
              <w:highlight w:val="none"/>
            </w:rPr>
            <w:fldChar w:fldCharType="separate"/>
          </w:r>
          <w:r>
            <w:rPr>
              <w:rFonts w:hint="eastAsia" w:ascii="仿宋" w:hAnsi="仿宋" w:eastAsia="仿宋" w:cs="仿宋"/>
              <w:szCs w:val="28"/>
              <w:highlight w:val="none"/>
            </w:rPr>
            <w:t>六、开启响应文件</w:t>
          </w:r>
          <w:r>
            <w:tab/>
          </w:r>
          <w:r>
            <w:fldChar w:fldCharType="begin"/>
          </w:r>
          <w:r>
            <w:instrText xml:space="preserve"> PAGEREF _Toc5762 \h </w:instrText>
          </w:r>
          <w:r>
            <w:fldChar w:fldCharType="separate"/>
          </w:r>
          <w:r>
            <w:t>19</w:t>
          </w:r>
          <w:r>
            <w:fldChar w:fldCharType="end"/>
          </w:r>
          <w:r>
            <w:rPr>
              <w:color w:val="000000"/>
              <w:highlight w:val="none"/>
            </w:rPr>
            <w:fldChar w:fldCharType="end"/>
          </w:r>
        </w:p>
        <w:p w14:paraId="5F51AA60">
          <w:pPr>
            <w:pStyle w:val="17"/>
            <w:tabs>
              <w:tab w:val="right" w:leader="dot" w:pos="9072"/>
            </w:tabs>
          </w:pPr>
          <w:r>
            <w:rPr>
              <w:color w:val="000000"/>
              <w:highlight w:val="none"/>
            </w:rPr>
            <w:fldChar w:fldCharType="begin"/>
          </w:r>
          <w:r>
            <w:rPr>
              <w:highlight w:val="none"/>
            </w:rPr>
            <w:instrText xml:space="preserve"> HYPERLINK \l _Toc25130 </w:instrText>
          </w:r>
          <w:r>
            <w:rPr>
              <w:highlight w:val="none"/>
            </w:rPr>
            <w:fldChar w:fldCharType="separate"/>
          </w:r>
          <w:r>
            <w:rPr>
              <w:rFonts w:hint="eastAsia" w:ascii="仿宋" w:hAnsi="仿宋" w:eastAsia="仿宋" w:cs="仿宋"/>
              <w:szCs w:val="28"/>
              <w:highlight w:val="none"/>
            </w:rPr>
            <w:t>七、组织评审</w:t>
          </w:r>
          <w:r>
            <w:tab/>
          </w:r>
          <w:r>
            <w:fldChar w:fldCharType="begin"/>
          </w:r>
          <w:r>
            <w:instrText xml:space="preserve"> PAGEREF _Toc25130 \h </w:instrText>
          </w:r>
          <w:r>
            <w:fldChar w:fldCharType="separate"/>
          </w:r>
          <w:r>
            <w:t>20</w:t>
          </w:r>
          <w:r>
            <w:fldChar w:fldCharType="end"/>
          </w:r>
          <w:r>
            <w:rPr>
              <w:color w:val="000000"/>
              <w:highlight w:val="none"/>
            </w:rPr>
            <w:fldChar w:fldCharType="end"/>
          </w:r>
        </w:p>
        <w:p w14:paraId="1E70C326">
          <w:pPr>
            <w:pStyle w:val="17"/>
            <w:tabs>
              <w:tab w:val="right" w:leader="dot" w:pos="9072"/>
            </w:tabs>
          </w:pPr>
          <w:r>
            <w:rPr>
              <w:color w:val="000000"/>
              <w:highlight w:val="none"/>
            </w:rPr>
            <w:fldChar w:fldCharType="begin"/>
          </w:r>
          <w:r>
            <w:rPr>
              <w:highlight w:val="none"/>
            </w:rPr>
            <w:instrText xml:space="preserve"> HYPERLINK \l _Toc24343 </w:instrText>
          </w:r>
          <w:r>
            <w:rPr>
              <w:highlight w:val="none"/>
            </w:rPr>
            <w:fldChar w:fldCharType="separate"/>
          </w:r>
          <w:r>
            <w:rPr>
              <w:rFonts w:hint="eastAsia" w:ascii="仿宋" w:hAnsi="仿宋" w:eastAsia="仿宋" w:cs="仿宋"/>
              <w:szCs w:val="28"/>
              <w:highlight w:val="none"/>
            </w:rPr>
            <w:t>八、成交</w:t>
          </w:r>
          <w:r>
            <w:tab/>
          </w:r>
          <w:r>
            <w:fldChar w:fldCharType="begin"/>
          </w:r>
          <w:r>
            <w:instrText xml:space="preserve"> PAGEREF _Toc24343 \h </w:instrText>
          </w:r>
          <w:r>
            <w:fldChar w:fldCharType="separate"/>
          </w:r>
          <w:r>
            <w:t>37</w:t>
          </w:r>
          <w:r>
            <w:fldChar w:fldCharType="end"/>
          </w:r>
          <w:r>
            <w:rPr>
              <w:color w:val="000000"/>
              <w:highlight w:val="none"/>
            </w:rPr>
            <w:fldChar w:fldCharType="end"/>
          </w:r>
        </w:p>
        <w:p w14:paraId="65E07093">
          <w:pPr>
            <w:pStyle w:val="17"/>
            <w:tabs>
              <w:tab w:val="right" w:leader="dot" w:pos="9072"/>
            </w:tabs>
          </w:pPr>
          <w:r>
            <w:rPr>
              <w:color w:val="000000"/>
              <w:highlight w:val="none"/>
            </w:rPr>
            <w:fldChar w:fldCharType="begin"/>
          </w:r>
          <w:r>
            <w:rPr>
              <w:highlight w:val="none"/>
            </w:rPr>
            <w:instrText xml:space="preserve"> HYPERLINK \l _Toc3289 </w:instrText>
          </w:r>
          <w:r>
            <w:rPr>
              <w:highlight w:val="none"/>
            </w:rPr>
            <w:fldChar w:fldCharType="separate"/>
          </w:r>
          <w:r>
            <w:rPr>
              <w:rFonts w:hint="eastAsia" w:ascii="仿宋" w:hAnsi="仿宋" w:eastAsia="仿宋" w:cs="仿宋"/>
              <w:szCs w:val="28"/>
              <w:highlight w:val="none"/>
            </w:rPr>
            <w:t>九、签订政府采购合同</w:t>
          </w:r>
          <w:r>
            <w:tab/>
          </w:r>
          <w:r>
            <w:fldChar w:fldCharType="begin"/>
          </w:r>
          <w:r>
            <w:instrText xml:space="preserve"> PAGEREF _Toc3289 \h </w:instrText>
          </w:r>
          <w:r>
            <w:fldChar w:fldCharType="separate"/>
          </w:r>
          <w:r>
            <w:t>38</w:t>
          </w:r>
          <w:r>
            <w:fldChar w:fldCharType="end"/>
          </w:r>
          <w:r>
            <w:rPr>
              <w:color w:val="000000"/>
              <w:highlight w:val="none"/>
            </w:rPr>
            <w:fldChar w:fldCharType="end"/>
          </w:r>
        </w:p>
        <w:p w14:paraId="0E811BC5">
          <w:pPr>
            <w:pStyle w:val="17"/>
            <w:tabs>
              <w:tab w:val="right" w:leader="dot" w:pos="9072"/>
            </w:tabs>
          </w:pPr>
          <w:r>
            <w:rPr>
              <w:color w:val="000000"/>
              <w:highlight w:val="none"/>
            </w:rPr>
            <w:fldChar w:fldCharType="begin"/>
          </w:r>
          <w:r>
            <w:rPr>
              <w:highlight w:val="none"/>
            </w:rPr>
            <w:instrText xml:space="preserve"> HYPERLINK \l _Toc1029 </w:instrText>
          </w:r>
          <w:r>
            <w:rPr>
              <w:highlight w:val="none"/>
            </w:rPr>
            <w:fldChar w:fldCharType="separate"/>
          </w:r>
          <w:r>
            <w:rPr>
              <w:rFonts w:hint="eastAsia" w:ascii="仿宋" w:hAnsi="仿宋" w:eastAsia="仿宋" w:cs="仿宋"/>
              <w:szCs w:val="28"/>
              <w:highlight w:val="none"/>
            </w:rPr>
            <w:t>十、其他</w:t>
          </w:r>
          <w:r>
            <w:tab/>
          </w:r>
          <w:r>
            <w:fldChar w:fldCharType="begin"/>
          </w:r>
          <w:r>
            <w:instrText xml:space="preserve"> PAGEREF _Toc1029 \h </w:instrText>
          </w:r>
          <w:r>
            <w:fldChar w:fldCharType="separate"/>
          </w:r>
          <w:r>
            <w:t>39</w:t>
          </w:r>
          <w:r>
            <w:fldChar w:fldCharType="end"/>
          </w:r>
          <w:r>
            <w:rPr>
              <w:color w:val="000000"/>
              <w:highlight w:val="none"/>
            </w:rPr>
            <w:fldChar w:fldCharType="end"/>
          </w:r>
        </w:p>
        <w:p w14:paraId="11A65A41">
          <w:pPr>
            <w:pStyle w:val="16"/>
            <w:tabs>
              <w:tab w:val="right" w:leader="dot" w:pos="9072"/>
            </w:tabs>
          </w:pPr>
          <w:r>
            <w:rPr>
              <w:color w:val="000000"/>
              <w:highlight w:val="none"/>
            </w:rPr>
            <w:fldChar w:fldCharType="begin"/>
          </w:r>
          <w:r>
            <w:rPr>
              <w:highlight w:val="none"/>
            </w:rPr>
            <w:instrText xml:space="preserve"> HYPERLINK \l _Toc24542 </w:instrText>
          </w:r>
          <w:r>
            <w:rPr>
              <w:highlight w:val="none"/>
            </w:rPr>
            <w:fldChar w:fldCharType="separate"/>
          </w:r>
          <w:r>
            <w:rPr>
              <w:rFonts w:hint="eastAsia" w:ascii="黑体" w:hAnsi="黑体" w:eastAsia="黑体" w:cs="黑体"/>
              <w:bCs w:val="0"/>
              <w:szCs w:val="32"/>
              <w:highlight w:val="none"/>
            </w:rPr>
            <w:t>第三章  磋商内容及采购要求</w:t>
          </w:r>
          <w:r>
            <w:tab/>
          </w:r>
          <w:r>
            <w:fldChar w:fldCharType="begin"/>
          </w:r>
          <w:r>
            <w:instrText xml:space="preserve"> PAGEREF _Toc24542 \h </w:instrText>
          </w:r>
          <w:r>
            <w:fldChar w:fldCharType="separate"/>
          </w:r>
          <w:r>
            <w:t>40</w:t>
          </w:r>
          <w:r>
            <w:fldChar w:fldCharType="end"/>
          </w:r>
          <w:r>
            <w:rPr>
              <w:color w:val="000000"/>
              <w:highlight w:val="none"/>
            </w:rPr>
            <w:fldChar w:fldCharType="end"/>
          </w:r>
        </w:p>
        <w:p w14:paraId="498B817E">
          <w:pPr>
            <w:pStyle w:val="16"/>
            <w:tabs>
              <w:tab w:val="right" w:leader="dot" w:pos="9072"/>
            </w:tabs>
          </w:pPr>
          <w:r>
            <w:rPr>
              <w:color w:val="000000"/>
              <w:highlight w:val="none"/>
            </w:rPr>
            <w:fldChar w:fldCharType="begin"/>
          </w:r>
          <w:r>
            <w:rPr>
              <w:highlight w:val="none"/>
            </w:rPr>
            <w:instrText xml:space="preserve"> HYPERLINK \l _Toc18970 </w:instrText>
          </w:r>
          <w:r>
            <w:rPr>
              <w:highlight w:val="none"/>
            </w:rPr>
            <w:fldChar w:fldCharType="separate"/>
          </w:r>
          <w:r>
            <w:rPr>
              <w:rFonts w:hint="eastAsia" w:ascii="黑体" w:hAnsi="黑体" w:eastAsia="黑体" w:cs="黑体"/>
              <w:bCs w:val="0"/>
              <w:szCs w:val="32"/>
              <w:highlight w:val="none"/>
            </w:rPr>
            <w:t>第四章  合同基本条款</w:t>
          </w:r>
          <w:r>
            <w:tab/>
          </w:r>
          <w:r>
            <w:fldChar w:fldCharType="begin"/>
          </w:r>
          <w:r>
            <w:instrText xml:space="preserve"> PAGEREF _Toc18970 \h </w:instrText>
          </w:r>
          <w:r>
            <w:fldChar w:fldCharType="separate"/>
          </w:r>
          <w:r>
            <w:t>61</w:t>
          </w:r>
          <w:r>
            <w:fldChar w:fldCharType="end"/>
          </w:r>
          <w:r>
            <w:rPr>
              <w:color w:val="000000"/>
              <w:highlight w:val="none"/>
            </w:rPr>
            <w:fldChar w:fldCharType="end"/>
          </w:r>
        </w:p>
        <w:p w14:paraId="5525F3C7">
          <w:pPr>
            <w:pStyle w:val="17"/>
            <w:tabs>
              <w:tab w:val="right" w:leader="dot" w:pos="9072"/>
            </w:tabs>
          </w:pPr>
          <w:r>
            <w:rPr>
              <w:color w:val="000000"/>
              <w:highlight w:val="none"/>
            </w:rPr>
            <w:fldChar w:fldCharType="begin"/>
          </w:r>
          <w:r>
            <w:rPr>
              <w:highlight w:val="none"/>
            </w:rPr>
            <w:instrText xml:space="preserve"> HYPERLINK \l _Toc5335 </w:instrText>
          </w:r>
          <w:r>
            <w:rPr>
              <w:highlight w:val="none"/>
            </w:rPr>
            <w:fldChar w:fldCharType="separate"/>
          </w:r>
          <w:r>
            <w:rPr>
              <w:rFonts w:hint="eastAsia" w:ascii="仿宋" w:hAnsi="仿宋" w:eastAsia="仿宋" w:cs="仿宋"/>
              <w:szCs w:val="28"/>
              <w:highlight w:val="none"/>
            </w:rPr>
            <w:t>一、服务条件</w:t>
          </w:r>
          <w:r>
            <w:tab/>
          </w:r>
          <w:r>
            <w:fldChar w:fldCharType="begin"/>
          </w:r>
          <w:r>
            <w:instrText xml:space="preserve"> PAGEREF _Toc5335 \h </w:instrText>
          </w:r>
          <w:r>
            <w:fldChar w:fldCharType="separate"/>
          </w:r>
          <w:r>
            <w:t>61</w:t>
          </w:r>
          <w:r>
            <w:fldChar w:fldCharType="end"/>
          </w:r>
          <w:r>
            <w:rPr>
              <w:color w:val="000000"/>
              <w:highlight w:val="none"/>
            </w:rPr>
            <w:fldChar w:fldCharType="end"/>
          </w:r>
        </w:p>
        <w:p w14:paraId="4ED43342">
          <w:pPr>
            <w:pStyle w:val="17"/>
            <w:tabs>
              <w:tab w:val="right" w:leader="dot" w:pos="9072"/>
            </w:tabs>
          </w:pPr>
          <w:r>
            <w:rPr>
              <w:color w:val="000000"/>
              <w:highlight w:val="none"/>
            </w:rPr>
            <w:fldChar w:fldCharType="begin"/>
          </w:r>
          <w:r>
            <w:rPr>
              <w:highlight w:val="none"/>
            </w:rPr>
            <w:instrText xml:space="preserve"> HYPERLINK \l _Toc15487 </w:instrText>
          </w:r>
          <w:r>
            <w:rPr>
              <w:highlight w:val="none"/>
            </w:rPr>
            <w:fldChar w:fldCharType="separate"/>
          </w:r>
          <w:r>
            <w:rPr>
              <w:rFonts w:hint="eastAsia" w:ascii="仿宋" w:hAnsi="仿宋" w:eastAsia="仿宋" w:cs="仿宋"/>
              <w:szCs w:val="28"/>
              <w:highlight w:val="none"/>
            </w:rPr>
            <w:t>二、合同价款</w:t>
          </w:r>
          <w:r>
            <w:tab/>
          </w:r>
          <w:r>
            <w:fldChar w:fldCharType="begin"/>
          </w:r>
          <w:r>
            <w:instrText xml:space="preserve"> PAGEREF _Toc15487 \h </w:instrText>
          </w:r>
          <w:r>
            <w:fldChar w:fldCharType="separate"/>
          </w:r>
          <w:r>
            <w:t>61</w:t>
          </w:r>
          <w:r>
            <w:fldChar w:fldCharType="end"/>
          </w:r>
          <w:r>
            <w:rPr>
              <w:color w:val="000000"/>
              <w:highlight w:val="none"/>
            </w:rPr>
            <w:fldChar w:fldCharType="end"/>
          </w:r>
        </w:p>
        <w:p w14:paraId="29EAC5ED">
          <w:pPr>
            <w:pStyle w:val="17"/>
            <w:tabs>
              <w:tab w:val="right" w:leader="dot" w:pos="9072"/>
            </w:tabs>
          </w:pPr>
          <w:r>
            <w:rPr>
              <w:color w:val="000000"/>
              <w:highlight w:val="none"/>
            </w:rPr>
            <w:fldChar w:fldCharType="begin"/>
          </w:r>
          <w:r>
            <w:rPr>
              <w:highlight w:val="none"/>
            </w:rPr>
            <w:instrText xml:space="preserve"> HYPERLINK \l _Toc24586 </w:instrText>
          </w:r>
          <w:r>
            <w:rPr>
              <w:highlight w:val="none"/>
            </w:rPr>
            <w:fldChar w:fldCharType="separate"/>
          </w:r>
          <w:r>
            <w:rPr>
              <w:rFonts w:hint="eastAsia" w:ascii="仿宋" w:hAnsi="仿宋" w:eastAsia="仿宋" w:cs="仿宋"/>
              <w:szCs w:val="28"/>
              <w:highlight w:val="none"/>
            </w:rPr>
            <w:t>三、款项结算</w:t>
          </w:r>
          <w:r>
            <w:tab/>
          </w:r>
          <w:r>
            <w:fldChar w:fldCharType="begin"/>
          </w:r>
          <w:r>
            <w:instrText xml:space="preserve"> PAGEREF _Toc24586 \h </w:instrText>
          </w:r>
          <w:r>
            <w:fldChar w:fldCharType="separate"/>
          </w:r>
          <w:r>
            <w:t>61</w:t>
          </w:r>
          <w:r>
            <w:fldChar w:fldCharType="end"/>
          </w:r>
          <w:r>
            <w:rPr>
              <w:color w:val="000000"/>
              <w:highlight w:val="none"/>
            </w:rPr>
            <w:fldChar w:fldCharType="end"/>
          </w:r>
        </w:p>
        <w:p w14:paraId="3B21FDE4">
          <w:pPr>
            <w:pStyle w:val="16"/>
            <w:tabs>
              <w:tab w:val="right" w:leader="dot" w:pos="9072"/>
            </w:tabs>
            <w:ind w:left="0" w:leftChars="0" w:firstLine="566" w:firstLineChars="200"/>
          </w:pPr>
          <w:r>
            <w:rPr>
              <w:color w:val="000000"/>
              <w:highlight w:val="none"/>
            </w:rPr>
            <w:fldChar w:fldCharType="begin"/>
          </w:r>
          <w:r>
            <w:rPr>
              <w:highlight w:val="none"/>
            </w:rPr>
            <w:instrText xml:space="preserve"> HYPERLINK \l _Toc12647 </w:instrText>
          </w:r>
          <w:r>
            <w:rPr>
              <w:highlight w:val="none"/>
            </w:rPr>
            <w:fldChar w:fldCharType="separate"/>
          </w:r>
          <w:r>
            <w:rPr>
              <w:rFonts w:hint="eastAsia"/>
              <w:szCs w:val="28"/>
            </w:rPr>
            <w:t>四、在签订合同前，成交供应商应按照磋商文件第三章《磋商内容及采购要求》中所有承诺事项要求落实，如未在规定时限内按要求完成所承诺事项的，则视为主动放弃成交资格。</w:t>
          </w:r>
          <w:r>
            <w:rPr>
              <w:rFonts w:hint="eastAsia"/>
              <w:szCs w:val="28"/>
              <w:lang w:val="en-US" w:eastAsia="zh-CN"/>
            </w:rPr>
            <w:t xml:space="preserve"> </w:t>
          </w:r>
          <w:r>
            <w:tab/>
          </w:r>
          <w:r>
            <w:fldChar w:fldCharType="begin"/>
          </w:r>
          <w:r>
            <w:instrText xml:space="preserve"> PAGEREF _Toc12647 \h </w:instrText>
          </w:r>
          <w:r>
            <w:fldChar w:fldCharType="separate"/>
          </w:r>
          <w:r>
            <w:t>62</w:t>
          </w:r>
          <w:r>
            <w:fldChar w:fldCharType="end"/>
          </w:r>
          <w:r>
            <w:rPr>
              <w:color w:val="000000"/>
              <w:highlight w:val="none"/>
            </w:rPr>
            <w:fldChar w:fldCharType="end"/>
          </w:r>
        </w:p>
        <w:p w14:paraId="7B29F5F7">
          <w:pPr>
            <w:pStyle w:val="17"/>
            <w:tabs>
              <w:tab w:val="right" w:leader="dot" w:pos="9072"/>
            </w:tabs>
          </w:pPr>
          <w:r>
            <w:rPr>
              <w:color w:val="000000"/>
              <w:highlight w:val="none"/>
            </w:rPr>
            <w:fldChar w:fldCharType="begin"/>
          </w:r>
          <w:r>
            <w:rPr>
              <w:highlight w:val="none"/>
            </w:rPr>
            <w:instrText xml:space="preserve"> HYPERLINK \l _Toc26435 </w:instrText>
          </w:r>
          <w:r>
            <w:rPr>
              <w:highlight w:val="none"/>
            </w:rPr>
            <w:fldChar w:fldCharType="separate"/>
          </w:r>
          <w:r>
            <w:rPr>
              <w:rFonts w:hint="eastAsia" w:ascii="仿宋" w:hAnsi="仿宋" w:eastAsia="仿宋" w:cs="仿宋"/>
              <w:szCs w:val="28"/>
              <w:highlight w:val="none"/>
            </w:rPr>
            <w:t>五、服务保证</w:t>
          </w:r>
          <w:r>
            <w:tab/>
          </w:r>
          <w:r>
            <w:fldChar w:fldCharType="begin"/>
          </w:r>
          <w:r>
            <w:instrText xml:space="preserve"> PAGEREF _Toc26435 \h </w:instrText>
          </w:r>
          <w:r>
            <w:fldChar w:fldCharType="separate"/>
          </w:r>
          <w:r>
            <w:t>62</w:t>
          </w:r>
          <w:r>
            <w:fldChar w:fldCharType="end"/>
          </w:r>
          <w:r>
            <w:rPr>
              <w:color w:val="000000"/>
              <w:highlight w:val="none"/>
            </w:rPr>
            <w:fldChar w:fldCharType="end"/>
          </w:r>
        </w:p>
        <w:p w14:paraId="23E5E070">
          <w:pPr>
            <w:pStyle w:val="17"/>
            <w:tabs>
              <w:tab w:val="right" w:leader="dot" w:pos="9072"/>
            </w:tabs>
          </w:pPr>
          <w:r>
            <w:rPr>
              <w:color w:val="000000"/>
              <w:highlight w:val="none"/>
            </w:rPr>
            <w:fldChar w:fldCharType="begin"/>
          </w:r>
          <w:r>
            <w:rPr>
              <w:highlight w:val="none"/>
            </w:rPr>
            <w:instrText xml:space="preserve"> HYPERLINK \l _Toc28165 </w:instrText>
          </w:r>
          <w:r>
            <w:rPr>
              <w:highlight w:val="none"/>
            </w:rPr>
            <w:fldChar w:fldCharType="separate"/>
          </w:r>
          <w:r>
            <w:rPr>
              <w:rFonts w:hint="eastAsia" w:ascii="仿宋" w:hAnsi="仿宋" w:eastAsia="仿宋" w:cs="仿宋"/>
              <w:szCs w:val="28"/>
              <w:highlight w:val="none"/>
            </w:rPr>
            <w:t>六、服务承诺</w:t>
          </w:r>
          <w:r>
            <w:tab/>
          </w:r>
          <w:r>
            <w:fldChar w:fldCharType="begin"/>
          </w:r>
          <w:r>
            <w:instrText xml:space="preserve"> PAGEREF _Toc28165 \h </w:instrText>
          </w:r>
          <w:r>
            <w:fldChar w:fldCharType="separate"/>
          </w:r>
          <w:r>
            <w:t>62</w:t>
          </w:r>
          <w:r>
            <w:fldChar w:fldCharType="end"/>
          </w:r>
          <w:r>
            <w:rPr>
              <w:color w:val="000000"/>
              <w:highlight w:val="none"/>
            </w:rPr>
            <w:fldChar w:fldCharType="end"/>
          </w:r>
        </w:p>
        <w:p w14:paraId="421BBC7B">
          <w:pPr>
            <w:pStyle w:val="17"/>
            <w:tabs>
              <w:tab w:val="right" w:leader="dot" w:pos="9072"/>
            </w:tabs>
          </w:pPr>
          <w:r>
            <w:rPr>
              <w:color w:val="000000"/>
              <w:highlight w:val="none"/>
            </w:rPr>
            <w:fldChar w:fldCharType="begin"/>
          </w:r>
          <w:r>
            <w:rPr>
              <w:highlight w:val="none"/>
            </w:rPr>
            <w:instrText xml:space="preserve"> HYPERLINK \l _Toc11824 </w:instrText>
          </w:r>
          <w:r>
            <w:rPr>
              <w:highlight w:val="none"/>
            </w:rPr>
            <w:fldChar w:fldCharType="separate"/>
          </w:r>
          <w:r>
            <w:rPr>
              <w:rFonts w:hint="eastAsia" w:ascii="仿宋" w:hAnsi="仿宋" w:eastAsia="仿宋" w:cs="仿宋"/>
              <w:szCs w:val="28"/>
              <w:highlight w:val="none"/>
            </w:rPr>
            <w:t>七、违约责任</w:t>
          </w:r>
          <w:r>
            <w:tab/>
          </w:r>
          <w:r>
            <w:fldChar w:fldCharType="begin"/>
          </w:r>
          <w:r>
            <w:instrText xml:space="preserve"> PAGEREF _Toc11824 \h </w:instrText>
          </w:r>
          <w:r>
            <w:fldChar w:fldCharType="separate"/>
          </w:r>
          <w:r>
            <w:t>62</w:t>
          </w:r>
          <w:r>
            <w:fldChar w:fldCharType="end"/>
          </w:r>
          <w:r>
            <w:rPr>
              <w:color w:val="000000"/>
              <w:highlight w:val="none"/>
            </w:rPr>
            <w:fldChar w:fldCharType="end"/>
          </w:r>
        </w:p>
        <w:p w14:paraId="656F2F34">
          <w:pPr>
            <w:pStyle w:val="17"/>
            <w:tabs>
              <w:tab w:val="right" w:leader="dot" w:pos="9072"/>
            </w:tabs>
          </w:pPr>
          <w:r>
            <w:rPr>
              <w:color w:val="000000"/>
              <w:highlight w:val="none"/>
            </w:rPr>
            <w:fldChar w:fldCharType="begin"/>
          </w:r>
          <w:r>
            <w:rPr>
              <w:highlight w:val="none"/>
            </w:rPr>
            <w:instrText xml:space="preserve"> HYPERLINK \l _Toc18440 </w:instrText>
          </w:r>
          <w:r>
            <w:rPr>
              <w:highlight w:val="none"/>
            </w:rPr>
            <w:fldChar w:fldCharType="separate"/>
          </w:r>
          <w:r>
            <w:rPr>
              <w:rFonts w:hint="eastAsia" w:ascii="仿宋" w:hAnsi="仿宋" w:eastAsia="仿宋" w:cs="仿宋"/>
              <w:szCs w:val="28"/>
              <w:highlight w:val="none"/>
            </w:rPr>
            <w:t>八、争议解决</w:t>
          </w:r>
          <w:r>
            <w:tab/>
          </w:r>
          <w:r>
            <w:fldChar w:fldCharType="begin"/>
          </w:r>
          <w:r>
            <w:instrText xml:space="preserve"> PAGEREF _Toc18440 \h </w:instrText>
          </w:r>
          <w:r>
            <w:fldChar w:fldCharType="separate"/>
          </w:r>
          <w:r>
            <w:t>63</w:t>
          </w:r>
          <w:r>
            <w:fldChar w:fldCharType="end"/>
          </w:r>
          <w:r>
            <w:rPr>
              <w:color w:val="000000"/>
              <w:highlight w:val="none"/>
            </w:rPr>
            <w:fldChar w:fldCharType="end"/>
          </w:r>
        </w:p>
        <w:p w14:paraId="4166E1B9">
          <w:pPr>
            <w:pStyle w:val="17"/>
            <w:tabs>
              <w:tab w:val="right" w:leader="dot" w:pos="9072"/>
            </w:tabs>
          </w:pPr>
          <w:r>
            <w:rPr>
              <w:color w:val="000000"/>
              <w:highlight w:val="none"/>
            </w:rPr>
            <w:fldChar w:fldCharType="begin"/>
          </w:r>
          <w:r>
            <w:rPr>
              <w:highlight w:val="none"/>
            </w:rPr>
            <w:instrText xml:space="preserve"> HYPERLINK \l _Toc9318 </w:instrText>
          </w:r>
          <w:r>
            <w:rPr>
              <w:highlight w:val="none"/>
            </w:rPr>
            <w:fldChar w:fldCharType="separate"/>
          </w:r>
          <w:r>
            <w:rPr>
              <w:rFonts w:hint="eastAsia" w:ascii="仿宋" w:hAnsi="仿宋" w:eastAsia="仿宋" w:cs="仿宋"/>
              <w:szCs w:val="28"/>
              <w:highlight w:val="none"/>
            </w:rPr>
            <w:t>九、采购人和成交供应商的权利义务</w:t>
          </w:r>
          <w:r>
            <w:tab/>
          </w:r>
          <w:r>
            <w:fldChar w:fldCharType="begin"/>
          </w:r>
          <w:r>
            <w:instrText xml:space="preserve"> PAGEREF _Toc9318 \h </w:instrText>
          </w:r>
          <w:r>
            <w:fldChar w:fldCharType="separate"/>
          </w:r>
          <w:r>
            <w:t>63</w:t>
          </w:r>
          <w:r>
            <w:fldChar w:fldCharType="end"/>
          </w:r>
          <w:r>
            <w:rPr>
              <w:color w:val="000000"/>
              <w:highlight w:val="none"/>
            </w:rPr>
            <w:fldChar w:fldCharType="end"/>
          </w:r>
        </w:p>
        <w:p w14:paraId="33D068CC">
          <w:pPr>
            <w:pStyle w:val="17"/>
            <w:tabs>
              <w:tab w:val="right" w:leader="dot" w:pos="9072"/>
            </w:tabs>
          </w:pPr>
          <w:r>
            <w:rPr>
              <w:color w:val="000000"/>
              <w:highlight w:val="none"/>
            </w:rPr>
            <w:fldChar w:fldCharType="begin"/>
          </w:r>
          <w:r>
            <w:rPr>
              <w:highlight w:val="none"/>
            </w:rPr>
            <w:instrText xml:space="preserve"> HYPERLINK \l _Toc9937 </w:instrText>
          </w:r>
          <w:r>
            <w:rPr>
              <w:highlight w:val="none"/>
            </w:rPr>
            <w:fldChar w:fldCharType="separate"/>
          </w:r>
          <w:r>
            <w:rPr>
              <w:rFonts w:hint="eastAsia" w:ascii="仿宋" w:hAnsi="仿宋" w:eastAsia="仿宋" w:cs="仿宋"/>
              <w:szCs w:val="28"/>
              <w:highlight w:val="none"/>
            </w:rPr>
            <w:t>十、合同生效及其他</w:t>
          </w:r>
          <w:r>
            <w:tab/>
          </w:r>
          <w:r>
            <w:fldChar w:fldCharType="begin"/>
          </w:r>
          <w:r>
            <w:instrText xml:space="preserve"> PAGEREF _Toc9937 \h </w:instrText>
          </w:r>
          <w:r>
            <w:fldChar w:fldCharType="separate"/>
          </w:r>
          <w:r>
            <w:t>63</w:t>
          </w:r>
          <w:r>
            <w:fldChar w:fldCharType="end"/>
          </w:r>
          <w:r>
            <w:rPr>
              <w:color w:val="000000"/>
              <w:highlight w:val="none"/>
            </w:rPr>
            <w:fldChar w:fldCharType="end"/>
          </w:r>
        </w:p>
        <w:p w14:paraId="4541F217">
          <w:pPr>
            <w:pStyle w:val="16"/>
            <w:tabs>
              <w:tab w:val="right" w:leader="dot" w:pos="9072"/>
            </w:tabs>
          </w:pPr>
          <w:r>
            <w:rPr>
              <w:color w:val="000000"/>
              <w:highlight w:val="none"/>
            </w:rPr>
            <w:fldChar w:fldCharType="begin"/>
          </w:r>
          <w:r>
            <w:rPr>
              <w:highlight w:val="none"/>
            </w:rPr>
            <w:instrText xml:space="preserve"> HYPERLINK \l _Toc22895 </w:instrText>
          </w:r>
          <w:r>
            <w:rPr>
              <w:highlight w:val="none"/>
            </w:rPr>
            <w:fldChar w:fldCharType="separate"/>
          </w:r>
          <w:r>
            <w:rPr>
              <w:rFonts w:hint="eastAsia" w:ascii="黑体" w:hAnsi="黑体" w:eastAsia="黑体" w:cs="黑体"/>
              <w:bCs w:val="0"/>
              <w:szCs w:val="32"/>
              <w:highlight w:val="none"/>
            </w:rPr>
            <w:t>第五章  响应文件构成及格式</w:t>
          </w:r>
          <w:r>
            <w:tab/>
          </w:r>
          <w:r>
            <w:fldChar w:fldCharType="begin"/>
          </w:r>
          <w:r>
            <w:instrText xml:space="preserve"> PAGEREF _Toc22895 \h </w:instrText>
          </w:r>
          <w:r>
            <w:fldChar w:fldCharType="separate"/>
          </w:r>
          <w:r>
            <w:t>64</w:t>
          </w:r>
          <w:r>
            <w:fldChar w:fldCharType="end"/>
          </w:r>
          <w:r>
            <w:rPr>
              <w:color w:val="000000"/>
              <w:highlight w:val="none"/>
            </w:rPr>
            <w:fldChar w:fldCharType="end"/>
          </w:r>
        </w:p>
        <w:p w14:paraId="023C3A2F">
          <w:pPr>
            <w:pStyle w:val="16"/>
            <w:tabs>
              <w:tab w:val="right" w:leader="dot" w:pos="9072"/>
            </w:tabs>
          </w:pPr>
          <w:r>
            <w:rPr>
              <w:color w:val="000000"/>
              <w:highlight w:val="none"/>
            </w:rPr>
            <w:fldChar w:fldCharType="begin"/>
          </w:r>
          <w:r>
            <w:rPr>
              <w:highlight w:val="none"/>
            </w:rPr>
            <w:instrText xml:space="preserve"> HYPERLINK \l _Toc21157 </w:instrText>
          </w:r>
          <w:r>
            <w:rPr>
              <w:highlight w:val="none"/>
            </w:rPr>
            <w:fldChar w:fldCharType="separate"/>
          </w:r>
          <w:r>
            <w:rPr>
              <w:rFonts w:hint="eastAsia" w:ascii="黑体" w:hAnsi="黑体" w:eastAsia="黑体" w:cs="黑体"/>
              <w:bCs w:val="0"/>
              <w:szCs w:val="32"/>
              <w:highlight w:val="none"/>
            </w:rPr>
            <w:t>第一部分  资格证明文件</w:t>
          </w:r>
          <w:r>
            <w:tab/>
          </w:r>
          <w:r>
            <w:fldChar w:fldCharType="begin"/>
          </w:r>
          <w:r>
            <w:instrText xml:space="preserve"> PAGEREF _Toc21157 \h </w:instrText>
          </w:r>
          <w:r>
            <w:fldChar w:fldCharType="separate"/>
          </w:r>
          <w:r>
            <w:t>67</w:t>
          </w:r>
          <w:r>
            <w:fldChar w:fldCharType="end"/>
          </w:r>
          <w:r>
            <w:rPr>
              <w:color w:val="000000"/>
              <w:highlight w:val="none"/>
            </w:rPr>
            <w:fldChar w:fldCharType="end"/>
          </w:r>
        </w:p>
        <w:p w14:paraId="729F0AA9">
          <w:pPr>
            <w:pStyle w:val="16"/>
            <w:tabs>
              <w:tab w:val="right" w:leader="dot" w:pos="9072"/>
            </w:tabs>
          </w:pPr>
          <w:r>
            <w:rPr>
              <w:color w:val="000000"/>
              <w:highlight w:val="none"/>
            </w:rPr>
            <w:fldChar w:fldCharType="begin"/>
          </w:r>
          <w:r>
            <w:rPr>
              <w:highlight w:val="none"/>
            </w:rPr>
            <w:instrText xml:space="preserve"> HYPERLINK \l _Toc19034 </w:instrText>
          </w:r>
          <w:r>
            <w:rPr>
              <w:highlight w:val="none"/>
            </w:rPr>
            <w:fldChar w:fldCharType="separate"/>
          </w:r>
          <w:r>
            <w:rPr>
              <w:rFonts w:hint="eastAsia" w:ascii="黑体" w:hAnsi="黑体" w:eastAsia="黑体" w:cs="黑体"/>
              <w:bCs w:val="0"/>
              <w:szCs w:val="32"/>
              <w:highlight w:val="none"/>
            </w:rPr>
            <w:t>第二部分  符合性证明文件</w:t>
          </w:r>
          <w:r>
            <w:tab/>
          </w:r>
          <w:r>
            <w:fldChar w:fldCharType="begin"/>
          </w:r>
          <w:r>
            <w:instrText xml:space="preserve"> PAGEREF _Toc19034 \h </w:instrText>
          </w:r>
          <w:r>
            <w:fldChar w:fldCharType="separate"/>
          </w:r>
          <w:r>
            <w:t>78</w:t>
          </w:r>
          <w:r>
            <w:fldChar w:fldCharType="end"/>
          </w:r>
          <w:r>
            <w:rPr>
              <w:color w:val="000000"/>
              <w:highlight w:val="none"/>
            </w:rPr>
            <w:fldChar w:fldCharType="end"/>
          </w:r>
        </w:p>
        <w:p w14:paraId="59BA7852">
          <w:pPr>
            <w:pStyle w:val="16"/>
            <w:tabs>
              <w:tab w:val="right" w:leader="dot" w:pos="9072"/>
            </w:tabs>
          </w:pPr>
          <w:r>
            <w:rPr>
              <w:color w:val="000000"/>
              <w:highlight w:val="none"/>
            </w:rPr>
            <w:fldChar w:fldCharType="begin"/>
          </w:r>
          <w:r>
            <w:rPr>
              <w:highlight w:val="none"/>
            </w:rPr>
            <w:instrText xml:space="preserve"> HYPERLINK \l _Toc21577 </w:instrText>
          </w:r>
          <w:r>
            <w:rPr>
              <w:highlight w:val="none"/>
            </w:rPr>
            <w:fldChar w:fldCharType="separate"/>
          </w:r>
          <w:r>
            <w:rPr>
              <w:rFonts w:hint="eastAsia" w:ascii="黑体" w:hAnsi="黑体" w:eastAsia="黑体" w:cs="黑体"/>
              <w:bCs w:val="0"/>
              <w:szCs w:val="32"/>
              <w:highlight w:val="none"/>
            </w:rPr>
            <w:t>第三部分  响应方案</w:t>
          </w:r>
          <w:r>
            <w:tab/>
          </w:r>
          <w:r>
            <w:fldChar w:fldCharType="begin"/>
          </w:r>
          <w:r>
            <w:instrText xml:space="preserve"> PAGEREF _Toc21577 \h </w:instrText>
          </w:r>
          <w:r>
            <w:fldChar w:fldCharType="separate"/>
          </w:r>
          <w:r>
            <w:t>86</w:t>
          </w:r>
          <w:r>
            <w:fldChar w:fldCharType="end"/>
          </w:r>
          <w:r>
            <w:rPr>
              <w:color w:val="000000"/>
              <w:highlight w:val="none"/>
            </w:rPr>
            <w:fldChar w:fldCharType="end"/>
          </w:r>
        </w:p>
        <w:p w14:paraId="7BAFBC28">
          <w:pPr>
            <w:pStyle w:val="17"/>
            <w:widowControl w:val="0"/>
            <w:tabs>
              <w:tab w:val="right" w:leader="dot" w:pos="9072"/>
            </w:tabs>
            <w:spacing w:after="381" w:afterLines="100" w:line="440" w:lineRule="exact"/>
            <w:ind w:left="0" w:leftChars="0" w:right="566" w:rightChars="200"/>
            <w:jc w:val="both"/>
            <w:outlineLvl w:val="1"/>
            <w:rPr>
              <w:rFonts w:ascii="Calibri Light" w:hAnsi="Calibri Light" w:eastAsia="华文仿宋" w:cs="Calibri Light"/>
              <w:color w:val="000000"/>
              <w:kern w:val="2"/>
              <w:sz w:val="28"/>
              <w:szCs w:val="28"/>
              <w:highlight w:val="none"/>
              <w:lang w:val="en-US" w:eastAsia="zh-CN" w:bidi="ar-SA"/>
            </w:rPr>
          </w:pPr>
          <w:r>
            <w:rPr>
              <w:color w:val="000000"/>
              <w:highlight w:val="none"/>
            </w:rPr>
            <w:fldChar w:fldCharType="end"/>
          </w:r>
        </w:p>
      </w:sdtContent>
    </w:sdt>
    <w:p w14:paraId="13FFE17F">
      <w:pPr>
        <w:widowControl w:val="0"/>
        <w:tabs>
          <w:tab w:val="right" w:leader="hyphen" w:pos="8504"/>
        </w:tabs>
        <w:spacing w:after="381" w:afterLines="100" w:line="440" w:lineRule="exact"/>
        <w:ind w:left="567" w:right="566" w:rightChars="200"/>
        <w:jc w:val="center"/>
        <w:outlineLvl w:val="1"/>
        <w:rPr>
          <w:rFonts w:ascii="Calibri Light" w:hAnsi="Calibri Light" w:eastAsia="华文仿宋" w:cs="Calibri Light"/>
          <w:color w:val="000000"/>
          <w:kern w:val="2"/>
          <w:sz w:val="28"/>
          <w:szCs w:val="28"/>
          <w:highlight w:val="none"/>
          <w:lang w:val="en-US" w:eastAsia="zh-CN" w:bidi="ar-SA"/>
        </w:rPr>
        <w:sectPr>
          <w:headerReference r:id="rId7" w:type="default"/>
          <w:footerReference r:id="rId8" w:type="default"/>
          <w:pgSz w:w="11906" w:h="16838"/>
          <w:pgMar w:top="1417" w:right="1417" w:bottom="1417" w:left="1417" w:header="794" w:footer="992" w:gutter="0"/>
          <w:pgNumType w:start="1"/>
          <w:cols w:space="720" w:num="1"/>
          <w:docGrid w:type="linesAndChars" w:linePitch="381" w:charSpace="704"/>
        </w:sectPr>
      </w:pPr>
    </w:p>
    <w:bookmarkEnd w:id="3"/>
    <w:bookmarkEnd w:id="4"/>
    <w:bookmarkEnd w:id="5"/>
    <w:bookmarkEnd w:id="6"/>
    <w:bookmarkEnd w:id="7"/>
    <w:bookmarkEnd w:id="8"/>
    <w:bookmarkEnd w:id="9"/>
    <w:bookmarkEnd w:id="10"/>
    <w:p w14:paraId="54C2A91D">
      <w:pPr>
        <w:pStyle w:val="2"/>
        <w:widowControl w:val="0"/>
        <w:rPr>
          <w:rFonts w:ascii="黑体" w:hAnsi="黑体" w:eastAsia="黑体" w:cs="黑体"/>
          <w:b w:val="0"/>
          <w:bCs w:val="0"/>
          <w:sz w:val="32"/>
          <w:szCs w:val="32"/>
          <w:highlight w:val="none"/>
        </w:rPr>
      </w:pPr>
      <w:bookmarkStart w:id="11" w:name="_Toc2063"/>
      <w:bookmarkStart w:id="12" w:name="_Toc15328"/>
      <w:bookmarkStart w:id="13" w:name="_Toc15794"/>
      <w:bookmarkStart w:id="14" w:name="_Toc25528"/>
      <w:bookmarkStart w:id="15" w:name="_Toc30094"/>
      <w:bookmarkStart w:id="16" w:name="_Toc13449"/>
      <w:bookmarkStart w:id="17" w:name="_Toc25646"/>
      <w:bookmarkStart w:id="18" w:name="_Toc23498"/>
      <w:bookmarkStart w:id="19" w:name="_Toc31315"/>
      <w:bookmarkStart w:id="20" w:name="_Toc21838"/>
      <w:bookmarkStart w:id="21" w:name="_Toc24842"/>
      <w:bookmarkStart w:id="22" w:name="_Toc17775"/>
      <w:bookmarkStart w:id="23" w:name="_Toc2632"/>
      <w:r>
        <w:rPr>
          <w:rFonts w:hint="eastAsia" w:ascii="黑体" w:hAnsi="黑体" w:eastAsia="黑体" w:cs="黑体"/>
          <w:b w:val="0"/>
          <w:bCs w:val="0"/>
          <w:sz w:val="32"/>
          <w:szCs w:val="32"/>
          <w:highlight w:val="none"/>
        </w:rPr>
        <w:t>第一章  磋商邀请函</w:t>
      </w:r>
      <w:bookmarkEnd w:id="11"/>
      <w:bookmarkEnd w:id="12"/>
      <w:bookmarkEnd w:id="13"/>
      <w:bookmarkEnd w:id="14"/>
      <w:bookmarkEnd w:id="15"/>
      <w:bookmarkEnd w:id="16"/>
      <w:bookmarkEnd w:id="17"/>
      <w:bookmarkEnd w:id="18"/>
      <w:bookmarkEnd w:id="19"/>
      <w:bookmarkEnd w:id="20"/>
      <w:bookmarkEnd w:id="21"/>
      <w:bookmarkEnd w:id="22"/>
      <w:bookmarkEnd w:id="23"/>
    </w:p>
    <w:p w14:paraId="64CC5AE4">
      <w:pPr>
        <w:pStyle w:val="8"/>
        <w:widowControl w:val="0"/>
        <w:spacing w:afterLines="0" w:line="500" w:lineRule="exact"/>
        <w:ind w:firstLine="566" w:firstLineChars="200"/>
        <w:rPr>
          <w:rFonts w:ascii="仿宋" w:hAnsi="仿宋" w:eastAsia="仿宋" w:cs="仿宋"/>
          <w:sz w:val="28"/>
          <w:szCs w:val="28"/>
          <w:highlight w:val="none"/>
        </w:rPr>
      </w:pPr>
      <w:r>
        <w:rPr>
          <w:rFonts w:hint="eastAsia" w:ascii="仿宋" w:hAnsi="仿宋" w:eastAsia="仿宋" w:cs="仿宋"/>
          <w:b/>
          <w:bCs/>
          <w:sz w:val="28"/>
          <w:szCs w:val="28"/>
          <w:highlight w:val="none"/>
        </w:rPr>
        <w:t>陕西省档案馆2026年后库安保物业服务项目</w:t>
      </w:r>
      <w:r>
        <w:rPr>
          <w:rFonts w:hint="eastAsia" w:ascii="仿宋" w:hAnsi="仿宋" w:eastAsia="仿宋" w:cs="仿宋"/>
          <w:sz w:val="28"/>
          <w:szCs w:val="28"/>
          <w:highlight w:val="none"/>
        </w:rPr>
        <w:t>潜在的供应商可在全国公共资源交易平台（陕西省）政府采购交易系统获取磋商文件，并于2026-</w:t>
      </w:r>
      <w:r>
        <w:rPr>
          <w:rFonts w:hint="eastAsia" w:ascii="仿宋" w:hAnsi="仿宋" w:eastAsia="仿宋" w:cs="仿宋"/>
          <w:sz w:val="28"/>
          <w:szCs w:val="28"/>
          <w:highlight w:val="none"/>
          <w:lang w:val="en-US" w:eastAsia="zh-CN"/>
        </w:rPr>
        <w:t>04</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23</w:t>
      </w:r>
      <w:r>
        <w:rPr>
          <w:rFonts w:hint="eastAsia" w:ascii="仿宋" w:hAnsi="仿宋" w:eastAsia="仿宋" w:cs="仿宋"/>
          <w:sz w:val="28"/>
          <w:szCs w:val="28"/>
          <w:highlight w:val="none"/>
        </w:rPr>
        <w:t xml:space="preserve"> 09:30:00前递交响应文件。</w:t>
      </w:r>
    </w:p>
    <w:p w14:paraId="1A00ED28">
      <w:pPr>
        <w:widowControl w:val="0"/>
        <w:spacing w:line="500" w:lineRule="exact"/>
        <w:ind w:firstLine="560" w:firstLineChars="200"/>
        <w:rPr>
          <w:rFonts w:ascii="仿宋" w:hAnsi="仿宋" w:eastAsia="仿宋" w:cs="仿宋"/>
          <w:b/>
          <w:bCs/>
          <w:color w:val="000000"/>
          <w:highlight w:val="none"/>
        </w:rPr>
      </w:pPr>
      <w:r>
        <w:rPr>
          <w:rFonts w:hint="eastAsia" w:ascii="仿宋" w:hAnsi="仿宋" w:eastAsia="仿宋" w:cs="仿宋"/>
          <w:b/>
          <w:bCs/>
          <w:color w:val="000000"/>
          <w:w w:val="99"/>
          <w:highlight w:val="none"/>
        </w:rPr>
        <w:t>一、项目名称</w:t>
      </w:r>
      <w:r>
        <w:rPr>
          <w:rFonts w:hint="eastAsia" w:ascii="仿宋" w:hAnsi="仿宋" w:eastAsia="仿宋" w:cs="仿宋"/>
          <w:color w:val="000000"/>
          <w:w w:val="99"/>
          <w:highlight w:val="none"/>
        </w:rPr>
        <w:t>：</w:t>
      </w:r>
      <w:r>
        <w:rPr>
          <w:rFonts w:hint="eastAsia" w:ascii="仿宋" w:hAnsi="仿宋" w:eastAsia="仿宋" w:cs="仿宋"/>
          <w:color w:val="000000"/>
          <w:highlight w:val="none"/>
        </w:rPr>
        <w:t>陕西省档案馆2026年后库安保物业服务项目</w:t>
      </w:r>
    </w:p>
    <w:p w14:paraId="178C870B">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b/>
          <w:bCs/>
          <w:color w:val="000000"/>
          <w:highlight w:val="none"/>
        </w:rPr>
        <w:t>二、项目编号</w:t>
      </w:r>
      <w:r>
        <w:rPr>
          <w:rFonts w:hint="eastAsia" w:ascii="仿宋" w:hAnsi="仿宋" w:eastAsia="仿宋" w:cs="仿宋"/>
          <w:color w:val="000000"/>
          <w:highlight w:val="none"/>
        </w:rPr>
        <w:t>：SNCG-FM-2026032</w:t>
      </w:r>
    </w:p>
    <w:p w14:paraId="7F2FAA61">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b/>
          <w:bCs/>
          <w:color w:val="000000"/>
          <w:highlight w:val="none"/>
        </w:rPr>
        <w:t>三、采购人：</w:t>
      </w:r>
      <w:r>
        <w:rPr>
          <w:rFonts w:hint="eastAsia" w:ascii="仿宋" w:hAnsi="仿宋" w:eastAsia="仿宋" w:cs="仿宋"/>
          <w:color w:val="000000"/>
          <w:highlight w:val="none"/>
        </w:rPr>
        <w:t>陕西省档案馆</w:t>
      </w:r>
    </w:p>
    <w:p w14:paraId="5E137654">
      <w:pPr>
        <w:pStyle w:val="26"/>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地址：宝鸡市凤县双石铺镇桥头庄村41所</w:t>
      </w:r>
    </w:p>
    <w:p w14:paraId="00C895AA">
      <w:pPr>
        <w:pStyle w:val="26"/>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联系人：安老师</w:t>
      </w:r>
    </w:p>
    <w:p w14:paraId="61BFC44B">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联系方式：0917-4762416</w:t>
      </w:r>
    </w:p>
    <w:p w14:paraId="3535E3DF">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b/>
          <w:bCs/>
          <w:color w:val="000000"/>
          <w:highlight w:val="none"/>
        </w:rPr>
        <w:t>四、采购代理机构</w:t>
      </w:r>
      <w:r>
        <w:rPr>
          <w:rFonts w:hint="eastAsia" w:ascii="仿宋" w:hAnsi="仿宋" w:eastAsia="仿宋" w:cs="仿宋"/>
          <w:color w:val="000000"/>
          <w:highlight w:val="none"/>
        </w:rPr>
        <w:t>：</w:t>
      </w:r>
      <w:r>
        <w:rPr>
          <w:rFonts w:hint="eastAsia" w:ascii="仿宋" w:hAnsi="仿宋" w:eastAsia="仿宋" w:cs="仿宋"/>
          <w:color w:val="000000"/>
          <w:highlight w:val="none"/>
          <w:lang w:val="zh-CN"/>
        </w:rPr>
        <w:t>陕西省省级单位政府采购中心</w:t>
      </w:r>
    </w:p>
    <w:p w14:paraId="0C1A3566">
      <w:pPr>
        <w:pStyle w:val="26"/>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地址：西安市碑林区长安北路</w:t>
      </w:r>
      <w:r>
        <w:rPr>
          <w:rFonts w:ascii="仿宋" w:hAnsi="仿宋" w:eastAsia="仿宋" w:cs="仿宋"/>
          <w:color w:val="000000"/>
          <w:highlight w:val="none"/>
        </w:rPr>
        <w:t>14</w:t>
      </w:r>
      <w:r>
        <w:rPr>
          <w:rFonts w:hint="eastAsia" w:ascii="仿宋" w:hAnsi="仿宋" w:eastAsia="仿宋" w:cs="仿宋"/>
          <w:color w:val="000000"/>
          <w:highlight w:val="none"/>
        </w:rPr>
        <w:t>号</w:t>
      </w:r>
    </w:p>
    <w:p w14:paraId="3325249E">
      <w:pPr>
        <w:pStyle w:val="26"/>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联系人：胡老师</w:t>
      </w:r>
    </w:p>
    <w:p w14:paraId="6F278098">
      <w:pPr>
        <w:pStyle w:val="26"/>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联系方式：</w:t>
      </w:r>
      <w:r>
        <w:rPr>
          <w:rFonts w:ascii="仿宋" w:hAnsi="仿宋" w:eastAsia="仿宋" w:cs="仿宋"/>
          <w:color w:val="000000"/>
          <w:highlight w:val="none"/>
        </w:rPr>
        <w:t>029-886612</w:t>
      </w:r>
      <w:r>
        <w:rPr>
          <w:rFonts w:hint="eastAsia" w:ascii="仿宋" w:hAnsi="仿宋" w:eastAsia="仿宋" w:cs="仿宋"/>
          <w:color w:val="000000"/>
          <w:highlight w:val="none"/>
        </w:rPr>
        <w:t>94</w:t>
      </w:r>
    </w:p>
    <w:p w14:paraId="183BEDEE">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b/>
          <w:bCs/>
          <w:color w:val="000000"/>
          <w:highlight w:val="none"/>
        </w:rPr>
        <w:t>五、磋商内容和要求</w:t>
      </w:r>
    </w:p>
    <w:p w14:paraId="5AE6F987">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本项目为陕西省档案馆2026年后库安保物业服务项目。（详见磋商文件第三章磋商内容及采购要求）。</w:t>
      </w:r>
    </w:p>
    <w:p w14:paraId="713E47F4">
      <w:pPr>
        <w:widowControl w:val="0"/>
        <w:spacing w:line="500" w:lineRule="exact"/>
        <w:ind w:firstLine="566" w:firstLineChars="200"/>
        <w:rPr>
          <w:rFonts w:ascii="仿宋" w:hAnsi="仿宋" w:eastAsia="仿宋" w:cs="仿宋"/>
          <w:b/>
          <w:bCs/>
          <w:color w:val="000000"/>
          <w:highlight w:val="none"/>
        </w:rPr>
      </w:pPr>
      <w:r>
        <w:rPr>
          <w:rFonts w:hint="eastAsia" w:ascii="仿宋" w:hAnsi="仿宋" w:eastAsia="仿宋" w:cs="仿宋"/>
          <w:b/>
          <w:bCs/>
          <w:color w:val="000000"/>
          <w:highlight w:val="none"/>
        </w:rPr>
        <w:t>六、资金来源</w:t>
      </w:r>
      <w:r>
        <w:rPr>
          <w:rFonts w:hint="eastAsia" w:ascii="仿宋" w:hAnsi="仿宋" w:eastAsia="仿宋" w:cs="仿宋"/>
          <w:color w:val="000000"/>
          <w:highlight w:val="none"/>
        </w:rPr>
        <w:t>：预算内</w:t>
      </w:r>
    </w:p>
    <w:p w14:paraId="12953D25">
      <w:pPr>
        <w:widowControl w:val="0"/>
        <w:wordWrap w:val="0"/>
        <w:spacing w:line="500" w:lineRule="exact"/>
        <w:ind w:firstLine="566" w:firstLineChars="200"/>
        <w:rPr>
          <w:rFonts w:ascii="仿宋" w:hAnsi="仿宋" w:eastAsia="仿宋" w:cs="仿宋"/>
          <w:color w:val="000000"/>
          <w:highlight w:val="none"/>
        </w:rPr>
      </w:pPr>
      <w:r>
        <w:rPr>
          <w:rFonts w:hint="eastAsia" w:ascii="仿宋" w:hAnsi="仿宋" w:eastAsia="仿宋" w:cs="仿宋"/>
          <w:b/>
          <w:bCs/>
          <w:color w:val="000000"/>
          <w:highlight w:val="none"/>
        </w:rPr>
        <w:t>七、采购预算：</w:t>
      </w:r>
      <w:r>
        <w:rPr>
          <w:rFonts w:hint="eastAsia" w:ascii="仿宋" w:hAnsi="仿宋" w:eastAsia="仿宋" w:cs="仿宋"/>
          <w:color w:val="000000"/>
          <w:highlight w:val="none"/>
        </w:rPr>
        <w:t>103.1万元</w:t>
      </w:r>
    </w:p>
    <w:p w14:paraId="620917A2">
      <w:pPr>
        <w:widowControl w:val="0"/>
        <w:spacing w:line="500" w:lineRule="exact"/>
        <w:ind w:firstLine="566" w:firstLineChars="200"/>
        <w:rPr>
          <w:rFonts w:ascii="仿宋" w:hAnsi="仿宋" w:eastAsia="仿宋" w:cs="仿宋"/>
          <w:b/>
          <w:bCs/>
          <w:color w:val="000000"/>
          <w:highlight w:val="none"/>
        </w:rPr>
      </w:pPr>
      <w:r>
        <w:rPr>
          <w:rFonts w:hint="eastAsia" w:ascii="仿宋" w:hAnsi="仿宋" w:eastAsia="仿宋" w:cs="仿宋"/>
          <w:b/>
          <w:bCs/>
          <w:color w:val="000000"/>
          <w:highlight w:val="none"/>
        </w:rPr>
        <w:t>八、所属行业：</w:t>
      </w:r>
      <w:r>
        <w:rPr>
          <w:rFonts w:hint="eastAsia" w:ascii="仿宋" w:hAnsi="仿宋" w:eastAsia="仿宋" w:cs="仿宋"/>
          <w:color w:val="000000"/>
          <w:highlight w:val="none"/>
        </w:rPr>
        <w:t>物业管理</w:t>
      </w:r>
    </w:p>
    <w:p w14:paraId="2DA7366D">
      <w:pPr>
        <w:widowControl w:val="0"/>
        <w:spacing w:line="500" w:lineRule="exact"/>
        <w:ind w:firstLine="566" w:firstLineChars="200"/>
        <w:rPr>
          <w:rFonts w:ascii="仿宋" w:hAnsi="仿宋" w:eastAsia="仿宋" w:cs="仿宋"/>
          <w:b/>
          <w:bCs/>
          <w:color w:val="000000"/>
          <w:highlight w:val="none"/>
        </w:rPr>
      </w:pPr>
      <w:r>
        <w:rPr>
          <w:rFonts w:hint="eastAsia" w:ascii="仿宋" w:hAnsi="仿宋" w:eastAsia="仿宋" w:cs="仿宋"/>
          <w:b/>
          <w:bCs/>
          <w:color w:val="000000"/>
          <w:highlight w:val="none"/>
        </w:rPr>
        <w:t>九、项目属性：</w:t>
      </w:r>
      <w:r>
        <w:rPr>
          <w:rFonts w:hint="eastAsia" w:ascii="仿宋" w:hAnsi="仿宋" w:eastAsia="仿宋" w:cs="仿宋"/>
          <w:color w:val="000000"/>
          <w:highlight w:val="none"/>
        </w:rPr>
        <w:t>服务类</w:t>
      </w:r>
    </w:p>
    <w:p w14:paraId="47FEC75C">
      <w:pPr>
        <w:widowControl w:val="0"/>
        <w:spacing w:line="500" w:lineRule="exact"/>
        <w:ind w:firstLine="566" w:firstLineChars="200"/>
        <w:rPr>
          <w:rFonts w:ascii="仿宋" w:hAnsi="仿宋" w:eastAsia="仿宋" w:cs="仿宋"/>
          <w:b/>
          <w:bCs/>
          <w:color w:val="000000"/>
          <w:highlight w:val="none"/>
        </w:rPr>
      </w:pPr>
      <w:r>
        <w:rPr>
          <w:rFonts w:hint="eastAsia" w:ascii="仿宋" w:hAnsi="仿宋" w:eastAsia="仿宋" w:cs="仿宋"/>
          <w:b/>
          <w:bCs/>
          <w:color w:val="000000"/>
          <w:highlight w:val="none"/>
        </w:rPr>
        <w:t>十、供应商资格要求</w:t>
      </w:r>
    </w:p>
    <w:p w14:paraId="7EABF6C1">
      <w:pPr>
        <w:widowControl w:val="0"/>
        <w:spacing w:line="500" w:lineRule="exact"/>
        <w:ind w:firstLine="566" w:firstLineChars="200"/>
        <w:rPr>
          <w:rFonts w:ascii="仿宋" w:hAnsi="仿宋" w:eastAsia="仿宋" w:cs="仿宋"/>
          <w:color w:val="000000"/>
          <w:kern w:val="0"/>
          <w:highlight w:val="none"/>
          <w:lang w:val="zh-CN"/>
        </w:rPr>
      </w:pPr>
      <w:r>
        <w:rPr>
          <w:rFonts w:hint="eastAsia" w:ascii="仿宋" w:hAnsi="仿宋" w:eastAsia="仿宋" w:cs="仿宋"/>
          <w:color w:val="000000"/>
          <w:highlight w:val="none"/>
        </w:rPr>
        <w:t>符合《中华人民共和国政府采购法》第二十二条的规定，</w:t>
      </w:r>
      <w:r>
        <w:rPr>
          <w:rFonts w:hint="eastAsia" w:ascii="仿宋" w:hAnsi="仿宋" w:eastAsia="仿宋" w:cs="仿宋"/>
          <w:color w:val="000000"/>
          <w:kern w:val="0"/>
          <w:highlight w:val="none"/>
          <w:lang w:val="zh-CN"/>
        </w:rPr>
        <w:t>并提供下列材料：</w:t>
      </w:r>
    </w:p>
    <w:p w14:paraId="31ACDC78">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1、营业执照等主体资格证明文件：提供有效存续的企业营业执照（副本）/事业单位法人证书/专业服务机构执业许可证/民办非企业单位登记证书。</w:t>
      </w:r>
    </w:p>
    <w:p w14:paraId="3194A03B">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2、财务状况报告（以下两种资料提供任意一种即可）：</w:t>
      </w:r>
    </w:p>
    <w:p w14:paraId="45E8E5D9">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提供递交响应文件截止之日前两年内任意一个年度经审计的财务报告（包括“四表一注”，即资产负债表、利润表、现金流量表、所有者权益变动表及其附注，符合《中小企业划型标准规定》的小型企业按照《小企业会计准则》执行。成立时间至提交响应文件截止时间不足一年的可提供成立后任意时段的资产负债表），审计报告须具有注册会计师行业统一监管平台赋予的验证码；</w:t>
      </w:r>
    </w:p>
    <w:p w14:paraId="16DA0B5F">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（2）其开标前三个月内基本开户银行出具的资信证明。</w:t>
      </w:r>
    </w:p>
    <w:p w14:paraId="76DB40B6">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3、社保缴纳证明：提供递交响应文件截止之日前一年内任意一个月的社会保障资金缴存单据或社保机构开具的社会保险参保缴费情况证明。依法不需要缴纳社会保障资金的供应商应提供相关文件证明。</w:t>
      </w:r>
    </w:p>
    <w:p w14:paraId="19198186">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4、税收缴纳证明：提供递交响应文件截止之日前一年内任意一个月的依法缴纳税收的完税证明，完税证明应有税务机关或代收机关的公章或业务专用章。依法免税或无须缴纳税收的供应商，应提供相应证明文件。</w:t>
      </w:r>
    </w:p>
    <w:p w14:paraId="557D1EFD">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5、信用记录：提供《供应商信用记录书面声明函》。经查，供应商未被列入“信用中国”网站记录的“失信被执行人”或“重大税收违法案件当事人”名单；不处于“中国政府采购网”记录的“政府采购严重违法失信行为记录名单”中的禁止参加政府采购活动期间。</w:t>
      </w:r>
    </w:p>
    <w:p w14:paraId="406EBA17">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6、控股管理关系：提供直接控股和管理关系清单。若与其他供应商存在单位负责人为同一人或者存在直接控股、管理关系的，则磋商无效。</w:t>
      </w:r>
    </w:p>
    <w:p w14:paraId="067C9CD4">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7、书面声明：提供书面声明，包括声明具有履行合同所必需的设备和专业技术能力；未为本项目提供整体设计、规范编制或者项目管理、监理、检测等服务。</w:t>
      </w:r>
    </w:p>
    <w:p w14:paraId="628235C5">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8、法定代表人授权委托书：法定代表人参加磋商的，须提供本人身份证复印件（附在资格证明文件中）；法定代表人授权他人参加磋商的，须提供法定代表人授权委托书。磋商文件中凡是需要法定代表人盖章之处，非法人单位的负责人均参照执行。</w:t>
      </w:r>
    </w:p>
    <w:p w14:paraId="4130D298">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法人的分支机构参与磋商时，除提供《法定代表人授权委托书》外，还须同时提供法人给分支机构出具的授权书。</w:t>
      </w:r>
    </w:p>
    <w:p w14:paraId="6F1751B4">
      <w:pPr>
        <w:keepNext/>
        <w:keepLines/>
        <w:spacing w:line="500" w:lineRule="exact"/>
        <w:ind w:firstLine="566" w:firstLineChars="200"/>
        <w:rPr>
          <w:rFonts w:ascii="仿宋" w:hAnsi="仿宋" w:eastAsia="仿宋" w:cs="仿宋"/>
          <w:b/>
          <w:bCs/>
          <w:color w:val="000000"/>
          <w:highlight w:val="none"/>
        </w:rPr>
      </w:pPr>
      <w:r>
        <w:rPr>
          <w:rFonts w:hint="eastAsia" w:ascii="仿宋" w:hAnsi="仿宋" w:eastAsia="仿宋" w:cs="仿宋"/>
          <w:b/>
          <w:bCs/>
          <w:color w:val="000000"/>
          <w:highlight w:val="none"/>
        </w:rPr>
        <w:t>9、落实政府采购政策须满足的资格要求</w:t>
      </w:r>
    </w:p>
    <w:p w14:paraId="16A3A4EB">
      <w:pPr>
        <w:widowControl w:val="0"/>
        <w:spacing w:line="500" w:lineRule="exact"/>
        <w:ind w:firstLine="566" w:firstLineChars="200"/>
        <w:rPr>
          <w:rFonts w:ascii="仿宋" w:hAnsi="仿宋" w:eastAsia="仿宋" w:cs="仿宋"/>
          <w:b/>
          <w:bCs/>
          <w:color w:val="000000"/>
          <w:highlight w:val="none"/>
        </w:rPr>
      </w:pPr>
      <w:r>
        <w:rPr>
          <w:rFonts w:hint="eastAsia" w:ascii="仿宋" w:hAnsi="仿宋" w:eastAsia="仿宋" w:cs="仿宋"/>
          <w:b/>
          <w:bCs/>
          <w:color w:val="000000"/>
          <w:highlight w:val="none"/>
        </w:rPr>
        <w:t>本项目为专门面向中小企业项目</w:t>
      </w:r>
      <w:r>
        <w:rPr>
          <w:rFonts w:hint="eastAsia" w:ascii="仿宋" w:hAnsi="仿宋" w:eastAsia="仿宋" w:cs="仿宋"/>
          <w:color w:val="000000"/>
          <w:highlight w:val="none"/>
        </w:rPr>
        <w:t>，</w:t>
      </w:r>
      <w:r>
        <w:rPr>
          <w:rFonts w:hint="eastAsia" w:ascii="仿宋" w:hAnsi="仿宋" w:eastAsia="仿宋" w:cs="仿宋"/>
          <w:b/>
          <w:bCs/>
          <w:color w:val="000000"/>
          <w:highlight w:val="none"/>
        </w:rPr>
        <w:t>供应商应为中型企业、小型企业、微型企业或监狱企业或残疾人福利性单位。</w:t>
      </w:r>
      <w:r>
        <w:rPr>
          <w:rFonts w:hint="eastAsia" w:ascii="仿宋" w:hAnsi="仿宋" w:eastAsia="仿宋" w:cs="仿宋"/>
          <w:color w:val="000000"/>
          <w:highlight w:val="none"/>
        </w:rPr>
        <w:t>供应商为中小企业的，提供《中小企业声明函》，且中小企业的划分标准所属行业为</w:t>
      </w:r>
      <w:r>
        <w:rPr>
          <w:rFonts w:hint="eastAsia" w:ascii="仿宋" w:hAnsi="仿宋" w:eastAsia="仿宋" w:cs="仿宋"/>
          <w:b/>
          <w:bCs/>
          <w:color w:val="000000"/>
          <w:highlight w:val="none"/>
        </w:rPr>
        <w:t>物业管理</w:t>
      </w:r>
      <w:r>
        <w:rPr>
          <w:rFonts w:hint="eastAsia" w:ascii="仿宋" w:hAnsi="仿宋" w:eastAsia="仿宋" w:cs="仿宋"/>
          <w:color w:val="000000"/>
          <w:highlight w:val="none"/>
        </w:rPr>
        <w:t>；供应商为监狱企业的，应提供监狱企业的证明文件；供应商为残疾人福利性单位的，应提供《残疾人福利性单位声明函》（监狱企业或残疾人福利性单位视同小型、微型企业）。</w:t>
      </w:r>
    </w:p>
    <w:p w14:paraId="7FF50E64">
      <w:pPr>
        <w:spacing w:line="500" w:lineRule="exact"/>
        <w:ind w:firstLine="566" w:firstLineChars="200"/>
        <w:rPr>
          <w:rFonts w:ascii="仿宋" w:hAnsi="仿宋" w:eastAsia="仿宋" w:cs="仿宋"/>
          <w:b/>
          <w:bCs/>
          <w:color w:val="000000"/>
          <w:highlight w:val="none"/>
        </w:rPr>
      </w:pPr>
      <w:r>
        <w:rPr>
          <w:rFonts w:hint="eastAsia" w:ascii="仿宋" w:hAnsi="仿宋" w:eastAsia="仿宋" w:cs="仿宋"/>
          <w:b/>
          <w:bCs/>
          <w:color w:val="000000"/>
          <w:highlight w:val="none"/>
        </w:rPr>
        <w:t>10、特定资格要求</w:t>
      </w:r>
    </w:p>
    <w:p w14:paraId="49B5B355">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本项目采购内容以物业服务为主，其中涉及保安服务的，须以承诺书形式提供以下资料（承诺书格式不限），以下两种形式提供其中任意一种均可：</w:t>
      </w:r>
    </w:p>
    <w:p w14:paraId="41A808C4">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（1）自行招用保安员的供应商须承诺：自承接本项目之日起30日内，向采购人所在地设区的市级人民政府公安机关备案。</w:t>
      </w:r>
    </w:p>
    <w:p w14:paraId="3CF95D12">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（2）从保安服务公司购买保安服务的供应商须承诺：成交后7日内，与保安服务公司签订保安服务合同，明确规定服务的项目、内容以及双方的权利义务，以满足本项目采购人的保安服务需求。</w:t>
      </w:r>
    </w:p>
    <w:p w14:paraId="1F234126">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b/>
          <w:bCs/>
          <w:color w:val="000000"/>
          <w:highlight w:val="none"/>
        </w:rPr>
        <w:t>11、本项目</w:t>
      </w:r>
      <w:r>
        <w:rPr>
          <w:rFonts w:hint="eastAsia" w:ascii="仿宋" w:hAnsi="仿宋" w:eastAsia="仿宋" w:cs="仿宋"/>
          <w:b/>
          <w:bCs/>
          <w:color w:val="000000"/>
          <w:kern w:val="0"/>
          <w:highlight w:val="none"/>
        </w:rPr>
        <w:t>不接受</w:t>
      </w:r>
      <w:r>
        <w:rPr>
          <w:rFonts w:hint="eastAsia" w:ascii="仿宋" w:hAnsi="仿宋" w:eastAsia="仿宋" w:cs="仿宋"/>
          <w:b/>
          <w:bCs/>
          <w:color w:val="000000"/>
          <w:highlight w:val="none"/>
        </w:rPr>
        <w:t>联合体响应，不允许分包。</w:t>
      </w:r>
      <w:r>
        <w:rPr>
          <w:rFonts w:hint="eastAsia" w:ascii="仿宋" w:hAnsi="仿宋" w:eastAsia="仿宋" w:cs="仿宋"/>
          <w:color w:val="000000"/>
          <w:highlight w:val="none"/>
        </w:rPr>
        <w:t>供应商应提供《非联合体不分包投标声明》，视为独立响应，不分包。</w:t>
      </w:r>
    </w:p>
    <w:p w14:paraId="7A4239E1">
      <w:pPr>
        <w:widowControl w:val="0"/>
        <w:spacing w:line="360" w:lineRule="exact"/>
        <w:ind w:firstLine="426" w:firstLineChars="200"/>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备注：</w:t>
      </w:r>
    </w:p>
    <w:p w14:paraId="1A13C43A">
      <w:pPr>
        <w:widowControl w:val="0"/>
        <w:spacing w:line="360" w:lineRule="exact"/>
        <w:ind w:firstLine="426" w:firstLineChars="200"/>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1、以上资格要求均为必备资格，需提供相关证明文件并加盖供应商公章（如相关证明材料由第三方出具，应有第三方公章），缺少其中任何一项，其响应文件视为无效文件。</w:t>
      </w:r>
    </w:p>
    <w:p w14:paraId="6675DFFD">
      <w:pPr>
        <w:widowControl w:val="0"/>
        <w:spacing w:line="360" w:lineRule="exact"/>
        <w:ind w:firstLine="426" w:firstLineChars="200"/>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2、《供应商信用记录书面声明函》《控股管理关系》《书面声明》《法定代表人授权委托书》《残疾人福利性单位声明函》《非联合体不分包投标声明》应按磋商文件第五章第一部分给定的格式填写。</w:t>
      </w:r>
    </w:p>
    <w:p w14:paraId="1C2F59F3">
      <w:pPr>
        <w:widowControl w:val="0"/>
        <w:spacing w:line="360" w:lineRule="exact"/>
        <w:ind w:firstLine="426" w:firstLineChars="200"/>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3、法人的分支机构参与磋商时，响应文件中应附法人给分支机构出具的授权书。授权书附在《法定代表人授权委托书》后，如无授权，将被视为无效文件。法人只能授权一家分支机构参与磋商，且不能与分支机构同时参与磋商。</w:t>
      </w:r>
    </w:p>
    <w:p w14:paraId="4F90B1F3">
      <w:pPr>
        <w:widowControl w:val="0"/>
        <w:spacing w:line="360" w:lineRule="exact"/>
        <w:ind w:firstLine="426" w:firstLineChars="200"/>
        <w:rPr>
          <w:rFonts w:ascii="华文仿宋" w:hAnsi="华文仿宋" w:cs="华文仿宋"/>
          <w:color w:val="000000"/>
          <w:highlight w:val="none"/>
        </w:rPr>
      </w:pPr>
      <w:r>
        <w:rPr>
          <w:rFonts w:hint="eastAsia" w:ascii="宋体" w:hAnsi="宋体" w:eastAsia="宋体" w:cs="宋体"/>
          <w:color w:val="000000"/>
          <w:sz w:val="21"/>
          <w:szCs w:val="21"/>
          <w:highlight w:val="none"/>
        </w:rPr>
        <w:t>4、事业单位法人参与磋商可不提供财务状况报告和社会保障资金缴纳证明及税收缴纳证明。</w:t>
      </w:r>
    </w:p>
    <w:p w14:paraId="37255DEF">
      <w:pPr>
        <w:widowControl w:val="0"/>
        <w:spacing w:line="500" w:lineRule="exact"/>
        <w:ind w:firstLine="566" w:firstLineChars="200"/>
        <w:rPr>
          <w:rFonts w:ascii="仿宋" w:hAnsi="仿宋" w:eastAsia="仿宋" w:cs="仿宋"/>
          <w:b/>
          <w:bCs/>
          <w:color w:val="000000"/>
          <w:highlight w:val="none"/>
        </w:rPr>
      </w:pPr>
      <w:r>
        <w:rPr>
          <w:rFonts w:hint="eastAsia" w:ascii="仿宋" w:hAnsi="仿宋" w:eastAsia="仿宋" w:cs="仿宋"/>
          <w:b/>
          <w:bCs/>
          <w:color w:val="000000"/>
          <w:highlight w:val="none"/>
        </w:rPr>
        <w:t>十一、执行的其他政府采购政策</w:t>
      </w:r>
    </w:p>
    <w:p w14:paraId="3272F96B">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1、《关于在政府采购活动中查询及使用信用记录有关问题的通知》（财库〔2016〕125号）。</w:t>
      </w:r>
    </w:p>
    <w:p w14:paraId="16689539">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政府采购促进中小企业发展管理办法》（财库〔2020〕46号）、《关于政府采购支持监狱企业发展有关问题的通知》（财库〔2014〕68号）以及《关于促进残疾人就业政府采购政策的通知》（财库〔2017〕141号）。</w:t>
      </w:r>
    </w:p>
    <w:p w14:paraId="3C3C1A4D">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3、国务院办公厅《关于建立政府强制采购节能产品制度的通知》（国办发〔2007〕51号）。财政部、国家发改委、生态环境部、市场监管总局联合印发《关于调整优化节能产品、环境标志产品政府采购执行机制的通知》（财库〔2019〕9号）。</w:t>
      </w:r>
    </w:p>
    <w:p w14:paraId="2E03A950">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4、《财政部 农业农村部 国家乡村振兴局关于运用政府采购政策支持乡村产业振兴的通知》（财库〔2021〕19号）、《财政部 农业农村部 国家乡村振兴局 中华全国供销合作总社关于印发&lt;关于深入开展政府采购脱贫地区农副产品工作推进乡村产业振兴的实施意见&gt;的通知》（财库〔2021〕20号）。</w:t>
      </w:r>
    </w:p>
    <w:p w14:paraId="1B9C325F">
      <w:pPr>
        <w:pStyle w:val="8"/>
        <w:widowControl w:val="0"/>
        <w:spacing w:afterLines="0" w:line="500" w:lineRule="exact"/>
        <w:ind w:firstLine="566" w:firstLineChars="200"/>
        <w:rPr>
          <w:rFonts w:ascii="仿宋" w:hAnsi="仿宋" w:eastAsia="仿宋" w:cs="仿宋"/>
          <w:sz w:val="28"/>
          <w:szCs w:val="28"/>
          <w:highlight w:val="none"/>
        </w:rPr>
      </w:pPr>
      <w:r>
        <w:rPr>
          <w:rFonts w:hint="eastAsia" w:ascii="仿宋" w:hAnsi="仿宋" w:eastAsia="仿宋" w:cs="仿宋"/>
          <w:sz w:val="28"/>
          <w:szCs w:val="28"/>
          <w:highlight w:val="none"/>
        </w:rPr>
        <w:t>5、《陕西省财政厅关于加快推进我省中小企业政府采购信用融资工作的通知》（陕财办采〔2020〕15号）、陕西省财政厅关于印发《陕西省中小企业政府采购信用融资办法》（陕财办采〔2018〕23号）。</w:t>
      </w:r>
    </w:p>
    <w:p w14:paraId="19B2BCE1">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6、详见《供应商须知》中“落实的政府采购政策”有关内容。</w:t>
      </w:r>
    </w:p>
    <w:p w14:paraId="6AD49DF6">
      <w:pPr>
        <w:widowControl w:val="0"/>
        <w:spacing w:line="500" w:lineRule="exact"/>
        <w:ind w:firstLine="566" w:firstLineChars="200"/>
        <w:rPr>
          <w:rFonts w:ascii="仿宋" w:hAnsi="仿宋" w:eastAsia="仿宋" w:cs="仿宋"/>
          <w:b/>
          <w:bCs/>
          <w:color w:val="000000"/>
          <w:highlight w:val="none"/>
        </w:rPr>
      </w:pPr>
      <w:r>
        <w:rPr>
          <w:rFonts w:hint="eastAsia" w:ascii="仿宋" w:hAnsi="仿宋" w:eastAsia="仿宋" w:cs="仿宋"/>
          <w:b/>
          <w:bCs/>
          <w:color w:val="000000"/>
          <w:highlight w:val="none"/>
        </w:rPr>
        <w:t>十二、磋商文件获取时间及方式</w:t>
      </w:r>
    </w:p>
    <w:p w14:paraId="350A7FC5">
      <w:pPr>
        <w:widowControl w:val="0"/>
        <w:wordWrap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１、获取方式：供应商可登录全国公共资源交易平台（陕西省）（http://www.sxggzyjy.cn/），选择“电子交易平台—陕西政府采购交易系统—供应商端”进行登录，登录后选择“交易乙方”身份进入供应商界面后，选择有意向的项目点击“我要磋商”，参与磋商活动。然后即可在〖我的项目〗中点击“项目流程&gt;交易文件下载”免费下载电子磋商文件。</w:t>
      </w:r>
    </w:p>
    <w:p w14:paraId="55D2D14F">
      <w:pPr>
        <w:widowControl w:val="0"/>
        <w:wordWrap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供应商初次使用交易平台，须先完成诚信入库登记、数字认证证书（CA锁）认证及供应商信息绑定。相关操作流程详见全国公共资源交易平台（陕西省）网站〖首页·〉服务指南·〉下载专区〗中的《陕西省省级单位电子化政府采购项目磋商指南》。</w:t>
      </w:r>
    </w:p>
    <w:p w14:paraId="3E4FF923">
      <w:pPr>
        <w:widowControl w:val="0"/>
        <w:wordWrap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3、数字认证证书(CA锁)办理详见全国公共资源交易平台(陕西省)网站〖首页·服务指南·)常见问题解答)CA证书办理〗中的《CA办理常见问题解答》，网址:http://www.sxggzyiy.cn/fwzn/004002/004002007/20250108/efdc53a2-c250-44b1-876c-c44ab6c5e66d.htm1。现场办理地址:西安市长安北路14号省公共资源交易中心一楼办理大厅3、4号窗口，咨询电话:029-88661241。</w:t>
      </w:r>
    </w:p>
    <w:p w14:paraId="24019EBE">
      <w:pPr>
        <w:widowControl w:val="0"/>
        <w:spacing w:line="500" w:lineRule="exact"/>
        <w:ind w:firstLine="566" w:firstLineChars="200"/>
        <w:rPr>
          <w:rFonts w:ascii="仿宋" w:hAnsi="仿宋" w:eastAsia="仿宋" w:cs="仿宋"/>
          <w:b/>
          <w:bCs/>
          <w:color w:val="000000"/>
          <w:highlight w:val="none"/>
        </w:rPr>
      </w:pPr>
      <w:bookmarkStart w:id="24" w:name="_Hlk511229508"/>
      <w:r>
        <w:rPr>
          <w:rFonts w:hint="eastAsia" w:ascii="仿宋" w:hAnsi="仿宋" w:eastAsia="仿宋" w:cs="仿宋"/>
          <w:b/>
          <w:bCs/>
          <w:color w:val="000000"/>
          <w:highlight w:val="none"/>
        </w:rPr>
        <w:t>4、获取时间：2026年</w:t>
      </w:r>
      <w:r>
        <w:rPr>
          <w:rFonts w:hint="eastAsia" w:ascii="仿宋" w:hAnsi="仿宋" w:eastAsia="仿宋" w:cs="仿宋"/>
          <w:b/>
          <w:bCs/>
          <w:color w:val="000000"/>
          <w:highlight w:val="none"/>
          <w:lang w:val="en-US" w:eastAsia="zh-CN"/>
        </w:rPr>
        <w:t>04</w:t>
      </w:r>
      <w:r>
        <w:rPr>
          <w:rFonts w:hint="eastAsia" w:ascii="仿宋" w:hAnsi="仿宋" w:eastAsia="仿宋" w:cs="仿宋"/>
          <w:b/>
          <w:bCs/>
          <w:color w:val="000000"/>
          <w:highlight w:val="none"/>
        </w:rPr>
        <w:t>月</w:t>
      </w:r>
      <w:r>
        <w:rPr>
          <w:rFonts w:hint="eastAsia" w:ascii="仿宋" w:hAnsi="仿宋" w:eastAsia="仿宋" w:cs="仿宋"/>
          <w:b/>
          <w:bCs/>
          <w:color w:val="000000"/>
          <w:highlight w:val="none"/>
          <w:lang w:val="en-US" w:eastAsia="zh-CN"/>
        </w:rPr>
        <w:t>09</w:t>
      </w:r>
      <w:r>
        <w:rPr>
          <w:rFonts w:hint="eastAsia" w:ascii="仿宋" w:hAnsi="仿宋" w:eastAsia="仿宋" w:cs="仿宋"/>
          <w:b/>
          <w:bCs/>
          <w:color w:val="000000"/>
          <w:highlight w:val="none"/>
        </w:rPr>
        <w:t>日至2026年</w:t>
      </w:r>
      <w:r>
        <w:rPr>
          <w:rFonts w:hint="eastAsia" w:ascii="仿宋" w:hAnsi="仿宋" w:eastAsia="仿宋" w:cs="仿宋"/>
          <w:b/>
          <w:bCs/>
          <w:color w:val="000000"/>
          <w:highlight w:val="none"/>
          <w:lang w:val="en-US" w:eastAsia="zh-CN"/>
        </w:rPr>
        <w:t>04</w:t>
      </w:r>
      <w:r>
        <w:rPr>
          <w:rFonts w:hint="eastAsia" w:ascii="仿宋" w:hAnsi="仿宋" w:eastAsia="仿宋" w:cs="仿宋"/>
          <w:b/>
          <w:bCs/>
          <w:color w:val="000000"/>
          <w:highlight w:val="none"/>
        </w:rPr>
        <w:t>月</w:t>
      </w:r>
      <w:r>
        <w:rPr>
          <w:rFonts w:hint="eastAsia" w:ascii="仿宋" w:hAnsi="仿宋" w:eastAsia="仿宋" w:cs="仿宋"/>
          <w:b/>
          <w:bCs/>
          <w:color w:val="000000"/>
          <w:highlight w:val="none"/>
          <w:lang w:val="en-US" w:eastAsia="zh-CN"/>
        </w:rPr>
        <w:t>22</w:t>
      </w:r>
      <w:r>
        <w:rPr>
          <w:rFonts w:hint="eastAsia" w:ascii="仿宋" w:hAnsi="仿宋" w:eastAsia="仿宋" w:cs="仿宋"/>
          <w:b/>
          <w:bCs/>
          <w:color w:val="000000"/>
          <w:highlight w:val="none"/>
        </w:rPr>
        <w:t>日，每天上午08:00:00至12:00:00，下午12:00:00至18:00:00（北京时间,法定节假日除外）</w:t>
      </w:r>
    </w:p>
    <w:p w14:paraId="1BB9D484">
      <w:pPr>
        <w:widowControl w:val="0"/>
        <w:spacing w:line="500" w:lineRule="exact"/>
        <w:ind w:firstLine="566" w:firstLineChars="200"/>
        <w:rPr>
          <w:rFonts w:ascii="仿宋" w:hAnsi="仿宋" w:eastAsia="仿宋" w:cs="仿宋"/>
          <w:color w:val="000000"/>
          <w:highlight w:val="none"/>
          <w:lang w:val="zh-CN"/>
        </w:rPr>
      </w:pPr>
      <w:r>
        <w:rPr>
          <w:rFonts w:hint="eastAsia" w:ascii="仿宋" w:hAnsi="仿宋" w:eastAsia="仿宋" w:cs="仿宋"/>
          <w:b/>
          <w:bCs/>
          <w:color w:val="000000"/>
          <w:highlight w:val="none"/>
        </w:rPr>
        <w:t>十三、磋商保证金</w:t>
      </w:r>
    </w:p>
    <w:p w14:paraId="3E23A0DA">
      <w:pPr>
        <w:widowControl w:val="0"/>
        <w:spacing w:line="500" w:lineRule="exact"/>
        <w:ind w:firstLine="566" w:firstLineChars="200"/>
        <w:rPr>
          <w:rFonts w:ascii="仿宋" w:hAnsi="仿宋" w:eastAsia="仿宋" w:cs="仿宋"/>
          <w:b/>
          <w:bCs/>
          <w:color w:val="000000"/>
          <w:highlight w:val="none"/>
        </w:rPr>
      </w:pPr>
      <w:r>
        <w:rPr>
          <w:rFonts w:hint="eastAsia" w:ascii="仿宋" w:hAnsi="仿宋" w:eastAsia="仿宋" w:cs="仿宋"/>
          <w:color w:val="000000"/>
          <w:highlight w:val="none"/>
        </w:rPr>
        <w:t>本项目不收取磋商保证金。</w:t>
      </w:r>
    </w:p>
    <w:p w14:paraId="5C2F8369">
      <w:pPr>
        <w:widowControl w:val="0"/>
        <w:spacing w:line="500" w:lineRule="exact"/>
        <w:ind w:firstLine="566" w:firstLineChars="200"/>
        <w:jc w:val="left"/>
        <w:rPr>
          <w:rFonts w:ascii="仿宋" w:hAnsi="仿宋" w:eastAsia="仿宋" w:cs="仿宋"/>
          <w:color w:val="000000"/>
          <w:highlight w:val="none"/>
        </w:rPr>
      </w:pPr>
      <w:r>
        <w:rPr>
          <w:rFonts w:hint="eastAsia" w:ascii="仿宋" w:hAnsi="仿宋" w:eastAsia="仿宋" w:cs="仿宋"/>
          <w:b/>
          <w:bCs/>
          <w:color w:val="000000"/>
          <w:highlight w:val="none"/>
        </w:rPr>
        <w:t>十四、提交响应文件截止时间及开标时间和地点</w:t>
      </w:r>
    </w:p>
    <w:p w14:paraId="61E880A3">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b/>
          <w:bCs/>
          <w:color w:val="000000"/>
          <w:highlight w:val="none"/>
        </w:rPr>
        <w:t>1、提交响应文件：电子响应文件一份</w:t>
      </w:r>
      <w:r>
        <w:rPr>
          <w:rFonts w:hint="eastAsia" w:ascii="仿宋" w:hAnsi="仿宋" w:eastAsia="仿宋" w:cs="仿宋"/>
          <w:color w:val="000000"/>
          <w:highlight w:val="none"/>
        </w:rPr>
        <w:t>。</w:t>
      </w:r>
    </w:p>
    <w:p w14:paraId="717B614D">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电子响应文件（*.SXSTF）可于提交响应文件截止时间前任意时段登录全国公共资源交易平台（陕西省）网站进行提交，逾期系统将拒绝接收。</w:t>
      </w:r>
    </w:p>
    <w:p w14:paraId="532AB298">
      <w:pPr>
        <w:widowControl w:val="0"/>
        <w:spacing w:line="500" w:lineRule="exact"/>
        <w:ind w:firstLine="566" w:firstLineChars="200"/>
        <w:rPr>
          <w:rFonts w:ascii="仿宋" w:hAnsi="仿宋" w:eastAsia="仿宋" w:cs="仿宋"/>
          <w:b/>
          <w:bCs/>
          <w:color w:val="000000"/>
          <w:highlight w:val="none"/>
        </w:rPr>
      </w:pPr>
      <w:r>
        <w:rPr>
          <w:rFonts w:hint="eastAsia" w:ascii="仿宋" w:hAnsi="仿宋" w:eastAsia="仿宋" w:cs="仿宋"/>
          <w:b/>
          <w:bCs/>
          <w:color w:val="000000"/>
          <w:highlight w:val="none"/>
        </w:rPr>
        <w:t>2、提交响应文件截止时间：2026年</w:t>
      </w:r>
      <w:r>
        <w:rPr>
          <w:rFonts w:hint="eastAsia" w:ascii="仿宋" w:hAnsi="仿宋" w:eastAsia="仿宋" w:cs="仿宋"/>
          <w:b/>
          <w:bCs/>
          <w:color w:val="000000"/>
          <w:highlight w:val="none"/>
          <w:lang w:val="en-US" w:eastAsia="zh-CN"/>
        </w:rPr>
        <w:t>04</w:t>
      </w:r>
      <w:r>
        <w:rPr>
          <w:rFonts w:hint="eastAsia" w:ascii="仿宋" w:hAnsi="仿宋" w:eastAsia="仿宋" w:cs="仿宋"/>
          <w:b/>
          <w:bCs/>
          <w:color w:val="000000"/>
          <w:highlight w:val="none"/>
        </w:rPr>
        <w:t>月</w:t>
      </w:r>
      <w:r>
        <w:rPr>
          <w:rFonts w:hint="eastAsia" w:ascii="仿宋" w:hAnsi="仿宋" w:eastAsia="仿宋" w:cs="仿宋"/>
          <w:b/>
          <w:bCs/>
          <w:color w:val="000000"/>
          <w:highlight w:val="none"/>
          <w:lang w:val="en-US" w:eastAsia="zh-CN"/>
        </w:rPr>
        <w:t>23</w:t>
      </w:r>
      <w:r>
        <w:rPr>
          <w:rFonts w:hint="eastAsia" w:ascii="仿宋" w:hAnsi="仿宋" w:eastAsia="仿宋" w:cs="仿宋"/>
          <w:b/>
          <w:bCs/>
          <w:color w:val="000000"/>
          <w:highlight w:val="none"/>
        </w:rPr>
        <w:t>日09:30</w:t>
      </w:r>
    </w:p>
    <w:p w14:paraId="75290C6D">
      <w:pPr>
        <w:widowControl w:val="0"/>
        <w:spacing w:line="500" w:lineRule="exact"/>
        <w:ind w:firstLine="566" w:firstLineChars="200"/>
        <w:rPr>
          <w:rFonts w:ascii="仿宋" w:hAnsi="仿宋" w:eastAsia="仿宋" w:cs="仿宋"/>
          <w:b/>
          <w:bCs/>
          <w:color w:val="000000"/>
          <w:highlight w:val="none"/>
        </w:rPr>
      </w:pPr>
      <w:r>
        <w:rPr>
          <w:rFonts w:hint="eastAsia" w:ascii="仿宋" w:hAnsi="仿宋" w:eastAsia="仿宋" w:cs="仿宋"/>
          <w:b/>
          <w:bCs/>
          <w:color w:val="000000"/>
          <w:highlight w:val="none"/>
        </w:rPr>
        <w:t>3、开启时间：同提交响应文件截止时间</w:t>
      </w:r>
    </w:p>
    <w:p w14:paraId="39883D60">
      <w:pPr>
        <w:widowControl w:val="0"/>
        <w:spacing w:line="500" w:lineRule="exact"/>
        <w:ind w:firstLine="566" w:firstLineChars="200"/>
        <w:rPr>
          <w:rFonts w:ascii="仿宋" w:hAnsi="仿宋" w:eastAsia="仿宋" w:cs="仿宋"/>
          <w:b/>
          <w:bCs/>
          <w:color w:val="000000"/>
          <w:highlight w:val="none"/>
        </w:rPr>
      </w:pPr>
      <w:r>
        <w:rPr>
          <w:rFonts w:hint="eastAsia" w:ascii="仿宋" w:hAnsi="仿宋" w:eastAsia="仿宋" w:cs="仿宋"/>
          <w:b/>
          <w:bCs/>
          <w:color w:val="000000"/>
          <w:highlight w:val="none"/>
        </w:rPr>
        <w:t>4、开启地点：西安市碑林区长安北路14号陕西省公共资源交易中心</w:t>
      </w:r>
      <w:r>
        <w:rPr>
          <w:rFonts w:hint="eastAsia" w:ascii="仿宋" w:hAnsi="仿宋" w:eastAsia="仿宋" w:cs="仿宋"/>
          <w:b/>
          <w:bCs/>
          <w:color w:val="000000"/>
          <w:highlight w:val="none"/>
          <w:u w:val="single"/>
          <w:lang w:val="en-US" w:eastAsia="zh-CN"/>
        </w:rPr>
        <w:t>308</w:t>
      </w:r>
      <w:r>
        <w:rPr>
          <w:rFonts w:hint="eastAsia" w:ascii="仿宋" w:hAnsi="仿宋" w:eastAsia="仿宋" w:cs="仿宋"/>
          <w:b/>
          <w:bCs/>
          <w:color w:val="000000"/>
          <w:highlight w:val="none"/>
        </w:rPr>
        <w:t>室（见面开标）。</w:t>
      </w:r>
    </w:p>
    <w:p w14:paraId="517F7276">
      <w:pPr>
        <w:pStyle w:val="19"/>
        <w:wordWrap w:val="0"/>
        <w:spacing w:afterLines="0" w:line="500" w:lineRule="exact"/>
        <w:ind w:firstLine="566" w:firstLineChars="200"/>
        <w:rPr>
          <w:rFonts w:ascii="仿宋" w:hAnsi="仿宋" w:eastAsia="仿宋" w:cs="仿宋"/>
          <w:color w:val="000000"/>
          <w:sz w:val="28"/>
          <w:szCs w:val="28"/>
          <w:highlight w:val="none"/>
        </w:rPr>
      </w:pPr>
      <w:r>
        <w:rPr>
          <w:rFonts w:hint="eastAsia" w:ascii="仿宋" w:hAnsi="仿宋" w:eastAsia="仿宋" w:cs="仿宋"/>
          <w:b/>
          <w:bCs/>
          <w:color w:val="000000"/>
          <w:sz w:val="28"/>
          <w:szCs w:val="28"/>
          <w:highlight w:val="none"/>
        </w:rPr>
        <w:t>5、开启形式：本项目采用电子化投标方式。</w:t>
      </w:r>
      <w:r>
        <w:rPr>
          <w:rFonts w:hint="eastAsia" w:ascii="仿宋" w:hAnsi="仿宋" w:eastAsia="仿宋" w:cs="仿宋"/>
          <w:color w:val="000000"/>
          <w:sz w:val="28"/>
          <w:szCs w:val="28"/>
          <w:highlight w:val="none"/>
        </w:rPr>
        <w:t>陕西省省级单位政府采购中心在磋商文件规定的时间和地点组织开标，供应商须派法定代表人或被授权代表参加，携带</w:t>
      </w:r>
      <w:r>
        <w:rPr>
          <w:rFonts w:hint="eastAsia" w:ascii="仿宋" w:hAnsi="仿宋" w:eastAsia="仿宋" w:cs="仿宋"/>
          <w:bCs/>
          <w:color w:val="000000"/>
          <w:sz w:val="28"/>
          <w:szCs w:val="28"/>
          <w:highlight w:val="none"/>
        </w:rPr>
        <w:t>CA</w:t>
      </w:r>
      <w:r>
        <w:rPr>
          <w:rFonts w:hint="eastAsia" w:ascii="仿宋" w:hAnsi="仿宋" w:eastAsia="仿宋" w:cs="仿宋"/>
          <w:color w:val="000000"/>
          <w:sz w:val="28"/>
          <w:szCs w:val="28"/>
          <w:highlight w:val="none"/>
        </w:rPr>
        <w:t>锁（开标时需在开标室的自助解密机上使用</w:t>
      </w:r>
      <w:r>
        <w:rPr>
          <w:rFonts w:hint="eastAsia" w:ascii="仿宋" w:hAnsi="仿宋" w:eastAsia="仿宋" w:cs="仿宋"/>
          <w:bCs/>
          <w:color w:val="000000"/>
          <w:sz w:val="28"/>
          <w:szCs w:val="28"/>
          <w:highlight w:val="none"/>
        </w:rPr>
        <w:t>CA</w:t>
      </w:r>
      <w:r>
        <w:rPr>
          <w:rFonts w:hint="eastAsia" w:ascii="仿宋" w:hAnsi="仿宋" w:eastAsia="仿宋" w:cs="仿宋"/>
          <w:color w:val="000000"/>
          <w:sz w:val="28"/>
          <w:szCs w:val="28"/>
          <w:highlight w:val="none"/>
        </w:rPr>
        <w:t>锁统一自行解密响应文件）。</w:t>
      </w:r>
    </w:p>
    <w:p w14:paraId="0FCF4401">
      <w:pPr>
        <w:pStyle w:val="19"/>
        <w:widowControl w:val="0"/>
        <w:wordWrap w:val="0"/>
        <w:spacing w:afterLines="0" w:line="500" w:lineRule="exact"/>
        <w:ind w:firstLine="566"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如因供应商自身原因，在规定时间内未完成响应文件解密，按无效响应对待（“规定时间”由现场工作人员具体确定）。</w:t>
      </w:r>
    </w:p>
    <w:p w14:paraId="0C0B6CD7">
      <w:pPr>
        <w:widowControl w:val="0"/>
        <w:spacing w:line="500" w:lineRule="exact"/>
        <w:ind w:firstLine="566" w:firstLineChars="200"/>
        <w:rPr>
          <w:rFonts w:ascii="仿宋" w:hAnsi="仿宋" w:eastAsia="仿宋" w:cs="仿宋"/>
          <w:b/>
          <w:bCs/>
          <w:color w:val="000000"/>
          <w:highlight w:val="none"/>
        </w:rPr>
      </w:pPr>
      <w:r>
        <w:rPr>
          <w:rFonts w:hint="eastAsia" w:ascii="仿宋" w:hAnsi="仿宋" w:eastAsia="仿宋" w:cs="仿宋"/>
          <w:b/>
          <w:bCs/>
          <w:color w:val="000000"/>
          <w:highlight w:val="none"/>
        </w:rPr>
        <w:t>十五、采购代理机构收费标准：免费</w:t>
      </w:r>
    </w:p>
    <w:p w14:paraId="1C87DD51">
      <w:pPr>
        <w:widowControl w:val="0"/>
        <w:spacing w:line="500" w:lineRule="exact"/>
        <w:ind w:firstLine="566" w:firstLineChars="200"/>
        <w:rPr>
          <w:rFonts w:ascii="仿宋" w:hAnsi="仿宋" w:eastAsia="仿宋" w:cs="仿宋"/>
          <w:b/>
          <w:bCs/>
          <w:color w:val="000000"/>
          <w:highlight w:val="none"/>
        </w:rPr>
      </w:pPr>
      <w:bookmarkStart w:id="25" w:name="_Toc22849_WPSOffice_Level2"/>
      <w:bookmarkStart w:id="26" w:name="_Toc14110_WPSOffice_Level2"/>
      <w:bookmarkStart w:id="27" w:name="_Toc17917"/>
      <w:bookmarkStart w:id="28" w:name="_Toc20005"/>
      <w:bookmarkStart w:id="29" w:name="_Toc10758_WPSOffice_Level2"/>
      <w:r>
        <w:rPr>
          <w:rFonts w:hint="eastAsia" w:ascii="仿宋" w:hAnsi="仿宋" w:eastAsia="仿宋" w:cs="仿宋"/>
          <w:b/>
          <w:bCs/>
          <w:color w:val="000000"/>
          <w:highlight w:val="none"/>
        </w:rPr>
        <w:t>十六、公告期自发布之日起3个工作日。</w:t>
      </w:r>
      <w:bookmarkEnd w:id="25"/>
      <w:bookmarkEnd w:id="26"/>
      <w:bookmarkEnd w:id="27"/>
      <w:bookmarkEnd w:id="28"/>
      <w:bookmarkEnd w:id="29"/>
    </w:p>
    <w:p w14:paraId="39925D67">
      <w:pPr>
        <w:widowControl w:val="0"/>
        <w:spacing w:line="500" w:lineRule="exact"/>
        <w:ind w:firstLine="566" w:firstLineChars="200"/>
        <w:rPr>
          <w:rFonts w:ascii="仿宋" w:hAnsi="仿宋" w:eastAsia="仿宋" w:cs="仿宋"/>
          <w:b/>
          <w:bCs/>
          <w:color w:val="000000"/>
          <w:highlight w:val="none"/>
        </w:rPr>
      </w:pPr>
      <w:r>
        <w:rPr>
          <w:rFonts w:hint="eastAsia" w:ascii="仿宋" w:hAnsi="仿宋" w:eastAsia="仿宋" w:cs="仿宋"/>
          <w:b/>
          <w:bCs/>
          <w:color w:val="000000"/>
          <w:highlight w:val="none"/>
        </w:rPr>
        <w:t>十七、陕西省省级单位政府采购中心联系电话：029-88661294</w:t>
      </w:r>
    </w:p>
    <w:p w14:paraId="70126DFC">
      <w:pPr>
        <w:widowControl w:val="0"/>
        <w:ind w:firstLine="566" w:firstLineChars="200"/>
        <w:rPr>
          <w:rFonts w:ascii="宋体" w:hAnsi="宋体" w:eastAsia="宋体" w:cs="Times New Roman"/>
          <w:b/>
          <w:bCs/>
          <w:color w:val="000000"/>
          <w:highlight w:val="none"/>
        </w:rPr>
      </w:pPr>
      <w:r>
        <w:rPr>
          <w:rFonts w:hint="eastAsia" w:ascii="宋体" w:hAnsi="宋体" w:eastAsia="宋体" w:cs="宋体"/>
          <w:b/>
          <w:bCs/>
          <w:color w:val="000000"/>
          <w:highlight w:val="none"/>
        </w:rPr>
        <w:t>特别提醒：</w:t>
      </w:r>
    </w:p>
    <w:bookmarkEnd w:id="24"/>
    <w:p w14:paraId="6BC196A1">
      <w:pPr>
        <w:widowControl w:val="0"/>
        <w:ind w:firstLine="426" w:firstLineChars="200"/>
        <w:rPr>
          <w:rFonts w:ascii="宋体" w:hAnsi="宋体" w:eastAsia="宋体" w:cs="宋体"/>
          <w:b/>
          <w:bCs/>
          <w:color w:val="000000"/>
          <w:sz w:val="21"/>
          <w:szCs w:val="21"/>
          <w:highlight w:val="none"/>
        </w:rPr>
      </w:pPr>
      <w:bookmarkStart w:id="30" w:name="_Toc495012770"/>
      <w:bookmarkStart w:id="31" w:name="_Toc16643"/>
      <w:bookmarkStart w:id="32" w:name="_Toc495014919"/>
      <w:bookmarkStart w:id="33" w:name="_Toc495014584"/>
      <w:bookmarkStart w:id="34" w:name="_Toc8753"/>
      <w:bookmarkStart w:id="35" w:name="_Toc445306492"/>
      <w:bookmarkStart w:id="36" w:name="_Toc26954"/>
      <w:bookmarkStart w:id="37" w:name="_Toc495014953"/>
      <w:bookmarkStart w:id="38" w:name="_Toc495014648"/>
      <w:bookmarkStart w:id="39" w:name="_Toc495012820"/>
      <w:bookmarkStart w:id="40" w:name="_Toc495014610"/>
      <w:r>
        <w:rPr>
          <w:rFonts w:hint="eastAsia" w:ascii="宋体" w:hAnsi="宋体" w:eastAsia="宋体" w:cs="宋体"/>
          <w:b/>
          <w:bCs/>
          <w:color w:val="000000"/>
          <w:sz w:val="21"/>
          <w:szCs w:val="21"/>
          <w:highlight w:val="none"/>
        </w:rPr>
        <w:t>1、本项目采用电子化投标方式。供应商须使用数字认证证书（CA锁）对电子响应文件进行签章、加密、递交及开标时解密等相关招投标事宜。开标时，陕西省省级单位政府采购中心现场工作人员将根据项目供应商数约定解密时长，供应商应在规定时间内，使用电子响应文件加密时所用的数字认证证书（CA锁）在开标室的解密机上自行解密电子响应文件。如因供应商自身原因（如迟到、未携带数字认证证书等原因）未在规定时间内解密的，视为响应无效。</w:t>
      </w:r>
    </w:p>
    <w:p w14:paraId="02A470D0">
      <w:pPr>
        <w:widowControl w:val="0"/>
        <w:ind w:firstLine="426" w:firstLineChars="200"/>
        <w:rPr>
          <w:rFonts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2、制作电子响应文件。供应商须在“全国公共资源交易平台（陕西省）（http://www.sxggzyjy.cn/）”的“服务指南”栏目“下载专区”中，免费下载“陕西省公共资源交易平台政府采购电子标书制作工具”，并升级至最新版本，使用该客户端制作电子响应文件，制作扩展名为“.SXSTF”的电子响应文件。”</w:t>
      </w:r>
    </w:p>
    <w:p w14:paraId="0770CBA8">
      <w:pPr>
        <w:widowControl w:val="0"/>
        <w:ind w:firstLine="426" w:firstLineChars="200"/>
        <w:rPr>
          <w:rFonts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3、递交电子响应文件。登录全国公共资源交易中心平台（陕西省）（http://www.sxggzyjy.cn/），选择“电子交易平台—陕西政府采购交易系统—供应商端”进行登录，登录后选择“交易乙方”身份进入，进入菜单“采购业务—我的项目—项目流程—上传响应文件”，上传加密的电子响应文件。上传成功后，电子化平台将予以记录。</w:t>
      </w:r>
    </w:p>
    <w:p w14:paraId="72AF10CF">
      <w:pPr>
        <w:widowControl w:val="0"/>
        <w:ind w:firstLine="426" w:firstLineChars="200"/>
        <w:rPr>
          <w:rFonts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4、评审过程中，磋商小组要求供应商提交多轮（最后）磋商报价时，供应商须登录全国公共资源交易平台（陕西省）在交易系统中提交多轮（最后）报价，并用数字认证证书（CA锁）签章。</w:t>
      </w:r>
    </w:p>
    <w:p w14:paraId="13AA1751">
      <w:pPr>
        <w:pStyle w:val="2"/>
        <w:widowControl w:val="0"/>
        <w:rPr>
          <w:rFonts w:cs="Times New Roman"/>
          <w:highlight w:val="none"/>
        </w:rPr>
      </w:pPr>
      <w:r>
        <w:rPr>
          <w:rFonts w:hint="eastAsia" w:ascii="黑体" w:hAnsi="黑体" w:eastAsia="黑体" w:cs="黑体"/>
          <w:b w:val="0"/>
          <w:bCs w:val="0"/>
          <w:sz w:val="32"/>
          <w:szCs w:val="32"/>
          <w:highlight w:val="none"/>
        </w:rPr>
        <w:br w:type="page"/>
      </w:r>
      <w:bookmarkStart w:id="41" w:name="_Toc20960"/>
      <w:bookmarkStart w:id="42" w:name="_Toc10694"/>
      <w:bookmarkStart w:id="43" w:name="_Toc30975"/>
      <w:bookmarkStart w:id="44" w:name="_Toc3562"/>
      <w:bookmarkStart w:id="45" w:name="_Toc14254"/>
      <w:bookmarkStart w:id="46" w:name="_Toc16542"/>
      <w:bookmarkStart w:id="47" w:name="_Toc7055"/>
      <w:bookmarkStart w:id="48" w:name="_Toc7432"/>
      <w:bookmarkStart w:id="49" w:name="_Toc4207"/>
      <w:bookmarkStart w:id="50" w:name="_Toc27341"/>
      <w:bookmarkStart w:id="51" w:name="_Toc30017"/>
      <w:r>
        <w:rPr>
          <w:rFonts w:hint="eastAsia" w:ascii="黑体" w:hAnsi="黑体" w:eastAsia="黑体" w:cs="黑体"/>
          <w:b w:val="0"/>
          <w:bCs w:val="0"/>
          <w:sz w:val="32"/>
          <w:szCs w:val="32"/>
          <w:highlight w:val="none"/>
        </w:rPr>
        <w:t>第二章  供应商须知</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p>
    <w:p w14:paraId="5912A771">
      <w:pPr>
        <w:pStyle w:val="3"/>
        <w:widowControl w:val="0"/>
        <w:spacing w:line="500" w:lineRule="exact"/>
        <w:ind w:firstLine="566" w:firstLineChars="200"/>
        <w:rPr>
          <w:rFonts w:ascii="仿宋" w:hAnsi="仿宋" w:eastAsia="仿宋" w:cs="仿宋"/>
          <w:color w:val="000000"/>
          <w:sz w:val="28"/>
          <w:szCs w:val="28"/>
          <w:highlight w:val="none"/>
        </w:rPr>
      </w:pPr>
      <w:bookmarkStart w:id="52" w:name="_Toc16074"/>
      <w:bookmarkStart w:id="53" w:name="_Toc26361"/>
      <w:bookmarkStart w:id="54" w:name="_Toc25504"/>
      <w:bookmarkStart w:id="55" w:name="_Toc21873"/>
      <w:bookmarkStart w:id="56" w:name="_Toc21192"/>
      <w:bookmarkStart w:id="57" w:name="_Toc2084"/>
      <w:bookmarkStart w:id="58" w:name="_Toc9277"/>
      <w:bookmarkStart w:id="59" w:name="_Toc6323"/>
      <w:bookmarkStart w:id="60" w:name="_Toc29512"/>
      <w:bookmarkStart w:id="61" w:name="_Toc6714"/>
      <w:bookmarkStart w:id="62" w:name="_Toc30470"/>
      <w:bookmarkStart w:id="63" w:name="_Toc19391"/>
      <w:bookmarkStart w:id="64" w:name="_Toc21928"/>
      <w:r>
        <w:rPr>
          <w:rFonts w:hint="eastAsia" w:ascii="仿宋" w:hAnsi="仿宋" w:eastAsia="仿宋" w:cs="仿宋"/>
          <w:color w:val="000000"/>
          <w:sz w:val="28"/>
          <w:szCs w:val="28"/>
          <w:highlight w:val="none"/>
        </w:rPr>
        <w:t>一、定义</w:t>
      </w:r>
      <w:bookmarkEnd w:id="52"/>
      <w:bookmarkEnd w:id="53"/>
      <w:bookmarkEnd w:id="54"/>
      <w:bookmarkEnd w:id="55"/>
      <w:bookmarkEnd w:id="56"/>
      <w:bookmarkEnd w:id="57"/>
      <w:bookmarkEnd w:id="58"/>
      <w:bookmarkEnd w:id="59"/>
      <w:bookmarkEnd w:id="60"/>
      <w:bookmarkEnd w:id="61"/>
      <w:bookmarkEnd w:id="62"/>
      <w:bookmarkEnd w:id="63"/>
      <w:bookmarkEnd w:id="64"/>
    </w:p>
    <w:p w14:paraId="0AE1A307">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（一）采 购 人：陕西省档案馆</w:t>
      </w:r>
    </w:p>
    <w:p w14:paraId="44B771E1">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（二）监督机构：陕西省财政厅</w:t>
      </w:r>
    </w:p>
    <w:p w14:paraId="1449299B">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（三）采购代理机构：陕西省省级单位政府采购中心</w:t>
      </w:r>
    </w:p>
    <w:p w14:paraId="4434A22F">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（四）供应商：拟向采购人提供货物、工程或者服务的法人、其他组</w:t>
      </w:r>
    </w:p>
    <w:p w14:paraId="5FC75871">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织或者自然人</w:t>
      </w:r>
    </w:p>
    <w:p w14:paraId="134968DE">
      <w:pPr>
        <w:pStyle w:val="3"/>
        <w:widowControl w:val="0"/>
        <w:spacing w:line="500" w:lineRule="exact"/>
        <w:ind w:firstLine="566" w:firstLineChars="200"/>
        <w:rPr>
          <w:rFonts w:ascii="仿宋" w:hAnsi="仿宋" w:eastAsia="仿宋" w:cs="仿宋"/>
          <w:color w:val="000000"/>
          <w:sz w:val="28"/>
          <w:szCs w:val="28"/>
          <w:highlight w:val="none"/>
        </w:rPr>
      </w:pPr>
      <w:bookmarkStart w:id="65" w:name="_Toc11046"/>
      <w:bookmarkStart w:id="66" w:name="_Toc26572"/>
      <w:bookmarkStart w:id="67" w:name="_Toc6086"/>
      <w:bookmarkStart w:id="68" w:name="_Toc12698"/>
      <w:bookmarkStart w:id="69" w:name="_Toc17842"/>
      <w:bookmarkStart w:id="70" w:name="_Toc12085"/>
      <w:bookmarkStart w:id="71" w:name="_Toc4889"/>
      <w:bookmarkStart w:id="72" w:name="_Toc27421"/>
      <w:bookmarkStart w:id="73" w:name="_Toc16507"/>
      <w:bookmarkStart w:id="74" w:name="_Toc22708"/>
      <w:bookmarkStart w:id="75" w:name="_Toc20578"/>
      <w:bookmarkStart w:id="76" w:name="_Toc32377"/>
      <w:bookmarkStart w:id="77" w:name="_Toc12270"/>
      <w:r>
        <w:rPr>
          <w:rFonts w:hint="eastAsia" w:ascii="仿宋" w:hAnsi="仿宋" w:eastAsia="仿宋" w:cs="仿宋"/>
          <w:color w:val="000000"/>
          <w:sz w:val="28"/>
          <w:szCs w:val="28"/>
          <w:highlight w:val="none"/>
        </w:rPr>
        <w:t>二、供应商注意事项</w:t>
      </w:r>
      <w:bookmarkEnd w:id="65"/>
      <w:bookmarkEnd w:id="66"/>
      <w:bookmarkEnd w:id="67"/>
      <w:bookmarkEnd w:id="68"/>
      <w:bookmarkEnd w:id="69"/>
      <w:bookmarkEnd w:id="70"/>
      <w:bookmarkEnd w:id="71"/>
      <w:bookmarkEnd w:id="72"/>
      <w:bookmarkEnd w:id="73"/>
      <w:bookmarkEnd w:id="74"/>
      <w:bookmarkEnd w:id="75"/>
      <w:bookmarkEnd w:id="76"/>
      <w:bookmarkEnd w:id="77"/>
    </w:p>
    <w:p w14:paraId="6DF8B26E">
      <w:pPr>
        <w:pStyle w:val="3"/>
        <w:widowControl w:val="0"/>
        <w:spacing w:line="500" w:lineRule="exact"/>
        <w:ind w:firstLine="566" w:firstLineChars="200"/>
        <w:rPr>
          <w:rFonts w:ascii="仿宋" w:hAnsi="仿宋" w:eastAsia="仿宋" w:cs="仿宋"/>
          <w:color w:val="000000"/>
          <w:sz w:val="28"/>
          <w:szCs w:val="28"/>
          <w:highlight w:val="none"/>
        </w:rPr>
      </w:pPr>
      <w:bookmarkStart w:id="78" w:name="_Toc16764"/>
      <w:bookmarkStart w:id="79" w:name="_Toc734"/>
      <w:bookmarkStart w:id="80" w:name="_Toc27986"/>
      <w:bookmarkStart w:id="81" w:name="_Toc11128"/>
      <w:bookmarkStart w:id="82" w:name="_Toc9799"/>
      <w:bookmarkStart w:id="83" w:name="_Toc17374"/>
      <w:bookmarkStart w:id="84" w:name="_Toc10905"/>
      <w:bookmarkStart w:id="85" w:name="_Toc28589"/>
      <w:bookmarkStart w:id="86" w:name="_Toc21886"/>
      <w:bookmarkStart w:id="87" w:name="_Toc28058"/>
      <w:bookmarkStart w:id="88" w:name="_Toc1795"/>
      <w:bookmarkStart w:id="89" w:name="_Toc23045"/>
      <w:bookmarkStart w:id="90" w:name="_Toc22045"/>
      <w:bookmarkStart w:id="91" w:name="_Toc11734"/>
      <w:bookmarkStart w:id="92" w:name="_Toc32448"/>
      <w:bookmarkStart w:id="93" w:name="_Toc30368"/>
      <w:bookmarkStart w:id="94" w:name="_Toc28214"/>
      <w:bookmarkStart w:id="95" w:name="_Toc32309"/>
      <w:bookmarkStart w:id="96" w:name="_Toc14407"/>
      <w:bookmarkStart w:id="97" w:name="_Toc806"/>
      <w:bookmarkStart w:id="98" w:name="_Toc1370"/>
      <w:bookmarkStart w:id="99" w:name="_Toc30161"/>
      <w:bookmarkStart w:id="100" w:name="_Toc24852"/>
      <w:bookmarkStart w:id="101" w:name="_Toc17346"/>
      <w:bookmarkStart w:id="102" w:name="_Toc26270"/>
      <w:bookmarkStart w:id="103" w:name="_Toc25529"/>
      <w:bookmarkStart w:id="104" w:name="_Toc10010"/>
      <w:bookmarkStart w:id="105" w:name="_Toc20566"/>
      <w:r>
        <w:rPr>
          <w:rFonts w:hint="eastAsia" w:ascii="仿宋" w:hAnsi="仿宋" w:eastAsia="仿宋" w:cs="仿宋"/>
          <w:color w:val="000000"/>
          <w:sz w:val="28"/>
          <w:szCs w:val="28"/>
          <w:highlight w:val="none"/>
        </w:rPr>
        <w:t>（一）询问</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59A23EAA">
      <w:pPr>
        <w:widowControl w:val="0"/>
        <w:spacing w:line="500" w:lineRule="exact"/>
        <w:ind w:firstLine="566" w:firstLineChars="200"/>
        <w:rPr>
          <w:rFonts w:ascii="仿宋" w:hAnsi="仿宋" w:eastAsia="仿宋" w:cs="仿宋"/>
          <w:color w:val="000000"/>
          <w:highlight w:val="none"/>
        </w:rPr>
      </w:pPr>
      <w:bookmarkStart w:id="106" w:name="_Toc17968"/>
      <w:bookmarkStart w:id="107" w:name="_Toc26397"/>
      <w:bookmarkStart w:id="108" w:name="_Toc18061"/>
      <w:bookmarkStart w:id="109" w:name="_Toc5585"/>
      <w:bookmarkStart w:id="110" w:name="_Toc12755"/>
      <w:bookmarkStart w:id="111" w:name="_Toc10749"/>
      <w:bookmarkStart w:id="112" w:name="_Toc16663"/>
      <w:bookmarkStart w:id="113" w:name="_Toc2542"/>
      <w:bookmarkStart w:id="114" w:name="_Toc2552"/>
      <w:bookmarkStart w:id="115" w:name="_Toc23676"/>
      <w:bookmarkStart w:id="116" w:name="_Toc29525"/>
      <w:bookmarkStart w:id="117" w:name="_Toc9372"/>
      <w:bookmarkStart w:id="118" w:name="_Toc7423"/>
      <w:bookmarkStart w:id="119" w:name="_Toc25620"/>
      <w:bookmarkStart w:id="120" w:name="_Toc11418"/>
      <w:bookmarkStart w:id="121" w:name="_Toc10767"/>
      <w:bookmarkStart w:id="122" w:name="_Toc9295"/>
      <w:r>
        <w:rPr>
          <w:rFonts w:hint="eastAsia" w:ascii="仿宋" w:hAnsi="仿宋" w:eastAsia="仿宋" w:cs="仿宋"/>
          <w:color w:val="000000"/>
          <w:highlight w:val="none"/>
        </w:rPr>
        <w:t>供应商针对磋商文件（包括采购需求、供应商资格条件、商务条款等）依法提出书面询问的，采购人应在三个工作日内书面答复；供应商向陕西省省级单位政府采购中心提出书面询问的，陕西省省级单位政府采购中心应告知采购人并协助采购人做出答复。</w:t>
      </w:r>
    </w:p>
    <w:p w14:paraId="5027C487">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供应商对采购过程、中标（成交）结果，向陕西省省级单位政府采购中心提出书面询问的，陕西省省级单位政府采购中心应在三个工作日内书面答复。</w:t>
      </w:r>
    </w:p>
    <w:p w14:paraId="35E12C2D">
      <w:pPr>
        <w:pStyle w:val="3"/>
        <w:widowControl w:val="0"/>
        <w:spacing w:line="500" w:lineRule="exact"/>
        <w:ind w:firstLine="566" w:firstLineChars="200"/>
        <w:rPr>
          <w:rFonts w:ascii="仿宋" w:hAnsi="仿宋" w:eastAsia="仿宋" w:cs="仿宋"/>
          <w:color w:val="000000"/>
          <w:sz w:val="28"/>
          <w:szCs w:val="28"/>
          <w:highlight w:val="none"/>
        </w:rPr>
      </w:pPr>
      <w:bookmarkStart w:id="123" w:name="_Toc17045"/>
      <w:bookmarkStart w:id="124" w:name="_Toc12924"/>
      <w:bookmarkStart w:id="125" w:name="_Toc15324"/>
      <w:bookmarkStart w:id="126" w:name="_Toc27113"/>
      <w:bookmarkStart w:id="127" w:name="_Toc23800"/>
      <w:bookmarkStart w:id="128" w:name="_Toc20548"/>
      <w:bookmarkStart w:id="129" w:name="_Toc8902"/>
      <w:bookmarkStart w:id="130" w:name="_Toc19525"/>
      <w:bookmarkStart w:id="131" w:name="_Toc24990"/>
      <w:bookmarkStart w:id="132" w:name="_Toc8510"/>
      <w:bookmarkStart w:id="133" w:name="_Toc15458"/>
      <w:r>
        <w:rPr>
          <w:rFonts w:hint="eastAsia" w:ascii="仿宋" w:hAnsi="仿宋" w:eastAsia="仿宋" w:cs="仿宋"/>
          <w:color w:val="000000"/>
          <w:sz w:val="28"/>
          <w:szCs w:val="28"/>
          <w:highlight w:val="none"/>
        </w:rPr>
        <w:t>（二）现场踏勘及标前答疑会</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5AE5BDAA">
      <w:pPr>
        <w:widowControl w:val="0"/>
        <w:spacing w:line="500" w:lineRule="exact"/>
        <w:ind w:firstLine="566" w:firstLineChars="200"/>
        <w:rPr>
          <w:rFonts w:ascii="仿宋" w:hAnsi="仿宋" w:eastAsia="仿宋" w:cs="仿宋"/>
          <w:bCs/>
          <w:color w:val="000000"/>
          <w:highlight w:val="none"/>
        </w:rPr>
      </w:pPr>
      <w:r>
        <w:rPr>
          <w:rFonts w:hint="eastAsia" w:ascii="仿宋" w:hAnsi="仿宋" w:eastAsia="仿宋" w:cs="仿宋"/>
          <w:bCs/>
          <w:color w:val="000000"/>
          <w:highlight w:val="none"/>
        </w:rPr>
        <w:t>采购项目安排现场考察和标前答疑的，采购人应尽量在现场予以解答（口头提问可口头答复），现场不能做出解答的，应在三个工作日内书面答复，并交由陕西省省级单位政府采购中心在财政部门指定的媒体上发布。</w:t>
      </w:r>
    </w:p>
    <w:p w14:paraId="476CE542">
      <w:pPr>
        <w:widowControl w:val="0"/>
        <w:spacing w:line="500" w:lineRule="exact"/>
        <w:ind w:firstLine="566" w:firstLineChars="200"/>
        <w:rPr>
          <w:rFonts w:ascii="仿宋" w:hAnsi="仿宋" w:eastAsia="仿宋" w:cs="仿宋"/>
          <w:b/>
          <w:color w:val="000000"/>
          <w:highlight w:val="none"/>
        </w:rPr>
      </w:pPr>
      <w:r>
        <w:rPr>
          <w:rFonts w:hint="eastAsia" w:ascii="仿宋" w:hAnsi="仿宋" w:eastAsia="仿宋" w:cs="仿宋"/>
          <w:bCs/>
          <w:color w:val="000000"/>
          <w:highlight w:val="none"/>
        </w:rPr>
        <w:t>答复内容可能影响响应文件编制的，应当顺延开标时间。凡未参加现场踏勘和标前答疑的供应商，由此造成的偏差由各供应商自行负责。</w:t>
      </w:r>
    </w:p>
    <w:p w14:paraId="4A42ADDE">
      <w:pPr>
        <w:widowControl w:val="0"/>
        <w:spacing w:line="500" w:lineRule="exact"/>
        <w:ind w:firstLine="566" w:firstLineChars="200"/>
        <w:rPr>
          <w:rFonts w:ascii="仿宋" w:hAnsi="仿宋" w:eastAsia="仿宋" w:cs="仿宋"/>
          <w:b/>
          <w:color w:val="000000"/>
          <w:highlight w:val="none"/>
        </w:rPr>
      </w:pPr>
      <w:r>
        <w:rPr>
          <w:rFonts w:hint="eastAsia" w:ascii="仿宋" w:hAnsi="仿宋" w:eastAsia="仿宋" w:cs="仿宋"/>
          <w:b/>
          <w:color w:val="000000"/>
          <w:highlight w:val="none"/>
        </w:rPr>
        <w:t>本项目不组织集中踏勘和标前答疑。</w:t>
      </w:r>
    </w:p>
    <w:p w14:paraId="01A0FC5F">
      <w:pPr>
        <w:pStyle w:val="3"/>
        <w:widowControl w:val="0"/>
        <w:spacing w:line="500" w:lineRule="exact"/>
        <w:ind w:firstLine="566" w:firstLineChars="200"/>
        <w:rPr>
          <w:rFonts w:ascii="仿宋" w:hAnsi="仿宋" w:eastAsia="仿宋" w:cs="仿宋"/>
          <w:color w:val="000000"/>
          <w:sz w:val="28"/>
          <w:szCs w:val="28"/>
          <w:highlight w:val="none"/>
        </w:rPr>
      </w:pPr>
      <w:bookmarkStart w:id="134" w:name="_Toc17393"/>
      <w:bookmarkStart w:id="135" w:name="_Toc23122"/>
      <w:bookmarkStart w:id="136" w:name="_Toc13711"/>
      <w:bookmarkStart w:id="137" w:name="_Toc7114"/>
      <w:bookmarkStart w:id="138" w:name="_Toc19048"/>
      <w:bookmarkStart w:id="139" w:name="_Toc19340"/>
      <w:bookmarkStart w:id="140" w:name="_Toc29658"/>
      <w:bookmarkStart w:id="141" w:name="_Toc30373"/>
      <w:bookmarkStart w:id="142" w:name="_Toc26998"/>
      <w:bookmarkStart w:id="143" w:name="_Toc5922"/>
      <w:bookmarkStart w:id="144" w:name="_Toc22188"/>
      <w:bookmarkStart w:id="145" w:name="_Toc12991"/>
      <w:bookmarkStart w:id="146" w:name="_Toc14372"/>
      <w:bookmarkStart w:id="147" w:name="_Toc27375"/>
      <w:bookmarkStart w:id="148" w:name="_Toc19965"/>
      <w:bookmarkStart w:id="149" w:name="_Toc7492"/>
      <w:bookmarkStart w:id="150" w:name="_Toc32452"/>
      <w:bookmarkStart w:id="151" w:name="_Toc23212"/>
      <w:bookmarkStart w:id="152" w:name="_Toc25881"/>
      <w:bookmarkStart w:id="153" w:name="_Toc15027"/>
      <w:bookmarkStart w:id="154" w:name="_Toc23458"/>
      <w:bookmarkStart w:id="155" w:name="_Toc32440"/>
      <w:bookmarkStart w:id="156" w:name="_Toc11479"/>
      <w:bookmarkStart w:id="157" w:name="_Toc21760"/>
      <w:bookmarkStart w:id="158" w:name="_Toc12086"/>
      <w:bookmarkStart w:id="159" w:name="_Toc13487"/>
      <w:bookmarkStart w:id="160" w:name="_Toc25161"/>
      <w:bookmarkStart w:id="161" w:name="_Toc16296"/>
      <w:r>
        <w:rPr>
          <w:rFonts w:hint="eastAsia" w:ascii="仿宋" w:hAnsi="仿宋" w:eastAsia="仿宋" w:cs="仿宋"/>
          <w:color w:val="000000"/>
          <w:sz w:val="28"/>
          <w:szCs w:val="28"/>
          <w:highlight w:val="none"/>
        </w:rPr>
        <w:t>（三）质疑和投诉</w:t>
      </w:r>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p>
    <w:p w14:paraId="480EE292">
      <w:pPr>
        <w:widowControl w:val="0"/>
        <w:spacing w:line="500" w:lineRule="exact"/>
        <w:ind w:firstLine="566" w:firstLineChars="200"/>
        <w:contextualSpacing/>
        <w:rPr>
          <w:rFonts w:ascii="仿宋" w:hAnsi="仿宋" w:eastAsia="仿宋" w:cs="仿宋"/>
          <w:color w:val="000000"/>
          <w:highlight w:val="none"/>
        </w:rPr>
      </w:pPr>
      <w:r>
        <w:rPr>
          <w:rFonts w:hint="eastAsia" w:ascii="仿宋" w:hAnsi="仿宋" w:eastAsia="仿宋" w:cs="仿宋"/>
          <w:color w:val="000000"/>
          <w:highlight w:val="none"/>
        </w:rPr>
        <w:t>供应商如果认为磋商文件（包括采购需求、供应商资格条件、商务条款等）使自身的合法权益受到损害，可以在获取磋商文件之日起7个工作日内，以书面形式向采购人提出质疑；供应商如果认为采购过程或成交结果使自身的合法权益受到损害，可以在知道或者应知其权益受到损害之日起７个工作日内，以书面形式向陕西省省级单位政府采购中心提出质疑。</w:t>
      </w:r>
    </w:p>
    <w:p w14:paraId="143CB06B">
      <w:pPr>
        <w:spacing w:line="500" w:lineRule="exact"/>
        <w:ind w:firstLine="566" w:firstLineChars="200"/>
        <w:contextualSpacing/>
        <w:rPr>
          <w:rFonts w:ascii="仿宋" w:hAnsi="仿宋" w:eastAsia="仿宋" w:cs="仿宋"/>
          <w:color w:val="000000"/>
          <w:highlight w:val="none"/>
        </w:rPr>
      </w:pPr>
      <w:r>
        <w:rPr>
          <w:rFonts w:hint="eastAsia" w:ascii="仿宋" w:hAnsi="仿宋" w:eastAsia="仿宋" w:cs="仿宋"/>
          <w:color w:val="000000"/>
          <w:highlight w:val="none"/>
        </w:rPr>
        <w:t>1、供应商提出质疑应当提交质疑函和必要的证明材料，并按财政部《质疑函范本》给定的格式进行填写，范本下载详见【财政部国库司（gks.mof.gov.cn）】网站〖首页•〉政府采购管理〗栏目中的《政府采购供应商质疑函范本》。</w:t>
      </w:r>
    </w:p>
    <w:p w14:paraId="57513C22">
      <w:pPr>
        <w:spacing w:line="500" w:lineRule="exact"/>
        <w:ind w:firstLine="566" w:firstLineChars="200"/>
        <w:contextualSpacing/>
        <w:rPr>
          <w:rFonts w:ascii="仿宋" w:hAnsi="仿宋" w:eastAsia="仿宋" w:cs="仿宋"/>
          <w:color w:val="000000"/>
          <w:highlight w:val="none"/>
        </w:rPr>
      </w:pPr>
      <w:r>
        <w:rPr>
          <w:rFonts w:hint="eastAsia" w:ascii="仿宋" w:hAnsi="仿宋" w:eastAsia="仿宋" w:cs="仿宋"/>
          <w:color w:val="000000"/>
          <w:highlight w:val="none"/>
        </w:rPr>
        <w:t>《政府采购供应商质疑函范本》链接地址：</w:t>
      </w:r>
    </w:p>
    <w:p w14:paraId="4CE7960B">
      <w:pPr>
        <w:spacing w:line="500" w:lineRule="exact"/>
        <w:ind w:firstLine="566" w:firstLineChars="200"/>
        <w:contextualSpacing/>
        <w:rPr>
          <w:rFonts w:ascii="仿宋" w:hAnsi="仿宋" w:eastAsia="仿宋" w:cs="仿宋"/>
          <w:color w:val="000000"/>
          <w:highlight w:val="none"/>
        </w:rPr>
      </w:pPr>
      <w:r>
        <w:rPr>
          <w:rFonts w:hint="eastAsia" w:ascii="仿宋" w:hAnsi="仿宋" w:eastAsia="仿宋" w:cs="仿宋"/>
          <w:color w:val="000000"/>
          <w:highlight w:val="none"/>
        </w:rPr>
        <w:fldChar w:fldCharType="begin"/>
      </w:r>
      <w:r>
        <w:rPr>
          <w:rFonts w:hint="eastAsia" w:ascii="仿宋" w:hAnsi="仿宋" w:eastAsia="仿宋" w:cs="仿宋"/>
          <w:color w:val="000000"/>
          <w:highlight w:val="none"/>
        </w:rPr>
        <w:instrText xml:space="preserve"> HYPERLINK "http://gks.mof.gov.cn/ztztz/zhengfucaigouguanli/201802/t20180201_2804589.htm" </w:instrText>
      </w:r>
      <w:r>
        <w:rPr>
          <w:rFonts w:hint="eastAsia" w:ascii="仿宋" w:hAnsi="仿宋" w:eastAsia="仿宋" w:cs="仿宋"/>
          <w:color w:val="000000"/>
          <w:highlight w:val="none"/>
        </w:rPr>
        <w:fldChar w:fldCharType="separate"/>
      </w:r>
      <w:r>
        <w:rPr>
          <w:rFonts w:hint="eastAsia" w:ascii="仿宋" w:hAnsi="仿宋" w:eastAsia="仿宋" w:cs="仿宋"/>
          <w:color w:val="000000"/>
          <w:highlight w:val="none"/>
        </w:rPr>
        <w:t>http://gks.mof.gov.cn/ztztz/zhengfucaigouguanli/201802/t20180201_2804589.htm</w:t>
      </w:r>
      <w:r>
        <w:rPr>
          <w:rFonts w:hint="eastAsia" w:ascii="仿宋" w:hAnsi="仿宋" w:eastAsia="仿宋" w:cs="仿宋"/>
          <w:color w:val="000000"/>
          <w:highlight w:val="none"/>
        </w:rPr>
        <w:fldChar w:fldCharType="end"/>
      </w:r>
    </w:p>
    <w:p w14:paraId="1D753F5B">
      <w:pPr>
        <w:spacing w:line="500" w:lineRule="exact"/>
        <w:ind w:firstLine="566" w:firstLineChars="200"/>
        <w:contextualSpacing/>
        <w:rPr>
          <w:rFonts w:ascii="仿宋" w:hAnsi="仿宋" w:eastAsia="仿宋" w:cs="仿宋"/>
          <w:color w:val="000000"/>
          <w:highlight w:val="none"/>
        </w:rPr>
      </w:pPr>
      <w:r>
        <w:rPr>
          <w:rFonts w:hint="eastAsia" w:ascii="仿宋" w:hAnsi="仿宋" w:eastAsia="仿宋" w:cs="仿宋"/>
          <w:color w:val="000000"/>
          <w:highlight w:val="none"/>
        </w:rPr>
        <w:t>2、质疑人为自然人的，应当由本人签字；质疑人为法人或者其他组织的，应当由法定代表人、主要负责人，或者其授权代表签字或者盖章，并加盖公章。被授权代表办理质疑事项时，除提交质疑函外，还应当提交授权委托书及被授权代表的有效身份证明，授权委托书应当载明委托代理的具体权限和事项。</w:t>
      </w:r>
    </w:p>
    <w:p w14:paraId="20EE800B">
      <w:pPr>
        <w:spacing w:line="500" w:lineRule="exact"/>
        <w:ind w:firstLine="566" w:firstLineChars="200"/>
        <w:contextualSpacing/>
        <w:rPr>
          <w:rFonts w:ascii="仿宋" w:hAnsi="仿宋" w:eastAsia="仿宋" w:cs="仿宋"/>
          <w:color w:val="000000"/>
          <w:highlight w:val="none"/>
        </w:rPr>
      </w:pPr>
      <w:r>
        <w:rPr>
          <w:rFonts w:hint="eastAsia" w:ascii="仿宋" w:hAnsi="仿宋" w:eastAsia="仿宋" w:cs="仿宋"/>
          <w:color w:val="000000"/>
          <w:highlight w:val="none"/>
        </w:rPr>
        <w:t>3、在法定质疑期内，针对同一采购程序环节的质疑应当一次性提出。陕西省省级单位政府采购中心或采购人将在收到书面质疑后7个工作日内做出答复，并以书面形式通知质疑人和其他有关供应商。</w:t>
      </w:r>
    </w:p>
    <w:p w14:paraId="43629331">
      <w:pPr>
        <w:spacing w:line="500" w:lineRule="exact"/>
        <w:ind w:firstLine="566" w:firstLineChars="200"/>
        <w:contextualSpacing/>
        <w:rPr>
          <w:rFonts w:ascii="仿宋" w:hAnsi="仿宋" w:eastAsia="仿宋" w:cs="仿宋"/>
          <w:color w:val="000000"/>
          <w:highlight w:val="none"/>
        </w:rPr>
      </w:pPr>
      <w:r>
        <w:rPr>
          <w:rFonts w:hint="eastAsia" w:ascii="仿宋" w:hAnsi="仿宋" w:eastAsia="仿宋" w:cs="仿宋"/>
          <w:color w:val="000000"/>
          <w:highlight w:val="none"/>
        </w:rPr>
        <w:t>4、有下列情形之一的，属于无效质疑，陕西省省级单位政府采购中心和采购人不予受理：</w:t>
      </w:r>
    </w:p>
    <w:p w14:paraId="2EAA7062">
      <w:pPr>
        <w:spacing w:line="500" w:lineRule="exact"/>
        <w:ind w:firstLine="566" w:firstLineChars="200"/>
        <w:contextualSpacing/>
        <w:rPr>
          <w:rFonts w:ascii="仿宋" w:hAnsi="仿宋" w:eastAsia="仿宋" w:cs="仿宋"/>
          <w:color w:val="000000"/>
          <w:highlight w:val="none"/>
        </w:rPr>
      </w:pPr>
      <w:r>
        <w:rPr>
          <w:rFonts w:hint="eastAsia" w:ascii="仿宋" w:hAnsi="仿宋" w:eastAsia="仿宋" w:cs="仿宋"/>
          <w:color w:val="000000"/>
          <w:highlight w:val="none"/>
        </w:rPr>
        <w:t>（1）质疑人不是参与本次政府采购项目的供应商或潜在供应商；</w:t>
      </w:r>
    </w:p>
    <w:p w14:paraId="0571BA81">
      <w:pPr>
        <w:spacing w:line="500" w:lineRule="exact"/>
        <w:ind w:firstLine="566" w:firstLineChars="200"/>
        <w:contextualSpacing/>
        <w:rPr>
          <w:rFonts w:ascii="仿宋" w:hAnsi="仿宋" w:eastAsia="仿宋" w:cs="仿宋"/>
          <w:color w:val="000000"/>
          <w:highlight w:val="none"/>
        </w:rPr>
      </w:pPr>
      <w:r>
        <w:rPr>
          <w:rFonts w:hint="eastAsia" w:ascii="仿宋" w:hAnsi="仿宋" w:eastAsia="仿宋" w:cs="仿宋"/>
          <w:color w:val="000000"/>
          <w:highlight w:val="none"/>
        </w:rPr>
        <w:t>（2）质疑人与质疑事项不存在利害关系的；</w:t>
      </w:r>
    </w:p>
    <w:p w14:paraId="2681A3C5">
      <w:pPr>
        <w:spacing w:line="500" w:lineRule="exact"/>
        <w:ind w:firstLine="566" w:firstLineChars="200"/>
        <w:contextualSpacing/>
        <w:rPr>
          <w:rFonts w:ascii="仿宋" w:hAnsi="仿宋" w:eastAsia="仿宋" w:cs="仿宋"/>
          <w:color w:val="000000"/>
          <w:highlight w:val="none"/>
        </w:rPr>
      </w:pPr>
      <w:r>
        <w:rPr>
          <w:rFonts w:hint="eastAsia" w:ascii="仿宋" w:hAnsi="仿宋" w:eastAsia="仿宋" w:cs="仿宋"/>
          <w:color w:val="000000"/>
          <w:highlight w:val="none"/>
        </w:rPr>
        <w:t>（3）未在法定期限内提出质疑的；</w:t>
      </w:r>
    </w:p>
    <w:p w14:paraId="2230C6A7">
      <w:pPr>
        <w:spacing w:line="500" w:lineRule="exact"/>
        <w:ind w:firstLine="566" w:firstLineChars="200"/>
        <w:contextualSpacing/>
        <w:rPr>
          <w:rFonts w:ascii="仿宋" w:hAnsi="仿宋" w:eastAsia="仿宋" w:cs="仿宋"/>
          <w:color w:val="000000"/>
          <w:highlight w:val="none"/>
        </w:rPr>
      </w:pPr>
      <w:r>
        <w:rPr>
          <w:rFonts w:hint="eastAsia" w:ascii="仿宋" w:hAnsi="仿宋" w:eastAsia="仿宋" w:cs="仿宋"/>
          <w:color w:val="000000"/>
          <w:highlight w:val="none"/>
        </w:rPr>
        <w:t>（4）质疑未以书面形式提出，或质疑函主要内容构成不完整的，或缺乏必要的证明材料及证明材料不完整的；</w:t>
      </w:r>
    </w:p>
    <w:p w14:paraId="793C5FB9">
      <w:pPr>
        <w:spacing w:line="500" w:lineRule="exact"/>
        <w:ind w:firstLine="566" w:firstLineChars="200"/>
        <w:contextualSpacing/>
        <w:rPr>
          <w:rFonts w:ascii="仿宋" w:hAnsi="仿宋" w:eastAsia="仿宋" w:cs="仿宋"/>
          <w:color w:val="000000"/>
          <w:highlight w:val="none"/>
        </w:rPr>
      </w:pPr>
      <w:r>
        <w:rPr>
          <w:rFonts w:hint="eastAsia" w:ascii="仿宋" w:hAnsi="仿宋" w:eastAsia="仿宋" w:cs="仿宋"/>
          <w:color w:val="000000"/>
          <w:highlight w:val="none"/>
        </w:rPr>
        <w:t>（5）质疑函没有合法有效的签字、盖章或授权的；</w:t>
      </w:r>
    </w:p>
    <w:p w14:paraId="0F3A51D4">
      <w:pPr>
        <w:spacing w:line="500" w:lineRule="exact"/>
        <w:ind w:firstLine="566" w:firstLineChars="200"/>
        <w:contextualSpacing/>
        <w:rPr>
          <w:rFonts w:ascii="仿宋" w:hAnsi="仿宋" w:eastAsia="仿宋" w:cs="仿宋"/>
          <w:color w:val="000000"/>
          <w:highlight w:val="none"/>
        </w:rPr>
      </w:pPr>
      <w:r>
        <w:rPr>
          <w:rFonts w:hint="eastAsia" w:ascii="仿宋" w:hAnsi="仿宋" w:eastAsia="仿宋" w:cs="仿宋"/>
          <w:color w:val="000000"/>
          <w:highlight w:val="none"/>
        </w:rPr>
        <w:t>（6）以非法手段取得证据、材料的；</w:t>
      </w:r>
    </w:p>
    <w:p w14:paraId="4175E3DC">
      <w:pPr>
        <w:widowControl w:val="0"/>
        <w:spacing w:line="500" w:lineRule="exact"/>
        <w:ind w:firstLine="566" w:firstLineChars="200"/>
        <w:contextualSpacing/>
        <w:rPr>
          <w:rFonts w:ascii="仿宋" w:hAnsi="仿宋" w:eastAsia="仿宋" w:cs="仿宋"/>
          <w:color w:val="000000"/>
          <w:highlight w:val="none"/>
        </w:rPr>
      </w:pPr>
      <w:r>
        <w:rPr>
          <w:rFonts w:hint="eastAsia" w:ascii="仿宋" w:hAnsi="仿宋" w:eastAsia="仿宋" w:cs="仿宋"/>
          <w:color w:val="000000"/>
          <w:highlight w:val="none"/>
        </w:rPr>
        <w:t>（7）不符合法律、法规、规章和政府采购监管机构规定的其他条件的。</w:t>
      </w:r>
    </w:p>
    <w:p w14:paraId="424B4733">
      <w:pPr>
        <w:widowControl w:val="0"/>
        <w:spacing w:line="500" w:lineRule="exact"/>
        <w:ind w:firstLine="566" w:firstLineChars="200"/>
        <w:contextualSpacing/>
        <w:rPr>
          <w:rFonts w:ascii="仿宋" w:hAnsi="仿宋" w:eastAsia="仿宋" w:cs="仿宋"/>
          <w:color w:val="000000"/>
          <w:highlight w:val="none"/>
        </w:rPr>
      </w:pPr>
      <w:r>
        <w:rPr>
          <w:rFonts w:hint="eastAsia" w:ascii="仿宋" w:hAnsi="仿宋" w:eastAsia="仿宋" w:cs="仿宋"/>
          <w:color w:val="000000"/>
          <w:highlight w:val="none"/>
        </w:rPr>
        <w:t>5、质疑人对陕西省省级单位政府采购中心或采购人的答复不满意，以及陕西省省级单位政府采购中心或采购人未在规定时间内做出答复的，可以在答复期满后15个工作日内向政府采购监管机构提出投诉。</w:t>
      </w:r>
    </w:p>
    <w:p w14:paraId="588C958B">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6、供应商投诉的事项不得超出已质疑事项的范围。</w:t>
      </w:r>
    </w:p>
    <w:p w14:paraId="19C0AE2F">
      <w:pPr>
        <w:spacing w:line="500" w:lineRule="exact"/>
        <w:ind w:firstLine="566" w:firstLineChars="200"/>
        <w:rPr>
          <w:rFonts w:ascii="仿宋" w:hAnsi="仿宋" w:eastAsia="仿宋" w:cs="仿宋"/>
          <w:b/>
          <w:color w:val="000000"/>
          <w:highlight w:val="none"/>
        </w:rPr>
      </w:pPr>
      <w:r>
        <w:rPr>
          <w:rFonts w:hint="eastAsia" w:ascii="仿宋" w:hAnsi="仿宋" w:eastAsia="仿宋" w:cs="仿宋"/>
          <w:b/>
          <w:bCs/>
          <w:color w:val="000000"/>
          <w:highlight w:val="none"/>
        </w:rPr>
        <w:t>7、</w:t>
      </w:r>
      <w:r>
        <w:rPr>
          <w:rFonts w:hint="eastAsia" w:ascii="仿宋" w:hAnsi="仿宋" w:eastAsia="仿宋" w:cs="仿宋"/>
          <w:b/>
          <w:color w:val="000000"/>
          <w:highlight w:val="none"/>
        </w:rPr>
        <w:t>对捏造事实、提供虚假材料进行质疑、投诉的行为予以严肃处理：</w:t>
      </w:r>
    </w:p>
    <w:p w14:paraId="22379EA9">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依据《中华人民共和国政府采购法》及其实施条例、《政府采购竞争性磋商采购人管理暂行办法》及有关问题的补充通知、《政府采购质疑和投诉办法》等法律法规文件的规定，供应商质疑、投诉应当有明确的请求和必要的证明材料。</w:t>
      </w:r>
      <w:r>
        <w:rPr>
          <w:rFonts w:hint="eastAsia" w:ascii="仿宋" w:hAnsi="仿宋" w:eastAsia="仿宋" w:cs="仿宋"/>
          <w:b/>
          <w:bCs/>
          <w:color w:val="000000"/>
          <w:highlight w:val="none"/>
        </w:rPr>
        <w:t>投诉人在全国范围内十二个月内三次以上投诉查无实据的，由财政部门列入不良行为记录名单</w:t>
      </w:r>
      <w:r>
        <w:rPr>
          <w:rFonts w:hint="eastAsia" w:ascii="仿宋" w:hAnsi="仿宋" w:eastAsia="仿宋" w:cs="仿宋"/>
          <w:color w:val="000000"/>
          <w:highlight w:val="none"/>
        </w:rPr>
        <w:t>。对于捏造事实、提供虚假材料或者以非法手段取得证明材料进行投诉的，财政部门应当予以驳回，并将其列入不良行为记录名单，禁止其一至三年内参加政府采购活动。</w:t>
      </w:r>
    </w:p>
    <w:p w14:paraId="58F22840">
      <w:pPr>
        <w:spacing w:line="500" w:lineRule="exact"/>
        <w:ind w:firstLine="566" w:firstLineChars="200"/>
        <w:rPr>
          <w:rFonts w:ascii="仿宋" w:hAnsi="仿宋" w:eastAsia="仿宋" w:cs="仿宋"/>
          <w:b/>
          <w:color w:val="000000"/>
          <w:highlight w:val="none"/>
        </w:rPr>
      </w:pPr>
      <w:r>
        <w:rPr>
          <w:rFonts w:hint="eastAsia" w:ascii="仿宋" w:hAnsi="仿宋" w:eastAsia="仿宋" w:cs="仿宋"/>
          <w:b/>
          <w:bCs/>
          <w:color w:val="000000"/>
          <w:highlight w:val="none"/>
        </w:rPr>
        <w:t>8、</w:t>
      </w:r>
      <w:r>
        <w:rPr>
          <w:rFonts w:hint="eastAsia" w:ascii="仿宋" w:hAnsi="仿宋" w:eastAsia="仿宋" w:cs="仿宋"/>
          <w:b/>
          <w:color w:val="000000"/>
          <w:highlight w:val="none"/>
        </w:rPr>
        <w:t>对捏造事实诬告陷害他人、诽谤他人的法律适用：</w:t>
      </w:r>
    </w:p>
    <w:p w14:paraId="4EF29E7B">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《中华人民共和国刑法》第243条【诬告陷害罪】捏造事实诬告陷害他人，意图使他人受刑事追究，情节严重的，处三年以下有期徒刑、拘役或者管制；造成严重后果的，处三年以上十年以下有期徒刑。</w:t>
      </w:r>
    </w:p>
    <w:p w14:paraId="476D5938">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《中华人民共和国刑法》第246条【侮辱罪、诽谤罪】以暴力或者其他方法公然侮辱他人或者捏造事实诽谤他人，情节严重的，处三年以下有期徒刑、拘役、管制或者剥夺政治权利。</w:t>
      </w:r>
    </w:p>
    <w:p w14:paraId="7FC31D41">
      <w:pPr>
        <w:spacing w:line="500" w:lineRule="exact"/>
        <w:ind w:firstLine="566" w:firstLineChars="200"/>
        <w:contextualSpacing/>
        <w:rPr>
          <w:rFonts w:ascii="仿宋" w:hAnsi="仿宋" w:eastAsia="仿宋" w:cs="仿宋"/>
          <w:color w:val="000000"/>
          <w:highlight w:val="none"/>
        </w:rPr>
      </w:pPr>
      <w:r>
        <w:rPr>
          <w:rFonts w:hint="eastAsia" w:ascii="仿宋" w:hAnsi="仿宋" w:eastAsia="仿宋" w:cs="仿宋"/>
          <w:color w:val="000000"/>
          <w:highlight w:val="none"/>
        </w:rPr>
        <w:t>9、质疑函递交地址：陕西省公共资源交易中心交易受理处</w:t>
      </w:r>
    </w:p>
    <w:p w14:paraId="243BDD8F">
      <w:pPr>
        <w:spacing w:line="500" w:lineRule="exact"/>
        <w:ind w:firstLine="566" w:firstLineChars="200"/>
        <w:contextualSpacing/>
        <w:rPr>
          <w:rFonts w:ascii="仿宋" w:hAnsi="仿宋" w:eastAsia="仿宋" w:cs="仿宋"/>
          <w:color w:val="000000"/>
          <w:highlight w:val="none"/>
        </w:rPr>
      </w:pPr>
      <w:r>
        <w:rPr>
          <w:rFonts w:hint="eastAsia" w:ascii="仿宋" w:hAnsi="仿宋" w:eastAsia="仿宋" w:cs="仿宋"/>
          <w:color w:val="000000"/>
          <w:highlight w:val="none"/>
        </w:rPr>
        <w:t>联系电话：029-88661248</w:t>
      </w:r>
    </w:p>
    <w:p w14:paraId="1A5F1EA0">
      <w:pPr>
        <w:pStyle w:val="26"/>
        <w:spacing w:line="500" w:lineRule="exact"/>
        <w:ind w:firstLine="566" w:firstLineChars="200"/>
        <w:contextualSpacing/>
        <w:rPr>
          <w:rFonts w:ascii="仿宋" w:hAnsi="仿宋" w:eastAsia="仿宋" w:cs="仿宋"/>
          <w:color w:val="000000"/>
          <w:highlight w:val="none"/>
        </w:rPr>
      </w:pPr>
      <w:r>
        <w:rPr>
          <w:rFonts w:hint="eastAsia" w:ascii="仿宋" w:hAnsi="仿宋" w:eastAsia="仿宋" w:cs="仿宋"/>
          <w:color w:val="000000"/>
          <w:highlight w:val="none"/>
        </w:rPr>
        <w:t>投诉书递交地址：西安市莲湖区冰窖巷6号陕西省财政厅509室</w:t>
      </w:r>
    </w:p>
    <w:p w14:paraId="6B3D5453">
      <w:pPr>
        <w:spacing w:line="500" w:lineRule="exact"/>
        <w:ind w:firstLine="566" w:firstLineChars="200"/>
        <w:contextualSpacing/>
        <w:rPr>
          <w:rFonts w:ascii="仿宋" w:hAnsi="仿宋" w:eastAsia="仿宋" w:cs="仿宋"/>
          <w:color w:val="000000"/>
          <w:highlight w:val="none"/>
        </w:rPr>
      </w:pPr>
      <w:r>
        <w:rPr>
          <w:rFonts w:hint="eastAsia" w:ascii="仿宋" w:hAnsi="仿宋" w:eastAsia="仿宋" w:cs="仿宋"/>
          <w:color w:val="000000"/>
          <w:highlight w:val="none"/>
        </w:rPr>
        <w:t>联系电话：029-68936154</w:t>
      </w:r>
    </w:p>
    <w:p w14:paraId="396DA800">
      <w:pPr>
        <w:pStyle w:val="3"/>
        <w:widowControl w:val="0"/>
        <w:spacing w:line="500" w:lineRule="exact"/>
        <w:ind w:firstLine="566" w:firstLineChars="200"/>
        <w:rPr>
          <w:rFonts w:ascii="仿宋" w:hAnsi="仿宋" w:eastAsia="仿宋" w:cs="仿宋"/>
          <w:color w:val="000000"/>
          <w:sz w:val="28"/>
          <w:szCs w:val="28"/>
          <w:highlight w:val="none"/>
        </w:rPr>
      </w:pPr>
      <w:bookmarkStart w:id="162" w:name="_Toc18975"/>
      <w:bookmarkStart w:id="163" w:name="_Toc7801"/>
      <w:bookmarkStart w:id="164" w:name="_Toc13615"/>
      <w:bookmarkStart w:id="165" w:name="_Toc25016"/>
      <w:bookmarkStart w:id="166" w:name="_Toc6858"/>
      <w:bookmarkStart w:id="167" w:name="_Toc9404"/>
      <w:bookmarkStart w:id="168" w:name="_Toc25731"/>
      <w:bookmarkStart w:id="169" w:name="_Toc21058"/>
      <w:bookmarkStart w:id="170" w:name="_Toc5260"/>
      <w:bookmarkStart w:id="171" w:name="_Toc31120"/>
      <w:bookmarkStart w:id="172" w:name="_Toc28448"/>
      <w:bookmarkStart w:id="173" w:name="_Toc6747"/>
      <w:bookmarkStart w:id="174" w:name="_Toc17670"/>
      <w:bookmarkStart w:id="175" w:name="_Toc26505"/>
      <w:bookmarkStart w:id="176" w:name="_Toc24022"/>
      <w:bookmarkStart w:id="177" w:name="_Toc15961"/>
      <w:bookmarkStart w:id="178" w:name="_Toc4615"/>
      <w:r>
        <w:rPr>
          <w:rFonts w:hint="eastAsia" w:ascii="仿宋" w:hAnsi="仿宋" w:eastAsia="仿宋" w:cs="仿宋"/>
          <w:color w:val="000000"/>
          <w:sz w:val="28"/>
          <w:szCs w:val="28"/>
          <w:highlight w:val="none"/>
        </w:rPr>
        <w:t>（四）关于信用记录的查询和使用</w:t>
      </w:r>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p>
    <w:p w14:paraId="3F342B00">
      <w:pPr>
        <w:widowControl w:val="0"/>
        <w:wordWrap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1、磋商小组将在资格审查阶段通过【</w:t>
      </w:r>
      <w:r>
        <w:rPr>
          <w:rFonts w:hint="eastAsia"/>
          <w:highlight w:val="none"/>
        </w:rPr>
        <w:fldChar w:fldCharType="begin"/>
      </w:r>
      <w:r>
        <w:rPr>
          <w:rFonts w:hint="eastAsia" w:ascii="仿宋" w:hAnsi="仿宋" w:eastAsia="仿宋" w:cs="仿宋"/>
          <w:color w:val="000000"/>
          <w:highlight w:val="none"/>
        </w:rPr>
        <w:instrText xml:space="preserve"> HYPERLINK "http://www.creditchina.gov.cn/" </w:instrText>
      </w:r>
      <w:r>
        <w:rPr>
          <w:rFonts w:hint="eastAsia"/>
          <w:highlight w:val="none"/>
        </w:rPr>
        <w:fldChar w:fldCharType="separate"/>
      </w:r>
      <w:r>
        <w:rPr>
          <w:rStyle w:val="23"/>
          <w:rFonts w:hint="eastAsia" w:ascii="仿宋" w:hAnsi="仿宋" w:eastAsia="仿宋" w:cs="仿宋"/>
          <w:sz w:val="28"/>
          <w:szCs w:val="28"/>
          <w:highlight w:val="none"/>
        </w:rPr>
        <w:t>信用中国</w:t>
      </w:r>
      <w:r>
        <w:rPr>
          <w:rStyle w:val="23"/>
          <w:rFonts w:hint="eastAsia" w:ascii="仿宋" w:hAnsi="仿宋" w:eastAsia="仿宋" w:cs="仿宋"/>
          <w:sz w:val="28"/>
          <w:szCs w:val="28"/>
          <w:highlight w:val="none"/>
        </w:rPr>
        <w:fldChar w:fldCharType="end"/>
      </w:r>
      <w:r>
        <w:rPr>
          <w:rFonts w:hint="eastAsia" w:ascii="仿宋" w:hAnsi="仿宋" w:eastAsia="仿宋" w:cs="仿宋"/>
          <w:color w:val="000000"/>
          <w:highlight w:val="none"/>
        </w:rPr>
        <w:t>（www.creditchina.gov.cn）】、【</w:t>
      </w:r>
      <w:r>
        <w:rPr>
          <w:rFonts w:hint="eastAsia"/>
          <w:highlight w:val="none"/>
        </w:rPr>
        <w:fldChar w:fldCharType="begin"/>
      </w:r>
      <w:r>
        <w:rPr>
          <w:rFonts w:hint="eastAsia" w:ascii="仿宋" w:hAnsi="仿宋" w:eastAsia="仿宋" w:cs="仿宋"/>
          <w:color w:val="000000"/>
          <w:highlight w:val="none"/>
        </w:rPr>
        <w:instrText xml:space="preserve"> HYPERLINK "http://www.ccgp.gov.cn/cr/list" </w:instrText>
      </w:r>
      <w:r>
        <w:rPr>
          <w:rFonts w:hint="eastAsia"/>
          <w:highlight w:val="none"/>
        </w:rPr>
        <w:fldChar w:fldCharType="separate"/>
      </w:r>
      <w:r>
        <w:rPr>
          <w:rStyle w:val="23"/>
          <w:rFonts w:hint="eastAsia" w:ascii="仿宋" w:hAnsi="仿宋" w:eastAsia="仿宋" w:cs="仿宋"/>
          <w:sz w:val="28"/>
          <w:szCs w:val="28"/>
          <w:highlight w:val="none"/>
        </w:rPr>
        <w:t>中国政府采购网</w:t>
      </w:r>
      <w:r>
        <w:rPr>
          <w:rStyle w:val="23"/>
          <w:rFonts w:hint="eastAsia" w:ascii="仿宋" w:hAnsi="仿宋" w:eastAsia="仿宋" w:cs="仿宋"/>
          <w:sz w:val="28"/>
          <w:szCs w:val="28"/>
          <w:highlight w:val="none"/>
        </w:rPr>
        <w:fldChar w:fldCharType="end"/>
      </w:r>
      <w:r>
        <w:rPr>
          <w:rFonts w:hint="eastAsia" w:ascii="仿宋" w:hAnsi="仿宋" w:eastAsia="仿宋" w:cs="仿宋"/>
          <w:color w:val="000000"/>
          <w:highlight w:val="none"/>
        </w:rPr>
        <w:t>（www.ccgp.gov.cn）】网站对响应文件中的《供应商信用记录书面声明函》的信用情况进行甄别。对列入失信被执行人、重大税收违法案件当事人名单、政府采购严重违法失信行为记录名单及其他不符合《中华人民共和国政府采购法》第二十二条规定条件的供应商，根据《关于在政府采购活动中查询及使用信用记录有关问题的通知》（财库〔2016〕125号）的第二条第（三）款规定，其磋商或成交资格将被取消。</w:t>
      </w:r>
    </w:p>
    <w:p w14:paraId="3CABB5EA">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2、供应商在参加政府采购活动前3年内因违法经营被禁止在一定期限内参加政府采购活动，期限届满的，可以参加政府采购活动的，但供应商应提供相关证明材料。</w:t>
      </w:r>
    </w:p>
    <w:p w14:paraId="56BFBCC1">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3、供应商信用记录及供应商基本信息查询的时间段为“磋商公告发布之日（含当日）至提交响应文件截止之日（含当日）”。信用记录查询的结果，可以纸质截图或将截图保存至电子介质的形式留存。供应商未如实填报《供应商信用记录书面声明函》的，视为“供应商提供虚假材料谋取中标、成交的”行为。</w:t>
      </w:r>
    </w:p>
    <w:p w14:paraId="165C748D">
      <w:pPr>
        <w:widowControl w:val="0"/>
        <w:spacing w:line="500" w:lineRule="exact"/>
        <w:ind w:firstLine="566" w:firstLineChars="200"/>
        <w:rPr>
          <w:rFonts w:ascii="仿宋" w:hAnsi="仿宋" w:eastAsia="仿宋" w:cs="仿宋"/>
          <w:b/>
          <w:bCs/>
          <w:color w:val="000000"/>
          <w:highlight w:val="none"/>
        </w:rPr>
      </w:pPr>
      <w:r>
        <w:rPr>
          <w:rFonts w:hint="eastAsia" w:ascii="仿宋" w:hAnsi="仿宋" w:eastAsia="仿宋" w:cs="仿宋"/>
          <w:color w:val="000000"/>
          <w:highlight w:val="none"/>
        </w:rPr>
        <w:t>4、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74B855A3">
      <w:pPr>
        <w:pStyle w:val="3"/>
        <w:widowControl w:val="0"/>
        <w:spacing w:line="500" w:lineRule="exact"/>
        <w:ind w:firstLine="566" w:firstLineChars="200"/>
        <w:rPr>
          <w:rFonts w:ascii="仿宋" w:hAnsi="仿宋" w:eastAsia="仿宋" w:cs="仿宋"/>
          <w:color w:val="000000"/>
          <w:sz w:val="28"/>
          <w:szCs w:val="28"/>
          <w:highlight w:val="none"/>
        </w:rPr>
      </w:pPr>
      <w:bookmarkStart w:id="179" w:name="_Toc24208"/>
      <w:bookmarkStart w:id="180" w:name="_Toc7017"/>
      <w:bookmarkStart w:id="181" w:name="_Toc20601"/>
      <w:bookmarkStart w:id="182" w:name="_Toc17203"/>
      <w:bookmarkStart w:id="183" w:name="_Toc15726"/>
      <w:bookmarkStart w:id="184" w:name="_Toc21151"/>
      <w:bookmarkStart w:id="185" w:name="_Toc12395"/>
      <w:bookmarkStart w:id="186" w:name="_Toc7331"/>
      <w:bookmarkStart w:id="187" w:name="_Toc28846"/>
      <w:bookmarkStart w:id="188" w:name="_Toc22297"/>
      <w:bookmarkStart w:id="189" w:name="_Toc5835"/>
      <w:bookmarkStart w:id="190" w:name="_Toc684"/>
      <w:bookmarkStart w:id="191" w:name="_Toc5515"/>
      <w:bookmarkStart w:id="192" w:name="_Toc5071"/>
      <w:bookmarkStart w:id="193" w:name="_Toc5640"/>
      <w:bookmarkStart w:id="194" w:name="_Toc8532"/>
      <w:bookmarkStart w:id="195" w:name="_Toc12036"/>
      <w:r>
        <w:rPr>
          <w:rFonts w:hint="eastAsia" w:ascii="仿宋" w:hAnsi="仿宋" w:eastAsia="仿宋" w:cs="仿宋"/>
          <w:color w:val="000000"/>
          <w:sz w:val="28"/>
          <w:szCs w:val="28"/>
          <w:highlight w:val="none"/>
        </w:rPr>
        <w:t>（五）落实的政府采购政策</w:t>
      </w:r>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p>
    <w:p w14:paraId="67B0F501">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根据《政府采购促进中小企业发展管理办法》（财库〔2020〕46号）的有关规定，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民法典》订立劳动合同的从业人员，则参与政府采购活动时，享受中小企业扶持政策。</w:t>
      </w:r>
    </w:p>
    <w:p w14:paraId="5A5A0036">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在货物采购项目中，供应商提供的货物既有中小企业制造货物，也有大型供应商制造货物的，不享受政府采购价格扣除优惠政策。</w:t>
      </w:r>
    </w:p>
    <w:p w14:paraId="5870631B">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接受大中型供应商与中小企业组成联合体或者允许大中型供应商向一家或者多家中小企业分包的采购项目，对于联合协议或者分包意向协议约定中小企业的合同份额占到合同总金额30%以上的，货物和服务项目可给予联合体或者大中型供应商的报价2%-3%的扣除，工程项目为1%—2%的扣除。联合体各方均为小型、微型企业的，联合体视同为小型、微型企业。组成联合体或者接受分包的中小企业与联合体内其他供应商、分包供应商之间存在直接控股、管理关系的，不享受价格扣除优惠政策。</w:t>
      </w:r>
    </w:p>
    <w:p w14:paraId="3C5ACD4F">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根据《关于进一步加大政府采购支持中小企业力度的通知》（财库〔2022〕19号）的有关规定，货物服务采购项目给予中小企业的价格扣除优惠，由财库〔2020〕46号文件规定的6%—10%提高至10%—20%。大中型供应商与中小企业组成联合体或者大中型供应商向中小企业分包的，评审优惠幅度由2%—3%提高至4%—6%。政府采购工程的价格评审优惠按照财库〔2020〕46号文件的规定执行。</w:t>
      </w:r>
    </w:p>
    <w:p w14:paraId="44336D4A">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b/>
          <w:bCs/>
          <w:color w:val="000000"/>
          <w:highlight w:val="none"/>
        </w:rPr>
        <w:t>参加政府采购活动的中小企业应提供《中小企业声明函》原件。未提供上述声明函原件的，则响应文件无效。</w:t>
      </w:r>
    </w:p>
    <w:p w14:paraId="1B8C89DC">
      <w:pPr>
        <w:pStyle w:val="5"/>
        <w:widowControl w:val="0"/>
        <w:spacing w:line="500" w:lineRule="exact"/>
        <w:ind w:firstLine="486" w:firstLineChars="200"/>
        <w:rPr>
          <w:rFonts w:ascii="仿宋" w:hAnsi="仿宋" w:eastAsia="仿宋" w:cs="仿宋"/>
          <w:color w:val="000000"/>
          <w:highlight w:val="none"/>
        </w:rPr>
      </w:pPr>
      <w:r>
        <w:rPr>
          <w:rFonts w:hint="eastAsia" w:ascii="仿宋" w:hAnsi="仿宋" w:eastAsia="仿宋" w:cs="仿宋"/>
          <w:color w:val="000000"/>
          <w:sz w:val="24"/>
          <w:szCs w:val="24"/>
          <w:highlight w:val="none"/>
        </w:rPr>
        <w:t>备注：中小企业划分标准参照《中小企业划型标准规定》（工信部联</w:t>
      </w:r>
      <w:r>
        <w:rPr>
          <w:rFonts w:hint="eastAsia" w:ascii="仿宋" w:hAnsi="仿宋" w:eastAsia="仿宋" w:cs="仿宋"/>
          <w:color w:val="000000"/>
          <w:sz w:val="24"/>
          <w:szCs w:val="24"/>
          <w:highlight w:val="none"/>
          <w:lang w:val="en-US" w:eastAsia="zh-CN"/>
        </w:rPr>
        <w:t>企业</w:t>
      </w:r>
      <w:r>
        <w:rPr>
          <w:rFonts w:hint="eastAsia" w:ascii="仿宋" w:hAnsi="仿宋" w:eastAsia="仿宋" w:cs="仿宋"/>
          <w:color w:val="000000"/>
          <w:sz w:val="24"/>
          <w:szCs w:val="24"/>
          <w:highlight w:val="none"/>
        </w:rPr>
        <w:t>〔2011〕300号）执行。</w:t>
      </w:r>
    </w:p>
    <w:p w14:paraId="75517399">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w:t>
      </w:r>
      <w:r>
        <w:rPr>
          <w:rFonts w:hint="eastAsia" w:ascii="仿宋" w:hAnsi="仿宋" w:eastAsia="仿宋" w:cs="仿宋"/>
          <w:color w:val="000000"/>
          <w:highlight w:val="none"/>
          <w:lang w:val="zh-CN"/>
        </w:rPr>
        <w:t>监狱企业应符合《财政部</w:t>
      </w:r>
      <w:r>
        <w:rPr>
          <w:rFonts w:hint="eastAsia" w:ascii="仿宋" w:hAnsi="仿宋" w:eastAsia="仿宋" w:cs="仿宋"/>
          <w:color w:val="000000"/>
          <w:highlight w:val="none"/>
        </w:rPr>
        <w:t xml:space="preserve"> 司法部关于政府采购支持监狱企业发展有关问题的通知》（财库〔2014〕68号）文件规定</w:t>
      </w:r>
      <w:r>
        <w:rPr>
          <w:rFonts w:hint="eastAsia" w:ascii="仿宋" w:hAnsi="仿宋" w:eastAsia="仿宋" w:cs="仿宋"/>
          <w:color w:val="000000"/>
          <w:highlight w:val="none"/>
          <w:lang w:val="zh-CN"/>
        </w:rPr>
        <w:t>，并提供由省级以上监狱管理局、戒毒管理局(含新疆生产建设兵团)出具的属于</w:t>
      </w:r>
      <w:r>
        <w:rPr>
          <w:rFonts w:hint="eastAsia" w:ascii="仿宋" w:hAnsi="仿宋" w:eastAsia="仿宋" w:cs="仿宋"/>
          <w:b/>
          <w:bCs/>
          <w:color w:val="000000"/>
          <w:highlight w:val="none"/>
          <w:lang w:val="zh-CN"/>
        </w:rPr>
        <w:t>监狱企业的证明文件</w:t>
      </w:r>
      <w:r>
        <w:rPr>
          <w:rFonts w:hint="eastAsia" w:ascii="仿宋" w:hAnsi="仿宋" w:eastAsia="仿宋" w:cs="仿宋"/>
          <w:color w:val="000000"/>
          <w:highlight w:val="none"/>
          <w:lang w:val="zh-CN"/>
        </w:rPr>
        <w:t>复印件，监狱和戒毒供应商</w:t>
      </w:r>
      <w:r>
        <w:rPr>
          <w:rFonts w:hint="eastAsia" w:ascii="仿宋" w:hAnsi="仿宋" w:eastAsia="仿宋" w:cs="仿宋"/>
          <w:color w:val="000000"/>
          <w:highlight w:val="none"/>
        </w:rPr>
        <w:t>视同小型、微型企业。</w:t>
      </w:r>
    </w:p>
    <w:p w14:paraId="7C3D2297">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3、根据财政部、民政部、中国残疾人联合会下发的《关于促进残疾人就业政府采购政策的通知》（财库〔2017〕141号）的规定，残疾人福利性单位提供本单位制造的货物、承担的工程或者服务（以下简称产品），或者提供其他残疾人福利性单位制造的货物（不包括使用非残疾人福利性单位注册商标的货物）参与政府采购活动时，视同小型、微型企业，享受预留份额、评审中价格扣除等促进中小企业发展的政府采购政策。残疾人福利性单位属于小型、微型企业的，不重复享受政策。</w:t>
      </w:r>
    </w:p>
    <w:p w14:paraId="5EBDCCF0">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b/>
          <w:bCs/>
          <w:color w:val="000000"/>
          <w:highlight w:val="none"/>
        </w:rPr>
        <w:t>参加政府采购活动的残疾人单位应提供《残疾人福利性单位声明函》原件。未提供上述声明函原件的，则响应文件无效。</w:t>
      </w:r>
    </w:p>
    <w:p w14:paraId="13C21347">
      <w:pPr>
        <w:pStyle w:val="14"/>
        <w:spacing w:line="500" w:lineRule="exact"/>
        <w:ind w:firstLine="566"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4、根据财政部、国家发改委、生态环境部、市场监管总局联合印发《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B03EC02">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kern w:val="0"/>
          <w:highlight w:val="none"/>
        </w:rPr>
        <w:t>5、根据国务院办公厅《关于建立政府强制采购节能产品制度的通知》（国办发〔2007〕51号）有关要求，在技术、服务等指标满足采购需求的前提下，要优先采购节能产品，对部分节能效果、性能等达到要求的产品，实行强制采购。</w:t>
      </w:r>
    </w:p>
    <w:p w14:paraId="1E690CBA">
      <w:pPr>
        <w:pStyle w:val="5"/>
        <w:widowControl w:val="0"/>
        <w:spacing w:line="500" w:lineRule="exact"/>
        <w:ind w:firstLine="566" w:firstLineChars="200"/>
        <w:rPr>
          <w:rFonts w:ascii="仿宋" w:hAnsi="仿宋" w:eastAsia="仿宋" w:cs="仿宋"/>
          <w:color w:val="000000"/>
          <w:kern w:val="0"/>
          <w:highlight w:val="none"/>
        </w:rPr>
      </w:pPr>
      <w:r>
        <w:rPr>
          <w:rFonts w:hint="eastAsia" w:ascii="仿宋" w:hAnsi="仿宋" w:eastAsia="仿宋" w:cs="仿宋"/>
          <w:color w:val="000000"/>
          <w:kern w:val="0"/>
          <w:highlight w:val="none"/>
        </w:rPr>
        <w:t>6、节能产品政府采购品目清单详见财政部、发展改革委《关于印发节能产品政府采购品目清单的通知》（财库〔2019〕19号）。</w:t>
      </w:r>
    </w:p>
    <w:p w14:paraId="1C3E8D4E">
      <w:pPr>
        <w:pStyle w:val="5"/>
        <w:widowControl w:val="0"/>
        <w:spacing w:line="500" w:lineRule="exact"/>
        <w:ind w:firstLine="566" w:firstLineChars="200"/>
        <w:rPr>
          <w:rFonts w:ascii="仿宋" w:hAnsi="仿宋" w:eastAsia="仿宋" w:cs="仿宋"/>
          <w:color w:val="000000"/>
          <w:kern w:val="0"/>
          <w:highlight w:val="none"/>
        </w:rPr>
      </w:pPr>
      <w:r>
        <w:rPr>
          <w:rFonts w:hint="eastAsia" w:ascii="仿宋" w:hAnsi="仿宋" w:eastAsia="仿宋" w:cs="仿宋"/>
          <w:color w:val="000000"/>
          <w:kern w:val="0"/>
          <w:highlight w:val="none"/>
        </w:rPr>
        <w:t>7、环境标志产品政府采购品目清单详见财政部、生态环境部《关于印发环境标志产品政府采购品目清单的通知》（财库〔2019〕18号）。</w:t>
      </w:r>
    </w:p>
    <w:p w14:paraId="4B12AF79">
      <w:pPr>
        <w:pStyle w:val="5"/>
        <w:widowControl w:val="0"/>
        <w:spacing w:line="500" w:lineRule="exact"/>
        <w:ind w:firstLine="566" w:firstLineChars="200"/>
        <w:rPr>
          <w:rFonts w:ascii="仿宋" w:hAnsi="仿宋" w:eastAsia="仿宋" w:cs="仿宋"/>
          <w:color w:val="000000"/>
          <w:kern w:val="0"/>
          <w:highlight w:val="none"/>
        </w:rPr>
      </w:pPr>
      <w:r>
        <w:rPr>
          <w:rFonts w:hint="eastAsia" w:ascii="仿宋" w:hAnsi="仿宋" w:eastAsia="仿宋" w:cs="仿宋"/>
          <w:color w:val="000000"/>
          <w:kern w:val="0"/>
          <w:highlight w:val="none"/>
        </w:rPr>
        <w:t>8、国家确定的节能产品、环境标志产品认证机构详见市场监管总局《关于发布参与实施政府采购节能产品、环境标志产品认证机构名录的公告》（2019年第16号）。</w:t>
      </w:r>
    </w:p>
    <w:p w14:paraId="77B53AAC">
      <w:pPr>
        <w:pStyle w:val="5"/>
        <w:widowControl w:val="0"/>
        <w:spacing w:line="500" w:lineRule="exact"/>
        <w:ind w:firstLine="566" w:firstLineChars="200"/>
        <w:rPr>
          <w:rFonts w:ascii="仿宋" w:hAnsi="仿宋" w:eastAsia="仿宋" w:cs="仿宋"/>
          <w:color w:val="000000"/>
          <w:kern w:val="0"/>
          <w:highlight w:val="none"/>
        </w:rPr>
      </w:pPr>
      <w:r>
        <w:rPr>
          <w:rFonts w:hint="eastAsia" w:ascii="仿宋" w:hAnsi="仿宋" w:eastAsia="仿宋" w:cs="仿宋"/>
          <w:color w:val="000000"/>
          <w:kern w:val="0"/>
          <w:highlight w:val="none"/>
        </w:rPr>
        <w:t>9、根据《财政部 农业农村部 国家乡村振兴局关于运用政府采购政策支持乡村产业振兴的通知》（财库〔2021〕19号），自2021年起，各级预算单位应当按照不低于</w:t>
      </w:r>
      <w:r>
        <w:rPr>
          <w:rFonts w:hint="eastAsia" w:ascii="仿宋" w:hAnsi="仿宋" w:eastAsia="仿宋" w:cs="仿宋"/>
          <w:color w:val="000000"/>
          <w:highlight w:val="none"/>
        </w:rPr>
        <w:t>10%</w:t>
      </w:r>
      <w:r>
        <w:rPr>
          <w:rFonts w:hint="eastAsia" w:ascii="仿宋" w:hAnsi="仿宋" w:eastAsia="仿宋" w:cs="仿宋"/>
          <w:color w:val="000000"/>
          <w:kern w:val="0"/>
          <w:highlight w:val="none"/>
        </w:rPr>
        <w:t>的比例预留年度食堂食材采购份额，通过脱贫地区农副产品网络销售平台采购脱贫地区农副产品。</w:t>
      </w:r>
    </w:p>
    <w:p w14:paraId="170025F6">
      <w:pPr>
        <w:pStyle w:val="5"/>
        <w:widowControl w:val="0"/>
        <w:spacing w:line="500" w:lineRule="exact"/>
        <w:ind w:firstLine="566" w:firstLineChars="200"/>
        <w:rPr>
          <w:rFonts w:ascii="仿宋" w:hAnsi="仿宋" w:eastAsia="仿宋" w:cs="仿宋"/>
          <w:color w:val="000000"/>
          <w:kern w:val="0"/>
          <w:highlight w:val="none"/>
        </w:rPr>
      </w:pPr>
      <w:r>
        <w:rPr>
          <w:rFonts w:hint="eastAsia" w:ascii="仿宋" w:hAnsi="仿宋" w:eastAsia="仿宋" w:cs="仿宋"/>
          <w:color w:val="000000"/>
          <w:kern w:val="0"/>
          <w:highlight w:val="none"/>
        </w:rPr>
        <w:t>10、根据《财政部 农业农村部 国家乡村振兴局 中华全国供销合作总社关于印发&lt;关于深入开展政府采购脱贫地区农副产品工作推进乡村产业振兴的实施意见&gt;的通知》（财库〔2021〕20号），各级预算单位要按照不低于10%的预留比例在“832平台”填报预留份额。鼓励各级预算单位工会组织通过“832平台”采购工会福利、慰问品等，有关采购金额计入本单位年度采购总额。</w:t>
      </w:r>
    </w:p>
    <w:p w14:paraId="0113E230">
      <w:pPr>
        <w:pStyle w:val="5"/>
        <w:widowControl w:val="0"/>
        <w:spacing w:line="500" w:lineRule="exact"/>
        <w:ind w:firstLine="566" w:firstLineChars="200"/>
        <w:rPr>
          <w:rFonts w:ascii="仿宋" w:hAnsi="仿宋" w:eastAsia="仿宋" w:cs="仿宋"/>
          <w:color w:val="000000"/>
          <w:kern w:val="0"/>
          <w:highlight w:val="none"/>
        </w:rPr>
      </w:pPr>
      <w:r>
        <w:rPr>
          <w:rFonts w:hint="eastAsia" w:ascii="仿宋" w:hAnsi="仿宋" w:eastAsia="仿宋" w:cs="仿宋"/>
          <w:color w:val="000000"/>
          <w:kern w:val="0"/>
          <w:highlight w:val="none"/>
        </w:rPr>
        <w:t>11、根据《陕西省财政厅关于加快推进我省中小企业政府采购信用融资工作的通知》（陕财办采〔2020〕15号）规定“有融资需求的供应商可根据自身情况，在陕西省政府采购信用融资平台（含各市分平台）自主选择金融机构及其融资产品，凭政府采购中标（成交）通知书或政府采购合同向金融机构提出融资申请。”</w:t>
      </w:r>
    </w:p>
    <w:p w14:paraId="328952A0">
      <w:pPr>
        <w:widowControl w:val="0"/>
        <w:spacing w:line="500" w:lineRule="exact"/>
        <w:ind w:firstLine="566" w:firstLineChars="200"/>
        <w:jc w:val="left"/>
        <w:rPr>
          <w:rFonts w:ascii="仿宋" w:hAnsi="仿宋" w:eastAsia="仿宋" w:cs="仿宋"/>
          <w:color w:val="000000"/>
          <w:kern w:val="0"/>
          <w:highlight w:val="none"/>
        </w:rPr>
      </w:pPr>
      <w:bookmarkStart w:id="196" w:name="_Toc23236"/>
      <w:bookmarkStart w:id="197" w:name="_Toc6102"/>
      <w:bookmarkStart w:id="198" w:name="_Toc1927"/>
      <w:bookmarkStart w:id="199" w:name="_Toc10798"/>
      <w:bookmarkStart w:id="200" w:name="_Toc22218"/>
      <w:bookmarkStart w:id="201" w:name="_Toc29136"/>
      <w:r>
        <w:rPr>
          <w:rFonts w:hint="eastAsia" w:ascii="仿宋" w:hAnsi="仿宋" w:eastAsia="仿宋" w:cs="仿宋"/>
          <w:color w:val="000000"/>
          <w:kern w:val="0"/>
          <w:highlight w:val="none"/>
        </w:rPr>
        <w:t xml:space="preserve">12、根据陕西省财政厅关于印发《陕西省中小企业政府采购信用融资 </w:t>
      </w:r>
    </w:p>
    <w:p w14:paraId="38FEF300">
      <w:pPr>
        <w:widowControl w:val="0"/>
        <w:wordWrap w:val="0"/>
        <w:spacing w:line="500" w:lineRule="exact"/>
        <w:jc w:val="left"/>
        <w:rPr>
          <w:rFonts w:ascii="仿宋" w:hAnsi="仿宋" w:eastAsia="仿宋" w:cs="仿宋"/>
          <w:b/>
          <w:bCs/>
          <w:color w:val="000000"/>
          <w:highlight w:val="none"/>
        </w:rPr>
      </w:pPr>
      <w:r>
        <w:rPr>
          <w:rFonts w:hint="eastAsia" w:ascii="仿宋" w:hAnsi="仿宋" w:eastAsia="仿宋" w:cs="仿宋"/>
          <w:color w:val="000000"/>
          <w:kern w:val="0"/>
          <w:highlight w:val="none"/>
        </w:rPr>
        <w:t>办法》（陕财办采</w:t>
      </w:r>
      <w:r>
        <w:rPr>
          <w:rFonts w:hint="eastAsia" w:ascii="仿宋" w:hAnsi="仿宋" w:eastAsia="仿宋" w:cs="仿宋"/>
          <w:color w:val="000000"/>
          <w:highlight w:val="none"/>
        </w:rPr>
        <w:t>〔2018〕23</w:t>
      </w:r>
      <w:r>
        <w:rPr>
          <w:rFonts w:hint="eastAsia" w:ascii="仿宋" w:hAnsi="仿宋" w:eastAsia="仿宋" w:cs="仿宋"/>
          <w:color w:val="000000"/>
          <w:kern w:val="0"/>
          <w:highlight w:val="none"/>
        </w:rPr>
        <w:t>号）规定“</w:t>
      </w:r>
      <w:r>
        <w:rPr>
          <w:rFonts w:hint="eastAsia" w:ascii="仿宋" w:hAnsi="仿宋" w:eastAsia="仿宋" w:cs="仿宋"/>
          <w:color w:val="000000"/>
          <w:highlight w:val="none"/>
        </w:rP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r>
        <w:rPr>
          <w:rFonts w:hint="eastAsia" w:ascii="仿宋" w:hAnsi="仿宋" w:eastAsia="仿宋" w:cs="仿宋"/>
          <w:color w:val="000000"/>
          <w:kern w:val="0"/>
          <w:highlight w:val="none"/>
        </w:rPr>
        <w:t>（</w:t>
      </w:r>
      <w:r>
        <w:rPr>
          <w:highlight w:val="none"/>
        </w:rPr>
        <w:fldChar w:fldCharType="begin"/>
      </w:r>
      <w:r>
        <w:rPr>
          <w:highlight w:val="none"/>
        </w:rPr>
        <w:instrText xml:space="preserve"> HYPERLINK "http://www.ccgp-shaanxi.gov.cn/zcdservice/zcd/shanxi/" </w:instrText>
      </w:r>
      <w:r>
        <w:rPr>
          <w:highlight w:val="none"/>
        </w:rPr>
        <w:fldChar w:fldCharType="separate"/>
      </w:r>
      <w:r>
        <w:rPr>
          <w:rFonts w:hint="eastAsia" w:ascii="仿宋" w:hAnsi="仿宋" w:eastAsia="仿宋" w:cs="仿宋"/>
          <w:color w:val="000000"/>
          <w:kern w:val="0"/>
          <w:highlight w:val="none"/>
        </w:rPr>
        <w:t>陕西省政府采购信用融资平台</w:t>
      </w:r>
      <w:r>
        <w:rPr>
          <w:rFonts w:hint="eastAsia" w:ascii="仿宋" w:hAnsi="仿宋" w:eastAsia="仿宋" w:cs="仿宋"/>
          <w:color w:val="000000"/>
          <w:kern w:val="0"/>
          <w:highlight w:val="none"/>
        </w:rPr>
        <w:fldChar w:fldCharType="end"/>
      </w:r>
      <w:r>
        <w:rPr>
          <w:rFonts w:hint="eastAsia" w:ascii="仿宋" w:hAnsi="仿宋" w:eastAsia="仿宋" w:cs="仿宋"/>
          <w:color w:val="000000"/>
          <w:kern w:val="0"/>
          <w:highlight w:val="none"/>
        </w:rPr>
        <w:t>：</w:t>
      </w:r>
      <w:r>
        <w:rPr>
          <w:highlight w:val="none"/>
        </w:rPr>
        <w:fldChar w:fldCharType="begin"/>
      </w:r>
      <w:r>
        <w:rPr>
          <w:highlight w:val="none"/>
        </w:rPr>
        <w:instrText xml:space="preserve"> HYPERLINK "http://www.ccgp-shaanxi.gov.cn/zcdservice/zcd/shanxi/）。" </w:instrText>
      </w:r>
      <w:r>
        <w:rPr>
          <w:highlight w:val="none"/>
        </w:rPr>
        <w:fldChar w:fldCharType="separate"/>
      </w:r>
      <w:r>
        <w:rPr>
          <w:rFonts w:hint="eastAsia" w:ascii="仿宋" w:hAnsi="仿宋" w:eastAsia="仿宋" w:cs="仿宋"/>
          <w:color w:val="000000"/>
          <w:kern w:val="0"/>
          <w:highlight w:val="none"/>
        </w:rPr>
        <w:t>http://www.ccgp-shaanxi.gov.cn/zcdservice/zcd/shanxi/）。</w:t>
      </w:r>
      <w:r>
        <w:rPr>
          <w:rFonts w:hint="eastAsia" w:ascii="仿宋" w:hAnsi="仿宋" w:eastAsia="仿宋" w:cs="仿宋"/>
          <w:color w:val="000000"/>
          <w:kern w:val="0"/>
          <w:highlight w:val="none"/>
        </w:rPr>
        <w:fldChar w:fldCharType="end"/>
      </w:r>
    </w:p>
    <w:p w14:paraId="7DB02E89">
      <w:pPr>
        <w:widowControl w:val="0"/>
        <w:wordWrap w:val="0"/>
        <w:spacing w:line="500" w:lineRule="exact"/>
        <w:ind w:firstLine="566" w:firstLineChars="200"/>
        <w:jc w:val="left"/>
        <w:rPr>
          <w:rFonts w:ascii="仿宋" w:hAnsi="仿宋" w:eastAsia="仿宋" w:cs="仿宋"/>
          <w:color w:val="000000"/>
          <w:highlight w:val="none"/>
        </w:rPr>
      </w:pPr>
      <w:r>
        <w:rPr>
          <w:rFonts w:hint="eastAsia" w:ascii="仿宋" w:hAnsi="仿宋" w:eastAsia="仿宋" w:cs="仿宋"/>
          <w:b/>
          <w:bCs/>
          <w:color w:val="000000"/>
          <w:highlight w:val="none"/>
        </w:rPr>
        <w:t>本项目为专门面向中小企业采购的采购项目，因此，不再执行价格评审优惠扶持政策。</w:t>
      </w:r>
    </w:p>
    <w:p w14:paraId="44611484">
      <w:pPr>
        <w:pStyle w:val="3"/>
        <w:widowControl w:val="0"/>
        <w:spacing w:line="500" w:lineRule="exact"/>
        <w:ind w:firstLine="486" w:firstLineChars="200"/>
        <w:rPr>
          <w:rFonts w:ascii="仿宋" w:hAnsi="仿宋" w:eastAsia="仿宋" w:cs="仿宋"/>
          <w:color w:val="000000"/>
          <w:sz w:val="28"/>
          <w:szCs w:val="28"/>
          <w:highlight w:val="none"/>
        </w:rPr>
      </w:pPr>
      <w:bookmarkStart w:id="202" w:name="_Toc16521"/>
      <w:bookmarkStart w:id="203" w:name="_Toc12457"/>
      <w:bookmarkStart w:id="204" w:name="_Toc8574"/>
      <w:bookmarkStart w:id="205" w:name="_Toc31059"/>
      <w:bookmarkStart w:id="206" w:name="_Toc7022"/>
      <w:bookmarkStart w:id="207" w:name="_Toc17299"/>
      <w:bookmarkStart w:id="208" w:name="_Toc31796"/>
      <w:bookmarkStart w:id="209" w:name="_Toc19177"/>
      <w:bookmarkStart w:id="210" w:name="_Toc26817"/>
      <w:bookmarkStart w:id="211" w:name="_Toc11258"/>
      <w:bookmarkStart w:id="212" w:name="_Toc25009"/>
      <w:r>
        <w:rPr>
          <w:rFonts w:hint="eastAsia" w:ascii="仿宋" w:hAnsi="仿宋" w:eastAsia="仿宋" w:cs="仿宋"/>
          <w:color w:val="000000"/>
          <w:sz w:val="24"/>
          <w:szCs w:val="24"/>
          <w:highlight w:val="none"/>
        </w:rPr>
        <w:t>备注：中小企业的定义参照本款第一至三条。</w:t>
      </w:r>
      <w:bookmarkEnd w:id="202"/>
      <w:bookmarkEnd w:id="203"/>
      <w:bookmarkEnd w:id="204"/>
      <w:bookmarkEnd w:id="205"/>
      <w:bookmarkEnd w:id="206"/>
      <w:bookmarkEnd w:id="207"/>
      <w:bookmarkEnd w:id="208"/>
      <w:bookmarkEnd w:id="209"/>
      <w:bookmarkEnd w:id="210"/>
      <w:bookmarkEnd w:id="211"/>
      <w:bookmarkEnd w:id="212"/>
    </w:p>
    <w:p w14:paraId="774C59C8">
      <w:pPr>
        <w:pStyle w:val="3"/>
        <w:widowControl w:val="0"/>
        <w:spacing w:line="500" w:lineRule="exact"/>
        <w:ind w:firstLine="566" w:firstLineChars="200"/>
        <w:rPr>
          <w:rFonts w:ascii="仿宋" w:hAnsi="仿宋" w:eastAsia="仿宋" w:cs="仿宋"/>
          <w:color w:val="000000"/>
          <w:sz w:val="28"/>
          <w:szCs w:val="28"/>
          <w:highlight w:val="none"/>
        </w:rPr>
      </w:pPr>
      <w:bookmarkStart w:id="213" w:name="_Toc10662"/>
      <w:bookmarkStart w:id="214" w:name="_Toc6904"/>
      <w:bookmarkStart w:id="215" w:name="_Toc21476"/>
      <w:bookmarkStart w:id="216" w:name="_Toc3481"/>
      <w:bookmarkStart w:id="217" w:name="_Toc13123"/>
      <w:bookmarkStart w:id="218" w:name="_Toc12197"/>
      <w:bookmarkStart w:id="219" w:name="_Toc15838"/>
      <w:bookmarkStart w:id="220" w:name="_Toc7844"/>
      <w:bookmarkStart w:id="221" w:name="_Toc14521"/>
      <w:bookmarkStart w:id="222" w:name="_Toc5007"/>
      <w:bookmarkStart w:id="223" w:name="_Toc6890"/>
      <w:r>
        <w:rPr>
          <w:rFonts w:hint="eastAsia" w:ascii="仿宋" w:hAnsi="仿宋" w:eastAsia="仿宋" w:cs="仿宋"/>
          <w:color w:val="000000"/>
          <w:sz w:val="28"/>
          <w:szCs w:val="28"/>
          <w:highlight w:val="none"/>
        </w:rPr>
        <w:t>（六）关于产品和服务</w:t>
      </w:r>
      <w:bookmarkEnd w:id="196"/>
      <w:bookmarkEnd w:id="197"/>
      <w:bookmarkEnd w:id="198"/>
      <w:bookmarkEnd w:id="199"/>
      <w:bookmarkEnd w:id="200"/>
      <w:bookmarkEnd w:id="201"/>
      <w:bookmarkEnd w:id="213"/>
      <w:bookmarkEnd w:id="214"/>
      <w:bookmarkEnd w:id="215"/>
      <w:bookmarkEnd w:id="216"/>
      <w:bookmarkEnd w:id="217"/>
      <w:bookmarkEnd w:id="218"/>
      <w:bookmarkEnd w:id="219"/>
      <w:bookmarkEnd w:id="220"/>
      <w:bookmarkEnd w:id="221"/>
      <w:bookmarkEnd w:id="222"/>
      <w:bookmarkEnd w:id="223"/>
    </w:p>
    <w:p w14:paraId="01C2C684">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所有产品必须具有在中国境内法定许可的生产及销售资格，且为全新原厂制造，其核心关键部分为近10个月内所生产的非淘汰类产品；属于《中华人民共和国实施强制性产品认证的产品目录》的产品，就不能提供超出此目录范畴外的替代品，此外，还须同时具备国家认监委颁布《中国强制认证》（CCC认证）。</w:t>
      </w:r>
    </w:p>
    <w:p w14:paraId="64DC4B95">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采购的产品属于政府采购节能产品、环境标志产品品目清单范围的，供应商需提供国家确定的认证机构出具的、处于有效期之内的节能产品、环境标志产品认证证书，对获得证书的产品实施政府优先采购或强制采购。</w:t>
      </w:r>
    </w:p>
    <w:p w14:paraId="31DE933B">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3、主机设备要有标准配置清单，使用操作及安全须知等重要资料应附有中文说明；国内制造的产品必须同时具备出厂合格证和相关检测报告。购置的计算机设备必须配有正版合法的经采购人认可的操作系统和软件。</w:t>
      </w:r>
    </w:p>
    <w:p w14:paraId="70AF1E79">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4、根据《政府采购进口产品管理办法》（财库〔2007〕119号）与《关于政府采购进口产品管理有关问题的通知》（财办库[2008]248号）的有关规定，未经核准同意，供应商磋商时必须提供本国产品，供应商以进口产品参与磋商的，将作无效磋商处理。</w:t>
      </w:r>
    </w:p>
    <w:p w14:paraId="0EBDA72E">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5、如磋商文件中已说明，经政府采购管理部门审核同意，允许部分或全部产品采购进口产品，供应商既可提供本国产品，也可以提供进口产品。在提供的进口产品中，优先采购向我国供应商转让技术、与我国供应商签订消化吸收再创新方案的供应商的进口产品。进口产品必须同时具备原产地证明、中国商检证明及合法进货渠道全套单证。</w:t>
      </w:r>
    </w:p>
    <w:p w14:paraId="7931EE4D">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6、如采购的产品属于列入《网络关键设备和网络安全专用产品目录》（如目录有更新，以最新的为准）的网络安全专用产品的，供应商应当提供经安全检测或安全认证的产品或已经获得《计算机信息系统安全专用产品销售许可证》且尚在有效期内的产品。</w:t>
      </w:r>
    </w:p>
    <w:p w14:paraId="1C33B31A">
      <w:pPr>
        <w:pStyle w:val="3"/>
        <w:widowControl w:val="0"/>
        <w:spacing w:line="500" w:lineRule="exact"/>
        <w:ind w:firstLine="566" w:firstLineChars="200"/>
        <w:rPr>
          <w:rFonts w:ascii="仿宋" w:hAnsi="仿宋" w:eastAsia="仿宋" w:cs="仿宋"/>
          <w:color w:val="000000"/>
          <w:sz w:val="28"/>
          <w:szCs w:val="28"/>
          <w:highlight w:val="none"/>
        </w:rPr>
      </w:pPr>
      <w:bookmarkStart w:id="224" w:name="_Toc20544"/>
      <w:bookmarkStart w:id="225" w:name="_Toc8496"/>
      <w:bookmarkStart w:id="226" w:name="_Toc18050"/>
      <w:bookmarkStart w:id="227" w:name="_Toc4616"/>
      <w:bookmarkStart w:id="228" w:name="_Toc8024"/>
      <w:bookmarkStart w:id="229" w:name="_Toc27948"/>
      <w:bookmarkStart w:id="230" w:name="_Toc26211"/>
      <w:bookmarkStart w:id="231" w:name="_Toc8680"/>
      <w:bookmarkStart w:id="232" w:name="_Toc27587"/>
      <w:bookmarkStart w:id="233" w:name="_Toc7045"/>
      <w:bookmarkStart w:id="234" w:name="_Toc834"/>
      <w:bookmarkStart w:id="235" w:name="_Toc13203"/>
      <w:bookmarkStart w:id="236" w:name="_Toc20749"/>
      <w:bookmarkStart w:id="237" w:name="_Toc32447"/>
      <w:bookmarkStart w:id="238" w:name="_Toc19152"/>
      <w:bookmarkStart w:id="239" w:name="_Toc14421"/>
      <w:bookmarkStart w:id="240" w:name="_Toc28916"/>
      <w:r>
        <w:rPr>
          <w:rFonts w:hint="eastAsia" w:ascii="仿宋" w:hAnsi="仿宋" w:eastAsia="仿宋" w:cs="仿宋"/>
          <w:color w:val="000000"/>
          <w:sz w:val="28"/>
          <w:szCs w:val="28"/>
          <w:highlight w:val="none"/>
        </w:rPr>
        <w:t>（七）关于同一品牌产品的处理</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p w14:paraId="4095244C">
      <w:pPr>
        <w:spacing w:line="500" w:lineRule="exact"/>
        <w:ind w:firstLine="566" w:firstLineChars="200"/>
        <w:rPr>
          <w:rFonts w:ascii="仿宋" w:hAnsi="仿宋" w:eastAsia="仿宋" w:cs="仿宋"/>
          <w:bCs/>
          <w:color w:val="000000"/>
          <w:highlight w:val="none"/>
        </w:rPr>
      </w:pPr>
      <w:r>
        <w:rPr>
          <w:rFonts w:hint="eastAsia" w:ascii="仿宋" w:hAnsi="仿宋" w:eastAsia="仿宋" w:cs="仿宋"/>
          <w:bCs/>
          <w:color w:val="000000"/>
          <w:highlight w:val="none"/>
        </w:rPr>
        <w:t>1、单一产品采购项目中，提供相同品牌的产品的不同供应商参加同一合同项下投标的，提供相同品牌产品且通过资格审查、符合性审查的不同供应商，按一家供应商计算，评审后得分最高的同品牌供应商获得成交供应商推荐资格；评审得分相同的，由磋商小组按照最后报价最低的方式确定一个获得成交供应商推荐资格，其他同品牌供应商不作为成交候选人。</w:t>
      </w:r>
    </w:p>
    <w:p w14:paraId="75F18CCD">
      <w:pPr>
        <w:widowControl w:val="0"/>
        <w:spacing w:line="500" w:lineRule="exact"/>
        <w:ind w:firstLine="566" w:firstLineChars="200"/>
        <w:rPr>
          <w:rFonts w:ascii="仿宋" w:hAnsi="仿宋" w:eastAsia="仿宋" w:cs="仿宋"/>
          <w:bCs/>
          <w:color w:val="000000"/>
          <w:highlight w:val="none"/>
        </w:rPr>
      </w:pPr>
      <w:r>
        <w:rPr>
          <w:rFonts w:hint="eastAsia" w:ascii="仿宋" w:hAnsi="仿宋" w:eastAsia="仿宋" w:cs="仿宋"/>
          <w:bCs/>
          <w:color w:val="000000"/>
          <w:highlight w:val="none"/>
        </w:rPr>
        <w:t>2、非单一产品采购项目，采购人将根据采购项目技术构成、产品价格比重等因素确定核心产品（可能不止一种），并在磋商文件中载明。提供相同品牌的核心产品且通过资格审查、符合性审查的不同供应商参加同一合同项下投标的，按一家供应商计算，评审后得分最高的同品牌供应商获得成交供应商推荐资格；评审得分相同的，由磋商小组按照最后报价最低的方式确定一个获得成交供应商推荐资格，其他同品牌供应商不作为成交候选人。</w:t>
      </w:r>
    </w:p>
    <w:p w14:paraId="606646F6">
      <w:pPr>
        <w:widowControl w:val="0"/>
        <w:spacing w:line="500" w:lineRule="exact"/>
        <w:ind w:firstLine="566" w:firstLineChars="200"/>
        <w:rPr>
          <w:rFonts w:ascii="仿宋" w:hAnsi="仿宋" w:eastAsia="仿宋" w:cs="仿宋"/>
          <w:bCs/>
          <w:color w:val="000000"/>
          <w:highlight w:val="none"/>
        </w:rPr>
      </w:pPr>
      <w:r>
        <w:rPr>
          <w:rFonts w:hint="eastAsia" w:ascii="仿宋" w:hAnsi="仿宋" w:eastAsia="仿宋" w:cs="仿宋"/>
          <w:bCs/>
          <w:color w:val="000000"/>
          <w:highlight w:val="none"/>
        </w:rPr>
        <w:t>3、核心产品为两个以上时，多家供应商提供的核心产品有部分采用或全部采用相同品牌的，按一家供应商计算。</w:t>
      </w:r>
    </w:p>
    <w:p w14:paraId="0C907CA7">
      <w:pPr>
        <w:pStyle w:val="3"/>
        <w:widowControl w:val="0"/>
        <w:spacing w:line="500" w:lineRule="exact"/>
        <w:ind w:firstLine="566" w:firstLineChars="200"/>
        <w:rPr>
          <w:rFonts w:ascii="仿宋" w:hAnsi="仿宋" w:eastAsia="仿宋" w:cs="仿宋"/>
          <w:color w:val="000000"/>
          <w:sz w:val="28"/>
          <w:szCs w:val="28"/>
          <w:highlight w:val="none"/>
        </w:rPr>
      </w:pPr>
      <w:bookmarkStart w:id="241" w:name="_Toc16906"/>
      <w:bookmarkStart w:id="242" w:name="_Toc24108"/>
      <w:bookmarkStart w:id="243" w:name="_Toc29240"/>
      <w:bookmarkStart w:id="244" w:name="_Toc28988"/>
      <w:bookmarkStart w:id="245" w:name="_Toc1103"/>
      <w:bookmarkStart w:id="246" w:name="_Toc28189"/>
      <w:bookmarkStart w:id="247" w:name="_Toc13431"/>
      <w:bookmarkStart w:id="248" w:name="_Toc13927"/>
      <w:bookmarkStart w:id="249" w:name="_Toc17656"/>
      <w:bookmarkStart w:id="250" w:name="_Toc11747"/>
      <w:bookmarkStart w:id="251" w:name="_Toc13357"/>
      <w:bookmarkStart w:id="252" w:name="_Toc11009"/>
      <w:bookmarkStart w:id="253" w:name="_Toc26414"/>
      <w:bookmarkStart w:id="254" w:name="_Toc14044"/>
      <w:bookmarkStart w:id="255" w:name="_Toc8711"/>
      <w:bookmarkStart w:id="256" w:name="_Toc32737"/>
      <w:bookmarkStart w:id="257" w:name="_Toc18793"/>
      <w:r>
        <w:rPr>
          <w:rFonts w:hint="eastAsia" w:ascii="仿宋" w:hAnsi="仿宋" w:eastAsia="仿宋" w:cs="仿宋"/>
          <w:color w:val="000000"/>
          <w:sz w:val="28"/>
          <w:szCs w:val="28"/>
          <w:highlight w:val="none"/>
        </w:rPr>
        <w:t>（八）知识产权与保密事项</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p>
    <w:p w14:paraId="507C7641">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1、所有涉及知识产权的产品及设计，供应商必须确保采购人拥有其合法的、不受限制的无偿使用权，并免受任何侵权诉讼或索偿，否则，由此产生的一切经济损失和法律责任由供应商承担。</w:t>
      </w:r>
    </w:p>
    <w:p w14:paraId="2EEE8A9E">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由采购人向供应商提供的用户需求书、图纸、样品、模型、模件和所有资料，供应商获得后，应对其保密。除非采购人同意，供应商不得向第三方透露或将其用于本次磋商以外的任何用途。开标后，若采购人有要求，供应商须归还采购人认为需保密的文件和资料，并销毁所有相应的备份文件及资料。</w:t>
      </w:r>
    </w:p>
    <w:p w14:paraId="3BFFBBF3">
      <w:pPr>
        <w:pStyle w:val="3"/>
        <w:widowControl w:val="0"/>
        <w:spacing w:line="500" w:lineRule="exact"/>
        <w:ind w:firstLine="566" w:firstLineChars="200"/>
        <w:rPr>
          <w:rFonts w:ascii="仿宋" w:hAnsi="仿宋" w:eastAsia="仿宋" w:cs="仿宋"/>
          <w:color w:val="000000"/>
          <w:sz w:val="28"/>
          <w:szCs w:val="28"/>
          <w:highlight w:val="none"/>
        </w:rPr>
      </w:pPr>
      <w:bookmarkStart w:id="258" w:name="_Toc16026"/>
      <w:bookmarkStart w:id="259" w:name="_Toc7162"/>
      <w:bookmarkStart w:id="260" w:name="_Toc19717"/>
      <w:bookmarkStart w:id="261" w:name="_Toc27231"/>
      <w:bookmarkStart w:id="262" w:name="_Toc18494"/>
      <w:bookmarkStart w:id="263" w:name="_Toc12243"/>
      <w:bookmarkStart w:id="264" w:name="_Toc21084"/>
      <w:bookmarkStart w:id="265" w:name="_Toc9761"/>
      <w:bookmarkStart w:id="266" w:name="_Toc28939"/>
      <w:bookmarkStart w:id="267" w:name="_Toc2843"/>
      <w:bookmarkStart w:id="268" w:name="_Toc20526"/>
      <w:bookmarkStart w:id="269" w:name="_Toc32474"/>
      <w:bookmarkStart w:id="270" w:name="_Toc22405"/>
      <w:bookmarkStart w:id="271" w:name="_Toc8678"/>
      <w:bookmarkStart w:id="272" w:name="_Toc6418"/>
      <w:bookmarkStart w:id="273" w:name="_Toc30087"/>
      <w:bookmarkStart w:id="274" w:name="_Toc20800"/>
      <w:r>
        <w:rPr>
          <w:rFonts w:hint="eastAsia" w:ascii="仿宋" w:hAnsi="仿宋" w:eastAsia="仿宋" w:cs="仿宋"/>
          <w:color w:val="000000"/>
          <w:sz w:val="28"/>
          <w:szCs w:val="28"/>
          <w:highlight w:val="none"/>
        </w:rPr>
        <w:t>（九）供应商的磋商费用自理</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p>
    <w:p w14:paraId="56D1A48E">
      <w:pPr>
        <w:pStyle w:val="3"/>
        <w:widowControl w:val="0"/>
        <w:spacing w:line="500" w:lineRule="exact"/>
        <w:ind w:firstLine="566" w:firstLineChars="200"/>
        <w:rPr>
          <w:rFonts w:ascii="仿宋" w:hAnsi="仿宋" w:eastAsia="仿宋" w:cs="仿宋"/>
          <w:color w:val="000000"/>
          <w:sz w:val="28"/>
          <w:szCs w:val="28"/>
          <w:highlight w:val="none"/>
        </w:rPr>
      </w:pPr>
      <w:bookmarkStart w:id="275" w:name="_Toc24468"/>
      <w:bookmarkStart w:id="276" w:name="_Toc7599"/>
      <w:bookmarkStart w:id="277" w:name="_Toc25473"/>
      <w:bookmarkStart w:id="278" w:name="_Toc4623"/>
      <w:bookmarkStart w:id="279" w:name="_Toc21647"/>
      <w:bookmarkStart w:id="280" w:name="_Toc12204"/>
      <w:bookmarkStart w:id="281" w:name="_Toc4172"/>
      <w:bookmarkStart w:id="282" w:name="_Toc15884"/>
      <w:bookmarkStart w:id="283" w:name="_Toc26149"/>
      <w:bookmarkStart w:id="284" w:name="_Toc428"/>
      <w:bookmarkStart w:id="285" w:name="_Toc25418"/>
      <w:r>
        <w:rPr>
          <w:rFonts w:hint="eastAsia" w:ascii="仿宋" w:hAnsi="仿宋" w:eastAsia="仿宋" w:cs="仿宋"/>
          <w:color w:val="000000"/>
          <w:sz w:val="28"/>
          <w:szCs w:val="28"/>
          <w:highlight w:val="none"/>
        </w:rPr>
        <w:t>三、</w:t>
      </w:r>
      <w:bookmarkEnd w:id="275"/>
      <w:r>
        <w:rPr>
          <w:rFonts w:hint="eastAsia" w:ascii="仿宋" w:hAnsi="仿宋" w:eastAsia="仿宋" w:cs="仿宋"/>
          <w:color w:val="000000"/>
          <w:sz w:val="28"/>
          <w:szCs w:val="28"/>
          <w:highlight w:val="none"/>
        </w:rPr>
        <w:t>磋商文件</w:t>
      </w:r>
      <w:bookmarkEnd w:id="276"/>
      <w:bookmarkEnd w:id="277"/>
      <w:bookmarkEnd w:id="278"/>
      <w:bookmarkEnd w:id="279"/>
      <w:bookmarkEnd w:id="280"/>
      <w:bookmarkEnd w:id="281"/>
      <w:bookmarkEnd w:id="282"/>
      <w:bookmarkEnd w:id="283"/>
      <w:bookmarkEnd w:id="284"/>
      <w:bookmarkEnd w:id="285"/>
    </w:p>
    <w:p w14:paraId="19FBF44F">
      <w:pPr>
        <w:pStyle w:val="3"/>
        <w:widowControl w:val="0"/>
        <w:spacing w:line="500" w:lineRule="exact"/>
        <w:ind w:firstLine="566" w:firstLineChars="200"/>
        <w:rPr>
          <w:rFonts w:ascii="仿宋" w:hAnsi="仿宋" w:eastAsia="仿宋" w:cs="仿宋"/>
          <w:color w:val="000000"/>
          <w:sz w:val="28"/>
          <w:szCs w:val="28"/>
          <w:highlight w:val="none"/>
        </w:rPr>
      </w:pPr>
      <w:bookmarkStart w:id="286" w:name="_Toc9775"/>
      <w:bookmarkStart w:id="287" w:name="_Toc30473"/>
      <w:bookmarkStart w:id="288" w:name="_Toc2499"/>
      <w:bookmarkStart w:id="289" w:name="_Toc24925"/>
      <w:bookmarkStart w:id="290" w:name="_Toc22305"/>
      <w:bookmarkStart w:id="291" w:name="_Toc28730"/>
      <w:bookmarkStart w:id="292" w:name="_Toc5482"/>
      <w:bookmarkStart w:id="293" w:name="_Toc21427"/>
      <w:bookmarkStart w:id="294" w:name="_Toc6330"/>
      <w:bookmarkStart w:id="295" w:name="_Toc6889"/>
      <w:bookmarkStart w:id="296" w:name="_Toc14777"/>
      <w:bookmarkStart w:id="297" w:name="_Toc24360"/>
      <w:bookmarkStart w:id="298" w:name="_Toc6250"/>
      <w:bookmarkStart w:id="299" w:name="_Toc31772"/>
      <w:bookmarkStart w:id="300" w:name="_Toc6060"/>
      <w:bookmarkStart w:id="301" w:name="_Toc11989"/>
      <w:bookmarkStart w:id="302" w:name="_Toc22765"/>
      <w:r>
        <w:rPr>
          <w:rFonts w:hint="eastAsia" w:ascii="仿宋" w:hAnsi="仿宋" w:eastAsia="仿宋" w:cs="仿宋"/>
          <w:color w:val="000000"/>
          <w:sz w:val="28"/>
          <w:szCs w:val="28"/>
          <w:highlight w:val="none"/>
        </w:rPr>
        <w:t>（一）磋商文件包括下列内容</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016697BA">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第一章　磋商邀请函</w:t>
      </w:r>
    </w:p>
    <w:p w14:paraId="610AA11A">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第二章　供应商须知</w:t>
      </w:r>
    </w:p>
    <w:p w14:paraId="4B690CAE">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第三章　磋商内容及采购要求</w:t>
      </w:r>
    </w:p>
    <w:p w14:paraId="02F8F92D">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第四章　合同草案条款</w:t>
      </w:r>
    </w:p>
    <w:p w14:paraId="477B6B42">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第五章　响应文件构成及格式</w:t>
      </w:r>
    </w:p>
    <w:p w14:paraId="67725B27">
      <w:pPr>
        <w:pStyle w:val="3"/>
        <w:widowControl w:val="0"/>
        <w:spacing w:line="500" w:lineRule="exact"/>
        <w:ind w:firstLine="566" w:firstLineChars="200"/>
        <w:rPr>
          <w:rFonts w:ascii="仿宋" w:hAnsi="仿宋" w:eastAsia="仿宋" w:cs="仿宋"/>
          <w:color w:val="000000"/>
          <w:sz w:val="28"/>
          <w:szCs w:val="28"/>
          <w:highlight w:val="none"/>
        </w:rPr>
      </w:pPr>
      <w:bookmarkStart w:id="303" w:name="_Toc5020"/>
      <w:bookmarkStart w:id="304" w:name="_Toc17154"/>
      <w:bookmarkStart w:id="305" w:name="_Toc9316"/>
      <w:bookmarkStart w:id="306" w:name="_Toc16023"/>
      <w:bookmarkStart w:id="307" w:name="_Toc23491"/>
      <w:bookmarkStart w:id="308" w:name="_Toc17501"/>
      <w:bookmarkStart w:id="309" w:name="_Toc11973"/>
      <w:bookmarkStart w:id="310" w:name="_Toc10770"/>
      <w:bookmarkStart w:id="311" w:name="_Toc20821"/>
      <w:bookmarkStart w:id="312" w:name="_Toc2069"/>
      <w:bookmarkStart w:id="313" w:name="_Toc24053"/>
      <w:bookmarkStart w:id="314" w:name="_Toc8282"/>
      <w:bookmarkStart w:id="315" w:name="_Toc27079"/>
      <w:bookmarkStart w:id="316" w:name="_Toc12109"/>
      <w:bookmarkStart w:id="317" w:name="_Toc15437"/>
      <w:bookmarkStart w:id="318" w:name="_Toc21949"/>
      <w:bookmarkStart w:id="319" w:name="_Toc15214"/>
      <w:r>
        <w:rPr>
          <w:rFonts w:hint="eastAsia" w:ascii="仿宋" w:hAnsi="仿宋" w:eastAsia="仿宋" w:cs="仿宋"/>
          <w:color w:val="000000"/>
          <w:sz w:val="28"/>
          <w:szCs w:val="28"/>
          <w:highlight w:val="none"/>
        </w:rPr>
        <w:t>（二）磋商文件的检查及阅读</w:t>
      </w:r>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p>
    <w:p w14:paraId="1C74DBCA">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供应商下载磋商文件后应仔细阅读检查磋商文件中的所有内容，按照磋商文件中所列事项、条款、规范要求及格式，在响应文件中对磋商文件做出全面的响应，并按磋商文件的要求提交全部资料。</w:t>
      </w:r>
    </w:p>
    <w:p w14:paraId="4902CE12">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项目废标后重新组织招标的，陕西省省级单位政府采购中心将重新编制、发布新版磋商文件，供应商应按新版磋商文件重新编制响应文件。原磋商文件及响应文件失效。</w:t>
      </w:r>
    </w:p>
    <w:p w14:paraId="5929911E">
      <w:pPr>
        <w:widowControl w:val="0"/>
        <w:spacing w:line="500" w:lineRule="exact"/>
        <w:ind w:firstLine="566" w:firstLineChars="200"/>
        <w:rPr>
          <w:rFonts w:ascii="仿宋" w:hAnsi="仿宋" w:eastAsia="仿宋" w:cs="仿宋"/>
          <w:b/>
          <w:bCs/>
          <w:color w:val="000000"/>
          <w:highlight w:val="none"/>
        </w:rPr>
      </w:pPr>
      <w:r>
        <w:rPr>
          <w:rFonts w:hint="eastAsia" w:ascii="仿宋" w:hAnsi="仿宋" w:eastAsia="仿宋" w:cs="仿宋"/>
          <w:b/>
          <w:bCs/>
          <w:color w:val="000000"/>
          <w:highlight w:val="none"/>
        </w:rPr>
        <w:t>响应文件封面、响应函以及法定代表人授权委托书三处的项目名称、项目编号、标段（如有）应当与最新发布的磋商文件保持一致，否则将被视为无效响应文件。</w:t>
      </w:r>
    </w:p>
    <w:p w14:paraId="144567D0">
      <w:pPr>
        <w:pStyle w:val="3"/>
        <w:widowControl w:val="0"/>
        <w:spacing w:line="500" w:lineRule="exact"/>
        <w:ind w:firstLine="566" w:firstLineChars="200"/>
        <w:rPr>
          <w:rFonts w:ascii="仿宋" w:hAnsi="仿宋" w:eastAsia="仿宋" w:cs="仿宋"/>
          <w:color w:val="000000"/>
          <w:sz w:val="28"/>
          <w:szCs w:val="28"/>
          <w:highlight w:val="none"/>
        </w:rPr>
      </w:pPr>
      <w:bookmarkStart w:id="320" w:name="_Toc31813"/>
      <w:bookmarkStart w:id="321" w:name="_Toc29397"/>
      <w:bookmarkStart w:id="322" w:name="_Toc24326"/>
      <w:bookmarkStart w:id="323" w:name="_Toc15309"/>
      <w:bookmarkStart w:id="324" w:name="_Toc8999"/>
      <w:bookmarkStart w:id="325" w:name="_Toc17655"/>
      <w:bookmarkStart w:id="326" w:name="_Toc163"/>
      <w:bookmarkStart w:id="327" w:name="_Toc1771"/>
      <w:bookmarkStart w:id="328" w:name="_Toc14000"/>
      <w:bookmarkStart w:id="329" w:name="_Toc18527"/>
      <w:bookmarkStart w:id="330" w:name="_Toc3295"/>
      <w:bookmarkStart w:id="331" w:name="_Toc7575"/>
      <w:bookmarkStart w:id="332" w:name="_Toc30912"/>
      <w:bookmarkStart w:id="333" w:name="_Toc27564"/>
      <w:bookmarkStart w:id="334" w:name="_Toc6784"/>
      <w:bookmarkStart w:id="335" w:name="_Toc2096"/>
      <w:bookmarkStart w:id="336" w:name="_Toc13724"/>
      <w:r>
        <w:rPr>
          <w:rFonts w:hint="eastAsia" w:ascii="仿宋" w:hAnsi="仿宋" w:eastAsia="仿宋" w:cs="仿宋"/>
          <w:color w:val="000000"/>
          <w:sz w:val="28"/>
          <w:szCs w:val="28"/>
          <w:highlight w:val="none"/>
        </w:rPr>
        <w:t>（三）磋商文件的修改、澄清</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 w14:paraId="55F363EB">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在提交响应文件截止之日前，陕西省省级单位政府采购中心可对已发出的磋商文件进行必要的澄清或者修改，澄清或者修改的内容作为磋商文件的组成部分。澄清或者修改的内容可能影响响应文件编制的，陕西省省级单位政府采购中心将在提交响应文件截止之日至少5日前，在财政部门指定的政府采购信息发布媒体上</w:t>
      </w:r>
      <w:r>
        <w:rPr>
          <w:rFonts w:hint="eastAsia" w:ascii="仿宋" w:hAnsi="仿宋" w:eastAsia="仿宋" w:cs="仿宋"/>
          <w:b/>
          <w:bCs/>
          <w:color w:val="000000"/>
          <w:highlight w:val="none"/>
        </w:rPr>
        <w:t>发布更正公告</w:t>
      </w:r>
      <w:r>
        <w:rPr>
          <w:rFonts w:hint="eastAsia" w:ascii="仿宋" w:hAnsi="仿宋" w:eastAsia="仿宋" w:cs="仿宋"/>
          <w:color w:val="000000"/>
          <w:highlight w:val="none"/>
        </w:rPr>
        <w:t>；不足5日，陕西省省级单位政府采购中心将顺延提交响应文件的截止时间。</w:t>
      </w:r>
    </w:p>
    <w:p w14:paraId="6353049B">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供应商对磋商文件提出质疑的，应在获取磋商文件之日起起7个工作日内以书面形式提出，采购人以书面形式予以答复；在此之后提出的针对磋商文件的质疑为无效质疑。答复的内容可能影响响应文件编制的，陕西省省级单位政府采购中心将在财政部门指定的政府采购信息发布媒体上</w:t>
      </w:r>
      <w:r>
        <w:rPr>
          <w:rFonts w:hint="eastAsia" w:ascii="仿宋" w:hAnsi="仿宋" w:eastAsia="仿宋" w:cs="仿宋"/>
          <w:b/>
          <w:bCs/>
          <w:color w:val="000000"/>
          <w:highlight w:val="none"/>
        </w:rPr>
        <w:t>发布更正公告</w:t>
      </w:r>
      <w:r>
        <w:rPr>
          <w:rFonts w:hint="eastAsia" w:ascii="仿宋" w:hAnsi="仿宋" w:eastAsia="仿宋" w:cs="仿宋"/>
          <w:color w:val="000000"/>
          <w:highlight w:val="none"/>
        </w:rPr>
        <w:t>。</w:t>
      </w:r>
    </w:p>
    <w:p w14:paraId="038D8864">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3、各供应商在提交响应文件截止时间之前，应随时关注下列地址发布的变更公告，也可登录全国公共资源交易平台（陕西省）政府采购交易系统查看左上角的信息提醒，陕西省省级单位政府采购中心</w:t>
      </w:r>
      <w:r>
        <w:rPr>
          <w:rFonts w:hint="eastAsia" w:ascii="仿宋" w:hAnsi="仿宋" w:eastAsia="仿宋" w:cs="仿宋"/>
          <w:b/>
          <w:bCs/>
          <w:color w:val="000000"/>
          <w:highlight w:val="none"/>
        </w:rPr>
        <w:t>不再单独通知，因供应商未及时关注所造成的一切后果由供应商自行承担：</w:t>
      </w:r>
    </w:p>
    <w:p w14:paraId="061D32D1">
      <w:pPr>
        <w:wordWrap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w:t>
      </w:r>
      <w:r>
        <w:rPr>
          <w:rFonts w:hint="eastAsia"/>
          <w:highlight w:val="none"/>
        </w:rPr>
        <w:fldChar w:fldCharType="begin"/>
      </w:r>
      <w:r>
        <w:rPr>
          <w:rFonts w:hint="eastAsia" w:ascii="仿宋" w:hAnsi="仿宋" w:eastAsia="仿宋" w:cs="仿宋"/>
          <w:color w:val="000000"/>
          <w:highlight w:val="none"/>
        </w:rPr>
        <w:instrText xml:space="preserve"> HYPERLINK "http://www.ccgp-shaanxi.gov.cn/" </w:instrText>
      </w:r>
      <w:r>
        <w:rPr>
          <w:rFonts w:hint="eastAsia"/>
          <w:highlight w:val="none"/>
        </w:rPr>
        <w:fldChar w:fldCharType="separate"/>
      </w:r>
      <w:r>
        <w:rPr>
          <w:rStyle w:val="23"/>
          <w:rFonts w:hint="eastAsia" w:ascii="仿宋" w:hAnsi="仿宋" w:eastAsia="仿宋" w:cs="仿宋"/>
          <w:sz w:val="28"/>
          <w:szCs w:val="28"/>
          <w:highlight w:val="none"/>
        </w:rPr>
        <w:t>陕西省政府采购网</w:t>
      </w:r>
      <w:r>
        <w:rPr>
          <w:rStyle w:val="23"/>
          <w:rFonts w:hint="eastAsia" w:ascii="仿宋" w:hAnsi="仿宋" w:eastAsia="仿宋" w:cs="仿宋"/>
          <w:sz w:val="28"/>
          <w:szCs w:val="28"/>
          <w:highlight w:val="none"/>
        </w:rPr>
        <w:fldChar w:fldCharType="end"/>
      </w:r>
      <w:r>
        <w:rPr>
          <w:rFonts w:hint="eastAsia" w:ascii="仿宋" w:hAnsi="仿宋" w:eastAsia="仿宋" w:cs="仿宋"/>
          <w:color w:val="000000"/>
          <w:highlight w:val="none"/>
        </w:rPr>
        <w:t>（www.ccgp-shaanxi.gov.cn）】中的〖首页·〉省级公告·〉更正公告〗；</w:t>
      </w:r>
    </w:p>
    <w:p w14:paraId="3566CDDD">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（2）【全国公共资源交易平台（陕西省）</w:t>
      </w:r>
      <w:r>
        <w:rPr>
          <w:rFonts w:hint="eastAsia" w:ascii="仿宋" w:hAnsi="仿宋" w:eastAsia="仿宋" w:cs="仿宋"/>
          <w:color w:val="000000"/>
          <w:kern w:val="0"/>
          <w:highlight w:val="none"/>
        </w:rPr>
        <w:t>（</w:t>
      </w:r>
      <w:r>
        <w:rPr>
          <w:rFonts w:hint="eastAsia" w:ascii="仿宋" w:hAnsi="仿宋" w:eastAsia="仿宋" w:cs="仿宋"/>
          <w:color w:val="000000"/>
          <w:highlight w:val="none"/>
        </w:rPr>
        <w:t>http://www.sxggzyjy.cn/</w:t>
      </w:r>
      <w:r>
        <w:rPr>
          <w:rFonts w:hint="eastAsia" w:ascii="仿宋" w:hAnsi="仿宋" w:eastAsia="仿宋" w:cs="仿宋"/>
          <w:color w:val="000000"/>
          <w:kern w:val="0"/>
          <w:highlight w:val="none"/>
        </w:rPr>
        <w:t>）</w:t>
      </w:r>
      <w:r>
        <w:rPr>
          <w:rFonts w:hint="eastAsia" w:ascii="仿宋" w:hAnsi="仿宋" w:eastAsia="仿宋" w:cs="仿宋"/>
          <w:color w:val="000000"/>
          <w:highlight w:val="none"/>
        </w:rPr>
        <w:t>】中的〖首页·〉交易大厅·〉政府采购〗。</w:t>
      </w:r>
    </w:p>
    <w:p w14:paraId="3E905215">
      <w:pPr>
        <w:pStyle w:val="3"/>
        <w:widowControl w:val="0"/>
        <w:spacing w:line="500" w:lineRule="exact"/>
        <w:ind w:firstLine="566" w:firstLineChars="200"/>
        <w:rPr>
          <w:rFonts w:ascii="仿宋" w:hAnsi="仿宋" w:eastAsia="仿宋" w:cs="仿宋"/>
          <w:color w:val="000000"/>
          <w:sz w:val="28"/>
          <w:szCs w:val="28"/>
          <w:highlight w:val="none"/>
        </w:rPr>
      </w:pPr>
      <w:bookmarkStart w:id="337" w:name="_Toc22434"/>
      <w:bookmarkStart w:id="338" w:name="_Toc27500"/>
      <w:bookmarkStart w:id="339" w:name="_Toc24054"/>
      <w:bookmarkStart w:id="340" w:name="_Toc3288"/>
      <w:bookmarkStart w:id="341" w:name="_Toc25905"/>
      <w:bookmarkStart w:id="342" w:name="_Toc5846"/>
      <w:bookmarkStart w:id="343" w:name="_Toc2804"/>
      <w:bookmarkStart w:id="344" w:name="_Toc6011"/>
      <w:bookmarkStart w:id="345" w:name="_Toc28038"/>
      <w:bookmarkStart w:id="346" w:name="_Toc22396"/>
      <w:bookmarkStart w:id="347" w:name="_Toc9031"/>
      <w:bookmarkStart w:id="348" w:name="_Toc14724"/>
      <w:bookmarkStart w:id="349" w:name="_Toc11980"/>
      <w:bookmarkStart w:id="350" w:name="_Toc8600"/>
      <w:bookmarkStart w:id="351" w:name="_Toc25286"/>
      <w:bookmarkStart w:id="352" w:name="_Toc27253"/>
      <w:bookmarkStart w:id="353" w:name="_Toc24111"/>
      <w:r>
        <w:rPr>
          <w:rFonts w:hint="eastAsia" w:ascii="仿宋" w:hAnsi="仿宋" w:eastAsia="仿宋" w:cs="仿宋"/>
          <w:color w:val="000000"/>
          <w:sz w:val="28"/>
          <w:szCs w:val="28"/>
          <w:highlight w:val="none"/>
        </w:rPr>
        <w:t>（四）磋商文件的解释权归陕西省省级单位政府采购中心</w:t>
      </w:r>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p>
    <w:p w14:paraId="23B73F3C">
      <w:pPr>
        <w:pStyle w:val="3"/>
        <w:widowControl w:val="0"/>
        <w:spacing w:line="500" w:lineRule="exact"/>
        <w:ind w:firstLine="566" w:firstLineChars="200"/>
        <w:rPr>
          <w:rFonts w:ascii="仿宋" w:hAnsi="仿宋" w:eastAsia="仿宋" w:cs="仿宋"/>
          <w:color w:val="000000"/>
          <w:sz w:val="28"/>
          <w:szCs w:val="28"/>
          <w:highlight w:val="none"/>
        </w:rPr>
      </w:pPr>
      <w:bookmarkStart w:id="354" w:name="_Toc28026"/>
      <w:bookmarkStart w:id="355" w:name="_Toc1979"/>
      <w:bookmarkStart w:id="356" w:name="_Toc14376"/>
      <w:bookmarkStart w:id="357" w:name="_Toc5242"/>
      <w:bookmarkStart w:id="358" w:name="_Toc28961"/>
      <w:bookmarkStart w:id="359" w:name="_Toc7220"/>
      <w:bookmarkStart w:id="360" w:name="_Toc4051"/>
      <w:bookmarkStart w:id="361" w:name="_Toc16473"/>
      <w:bookmarkStart w:id="362" w:name="_Toc1001"/>
      <w:bookmarkStart w:id="363" w:name="_Toc2924"/>
      <w:bookmarkStart w:id="364" w:name="_Toc27280"/>
      <w:r>
        <w:rPr>
          <w:rFonts w:hint="eastAsia" w:ascii="仿宋" w:hAnsi="仿宋" w:eastAsia="仿宋" w:cs="仿宋"/>
          <w:color w:val="000000"/>
          <w:sz w:val="28"/>
          <w:szCs w:val="28"/>
          <w:highlight w:val="none"/>
        </w:rPr>
        <w:t>四、磋商报价</w:t>
      </w:r>
      <w:bookmarkEnd w:id="354"/>
      <w:bookmarkEnd w:id="355"/>
      <w:bookmarkEnd w:id="356"/>
      <w:bookmarkEnd w:id="357"/>
      <w:bookmarkEnd w:id="358"/>
      <w:bookmarkEnd w:id="359"/>
      <w:bookmarkEnd w:id="360"/>
      <w:bookmarkEnd w:id="361"/>
      <w:bookmarkEnd w:id="362"/>
      <w:bookmarkEnd w:id="363"/>
      <w:bookmarkEnd w:id="364"/>
    </w:p>
    <w:p w14:paraId="701CF09C">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磋商报价是供应商响应本项目要求的全部工作内容的价格体现，包括完成采购内容所需的直接费、间接费、利润、税金及其它相关的一切费用。供应商在报价时应充分考虑所有可能发生的费用，</w:t>
      </w:r>
      <w:r>
        <w:rPr>
          <w:rFonts w:hint="eastAsia" w:ascii="仿宋" w:hAnsi="仿宋" w:eastAsia="仿宋" w:cs="仿宋"/>
          <w:color w:val="000000"/>
          <w:highlight w:val="none"/>
          <w:lang w:val="zh-CN"/>
        </w:rPr>
        <w:t>磋商</w:t>
      </w:r>
      <w:r>
        <w:rPr>
          <w:rFonts w:hint="eastAsia" w:ascii="仿宋" w:hAnsi="仿宋" w:eastAsia="仿宋" w:cs="仿宋"/>
          <w:color w:val="000000"/>
          <w:highlight w:val="none"/>
        </w:rPr>
        <w:t>文件未列明，而供应商认为应当计取的费用均应列入报价中。报价时不论是否计取，采购人均按已计取对待。</w:t>
      </w:r>
    </w:p>
    <w:p w14:paraId="616DAC2B">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（一）供应商应按照《响应文件构成及格式》中《第一次磋商报价表》中的相关要求填写需要响应的内容。</w:t>
      </w:r>
    </w:p>
    <w:p w14:paraId="3B217DC9">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b/>
          <w:bCs/>
          <w:color w:val="000000"/>
          <w:highlight w:val="none"/>
        </w:rPr>
        <w:t>（二）磋商报价采取多轮报价的办法，最后报价作为计算价格分值的依据。供应商应在磋商当天，磋商小组规定的报价时间内，使用制作响应文件的数字认证证书（CA锁）登录全国公共资源交易平台（陕西省）网站〖首页·〉电子交易平台·〉供应商端〗后，在〖我的项目〗下找到本次磋商的项目，填写最后报价表，签章并提交。</w:t>
      </w:r>
    </w:p>
    <w:p w14:paraId="3853041A">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b/>
          <w:bCs/>
          <w:color w:val="000000"/>
          <w:highlight w:val="none"/>
        </w:rPr>
        <w:t>（三）如采购内容无实质性变更，各供应商的报价应逐次降低，本次报价超过采购预算或磋商文件规定的最高限价的，按无效响应处理；本次报价超过上次报价但未超过采购预算或磋商文件规定的最高限价的，或在规定时间内最后报价未提交、提交不成功的均为无效报价，按无效响应处理。</w:t>
      </w:r>
    </w:p>
    <w:p w14:paraId="349E88F3">
      <w:pPr>
        <w:pStyle w:val="5"/>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“规定时间”由现场工作人员具体确定。</w:t>
      </w:r>
    </w:p>
    <w:p w14:paraId="3043DEED">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供应商最终报价较首次报价降价的，成交后，签订合同时应按照成交价较首次报价的下浮比率修改分项报价表中的相应报价。</w:t>
      </w:r>
    </w:p>
    <w:p w14:paraId="75800D7C">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（四）</w:t>
      </w:r>
      <w:r>
        <w:rPr>
          <w:rFonts w:hint="eastAsia" w:ascii="仿宋" w:hAnsi="仿宋" w:eastAsia="仿宋" w:cs="仿宋"/>
          <w:color w:val="000000"/>
          <w:highlight w:val="none"/>
          <w:lang w:val="zh-CN"/>
        </w:rPr>
        <w:t>磋商</w:t>
      </w:r>
      <w:r>
        <w:rPr>
          <w:rFonts w:hint="eastAsia" w:ascii="仿宋" w:hAnsi="仿宋" w:eastAsia="仿宋" w:cs="仿宋"/>
          <w:color w:val="000000"/>
          <w:highlight w:val="none"/>
        </w:rPr>
        <w:t>报价货币：</w:t>
      </w:r>
      <w:r>
        <w:rPr>
          <w:rFonts w:hint="eastAsia" w:ascii="仿宋" w:hAnsi="仿宋" w:eastAsia="仿宋" w:cs="仿宋"/>
          <w:b/>
          <w:color w:val="000000"/>
          <w:highlight w:val="none"/>
        </w:rPr>
        <w:t>人民币</w:t>
      </w:r>
      <w:r>
        <w:rPr>
          <w:rFonts w:hint="eastAsia" w:ascii="仿宋" w:hAnsi="仿宋" w:eastAsia="仿宋" w:cs="仿宋"/>
          <w:color w:val="000000"/>
          <w:highlight w:val="none"/>
        </w:rPr>
        <w:t>；</w:t>
      </w:r>
      <w:r>
        <w:rPr>
          <w:rFonts w:hint="eastAsia" w:ascii="仿宋" w:hAnsi="仿宋" w:eastAsia="仿宋" w:cs="仿宋"/>
          <w:b/>
          <w:bCs/>
          <w:color w:val="000000"/>
          <w:highlight w:val="none"/>
        </w:rPr>
        <w:t>单位：元</w:t>
      </w:r>
      <w:r>
        <w:rPr>
          <w:rFonts w:ascii="仿宋" w:hAnsi="仿宋" w:eastAsia="仿宋" w:cs="仿宋"/>
          <w:b/>
          <w:bCs/>
          <w:color w:val="000000"/>
          <w:highlight w:val="none"/>
        </w:rPr>
        <w:t>（报价最多保留到小数点后 两位）。</w:t>
      </w:r>
    </w:p>
    <w:p w14:paraId="253014EF">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（五）磋商报价大小写不一致的以大写为准。</w:t>
      </w:r>
    </w:p>
    <w:p w14:paraId="5808E248">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（六）因供应商对磋商文件理解不透、误解、疏漏或对市场行情了解不清造成的后果和风险，均由供应商自己负责。</w:t>
      </w:r>
    </w:p>
    <w:p w14:paraId="5FBA8315">
      <w:pPr>
        <w:pStyle w:val="3"/>
        <w:widowControl w:val="0"/>
        <w:spacing w:line="500" w:lineRule="exact"/>
        <w:ind w:firstLine="566" w:firstLineChars="200"/>
        <w:rPr>
          <w:rFonts w:ascii="仿宋" w:hAnsi="仿宋" w:eastAsia="仿宋" w:cs="仿宋"/>
          <w:color w:val="000000"/>
          <w:sz w:val="28"/>
          <w:szCs w:val="28"/>
          <w:highlight w:val="none"/>
        </w:rPr>
      </w:pPr>
      <w:bookmarkStart w:id="365" w:name="_Toc31692"/>
      <w:bookmarkStart w:id="366" w:name="_Toc12280"/>
      <w:bookmarkStart w:id="367" w:name="_Toc19026"/>
      <w:bookmarkStart w:id="368" w:name="_Toc6872"/>
      <w:bookmarkStart w:id="369" w:name="_Toc3281"/>
      <w:bookmarkStart w:id="370" w:name="_Toc22071"/>
      <w:bookmarkStart w:id="371" w:name="_Toc25929"/>
      <w:bookmarkStart w:id="372" w:name="_Toc7451"/>
      <w:bookmarkStart w:id="373" w:name="_Toc5426"/>
      <w:bookmarkStart w:id="374" w:name="_Toc3888"/>
      <w:bookmarkStart w:id="375" w:name="_Toc4299"/>
      <w:r>
        <w:rPr>
          <w:rFonts w:hint="eastAsia" w:ascii="仿宋" w:hAnsi="仿宋" w:eastAsia="仿宋" w:cs="仿宋"/>
          <w:color w:val="000000"/>
          <w:sz w:val="28"/>
          <w:szCs w:val="28"/>
          <w:highlight w:val="none"/>
        </w:rPr>
        <w:t>五、</w:t>
      </w:r>
      <w:bookmarkEnd w:id="365"/>
      <w:r>
        <w:rPr>
          <w:rFonts w:hint="eastAsia" w:ascii="仿宋" w:hAnsi="仿宋" w:eastAsia="仿宋" w:cs="仿宋"/>
          <w:color w:val="000000"/>
          <w:sz w:val="28"/>
          <w:szCs w:val="28"/>
          <w:highlight w:val="none"/>
        </w:rPr>
        <w:t>响应文件</w:t>
      </w:r>
      <w:bookmarkEnd w:id="366"/>
      <w:bookmarkEnd w:id="367"/>
      <w:bookmarkEnd w:id="368"/>
      <w:bookmarkEnd w:id="369"/>
      <w:bookmarkEnd w:id="370"/>
      <w:bookmarkEnd w:id="371"/>
      <w:bookmarkEnd w:id="372"/>
      <w:bookmarkEnd w:id="373"/>
      <w:bookmarkEnd w:id="374"/>
      <w:bookmarkEnd w:id="375"/>
    </w:p>
    <w:p w14:paraId="349739F6">
      <w:pPr>
        <w:pStyle w:val="3"/>
        <w:widowControl w:val="0"/>
        <w:spacing w:line="500" w:lineRule="exact"/>
        <w:ind w:firstLine="566" w:firstLineChars="200"/>
        <w:rPr>
          <w:rFonts w:ascii="仿宋" w:hAnsi="仿宋" w:eastAsia="仿宋" w:cs="仿宋"/>
          <w:color w:val="000000"/>
          <w:sz w:val="28"/>
          <w:szCs w:val="28"/>
          <w:highlight w:val="none"/>
        </w:rPr>
      </w:pPr>
      <w:bookmarkStart w:id="376" w:name="_Toc7"/>
      <w:bookmarkStart w:id="377" w:name="_Toc4717"/>
      <w:bookmarkStart w:id="378" w:name="_Toc25351"/>
      <w:bookmarkStart w:id="379" w:name="_Toc30764"/>
      <w:bookmarkStart w:id="380" w:name="_Toc29620"/>
      <w:bookmarkStart w:id="381" w:name="_Toc32245"/>
      <w:bookmarkStart w:id="382" w:name="_Toc8984"/>
      <w:bookmarkStart w:id="383" w:name="_Toc1832"/>
      <w:bookmarkStart w:id="384" w:name="_Toc26681"/>
      <w:bookmarkStart w:id="385" w:name="_Toc14118"/>
      <w:bookmarkStart w:id="386" w:name="_Toc32439"/>
      <w:bookmarkStart w:id="387" w:name="_Toc26130"/>
      <w:bookmarkStart w:id="388" w:name="_Toc11403"/>
      <w:bookmarkStart w:id="389" w:name="_Toc23448"/>
      <w:bookmarkStart w:id="390" w:name="_Toc10242"/>
      <w:bookmarkStart w:id="391" w:name="_Toc10761"/>
      <w:bookmarkStart w:id="392" w:name="_Toc25332"/>
      <w:r>
        <w:rPr>
          <w:rFonts w:hint="eastAsia" w:ascii="仿宋" w:hAnsi="仿宋" w:eastAsia="仿宋" w:cs="仿宋"/>
          <w:color w:val="000000"/>
          <w:sz w:val="28"/>
          <w:szCs w:val="28"/>
          <w:highlight w:val="none"/>
        </w:rPr>
        <w:t>（一）响应文件形式</w:t>
      </w:r>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p>
    <w:p w14:paraId="4346461F">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本项目采用电子响应文件的形式。</w:t>
      </w:r>
    </w:p>
    <w:p w14:paraId="245E7941">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编制电子响应文件时，应使用最新发布的电子磋商文件及专用制作工具进行编制。并使用数字认证证书（CA锁）对电子响应文件进行签署、加密、递交及磋商时解密等相关操作。</w:t>
      </w:r>
    </w:p>
    <w:p w14:paraId="4F2242CA">
      <w:pPr>
        <w:widowControl w:val="0"/>
        <w:spacing w:line="500" w:lineRule="exact"/>
        <w:ind w:firstLine="566" w:firstLineChars="200"/>
        <w:rPr>
          <w:rFonts w:ascii="仿宋" w:hAnsi="仿宋" w:eastAsia="仿宋" w:cs="仿宋"/>
          <w:color w:val="000000"/>
          <w:highlight w:val="none"/>
        </w:rPr>
      </w:pPr>
      <w:bookmarkStart w:id="393" w:name="_Toc8183"/>
      <w:bookmarkStart w:id="394" w:name="_Toc12406"/>
      <w:bookmarkStart w:id="395" w:name="_Toc14227"/>
      <w:r>
        <w:rPr>
          <w:rFonts w:hint="eastAsia" w:ascii="仿宋" w:hAnsi="仿宋" w:eastAsia="仿宋" w:cs="仿宋"/>
          <w:color w:val="000000"/>
          <w:highlight w:val="none"/>
        </w:rPr>
        <w:t>1、电子磋商文件下载。供应商登录全国公共资源交易平台（陕西省）网站〖首页·〉电子交易平台·〉供应商端〗后，在〖招标公告/出让公告〗模块中选择项目点击“我要投标”，参与投标活动。然后即可在〖我的项目〗中点击“项目流程&gt;交易文件下载”下载电子磋商文件（*.SXSZF）。</w:t>
      </w:r>
    </w:p>
    <w:p w14:paraId="7BB6953D">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注意：该项目如有变更文件，则应点击“项目流程&gt;答疑文件下载”下载更新后的电子磋商文件（*.SXSCF），</w:t>
      </w:r>
      <w:r>
        <w:rPr>
          <w:rFonts w:hint="eastAsia" w:ascii="仿宋" w:hAnsi="仿宋" w:eastAsia="仿宋" w:cs="仿宋"/>
          <w:b/>
          <w:bCs/>
          <w:color w:val="000000"/>
          <w:highlight w:val="none"/>
        </w:rPr>
        <w:t>使用旧版电子磋商文件制作的电子响应文件，系统将拒绝接收。</w:t>
      </w:r>
    </w:p>
    <w:p w14:paraId="5A040F0C">
      <w:pPr>
        <w:widowControl w:val="0"/>
        <w:numPr>
          <w:ilvl w:val="0"/>
          <w:numId w:val="1"/>
        </w:num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电子磋商文件需要使用专用软件打开、浏览。供应商可在全国公共资源交易平台（陕西省）网站〖首页·〉服务指南·〉下载专区〗免费下载“陕西省公共资源交易平台政府采购电子标书制作工具”，并升级至最新版本，使用该客户端可以打开电子磋商文件。软件操作手册详见全国公共资源交易平台（陕西省）网站〖首页·〉服务指南·〉下载专区〗中的《陕西省公共资源交易（政府采购类）响应文件制作软件操作手册》。</w:t>
      </w:r>
    </w:p>
    <w:p w14:paraId="33394D31">
      <w:pPr>
        <w:widowControl w:val="0"/>
        <w:numPr>
          <w:ilvl w:val="0"/>
          <w:numId w:val="1"/>
        </w:num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制作电子响应文件。电子响应文件同样需要使用上述软件进行编制。在编制过程中，如有技术性问题，请先翻阅操作手册，或致电软件开发商。</w:t>
      </w:r>
      <w:r>
        <w:rPr>
          <w:rFonts w:hint="eastAsia" w:ascii="仿宋" w:hAnsi="仿宋" w:eastAsia="仿宋" w:cs="仿宋"/>
          <w:b/>
          <w:bCs/>
          <w:color w:val="000000"/>
          <w:highlight w:val="none"/>
        </w:rPr>
        <w:t>技术支持热线：0512-58188039。</w:t>
      </w:r>
    </w:p>
    <w:p w14:paraId="7E55F43F">
      <w:pPr>
        <w:pStyle w:val="3"/>
        <w:widowControl w:val="0"/>
        <w:spacing w:line="500" w:lineRule="exact"/>
        <w:ind w:firstLine="566" w:firstLineChars="200"/>
        <w:rPr>
          <w:rFonts w:ascii="仿宋" w:hAnsi="仿宋" w:eastAsia="仿宋" w:cs="仿宋"/>
          <w:color w:val="000000"/>
          <w:sz w:val="28"/>
          <w:szCs w:val="28"/>
          <w:highlight w:val="none"/>
        </w:rPr>
      </w:pPr>
      <w:bookmarkStart w:id="396" w:name="_Toc6315"/>
      <w:bookmarkStart w:id="397" w:name="_Toc2685"/>
      <w:bookmarkStart w:id="398" w:name="_Toc2119"/>
      <w:bookmarkStart w:id="399" w:name="_Toc29206"/>
      <w:bookmarkStart w:id="400" w:name="_Toc27046"/>
      <w:bookmarkStart w:id="401" w:name="_Toc11615"/>
      <w:bookmarkStart w:id="402" w:name="_Toc4517"/>
      <w:bookmarkStart w:id="403" w:name="_Toc31314"/>
      <w:bookmarkStart w:id="404" w:name="_Toc15710"/>
      <w:bookmarkStart w:id="405" w:name="_Toc15389"/>
      <w:bookmarkStart w:id="406" w:name="_Toc10412"/>
      <w:bookmarkStart w:id="407" w:name="_Toc19136"/>
      <w:bookmarkStart w:id="408" w:name="_Toc12887"/>
      <w:bookmarkStart w:id="409" w:name="_Toc26908"/>
      <w:r>
        <w:rPr>
          <w:rFonts w:hint="eastAsia" w:ascii="仿宋" w:hAnsi="仿宋" w:eastAsia="仿宋" w:cs="仿宋"/>
          <w:color w:val="000000"/>
          <w:sz w:val="28"/>
          <w:szCs w:val="28"/>
          <w:highlight w:val="none"/>
        </w:rPr>
        <w:t>（二）响应文件语言及有效期</w:t>
      </w:r>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p>
    <w:p w14:paraId="59B43145">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1、响应活动的所有文件、资料、函电文均使用简体中文，确需提交用其他语言形成的资料，必须翻译成简体中文，如有差异，以简体中文为准。</w:t>
      </w:r>
    </w:p>
    <w:p w14:paraId="54F78FAC">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2、响应文件有效期为</w:t>
      </w:r>
      <w:r>
        <w:rPr>
          <w:rFonts w:hint="eastAsia" w:ascii="仿宋" w:hAnsi="仿宋" w:eastAsia="仿宋" w:cs="仿宋"/>
          <w:b/>
          <w:bCs/>
          <w:color w:val="000000"/>
          <w:highlight w:val="none"/>
        </w:rPr>
        <w:t>自响应文件开启之日起90个日历日</w:t>
      </w:r>
      <w:r>
        <w:rPr>
          <w:rFonts w:hint="eastAsia" w:ascii="仿宋" w:hAnsi="仿宋" w:eastAsia="仿宋" w:cs="仿宋"/>
          <w:color w:val="000000"/>
          <w:highlight w:val="none"/>
        </w:rPr>
        <w:t>。如成交，延长至合同执行完毕时止。</w:t>
      </w:r>
    </w:p>
    <w:p w14:paraId="4F14980E">
      <w:pPr>
        <w:pStyle w:val="3"/>
        <w:widowControl w:val="0"/>
        <w:spacing w:line="500" w:lineRule="exact"/>
        <w:ind w:firstLine="566" w:firstLineChars="200"/>
        <w:rPr>
          <w:rFonts w:ascii="仿宋" w:hAnsi="仿宋" w:eastAsia="仿宋" w:cs="仿宋"/>
          <w:color w:val="000000"/>
          <w:sz w:val="28"/>
          <w:szCs w:val="28"/>
          <w:highlight w:val="none"/>
        </w:rPr>
      </w:pPr>
      <w:bookmarkStart w:id="410" w:name="_Toc20317"/>
      <w:bookmarkStart w:id="411" w:name="_Toc2348"/>
      <w:bookmarkStart w:id="412" w:name="_Toc21498"/>
      <w:bookmarkStart w:id="413" w:name="_Toc8949"/>
      <w:bookmarkStart w:id="414" w:name="_Toc2152"/>
      <w:bookmarkStart w:id="415" w:name="_Toc23377"/>
      <w:bookmarkStart w:id="416" w:name="_Toc30097"/>
      <w:bookmarkStart w:id="417" w:name="_Toc30493"/>
      <w:bookmarkStart w:id="418" w:name="_Toc10345"/>
      <w:bookmarkStart w:id="419" w:name="_Toc264"/>
      <w:bookmarkStart w:id="420" w:name="_Toc13610"/>
      <w:bookmarkStart w:id="421" w:name="_Toc8205"/>
      <w:bookmarkStart w:id="422" w:name="_Toc31689"/>
      <w:bookmarkStart w:id="423" w:name="_Toc19790"/>
      <w:bookmarkStart w:id="424" w:name="_Toc4668"/>
      <w:bookmarkStart w:id="425" w:name="_Toc11097"/>
      <w:bookmarkStart w:id="426" w:name="_Toc16167"/>
      <w:r>
        <w:rPr>
          <w:rFonts w:hint="eastAsia" w:ascii="仿宋" w:hAnsi="仿宋" w:eastAsia="仿宋" w:cs="仿宋"/>
          <w:color w:val="000000"/>
          <w:sz w:val="28"/>
          <w:szCs w:val="28"/>
          <w:highlight w:val="none"/>
        </w:rPr>
        <w:t>（三）响应文件的提交</w:t>
      </w:r>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4CA3AAEE">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电子响应文件可于提交响应文件截止时间前任意时段登录全国公共资源交易平台（陕西省）网站“电子交易平台&gt;供应商端”进行提交，逾期系统将拒绝接收。提交时，供应商应登录全国公共资源交易中心平台（陕西省），选择“首页&gt;电子交易平台&gt;供应商端&gt;我的项目”，点击“项目流程”，在打开的“项目管理”对话框中选择“上传响应文件”，上传加密的电子响应文件（*.SXSTF）。上传成功后，电子化平台将予以记录。</w:t>
      </w:r>
    </w:p>
    <w:p w14:paraId="112A981C">
      <w:pPr>
        <w:pStyle w:val="3"/>
        <w:widowControl w:val="0"/>
        <w:spacing w:line="500" w:lineRule="exact"/>
        <w:ind w:firstLine="566" w:firstLineChars="200"/>
        <w:rPr>
          <w:rFonts w:ascii="仿宋" w:hAnsi="仿宋" w:eastAsia="仿宋" w:cs="仿宋"/>
          <w:color w:val="000000"/>
          <w:sz w:val="28"/>
          <w:szCs w:val="28"/>
          <w:highlight w:val="none"/>
        </w:rPr>
      </w:pPr>
      <w:bookmarkStart w:id="427" w:name="_Toc5298"/>
      <w:bookmarkStart w:id="428" w:name="_Toc17486"/>
      <w:bookmarkStart w:id="429" w:name="_Toc21564"/>
      <w:bookmarkStart w:id="430" w:name="_Toc31979"/>
      <w:bookmarkStart w:id="431" w:name="_Toc17731"/>
      <w:bookmarkStart w:id="432" w:name="_Toc7340"/>
      <w:bookmarkStart w:id="433" w:name="_Toc11861"/>
      <w:bookmarkStart w:id="434" w:name="_Toc7750"/>
      <w:bookmarkStart w:id="435" w:name="_Toc7616"/>
      <w:bookmarkStart w:id="436" w:name="_Toc14858"/>
      <w:bookmarkStart w:id="437" w:name="_Toc29565"/>
      <w:bookmarkStart w:id="438" w:name="_Toc1454"/>
      <w:bookmarkStart w:id="439" w:name="_Toc17304"/>
      <w:bookmarkStart w:id="440" w:name="_Toc15581"/>
      <w:bookmarkStart w:id="441" w:name="_Toc17615"/>
      <w:bookmarkStart w:id="442" w:name="_Toc14210"/>
      <w:bookmarkStart w:id="443" w:name="_Toc10290"/>
      <w:r>
        <w:rPr>
          <w:rFonts w:hint="eastAsia" w:ascii="仿宋" w:hAnsi="仿宋" w:eastAsia="仿宋" w:cs="仿宋"/>
          <w:color w:val="000000"/>
          <w:sz w:val="28"/>
          <w:szCs w:val="28"/>
          <w:highlight w:val="none"/>
        </w:rPr>
        <w:t>（四）响应文件的补充、修改和撤回</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p>
    <w:p w14:paraId="4F6D94F5">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1、供应商在递交响应文件后，且在提交响应文件截止时间前，可以对所提交的响应文件进行补充、修改或撤回。</w:t>
      </w:r>
    </w:p>
    <w:p w14:paraId="4428447D">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2、对电子响应文件进行补充、修改的，应先从电子交易平台上撤回旧版，再重新提交新版。</w:t>
      </w:r>
    </w:p>
    <w:p w14:paraId="24987B8B">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3、响应文件提交截止时间后，供应商不得对其响应文件做任何修改。</w:t>
      </w:r>
    </w:p>
    <w:p w14:paraId="5F18439B">
      <w:pPr>
        <w:pStyle w:val="3"/>
        <w:widowControl w:val="0"/>
        <w:spacing w:line="500" w:lineRule="exact"/>
        <w:ind w:firstLine="566" w:firstLineChars="200"/>
        <w:rPr>
          <w:rFonts w:ascii="仿宋" w:hAnsi="仿宋" w:eastAsia="仿宋" w:cs="仿宋"/>
          <w:color w:val="000000"/>
          <w:sz w:val="28"/>
          <w:szCs w:val="28"/>
          <w:highlight w:val="none"/>
        </w:rPr>
      </w:pPr>
      <w:bookmarkStart w:id="444" w:name="_Toc26578"/>
      <w:bookmarkStart w:id="445" w:name="_Toc29303"/>
      <w:bookmarkStart w:id="446" w:name="_Toc4399"/>
      <w:bookmarkStart w:id="447" w:name="_Toc11426"/>
      <w:bookmarkStart w:id="448" w:name="_Toc25970"/>
      <w:bookmarkStart w:id="449" w:name="_Toc649"/>
      <w:bookmarkStart w:id="450" w:name="_Toc15674"/>
      <w:bookmarkStart w:id="451" w:name="_Toc8523"/>
      <w:bookmarkStart w:id="452" w:name="_Toc20024"/>
      <w:bookmarkStart w:id="453" w:name="_Toc16097"/>
      <w:bookmarkStart w:id="454" w:name="_Toc32702"/>
      <w:bookmarkStart w:id="455" w:name="_Toc28508"/>
      <w:bookmarkStart w:id="456" w:name="_Toc27539"/>
      <w:bookmarkStart w:id="457" w:name="_Toc1670"/>
      <w:bookmarkStart w:id="458" w:name="_Toc6034"/>
      <w:bookmarkStart w:id="459" w:name="_Toc19864"/>
      <w:bookmarkStart w:id="460" w:name="_Toc32126"/>
      <w:r>
        <w:rPr>
          <w:rFonts w:hint="eastAsia" w:ascii="仿宋" w:hAnsi="仿宋" w:eastAsia="仿宋" w:cs="仿宋"/>
          <w:color w:val="000000"/>
          <w:sz w:val="28"/>
          <w:szCs w:val="28"/>
          <w:highlight w:val="none"/>
        </w:rPr>
        <w:t>（五）供应商提交响应文件时，出现下列情况之一的，其响应文件将被拒绝接收：</w:t>
      </w:r>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p>
    <w:p w14:paraId="79890C97">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1、逾期提交电子响应文件；</w:t>
      </w:r>
    </w:p>
    <w:p w14:paraId="5B58002B">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2、提交的电子响应文件与本项目不相符的。</w:t>
      </w:r>
    </w:p>
    <w:p w14:paraId="721C0F45">
      <w:pPr>
        <w:pStyle w:val="3"/>
        <w:widowControl w:val="0"/>
        <w:spacing w:line="500" w:lineRule="exact"/>
        <w:ind w:firstLine="566" w:firstLineChars="200"/>
        <w:rPr>
          <w:rFonts w:ascii="仿宋" w:hAnsi="仿宋" w:eastAsia="仿宋" w:cs="仿宋"/>
          <w:color w:val="000000"/>
          <w:sz w:val="28"/>
          <w:szCs w:val="28"/>
          <w:highlight w:val="none"/>
        </w:rPr>
      </w:pPr>
      <w:bookmarkStart w:id="461" w:name="_Toc9084"/>
      <w:bookmarkStart w:id="462" w:name="_Toc718"/>
      <w:bookmarkStart w:id="463" w:name="_Toc10162"/>
      <w:bookmarkStart w:id="464" w:name="_Toc24946"/>
      <w:bookmarkStart w:id="465" w:name="_Toc7073"/>
      <w:bookmarkStart w:id="466" w:name="_Toc6874"/>
      <w:bookmarkStart w:id="467" w:name="_Toc19339"/>
      <w:bookmarkStart w:id="468" w:name="_Toc19210"/>
      <w:bookmarkStart w:id="469" w:name="_Toc2818"/>
      <w:bookmarkStart w:id="470" w:name="_Toc6878"/>
      <w:bookmarkStart w:id="471" w:name="_Toc5762"/>
      <w:r>
        <w:rPr>
          <w:rFonts w:hint="eastAsia" w:ascii="仿宋" w:hAnsi="仿宋" w:eastAsia="仿宋" w:cs="仿宋"/>
          <w:color w:val="000000"/>
          <w:sz w:val="28"/>
          <w:szCs w:val="28"/>
          <w:highlight w:val="none"/>
        </w:rPr>
        <w:t>六、</w:t>
      </w:r>
      <w:bookmarkEnd w:id="461"/>
      <w:r>
        <w:rPr>
          <w:rFonts w:hint="eastAsia" w:ascii="仿宋" w:hAnsi="仿宋" w:eastAsia="仿宋" w:cs="仿宋"/>
          <w:color w:val="000000"/>
          <w:sz w:val="28"/>
          <w:szCs w:val="28"/>
          <w:highlight w:val="none"/>
        </w:rPr>
        <w:t>开启响应文件</w:t>
      </w:r>
      <w:bookmarkEnd w:id="462"/>
      <w:bookmarkEnd w:id="463"/>
      <w:bookmarkEnd w:id="464"/>
      <w:bookmarkEnd w:id="465"/>
      <w:bookmarkEnd w:id="466"/>
      <w:bookmarkEnd w:id="467"/>
      <w:bookmarkEnd w:id="468"/>
      <w:bookmarkEnd w:id="469"/>
      <w:bookmarkEnd w:id="470"/>
      <w:bookmarkEnd w:id="471"/>
    </w:p>
    <w:p w14:paraId="3EFD7578">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（一）陕西省省级单位政府采购中心组织开标、评审工作，整个过程受政府采购监管机构的监督、管理。</w:t>
      </w:r>
    </w:p>
    <w:p w14:paraId="63486819">
      <w:pPr>
        <w:wordWrap w:val="0"/>
        <w:spacing w:line="500" w:lineRule="exact"/>
        <w:ind w:firstLine="566" w:firstLineChars="200"/>
        <w:jc w:val="left"/>
        <w:rPr>
          <w:rFonts w:ascii="仿宋" w:hAnsi="仿宋" w:eastAsia="仿宋" w:cs="仿宋"/>
          <w:color w:val="000000"/>
          <w:highlight w:val="none"/>
        </w:rPr>
      </w:pPr>
      <w:r>
        <w:rPr>
          <w:rFonts w:hint="eastAsia" w:ascii="仿宋" w:hAnsi="仿宋" w:eastAsia="仿宋" w:cs="仿宋"/>
          <w:b/>
          <w:bCs/>
          <w:color w:val="000000"/>
          <w:highlight w:val="none"/>
        </w:rPr>
        <w:t>（二）陕西省省级单位政府采购中心在磋商文件规定的时间和地点组织开标，供应商须派法定代表人或被授权代表参加。</w:t>
      </w:r>
    </w:p>
    <w:p w14:paraId="67016F56">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参加磋商的供应商不足3家的，不得开启。</w:t>
      </w:r>
    </w:p>
    <w:p w14:paraId="535C9E55">
      <w:pPr>
        <w:widowControl w:val="0"/>
        <w:spacing w:line="500" w:lineRule="exact"/>
        <w:ind w:firstLine="566" w:firstLineChars="200"/>
        <w:jc w:val="left"/>
        <w:rPr>
          <w:rFonts w:ascii="仿宋" w:hAnsi="仿宋" w:eastAsia="仿宋" w:cs="仿宋"/>
          <w:color w:val="000000"/>
          <w:highlight w:val="none"/>
        </w:rPr>
      </w:pPr>
      <w:r>
        <w:rPr>
          <w:rFonts w:hint="eastAsia" w:ascii="仿宋" w:hAnsi="仿宋" w:eastAsia="仿宋" w:cs="仿宋"/>
          <w:color w:val="000000"/>
          <w:highlight w:val="none"/>
        </w:rPr>
        <w:t>（三）开启时，陕西省省级单位政府采购中心现场工作人员将根据项</w:t>
      </w:r>
    </w:p>
    <w:p w14:paraId="25331148">
      <w:pPr>
        <w:widowControl w:val="0"/>
        <w:spacing w:line="500" w:lineRule="exact"/>
        <w:rPr>
          <w:rFonts w:ascii="仿宋" w:hAnsi="仿宋" w:eastAsia="仿宋" w:cs="仿宋"/>
          <w:color w:val="000000"/>
          <w:highlight w:val="none"/>
        </w:rPr>
      </w:pPr>
      <w:r>
        <w:rPr>
          <w:rFonts w:hint="eastAsia" w:ascii="仿宋" w:hAnsi="仿宋" w:eastAsia="仿宋" w:cs="仿宋"/>
          <w:color w:val="000000"/>
          <w:highlight w:val="none"/>
        </w:rPr>
        <w:t>目供应商数约定解密时长，供应商应在规定时间内，使用电子响应文件加密时所用的数字认证证书（CA锁）在开标室的解密机上自行解密电子响应文件。未在规定时间内解密的，视为响应无效。</w:t>
      </w:r>
    </w:p>
    <w:p w14:paraId="0FC15168">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（四）供应商对开启过程有疑义，以及认为采购人、陕西省省级单位政府采购中心相关工作人员有需要回避情形的，应在开标现场提出询问或回避申请，采购人、陕西省省级单位政府采购中心应当及时处理。</w:t>
      </w:r>
    </w:p>
    <w:p w14:paraId="19EB3114">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（五）供应商未参加开标的，视同认可开启结果。</w:t>
      </w:r>
    </w:p>
    <w:p w14:paraId="66EBAC9E">
      <w:pPr>
        <w:spacing w:line="500" w:lineRule="exact"/>
        <w:ind w:firstLine="566" w:firstLineChars="200"/>
        <w:rPr>
          <w:rFonts w:ascii="仿宋" w:hAnsi="仿宋" w:eastAsia="仿宋" w:cs="仿宋"/>
          <w:color w:val="000000"/>
          <w:highlight w:val="none"/>
        </w:rPr>
      </w:pPr>
      <w:r>
        <w:rPr>
          <w:rFonts w:hint="eastAsia" w:ascii="仿宋" w:hAnsi="仿宋" w:eastAsia="仿宋" w:cs="仿宋"/>
          <w:b/>
          <w:bCs/>
          <w:color w:val="000000"/>
          <w:highlight w:val="none"/>
        </w:rPr>
        <w:t>（六）在开启环节出现下列情况之一的，其响应文件视为无效文件：</w:t>
      </w:r>
    </w:p>
    <w:p w14:paraId="47FE0C04">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1、供应商拒绝对电子响应文件进行解密的；</w:t>
      </w:r>
    </w:p>
    <w:p w14:paraId="1FE25F6E">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2、因供应商自身原因（如解密时使用的CA锁与制作电子响应文件使用的CA锁不一致、或沿用旧版磋商文件编制响应文件等情形），导致在规定时间内无法解密响应文件的；</w:t>
      </w:r>
    </w:p>
    <w:p w14:paraId="37E81098">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3、上传的电子响应文件无法打开的；</w:t>
      </w:r>
    </w:p>
    <w:p w14:paraId="2C360E25">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4、政府采购法律法规规定的其他无效情形。</w:t>
      </w:r>
    </w:p>
    <w:p w14:paraId="606BFE45">
      <w:pPr>
        <w:widowControl w:val="0"/>
        <w:spacing w:line="500" w:lineRule="exact"/>
        <w:ind w:firstLine="566" w:firstLineChars="200"/>
        <w:rPr>
          <w:rFonts w:ascii="仿宋" w:hAnsi="仿宋" w:eastAsia="仿宋" w:cs="仿宋"/>
          <w:b/>
          <w:bCs/>
          <w:color w:val="000000"/>
          <w:highlight w:val="none"/>
        </w:rPr>
      </w:pPr>
      <w:r>
        <w:rPr>
          <w:rFonts w:hint="eastAsia" w:ascii="仿宋" w:hAnsi="仿宋" w:eastAsia="仿宋" w:cs="仿宋"/>
          <w:b/>
          <w:bCs/>
          <w:color w:val="000000"/>
          <w:highlight w:val="none"/>
        </w:rPr>
        <w:t>（七）特殊情形下的应急处置</w:t>
      </w:r>
    </w:p>
    <w:p w14:paraId="7D4E6C5D">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在开启、评审过程中，如因停电、断网、电子化系统故障等特殊原因导致电子化开、评审无法正常进行时，将视响应文件解密情况特殊处理。</w:t>
      </w:r>
    </w:p>
    <w:p w14:paraId="7A8F3EE6">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1、开启时响应文件未解密的，将另行确定时间继续完成开标程序；</w:t>
      </w:r>
    </w:p>
    <w:p w14:paraId="36D4536C">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2、开启后响应文件已解密但评审结论未形成的，将发布废标公告，重新组织采购活动；</w:t>
      </w:r>
    </w:p>
    <w:p w14:paraId="0761B356">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3、开启后响应文件已解密且评审结论已形成的，待特殊情况排除后，继续完成评审活动。</w:t>
      </w:r>
    </w:p>
    <w:p w14:paraId="473E07D3">
      <w:pPr>
        <w:pStyle w:val="3"/>
        <w:widowControl w:val="0"/>
        <w:spacing w:line="500" w:lineRule="exact"/>
        <w:ind w:firstLine="566" w:firstLineChars="200"/>
        <w:rPr>
          <w:rFonts w:ascii="仿宋" w:hAnsi="仿宋" w:eastAsia="仿宋" w:cs="仿宋"/>
          <w:color w:val="000000"/>
          <w:sz w:val="28"/>
          <w:szCs w:val="28"/>
          <w:highlight w:val="none"/>
        </w:rPr>
      </w:pPr>
      <w:bookmarkStart w:id="472" w:name="_Toc6763"/>
      <w:bookmarkStart w:id="473" w:name="_Toc23415"/>
      <w:bookmarkStart w:id="474" w:name="_Toc330"/>
      <w:bookmarkStart w:id="475" w:name="_Toc8798"/>
      <w:bookmarkStart w:id="476" w:name="_Toc27509"/>
      <w:bookmarkStart w:id="477" w:name="_Toc15410"/>
      <w:bookmarkStart w:id="478" w:name="_Toc23137"/>
      <w:bookmarkStart w:id="479" w:name="_Toc24264"/>
      <w:bookmarkStart w:id="480" w:name="_Toc9679"/>
      <w:bookmarkStart w:id="481" w:name="_Toc29733"/>
      <w:bookmarkStart w:id="482" w:name="_Toc25130"/>
      <w:r>
        <w:rPr>
          <w:rFonts w:hint="eastAsia" w:ascii="仿宋" w:hAnsi="仿宋" w:eastAsia="仿宋" w:cs="仿宋"/>
          <w:color w:val="000000"/>
          <w:sz w:val="28"/>
          <w:szCs w:val="28"/>
          <w:highlight w:val="none"/>
        </w:rPr>
        <w:t>七、</w:t>
      </w:r>
      <w:bookmarkEnd w:id="472"/>
      <w:r>
        <w:rPr>
          <w:rFonts w:hint="eastAsia" w:ascii="仿宋" w:hAnsi="仿宋" w:eastAsia="仿宋" w:cs="仿宋"/>
          <w:color w:val="000000"/>
          <w:sz w:val="28"/>
          <w:szCs w:val="28"/>
          <w:highlight w:val="none"/>
        </w:rPr>
        <w:t>组织评审</w:t>
      </w:r>
      <w:bookmarkEnd w:id="473"/>
      <w:bookmarkEnd w:id="474"/>
      <w:bookmarkEnd w:id="475"/>
      <w:bookmarkEnd w:id="476"/>
      <w:bookmarkEnd w:id="477"/>
      <w:bookmarkEnd w:id="478"/>
      <w:bookmarkEnd w:id="479"/>
      <w:bookmarkEnd w:id="480"/>
      <w:bookmarkEnd w:id="481"/>
      <w:bookmarkEnd w:id="482"/>
    </w:p>
    <w:p w14:paraId="3645D5A6">
      <w:pPr>
        <w:widowControl w:val="0"/>
        <w:spacing w:line="500" w:lineRule="exact"/>
        <w:ind w:firstLine="566" w:firstLineChars="200"/>
        <w:rPr>
          <w:rFonts w:ascii="仿宋" w:hAnsi="仿宋" w:eastAsia="仿宋" w:cs="仿宋"/>
          <w:b/>
          <w:bCs/>
          <w:color w:val="000000"/>
          <w:highlight w:val="none"/>
          <w:shd w:val="clear" w:color="auto" w:fill="FFFFFF"/>
        </w:rPr>
      </w:pPr>
      <w:r>
        <w:rPr>
          <w:rFonts w:hint="eastAsia" w:ascii="仿宋" w:hAnsi="仿宋" w:eastAsia="仿宋" w:cs="仿宋"/>
          <w:b/>
          <w:bCs/>
          <w:color w:val="000000"/>
          <w:highlight w:val="none"/>
          <w:shd w:val="clear" w:color="auto" w:fill="FFFFFF"/>
        </w:rPr>
        <w:t>（一）采购代理机构负责组织评审工作，并履行下列职责</w:t>
      </w:r>
    </w:p>
    <w:p w14:paraId="0E2F4D24">
      <w:pPr>
        <w:pStyle w:val="18"/>
        <w:widowControl w:val="0"/>
        <w:spacing w:beforeAutospacing="0" w:afterAutospacing="0" w:line="500" w:lineRule="exact"/>
        <w:ind w:firstLine="566"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1、</w:t>
      </w:r>
      <w:r>
        <w:rPr>
          <w:rFonts w:hint="eastAsia" w:ascii="仿宋" w:hAnsi="仿宋" w:eastAsia="仿宋" w:cs="仿宋"/>
          <w:color w:val="000000"/>
          <w:sz w:val="28"/>
          <w:szCs w:val="28"/>
          <w:highlight w:val="none"/>
          <w:shd w:val="clear" w:color="auto" w:fill="FFFFFF"/>
        </w:rPr>
        <w:t>核对评审专家身份和采购人代表授权函，对评审专家在政府采购活动中的职责履行情况予以记录，并及时将有关违法违规行为向财政部门报告；</w:t>
      </w:r>
    </w:p>
    <w:p w14:paraId="08316F3C">
      <w:pPr>
        <w:pStyle w:val="18"/>
        <w:widowControl w:val="0"/>
        <w:spacing w:beforeAutospacing="0" w:afterAutospacing="0" w:line="500" w:lineRule="exact"/>
        <w:ind w:firstLine="566"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shd w:val="clear" w:color="auto" w:fill="FFFFFF"/>
        </w:rPr>
        <w:t>2、宣布评审纪律；</w:t>
      </w:r>
    </w:p>
    <w:p w14:paraId="0A0C152A">
      <w:pPr>
        <w:pStyle w:val="18"/>
        <w:widowControl w:val="0"/>
        <w:spacing w:beforeAutospacing="0" w:afterAutospacing="0" w:line="500" w:lineRule="exact"/>
        <w:ind w:firstLine="566"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shd w:val="clear" w:color="auto" w:fill="FFFFFF"/>
        </w:rPr>
        <w:t>3、公布供应商名单，告知评审专家应当回避的情形；</w:t>
      </w:r>
    </w:p>
    <w:p w14:paraId="5E9B7DA0">
      <w:pPr>
        <w:pStyle w:val="18"/>
        <w:spacing w:beforeAutospacing="0" w:afterAutospacing="0" w:line="500" w:lineRule="exact"/>
        <w:ind w:firstLine="566"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shd w:val="clear" w:color="auto" w:fill="FFFFFF"/>
        </w:rPr>
        <w:t>4、组织磋商小组推选评审组长，采购人代表不得担任组长;</w:t>
      </w:r>
    </w:p>
    <w:p w14:paraId="61C95B50">
      <w:pPr>
        <w:pStyle w:val="18"/>
        <w:spacing w:beforeAutospacing="0" w:afterAutospacing="0" w:line="500" w:lineRule="exact"/>
        <w:ind w:firstLine="566"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shd w:val="clear" w:color="auto" w:fill="FFFFFF"/>
        </w:rPr>
        <w:t>5、在评审期间采取必要的通讯管理措施，保证评审活动不受外界干扰；</w:t>
      </w:r>
    </w:p>
    <w:p w14:paraId="685E430A">
      <w:pPr>
        <w:pStyle w:val="18"/>
        <w:spacing w:beforeAutospacing="0" w:afterAutospacing="0" w:line="500" w:lineRule="exact"/>
        <w:ind w:firstLine="566"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shd w:val="clear" w:color="auto" w:fill="FFFFFF"/>
        </w:rPr>
        <w:t>6、根据磋商小组的要求介绍政府采购相关政策法规、磋商文件；</w:t>
      </w:r>
    </w:p>
    <w:p w14:paraId="64DC0223">
      <w:pPr>
        <w:pStyle w:val="18"/>
        <w:spacing w:beforeAutospacing="0" w:afterAutospacing="0" w:line="500" w:lineRule="exact"/>
        <w:ind w:firstLine="566"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shd w:val="clear" w:color="auto" w:fill="FFFFFF"/>
        </w:rPr>
        <w:t>7、维护评审秩序，监督磋商小组依照磋商文件规定的评审程序、方法和标准进行独立评审，及时制止和纠正采购人代表、评审专家的倾向性言论或者违法违规行为；</w:t>
      </w:r>
    </w:p>
    <w:p w14:paraId="7746955B">
      <w:pPr>
        <w:pStyle w:val="18"/>
        <w:spacing w:beforeAutospacing="0" w:afterAutospacing="0" w:line="500" w:lineRule="exact"/>
        <w:ind w:firstLine="566"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shd w:val="clear" w:color="auto" w:fill="FFFFFF"/>
        </w:rPr>
        <w:t>8、核对评审结果；</w:t>
      </w:r>
    </w:p>
    <w:p w14:paraId="27485951">
      <w:pPr>
        <w:pStyle w:val="18"/>
        <w:spacing w:beforeAutospacing="0" w:afterAutospacing="0" w:line="500" w:lineRule="exact"/>
        <w:ind w:firstLine="566"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shd w:val="clear" w:color="auto" w:fill="FFFFFF"/>
        </w:rPr>
        <w:t>9、评审工作完成后，按照规定向评审专家支付劳务报酬和异地评审差旅费，不得向评审专家以外的其他人员支付评审劳务报酬；</w:t>
      </w:r>
    </w:p>
    <w:p w14:paraId="1EAFDE77">
      <w:pPr>
        <w:pStyle w:val="18"/>
        <w:widowControl w:val="0"/>
        <w:spacing w:beforeAutospacing="0" w:afterAutospacing="0" w:line="500" w:lineRule="exact"/>
        <w:ind w:firstLine="566"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shd w:val="clear" w:color="auto" w:fill="FFFFFF"/>
        </w:rPr>
        <w:t>10、处理与评审有关的其他事项。</w:t>
      </w:r>
    </w:p>
    <w:p w14:paraId="514E8DB3">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shd w:val="clear" w:color="auto" w:fill="FFFFFF"/>
        </w:rPr>
        <w:t>采购人可以在评审前说明项目背景和采购需求，说明内容不得含有歧视性、倾向性意见，不得超出磋商文件所述范围。说明应当提交书面材料，并随磋商文件一并存档</w:t>
      </w:r>
      <w:r>
        <w:rPr>
          <w:rFonts w:hint="eastAsia" w:ascii="仿宋" w:hAnsi="仿宋" w:eastAsia="仿宋" w:cs="仿宋"/>
          <w:color w:val="000000"/>
          <w:highlight w:val="none"/>
        </w:rPr>
        <w:t>。</w:t>
      </w:r>
    </w:p>
    <w:p w14:paraId="4E568464">
      <w:pPr>
        <w:pStyle w:val="18"/>
        <w:widowControl w:val="0"/>
        <w:spacing w:beforeAutospacing="0" w:afterAutospacing="0" w:line="500" w:lineRule="exact"/>
        <w:ind w:firstLine="566" w:firstLineChars="200"/>
        <w:rPr>
          <w:rFonts w:ascii="仿宋" w:hAnsi="仿宋" w:eastAsia="仿宋" w:cs="仿宋"/>
          <w:b/>
          <w:bCs/>
          <w:color w:val="000000"/>
          <w:sz w:val="28"/>
          <w:szCs w:val="28"/>
          <w:highlight w:val="none"/>
        </w:rPr>
      </w:pPr>
      <w:bookmarkStart w:id="483" w:name="_Toc3147_WPSOffice_Level3"/>
      <w:bookmarkStart w:id="484" w:name="_Toc1863"/>
      <w:r>
        <w:rPr>
          <w:rFonts w:hint="eastAsia" w:ascii="仿宋" w:hAnsi="仿宋" w:eastAsia="仿宋" w:cs="仿宋"/>
          <w:b/>
          <w:bCs/>
          <w:color w:val="000000"/>
          <w:sz w:val="28"/>
          <w:szCs w:val="28"/>
          <w:highlight w:val="none"/>
          <w:shd w:val="clear" w:color="auto" w:fill="FFFFFF"/>
        </w:rPr>
        <w:t>（二）磋商小组负责具体评审事务，并独立履行下列职责：</w:t>
      </w:r>
      <w:bookmarkEnd w:id="483"/>
    </w:p>
    <w:p w14:paraId="6F75DF19">
      <w:pPr>
        <w:pStyle w:val="18"/>
        <w:spacing w:beforeAutospacing="0" w:afterAutospacing="0" w:line="500" w:lineRule="exact"/>
        <w:ind w:firstLine="566" w:firstLineChars="200"/>
        <w:rPr>
          <w:rFonts w:ascii="仿宋" w:hAnsi="仿宋" w:eastAsia="仿宋" w:cs="仿宋"/>
          <w:color w:val="000000"/>
          <w:sz w:val="28"/>
          <w:szCs w:val="28"/>
          <w:highlight w:val="none"/>
          <w:shd w:val="clear" w:color="auto" w:fill="FFFFFF"/>
        </w:rPr>
      </w:pPr>
      <w:bookmarkStart w:id="485" w:name="_Toc8872_WPSOffice_Level3"/>
      <w:r>
        <w:rPr>
          <w:rFonts w:hint="eastAsia" w:ascii="仿宋" w:hAnsi="仿宋" w:eastAsia="仿宋" w:cs="仿宋"/>
          <w:color w:val="000000"/>
          <w:sz w:val="28"/>
          <w:szCs w:val="28"/>
          <w:highlight w:val="none"/>
          <w:shd w:val="clear" w:color="auto" w:fill="FFFFFF"/>
        </w:rPr>
        <w:t>1、遵守评审工作纪律，不得泄露评审情况和评审中获悉的商业秘密；</w:t>
      </w:r>
    </w:p>
    <w:p w14:paraId="42F74D1C">
      <w:pPr>
        <w:pStyle w:val="18"/>
        <w:spacing w:beforeAutospacing="0" w:afterAutospacing="0" w:line="500" w:lineRule="exact"/>
        <w:ind w:firstLine="566"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2、按照客观、公正、审慎的原则，根据磋商文件规定的评审程序、评审方法和评审标准进行独立评审；</w:t>
      </w:r>
    </w:p>
    <w:p w14:paraId="125C8864">
      <w:pPr>
        <w:pStyle w:val="18"/>
        <w:spacing w:beforeAutospacing="0" w:afterAutospacing="0" w:line="500" w:lineRule="exact"/>
        <w:ind w:firstLine="566"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3、要求供应商对响应文件有关事项做出澄清或者说明；</w:t>
      </w:r>
    </w:p>
    <w:p w14:paraId="633C78CA">
      <w:pPr>
        <w:pStyle w:val="18"/>
        <w:spacing w:beforeAutospacing="0" w:afterAutospacing="0" w:line="500" w:lineRule="exact"/>
        <w:ind w:firstLine="566"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4、与供应商分别进行磋商；</w:t>
      </w:r>
    </w:p>
    <w:p w14:paraId="2973976F">
      <w:pPr>
        <w:pStyle w:val="18"/>
        <w:spacing w:beforeAutospacing="0" w:afterAutospacing="0" w:line="500" w:lineRule="exact"/>
        <w:ind w:firstLine="566"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5、对响应文件进行比较和评价；</w:t>
      </w:r>
    </w:p>
    <w:p w14:paraId="3E81E31E">
      <w:pPr>
        <w:pStyle w:val="18"/>
        <w:spacing w:beforeAutospacing="0" w:afterAutospacing="0" w:line="500" w:lineRule="exact"/>
        <w:ind w:firstLine="566"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6、确定成交候选人名单，以及根据采购人委托直接确定成交供应商；</w:t>
      </w:r>
    </w:p>
    <w:p w14:paraId="3BCE83F1">
      <w:pPr>
        <w:pStyle w:val="18"/>
        <w:spacing w:beforeAutospacing="0" w:afterAutospacing="0" w:line="500" w:lineRule="exact"/>
        <w:ind w:firstLine="566" w:firstLineChars="200"/>
        <w:rPr>
          <w:rFonts w:ascii="仿宋" w:hAnsi="仿宋" w:eastAsia="仿宋" w:cs="仿宋"/>
          <w:color w:val="000000"/>
          <w:sz w:val="28"/>
          <w:szCs w:val="28"/>
          <w:highlight w:val="none"/>
          <w:shd w:val="clear" w:color="auto" w:fill="FFFFFF"/>
        </w:rPr>
      </w:pPr>
      <w:r>
        <w:rPr>
          <w:rFonts w:hint="eastAsia" w:ascii="仿宋" w:hAnsi="仿宋" w:eastAsia="仿宋" w:cs="仿宋"/>
          <w:color w:val="000000"/>
          <w:sz w:val="28"/>
          <w:szCs w:val="28"/>
          <w:highlight w:val="none"/>
          <w:shd w:val="clear" w:color="auto" w:fill="FFFFFF"/>
        </w:rPr>
        <w:t>7、配合答复供应商的询问、质疑和投诉等事项，不得泄露评审文件、评审情况和在评审过程中获悉的商业秘密；</w:t>
      </w:r>
    </w:p>
    <w:p w14:paraId="11E2DE94">
      <w:pPr>
        <w:pStyle w:val="18"/>
        <w:spacing w:beforeAutospacing="0" w:afterAutospacing="0" w:line="500" w:lineRule="exact"/>
        <w:ind w:firstLine="566" w:firstLineChars="200"/>
        <w:rPr>
          <w:rFonts w:ascii="仿宋" w:hAnsi="仿宋" w:eastAsia="仿宋" w:cs="仿宋"/>
          <w:b/>
          <w:bCs/>
          <w:color w:val="000000"/>
          <w:sz w:val="28"/>
          <w:szCs w:val="28"/>
          <w:highlight w:val="none"/>
        </w:rPr>
      </w:pPr>
      <w:r>
        <w:rPr>
          <w:rFonts w:hint="eastAsia" w:ascii="仿宋" w:hAnsi="仿宋" w:eastAsia="仿宋" w:cs="仿宋"/>
          <w:color w:val="000000"/>
          <w:sz w:val="28"/>
          <w:szCs w:val="28"/>
          <w:highlight w:val="none"/>
          <w:shd w:val="clear" w:color="auto" w:fill="FFFFFF"/>
        </w:rPr>
        <w:t>8、向采购人、</w:t>
      </w:r>
      <w:r>
        <w:rPr>
          <w:rFonts w:hint="eastAsia" w:ascii="仿宋" w:hAnsi="仿宋" w:eastAsia="仿宋" w:cs="仿宋"/>
          <w:color w:val="000000"/>
          <w:sz w:val="28"/>
          <w:szCs w:val="28"/>
          <w:highlight w:val="none"/>
          <w:shd w:val="clear" w:color="auto" w:fill="FFFFFF"/>
          <w:lang w:val="zh-CN"/>
        </w:rPr>
        <w:t>陕西省省级单位政府采购中心</w:t>
      </w:r>
      <w:r>
        <w:rPr>
          <w:rFonts w:hint="eastAsia" w:ascii="仿宋" w:hAnsi="仿宋" w:eastAsia="仿宋" w:cs="仿宋"/>
          <w:color w:val="000000"/>
          <w:sz w:val="28"/>
          <w:szCs w:val="28"/>
          <w:highlight w:val="none"/>
          <w:shd w:val="clear" w:color="auto" w:fill="FFFFFF"/>
        </w:rPr>
        <w:t>或者有关部门报告评审中发现的违法行为。</w:t>
      </w:r>
    </w:p>
    <w:p w14:paraId="01FAD1A9">
      <w:pPr>
        <w:widowControl w:val="0"/>
        <w:spacing w:line="500" w:lineRule="exact"/>
        <w:ind w:firstLine="566" w:firstLineChars="200"/>
        <w:rPr>
          <w:rFonts w:ascii="仿宋" w:hAnsi="仿宋" w:eastAsia="仿宋" w:cs="仿宋"/>
          <w:b/>
          <w:bCs/>
          <w:color w:val="000000"/>
          <w:highlight w:val="none"/>
        </w:rPr>
      </w:pPr>
      <w:r>
        <w:rPr>
          <w:rFonts w:hint="eastAsia" w:ascii="仿宋" w:hAnsi="仿宋" w:eastAsia="仿宋" w:cs="仿宋"/>
          <w:b/>
          <w:bCs/>
          <w:color w:val="000000"/>
          <w:highlight w:val="none"/>
        </w:rPr>
        <w:t>（三）成立磋商小组</w:t>
      </w:r>
      <w:bookmarkEnd w:id="485"/>
    </w:p>
    <w:p w14:paraId="77A40B9D">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1、为了确保磋商工作的公平、公正，依据政府采购法和政府采购相关法规、规章，成立磋商小组，磋商小组由采购人代表和评审专家共3人以上单数组成，其中评审专家人数不少于磋商小组成员总数的三分之二。</w:t>
      </w:r>
    </w:p>
    <w:p w14:paraId="5145553A">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评审专家对本单位的采购项目只能作为采购人代表参与评审。采购代理机构工作人员不得参加由本机构代理的政府采购项目的评审。</w:t>
      </w:r>
    </w:p>
    <w:p w14:paraId="7EDA4233">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磋商小组成员名单在评审结果公告前应当保密。</w:t>
      </w:r>
    </w:p>
    <w:p w14:paraId="3CD6DF44">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评审专家将从政府采购评审专家库内相关专业的专家名单中随机抽取。市场竞争不充分的科研项目、需要扶持的科技成果转化项目，以及情况特殊、通过随机方式难以确定合适的评审专家的项目，经主管预算单位同意，可以自行选定评审专家。技术复杂、专业性强的采购项目，评审专家中应当包含1名法律专家。</w:t>
      </w:r>
    </w:p>
    <w:p w14:paraId="53C600F2">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3、评审中因磋商小组成员缺席、回避或者健康等特殊原因导致磋商小组组成不符合规定的，陕西省省级单位政府采购中心应当依法补足后继续评审。被更换的磋商小组成员所做出的评审意见无效。无法及时补足磋商小组成员的，陕西省省级单位政府采购中心应当停止评审活动，封存所有响应文件和开标、评审资料，依法重新组建磋商小组进行评审。原磋商小组所做出的评审意见无效。</w:t>
      </w:r>
    </w:p>
    <w:p w14:paraId="3069EC6F">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陕西省省级单位政府采购中心应当将变更、重新组建磋商小组的情况予以记录，并随磋商文件一并存档。</w:t>
      </w:r>
    </w:p>
    <w:p w14:paraId="4AA820EB">
      <w:pPr>
        <w:spacing w:line="500" w:lineRule="exact"/>
        <w:ind w:firstLine="566" w:firstLineChars="200"/>
        <w:rPr>
          <w:rFonts w:ascii="仿宋" w:hAnsi="仿宋" w:eastAsia="仿宋" w:cs="仿宋"/>
          <w:b/>
          <w:color w:val="000000"/>
          <w:highlight w:val="none"/>
        </w:rPr>
      </w:pPr>
      <w:bookmarkStart w:id="486" w:name="_Toc4079_WPSOffice_Level3"/>
      <w:r>
        <w:rPr>
          <w:rFonts w:hint="eastAsia" w:ascii="仿宋" w:hAnsi="仿宋" w:eastAsia="仿宋" w:cs="仿宋"/>
          <w:b/>
          <w:color w:val="000000"/>
          <w:highlight w:val="none"/>
        </w:rPr>
        <w:t>（四）评审方法：综合评分法</w:t>
      </w:r>
      <w:bookmarkEnd w:id="486"/>
    </w:p>
    <w:p w14:paraId="406E6026">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综合评分法，是指响应文件满足磋商文件全部实质性要求且按评审因素的量化指标评审得分最高的供应商为成交候选供应商的评审方法。</w:t>
      </w:r>
    </w:p>
    <w:p w14:paraId="1074FB65">
      <w:pPr>
        <w:spacing w:line="500" w:lineRule="exact"/>
        <w:ind w:firstLine="566" w:firstLineChars="200"/>
        <w:rPr>
          <w:rFonts w:ascii="仿宋" w:hAnsi="仿宋" w:eastAsia="仿宋" w:cs="仿宋"/>
          <w:color w:val="000000"/>
          <w:highlight w:val="none"/>
        </w:rPr>
      </w:pPr>
      <w:bookmarkStart w:id="487" w:name="_Toc25396_WPSOffice_Level3"/>
      <w:r>
        <w:rPr>
          <w:rFonts w:hint="eastAsia" w:ascii="仿宋" w:hAnsi="仿宋" w:eastAsia="仿宋" w:cs="仿宋"/>
          <w:b/>
          <w:color w:val="000000"/>
          <w:highlight w:val="none"/>
        </w:rPr>
        <w:t>（五）评审程序</w:t>
      </w:r>
      <w:bookmarkEnd w:id="487"/>
    </w:p>
    <w:p w14:paraId="41F60CF1">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分步评审，每一步评审不符合磋商文件要求者，不得进入下一步评审，全部评审合格的供应商，进入最后的打分，最后按得分由高到低排序，推荐成交候选供应商。</w:t>
      </w:r>
    </w:p>
    <w:p w14:paraId="68A3032C">
      <w:pPr>
        <w:widowControl w:val="0"/>
        <w:spacing w:line="500" w:lineRule="exact"/>
        <w:ind w:firstLine="566" w:firstLineChars="200"/>
        <w:rPr>
          <w:rFonts w:ascii="仿宋" w:hAnsi="仿宋" w:eastAsia="仿宋" w:cs="仿宋"/>
          <w:b/>
          <w:bCs/>
          <w:color w:val="000000"/>
          <w:highlight w:val="none"/>
        </w:rPr>
      </w:pPr>
      <w:r>
        <w:rPr>
          <w:rFonts w:hint="eastAsia" w:ascii="仿宋" w:hAnsi="仿宋" w:eastAsia="仿宋" w:cs="仿宋"/>
          <w:b/>
          <w:bCs/>
          <w:color w:val="000000"/>
          <w:highlight w:val="none"/>
        </w:rPr>
        <w:t>1、资格性审查</w:t>
      </w:r>
    </w:p>
    <w:p w14:paraId="22C98FC2">
      <w:pPr>
        <w:pStyle w:val="3"/>
        <w:widowControl w:val="0"/>
        <w:spacing w:line="500" w:lineRule="exact"/>
        <w:ind w:firstLine="566" w:firstLineChars="200"/>
        <w:rPr>
          <w:rFonts w:ascii="仿宋" w:hAnsi="仿宋" w:eastAsia="仿宋" w:cs="仿宋"/>
          <w:color w:val="000000"/>
          <w:sz w:val="28"/>
          <w:szCs w:val="28"/>
          <w:highlight w:val="none"/>
        </w:rPr>
      </w:pPr>
      <w:bookmarkStart w:id="488" w:name="_Toc16815"/>
      <w:bookmarkStart w:id="489" w:name="_Toc6677"/>
      <w:bookmarkStart w:id="490" w:name="_Toc3372"/>
      <w:bookmarkStart w:id="491" w:name="_Toc26755"/>
      <w:bookmarkStart w:id="492" w:name="_Toc26141"/>
      <w:bookmarkStart w:id="493" w:name="_Toc32765"/>
      <w:bookmarkStart w:id="494" w:name="_Toc2427"/>
      <w:bookmarkStart w:id="495" w:name="_Toc13299"/>
      <w:bookmarkStart w:id="496" w:name="_Toc6815"/>
      <w:bookmarkStart w:id="497" w:name="_Toc20095"/>
      <w:bookmarkStart w:id="498" w:name="_Toc22217"/>
      <w:r>
        <w:rPr>
          <w:rFonts w:hint="eastAsia" w:ascii="仿宋" w:hAnsi="仿宋" w:eastAsia="仿宋" w:cs="仿宋"/>
          <w:b w:val="0"/>
          <w:bCs w:val="0"/>
          <w:color w:val="000000"/>
          <w:sz w:val="28"/>
          <w:szCs w:val="28"/>
          <w:highlight w:val="none"/>
        </w:rPr>
        <w:t>开标结束后，磋商小组依据法律法规和磋商文件的规定，对响应文件中的供应商资格证明文件进行审查，以确定供应商是否具备磋商资格。</w:t>
      </w:r>
      <w:bookmarkEnd w:id="488"/>
      <w:bookmarkEnd w:id="489"/>
      <w:bookmarkEnd w:id="490"/>
      <w:bookmarkEnd w:id="491"/>
      <w:bookmarkEnd w:id="492"/>
      <w:bookmarkEnd w:id="493"/>
      <w:bookmarkEnd w:id="494"/>
      <w:bookmarkEnd w:id="495"/>
      <w:bookmarkEnd w:id="496"/>
      <w:bookmarkEnd w:id="497"/>
      <w:bookmarkEnd w:id="498"/>
    </w:p>
    <w:bookmarkEnd w:id="484"/>
    <w:p w14:paraId="63616713">
      <w:pPr>
        <w:widowControl w:val="0"/>
        <w:spacing w:line="500" w:lineRule="exact"/>
        <w:jc w:val="center"/>
        <w:rPr>
          <w:rFonts w:ascii="仿宋" w:hAnsi="仿宋" w:eastAsia="仿宋" w:cs="仿宋"/>
          <w:b/>
          <w:bCs/>
          <w:color w:val="000000"/>
          <w:highlight w:val="none"/>
        </w:rPr>
      </w:pPr>
      <w:r>
        <w:rPr>
          <w:rFonts w:hint="eastAsia" w:ascii="仿宋" w:hAnsi="仿宋" w:eastAsia="仿宋" w:cs="仿宋"/>
          <w:b/>
          <w:bCs/>
          <w:color w:val="000000"/>
          <w:highlight w:val="none"/>
        </w:rPr>
        <w:t>资格审查表</w:t>
      </w:r>
    </w:p>
    <w:tbl>
      <w:tblPr>
        <w:tblStyle w:val="21"/>
        <w:tblW w:w="89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1866"/>
        <w:gridCol w:w="4583"/>
        <w:gridCol w:w="806"/>
        <w:gridCol w:w="994"/>
      </w:tblGrid>
      <w:tr w14:paraId="41BFD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32" w:type="dxa"/>
            <w:vAlign w:val="center"/>
          </w:tcPr>
          <w:p w14:paraId="2A018356">
            <w:pPr>
              <w:widowControl w:val="0"/>
              <w:jc w:val="center"/>
              <w:rPr>
                <w:rFonts w:ascii="仿宋" w:hAnsi="仿宋" w:eastAsia="仿宋" w:cs="Times New Roman"/>
                <w:b/>
                <w:bCs/>
                <w:color w:val="000000"/>
                <w:sz w:val="24"/>
                <w:szCs w:val="24"/>
                <w:highlight w:val="none"/>
              </w:rPr>
            </w:pPr>
            <w:r>
              <w:rPr>
                <w:rFonts w:hint="eastAsia" w:ascii="仿宋" w:hAnsi="仿宋" w:eastAsia="仿宋" w:cs="仿宋"/>
                <w:b/>
                <w:bCs/>
                <w:color w:val="000000"/>
                <w:sz w:val="24"/>
                <w:szCs w:val="24"/>
                <w:highlight w:val="none"/>
              </w:rPr>
              <w:t>序号</w:t>
            </w:r>
          </w:p>
        </w:tc>
        <w:tc>
          <w:tcPr>
            <w:tcW w:w="1866" w:type="dxa"/>
            <w:vAlign w:val="center"/>
          </w:tcPr>
          <w:p w14:paraId="28FC24B7">
            <w:pPr>
              <w:widowControl w:val="0"/>
              <w:jc w:val="center"/>
              <w:rPr>
                <w:rFonts w:ascii="仿宋" w:hAnsi="仿宋" w:eastAsia="仿宋" w:cs="Times New Roman"/>
                <w:b/>
                <w:bCs/>
                <w:color w:val="000000"/>
                <w:kern w:val="28"/>
                <w:sz w:val="24"/>
                <w:szCs w:val="24"/>
                <w:highlight w:val="none"/>
              </w:rPr>
            </w:pPr>
            <w:r>
              <w:rPr>
                <w:rFonts w:hint="eastAsia" w:ascii="仿宋" w:hAnsi="仿宋" w:eastAsia="仿宋" w:cs="仿宋"/>
                <w:b/>
                <w:bCs/>
                <w:color w:val="000000"/>
                <w:kern w:val="28"/>
                <w:sz w:val="24"/>
                <w:szCs w:val="24"/>
                <w:highlight w:val="none"/>
              </w:rPr>
              <w:t>资格审查项</w:t>
            </w:r>
          </w:p>
        </w:tc>
        <w:tc>
          <w:tcPr>
            <w:tcW w:w="4583" w:type="dxa"/>
            <w:vAlign w:val="center"/>
          </w:tcPr>
          <w:p w14:paraId="00AB49AA">
            <w:pPr>
              <w:widowControl w:val="0"/>
              <w:jc w:val="center"/>
              <w:rPr>
                <w:rFonts w:ascii="仿宋" w:hAnsi="仿宋" w:eastAsia="仿宋" w:cs="Times New Roman"/>
                <w:b/>
                <w:bCs/>
                <w:color w:val="000000"/>
                <w:kern w:val="28"/>
                <w:sz w:val="24"/>
                <w:szCs w:val="24"/>
                <w:highlight w:val="none"/>
              </w:rPr>
            </w:pPr>
            <w:r>
              <w:rPr>
                <w:rFonts w:hint="eastAsia" w:ascii="仿宋" w:hAnsi="仿宋" w:eastAsia="仿宋" w:cs="仿宋"/>
                <w:b/>
                <w:bCs/>
                <w:color w:val="000000"/>
                <w:kern w:val="28"/>
                <w:sz w:val="24"/>
                <w:szCs w:val="24"/>
                <w:highlight w:val="none"/>
              </w:rPr>
              <w:t>通过条件</w:t>
            </w:r>
          </w:p>
        </w:tc>
        <w:tc>
          <w:tcPr>
            <w:tcW w:w="806" w:type="dxa"/>
            <w:vAlign w:val="center"/>
          </w:tcPr>
          <w:p w14:paraId="6AF8384A">
            <w:pPr>
              <w:widowControl w:val="0"/>
              <w:jc w:val="center"/>
              <w:rPr>
                <w:rFonts w:ascii="仿宋" w:hAnsi="仿宋" w:eastAsia="仿宋" w:cs="Times New Roman"/>
                <w:b/>
                <w:bCs/>
                <w:color w:val="000000"/>
                <w:sz w:val="24"/>
                <w:szCs w:val="24"/>
                <w:highlight w:val="none"/>
              </w:rPr>
            </w:pPr>
            <w:r>
              <w:rPr>
                <w:rFonts w:hint="eastAsia" w:ascii="仿宋" w:hAnsi="仿宋" w:eastAsia="仿宋" w:cs="仿宋"/>
                <w:b/>
                <w:bCs/>
                <w:color w:val="000000"/>
                <w:sz w:val="24"/>
                <w:szCs w:val="24"/>
                <w:highlight w:val="none"/>
              </w:rPr>
              <w:t>结论</w:t>
            </w:r>
          </w:p>
        </w:tc>
        <w:tc>
          <w:tcPr>
            <w:tcW w:w="994" w:type="dxa"/>
            <w:vAlign w:val="center"/>
          </w:tcPr>
          <w:p w14:paraId="21B70E2A">
            <w:pPr>
              <w:widowControl w:val="0"/>
              <w:jc w:val="center"/>
              <w:rPr>
                <w:rFonts w:ascii="仿宋" w:hAnsi="仿宋" w:eastAsia="仿宋" w:cs="Times New Roman"/>
                <w:b/>
                <w:bCs/>
                <w:color w:val="000000"/>
                <w:sz w:val="24"/>
                <w:szCs w:val="24"/>
                <w:highlight w:val="none"/>
              </w:rPr>
            </w:pPr>
            <w:r>
              <w:rPr>
                <w:rFonts w:hint="eastAsia" w:ascii="仿宋" w:hAnsi="仿宋" w:eastAsia="仿宋" w:cs="仿宋"/>
                <w:b/>
                <w:bCs/>
                <w:color w:val="000000"/>
                <w:sz w:val="24"/>
                <w:szCs w:val="24"/>
                <w:highlight w:val="none"/>
              </w:rPr>
              <w:t>不通过原因</w:t>
            </w:r>
          </w:p>
        </w:tc>
      </w:tr>
      <w:tr w14:paraId="06881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vAlign w:val="center"/>
          </w:tcPr>
          <w:p w14:paraId="7AE5D3DF">
            <w:pPr>
              <w:widowControl w:val="0"/>
              <w:jc w:val="center"/>
              <w:rPr>
                <w:rFonts w:ascii="仿宋" w:hAnsi="仿宋" w:eastAsia="仿宋" w:cs="仿宋"/>
                <w:color w:val="000000"/>
                <w:sz w:val="24"/>
                <w:szCs w:val="24"/>
                <w:highlight w:val="none"/>
              </w:rPr>
            </w:pPr>
            <w:r>
              <w:rPr>
                <w:rFonts w:ascii="仿宋" w:hAnsi="仿宋" w:eastAsia="仿宋" w:cs="仿宋"/>
                <w:color w:val="000000"/>
                <w:sz w:val="24"/>
                <w:szCs w:val="24"/>
                <w:highlight w:val="none"/>
              </w:rPr>
              <w:t>1</w:t>
            </w:r>
          </w:p>
        </w:tc>
        <w:tc>
          <w:tcPr>
            <w:tcW w:w="1866" w:type="dxa"/>
            <w:vAlign w:val="center"/>
          </w:tcPr>
          <w:p w14:paraId="40342F50">
            <w:pPr>
              <w:widowControl w:val="0"/>
              <w:jc w:val="center"/>
              <w:rPr>
                <w:rFonts w:ascii="仿宋" w:hAnsi="仿宋" w:eastAsia="仿宋" w:cs="Times New Roman"/>
                <w:color w:val="000000"/>
                <w:kern w:val="28"/>
                <w:sz w:val="24"/>
                <w:szCs w:val="24"/>
                <w:highlight w:val="none"/>
              </w:rPr>
            </w:pPr>
            <w:r>
              <w:rPr>
                <w:rFonts w:hint="eastAsia" w:ascii="仿宋" w:hAnsi="仿宋" w:eastAsia="仿宋" w:cs="仿宋"/>
                <w:color w:val="000000"/>
                <w:kern w:val="28"/>
                <w:sz w:val="24"/>
                <w:szCs w:val="24"/>
                <w:highlight w:val="none"/>
              </w:rPr>
              <w:t>营业执照等主体资格证明文件</w:t>
            </w:r>
          </w:p>
        </w:tc>
        <w:tc>
          <w:tcPr>
            <w:tcW w:w="4583" w:type="dxa"/>
            <w:vAlign w:val="center"/>
          </w:tcPr>
          <w:p w14:paraId="1881E903">
            <w:pPr>
              <w:widowControl w:val="0"/>
              <w:rPr>
                <w:rFonts w:ascii="仿宋" w:hAnsi="仿宋" w:eastAsia="仿宋" w:cs="Times New Roman"/>
                <w:color w:val="000000"/>
                <w:kern w:val="28"/>
                <w:sz w:val="24"/>
                <w:szCs w:val="24"/>
                <w:highlight w:val="none"/>
              </w:rPr>
            </w:pPr>
            <w:r>
              <w:rPr>
                <w:rFonts w:hint="eastAsia" w:ascii="仿宋" w:hAnsi="仿宋" w:eastAsia="仿宋" w:cs="仿宋"/>
                <w:color w:val="000000"/>
                <w:kern w:val="28"/>
                <w:sz w:val="24"/>
                <w:szCs w:val="24"/>
                <w:highlight w:val="none"/>
              </w:rPr>
              <w:t>提供有效存续的企业营业执照（副本）</w:t>
            </w:r>
            <w:r>
              <w:rPr>
                <w:rFonts w:ascii="仿宋" w:hAnsi="仿宋" w:eastAsia="仿宋" w:cs="仿宋"/>
                <w:color w:val="000000"/>
                <w:kern w:val="28"/>
                <w:sz w:val="24"/>
                <w:szCs w:val="24"/>
                <w:highlight w:val="none"/>
              </w:rPr>
              <w:t>/</w:t>
            </w:r>
            <w:r>
              <w:rPr>
                <w:rFonts w:hint="eastAsia" w:ascii="仿宋" w:hAnsi="仿宋" w:eastAsia="仿宋" w:cs="仿宋"/>
                <w:color w:val="000000"/>
                <w:kern w:val="28"/>
                <w:sz w:val="24"/>
                <w:szCs w:val="24"/>
                <w:highlight w:val="none"/>
              </w:rPr>
              <w:t>事业单位法人证书</w:t>
            </w:r>
            <w:r>
              <w:rPr>
                <w:rFonts w:ascii="仿宋" w:hAnsi="仿宋" w:eastAsia="仿宋" w:cs="仿宋"/>
                <w:color w:val="000000"/>
                <w:kern w:val="28"/>
                <w:sz w:val="24"/>
                <w:szCs w:val="24"/>
                <w:highlight w:val="none"/>
              </w:rPr>
              <w:t>/</w:t>
            </w:r>
            <w:r>
              <w:rPr>
                <w:rFonts w:hint="eastAsia" w:ascii="仿宋" w:hAnsi="仿宋" w:eastAsia="仿宋" w:cs="仿宋"/>
                <w:color w:val="000000"/>
                <w:kern w:val="28"/>
                <w:sz w:val="24"/>
                <w:szCs w:val="24"/>
                <w:highlight w:val="none"/>
              </w:rPr>
              <w:t>专业服务机构执业许可证</w:t>
            </w:r>
            <w:r>
              <w:rPr>
                <w:rFonts w:ascii="仿宋" w:hAnsi="仿宋" w:eastAsia="仿宋" w:cs="仿宋"/>
                <w:color w:val="000000"/>
                <w:kern w:val="28"/>
                <w:sz w:val="24"/>
                <w:szCs w:val="24"/>
                <w:highlight w:val="none"/>
              </w:rPr>
              <w:t>/</w:t>
            </w:r>
            <w:r>
              <w:rPr>
                <w:rFonts w:hint="eastAsia" w:ascii="仿宋" w:hAnsi="仿宋" w:eastAsia="仿宋" w:cs="仿宋"/>
                <w:color w:val="000000"/>
                <w:kern w:val="28"/>
                <w:sz w:val="24"/>
                <w:szCs w:val="24"/>
                <w:highlight w:val="none"/>
              </w:rPr>
              <w:t>民办非企业单位登记证书。</w:t>
            </w:r>
          </w:p>
        </w:tc>
        <w:tc>
          <w:tcPr>
            <w:tcW w:w="806" w:type="dxa"/>
            <w:vAlign w:val="center"/>
          </w:tcPr>
          <w:p w14:paraId="5E629D13">
            <w:pPr>
              <w:widowControl w:val="0"/>
              <w:rPr>
                <w:rFonts w:ascii="仿宋" w:hAnsi="仿宋" w:eastAsia="仿宋" w:cs="Times New Roman"/>
                <w:b/>
                <w:bCs/>
                <w:color w:val="000000"/>
                <w:sz w:val="24"/>
                <w:szCs w:val="24"/>
                <w:highlight w:val="none"/>
              </w:rPr>
            </w:pPr>
          </w:p>
        </w:tc>
        <w:tc>
          <w:tcPr>
            <w:tcW w:w="994" w:type="dxa"/>
            <w:vAlign w:val="center"/>
          </w:tcPr>
          <w:p w14:paraId="773B8F51">
            <w:pPr>
              <w:widowControl w:val="0"/>
              <w:rPr>
                <w:rFonts w:ascii="仿宋" w:hAnsi="仿宋" w:eastAsia="仿宋" w:cs="Times New Roman"/>
                <w:b/>
                <w:bCs/>
                <w:color w:val="000000"/>
                <w:sz w:val="24"/>
                <w:szCs w:val="24"/>
                <w:highlight w:val="none"/>
              </w:rPr>
            </w:pPr>
          </w:p>
        </w:tc>
      </w:tr>
      <w:tr w14:paraId="0FA9B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vAlign w:val="center"/>
          </w:tcPr>
          <w:p w14:paraId="54E87313">
            <w:pPr>
              <w:widowControl w:val="0"/>
              <w:jc w:val="center"/>
              <w:rPr>
                <w:rFonts w:ascii="仿宋" w:hAnsi="仿宋" w:eastAsia="仿宋" w:cs="仿宋"/>
                <w:color w:val="000000"/>
                <w:sz w:val="24"/>
                <w:szCs w:val="24"/>
                <w:highlight w:val="none"/>
              </w:rPr>
            </w:pPr>
            <w:r>
              <w:rPr>
                <w:rFonts w:ascii="仿宋" w:hAnsi="仿宋" w:eastAsia="仿宋" w:cs="仿宋"/>
                <w:color w:val="000000"/>
                <w:sz w:val="24"/>
                <w:szCs w:val="24"/>
                <w:highlight w:val="none"/>
              </w:rPr>
              <w:t>2</w:t>
            </w:r>
          </w:p>
        </w:tc>
        <w:tc>
          <w:tcPr>
            <w:tcW w:w="1866" w:type="dxa"/>
            <w:vAlign w:val="center"/>
          </w:tcPr>
          <w:p w14:paraId="47A4B30D">
            <w:pPr>
              <w:jc w:val="center"/>
              <w:rPr>
                <w:rFonts w:ascii="仿宋" w:hAnsi="仿宋" w:eastAsia="仿宋" w:cs="Times New Roman"/>
                <w:color w:val="000000"/>
                <w:kern w:val="28"/>
                <w:sz w:val="24"/>
                <w:szCs w:val="24"/>
                <w:highlight w:val="none"/>
              </w:rPr>
            </w:pPr>
            <w:r>
              <w:rPr>
                <w:rFonts w:hint="eastAsia" w:ascii="仿宋" w:hAnsi="仿宋" w:eastAsia="仿宋" w:cs="仿宋"/>
                <w:color w:val="000000"/>
                <w:kern w:val="28"/>
                <w:sz w:val="24"/>
                <w:szCs w:val="24"/>
                <w:highlight w:val="none"/>
              </w:rPr>
              <w:t>财务状况报告</w:t>
            </w:r>
          </w:p>
        </w:tc>
        <w:tc>
          <w:tcPr>
            <w:tcW w:w="4583" w:type="dxa"/>
            <w:vAlign w:val="center"/>
          </w:tcPr>
          <w:p w14:paraId="308826D2">
            <w:pPr>
              <w:rPr>
                <w:rFonts w:ascii="仿宋" w:hAnsi="仿宋" w:eastAsia="仿宋" w:cs="仿宋"/>
                <w:color w:val="000000"/>
                <w:kern w:val="28"/>
                <w:sz w:val="24"/>
                <w:szCs w:val="24"/>
                <w:highlight w:val="none"/>
              </w:rPr>
            </w:pPr>
            <w:r>
              <w:rPr>
                <w:rFonts w:hint="eastAsia" w:ascii="仿宋" w:hAnsi="仿宋" w:eastAsia="仿宋" w:cs="仿宋"/>
                <w:color w:val="000000"/>
                <w:kern w:val="28"/>
                <w:sz w:val="24"/>
                <w:szCs w:val="24"/>
                <w:highlight w:val="none"/>
              </w:rPr>
              <w:t>以下两种资料提供任意一种即可：</w:t>
            </w:r>
          </w:p>
          <w:p w14:paraId="2D0C9B9A">
            <w:pPr>
              <w:rPr>
                <w:rFonts w:ascii="仿宋" w:hAnsi="仿宋" w:eastAsia="仿宋" w:cs="仿宋"/>
                <w:color w:val="000000"/>
                <w:kern w:val="28"/>
                <w:sz w:val="24"/>
                <w:szCs w:val="24"/>
                <w:highlight w:val="none"/>
              </w:rPr>
            </w:pPr>
            <w:r>
              <w:rPr>
                <w:rFonts w:hint="eastAsia" w:ascii="仿宋" w:hAnsi="仿宋" w:eastAsia="仿宋" w:cs="仿宋"/>
                <w:color w:val="000000"/>
                <w:kern w:val="28"/>
                <w:sz w:val="24"/>
                <w:szCs w:val="24"/>
                <w:highlight w:val="none"/>
              </w:rPr>
              <w:t>（1）提供递交响应文件截止之日前两年内任意一个年度经审计的财务报告（包括“四表一注”，即资产负债表、利润表、现金流量表、所有者权益变动表及其附注，符合《中小企业划型标准规定》的小型企业按照《小企业会计准则》执行。成立时间至提交响应文件截止时间不足一年的可提供成立后任意时段的资产负债表），审计报告须具有注册会计师行业统一监管平台赋予的验证码；</w:t>
            </w:r>
          </w:p>
          <w:p w14:paraId="495214B1">
            <w:pPr>
              <w:rPr>
                <w:rFonts w:ascii="仿宋" w:hAnsi="仿宋" w:eastAsia="仿宋" w:cs="Times New Roman"/>
                <w:color w:val="000000"/>
                <w:kern w:val="28"/>
                <w:sz w:val="24"/>
                <w:szCs w:val="24"/>
                <w:highlight w:val="none"/>
              </w:rPr>
            </w:pPr>
            <w:r>
              <w:rPr>
                <w:rFonts w:hint="eastAsia" w:ascii="仿宋" w:hAnsi="仿宋" w:eastAsia="仿宋" w:cs="仿宋"/>
                <w:color w:val="000000"/>
                <w:kern w:val="28"/>
                <w:sz w:val="24"/>
                <w:szCs w:val="24"/>
                <w:highlight w:val="none"/>
              </w:rPr>
              <w:t>（2）其开标前三个月内基本开户银行出具的资信证明。</w:t>
            </w:r>
          </w:p>
        </w:tc>
        <w:tc>
          <w:tcPr>
            <w:tcW w:w="806" w:type="dxa"/>
            <w:vAlign w:val="center"/>
          </w:tcPr>
          <w:p w14:paraId="0A5A7B42">
            <w:pPr>
              <w:widowControl w:val="0"/>
              <w:rPr>
                <w:rFonts w:ascii="仿宋" w:hAnsi="仿宋" w:eastAsia="仿宋" w:cs="Times New Roman"/>
                <w:b/>
                <w:bCs/>
                <w:color w:val="000000"/>
                <w:sz w:val="24"/>
                <w:szCs w:val="24"/>
                <w:highlight w:val="none"/>
              </w:rPr>
            </w:pPr>
          </w:p>
        </w:tc>
        <w:tc>
          <w:tcPr>
            <w:tcW w:w="994" w:type="dxa"/>
            <w:vAlign w:val="center"/>
          </w:tcPr>
          <w:p w14:paraId="33ED28A3">
            <w:pPr>
              <w:widowControl w:val="0"/>
              <w:rPr>
                <w:rFonts w:ascii="仿宋" w:hAnsi="仿宋" w:eastAsia="仿宋" w:cs="Times New Roman"/>
                <w:b/>
                <w:bCs/>
                <w:color w:val="000000"/>
                <w:sz w:val="24"/>
                <w:szCs w:val="24"/>
                <w:highlight w:val="none"/>
              </w:rPr>
            </w:pPr>
          </w:p>
        </w:tc>
      </w:tr>
      <w:tr w14:paraId="7E788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vAlign w:val="center"/>
          </w:tcPr>
          <w:p w14:paraId="3E98A49D">
            <w:pPr>
              <w:widowControl w:val="0"/>
              <w:jc w:val="center"/>
              <w:rPr>
                <w:rFonts w:ascii="仿宋" w:hAnsi="仿宋" w:eastAsia="仿宋" w:cs="仿宋"/>
                <w:color w:val="000000"/>
                <w:sz w:val="24"/>
                <w:szCs w:val="24"/>
                <w:highlight w:val="none"/>
              </w:rPr>
            </w:pPr>
            <w:r>
              <w:rPr>
                <w:rFonts w:ascii="仿宋" w:hAnsi="仿宋" w:eastAsia="仿宋" w:cs="仿宋"/>
                <w:color w:val="000000"/>
                <w:sz w:val="24"/>
                <w:szCs w:val="24"/>
                <w:highlight w:val="none"/>
              </w:rPr>
              <w:t>3</w:t>
            </w:r>
          </w:p>
        </w:tc>
        <w:tc>
          <w:tcPr>
            <w:tcW w:w="1866" w:type="dxa"/>
            <w:vAlign w:val="center"/>
          </w:tcPr>
          <w:p w14:paraId="793334D1">
            <w:pPr>
              <w:widowControl w:val="0"/>
              <w:jc w:val="center"/>
              <w:rPr>
                <w:rFonts w:ascii="仿宋" w:hAnsi="仿宋" w:eastAsia="仿宋" w:cs="Times New Roman"/>
                <w:color w:val="000000"/>
                <w:kern w:val="28"/>
                <w:sz w:val="24"/>
                <w:szCs w:val="24"/>
                <w:highlight w:val="none"/>
              </w:rPr>
            </w:pPr>
            <w:r>
              <w:rPr>
                <w:rFonts w:hint="eastAsia" w:ascii="仿宋" w:hAnsi="仿宋" w:eastAsia="仿宋" w:cs="仿宋"/>
                <w:color w:val="000000"/>
                <w:kern w:val="28"/>
                <w:sz w:val="24"/>
                <w:szCs w:val="24"/>
                <w:highlight w:val="none"/>
              </w:rPr>
              <w:t>社保缴纳证明</w:t>
            </w:r>
          </w:p>
        </w:tc>
        <w:tc>
          <w:tcPr>
            <w:tcW w:w="4583" w:type="dxa"/>
            <w:vAlign w:val="center"/>
          </w:tcPr>
          <w:p w14:paraId="4EB6A5D1">
            <w:pPr>
              <w:widowControl w:val="0"/>
              <w:rPr>
                <w:rFonts w:ascii="仿宋" w:hAnsi="仿宋" w:eastAsia="仿宋" w:cs="Times New Roman"/>
                <w:color w:val="000000"/>
                <w:kern w:val="28"/>
                <w:sz w:val="24"/>
                <w:szCs w:val="24"/>
                <w:highlight w:val="none"/>
              </w:rPr>
            </w:pPr>
            <w:r>
              <w:rPr>
                <w:rFonts w:hint="eastAsia" w:ascii="仿宋" w:hAnsi="仿宋" w:eastAsia="仿宋" w:cs="仿宋"/>
                <w:color w:val="000000"/>
                <w:kern w:val="28"/>
                <w:sz w:val="24"/>
                <w:szCs w:val="24"/>
                <w:highlight w:val="none"/>
              </w:rPr>
              <w:t>提供递交响应文件截止之日前一年内任意一个月的社会保障资金缴存单据或社保机构开具的社会保险参保缴费情况证明。依法不需要缴纳社会保障资金的供应商应提供相关文件证明。</w:t>
            </w:r>
          </w:p>
        </w:tc>
        <w:tc>
          <w:tcPr>
            <w:tcW w:w="806" w:type="dxa"/>
            <w:vAlign w:val="center"/>
          </w:tcPr>
          <w:p w14:paraId="45E20CA7">
            <w:pPr>
              <w:widowControl w:val="0"/>
              <w:rPr>
                <w:rFonts w:ascii="仿宋" w:hAnsi="仿宋" w:eastAsia="仿宋" w:cs="Times New Roman"/>
                <w:b/>
                <w:bCs/>
                <w:color w:val="000000"/>
                <w:sz w:val="24"/>
                <w:szCs w:val="24"/>
                <w:highlight w:val="none"/>
              </w:rPr>
            </w:pPr>
          </w:p>
        </w:tc>
        <w:tc>
          <w:tcPr>
            <w:tcW w:w="994" w:type="dxa"/>
            <w:vAlign w:val="center"/>
          </w:tcPr>
          <w:p w14:paraId="010161A9">
            <w:pPr>
              <w:widowControl w:val="0"/>
              <w:rPr>
                <w:rFonts w:ascii="仿宋" w:hAnsi="仿宋" w:eastAsia="仿宋" w:cs="Times New Roman"/>
                <w:b/>
                <w:bCs/>
                <w:color w:val="000000"/>
                <w:sz w:val="24"/>
                <w:szCs w:val="24"/>
                <w:highlight w:val="none"/>
              </w:rPr>
            </w:pPr>
          </w:p>
        </w:tc>
      </w:tr>
      <w:tr w14:paraId="78FC4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vAlign w:val="center"/>
          </w:tcPr>
          <w:p w14:paraId="37B1B989">
            <w:pPr>
              <w:widowControl w:val="0"/>
              <w:jc w:val="center"/>
              <w:rPr>
                <w:rFonts w:ascii="仿宋" w:hAnsi="仿宋" w:eastAsia="仿宋" w:cs="仿宋"/>
                <w:color w:val="000000"/>
                <w:sz w:val="24"/>
                <w:szCs w:val="24"/>
                <w:highlight w:val="none"/>
              </w:rPr>
            </w:pPr>
            <w:r>
              <w:rPr>
                <w:rFonts w:ascii="仿宋" w:hAnsi="仿宋" w:eastAsia="仿宋" w:cs="仿宋"/>
                <w:color w:val="000000"/>
                <w:sz w:val="24"/>
                <w:szCs w:val="24"/>
                <w:highlight w:val="none"/>
              </w:rPr>
              <w:t>4</w:t>
            </w:r>
          </w:p>
        </w:tc>
        <w:tc>
          <w:tcPr>
            <w:tcW w:w="1866" w:type="dxa"/>
            <w:vAlign w:val="center"/>
          </w:tcPr>
          <w:p w14:paraId="1E9C4199">
            <w:pPr>
              <w:widowControl w:val="0"/>
              <w:jc w:val="center"/>
              <w:rPr>
                <w:rFonts w:ascii="仿宋" w:hAnsi="仿宋" w:eastAsia="仿宋" w:cs="Times New Roman"/>
                <w:color w:val="000000"/>
                <w:kern w:val="28"/>
                <w:sz w:val="24"/>
                <w:szCs w:val="24"/>
                <w:highlight w:val="none"/>
              </w:rPr>
            </w:pPr>
            <w:r>
              <w:rPr>
                <w:rFonts w:hint="eastAsia" w:ascii="仿宋" w:hAnsi="仿宋" w:eastAsia="仿宋" w:cs="仿宋"/>
                <w:color w:val="000000"/>
                <w:kern w:val="28"/>
                <w:sz w:val="24"/>
                <w:szCs w:val="24"/>
                <w:highlight w:val="none"/>
              </w:rPr>
              <w:t>税收缴纳证明</w:t>
            </w:r>
          </w:p>
        </w:tc>
        <w:tc>
          <w:tcPr>
            <w:tcW w:w="4583" w:type="dxa"/>
            <w:vAlign w:val="center"/>
          </w:tcPr>
          <w:p w14:paraId="48D64B7C">
            <w:pPr>
              <w:widowControl w:val="0"/>
              <w:rPr>
                <w:rFonts w:ascii="仿宋" w:hAnsi="仿宋" w:eastAsia="仿宋" w:cs="Times New Roman"/>
                <w:color w:val="000000"/>
                <w:kern w:val="28"/>
                <w:sz w:val="24"/>
                <w:szCs w:val="24"/>
                <w:highlight w:val="none"/>
              </w:rPr>
            </w:pPr>
            <w:r>
              <w:rPr>
                <w:rFonts w:hint="eastAsia" w:ascii="仿宋" w:hAnsi="仿宋" w:eastAsia="仿宋" w:cs="仿宋"/>
                <w:color w:val="000000"/>
                <w:kern w:val="28"/>
                <w:sz w:val="24"/>
                <w:szCs w:val="24"/>
                <w:highlight w:val="none"/>
              </w:rPr>
              <w:t>提供递交响应文件截止之日前一年内任意一个月的依法缴纳税收的完税证明，完税证明应有税务机关或代收机关的公章或业务专用章。依法免税或无须缴纳税收的供应商，应提供相应证明文件。</w:t>
            </w:r>
          </w:p>
        </w:tc>
        <w:tc>
          <w:tcPr>
            <w:tcW w:w="806" w:type="dxa"/>
            <w:vAlign w:val="center"/>
          </w:tcPr>
          <w:p w14:paraId="3CA046DF">
            <w:pPr>
              <w:widowControl w:val="0"/>
              <w:rPr>
                <w:rFonts w:ascii="仿宋" w:hAnsi="仿宋" w:eastAsia="仿宋" w:cs="Times New Roman"/>
                <w:b/>
                <w:bCs/>
                <w:color w:val="000000"/>
                <w:sz w:val="24"/>
                <w:szCs w:val="24"/>
                <w:highlight w:val="none"/>
              </w:rPr>
            </w:pPr>
          </w:p>
        </w:tc>
        <w:tc>
          <w:tcPr>
            <w:tcW w:w="994" w:type="dxa"/>
            <w:vAlign w:val="center"/>
          </w:tcPr>
          <w:p w14:paraId="60CEB7BF">
            <w:pPr>
              <w:widowControl w:val="0"/>
              <w:rPr>
                <w:rFonts w:ascii="仿宋" w:hAnsi="仿宋" w:eastAsia="仿宋" w:cs="Times New Roman"/>
                <w:b/>
                <w:bCs/>
                <w:color w:val="000000"/>
                <w:sz w:val="24"/>
                <w:szCs w:val="24"/>
                <w:highlight w:val="none"/>
              </w:rPr>
            </w:pPr>
          </w:p>
        </w:tc>
      </w:tr>
      <w:tr w14:paraId="25BF2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vAlign w:val="center"/>
          </w:tcPr>
          <w:p w14:paraId="351BCADF">
            <w:pPr>
              <w:widowControl w:val="0"/>
              <w:jc w:val="center"/>
              <w:rPr>
                <w:rFonts w:ascii="仿宋" w:hAnsi="仿宋" w:eastAsia="仿宋" w:cs="仿宋"/>
                <w:color w:val="000000"/>
                <w:sz w:val="24"/>
                <w:szCs w:val="24"/>
                <w:highlight w:val="none"/>
              </w:rPr>
            </w:pPr>
            <w:r>
              <w:rPr>
                <w:rFonts w:ascii="仿宋" w:hAnsi="仿宋" w:eastAsia="仿宋" w:cs="仿宋"/>
                <w:color w:val="000000"/>
                <w:sz w:val="24"/>
                <w:szCs w:val="24"/>
                <w:highlight w:val="none"/>
              </w:rPr>
              <w:t>5</w:t>
            </w:r>
          </w:p>
        </w:tc>
        <w:tc>
          <w:tcPr>
            <w:tcW w:w="1866" w:type="dxa"/>
            <w:vAlign w:val="center"/>
          </w:tcPr>
          <w:p w14:paraId="60DC75D6">
            <w:pPr>
              <w:widowControl w:val="0"/>
              <w:jc w:val="center"/>
              <w:rPr>
                <w:rFonts w:ascii="仿宋" w:hAnsi="仿宋" w:eastAsia="仿宋" w:cs="Times New Roman"/>
                <w:color w:val="000000"/>
                <w:kern w:val="28"/>
                <w:sz w:val="24"/>
                <w:szCs w:val="24"/>
                <w:highlight w:val="none"/>
              </w:rPr>
            </w:pPr>
            <w:r>
              <w:rPr>
                <w:rFonts w:hint="eastAsia" w:ascii="仿宋" w:hAnsi="仿宋" w:eastAsia="仿宋" w:cs="仿宋"/>
                <w:color w:val="000000"/>
                <w:kern w:val="28"/>
                <w:sz w:val="24"/>
                <w:szCs w:val="24"/>
                <w:highlight w:val="none"/>
              </w:rPr>
              <w:t>信用记录</w:t>
            </w:r>
          </w:p>
        </w:tc>
        <w:tc>
          <w:tcPr>
            <w:tcW w:w="4583" w:type="dxa"/>
            <w:vAlign w:val="center"/>
          </w:tcPr>
          <w:p w14:paraId="4BD84E72">
            <w:pPr>
              <w:widowControl w:val="0"/>
              <w:rPr>
                <w:rFonts w:ascii="仿宋" w:hAnsi="仿宋" w:eastAsia="仿宋" w:cs="Times New Roman"/>
                <w:color w:val="000000"/>
                <w:kern w:val="28"/>
                <w:sz w:val="24"/>
                <w:szCs w:val="24"/>
                <w:highlight w:val="none"/>
              </w:rPr>
            </w:pPr>
            <w:r>
              <w:rPr>
                <w:rFonts w:hint="eastAsia" w:ascii="仿宋" w:hAnsi="仿宋" w:eastAsia="仿宋" w:cs="仿宋"/>
                <w:color w:val="000000"/>
                <w:kern w:val="28"/>
                <w:sz w:val="24"/>
                <w:szCs w:val="24"/>
                <w:highlight w:val="none"/>
              </w:rPr>
              <w:t>提供《供应商信用记录书面声明函》。经查，供应商未被列入“信用中国”网站记录的“失信被执行人”或“重大税收违法案件当事人”名单；不处于“中国政府采购网”记录的“政府采购严重违法失信行为记录名单”中的禁止参加政府采购活动期间。</w:t>
            </w:r>
          </w:p>
        </w:tc>
        <w:tc>
          <w:tcPr>
            <w:tcW w:w="806" w:type="dxa"/>
            <w:vAlign w:val="center"/>
          </w:tcPr>
          <w:p w14:paraId="2593DE26">
            <w:pPr>
              <w:widowControl w:val="0"/>
              <w:rPr>
                <w:rFonts w:ascii="仿宋" w:hAnsi="仿宋" w:eastAsia="仿宋" w:cs="Times New Roman"/>
                <w:b/>
                <w:bCs/>
                <w:color w:val="000000"/>
                <w:sz w:val="24"/>
                <w:szCs w:val="24"/>
                <w:highlight w:val="none"/>
              </w:rPr>
            </w:pPr>
          </w:p>
        </w:tc>
        <w:tc>
          <w:tcPr>
            <w:tcW w:w="994" w:type="dxa"/>
            <w:vAlign w:val="center"/>
          </w:tcPr>
          <w:p w14:paraId="3DC68CE0">
            <w:pPr>
              <w:widowControl w:val="0"/>
              <w:rPr>
                <w:rFonts w:ascii="仿宋" w:hAnsi="仿宋" w:eastAsia="仿宋" w:cs="Times New Roman"/>
                <w:b/>
                <w:bCs/>
                <w:color w:val="000000"/>
                <w:sz w:val="24"/>
                <w:szCs w:val="24"/>
                <w:highlight w:val="none"/>
              </w:rPr>
            </w:pPr>
          </w:p>
        </w:tc>
      </w:tr>
      <w:tr w14:paraId="3E6D9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vAlign w:val="center"/>
          </w:tcPr>
          <w:p w14:paraId="52D2DB9D">
            <w:pPr>
              <w:widowControl w:val="0"/>
              <w:jc w:val="center"/>
              <w:rPr>
                <w:rFonts w:ascii="仿宋" w:hAnsi="仿宋" w:eastAsia="仿宋" w:cs="仿宋"/>
                <w:bCs/>
                <w:color w:val="000000"/>
                <w:sz w:val="24"/>
                <w:szCs w:val="24"/>
                <w:highlight w:val="none"/>
              </w:rPr>
            </w:pPr>
            <w:r>
              <w:rPr>
                <w:rFonts w:hint="eastAsia" w:ascii="仿宋" w:hAnsi="仿宋" w:eastAsia="仿宋" w:cs="仿宋"/>
                <w:color w:val="000000"/>
                <w:sz w:val="24"/>
                <w:szCs w:val="24"/>
                <w:highlight w:val="none"/>
              </w:rPr>
              <w:t>6</w:t>
            </w:r>
          </w:p>
        </w:tc>
        <w:tc>
          <w:tcPr>
            <w:tcW w:w="1866" w:type="dxa"/>
            <w:vAlign w:val="center"/>
          </w:tcPr>
          <w:p w14:paraId="17445FD4">
            <w:pPr>
              <w:widowControl w:val="0"/>
              <w:jc w:val="center"/>
              <w:rPr>
                <w:rFonts w:ascii="仿宋" w:hAnsi="仿宋" w:eastAsia="仿宋" w:cs="仿宋"/>
                <w:kern w:val="28"/>
                <w:sz w:val="24"/>
                <w:szCs w:val="24"/>
                <w:highlight w:val="none"/>
              </w:rPr>
            </w:pPr>
            <w:r>
              <w:rPr>
                <w:rFonts w:hint="eastAsia" w:ascii="仿宋" w:hAnsi="仿宋" w:eastAsia="仿宋" w:cs="仿宋"/>
                <w:kern w:val="28"/>
                <w:sz w:val="24"/>
                <w:szCs w:val="24"/>
                <w:highlight w:val="none"/>
              </w:rPr>
              <w:t>控股管理关系</w:t>
            </w:r>
          </w:p>
        </w:tc>
        <w:tc>
          <w:tcPr>
            <w:tcW w:w="4583" w:type="dxa"/>
            <w:vAlign w:val="center"/>
          </w:tcPr>
          <w:p w14:paraId="4205BD9C">
            <w:pPr>
              <w:widowControl w:val="0"/>
              <w:rPr>
                <w:rFonts w:ascii="仿宋" w:hAnsi="仿宋" w:eastAsia="仿宋" w:cs="仿宋"/>
                <w:kern w:val="28"/>
                <w:sz w:val="24"/>
                <w:szCs w:val="24"/>
                <w:highlight w:val="none"/>
              </w:rPr>
            </w:pPr>
            <w:r>
              <w:rPr>
                <w:rFonts w:hint="eastAsia" w:ascii="仿宋" w:hAnsi="仿宋" w:eastAsia="仿宋" w:cs="仿宋"/>
                <w:kern w:val="28"/>
                <w:sz w:val="24"/>
                <w:szCs w:val="24"/>
                <w:highlight w:val="none"/>
              </w:rPr>
              <w:t xml:space="preserve">提供直接控股和管理关系清单。若与其他 </w:t>
            </w:r>
          </w:p>
          <w:p w14:paraId="4DB1CD52">
            <w:pPr>
              <w:widowControl w:val="0"/>
              <w:rPr>
                <w:rFonts w:ascii="仿宋" w:hAnsi="仿宋" w:eastAsia="仿宋" w:cs="仿宋"/>
                <w:kern w:val="28"/>
                <w:sz w:val="24"/>
                <w:szCs w:val="24"/>
                <w:highlight w:val="none"/>
              </w:rPr>
            </w:pPr>
            <w:r>
              <w:rPr>
                <w:rFonts w:hint="eastAsia" w:ascii="仿宋" w:hAnsi="仿宋" w:eastAsia="仿宋" w:cs="仿宋"/>
                <w:kern w:val="28"/>
                <w:sz w:val="24"/>
                <w:szCs w:val="24"/>
                <w:highlight w:val="none"/>
              </w:rPr>
              <w:t>供应商存在单位负责人为同一人或者存在直接控股、管理关系的，则磋商无效。</w:t>
            </w:r>
          </w:p>
        </w:tc>
        <w:tc>
          <w:tcPr>
            <w:tcW w:w="806" w:type="dxa"/>
            <w:vAlign w:val="center"/>
          </w:tcPr>
          <w:p w14:paraId="0A70F231">
            <w:pPr>
              <w:widowControl w:val="0"/>
              <w:rPr>
                <w:rFonts w:ascii="仿宋" w:hAnsi="仿宋" w:eastAsia="仿宋" w:cs="Times New Roman"/>
                <w:b/>
                <w:bCs/>
                <w:color w:val="000000"/>
                <w:sz w:val="24"/>
                <w:szCs w:val="24"/>
                <w:highlight w:val="none"/>
              </w:rPr>
            </w:pPr>
          </w:p>
        </w:tc>
        <w:tc>
          <w:tcPr>
            <w:tcW w:w="994" w:type="dxa"/>
            <w:vAlign w:val="center"/>
          </w:tcPr>
          <w:p w14:paraId="5DBE0AD0">
            <w:pPr>
              <w:widowControl w:val="0"/>
              <w:rPr>
                <w:rFonts w:ascii="仿宋" w:hAnsi="仿宋" w:eastAsia="仿宋" w:cs="Times New Roman"/>
                <w:b/>
                <w:bCs/>
                <w:color w:val="000000"/>
                <w:sz w:val="24"/>
                <w:szCs w:val="24"/>
                <w:highlight w:val="none"/>
              </w:rPr>
            </w:pPr>
          </w:p>
        </w:tc>
      </w:tr>
      <w:tr w14:paraId="49EB1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32" w:type="dxa"/>
            <w:vAlign w:val="center"/>
          </w:tcPr>
          <w:p w14:paraId="54717555">
            <w:pPr>
              <w:widowControl w:val="0"/>
              <w:jc w:val="center"/>
              <w:rPr>
                <w:rFonts w:ascii="仿宋" w:hAnsi="仿宋" w:eastAsia="仿宋" w:cs="仿宋"/>
                <w:bCs/>
                <w:color w:val="000000"/>
                <w:sz w:val="24"/>
                <w:szCs w:val="24"/>
                <w:highlight w:val="none"/>
              </w:rPr>
            </w:pPr>
            <w:r>
              <w:rPr>
                <w:rFonts w:hint="eastAsia" w:ascii="仿宋" w:hAnsi="仿宋" w:eastAsia="仿宋" w:cs="仿宋"/>
                <w:bCs/>
                <w:color w:val="000000"/>
                <w:sz w:val="24"/>
                <w:szCs w:val="24"/>
                <w:highlight w:val="none"/>
              </w:rPr>
              <w:t>7</w:t>
            </w:r>
          </w:p>
        </w:tc>
        <w:tc>
          <w:tcPr>
            <w:tcW w:w="1866" w:type="dxa"/>
            <w:vAlign w:val="center"/>
          </w:tcPr>
          <w:p w14:paraId="04744255">
            <w:pPr>
              <w:widowControl w:val="0"/>
              <w:jc w:val="center"/>
              <w:rPr>
                <w:rFonts w:ascii="仿宋" w:hAnsi="仿宋" w:eastAsia="仿宋" w:cs="仿宋"/>
                <w:color w:val="000000"/>
                <w:kern w:val="28"/>
                <w:sz w:val="24"/>
                <w:szCs w:val="24"/>
                <w:highlight w:val="none"/>
              </w:rPr>
            </w:pPr>
            <w:r>
              <w:rPr>
                <w:rFonts w:hint="eastAsia" w:ascii="仿宋" w:hAnsi="仿宋" w:eastAsia="仿宋" w:cs="仿宋"/>
                <w:color w:val="000000"/>
                <w:kern w:val="28"/>
                <w:sz w:val="24"/>
                <w:szCs w:val="24"/>
                <w:highlight w:val="none"/>
              </w:rPr>
              <w:t>书面声明</w:t>
            </w:r>
          </w:p>
        </w:tc>
        <w:tc>
          <w:tcPr>
            <w:tcW w:w="4583" w:type="dxa"/>
            <w:vAlign w:val="center"/>
          </w:tcPr>
          <w:p w14:paraId="20527245">
            <w:pPr>
              <w:widowControl w:val="0"/>
              <w:rPr>
                <w:rFonts w:ascii="仿宋" w:hAnsi="仿宋" w:eastAsia="仿宋" w:cs="仿宋"/>
                <w:color w:val="000000"/>
                <w:kern w:val="28"/>
                <w:sz w:val="24"/>
                <w:szCs w:val="24"/>
                <w:highlight w:val="none"/>
              </w:rPr>
            </w:pPr>
            <w:r>
              <w:rPr>
                <w:rFonts w:hint="eastAsia" w:ascii="仿宋" w:hAnsi="仿宋" w:eastAsia="仿宋" w:cs="仿宋"/>
                <w:color w:val="000000"/>
                <w:kern w:val="28"/>
                <w:sz w:val="24"/>
                <w:szCs w:val="24"/>
                <w:highlight w:val="none"/>
              </w:rPr>
              <w:t>提供书面声明，包括声明具有履行合同所必需的设备和专业技术能力；未为本项目提供整体设计、规范编制或者项目管理、监理、检测等服务。</w:t>
            </w:r>
          </w:p>
        </w:tc>
        <w:tc>
          <w:tcPr>
            <w:tcW w:w="806" w:type="dxa"/>
            <w:vAlign w:val="center"/>
          </w:tcPr>
          <w:p w14:paraId="4BBAE62A">
            <w:pPr>
              <w:widowControl w:val="0"/>
              <w:rPr>
                <w:rFonts w:ascii="仿宋" w:hAnsi="仿宋" w:eastAsia="仿宋" w:cs="Times New Roman"/>
                <w:b/>
                <w:bCs/>
                <w:color w:val="000000"/>
                <w:sz w:val="24"/>
                <w:szCs w:val="24"/>
                <w:highlight w:val="none"/>
              </w:rPr>
            </w:pPr>
          </w:p>
        </w:tc>
        <w:tc>
          <w:tcPr>
            <w:tcW w:w="994" w:type="dxa"/>
            <w:vAlign w:val="center"/>
          </w:tcPr>
          <w:p w14:paraId="1DA0D9B5">
            <w:pPr>
              <w:widowControl w:val="0"/>
              <w:rPr>
                <w:rFonts w:ascii="仿宋" w:hAnsi="仿宋" w:eastAsia="仿宋" w:cs="Times New Roman"/>
                <w:b/>
                <w:bCs/>
                <w:color w:val="000000"/>
                <w:sz w:val="24"/>
                <w:szCs w:val="24"/>
                <w:highlight w:val="none"/>
              </w:rPr>
            </w:pPr>
          </w:p>
        </w:tc>
      </w:tr>
      <w:tr w14:paraId="73A52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7" w:hRule="atLeast"/>
          <w:jc w:val="center"/>
        </w:trPr>
        <w:tc>
          <w:tcPr>
            <w:tcW w:w="732" w:type="dxa"/>
            <w:vAlign w:val="center"/>
          </w:tcPr>
          <w:p w14:paraId="4F4A0BF1">
            <w:pPr>
              <w:widowControl w:val="0"/>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8</w:t>
            </w:r>
          </w:p>
        </w:tc>
        <w:tc>
          <w:tcPr>
            <w:tcW w:w="1866" w:type="dxa"/>
            <w:vAlign w:val="center"/>
          </w:tcPr>
          <w:p w14:paraId="7C960631">
            <w:pPr>
              <w:widowControl w:val="0"/>
              <w:jc w:val="center"/>
              <w:rPr>
                <w:rFonts w:ascii="仿宋" w:hAnsi="仿宋" w:eastAsia="仿宋" w:cs="Times New Roman"/>
                <w:color w:val="000000"/>
                <w:kern w:val="28"/>
                <w:sz w:val="24"/>
                <w:szCs w:val="24"/>
                <w:highlight w:val="none"/>
              </w:rPr>
            </w:pPr>
            <w:r>
              <w:rPr>
                <w:rFonts w:hint="eastAsia" w:ascii="仿宋" w:hAnsi="仿宋" w:eastAsia="仿宋" w:cs="仿宋"/>
                <w:color w:val="000000"/>
                <w:kern w:val="28"/>
                <w:sz w:val="24"/>
                <w:szCs w:val="24"/>
                <w:highlight w:val="none"/>
              </w:rPr>
              <w:t>法定代表人授权委托书</w:t>
            </w:r>
          </w:p>
        </w:tc>
        <w:tc>
          <w:tcPr>
            <w:tcW w:w="4583" w:type="dxa"/>
            <w:vAlign w:val="center"/>
          </w:tcPr>
          <w:p w14:paraId="743435AF">
            <w:pPr>
              <w:widowControl w:val="0"/>
              <w:rPr>
                <w:rFonts w:ascii="仿宋" w:hAnsi="仿宋" w:eastAsia="仿宋" w:cs="仿宋"/>
                <w:color w:val="000000"/>
                <w:kern w:val="28"/>
                <w:sz w:val="24"/>
                <w:szCs w:val="24"/>
                <w:highlight w:val="none"/>
              </w:rPr>
            </w:pPr>
            <w:r>
              <w:rPr>
                <w:rFonts w:hint="eastAsia" w:ascii="仿宋" w:hAnsi="仿宋" w:eastAsia="仿宋" w:cs="仿宋"/>
                <w:color w:val="000000"/>
                <w:kern w:val="28"/>
                <w:sz w:val="24"/>
                <w:szCs w:val="24"/>
                <w:highlight w:val="none"/>
              </w:rPr>
              <w:t>法定代表人参加磋商的，须提供本人身份证复印件（附在资格证明文件中）；法定代表人授权他人参加磋商的，须提供法定代表人授权委托书。磋商文件中凡是需要法定代表人盖章之处，非法人单位的负责人均参照执行。</w:t>
            </w:r>
          </w:p>
          <w:p w14:paraId="0F5E6111">
            <w:pPr>
              <w:widowControl w:val="0"/>
              <w:rPr>
                <w:rFonts w:ascii="仿宋" w:hAnsi="仿宋" w:eastAsia="仿宋" w:cs="Times New Roman"/>
                <w:color w:val="000000"/>
                <w:kern w:val="28"/>
                <w:sz w:val="24"/>
                <w:szCs w:val="24"/>
                <w:highlight w:val="none"/>
              </w:rPr>
            </w:pPr>
            <w:r>
              <w:rPr>
                <w:rFonts w:hint="eastAsia" w:ascii="仿宋" w:hAnsi="仿宋" w:eastAsia="仿宋" w:cs="仿宋"/>
                <w:color w:val="000000"/>
                <w:kern w:val="28"/>
                <w:sz w:val="24"/>
                <w:szCs w:val="24"/>
                <w:highlight w:val="none"/>
              </w:rPr>
              <w:t>法人的分支机构参与磋商时，除提供《法定代表人授权委托书》外，还须同时提供法人给分支机构出具的授权书。</w:t>
            </w:r>
          </w:p>
        </w:tc>
        <w:tc>
          <w:tcPr>
            <w:tcW w:w="806" w:type="dxa"/>
            <w:vAlign w:val="center"/>
          </w:tcPr>
          <w:p w14:paraId="01D72C94">
            <w:pPr>
              <w:widowControl w:val="0"/>
              <w:rPr>
                <w:rFonts w:ascii="仿宋" w:hAnsi="仿宋" w:eastAsia="仿宋" w:cs="Times New Roman"/>
                <w:b/>
                <w:bCs/>
                <w:color w:val="000000"/>
                <w:sz w:val="24"/>
                <w:szCs w:val="24"/>
                <w:highlight w:val="none"/>
              </w:rPr>
            </w:pPr>
          </w:p>
        </w:tc>
        <w:tc>
          <w:tcPr>
            <w:tcW w:w="994" w:type="dxa"/>
            <w:vAlign w:val="center"/>
          </w:tcPr>
          <w:p w14:paraId="3FB34782">
            <w:pPr>
              <w:widowControl w:val="0"/>
              <w:rPr>
                <w:rFonts w:ascii="仿宋" w:hAnsi="仿宋" w:eastAsia="仿宋" w:cs="Times New Roman"/>
                <w:b/>
                <w:bCs/>
                <w:color w:val="000000"/>
                <w:sz w:val="24"/>
                <w:szCs w:val="24"/>
                <w:highlight w:val="none"/>
              </w:rPr>
            </w:pPr>
          </w:p>
        </w:tc>
      </w:tr>
      <w:tr w14:paraId="788ED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3" w:hRule="atLeast"/>
          <w:jc w:val="center"/>
        </w:trPr>
        <w:tc>
          <w:tcPr>
            <w:tcW w:w="732" w:type="dxa"/>
            <w:vAlign w:val="center"/>
          </w:tcPr>
          <w:p w14:paraId="382C123F">
            <w:pPr>
              <w:widowControl w:val="0"/>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9</w:t>
            </w:r>
          </w:p>
        </w:tc>
        <w:tc>
          <w:tcPr>
            <w:tcW w:w="1866" w:type="dxa"/>
            <w:vAlign w:val="center"/>
          </w:tcPr>
          <w:p w14:paraId="5B12B13B">
            <w:pPr>
              <w:widowControl w:val="0"/>
              <w:jc w:val="center"/>
              <w:rPr>
                <w:rFonts w:ascii="仿宋" w:hAnsi="仿宋" w:eastAsia="仿宋" w:cs="仿宋"/>
                <w:color w:val="000000"/>
                <w:kern w:val="28"/>
                <w:sz w:val="24"/>
                <w:szCs w:val="24"/>
                <w:highlight w:val="none"/>
              </w:rPr>
            </w:pPr>
            <w:r>
              <w:rPr>
                <w:rFonts w:hint="eastAsia" w:ascii="仿宋" w:hAnsi="仿宋" w:eastAsia="仿宋" w:cs="仿宋"/>
                <w:color w:val="000000"/>
                <w:kern w:val="28"/>
                <w:sz w:val="24"/>
                <w:szCs w:val="24"/>
                <w:highlight w:val="none"/>
              </w:rPr>
              <w:t>落实政府采购政策须满足的资格要求</w:t>
            </w:r>
          </w:p>
        </w:tc>
        <w:tc>
          <w:tcPr>
            <w:tcW w:w="4583" w:type="dxa"/>
            <w:vAlign w:val="center"/>
          </w:tcPr>
          <w:p w14:paraId="55459AF3">
            <w:pPr>
              <w:pStyle w:val="8"/>
              <w:spacing w:afterLines="0" w:line="400" w:lineRule="exact"/>
              <w:rPr>
                <w:rFonts w:ascii="仿宋" w:hAnsi="仿宋" w:eastAsia="仿宋" w:cs="仿宋"/>
                <w:kern w:val="28"/>
                <w:highlight w:val="none"/>
              </w:rPr>
            </w:pPr>
            <w:r>
              <w:rPr>
                <w:rFonts w:hint="eastAsia" w:ascii="仿宋" w:hAnsi="仿宋" w:eastAsia="仿宋" w:cs="仿宋"/>
                <w:kern w:val="28"/>
                <w:highlight w:val="none"/>
              </w:rPr>
              <w:t>本项目为专门面向中小企业项目，供应商应为中型企业、小型企业、微型企业或监狱企业或残疾人福利性单位。供应商为中小企业的，提供《中小企业声明函》，且中小企业的划分标准所属行业为</w:t>
            </w:r>
            <w:r>
              <w:rPr>
                <w:rFonts w:hint="eastAsia" w:ascii="仿宋" w:hAnsi="仿宋" w:eastAsia="仿宋" w:cs="仿宋"/>
                <w:kern w:val="28"/>
                <w:highlight w:val="none"/>
                <w:lang w:val="en-US" w:eastAsia="zh-CN"/>
              </w:rPr>
              <w:t>物业管理</w:t>
            </w:r>
            <w:r>
              <w:rPr>
                <w:rFonts w:hint="eastAsia" w:ascii="仿宋" w:hAnsi="仿宋" w:eastAsia="仿宋" w:cs="仿宋"/>
                <w:kern w:val="28"/>
                <w:highlight w:val="none"/>
              </w:rPr>
              <w:t>；供应商为监狱企业的，应提供监狱企业的证明文件；供应商为残疾人福利性单位的，应提供《残疾人福利性单位声明函》（监狱企业或残疾人福利性单位视同小型、微型企业）。</w:t>
            </w:r>
          </w:p>
        </w:tc>
        <w:tc>
          <w:tcPr>
            <w:tcW w:w="806" w:type="dxa"/>
            <w:vAlign w:val="center"/>
          </w:tcPr>
          <w:p w14:paraId="6B929D64">
            <w:pPr>
              <w:widowControl w:val="0"/>
              <w:rPr>
                <w:rFonts w:ascii="仿宋" w:hAnsi="仿宋" w:eastAsia="仿宋" w:cs="Times New Roman"/>
                <w:b/>
                <w:bCs/>
                <w:color w:val="000000"/>
                <w:sz w:val="24"/>
                <w:szCs w:val="24"/>
                <w:highlight w:val="none"/>
              </w:rPr>
            </w:pPr>
          </w:p>
        </w:tc>
        <w:tc>
          <w:tcPr>
            <w:tcW w:w="994" w:type="dxa"/>
            <w:vAlign w:val="center"/>
          </w:tcPr>
          <w:p w14:paraId="539CC0E9">
            <w:pPr>
              <w:widowControl w:val="0"/>
              <w:rPr>
                <w:rFonts w:ascii="仿宋" w:hAnsi="仿宋" w:eastAsia="仿宋" w:cs="Times New Roman"/>
                <w:b/>
                <w:bCs/>
                <w:color w:val="000000"/>
                <w:sz w:val="24"/>
                <w:szCs w:val="24"/>
                <w:highlight w:val="none"/>
              </w:rPr>
            </w:pPr>
          </w:p>
        </w:tc>
      </w:tr>
      <w:tr w14:paraId="7204E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732" w:type="dxa"/>
            <w:vAlign w:val="center"/>
          </w:tcPr>
          <w:p w14:paraId="258BB101">
            <w:pPr>
              <w:widowControl w:val="0"/>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10</w:t>
            </w:r>
          </w:p>
        </w:tc>
        <w:tc>
          <w:tcPr>
            <w:tcW w:w="1866" w:type="dxa"/>
            <w:vAlign w:val="center"/>
          </w:tcPr>
          <w:p w14:paraId="3D22CAE9">
            <w:pPr>
              <w:widowControl w:val="0"/>
              <w:jc w:val="center"/>
              <w:rPr>
                <w:rFonts w:ascii="仿宋" w:hAnsi="仿宋" w:eastAsia="仿宋" w:cs="仿宋"/>
                <w:color w:val="000000"/>
                <w:kern w:val="28"/>
                <w:sz w:val="24"/>
                <w:szCs w:val="24"/>
                <w:highlight w:val="none"/>
              </w:rPr>
            </w:pPr>
            <w:r>
              <w:rPr>
                <w:rFonts w:hint="eastAsia" w:ascii="仿宋" w:hAnsi="仿宋" w:eastAsia="仿宋" w:cs="仿宋"/>
                <w:color w:val="000000"/>
                <w:kern w:val="28"/>
                <w:sz w:val="24"/>
                <w:szCs w:val="24"/>
                <w:highlight w:val="none"/>
              </w:rPr>
              <w:t>特定资格要求</w:t>
            </w:r>
          </w:p>
        </w:tc>
        <w:tc>
          <w:tcPr>
            <w:tcW w:w="4583" w:type="dxa"/>
            <w:vAlign w:val="center"/>
          </w:tcPr>
          <w:p w14:paraId="28AB714F">
            <w:pPr>
              <w:pStyle w:val="8"/>
              <w:spacing w:afterLines="0" w:line="400" w:lineRule="exact"/>
              <w:jc w:val="left"/>
              <w:rPr>
                <w:rFonts w:ascii="仿宋" w:hAnsi="仿宋" w:eastAsia="仿宋" w:cs="仿宋"/>
                <w:kern w:val="28"/>
                <w:highlight w:val="none"/>
              </w:rPr>
            </w:pPr>
            <w:r>
              <w:rPr>
                <w:rFonts w:hint="eastAsia" w:ascii="仿宋" w:hAnsi="仿宋" w:eastAsia="仿宋" w:cs="仿宋"/>
                <w:kern w:val="28"/>
                <w:highlight w:val="none"/>
              </w:rPr>
              <w:t>本项目采购内容以物业服务为主，其中涉及保安服务的，须以承诺书形式提供以下资料（承诺书格式不限），以下两种形式提供其中任意一种均可：</w:t>
            </w:r>
          </w:p>
          <w:p w14:paraId="6C7CFE82">
            <w:pPr>
              <w:pStyle w:val="8"/>
              <w:spacing w:afterLines="0" w:line="400" w:lineRule="exact"/>
              <w:rPr>
                <w:rFonts w:ascii="仿宋" w:hAnsi="仿宋" w:eastAsia="仿宋" w:cs="仿宋"/>
                <w:kern w:val="28"/>
                <w:highlight w:val="none"/>
              </w:rPr>
            </w:pPr>
            <w:r>
              <w:rPr>
                <w:rFonts w:hint="eastAsia" w:ascii="仿宋" w:hAnsi="仿宋" w:eastAsia="仿宋" w:cs="仿宋"/>
                <w:kern w:val="28"/>
                <w:highlight w:val="none"/>
              </w:rPr>
              <w:t>（1）自行招用保安员的供应商须承诺：自承接本项目之日起30日内，向采购人所在地设区的市级人民政府公安机关备案。</w:t>
            </w:r>
          </w:p>
          <w:p w14:paraId="2179F5B9">
            <w:pPr>
              <w:rPr>
                <w:rFonts w:ascii="仿宋" w:hAnsi="仿宋" w:eastAsia="仿宋" w:cs="仿宋"/>
                <w:color w:val="000000"/>
                <w:kern w:val="28"/>
                <w:sz w:val="24"/>
                <w:szCs w:val="24"/>
                <w:highlight w:val="none"/>
              </w:rPr>
            </w:pPr>
            <w:r>
              <w:rPr>
                <w:rFonts w:hint="eastAsia" w:ascii="仿宋" w:hAnsi="仿宋" w:eastAsia="仿宋" w:cs="仿宋"/>
                <w:kern w:val="28"/>
                <w:sz w:val="24"/>
                <w:szCs w:val="24"/>
                <w:highlight w:val="none"/>
              </w:rPr>
              <w:t>（2）从保安服务公司购买保安服务的供应商须承诺：成交后7日内，与保安服务公司签订保安服务合同，明确规定服务的项目、内容以及双方的权利义务，以满足本项目采购人的保安服务需求。</w:t>
            </w:r>
          </w:p>
        </w:tc>
        <w:tc>
          <w:tcPr>
            <w:tcW w:w="806" w:type="dxa"/>
            <w:vAlign w:val="center"/>
          </w:tcPr>
          <w:p w14:paraId="178BC1AF">
            <w:pPr>
              <w:widowControl w:val="0"/>
              <w:rPr>
                <w:rFonts w:ascii="仿宋" w:hAnsi="仿宋" w:eastAsia="仿宋" w:cs="Times New Roman"/>
                <w:b/>
                <w:bCs/>
                <w:color w:val="000000"/>
                <w:sz w:val="24"/>
                <w:szCs w:val="24"/>
                <w:highlight w:val="none"/>
              </w:rPr>
            </w:pPr>
          </w:p>
        </w:tc>
        <w:tc>
          <w:tcPr>
            <w:tcW w:w="994" w:type="dxa"/>
            <w:vAlign w:val="center"/>
          </w:tcPr>
          <w:p w14:paraId="576E421B">
            <w:pPr>
              <w:widowControl w:val="0"/>
              <w:rPr>
                <w:rFonts w:ascii="仿宋" w:hAnsi="仿宋" w:eastAsia="仿宋" w:cs="Times New Roman"/>
                <w:b/>
                <w:bCs/>
                <w:color w:val="000000"/>
                <w:sz w:val="24"/>
                <w:szCs w:val="24"/>
                <w:highlight w:val="none"/>
              </w:rPr>
            </w:pPr>
          </w:p>
        </w:tc>
      </w:tr>
      <w:tr w14:paraId="64C3C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732" w:type="dxa"/>
            <w:vAlign w:val="center"/>
          </w:tcPr>
          <w:p w14:paraId="238FCD35">
            <w:pPr>
              <w:widowControl w:val="0"/>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11</w:t>
            </w:r>
          </w:p>
        </w:tc>
        <w:tc>
          <w:tcPr>
            <w:tcW w:w="1866" w:type="dxa"/>
            <w:vAlign w:val="center"/>
          </w:tcPr>
          <w:p w14:paraId="2ECFE926">
            <w:pPr>
              <w:widowControl w:val="0"/>
              <w:jc w:val="center"/>
              <w:rPr>
                <w:rFonts w:ascii="仿宋" w:hAnsi="仿宋" w:eastAsia="仿宋" w:cs="仿宋"/>
                <w:color w:val="000000"/>
                <w:kern w:val="28"/>
                <w:sz w:val="24"/>
                <w:szCs w:val="24"/>
                <w:highlight w:val="none"/>
              </w:rPr>
            </w:pPr>
            <w:r>
              <w:rPr>
                <w:rFonts w:hint="eastAsia" w:ascii="仿宋" w:hAnsi="仿宋" w:eastAsia="仿宋" w:cs="仿宋"/>
                <w:color w:val="000000"/>
                <w:kern w:val="28"/>
                <w:sz w:val="24"/>
                <w:szCs w:val="24"/>
                <w:highlight w:val="none"/>
              </w:rPr>
              <w:t>本项目不接受联合体响应，不允许分包</w:t>
            </w:r>
          </w:p>
        </w:tc>
        <w:tc>
          <w:tcPr>
            <w:tcW w:w="4583" w:type="dxa"/>
            <w:vAlign w:val="center"/>
          </w:tcPr>
          <w:p w14:paraId="27536B67">
            <w:pPr>
              <w:widowControl w:val="0"/>
              <w:rPr>
                <w:rFonts w:ascii="仿宋" w:hAnsi="仿宋" w:eastAsia="仿宋" w:cs="仿宋"/>
                <w:color w:val="000000"/>
                <w:kern w:val="28"/>
                <w:sz w:val="24"/>
                <w:szCs w:val="24"/>
                <w:highlight w:val="none"/>
              </w:rPr>
            </w:pPr>
            <w:r>
              <w:rPr>
                <w:rFonts w:hint="eastAsia" w:ascii="仿宋" w:hAnsi="仿宋" w:eastAsia="仿宋" w:cs="仿宋"/>
                <w:color w:val="000000"/>
                <w:kern w:val="28"/>
                <w:sz w:val="24"/>
                <w:szCs w:val="24"/>
                <w:highlight w:val="none"/>
              </w:rPr>
              <w:t>供应商应提供《非联合体不分包投标声明》，视为独立响应，不分包。</w:t>
            </w:r>
          </w:p>
        </w:tc>
        <w:tc>
          <w:tcPr>
            <w:tcW w:w="806" w:type="dxa"/>
            <w:vAlign w:val="center"/>
          </w:tcPr>
          <w:p w14:paraId="0FE1BBF4">
            <w:pPr>
              <w:widowControl w:val="0"/>
              <w:rPr>
                <w:rFonts w:ascii="仿宋" w:hAnsi="仿宋" w:eastAsia="仿宋" w:cs="Times New Roman"/>
                <w:b/>
                <w:bCs/>
                <w:color w:val="000000"/>
                <w:sz w:val="24"/>
                <w:szCs w:val="24"/>
                <w:highlight w:val="none"/>
              </w:rPr>
            </w:pPr>
          </w:p>
        </w:tc>
        <w:tc>
          <w:tcPr>
            <w:tcW w:w="994" w:type="dxa"/>
            <w:vAlign w:val="center"/>
          </w:tcPr>
          <w:p w14:paraId="43AC32F2">
            <w:pPr>
              <w:widowControl w:val="0"/>
              <w:rPr>
                <w:rFonts w:ascii="仿宋" w:hAnsi="仿宋" w:eastAsia="仿宋" w:cs="Times New Roman"/>
                <w:b/>
                <w:bCs/>
                <w:color w:val="000000"/>
                <w:sz w:val="24"/>
                <w:szCs w:val="24"/>
                <w:highlight w:val="none"/>
              </w:rPr>
            </w:pPr>
          </w:p>
        </w:tc>
      </w:tr>
      <w:tr w14:paraId="3E40C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981" w:type="dxa"/>
            <w:gridSpan w:val="5"/>
            <w:vAlign w:val="center"/>
          </w:tcPr>
          <w:p w14:paraId="6E4E7110">
            <w:pPr>
              <w:rPr>
                <w:rFonts w:ascii="仿宋" w:hAnsi="仿宋" w:eastAsia="仿宋" w:cs="仿宋"/>
                <w:b/>
                <w:color w:val="000000"/>
                <w:sz w:val="24"/>
                <w:szCs w:val="24"/>
                <w:highlight w:val="none"/>
              </w:rPr>
            </w:pPr>
            <w:r>
              <w:rPr>
                <w:rFonts w:hint="eastAsia" w:ascii="仿宋" w:hAnsi="仿宋" w:eastAsia="仿宋" w:cs="仿宋"/>
                <w:b/>
                <w:bCs/>
                <w:color w:val="000000"/>
                <w:kern w:val="0"/>
                <w:sz w:val="24"/>
                <w:szCs w:val="24"/>
                <w:highlight w:val="none"/>
              </w:rPr>
              <w:t>磋商小组成员：（签字或盖章）</w:t>
            </w:r>
          </w:p>
        </w:tc>
      </w:tr>
    </w:tbl>
    <w:p w14:paraId="09AB0D9A">
      <w:pPr>
        <w:spacing w:line="500" w:lineRule="exact"/>
        <w:ind w:firstLine="566" w:firstLineChars="200"/>
        <w:rPr>
          <w:rFonts w:ascii="仿宋" w:hAnsi="仿宋" w:eastAsia="仿宋" w:cs="仿宋"/>
          <w:b/>
          <w:bCs/>
          <w:color w:val="000000"/>
          <w:highlight w:val="none"/>
        </w:rPr>
      </w:pPr>
      <w:bookmarkStart w:id="499" w:name="_Toc2809"/>
      <w:bookmarkStart w:id="500" w:name="_Toc28947"/>
      <w:bookmarkStart w:id="501" w:name="_Toc325"/>
      <w:bookmarkStart w:id="502" w:name="_Toc18735"/>
      <w:bookmarkStart w:id="503" w:name="_Toc18391"/>
      <w:bookmarkStart w:id="504" w:name="_Toc1691"/>
      <w:bookmarkStart w:id="505" w:name="_Toc1559"/>
      <w:bookmarkStart w:id="506" w:name="_Toc16965"/>
      <w:bookmarkStart w:id="507" w:name="_Toc3753"/>
      <w:bookmarkStart w:id="508" w:name="_Toc25181"/>
      <w:bookmarkStart w:id="509" w:name="_Toc2712"/>
      <w:bookmarkStart w:id="510" w:name="_Toc28896"/>
      <w:bookmarkStart w:id="511" w:name="_Toc29773"/>
      <w:bookmarkStart w:id="512" w:name="_Toc22102"/>
      <w:r>
        <w:rPr>
          <w:rFonts w:hint="eastAsia" w:ascii="仿宋" w:hAnsi="仿宋" w:eastAsia="仿宋" w:cs="仿宋"/>
          <w:b/>
          <w:bCs/>
          <w:color w:val="000000"/>
          <w:highlight w:val="none"/>
        </w:rPr>
        <w:t>出现下列情形的，响应文件将被视为无效：</w:t>
      </w:r>
    </w:p>
    <w:p w14:paraId="4152BBE0">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（1）不具备磋商文件中规定的资格要求的；</w:t>
      </w:r>
    </w:p>
    <w:p w14:paraId="6953D0BE">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（2）未按磋商文件要求提供资格证明文件，或未按磋商文件要求加盖公章的；</w:t>
      </w:r>
    </w:p>
    <w:p w14:paraId="1971CE76">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3）磋商小组认为供应商的资格证明文件存在疑点，要求供应商通过公共资源交易平台（以下简称“平台”）或电子邮件（在平台无法支持的情况下）等形式提供更清晰有效的证明文件，供应商不能在规定时限内提供符合磋商文件要求的证明文件的。</w:t>
      </w:r>
    </w:p>
    <w:p w14:paraId="0058D037">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资格审查结束后，磋商小组成员应当对审查结果进行签字确认，并告知有关供应商未通过审查的原因。</w:t>
      </w:r>
    </w:p>
    <w:p w14:paraId="0DB0A95D">
      <w:pPr>
        <w:widowControl w:val="0"/>
        <w:spacing w:line="500" w:lineRule="exact"/>
        <w:ind w:firstLine="566" w:firstLineChars="200"/>
        <w:rPr>
          <w:rFonts w:ascii="仿宋" w:hAnsi="仿宋" w:eastAsia="仿宋" w:cs="仿宋"/>
          <w:b/>
          <w:bCs/>
          <w:color w:val="000000"/>
          <w:highlight w:val="none"/>
        </w:rPr>
      </w:pPr>
      <w:r>
        <w:rPr>
          <w:rFonts w:hint="eastAsia" w:ascii="仿宋" w:hAnsi="仿宋" w:eastAsia="仿宋" w:cs="仿宋"/>
          <w:b/>
          <w:bCs/>
          <w:color w:val="000000"/>
          <w:highlight w:val="none"/>
        </w:rPr>
        <w:t>通过资格审查的供应商不足3家的，不得进行符合性审查，应予以废标。</w:t>
      </w:r>
    </w:p>
    <w:p w14:paraId="384DC6BF">
      <w:pPr>
        <w:widowControl w:val="0"/>
        <w:spacing w:line="500" w:lineRule="exact"/>
        <w:ind w:firstLine="566" w:firstLineChars="200"/>
        <w:rPr>
          <w:rFonts w:ascii="仿宋" w:hAnsi="仿宋" w:eastAsia="仿宋" w:cs="仿宋"/>
          <w:b/>
          <w:bCs/>
          <w:color w:val="000000"/>
          <w:highlight w:val="none"/>
        </w:rPr>
      </w:pPr>
      <w:r>
        <w:rPr>
          <w:rFonts w:hint="eastAsia" w:ascii="仿宋" w:hAnsi="仿宋" w:eastAsia="仿宋" w:cs="仿宋"/>
          <w:b/>
          <w:bCs/>
          <w:color w:val="000000"/>
          <w:highlight w:val="none"/>
        </w:rPr>
        <w:t>2、响应文件的符合性审查</w:t>
      </w:r>
    </w:p>
    <w:p w14:paraId="3FCFA512">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磋商小组依据磋商文件的规定，对响应文件的有效性、完整性和对磋商文件的响应程度进行审查，以确定是否对磋商文件的全部实质性要求做出响应。</w:t>
      </w:r>
    </w:p>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p w14:paraId="538EE1D5">
      <w:pPr>
        <w:widowControl w:val="0"/>
        <w:tabs>
          <w:tab w:val="center" w:pos="4153"/>
          <w:tab w:val="right" w:pos="8306"/>
        </w:tabs>
        <w:spacing w:line="500" w:lineRule="exact"/>
        <w:ind w:firstLine="566" w:firstLineChars="200"/>
        <w:jc w:val="left"/>
        <w:rPr>
          <w:rFonts w:ascii="仿宋" w:hAnsi="仿宋" w:eastAsia="仿宋" w:cs="仿宋"/>
          <w:b/>
          <w:bCs/>
          <w:color w:val="000000"/>
          <w:highlight w:val="none"/>
        </w:rPr>
      </w:pPr>
      <w:r>
        <w:rPr>
          <w:rFonts w:hint="eastAsia" w:ascii="仿宋" w:hAnsi="仿宋" w:eastAsia="仿宋" w:cs="仿宋"/>
          <w:color w:val="000000"/>
          <w:highlight w:val="none"/>
        </w:rPr>
        <w:t>磋商小组要审查每份响应文件是否实质上响应了磋商文件的要求。实质上没有响应磋商文件要求的响应文件作</w:t>
      </w:r>
      <w:r>
        <w:rPr>
          <w:rFonts w:hint="eastAsia" w:ascii="仿宋" w:hAnsi="仿宋" w:eastAsia="仿宋" w:cs="仿宋"/>
          <w:b/>
          <w:bCs/>
          <w:color w:val="000000"/>
          <w:highlight w:val="none"/>
        </w:rPr>
        <w:t>无效响应处理</w:t>
      </w:r>
      <w:r>
        <w:rPr>
          <w:rFonts w:hint="eastAsia" w:ascii="仿宋" w:hAnsi="仿宋" w:eastAsia="仿宋" w:cs="仿宋"/>
          <w:color w:val="000000"/>
          <w:highlight w:val="none"/>
        </w:rPr>
        <w:t>，磋商小组应告知有关供应商未通过审查的原因。供应商不得通过修正或撤销不符之处而使其成为实质上响应。</w:t>
      </w:r>
    </w:p>
    <w:p w14:paraId="0C0EA2C1">
      <w:pPr>
        <w:widowControl w:val="0"/>
        <w:spacing w:line="500" w:lineRule="exact"/>
        <w:jc w:val="center"/>
        <w:rPr>
          <w:rFonts w:ascii="仿宋" w:hAnsi="仿宋" w:eastAsia="仿宋" w:cs="仿宋"/>
          <w:b/>
          <w:bCs/>
          <w:color w:val="000000"/>
          <w:highlight w:val="none"/>
        </w:rPr>
      </w:pPr>
      <w:r>
        <w:rPr>
          <w:rFonts w:hint="eastAsia" w:ascii="仿宋" w:hAnsi="仿宋" w:eastAsia="仿宋" w:cs="仿宋"/>
          <w:b/>
          <w:bCs/>
          <w:color w:val="000000"/>
          <w:highlight w:val="none"/>
        </w:rPr>
        <w:t>符合性审查表</w:t>
      </w:r>
    </w:p>
    <w:tbl>
      <w:tblPr>
        <w:tblStyle w:val="21"/>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2460"/>
        <w:gridCol w:w="4200"/>
        <w:gridCol w:w="769"/>
        <w:gridCol w:w="1005"/>
      </w:tblGrid>
      <w:tr w14:paraId="6CCD4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dxa"/>
            <w:vAlign w:val="center"/>
          </w:tcPr>
          <w:p w14:paraId="16ABD7C8">
            <w:pPr>
              <w:widowControl w:val="0"/>
              <w:jc w:val="center"/>
              <w:rPr>
                <w:rFonts w:ascii="仿宋" w:hAnsi="仿宋" w:eastAsia="仿宋" w:cs="仿宋"/>
                <w:b/>
                <w:bCs/>
                <w:color w:val="000000"/>
                <w:kern w:val="0"/>
                <w:sz w:val="24"/>
                <w:szCs w:val="24"/>
                <w:highlight w:val="none"/>
              </w:rPr>
            </w:pPr>
            <w:bookmarkStart w:id="513" w:name="_Toc31415"/>
            <w:bookmarkStart w:id="514" w:name="_Toc18874"/>
            <w:bookmarkStart w:id="515" w:name="_Toc2503"/>
            <w:bookmarkStart w:id="516" w:name="_Toc22846"/>
            <w:bookmarkStart w:id="517" w:name="_Toc7523"/>
            <w:bookmarkStart w:id="518" w:name="_Toc12596"/>
            <w:bookmarkStart w:id="519" w:name="_Toc24626"/>
            <w:bookmarkStart w:id="520" w:name="_Toc2387"/>
            <w:bookmarkStart w:id="521" w:name="_Toc11613"/>
            <w:bookmarkStart w:id="522" w:name="_Toc4245"/>
            <w:bookmarkStart w:id="523" w:name="_Toc20615"/>
            <w:bookmarkStart w:id="524" w:name="_Toc32092"/>
            <w:bookmarkStart w:id="525" w:name="_Toc13418"/>
            <w:bookmarkStart w:id="526" w:name="_Toc31150"/>
            <w:bookmarkStart w:id="527" w:name="_Toc2771"/>
            <w:r>
              <w:rPr>
                <w:rFonts w:hint="eastAsia" w:ascii="仿宋" w:hAnsi="仿宋" w:eastAsia="仿宋" w:cs="仿宋"/>
                <w:b/>
                <w:bCs/>
                <w:color w:val="000000"/>
                <w:kern w:val="0"/>
                <w:sz w:val="24"/>
                <w:szCs w:val="24"/>
                <w:highlight w:val="none"/>
              </w:rPr>
              <w:t>序号</w:t>
            </w:r>
          </w:p>
        </w:tc>
        <w:tc>
          <w:tcPr>
            <w:tcW w:w="2460" w:type="dxa"/>
            <w:vAlign w:val="center"/>
          </w:tcPr>
          <w:p w14:paraId="57A36D02">
            <w:pPr>
              <w:widowControl w:val="0"/>
              <w:jc w:val="center"/>
              <w:rPr>
                <w:rFonts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符合性审查项</w:t>
            </w:r>
          </w:p>
        </w:tc>
        <w:tc>
          <w:tcPr>
            <w:tcW w:w="4200" w:type="dxa"/>
            <w:vAlign w:val="center"/>
          </w:tcPr>
          <w:p w14:paraId="53C8CD8F">
            <w:pPr>
              <w:widowControl w:val="0"/>
              <w:jc w:val="center"/>
              <w:rPr>
                <w:rFonts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通过条件</w:t>
            </w:r>
          </w:p>
        </w:tc>
        <w:tc>
          <w:tcPr>
            <w:tcW w:w="769" w:type="dxa"/>
            <w:vAlign w:val="center"/>
          </w:tcPr>
          <w:p w14:paraId="63DE7635">
            <w:pPr>
              <w:widowControl w:val="0"/>
              <w:jc w:val="center"/>
              <w:rPr>
                <w:rFonts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结论</w:t>
            </w:r>
          </w:p>
        </w:tc>
        <w:tc>
          <w:tcPr>
            <w:tcW w:w="1005" w:type="dxa"/>
            <w:vAlign w:val="center"/>
          </w:tcPr>
          <w:p w14:paraId="44628A76">
            <w:pPr>
              <w:widowControl w:val="0"/>
              <w:jc w:val="center"/>
              <w:rPr>
                <w:rFonts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未通过原因</w:t>
            </w:r>
          </w:p>
        </w:tc>
      </w:tr>
      <w:tr w14:paraId="63B34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531" w:type="dxa"/>
            <w:vAlign w:val="center"/>
          </w:tcPr>
          <w:p w14:paraId="5670A461">
            <w:pPr>
              <w:widowControl w:val="0"/>
              <w:jc w:val="center"/>
              <w:rPr>
                <w:rFonts w:ascii="仿宋" w:hAnsi="仿宋" w:eastAsia="仿宋" w:cs="仿宋"/>
                <w:color w:val="000000"/>
                <w:kern w:val="0"/>
                <w:sz w:val="24"/>
                <w:szCs w:val="24"/>
                <w:highlight w:val="none"/>
              </w:rPr>
            </w:pPr>
            <w:r>
              <w:rPr>
                <w:rFonts w:ascii="仿宋" w:hAnsi="仿宋" w:eastAsia="仿宋" w:cs="仿宋"/>
                <w:color w:val="000000"/>
                <w:kern w:val="0"/>
                <w:sz w:val="24"/>
                <w:szCs w:val="24"/>
                <w:highlight w:val="none"/>
              </w:rPr>
              <w:t>1</w:t>
            </w:r>
          </w:p>
        </w:tc>
        <w:tc>
          <w:tcPr>
            <w:tcW w:w="2460" w:type="dxa"/>
            <w:vAlign w:val="center"/>
          </w:tcPr>
          <w:p w14:paraId="61838028">
            <w:pPr>
              <w:widowControl w:val="0"/>
              <w:jc w:val="left"/>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响应文件语言及有效期</w:t>
            </w:r>
          </w:p>
        </w:tc>
        <w:tc>
          <w:tcPr>
            <w:tcW w:w="4200" w:type="dxa"/>
            <w:vAlign w:val="center"/>
          </w:tcPr>
          <w:p w14:paraId="10D7577E">
            <w:pPr>
              <w:widowControl w:val="0"/>
              <w:jc w:val="left"/>
              <w:rPr>
                <w:rFonts w:ascii="仿宋" w:hAnsi="仿宋" w:eastAsia="仿宋" w:cs="仿宋"/>
                <w:color w:val="000000"/>
                <w:sz w:val="24"/>
                <w:szCs w:val="24"/>
                <w:highlight w:val="none"/>
              </w:rPr>
            </w:pPr>
            <w:r>
              <w:rPr>
                <w:rFonts w:hint="eastAsia" w:ascii="仿宋" w:hAnsi="仿宋" w:eastAsia="仿宋" w:cs="仿宋"/>
                <w:color w:val="000000"/>
                <w:kern w:val="0"/>
                <w:sz w:val="24"/>
                <w:szCs w:val="24"/>
                <w:highlight w:val="none"/>
              </w:rPr>
              <w:t>响应文件语言及有效期</w:t>
            </w:r>
            <w:r>
              <w:rPr>
                <w:rFonts w:hint="eastAsia" w:ascii="仿宋" w:hAnsi="仿宋" w:eastAsia="仿宋" w:cs="仿宋"/>
                <w:color w:val="000000"/>
                <w:sz w:val="24"/>
                <w:szCs w:val="24"/>
                <w:highlight w:val="none"/>
              </w:rPr>
              <w:t>符合磋商文件要求。</w:t>
            </w:r>
          </w:p>
        </w:tc>
        <w:tc>
          <w:tcPr>
            <w:tcW w:w="769" w:type="dxa"/>
            <w:vAlign w:val="center"/>
          </w:tcPr>
          <w:p w14:paraId="7D8AC57E">
            <w:pPr>
              <w:widowControl w:val="0"/>
              <w:jc w:val="center"/>
              <w:rPr>
                <w:rFonts w:ascii="仿宋" w:hAnsi="仿宋" w:eastAsia="仿宋" w:cs="仿宋"/>
                <w:b/>
                <w:bCs/>
                <w:color w:val="000000"/>
                <w:kern w:val="0"/>
                <w:sz w:val="24"/>
                <w:szCs w:val="24"/>
                <w:highlight w:val="none"/>
              </w:rPr>
            </w:pPr>
          </w:p>
        </w:tc>
        <w:tc>
          <w:tcPr>
            <w:tcW w:w="1005" w:type="dxa"/>
            <w:vAlign w:val="center"/>
          </w:tcPr>
          <w:p w14:paraId="6D58A21D">
            <w:pPr>
              <w:widowControl w:val="0"/>
              <w:jc w:val="center"/>
              <w:rPr>
                <w:rFonts w:ascii="仿宋" w:hAnsi="仿宋" w:eastAsia="仿宋" w:cs="仿宋"/>
                <w:b/>
                <w:bCs/>
                <w:color w:val="000000"/>
                <w:kern w:val="0"/>
                <w:sz w:val="24"/>
                <w:szCs w:val="24"/>
                <w:highlight w:val="none"/>
              </w:rPr>
            </w:pPr>
          </w:p>
        </w:tc>
      </w:tr>
      <w:tr w14:paraId="5EEC0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531" w:type="dxa"/>
            <w:vAlign w:val="center"/>
          </w:tcPr>
          <w:p w14:paraId="21DD9A99">
            <w:pPr>
              <w:widowControl w:val="0"/>
              <w:jc w:val="center"/>
              <w:rPr>
                <w:rFonts w:ascii="仿宋" w:hAnsi="仿宋" w:eastAsia="仿宋" w:cs="仿宋"/>
                <w:color w:val="000000"/>
                <w:kern w:val="0"/>
                <w:sz w:val="24"/>
                <w:szCs w:val="24"/>
                <w:highlight w:val="none"/>
              </w:rPr>
            </w:pPr>
            <w:r>
              <w:rPr>
                <w:rFonts w:ascii="仿宋" w:hAnsi="仿宋" w:eastAsia="仿宋" w:cs="仿宋"/>
                <w:color w:val="000000"/>
                <w:kern w:val="0"/>
                <w:sz w:val="24"/>
                <w:szCs w:val="24"/>
                <w:highlight w:val="none"/>
              </w:rPr>
              <w:t>2</w:t>
            </w:r>
          </w:p>
        </w:tc>
        <w:tc>
          <w:tcPr>
            <w:tcW w:w="2460" w:type="dxa"/>
            <w:vAlign w:val="center"/>
          </w:tcPr>
          <w:p w14:paraId="022193FB">
            <w:pPr>
              <w:jc w:val="center"/>
              <w:rPr>
                <w:rFonts w:ascii="仿宋" w:hAnsi="仿宋" w:eastAsia="仿宋" w:cs="仿宋"/>
                <w:color w:val="000000"/>
                <w:kern w:val="0"/>
                <w:sz w:val="24"/>
                <w:szCs w:val="24"/>
                <w:highlight w:val="none"/>
              </w:rPr>
            </w:pPr>
            <w:r>
              <w:rPr>
                <w:rFonts w:hint="eastAsia" w:ascii="仿宋" w:hAnsi="仿宋" w:eastAsia="仿宋" w:cs="仿宋"/>
                <w:bCs/>
                <w:color w:val="000000"/>
                <w:kern w:val="0"/>
                <w:sz w:val="24"/>
                <w:szCs w:val="24"/>
                <w:highlight w:val="none"/>
              </w:rPr>
              <w:t>响应文件封面、响应函、法定代表人授权委托书三处的项目名称、项目编号、标段（如有）</w:t>
            </w:r>
          </w:p>
        </w:tc>
        <w:tc>
          <w:tcPr>
            <w:tcW w:w="4200" w:type="dxa"/>
            <w:vAlign w:val="center"/>
          </w:tcPr>
          <w:p w14:paraId="7C59B701">
            <w:pPr>
              <w:rPr>
                <w:rFonts w:ascii="仿宋" w:hAnsi="仿宋" w:eastAsia="仿宋" w:cs="仿宋"/>
                <w:color w:val="000000"/>
                <w:kern w:val="0"/>
                <w:sz w:val="24"/>
                <w:szCs w:val="24"/>
                <w:highlight w:val="none"/>
              </w:rPr>
            </w:pPr>
            <w:r>
              <w:rPr>
                <w:rFonts w:hint="eastAsia" w:ascii="仿宋" w:hAnsi="仿宋" w:eastAsia="仿宋" w:cs="仿宋"/>
                <w:bCs/>
                <w:color w:val="000000"/>
                <w:kern w:val="0"/>
                <w:sz w:val="24"/>
                <w:szCs w:val="24"/>
                <w:highlight w:val="none"/>
              </w:rPr>
              <w:t>三处均无遗漏，且与所投项目名称、项目编号、标段（如有）一致。</w:t>
            </w:r>
          </w:p>
        </w:tc>
        <w:tc>
          <w:tcPr>
            <w:tcW w:w="769" w:type="dxa"/>
            <w:vAlign w:val="center"/>
          </w:tcPr>
          <w:p w14:paraId="2FADAC24">
            <w:pPr>
              <w:widowControl w:val="0"/>
              <w:jc w:val="center"/>
              <w:rPr>
                <w:rFonts w:ascii="仿宋" w:hAnsi="仿宋" w:eastAsia="仿宋" w:cs="仿宋"/>
                <w:b/>
                <w:bCs/>
                <w:color w:val="000000"/>
                <w:kern w:val="0"/>
                <w:sz w:val="24"/>
                <w:szCs w:val="24"/>
                <w:highlight w:val="none"/>
              </w:rPr>
            </w:pPr>
          </w:p>
        </w:tc>
        <w:tc>
          <w:tcPr>
            <w:tcW w:w="1005" w:type="dxa"/>
            <w:vAlign w:val="center"/>
          </w:tcPr>
          <w:p w14:paraId="5BB681CE">
            <w:pPr>
              <w:widowControl w:val="0"/>
              <w:jc w:val="center"/>
              <w:rPr>
                <w:rFonts w:ascii="仿宋" w:hAnsi="仿宋" w:eastAsia="仿宋" w:cs="仿宋"/>
                <w:b/>
                <w:bCs/>
                <w:color w:val="000000"/>
                <w:kern w:val="0"/>
                <w:sz w:val="24"/>
                <w:szCs w:val="24"/>
                <w:highlight w:val="none"/>
              </w:rPr>
            </w:pPr>
          </w:p>
        </w:tc>
      </w:tr>
      <w:tr w14:paraId="257A6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dxa"/>
            <w:vAlign w:val="center"/>
          </w:tcPr>
          <w:p w14:paraId="073FD5E6">
            <w:pPr>
              <w:widowControl w:val="0"/>
              <w:jc w:val="center"/>
              <w:rPr>
                <w:rFonts w:ascii="仿宋" w:hAnsi="仿宋" w:eastAsia="仿宋" w:cs="仿宋"/>
                <w:color w:val="000000"/>
                <w:kern w:val="0"/>
                <w:sz w:val="24"/>
                <w:szCs w:val="24"/>
                <w:highlight w:val="none"/>
              </w:rPr>
            </w:pPr>
            <w:r>
              <w:rPr>
                <w:rFonts w:ascii="仿宋" w:hAnsi="仿宋" w:eastAsia="仿宋" w:cs="仿宋"/>
                <w:color w:val="000000"/>
                <w:kern w:val="0"/>
                <w:sz w:val="24"/>
                <w:szCs w:val="24"/>
                <w:highlight w:val="none"/>
              </w:rPr>
              <w:t>3</w:t>
            </w:r>
          </w:p>
        </w:tc>
        <w:tc>
          <w:tcPr>
            <w:tcW w:w="2460" w:type="dxa"/>
            <w:vAlign w:val="center"/>
          </w:tcPr>
          <w:p w14:paraId="701AA321">
            <w:pPr>
              <w:widowControl w:val="0"/>
              <w:jc w:val="left"/>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响应文件签署、盖章</w:t>
            </w:r>
          </w:p>
        </w:tc>
        <w:tc>
          <w:tcPr>
            <w:tcW w:w="4200" w:type="dxa"/>
            <w:vAlign w:val="center"/>
          </w:tcPr>
          <w:p w14:paraId="16760A54">
            <w:pPr>
              <w:widowControl w:val="0"/>
              <w:rPr>
                <w:rFonts w:ascii="仿宋" w:hAnsi="仿宋" w:eastAsia="仿宋" w:cs="仿宋"/>
                <w:color w:val="000000"/>
                <w:kern w:val="0"/>
                <w:sz w:val="24"/>
                <w:szCs w:val="24"/>
                <w:highlight w:val="none"/>
              </w:rPr>
            </w:pPr>
            <w:r>
              <w:rPr>
                <w:rFonts w:hint="eastAsia" w:ascii="仿宋" w:hAnsi="仿宋" w:eastAsia="仿宋" w:cs="仿宋"/>
                <w:color w:val="000000"/>
                <w:sz w:val="24"/>
                <w:szCs w:val="24"/>
                <w:highlight w:val="none"/>
              </w:rPr>
              <w:t>均按磋商文件要求签字、盖章（评分标准中要求提供的证明材料除外）。</w:t>
            </w:r>
          </w:p>
        </w:tc>
        <w:tc>
          <w:tcPr>
            <w:tcW w:w="769" w:type="dxa"/>
            <w:vAlign w:val="center"/>
          </w:tcPr>
          <w:p w14:paraId="721CE8ED">
            <w:pPr>
              <w:widowControl w:val="0"/>
              <w:jc w:val="center"/>
              <w:rPr>
                <w:rFonts w:ascii="仿宋" w:hAnsi="仿宋" w:eastAsia="仿宋" w:cs="仿宋"/>
                <w:b/>
                <w:bCs/>
                <w:color w:val="000000"/>
                <w:kern w:val="0"/>
                <w:sz w:val="24"/>
                <w:szCs w:val="24"/>
                <w:highlight w:val="none"/>
              </w:rPr>
            </w:pPr>
          </w:p>
        </w:tc>
        <w:tc>
          <w:tcPr>
            <w:tcW w:w="1005" w:type="dxa"/>
            <w:vAlign w:val="center"/>
          </w:tcPr>
          <w:p w14:paraId="1147A123">
            <w:pPr>
              <w:widowControl w:val="0"/>
              <w:jc w:val="center"/>
              <w:rPr>
                <w:rFonts w:ascii="仿宋" w:hAnsi="仿宋" w:eastAsia="仿宋" w:cs="仿宋"/>
                <w:b/>
                <w:bCs/>
                <w:color w:val="000000"/>
                <w:kern w:val="0"/>
                <w:sz w:val="24"/>
                <w:szCs w:val="24"/>
                <w:highlight w:val="none"/>
              </w:rPr>
            </w:pPr>
          </w:p>
        </w:tc>
      </w:tr>
      <w:tr w14:paraId="32239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dxa"/>
            <w:vAlign w:val="center"/>
          </w:tcPr>
          <w:p w14:paraId="1178F747">
            <w:pPr>
              <w:widowControl w:val="0"/>
              <w:jc w:val="center"/>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4</w:t>
            </w:r>
          </w:p>
        </w:tc>
        <w:tc>
          <w:tcPr>
            <w:tcW w:w="2460" w:type="dxa"/>
            <w:vAlign w:val="center"/>
          </w:tcPr>
          <w:p w14:paraId="3DB00E65">
            <w:pPr>
              <w:jc w:val="center"/>
              <w:rPr>
                <w:rFonts w:ascii="仿宋" w:hAnsi="仿宋" w:eastAsia="仿宋" w:cs="仿宋"/>
                <w:color w:val="000000"/>
                <w:kern w:val="0"/>
                <w:sz w:val="24"/>
                <w:szCs w:val="24"/>
                <w:highlight w:val="none"/>
              </w:rPr>
            </w:pPr>
            <w:r>
              <w:rPr>
                <w:rFonts w:hint="eastAsia" w:ascii="仿宋" w:hAnsi="仿宋" w:eastAsia="仿宋" w:cs="仿宋"/>
                <w:bCs/>
                <w:color w:val="000000"/>
                <w:kern w:val="0"/>
                <w:sz w:val="24"/>
                <w:szCs w:val="24"/>
                <w:highlight w:val="none"/>
              </w:rPr>
              <w:t>第一次磋商报价表</w:t>
            </w:r>
          </w:p>
        </w:tc>
        <w:tc>
          <w:tcPr>
            <w:tcW w:w="4200" w:type="dxa"/>
          </w:tcPr>
          <w:p w14:paraId="5A94B81B">
            <w:pP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（1）第一次磋商报价表填写符合要求；</w:t>
            </w:r>
          </w:p>
          <w:p w14:paraId="2830229A">
            <w:pP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（2）计量单位、报价货币均符合磋商文件要求；</w:t>
            </w:r>
          </w:p>
          <w:p w14:paraId="0AE21CD0">
            <w:pP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（3）第一次磋商报价未超出采购预算或磋商文件规定的最高限价。</w:t>
            </w:r>
          </w:p>
        </w:tc>
        <w:tc>
          <w:tcPr>
            <w:tcW w:w="769" w:type="dxa"/>
            <w:vAlign w:val="center"/>
          </w:tcPr>
          <w:p w14:paraId="644A4B55">
            <w:pPr>
              <w:widowControl w:val="0"/>
              <w:jc w:val="center"/>
              <w:rPr>
                <w:rFonts w:ascii="仿宋" w:hAnsi="仿宋" w:eastAsia="仿宋" w:cs="仿宋"/>
                <w:b/>
                <w:bCs/>
                <w:color w:val="000000"/>
                <w:kern w:val="0"/>
                <w:sz w:val="24"/>
                <w:szCs w:val="24"/>
                <w:highlight w:val="none"/>
              </w:rPr>
            </w:pPr>
          </w:p>
        </w:tc>
        <w:tc>
          <w:tcPr>
            <w:tcW w:w="1005" w:type="dxa"/>
            <w:vAlign w:val="center"/>
          </w:tcPr>
          <w:p w14:paraId="442EE1F7">
            <w:pPr>
              <w:widowControl w:val="0"/>
              <w:jc w:val="center"/>
              <w:rPr>
                <w:rFonts w:ascii="仿宋" w:hAnsi="仿宋" w:eastAsia="仿宋" w:cs="仿宋"/>
                <w:b/>
                <w:bCs/>
                <w:color w:val="000000"/>
                <w:kern w:val="0"/>
                <w:sz w:val="24"/>
                <w:szCs w:val="24"/>
                <w:highlight w:val="none"/>
              </w:rPr>
            </w:pPr>
          </w:p>
        </w:tc>
      </w:tr>
      <w:tr w14:paraId="55D3E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jc w:val="center"/>
        </w:trPr>
        <w:tc>
          <w:tcPr>
            <w:tcW w:w="531" w:type="dxa"/>
            <w:vAlign w:val="center"/>
          </w:tcPr>
          <w:p w14:paraId="217F6F3D">
            <w:pPr>
              <w:widowControl w:val="0"/>
              <w:jc w:val="center"/>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5</w:t>
            </w:r>
          </w:p>
        </w:tc>
        <w:tc>
          <w:tcPr>
            <w:tcW w:w="2460" w:type="dxa"/>
            <w:vAlign w:val="center"/>
          </w:tcPr>
          <w:p w14:paraId="3BC9EB3C">
            <w:pPr>
              <w:widowControl w:val="0"/>
              <w:jc w:val="cente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供应商承诺书</w:t>
            </w:r>
          </w:p>
        </w:tc>
        <w:tc>
          <w:tcPr>
            <w:tcW w:w="4200" w:type="dxa"/>
            <w:vAlign w:val="center"/>
          </w:tcPr>
          <w:p w14:paraId="6610F9D8">
            <w:pPr>
              <w:widowControl w:val="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完全理解并接受《质量安全责任承诺书》、《拒绝政府采购领域商业贿赂承诺书》。</w:t>
            </w:r>
          </w:p>
        </w:tc>
        <w:tc>
          <w:tcPr>
            <w:tcW w:w="769" w:type="dxa"/>
            <w:vAlign w:val="center"/>
          </w:tcPr>
          <w:p w14:paraId="23C52A6C">
            <w:pPr>
              <w:widowControl w:val="0"/>
              <w:jc w:val="center"/>
              <w:rPr>
                <w:rFonts w:ascii="仿宋" w:hAnsi="仿宋" w:eastAsia="仿宋" w:cs="仿宋"/>
                <w:b/>
                <w:bCs/>
                <w:color w:val="000000"/>
                <w:kern w:val="0"/>
                <w:sz w:val="24"/>
                <w:szCs w:val="24"/>
                <w:highlight w:val="none"/>
              </w:rPr>
            </w:pPr>
          </w:p>
        </w:tc>
        <w:tc>
          <w:tcPr>
            <w:tcW w:w="1005" w:type="dxa"/>
            <w:vAlign w:val="center"/>
          </w:tcPr>
          <w:p w14:paraId="6A47B02A">
            <w:pPr>
              <w:widowControl w:val="0"/>
              <w:jc w:val="center"/>
              <w:rPr>
                <w:rFonts w:ascii="仿宋" w:hAnsi="仿宋" w:eastAsia="仿宋" w:cs="仿宋"/>
                <w:b/>
                <w:bCs/>
                <w:color w:val="000000"/>
                <w:kern w:val="0"/>
                <w:sz w:val="24"/>
                <w:szCs w:val="24"/>
                <w:highlight w:val="none"/>
              </w:rPr>
            </w:pPr>
          </w:p>
        </w:tc>
      </w:tr>
      <w:tr w14:paraId="20F67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jc w:val="center"/>
        </w:trPr>
        <w:tc>
          <w:tcPr>
            <w:tcW w:w="531" w:type="dxa"/>
            <w:vAlign w:val="center"/>
          </w:tcPr>
          <w:p w14:paraId="57E7021F">
            <w:pPr>
              <w:widowControl w:val="0"/>
              <w:jc w:val="center"/>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6</w:t>
            </w:r>
          </w:p>
        </w:tc>
        <w:tc>
          <w:tcPr>
            <w:tcW w:w="2460" w:type="dxa"/>
            <w:vAlign w:val="center"/>
          </w:tcPr>
          <w:p w14:paraId="015C9BAC">
            <w:pPr>
              <w:widowControl w:val="0"/>
              <w:jc w:val="center"/>
              <w:rPr>
                <w:rFonts w:ascii="仿宋" w:hAnsi="仿宋" w:eastAsia="仿宋" w:cs="仿宋"/>
                <w:color w:val="000000"/>
                <w:kern w:val="0"/>
                <w:sz w:val="24"/>
                <w:szCs w:val="24"/>
                <w:highlight w:val="none"/>
              </w:rPr>
            </w:pPr>
            <w:r>
              <w:rPr>
                <w:rFonts w:hint="eastAsia" w:ascii="仿宋" w:hAnsi="仿宋" w:eastAsia="仿宋" w:cs="仿宋"/>
                <w:color w:val="000000"/>
                <w:sz w:val="24"/>
                <w:szCs w:val="24"/>
                <w:highlight w:val="none"/>
              </w:rPr>
              <w:t>技术服务要求</w:t>
            </w:r>
          </w:p>
        </w:tc>
        <w:tc>
          <w:tcPr>
            <w:tcW w:w="4200" w:type="dxa"/>
            <w:vAlign w:val="center"/>
          </w:tcPr>
          <w:p w14:paraId="14821ABA">
            <w:pPr>
              <w:widowControl w:val="0"/>
              <w:rPr>
                <w:rFonts w:ascii="仿宋" w:hAnsi="仿宋" w:eastAsia="仿宋" w:cs="仿宋"/>
                <w:color w:val="000000"/>
                <w:kern w:val="0"/>
                <w:sz w:val="24"/>
                <w:szCs w:val="24"/>
                <w:highlight w:val="none"/>
              </w:rPr>
            </w:pPr>
            <w:r>
              <w:rPr>
                <w:rFonts w:hint="eastAsia" w:ascii="仿宋" w:hAnsi="仿宋" w:eastAsia="仿宋" w:cs="仿宋"/>
                <w:color w:val="000000"/>
                <w:sz w:val="24"/>
                <w:szCs w:val="24"/>
                <w:highlight w:val="none"/>
              </w:rPr>
              <w:t>完全理解并接受对合格供应商、合格的货物、工程或服务要求，根据供应商响应文件《实质性条款响应》，结合磋商文件第三章“★”标识的实质性要求没有负偏离。</w:t>
            </w:r>
          </w:p>
        </w:tc>
        <w:tc>
          <w:tcPr>
            <w:tcW w:w="769" w:type="dxa"/>
            <w:vAlign w:val="center"/>
          </w:tcPr>
          <w:p w14:paraId="329B376F">
            <w:pPr>
              <w:widowControl w:val="0"/>
              <w:jc w:val="center"/>
              <w:rPr>
                <w:rFonts w:ascii="仿宋" w:hAnsi="仿宋" w:eastAsia="仿宋" w:cs="仿宋"/>
                <w:b/>
                <w:bCs/>
                <w:color w:val="000000"/>
                <w:kern w:val="0"/>
                <w:sz w:val="24"/>
                <w:szCs w:val="24"/>
                <w:highlight w:val="none"/>
              </w:rPr>
            </w:pPr>
          </w:p>
        </w:tc>
        <w:tc>
          <w:tcPr>
            <w:tcW w:w="1005" w:type="dxa"/>
            <w:vAlign w:val="center"/>
          </w:tcPr>
          <w:p w14:paraId="3DE8CFB0">
            <w:pPr>
              <w:widowControl w:val="0"/>
              <w:jc w:val="center"/>
              <w:rPr>
                <w:rFonts w:ascii="仿宋" w:hAnsi="仿宋" w:eastAsia="仿宋" w:cs="仿宋"/>
                <w:b/>
                <w:bCs/>
                <w:color w:val="000000"/>
                <w:kern w:val="0"/>
                <w:sz w:val="24"/>
                <w:szCs w:val="24"/>
                <w:highlight w:val="none"/>
              </w:rPr>
            </w:pPr>
          </w:p>
        </w:tc>
      </w:tr>
      <w:tr w14:paraId="0B270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531" w:type="dxa"/>
            <w:vAlign w:val="center"/>
          </w:tcPr>
          <w:p w14:paraId="5FF3BE23">
            <w:pPr>
              <w:widowControl w:val="0"/>
              <w:jc w:val="center"/>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7</w:t>
            </w:r>
          </w:p>
        </w:tc>
        <w:tc>
          <w:tcPr>
            <w:tcW w:w="2460" w:type="dxa"/>
            <w:vAlign w:val="center"/>
          </w:tcPr>
          <w:p w14:paraId="2A6FFEDA">
            <w:pPr>
              <w:jc w:val="center"/>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合同草案条款响应</w:t>
            </w:r>
          </w:p>
        </w:tc>
        <w:tc>
          <w:tcPr>
            <w:tcW w:w="4200" w:type="dxa"/>
            <w:vAlign w:val="center"/>
          </w:tcPr>
          <w:p w14:paraId="260535F2">
            <w:pPr>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有完全理解并接受磋商文件合同</w:t>
            </w:r>
            <w:r>
              <w:rPr>
                <w:rFonts w:hint="eastAsia" w:ascii="仿宋" w:hAnsi="仿宋" w:eastAsia="仿宋" w:cs="仿宋"/>
                <w:color w:val="000000"/>
                <w:kern w:val="0"/>
                <w:sz w:val="24"/>
                <w:szCs w:val="24"/>
                <w:highlight w:val="none"/>
              </w:rPr>
              <w:t>草案</w:t>
            </w:r>
            <w:r>
              <w:rPr>
                <w:rFonts w:hint="eastAsia" w:ascii="仿宋" w:hAnsi="仿宋" w:eastAsia="仿宋" w:cs="仿宋"/>
                <w:color w:val="000000"/>
                <w:sz w:val="24"/>
                <w:szCs w:val="24"/>
                <w:highlight w:val="none"/>
              </w:rPr>
              <w:t>条款要求的描述。</w:t>
            </w:r>
          </w:p>
        </w:tc>
        <w:tc>
          <w:tcPr>
            <w:tcW w:w="769" w:type="dxa"/>
            <w:vAlign w:val="center"/>
          </w:tcPr>
          <w:p w14:paraId="36568768">
            <w:pPr>
              <w:widowControl w:val="0"/>
              <w:jc w:val="center"/>
              <w:rPr>
                <w:rFonts w:ascii="仿宋" w:hAnsi="仿宋" w:eastAsia="仿宋" w:cs="仿宋"/>
                <w:b/>
                <w:bCs/>
                <w:color w:val="000000"/>
                <w:kern w:val="0"/>
                <w:sz w:val="24"/>
                <w:szCs w:val="24"/>
                <w:highlight w:val="none"/>
              </w:rPr>
            </w:pPr>
          </w:p>
        </w:tc>
        <w:tc>
          <w:tcPr>
            <w:tcW w:w="1005" w:type="dxa"/>
            <w:vAlign w:val="center"/>
          </w:tcPr>
          <w:p w14:paraId="5F9391F6">
            <w:pPr>
              <w:widowControl w:val="0"/>
              <w:jc w:val="center"/>
              <w:rPr>
                <w:rFonts w:ascii="仿宋" w:hAnsi="仿宋" w:eastAsia="仿宋" w:cs="仿宋"/>
                <w:b/>
                <w:bCs/>
                <w:color w:val="000000"/>
                <w:kern w:val="0"/>
                <w:sz w:val="24"/>
                <w:szCs w:val="24"/>
                <w:highlight w:val="none"/>
              </w:rPr>
            </w:pPr>
          </w:p>
        </w:tc>
      </w:tr>
      <w:tr w14:paraId="326EE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31" w:type="dxa"/>
            <w:vAlign w:val="center"/>
          </w:tcPr>
          <w:p w14:paraId="6B2D7D44">
            <w:pPr>
              <w:widowControl w:val="0"/>
              <w:jc w:val="center"/>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8</w:t>
            </w:r>
          </w:p>
        </w:tc>
        <w:tc>
          <w:tcPr>
            <w:tcW w:w="2460" w:type="dxa"/>
            <w:vAlign w:val="center"/>
          </w:tcPr>
          <w:p w14:paraId="1EE61DCE">
            <w:pPr>
              <w:widowControl w:val="0"/>
              <w:jc w:val="center"/>
              <w:rPr>
                <w:rFonts w:ascii="仿宋" w:hAnsi="仿宋" w:eastAsia="仿宋" w:cs="仿宋"/>
                <w:color w:val="000000"/>
                <w:kern w:val="0"/>
                <w:sz w:val="24"/>
                <w:szCs w:val="24"/>
                <w:highlight w:val="none"/>
              </w:rPr>
            </w:pPr>
            <w:r>
              <w:rPr>
                <w:rFonts w:hint="eastAsia" w:ascii="仿宋" w:hAnsi="仿宋" w:eastAsia="仿宋" w:cs="仿宋"/>
                <w:color w:val="000000"/>
                <w:sz w:val="24"/>
                <w:szCs w:val="24"/>
                <w:highlight w:val="none"/>
              </w:rPr>
              <w:t>无其他磋商文件或法规明确规定响应无效的事项</w:t>
            </w:r>
          </w:p>
        </w:tc>
        <w:tc>
          <w:tcPr>
            <w:tcW w:w="4200" w:type="dxa"/>
            <w:vAlign w:val="center"/>
          </w:tcPr>
          <w:p w14:paraId="1E39D732">
            <w:pPr>
              <w:widowControl w:val="0"/>
              <w:rPr>
                <w:rFonts w:ascii="仿宋" w:hAnsi="仿宋" w:eastAsia="仿宋" w:cs="仿宋"/>
                <w:color w:val="000000"/>
                <w:kern w:val="0"/>
                <w:sz w:val="24"/>
                <w:szCs w:val="24"/>
                <w:highlight w:val="none"/>
              </w:rPr>
            </w:pPr>
            <w:r>
              <w:rPr>
                <w:rFonts w:hint="eastAsia" w:ascii="仿宋" w:hAnsi="仿宋" w:eastAsia="仿宋" w:cs="仿宋"/>
                <w:color w:val="000000"/>
                <w:sz w:val="24"/>
                <w:szCs w:val="24"/>
                <w:highlight w:val="none"/>
              </w:rPr>
              <w:t>没有不符合磋商文件规定的被视为无效响应的其他条款。</w:t>
            </w:r>
          </w:p>
        </w:tc>
        <w:tc>
          <w:tcPr>
            <w:tcW w:w="769" w:type="dxa"/>
            <w:vAlign w:val="center"/>
          </w:tcPr>
          <w:p w14:paraId="61F46A1A">
            <w:pPr>
              <w:widowControl w:val="0"/>
              <w:jc w:val="center"/>
              <w:rPr>
                <w:rFonts w:ascii="仿宋" w:hAnsi="仿宋" w:eastAsia="仿宋" w:cs="仿宋"/>
                <w:b/>
                <w:bCs/>
                <w:color w:val="000000"/>
                <w:kern w:val="0"/>
                <w:sz w:val="24"/>
                <w:szCs w:val="24"/>
                <w:highlight w:val="none"/>
              </w:rPr>
            </w:pPr>
          </w:p>
        </w:tc>
        <w:tc>
          <w:tcPr>
            <w:tcW w:w="1005" w:type="dxa"/>
            <w:vAlign w:val="center"/>
          </w:tcPr>
          <w:p w14:paraId="315AB674">
            <w:pPr>
              <w:widowControl w:val="0"/>
              <w:jc w:val="center"/>
              <w:rPr>
                <w:rFonts w:ascii="仿宋" w:hAnsi="仿宋" w:eastAsia="仿宋" w:cs="仿宋"/>
                <w:b/>
                <w:bCs/>
                <w:color w:val="000000"/>
                <w:kern w:val="0"/>
                <w:sz w:val="24"/>
                <w:szCs w:val="24"/>
                <w:highlight w:val="none"/>
              </w:rPr>
            </w:pPr>
          </w:p>
        </w:tc>
      </w:tr>
      <w:tr w14:paraId="27D4A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8965" w:type="dxa"/>
            <w:gridSpan w:val="5"/>
            <w:vAlign w:val="center"/>
          </w:tcPr>
          <w:p w14:paraId="297C43E0">
            <w:pPr>
              <w:widowControl w:val="0"/>
              <w:rPr>
                <w:rFonts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磋商小组成员：（签字或盖章）</w:t>
            </w:r>
          </w:p>
        </w:tc>
      </w:tr>
    </w:tbl>
    <w:p w14:paraId="7D49D838">
      <w:pPr>
        <w:widowControl w:val="0"/>
        <w:spacing w:line="500" w:lineRule="exact"/>
        <w:ind w:firstLine="566" w:firstLineChars="200"/>
        <w:rPr>
          <w:rFonts w:ascii="仿宋" w:hAnsi="仿宋" w:eastAsia="仿宋" w:cs="仿宋"/>
          <w:b/>
          <w:color w:val="000000"/>
          <w:highlight w:val="none"/>
        </w:rPr>
      </w:pPr>
      <w:r>
        <w:rPr>
          <w:rFonts w:hint="eastAsia" w:ascii="仿宋" w:hAnsi="仿宋" w:eastAsia="仿宋" w:cs="仿宋"/>
          <w:b/>
          <w:color w:val="000000"/>
          <w:highlight w:val="none"/>
        </w:rPr>
        <w:t>3、响应文件的澄清</w:t>
      </w:r>
    </w:p>
    <w:p w14:paraId="6E6E653F">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（1）磋商小组在对响应文件的有效性、完整性和响应程度进行审查时，可以要求供应商对响应文件中含义不明确、同类问题表述不一致或者有明显文字和计算错误的内容等做出必要的澄清、说明或者更正。</w:t>
      </w:r>
    </w:p>
    <w:p w14:paraId="48FD03C1">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（2）依照《中华人民共和国民法典》中的过失责任原则，澄清、说明或更正前磋商小组将按最不利于参与本次磋商供应商的原则对响应文件做出评判。</w:t>
      </w:r>
    </w:p>
    <w:p w14:paraId="61013183">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3）磋商小组要求供应商澄清、说明或者更正响应文件应当以书面形式做出。供应商应当在规定的澄清时限内通过公共资源交易平台（以下简称“平台”）或电子邮件（在平台无法支持的情况下）等书面形式提交，供应商的澄清、说明或者更正应当由法定代表人或其授权代表签字或者加盖公章。</w:t>
      </w:r>
    </w:p>
    <w:p w14:paraId="2458EFC2">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（4）供应商的澄清、说明或者更正不得超出响应文件的范围或者改变响应文件的实质性内容。澄清、说明或者更正的内容将作为</w:t>
      </w:r>
      <w:r>
        <w:rPr>
          <w:rFonts w:hint="eastAsia" w:ascii="仿宋" w:hAnsi="仿宋" w:eastAsia="仿宋" w:cs="仿宋"/>
          <w:color w:val="000000"/>
          <w:kern w:val="0"/>
          <w:highlight w:val="none"/>
        </w:rPr>
        <w:t>合同</w:t>
      </w:r>
      <w:r>
        <w:rPr>
          <w:rFonts w:hint="eastAsia" w:ascii="仿宋" w:hAnsi="仿宋" w:eastAsia="仿宋" w:cs="仿宋"/>
          <w:color w:val="000000"/>
          <w:highlight w:val="none"/>
        </w:rPr>
        <w:t>履行的重要依据。</w:t>
      </w:r>
    </w:p>
    <w:p w14:paraId="62555584">
      <w:pPr>
        <w:widowControl w:val="0"/>
        <w:spacing w:line="500" w:lineRule="exact"/>
        <w:ind w:firstLine="566" w:firstLineChars="200"/>
        <w:contextualSpacing/>
        <w:rPr>
          <w:rFonts w:ascii="仿宋" w:hAnsi="仿宋" w:eastAsia="仿宋" w:cs="仿宋"/>
          <w:b/>
          <w:color w:val="000000"/>
          <w:highlight w:val="none"/>
        </w:rPr>
      </w:pPr>
      <w:r>
        <w:rPr>
          <w:rFonts w:hint="eastAsia" w:ascii="仿宋" w:hAnsi="仿宋" w:eastAsia="仿宋" w:cs="仿宋"/>
          <w:b/>
          <w:color w:val="000000"/>
          <w:highlight w:val="none"/>
        </w:rPr>
        <w:t>除采用竞争性磋商方式采购的政府购买服务项目、市场竞争不充分的科研项目以及需要扶持的科技成果转化项目外，通过符合性审查的供应商不足3家的，不得进行后续磋商活动，应予以废标。</w:t>
      </w:r>
    </w:p>
    <w:p w14:paraId="5D78422C">
      <w:pPr>
        <w:widowControl w:val="0"/>
        <w:spacing w:line="500" w:lineRule="exact"/>
        <w:ind w:firstLine="566" w:firstLineChars="200"/>
        <w:contextualSpacing/>
        <w:rPr>
          <w:rFonts w:ascii="仿宋" w:hAnsi="仿宋" w:eastAsia="仿宋" w:cs="仿宋"/>
          <w:b/>
          <w:color w:val="000000"/>
          <w:highlight w:val="none"/>
        </w:rPr>
      </w:pPr>
      <w:r>
        <w:rPr>
          <w:rFonts w:hint="eastAsia" w:ascii="仿宋" w:hAnsi="仿宋" w:eastAsia="仿宋" w:cs="仿宋"/>
          <w:b/>
          <w:color w:val="000000"/>
          <w:highlight w:val="none"/>
        </w:rPr>
        <w:t>4、进行磋商</w:t>
      </w:r>
    </w:p>
    <w:p w14:paraId="390CFE8F">
      <w:pPr>
        <w:widowControl w:val="0"/>
        <w:spacing w:line="500" w:lineRule="exact"/>
        <w:ind w:firstLine="566" w:firstLineChars="200"/>
        <w:contextualSpacing/>
        <w:rPr>
          <w:rFonts w:ascii="仿宋" w:hAnsi="仿宋" w:eastAsia="仿宋" w:cs="仿宋"/>
          <w:b/>
          <w:color w:val="000000"/>
          <w:highlight w:val="none"/>
        </w:rPr>
      </w:pPr>
      <w:r>
        <w:rPr>
          <w:rFonts w:hint="eastAsia" w:ascii="仿宋" w:hAnsi="仿宋" w:eastAsia="仿宋" w:cs="仿宋"/>
          <w:bCs/>
          <w:color w:val="000000"/>
          <w:highlight w:val="none"/>
        </w:rPr>
        <w:t>磋商小组所有成员应当集中与单一供应商分别进行磋商，并给予所有参加磋商的供应商平等的磋商机会。需要供应商书面答复磋商内容的，</w:t>
      </w:r>
      <w:r>
        <w:rPr>
          <w:rFonts w:hint="eastAsia" w:ascii="仿宋" w:hAnsi="仿宋" w:eastAsia="仿宋" w:cs="仿宋"/>
          <w:color w:val="000000"/>
          <w:highlight w:val="none"/>
        </w:rPr>
        <w:t>供应商应当按照磋商小组的要求，在磋商小组规定的时限内通过公共资源交易平台（以下简称“平台”）或电子邮件（在平台无法支持的情况下）等书面形式答复磋商的内容，并由法定代表人或其授权代表签字或者加盖公章。</w:t>
      </w:r>
    </w:p>
    <w:p w14:paraId="4CE4466F">
      <w:pPr>
        <w:spacing w:line="500" w:lineRule="exact"/>
        <w:ind w:firstLine="566" w:firstLineChars="200"/>
        <w:contextualSpacing/>
        <w:rPr>
          <w:rFonts w:ascii="仿宋" w:hAnsi="仿宋" w:eastAsia="仿宋" w:cs="仿宋"/>
          <w:b/>
          <w:color w:val="000000"/>
          <w:highlight w:val="none"/>
        </w:rPr>
      </w:pPr>
      <w:r>
        <w:rPr>
          <w:rFonts w:hint="eastAsia" w:ascii="仿宋" w:hAnsi="仿宋" w:eastAsia="仿宋" w:cs="仿宋"/>
          <w:b/>
          <w:color w:val="000000"/>
          <w:highlight w:val="none"/>
        </w:rPr>
        <w:t>5、磋商文件的实质性变更</w:t>
      </w:r>
    </w:p>
    <w:p w14:paraId="7013E833">
      <w:pPr>
        <w:widowControl w:val="0"/>
        <w:spacing w:line="500" w:lineRule="exact"/>
        <w:ind w:firstLine="566" w:firstLineChars="200"/>
        <w:contextualSpacing/>
        <w:rPr>
          <w:rFonts w:ascii="仿宋" w:hAnsi="仿宋" w:eastAsia="仿宋" w:cs="仿宋"/>
          <w:color w:val="000000"/>
          <w:highlight w:val="none"/>
        </w:rPr>
      </w:pPr>
      <w:r>
        <w:rPr>
          <w:rFonts w:hint="eastAsia" w:ascii="仿宋" w:hAnsi="仿宋" w:eastAsia="仿宋" w:cs="仿宋"/>
          <w:color w:val="000000"/>
          <w:highlight w:val="none"/>
        </w:rPr>
        <w:t>（1）在磋商过程中，磋商小组可以根据磋商文件和磋商情况实质性变动采购需求中的技术、服务要求以及合同草案条款，但不得变动磋商文件中的其他内容。实质性变动的内容，须经采购人代表确认。</w:t>
      </w:r>
    </w:p>
    <w:p w14:paraId="3577121B">
      <w:pPr>
        <w:widowControl w:val="0"/>
        <w:spacing w:line="500" w:lineRule="exact"/>
        <w:ind w:firstLine="566" w:firstLineChars="200"/>
        <w:contextualSpacing/>
        <w:rPr>
          <w:rFonts w:ascii="仿宋" w:hAnsi="仿宋" w:eastAsia="仿宋" w:cs="仿宋"/>
          <w:color w:val="000000"/>
          <w:highlight w:val="none"/>
        </w:rPr>
      </w:pPr>
      <w:r>
        <w:rPr>
          <w:rFonts w:hint="eastAsia" w:ascii="仿宋" w:hAnsi="仿宋" w:eastAsia="仿宋" w:cs="仿宋"/>
          <w:color w:val="000000"/>
          <w:highlight w:val="none"/>
        </w:rPr>
        <w:t>（2）对磋商文件作出的实质性变动是磋商文件的有效组成部分，磋商小组将通过公共资源交易平台（以下简称“平台”）或电子邮件（在平台无法支持的情况下）等书面形式通知所有参加磋商的供应商。</w:t>
      </w:r>
    </w:p>
    <w:p w14:paraId="5E112D0A">
      <w:pPr>
        <w:widowControl w:val="0"/>
        <w:spacing w:line="500" w:lineRule="exact"/>
        <w:ind w:firstLine="566" w:firstLineChars="200"/>
        <w:contextualSpacing/>
        <w:rPr>
          <w:rFonts w:ascii="仿宋" w:hAnsi="仿宋" w:eastAsia="仿宋" w:cs="仿宋"/>
          <w:color w:val="000000"/>
          <w:highlight w:val="none"/>
        </w:rPr>
      </w:pPr>
      <w:r>
        <w:rPr>
          <w:rFonts w:hint="eastAsia" w:ascii="仿宋" w:hAnsi="仿宋" w:eastAsia="仿宋" w:cs="仿宋"/>
          <w:color w:val="000000"/>
          <w:highlight w:val="none"/>
        </w:rPr>
        <w:t>（3）供应商应当按照磋商文件的变动情况和磋商小组的要求，在磋商小组规定的时限内重新提交响应文件，并用数字认证证书（CA锁）签章或由法定代表人或其授权代表签字或者加盖公章。</w:t>
      </w:r>
    </w:p>
    <w:p w14:paraId="42C7C5B5">
      <w:pPr>
        <w:pStyle w:val="19"/>
        <w:widowControl w:val="0"/>
        <w:spacing w:afterLines="0" w:line="500" w:lineRule="exact"/>
        <w:ind w:firstLine="566" w:firstLineChars="200"/>
        <w:rPr>
          <w:rFonts w:ascii="仿宋" w:hAnsi="仿宋" w:eastAsia="仿宋" w:cs="仿宋"/>
          <w:color w:val="000000"/>
          <w:sz w:val="28"/>
          <w:szCs w:val="28"/>
          <w:highlight w:val="none"/>
        </w:rPr>
      </w:pPr>
      <w:r>
        <w:rPr>
          <w:rFonts w:hint="eastAsia" w:ascii="仿宋" w:hAnsi="仿宋" w:eastAsia="仿宋" w:cs="仿宋"/>
          <w:color w:val="000000"/>
          <w:sz w:val="28"/>
          <w:szCs w:val="28"/>
          <w:highlight w:val="none"/>
        </w:rPr>
        <w:t>（4）供应商未能在规定的时间内按照磋商小组的要求通过公共资源交易平台（以下简称“平台”）或电子邮件（在平台无法支持的情况下）等书面形式提交实质性变更响应文件的，视作未实质性响应。</w:t>
      </w:r>
    </w:p>
    <w:p w14:paraId="4EA7FA22">
      <w:pPr>
        <w:spacing w:line="500" w:lineRule="exact"/>
        <w:ind w:firstLine="566" w:firstLineChars="200"/>
        <w:contextualSpacing/>
        <w:rPr>
          <w:rFonts w:ascii="仿宋" w:hAnsi="仿宋" w:eastAsia="仿宋" w:cs="仿宋"/>
          <w:b/>
          <w:color w:val="000000"/>
          <w:highlight w:val="none"/>
        </w:rPr>
      </w:pPr>
      <w:r>
        <w:rPr>
          <w:rFonts w:hint="eastAsia" w:ascii="仿宋" w:hAnsi="仿宋" w:eastAsia="仿宋" w:cs="仿宋"/>
          <w:b/>
          <w:color w:val="000000"/>
          <w:highlight w:val="none"/>
        </w:rPr>
        <w:t>6、最后报价</w:t>
      </w:r>
    </w:p>
    <w:p w14:paraId="36C08AD6">
      <w:pPr>
        <w:spacing w:line="500" w:lineRule="exact"/>
        <w:ind w:firstLine="566" w:firstLineChars="200"/>
        <w:contextualSpacing/>
        <w:rPr>
          <w:rFonts w:ascii="仿宋" w:hAnsi="仿宋" w:eastAsia="仿宋" w:cs="仿宋"/>
          <w:color w:val="000000"/>
          <w:highlight w:val="none"/>
        </w:rPr>
      </w:pPr>
      <w:r>
        <w:rPr>
          <w:rFonts w:hint="eastAsia" w:ascii="仿宋" w:hAnsi="仿宋" w:eastAsia="仿宋" w:cs="仿宋"/>
          <w:color w:val="000000"/>
          <w:highlight w:val="none"/>
        </w:rPr>
        <w:t>（1）磋商文件能够详细列明采购标的的技术、服务要求的，磋商结束后，磋商小组应当要求所有实质性响应的供应商在规定时间内提交最后报价，提交最后报价的供应商不得少于3家。</w:t>
      </w:r>
    </w:p>
    <w:p w14:paraId="5BA07FAF">
      <w:pPr>
        <w:widowControl w:val="0"/>
        <w:spacing w:line="500" w:lineRule="exact"/>
        <w:ind w:firstLine="566" w:firstLineChars="200"/>
        <w:contextualSpacing/>
        <w:rPr>
          <w:rFonts w:ascii="仿宋" w:hAnsi="仿宋" w:eastAsia="仿宋" w:cs="仿宋"/>
          <w:color w:val="000000"/>
          <w:highlight w:val="none"/>
        </w:rPr>
      </w:pPr>
      <w:r>
        <w:rPr>
          <w:rFonts w:hint="eastAsia" w:ascii="仿宋" w:hAnsi="仿宋" w:eastAsia="仿宋" w:cs="仿宋"/>
          <w:color w:val="000000"/>
          <w:highlight w:val="none"/>
        </w:rPr>
        <w:t>（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616D4B7C">
      <w:pPr>
        <w:widowControl w:val="0"/>
        <w:spacing w:line="500" w:lineRule="exact"/>
        <w:ind w:firstLine="566" w:firstLineChars="200"/>
        <w:contextualSpacing/>
        <w:rPr>
          <w:rFonts w:ascii="仿宋" w:hAnsi="仿宋" w:eastAsia="仿宋" w:cs="仿宋"/>
          <w:color w:val="000000"/>
          <w:highlight w:val="none"/>
        </w:rPr>
      </w:pPr>
      <w:r>
        <w:rPr>
          <w:rFonts w:hint="eastAsia" w:ascii="仿宋" w:hAnsi="仿宋" w:eastAsia="仿宋" w:cs="仿宋"/>
          <w:color w:val="000000"/>
          <w:highlight w:val="none"/>
        </w:rPr>
        <w:t>（3）最后报价是供应商响应文件的有效组成部分。符合《政府采购竞争性磋商采购人管理暂行办法》第三条第四项情形的，即市场竞争不充分的科研项目，以及需要扶持的科技成果转化项目，提交最后报价的供应商可以为2家。根据《财政部关于政府采购竞争性磋商采购人管理暂行办法有关问题的补充通知》（财库〔2015〕124号），采购的政府购买服务项目（含政府和社会资本合作项目），在采购过程中符合要求的供应商（社会资本）只有2家的，竞争性磋商采购活动可以继续进行。</w:t>
      </w:r>
    </w:p>
    <w:p w14:paraId="134B44D1">
      <w:pPr>
        <w:widowControl w:val="0"/>
        <w:spacing w:line="500" w:lineRule="exact"/>
        <w:ind w:firstLine="566" w:firstLineChars="200"/>
        <w:contextualSpacing/>
        <w:rPr>
          <w:rFonts w:ascii="仿宋" w:hAnsi="仿宋" w:eastAsia="仿宋" w:cs="仿宋"/>
          <w:color w:val="000000"/>
          <w:highlight w:val="none"/>
        </w:rPr>
      </w:pPr>
      <w:r>
        <w:rPr>
          <w:rFonts w:hint="eastAsia" w:ascii="仿宋" w:hAnsi="仿宋" w:eastAsia="仿宋" w:cs="仿宋"/>
          <w:color w:val="000000"/>
          <w:highlight w:val="none"/>
        </w:rPr>
        <w:t>（4）供应商要在电子交易平台中提交最后报价，并用数字认证证书（CA锁）签章。平台系统无法使用时，供应商要按照磋商小组要求，通过电子邮件等书面形式提交最后报价表。最后报价表应由其法定代表人或授权代表签字或者加盖公章。最后报价将作为综合评分法中价格分的计算依据。</w:t>
      </w:r>
    </w:p>
    <w:p w14:paraId="13CBE757">
      <w:pPr>
        <w:widowControl w:val="0"/>
        <w:spacing w:line="500" w:lineRule="exact"/>
        <w:ind w:firstLine="566" w:firstLineChars="200"/>
        <w:contextualSpacing/>
        <w:rPr>
          <w:rFonts w:ascii="仿宋" w:hAnsi="仿宋" w:eastAsia="仿宋" w:cs="仿宋"/>
          <w:color w:val="000000"/>
          <w:highlight w:val="none"/>
        </w:rPr>
      </w:pPr>
      <w:r>
        <w:rPr>
          <w:rFonts w:hint="eastAsia" w:ascii="仿宋" w:hAnsi="仿宋" w:eastAsia="仿宋" w:cs="仿宋"/>
          <w:color w:val="000000"/>
          <w:highlight w:val="none"/>
        </w:rPr>
        <w:t>（5）已提交响应文件的供应商，在提交最后报价之前，可以根据磋商情况书面申请退出磋商，书面申请应由其法定代表人或授权代表签字或者加盖公章。</w:t>
      </w:r>
    </w:p>
    <w:p w14:paraId="1D07595C">
      <w:pPr>
        <w:spacing w:line="500" w:lineRule="exact"/>
        <w:ind w:firstLine="566" w:firstLineChars="200"/>
        <w:rPr>
          <w:rFonts w:ascii="仿宋" w:hAnsi="仿宋" w:eastAsia="仿宋" w:cs="仿宋"/>
          <w:b/>
          <w:bCs/>
          <w:highlight w:val="none"/>
        </w:rPr>
      </w:pPr>
      <w:r>
        <w:rPr>
          <w:rFonts w:hint="eastAsia" w:ascii="仿宋" w:hAnsi="仿宋" w:eastAsia="仿宋" w:cs="仿宋"/>
          <w:b/>
          <w:bCs/>
          <w:highlight w:val="none"/>
        </w:rPr>
        <w:t>7、异常低价审查</w:t>
      </w:r>
    </w:p>
    <w:p w14:paraId="7D3E9DD3">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政府采购评标中出现下列情形之一的，评标委员会应当启动异常低价投标审查程序：</w:t>
      </w:r>
    </w:p>
    <w:p w14:paraId="5ADE3070">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（1）投标报价低于全部通过符合性审查供应商投标报价平均值50%的，即投标报价&lt;全部通过符合性审查供应商投标报价平均值×50%；</w:t>
      </w:r>
    </w:p>
    <w:p w14:paraId="7BE70203">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（2）投标报价低于通过符合性审查的次低报价供应商投标报价50%的，即投标报价&lt;通过符合性审查的次低报价供应商投标报价×50%；</w:t>
      </w:r>
    </w:p>
    <w:p w14:paraId="2A306F9B">
      <w:pPr>
        <w:spacing w:line="50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（3）投标报价低于采购项目最高限价45%的，即投标报价&lt;采购项目最高限价×45%（未设定最高限价的采购项目，以采购项目预算金额作为最高限价）；</w:t>
      </w:r>
    </w:p>
    <w:p w14:paraId="34791781">
      <w:pPr>
        <w:spacing w:line="500" w:lineRule="exact"/>
        <w:ind w:firstLine="566" w:firstLineChars="200"/>
        <w:rPr>
          <w:rFonts w:ascii="仿宋" w:hAnsi="仿宋" w:eastAsia="仿宋" w:cs="仿宋"/>
          <w:highlight w:val="none"/>
        </w:rPr>
      </w:pPr>
      <w:r>
        <w:rPr>
          <w:rFonts w:hint="eastAsia" w:ascii="仿宋" w:hAnsi="仿宋" w:eastAsia="仿宋" w:cs="仿宋"/>
          <w:highlight w:val="none"/>
        </w:rPr>
        <w:t>（4）磋商小组基于专业判断，认为供应商报价过低，有可能影响产品质量或者不能诚信履约的其他情形。</w:t>
      </w:r>
    </w:p>
    <w:p w14:paraId="2B75978E">
      <w:pPr>
        <w:widowControl w:val="0"/>
        <w:spacing w:line="500" w:lineRule="exact"/>
        <w:ind w:firstLine="566" w:firstLineChars="200"/>
        <w:contextualSpacing/>
        <w:rPr>
          <w:rFonts w:ascii="仿宋" w:hAnsi="仿宋" w:eastAsia="仿宋" w:cs="仿宋"/>
          <w:highlight w:val="none"/>
        </w:rPr>
      </w:pPr>
      <w:r>
        <w:rPr>
          <w:rFonts w:hint="eastAsia" w:ascii="仿宋" w:hAnsi="仿宋" w:eastAsia="仿宋" w:cs="仿宋"/>
          <w:highlight w:val="none"/>
        </w:rPr>
        <w:t>磋商小组依据专业经验，参考同类项目成交价格、类似产品市场价格水平、行业人工费用标准、国家有关部门指导行业协会发布的行业平均成本等情况，对报价合理性进行判断。</w:t>
      </w:r>
    </w:p>
    <w:p w14:paraId="60FEF43A">
      <w:pPr>
        <w:widowControl w:val="0"/>
        <w:spacing w:line="500" w:lineRule="exact"/>
        <w:ind w:firstLine="566" w:firstLineChars="200"/>
        <w:contextualSpacing/>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highlight w:val="none"/>
        </w:rPr>
        <w:t>（5）磋商小组启动异常低价响应审查后，要求相关供应商在评审现场规定的时间内（一般不少于30分钟）对响应价格作出解释，提供项目具体成本测算等与报价合理性相关的书面说明及必要的证明材料（包括但不限于原材料成本、人工成本、制造费用等），供应商不能在规定时间内提供书面说明、证明材料，或者提供的书面说明、证明材料不能证明其报价合理性的，磋商小组应当将其作为无效响应处理</w:t>
      </w:r>
      <w:r>
        <w:rPr>
          <w:rFonts w:hint="eastAsia" w:ascii="仿宋" w:hAnsi="仿宋" w:eastAsia="仿宋" w:cs="仿宋"/>
          <w:color w:val="000000" w:themeColor="text1"/>
          <w:highlight w:val="none"/>
          <w14:textFill>
            <w14:solidFill>
              <w14:schemeClr w14:val="tx1"/>
            </w14:solidFill>
          </w14:textFill>
        </w:rPr>
        <w:t>（“规定时间”由磋商小组具体确定）。</w:t>
      </w:r>
    </w:p>
    <w:p w14:paraId="026E6197">
      <w:pPr>
        <w:spacing w:line="500" w:lineRule="exact"/>
        <w:ind w:firstLine="566" w:firstLineChars="200"/>
        <w:rPr>
          <w:rFonts w:ascii="仿宋" w:hAnsi="仿宋" w:eastAsia="仿宋" w:cs="仿宋"/>
          <w:b/>
          <w:color w:val="000000"/>
          <w:highlight w:val="none"/>
        </w:rPr>
      </w:pPr>
      <w:r>
        <w:rPr>
          <w:rFonts w:hint="eastAsia" w:ascii="仿宋" w:hAnsi="仿宋" w:eastAsia="仿宋" w:cs="仿宋"/>
          <w:b/>
          <w:color w:val="000000"/>
          <w:highlight w:val="none"/>
        </w:rPr>
        <w:t>8、综合比较与评价</w:t>
      </w:r>
    </w:p>
    <w:p w14:paraId="041B19AB">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经磋商确定最终采购需求和提交最后报价的供应商后，由磋商小组按“评审要素及分值一览表”中规定的评审方法和标准，对提交最后报价的供应商的响应文件和最后报价进行综合评分。</w:t>
      </w:r>
    </w:p>
    <w:p w14:paraId="0CFB0E48">
      <w:pPr>
        <w:widowControl w:val="0"/>
        <w:spacing w:line="500" w:lineRule="exact"/>
        <w:ind w:firstLine="566" w:firstLineChars="200"/>
        <w:jc w:val="left"/>
        <w:rPr>
          <w:rFonts w:ascii="仿宋" w:hAnsi="仿宋" w:eastAsia="仿宋" w:cs="仿宋"/>
          <w:b/>
          <w:bCs/>
          <w:color w:val="000000"/>
          <w:highlight w:val="none"/>
        </w:rPr>
      </w:pPr>
      <w:r>
        <w:rPr>
          <w:rFonts w:hint="eastAsia" w:ascii="仿宋" w:hAnsi="仿宋" w:eastAsia="仿宋" w:cs="仿宋"/>
          <w:color w:val="000000"/>
          <w:highlight w:val="none"/>
        </w:rPr>
        <w:t>评审时，磋商小组各成员应当独立对每个有效响应的文件进行评价、打分，然后汇总每个供应商每项评审因素的得分。</w:t>
      </w:r>
    </w:p>
    <w:p w14:paraId="581D360C">
      <w:pPr>
        <w:widowControl/>
        <w:spacing w:before="0" w:beforeLines="-2147483648" w:line="240" w:lineRule="auto"/>
        <w:jc w:val="left"/>
        <w:rPr>
          <w:rFonts w:hint="eastAsia" w:ascii="仿宋" w:hAnsi="仿宋" w:eastAsia="仿宋" w:cs="仿宋"/>
          <w:b/>
          <w:bCs/>
          <w:color w:val="000000"/>
          <w:highlight w:val="none"/>
        </w:rPr>
      </w:pPr>
      <w:r>
        <w:rPr>
          <w:rFonts w:hint="eastAsia" w:ascii="仿宋" w:hAnsi="仿宋" w:eastAsia="仿宋" w:cs="仿宋"/>
          <w:b/>
          <w:bCs/>
          <w:color w:val="000000"/>
          <w:highlight w:val="none"/>
        </w:rPr>
        <w:br w:type="page"/>
      </w:r>
    </w:p>
    <w:p w14:paraId="6AADA0E8">
      <w:pPr>
        <w:widowControl w:val="0"/>
        <w:spacing w:before="190" w:beforeLines="50" w:line="500" w:lineRule="exact"/>
        <w:jc w:val="center"/>
        <w:rPr>
          <w:rFonts w:ascii="仿宋" w:hAnsi="仿宋" w:eastAsia="仿宋" w:cs="仿宋"/>
          <w:b/>
          <w:bCs/>
          <w:color w:val="000000"/>
          <w:highlight w:val="none"/>
        </w:rPr>
      </w:pPr>
      <w:r>
        <w:rPr>
          <w:rFonts w:hint="eastAsia" w:ascii="仿宋" w:hAnsi="仿宋" w:eastAsia="仿宋" w:cs="仿宋"/>
          <w:b/>
          <w:bCs/>
          <w:color w:val="000000"/>
          <w:highlight w:val="none"/>
        </w:rPr>
        <w:t>评审要素及分值一览表</w:t>
      </w:r>
    </w:p>
    <w:tbl>
      <w:tblPr>
        <w:tblStyle w:val="28"/>
        <w:tblW w:w="88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4"/>
        <w:gridCol w:w="898"/>
        <w:gridCol w:w="7393"/>
      </w:tblGrid>
      <w:tr w14:paraId="7C513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9" w:hRule="atLeast"/>
          <w:jc w:val="center"/>
        </w:trPr>
        <w:tc>
          <w:tcPr>
            <w:tcW w:w="554" w:type="dxa"/>
            <w:vAlign w:val="center"/>
          </w:tcPr>
          <w:p w14:paraId="1AAEFDE1">
            <w:pPr>
              <w:pStyle w:val="33"/>
              <w:jc w:val="center"/>
              <w:rPr>
                <w:highlight w:val="none"/>
              </w:rPr>
            </w:pPr>
            <w:r>
              <w:rPr>
                <w:b/>
                <w:bCs/>
                <w:spacing w:val="-9"/>
                <w:highlight w:val="none"/>
              </w:rPr>
              <w:t>名称</w:t>
            </w:r>
          </w:p>
        </w:tc>
        <w:tc>
          <w:tcPr>
            <w:tcW w:w="898" w:type="dxa"/>
            <w:vAlign w:val="center"/>
          </w:tcPr>
          <w:p w14:paraId="1F1E424F">
            <w:pPr>
              <w:pStyle w:val="33"/>
              <w:jc w:val="center"/>
              <w:rPr>
                <w:highlight w:val="none"/>
              </w:rPr>
            </w:pPr>
            <w:r>
              <w:rPr>
                <w:b/>
                <w:bCs/>
                <w:spacing w:val="-12"/>
                <w:highlight w:val="none"/>
              </w:rPr>
              <w:t>最高</w:t>
            </w:r>
          </w:p>
          <w:p w14:paraId="5670C0C6">
            <w:pPr>
              <w:pStyle w:val="33"/>
              <w:jc w:val="center"/>
              <w:rPr>
                <w:highlight w:val="none"/>
              </w:rPr>
            </w:pPr>
            <w:r>
              <w:rPr>
                <w:b/>
                <w:bCs/>
                <w:spacing w:val="-10"/>
                <w:highlight w:val="none"/>
              </w:rPr>
              <w:t>分值</w:t>
            </w:r>
          </w:p>
        </w:tc>
        <w:tc>
          <w:tcPr>
            <w:tcW w:w="7393" w:type="dxa"/>
            <w:vAlign w:val="center"/>
          </w:tcPr>
          <w:p w14:paraId="45A3987C">
            <w:pPr>
              <w:pStyle w:val="33"/>
              <w:jc w:val="center"/>
              <w:rPr>
                <w:highlight w:val="none"/>
              </w:rPr>
            </w:pPr>
            <w:r>
              <w:rPr>
                <w:b/>
                <w:bCs/>
                <w:spacing w:val="-9"/>
                <w:highlight w:val="none"/>
              </w:rPr>
              <w:t>名称</w:t>
            </w:r>
          </w:p>
        </w:tc>
      </w:tr>
      <w:tr w14:paraId="2E0717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5" w:hRule="atLeast"/>
          <w:jc w:val="center"/>
        </w:trPr>
        <w:tc>
          <w:tcPr>
            <w:tcW w:w="554" w:type="dxa"/>
            <w:vAlign w:val="center"/>
          </w:tcPr>
          <w:p w14:paraId="369A2927">
            <w:pPr>
              <w:pStyle w:val="33"/>
              <w:jc w:val="center"/>
              <w:rPr>
                <w:highlight w:val="none"/>
              </w:rPr>
            </w:pPr>
            <w:r>
              <w:rPr>
                <w:spacing w:val="-7"/>
                <w:highlight w:val="none"/>
              </w:rPr>
              <w:t>磋商报价</w:t>
            </w:r>
          </w:p>
        </w:tc>
        <w:tc>
          <w:tcPr>
            <w:tcW w:w="898" w:type="dxa"/>
            <w:vAlign w:val="center"/>
          </w:tcPr>
          <w:p w14:paraId="515DA289">
            <w:pPr>
              <w:pStyle w:val="33"/>
              <w:jc w:val="center"/>
              <w:rPr>
                <w:highlight w:val="none"/>
              </w:rPr>
            </w:pPr>
            <w:r>
              <w:rPr>
                <w:spacing w:val="-6"/>
                <w:highlight w:val="none"/>
              </w:rPr>
              <w:t>20</w:t>
            </w:r>
          </w:p>
        </w:tc>
        <w:tc>
          <w:tcPr>
            <w:tcW w:w="7393" w:type="dxa"/>
          </w:tcPr>
          <w:p w14:paraId="62A272F6">
            <w:pPr>
              <w:pStyle w:val="33"/>
              <w:rPr>
                <w:highlight w:val="none"/>
                <w:lang w:eastAsia="zh-CN"/>
              </w:rPr>
            </w:pPr>
            <w:r>
              <w:rPr>
                <w:spacing w:val="3"/>
                <w:highlight w:val="none"/>
                <w:lang w:eastAsia="zh-CN"/>
              </w:rPr>
              <w:t>满足磋商文件要求且最后报价最低的供应商的</w:t>
            </w:r>
            <w:r>
              <w:rPr>
                <w:spacing w:val="2"/>
                <w:highlight w:val="none"/>
                <w:lang w:eastAsia="zh-CN"/>
              </w:rPr>
              <w:t>价格为磋商基准价得20分，其他各供应商的最后磋商报价得分按下列公式计算:</w:t>
            </w:r>
          </w:p>
          <w:p w14:paraId="1FD16102">
            <w:pPr>
              <w:pStyle w:val="33"/>
              <w:rPr>
                <w:highlight w:val="none"/>
                <w:lang w:eastAsia="zh-CN"/>
              </w:rPr>
            </w:pPr>
            <w:r>
              <w:rPr>
                <w:highlight w:val="none"/>
                <w:lang w:eastAsia="zh-CN"/>
              </w:rPr>
              <w:t>(磋商基准价/最后磋商报价)×20%×100。</w:t>
            </w:r>
          </w:p>
        </w:tc>
      </w:tr>
      <w:tr w14:paraId="2770F0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3" w:hRule="atLeast"/>
          <w:jc w:val="center"/>
        </w:trPr>
        <w:tc>
          <w:tcPr>
            <w:tcW w:w="554" w:type="dxa"/>
            <w:vAlign w:val="center"/>
          </w:tcPr>
          <w:p w14:paraId="57EC9714">
            <w:pPr>
              <w:pStyle w:val="33"/>
              <w:jc w:val="center"/>
              <w:rPr>
                <w:highlight w:val="none"/>
              </w:rPr>
            </w:pPr>
            <w:r>
              <w:rPr>
                <w:spacing w:val="-12"/>
                <w:highlight w:val="none"/>
              </w:rPr>
              <w:t>总体</w:t>
            </w:r>
            <w:r>
              <w:rPr>
                <w:spacing w:val="-10"/>
                <w:highlight w:val="none"/>
              </w:rPr>
              <w:t>方案</w:t>
            </w:r>
          </w:p>
        </w:tc>
        <w:tc>
          <w:tcPr>
            <w:tcW w:w="898" w:type="dxa"/>
            <w:vAlign w:val="center"/>
          </w:tcPr>
          <w:p w14:paraId="5021EECF">
            <w:pPr>
              <w:pStyle w:val="33"/>
              <w:jc w:val="center"/>
              <w:rPr>
                <w:highlight w:val="none"/>
              </w:rPr>
            </w:pPr>
            <w:r>
              <w:rPr>
                <w:highlight w:val="none"/>
              </w:rPr>
              <w:t>6</w:t>
            </w:r>
          </w:p>
        </w:tc>
        <w:tc>
          <w:tcPr>
            <w:tcW w:w="7393" w:type="dxa"/>
          </w:tcPr>
          <w:p w14:paraId="22C3C649">
            <w:pPr>
              <w:pStyle w:val="33"/>
              <w:rPr>
                <w:highlight w:val="none"/>
                <w:lang w:eastAsia="zh-CN"/>
              </w:rPr>
            </w:pPr>
            <w:r>
              <w:rPr>
                <w:b/>
                <w:bCs/>
                <w:spacing w:val="-3"/>
                <w:highlight w:val="none"/>
                <w:lang w:eastAsia="zh-CN"/>
              </w:rPr>
              <w:t>一、评审内容</w:t>
            </w:r>
          </w:p>
          <w:p w14:paraId="1DD09612">
            <w:pPr>
              <w:pStyle w:val="33"/>
              <w:rPr>
                <w:highlight w:val="none"/>
                <w:lang w:eastAsia="zh-CN"/>
              </w:rPr>
            </w:pPr>
            <w:r>
              <w:rPr>
                <w:spacing w:val="3"/>
                <w:highlight w:val="none"/>
                <w:lang w:eastAsia="zh-CN"/>
              </w:rPr>
              <w:t>供应商提出针对于本项目的物业服务总体方案</w:t>
            </w:r>
            <w:r>
              <w:rPr>
                <w:spacing w:val="2"/>
                <w:highlight w:val="none"/>
                <w:lang w:eastAsia="zh-CN"/>
              </w:rPr>
              <w:t>，方案内容包含</w:t>
            </w:r>
            <w:r>
              <w:rPr>
                <w:rFonts w:hint="eastAsia"/>
                <w:spacing w:val="2"/>
                <w:highlight w:val="none"/>
                <w:lang w:eastAsia="zh-CN"/>
              </w:rPr>
              <w:t>：</w:t>
            </w:r>
            <w:r>
              <w:rPr>
                <w:spacing w:val="2"/>
                <w:highlight w:val="none"/>
                <w:lang w:eastAsia="zh-CN"/>
              </w:rPr>
              <w:t>①服务目标②服务计划③服务理念及特色④重难点分析及</w:t>
            </w:r>
            <w:r>
              <w:rPr>
                <w:rFonts w:hint="eastAsia"/>
                <w:spacing w:val="2"/>
                <w:highlight w:val="none"/>
                <w:lang w:eastAsia="zh-CN"/>
              </w:rPr>
              <w:t>解决</w:t>
            </w:r>
            <w:r>
              <w:rPr>
                <w:spacing w:val="2"/>
                <w:highlight w:val="none"/>
                <w:lang w:eastAsia="zh-CN"/>
              </w:rPr>
              <w:t>措施。</w:t>
            </w:r>
          </w:p>
          <w:p w14:paraId="4825291F">
            <w:pPr>
              <w:pStyle w:val="33"/>
              <w:rPr>
                <w:highlight w:val="none"/>
                <w:lang w:eastAsia="zh-CN"/>
              </w:rPr>
            </w:pPr>
            <w:r>
              <w:rPr>
                <w:b/>
                <w:bCs/>
                <w:spacing w:val="-3"/>
                <w:highlight w:val="none"/>
                <w:lang w:eastAsia="zh-CN"/>
              </w:rPr>
              <w:t>二、评审标准</w:t>
            </w:r>
          </w:p>
          <w:p w14:paraId="08A5FEC7">
            <w:pPr>
              <w:pStyle w:val="33"/>
              <w:rPr>
                <w:highlight w:val="none"/>
                <w:lang w:eastAsia="zh-CN"/>
              </w:rPr>
            </w:pPr>
            <w:r>
              <w:rPr>
                <w:spacing w:val="2"/>
                <w:highlight w:val="none"/>
                <w:lang w:eastAsia="zh-CN"/>
              </w:rPr>
              <w:t>1、完整性：方案须全面，对评审内容中的各项要求有详细描述；</w:t>
            </w:r>
          </w:p>
          <w:p w14:paraId="0077ADF6">
            <w:pPr>
              <w:pStyle w:val="33"/>
              <w:rPr>
                <w:highlight w:val="none"/>
                <w:lang w:eastAsia="zh-CN"/>
              </w:rPr>
            </w:pPr>
            <w:r>
              <w:rPr>
                <w:spacing w:val="2"/>
                <w:highlight w:val="none"/>
                <w:lang w:eastAsia="zh-CN"/>
              </w:rPr>
              <w:t>2、可实施性：切合本项目实际情况，实施步骤清晰、合理；</w:t>
            </w:r>
          </w:p>
          <w:p w14:paraId="135C68A6">
            <w:pPr>
              <w:pStyle w:val="33"/>
              <w:rPr>
                <w:highlight w:val="none"/>
                <w:lang w:eastAsia="zh-CN"/>
              </w:rPr>
            </w:pPr>
            <w:r>
              <w:rPr>
                <w:highlight w:val="none"/>
                <w:lang w:eastAsia="zh-CN"/>
              </w:rPr>
              <w:t>3、针对性：方案能够紧扣项目实际情况，内容科学合理。</w:t>
            </w:r>
          </w:p>
          <w:p w14:paraId="234E4FB6">
            <w:pPr>
              <w:pStyle w:val="33"/>
              <w:rPr>
                <w:highlight w:val="none"/>
                <w:lang w:eastAsia="zh-CN"/>
              </w:rPr>
            </w:pPr>
            <w:r>
              <w:rPr>
                <w:b/>
                <w:bCs/>
                <w:spacing w:val="-4"/>
                <w:highlight w:val="none"/>
                <w:lang w:eastAsia="zh-CN"/>
              </w:rPr>
              <w:t>三、赋分标准（满分6分）</w:t>
            </w:r>
          </w:p>
          <w:p w14:paraId="763BF79E">
            <w:pPr>
              <w:pStyle w:val="33"/>
              <w:rPr>
                <w:highlight w:val="none"/>
                <w:lang w:eastAsia="zh-CN"/>
              </w:rPr>
            </w:pPr>
            <w:r>
              <w:rPr>
                <w:spacing w:val="-1"/>
                <w:highlight w:val="none"/>
                <w:lang w:eastAsia="zh-CN"/>
              </w:rPr>
              <w:t>①服务目标：每完全满足一个评审标准得0.5分，满分1.5分；</w:t>
            </w:r>
          </w:p>
          <w:p w14:paraId="64CAFB95">
            <w:pPr>
              <w:pStyle w:val="33"/>
              <w:rPr>
                <w:highlight w:val="none"/>
                <w:lang w:eastAsia="zh-CN"/>
              </w:rPr>
            </w:pPr>
            <w:r>
              <w:rPr>
                <w:spacing w:val="-1"/>
                <w:highlight w:val="none"/>
                <w:lang w:eastAsia="zh-CN"/>
              </w:rPr>
              <w:t>②服务计划:每完全满足一个评审标准得0.5分，满分1.5分；</w:t>
            </w:r>
          </w:p>
          <w:p w14:paraId="0DB557BB">
            <w:pPr>
              <w:pStyle w:val="33"/>
              <w:rPr>
                <w:highlight w:val="none"/>
                <w:lang w:eastAsia="zh-CN"/>
              </w:rPr>
            </w:pPr>
            <w:r>
              <w:rPr>
                <w:spacing w:val="-3"/>
                <w:highlight w:val="none"/>
                <w:lang w:eastAsia="zh-CN"/>
              </w:rPr>
              <w:t>③服务理念及特色:每完全满足一个评审标准得0.5分，满分</w:t>
            </w:r>
            <w:r>
              <w:rPr>
                <w:spacing w:val="-4"/>
                <w:highlight w:val="none"/>
                <w:lang w:eastAsia="zh-CN"/>
              </w:rPr>
              <w:t>1.5分；</w:t>
            </w:r>
          </w:p>
          <w:p w14:paraId="5E50B364">
            <w:pPr>
              <w:pStyle w:val="33"/>
              <w:rPr>
                <w:highlight w:val="none"/>
                <w:lang w:eastAsia="zh-CN"/>
              </w:rPr>
            </w:pPr>
            <w:r>
              <w:rPr>
                <w:spacing w:val="4"/>
                <w:highlight w:val="none"/>
                <w:lang w:eastAsia="zh-CN"/>
              </w:rPr>
              <w:t>④重难点分析及</w:t>
            </w:r>
            <w:r>
              <w:rPr>
                <w:rFonts w:hint="eastAsia"/>
                <w:spacing w:val="4"/>
                <w:highlight w:val="none"/>
                <w:lang w:eastAsia="zh-CN"/>
              </w:rPr>
              <w:t>解决</w:t>
            </w:r>
            <w:r>
              <w:rPr>
                <w:spacing w:val="4"/>
                <w:highlight w:val="none"/>
                <w:lang w:eastAsia="zh-CN"/>
              </w:rPr>
              <w:t>措施：每完全满足一个评审标准得0.5分，满</w:t>
            </w:r>
            <w:r>
              <w:rPr>
                <w:spacing w:val="-11"/>
                <w:highlight w:val="none"/>
                <w:lang w:eastAsia="zh-CN"/>
              </w:rPr>
              <w:t>分1.5分。</w:t>
            </w:r>
          </w:p>
        </w:tc>
      </w:tr>
      <w:tr w14:paraId="72AC33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79" w:hRule="atLeast"/>
          <w:jc w:val="center"/>
        </w:trPr>
        <w:tc>
          <w:tcPr>
            <w:tcW w:w="554" w:type="dxa"/>
            <w:vAlign w:val="center"/>
          </w:tcPr>
          <w:p w14:paraId="488C9884">
            <w:pPr>
              <w:pStyle w:val="33"/>
              <w:jc w:val="center"/>
              <w:rPr>
                <w:highlight w:val="none"/>
              </w:rPr>
            </w:pPr>
            <w:r>
              <w:rPr>
                <w:spacing w:val="-8"/>
                <w:highlight w:val="none"/>
              </w:rPr>
              <w:t>保洁</w:t>
            </w:r>
            <w:r>
              <w:rPr>
                <w:spacing w:val="-7"/>
                <w:highlight w:val="none"/>
              </w:rPr>
              <w:t>服务方案</w:t>
            </w:r>
          </w:p>
        </w:tc>
        <w:tc>
          <w:tcPr>
            <w:tcW w:w="898" w:type="dxa"/>
            <w:vAlign w:val="center"/>
          </w:tcPr>
          <w:p w14:paraId="2275EAFC">
            <w:pPr>
              <w:pStyle w:val="33"/>
              <w:jc w:val="center"/>
              <w:rPr>
                <w:highlight w:val="none"/>
              </w:rPr>
            </w:pPr>
            <w:r>
              <w:rPr>
                <w:spacing w:val="-2"/>
                <w:highlight w:val="none"/>
              </w:rPr>
              <w:t>4.5</w:t>
            </w:r>
          </w:p>
        </w:tc>
        <w:tc>
          <w:tcPr>
            <w:tcW w:w="7393" w:type="dxa"/>
          </w:tcPr>
          <w:p w14:paraId="413DB421">
            <w:pPr>
              <w:pStyle w:val="33"/>
              <w:rPr>
                <w:highlight w:val="none"/>
                <w:lang w:eastAsia="zh-CN"/>
              </w:rPr>
            </w:pPr>
            <w:r>
              <w:rPr>
                <w:b/>
                <w:bCs/>
                <w:spacing w:val="-3"/>
                <w:highlight w:val="none"/>
                <w:lang w:eastAsia="zh-CN"/>
              </w:rPr>
              <w:t>一、评审内容</w:t>
            </w:r>
          </w:p>
          <w:p w14:paraId="19F011FF">
            <w:pPr>
              <w:pStyle w:val="33"/>
              <w:rPr>
                <w:highlight w:val="none"/>
                <w:lang w:eastAsia="zh-CN"/>
              </w:rPr>
            </w:pPr>
            <w:r>
              <w:rPr>
                <w:spacing w:val="3"/>
                <w:highlight w:val="none"/>
                <w:lang w:eastAsia="zh-CN"/>
              </w:rPr>
              <w:t>针对本项目提出保洁服务方案，方案内容包</w:t>
            </w:r>
            <w:r>
              <w:rPr>
                <w:spacing w:val="2"/>
                <w:highlight w:val="none"/>
                <w:lang w:eastAsia="zh-CN"/>
              </w:rPr>
              <w:t>含</w:t>
            </w:r>
            <w:r>
              <w:rPr>
                <w:rFonts w:hint="eastAsia"/>
                <w:spacing w:val="2"/>
                <w:highlight w:val="none"/>
                <w:lang w:eastAsia="zh-CN"/>
              </w:rPr>
              <w:t>：</w:t>
            </w:r>
            <w:r>
              <w:rPr>
                <w:spacing w:val="2"/>
                <w:highlight w:val="none"/>
                <w:lang w:eastAsia="zh-CN"/>
              </w:rPr>
              <w:t>①室内环境卫生保洁服务②室</w:t>
            </w:r>
            <w:r>
              <w:rPr>
                <w:rFonts w:hint="eastAsia"/>
                <w:spacing w:val="2"/>
                <w:highlight w:val="none"/>
                <w:lang w:eastAsia="zh-CN"/>
              </w:rPr>
              <w:t>外</w:t>
            </w:r>
            <w:r>
              <w:rPr>
                <w:spacing w:val="2"/>
                <w:highlight w:val="none"/>
                <w:lang w:eastAsia="zh-CN"/>
              </w:rPr>
              <w:t>环境卫生保洁服务③垃圾清理外运服务。</w:t>
            </w:r>
          </w:p>
          <w:p w14:paraId="5F8FB723">
            <w:pPr>
              <w:pStyle w:val="33"/>
              <w:rPr>
                <w:highlight w:val="none"/>
                <w:lang w:eastAsia="zh-CN"/>
              </w:rPr>
            </w:pPr>
            <w:r>
              <w:rPr>
                <w:b/>
                <w:bCs/>
                <w:spacing w:val="-3"/>
                <w:highlight w:val="none"/>
                <w:lang w:eastAsia="zh-CN"/>
              </w:rPr>
              <w:t>二、评审标准</w:t>
            </w:r>
          </w:p>
          <w:p w14:paraId="546E6CA6">
            <w:pPr>
              <w:pStyle w:val="33"/>
              <w:rPr>
                <w:highlight w:val="none"/>
                <w:lang w:eastAsia="zh-CN"/>
              </w:rPr>
            </w:pPr>
            <w:r>
              <w:rPr>
                <w:spacing w:val="2"/>
                <w:highlight w:val="none"/>
                <w:lang w:eastAsia="zh-CN"/>
              </w:rPr>
              <w:t>1、完整性：方案须全面，对评审内容中的各项要求有详细描述及说</w:t>
            </w:r>
            <w:r>
              <w:rPr>
                <w:spacing w:val="-16"/>
                <w:highlight w:val="none"/>
                <w:lang w:eastAsia="zh-CN"/>
              </w:rPr>
              <w:t>明；</w:t>
            </w:r>
          </w:p>
          <w:p w14:paraId="41964ED1">
            <w:pPr>
              <w:pStyle w:val="33"/>
              <w:rPr>
                <w:highlight w:val="none"/>
                <w:lang w:eastAsia="zh-CN"/>
              </w:rPr>
            </w:pPr>
            <w:r>
              <w:rPr>
                <w:spacing w:val="2"/>
                <w:highlight w:val="none"/>
                <w:lang w:eastAsia="zh-CN"/>
              </w:rPr>
              <w:t>2、可实施性：切合本项目实际情况，实施步骤清晰、合理；</w:t>
            </w:r>
          </w:p>
          <w:p w14:paraId="4156A87A">
            <w:pPr>
              <w:pStyle w:val="33"/>
              <w:rPr>
                <w:highlight w:val="none"/>
                <w:lang w:eastAsia="zh-CN"/>
              </w:rPr>
            </w:pPr>
            <w:r>
              <w:rPr>
                <w:highlight w:val="none"/>
                <w:lang w:eastAsia="zh-CN"/>
              </w:rPr>
              <w:t>3、针对性：方案能够紧扣项目实际情况，内容科学合理。</w:t>
            </w:r>
          </w:p>
          <w:p w14:paraId="247553E7">
            <w:pPr>
              <w:pStyle w:val="33"/>
              <w:rPr>
                <w:highlight w:val="none"/>
                <w:lang w:eastAsia="zh-CN"/>
              </w:rPr>
            </w:pPr>
            <w:r>
              <w:rPr>
                <w:b/>
                <w:bCs/>
                <w:spacing w:val="-4"/>
                <w:highlight w:val="none"/>
                <w:lang w:eastAsia="zh-CN"/>
              </w:rPr>
              <w:t>三、赋分标准（满分4.5分）</w:t>
            </w:r>
          </w:p>
          <w:p w14:paraId="6DC30AF5">
            <w:pPr>
              <w:pStyle w:val="33"/>
              <w:rPr>
                <w:highlight w:val="none"/>
                <w:lang w:eastAsia="zh-CN"/>
              </w:rPr>
            </w:pPr>
            <w:r>
              <w:rPr>
                <w:spacing w:val="1"/>
                <w:highlight w:val="none"/>
                <w:lang w:eastAsia="zh-CN"/>
              </w:rPr>
              <w:t>①室内环境卫生保洁服务：每完全满足一项评审标准得0.5分，满</w:t>
            </w:r>
            <w:r>
              <w:rPr>
                <w:spacing w:val="-11"/>
                <w:highlight w:val="none"/>
                <w:lang w:eastAsia="zh-CN"/>
              </w:rPr>
              <w:t>分1.5分；</w:t>
            </w:r>
          </w:p>
          <w:p w14:paraId="412F7042">
            <w:pPr>
              <w:pStyle w:val="33"/>
              <w:rPr>
                <w:highlight w:val="none"/>
                <w:lang w:eastAsia="zh-CN"/>
              </w:rPr>
            </w:pPr>
            <w:r>
              <w:rPr>
                <w:spacing w:val="4"/>
                <w:highlight w:val="none"/>
                <w:lang w:eastAsia="zh-CN"/>
              </w:rPr>
              <w:t>②室</w:t>
            </w:r>
            <w:r>
              <w:rPr>
                <w:rFonts w:hint="eastAsia"/>
                <w:spacing w:val="4"/>
                <w:highlight w:val="none"/>
                <w:lang w:eastAsia="zh-CN"/>
              </w:rPr>
              <w:t>外</w:t>
            </w:r>
            <w:r>
              <w:rPr>
                <w:spacing w:val="4"/>
                <w:highlight w:val="none"/>
                <w:lang w:eastAsia="zh-CN"/>
              </w:rPr>
              <w:t>环境卫生保洁服务：每完全满足一项评审标准得0.5分，满</w:t>
            </w:r>
            <w:r>
              <w:rPr>
                <w:spacing w:val="-11"/>
                <w:highlight w:val="none"/>
                <w:lang w:eastAsia="zh-CN"/>
              </w:rPr>
              <w:t>分1.5分；</w:t>
            </w:r>
          </w:p>
          <w:p w14:paraId="7682BC57">
            <w:pPr>
              <w:pStyle w:val="33"/>
              <w:rPr>
                <w:highlight w:val="none"/>
                <w:lang w:eastAsia="zh-CN"/>
              </w:rPr>
            </w:pPr>
            <w:r>
              <w:rPr>
                <w:spacing w:val="2"/>
                <w:highlight w:val="none"/>
                <w:lang w:eastAsia="zh-CN"/>
              </w:rPr>
              <w:t>③</w:t>
            </w:r>
            <w:r>
              <w:rPr>
                <w:spacing w:val="-1"/>
                <w:highlight w:val="none"/>
                <w:lang w:eastAsia="zh-CN"/>
              </w:rPr>
              <w:t>垃圾清理外运服务：每完全满足一项评审标准</w:t>
            </w:r>
            <w:r>
              <w:rPr>
                <w:spacing w:val="-2"/>
                <w:highlight w:val="none"/>
                <w:lang w:eastAsia="zh-CN"/>
              </w:rPr>
              <w:t>得0.5分，满分1.5</w:t>
            </w:r>
            <w:r>
              <w:rPr>
                <w:spacing w:val="-10"/>
                <w:highlight w:val="none"/>
                <w:lang w:eastAsia="zh-CN"/>
              </w:rPr>
              <w:t>分。</w:t>
            </w:r>
          </w:p>
        </w:tc>
      </w:tr>
      <w:tr w14:paraId="05D53C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jc w:val="center"/>
        </w:trPr>
        <w:tc>
          <w:tcPr>
            <w:tcW w:w="554" w:type="dxa"/>
            <w:vAlign w:val="center"/>
          </w:tcPr>
          <w:p w14:paraId="3E8211FF">
            <w:pPr>
              <w:pStyle w:val="33"/>
              <w:jc w:val="center"/>
              <w:rPr>
                <w:spacing w:val="-8"/>
                <w:highlight w:val="none"/>
              </w:rPr>
            </w:pPr>
            <w:r>
              <w:rPr>
                <w:spacing w:val="-19"/>
                <w:highlight w:val="none"/>
              </w:rPr>
              <w:t>门岗</w:t>
            </w:r>
            <w:r>
              <w:rPr>
                <w:spacing w:val="-7"/>
                <w:highlight w:val="none"/>
              </w:rPr>
              <w:t>管理服务方案</w:t>
            </w:r>
          </w:p>
        </w:tc>
        <w:tc>
          <w:tcPr>
            <w:tcW w:w="898" w:type="dxa"/>
            <w:vAlign w:val="center"/>
          </w:tcPr>
          <w:p w14:paraId="4CEE22B5">
            <w:pPr>
              <w:pStyle w:val="33"/>
              <w:jc w:val="center"/>
              <w:rPr>
                <w:spacing w:val="-2"/>
                <w:highlight w:val="none"/>
              </w:rPr>
            </w:pPr>
            <w:r>
              <w:rPr>
                <w:highlight w:val="none"/>
              </w:rPr>
              <w:t>9</w:t>
            </w:r>
          </w:p>
        </w:tc>
        <w:tc>
          <w:tcPr>
            <w:tcW w:w="7393" w:type="dxa"/>
          </w:tcPr>
          <w:p w14:paraId="33494091">
            <w:pPr>
              <w:pStyle w:val="33"/>
              <w:rPr>
                <w:highlight w:val="none"/>
                <w:lang w:eastAsia="zh-CN"/>
              </w:rPr>
            </w:pPr>
            <w:r>
              <w:rPr>
                <w:b/>
                <w:bCs/>
                <w:spacing w:val="-3"/>
                <w:highlight w:val="none"/>
                <w:lang w:eastAsia="zh-CN"/>
              </w:rPr>
              <w:t>一、评审内容</w:t>
            </w:r>
          </w:p>
          <w:p w14:paraId="211F4CEB">
            <w:pPr>
              <w:pStyle w:val="33"/>
              <w:rPr>
                <w:highlight w:val="none"/>
                <w:lang w:eastAsia="zh-CN"/>
              </w:rPr>
            </w:pPr>
            <w:r>
              <w:rPr>
                <w:spacing w:val="3"/>
                <w:highlight w:val="none"/>
                <w:lang w:eastAsia="zh-CN"/>
              </w:rPr>
              <w:t>针对本项目提供门岗管理服务方案，内容包含</w:t>
            </w:r>
            <w:r>
              <w:rPr>
                <w:rFonts w:hint="eastAsia"/>
                <w:spacing w:val="3"/>
                <w:highlight w:val="none"/>
                <w:lang w:eastAsia="zh-CN"/>
              </w:rPr>
              <w:t>：</w:t>
            </w:r>
            <w:r>
              <w:rPr>
                <w:spacing w:val="3"/>
                <w:highlight w:val="none"/>
                <w:lang w:eastAsia="zh-CN"/>
              </w:rPr>
              <w:t>①</w:t>
            </w:r>
            <w:r>
              <w:rPr>
                <w:spacing w:val="2"/>
                <w:highlight w:val="none"/>
                <w:lang w:eastAsia="zh-CN"/>
              </w:rPr>
              <w:t>门岗服务标准及服务计划②人员、车辆及物资的出入管理③值班执勤工作流程。</w:t>
            </w:r>
          </w:p>
          <w:p w14:paraId="4575F287">
            <w:pPr>
              <w:pStyle w:val="33"/>
              <w:rPr>
                <w:highlight w:val="none"/>
                <w:lang w:eastAsia="zh-CN"/>
              </w:rPr>
            </w:pPr>
            <w:r>
              <w:rPr>
                <w:b/>
                <w:bCs/>
                <w:spacing w:val="-3"/>
                <w:highlight w:val="none"/>
                <w:lang w:eastAsia="zh-CN"/>
              </w:rPr>
              <w:t>二、评审标准</w:t>
            </w:r>
          </w:p>
          <w:p w14:paraId="56F4B37E">
            <w:pPr>
              <w:pStyle w:val="33"/>
              <w:rPr>
                <w:highlight w:val="none"/>
                <w:lang w:eastAsia="zh-CN"/>
              </w:rPr>
            </w:pPr>
            <w:r>
              <w:rPr>
                <w:spacing w:val="2"/>
                <w:highlight w:val="none"/>
                <w:lang w:eastAsia="zh-CN"/>
              </w:rPr>
              <w:t>1、完整性：方案须全面，对评审内容中的各项要求有详细描述；</w:t>
            </w:r>
          </w:p>
          <w:p w14:paraId="17A7E4FD">
            <w:pPr>
              <w:pStyle w:val="33"/>
              <w:rPr>
                <w:highlight w:val="none"/>
                <w:lang w:eastAsia="zh-CN"/>
              </w:rPr>
            </w:pPr>
            <w:r>
              <w:rPr>
                <w:spacing w:val="2"/>
                <w:highlight w:val="none"/>
                <w:lang w:eastAsia="zh-CN"/>
              </w:rPr>
              <w:t>2、可实施性：切合本项目实际情况，实施步骤清晰、合理；</w:t>
            </w:r>
          </w:p>
          <w:p w14:paraId="0E3EC95A">
            <w:pPr>
              <w:pStyle w:val="33"/>
              <w:rPr>
                <w:highlight w:val="none"/>
                <w:lang w:eastAsia="zh-CN"/>
              </w:rPr>
            </w:pPr>
            <w:r>
              <w:rPr>
                <w:spacing w:val="2"/>
                <w:highlight w:val="none"/>
                <w:lang w:eastAsia="zh-CN"/>
              </w:rPr>
              <w:t>3、针对性：方案能够紧扣项目实际情况，内容科学合理。</w:t>
            </w:r>
          </w:p>
          <w:p w14:paraId="6990B24E">
            <w:pPr>
              <w:pStyle w:val="33"/>
              <w:rPr>
                <w:highlight w:val="none"/>
                <w:lang w:eastAsia="zh-CN"/>
              </w:rPr>
            </w:pPr>
            <w:r>
              <w:rPr>
                <w:b/>
                <w:bCs/>
                <w:spacing w:val="-4"/>
                <w:highlight w:val="none"/>
                <w:lang w:eastAsia="zh-CN"/>
              </w:rPr>
              <w:t>三、赋分标准（满分9分）</w:t>
            </w:r>
          </w:p>
          <w:p w14:paraId="47B4A88A">
            <w:pPr>
              <w:pStyle w:val="33"/>
              <w:rPr>
                <w:highlight w:val="none"/>
                <w:lang w:eastAsia="zh-CN"/>
              </w:rPr>
            </w:pPr>
            <w:r>
              <w:rPr>
                <w:spacing w:val="1"/>
                <w:highlight w:val="none"/>
                <w:lang w:eastAsia="zh-CN"/>
              </w:rPr>
              <w:t>①门岗服务标准及服务计划：每完全满足一个评审标准得1分，满</w:t>
            </w:r>
            <w:r>
              <w:rPr>
                <w:spacing w:val="-13"/>
                <w:highlight w:val="none"/>
                <w:lang w:eastAsia="zh-CN"/>
              </w:rPr>
              <w:t>分3分；</w:t>
            </w:r>
          </w:p>
          <w:p w14:paraId="42B1328A">
            <w:pPr>
              <w:pStyle w:val="33"/>
              <w:rPr>
                <w:highlight w:val="none"/>
                <w:lang w:eastAsia="zh-CN"/>
              </w:rPr>
            </w:pPr>
            <w:r>
              <w:rPr>
                <w:spacing w:val="-1"/>
                <w:highlight w:val="none"/>
                <w:lang w:eastAsia="zh-CN"/>
              </w:rPr>
              <w:t>②人员、车辆及物资的出入管理:每完全满足一个评审标准得1分，</w:t>
            </w:r>
            <w:r>
              <w:rPr>
                <w:spacing w:val="-10"/>
                <w:highlight w:val="none"/>
                <w:lang w:eastAsia="zh-CN"/>
              </w:rPr>
              <w:t>满分3分；</w:t>
            </w:r>
          </w:p>
          <w:p w14:paraId="77D360BC">
            <w:pPr>
              <w:pStyle w:val="33"/>
              <w:rPr>
                <w:spacing w:val="-1"/>
                <w:highlight w:val="none"/>
                <w:lang w:eastAsia="zh-CN"/>
              </w:rPr>
            </w:pPr>
            <w:r>
              <w:rPr>
                <w:spacing w:val="-2"/>
                <w:highlight w:val="none"/>
                <w:lang w:eastAsia="zh-CN"/>
              </w:rPr>
              <w:t>③值班执勤工作流程：每完全满足一个评审标准得1分，满分3分。</w:t>
            </w:r>
          </w:p>
        </w:tc>
      </w:tr>
      <w:tr w14:paraId="3C175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jc w:val="center"/>
        </w:trPr>
        <w:tc>
          <w:tcPr>
            <w:tcW w:w="554" w:type="dxa"/>
            <w:vAlign w:val="center"/>
          </w:tcPr>
          <w:p w14:paraId="7A5B7351">
            <w:pPr>
              <w:pStyle w:val="33"/>
              <w:jc w:val="center"/>
              <w:rPr>
                <w:spacing w:val="-8"/>
                <w:highlight w:val="none"/>
              </w:rPr>
            </w:pPr>
            <w:r>
              <w:rPr>
                <w:spacing w:val="-8"/>
                <w:highlight w:val="none"/>
              </w:rPr>
              <w:t>巡逻</w:t>
            </w:r>
            <w:r>
              <w:rPr>
                <w:spacing w:val="-7"/>
                <w:highlight w:val="none"/>
              </w:rPr>
              <w:t>管理服务方案</w:t>
            </w:r>
          </w:p>
        </w:tc>
        <w:tc>
          <w:tcPr>
            <w:tcW w:w="898" w:type="dxa"/>
            <w:vAlign w:val="center"/>
          </w:tcPr>
          <w:p w14:paraId="3DE51100">
            <w:pPr>
              <w:pStyle w:val="33"/>
              <w:jc w:val="center"/>
              <w:rPr>
                <w:spacing w:val="-2"/>
                <w:highlight w:val="none"/>
              </w:rPr>
            </w:pPr>
            <w:r>
              <w:rPr>
                <w:highlight w:val="none"/>
              </w:rPr>
              <w:t>6</w:t>
            </w:r>
          </w:p>
        </w:tc>
        <w:tc>
          <w:tcPr>
            <w:tcW w:w="7393" w:type="dxa"/>
          </w:tcPr>
          <w:p w14:paraId="2B4370CD">
            <w:pPr>
              <w:pStyle w:val="33"/>
              <w:rPr>
                <w:highlight w:val="none"/>
                <w:lang w:eastAsia="zh-CN"/>
              </w:rPr>
            </w:pPr>
            <w:r>
              <w:rPr>
                <w:b/>
                <w:bCs/>
                <w:spacing w:val="-3"/>
                <w:highlight w:val="none"/>
                <w:lang w:eastAsia="zh-CN"/>
              </w:rPr>
              <w:t>一、评审内容</w:t>
            </w:r>
          </w:p>
          <w:p w14:paraId="00D1EDF8">
            <w:pPr>
              <w:pStyle w:val="33"/>
              <w:rPr>
                <w:highlight w:val="none"/>
                <w:lang w:eastAsia="zh-CN"/>
              </w:rPr>
            </w:pPr>
            <w:r>
              <w:rPr>
                <w:spacing w:val="3"/>
                <w:highlight w:val="none"/>
                <w:lang w:eastAsia="zh-CN"/>
              </w:rPr>
              <w:t>针对本项目提出巡逻管理服务方案，方案内容包</w:t>
            </w:r>
            <w:r>
              <w:rPr>
                <w:spacing w:val="2"/>
                <w:highlight w:val="none"/>
                <w:lang w:eastAsia="zh-CN"/>
              </w:rPr>
              <w:t>含</w:t>
            </w:r>
            <w:r>
              <w:rPr>
                <w:rFonts w:hint="eastAsia"/>
                <w:spacing w:val="2"/>
                <w:highlight w:val="none"/>
                <w:lang w:eastAsia="zh-CN"/>
              </w:rPr>
              <w:t>：</w:t>
            </w:r>
            <w:r>
              <w:rPr>
                <w:spacing w:val="2"/>
                <w:highlight w:val="none"/>
                <w:lang w:eastAsia="zh-CN"/>
              </w:rPr>
              <w:t>①巡逻服务标准及服务计划②重点区域巡逻及巡逻记录③治安、交通秩序管理。</w:t>
            </w:r>
          </w:p>
          <w:p w14:paraId="48C39212">
            <w:pPr>
              <w:pStyle w:val="33"/>
              <w:rPr>
                <w:highlight w:val="none"/>
                <w:lang w:eastAsia="zh-CN"/>
              </w:rPr>
            </w:pPr>
            <w:r>
              <w:rPr>
                <w:b/>
                <w:bCs/>
                <w:spacing w:val="-3"/>
                <w:highlight w:val="none"/>
                <w:lang w:eastAsia="zh-CN"/>
              </w:rPr>
              <w:t>二、评审标准</w:t>
            </w:r>
          </w:p>
          <w:p w14:paraId="510B0A55">
            <w:pPr>
              <w:pStyle w:val="33"/>
              <w:rPr>
                <w:highlight w:val="none"/>
                <w:lang w:eastAsia="zh-CN"/>
              </w:rPr>
            </w:pPr>
            <w:r>
              <w:rPr>
                <w:spacing w:val="2"/>
                <w:highlight w:val="none"/>
                <w:lang w:eastAsia="zh-CN"/>
              </w:rPr>
              <w:t>1、完整性：方案须全面，对评审内容中的各项要求有详细描述；</w:t>
            </w:r>
          </w:p>
          <w:p w14:paraId="001B1E66">
            <w:pPr>
              <w:pStyle w:val="33"/>
              <w:rPr>
                <w:highlight w:val="none"/>
                <w:lang w:eastAsia="zh-CN"/>
              </w:rPr>
            </w:pPr>
            <w:r>
              <w:rPr>
                <w:spacing w:val="2"/>
                <w:highlight w:val="none"/>
                <w:lang w:eastAsia="zh-CN"/>
              </w:rPr>
              <w:t>2、可实施性：切合本项目实际情况，实施步骤清晰、合理；</w:t>
            </w:r>
          </w:p>
          <w:p w14:paraId="045FB8E5">
            <w:pPr>
              <w:pStyle w:val="33"/>
              <w:rPr>
                <w:highlight w:val="none"/>
                <w:lang w:eastAsia="zh-CN"/>
              </w:rPr>
            </w:pPr>
            <w:r>
              <w:rPr>
                <w:spacing w:val="2"/>
                <w:highlight w:val="none"/>
                <w:lang w:eastAsia="zh-CN"/>
              </w:rPr>
              <w:t>3、针对性：方案能够紧扣项目实际情况，内容科学合理。</w:t>
            </w:r>
          </w:p>
          <w:p w14:paraId="06C41834">
            <w:pPr>
              <w:pStyle w:val="33"/>
              <w:rPr>
                <w:highlight w:val="none"/>
                <w:lang w:eastAsia="zh-CN"/>
              </w:rPr>
            </w:pPr>
            <w:r>
              <w:rPr>
                <w:b/>
                <w:bCs/>
                <w:spacing w:val="-4"/>
                <w:highlight w:val="none"/>
                <w:lang w:eastAsia="zh-CN"/>
              </w:rPr>
              <w:t>三、赋分标准（满分6分）</w:t>
            </w:r>
          </w:p>
          <w:p w14:paraId="24828D73">
            <w:pPr>
              <w:pStyle w:val="33"/>
              <w:rPr>
                <w:highlight w:val="none"/>
                <w:lang w:eastAsia="zh-CN"/>
              </w:rPr>
            </w:pPr>
            <w:r>
              <w:rPr>
                <w:spacing w:val="1"/>
                <w:highlight w:val="none"/>
                <w:lang w:eastAsia="zh-CN"/>
              </w:rPr>
              <w:t>①巡逻服务标准及服务计划：每完全满足一个评审标准得1分，满</w:t>
            </w:r>
            <w:r>
              <w:rPr>
                <w:spacing w:val="-13"/>
                <w:highlight w:val="none"/>
                <w:lang w:eastAsia="zh-CN"/>
              </w:rPr>
              <w:t>分3分；</w:t>
            </w:r>
          </w:p>
          <w:p w14:paraId="13265202">
            <w:pPr>
              <w:pStyle w:val="33"/>
              <w:rPr>
                <w:highlight w:val="none"/>
                <w:lang w:eastAsia="zh-CN"/>
              </w:rPr>
            </w:pPr>
            <w:r>
              <w:rPr>
                <w:highlight w:val="none"/>
                <w:lang w:eastAsia="zh-CN"/>
              </w:rPr>
              <w:t>②重点区域巡逻及巡逻记录：每完全满足一个评审标准</w:t>
            </w:r>
            <w:r>
              <w:rPr>
                <w:spacing w:val="-1"/>
                <w:highlight w:val="none"/>
                <w:lang w:eastAsia="zh-CN"/>
              </w:rPr>
              <w:t>得0.5分，</w:t>
            </w:r>
            <w:r>
              <w:rPr>
                <w:spacing w:val="-9"/>
                <w:highlight w:val="none"/>
                <w:lang w:eastAsia="zh-CN"/>
              </w:rPr>
              <w:t>满分1.5分；</w:t>
            </w:r>
          </w:p>
          <w:p w14:paraId="01C39C7E">
            <w:pPr>
              <w:pStyle w:val="33"/>
              <w:rPr>
                <w:spacing w:val="-1"/>
                <w:highlight w:val="none"/>
                <w:lang w:eastAsia="zh-CN"/>
              </w:rPr>
            </w:pPr>
            <w:r>
              <w:rPr>
                <w:spacing w:val="1"/>
                <w:highlight w:val="none"/>
                <w:lang w:eastAsia="zh-CN"/>
              </w:rPr>
              <w:t>③治安、交通秩序管理：每完全满足一个评审标准得0.5分，满分</w:t>
            </w:r>
            <w:r>
              <w:rPr>
                <w:spacing w:val="-9"/>
                <w:highlight w:val="none"/>
                <w:lang w:eastAsia="zh-CN"/>
              </w:rPr>
              <w:t>1.5分。</w:t>
            </w:r>
          </w:p>
        </w:tc>
      </w:tr>
      <w:tr w14:paraId="5BF5D8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jc w:val="center"/>
        </w:trPr>
        <w:tc>
          <w:tcPr>
            <w:tcW w:w="554" w:type="dxa"/>
            <w:vAlign w:val="center"/>
          </w:tcPr>
          <w:p w14:paraId="22818723">
            <w:pPr>
              <w:pStyle w:val="33"/>
              <w:jc w:val="center"/>
              <w:rPr>
                <w:spacing w:val="-8"/>
                <w:highlight w:val="none"/>
              </w:rPr>
            </w:pPr>
            <w:r>
              <w:rPr>
                <w:b w:val="0"/>
                <w:bCs w:val="0"/>
                <w:spacing w:val="-3"/>
                <w:highlight w:val="none"/>
                <w:lang w:eastAsia="zh-CN"/>
              </w:rPr>
              <w:t>监控岗管理服务方</w:t>
            </w:r>
            <w:r>
              <w:rPr>
                <w:b w:val="0"/>
                <w:bCs w:val="0"/>
                <w:spacing w:val="-3"/>
                <w:w w:val="100"/>
                <w:highlight w:val="none"/>
                <w:lang w:eastAsia="zh-CN"/>
              </w:rPr>
              <w:t>案</w:t>
            </w:r>
          </w:p>
        </w:tc>
        <w:tc>
          <w:tcPr>
            <w:tcW w:w="898" w:type="dxa"/>
            <w:vAlign w:val="center"/>
          </w:tcPr>
          <w:p w14:paraId="763F2277">
            <w:pPr>
              <w:pStyle w:val="33"/>
              <w:jc w:val="center"/>
              <w:rPr>
                <w:spacing w:val="-2"/>
                <w:highlight w:val="none"/>
              </w:rPr>
            </w:pPr>
            <w:r>
              <w:rPr>
                <w:spacing w:val="-2"/>
                <w:highlight w:val="none"/>
              </w:rPr>
              <w:t>4.5</w:t>
            </w:r>
          </w:p>
        </w:tc>
        <w:tc>
          <w:tcPr>
            <w:tcW w:w="7393" w:type="dxa"/>
          </w:tcPr>
          <w:p w14:paraId="71A0E0DD">
            <w:pPr>
              <w:pStyle w:val="33"/>
              <w:rPr>
                <w:highlight w:val="none"/>
                <w:lang w:eastAsia="zh-CN"/>
              </w:rPr>
            </w:pPr>
            <w:r>
              <w:rPr>
                <w:b/>
                <w:bCs/>
                <w:spacing w:val="-3"/>
                <w:highlight w:val="none"/>
                <w:lang w:eastAsia="zh-CN"/>
              </w:rPr>
              <w:t>一、评审内容</w:t>
            </w:r>
          </w:p>
          <w:p w14:paraId="18F2965D">
            <w:pPr>
              <w:pStyle w:val="33"/>
              <w:rPr>
                <w:highlight w:val="none"/>
                <w:lang w:eastAsia="zh-CN"/>
              </w:rPr>
            </w:pPr>
            <w:r>
              <w:rPr>
                <w:spacing w:val="3"/>
                <w:highlight w:val="none"/>
                <w:lang w:eastAsia="zh-CN"/>
              </w:rPr>
              <w:t>针对本项目提出监控岗管理服务方案，内容包</w:t>
            </w:r>
            <w:r>
              <w:rPr>
                <w:spacing w:val="2"/>
                <w:highlight w:val="none"/>
                <w:lang w:eastAsia="zh-CN"/>
              </w:rPr>
              <w:t>含</w:t>
            </w:r>
            <w:r>
              <w:rPr>
                <w:rFonts w:hint="eastAsia"/>
                <w:spacing w:val="2"/>
                <w:highlight w:val="none"/>
                <w:lang w:eastAsia="zh-CN"/>
              </w:rPr>
              <w:t>：</w:t>
            </w:r>
            <w:r>
              <w:rPr>
                <w:spacing w:val="2"/>
                <w:highlight w:val="none"/>
                <w:lang w:eastAsia="zh-CN"/>
              </w:rPr>
              <w:t>①值班轮守、重点</w:t>
            </w:r>
            <w:r>
              <w:rPr>
                <w:spacing w:val="1"/>
                <w:highlight w:val="none"/>
                <w:lang w:eastAsia="zh-CN"/>
              </w:rPr>
              <w:t>要害部位监控及防范②监控及建筑消防的检查、测试及养护③求助、异样情况的跟进及紧急情况的处置。</w:t>
            </w:r>
          </w:p>
          <w:p w14:paraId="3B42FAD1">
            <w:pPr>
              <w:pStyle w:val="33"/>
              <w:rPr>
                <w:highlight w:val="none"/>
                <w:lang w:eastAsia="zh-CN"/>
              </w:rPr>
            </w:pPr>
            <w:r>
              <w:rPr>
                <w:b/>
                <w:bCs/>
                <w:spacing w:val="-3"/>
                <w:highlight w:val="none"/>
                <w:lang w:eastAsia="zh-CN"/>
              </w:rPr>
              <w:t>二、评审标准</w:t>
            </w:r>
          </w:p>
          <w:p w14:paraId="742CE209">
            <w:pPr>
              <w:pStyle w:val="33"/>
              <w:rPr>
                <w:highlight w:val="none"/>
                <w:lang w:eastAsia="zh-CN"/>
              </w:rPr>
            </w:pPr>
            <w:r>
              <w:rPr>
                <w:spacing w:val="2"/>
                <w:highlight w:val="none"/>
                <w:lang w:eastAsia="zh-CN"/>
              </w:rPr>
              <w:t>1、完整性：方案须全面，对评审内容中的各项要求有详细描述；</w:t>
            </w:r>
          </w:p>
          <w:p w14:paraId="0AF05A3C">
            <w:pPr>
              <w:pStyle w:val="33"/>
              <w:rPr>
                <w:highlight w:val="none"/>
                <w:lang w:eastAsia="zh-CN"/>
              </w:rPr>
            </w:pPr>
            <w:r>
              <w:rPr>
                <w:spacing w:val="2"/>
                <w:highlight w:val="none"/>
                <w:lang w:eastAsia="zh-CN"/>
              </w:rPr>
              <w:t>2、可实施性：切合本项目实际情况，实施步骤清晰、合理；</w:t>
            </w:r>
          </w:p>
          <w:p w14:paraId="1521BE15">
            <w:pPr>
              <w:pStyle w:val="33"/>
              <w:rPr>
                <w:highlight w:val="none"/>
                <w:lang w:eastAsia="zh-CN"/>
              </w:rPr>
            </w:pPr>
            <w:r>
              <w:rPr>
                <w:highlight w:val="none"/>
                <w:lang w:eastAsia="zh-CN"/>
              </w:rPr>
              <w:t>3、针对性：方案能够紧扣项目实际情况，内容科学合理。</w:t>
            </w:r>
          </w:p>
          <w:p w14:paraId="07BFFE1E">
            <w:pPr>
              <w:pStyle w:val="33"/>
              <w:rPr>
                <w:b/>
                <w:bCs/>
                <w:spacing w:val="-4"/>
                <w:highlight w:val="none"/>
                <w:lang w:eastAsia="zh-CN"/>
              </w:rPr>
            </w:pPr>
            <w:r>
              <w:rPr>
                <w:b/>
                <w:bCs/>
                <w:spacing w:val="-4"/>
                <w:highlight w:val="none"/>
                <w:lang w:eastAsia="zh-CN"/>
              </w:rPr>
              <w:t>三、赋分标准(满分4.5分）</w:t>
            </w:r>
          </w:p>
          <w:p w14:paraId="105BBC0C">
            <w:pPr>
              <w:pStyle w:val="33"/>
              <w:rPr>
                <w:spacing w:val="1"/>
                <w:highlight w:val="none"/>
                <w:lang w:eastAsia="zh-CN"/>
              </w:rPr>
            </w:pPr>
            <w:r>
              <w:rPr>
                <w:spacing w:val="2"/>
                <w:highlight w:val="none"/>
                <w:lang w:eastAsia="zh-CN"/>
              </w:rPr>
              <w:t>①值班轮守、重点</w:t>
            </w:r>
            <w:r>
              <w:rPr>
                <w:spacing w:val="1"/>
                <w:highlight w:val="none"/>
                <w:lang w:eastAsia="zh-CN"/>
              </w:rPr>
              <w:t>要害部位监控及防范</w:t>
            </w:r>
            <w:r>
              <w:rPr>
                <w:rFonts w:hint="eastAsia"/>
                <w:spacing w:val="1"/>
                <w:highlight w:val="none"/>
                <w:lang w:eastAsia="zh-CN"/>
              </w:rPr>
              <w:t>：</w:t>
            </w:r>
            <w:r>
              <w:rPr>
                <w:spacing w:val="1"/>
                <w:highlight w:val="none"/>
                <w:lang w:eastAsia="zh-CN"/>
              </w:rPr>
              <w:t>每完全满足一个评审标准得</w:t>
            </w:r>
            <w:r>
              <w:rPr>
                <w:rFonts w:hint="eastAsia"/>
                <w:spacing w:val="-24"/>
                <w:highlight w:val="none"/>
                <w:lang w:eastAsia="zh-CN"/>
              </w:rPr>
              <w:t>0.5</w:t>
            </w:r>
            <w:r>
              <w:rPr>
                <w:spacing w:val="1"/>
                <w:highlight w:val="none"/>
                <w:lang w:eastAsia="zh-CN"/>
              </w:rPr>
              <w:t>分，满</w:t>
            </w:r>
            <w:r>
              <w:rPr>
                <w:spacing w:val="-13"/>
                <w:highlight w:val="none"/>
                <w:lang w:eastAsia="zh-CN"/>
              </w:rPr>
              <w:t>分</w:t>
            </w:r>
            <w:r>
              <w:rPr>
                <w:rFonts w:hint="eastAsia"/>
                <w:spacing w:val="-45"/>
                <w:highlight w:val="none"/>
                <w:lang w:eastAsia="zh-CN"/>
              </w:rPr>
              <w:t>1.5</w:t>
            </w:r>
            <w:r>
              <w:rPr>
                <w:spacing w:val="-13"/>
                <w:highlight w:val="none"/>
                <w:lang w:eastAsia="zh-CN"/>
              </w:rPr>
              <w:t>分</w:t>
            </w:r>
            <w:r>
              <w:rPr>
                <w:rFonts w:hint="eastAsia"/>
                <w:spacing w:val="-13"/>
                <w:highlight w:val="none"/>
                <w:lang w:eastAsia="zh-CN"/>
              </w:rPr>
              <w:t>；</w:t>
            </w:r>
          </w:p>
          <w:p w14:paraId="6FBE2077">
            <w:pPr>
              <w:pStyle w:val="33"/>
              <w:rPr>
                <w:spacing w:val="1"/>
                <w:highlight w:val="none"/>
                <w:lang w:eastAsia="zh-CN"/>
              </w:rPr>
            </w:pPr>
            <w:r>
              <w:rPr>
                <w:spacing w:val="1"/>
                <w:highlight w:val="none"/>
                <w:lang w:eastAsia="zh-CN"/>
              </w:rPr>
              <w:t>②监控及建筑消防的检查、测试及养护</w:t>
            </w:r>
            <w:r>
              <w:rPr>
                <w:rFonts w:hint="eastAsia"/>
                <w:spacing w:val="1"/>
                <w:highlight w:val="none"/>
                <w:lang w:eastAsia="zh-CN"/>
              </w:rPr>
              <w:t>：</w:t>
            </w:r>
            <w:r>
              <w:rPr>
                <w:spacing w:val="1"/>
                <w:highlight w:val="none"/>
                <w:lang w:eastAsia="zh-CN"/>
              </w:rPr>
              <w:t>每完全满足一个评审标准得</w:t>
            </w:r>
            <w:r>
              <w:rPr>
                <w:rFonts w:hint="eastAsia"/>
                <w:spacing w:val="-24"/>
                <w:highlight w:val="none"/>
                <w:lang w:eastAsia="zh-CN"/>
              </w:rPr>
              <w:t>0.5</w:t>
            </w:r>
            <w:r>
              <w:rPr>
                <w:spacing w:val="1"/>
                <w:highlight w:val="none"/>
                <w:lang w:eastAsia="zh-CN"/>
              </w:rPr>
              <w:t>分，满</w:t>
            </w:r>
            <w:r>
              <w:rPr>
                <w:spacing w:val="-13"/>
                <w:highlight w:val="none"/>
                <w:lang w:eastAsia="zh-CN"/>
              </w:rPr>
              <w:t>分</w:t>
            </w:r>
            <w:r>
              <w:rPr>
                <w:rFonts w:hint="eastAsia"/>
                <w:spacing w:val="-45"/>
                <w:highlight w:val="none"/>
                <w:lang w:eastAsia="zh-CN"/>
              </w:rPr>
              <w:t>1.5</w:t>
            </w:r>
            <w:r>
              <w:rPr>
                <w:spacing w:val="-13"/>
                <w:highlight w:val="none"/>
                <w:lang w:eastAsia="zh-CN"/>
              </w:rPr>
              <w:t>分</w:t>
            </w:r>
            <w:r>
              <w:rPr>
                <w:rFonts w:hint="eastAsia"/>
                <w:spacing w:val="-13"/>
                <w:highlight w:val="none"/>
                <w:lang w:eastAsia="zh-CN"/>
              </w:rPr>
              <w:t>；</w:t>
            </w:r>
          </w:p>
          <w:p w14:paraId="4719523A">
            <w:pPr>
              <w:pStyle w:val="33"/>
              <w:rPr>
                <w:b/>
                <w:bCs/>
                <w:spacing w:val="-4"/>
                <w:highlight w:val="none"/>
                <w:lang w:eastAsia="zh-CN"/>
              </w:rPr>
            </w:pPr>
            <w:r>
              <w:rPr>
                <w:spacing w:val="1"/>
                <w:highlight w:val="none"/>
                <w:lang w:eastAsia="zh-CN"/>
              </w:rPr>
              <w:t>③求助、异样情况的跟进及紧急情况的处置</w:t>
            </w:r>
            <w:r>
              <w:rPr>
                <w:rFonts w:hint="eastAsia"/>
                <w:spacing w:val="1"/>
                <w:highlight w:val="none"/>
                <w:lang w:eastAsia="zh-CN"/>
              </w:rPr>
              <w:t>：</w:t>
            </w:r>
            <w:r>
              <w:rPr>
                <w:spacing w:val="1"/>
                <w:highlight w:val="none"/>
                <w:lang w:eastAsia="zh-CN"/>
              </w:rPr>
              <w:t>每完全满足一个评审标准得</w:t>
            </w:r>
            <w:r>
              <w:rPr>
                <w:rFonts w:hint="eastAsia"/>
                <w:spacing w:val="-24"/>
                <w:highlight w:val="none"/>
                <w:lang w:eastAsia="zh-CN"/>
              </w:rPr>
              <w:t>0.5</w:t>
            </w:r>
            <w:r>
              <w:rPr>
                <w:spacing w:val="1"/>
                <w:highlight w:val="none"/>
                <w:lang w:eastAsia="zh-CN"/>
              </w:rPr>
              <w:t>分，满</w:t>
            </w:r>
            <w:r>
              <w:rPr>
                <w:spacing w:val="-13"/>
                <w:highlight w:val="none"/>
                <w:lang w:eastAsia="zh-CN"/>
              </w:rPr>
              <w:t>分</w:t>
            </w:r>
            <w:r>
              <w:rPr>
                <w:rFonts w:hint="eastAsia"/>
                <w:spacing w:val="-45"/>
                <w:highlight w:val="none"/>
                <w:lang w:eastAsia="zh-CN"/>
              </w:rPr>
              <w:t>1.5</w:t>
            </w:r>
            <w:r>
              <w:rPr>
                <w:spacing w:val="-13"/>
                <w:highlight w:val="none"/>
                <w:lang w:eastAsia="zh-CN"/>
              </w:rPr>
              <w:t>分</w:t>
            </w:r>
            <w:r>
              <w:rPr>
                <w:rFonts w:hint="eastAsia"/>
                <w:spacing w:val="-13"/>
                <w:highlight w:val="none"/>
                <w:lang w:eastAsia="zh-CN"/>
              </w:rPr>
              <w:t>。</w:t>
            </w:r>
          </w:p>
        </w:tc>
      </w:tr>
      <w:tr w14:paraId="089E32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jc w:val="center"/>
        </w:trPr>
        <w:tc>
          <w:tcPr>
            <w:tcW w:w="554" w:type="dxa"/>
            <w:vAlign w:val="center"/>
          </w:tcPr>
          <w:p w14:paraId="082225BC">
            <w:pPr>
              <w:pStyle w:val="33"/>
              <w:jc w:val="center"/>
              <w:rPr>
                <w:spacing w:val="-8"/>
                <w:highlight w:val="none"/>
              </w:rPr>
            </w:pPr>
            <w:r>
              <w:rPr>
                <w:spacing w:val="-7"/>
                <w:highlight w:val="none"/>
                <w:lang w:eastAsia="zh-CN"/>
              </w:rPr>
              <w:t>建筑</w:t>
            </w:r>
            <w:r>
              <w:rPr>
                <w:spacing w:val="26"/>
                <w:highlight w:val="none"/>
                <w:lang w:eastAsia="zh-CN"/>
              </w:rPr>
              <w:t>日</w:t>
            </w:r>
            <w:r>
              <w:rPr>
                <w:spacing w:val="-14"/>
                <w:highlight w:val="none"/>
                <w:lang w:eastAsia="zh-CN"/>
              </w:rPr>
              <w:t>常养</w:t>
            </w:r>
            <w:r>
              <w:rPr>
                <w:spacing w:val="-7"/>
                <w:highlight w:val="none"/>
                <w:lang w:eastAsia="zh-CN"/>
              </w:rPr>
              <w:t>护维修及设施</w:t>
            </w:r>
            <w:r>
              <w:rPr>
                <w:spacing w:val="-7"/>
                <w:highlight w:val="none"/>
              </w:rPr>
              <w:t>设备</w:t>
            </w:r>
            <w:r>
              <w:rPr>
                <w:spacing w:val="-10"/>
                <w:highlight w:val="none"/>
              </w:rPr>
              <w:t>维修方案</w:t>
            </w:r>
          </w:p>
        </w:tc>
        <w:tc>
          <w:tcPr>
            <w:tcW w:w="898" w:type="dxa"/>
            <w:vAlign w:val="center"/>
          </w:tcPr>
          <w:p w14:paraId="187814AA">
            <w:pPr>
              <w:pStyle w:val="33"/>
              <w:jc w:val="center"/>
              <w:rPr>
                <w:spacing w:val="-2"/>
                <w:highlight w:val="none"/>
              </w:rPr>
            </w:pPr>
            <w:r>
              <w:rPr>
                <w:highlight w:val="none"/>
              </w:rPr>
              <w:t>6</w:t>
            </w:r>
          </w:p>
        </w:tc>
        <w:tc>
          <w:tcPr>
            <w:tcW w:w="7393" w:type="dxa"/>
          </w:tcPr>
          <w:p w14:paraId="4CF8B79E">
            <w:pPr>
              <w:pStyle w:val="33"/>
              <w:rPr>
                <w:highlight w:val="none"/>
                <w:lang w:eastAsia="zh-CN"/>
              </w:rPr>
            </w:pPr>
            <w:r>
              <w:rPr>
                <w:b/>
                <w:bCs/>
                <w:spacing w:val="-3"/>
                <w:highlight w:val="none"/>
                <w:lang w:eastAsia="zh-CN"/>
              </w:rPr>
              <w:t>一、评审内容</w:t>
            </w:r>
          </w:p>
          <w:p w14:paraId="18112E13">
            <w:pPr>
              <w:pStyle w:val="33"/>
              <w:rPr>
                <w:highlight w:val="none"/>
                <w:lang w:eastAsia="zh-CN"/>
              </w:rPr>
            </w:pPr>
            <w:r>
              <w:rPr>
                <w:spacing w:val="3"/>
                <w:highlight w:val="none"/>
                <w:lang w:eastAsia="zh-CN"/>
              </w:rPr>
              <w:t>针对本项目提供建筑物日常养护维修及设施</w:t>
            </w:r>
            <w:r>
              <w:rPr>
                <w:spacing w:val="2"/>
                <w:highlight w:val="none"/>
                <w:lang w:eastAsia="zh-CN"/>
              </w:rPr>
              <w:t>设备维修方案，内容包</w:t>
            </w:r>
            <w:r>
              <w:rPr>
                <w:spacing w:val="1"/>
                <w:highlight w:val="none"/>
                <w:lang w:eastAsia="zh-CN"/>
              </w:rPr>
              <w:t>含</w:t>
            </w:r>
            <w:r>
              <w:rPr>
                <w:rFonts w:hint="eastAsia"/>
                <w:spacing w:val="1"/>
                <w:highlight w:val="none"/>
                <w:lang w:eastAsia="zh-CN"/>
              </w:rPr>
              <w:t>：</w:t>
            </w:r>
            <w:r>
              <w:rPr>
                <w:spacing w:val="1"/>
                <w:highlight w:val="none"/>
                <w:lang w:eastAsia="zh-CN"/>
              </w:rPr>
              <w:t>①日常养护方案②日常维修方案。</w:t>
            </w:r>
          </w:p>
          <w:p w14:paraId="1ED637A2">
            <w:pPr>
              <w:pStyle w:val="33"/>
              <w:rPr>
                <w:highlight w:val="none"/>
                <w:lang w:eastAsia="zh-CN"/>
              </w:rPr>
            </w:pPr>
            <w:r>
              <w:rPr>
                <w:b/>
                <w:bCs/>
                <w:spacing w:val="-3"/>
                <w:highlight w:val="none"/>
                <w:lang w:eastAsia="zh-CN"/>
              </w:rPr>
              <w:t>二、评审标准</w:t>
            </w:r>
          </w:p>
          <w:p w14:paraId="5C692E49">
            <w:pPr>
              <w:pStyle w:val="33"/>
              <w:rPr>
                <w:highlight w:val="none"/>
                <w:lang w:eastAsia="zh-CN"/>
              </w:rPr>
            </w:pPr>
            <w:r>
              <w:rPr>
                <w:spacing w:val="2"/>
                <w:highlight w:val="none"/>
                <w:lang w:eastAsia="zh-CN"/>
              </w:rPr>
              <w:t>1、完整性：方案须全面，对评审内容中的各项要求有详细描述；</w:t>
            </w:r>
          </w:p>
          <w:p w14:paraId="79A868A2">
            <w:pPr>
              <w:pStyle w:val="33"/>
              <w:rPr>
                <w:highlight w:val="none"/>
                <w:lang w:eastAsia="zh-CN"/>
              </w:rPr>
            </w:pPr>
            <w:r>
              <w:rPr>
                <w:spacing w:val="2"/>
                <w:highlight w:val="none"/>
                <w:lang w:eastAsia="zh-CN"/>
              </w:rPr>
              <w:t>2、可实施性：切合本项目实际情况，实施步骤清晰、合理；</w:t>
            </w:r>
          </w:p>
          <w:p w14:paraId="32A834DE">
            <w:pPr>
              <w:pStyle w:val="33"/>
              <w:rPr>
                <w:highlight w:val="none"/>
                <w:lang w:eastAsia="zh-CN"/>
              </w:rPr>
            </w:pPr>
            <w:r>
              <w:rPr>
                <w:highlight w:val="none"/>
                <w:lang w:eastAsia="zh-CN"/>
              </w:rPr>
              <w:t>3、针对性：方案能够紧扣项目实际情况，内容科学合理。</w:t>
            </w:r>
          </w:p>
          <w:p w14:paraId="2C1D3B6A">
            <w:pPr>
              <w:pStyle w:val="33"/>
              <w:rPr>
                <w:highlight w:val="none"/>
                <w:lang w:eastAsia="zh-CN"/>
              </w:rPr>
            </w:pPr>
            <w:r>
              <w:rPr>
                <w:b/>
                <w:bCs/>
                <w:spacing w:val="-4"/>
                <w:highlight w:val="none"/>
                <w:lang w:eastAsia="zh-CN"/>
              </w:rPr>
              <w:t>三、赋分标准（满分6分）</w:t>
            </w:r>
          </w:p>
          <w:p w14:paraId="448E3F69">
            <w:pPr>
              <w:pStyle w:val="33"/>
              <w:rPr>
                <w:highlight w:val="none"/>
                <w:lang w:eastAsia="zh-CN"/>
              </w:rPr>
            </w:pPr>
            <w:r>
              <w:rPr>
                <w:spacing w:val="-7"/>
                <w:highlight w:val="none"/>
                <w:lang w:eastAsia="zh-CN"/>
              </w:rPr>
              <w:t>①日常养护方案：每完全满足一项评审标准得1分，满分3分；</w:t>
            </w:r>
          </w:p>
          <w:p w14:paraId="2653AFB0">
            <w:pPr>
              <w:pStyle w:val="33"/>
              <w:rPr>
                <w:spacing w:val="-1"/>
                <w:highlight w:val="none"/>
                <w:lang w:eastAsia="zh-CN"/>
              </w:rPr>
            </w:pPr>
            <w:r>
              <w:rPr>
                <w:spacing w:val="-7"/>
                <w:highlight w:val="none"/>
                <w:lang w:eastAsia="zh-CN"/>
              </w:rPr>
              <w:t>②日常维修方案：每完全满足一项评审标准得1分，满分3分。</w:t>
            </w:r>
          </w:p>
        </w:tc>
      </w:tr>
      <w:tr w14:paraId="37927A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jc w:val="center"/>
        </w:trPr>
        <w:tc>
          <w:tcPr>
            <w:tcW w:w="554" w:type="dxa"/>
            <w:vAlign w:val="center"/>
          </w:tcPr>
          <w:p w14:paraId="3035A320">
            <w:pPr>
              <w:pStyle w:val="33"/>
              <w:jc w:val="center"/>
              <w:rPr>
                <w:spacing w:val="-8"/>
                <w:highlight w:val="none"/>
              </w:rPr>
            </w:pPr>
            <w:r>
              <w:rPr>
                <w:spacing w:val="-9"/>
                <w:highlight w:val="none"/>
              </w:rPr>
              <w:t>绿化</w:t>
            </w:r>
            <w:r>
              <w:rPr>
                <w:spacing w:val="-10"/>
                <w:highlight w:val="none"/>
              </w:rPr>
              <w:t>管理方案</w:t>
            </w:r>
          </w:p>
        </w:tc>
        <w:tc>
          <w:tcPr>
            <w:tcW w:w="898" w:type="dxa"/>
            <w:vAlign w:val="center"/>
          </w:tcPr>
          <w:p w14:paraId="1269791C">
            <w:pPr>
              <w:pStyle w:val="33"/>
              <w:jc w:val="center"/>
              <w:rPr>
                <w:spacing w:val="-2"/>
                <w:highlight w:val="none"/>
              </w:rPr>
            </w:pPr>
            <w:r>
              <w:rPr>
                <w:highlight w:val="none"/>
              </w:rPr>
              <w:t>6</w:t>
            </w:r>
          </w:p>
        </w:tc>
        <w:tc>
          <w:tcPr>
            <w:tcW w:w="7393" w:type="dxa"/>
          </w:tcPr>
          <w:p w14:paraId="169C4323">
            <w:pPr>
              <w:pStyle w:val="33"/>
              <w:rPr>
                <w:highlight w:val="none"/>
                <w:lang w:eastAsia="zh-CN"/>
              </w:rPr>
            </w:pPr>
            <w:r>
              <w:rPr>
                <w:b/>
                <w:bCs/>
                <w:spacing w:val="-3"/>
                <w:highlight w:val="none"/>
                <w:lang w:eastAsia="zh-CN"/>
              </w:rPr>
              <w:t>一、评审内容</w:t>
            </w:r>
          </w:p>
          <w:p w14:paraId="6370EB0E">
            <w:pPr>
              <w:pStyle w:val="33"/>
              <w:rPr>
                <w:highlight w:val="none"/>
                <w:lang w:eastAsia="zh-CN"/>
              </w:rPr>
            </w:pPr>
            <w:r>
              <w:rPr>
                <w:spacing w:val="3"/>
                <w:highlight w:val="none"/>
                <w:lang w:eastAsia="zh-CN"/>
              </w:rPr>
              <w:t>针对本项目提出适用于本项目的绿化管理方</w:t>
            </w:r>
            <w:r>
              <w:rPr>
                <w:spacing w:val="2"/>
                <w:highlight w:val="none"/>
                <w:lang w:eastAsia="zh-CN"/>
              </w:rPr>
              <w:t>案，方案包含：①植物日常养护方案②植物修剪、施肥方案③病虫害防治方案④枯死的花</w:t>
            </w:r>
            <w:r>
              <w:rPr>
                <w:spacing w:val="1"/>
                <w:highlight w:val="none"/>
                <w:lang w:eastAsia="zh-CN"/>
              </w:rPr>
              <w:t>草树木清理及补栽补种方案。</w:t>
            </w:r>
          </w:p>
          <w:p w14:paraId="4140BB19">
            <w:pPr>
              <w:pStyle w:val="33"/>
              <w:rPr>
                <w:highlight w:val="none"/>
                <w:lang w:eastAsia="zh-CN"/>
              </w:rPr>
            </w:pPr>
            <w:r>
              <w:rPr>
                <w:b/>
                <w:bCs/>
                <w:spacing w:val="-3"/>
                <w:highlight w:val="none"/>
                <w:lang w:eastAsia="zh-CN"/>
              </w:rPr>
              <w:t>二、评审标准</w:t>
            </w:r>
          </w:p>
          <w:p w14:paraId="7513444B">
            <w:pPr>
              <w:pStyle w:val="33"/>
              <w:rPr>
                <w:highlight w:val="none"/>
                <w:lang w:eastAsia="zh-CN"/>
              </w:rPr>
            </w:pPr>
            <w:r>
              <w:rPr>
                <w:spacing w:val="2"/>
                <w:highlight w:val="none"/>
                <w:lang w:eastAsia="zh-CN"/>
              </w:rPr>
              <w:t>1、完整性：方案必须全面，对评审内容中的各项要求有详细描述；</w:t>
            </w:r>
          </w:p>
          <w:p w14:paraId="0973E6B0">
            <w:pPr>
              <w:pStyle w:val="33"/>
              <w:rPr>
                <w:highlight w:val="none"/>
                <w:lang w:eastAsia="zh-CN"/>
              </w:rPr>
            </w:pPr>
            <w:r>
              <w:rPr>
                <w:spacing w:val="3"/>
                <w:highlight w:val="none"/>
                <w:lang w:eastAsia="zh-CN"/>
              </w:rPr>
              <w:t>2、可实施性：切合本项目实际情况，</w:t>
            </w:r>
            <w:r>
              <w:rPr>
                <w:spacing w:val="2"/>
                <w:highlight w:val="none"/>
                <w:lang w:eastAsia="zh-CN"/>
              </w:rPr>
              <w:t>实施步骤清晰、合理；</w:t>
            </w:r>
          </w:p>
          <w:p w14:paraId="41035745">
            <w:pPr>
              <w:pStyle w:val="33"/>
              <w:rPr>
                <w:highlight w:val="none"/>
                <w:lang w:eastAsia="zh-CN"/>
              </w:rPr>
            </w:pPr>
            <w:r>
              <w:rPr>
                <w:highlight w:val="none"/>
                <w:lang w:eastAsia="zh-CN"/>
              </w:rPr>
              <w:t>3、针对性：方案能够紧扣项目实际情况，内容科学合理。</w:t>
            </w:r>
          </w:p>
          <w:p w14:paraId="0A0E4CBB">
            <w:pPr>
              <w:pStyle w:val="33"/>
              <w:rPr>
                <w:highlight w:val="none"/>
                <w:lang w:eastAsia="zh-CN"/>
              </w:rPr>
            </w:pPr>
            <w:r>
              <w:rPr>
                <w:b/>
                <w:bCs/>
                <w:spacing w:val="-4"/>
                <w:highlight w:val="none"/>
                <w:lang w:eastAsia="zh-CN"/>
              </w:rPr>
              <w:t>三、赋分标准（满分6分）</w:t>
            </w:r>
          </w:p>
          <w:p w14:paraId="2CF394CA">
            <w:pPr>
              <w:pStyle w:val="33"/>
              <w:rPr>
                <w:highlight w:val="none"/>
                <w:lang w:eastAsia="zh-CN"/>
              </w:rPr>
            </w:pPr>
            <w:r>
              <w:rPr>
                <w:spacing w:val="-1"/>
                <w:highlight w:val="none"/>
                <w:lang w:eastAsia="zh-CN"/>
              </w:rPr>
              <w:t>①植物日常养护方案：每完全满足一个评审标</w:t>
            </w:r>
            <w:r>
              <w:rPr>
                <w:spacing w:val="-2"/>
                <w:highlight w:val="none"/>
                <w:lang w:eastAsia="zh-CN"/>
              </w:rPr>
              <w:t>准得0.5分，满分1.5</w:t>
            </w:r>
            <w:r>
              <w:rPr>
                <w:spacing w:val="-10"/>
                <w:highlight w:val="none"/>
                <w:lang w:eastAsia="zh-CN"/>
              </w:rPr>
              <w:t>分；</w:t>
            </w:r>
          </w:p>
          <w:p w14:paraId="1BA79659">
            <w:pPr>
              <w:pStyle w:val="33"/>
              <w:rPr>
                <w:highlight w:val="none"/>
                <w:lang w:eastAsia="zh-CN"/>
              </w:rPr>
            </w:pPr>
            <w:r>
              <w:rPr>
                <w:spacing w:val="5"/>
                <w:highlight w:val="none"/>
                <w:lang w:eastAsia="zh-CN"/>
              </w:rPr>
              <w:t>②植物修剪、施肥方案:每完全满足一个评审标</w:t>
            </w:r>
            <w:r>
              <w:rPr>
                <w:spacing w:val="4"/>
                <w:highlight w:val="none"/>
                <w:lang w:eastAsia="zh-CN"/>
              </w:rPr>
              <w:t>准得0.5分，满分</w:t>
            </w:r>
            <w:r>
              <w:rPr>
                <w:spacing w:val="-9"/>
                <w:highlight w:val="none"/>
                <w:lang w:eastAsia="zh-CN"/>
              </w:rPr>
              <w:t>1.5分；</w:t>
            </w:r>
          </w:p>
          <w:p w14:paraId="0D2ECFDE">
            <w:pPr>
              <w:pStyle w:val="33"/>
              <w:rPr>
                <w:highlight w:val="none"/>
                <w:lang w:eastAsia="zh-CN"/>
              </w:rPr>
            </w:pPr>
            <w:r>
              <w:rPr>
                <w:spacing w:val="-3"/>
                <w:highlight w:val="none"/>
                <w:lang w:eastAsia="zh-CN"/>
              </w:rPr>
              <w:t>③病虫害防治方案:每完全满足一个评审标准得0.5分，满分</w:t>
            </w:r>
            <w:r>
              <w:rPr>
                <w:spacing w:val="-4"/>
                <w:highlight w:val="none"/>
                <w:lang w:eastAsia="zh-CN"/>
              </w:rPr>
              <w:t>1.5分；</w:t>
            </w:r>
          </w:p>
          <w:p w14:paraId="71017122">
            <w:pPr>
              <w:pStyle w:val="33"/>
              <w:rPr>
                <w:spacing w:val="-1"/>
                <w:highlight w:val="none"/>
                <w:lang w:eastAsia="zh-CN"/>
              </w:rPr>
            </w:pPr>
            <w:r>
              <w:rPr>
                <w:spacing w:val="3"/>
                <w:highlight w:val="none"/>
                <w:lang w:eastAsia="zh-CN"/>
              </w:rPr>
              <w:t>④枯死的花草树木清理及补栽补种方案:每完全满足一个评审</w:t>
            </w:r>
            <w:r>
              <w:rPr>
                <w:spacing w:val="2"/>
                <w:highlight w:val="none"/>
                <w:lang w:eastAsia="zh-CN"/>
              </w:rPr>
              <w:t>标准</w:t>
            </w:r>
            <w:r>
              <w:rPr>
                <w:spacing w:val="-6"/>
                <w:highlight w:val="none"/>
                <w:lang w:eastAsia="zh-CN"/>
              </w:rPr>
              <w:t>得0.5分，满分1.5分。</w:t>
            </w:r>
          </w:p>
        </w:tc>
      </w:tr>
      <w:tr w14:paraId="48AD7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7" w:hRule="atLeast"/>
          <w:jc w:val="center"/>
        </w:trPr>
        <w:tc>
          <w:tcPr>
            <w:tcW w:w="554" w:type="dxa"/>
            <w:vAlign w:val="center"/>
          </w:tcPr>
          <w:p w14:paraId="541D1463">
            <w:pPr>
              <w:pStyle w:val="33"/>
              <w:jc w:val="center"/>
              <w:rPr>
                <w:spacing w:val="-8"/>
                <w:highlight w:val="none"/>
              </w:rPr>
            </w:pPr>
            <w:r>
              <w:rPr>
                <w:spacing w:val="-7"/>
                <w:highlight w:val="none"/>
              </w:rPr>
              <w:t>机构建设方案</w:t>
            </w:r>
          </w:p>
        </w:tc>
        <w:tc>
          <w:tcPr>
            <w:tcW w:w="898" w:type="dxa"/>
            <w:vAlign w:val="center"/>
          </w:tcPr>
          <w:p w14:paraId="5F9E26D6">
            <w:pPr>
              <w:pStyle w:val="33"/>
              <w:jc w:val="center"/>
              <w:rPr>
                <w:spacing w:val="-2"/>
                <w:highlight w:val="none"/>
                <w:lang w:eastAsia="zh-CN"/>
              </w:rPr>
            </w:pPr>
            <w:r>
              <w:rPr>
                <w:rFonts w:hint="eastAsia"/>
                <w:position w:val="1"/>
                <w:highlight w:val="none"/>
                <w:lang w:eastAsia="zh-CN"/>
              </w:rPr>
              <w:t>3</w:t>
            </w:r>
          </w:p>
        </w:tc>
        <w:tc>
          <w:tcPr>
            <w:tcW w:w="7393" w:type="dxa"/>
          </w:tcPr>
          <w:p w14:paraId="2A6FAAB6">
            <w:pPr>
              <w:pStyle w:val="33"/>
              <w:rPr>
                <w:highlight w:val="none"/>
                <w:lang w:eastAsia="zh-CN"/>
              </w:rPr>
            </w:pPr>
            <w:r>
              <w:rPr>
                <w:b/>
                <w:bCs/>
                <w:spacing w:val="-3"/>
                <w:highlight w:val="none"/>
                <w:lang w:eastAsia="zh-CN"/>
              </w:rPr>
              <w:t>一、评审内容</w:t>
            </w:r>
          </w:p>
          <w:p w14:paraId="23A90BDE">
            <w:pPr>
              <w:pStyle w:val="33"/>
              <w:rPr>
                <w:highlight w:val="none"/>
                <w:lang w:eastAsia="zh-CN"/>
              </w:rPr>
            </w:pPr>
            <w:r>
              <w:rPr>
                <w:spacing w:val="3"/>
                <w:highlight w:val="none"/>
                <w:lang w:eastAsia="zh-CN"/>
              </w:rPr>
              <w:t>根据本项目特点提供机构建设方案，方案包含</w:t>
            </w:r>
            <w:r>
              <w:rPr>
                <w:spacing w:val="2"/>
                <w:highlight w:val="none"/>
                <w:lang w:eastAsia="zh-CN"/>
              </w:rPr>
              <w:t>：①组织机构运行配备方案②专业服务团队人员的职能分工方案。</w:t>
            </w:r>
          </w:p>
          <w:p w14:paraId="35D94F3E">
            <w:pPr>
              <w:pStyle w:val="33"/>
              <w:rPr>
                <w:highlight w:val="none"/>
                <w:lang w:eastAsia="zh-CN"/>
              </w:rPr>
            </w:pPr>
            <w:r>
              <w:rPr>
                <w:b/>
                <w:bCs/>
                <w:spacing w:val="-3"/>
                <w:highlight w:val="none"/>
                <w:lang w:eastAsia="zh-CN"/>
              </w:rPr>
              <w:t>二、评审标准</w:t>
            </w:r>
          </w:p>
          <w:p w14:paraId="4AB1676E">
            <w:pPr>
              <w:pStyle w:val="33"/>
              <w:rPr>
                <w:highlight w:val="none"/>
                <w:lang w:eastAsia="zh-CN"/>
              </w:rPr>
            </w:pPr>
            <w:r>
              <w:rPr>
                <w:spacing w:val="2"/>
                <w:highlight w:val="none"/>
                <w:lang w:eastAsia="zh-CN"/>
              </w:rPr>
              <w:t>1、完整性：方案必须全面，对评审内容中的各项要求有详细描述；</w:t>
            </w:r>
          </w:p>
          <w:p w14:paraId="4B5A3E36">
            <w:pPr>
              <w:pStyle w:val="33"/>
              <w:rPr>
                <w:highlight w:val="none"/>
                <w:lang w:eastAsia="zh-CN"/>
              </w:rPr>
            </w:pPr>
            <w:r>
              <w:rPr>
                <w:spacing w:val="3"/>
                <w:highlight w:val="none"/>
                <w:lang w:eastAsia="zh-CN"/>
              </w:rPr>
              <w:t>2、可实施性：切合本项目实际情况，</w:t>
            </w:r>
            <w:r>
              <w:rPr>
                <w:spacing w:val="2"/>
                <w:highlight w:val="none"/>
                <w:lang w:eastAsia="zh-CN"/>
              </w:rPr>
              <w:t>实施步骤清晰、合理；</w:t>
            </w:r>
          </w:p>
          <w:p w14:paraId="400AD5DC">
            <w:pPr>
              <w:pStyle w:val="33"/>
              <w:rPr>
                <w:highlight w:val="none"/>
                <w:lang w:eastAsia="zh-CN"/>
              </w:rPr>
            </w:pPr>
            <w:r>
              <w:rPr>
                <w:highlight w:val="none"/>
                <w:lang w:eastAsia="zh-CN"/>
              </w:rPr>
              <w:t>3、针对性：方案能够紧扣项目实际情况，内容科学合理。</w:t>
            </w:r>
          </w:p>
          <w:p w14:paraId="4B36F116">
            <w:pPr>
              <w:pStyle w:val="33"/>
              <w:rPr>
                <w:highlight w:val="none"/>
                <w:lang w:eastAsia="zh-CN"/>
              </w:rPr>
            </w:pPr>
            <w:r>
              <w:rPr>
                <w:b/>
                <w:bCs/>
                <w:spacing w:val="-4"/>
                <w:highlight w:val="none"/>
                <w:lang w:eastAsia="zh-CN"/>
              </w:rPr>
              <w:t>三、赋分标准（满分</w:t>
            </w:r>
            <w:r>
              <w:rPr>
                <w:rFonts w:hint="eastAsia"/>
                <w:b/>
                <w:bCs/>
                <w:spacing w:val="-4"/>
                <w:highlight w:val="none"/>
                <w:lang w:eastAsia="zh-CN"/>
              </w:rPr>
              <w:t>3</w:t>
            </w:r>
            <w:r>
              <w:rPr>
                <w:b/>
                <w:bCs/>
                <w:spacing w:val="-4"/>
                <w:highlight w:val="none"/>
                <w:lang w:eastAsia="zh-CN"/>
              </w:rPr>
              <w:t>分）</w:t>
            </w:r>
          </w:p>
          <w:p w14:paraId="6F8400D5">
            <w:pPr>
              <w:pStyle w:val="33"/>
              <w:rPr>
                <w:highlight w:val="none"/>
                <w:lang w:eastAsia="zh-CN"/>
              </w:rPr>
            </w:pPr>
            <w:r>
              <w:rPr>
                <w:spacing w:val="-2"/>
                <w:highlight w:val="none"/>
                <w:lang w:eastAsia="zh-CN"/>
              </w:rPr>
              <w:t>①组织机构运行配备方案：每完全满足一个评审标准得0.5分，满分1.5</w:t>
            </w:r>
            <w:r>
              <w:rPr>
                <w:spacing w:val="-10"/>
                <w:highlight w:val="none"/>
                <w:lang w:eastAsia="zh-CN"/>
              </w:rPr>
              <w:t>分；</w:t>
            </w:r>
          </w:p>
          <w:p w14:paraId="3B1A5A22">
            <w:pPr>
              <w:pStyle w:val="33"/>
              <w:rPr>
                <w:spacing w:val="-1"/>
                <w:highlight w:val="none"/>
                <w:lang w:eastAsia="zh-CN"/>
              </w:rPr>
            </w:pPr>
            <w:r>
              <w:rPr>
                <w:spacing w:val="2"/>
                <w:highlight w:val="none"/>
                <w:lang w:eastAsia="zh-CN"/>
              </w:rPr>
              <w:t>②专业服务团队人员的职能分工方案:每完全满足一个评审标准</w:t>
            </w:r>
            <w:r>
              <w:rPr>
                <w:spacing w:val="-2"/>
                <w:highlight w:val="none"/>
                <w:lang w:eastAsia="zh-CN"/>
              </w:rPr>
              <w:t>得0.5分，满分1.5</w:t>
            </w:r>
            <w:r>
              <w:rPr>
                <w:spacing w:val="-10"/>
                <w:highlight w:val="none"/>
                <w:lang w:eastAsia="zh-CN"/>
              </w:rPr>
              <w:t>分</w:t>
            </w:r>
            <w:r>
              <w:rPr>
                <w:spacing w:val="-6"/>
                <w:highlight w:val="none"/>
                <w:lang w:eastAsia="zh-CN"/>
              </w:rPr>
              <w:t>。</w:t>
            </w:r>
          </w:p>
        </w:tc>
      </w:tr>
      <w:tr w14:paraId="150E02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jc w:val="center"/>
        </w:trPr>
        <w:tc>
          <w:tcPr>
            <w:tcW w:w="554" w:type="dxa"/>
            <w:vAlign w:val="center"/>
          </w:tcPr>
          <w:p w14:paraId="5F30C016">
            <w:pPr>
              <w:pStyle w:val="33"/>
              <w:jc w:val="center"/>
              <w:rPr>
                <w:spacing w:val="-8"/>
                <w:highlight w:val="none"/>
              </w:rPr>
            </w:pPr>
            <w:r>
              <w:rPr>
                <w:spacing w:val="-14"/>
                <w:highlight w:val="none"/>
              </w:rPr>
              <w:t>管理</w:t>
            </w:r>
            <w:r>
              <w:rPr>
                <w:spacing w:val="-8"/>
                <w:highlight w:val="none"/>
              </w:rPr>
              <w:t>制度</w:t>
            </w:r>
          </w:p>
        </w:tc>
        <w:tc>
          <w:tcPr>
            <w:tcW w:w="898" w:type="dxa"/>
            <w:vAlign w:val="center"/>
          </w:tcPr>
          <w:p w14:paraId="2003BA60">
            <w:pPr>
              <w:pStyle w:val="33"/>
              <w:jc w:val="center"/>
              <w:rPr>
                <w:spacing w:val="-2"/>
                <w:highlight w:val="none"/>
              </w:rPr>
            </w:pPr>
            <w:r>
              <w:rPr>
                <w:spacing w:val="-2"/>
                <w:highlight w:val="none"/>
              </w:rPr>
              <w:t>4.5</w:t>
            </w:r>
          </w:p>
        </w:tc>
        <w:tc>
          <w:tcPr>
            <w:tcW w:w="7393" w:type="dxa"/>
          </w:tcPr>
          <w:p w14:paraId="2E31D2F6">
            <w:pPr>
              <w:pStyle w:val="33"/>
              <w:rPr>
                <w:highlight w:val="none"/>
                <w:lang w:eastAsia="zh-CN"/>
              </w:rPr>
            </w:pPr>
            <w:r>
              <w:rPr>
                <w:b/>
                <w:bCs/>
                <w:spacing w:val="-3"/>
                <w:highlight w:val="none"/>
                <w:lang w:eastAsia="zh-CN"/>
              </w:rPr>
              <w:t>一、评审内容</w:t>
            </w:r>
          </w:p>
          <w:p w14:paraId="7720507C">
            <w:pPr>
              <w:pStyle w:val="33"/>
              <w:rPr>
                <w:highlight w:val="none"/>
                <w:lang w:eastAsia="zh-CN"/>
              </w:rPr>
            </w:pPr>
            <w:r>
              <w:rPr>
                <w:spacing w:val="2"/>
                <w:highlight w:val="none"/>
                <w:lang w:eastAsia="zh-CN"/>
              </w:rPr>
              <w:t>供应商针对本项目具有良好的管理制度，方案包含：①岗位职责：</w:t>
            </w:r>
            <w:r>
              <w:rPr>
                <w:spacing w:val="3"/>
                <w:highlight w:val="none"/>
                <w:lang w:eastAsia="zh-CN"/>
              </w:rPr>
              <w:t>具有岗位工作标准、服务质量标准、现场质量控</w:t>
            </w:r>
            <w:r>
              <w:rPr>
                <w:spacing w:val="2"/>
                <w:highlight w:val="none"/>
                <w:lang w:eastAsia="zh-CN"/>
              </w:rPr>
              <w:t>制体系②内</w:t>
            </w:r>
            <w:r>
              <w:rPr>
                <w:highlight w:val="none"/>
                <w:lang w:eastAsia="zh-CN"/>
              </w:rPr>
              <w:t>控制度：具有保密制度、问责机制、监督机制、自</w:t>
            </w:r>
            <w:r>
              <w:rPr>
                <w:spacing w:val="2"/>
                <w:highlight w:val="none"/>
                <w:lang w:eastAsia="zh-CN"/>
              </w:rPr>
              <w:t>查制度③人员管理制度;具有员工日常管理办法、请销假制度、奖惩措施、激励机制、仪容仪表制度。</w:t>
            </w:r>
          </w:p>
          <w:p w14:paraId="0D008979">
            <w:pPr>
              <w:pStyle w:val="33"/>
              <w:rPr>
                <w:highlight w:val="none"/>
                <w:lang w:eastAsia="zh-CN"/>
              </w:rPr>
            </w:pPr>
            <w:r>
              <w:rPr>
                <w:b/>
                <w:bCs/>
                <w:spacing w:val="-3"/>
                <w:highlight w:val="none"/>
                <w:lang w:eastAsia="zh-CN"/>
              </w:rPr>
              <w:t>二、评审标准</w:t>
            </w:r>
          </w:p>
          <w:p w14:paraId="58270432">
            <w:pPr>
              <w:pStyle w:val="33"/>
              <w:rPr>
                <w:highlight w:val="none"/>
                <w:lang w:eastAsia="zh-CN"/>
              </w:rPr>
            </w:pPr>
            <w:r>
              <w:rPr>
                <w:spacing w:val="2"/>
                <w:highlight w:val="none"/>
                <w:lang w:eastAsia="zh-CN"/>
              </w:rPr>
              <w:t>1、完整性：方案须全面，对评审内容中的各项要求有详细描述；</w:t>
            </w:r>
          </w:p>
          <w:p w14:paraId="510965CB">
            <w:pPr>
              <w:pStyle w:val="33"/>
              <w:rPr>
                <w:highlight w:val="none"/>
                <w:lang w:eastAsia="zh-CN"/>
              </w:rPr>
            </w:pPr>
            <w:r>
              <w:rPr>
                <w:spacing w:val="2"/>
                <w:highlight w:val="none"/>
                <w:lang w:eastAsia="zh-CN"/>
              </w:rPr>
              <w:t>2、可实施性：切合本项目实际情况，实施步骤清晰、合理；</w:t>
            </w:r>
          </w:p>
          <w:p w14:paraId="09A3A2AC">
            <w:pPr>
              <w:pStyle w:val="33"/>
              <w:rPr>
                <w:highlight w:val="none"/>
                <w:lang w:eastAsia="zh-CN"/>
              </w:rPr>
            </w:pPr>
            <w:r>
              <w:rPr>
                <w:spacing w:val="2"/>
                <w:highlight w:val="none"/>
                <w:lang w:eastAsia="zh-CN"/>
              </w:rPr>
              <w:t>3、针对性：方案能够紧扣项目实际情况，内容科学合理。</w:t>
            </w:r>
          </w:p>
          <w:p w14:paraId="147B831E">
            <w:pPr>
              <w:pStyle w:val="33"/>
              <w:rPr>
                <w:highlight w:val="none"/>
                <w:lang w:eastAsia="zh-CN"/>
              </w:rPr>
            </w:pPr>
            <w:r>
              <w:rPr>
                <w:b/>
                <w:bCs/>
                <w:spacing w:val="-4"/>
                <w:highlight w:val="none"/>
                <w:lang w:eastAsia="zh-CN"/>
              </w:rPr>
              <w:t>三、赋分标准（满分4.5分）</w:t>
            </w:r>
          </w:p>
          <w:p w14:paraId="1BF12F1B">
            <w:pPr>
              <w:pStyle w:val="33"/>
              <w:rPr>
                <w:highlight w:val="none"/>
                <w:lang w:eastAsia="zh-CN"/>
              </w:rPr>
            </w:pPr>
            <w:r>
              <w:rPr>
                <w:spacing w:val="-1"/>
                <w:highlight w:val="none"/>
                <w:lang w:eastAsia="zh-CN"/>
              </w:rPr>
              <w:t>①岗位职责：每完全满足一个评审标准得0.5分，满分1.5分；</w:t>
            </w:r>
          </w:p>
          <w:p w14:paraId="2EFC7E94">
            <w:pPr>
              <w:pStyle w:val="33"/>
              <w:rPr>
                <w:highlight w:val="none"/>
                <w:lang w:eastAsia="zh-CN"/>
              </w:rPr>
            </w:pPr>
            <w:r>
              <w:rPr>
                <w:spacing w:val="-1"/>
                <w:highlight w:val="none"/>
                <w:lang w:eastAsia="zh-CN"/>
              </w:rPr>
              <w:t>②内控制度:每完全满足一个评审标准得0.5分，满分1.5分；</w:t>
            </w:r>
          </w:p>
          <w:p w14:paraId="4B8EA510">
            <w:pPr>
              <w:pStyle w:val="33"/>
              <w:rPr>
                <w:spacing w:val="-1"/>
                <w:highlight w:val="none"/>
                <w:lang w:eastAsia="zh-CN"/>
              </w:rPr>
            </w:pPr>
            <w:r>
              <w:rPr>
                <w:highlight w:val="none"/>
                <w:lang w:eastAsia="zh-CN"/>
              </w:rPr>
              <w:t>③人员管理制度:每完全满足一个评审标准得0.5分，满</w:t>
            </w:r>
            <w:r>
              <w:rPr>
                <w:spacing w:val="-1"/>
                <w:highlight w:val="none"/>
                <w:lang w:eastAsia="zh-CN"/>
              </w:rPr>
              <w:t>分1.5分。</w:t>
            </w:r>
          </w:p>
        </w:tc>
      </w:tr>
      <w:tr w14:paraId="29744D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jc w:val="center"/>
        </w:trPr>
        <w:tc>
          <w:tcPr>
            <w:tcW w:w="554" w:type="dxa"/>
            <w:vAlign w:val="center"/>
          </w:tcPr>
          <w:p w14:paraId="266D6528">
            <w:pPr>
              <w:pStyle w:val="33"/>
              <w:jc w:val="center"/>
              <w:rPr>
                <w:spacing w:val="-8"/>
                <w:highlight w:val="none"/>
              </w:rPr>
            </w:pPr>
            <w:r>
              <w:rPr>
                <w:spacing w:val="-7"/>
                <w:highlight w:val="none"/>
              </w:rPr>
              <w:t>应急</w:t>
            </w:r>
            <w:r>
              <w:rPr>
                <w:spacing w:val="-8"/>
                <w:highlight w:val="none"/>
              </w:rPr>
              <w:t>预案</w:t>
            </w:r>
          </w:p>
        </w:tc>
        <w:tc>
          <w:tcPr>
            <w:tcW w:w="898" w:type="dxa"/>
            <w:vAlign w:val="center"/>
          </w:tcPr>
          <w:p w14:paraId="1163B489">
            <w:pPr>
              <w:pStyle w:val="33"/>
              <w:jc w:val="center"/>
              <w:rPr>
                <w:spacing w:val="-2"/>
                <w:highlight w:val="none"/>
              </w:rPr>
            </w:pPr>
            <w:r>
              <w:rPr>
                <w:highlight w:val="none"/>
              </w:rPr>
              <w:t>3</w:t>
            </w:r>
          </w:p>
        </w:tc>
        <w:tc>
          <w:tcPr>
            <w:tcW w:w="7393" w:type="dxa"/>
          </w:tcPr>
          <w:p w14:paraId="09F52B3E">
            <w:pPr>
              <w:pStyle w:val="33"/>
              <w:spacing w:line="360" w:lineRule="exact"/>
              <w:rPr>
                <w:highlight w:val="none"/>
                <w:lang w:eastAsia="zh-CN"/>
              </w:rPr>
            </w:pPr>
            <w:r>
              <w:rPr>
                <w:b/>
                <w:bCs/>
                <w:spacing w:val="-3"/>
                <w:highlight w:val="none"/>
                <w:lang w:eastAsia="zh-CN"/>
              </w:rPr>
              <w:t>一、评审内容</w:t>
            </w:r>
          </w:p>
          <w:p w14:paraId="09E547EE">
            <w:pPr>
              <w:pStyle w:val="33"/>
              <w:spacing w:line="360" w:lineRule="exact"/>
              <w:rPr>
                <w:highlight w:val="none"/>
                <w:lang w:eastAsia="zh-CN"/>
              </w:rPr>
            </w:pPr>
            <w:r>
              <w:rPr>
                <w:spacing w:val="3"/>
                <w:highlight w:val="none"/>
                <w:lang w:eastAsia="zh-CN"/>
              </w:rPr>
              <w:t>针对本项目特点提供应急预案，预案内容包含</w:t>
            </w:r>
            <w:r>
              <w:rPr>
                <w:rFonts w:hint="eastAsia"/>
                <w:spacing w:val="3"/>
                <w:highlight w:val="none"/>
                <w:lang w:eastAsia="zh-CN"/>
              </w:rPr>
              <w:t>：</w:t>
            </w:r>
            <w:r>
              <w:rPr>
                <w:spacing w:val="3"/>
                <w:highlight w:val="none"/>
                <w:lang w:eastAsia="zh-CN"/>
              </w:rPr>
              <w:t>①</w:t>
            </w:r>
            <w:r>
              <w:rPr>
                <w:spacing w:val="2"/>
                <w:highlight w:val="none"/>
                <w:lang w:eastAsia="zh-CN"/>
              </w:rPr>
              <w:t>突发紧急事件：用</w:t>
            </w:r>
            <w:r>
              <w:rPr>
                <w:spacing w:val="3"/>
                <w:highlight w:val="none"/>
                <w:lang w:eastAsia="zh-CN"/>
              </w:rPr>
              <w:t>气、用电、消防、地震等②恶劣天气：暴雨、</w:t>
            </w:r>
            <w:r>
              <w:rPr>
                <w:spacing w:val="2"/>
                <w:highlight w:val="none"/>
                <w:lang w:eastAsia="zh-CN"/>
              </w:rPr>
              <w:t>暴雪、大风等强对流</w:t>
            </w:r>
            <w:r>
              <w:rPr>
                <w:spacing w:val="-5"/>
                <w:highlight w:val="none"/>
                <w:lang w:eastAsia="zh-CN"/>
              </w:rPr>
              <w:t>天气。</w:t>
            </w:r>
          </w:p>
          <w:p w14:paraId="681BF7EA">
            <w:pPr>
              <w:pStyle w:val="33"/>
              <w:spacing w:line="360" w:lineRule="exact"/>
              <w:rPr>
                <w:highlight w:val="none"/>
                <w:lang w:eastAsia="zh-CN"/>
              </w:rPr>
            </w:pPr>
            <w:r>
              <w:rPr>
                <w:b/>
                <w:bCs/>
                <w:spacing w:val="-3"/>
                <w:highlight w:val="none"/>
                <w:lang w:eastAsia="zh-CN"/>
              </w:rPr>
              <w:t>二、评审标准</w:t>
            </w:r>
          </w:p>
          <w:p w14:paraId="52A73DDA">
            <w:pPr>
              <w:pStyle w:val="33"/>
              <w:spacing w:line="360" w:lineRule="exact"/>
              <w:rPr>
                <w:highlight w:val="none"/>
                <w:lang w:eastAsia="zh-CN"/>
              </w:rPr>
            </w:pPr>
            <w:r>
              <w:rPr>
                <w:spacing w:val="2"/>
                <w:highlight w:val="none"/>
                <w:lang w:eastAsia="zh-CN"/>
              </w:rPr>
              <w:t>1、完整性：方案须全面，对评审内容中的各项要求有详细描述；</w:t>
            </w:r>
          </w:p>
          <w:p w14:paraId="5BC776DD">
            <w:pPr>
              <w:pStyle w:val="33"/>
              <w:spacing w:line="360" w:lineRule="exact"/>
              <w:rPr>
                <w:highlight w:val="none"/>
                <w:lang w:eastAsia="zh-CN"/>
              </w:rPr>
            </w:pPr>
            <w:r>
              <w:rPr>
                <w:spacing w:val="2"/>
                <w:highlight w:val="none"/>
                <w:lang w:eastAsia="zh-CN"/>
              </w:rPr>
              <w:t>2、可实施性：切合本项目实际情况，实施步骤清晰、合理；</w:t>
            </w:r>
          </w:p>
          <w:p w14:paraId="0FF0FEA1">
            <w:pPr>
              <w:pStyle w:val="33"/>
              <w:spacing w:line="360" w:lineRule="exact"/>
              <w:rPr>
                <w:highlight w:val="none"/>
                <w:lang w:eastAsia="zh-CN"/>
              </w:rPr>
            </w:pPr>
            <w:r>
              <w:rPr>
                <w:spacing w:val="2"/>
                <w:highlight w:val="none"/>
                <w:lang w:eastAsia="zh-CN"/>
              </w:rPr>
              <w:t>3、针对性：方案能够紧扣项目实际情况，内容科学合理。</w:t>
            </w:r>
          </w:p>
          <w:p w14:paraId="68FEE668">
            <w:pPr>
              <w:pStyle w:val="33"/>
              <w:spacing w:line="360" w:lineRule="exact"/>
              <w:rPr>
                <w:highlight w:val="none"/>
                <w:lang w:eastAsia="zh-CN"/>
              </w:rPr>
            </w:pPr>
            <w:r>
              <w:rPr>
                <w:b/>
                <w:bCs/>
                <w:spacing w:val="-5"/>
                <w:highlight w:val="none"/>
                <w:lang w:eastAsia="zh-CN"/>
              </w:rPr>
              <w:t>三、赋分标准（满分3分）</w:t>
            </w:r>
          </w:p>
          <w:p w14:paraId="152EEDBE">
            <w:pPr>
              <w:pStyle w:val="33"/>
              <w:spacing w:line="360" w:lineRule="exact"/>
              <w:rPr>
                <w:highlight w:val="none"/>
                <w:lang w:eastAsia="zh-CN"/>
              </w:rPr>
            </w:pPr>
            <w:r>
              <w:rPr>
                <w:spacing w:val="-2"/>
                <w:highlight w:val="none"/>
                <w:lang w:eastAsia="zh-CN"/>
              </w:rPr>
              <w:t>①突发紧急事件：每完全满足一个评审标准得0.5分，满分1.5分；</w:t>
            </w:r>
          </w:p>
          <w:p w14:paraId="470131C9">
            <w:pPr>
              <w:pStyle w:val="33"/>
              <w:spacing w:line="360" w:lineRule="exact"/>
              <w:rPr>
                <w:spacing w:val="-1"/>
                <w:highlight w:val="none"/>
                <w:lang w:eastAsia="zh-CN"/>
              </w:rPr>
            </w:pPr>
            <w:r>
              <w:rPr>
                <w:spacing w:val="-1"/>
                <w:highlight w:val="none"/>
                <w:lang w:eastAsia="zh-CN"/>
              </w:rPr>
              <w:t>②恶劣天气:每完全满足一个评审标准得0.5分，满分1.5分。</w:t>
            </w:r>
          </w:p>
        </w:tc>
      </w:tr>
      <w:tr w14:paraId="4F0A6A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jc w:val="center"/>
        </w:trPr>
        <w:tc>
          <w:tcPr>
            <w:tcW w:w="554" w:type="dxa"/>
            <w:vAlign w:val="center"/>
          </w:tcPr>
          <w:p w14:paraId="5F5692D9">
            <w:pPr>
              <w:pStyle w:val="33"/>
              <w:jc w:val="center"/>
              <w:rPr>
                <w:spacing w:val="-8"/>
                <w:highlight w:val="none"/>
              </w:rPr>
            </w:pPr>
            <w:r>
              <w:rPr>
                <w:spacing w:val="-10"/>
                <w:highlight w:val="none"/>
              </w:rPr>
              <w:t>节能降耗方案</w:t>
            </w:r>
          </w:p>
        </w:tc>
        <w:tc>
          <w:tcPr>
            <w:tcW w:w="898" w:type="dxa"/>
            <w:vAlign w:val="center"/>
          </w:tcPr>
          <w:p w14:paraId="604EFC49">
            <w:pPr>
              <w:pStyle w:val="33"/>
              <w:jc w:val="center"/>
              <w:rPr>
                <w:spacing w:val="-2"/>
                <w:highlight w:val="none"/>
              </w:rPr>
            </w:pPr>
            <w:r>
              <w:rPr>
                <w:highlight w:val="none"/>
              </w:rPr>
              <w:t>3</w:t>
            </w:r>
          </w:p>
        </w:tc>
        <w:tc>
          <w:tcPr>
            <w:tcW w:w="7393" w:type="dxa"/>
          </w:tcPr>
          <w:p w14:paraId="39A0D1D6">
            <w:pPr>
              <w:pStyle w:val="33"/>
              <w:rPr>
                <w:highlight w:val="none"/>
                <w:lang w:eastAsia="zh-CN"/>
              </w:rPr>
            </w:pPr>
            <w:r>
              <w:rPr>
                <w:b/>
                <w:bCs/>
                <w:spacing w:val="-3"/>
                <w:highlight w:val="none"/>
                <w:lang w:eastAsia="zh-CN"/>
              </w:rPr>
              <w:t>一、评审内容</w:t>
            </w:r>
          </w:p>
          <w:p w14:paraId="08156205">
            <w:pPr>
              <w:pStyle w:val="33"/>
              <w:rPr>
                <w:highlight w:val="none"/>
                <w:lang w:eastAsia="zh-CN"/>
              </w:rPr>
            </w:pPr>
            <w:r>
              <w:rPr>
                <w:spacing w:val="3"/>
                <w:highlight w:val="none"/>
                <w:lang w:eastAsia="zh-CN"/>
              </w:rPr>
              <w:t>根据本项目提出详细的水电设备设施等节能降</w:t>
            </w:r>
            <w:r>
              <w:rPr>
                <w:spacing w:val="2"/>
                <w:highlight w:val="none"/>
                <w:lang w:eastAsia="zh-CN"/>
              </w:rPr>
              <w:t>耗方案，内容包含</w:t>
            </w:r>
            <w:r>
              <w:rPr>
                <w:rFonts w:hint="eastAsia"/>
                <w:spacing w:val="2"/>
                <w:highlight w:val="none"/>
                <w:lang w:eastAsia="zh-CN"/>
              </w:rPr>
              <w:t>：</w:t>
            </w:r>
            <w:r>
              <w:rPr>
                <w:spacing w:val="2"/>
                <w:highlight w:val="none"/>
                <w:lang w:eastAsia="zh-CN"/>
              </w:rPr>
              <w:t>①</w:t>
            </w:r>
            <w:r>
              <w:rPr>
                <w:spacing w:val="1"/>
                <w:highlight w:val="none"/>
                <w:lang w:eastAsia="zh-CN"/>
              </w:rPr>
              <w:t>节能降耗原则②节能降耗的具体措施。</w:t>
            </w:r>
          </w:p>
          <w:p w14:paraId="3849873C">
            <w:pPr>
              <w:pStyle w:val="33"/>
              <w:rPr>
                <w:highlight w:val="none"/>
                <w:lang w:eastAsia="zh-CN"/>
              </w:rPr>
            </w:pPr>
            <w:r>
              <w:rPr>
                <w:b/>
                <w:bCs/>
                <w:spacing w:val="-3"/>
                <w:highlight w:val="none"/>
                <w:lang w:eastAsia="zh-CN"/>
              </w:rPr>
              <w:t>二、评审标准</w:t>
            </w:r>
          </w:p>
          <w:p w14:paraId="243B2E2C">
            <w:pPr>
              <w:pStyle w:val="33"/>
              <w:rPr>
                <w:highlight w:val="none"/>
                <w:lang w:eastAsia="zh-CN"/>
              </w:rPr>
            </w:pPr>
            <w:r>
              <w:rPr>
                <w:spacing w:val="2"/>
                <w:highlight w:val="none"/>
                <w:lang w:eastAsia="zh-CN"/>
              </w:rPr>
              <w:t>1、完整性：方案须全面，对评审内容中的各项要求有详细描述；</w:t>
            </w:r>
          </w:p>
          <w:p w14:paraId="673B57FB">
            <w:pPr>
              <w:pStyle w:val="33"/>
              <w:rPr>
                <w:highlight w:val="none"/>
                <w:lang w:eastAsia="zh-CN"/>
              </w:rPr>
            </w:pPr>
            <w:r>
              <w:rPr>
                <w:spacing w:val="2"/>
                <w:highlight w:val="none"/>
                <w:lang w:eastAsia="zh-CN"/>
              </w:rPr>
              <w:t>2、可实施性：切合本项目实际情况，实施步骤清晰、合理；</w:t>
            </w:r>
          </w:p>
          <w:p w14:paraId="05529517">
            <w:pPr>
              <w:pStyle w:val="33"/>
              <w:rPr>
                <w:highlight w:val="none"/>
                <w:lang w:eastAsia="zh-CN"/>
              </w:rPr>
            </w:pPr>
            <w:r>
              <w:rPr>
                <w:spacing w:val="2"/>
                <w:highlight w:val="none"/>
                <w:lang w:eastAsia="zh-CN"/>
              </w:rPr>
              <w:t>3、针对性：方案能够紧扣项目实际情况，内容科学合理。</w:t>
            </w:r>
          </w:p>
          <w:p w14:paraId="0A54A3BD">
            <w:pPr>
              <w:pStyle w:val="33"/>
              <w:rPr>
                <w:highlight w:val="none"/>
                <w:lang w:eastAsia="zh-CN"/>
              </w:rPr>
            </w:pPr>
            <w:r>
              <w:rPr>
                <w:b/>
                <w:bCs/>
                <w:spacing w:val="-5"/>
                <w:highlight w:val="none"/>
                <w:lang w:eastAsia="zh-CN"/>
              </w:rPr>
              <w:t>三、赋分标准（满分3分）</w:t>
            </w:r>
          </w:p>
          <w:p w14:paraId="2EE85367">
            <w:pPr>
              <w:pStyle w:val="33"/>
              <w:rPr>
                <w:highlight w:val="none"/>
                <w:lang w:eastAsia="zh-CN"/>
              </w:rPr>
            </w:pPr>
            <w:r>
              <w:rPr>
                <w:spacing w:val="-2"/>
                <w:highlight w:val="none"/>
                <w:lang w:eastAsia="zh-CN"/>
              </w:rPr>
              <w:t>①节能降耗原则：每完全满足一个评审标准得0.5分，满分1.5分；</w:t>
            </w:r>
          </w:p>
          <w:p w14:paraId="2210668F">
            <w:pPr>
              <w:pStyle w:val="33"/>
              <w:rPr>
                <w:spacing w:val="-1"/>
                <w:highlight w:val="none"/>
                <w:lang w:eastAsia="zh-CN"/>
              </w:rPr>
            </w:pPr>
            <w:r>
              <w:rPr>
                <w:spacing w:val="-9"/>
                <w:highlight w:val="none"/>
                <w:lang w:eastAsia="zh-CN"/>
              </w:rPr>
              <w:t>②节能降耗的具体措施：每完全满足一个评审标准得0.5分，满分1.5</w:t>
            </w:r>
            <w:r>
              <w:rPr>
                <w:spacing w:val="-14"/>
                <w:highlight w:val="none"/>
                <w:lang w:eastAsia="zh-CN"/>
              </w:rPr>
              <w:t>分。</w:t>
            </w:r>
          </w:p>
        </w:tc>
      </w:tr>
      <w:tr w14:paraId="371C4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jc w:val="center"/>
        </w:trPr>
        <w:tc>
          <w:tcPr>
            <w:tcW w:w="554" w:type="dxa"/>
            <w:vAlign w:val="center"/>
          </w:tcPr>
          <w:p w14:paraId="50F283D4">
            <w:pPr>
              <w:pStyle w:val="33"/>
              <w:jc w:val="center"/>
              <w:rPr>
                <w:rFonts w:hint="eastAsia" w:eastAsia="仿宋"/>
                <w:spacing w:val="-8"/>
                <w:highlight w:val="none"/>
                <w:lang w:val="en-US" w:eastAsia="zh-CN"/>
              </w:rPr>
            </w:pPr>
            <w:bookmarkStart w:id="1151" w:name="_GoBack"/>
            <w:r>
              <w:rPr>
                <w:spacing w:val="-8"/>
                <w:highlight w:val="none"/>
              </w:rPr>
              <w:t>培训考核</w:t>
            </w:r>
            <w:r>
              <w:rPr>
                <w:rFonts w:hint="eastAsia"/>
                <w:spacing w:val="-8"/>
                <w:highlight w:val="none"/>
                <w:lang w:val="en-US" w:eastAsia="zh-CN"/>
              </w:rPr>
              <w:t>方案</w:t>
            </w:r>
            <w:bookmarkEnd w:id="1151"/>
          </w:p>
        </w:tc>
        <w:tc>
          <w:tcPr>
            <w:tcW w:w="898" w:type="dxa"/>
            <w:vAlign w:val="center"/>
          </w:tcPr>
          <w:p w14:paraId="7D0EF817">
            <w:pPr>
              <w:pStyle w:val="33"/>
              <w:jc w:val="center"/>
              <w:rPr>
                <w:spacing w:val="-2"/>
                <w:highlight w:val="none"/>
              </w:rPr>
            </w:pPr>
            <w:r>
              <w:rPr>
                <w:spacing w:val="-2"/>
                <w:highlight w:val="none"/>
              </w:rPr>
              <w:t>4.5</w:t>
            </w:r>
          </w:p>
        </w:tc>
        <w:tc>
          <w:tcPr>
            <w:tcW w:w="7393" w:type="dxa"/>
          </w:tcPr>
          <w:p w14:paraId="240B4B18">
            <w:pPr>
              <w:pStyle w:val="33"/>
              <w:rPr>
                <w:highlight w:val="none"/>
                <w:lang w:eastAsia="zh-CN"/>
              </w:rPr>
            </w:pPr>
            <w:r>
              <w:rPr>
                <w:b/>
                <w:bCs/>
                <w:spacing w:val="-3"/>
                <w:highlight w:val="none"/>
                <w:lang w:eastAsia="zh-CN"/>
              </w:rPr>
              <w:t>一、评审内容</w:t>
            </w:r>
          </w:p>
          <w:p w14:paraId="03B1DCD6">
            <w:pPr>
              <w:pStyle w:val="33"/>
              <w:rPr>
                <w:highlight w:val="none"/>
                <w:lang w:eastAsia="zh-CN"/>
              </w:rPr>
            </w:pPr>
            <w:r>
              <w:rPr>
                <w:spacing w:val="3"/>
                <w:highlight w:val="none"/>
                <w:lang w:eastAsia="zh-CN"/>
              </w:rPr>
              <w:t>根据本项目制定详细、可行的培训考核方案，</w:t>
            </w:r>
            <w:r>
              <w:rPr>
                <w:spacing w:val="2"/>
                <w:highlight w:val="none"/>
                <w:lang w:eastAsia="zh-CN"/>
              </w:rPr>
              <w:t>保证上岗人员的专业素质、服务质量符合采购人要求，方案包含：①岗前培训②定期常</w:t>
            </w:r>
            <w:r>
              <w:rPr>
                <w:spacing w:val="1"/>
                <w:highlight w:val="none"/>
                <w:lang w:eastAsia="zh-CN"/>
              </w:rPr>
              <w:t>态化培训③培训后的成果验收和考核。</w:t>
            </w:r>
          </w:p>
          <w:p w14:paraId="6D7BCA1F">
            <w:pPr>
              <w:pStyle w:val="33"/>
              <w:rPr>
                <w:highlight w:val="none"/>
                <w:lang w:eastAsia="zh-CN"/>
              </w:rPr>
            </w:pPr>
            <w:r>
              <w:rPr>
                <w:b/>
                <w:bCs/>
                <w:spacing w:val="-3"/>
                <w:highlight w:val="none"/>
                <w:lang w:eastAsia="zh-CN"/>
              </w:rPr>
              <w:t>二、评审标准</w:t>
            </w:r>
          </w:p>
          <w:p w14:paraId="51DDB7DD">
            <w:pPr>
              <w:pStyle w:val="33"/>
              <w:rPr>
                <w:highlight w:val="none"/>
                <w:lang w:eastAsia="zh-CN"/>
              </w:rPr>
            </w:pPr>
            <w:r>
              <w:rPr>
                <w:spacing w:val="2"/>
                <w:highlight w:val="none"/>
                <w:lang w:eastAsia="zh-CN"/>
              </w:rPr>
              <w:t>1、完整性：方案必须全面，对评审内容中的各项要求有详细描述；</w:t>
            </w:r>
          </w:p>
          <w:p w14:paraId="27AB8C4F">
            <w:pPr>
              <w:pStyle w:val="33"/>
              <w:rPr>
                <w:highlight w:val="none"/>
                <w:lang w:eastAsia="zh-CN"/>
              </w:rPr>
            </w:pPr>
            <w:r>
              <w:rPr>
                <w:spacing w:val="3"/>
                <w:highlight w:val="none"/>
                <w:lang w:eastAsia="zh-CN"/>
              </w:rPr>
              <w:t>2、可实施性：切合本项目实际情况，提出步骤</w:t>
            </w:r>
            <w:r>
              <w:rPr>
                <w:spacing w:val="2"/>
                <w:highlight w:val="none"/>
                <w:lang w:eastAsia="zh-CN"/>
              </w:rPr>
              <w:t>清晰、合理的方案；</w:t>
            </w:r>
          </w:p>
          <w:p w14:paraId="6A96C452">
            <w:pPr>
              <w:pStyle w:val="33"/>
              <w:rPr>
                <w:highlight w:val="none"/>
                <w:lang w:eastAsia="zh-CN"/>
              </w:rPr>
            </w:pPr>
            <w:r>
              <w:rPr>
                <w:highlight w:val="none"/>
                <w:lang w:eastAsia="zh-CN"/>
              </w:rPr>
              <w:t>3、针对性：方案能够紧扣项目实际情况，内容科学合理。</w:t>
            </w:r>
          </w:p>
          <w:p w14:paraId="365A45F9">
            <w:pPr>
              <w:pStyle w:val="33"/>
              <w:rPr>
                <w:highlight w:val="none"/>
                <w:lang w:eastAsia="zh-CN"/>
              </w:rPr>
            </w:pPr>
            <w:r>
              <w:rPr>
                <w:b/>
                <w:bCs/>
                <w:spacing w:val="-4"/>
                <w:highlight w:val="none"/>
                <w:lang w:eastAsia="zh-CN"/>
              </w:rPr>
              <w:t>三、赋分标准（满分4.5分）</w:t>
            </w:r>
          </w:p>
          <w:p w14:paraId="123884EC">
            <w:pPr>
              <w:pStyle w:val="33"/>
              <w:rPr>
                <w:highlight w:val="none"/>
                <w:lang w:eastAsia="zh-CN"/>
              </w:rPr>
            </w:pPr>
            <w:r>
              <w:rPr>
                <w:spacing w:val="-1"/>
                <w:highlight w:val="none"/>
                <w:lang w:eastAsia="zh-CN"/>
              </w:rPr>
              <w:t>①岗前培训：每完全满足一个评审标准得0.5分，满分1.5分；</w:t>
            </w:r>
          </w:p>
          <w:p w14:paraId="07A4E9B3">
            <w:pPr>
              <w:pStyle w:val="33"/>
              <w:rPr>
                <w:highlight w:val="none"/>
                <w:lang w:eastAsia="zh-CN"/>
              </w:rPr>
            </w:pPr>
            <w:r>
              <w:rPr>
                <w:spacing w:val="-3"/>
                <w:highlight w:val="none"/>
                <w:lang w:eastAsia="zh-CN"/>
              </w:rPr>
              <w:t>②定期常态化培训:每完全满足一个评审标准得0.5分，满分</w:t>
            </w:r>
            <w:r>
              <w:rPr>
                <w:spacing w:val="-4"/>
                <w:highlight w:val="none"/>
                <w:lang w:eastAsia="zh-CN"/>
              </w:rPr>
              <w:t>1.5分；</w:t>
            </w:r>
          </w:p>
          <w:p w14:paraId="3DFAED5F">
            <w:pPr>
              <w:pStyle w:val="33"/>
              <w:rPr>
                <w:spacing w:val="-1"/>
                <w:highlight w:val="none"/>
                <w:lang w:eastAsia="zh-CN"/>
              </w:rPr>
            </w:pPr>
            <w:r>
              <w:rPr>
                <w:spacing w:val="1"/>
                <w:highlight w:val="none"/>
                <w:lang w:eastAsia="zh-CN"/>
              </w:rPr>
              <w:t>③培训后的成果验收和考核:每完全满足一个评审标准得0.5分，满</w:t>
            </w:r>
            <w:r>
              <w:rPr>
                <w:spacing w:val="-11"/>
                <w:highlight w:val="none"/>
                <w:lang w:eastAsia="zh-CN"/>
              </w:rPr>
              <w:t>分1.5分。</w:t>
            </w:r>
          </w:p>
        </w:tc>
      </w:tr>
      <w:tr w14:paraId="5E7467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jc w:val="center"/>
        </w:trPr>
        <w:tc>
          <w:tcPr>
            <w:tcW w:w="554" w:type="dxa"/>
            <w:vAlign w:val="center"/>
          </w:tcPr>
          <w:p w14:paraId="4B701D1B">
            <w:pPr>
              <w:pStyle w:val="33"/>
              <w:jc w:val="center"/>
              <w:rPr>
                <w:spacing w:val="-8"/>
                <w:highlight w:val="none"/>
              </w:rPr>
            </w:pPr>
            <w:r>
              <w:rPr>
                <w:spacing w:val="-7"/>
                <w:highlight w:val="none"/>
              </w:rPr>
              <w:t>档案</w:t>
            </w:r>
            <w:r>
              <w:rPr>
                <w:spacing w:val="-10"/>
                <w:highlight w:val="none"/>
              </w:rPr>
              <w:t>管理方案</w:t>
            </w:r>
          </w:p>
        </w:tc>
        <w:tc>
          <w:tcPr>
            <w:tcW w:w="898" w:type="dxa"/>
            <w:vAlign w:val="center"/>
          </w:tcPr>
          <w:p w14:paraId="4F30BBEF">
            <w:pPr>
              <w:pStyle w:val="33"/>
              <w:jc w:val="center"/>
              <w:rPr>
                <w:spacing w:val="-2"/>
                <w:highlight w:val="none"/>
              </w:rPr>
            </w:pPr>
            <w:r>
              <w:rPr>
                <w:highlight w:val="none"/>
              </w:rPr>
              <w:t>3</w:t>
            </w:r>
          </w:p>
        </w:tc>
        <w:tc>
          <w:tcPr>
            <w:tcW w:w="7393" w:type="dxa"/>
          </w:tcPr>
          <w:p w14:paraId="65431990">
            <w:pPr>
              <w:pStyle w:val="33"/>
              <w:rPr>
                <w:highlight w:val="none"/>
                <w:lang w:eastAsia="zh-CN"/>
              </w:rPr>
            </w:pPr>
            <w:r>
              <w:rPr>
                <w:b/>
                <w:bCs/>
                <w:spacing w:val="-3"/>
                <w:highlight w:val="none"/>
                <w:lang w:eastAsia="zh-CN"/>
              </w:rPr>
              <w:t>一、评审内容</w:t>
            </w:r>
          </w:p>
          <w:p w14:paraId="3CCBF34B">
            <w:pPr>
              <w:pStyle w:val="33"/>
              <w:rPr>
                <w:highlight w:val="none"/>
                <w:lang w:eastAsia="zh-CN"/>
              </w:rPr>
            </w:pPr>
            <w:r>
              <w:rPr>
                <w:spacing w:val="1"/>
                <w:highlight w:val="none"/>
                <w:lang w:eastAsia="zh-CN"/>
              </w:rPr>
              <w:t>根据本项目特点制定物业档案管理方案，内容包</w:t>
            </w:r>
            <w:r>
              <w:rPr>
                <w:rFonts w:hint="eastAsia"/>
                <w:spacing w:val="1"/>
                <w:highlight w:val="none"/>
                <w:lang w:eastAsia="zh-CN"/>
              </w:rPr>
              <w:t>含：</w:t>
            </w:r>
            <w:r>
              <w:rPr>
                <w:spacing w:val="1"/>
                <w:highlight w:val="none"/>
                <w:lang w:eastAsia="zh-CN"/>
              </w:rPr>
              <w:t>①档案管理制度，包括：物业档案收集、整理、保管、借阅②档案工作人员管理办法。</w:t>
            </w:r>
          </w:p>
          <w:p w14:paraId="35A0E885">
            <w:pPr>
              <w:pStyle w:val="33"/>
              <w:rPr>
                <w:highlight w:val="none"/>
                <w:lang w:eastAsia="zh-CN"/>
              </w:rPr>
            </w:pPr>
            <w:r>
              <w:rPr>
                <w:b/>
                <w:bCs/>
                <w:spacing w:val="-3"/>
                <w:highlight w:val="none"/>
                <w:lang w:eastAsia="zh-CN"/>
              </w:rPr>
              <w:t>二、评审标准</w:t>
            </w:r>
          </w:p>
          <w:p w14:paraId="4B1389D2">
            <w:pPr>
              <w:pStyle w:val="33"/>
              <w:rPr>
                <w:highlight w:val="none"/>
                <w:lang w:eastAsia="zh-CN"/>
              </w:rPr>
            </w:pPr>
            <w:r>
              <w:rPr>
                <w:spacing w:val="2"/>
                <w:highlight w:val="none"/>
                <w:lang w:eastAsia="zh-CN"/>
              </w:rPr>
              <w:t>1、完整性：方案须全面，对评审内容中的各项要求有详细描述；</w:t>
            </w:r>
          </w:p>
          <w:p w14:paraId="11A347F8">
            <w:pPr>
              <w:pStyle w:val="33"/>
              <w:rPr>
                <w:highlight w:val="none"/>
                <w:lang w:eastAsia="zh-CN"/>
              </w:rPr>
            </w:pPr>
            <w:r>
              <w:rPr>
                <w:spacing w:val="2"/>
                <w:highlight w:val="none"/>
                <w:lang w:eastAsia="zh-CN"/>
              </w:rPr>
              <w:t>2、可实施性：切合本项目实际情况，实施步骤清晰、合理；</w:t>
            </w:r>
          </w:p>
          <w:p w14:paraId="79C7B387">
            <w:pPr>
              <w:pStyle w:val="33"/>
              <w:rPr>
                <w:highlight w:val="none"/>
                <w:lang w:eastAsia="zh-CN"/>
              </w:rPr>
            </w:pPr>
            <w:r>
              <w:rPr>
                <w:highlight w:val="none"/>
                <w:lang w:eastAsia="zh-CN"/>
              </w:rPr>
              <w:t>3、针对性：方案能够紧扣项目实际情况，内容科学合理。</w:t>
            </w:r>
          </w:p>
          <w:p w14:paraId="49B3B6CE">
            <w:pPr>
              <w:pStyle w:val="33"/>
              <w:rPr>
                <w:highlight w:val="none"/>
                <w:lang w:eastAsia="zh-CN"/>
              </w:rPr>
            </w:pPr>
            <w:r>
              <w:rPr>
                <w:b/>
                <w:bCs/>
                <w:spacing w:val="-5"/>
                <w:highlight w:val="none"/>
                <w:lang w:eastAsia="zh-CN"/>
              </w:rPr>
              <w:t>三、赋分标准（满分3分）</w:t>
            </w:r>
          </w:p>
          <w:p w14:paraId="72A6379D">
            <w:pPr>
              <w:pStyle w:val="33"/>
              <w:rPr>
                <w:highlight w:val="none"/>
                <w:lang w:eastAsia="zh-CN"/>
              </w:rPr>
            </w:pPr>
            <w:r>
              <w:rPr>
                <w:spacing w:val="-2"/>
                <w:highlight w:val="none"/>
                <w:lang w:eastAsia="zh-CN"/>
              </w:rPr>
              <w:t>①档案管理制度：每完全满足一个评审标准得0.5分，满分1.5分；</w:t>
            </w:r>
          </w:p>
          <w:p w14:paraId="05B4229D">
            <w:pPr>
              <w:pStyle w:val="33"/>
              <w:rPr>
                <w:spacing w:val="-1"/>
                <w:highlight w:val="none"/>
                <w:lang w:eastAsia="zh-CN"/>
              </w:rPr>
            </w:pPr>
            <w:r>
              <w:rPr>
                <w:spacing w:val="4"/>
                <w:highlight w:val="none"/>
                <w:lang w:eastAsia="zh-CN"/>
              </w:rPr>
              <w:t>②档案工作人员管理办法:每完全满足一个评审标准得0.</w:t>
            </w:r>
            <w:r>
              <w:rPr>
                <w:spacing w:val="3"/>
                <w:highlight w:val="none"/>
                <w:lang w:eastAsia="zh-CN"/>
              </w:rPr>
              <w:t>5分，满分</w:t>
            </w:r>
            <w:r>
              <w:rPr>
                <w:spacing w:val="-9"/>
                <w:highlight w:val="none"/>
                <w:lang w:eastAsia="zh-CN"/>
              </w:rPr>
              <w:t>1.5分。</w:t>
            </w:r>
          </w:p>
        </w:tc>
      </w:tr>
      <w:tr w14:paraId="315928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jc w:val="center"/>
        </w:trPr>
        <w:tc>
          <w:tcPr>
            <w:tcW w:w="554" w:type="dxa"/>
            <w:vAlign w:val="center"/>
          </w:tcPr>
          <w:p w14:paraId="2D84A237">
            <w:pPr>
              <w:pStyle w:val="33"/>
              <w:jc w:val="center"/>
              <w:rPr>
                <w:spacing w:val="-8"/>
                <w:highlight w:val="none"/>
              </w:rPr>
            </w:pPr>
            <w:r>
              <w:rPr>
                <w:spacing w:val="-15"/>
                <w:highlight w:val="none"/>
              </w:rPr>
              <w:t>防疫</w:t>
            </w:r>
            <w:r>
              <w:rPr>
                <w:spacing w:val="-10"/>
                <w:highlight w:val="none"/>
              </w:rPr>
              <w:t>消杀方案</w:t>
            </w:r>
          </w:p>
        </w:tc>
        <w:tc>
          <w:tcPr>
            <w:tcW w:w="898" w:type="dxa"/>
            <w:vAlign w:val="center"/>
          </w:tcPr>
          <w:p w14:paraId="0B44397A">
            <w:pPr>
              <w:pStyle w:val="33"/>
              <w:jc w:val="center"/>
              <w:rPr>
                <w:spacing w:val="-2"/>
                <w:highlight w:val="none"/>
              </w:rPr>
            </w:pPr>
            <w:r>
              <w:rPr>
                <w:highlight w:val="none"/>
              </w:rPr>
              <w:t>3</w:t>
            </w:r>
          </w:p>
        </w:tc>
        <w:tc>
          <w:tcPr>
            <w:tcW w:w="7393" w:type="dxa"/>
          </w:tcPr>
          <w:p w14:paraId="21FE5D21">
            <w:pPr>
              <w:pStyle w:val="33"/>
              <w:rPr>
                <w:highlight w:val="none"/>
                <w:lang w:eastAsia="zh-CN"/>
              </w:rPr>
            </w:pPr>
            <w:r>
              <w:rPr>
                <w:b/>
                <w:bCs/>
                <w:spacing w:val="-3"/>
                <w:highlight w:val="none"/>
                <w:lang w:eastAsia="zh-CN"/>
              </w:rPr>
              <w:t>一、评审内容</w:t>
            </w:r>
          </w:p>
          <w:p w14:paraId="34D051D4">
            <w:pPr>
              <w:pStyle w:val="33"/>
              <w:rPr>
                <w:highlight w:val="none"/>
                <w:lang w:eastAsia="zh-CN"/>
              </w:rPr>
            </w:pPr>
            <w:r>
              <w:rPr>
                <w:spacing w:val="3"/>
                <w:highlight w:val="none"/>
                <w:lang w:eastAsia="zh-CN"/>
              </w:rPr>
              <w:t>根据本项目特点提供服务防疫消杀方案，包含</w:t>
            </w:r>
            <w:r>
              <w:rPr>
                <w:rFonts w:hint="eastAsia"/>
                <w:spacing w:val="3"/>
                <w:highlight w:val="none"/>
                <w:lang w:eastAsia="zh-CN"/>
              </w:rPr>
              <w:t>：</w:t>
            </w:r>
            <w:r>
              <w:rPr>
                <w:spacing w:val="2"/>
                <w:highlight w:val="none"/>
                <w:lang w:eastAsia="zh-CN"/>
              </w:rPr>
              <w:t>①消杀工作原则②消</w:t>
            </w:r>
            <w:r>
              <w:rPr>
                <w:spacing w:val="-2"/>
                <w:highlight w:val="none"/>
                <w:lang w:eastAsia="zh-CN"/>
              </w:rPr>
              <w:t>杀服务计划。</w:t>
            </w:r>
          </w:p>
          <w:p w14:paraId="798AAAE4">
            <w:pPr>
              <w:pStyle w:val="33"/>
              <w:rPr>
                <w:highlight w:val="none"/>
                <w:lang w:eastAsia="zh-CN"/>
              </w:rPr>
            </w:pPr>
            <w:r>
              <w:rPr>
                <w:b/>
                <w:bCs/>
                <w:spacing w:val="-3"/>
                <w:highlight w:val="none"/>
                <w:lang w:eastAsia="zh-CN"/>
              </w:rPr>
              <w:t>二、评审标准</w:t>
            </w:r>
          </w:p>
          <w:p w14:paraId="60A9C1D2">
            <w:pPr>
              <w:pStyle w:val="33"/>
              <w:rPr>
                <w:highlight w:val="none"/>
                <w:lang w:eastAsia="zh-CN"/>
              </w:rPr>
            </w:pPr>
            <w:r>
              <w:rPr>
                <w:spacing w:val="2"/>
                <w:highlight w:val="none"/>
                <w:lang w:eastAsia="zh-CN"/>
              </w:rPr>
              <w:t>1、完整性：方案必须全面，对评审内容中的各项要求有详细描述；</w:t>
            </w:r>
          </w:p>
          <w:p w14:paraId="33DBC2BD">
            <w:pPr>
              <w:pStyle w:val="33"/>
              <w:rPr>
                <w:highlight w:val="none"/>
                <w:lang w:eastAsia="zh-CN"/>
              </w:rPr>
            </w:pPr>
            <w:r>
              <w:rPr>
                <w:spacing w:val="3"/>
                <w:highlight w:val="none"/>
                <w:lang w:eastAsia="zh-CN"/>
              </w:rPr>
              <w:t>2、可实施性：切合本项目实际情况，</w:t>
            </w:r>
            <w:r>
              <w:rPr>
                <w:spacing w:val="2"/>
                <w:highlight w:val="none"/>
                <w:lang w:eastAsia="zh-CN"/>
              </w:rPr>
              <w:t>实施步骤清晰、合理；</w:t>
            </w:r>
          </w:p>
          <w:p w14:paraId="6D96D093">
            <w:pPr>
              <w:pStyle w:val="33"/>
              <w:rPr>
                <w:highlight w:val="none"/>
                <w:lang w:eastAsia="zh-CN"/>
              </w:rPr>
            </w:pPr>
            <w:r>
              <w:rPr>
                <w:spacing w:val="2"/>
                <w:highlight w:val="none"/>
                <w:lang w:eastAsia="zh-CN"/>
              </w:rPr>
              <w:t>3、针对性：方案能够紧扣项目实际情况，内容科学合理。</w:t>
            </w:r>
          </w:p>
          <w:p w14:paraId="40006B83">
            <w:pPr>
              <w:pStyle w:val="33"/>
              <w:rPr>
                <w:highlight w:val="none"/>
                <w:lang w:eastAsia="zh-CN"/>
              </w:rPr>
            </w:pPr>
            <w:r>
              <w:rPr>
                <w:b/>
                <w:bCs/>
                <w:spacing w:val="-5"/>
                <w:highlight w:val="none"/>
                <w:lang w:eastAsia="zh-CN"/>
              </w:rPr>
              <w:t>三、赋分标准（满分3分）</w:t>
            </w:r>
          </w:p>
          <w:p w14:paraId="71435B56">
            <w:pPr>
              <w:pStyle w:val="33"/>
              <w:rPr>
                <w:highlight w:val="none"/>
                <w:lang w:eastAsia="zh-CN"/>
              </w:rPr>
            </w:pPr>
            <w:r>
              <w:rPr>
                <w:spacing w:val="-2"/>
                <w:highlight w:val="none"/>
                <w:lang w:eastAsia="zh-CN"/>
              </w:rPr>
              <w:t>①消杀工作原则：每完全满足一个评审标准得0.5分，满分1.5分；</w:t>
            </w:r>
          </w:p>
          <w:p w14:paraId="1934E971">
            <w:pPr>
              <w:pStyle w:val="33"/>
              <w:rPr>
                <w:spacing w:val="-1"/>
                <w:highlight w:val="none"/>
                <w:lang w:eastAsia="zh-CN"/>
              </w:rPr>
            </w:pPr>
            <w:r>
              <w:rPr>
                <w:highlight w:val="none"/>
                <w:lang w:eastAsia="zh-CN"/>
              </w:rPr>
              <w:t>②消杀服务计划:每完全满足一个评审标准得0.5分，满</w:t>
            </w:r>
            <w:r>
              <w:rPr>
                <w:spacing w:val="-1"/>
                <w:highlight w:val="none"/>
                <w:lang w:eastAsia="zh-CN"/>
              </w:rPr>
              <w:t>分1.5分。</w:t>
            </w:r>
          </w:p>
        </w:tc>
      </w:tr>
      <w:tr w14:paraId="1F732A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jc w:val="center"/>
        </w:trPr>
        <w:tc>
          <w:tcPr>
            <w:tcW w:w="554" w:type="dxa"/>
            <w:vAlign w:val="center"/>
          </w:tcPr>
          <w:p w14:paraId="5E8AD323">
            <w:pPr>
              <w:pStyle w:val="33"/>
              <w:jc w:val="center"/>
              <w:rPr>
                <w:spacing w:val="-8"/>
                <w:highlight w:val="none"/>
              </w:rPr>
            </w:pPr>
            <w:r>
              <w:rPr>
                <w:spacing w:val="-8"/>
                <w:highlight w:val="none"/>
              </w:rPr>
              <w:t>项目</w:t>
            </w:r>
            <w:r>
              <w:rPr>
                <w:spacing w:val="-7"/>
                <w:highlight w:val="none"/>
              </w:rPr>
              <w:t>经理</w:t>
            </w:r>
          </w:p>
        </w:tc>
        <w:tc>
          <w:tcPr>
            <w:tcW w:w="898" w:type="dxa"/>
            <w:vAlign w:val="center"/>
          </w:tcPr>
          <w:p w14:paraId="46D029AC">
            <w:pPr>
              <w:pStyle w:val="33"/>
              <w:jc w:val="center"/>
              <w:rPr>
                <w:rFonts w:hint="eastAsia" w:eastAsia="仿宋"/>
                <w:spacing w:val="-2"/>
                <w:highlight w:val="none"/>
                <w:lang w:eastAsia="zh-CN"/>
              </w:rPr>
            </w:pPr>
            <w:r>
              <w:rPr>
                <w:rFonts w:hint="eastAsia"/>
                <w:highlight w:val="none"/>
                <w:lang w:val="en-US" w:eastAsia="zh-CN"/>
              </w:rPr>
              <w:t>6</w:t>
            </w:r>
          </w:p>
        </w:tc>
        <w:tc>
          <w:tcPr>
            <w:tcW w:w="7393" w:type="dxa"/>
          </w:tcPr>
          <w:p w14:paraId="43CA20A2">
            <w:pPr>
              <w:pStyle w:val="33"/>
              <w:rPr>
                <w:highlight w:val="none"/>
                <w:lang w:eastAsia="zh-CN"/>
              </w:rPr>
            </w:pPr>
            <w:r>
              <w:rPr>
                <w:b/>
                <w:bCs/>
                <w:spacing w:val="-5"/>
                <w:highlight w:val="none"/>
                <w:lang w:eastAsia="zh-CN"/>
              </w:rPr>
              <w:t>1、学历要求（满分2分）</w:t>
            </w:r>
          </w:p>
          <w:p w14:paraId="64E29E1B">
            <w:pPr>
              <w:pStyle w:val="33"/>
              <w:rPr>
                <w:highlight w:val="none"/>
                <w:lang w:eastAsia="zh-CN"/>
              </w:rPr>
            </w:pPr>
            <w:r>
              <w:rPr>
                <w:spacing w:val="-1"/>
                <w:highlight w:val="none"/>
                <w:lang w:eastAsia="zh-CN"/>
              </w:rPr>
              <w:t>项目经理具有大专学历得1分，具有</w:t>
            </w:r>
            <w:r>
              <w:rPr>
                <w:rFonts w:hint="default"/>
                <w:spacing w:val="-1"/>
                <w:highlight w:val="none"/>
                <w:lang w:val="en-US" w:eastAsia="zh-CN"/>
              </w:rPr>
              <w:t>本科</w:t>
            </w:r>
            <w:r>
              <w:rPr>
                <w:spacing w:val="-1"/>
                <w:highlight w:val="none"/>
                <w:lang w:eastAsia="zh-CN"/>
              </w:rPr>
              <w:t>及以上学历得2分（取最</w:t>
            </w:r>
            <w:r>
              <w:rPr>
                <w:spacing w:val="-6"/>
                <w:highlight w:val="none"/>
                <w:lang w:eastAsia="zh-CN"/>
              </w:rPr>
              <w:t>高学历计分，不重复计分）。</w:t>
            </w:r>
          </w:p>
          <w:p w14:paraId="6ED091A4">
            <w:pPr>
              <w:pStyle w:val="33"/>
              <w:rPr>
                <w:highlight w:val="none"/>
                <w:lang w:eastAsia="zh-CN"/>
              </w:rPr>
            </w:pPr>
            <w:r>
              <w:rPr>
                <w:spacing w:val="3"/>
                <w:highlight w:val="none"/>
                <w:lang w:eastAsia="zh-CN"/>
              </w:rPr>
              <w:t>该项赋分依据为：提供学信网经查证的《教育</w:t>
            </w:r>
            <w:r>
              <w:rPr>
                <w:spacing w:val="2"/>
                <w:highlight w:val="none"/>
                <w:lang w:eastAsia="zh-CN"/>
              </w:rPr>
              <w:t>部学历证书电子注册</w:t>
            </w:r>
            <w:r>
              <w:rPr>
                <w:spacing w:val="-4"/>
                <w:highlight w:val="none"/>
                <w:lang w:eastAsia="zh-CN"/>
              </w:rPr>
              <w:t>备案表》，不提供或不满足学历要求不得分；</w:t>
            </w:r>
          </w:p>
          <w:p w14:paraId="45125783">
            <w:pPr>
              <w:pStyle w:val="33"/>
              <w:rPr>
                <w:highlight w:val="none"/>
                <w:lang w:eastAsia="zh-CN"/>
              </w:rPr>
            </w:pPr>
            <w:r>
              <w:rPr>
                <w:b/>
                <w:bCs/>
                <w:spacing w:val="-4"/>
                <w:highlight w:val="none"/>
                <w:lang w:eastAsia="zh-CN"/>
              </w:rPr>
              <w:t>2、管理经验（满分</w:t>
            </w:r>
            <w:r>
              <w:rPr>
                <w:rFonts w:hint="eastAsia"/>
                <w:b/>
                <w:bCs/>
                <w:spacing w:val="-4"/>
                <w:highlight w:val="none"/>
                <w:lang w:val="en-US" w:eastAsia="zh-CN"/>
              </w:rPr>
              <w:t>4</w:t>
            </w:r>
            <w:r>
              <w:rPr>
                <w:b/>
                <w:bCs/>
                <w:spacing w:val="-4"/>
                <w:highlight w:val="none"/>
                <w:lang w:eastAsia="zh-CN"/>
              </w:rPr>
              <w:t>分）</w:t>
            </w:r>
          </w:p>
          <w:p w14:paraId="10F092D3">
            <w:pPr>
              <w:pStyle w:val="33"/>
              <w:rPr>
                <w:highlight w:val="none"/>
                <w:lang w:eastAsia="zh-CN"/>
              </w:rPr>
            </w:pPr>
            <w:r>
              <w:rPr>
                <w:spacing w:val="-1"/>
                <w:highlight w:val="none"/>
                <w:lang w:eastAsia="zh-CN"/>
              </w:rPr>
              <w:t>具有5年类似项目服务管理工作经验得1分；每增加一年管理</w:t>
            </w:r>
            <w:r>
              <w:rPr>
                <w:spacing w:val="-5"/>
                <w:highlight w:val="none"/>
                <w:lang w:eastAsia="zh-CN"/>
              </w:rPr>
              <w:t>工作经验加1分，最多可加</w:t>
            </w:r>
            <w:r>
              <w:rPr>
                <w:rFonts w:hint="eastAsia"/>
                <w:spacing w:val="-5"/>
                <w:highlight w:val="none"/>
                <w:lang w:val="en-US" w:eastAsia="zh-CN"/>
              </w:rPr>
              <w:t>3</w:t>
            </w:r>
            <w:r>
              <w:rPr>
                <w:spacing w:val="-5"/>
                <w:highlight w:val="none"/>
                <w:lang w:eastAsia="zh-CN"/>
              </w:rPr>
              <w:t>分，满分</w:t>
            </w:r>
            <w:r>
              <w:rPr>
                <w:rFonts w:hint="eastAsia"/>
                <w:spacing w:val="-5"/>
                <w:highlight w:val="none"/>
                <w:lang w:val="en-US" w:eastAsia="zh-CN"/>
              </w:rPr>
              <w:t>4</w:t>
            </w:r>
            <w:r>
              <w:rPr>
                <w:spacing w:val="-5"/>
                <w:highlight w:val="none"/>
                <w:lang w:eastAsia="zh-CN"/>
              </w:rPr>
              <w:t>分。</w:t>
            </w:r>
          </w:p>
          <w:p w14:paraId="75784375">
            <w:pPr>
              <w:pStyle w:val="33"/>
              <w:rPr>
                <w:highlight w:val="none"/>
                <w:lang w:eastAsia="zh-CN"/>
              </w:rPr>
            </w:pPr>
            <w:r>
              <w:rPr>
                <w:spacing w:val="2"/>
                <w:highlight w:val="none"/>
                <w:lang w:eastAsia="zh-CN"/>
              </w:rPr>
              <w:t>赋分依据：须提供被服务单位加盖公章的项目经理管理经验证明材</w:t>
            </w:r>
            <w:r>
              <w:rPr>
                <w:spacing w:val="1"/>
                <w:highlight w:val="none"/>
                <w:lang w:eastAsia="zh-CN"/>
              </w:rPr>
              <w:t>料，不提供或缺漏项不得分。</w:t>
            </w:r>
          </w:p>
          <w:p w14:paraId="19FB7B1F">
            <w:pPr>
              <w:pStyle w:val="33"/>
              <w:rPr>
                <w:spacing w:val="-1"/>
                <w:highlight w:val="none"/>
                <w:lang w:eastAsia="zh-CN"/>
              </w:rPr>
            </w:pPr>
            <w:r>
              <w:rPr>
                <w:spacing w:val="3"/>
                <w:highlight w:val="none"/>
                <w:lang w:eastAsia="zh-CN"/>
              </w:rPr>
              <w:t>备注：除上述赋分依据外，还须同时提供供</w:t>
            </w:r>
            <w:r>
              <w:rPr>
                <w:spacing w:val="2"/>
                <w:highlight w:val="none"/>
                <w:lang w:eastAsia="zh-CN"/>
              </w:rPr>
              <w:t>应商为项目经理缴纳的</w:t>
            </w:r>
            <w:r>
              <w:rPr>
                <w:spacing w:val="3"/>
                <w:highlight w:val="none"/>
                <w:lang w:eastAsia="zh-CN"/>
              </w:rPr>
              <w:t>近六个月内至少连续三个月的社保缴纳证明材</w:t>
            </w:r>
            <w:r>
              <w:rPr>
                <w:spacing w:val="2"/>
                <w:highlight w:val="none"/>
                <w:lang w:eastAsia="zh-CN"/>
              </w:rPr>
              <w:t>料（成立时间至提交</w:t>
            </w:r>
            <w:r>
              <w:rPr>
                <w:spacing w:val="3"/>
                <w:highlight w:val="none"/>
                <w:lang w:eastAsia="zh-CN"/>
              </w:rPr>
              <w:t>响应文件截止时间不足六个月的供应商，可提供</w:t>
            </w:r>
            <w:r>
              <w:rPr>
                <w:spacing w:val="2"/>
                <w:highlight w:val="none"/>
                <w:lang w:eastAsia="zh-CN"/>
              </w:rPr>
              <w:t>成立后任意一个月</w:t>
            </w:r>
            <w:r>
              <w:rPr>
                <w:spacing w:val="1"/>
                <w:highlight w:val="none"/>
                <w:lang w:eastAsia="zh-CN"/>
              </w:rPr>
              <w:t>的社保缴纳证明材料</w:t>
            </w:r>
            <w:r>
              <w:rPr>
                <w:spacing w:val="-46"/>
                <w:highlight w:val="none"/>
                <w:lang w:eastAsia="zh-CN"/>
              </w:rPr>
              <w:t>），</w:t>
            </w:r>
            <w:r>
              <w:rPr>
                <w:spacing w:val="1"/>
                <w:highlight w:val="none"/>
                <w:lang w:eastAsia="zh-CN"/>
              </w:rPr>
              <w:t>不提供或缺漏项本大项（</w:t>
            </w:r>
            <w:r>
              <w:rPr>
                <w:rFonts w:hint="eastAsia"/>
                <w:spacing w:val="1"/>
                <w:highlight w:val="none"/>
                <w:lang w:val="en-US" w:eastAsia="zh-CN"/>
              </w:rPr>
              <w:t>6</w:t>
            </w:r>
            <w:r>
              <w:rPr>
                <w:highlight w:val="none"/>
                <w:lang w:eastAsia="zh-CN"/>
              </w:rPr>
              <w:t>分）不得分。</w:t>
            </w:r>
          </w:p>
        </w:tc>
      </w:tr>
      <w:tr w14:paraId="42DAD96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jc w:val="center"/>
        </w:trPr>
        <w:tc>
          <w:tcPr>
            <w:tcW w:w="554" w:type="dxa"/>
            <w:vAlign w:val="center"/>
          </w:tcPr>
          <w:p w14:paraId="7AB87847">
            <w:pPr>
              <w:pStyle w:val="33"/>
              <w:jc w:val="center"/>
              <w:rPr>
                <w:spacing w:val="-8"/>
                <w:highlight w:val="none"/>
              </w:rPr>
            </w:pPr>
            <w:r>
              <w:rPr>
                <w:spacing w:val="-7"/>
                <w:highlight w:val="none"/>
              </w:rPr>
              <w:t>业绩</w:t>
            </w:r>
          </w:p>
        </w:tc>
        <w:tc>
          <w:tcPr>
            <w:tcW w:w="898" w:type="dxa"/>
            <w:vAlign w:val="center"/>
          </w:tcPr>
          <w:p w14:paraId="7EC77E84">
            <w:pPr>
              <w:pStyle w:val="33"/>
              <w:jc w:val="center"/>
              <w:rPr>
                <w:spacing w:val="-2"/>
                <w:highlight w:val="none"/>
              </w:rPr>
            </w:pPr>
            <w:r>
              <w:rPr>
                <w:highlight w:val="none"/>
              </w:rPr>
              <w:t>6</w:t>
            </w:r>
          </w:p>
        </w:tc>
        <w:tc>
          <w:tcPr>
            <w:tcW w:w="7393" w:type="dxa"/>
          </w:tcPr>
          <w:p w14:paraId="16EA10F9">
            <w:pPr>
              <w:pStyle w:val="33"/>
              <w:rPr>
                <w:highlight w:val="none"/>
                <w:lang w:eastAsia="zh-CN"/>
              </w:rPr>
            </w:pPr>
            <w:r>
              <w:rPr>
                <w:spacing w:val="-4"/>
                <w:highlight w:val="none"/>
                <w:lang w:eastAsia="zh-CN"/>
              </w:rPr>
              <w:t>1、提供202</w:t>
            </w:r>
            <w:r>
              <w:rPr>
                <w:rFonts w:hint="eastAsia"/>
                <w:spacing w:val="-4"/>
                <w:highlight w:val="none"/>
                <w:lang w:eastAsia="zh-CN"/>
              </w:rPr>
              <w:t>3</w:t>
            </w:r>
            <w:r>
              <w:rPr>
                <w:spacing w:val="-4"/>
                <w:highlight w:val="none"/>
                <w:lang w:eastAsia="zh-CN"/>
              </w:rPr>
              <w:t>年1月1日以来物业服务项目业绩（以合同签订日期</w:t>
            </w:r>
            <w:r>
              <w:rPr>
                <w:spacing w:val="-5"/>
                <w:highlight w:val="none"/>
                <w:lang w:eastAsia="zh-CN"/>
              </w:rPr>
              <w:t>为准</w:t>
            </w:r>
            <w:r>
              <w:rPr>
                <w:spacing w:val="-40"/>
                <w:highlight w:val="none"/>
                <w:lang w:eastAsia="zh-CN"/>
              </w:rPr>
              <w:t>），</w:t>
            </w:r>
            <w:r>
              <w:rPr>
                <w:spacing w:val="-5"/>
                <w:highlight w:val="none"/>
                <w:lang w:eastAsia="zh-CN"/>
              </w:rPr>
              <w:t>每份合格业绩合同计1分，满分3分；</w:t>
            </w:r>
          </w:p>
          <w:p w14:paraId="2A33C6A3">
            <w:pPr>
              <w:pStyle w:val="33"/>
              <w:rPr>
                <w:highlight w:val="none"/>
                <w:lang w:eastAsia="zh-CN"/>
              </w:rPr>
            </w:pPr>
            <w:r>
              <w:rPr>
                <w:spacing w:val="3"/>
                <w:highlight w:val="none"/>
                <w:lang w:eastAsia="zh-CN"/>
              </w:rPr>
              <w:t>备注：须提供完整合同业绩及对应发票复印</w:t>
            </w:r>
            <w:r>
              <w:rPr>
                <w:spacing w:val="2"/>
                <w:highlight w:val="none"/>
                <w:lang w:eastAsia="zh-CN"/>
              </w:rPr>
              <w:t>件（发票可提供服务期内任意一张</w:t>
            </w:r>
            <w:r>
              <w:rPr>
                <w:spacing w:val="14"/>
                <w:highlight w:val="none"/>
                <w:lang w:eastAsia="zh-CN"/>
              </w:rPr>
              <w:t>），</w:t>
            </w:r>
            <w:r>
              <w:rPr>
                <w:spacing w:val="2"/>
                <w:highlight w:val="none"/>
                <w:lang w:eastAsia="zh-CN"/>
              </w:rPr>
              <w:t>并加盖供应商公章，以上两种证</w:t>
            </w:r>
            <w:r>
              <w:rPr>
                <w:spacing w:val="1"/>
                <w:highlight w:val="none"/>
                <w:lang w:eastAsia="zh-CN"/>
              </w:rPr>
              <w:t>明材料同时提供方</w:t>
            </w:r>
            <w:r>
              <w:rPr>
                <w:highlight w:val="none"/>
                <w:lang w:eastAsia="zh-CN"/>
              </w:rPr>
              <w:t>可得分，否则不得分。</w:t>
            </w:r>
          </w:p>
          <w:p w14:paraId="5B0203D3">
            <w:pPr>
              <w:pStyle w:val="33"/>
              <w:rPr>
                <w:spacing w:val="-1"/>
                <w:highlight w:val="none"/>
                <w:lang w:eastAsia="zh-CN"/>
              </w:rPr>
            </w:pPr>
            <w:r>
              <w:rPr>
                <w:spacing w:val="2"/>
                <w:highlight w:val="none"/>
                <w:lang w:eastAsia="zh-CN"/>
              </w:rPr>
              <w:t>2、每提供一份对应合格业绩的服务好评（以被服务单位加盖公章的</w:t>
            </w:r>
            <w:r>
              <w:rPr>
                <w:spacing w:val="-2"/>
                <w:highlight w:val="none"/>
                <w:lang w:eastAsia="zh-CN"/>
              </w:rPr>
              <w:t>好评证明材料为计分依据，格式自拟</w:t>
            </w:r>
            <w:r>
              <w:rPr>
                <w:spacing w:val="-48"/>
                <w:highlight w:val="none"/>
                <w:lang w:eastAsia="zh-CN"/>
              </w:rPr>
              <w:t>），</w:t>
            </w:r>
            <w:r>
              <w:rPr>
                <w:spacing w:val="-2"/>
                <w:highlight w:val="none"/>
                <w:lang w:eastAsia="zh-CN"/>
              </w:rPr>
              <w:t>得1分，满分3分。</w:t>
            </w:r>
          </w:p>
        </w:tc>
      </w:tr>
      <w:tr w14:paraId="0985CB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39" w:hRule="atLeast"/>
          <w:jc w:val="center"/>
        </w:trPr>
        <w:tc>
          <w:tcPr>
            <w:tcW w:w="554" w:type="dxa"/>
            <w:vAlign w:val="center"/>
          </w:tcPr>
          <w:p w14:paraId="4312076D">
            <w:pPr>
              <w:pStyle w:val="33"/>
              <w:jc w:val="center"/>
              <w:rPr>
                <w:spacing w:val="-8"/>
                <w:highlight w:val="none"/>
              </w:rPr>
            </w:pPr>
            <w:r>
              <w:rPr>
                <w:spacing w:val="-7"/>
                <w:highlight w:val="none"/>
              </w:rPr>
              <w:t>服务承诺</w:t>
            </w:r>
          </w:p>
        </w:tc>
        <w:tc>
          <w:tcPr>
            <w:tcW w:w="898" w:type="dxa"/>
            <w:vAlign w:val="center"/>
          </w:tcPr>
          <w:p w14:paraId="4E1EAD28">
            <w:pPr>
              <w:pStyle w:val="33"/>
              <w:jc w:val="center"/>
              <w:rPr>
                <w:spacing w:val="-2"/>
                <w:highlight w:val="none"/>
              </w:rPr>
            </w:pPr>
            <w:r>
              <w:rPr>
                <w:position w:val="1"/>
                <w:highlight w:val="none"/>
              </w:rPr>
              <w:t>2</w:t>
            </w:r>
          </w:p>
        </w:tc>
        <w:tc>
          <w:tcPr>
            <w:tcW w:w="7393" w:type="dxa"/>
          </w:tcPr>
          <w:p w14:paraId="43465ED2">
            <w:pPr>
              <w:pStyle w:val="33"/>
              <w:rPr>
                <w:highlight w:val="none"/>
                <w:lang w:eastAsia="zh-CN"/>
              </w:rPr>
            </w:pPr>
            <w:r>
              <w:rPr>
                <w:spacing w:val="2"/>
                <w:highlight w:val="none"/>
                <w:lang w:eastAsia="zh-CN"/>
              </w:rPr>
              <w:t>1、承诺：接受采购人对本项目服务的考核、监督及管理，定期调研</w:t>
            </w:r>
            <w:r>
              <w:rPr>
                <w:spacing w:val="1"/>
                <w:highlight w:val="none"/>
                <w:lang w:eastAsia="zh-CN"/>
              </w:rPr>
              <w:t>采购人对服务质量的满意度并加以改进，确保服</w:t>
            </w:r>
            <w:r>
              <w:rPr>
                <w:highlight w:val="none"/>
                <w:lang w:eastAsia="zh-CN"/>
              </w:rPr>
              <w:t>务工作的优质高效，</w:t>
            </w:r>
            <w:r>
              <w:rPr>
                <w:spacing w:val="-4"/>
                <w:highlight w:val="none"/>
                <w:lang w:eastAsia="zh-CN"/>
              </w:rPr>
              <w:t>得1分。无承诺不得分。</w:t>
            </w:r>
          </w:p>
          <w:p w14:paraId="003A3C23">
            <w:pPr>
              <w:pStyle w:val="33"/>
              <w:rPr>
                <w:spacing w:val="-1"/>
                <w:highlight w:val="none"/>
              </w:rPr>
            </w:pPr>
            <w:r>
              <w:rPr>
                <w:spacing w:val="3"/>
                <w:highlight w:val="none"/>
                <w:lang w:eastAsia="zh-CN"/>
              </w:rPr>
              <w:t>2</w:t>
            </w:r>
            <w:r>
              <w:rPr>
                <w:rFonts w:hint="eastAsia"/>
                <w:spacing w:val="3"/>
                <w:highlight w:val="none"/>
                <w:lang w:eastAsia="zh-CN"/>
              </w:rPr>
              <w:t>、</w:t>
            </w:r>
            <w:r>
              <w:rPr>
                <w:spacing w:val="3"/>
                <w:highlight w:val="none"/>
                <w:lang w:eastAsia="zh-CN"/>
              </w:rPr>
              <w:t>承诺：储备有可调度人员，调度人员可保障临时</w:t>
            </w:r>
            <w:r>
              <w:rPr>
                <w:spacing w:val="2"/>
                <w:highlight w:val="none"/>
                <w:lang w:eastAsia="zh-CN"/>
              </w:rPr>
              <w:t>性工作需要及突</w:t>
            </w:r>
            <w:r>
              <w:rPr>
                <w:spacing w:val="-2"/>
                <w:highlight w:val="none"/>
                <w:lang w:eastAsia="zh-CN"/>
              </w:rPr>
              <w:t>发事件处置，得1分。</w:t>
            </w:r>
            <w:r>
              <w:rPr>
                <w:spacing w:val="-2"/>
                <w:highlight w:val="none"/>
              </w:rPr>
              <w:t>无承诺不得分。</w:t>
            </w:r>
          </w:p>
        </w:tc>
      </w:tr>
      <w:tr w14:paraId="2E1AFC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0" w:hRule="atLeast"/>
          <w:jc w:val="center"/>
        </w:trPr>
        <w:tc>
          <w:tcPr>
            <w:tcW w:w="554" w:type="dxa"/>
            <w:vAlign w:val="center"/>
          </w:tcPr>
          <w:p w14:paraId="41670374">
            <w:pPr>
              <w:pStyle w:val="33"/>
              <w:jc w:val="center"/>
              <w:rPr>
                <w:spacing w:val="-7"/>
                <w:highlight w:val="none"/>
              </w:rPr>
            </w:pPr>
            <w:r>
              <w:rPr>
                <w:spacing w:val="-8"/>
                <w:highlight w:val="none"/>
              </w:rPr>
              <w:t>说明</w:t>
            </w:r>
          </w:p>
        </w:tc>
        <w:tc>
          <w:tcPr>
            <w:tcW w:w="8291" w:type="dxa"/>
            <w:gridSpan w:val="2"/>
            <w:vAlign w:val="center"/>
          </w:tcPr>
          <w:p w14:paraId="399ACEC4">
            <w:pPr>
              <w:pStyle w:val="33"/>
              <w:jc w:val="center"/>
              <w:rPr>
                <w:spacing w:val="3"/>
                <w:highlight w:val="none"/>
                <w:lang w:eastAsia="zh-CN"/>
              </w:rPr>
            </w:pPr>
            <w:r>
              <w:rPr>
                <w:spacing w:val="2"/>
                <w:highlight w:val="none"/>
                <w:lang w:eastAsia="zh-CN"/>
              </w:rPr>
              <w:t>磋商小组成员须按照本评审要素据实打分。</w:t>
            </w:r>
          </w:p>
        </w:tc>
      </w:tr>
    </w:tbl>
    <w:p w14:paraId="6DBDE0FD">
      <w:pPr>
        <w:spacing w:line="500" w:lineRule="exact"/>
        <w:ind w:firstLine="566" w:firstLineChars="200"/>
        <w:rPr>
          <w:rFonts w:ascii="仿宋" w:hAnsi="仿宋" w:eastAsia="仿宋" w:cs="仿宋"/>
          <w:b/>
          <w:color w:val="000000"/>
          <w:highlight w:val="none"/>
        </w:rPr>
      </w:pPr>
      <w:r>
        <w:rPr>
          <w:rFonts w:hint="eastAsia" w:ascii="仿宋" w:hAnsi="仿宋" w:eastAsia="仿宋" w:cs="仿宋"/>
          <w:b/>
          <w:color w:val="000000"/>
          <w:highlight w:val="none"/>
        </w:rPr>
        <w:t>9、推荐成交候选供应商</w:t>
      </w:r>
    </w:p>
    <w:p w14:paraId="1FDCD057">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磋商小组应当根据综合评分情况，按照评审得分由高到低顺序推荐3名以上成交候选供应商（有效供应商不足三家时以实际数量推荐）。评审得分相同的，按照最后报价由低到高的顺序推荐。评审得分且最后报价相同的，按照技术指标优劣顺序推荐。</w:t>
      </w:r>
    </w:p>
    <w:p w14:paraId="39CC044A">
      <w:pPr>
        <w:spacing w:line="500" w:lineRule="exact"/>
        <w:ind w:firstLine="566" w:firstLineChars="200"/>
        <w:rPr>
          <w:rFonts w:ascii="仿宋" w:hAnsi="仿宋" w:eastAsia="仿宋" w:cs="仿宋"/>
          <w:b/>
          <w:color w:val="000000"/>
          <w:highlight w:val="none"/>
        </w:rPr>
      </w:pPr>
      <w:r>
        <w:rPr>
          <w:rFonts w:hint="eastAsia" w:ascii="仿宋" w:hAnsi="仿宋" w:eastAsia="仿宋" w:cs="仿宋"/>
          <w:b/>
          <w:color w:val="000000"/>
          <w:highlight w:val="none"/>
        </w:rPr>
        <w:t>10、编写评审报告</w:t>
      </w:r>
    </w:p>
    <w:p w14:paraId="28844B29">
      <w:pPr>
        <w:widowControl w:val="0"/>
        <w:spacing w:line="500" w:lineRule="exact"/>
        <w:ind w:firstLine="566" w:firstLineChars="200"/>
        <w:rPr>
          <w:rFonts w:ascii="仿宋" w:hAnsi="仿宋" w:eastAsia="仿宋" w:cs="仿宋"/>
          <w:highlight w:val="none"/>
        </w:rPr>
      </w:pPr>
      <w:r>
        <w:rPr>
          <w:rFonts w:hint="eastAsia" w:ascii="仿宋" w:hAnsi="仿宋" w:eastAsia="仿宋" w:cs="仿宋"/>
          <w:color w:val="000000"/>
          <w:highlight w:val="none"/>
        </w:rPr>
        <w:t>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同按评审报告推荐的顺序确定成交供应商。对拒绝说明理由的，须报政府采购监管部门处理，</w:t>
      </w:r>
      <w:r>
        <w:rPr>
          <w:rFonts w:hint="eastAsia" w:ascii="仿宋" w:hAnsi="仿宋" w:eastAsia="仿宋" w:cs="仿宋"/>
          <w:highlight w:val="none"/>
        </w:rPr>
        <w:t>并将其评审情况如实计入考核表。</w:t>
      </w:r>
    </w:p>
    <w:p w14:paraId="40161B23">
      <w:pPr>
        <w:spacing w:line="500" w:lineRule="exact"/>
        <w:ind w:firstLine="566" w:firstLineChars="200"/>
        <w:rPr>
          <w:rFonts w:ascii="仿宋" w:hAnsi="仿宋" w:eastAsia="仿宋" w:cs="仿宋"/>
          <w:b/>
          <w:bCs/>
          <w:highlight w:val="none"/>
        </w:rPr>
      </w:pPr>
      <w:r>
        <w:rPr>
          <w:rFonts w:hint="eastAsia" w:ascii="仿宋" w:hAnsi="仿宋" w:eastAsia="仿宋" w:cs="仿宋"/>
          <w:highlight w:val="none"/>
        </w:rPr>
        <w:t>磋商小组如果启动异常低价响应审查，应当将启动原因、审查意见和审查结果在评审报告中记录，并随供应商提供的相关书面说明及证明材料，以及磋商小组有关互联网浏览、查询历史一并归档。</w:t>
      </w:r>
    </w:p>
    <w:p w14:paraId="45D4AC14">
      <w:pPr>
        <w:widowControl w:val="0"/>
        <w:spacing w:line="500" w:lineRule="exact"/>
        <w:ind w:firstLine="566" w:firstLineChars="200"/>
        <w:rPr>
          <w:rFonts w:ascii="仿宋" w:hAnsi="仿宋" w:eastAsia="仿宋" w:cs="仿宋"/>
          <w:b/>
          <w:bCs/>
          <w:color w:val="000000"/>
          <w:highlight w:val="none"/>
        </w:rPr>
      </w:pPr>
      <w:r>
        <w:rPr>
          <w:rFonts w:hint="eastAsia" w:ascii="仿宋" w:hAnsi="仿宋" w:eastAsia="仿宋" w:cs="仿宋"/>
          <w:b/>
          <w:bCs/>
          <w:color w:val="000000"/>
          <w:highlight w:val="none"/>
        </w:rPr>
        <w:t>采购人书面授权磋商小组直接确定成交供应商的，磋商小组应在评审报告中明确成交供应商及成交金额。</w:t>
      </w:r>
    </w:p>
    <w:p w14:paraId="642DFEA1">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除下列情形外，任何人不得以任何理由组织重新评审：</w:t>
      </w:r>
    </w:p>
    <w:p w14:paraId="030CFCF7">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（1）资格性检查认定错误的；</w:t>
      </w:r>
    </w:p>
    <w:p w14:paraId="6DC606AF">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（2）分值汇总计算错误的；</w:t>
      </w:r>
    </w:p>
    <w:p w14:paraId="3E6144D1">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（3）分项评分超出评分标准范围的；</w:t>
      </w:r>
    </w:p>
    <w:p w14:paraId="2EACD347">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（4）客观分评分不一致的；</w:t>
      </w:r>
    </w:p>
    <w:p w14:paraId="541FCAA4">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（5）经磋商小组一致认定评分畸高、畸低的情形。</w:t>
      </w:r>
    </w:p>
    <w:p w14:paraId="337E6AFD">
      <w:pPr>
        <w:spacing w:line="500" w:lineRule="exact"/>
        <w:ind w:firstLine="566" w:firstLineChars="200"/>
        <w:rPr>
          <w:rFonts w:ascii="仿宋" w:hAnsi="仿宋" w:eastAsia="仿宋" w:cs="仿宋"/>
          <w:b/>
          <w:color w:val="000000"/>
          <w:highlight w:val="none"/>
        </w:rPr>
      </w:pPr>
      <w:r>
        <w:rPr>
          <w:rFonts w:hint="eastAsia" w:ascii="仿宋" w:hAnsi="仿宋" w:eastAsia="仿宋" w:cs="仿宋"/>
          <w:b/>
          <w:color w:val="000000"/>
          <w:highlight w:val="none"/>
        </w:rPr>
        <w:t>（六）有下列情况之一的，视为供应商串通投标，其投标无效：</w:t>
      </w:r>
    </w:p>
    <w:p w14:paraId="40E196DD">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1、不同供应商的响应文件由同一单位或者个人编制；</w:t>
      </w:r>
    </w:p>
    <w:p w14:paraId="72737A3A">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2、不同供应商的响应文件由同一台电脑编制；</w:t>
      </w:r>
    </w:p>
    <w:p w14:paraId="286C3EA6">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3、不同供应商委托同一单位或者个人办理投标事宜；</w:t>
      </w:r>
    </w:p>
    <w:p w14:paraId="4174EA57">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4、不同供应商的响应文件载明的项目管理成员或者联系人员为同一人；</w:t>
      </w:r>
    </w:p>
    <w:p w14:paraId="33876663">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5、不同供应商的响应文件异常一致或者磋商报价呈规律性差异；</w:t>
      </w:r>
    </w:p>
    <w:p w14:paraId="0B310319">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6、不同供应商的响应文件相互混装；</w:t>
      </w:r>
    </w:p>
    <w:p w14:paraId="67EED032">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7、政府采购法律法规及磋商文件规定的其他情形。</w:t>
      </w:r>
    </w:p>
    <w:p w14:paraId="582C0556">
      <w:pPr>
        <w:pStyle w:val="3"/>
        <w:widowControl w:val="0"/>
        <w:spacing w:line="500" w:lineRule="exact"/>
        <w:ind w:firstLine="566" w:firstLineChars="200"/>
        <w:rPr>
          <w:rFonts w:ascii="仿宋" w:hAnsi="仿宋" w:eastAsia="仿宋" w:cs="仿宋"/>
          <w:color w:val="000000"/>
          <w:sz w:val="28"/>
          <w:szCs w:val="28"/>
          <w:highlight w:val="none"/>
        </w:rPr>
      </w:pPr>
      <w:bookmarkStart w:id="528" w:name="_Toc28384"/>
      <w:bookmarkStart w:id="529" w:name="_Toc25855"/>
      <w:bookmarkStart w:id="530" w:name="_Toc31221"/>
      <w:bookmarkStart w:id="531" w:name="_Toc22712"/>
      <w:bookmarkStart w:id="532" w:name="_Toc17612"/>
      <w:bookmarkStart w:id="533" w:name="_Toc29298"/>
      <w:bookmarkStart w:id="534" w:name="_Toc20181"/>
      <w:bookmarkStart w:id="535" w:name="_Toc30924"/>
      <w:bookmarkStart w:id="536" w:name="_Toc565"/>
      <w:bookmarkStart w:id="537" w:name="_Toc26364"/>
      <w:bookmarkStart w:id="538" w:name="_Toc25253"/>
      <w:bookmarkStart w:id="539" w:name="_Toc17497"/>
      <w:bookmarkStart w:id="540" w:name="_Toc4670"/>
      <w:bookmarkStart w:id="541" w:name="_Toc2023"/>
      <w:bookmarkStart w:id="542" w:name="_Toc10026"/>
      <w:bookmarkStart w:id="543" w:name="_Toc24343"/>
      <w:r>
        <w:rPr>
          <w:rFonts w:hint="eastAsia" w:ascii="仿宋" w:hAnsi="仿宋" w:eastAsia="仿宋" w:cs="仿宋"/>
          <w:color w:val="000000"/>
          <w:sz w:val="28"/>
          <w:szCs w:val="28"/>
          <w:highlight w:val="none"/>
        </w:rPr>
        <w:t>八、成交</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p>
    <w:p w14:paraId="7A4BB606">
      <w:pPr>
        <w:widowControl w:val="0"/>
        <w:spacing w:line="500" w:lineRule="exact"/>
        <w:ind w:firstLine="566" w:firstLineChars="200"/>
        <w:rPr>
          <w:rFonts w:ascii="仿宋" w:hAnsi="仿宋" w:eastAsia="仿宋" w:cs="仿宋"/>
          <w:b/>
          <w:bCs/>
          <w:color w:val="000000"/>
          <w:highlight w:val="none"/>
        </w:rPr>
      </w:pPr>
      <w:r>
        <w:rPr>
          <w:rFonts w:hint="eastAsia" w:ascii="仿宋" w:hAnsi="仿宋" w:eastAsia="仿宋" w:cs="仿宋"/>
          <w:b/>
          <w:bCs/>
          <w:color w:val="000000"/>
          <w:highlight w:val="none"/>
        </w:rPr>
        <w:t>（一）本项目采用第</w:t>
      </w:r>
      <w:r>
        <w:rPr>
          <w:rFonts w:hint="eastAsia" w:ascii="仿宋" w:hAnsi="仿宋" w:eastAsia="仿宋" w:cs="仿宋"/>
          <w:b/>
          <w:bCs/>
          <w:color w:val="000000"/>
          <w:highlight w:val="none"/>
          <w:u w:val="single"/>
        </w:rPr>
        <w:t>1</w:t>
      </w:r>
      <w:r>
        <w:rPr>
          <w:rFonts w:hint="eastAsia" w:ascii="仿宋" w:hAnsi="仿宋" w:eastAsia="仿宋" w:cs="仿宋"/>
          <w:b/>
          <w:bCs/>
          <w:color w:val="000000"/>
          <w:highlight w:val="none"/>
        </w:rPr>
        <w:t>种方式确定成交供应商：</w:t>
      </w:r>
    </w:p>
    <w:p w14:paraId="4C49ED16">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1、采购人根据磋商小组评审结果确认。</w:t>
      </w:r>
    </w:p>
    <w:p w14:paraId="56922786">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陕西省省级单位政府采购中心在评审结束后2个工作日内将评审报告送采购人确认。采购人在收到评审报告之日起5个工作日内，从评审报告提出的成交候选供应商中，按照排序由高到低的原则确定成交供应商。采购人逾期未确定成交供应商且不提出异议的，视同按评审报告提出的排序第一的供应商为成交供应商。</w:t>
      </w:r>
    </w:p>
    <w:p w14:paraId="07117983">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2、采购人书面授权磋商小组直接确定成交供应商。</w:t>
      </w:r>
    </w:p>
    <w:p w14:paraId="7F30CA19">
      <w:pPr>
        <w:widowControl w:val="0"/>
        <w:wordWrap w:val="0"/>
        <w:spacing w:line="500" w:lineRule="exact"/>
        <w:ind w:firstLine="566" w:firstLineChars="200"/>
        <w:rPr>
          <w:rFonts w:ascii="仿宋" w:hAnsi="仿宋" w:eastAsia="仿宋" w:cs="仿宋"/>
          <w:b/>
          <w:bCs/>
          <w:color w:val="000000"/>
          <w:highlight w:val="none"/>
        </w:rPr>
      </w:pPr>
      <w:r>
        <w:rPr>
          <w:rFonts w:hint="eastAsia" w:ascii="仿宋" w:hAnsi="仿宋" w:eastAsia="仿宋" w:cs="仿宋"/>
          <w:b/>
          <w:bCs/>
          <w:color w:val="000000"/>
          <w:highlight w:val="none"/>
        </w:rPr>
        <w:t>采购人在评审前提供《委托评审小组定标授权书》，磋商小组</w:t>
      </w:r>
      <w:r>
        <w:rPr>
          <w:rFonts w:hint="eastAsia" w:ascii="仿宋" w:hAnsi="仿宋" w:eastAsia="仿宋" w:cs="仿宋"/>
          <w:b/>
          <w:bCs/>
          <w:highlight w:val="none"/>
        </w:rPr>
        <w:t>会</w:t>
      </w:r>
      <w:r>
        <w:rPr>
          <w:rFonts w:hint="eastAsia" w:ascii="仿宋" w:hAnsi="仿宋" w:eastAsia="仿宋" w:cs="仿宋"/>
          <w:b/>
          <w:bCs/>
          <w:color w:val="000000"/>
          <w:highlight w:val="none"/>
        </w:rPr>
        <w:t>将根据采购人授权直接确定成交供应商。</w:t>
      </w:r>
    </w:p>
    <w:p w14:paraId="50A3BED9">
      <w:pPr>
        <w:widowControl w:val="0"/>
        <w:wordWrap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（二）陕西省省级单位政府采购中心将在成交供应商确定之日起2个工作日内，在【</w:t>
      </w:r>
      <w:r>
        <w:rPr>
          <w:rFonts w:hint="eastAsia"/>
          <w:highlight w:val="none"/>
        </w:rPr>
        <w:fldChar w:fldCharType="begin"/>
      </w:r>
      <w:r>
        <w:rPr>
          <w:rFonts w:hint="eastAsia" w:ascii="仿宋" w:hAnsi="仿宋" w:eastAsia="仿宋" w:cs="仿宋"/>
          <w:color w:val="000000"/>
          <w:highlight w:val="none"/>
        </w:rPr>
        <w:instrText xml:space="preserve"> HYPERLINK "http://www.ccgp-shaanxi.gov.cn/" </w:instrText>
      </w:r>
      <w:r>
        <w:rPr>
          <w:rFonts w:hint="eastAsia"/>
          <w:highlight w:val="none"/>
        </w:rPr>
        <w:fldChar w:fldCharType="separate"/>
      </w:r>
      <w:r>
        <w:rPr>
          <w:rStyle w:val="23"/>
          <w:rFonts w:hint="eastAsia" w:ascii="仿宋" w:hAnsi="仿宋" w:eastAsia="仿宋" w:cs="仿宋"/>
          <w:sz w:val="28"/>
          <w:szCs w:val="28"/>
          <w:highlight w:val="none"/>
        </w:rPr>
        <w:t>陕西省政府采购网</w:t>
      </w:r>
      <w:r>
        <w:rPr>
          <w:rStyle w:val="23"/>
          <w:rFonts w:hint="eastAsia" w:ascii="仿宋" w:hAnsi="仿宋" w:eastAsia="仿宋" w:cs="仿宋"/>
          <w:sz w:val="28"/>
          <w:szCs w:val="28"/>
          <w:highlight w:val="none"/>
        </w:rPr>
        <w:fldChar w:fldCharType="end"/>
      </w:r>
      <w:r>
        <w:rPr>
          <w:rFonts w:hint="eastAsia" w:ascii="仿宋" w:hAnsi="仿宋" w:eastAsia="仿宋" w:cs="仿宋"/>
          <w:color w:val="000000"/>
          <w:highlight w:val="none"/>
        </w:rPr>
        <w:t>（www.ccgp-shaanxi.gov.cn）</w:t>
      </w:r>
      <w:r>
        <w:rPr>
          <w:rStyle w:val="23"/>
          <w:rFonts w:hint="eastAsia" w:ascii="仿宋" w:hAnsi="仿宋" w:eastAsia="仿宋" w:cs="仿宋"/>
          <w:sz w:val="28"/>
          <w:szCs w:val="28"/>
          <w:highlight w:val="none"/>
        </w:rPr>
        <w:t>】、</w:t>
      </w:r>
      <w:r>
        <w:rPr>
          <w:rFonts w:hint="eastAsia" w:ascii="仿宋" w:hAnsi="仿宋" w:eastAsia="仿宋" w:cs="仿宋"/>
          <w:color w:val="000000"/>
          <w:highlight w:val="none"/>
        </w:rPr>
        <w:t>【全国</w:t>
      </w:r>
      <w:r>
        <w:rPr>
          <w:rFonts w:hint="eastAsia" w:ascii="仿宋" w:hAnsi="仿宋" w:eastAsia="仿宋" w:cs="仿宋"/>
          <w:bCs/>
          <w:color w:val="000000"/>
          <w:highlight w:val="none"/>
        </w:rPr>
        <w:t>公共资源交易平台（陕西省）（http://www.sxggzyjy.cn/）</w:t>
      </w:r>
      <w:r>
        <w:rPr>
          <w:rStyle w:val="23"/>
          <w:rFonts w:hint="eastAsia" w:ascii="仿宋" w:hAnsi="仿宋" w:eastAsia="仿宋" w:cs="仿宋"/>
          <w:sz w:val="28"/>
          <w:szCs w:val="28"/>
          <w:highlight w:val="none"/>
        </w:rPr>
        <w:t>】</w:t>
      </w:r>
      <w:r>
        <w:rPr>
          <w:rFonts w:hint="eastAsia" w:ascii="仿宋" w:hAnsi="仿宋" w:eastAsia="仿宋" w:cs="仿宋"/>
          <w:color w:val="000000"/>
          <w:highlight w:val="none"/>
        </w:rPr>
        <w:t>上发布成交公告，成交公告期限为1个工作日。同时，陕西省省级单位政府采购中心向成交供应商发出“成交通知书”，并将磋商文件随成交结果同时公告。成交结果公告应当包括以下内容：</w:t>
      </w:r>
    </w:p>
    <w:p w14:paraId="4E79FCD4">
      <w:pPr>
        <w:wordWrap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1、采购人和采购代理机构的名称、地址和联系方式；</w:t>
      </w:r>
    </w:p>
    <w:p w14:paraId="7BAB206E">
      <w:pPr>
        <w:wordWrap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2、项目名称和项目编号；</w:t>
      </w:r>
    </w:p>
    <w:p w14:paraId="45ABE614">
      <w:pPr>
        <w:wordWrap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3、成交供应商名称、地址和成交金额；</w:t>
      </w:r>
    </w:p>
    <w:p w14:paraId="61962484">
      <w:pPr>
        <w:wordWrap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4、主要成交标的的名称、规格型号、数量、单价、服务要求；</w:t>
      </w:r>
    </w:p>
    <w:p w14:paraId="3F3B08FE">
      <w:pPr>
        <w:widowControl w:val="0"/>
        <w:wordWrap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5、磋商小组成员名单。</w:t>
      </w:r>
    </w:p>
    <w:p w14:paraId="4DCDE368">
      <w:pPr>
        <w:widowControl w:val="0"/>
        <w:wordWrap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采用书面推荐供应商参加采购活动的，还应当公告采购人和评审专家的推荐意见。</w:t>
      </w:r>
    </w:p>
    <w:p w14:paraId="771BED14">
      <w:pPr>
        <w:pStyle w:val="3"/>
        <w:widowControl w:val="0"/>
        <w:spacing w:line="480" w:lineRule="exact"/>
        <w:ind w:firstLine="566" w:firstLineChars="200"/>
        <w:rPr>
          <w:rFonts w:ascii="仿宋" w:hAnsi="仿宋" w:eastAsia="仿宋" w:cs="仿宋"/>
          <w:color w:val="000000"/>
          <w:sz w:val="28"/>
          <w:szCs w:val="28"/>
          <w:highlight w:val="none"/>
        </w:rPr>
      </w:pPr>
      <w:bookmarkStart w:id="544" w:name="_Toc20049"/>
      <w:bookmarkStart w:id="545" w:name="_Toc31537"/>
      <w:bookmarkStart w:id="546" w:name="_Toc21877"/>
      <w:bookmarkStart w:id="547" w:name="_Toc1722"/>
      <w:bookmarkStart w:id="548" w:name="_Toc10386"/>
      <w:bookmarkStart w:id="549" w:name="_Toc14009"/>
      <w:bookmarkStart w:id="550" w:name="_Toc6516"/>
      <w:bookmarkStart w:id="551" w:name="_Toc3100"/>
      <w:bookmarkStart w:id="552" w:name="_Toc28870"/>
      <w:bookmarkStart w:id="553" w:name="_Toc25955"/>
      <w:bookmarkStart w:id="554" w:name="_Toc29294"/>
      <w:bookmarkStart w:id="555" w:name="_Toc11495"/>
      <w:bookmarkStart w:id="556" w:name="_Toc10630"/>
      <w:bookmarkStart w:id="557" w:name="_Toc30757"/>
      <w:bookmarkStart w:id="558" w:name="_Toc8355"/>
      <w:bookmarkStart w:id="559" w:name="_Toc3289"/>
      <w:r>
        <w:rPr>
          <w:rFonts w:hint="eastAsia" w:ascii="仿宋" w:hAnsi="仿宋" w:eastAsia="仿宋" w:cs="仿宋"/>
          <w:color w:val="000000"/>
          <w:sz w:val="28"/>
          <w:szCs w:val="28"/>
          <w:highlight w:val="none"/>
        </w:rPr>
        <w:t>九、签订政府采购合同</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 w14:paraId="04BB3E9F">
      <w:pPr>
        <w:widowControl w:val="0"/>
        <w:spacing w:line="48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（一）采购人与成交供应商应当在成交通知书发出之日起25日内，按照磋商文件确定的合同文本以及采购标的、规格型号、采购金额、采购数量、技术和服务要求等事项协商签订政府采购合同。</w:t>
      </w:r>
    </w:p>
    <w:p w14:paraId="16CE317C">
      <w:pPr>
        <w:widowControl w:val="0"/>
        <w:spacing w:line="48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二）采购人不得向成交供应商提出超出磋商文件以外的任何要求作为签订合同的条件，不得与成交供应商订立背离磋商文件确定的合同文本以及采购标的、规格型号、采购金额、采购数量、技术和服务要求等实质性内容的协议。</w:t>
      </w:r>
    </w:p>
    <w:p w14:paraId="485D8D30">
      <w:pPr>
        <w:widowControl w:val="0"/>
        <w:spacing w:line="46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三）成交供应商拒绝与采购人签订合同的，采购人可以按照评审报告推荐的成交候选人名单排序，确定下一候选人为成交供应商，也可以重新开展政府采购活动。拒绝签订政府采购合同的成交供应商不得参加对该项目重新开展的采购活动。</w:t>
      </w:r>
    </w:p>
    <w:p w14:paraId="11E86269">
      <w:pPr>
        <w:widowControl w:val="0"/>
        <w:spacing w:line="46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（四）磋商文件、成交供应商的响应文件、《成交通知书》及其澄清、说明文件、承诺等，均为签订采购合同的依据，作为采购合同的组成部分。</w:t>
      </w:r>
    </w:p>
    <w:p w14:paraId="1AFD614B">
      <w:pPr>
        <w:widowControl w:val="0"/>
        <w:spacing w:line="460" w:lineRule="exact"/>
        <w:ind w:firstLine="566" w:firstLineChars="200"/>
        <w:rPr>
          <w:rFonts w:ascii="仿宋" w:hAnsi="仿宋" w:eastAsia="仿宋" w:cs="仿宋"/>
          <w:color w:val="000000"/>
          <w:kern w:val="0"/>
          <w:highlight w:val="none"/>
        </w:rPr>
      </w:pPr>
      <w:r>
        <w:rPr>
          <w:rFonts w:hint="eastAsia" w:ascii="仿宋" w:hAnsi="仿宋" w:eastAsia="仿宋" w:cs="仿宋"/>
          <w:color w:val="000000"/>
          <w:kern w:val="0"/>
          <w:highlight w:val="none"/>
        </w:rPr>
        <w:t>（五）政府采购合同应当包括采购人与成交供应商的名称和住所、标的、数量、质量、价款或者报酬、履行期限及地点和方式、验收要求、违约责任、解决争议的方法等内容。</w:t>
      </w:r>
    </w:p>
    <w:p w14:paraId="6F7B1D7E">
      <w:pPr>
        <w:widowControl w:val="0"/>
        <w:spacing w:line="460" w:lineRule="exact"/>
        <w:ind w:firstLine="0" w:firstLineChars="0"/>
        <w:rPr>
          <w:rFonts w:ascii="仿宋" w:hAnsi="仿宋" w:eastAsia="仿宋" w:cs="仿宋"/>
          <w:color w:val="000000"/>
          <w:kern w:val="0"/>
          <w:highlight w:val="none"/>
        </w:rPr>
      </w:pPr>
      <w:r>
        <w:rPr>
          <w:rFonts w:hint="eastAsia" w:ascii="仿宋" w:hAnsi="仿宋" w:eastAsia="仿宋" w:cs="仿宋"/>
          <w:color w:val="000000"/>
          <w:kern w:val="0"/>
          <w:highlight w:val="none"/>
        </w:rPr>
        <w:t>（六）采购人与成交供应商应当根据合同的约定依法履行合同义务。政府采购合同的履行、违约责任和解决争议的方法等适用《中华人民共和国民法典》。</w:t>
      </w:r>
    </w:p>
    <w:p w14:paraId="51247091">
      <w:pPr>
        <w:widowControl w:val="0"/>
        <w:spacing w:line="460" w:lineRule="exact"/>
        <w:ind w:firstLine="566" w:firstLineChars="200"/>
        <w:rPr>
          <w:rFonts w:ascii="仿宋" w:hAnsi="仿宋" w:eastAsia="仿宋" w:cs="仿宋"/>
          <w:color w:val="000000"/>
          <w:kern w:val="0"/>
          <w:highlight w:val="none"/>
        </w:rPr>
      </w:pPr>
      <w:r>
        <w:rPr>
          <w:rFonts w:hint="eastAsia" w:ascii="仿宋" w:hAnsi="仿宋" w:eastAsia="仿宋" w:cs="仿宋"/>
          <w:color w:val="000000"/>
          <w:kern w:val="0"/>
          <w:highlight w:val="none"/>
        </w:rPr>
        <w:t>（七）采购人应当及时对采购项目进行验收。采购人可以邀请参加本项目的其他供应商或者第三方机构参与验收。参与验收的供应商或者第三方机构的意见作为验收书的参考资料一并存档。</w:t>
      </w:r>
    </w:p>
    <w:p w14:paraId="3D94C4D5">
      <w:pPr>
        <w:widowControl w:val="0"/>
        <w:spacing w:line="460" w:lineRule="exact"/>
        <w:ind w:firstLine="566" w:firstLineChars="200"/>
        <w:rPr>
          <w:rFonts w:ascii="仿宋" w:hAnsi="仿宋" w:eastAsia="仿宋" w:cs="仿宋"/>
          <w:color w:val="000000"/>
          <w:kern w:val="0"/>
          <w:highlight w:val="none"/>
        </w:rPr>
      </w:pPr>
      <w:r>
        <w:rPr>
          <w:rFonts w:hint="eastAsia" w:ascii="仿宋" w:hAnsi="仿宋" w:eastAsia="仿宋" w:cs="仿宋"/>
          <w:color w:val="000000"/>
          <w:kern w:val="0"/>
          <w:highlight w:val="none"/>
        </w:rPr>
        <w:t>（八）采购人应当加强对成交供应商的履约管理，并按照采购合同约定，及时向成交供应商支付采购资金。对于成交供应商违反采购合同约定的行为，采购人应当及时处理，依法追究其违约责任。</w:t>
      </w:r>
    </w:p>
    <w:p w14:paraId="0FB2BA79">
      <w:pPr>
        <w:pStyle w:val="3"/>
        <w:widowControl w:val="0"/>
        <w:spacing w:line="460" w:lineRule="exact"/>
        <w:ind w:firstLine="566" w:firstLineChars="200"/>
        <w:rPr>
          <w:rFonts w:ascii="仿宋" w:hAnsi="仿宋" w:eastAsia="仿宋" w:cs="仿宋"/>
          <w:color w:val="000000"/>
          <w:sz w:val="28"/>
          <w:szCs w:val="28"/>
          <w:highlight w:val="none"/>
        </w:rPr>
      </w:pPr>
      <w:bookmarkStart w:id="560" w:name="_Toc22177"/>
      <w:bookmarkStart w:id="561" w:name="_Toc21906"/>
      <w:bookmarkStart w:id="562" w:name="_Toc22393"/>
      <w:bookmarkStart w:id="563" w:name="_Toc28286"/>
      <w:bookmarkStart w:id="564" w:name="_Toc864"/>
      <w:bookmarkStart w:id="565" w:name="_Toc28096"/>
      <w:bookmarkStart w:id="566" w:name="_Toc3153"/>
      <w:bookmarkStart w:id="567" w:name="_Toc27562"/>
      <w:bookmarkStart w:id="568" w:name="_Toc17467"/>
      <w:bookmarkStart w:id="569" w:name="_Toc17915"/>
      <w:bookmarkStart w:id="570" w:name="_Toc20685"/>
      <w:bookmarkStart w:id="571" w:name="_Toc16637"/>
      <w:bookmarkStart w:id="572" w:name="_Toc23346"/>
      <w:bookmarkStart w:id="573" w:name="_Toc1272"/>
      <w:bookmarkStart w:id="574" w:name="_Toc1029"/>
      <w:r>
        <w:rPr>
          <w:rFonts w:hint="eastAsia" w:ascii="仿宋" w:hAnsi="仿宋" w:eastAsia="仿宋" w:cs="仿宋"/>
          <w:color w:val="000000"/>
          <w:sz w:val="28"/>
          <w:szCs w:val="28"/>
          <w:highlight w:val="none"/>
        </w:rPr>
        <w:t>十、其他</w:t>
      </w:r>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70B42B08">
      <w:pPr>
        <w:widowControl w:val="0"/>
        <w:spacing w:line="46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一）磋商小组发现磋商文件存在歧义、重大缺陷导致评审工作无法进行，或者磋商文件内容违反国家有关强制性规定的，应当停止评审工作，与采购人或者陕西省省级单位政府采购中心沟通并作书面记录。采购人或者陕西省省级单位政府采购中心确认后，应当修改磋商文件，重新组织采购活动。</w:t>
      </w:r>
    </w:p>
    <w:p w14:paraId="04BF8155">
      <w:pPr>
        <w:widowControl w:val="0"/>
        <w:spacing w:line="46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（二）根据《政府采购法》第三十六条规定，在磋商采购中，出现下列情形之一的，本项目按废标处理：</w:t>
      </w:r>
    </w:p>
    <w:p w14:paraId="0E4EAE34">
      <w:pPr>
        <w:widowControl w:val="0"/>
        <w:spacing w:line="46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1、出现影响采购公正的违法、违规行为的；</w:t>
      </w:r>
    </w:p>
    <w:p w14:paraId="6867713D">
      <w:pPr>
        <w:widowControl w:val="0"/>
        <w:spacing w:line="46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2、供应商的报价均超过了采购预算，采购人不能支付的；</w:t>
      </w:r>
    </w:p>
    <w:p w14:paraId="04DBB7F1">
      <w:pPr>
        <w:widowControl w:val="0"/>
        <w:spacing w:line="46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3、因重大变故，采购任务取消的。</w:t>
      </w:r>
    </w:p>
    <w:p w14:paraId="6A9C7FC8">
      <w:pPr>
        <w:widowControl w:val="0"/>
        <w:spacing w:line="46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废标后，由陕西省省级单位政府采购中心发布废标公告。除采购任务取消外，本项目将重新组织采购活动。</w:t>
      </w:r>
    </w:p>
    <w:p w14:paraId="1932A0FA">
      <w:pPr>
        <w:widowControl w:val="0"/>
        <w:spacing w:line="46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（三）在递交响应文件阶段、资格审查阶段以及符合性审查阶段，当出现有效供应商不足3家时，除采购任务取消外，按照以下方式处理：</w:t>
      </w:r>
    </w:p>
    <w:p w14:paraId="1FD4D7DF">
      <w:pPr>
        <w:widowControl w:val="0"/>
        <w:spacing w:line="46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1、磋商文件存在不合理条款或者磋商程序不符合规定的，采购人、陕西省省级单位政府采购中心改正后依法重新开展采购活动；</w:t>
      </w:r>
    </w:p>
    <w:p w14:paraId="06C9F912">
      <w:pPr>
        <w:widowControl w:val="0"/>
        <w:spacing w:line="46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2、磋商文件没有不合理条款、磋商程序符合规定，需要采用其他采购式采购的，采购人应当依法报财政部门批准。</w:t>
      </w:r>
    </w:p>
    <w:p w14:paraId="24D1E64A">
      <w:pPr>
        <w:widowControl w:val="0"/>
        <w:spacing w:line="46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（四）陕西省省级单位政府采购中心应当采取必要措施，保证评审在严格保密的情况下进行。除采购人代表、评审现场组织人员外，采购人的其他工作人员以及与评审工作无关的人员不得进入评审现场。</w:t>
      </w:r>
    </w:p>
    <w:p w14:paraId="32875617">
      <w:pPr>
        <w:widowControl w:val="0"/>
        <w:spacing w:line="46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有关人员对评审情况以及在评审过程中获悉的国家秘密、商业秘密负有保密责任。</w:t>
      </w:r>
    </w:p>
    <w:p w14:paraId="425ECF9A">
      <w:pPr>
        <w:widowControl w:val="0"/>
        <w:spacing w:line="46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（五）磋商文件未明确的其他事项，按《政府采购法》及其相关法律法规执行。</w:t>
      </w:r>
    </w:p>
    <w:p w14:paraId="7EE7579B">
      <w:pPr>
        <w:pStyle w:val="5"/>
        <w:widowControl w:val="0"/>
        <w:spacing w:line="460" w:lineRule="exact"/>
        <w:ind w:firstLine="566" w:firstLineChars="200"/>
        <w:rPr>
          <w:rFonts w:ascii="仿宋" w:hAnsi="仿宋" w:eastAsia="仿宋" w:cs="仿宋"/>
          <w:color w:val="000000"/>
          <w:highlight w:val="none"/>
        </w:rPr>
      </w:pPr>
      <w:r>
        <w:rPr>
          <w:rFonts w:hint="eastAsia" w:ascii="仿宋" w:hAnsi="仿宋" w:eastAsia="仿宋" w:cs="仿宋"/>
          <w:color w:val="000000"/>
          <w:kern w:val="0"/>
          <w:highlight w:val="none"/>
        </w:rPr>
        <w:t>（六）陕西省省级单位政府采购中心应当建立真实完整的招标采购档案，妥善保存每项采购活动的采购文件。</w:t>
      </w:r>
    </w:p>
    <w:p w14:paraId="1B23BD97">
      <w:pPr>
        <w:widowControl w:val="0"/>
        <w:spacing w:line="480" w:lineRule="exact"/>
        <w:ind w:firstLine="566" w:firstLineChars="200"/>
        <w:rPr>
          <w:rFonts w:ascii="仿宋" w:hAnsi="仿宋" w:eastAsia="仿宋" w:cs="仿宋"/>
          <w:b/>
          <w:bCs/>
          <w:color w:val="000000"/>
          <w:highlight w:val="none"/>
        </w:rPr>
      </w:pPr>
      <w:bookmarkStart w:id="575" w:name="_Toc11780"/>
      <w:bookmarkStart w:id="576" w:name="_Toc5278"/>
      <w:bookmarkStart w:id="577" w:name="_Toc10336"/>
      <w:bookmarkStart w:id="578" w:name="_Toc17324"/>
      <w:bookmarkStart w:id="579" w:name="_Toc19499"/>
      <w:bookmarkStart w:id="580" w:name="_Toc8426"/>
      <w:bookmarkStart w:id="581" w:name="_Toc4764"/>
      <w:bookmarkStart w:id="582" w:name="_Toc23303"/>
      <w:bookmarkStart w:id="583" w:name="_Toc11584"/>
      <w:r>
        <w:rPr>
          <w:rFonts w:hint="eastAsia" w:ascii="仿宋" w:hAnsi="仿宋" w:eastAsia="仿宋" w:cs="仿宋"/>
          <w:b/>
          <w:bCs/>
          <w:color w:val="000000"/>
          <w:highlight w:val="none"/>
        </w:rPr>
        <w:t>十一、采购代理服务费：免费</w:t>
      </w:r>
      <w:bookmarkEnd w:id="575"/>
      <w:bookmarkEnd w:id="576"/>
      <w:bookmarkEnd w:id="577"/>
      <w:bookmarkEnd w:id="578"/>
      <w:bookmarkEnd w:id="579"/>
      <w:bookmarkEnd w:id="580"/>
      <w:bookmarkEnd w:id="581"/>
      <w:bookmarkEnd w:id="582"/>
      <w:bookmarkEnd w:id="583"/>
      <w:r>
        <w:rPr>
          <w:rFonts w:hint="eastAsia" w:ascii="仿宋" w:hAnsi="仿宋" w:eastAsia="仿宋" w:cs="仿宋"/>
          <w:b/>
          <w:bCs/>
          <w:color w:val="000000"/>
          <w:highlight w:val="none"/>
        </w:rPr>
        <w:t>。</w:t>
      </w:r>
    </w:p>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14:paraId="38C64F35">
      <w:pPr>
        <w:pStyle w:val="2"/>
        <w:widowControl w:val="0"/>
        <w:rPr>
          <w:rFonts w:ascii="黑体" w:hAnsi="黑体" w:eastAsia="黑体" w:cs="Times New Roman"/>
          <w:color w:val="000000"/>
          <w:szCs w:val="32"/>
          <w:highlight w:val="none"/>
        </w:rPr>
      </w:pPr>
      <w:bookmarkStart w:id="584" w:name="_Toc495014585"/>
      <w:bookmarkStart w:id="585" w:name="_Toc445306493"/>
      <w:bookmarkStart w:id="586" w:name="_Toc495014954"/>
      <w:bookmarkStart w:id="587" w:name="_Toc21068"/>
      <w:bookmarkStart w:id="588" w:name="_Toc424636365"/>
      <w:bookmarkStart w:id="589" w:name="_Toc495014611"/>
      <w:bookmarkStart w:id="590" w:name="_Toc495012821"/>
      <w:bookmarkStart w:id="591" w:name="_Toc495012771"/>
      <w:bookmarkStart w:id="592" w:name="_Toc495014649"/>
      <w:bookmarkStart w:id="593" w:name="_Toc495014920"/>
      <w:bookmarkStart w:id="594" w:name="_Toc32235"/>
      <w:bookmarkStart w:id="595" w:name="_Toc27328"/>
      <w:bookmarkStart w:id="596" w:name="_Toc3617"/>
      <w:r>
        <w:rPr>
          <w:rFonts w:hint="eastAsia" w:ascii="仿宋" w:hAnsi="仿宋" w:eastAsia="仿宋" w:cs="仿宋"/>
          <w:color w:val="000000"/>
          <w:highlight w:val="none"/>
        </w:rPr>
        <w:br w:type="page"/>
      </w:r>
      <w:bookmarkStart w:id="597" w:name="_Toc19409"/>
      <w:bookmarkStart w:id="598" w:name="_Toc32058"/>
      <w:bookmarkStart w:id="599" w:name="_Toc19304"/>
      <w:bookmarkStart w:id="600" w:name="_Toc31802"/>
      <w:bookmarkStart w:id="601" w:name="_Toc25261"/>
      <w:bookmarkStart w:id="602" w:name="_Toc18314"/>
      <w:bookmarkStart w:id="603" w:name="_Toc29410"/>
      <w:bookmarkStart w:id="604" w:name="_Toc21506"/>
      <w:bookmarkStart w:id="605" w:name="_Toc24542"/>
      <w:r>
        <w:rPr>
          <w:rFonts w:hint="eastAsia" w:ascii="黑体" w:hAnsi="黑体" w:eastAsia="黑体" w:cs="黑体"/>
          <w:b w:val="0"/>
          <w:bCs w:val="0"/>
          <w:sz w:val="32"/>
          <w:szCs w:val="32"/>
          <w:highlight w:val="none"/>
        </w:rPr>
        <w:t>第三章  磋商内容及</w:t>
      </w:r>
      <w:bookmarkEnd w:id="584"/>
      <w:bookmarkEnd w:id="585"/>
      <w:bookmarkEnd w:id="586"/>
      <w:bookmarkEnd w:id="587"/>
      <w:bookmarkEnd w:id="588"/>
      <w:bookmarkEnd w:id="589"/>
      <w:bookmarkEnd w:id="590"/>
      <w:bookmarkEnd w:id="591"/>
      <w:bookmarkEnd w:id="592"/>
      <w:bookmarkEnd w:id="593"/>
      <w:r>
        <w:rPr>
          <w:rFonts w:hint="eastAsia" w:ascii="黑体" w:hAnsi="黑体" w:eastAsia="黑体" w:cs="黑体"/>
          <w:b w:val="0"/>
          <w:bCs w:val="0"/>
          <w:sz w:val="32"/>
          <w:szCs w:val="32"/>
          <w:highlight w:val="none"/>
        </w:rPr>
        <w:t>采购要求</w:t>
      </w:r>
      <w:bookmarkEnd w:id="594"/>
      <w:bookmarkEnd w:id="595"/>
      <w:bookmarkEnd w:id="596"/>
      <w:bookmarkEnd w:id="597"/>
      <w:bookmarkEnd w:id="598"/>
      <w:bookmarkEnd w:id="599"/>
      <w:bookmarkEnd w:id="600"/>
      <w:bookmarkEnd w:id="601"/>
      <w:bookmarkEnd w:id="602"/>
      <w:bookmarkEnd w:id="603"/>
      <w:bookmarkEnd w:id="604"/>
      <w:bookmarkEnd w:id="605"/>
    </w:p>
    <w:p w14:paraId="3F4BCBC4">
      <w:pPr>
        <w:keepLines/>
        <w:snapToGrid w:val="0"/>
        <w:spacing w:line="500" w:lineRule="exact"/>
        <w:ind w:firstLine="566" w:firstLineChars="200"/>
        <w:rPr>
          <w:rFonts w:ascii="仿宋" w:hAnsi="仿宋" w:eastAsia="仿宋" w:cs="仿宋"/>
          <w:b/>
          <w:bCs/>
          <w:color w:val="000000"/>
          <w:highlight w:val="none"/>
        </w:rPr>
      </w:pPr>
      <w:bookmarkStart w:id="606" w:name="_Toc26526"/>
      <w:bookmarkStart w:id="607" w:name="_Toc12911"/>
      <w:bookmarkStart w:id="608" w:name="_Toc20553"/>
      <w:bookmarkStart w:id="609" w:name="_Toc20773"/>
      <w:bookmarkStart w:id="610" w:name="_Toc11068"/>
      <w:bookmarkStart w:id="611" w:name="_Toc8505"/>
      <w:bookmarkStart w:id="612" w:name="_Toc11069"/>
      <w:bookmarkStart w:id="613" w:name="_Toc29744"/>
      <w:bookmarkStart w:id="614" w:name="_Toc12738"/>
      <w:r>
        <w:rPr>
          <w:rFonts w:hint="eastAsia" w:ascii="仿宋" w:hAnsi="仿宋" w:eastAsia="仿宋" w:cs="仿宋"/>
          <w:b/>
          <w:bCs/>
          <w:color w:val="000000"/>
          <w:highlight w:val="none"/>
        </w:rPr>
        <w:t>一、</w:t>
      </w:r>
      <w:bookmarkStart w:id="615" w:name="_Toc9322"/>
      <w:r>
        <w:rPr>
          <w:rFonts w:hint="eastAsia" w:ascii="仿宋" w:hAnsi="仿宋" w:eastAsia="仿宋" w:cs="仿宋"/>
          <w:b/>
          <w:bCs/>
          <w:color w:val="000000"/>
          <w:highlight w:val="none"/>
        </w:rPr>
        <w:t>项目</w:t>
      </w:r>
      <w:bookmarkEnd w:id="615"/>
      <w:r>
        <w:rPr>
          <w:rFonts w:hint="eastAsia" w:ascii="仿宋" w:hAnsi="仿宋" w:eastAsia="仿宋" w:cs="仿宋"/>
          <w:b/>
          <w:bCs/>
          <w:color w:val="000000"/>
          <w:highlight w:val="none"/>
        </w:rPr>
        <w:t>概况</w:t>
      </w:r>
      <w:bookmarkEnd w:id="606"/>
      <w:bookmarkEnd w:id="607"/>
      <w:bookmarkEnd w:id="608"/>
      <w:bookmarkEnd w:id="609"/>
      <w:bookmarkEnd w:id="610"/>
      <w:bookmarkEnd w:id="611"/>
      <w:bookmarkEnd w:id="612"/>
    </w:p>
    <w:p w14:paraId="37734916">
      <w:pPr>
        <w:keepLines/>
        <w:spacing w:line="500" w:lineRule="exact"/>
        <w:ind w:firstLine="550" w:firstLineChars="200"/>
        <w:rPr>
          <w:rFonts w:ascii="仿宋" w:hAnsi="仿宋" w:eastAsia="仿宋" w:cs="仿宋"/>
          <w:color w:val="000000"/>
          <w:spacing w:val="-4"/>
          <w:highlight w:val="none"/>
        </w:rPr>
      </w:pPr>
      <w:r>
        <w:rPr>
          <w:rFonts w:hint="eastAsia" w:ascii="仿宋" w:hAnsi="仿宋" w:eastAsia="仿宋" w:cs="仿宋"/>
          <w:color w:val="000000"/>
          <w:spacing w:val="-4"/>
          <w:highlight w:val="none"/>
        </w:rPr>
        <w:t>本项目为陕西省档案馆2026年后库安保物业服务项目。</w:t>
      </w:r>
    </w:p>
    <w:p w14:paraId="0EC98D19">
      <w:pPr>
        <w:keepLines/>
        <w:spacing w:line="500" w:lineRule="exact"/>
        <w:ind w:firstLine="550" w:firstLineChars="200"/>
        <w:rPr>
          <w:rFonts w:ascii="仿宋" w:hAnsi="仿宋" w:eastAsia="仿宋" w:cs="仿宋"/>
          <w:b/>
          <w:bCs/>
          <w:color w:val="000000"/>
          <w:spacing w:val="-4"/>
          <w:highlight w:val="none"/>
        </w:rPr>
      </w:pPr>
      <w:r>
        <w:rPr>
          <w:rFonts w:hint="eastAsia" w:ascii="仿宋" w:hAnsi="仿宋" w:eastAsia="仿宋" w:cs="仿宋"/>
          <w:b/>
          <w:bCs/>
          <w:color w:val="000000"/>
          <w:spacing w:val="-4"/>
          <w:highlight w:val="none"/>
        </w:rPr>
        <w:t>二、服务内容</w:t>
      </w:r>
    </w:p>
    <w:p w14:paraId="04D777EF">
      <w:pPr>
        <w:keepLines/>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（一）陕西省档案馆后库（以下简称后库）大门的24小时门卫管理，包括负责门口周边的车辆指挥与停放;</w:t>
      </w:r>
    </w:p>
    <w:p w14:paraId="46214689">
      <w:pPr>
        <w:keepLines/>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（二）后库及围墙周界定时定点治安巡逻查检，重点部位的定点巡逻查验；</w:t>
      </w:r>
    </w:p>
    <w:p w14:paraId="0A0E0F17">
      <w:pPr>
        <w:keepLines/>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（三）晚上下班之后后库库区清场和锁门;</w:t>
      </w:r>
    </w:p>
    <w:p w14:paraId="28F112EE">
      <w:pPr>
        <w:keepLines/>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（四）后库重大活动的安全警戒与秩序保障;</w:t>
      </w:r>
    </w:p>
    <w:p w14:paraId="4639BC81">
      <w:pPr>
        <w:keepLines/>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（五）后库内突发事件处置、灾害预防、火灾扑救;</w:t>
      </w:r>
    </w:p>
    <w:p w14:paraId="3B6E60D6">
      <w:pPr>
        <w:keepLines/>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（六）后库公共部位安全隐患检查、排除及上报;</w:t>
      </w:r>
    </w:p>
    <w:p w14:paraId="3570D52D">
      <w:pPr>
        <w:keepLines/>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（七）承担后库库区内(包含提供保安业务)所使用的办公设备（如：桌椅、橱柜、电器等）、通讯工具、照明设施等的维护;</w:t>
      </w:r>
    </w:p>
    <w:p w14:paraId="61B7B804">
      <w:pPr>
        <w:keepLines/>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（八）配合</w:t>
      </w:r>
      <w:r>
        <w:rPr>
          <w:rFonts w:hint="eastAsia" w:ascii="仿宋" w:hAnsi="仿宋" w:eastAsia="仿宋" w:cs="仿宋"/>
          <w:color w:val="000000"/>
          <w:highlight w:val="none"/>
          <w:lang w:eastAsia="zh-CN"/>
        </w:rPr>
        <w:t>采购人</w:t>
      </w:r>
      <w:r>
        <w:rPr>
          <w:rFonts w:hint="eastAsia" w:ascii="仿宋" w:hAnsi="仿宋" w:eastAsia="仿宋" w:cs="仿宋"/>
          <w:color w:val="000000"/>
          <w:highlight w:val="none"/>
        </w:rPr>
        <w:t>对后库库区内所施行的项目、工程等管理、施工、监理等人员的门禁管理和安全管理；</w:t>
      </w:r>
    </w:p>
    <w:p w14:paraId="7725EF8A">
      <w:pPr>
        <w:keepLines/>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（九）其它属于保安服务范围内的工作以及省档案馆领导交办的临时性任务。</w:t>
      </w:r>
    </w:p>
    <w:bookmarkEnd w:id="613"/>
    <w:bookmarkEnd w:id="614"/>
    <w:p w14:paraId="04CE9BF0">
      <w:pPr>
        <w:keepLines/>
        <w:snapToGrid w:val="0"/>
        <w:spacing w:line="500" w:lineRule="exact"/>
        <w:ind w:firstLine="566" w:firstLineChars="200"/>
        <w:rPr>
          <w:rFonts w:ascii="仿宋" w:hAnsi="仿宋" w:eastAsia="仿宋" w:cs="仿宋"/>
          <w:b/>
          <w:bCs/>
          <w:color w:val="000000"/>
          <w:highlight w:val="none"/>
        </w:rPr>
      </w:pPr>
      <w:bookmarkStart w:id="616" w:name="_Toc9069"/>
      <w:bookmarkStart w:id="617" w:name="_Toc9737"/>
      <w:bookmarkStart w:id="618" w:name="_Toc27530"/>
      <w:bookmarkStart w:id="619" w:name="_Toc16541"/>
      <w:bookmarkStart w:id="620" w:name="_Toc15480"/>
      <w:bookmarkStart w:id="621" w:name="_Toc15519"/>
      <w:bookmarkStart w:id="622" w:name="_Toc14437"/>
      <w:bookmarkStart w:id="623" w:name="_Toc22019"/>
      <w:bookmarkStart w:id="624" w:name="_Toc20880"/>
      <w:r>
        <w:rPr>
          <w:rFonts w:hint="eastAsia" w:ascii="宋体" w:hAnsi="宋体" w:eastAsia="宋体" w:cs="宋体"/>
          <w:b/>
          <w:bCs/>
          <w:color w:val="000000"/>
          <w:sz w:val="28"/>
          <w:szCs w:val="28"/>
          <w:highlight w:val="none"/>
        </w:rPr>
        <w:t>▲</w:t>
      </w:r>
      <w:r>
        <w:rPr>
          <w:rFonts w:hint="eastAsia" w:ascii="仿宋" w:hAnsi="仿宋" w:eastAsia="仿宋" w:cs="仿宋"/>
          <w:b/>
          <w:bCs/>
          <w:color w:val="000000"/>
          <w:highlight w:val="none"/>
          <w:lang w:val="en-US" w:eastAsia="zh-CN"/>
        </w:rPr>
        <w:t>三</w:t>
      </w:r>
      <w:r>
        <w:rPr>
          <w:rFonts w:hint="eastAsia" w:ascii="仿宋" w:hAnsi="仿宋" w:eastAsia="仿宋" w:cs="仿宋"/>
          <w:b/>
          <w:bCs/>
          <w:color w:val="000000"/>
          <w:highlight w:val="none"/>
        </w:rPr>
        <w:t>、</w:t>
      </w:r>
      <w:bookmarkEnd w:id="616"/>
      <w:bookmarkEnd w:id="617"/>
      <w:bookmarkEnd w:id="618"/>
      <w:bookmarkEnd w:id="619"/>
      <w:bookmarkStart w:id="625" w:name="_Toc19554"/>
      <w:r>
        <w:rPr>
          <w:rFonts w:hint="eastAsia" w:ascii="仿宋" w:hAnsi="仿宋" w:eastAsia="仿宋" w:cs="仿宋"/>
          <w:b/>
          <w:bCs/>
          <w:color w:val="000000"/>
          <w:highlight w:val="none"/>
        </w:rPr>
        <w:t>物业安保服务内容</w:t>
      </w:r>
      <w:bookmarkEnd w:id="625"/>
    </w:p>
    <w:p w14:paraId="4CDF0163">
      <w:pPr>
        <w:pStyle w:val="3"/>
        <w:keepNext w:val="0"/>
        <w:spacing w:line="500" w:lineRule="exact"/>
        <w:ind w:firstLine="566" w:firstLineChars="200"/>
        <w:rPr>
          <w:rFonts w:ascii="仿宋" w:hAnsi="仿宋" w:eastAsia="仿宋" w:cs="仿宋"/>
          <w:color w:val="000000"/>
          <w:sz w:val="28"/>
          <w:szCs w:val="28"/>
          <w:highlight w:val="none"/>
        </w:rPr>
      </w:pPr>
      <w:bookmarkStart w:id="626" w:name="_Toc18957"/>
      <w:bookmarkStart w:id="627" w:name="_Toc3917"/>
      <w:bookmarkStart w:id="628" w:name="_Toc4632"/>
      <w:bookmarkStart w:id="629" w:name="_Toc20171"/>
      <w:bookmarkStart w:id="630" w:name="_Toc28678"/>
      <w:bookmarkStart w:id="631" w:name="_Toc42"/>
      <w:r>
        <w:rPr>
          <w:rFonts w:hint="eastAsia" w:ascii="仿宋" w:hAnsi="仿宋" w:eastAsia="仿宋" w:cs="仿宋"/>
          <w:color w:val="000000"/>
          <w:sz w:val="28"/>
          <w:szCs w:val="28"/>
          <w:highlight w:val="none"/>
        </w:rPr>
        <w:t>（一）安保巡逻服务</w:t>
      </w:r>
      <w:bookmarkEnd w:id="626"/>
      <w:bookmarkEnd w:id="627"/>
      <w:bookmarkEnd w:id="628"/>
      <w:bookmarkEnd w:id="629"/>
      <w:bookmarkEnd w:id="630"/>
      <w:bookmarkEnd w:id="631"/>
    </w:p>
    <w:p w14:paraId="0134CBA9">
      <w:pPr>
        <w:keepLines/>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1、保安人员要忠于职守，尽职尽责，不得利用工作进行违纪、违法犯罪活动；</w:t>
      </w:r>
    </w:p>
    <w:p w14:paraId="73941343">
      <w:pPr>
        <w:keepLines/>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2、坚持文明礼貌执勤，严禁打人骂人，侵犯他人人身权利;</w:t>
      </w:r>
    </w:p>
    <w:p w14:paraId="4799EA11">
      <w:pPr>
        <w:keepLines/>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3、不做有损后库形象的行为，熟悉消防、安防系统和门禁等系统的操作与应用，熟练掌握消防器材的使用；</w:t>
      </w:r>
    </w:p>
    <w:p w14:paraId="65C7F830">
      <w:pPr>
        <w:keepLines/>
        <w:spacing w:line="500" w:lineRule="exact"/>
        <w:ind w:firstLine="566" w:firstLineChars="200"/>
        <w:rPr>
          <w:rFonts w:hint="eastAsia" w:ascii="仿宋" w:hAnsi="仿宋" w:eastAsia="仿宋" w:cs="仿宋"/>
          <w:color w:val="000000"/>
          <w:highlight w:val="none"/>
          <w:lang w:eastAsia="zh-CN"/>
        </w:rPr>
      </w:pPr>
      <w:r>
        <w:rPr>
          <w:rFonts w:hint="eastAsia" w:ascii="仿宋" w:hAnsi="仿宋" w:eastAsia="仿宋" w:cs="仿宋"/>
          <w:color w:val="000000"/>
          <w:highlight w:val="none"/>
        </w:rPr>
        <w:t>4、积极主动维护大院内的治安秩序，做好“五防”（防盗、防火、防抢、防破坏、防治安灾害事故）工作</w:t>
      </w:r>
      <w:r>
        <w:rPr>
          <w:rFonts w:hint="eastAsia" w:ascii="仿宋" w:hAnsi="仿宋" w:eastAsia="仿宋" w:cs="仿宋"/>
          <w:color w:val="000000"/>
          <w:highlight w:val="none"/>
          <w:lang w:eastAsia="zh-CN"/>
        </w:rPr>
        <w:t>；</w:t>
      </w:r>
    </w:p>
    <w:p w14:paraId="07A575D4">
      <w:pPr>
        <w:keepLines/>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5、后库库区岗位设置为：库区后哨位为1号岗，监控室为2号岗，工作区域门口和库区大门口为3号岗，巡逻岗为4号岗。</w:t>
      </w:r>
    </w:p>
    <w:p w14:paraId="0554E4F7">
      <w:pPr>
        <w:spacing w:line="500" w:lineRule="exact"/>
        <w:ind w:firstLine="566" w:firstLineChars="200"/>
        <w:rPr>
          <w:rFonts w:ascii="仿宋" w:hAnsi="仿宋" w:eastAsia="仿宋" w:cs="仿宋"/>
          <w:b/>
          <w:bCs/>
          <w:color w:val="000000"/>
          <w:highlight w:val="none"/>
        </w:rPr>
      </w:pPr>
      <w:r>
        <w:rPr>
          <w:rFonts w:hint="eastAsia" w:ascii="仿宋" w:hAnsi="仿宋" w:eastAsia="仿宋" w:cs="仿宋"/>
          <w:b/>
          <w:bCs/>
          <w:color w:val="000000"/>
          <w:highlight w:val="none"/>
        </w:rPr>
        <w:t>（1）1库区1号岗保安岗位职责</w:t>
      </w:r>
    </w:p>
    <w:p w14:paraId="6E142E35">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1）设立24小时固定岗和安检岗，共设岗3人，实行三班倒机制。主要工作是围墙的安全防护，特别是晚间防止外来人员和小偷从围墙进入院内，造成物品的失窃。</w:t>
      </w:r>
    </w:p>
    <w:p w14:paraId="699FCAA5">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2）负责周边区域安全、险情等警戒，开展紧急情况预警和上报工作。</w:t>
      </w:r>
    </w:p>
    <w:p w14:paraId="33D79091">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3）保安应与院内的巡逻保安、2号岗的保安紧密协作与沟通，确保人员生命和档案、财产安全不受威胁。</w:t>
      </w:r>
    </w:p>
    <w:p w14:paraId="77B354C8">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4）保安应保持工作区域清洁、应完整填写交接班登记表、记录当班的重要事件、按时交接工作物品（钥匙、双向对讲机、手机）等。</w:t>
      </w:r>
    </w:p>
    <w:p w14:paraId="211CC94D">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5）如因保安人员在工作中玩忽职守、疏忽大意等原因造成省档案馆财产损失，供应商应承担全部责任。</w:t>
      </w:r>
    </w:p>
    <w:p w14:paraId="6B56CE56">
      <w:pPr>
        <w:spacing w:line="500" w:lineRule="exact"/>
        <w:ind w:firstLine="566" w:firstLineChars="200"/>
        <w:rPr>
          <w:rFonts w:ascii="仿宋" w:hAnsi="仿宋" w:eastAsia="仿宋" w:cs="仿宋"/>
          <w:b/>
          <w:bCs/>
          <w:color w:val="000000"/>
          <w:highlight w:val="none"/>
        </w:rPr>
      </w:pPr>
      <w:r>
        <w:rPr>
          <w:rFonts w:hint="eastAsia" w:ascii="仿宋" w:hAnsi="仿宋" w:eastAsia="仿宋" w:cs="仿宋"/>
          <w:b/>
          <w:bCs/>
          <w:color w:val="000000"/>
          <w:highlight w:val="none"/>
        </w:rPr>
        <w:t>（2）2号岗保安岗位职责</w:t>
      </w:r>
    </w:p>
    <w:p w14:paraId="223198BF">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保安岗设立24小时固定岗，共设岗6人，实行三班倒机制。2号岗值班员要保证防盗、消防防火等报警监控设备的正常运行，对办公区的安全状况实行24小时监控，监控记录保持完整；及时发现和处理各种安全隐患和事故，如遇突发事件和紧急情况应迅速反应处置，同时在第一时间向公司项目负责人及相关部门（如消防、公安等）和省档案馆后库管理处报告，并注意现场的保护。</w:t>
      </w:r>
    </w:p>
    <w:p w14:paraId="2C5CE56F">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2）值班员应密切监视录像监视仪，以观察、跟踪可疑活动。</w:t>
      </w:r>
    </w:p>
    <w:p w14:paraId="53979587">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3）值班员应与内部和外围的巡逻保安、固定岗保安紧密协作与沟通，确保人员生命和财产安全不受威胁。</w:t>
      </w:r>
    </w:p>
    <w:p w14:paraId="522C92F7">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4）值班员在发现有火警和其它报警信号时，应在第一时间通知队长或巡逻保安人员，采取有效措施排除险情并上报省档案馆后库管理处。</w:t>
      </w:r>
    </w:p>
    <w:p w14:paraId="3550B64F">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5）值班员在监控时如看到当班保安人员在岗位上出现的一些违纪行为（如：在工作区域吸烟、在岗位上打瞌睡等），监控保安应在第一时间用对讲系统提醒该员工。</w:t>
      </w:r>
    </w:p>
    <w:p w14:paraId="4D38C011">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6）值班员在中控室内的设备出现故障时应立即上报公司项目负责人后，联系相关人员进行处理并记录故障情况和处理结果。</w:t>
      </w:r>
    </w:p>
    <w:p w14:paraId="5744B979">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7）值班员应保持工作区域清洁、应填写交接班登记表、记录当班的重要事件、按时交接物品（钥匙、双向对讲机、手机）等。在交接班完成前不得提前离岗。</w:t>
      </w:r>
    </w:p>
    <w:p w14:paraId="5F840321">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 xml:space="preserve">8）如因保安人员在工作中玩忽职守、疏忽大意等原因造成省档案馆财产损失，供应商应承担全部责任。   </w:t>
      </w:r>
    </w:p>
    <w:p w14:paraId="306FCC3E">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9）值班员时刻关注周界围墙安全防护触发的报警，特别是晚间防止外来人员和小偷从围墙进入院内，及时通知3号岗人员前往处置，并报告项目负责人和后库管理处。</w:t>
      </w:r>
    </w:p>
    <w:p w14:paraId="0F89D631">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10）值班员还应协助1号岗、3号岗和4号岗，尽可能保证后库院内的安全。</w:t>
      </w:r>
    </w:p>
    <w:p w14:paraId="6917AD0D">
      <w:pPr>
        <w:spacing w:line="500" w:lineRule="exact"/>
        <w:ind w:firstLine="566" w:firstLineChars="200"/>
        <w:rPr>
          <w:rFonts w:ascii="仿宋" w:hAnsi="仿宋" w:eastAsia="仿宋" w:cs="仿宋"/>
          <w:b/>
          <w:bCs/>
          <w:color w:val="000000"/>
          <w:highlight w:val="none"/>
        </w:rPr>
      </w:pPr>
      <w:r>
        <w:rPr>
          <w:rFonts w:hint="eastAsia" w:ascii="仿宋" w:hAnsi="仿宋" w:eastAsia="仿宋" w:cs="仿宋"/>
          <w:b/>
          <w:bCs/>
          <w:color w:val="000000"/>
          <w:highlight w:val="none"/>
        </w:rPr>
        <w:t>（3）3号岗保安的职责</w:t>
      </w:r>
    </w:p>
    <w:p w14:paraId="701848F3">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大门设立24小时固定岗和安检岗，共设岗6人，库区大门口设置1班哨，营区大门口设置一班哨位，实行三班倒机制。3号岗对外来办事人员主动询问，热情接待，认真做好登记，做好引导服务。下班后关闭好大门，控制人员进出。晚间值班保安员要坚守岗位，尽职尽责，认真核查晚上进入后库人员，并做好登记工作。值班人员还应时刻警惕从学校翻越进入库区人员，防止有人非法潜入库区内。</w:t>
      </w:r>
    </w:p>
    <w:p w14:paraId="428EDAE7">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值班员应文明执勤、礼貌待人，不允许与访客争吵，更不允许与访客辱骂斗殴。遇访客刁难或羞辱时，应保持冷静，克制自己的情绪，确实无法处理的事情，应迅速报告队长处理。对本馆内部职工的车辆，应引导停在固定车位，外来车辆一般应停车在大门外，确需进入院内的要做好登记。3号岗保安应按规定对外来车辆和访客带出的物品进行检查、防止机关内公共物品和个人物品丢失。</w:t>
      </w:r>
    </w:p>
    <w:p w14:paraId="435E4D97">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3）凡装有易燃、易爆、剧毒物品或装有污染性物品的车辆（经馆办公室同意的除外），严禁驶入后库院内。</w:t>
      </w:r>
    </w:p>
    <w:p w14:paraId="1F04BDAF">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4）对驶出的面包车，箱式货车等，一律停车检查，如发现可疑物品应立即上报当班队长或后库管理处进行处理。</w:t>
      </w:r>
    </w:p>
    <w:p w14:paraId="06917D1C">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5）保安人员应监督、控制出入的施工人员，禁止拾荒者和其它与工作无关的人员入内。</w:t>
      </w:r>
    </w:p>
    <w:p w14:paraId="48AB89B3">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6）保安应与院内的巡逻保安、录像监控室的保安紧密协作与沟通，确保人员生命和档案、财产安全不受威胁。</w:t>
      </w:r>
    </w:p>
    <w:p w14:paraId="7567A1C6">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7）保安应保持工作区域清洁、应完整填写交接班登记表、记录当班的重要事件、按时交接工作物品（钥匙、双向对讲机、手机）等。</w:t>
      </w:r>
    </w:p>
    <w:p w14:paraId="50DFEFB1">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8）如因保安人员在工作中玩忽职守、疏忽大意等原因造成省档案馆财产损失，供应商应承担全部责任。</w:t>
      </w:r>
    </w:p>
    <w:p w14:paraId="0CE8A37C">
      <w:pPr>
        <w:spacing w:line="500" w:lineRule="exact"/>
        <w:ind w:firstLine="566" w:firstLineChars="200"/>
        <w:rPr>
          <w:rFonts w:ascii="仿宋" w:hAnsi="仿宋" w:eastAsia="仿宋" w:cs="仿宋"/>
          <w:b/>
          <w:bCs/>
          <w:color w:val="000000"/>
          <w:highlight w:val="none"/>
        </w:rPr>
      </w:pPr>
      <w:r>
        <w:rPr>
          <w:rFonts w:hint="eastAsia" w:ascii="仿宋" w:hAnsi="仿宋" w:eastAsia="仿宋" w:cs="仿宋"/>
          <w:b/>
          <w:bCs/>
          <w:color w:val="000000"/>
          <w:highlight w:val="none"/>
        </w:rPr>
        <w:t>（4）4号岗保安岗位职责</w:t>
      </w:r>
    </w:p>
    <w:p w14:paraId="089DEFFD">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1）共设门卫岗6人，分为白班和夜班：夜班4号岗4人；白班4号岗2人。</w:t>
      </w:r>
    </w:p>
    <w:p w14:paraId="5908C231">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保安员要熟悉后库内外环境，按保卫处规定路线巡视。要把院内重要部位和领导办公区域、库房作为巡查重点，要善于发现问题并对巡查结果做好记录。发现可疑人员时要立即上前询问、核查，如有不能处理的情况立即上报省档案馆后库管理处。</w:t>
      </w:r>
    </w:p>
    <w:p w14:paraId="2202CAF3">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3）负责巡查车辆及车场设施情况，做好车况记录，如发现有破坏停放在院内车辆的情况时，请立即上报当班队长或省档案馆后库管理处处理。</w:t>
      </w:r>
    </w:p>
    <w:p w14:paraId="2AA147FC">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4）保安应按规定的时间间隔巡逻，夜班4号岗保安必须手持强光灯进行巡逻，对光线不足或死角的地方，用强光灯进行照射，排除藏匿的小偷或可疑人员。</w:t>
      </w:r>
    </w:p>
    <w:p w14:paraId="4B955277">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5）保安应按保安部门的规定，检查应上锁的门，对未上锁的门窗采取安全措施，值班队长随时检查各岗位情况，要按照规定时间巡视检查，发现未关灯、未锁门的办公室及时报告值班人员，由值班人员联系供应商关灯、锁门。</w:t>
      </w:r>
    </w:p>
    <w:p w14:paraId="5981B9E7">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6）保安应检查改造工程、装修工程及新施工现场，以确保其按规范安全施工。发现违规操作均应记录下来并上报后库管理处。</w:t>
      </w:r>
    </w:p>
    <w:p w14:paraId="54A54DDB">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7）保安应调查并登记所有可疑的行为。</w:t>
      </w:r>
    </w:p>
    <w:p w14:paraId="55F35163">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8）保安应与固定岗的保安、安防监控室的保安紧密协作与沟通，确保人员生命和财产安全不受威胁。</w:t>
      </w:r>
    </w:p>
    <w:p w14:paraId="4BFFC41A">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9）保安在遇到异常事件时应立即报告负责人或后库管理处。</w:t>
      </w:r>
    </w:p>
    <w:p w14:paraId="06A021D6">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10）保安在遇到可疑人物时应高度警惕，并通知安防监控室进行监视。如果当时不能使用监控设备或不在可监控区域，保安应及时上报项目经理和后库管理处并跟踪该可疑人物直到确信不存在问题为至。</w:t>
      </w:r>
    </w:p>
    <w:p w14:paraId="7845A848">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11）保安在遇到到访客户、职工发怒等情况时应保持冷静，并采取控制措施，避免事态进一步恶化。</w:t>
      </w:r>
    </w:p>
    <w:p w14:paraId="13C123CE">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12）保安应填写交接班登记表、记录巡逻时发生的重要事件、按时交接工作物品（钥匙、双向对讲机、手机）等。</w:t>
      </w:r>
    </w:p>
    <w:p w14:paraId="26984E33">
      <w:pPr>
        <w:spacing w:line="500" w:lineRule="exact"/>
        <w:ind w:firstLine="566" w:firstLineChars="200"/>
        <w:rPr>
          <w:rFonts w:ascii="仿宋" w:hAnsi="仿宋" w:eastAsia="仿宋" w:cs="仿宋"/>
          <w:b/>
          <w:bCs/>
          <w:color w:val="000000"/>
          <w:highlight w:val="none"/>
        </w:rPr>
      </w:pPr>
      <w:r>
        <w:rPr>
          <w:rFonts w:hint="eastAsia" w:ascii="仿宋" w:hAnsi="仿宋" w:eastAsia="仿宋" w:cs="仿宋"/>
          <w:color w:val="000000"/>
          <w:highlight w:val="none"/>
        </w:rPr>
        <w:t>13）如因保安人员在工作中玩忽职守、疏忽大意等原因造成省档案馆财产损失，供应商应承担相应责任。</w:t>
      </w:r>
    </w:p>
    <w:p w14:paraId="529E5BF9">
      <w:pPr>
        <w:spacing w:line="500" w:lineRule="exact"/>
        <w:ind w:firstLine="566" w:firstLineChars="200"/>
        <w:rPr>
          <w:rFonts w:ascii="仿宋" w:hAnsi="仿宋" w:eastAsia="仿宋" w:cs="仿宋"/>
          <w:b/>
          <w:bCs/>
          <w:color w:val="000000"/>
          <w:highlight w:val="none"/>
        </w:rPr>
      </w:pPr>
      <w:r>
        <w:rPr>
          <w:rFonts w:hint="eastAsia" w:ascii="仿宋" w:hAnsi="仿宋" w:eastAsia="仿宋" w:cs="仿宋"/>
          <w:b/>
          <w:bCs/>
          <w:color w:val="000000"/>
          <w:highlight w:val="none"/>
        </w:rPr>
        <w:t>（二）物业服务</w:t>
      </w:r>
    </w:p>
    <w:p w14:paraId="24266EF0">
      <w:pPr>
        <w:spacing w:line="500" w:lineRule="exact"/>
        <w:ind w:firstLine="566" w:firstLineChars="200"/>
        <w:rPr>
          <w:rFonts w:ascii="仿宋" w:hAnsi="仿宋" w:eastAsia="仿宋" w:cs="仿宋"/>
          <w:b/>
          <w:bCs/>
          <w:color w:val="000000"/>
          <w:highlight w:val="none"/>
        </w:rPr>
      </w:pPr>
      <w:r>
        <w:rPr>
          <w:rFonts w:hint="eastAsia" w:ascii="仿宋" w:hAnsi="仿宋" w:eastAsia="仿宋" w:cs="仿宋"/>
          <w:b/>
          <w:bCs/>
          <w:color w:val="000000"/>
          <w:highlight w:val="none"/>
        </w:rPr>
        <w:t>▲1、办公楼、库区大楼等区域日常养护维修</w:t>
      </w:r>
    </w:p>
    <w:p w14:paraId="3B6462D5">
      <w:pPr>
        <w:numPr>
          <w:ilvl w:val="255"/>
          <w:numId w:val="0"/>
        </w:num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（1）服务内容</w:t>
      </w:r>
    </w:p>
    <w:p w14:paraId="265F95A7">
      <w:pPr>
        <w:numPr>
          <w:ilvl w:val="255"/>
          <w:numId w:val="0"/>
        </w:num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办公楼（区）、家属楼和库区大楼及附属设施房屋地面、墙台面及吊顶、门窗、楼梯、道路、车库、库区植被等的日常养护维修。</w:t>
      </w:r>
    </w:p>
    <w:p w14:paraId="0304758B">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（2）服务标准</w:t>
      </w:r>
    </w:p>
    <w:p w14:paraId="2D8140E5">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1）确保省档案馆办公楼（区）、家属楼和库区大楼及附属设施房屋建筑共用部位的完好和正常使用；墙面砖、地坪、地砖平整不起壳、无遗缺；门窗完好无损。如遇缺损，应在规定时间内安排专项修理。</w:t>
      </w:r>
    </w:p>
    <w:p w14:paraId="3DFBF819">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2）对房屋共用部位进行日常管理和维修养护，维修养护记录完整；根据房屋实际使用情况和使用年限，定期检查，做好检查记录。</w:t>
      </w:r>
    </w:p>
    <w:p w14:paraId="49E70117">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3）及时完成各项零星维修任务，维修合格率100%，一般维修任务不超过24小时。遇紧急情况或出现重大问题时，应采取必要的应急措施，并及时向后库管理处报告，然后提出解决方案或建议，由后库管理处报请办公室和主管领导同意后组织实施。</w:t>
      </w:r>
    </w:p>
    <w:p w14:paraId="2BAF143E">
      <w:pPr>
        <w:spacing w:line="500" w:lineRule="exact"/>
        <w:ind w:firstLine="566" w:firstLineChars="200"/>
        <w:rPr>
          <w:rFonts w:ascii="仿宋" w:hAnsi="仿宋" w:eastAsia="仿宋" w:cs="仿宋"/>
          <w:b/>
          <w:bCs/>
          <w:color w:val="000000"/>
          <w:highlight w:val="none"/>
        </w:rPr>
      </w:pPr>
      <w:r>
        <w:rPr>
          <w:rFonts w:hint="eastAsia" w:ascii="仿宋" w:hAnsi="仿宋" w:eastAsia="仿宋" w:cs="仿宋"/>
          <w:b/>
          <w:bCs/>
          <w:color w:val="000000"/>
          <w:highlight w:val="none"/>
        </w:rPr>
        <w:t>▲2、对水工岗位职责及要求</w:t>
      </w:r>
    </w:p>
    <w:p w14:paraId="190D88CF">
      <w:pPr>
        <w:numPr>
          <w:ilvl w:val="255"/>
          <w:numId w:val="0"/>
        </w:num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（1）服务内容</w:t>
      </w:r>
    </w:p>
    <w:p w14:paraId="63740D4C">
      <w:pPr>
        <w:numPr>
          <w:ilvl w:val="255"/>
          <w:numId w:val="0"/>
        </w:num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对省档案馆后库管理处办公楼（区）、家属楼和库区大楼及附属设施室内外给排水系统的设备、设施，如给水装置、水处理设备、消火栓、管道、管件、阀门、水嘴、卫生洁具、排水管、透气管及疏通、水封设备、室外排水管及其附属构筑物等进行日常养护，确保其正常运行和使用。如有阀件、龙头、管道等的损坏应及时更换，不能积少成多，留下隐患；库区内小型供水管线、排水管线的重新布置和改造。节约用水是对供应商考核的重要指标。</w:t>
      </w:r>
    </w:p>
    <w:p w14:paraId="1569FE9E">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（2）服务标准</w:t>
      </w:r>
    </w:p>
    <w:p w14:paraId="34DF95D2">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1）每周一次对给排水系统进行检查巡视，压力符合要求，仪表指示准确，保证给排水系统正常运行使用。</w:t>
      </w:r>
    </w:p>
    <w:p w14:paraId="41C15A8F">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2）建立正常供水管理制度，防止跑、冒、滴、漏，对供水系统管路、水泵、水箱、阀门、机电设备等进行日常维护，每月全面系统检查、保养、维护、清洁一次。</w:t>
      </w:r>
    </w:p>
    <w:p w14:paraId="6096F543">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 xml:space="preserve">3）每季度对排水管进行疏通、养护及清除污垢，保证室内外排水系统畅通，特别是汛期来临之前要制定应急预案，做好排水管的疏通工作，准备应有的防汛材料，保证汛期道路、地下室、设备间无积水和浸泡的现象发生；楼面落水管落水口等保持完好，如有开裂、破损等要及时更换。       </w:t>
      </w:r>
    </w:p>
    <w:p w14:paraId="21306936">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4）给排水系统发生事故时，维修人员在10分钟内到达现场抢修，一般事故的抢修不超过24小时；一年内无重大管理责任事故；根据情况，制定事故应急处理方案；制定停水、爆管等应急处理程序，计划停水按规定提前通知。</w:t>
      </w:r>
    </w:p>
    <w:p w14:paraId="218823F1">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5）计量器具、压力仪表按规定周期送有关部门校验；做好节约用水工作和用水统计工作。</w:t>
      </w:r>
    </w:p>
    <w:p w14:paraId="0C4E0DC4">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6）后库内部供排水管线小规模改造、临时性供排水设施布设，要做到施工规范、整洁美观、安全可靠。</w:t>
      </w:r>
    </w:p>
    <w:p w14:paraId="3B0DF252">
      <w:pPr>
        <w:spacing w:line="500" w:lineRule="exact"/>
        <w:ind w:firstLine="566" w:firstLineChars="200"/>
        <w:rPr>
          <w:rFonts w:ascii="仿宋" w:hAnsi="仿宋" w:eastAsia="仿宋" w:cs="仿宋"/>
          <w:b/>
          <w:bCs/>
          <w:color w:val="000000"/>
          <w:highlight w:val="none"/>
        </w:rPr>
      </w:pPr>
      <w:r>
        <w:rPr>
          <w:rFonts w:hint="eastAsia" w:ascii="仿宋" w:hAnsi="仿宋" w:eastAsia="仿宋" w:cs="仿宋"/>
          <w:b/>
          <w:bCs/>
          <w:color w:val="000000"/>
          <w:highlight w:val="none"/>
        </w:rPr>
        <w:t>▲3、对电工岗位职责及要求</w:t>
      </w:r>
    </w:p>
    <w:p w14:paraId="22C73FF6">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（1）服务内容</w:t>
      </w:r>
    </w:p>
    <w:p w14:paraId="7FFC00C5">
      <w:pPr>
        <w:numPr>
          <w:ilvl w:val="255"/>
          <w:numId w:val="0"/>
        </w:num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省档案馆后库办公楼（区）、家属楼和库区大楼及附属设施供电系统高、低压电器设备、电线电缆、网络网线、照明装置等设备正常运行、使用进行日常管理和养护维修，电灯等照明设施损坏应及时更换，不能积少成多。进行小规模的、临时的线缆敷设，线路改造和施工。</w:t>
      </w:r>
    </w:p>
    <w:p w14:paraId="1337856D">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（2）服务标准</w:t>
      </w:r>
    </w:p>
    <w:p w14:paraId="2CA11489">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对供电范围内的电器设备、仪器仪表定期巡视维护和重点检测，按照规定周期对变配电设施设备进行检查、维护、清洁，并做好记录；建立各项设备档案、台账、维修记录，做到安全、合理、节约用电，做好用电统计工作。</w:t>
      </w:r>
    </w:p>
    <w:p w14:paraId="4AF0C960">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2）电工人员要24小时待命，建立严格的配送电运行制度、电器维修制度和配电房管理制度，配电室实行封闭管理，配备符合要求的灭火器材；设备及机房环境整洁，无杂物、灰土，无鼠、虫害发生。</w:t>
      </w:r>
    </w:p>
    <w:p w14:paraId="1C181213">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3）供电运行和维修人员必须建立运行维修值班制度，及时排除故障，一般故障排除时间不超过2小时，零星维修合格率100%。</w:t>
      </w:r>
    </w:p>
    <w:p w14:paraId="1A6199BD">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4）加强日常维护检修，公共使用的照明、指示灯具线路、开关要保证完好，确保用电安全；管理和维护好围墙灯光亮化设施；供电设备完好率达到99%、弱电设备完好率达到98%。</w:t>
      </w:r>
    </w:p>
    <w:p w14:paraId="10AB989D">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5）保持避雷系统完整性，不得擅自拆除、迁改避雷设施；每半年对楼顶层的避雷针、屋面设备、其它金属物体的接地装置进行全面检查，有问题及时解决；每季度对强、弱电井、设备间内的机电设备、配电柜接地装置进行检查，每月对变配电设备接地装置、避雷器进行检查，保证所有机电设备、配电柜（箱）、管道、金属构架物接地良好。做到一年内无重大管理责任事故。</w:t>
      </w:r>
    </w:p>
    <w:p w14:paraId="165A56D3">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6）省档案馆内部小规模的、临时的线路铺设和线路改造等要做到施工规范、整洁美观、安全可靠。</w:t>
      </w:r>
    </w:p>
    <w:p w14:paraId="5C014C98">
      <w:pPr>
        <w:spacing w:line="500" w:lineRule="exact"/>
        <w:ind w:firstLine="566" w:firstLineChars="200"/>
        <w:rPr>
          <w:rFonts w:ascii="仿宋" w:hAnsi="仿宋" w:eastAsia="仿宋" w:cs="仿宋"/>
          <w:b/>
          <w:bCs/>
          <w:color w:val="000000"/>
          <w:highlight w:val="none"/>
        </w:rPr>
      </w:pPr>
      <w:r>
        <w:rPr>
          <w:rFonts w:hint="eastAsia" w:ascii="仿宋" w:hAnsi="仿宋" w:eastAsia="仿宋" w:cs="仿宋"/>
          <w:b/>
          <w:bCs/>
          <w:color w:val="000000"/>
          <w:highlight w:val="none"/>
        </w:rPr>
        <w:t>▲4、消防系统维护保养</w:t>
      </w:r>
    </w:p>
    <w:p w14:paraId="7A1C40FB">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（1）服务内容</w:t>
      </w:r>
    </w:p>
    <w:p w14:paraId="4552E24E">
      <w:pPr>
        <w:numPr>
          <w:ilvl w:val="255"/>
          <w:numId w:val="0"/>
        </w:num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对后库火灾自动报警系统；室内灭火栓；干粉灭火器、二氧化碳灭火器、便携式灭火器等进行日常管理、使用和养护。</w:t>
      </w:r>
    </w:p>
    <w:p w14:paraId="4FB6786F">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（2）服务标准</w:t>
      </w:r>
    </w:p>
    <w:p w14:paraId="56DF8069">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1）严格执行消防法规，建立消防安全管理制度，搞好消防管理工作，确保整个系统处于良好的状态。</w:t>
      </w:r>
    </w:p>
    <w:p w14:paraId="4FA07C38">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2）定期检查保养消防设备，维保质量达到消防要求，保证系统开通率及完好率均为100%。</w:t>
      </w:r>
    </w:p>
    <w:p w14:paraId="55596A9E">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3）安全出口、疏散指示灯火灾时应在维持90分钟以上的照明时间，引路标志完好，紧急疏散通道畅通。</w:t>
      </w:r>
    </w:p>
    <w:p w14:paraId="1A90BDBF">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4）消防栓每月启动一次，每年保养一次；消防柜每月检查一次，保持消防柜箱内配件完好，阀杆每年加注润滑油并放水检查一次；消防管道、阀门至少每二年进行一次除锈刷漆。</w:t>
      </w:r>
    </w:p>
    <w:p w14:paraId="759236ED">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5）保证消防用水的基本储备，确保火灾险情时的应急灭火用水；每月对消防设备定期检查一次，重大节日增加检查次数，有故障时，维修人员应能及时采取措施，排除故障。</w:t>
      </w:r>
    </w:p>
    <w:p w14:paraId="13BFA789">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6）确保二氧化碳灭火器、干粉灭火器、便携式灭火器等在内的整个消防系统和消防器具通过消防部门的消防年检，取得年检合格证，到期的二氧化碳灭火器、便携式灭火器由供应商负责年检和充装，费用由供应商负责。</w:t>
      </w:r>
    </w:p>
    <w:p w14:paraId="51787531">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7）值班室监控系统工作人员24小时值班，有突发火灾应急方案，定期组织义务消防员的培训，每年组织一次消防火灾演练。</w:t>
      </w:r>
    </w:p>
    <w:p w14:paraId="3A791A0B">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8）按照国家有关规定，由具有专业资质的公司对消防系统进行维保，并负相应的责任和费用。</w:t>
      </w:r>
    </w:p>
    <w:p w14:paraId="2AAC99C3">
      <w:pPr>
        <w:spacing w:line="500" w:lineRule="exact"/>
        <w:ind w:firstLine="566" w:firstLineChars="200"/>
        <w:rPr>
          <w:rFonts w:ascii="仿宋" w:hAnsi="仿宋" w:eastAsia="仿宋" w:cs="仿宋"/>
          <w:b/>
          <w:bCs/>
          <w:color w:val="000000"/>
          <w:highlight w:val="none"/>
        </w:rPr>
      </w:pPr>
      <w:r>
        <w:rPr>
          <w:rFonts w:hint="eastAsia" w:ascii="仿宋" w:hAnsi="仿宋" w:eastAsia="仿宋" w:cs="仿宋"/>
          <w:b/>
          <w:bCs/>
          <w:color w:val="000000"/>
          <w:highlight w:val="none"/>
        </w:rPr>
        <w:t>▲5、安</w:t>
      </w:r>
      <w:r>
        <w:rPr>
          <w:rFonts w:hint="eastAsia" w:ascii="仿宋" w:hAnsi="仿宋" w:eastAsia="仿宋" w:cs="仿宋"/>
          <w:b/>
          <w:bCs/>
          <w:color w:val="000000"/>
          <w:highlight w:val="none"/>
          <w:lang w:val="en-US" w:eastAsia="zh-CN"/>
        </w:rPr>
        <w:t>防</w:t>
      </w:r>
      <w:r>
        <w:rPr>
          <w:rFonts w:hint="eastAsia" w:ascii="仿宋" w:hAnsi="仿宋" w:eastAsia="仿宋" w:cs="仿宋"/>
          <w:b/>
          <w:bCs/>
          <w:color w:val="000000"/>
          <w:highlight w:val="none"/>
        </w:rPr>
        <w:t>系统维护保养</w:t>
      </w:r>
    </w:p>
    <w:p w14:paraId="675A467A">
      <w:pPr>
        <w:numPr>
          <w:ilvl w:val="255"/>
          <w:numId w:val="0"/>
        </w:num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1、服务内容</w:t>
      </w:r>
    </w:p>
    <w:p w14:paraId="0CF885CF">
      <w:pPr>
        <w:numPr>
          <w:ilvl w:val="255"/>
          <w:numId w:val="0"/>
        </w:num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对省档案馆安防系统进行日常管理、使用和维护。</w:t>
      </w:r>
    </w:p>
    <w:p w14:paraId="50BEB9A9">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2、服务标准</w:t>
      </w:r>
    </w:p>
    <w:p w14:paraId="3E2E3278">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1）严格执行安防值勤和设备运维制度，建立安防机房安全管理制度，确保整个系统处于良好的状态。</w:t>
      </w:r>
    </w:p>
    <w:p w14:paraId="513CEFC1">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2）定期检查安防机房内、办公楼监控室、外围立杆及周界围墙设施设备运行状态，发现故障及时报告相关负责人及联系运维公司进行处理，保证设备完好率均为100%。</w:t>
      </w:r>
    </w:p>
    <w:p w14:paraId="45F533A0">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3）安消工作人员能熟练操作安防终端，熟悉设备业务流程，能对专业术语有了解，可与远程技术员可明白沟通，会处理一般性简单故障。</w:t>
      </w:r>
    </w:p>
    <w:p w14:paraId="4C52DE06">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4）安防值班室工作人员24小时值班，发现突发事件第一时间报告负责人，并进行应急处理。结合安保、消防等情况制订安防应急方案，定期演练熟悉录像调取、监控画面切换及控制、设备正常与否的判别。</w:t>
      </w:r>
    </w:p>
    <w:p w14:paraId="1BCF14EE">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5）以上工作中非故障原因产生的费用由供应商承担。</w:t>
      </w:r>
    </w:p>
    <w:p w14:paraId="55E1A3CF">
      <w:pPr>
        <w:spacing w:line="500" w:lineRule="exact"/>
        <w:ind w:firstLine="566" w:firstLineChars="200"/>
        <w:rPr>
          <w:rFonts w:ascii="仿宋" w:hAnsi="仿宋" w:eastAsia="仿宋" w:cs="仿宋"/>
          <w:b/>
          <w:bCs/>
          <w:color w:val="000000"/>
          <w:highlight w:val="none"/>
        </w:rPr>
      </w:pPr>
      <w:r>
        <w:rPr>
          <w:rFonts w:hint="eastAsia" w:ascii="仿宋" w:hAnsi="仿宋" w:eastAsia="仿宋" w:cs="仿宋"/>
          <w:b/>
          <w:bCs/>
          <w:color w:val="000000"/>
          <w:highlight w:val="none"/>
        </w:rPr>
        <w:t>▲6、对勤杂工岗位职责及要求</w:t>
      </w:r>
    </w:p>
    <w:p w14:paraId="144E1354">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（1）服务内容</w:t>
      </w:r>
    </w:p>
    <w:p w14:paraId="41C5C9A5">
      <w:pPr>
        <w:numPr>
          <w:ilvl w:val="255"/>
          <w:numId w:val="0"/>
        </w:num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 xml:space="preserve">省档案馆后库办公楼（区）内楼梯、大厅、走廊、篮球场、值班室、卫生间、公共活动场所等所有公共部位、办公区域道路、停车场（库）、档案库等所有公共场地及周边区域的日常清洁保养、垃圾等废弃物清理和化粪池清掏、垃圾分类管理、垃圾清运等费用由供应商支付。 </w:t>
      </w:r>
    </w:p>
    <w:p w14:paraId="27E1499D">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（2）服务标准</w:t>
      </w:r>
    </w:p>
    <w:p w14:paraId="08CFE5F7">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1）建立环境卫生管理制度并认真落实，环卫设施齐备；实行标准化清扫保洁，大楼每层卫生间悬挂卫生清扫日志，保洁值班人员填写，由专人负责检查监督，清洁率100%。</w:t>
      </w:r>
    </w:p>
    <w:p w14:paraId="04423A81">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2）具体区域标准</w:t>
      </w:r>
    </w:p>
    <w:p w14:paraId="037E6D49">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2.1大楼外围、周边道路地面干净无杂物、无积水，无明显污迹、油渍；明沟、窨井内无杂物、无异味，每年至少一次打开窨井盖通风并对窨井内管道进行维护保养；道路两旁无杂物堆积；各种标示标牌表面干净无积尘、无水印；大楼伸缩门表面干净无积尘。绿化带内无杂物，花台表面干净无污渍。</w:t>
      </w:r>
    </w:p>
    <w:p w14:paraId="49D475B5">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2.2大厅、楼内、公共通道地面干净、无污渍，有光泽，保持地面材质原貌；门框、窗框、窗台、金属件表面光亮、无灰尘、无污渍；门窗玻璃干净无尘，透光性好，无明显印迹；各种金属件表面干净，无污渍，有金属光泽；门把手干净、无印迹、定时消毒；天花板干净，无污渍、无蛛网；灯具干净无积尘，中央空调风口干净，无污迹，进出口地垫摆放整齐，表面干净无杂物，盆栽植物无积尘。</w:t>
      </w:r>
    </w:p>
    <w:p w14:paraId="10CE5FDD">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2.3会议室、接待室、运动场地的地面、墙面、干净，无灰尘、污渍；天花板目视无灰尘、污渍；桌椅干净，物品摆放整齐、有序。</w:t>
      </w:r>
    </w:p>
    <w:p w14:paraId="089C8559">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2.4楼梯表面干净无污渍，防滑条（缝）干净，扶手栏杆表面干净无灰尘，防火门及闭门器表面干净无污渍，墙面、天花板无积尘、蛛网。</w:t>
      </w:r>
    </w:p>
    <w:p w14:paraId="483717DE">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2.5公共卫生间地面干净，无污渍、无积水，大小便器表面干净，无污渍，有光泽，卫生间必须保证一日两次打扫；各种隔断表面干净，无乱写乱画，金属饰件表面干净，无污迹，有金属光泽；墙壁表面干净，天花板无污渍、蛛网；门窗表面干净，窗台无灰尘；玻璃干净无水渍；洗手台干净无积水，面盆无污垢；各种管道表面干净无污渍；各种物品摆放整齐规范；废纸篓杂物超过2/3应及时倾倒，卫生间内空气流通并且无明显异味，及时提供卫生纸及洗手液，费用由供应商负责。</w:t>
      </w:r>
    </w:p>
    <w:p w14:paraId="66863B78">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2.6停车场(库）地面干净，无杂物，无明显油渍、污渍；灯具表面干净无积尘、蛛网；墙面干净无积尘，消防器材表面干净，摆放整齐；减速带表面干净无明显污迹，道闸表面无灰尘。</w:t>
      </w:r>
    </w:p>
    <w:p w14:paraId="37B86D06">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2.7电器设施灯泡、灯管、灯罩无积尘、无污迹。装饰件无积尘、无污迹；开关、插座、配电箱无积尘、无明显污迹。</w:t>
      </w:r>
    </w:p>
    <w:p w14:paraId="68D3F634">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2.8垃圾桶及果皮箱桶、箱按指定位置摆放，桶身表面干净无污渍无痰迹，垃圾不应超过2/3，定期清洁、消毒。</w:t>
      </w:r>
    </w:p>
    <w:p w14:paraId="15078C38">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2.9消防栓、消防柜、公共设施保持表面干净，无灰尘、无污渍。报警器、灭火器表面光亮、无积尘、无污迹；喷淋盖、烟感器、扬声器无积尘、无污渍。监控摄像头、门警器表面光亮、无积尘、无斑点；消防栓外表面光亮、无印迹、无积尘，内侧无积尘、无污迹。</w:t>
      </w:r>
    </w:p>
    <w:p w14:paraId="1FFBD6BB">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2.10各种垃圾必须运到指定位置，袋装垃圾摆放整齐，地面无明显垃圾，无污水外溢，房内应无明显异味，垃圾必须及时清理；垃圾清运产生的费用由供应商解决。</w:t>
      </w:r>
    </w:p>
    <w:p w14:paraId="3FF7BBA5">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 xml:space="preserve">2.11设备机房、管道无卫生死角、无垃圾堆积，无积尘、无明显污渍、无水渍；金属件表面光亮，无痕迹。 </w:t>
      </w:r>
    </w:p>
    <w:p w14:paraId="4490A22D">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2.12应保证每月不少于一次或根据工作需要对档案库卫生进行清扫，清扫时必须要求库管员在场，清扫标准以库管员的要求为准。</w:t>
      </w:r>
    </w:p>
    <w:p w14:paraId="2680B1E2">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2.13化粪池按要求清掏，每年不少于一次，费用由供应商承担。</w:t>
      </w:r>
    </w:p>
    <w:p w14:paraId="3E5E7228">
      <w:pPr>
        <w:spacing w:line="500" w:lineRule="exact"/>
        <w:ind w:firstLine="566" w:firstLineChars="200"/>
        <w:rPr>
          <w:rFonts w:ascii="仿宋" w:hAnsi="仿宋" w:eastAsia="仿宋" w:cs="仿宋"/>
          <w:b/>
          <w:bCs/>
          <w:color w:val="000000"/>
          <w:highlight w:val="none"/>
        </w:rPr>
      </w:pPr>
      <w:r>
        <w:rPr>
          <w:rFonts w:hint="eastAsia" w:ascii="仿宋" w:hAnsi="仿宋" w:eastAsia="仿宋" w:cs="仿宋"/>
          <w:b/>
          <w:bCs/>
          <w:color w:val="000000"/>
          <w:highlight w:val="none"/>
        </w:rPr>
        <w:t xml:space="preserve">▲7、绿化管理 </w:t>
      </w:r>
    </w:p>
    <w:p w14:paraId="179EAE3C">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 xml:space="preserve">（1）绿化服务是指对省档案馆后库室外区域树木、花草、绿地等的日常养护管理，能完成所需绿化植物的补种、移植、除草、培育等工作。 </w:t>
      </w:r>
    </w:p>
    <w:p w14:paraId="3AE44B65">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（2）服务内容：室外的树木、花草、绿地等的日常养护和管理等。</w:t>
      </w:r>
    </w:p>
    <w:p w14:paraId="58A073A2">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（3）服务标准</w:t>
      </w:r>
    </w:p>
    <w:p w14:paraId="3F8AEE26">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1）大楼外花草树木生长正常，修剪及时，叶面干净，具有光泽，无积尘，无枯枝败叶，无病虫害，无杂草。室外绿化养护应达到绿地及花坛内各种植物存活率95％。</w:t>
      </w:r>
    </w:p>
    <w:p w14:paraId="4172096F">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2）绿地设施应完好无损。植物群落完整，层次丰富，黄土不外露，有整体的观赏效果。植物季节分明，生长茂盛。</w:t>
      </w:r>
    </w:p>
    <w:p w14:paraId="71C32A62">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3）草坪保持平整，高度不超过5厘米，草屑及时清理；乔木修剪科学合理，剪口光滑整齐，树冠完整美观，无徒长枝、下垂枝、枯枝，内膛不乱，通风透光；绿篱修剪整齐有型，保持观赏面枝叶丰满。灌木花草修剪及时，无残花。</w:t>
      </w:r>
    </w:p>
    <w:p w14:paraId="42D53F70">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4）绿地内立视应无明显杂草，土壤疏松通透；草皮无病斑，植物枝叶无虫害咬口、排泄物、无悬挂或依附在植物上的虫茧、休眠虫体及越冬虫蛹；绿地内无垃圾，乔木无树挂；绿地无破坏、践踏及随意占用现象。</w:t>
      </w:r>
    </w:p>
    <w:p w14:paraId="017B344D">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5）绿植在物业服务期内造成的衰败或死亡由供应商负责养护或更换，费用由供应商负责。</w:t>
      </w:r>
    </w:p>
    <w:p w14:paraId="5F90509D">
      <w:pPr>
        <w:spacing w:line="500" w:lineRule="exact"/>
        <w:ind w:firstLine="566" w:firstLineChars="200"/>
        <w:rPr>
          <w:rFonts w:ascii="仿宋" w:hAnsi="仿宋" w:eastAsia="仿宋" w:cs="仿宋"/>
          <w:b/>
          <w:bCs/>
          <w:color w:val="000000"/>
          <w:highlight w:val="none"/>
        </w:rPr>
      </w:pPr>
      <w:r>
        <w:rPr>
          <w:rFonts w:hint="eastAsia" w:ascii="仿宋" w:hAnsi="仿宋" w:eastAsia="仿宋" w:cs="仿宋"/>
          <w:b/>
          <w:bCs/>
          <w:color w:val="000000"/>
          <w:highlight w:val="none"/>
        </w:rPr>
        <w:t>▲8、节能降耗方案</w:t>
      </w:r>
    </w:p>
    <w:p w14:paraId="330C65E6">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（1）制定年度节约能源资源实施方案，并明确年度节约能源资源目标。</w:t>
      </w:r>
    </w:p>
    <w:p w14:paraId="3D6F242A">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（2）制定能源资源消费统计、定额管理、节能、节水、生活垃圾分类、绿色消费以及用能设备设施节能操作规程等节约能源资源管理制度。</w:t>
      </w:r>
    </w:p>
    <w:p w14:paraId="33C2E2DE">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（3）按照《公共机构能源资源计量器具配备和管理要求》，实行能源资源分户、分区、分项计量，建立能源资源消费计量器具台账。</w:t>
      </w:r>
    </w:p>
    <w:p w14:paraId="6DE1F208">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（4）按照《公共机构能源资源消费统计调查制度》要求，建立能源资源消费统计台账，定期报送办公室。</w:t>
      </w:r>
    </w:p>
    <w:p w14:paraId="1DD82EA1">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（5）有害垃圾单独存放，并与具备处理资质的企业签订收运处置协议。</w:t>
      </w:r>
    </w:p>
    <w:p w14:paraId="5C0604B3">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（6）可回收物统一回收，与具备回收资质的企业签订收运处置协议。</w:t>
      </w:r>
    </w:p>
    <w:p w14:paraId="4A5DFCD2">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（7）餐厨垃圾，与具备回收资质的企业签订收运处置协议。</w:t>
      </w:r>
    </w:p>
    <w:p w14:paraId="4E9223D9">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（8）建立垃圾分类清运台账。</w:t>
      </w:r>
    </w:p>
    <w:p w14:paraId="709F9A95">
      <w:pPr>
        <w:spacing w:line="500" w:lineRule="exact"/>
        <w:ind w:firstLine="566" w:firstLineChars="200"/>
        <w:rPr>
          <w:rFonts w:ascii="仿宋" w:hAnsi="仿宋" w:eastAsia="仿宋" w:cs="仿宋"/>
          <w:b/>
          <w:bCs/>
          <w:color w:val="000000"/>
          <w:highlight w:val="none"/>
        </w:rPr>
      </w:pPr>
      <w:r>
        <w:rPr>
          <w:rFonts w:hint="eastAsia" w:ascii="仿宋" w:hAnsi="仿宋" w:eastAsia="仿宋" w:cs="仿宋"/>
          <w:b/>
          <w:bCs/>
          <w:color w:val="000000"/>
          <w:highlight w:val="none"/>
          <w:lang w:val="en-US" w:eastAsia="zh-CN"/>
        </w:rPr>
        <w:t>四</w:t>
      </w:r>
      <w:r>
        <w:rPr>
          <w:rFonts w:hint="eastAsia" w:ascii="仿宋" w:hAnsi="仿宋" w:eastAsia="仿宋" w:cs="仿宋"/>
          <w:b/>
          <w:bCs/>
          <w:color w:val="000000"/>
          <w:highlight w:val="none"/>
        </w:rPr>
        <w:t>、人员配置要求</w:t>
      </w:r>
    </w:p>
    <w:p w14:paraId="4A696BFF">
      <w:pPr>
        <w:spacing w:line="500" w:lineRule="exact"/>
        <w:ind w:firstLine="566" w:firstLineChars="200"/>
        <w:rPr>
          <w:rFonts w:ascii="仿宋" w:hAnsi="仿宋" w:eastAsia="仿宋" w:cs="仿宋"/>
          <w:b/>
          <w:bCs/>
          <w:color w:val="000000"/>
          <w:highlight w:val="none"/>
        </w:rPr>
      </w:pPr>
      <w:r>
        <w:rPr>
          <w:rFonts w:hint="eastAsia" w:ascii="仿宋" w:hAnsi="仿宋" w:eastAsia="仿宋" w:cs="仿宋"/>
          <w:b/>
          <w:bCs/>
          <w:color w:val="000000"/>
          <w:highlight w:val="none"/>
        </w:rPr>
        <w:t>（一）人员表格</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1"/>
        <w:gridCol w:w="713"/>
        <w:gridCol w:w="712"/>
        <w:gridCol w:w="1575"/>
        <w:gridCol w:w="1650"/>
        <w:gridCol w:w="2225"/>
        <w:gridCol w:w="936"/>
      </w:tblGrid>
      <w:tr w14:paraId="179F5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711" w:type="dxa"/>
            <w:vAlign w:val="center"/>
          </w:tcPr>
          <w:p w14:paraId="5C26BCC0">
            <w:pPr>
              <w:overflowPunct w:val="0"/>
              <w:autoSpaceDE w:val="0"/>
              <w:autoSpaceDN w:val="0"/>
              <w:adjustRightInd w:val="0"/>
              <w:snapToGrid w:val="0"/>
              <w:jc w:val="center"/>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序号</w:t>
            </w:r>
          </w:p>
        </w:tc>
        <w:tc>
          <w:tcPr>
            <w:tcW w:w="713" w:type="dxa"/>
            <w:vAlign w:val="center"/>
          </w:tcPr>
          <w:p w14:paraId="3F9C33F9">
            <w:pPr>
              <w:overflowPunct w:val="0"/>
              <w:autoSpaceDE w:val="0"/>
              <w:autoSpaceDN w:val="0"/>
              <w:adjustRightInd w:val="0"/>
              <w:snapToGrid w:val="0"/>
              <w:jc w:val="center"/>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岗位</w:t>
            </w:r>
          </w:p>
        </w:tc>
        <w:tc>
          <w:tcPr>
            <w:tcW w:w="712" w:type="dxa"/>
            <w:vAlign w:val="center"/>
          </w:tcPr>
          <w:p w14:paraId="16CF8F94">
            <w:pPr>
              <w:overflowPunct w:val="0"/>
              <w:autoSpaceDE w:val="0"/>
              <w:autoSpaceDN w:val="0"/>
              <w:adjustRightInd w:val="0"/>
              <w:snapToGrid w:val="0"/>
              <w:jc w:val="center"/>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人数</w:t>
            </w:r>
          </w:p>
        </w:tc>
        <w:tc>
          <w:tcPr>
            <w:tcW w:w="1575" w:type="dxa"/>
            <w:vAlign w:val="center"/>
          </w:tcPr>
          <w:p w14:paraId="18D310AA">
            <w:pPr>
              <w:overflowPunct w:val="0"/>
              <w:autoSpaceDE w:val="0"/>
              <w:autoSpaceDN w:val="0"/>
              <w:adjustRightInd w:val="0"/>
              <w:snapToGrid w:val="0"/>
              <w:jc w:val="center"/>
              <w:rPr>
                <w:rFonts w:ascii="仿宋" w:hAnsi="仿宋" w:eastAsia="仿宋" w:cs="仿宋"/>
                <w:b/>
                <w:kern w:val="0"/>
                <w:sz w:val="24"/>
                <w:szCs w:val="24"/>
                <w:highlight w:val="none"/>
              </w:rPr>
            </w:pPr>
            <w:r>
              <w:rPr>
                <w:rFonts w:hint="eastAsia" w:ascii="仿宋" w:hAnsi="仿宋" w:eastAsia="仿宋" w:cs="仿宋"/>
                <w:b/>
                <w:sz w:val="24"/>
                <w:szCs w:val="24"/>
                <w:highlight w:val="none"/>
              </w:rPr>
              <w:t>年龄</w:t>
            </w:r>
          </w:p>
        </w:tc>
        <w:tc>
          <w:tcPr>
            <w:tcW w:w="1650" w:type="dxa"/>
            <w:vAlign w:val="center"/>
          </w:tcPr>
          <w:p w14:paraId="08C13D1B">
            <w:pPr>
              <w:overflowPunct w:val="0"/>
              <w:autoSpaceDE w:val="0"/>
              <w:autoSpaceDN w:val="0"/>
              <w:adjustRightInd w:val="0"/>
              <w:snapToGrid w:val="0"/>
              <w:jc w:val="center"/>
              <w:rPr>
                <w:rFonts w:ascii="仿宋" w:hAnsi="仿宋" w:eastAsia="仿宋" w:cs="仿宋"/>
                <w:b/>
                <w:kern w:val="0"/>
                <w:sz w:val="24"/>
                <w:szCs w:val="24"/>
                <w:highlight w:val="none"/>
              </w:rPr>
            </w:pPr>
            <w:r>
              <w:rPr>
                <w:rFonts w:hint="eastAsia" w:ascii="仿宋" w:hAnsi="仿宋" w:eastAsia="仿宋" w:cs="仿宋"/>
                <w:b/>
                <w:sz w:val="24"/>
                <w:szCs w:val="24"/>
                <w:highlight w:val="none"/>
              </w:rPr>
              <w:t>学</w:t>
            </w:r>
            <w:r>
              <w:rPr>
                <w:rFonts w:hint="eastAsia" w:ascii="仿宋" w:hAnsi="仿宋" w:eastAsia="仿宋" w:cs="仿宋"/>
                <w:b/>
                <w:kern w:val="0"/>
                <w:sz w:val="24"/>
                <w:szCs w:val="24"/>
                <w:highlight w:val="none"/>
              </w:rPr>
              <w:t>历</w:t>
            </w:r>
          </w:p>
        </w:tc>
        <w:tc>
          <w:tcPr>
            <w:tcW w:w="2225" w:type="dxa"/>
            <w:vAlign w:val="center"/>
          </w:tcPr>
          <w:p w14:paraId="5FF18C18">
            <w:pPr>
              <w:overflowPunct w:val="0"/>
              <w:autoSpaceDE w:val="0"/>
              <w:autoSpaceDN w:val="0"/>
              <w:adjustRightInd w:val="0"/>
              <w:snapToGrid w:val="0"/>
              <w:jc w:val="center"/>
              <w:rPr>
                <w:rFonts w:ascii="仿宋" w:hAnsi="仿宋" w:eastAsia="仿宋" w:cs="仿宋"/>
                <w:b/>
                <w:kern w:val="0"/>
                <w:sz w:val="24"/>
                <w:szCs w:val="24"/>
                <w:highlight w:val="none"/>
              </w:rPr>
            </w:pPr>
            <w:r>
              <w:rPr>
                <w:rFonts w:hint="eastAsia" w:ascii="仿宋" w:hAnsi="仿宋" w:eastAsia="仿宋" w:cs="仿宋"/>
                <w:b/>
                <w:sz w:val="24"/>
                <w:szCs w:val="24"/>
                <w:highlight w:val="none"/>
              </w:rPr>
              <w:t>物业从业时间</w:t>
            </w:r>
          </w:p>
        </w:tc>
        <w:tc>
          <w:tcPr>
            <w:tcW w:w="936" w:type="dxa"/>
            <w:vAlign w:val="center"/>
          </w:tcPr>
          <w:p w14:paraId="4113B098">
            <w:pPr>
              <w:overflowPunct w:val="0"/>
              <w:autoSpaceDE w:val="0"/>
              <w:autoSpaceDN w:val="0"/>
              <w:adjustRightInd w:val="0"/>
              <w:snapToGrid w:val="0"/>
              <w:jc w:val="center"/>
              <w:rPr>
                <w:rFonts w:ascii="仿宋" w:hAnsi="仿宋" w:eastAsia="仿宋" w:cs="仿宋"/>
                <w:b/>
                <w:kern w:val="0"/>
                <w:sz w:val="24"/>
                <w:szCs w:val="24"/>
                <w:highlight w:val="none"/>
              </w:rPr>
            </w:pPr>
            <w:r>
              <w:rPr>
                <w:rFonts w:hint="eastAsia" w:ascii="仿宋" w:hAnsi="仿宋" w:eastAsia="仿宋" w:cs="仿宋"/>
                <w:b/>
                <w:kern w:val="0"/>
                <w:sz w:val="24"/>
                <w:szCs w:val="24"/>
                <w:highlight w:val="none"/>
              </w:rPr>
              <w:t>备注</w:t>
            </w:r>
          </w:p>
        </w:tc>
      </w:tr>
      <w:tr w14:paraId="37D1B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711" w:type="dxa"/>
            <w:vAlign w:val="center"/>
          </w:tcPr>
          <w:p w14:paraId="55804BA4">
            <w:pPr>
              <w:overflowPunct w:val="0"/>
              <w:autoSpaceDE w:val="0"/>
              <w:autoSpaceDN w:val="0"/>
              <w:adjustRightInd w:val="0"/>
              <w:snapToGrid w:val="0"/>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w:t>
            </w:r>
          </w:p>
        </w:tc>
        <w:tc>
          <w:tcPr>
            <w:tcW w:w="713" w:type="dxa"/>
            <w:vAlign w:val="center"/>
          </w:tcPr>
          <w:p w14:paraId="79AF9096">
            <w:pPr>
              <w:overflowPunct w:val="0"/>
              <w:autoSpaceDE w:val="0"/>
              <w:autoSpaceDN w:val="0"/>
              <w:adjustRightInd w:val="0"/>
              <w:snapToGrid w:val="0"/>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项目经理</w:t>
            </w:r>
          </w:p>
        </w:tc>
        <w:tc>
          <w:tcPr>
            <w:tcW w:w="712" w:type="dxa"/>
            <w:vAlign w:val="center"/>
          </w:tcPr>
          <w:p w14:paraId="1191FF6C">
            <w:pPr>
              <w:overflowPunct w:val="0"/>
              <w:autoSpaceDE w:val="0"/>
              <w:autoSpaceDN w:val="0"/>
              <w:adjustRightInd w:val="0"/>
              <w:snapToGrid w:val="0"/>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w:t>
            </w:r>
          </w:p>
        </w:tc>
        <w:tc>
          <w:tcPr>
            <w:tcW w:w="1575" w:type="dxa"/>
            <w:vAlign w:val="center"/>
          </w:tcPr>
          <w:p w14:paraId="4676CD7E">
            <w:pPr>
              <w:overflowPunct w:val="0"/>
              <w:autoSpaceDE w:val="0"/>
              <w:autoSpaceDN w:val="0"/>
              <w:adjustRightInd w:val="0"/>
              <w:snapToGrid w:val="0"/>
              <w:jc w:val="center"/>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w:t>
            </w:r>
          </w:p>
        </w:tc>
        <w:tc>
          <w:tcPr>
            <w:tcW w:w="1650" w:type="dxa"/>
            <w:vAlign w:val="center"/>
          </w:tcPr>
          <w:p w14:paraId="0EE14A34">
            <w:pPr>
              <w:overflowPunct w:val="0"/>
              <w:autoSpaceDE w:val="0"/>
              <w:autoSpaceDN w:val="0"/>
              <w:adjustRightInd w:val="0"/>
              <w:snapToGrid w:val="0"/>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大专及以上</w:t>
            </w:r>
          </w:p>
        </w:tc>
        <w:tc>
          <w:tcPr>
            <w:tcW w:w="2225" w:type="dxa"/>
            <w:vAlign w:val="center"/>
          </w:tcPr>
          <w:p w14:paraId="722430E6">
            <w:pPr>
              <w:overflowPunct w:val="0"/>
              <w:autoSpaceDE w:val="0"/>
              <w:autoSpaceDN w:val="0"/>
              <w:adjustRightInd w:val="0"/>
              <w:snapToGrid w:val="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从事安保</w:t>
            </w:r>
            <w:r>
              <w:rPr>
                <w:rFonts w:hint="eastAsia" w:ascii="仿宋" w:hAnsi="仿宋" w:eastAsia="仿宋" w:cs="仿宋"/>
                <w:kern w:val="0"/>
                <w:sz w:val="24"/>
                <w:szCs w:val="24"/>
                <w:highlight w:val="none"/>
                <w:lang w:val="en-US" w:eastAsia="zh-CN"/>
              </w:rPr>
              <w:t>物业管理</w:t>
            </w:r>
            <w:r>
              <w:rPr>
                <w:rFonts w:hint="eastAsia" w:ascii="仿宋" w:hAnsi="仿宋" w:eastAsia="仿宋" w:cs="仿宋"/>
                <w:kern w:val="0"/>
                <w:sz w:val="24"/>
                <w:szCs w:val="24"/>
                <w:highlight w:val="none"/>
              </w:rPr>
              <w:t>工作不少于</w:t>
            </w:r>
            <w:r>
              <w:rPr>
                <w:rFonts w:hint="eastAsia" w:ascii="仿宋" w:hAnsi="仿宋" w:eastAsia="仿宋" w:cs="仿宋"/>
                <w:kern w:val="0"/>
                <w:sz w:val="24"/>
                <w:szCs w:val="24"/>
                <w:highlight w:val="none"/>
                <w:lang w:val="en-US" w:eastAsia="zh-CN"/>
              </w:rPr>
              <w:t>5</w:t>
            </w:r>
            <w:r>
              <w:rPr>
                <w:rFonts w:hint="eastAsia" w:ascii="仿宋" w:hAnsi="仿宋" w:eastAsia="仿宋" w:cs="仿宋"/>
                <w:kern w:val="0"/>
                <w:sz w:val="24"/>
                <w:szCs w:val="24"/>
                <w:highlight w:val="none"/>
              </w:rPr>
              <w:t>年。</w:t>
            </w:r>
          </w:p>
        </w:tc>
        <w:tc>
          <w:tcPr>
            <w:tcW w:w="936" w:type="dxa"/>
            <w:vAlign w:val="center"/>
          </w:tcPr>
          <w:p w14:paraId="70FE7B50">
            <w:pPr>
              <w:overflowPunct w:val="0"/>
              <w:autoSpaceDE w:val="0"/>
              <w:autoSpaceDN w:val="0"/>
              <w:adjustRightInd w:val="0"/>
              <w:snapToGrid w:val="0"/>
              <w:jc w:val="center"/>
              <w:rPr>
                <w:rFonts w:hint="eastAsia" w:ascii="仿宋" w:hAnsi="仿宋" w:eastAsia="仿宋" w:cs="仿宋"/>
                <w:kern w:val="0"/>
                <w:sz w:val="24"/>
                <w:szCs w:val="24"/>
                <w:highlight w:val="none"/>
              </w:rPr>
            </w:pPr>
          </w:p>
        </w:tc>
      </w:tr>
      <w:tr w14:paraId="347D5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711" w:type="dxa"/>
            <w:vAlign w:val="center"/>
          </w:tcPr>
          <w:p w14:paraId="1EA6DFD9">
            <w:pPr>
              <w:overflowPunct w:val="0"/>
              <w:autoSpaceDE w:val="0"/>
              <w:autoSpaceDN w:val="0"/>
              <w:adjustRightInd w:val="0"/>
              <w:snapToGrid w:val="0"/>
              <w:jc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val="en-US" w:eastAsia="zh-CN"/>
              </w:rPr>
              <w:t>2</w:t>
            </w:r>
          </w:p>
        </w:tc>
        <w:tc>
          <w:tcPr>
            <w:tcW w:w="713" w:type="dxa"/>
            <w:vAlign w:val="center"/>
          </w:tcPr>
          <w:p w14:paraId="65D5679C">
            <w:pPr>
              <w:overflowPunct w:val="0"/>
              <w:autoSpaceDE w:val="0"/>
              <w:autoSpaceDN w:val="0"/>
              <w:adjustRightInd w:val="0"/>
              <w:snapToGrid w:val="0"/>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安保人员</w:t>
            </w:r>
          </w:p>
        </w:tc>
        <w:tc>
          <w:tcPr>
            <w:tcW w:w="712" w:type="dxa"/>
            <w:vAlign w:val="center"/>
          </w:tcPr>
          <w:p w14:paraId="67F625DB">
            <w:pPr>
              <w:overflowPunct w:val="0"/>
              <w:autoSpaceDE w:val="0"/>
              <w:autoSpaceDN w:val="0"/>
              <w:adjustRightInd w:val="0"/>
              <w:snapToGrid w:val="0"/>
              <w:jc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2</w:t>
            </w:r>
            <w:r>
              <w:rPr>
                <w:rFonts w:hint="eastAsia" w:ascii="仿宋" w:hAnsi="仿宋" w:eastAsia="仿宋" w:cs="仿宋"/>
                <w:kern w:val="0"/>
                <w:sz w:val="24"/>
                <w:szCs w:val="24"/>
                <w:highlight w:val="none"/>
                <w:lang w:val="en-US" w:eastAsia="zh-CN"/>
              </w:rPr>
              <w:t>0</w:t>
            </w:r>
          </w:p>
        </w:tc>
        <w:tc>
          <w:tcPr>
            <w:tcW w:w="1575" w:type="dxa"/>
            <w:vAlign w:val="center"/>
          </w:tcPr>
          <w:p w14:paraId="2123286A">
            <w:pPr>
              <w:overflowPunct w:val="0"/>
              <w:autoSpaceDE w:val="0"/>
              <w:autoSpaceDN w:val="0"/>
              <w:adjustRightInd w:val="0"/>
              <w:snapToGrid w:val="0"/>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55周岁以下</w:t>
            </w:r>
          </w:p>
        </w:tc>
        <w:tc>
          <w:tcPr>
            <w:tcW w:w="1650" w:type="dxa"/>
            <w:vAlign w:val="center"/>
          </w:tcPr>
          <w:p w14:paraId="5524DAB6">
            <w:pPr>
              <w:overflowPunct w:val="0"/>
              <w:autoSpaceDE w:val="0"/>
              <w:autoSpaceDN w:val="0"/>
              <w:adjustRightInd w:val="0"/>
              <w:snapToGrid w:val="0"/>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初中及以上</w:t>
            </w:r>
          </w:p>
        </w:tc>
        <w:tc>
          <w:tcPr>
            <w:tcW w:w="2225" w:type="dxa"/>
            <w:vAlign w:val="center"/>
          </w:tcPr>
          <w:p w14:paraId="52250D42">
            <w:pPr>
              <w:overflowPunct w:val="0"/>
              <w:autoSpaceDE w:val="0"/>
              <w:autoSpaceDN w:val="0"/>
              <w:adjustRightInd w:val="0"/>
              <w:snapToGrid w:val="0"/>
              <w:rPr>
                <w:rFonts w:ascii="仿宋" w:hAnsi="仿宋" w:eastAsia="仿宋" w:cs="仿宋"/>
                <w:kern w:val="0"/>
                <w:sz w:val="24"/>
                <w:szCs w:val="24"/>
                <w:highlight w:val="none"/>
              </w:rPr>
            </w:pPr>
            <w:r>
              <w:rPr>
                <w:rFonts w:hint="eastAsia" w:ascii="仿宋" w:hAnsi="仿宋" w:eastAsia="仿宋" w:cs="仿宋"/>
                <w:kern w:val="0"/>
                <w:sz w:val="24"/>
                <w:szCs w:val="24"/>
                <w:highlight w:val="none"/>
              </w:rPr>
              <w:t>从事安保工作不少于3年。</w:t>
            </w:r>
          </w:p>
        </w:tc>
        <w:tc>
          <w:tcPr>
            <w:tcW w:w="936" w:type="dxa"/>
            <w:vAlign w:val="center"/>
          </w:tcPr>
          <w:p w14:paraId="05CE1FBE">
            <w:pPr>
              <w:overflowPunct w:val="0"/>
              <w:autoSpaceDE w:val="0"/>
              <w:autoSpaceDN w:val="0"/>
              <w:adjustRightInd w:val="0"/>
              <w:snapToGrid w:val="0"/>
              <w:jc w:val="center"/>
              <w:rPr>
                <w:rFonts w:ascii="仿宋" w:hAnsi="仿宋" w:eastAsia="仿宋" w:cs="仿宋"/>
                <w:kern w:val="0"/>
                <w:sz w:val="24"/>
                <w:szCs w:val="24"/>
                <w:highlight w:val="none"/>
              </w:rPr>
            </w:pPr>
          </w:p>
        </w:tc>
      </w:tr>
      <w:tr w14:paraId="07AE5F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11" w:type="dxa"/>
            <w:vAlign w:val="center"/>
          </w:tcPr>
          <w:p w14:paraId="2BDA2B05">
            <w:pPr>
              <w:overflowPunct w:val="0"/>
              <w:autoSpaceDE w:val="0"/>
              <w:autoSpaceDN w:val="0"/>
              <w:adjustRightInd w:val="0"/>
              <w:snapToGrid w:val="0"/>
              <w:jc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val="en-US" w:eastAsia="zh-CN"/>
              </w:rPr>
              <w:t>3</w:t>
            </w:r>
          </w:p>
        </w:tc>
        <w:tc>
          <w:tcPr>
            <w:tcW w:w="713" w:type="dxa"/>
            <w:vAlign w:val="center"/>
          </w:tcPr>
          <w:p w14:paraId="2EFAC6A7">
            <w:pPr>
              <w:overflowPunct w:val="0"/>
              <w:autoSpaceDE w:val="0"/>
              <w:autoSpaceDN w:val="0"/>
              <w:adjustRightInd w:val="0"/>
              <w:snapToGrid w:val="0"/>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水电工</w:t>
            </w:r>
          </w:p>
        </w:tc>
        <w:tc>
          <w:tcPr>
            <w:tcW w:w="712" w:type="dxa"/>
            <w:vAlign w:val="center"/>
          </w:tcPr>
          <w:p w14:paraId="7F79571E">
            <w:pPr>
              <w:overflowPunct w:val="0"/>
              <w:autoSpaceDE w:val="0"/>
              <w:autoSpaceDN w:val="0"/>
              <w:adjustRightInd w:val="0"/>
              <w:snapToGrid w:val="0"/>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1575" w:type="dxa"/>
            <w:vAlign w:val="center"/>
          </w:tcPr>
          <w:p w14:paraId="3C84991A">
            <w:pPr>
              <w:overflowPunct w:val="0"/>
              <w:autoSpaceDE w:val="0"/>
              <w:autoSpaceDN w:val="0"/>
              <w:adjustRightInd w:val="0"/>
              <w:snapToGrid w:val="0"/>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55周岁以下</w:t>
            </w:r>
          </w:p>
        </w:tc>
        <w:tc>
          <w:tcPr>
            <w:tcW w:w="1650" w:type="dxa"/>
            <w:vAlign w:val="center"/>
          </w:tcPr>
          <w:p w14:paraId="5E157E95">
            <w:pPr>
              <w:overflowPunct w:val="0"/>
              <w:autoSpaceDE w:val="0"/>
              <w:autoSpaceDN w:val="0"/>
              <w:adjustRightInd w:val="0"/>
              <w:snapToGrid w:val="0"/>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高中及以上</w:t>
            </w:r>
          </w:p>
        </w:tc>
        <w:tc>
          <w:tcPr>
            <w:tcW w:w="2225" w:type="dxa"/>
            <w:vAlign w:val="center"/>
          </w:tcPr>
          <w:p w14:paraId="14F64FF4">
            <w:pPr>
              <w:overflowPunct w:val="0"/>
              <w:autoSpaceDE w:val="0"/>
              <w:autoSpaceDN w:val="0"/>
              <w:adjustRightInd w:val="0"/>
              <w:snapToGrid w:val="0"/>
              <w:rPr>
                <w:rFonts w:ascii="仿宋" w:hAnsi="仿宋" w:eastAsia="仿宋" w:cs="仿宋"/>
                <w:kern w:val="0"/>
                <w:sz w:val="24"/>
                <w:szCs w:val="24"/>
                <w:highlight w:val="none"/>
              </w:rPr>
            </w:pPr>
            <w:r>
              <w:rPr>
                <w:rFonts w:hint="eastAsia" w:ascii="仿宋" w:hAnsi="仿宋" w:eastAsia="仿宋" w:cs="仿宋"/>
                <w:kern w:val="0"/>
                <w:sz w:val="24"/>
                <w:szCs w:val="24"/>
                <w:highlight w:val="none"/>
              </w:rPr>
              <w:t>1、从事物业工程维修不少于3年；</w:t>
            </w:r>
          </w:p>
          <w:p w14:paraId="48521078">
            <w:pPr>
              <w:overflowPunct w:val="0"/>
              <w:autoSpaceDE w:val="0"/>
              <w:autoSpaceDN w:val="0"/>
              <w:adjustRightInd w:val="0"/>
              <w:snapToGrid w:val="0"/>
              <w:rPr>
                <w:rFonts w:ascii="仿宋" w:hAnsi="仿宋" w:eastAsia="仿宋" w:cs="仿宋"/>
                <w:kern w:val="0"/>
                <w:sz w:val="24"/>
                <w:szCs w:val="24"/>
                <w:highlight w:val="none"/>
              </w:rPr>
            </w:pPr>
            <w:r>
              <w:rPr>
                <w:rFonts w:hint="eastAsia" w:ascii="仿宋" w:hAnsi="仿宋" w:eastAsia="仿宋" w:cs="仿宋"/>
                <w:kern w:val="0"/>
                <w:sz w:val="24"/>
                <w:szCs w:val="24"/>
                <w:highlight w:val="none"/>
              </w:rPr>
              <w:t>2、</w:t>
            </w:r>
            <w:r>
              <w:rPr>
                <w:rFonts w:hint="eastAsia" w:ascii="仿宋" w:hAnsi="仿宋" w:eastAsia="仿宋" w:cs="仿宋"/>
                <w:spacing w:val="2"/>
                <w:sz w:val="24"/>
                <w:szCs w:val="24"/>
                <w:highlight w:val="none"/>
              </w:rPr>
              <w:t>均须提供特种作业操作证（低压</w:t>
            </w:r>
            <w:r>
              <w:rPr>
                <w:rFonts w:hint="eastAsia" w:ascii="仿宋" w:hAnsi="仿宋" w:eastAsia="仿宋" w:cs="仿宋"/>
                <w:spacing w:val="2"/>
                <w:sz w:val="24"/>
                <w:szCs w:val="24"/>
                <w:highlight w:val="none"/>
                <w:lang w:val="en-US" w:eastAsia="zh-CN"/>
              </w:rPr>
              <w:t>作业</w:t>
            </w:r>
            <w:r>
              <w:rPr>
                <w:rFonts w:hint="eastAsia" w:ascii="仿宋" w:hAnsi="仿宋" w:eastAsia="仿宋" w:cs="仿宋"/>
                <w:spacing w:val="2"/>
                <w:sz w:val="24"/>
                <w:szCs w:val="24"/>
                <w:highlight w:val="none"/>
              </w:rPr>
              <w:t>）。</w:t>
            </w:r>
          </w:p>
        </w:tc>
        <w:tc>
          <w:tcPr>
            <w:tcW w:w="936" w:type="dxa"/>
            <w:vAlign w:val="center"/>
          </w:tcPr>
          <w:p w14:paraId="6A6CD9EE">
            <w:pPr>
              <w:overflowPunct w:val="0"/>
              <w:autoSpaceDE w:val="0"/>
              <w:autoSpaceDN w:val="0"/>
              <w:adjustRightInd w:val="0"/>
              <w:snapToGrid w:val="0"/>
              <w:jc w:val="center"/>
              <w:rPr>
                <w:rFonts w:ascii="仿宋" w:hAnsi="仿宋" w:eastAsia="仿宋" w:cs="仿宋"/>
                <w:kern w:val="0"/>
                <w:sz w:val="24"/>
                <w:szCs w:val="24"/>
                <w:highlight w:val="none"/>
              </w:rPr>
            </w:pPr>
          </w:p>
        </w:tc>
      </w:tr>
      <w:tr w14:paraId="52C6F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atLeast"/>
          <w:jc w:val="center"/>
        </w:trPr>
        <w:tc>
          <w:tcPr>
            <w:tcW w:w="711" w:type="dxa"/>
            <w:vAlign w:val="center"/>
          </w:tcPr>
          <w:p w14:paraId="2AC1D6AF">
            <w:pPr>
              <w:overflowPunct w:val="0"/>
              <w:autoSpaceDE w:val="0"/>
              <w:autoSpaceDN w:val="0"/>
              <w:adjustRightInd w:val="0"/>
              <w:snapToGrid w:val="0"/>
              <w:jc w:val="center"/>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lang w:val="en-US" w:eastAsia="zh-CN"/>
              </w:rPr>
              <w:t>4</w:t>
            </w:r>
          </w:p>
        </w:tc>
        <w:tc>
          <w:tcPr>
            <w:tcW w:w="713" w:type="dxa"/>
            <w:vAlign w:val="center"/>
          </w:tcPr>
          <w:p w14:paraId="3D794B9A">
            <w:pPr>
              <w:overflowPunct w:val="0"/>
              <w:autoSpaceDE w:val="0"/>
              <w:autoSpaceDN w:val="0"/>
              <w:adjustRightInd w:val="0"/>
              <w:snapToGrid w:val="0"/>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勤杂工</w:t>
            </w:r>
          </w:p>
        </w:tc>
        <w:tc>
          <w:tcPr>
            <w:tcW w:w="712" w:type="dxa"/>
            <w:vAlign w:val="center"/>
          </w:tcPr>
          <w:p w14:paraId="3ECA643F">
            <w:pPr>
              <w:overflowPunct w:val="0"/>
              <w:autoSpaceDE w:val="0"/>
              <w:autoSpaceDN w:val="0"/>
              <w:adjustRightInd w:val="0"/>
              <w:snapToGrid w:val="0"/>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2</w:t>
            </w:r>
          </w:p>
        </w:tc>
        <w:tc>
          <w:tcPr>
            <w:tcW w:w="1575" w:type="dxa"/>
            <w:vAlign w:val="center"/>
          </w:tcPr>
          <w:p w14:paraId="0E46AC21">
            <w:pPr>
              <w:overflowPunct w:val="0"/>
              <w:autoSpaceDE w:val="0"/>
              <w:autoSpaceDN w:val="0"/>
              <w:adjustRightInd w:val="0"/>
              <w:snapToGrid w:val="0"/>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55周岁以下</w:t>
            </w:r>
          </w:p>
        </w:tc>
        <w:tc>
          <w:tcPr>
            <w:tcW w:w="1650" w:type="dxa"/>
            <w:vAlign w:val="center"/>
          </w:tcPr>
          <w:p w14:paraId="2C51EF3E">
            <w:pPr>
              <w:overflowPunct w:val="0"/>
              <w:autoSpaceDE w:val="0"/>
              <w:autoSpaceDN w:val="0"/>
              <w:adjustRightInd w:val="0"/>
              <w:snapToGrid w:val="0"/>
              <w:jc w:val="center"/>
              <w:rPr>
                <w:rFonts w:ascii="仿宋" w:hAnsi="仿宋" w:eastAsia="仿宋" w:cs="仿宋"/>
                <w:kern w:val="0"/>
                <w:sz w:val="24"/>
                <w:szCs w:val="24"/>
                <w:highlight w:val="none"/>
              </w:rPr>
            </w:pPr>
            <w:r>
              <w:rPr>
                <w:rFonts w:hint="eastAsia" w:ascii="仿宋" w:hAnsi="仿宋" w:eastAsia="仿宋" w:cs="仿宋"/>
                <w:kern w:val="0"/>
                <w:sz w:val="24"/>
                <w:szCs w:val="24"/>
                <w:highlight w:val="none"/>
              </w:rPr>
              <w:t>初中及以上</w:t>
            </w:r>
          </w:p>
        </w:tc>
        <w:tc>
          <w:tcPr>
            <w:tcW w:w="2225" w:type="dxa"/>
            <w:vAlign w:val="center"/>
          </w:tcPr>
          <w:p w14:paraId="472BA8A9">
            <w:pPr>
              <w:overflowPunct w:val="0"/>
              <w:autoSpaceDE w:val="0"/>
              <w:autoSpaceDN w:val="0"/>
              <w:adjustRightInd w:val="0"/>
              <w:snapToGrid w:val="0"/>
              <w:rPr>
                <w:rFonts w:ascii="仿宋" w:hAnsi="仿宋" w:eastAsia="仿宋" w:cs="仿宋"/>
                <w:kern w:val="0"/>
                <w:sz w:val="24"/>
                <w:szCs w:val="24"/>
                <w:highlight w:val="none"/>
              </w:rPr>
            </w:pPr>
            <w:r>
              <w:rPr>
                <w:rFonts w:hint="eastAsia" w:ascii="仿宋" w:hAnsi="仿宋" w:eastAsia="仿宋" w:cs="仿宋"/>
                <w:kern w:val="0"/>
                <w:sz w:val="24"/>
                <w:szCs w:val="24"/>
                <w:highlight w:val="none"/>
              </w:rPr>
              <w:t>从事相关物业工作不少于2年。</w:t>
            </w:r>
          </w:p>
        </w:tc>
        <w:tc>
          <w:tcPr>
            <w:tcW w:w="936" w:type="dxa"/>
            <w:vAlign w:val="center"/>
          </w:tcPr>
          <w:p w14:paraId="7C1333B8">
            <w:pPr>
              <w:overflowPunct w:val="0"/>
              <w:autoSpaceDE w:val="0"/>
              <w:autoSpaceDN w:val="0"/>
              <w:adjustRightInd w:val="0"/>
              <w:snapToGrid w:val="0"/>
              <w:jc w:val="center"/>
              <w:rPr>
                <w:rFonts w:ascii="仿宋" w:hAnsi="仿宋" w:eastAsia="仿宋" w:cs="仿宋"/>
                <w:kern w:val="0"/>
                <w:sz w:val="24"/>
                <w:szCs w:val="24"/>
                <w:highlight w:val="none"/>
              </w:rPr>
            </w:pPr>
          </w:p>
        </w:tc>
      </w:tr>
      <w:tr w14:paraId="6DA9A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3711" w:type="dxa"/>
            <w:gridSpan w:val="4"/>
            <w:vAlign w:val="center"/>
          </w:tcPr>
          <w:p w14:paraId="66B4F18D">
            <w:pPr>
              <w:overflowPunct w:val="0"/>
              <w:autoSpaceDE w:val="0"/>
              <w:autoSpaceDN w:val="0"/>
              <w:adjustRightInd w:val="0"/>
              <w:snapToGrid w:val="0"/>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合计</w:t>
            </w:r>
          </w:p>
        </w:tc>
        <w:tc>
          <w:tcPr>
            <w:tcW w:w="4811" w:type="dxa"/>
            <w:gridSpan w:val="3"/>
            <w:vAlign w:val="center"/>
          </w:tcPr>
          <w:p w14:paraId="60A70317">
            <w:pPr>
              <w:overflowPunct w:val="0"/>
              <w:autoSpaceDE w:val="0"/>
              <w:autoSpaceDN w:val="0"/>
              <w:adjustRightInd w:val="0"/>
              <w:snapToGrid w:val="0"/>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25人</w:t>
            </w:r>
          </w:p>
        </w:tc>
      </w:tr>
    </w:tbl>
    <w:p w14:paraId="3D53829D">
      <w:pPr>
        <w:pStyle w:val="14"/>
        <w:overflowPunct w:val="0"/>
        <w:autoSpaceDE w:val="0"/>
        <w:autoSpaceDN w:val="0"/>
        <w:adjustRightInd w:val="0"/>
        <w:spacing w:line="560" w:lineRule="exact"/>
        <w:ind w:firstLine="566" w:firstLineChars="200"/>
        <w:rPr>
          <w:rFonts w:hint="eastAsia" w:ascii="仿宋" w:hAnsi="仿宋" w:eastAsia="仿宋" w:cs="仿宋"/>
          <w:b/>
          <w:bCs/>
          <w:color w:val="000000"/>
          <w:kern w:val="2"/>
          <w:sz w:val="28"/>
          <w:szCs w:val="28"/>
          <w:highlight w:val="none"/>
        </w:rPr>
      </w:pPr>
    </w:p>
    <w:p w14:paraId="6266B8BA">
      <w:pPr>
        <w:pStyle w:val="14"/>
        <w:overflowPunct w:val="0"/>
        <w:autoSpaceDE w:val="0"/>
        <w:autoSpaceDN w:val="0"/>
        <w:adjustRightInd w:val="0"/>
        <w:spacing w:line="560" w:lineRule="exact"/>
        <w:ind w:firstLine="566" w:firstLineChars="200"/>
        <w:rPr>
          <w:rFonts w:ascii="仿宋" w:hAnsi="仿宋" w:eastAsia="仿宋" w:cs="仿宋"/>
          <w:b/>
          <w:bCs/>
          <w:color w:val="000000"/>
          <w:kern w:val="2"/>
          <w:sz w:val="28"/>
          <w:szCs w:val="28"/>
          <w:highlight w:val="none"/>
        </w:rPr>
      </w:pPr>
      <w:r>
        <w:rPr>
          <w:rFonts w:hint="eastAsia" w:ascii="仿宋" w:hAnsi="仿宋" w:eastAsia="仿宋" w:cs="仿宋"/>
          <w:b/>
          <w:bCs/>
          <w:color w:val="000000"/>
          <w:kern w:val="2"/>
          <w:sz w:val="28"/>
          <w:szCs w:val="28"/>
          <w:highlight w:val="none"/>
        </w:rPr>
        <w:t>（二）人员配置需求表</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
        <w:gridCol w:w="1025"/>
        <w:gridCol w:w="812"/>
        <w:gridCol w:w="918"/>
        <w:gridCol w:w="4702"/>
      </w:tblGrid>
      <w:tr w14:paraId="1020B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903" w:type="dxa"/>
            <w:vAlign w:val="center"/>
          </w:tcPr>
          <w:p w14:paraId="2A72D686">
            <w:pPr>
              <w:overflowPunct w:val="0"/>
              <w:autoSpaceDE w:val="0"/>
              <w:autoSpaceDN w:val="0"/>
              <w:adjustRightInd w:val="0"/>
              <w:snapToGrid w:val="0"/>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1025" w:type="dxa"/>
            <w:vAlign w:val="center"/>
          </w:tcPr>
          <w:p w14:paraId="3248E4BD">
            <w:pPr>
              <w:overflowPunct w:val="0"/>
              <w:autoSpaceDE w:val="0"/>
              <w:autoSpaceDN w:val="0"/>
              <w:adjustRightInd w:val="0"/>
              <w:snapToGrid w:val="0"/>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岗位</w:t>
            </w:r>
          </w:p>
        </w:tc>
        <w:tc>
          <w:tcPr>
            <w:tcW w:w="812" w:type="dxa"/>
            <w:vAlign w:val="center"/>
          </w:tcPr>
          <w:p w14:paraId="5A0DD885">
            <w:pPr>
              <w:overflowPunct w:val="0"/>
              <w:autoSpaceDE w:val="0"/>
              <w:autoSpaceDN w:val="0"/>
              <w:adjustRightInd w:val="0"/>
              <w:snapToGrid w:val="0"/>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值班</w:t>
            </w:r>
          </w:p>
        </w:tc>
        <w:tc>
          <w:tcPr>
            <w:tcW w:w="918" w:type="dxa"/>
            <w:vAlign w:val="center"/>
          </w:tcPr>
          <w:p w14:paraId="49F512C6">
            <w:pPr>
              <w:overflowPunct w:val="0"/>
              <w:autoSpaceDE w:val="0"/>
              <w:autoSpaceDN w:val="0"/>
              <w:adjustRightInd w:val="0"/>
              <w:snapToGrid w:val="0"/>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人数</w:t>
            </w:r>
          </w:p>
        </w:tc>
        <w:tc>
          <w:tcPr>
            <w:tcW w:w="4702" w:type="dxa"/>
            <w:vAlign w:val="center"/>
          </w:tcPr>
          <w:p w14:paraId="130390C7">
            <w:pPr>
              <w:overflowPunct w:val="0"/>
              <w:autoSpaceDE w:val="0"/>
              <w:autoSpaceDN w:val="0"/>
              <w:adjustRightInd w:val="0"/>
              <w:snapToGrid w:val="0"/>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岗位设置要求</w:t>
            </w:r>
          </w:p>
        </w:tc>
      </w:tr>
      <w:tr w14:paraId="5702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3" w:type="dxa"/>
            <w:vAlign w:val="center"/>
          </w:tcPr>
          <w:p w14:paraId="325D45AE">
            <w:pPr>
              <w:overflowPunct w:val="0"/>
              <w:autoSpaceDE w:val="0"/>
              <w:autoSpaceDN w:val="0"/>
              <w:adjustRightInd w:val="0"/>
              <w:snapToGrid w:val="0"/>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c>
          <w:tcPr>
            <w:tcW w:w="1025" w:type="dxa"/>
            <w:vAlign w:val="center"/>
          </w:tcPr>
          <w:p w14:paraId="1C99FAE6">
            <w:pPr>
              <w:overflowPunct w:val="0"/>
              <w:autoSpaceDE w:val="0"/>
              <w:autoSpaceDN w:val="0"/>
              <w:adjustRightInd w:val="0"/>
              <w:snapToGrid w:val="0"/>
              <w:jc w:val="center"/>
              <w:rPr>
                <w:rFonts w:ascii="仿宋" w:hAnsi="仿宋" w:eastAsia="仿宋" w:cs="仿宋"/>
                <w:sz w:val="24"/>
                <w:szCs w:val="24"/>
                <w:highlight w:val="none"/>
              </w:rPr>
            </w:pPr>
            <w:r>
              <w:rPr>
                <w:rFonts w:hint="eastAsia" w:ascii="仿宋" w:hAnsi="仿宋" w:eastAsia="仿宋" w:cs="仿宋"/>
                <w:sz w:val="24"/>
                <w:szCs w:val="24"/>
                <w:highlight w:val="none"/>
              </w:rPr>
              <w:t>1号岗</w:t>
            </w:r>
          </w:p>
        </w:tc>
        <w:tc>
          <w:tcPr>
            <w:tcW w:w="812" w:type="dxa"/>
            <w:vAlign w:val="center"/>
          </w:tcPr>
          <w:p w14:paraId="1FB252F9">
            <w:pPr>
              <w:overflowPunct w:val="0"/>
              <w:autoSpaceDE w:val="0"/>
              <w:autoSpaceDN w:val="0"/>
              <w:adjustRightInd w:val="0"/>
              <w:snapToGrid w:val="0"/>
              <w:jc w:val="center"/>
              <w:rPr>
                <w:rFonts w:ascii="仿宋" w:hAnsi="仿宋" w:eastAsia="仿宋" w:cs="仿宋"/>
                <w:sz w:val="24"/>
                <w:szCs w:val="24"/>
                <w:highlight w:val="none"/>
              </w:rPr>
            </w:pPr>
            <w:r>
              <w:rPr>
                <w:rFonts w:hint="eastAsia" w:ascii="仿宋" w:hAnsi="仿宋" w:eastAsia="仿宋" w:cs="仿宋"/>
                <w:sz w:val="24"/>
                <w:szCs w:val="24"/>
                <w:highlight w:val="none"/>
              </w:rPr>
              <w:t>√</w:t>
            </w:r>
          </w:p>
        </w:tc>
        <w:tc>
          <w:tcPr>
            <w:tcW w:w="918" w:type="dxa"/>
            <w:vAlign w:val="center"/>
          </w:tcPr>
          <w:p w14:paraId="67014557">
            <w:pPr>
              <w:overflowPunct w:val="0"/>
              <w:autoSpaceDE w:val="0"/>
              <w:autoSpaceDN w:val="0"/>
              <w:adjustRightInd w:val="0"/>
              <w:snapToGrid w:val="0"/>
              <w:jc w:val="center"/>
              <w:rPr>
                <w:rFonts w:ascii="仿宋" w:hAnsi="仿宋" w:eastAsia="仿宋" w:cs="仿宋"/>
                <w:sz w:val="24"/>
                <w:szCs w:val="24"/>
                <w:highlight w:val="none"/>
              </w:rPr>
            </w:pPr>
            <w:r>
              <w:rPr>
                <w:rFonts w:hint="eastAsia" w:ascii="仿宋" w:hAnsi="仿宋" w:eastAsia="仿宋" w:cs="仿宋"/>
                <w:sz w:val="24"/>
                <w:szCs w:val="24"/>
                <w:highlight w:val="none"/>
              </w:rPr>
              <w:t>3</w:t>
            </w:r>
          </w:p>
        </w:tc>
        <w:tc>
          <w:tcPr>
            <w:tcW w:w="4702" w:type="dxa"/>
            <w:vAlign w:val="center"/>
          </w:tcPr>
          <w:p w14:paraId="54DFE3F8">
            <w:pPr>
              <w:overflowPunct w:val="0"/>
              <w:autoSpaceDE w:val="0"/>
              <w:autoSpaceDN w:val="0"/>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1.1主要工作是围墙的安全防护，特别是晚间防止外来人员和小偷从围墙进入院内，造成物品的失窃。</w:t>
            </w:r>
          </w:p>
          <w:p w14:paraId="0AF01033">
            <w:pPr>
              <w:overflowPunct w:val="0"/>
              <w:autoSpaceDE w:val="0"/>
              <w:autoSpaceDN w:val="0"/>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1.2应协助3号岗、4号岗和监控室，尽可能保证院内的安全。</w:t>
            </w:r>
          </w:p>
        </w:tc>
      </w:tr>
      <w:tr w14:paraId="495D4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3" w:type="dxa"/>
            <w:vAlign w:val="center"/>
          </w:tcPr>
          <w:p w14:paraId="76DFB4A4">
            <w:pPr>
              <w:overflowPunct w:val="0"/>
              <w:autoSpaceDE w:val="0"/>
              <w:autoSpaceDN w:val="0"/>
              <w:adjustRightInd w:val="0"/>
              <w:snapToGrid w:val="0"/>
              <w:jc w:val="center"/>
              <w:rPr>
                <w:rFonts w:ascii="仿宋" w:hAnsi="仿宋" w:eastAsia="仿宋" w:cs="仿宋"/>
                <w:sz w:val="24"/>
                <w:szCs w:val="24"/>
                <w:highlight w:val="none"/>
              </w:rPr>
            </w:pPr>
            <w:r>
              <w:rPr>
                <w:rFonts w:hint="eastAsia" w:ascii="仿宋" w:hAnsi="仿宋" w:eastAsia="仿宋" w:cs="仿宋"/>
                <w:sz w:val="24"/>
                <w:szCs w:val="24"/>
                <w:highlight w:val="none"/>
              </w:rPr>
              <w:t>2</w:t>
            </w:r>
          </w:p>
        </w:tc>
        <w:tc>
          <w:tcPr>
            <w:tcW w:w="1025" w:type="dxa"/>
            <w:vAlign w:val="center"/>
          </w:tcPr>
          <w:p w14:paraId="5E6CF73F">
            <w:pPr>
              <w:overflowPunct w:val="0"/>
              <w:autoSpaceDE w:val="0"/>
              <w:autoSpaceDN w:val="0"/>
              <w:adjustRightInd w:val="0"/>
              <w:snapToGrid w:val="0"/>
              <w:jc w:val="center"/>
              <w:rPr>
                <w:rFonts w:ascii="仿宋" w:hAnsi="仿宋" w:eastAsia="仿宋" w:cs="仿宋"/>
                <w:sz w:val="24"/>
                <w:szCs w:val="24"/>
                <w:highlight w:val="none"/>
              </w:rPr>
            </w:pPr>
            <w:r>
              <w:rPr>
                <w:rFonts w:hint="eastAsia" w:ascii="仿宋" w:hAnsi="仿宋" w:eastAsia="仿宋" w:cs="仿宋"/>
                <w:sz w:val="24"/>
                <w:szCs w:val="24"/>
                <w:highlight w:val="none"/>
              </w:rPr>
              <w:t xml:space="preserve"> 2号岗</w:t>
            </w:r>
          </w:p>
        </w:tc>
        <w:tc>
          <w:tcPr>
            <w:tcW w:w="812" w:type="dxa"/>
            <w:vAlign w:val="center"/>
          </w:tcPr>
          <w:p w14:paraId="187467AA">
            <w:pPr>
              <w:overflowPunct w:val="0"/>
              <w:autoSpaceDE w:val="0"/>
              <w:autoSpaceDN w:val="0"/>
              <w:adjustRightInd w:val="0"/>
              <w:snapToGrid w:val="0"/>
              <w:jc w:val="center"/>
              <w:rPr>
                <w:rFonts w:ascii="仿宋" w:hAnsi="仿宋" w:eastAsia="仿宋" w:cs="仿宋"/>
                <w:sz w:val="24"/>
                <w:szCs w:val="24"/>
                <w:highlight w:val="none"/>
              </w:rPr>
            </w:pPr>
            <w:r>
              <w:rPr>
                <w:rFonts w:hint="eastAsia" w:ascii="仿宋" w:hAnsi="仿宋" w:eastAsia="仿宋" w:cs="仿宋"/>
                <w:sz w:val="24"/>
                <w:szCs w:val="24"/>
                <w:highlight w:val="none"/>
              </w:rPr>
              <w:t>√</w:t>
            </w:r>
          </w:p>
        </w:tc>
        <w:tc>
          <w:tcPr>
            <w:tcW w:w="918" w:type="dxa"/>
            <w:vAlign w:val="center"/>
          </w:tcPr>
          <w:p w14:paraId="46378B83">
            <w:pPr>
              <w:overflowPunct w:val="0"/>
              <w:autoSpaceDE w:val="0"/>
              <w:autoSpaceDN w:val="0"/>
              <w:adjustRightInd w:val="0"/>
              <w:snapToGrid w:val="0"/>
              <w:jc w:val="center"/>
              <w:rPr>
                <w:rFonts w:ascii="仿宋" w:hAnsi="仿宋" w:eastAsia="仿宋" w:cs="仿宋"/>
                <w:sz w:val="24"/>
                <w:szCs w:val="24"/>
                <w:highlight w:val="none"/>
              </w:rPr>
            </w:pPr>
            <w:r>
              <w:rPr>
                <w:rFonts w:hint="eastAsia" w:ascii="仿宋" w:hAnsi="仿宋" w:eastAsia="仿宋" w:cs="仿宋"/>
                <w:sz w:val="24"/>
                <w:szCs w:val="24"/>
                <w:highlight w:val="none"/>
              </w:rPr>
              <w:t>6</w:t>
            </w:r>
          </w:p>
        </w:tc>
        <w:tc>
          <w:tcPr>
            <w:tcW w:w="4702" w:type="dxa"/>
            <w:vAlign w:val="center"/>
          </w:tcPr>
          <w:p w14:paraId="5EE1EDE3">
            <w:pPr>
              <w:overflowPunct w:val="0"/>
              <w:autoSpaceDE w:val="0"/>
              <w:autoSpaceDN w:val="0"/>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2.1监控室保安员要保证防盗、防火等报警监控设备的正常运行，对办公区的安全状况实行24小时监控，监控记录保持完整；及时发现和处理各种安全隐患和事故，如遇突发事件和紧急情况应迅速反应处置，同时在第一时间向相关部门（如消防、公安等）及省档案馆办公室报告，并注意现场的保护。</w:t>
            </w:r>
          </w:p>
          <w:p w14:paraId="27AC29C4">
            <w:pPr>
              <w:overflowPunct w:val="0"/>
              <w:autoSpaceDE w:val="0"/>
              <w:autoSpaceDN w:val="0"/>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2.2录像监控室保安应密切监视录像监视仪，以观察、跟踪可疑活动。</w:t>
            </w:r>
          </w:p>
          <w:p w14:paraId="1CA13DD9">
            <w:pPr>
              <w:overflowPunct w:val="0"/>
              <w:autoSpaceDE w:val="0"/>
              <w:autoSpaceDN w:val="0"/>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2.3录像监控室保安应与内部和外围的巡逻保安、固定岗保安紧密协作与沟通，确保人员生命和财产安全不受威胁。</w:t>
            </w:r>
          </w:p>
          <w:p w14:paraId="63CFD5BA">
            <w:pPr>
              <w:overflowPunct w:val="0"/>
              <w:autoSpaceDE w:val="0"/>
              <w:autoSpaceDN w:val="0"/>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2.4录像监控室保安在发现有火警和其它报警信号时，应在第一时间通知队长或巡逻保安人员，采取有效措施排除险情并上报省档案馆办公室。</w:t>
            </w:r>
          </w:p>
          <w:p w14:paraId="3C964025">
            <w:pPr>
              <w:overflowPunct w:val="0"/>
              <w:autoSpaceDE w:val="0"/>
              <w:autoSpaceDN w:val="0"/>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2.5监控室保安在监控时如看到当班保安人员在岗位上出现的一些违纪行为（如：在工作区域吸烟、在岗位上打瞌睡等），监控保安应在第一时间用对讲系统提醒该员工。</w:t>
            </w:r>
          </w:p>
          <w:p w14:paraId="5BD938FE">
            <w:pPr>
              <w:overflowPunct w:val="0"/>
              <w:autoSpaceDE w:val="0"/>
              <w:autoSpaceDN w:val="0"/>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2.6录像监控室保安在中控室内的设备出现故障时应立即上报。</w:t>
            </w:r>
          </w:p>
          <w:p w14:paraId="368D5F54">
            <w:pPr>
              <w:overflowPunct w:val="0"/>
              <w:autoSpaceDE w:val="0"/>
              <w:autoSpaceDN w:val="0"/>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 xml:space="preserve">2.7录像监控室保安应保持工作区域清洁、应填写交接班登记表、记录当班的重要事件、按时交接物品（钥匙、双向对讲机、手机）等。在交接班完成前不得提前离岗。   </w:t>
            </w:r>
          </w:p>
        </w:tc>
      </w:tr>
      <w:tr w14:paraId="0A51D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903" w:type="dxa"/>
            <w:vAlign w:val="center"/>
          </w:tcPr>
          <w:p w14:paraId="634D3A63">
            <w:pPr>
              <w:overflowPunct w:val="0"/>
              <w:autoSpaceDE w:val="0"/>
              <w:autoSpaceDN w:val="0"/>
              <w:adjustRightInd w:val="0"/>
              <w:snapToGrid w:val="0"/>
              <w:jc w:val="center"/>
              <w:rPr>
                <w:rFonts w:ascii="仿宋" w:hAnsi="仿宋" w:eastAsia="仿宋" w:cs="仿宋"/>
                <w:sz w:val="24"/>
                <w:szCs w:val="24"/>
                <w:highlight w:val="none"/>
              </w:rPr>
            </w:pPr>
            <w:r>
              <w:rPr>
                <w:rFonts w:hint="eastAsia" w:ascii="仿宋" w:hAnsi="仿宋" w:eastAsia="仿宋" w:cs="仿宋"/>
                <w:sz w:val="24"/>
                <w:szCs w:val="24"/>
                <w:highlight w:val="none"/>
              </w:rPr>
              <w:t>3</w:t>
            </w:r>
          </w:p>
        </w:tc>
        <w:tc>
          <w:tcPr>
            <w:tcW w:w="1025" w:type="dxa"/>
            <w:vAlign w:val="center"/>
          </w:tcPr>
          <w:p w14:paraId="093722D1">
            <w:pPr>
              <w:overflowPunct w:val="0"/>
              <w:autoSpaceDE w:val="0"/>
              <w:autoSpaceDN w:val="0"/>
              <w:adjustRightInd w:val="0"/>
              <w:snapToGrid w:val="0"/>
              <w:jc w:val="center"/>
              <w:rPr>
                <w:rFonts w:ascii="仿宋" w:hAnsi="仿宋" w:eastAsia="仿宋" w:cs="仿宋"/>
                <w:sz w:val="24"/>
                <w:szCs w:val="24"/>
                <w:highlight w:val="none"/>
              </w:rPr>
            </w:pPr>
            <w:r>
              <w:rPr>
                <w:rFonts w:hint="eastAsia" w:ascii="仿宋" w:hAnsi="仿宋" w:eastAsia="仿宋" w:cs="仿宋"/>
                <w:sz w:val="24"/>
                <w:szCs w:val="24"/>
                <w:highlight w:val="none"/>
              </w:rPr>
              <w:t>3号岗</w:t>
            </w:r>
          </w:p>
        </w:tc>
        <w:tc>
          <w:tcPr>
            <w:tcW w:w="812" w:type="dxa"/>
            <w:vAlign w:val="center"/>
          </w:tcPr>
          <w:p w14:paraId="609C09B4">
            <w:pPr>
              <w:overflowPunct w:val="0"/>
              <w:autoSpaceDE w:val="0"/>
              <w:autoSpaceDN w:val="0"/>
              <w:adjustRightInd w:val="0"/>
              <w:snapToGrid w:val="0"/>
              <w:jc w:val="center"/>
              <w:rPr>
                <w:rFonts w:ascii="仿宋" w:hAnsi="仿宋" w:eastAsia="仿宋" w:cs="仿宋"/>
                <w:sz w:val="24"/>
                <w:szCs w:val="24"/>
                <w:highlight w:val="none"/>
              </w:rPr>
            </w:pPr>
            <w:r>
              <w:rPr>
                <w:rFonts w:hint="eastAsia" w:ascii="仿宋" w:hAnsi="仿宋" w:eastAsia="仿宋" w:cs="仿宋"/>
                <w:sz w:val="24"/>
                <w:szCs w:val="24"/>
                <w:highlight w:val="none"/>
              </w:rPr>
              <w:t>√</w:t>
            </w:r>
          </w:p>
        </w:tc>
        <w:tc>
          <w:tcPr>
            <w:tcW w:w="918" w:type="dxa"/>
            <w:vAlign w:val="center"/>
          </w:tcPr>
          <w:p w14:paraId="254A5B82">
            <w:pPr>
              <w:overflowPunct w:val="0"/>
              <w:autoSpaceDE w:val="0"/>
              <w:autoSpaceDN w:val="0"/>
              <w:adjustRightInd w:val="0"/>
              <w:snapToGrid w:val="0"/>
              <w:jc w:val="center"/>
              <w:rPr>
                <w:rFonts w:ascii="仿宋" w:hAnsi="仿宋" w:eastAsia="仿宋" w:cs="仿宋"/>
                <w:sz w:val="24"/>
                <w:szCs w:val="24"/>
                <w:highlight w:val="none"/>
              </w:rPr>
            </w:pPr>
            <w:r>
              <w:rPr>
                <w:rFonts w:hint="eastAsia" w:ascii="仿宋" w:hAnsi="仿宋" w:eastAsia="仿宋" w:cs="仿宋"/>
                <w:sz w:val="24"/>
                <w:szCs w:val="24"/>
                <w:highlight w:val="none"/>
              </w:rPr>
              <w:t>6</w:t>
            </w:r>
          </w:p>
        </w:tc>
        <w:tc>
          <w:tcPr>
            <w:tcW w:w="4702" w:type="dxa"/>
            <w:vAlign w:val="center"/>
          </w:tcPr>
          <w:p w14:paraId="0D0B8CD2">
            <w:pPr>
              <w:overflowPunct w:val="0"/>
              <w:autoSpaceDE w:val="0"/>
              <w:autoSpaceDN w:val="0"/>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3.1大门设立24小时固定岗、安检岗，设白班岗2人，</w:t>
            </w:r>
            <w:r>
              <w:rPr>
                <w:rFonts w:hint="eastAsia" w:ascii="仿宋_GB2312" w:hAnsi="仿宋_GB2312" w:eastAsia="仿宋_GB2312" w:cs="仿宋_GB2312"/>
                <w:sz w:val="24"/>
                <w:szCs w:val="24"/>
                <w:highlight w:val="none"/>
              </w:rPr>
              <w:t>库区大门口设置1班哨，营区大门口设置1班哨位</w:t>
            </w:r>
            <w:r>
              <w:rPr>
                <w:rFonts w:hint="eastAsia" w:ascii="仿宋" w:hAnsi="仿宋" w:eastAsia="仿宋" w:cs="仿宋"/>
                <w:sz w:val="24"/>
                <w:szCs w:val="24"/>
                <w:highlight w:val="none"/>
              </w:rPr>
              <w:t>。白班3号岗保安员要对外来办事人员主动询问，热情接待，认真做好登记，做好引导服务。下班后关闭好大门，控制人员进出。晚间值班保安员要坚守岗位，尽职尽责，认真核查晚上进入后库人员，并做好登记工作。晚间值班人员还应有效使用围墙灯光亮化设施，确保晚间监控探头能看清大院四周情况。</w:t>
            </w:r>
          </w:p>
          <w:p w14:paraId="2B5DA834">
            <w:pPr>
              <w:overflowPunct w:val="0"/>
              <w:autoSpaceDE w:val="0"/>
              <w:autoSpaceDN w:val="0"/>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3.2值班员应文明执勤、礼貌待人，不允许与车主争吵，更不允许与车主辱骂斗殴。遇车主刁难或羞辱时，应保持冷静，克制自己的情绪，确实无法处理的事情，应迅速报告队长处理。对本馆内部职工的车辆，应引导停在固定车位，外来车辆一般应停车在大门外，确需进入机关院内的要做好登记。3号岗保安应按规定对外来车辆和访客带出的物品进行检查、防止机关内公共物品和个人物品丢失。</w:t>
            </w:r>
          </w:p>
          <w:p w14:paraId="6A9BA27D">
            <w:pPr>
              <w:overflowPunct w:val="0"/>
              <w:autoSpaceDE w:val="0"/>
              <w:autoSpaceDN w:val="0"/>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3.3凡装有易燃、易爆、剧毒物品或装有污染性物品的车辆（经大楼管理中心同意的除外），严禁驶入院内。</w:t>
            </w:r>
          </w:p>
          <w:p w14:paraId="02FEE9D8">
            <w:pPr>
              <w:overflowPunct w:val="0"/>
              <w:autoSpaceDE w:val="0"/>
              <w:autoSpaceDN w:val="0"/>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3.4对驶出的面包车，箱式货车等，一律停车检查，如发现可疑物品应立即上报当班队长或管理中心进行处理。</w:t>
            </w:r>
          </w:p>
          <w:p w14:paraId="329F4A4C">
            <w:pPr>
              <w:overflowPunct w:val="0"/>
              <w:autoSpaceDE w:val="0"/>
              <w:autoSpaceDN w:val="0"/>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3.5 3号岗保安人员应监督、控制出入的施工人员，禁止拾荒者和其它与工作无关的人员入内。</w:t>
            </w:r>
          </w:p>
          <w:p w14:paraId="47054DFB">
            <w:pPr>
              <w:overflowPunct w:val="0"/>
              <w:autoSpaceDE w:val="0"/>
              <w:autoSpaceDN w:val="0"/>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3.6 3号岗保安应与院内的巡逻保安、录像监控室的保安紧密协作与沟通，确保人员生命和财产安全不受威胁。</w:t>
            </w:r>
          </w:p>
          <w:p w14:paraId="64F64E6E">
            <w:pPr>
              <w:pStyle w:val="8"/>
              <w:overflowPunct w:val="0"/>
              <w:autoSpaceDE w:val="0"/>
              <w:autoSpaceDN w:val="0"/>
              <w:adjustRightInd w:val="0"/>
              <w:snapToGrid w:val="0"/>
              <w:spacing w:afterLines="0" w:line="400" w:lineRule="exact"/>
              <w:rPr>
                <w:rFonts w:ascii="仿宋" w:hAnsi="仿宋" w:eastAsia="仿宋"/>
                <w:color w:val="auto"/>
                <w:highlight w:val="none"/>
              </w:rPr>
            </w:pPr>
            <w:r>
              <w:rPr>
                <w:rFonts w:hint="eastAsia" w:ascii="仿宋" w:hAnsi="仿宋" w:eastAsia="仿宋" w:cs="仿宋"/>
                <w:color w:val="auto"/>
                <w:highlight w:val="none"/>
              </w:rPr>
              <w:t>3.7 3号岗保安应保持工作区域清洁、应完整填写交接班登记表、记录当班的重要事件、按时交接工作物品（钥匙、双向对讲机、手机）等。</w:t>
            </w:r>
          </w:p>
          <w:p w14:paraId="3E0ACD00">
            <w:pPr>
              <w:overflowPunct w:val="0"/>
              <w:autoSpaceDE w:val="0"/>
              <w:autoSpaceDN w:val="0"/>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3.8配合</w:t>
            </w:r>
            <w:r>
              <w:rPr>
                <w:rFonts w:hint="eastAsia" w:ascii="仿宋" w:hAnsi="仿宋" w:eastAsia="仿宋" w:cs="仿宋"/>
                <w:sz w:val="24"/>
                <w:szCs w:val="24"/>
                <w:highlight w:val="none"/>
                <w:lang w:eastAsia="zh-CN"/>
              </w:rPr>
              <w:t>采购人</w:t>
            </w:r>
            <w:r>
              <w:rPr>
                <w:rFonts w:hint="eastAsia" w:ascii="仿宋" w:hAnsi="仿宋" w:eastAsia="仿宋" w:cs="仿宋"/>
                <w:sz w:val="24"/>
                <w:szCs w:val="24"/>
                <w:highlight w:val="none"/>
              </w:rPr>
              <w:t>对后库项目建设管理、施工、监理等人员的门禁管理和安全管理。</w:t>
            </w:r>
          </w:p>
        </w:tc>
      </w:tr>
      <w:tr w14:paraId="426535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903" w:type="dxa"/>
            <w:vAlign w:val="center"/>
          </w:tcPr>
          <w:p w14:paraId="283BD4B4">
            <w:pPr>
              <w:overflowPunct w:val="0"/>
              <w:autoSpaceDE w:val="0"/>
              <w:autoSpaceDN w:val="0"/>
              <w:adjustRightInd w:val="0"/>
              <w:snapToGrid w:val="0"/>
              <w:jc w:val="center"/>
              <w:rPr>
                <w:rFonts w:ascii="仿宋" w:hAnsi="仿宋" w:eastAsia="仿宋" w:cs="仿宋"/>
                <w:sz w:val="24"/>
                <w:szCs w:val="24"/>
                <w:highlight w:val="none"/>
              </w:rPr>
            </w:pPr>
            <w:r>
              <w:rPr>
                <w:rFonts w:hint="eastAsia" w:ascii="仿宋" w:hAnsi="仿宋" w:eastAsia="仿宋" w:cs="仿宋"/>
                <w:sz w:val="24"/>
                <w:szCs w:val="24"/>
                <w:highlight w:val="none"/>
              </w:rPr>
              <w:t>4</w:t>
            </w:r>
          </w:p>
        </w:tc>
        <w:tc>
          <w:tcPr>
            <w:tcW w:w="1025" w:type="dxa"/>
            <w:vAlign w:val="center"/>
          </w:tcPr>
          <w:p w14:paraId="01178E64">
            <w:pPr>
              <w:overflowPunct w:val="0"/>
              <w:autoSpaceDE w:val="0"/>
              <w:autoSpaceDN w:val="0"/>
              <w:adjustRightInd w:val="0"/>
              <w:snapToGrid w:val="0"/>
              <w:jc w:val="center"/>
              <w:rPr>
                <w:rFonts w:ascii="仿宋" w:hAnsi="仿宋" w:eastAsia="仿宋" w:cs="仿宋"/>
                <w:sz w:val="24"/>
                <w:szCs w:val="24"/>
                <w:highlight w:val="none"/>
              </w:rPr>
            </w:pPr>
            <w:r>
              <w:rPr>
                <w:rFonts w:hint="eastAsia" w:ascii="仿宋" w:hAnsi="仿宋" w:eastAsia="仿宋" w:cs="仿宋"/>
                <w:sz w:val="24"/>
                <w:szCs w:val="24"/>
                <w:highlight w:val="none"/>
              </w:rPr>
              <w:t>4号岗</w:t>
            </w:r>
          </w:p>
        </w:tc>
        <w:tc>
          <w:tcPr>
            <w:tcW w:w="812" w:type="dxa"/>
            <w:vAlign w:val="center"/>
          </w:tcPr>
          <w:p w14:paraId="7FF5F248">
            <w:pPr>
              <w:overflowPunct w:val="0"/>
              <w:autoSpaceDE w:val="0"/>
              <w:autoSpaceDN w:val="0"/>
              <w:adjustRightInd w:val="0"/>
              <w:snapToGrid w:val="0"/>
              <w:jc w:val="center"/>
              <w:rPr>
                <w:rFonts w:ascii="仿宋" w:hAnsi="仿宋" w:eastAsia="仿宋" w:cs="仿宋"/>
                <w:sz w:val="24"/>
                <w:szCs w:val="24"/>
                <w:highlight w:val="none"/>
              </w:rPr>
            </w:pPr>
            <w:r>
              <w:rPr>
                <w:rFonts w:hint="eastAsia" w:ascii="仿宋" w:hAnsi="仿宋" w:eastAsia="仿宋" w:cs="仿宋"/>
                <w:sz w:val="24"/>
                <w:szCs w:val="24"/>
                <w:highlight w:val="none"/>
              </w:rPr>
              <w:t>√</w:t>
            </w:r>
          </w:p>
        </w:tc>
        <w:tc>
          <w:tcPr>
            <w:tcW w:w="918" w:type="dxa"/>
            <w:vAlign w:val="center"/>
          </w:tcPr>
          <w:p w14:paraId="4EE1B2D9">
            <w:pPr>
              <w:overflowPunct w:val="0"/>
              <w:autoSpaceDE w:val="0"/>
              <w:autoSpaceDN w:val="0"/>
              <w:adjustRightInd w:val="0"/>
              <w:snapToGrid w:val="0"/>
              <w:jc w:val="center"/>
              <w:rPr>
                <w:rFonts w:ascii="仿宋" w:hAnsi="仿宋" w:eastAsia="仿宋" w:cs="仿宋"/>
                <w:sz w:val="24"/>
                <w:szCs w:val="24"/>
                <w:highlight w:val="none"/>
              </w:rPr>
            </w:pPr>
            <w:r>
              <w:rPr>
                <w:rFonts w:hint="eastAsia" w:ascii="仿宋" w:hAnsi="仿宋" w:eastAsia="仿宋" w:cs="仿宋"/>
                <w:sz w:val="24"/>
                <w:szCs w:val="24"/>
                <w:highlight w:val="none"/>
              </w:rPr>
              <w:t>6</w:t>
            </w:r>
          </w:p>
        </w:tc>
        <w:tc>
          <w:tcPr>
            <w:tcW w:w="4702" w:type="dxa"/>
            <w:vAlign w:val="center"/>
          </w:tcPr>
          <w:p w14:paraId="0D6AF4B6">
            <w:pPr>
              <w:overflowPunct w:val="0"/>
              <w:autoSpaceDE w:val="0"/>
              <w:autoSpaceDN w:val="0"/>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夜班：下午6点至次日早8点。</w:t>
            </w:r>
            <w:r>
              <w:rPr>
                <w:rFonts w:hint="eastAsia" w:ascii="仿宋" w:hAnsi="仿宋" w:eastAsia="仿宋" w:cs="仿宋_GB2312"/>
                <w:sz w:val="24"/>
                <w:szCs w:val="24"/>
                <w:highlight w:val="none"/>
              </w:rPr>
              <w:t>白班工作时间为早上8点至下午6点。</w:t>
            </w:r>
          </w:p>
          <w:p w14:paraId="648B91F0">
            <w:pPr>
              <w:overflowPunct w:val="0"/>
              <w:autoSpaceDE w:val="0"/>
              <w:autoSpaceDN w:val="0"/>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4.1 4号岗保安员要熟悉后库内外环境，按保卫处规定路线巡视。要把院内重要部位和领导办公区域作为巡查重点，要善于发现问题并对巡查结果做好记录。发现可疑人员时要立即上前询问、核查，如有不能处理的情况立即上报省档案馆后库管理处。</w:t>
            </w:r>
          </w:p>
          <w:p w14:paraId="2BE06481">
            <w:pPr>
              <w:overflowPunct w:val="0"/>
              <w:autoSpaceDE w:val="0"/>
              <w:autoSpaceDN w:val="0"/>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4.2负责巡查车辆及车场设施情况，做好车况记录，如发现有破坏停放在院内车辆的情况时，请立即上报当班队长或省档案馆后库管理处处理。</w:t>
            </w:r>
          </w:p>
          <w:p w14:paraId="5344E904">
            <w:pPr>
              <w:overflowPunct w:val="0"/>
              <w:autoSpaceDE w:val="0"/>
              <w:autoSpaceDN w:val="0"/>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4.3进入院内停放的车辆，必须停放在划定的车位（或指定区域，如地面）内。行车通道、消防通道、人行道、绿化带及非停车位禁止停车。</w:t>
            </w:r>
          </w:p>
          <w:p w14:paraId="52B78394">
            <w:pPr>
              <w:overflowPunct w:val="0"/>
              <w:autoSpaceDE w:val="0"/>
              <w:autoSpaceDN w:val="0"/>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4.4 4号岗保安应按规定的时间间隔巡逻，夜班4号岗保安必须手持强光灯进行巡逻，对光线不足或死角的地方，用强光灯进行照射，排除藏匿的小偷或可疑人员。</w:t>
            </w:r>
          </w:p>
          <w:p w14:paraId="7FEAB44D">
            <w:pPr>
              <w:overflowPunct w:val="0"/>
              <w:autoSpaceDE w:val="0"/>
              <w:autoSpaceDN w:val="0"/>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4.5 4号岗保安应按保安部门的规定，检查应上锁的门，对未上锁的门窗采取安全措施，值班队长随时检查各岗位情况，要按照规定时间巡视检查，发现未关灯、未锁门的办公室及时报告值班人员，由值班人员联系</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关灯、锁门。。</w:t>
            </w:r>
          </w:p>
          <w:p w14:paraId="294210FD">
            <w:pPr>
              <w:overflowPunct w:val="0"/>
              <w:autoSpaceDE w:val="0"/>
              <w:autoSpaceDN w:val="0"/>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4.6 4号岗保安应检查改造工程、装修工程及新施工现场，以确保其按规范安全施工。发现违规操作均应记录下来并上报后库管理处。</w:t>
            </w:r>
          </w:p>
          <w:p w14:paraId="08EB48F6">
            <w:pPr>
              <w:overflowPunct w:val="0"/>
              <w:autoSpaceDE w:val="0"/>
              <w:autoSpaceDN w:val="0"/>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4.7 4号岗保安应调查并登记所有可疑的行为。</w:t>
            </w:r>
          </w:p>
          <w:p w14:paraId="7A63D16B">
            <w:pPr>
              <w:overflowPunct w:val="0"/>
              <w:autoSpaceDE w:val="0"/>
              <w:autoSpaceDN w:val="0"/>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4.8 4号岗保安应与固定岗的保安、录像监控室的保安紧密协作与沟通，确保人员生命和财产安全不受威胁。</w:t>
            </w:r>
          </w:p>
          <w:p w14:paraId="2113A11D">
            <w:pPr>
              <w:overflowPunct w:val="0"/>
              <w:autoSpaceDE w:val="0"/>
              <w:autoSpaceDN w:val="0"/>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4.9 4号岗保安在遇到异常事件时应立即报告保安队长或大楼管理中心。</w:t>
            </w:r>
          </w:p>
          <w:p w14:paraId="672F5BD6">
            <w:pPr>
              <w:overflowPunct w:val="0"/>
              <w:autoSpaceDE w:val="0"/>
              <w:autoSpaceDN w:val="0"/>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4.10 4号岗保安在遇到可疑人物时应高度警惕，并通知录像监控室进行监视。如果当时不能使用监控设备或不在可监控区域，保安应跟踪该可疑人物直到确信不存在问题为至。</w:t>
            </w:r>
          </w:p>
          <w:p w14:paraId="55BE4E95">
            <w:pPr>
              <w:overflowPunct w:val="0"/>
              <w:autoSpaceDE w:val="0"/>
              <w:autoSpaceDN w:val="0"/>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4.11 4号岗保安在遇到客户、职工发怒等情况时应保持冷静，并采取控制措施，避免事态进一步恶化。</w:t>
            </w:r>
          </w:p>
          <w:p w14:paraId="58C8E849">
            <w:pPr>
              <w:overflowPunct w:val="0"/>
              <w:autoSpaceDE w:val="0"/>
              <w:autoSpaceDN w:val="0"/>
              <w:adjustRightInd w:val="0"/>
              <w:snapToGrid w:val="0"/>
              <w:rPr>
                <w:rFonts w:ascii="仿宋" w:hAnsi="仿宋" w:eastAsia="仿宋" w:cs="仿宋"/>
                <w:sz w:val="24"/>
                <w:szCs w:val="24"/>
                <w:highlight w:val="none"/>
              </w:rPr>
            </w:pPr>
            <w:r>
              <w:rPr>
                <w:rFonts w:hint="eastAsia" w:ascii="仿宋" w:hAnsi="仿宋" w:eastAsia="仿宋" w:cs="仿宋"/>
                <w:sz w:val="24"/>
                <w:szCs w:val="24"/>
                <w:highlight w:val="none"/>
              </w:rPr>
              <w:t>4.12 4号岗保安应填写交接班登记表、记录巡逻时发生的重要事件、按时交接工作物品（钥匙、双向对讲机、手机）等。</w:t>
            </w:r>
          </w:p>
        </w:tc>
      </w:tr>
      <w:tr w14:paraId="7F05EA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903" w:type="dxa"/>
            <w:vAlign w:val="center"/>
          </w:tcPr>
          <w:p w14:paraId="546071AD">
            <w:pPr>
              <w:overflowPunct w:val="0"/>
              <w:autoSpaceDE w:val="0"/>
              <w:autoSpaceDN w:val="0"/>
              <w:adjustRightInd w:val="0"/>
              <w:snapToGrid w:val="0"/>
              <w:jc w:val="center"/>
              <w:rPr>
                <w:rFonts w:ascii="仿宋" w:hAnsi="仿宋" w:eastAsia="仿宋" w:cs="仿宋"/>
                <w:sz w:val="24"/>
                <w:szCs w:val="24"/>
                <w:highlight w:val="none"/>
              </w:rPr>
            </w:pPr>
            <w:r>
              <w:rPr>
                <w:rFonts w:hint="eastAsia" w:ascii="仿宋" w:hAnsi="仿宋" w:eastAsia="仿宋" w:cs="仿宋"/>
                <w:sz w:val="24"/>
                <w:szCs w:val="24"/>
                <w:highlight w:val="none"/>
              </w:rPr>
              <w:t>5</w:t>
            </w:r>
          </w:p>
        </w:tc>
        <w:tc>
          <w:tcPr>
            <w:tcW w:w="1025" w:type="dxa"/>
            <w:vAlign w:val="center"/>
          </w:tcPr>
          <w:p w14:paraId="6ADD4D2E">
            <w:pPr>
              <w:overflowPunct w:val="0"/>
              <w:autoSpaceDE w:val="0"/>
              <w:autoSpaceDN w:val="0"/>
              <w:adjustRightInd w:val="0"/>
              <w:snapToGrid w:val="0"/>
              <w:jc w:val="center"/>
              <w:rPr>
                <w:rFonts w:ascii="仿宋" w:hAnsi="仿宋" w:eastAsia="仿宋" w:cs="仿宋"/>
                <w:sz w:val="24"/>
                <w:szCs w:val="24"/>
                <w:highlight w:val="none"/>
              </w:rPr>
            </w:pPr>
            <w:r>
              <w:rPr>
                <w:rFonts w:hint="eastAsia" w:ascii="仿宋" w:hAnsi="仿宋" w:eastAsia="仿宋" w:cs="仿宋"/>
                <w:sz w:val="24"/>
                <w:szCs w:val="24"/>
                <w:highlight w:val="none"/>
              </w:rPr>
              <w:t>水电工</w:t>
            </w:r>
          </w:p>
        </w:tc>
        <w:tc>
          <w:tcPr>
            <w:tcW w:w="812" w:type="dxa"/>
            <w:vAlign w:val="center"/>
          </w:tcPr>
          <w:p w14:paraId="2F2BB49D">
            <w:pPr>
              <w:overflowPunct w:val="0"/>
              <w:autoSpaceDE w:val="0"/>
              <w:autoSpaceDN w:val="0"/>
              <w:adjustRightInd w:val="0"/>
              <w:snapToGrid w:val="0"/>
              <w:jc w:val="center"/>
              <w:rPr>
                <w:rFonts w:ascii="仿宋" w:hAnsi="仿宋" w:eastAsia="仿宋" w:cs="仿宋"/>
                <w:sz w:val="24"/>
                <w:szCs w:val="24"/>
                <w:highlight w:val="none"/>
              </w:rPr>
            </w:pPr>
            <w:r>
              <w:rPr>
                <w:rFonts w:hint="eastAsia" w:ascii="仿宋" w:hAnsi="仿宋" w:eastAsia="仿宋" w:cs="仿宋"/>
                <w:sz w:val="24"/>
                <w:szCs w:val="24"/>
                <w:highlight w:val="none"/>
              </w:rPr>
              <w:t>√</w:t>
            </w:r>
          </w:p>
        </w:tc>
        <w:tc>
          <w:tcPr>
            <w:tcW w:w="918" w:type="dxa"/>
            <w:vAlign w:val="center"/>
          </w:tcPr>
          <w:p w14:paraId="506DF792">
            <w:pPr>
              <w:overflowPunct w:val="0"/>
              <w:autoSpaceDE w:val="0"/>
              <w:autoSpaceDN w:val="0"/>
              <w:adjustRightInd w:val="0"/>
              <w:snapToGrid w:val="0"/>
              <w:jc w:val="center"/>
              <w:rPr>
                <w:rFonts w:ascii="仿宋" w:hAnsi="仿宋" w:eastAsia="仿宋" w:cs="仿宋"/>
                <w:sz w:val="24"/>
                <w:szCs w:val="24"/>
                <w:highlight w:val="none"/>
              </w:rPr>
            </w:pPr>
            <w:r>
              <w:rPr>
                <w:rFonts w:hint="eastAsia" w:ascii="仿宋" w:hAnsi="仿宋" w:eastAsia="仿宋" w:cs="仿宋"/>
                <w:sz w:val="24"/>
                <w:szCs w:val="24"/>
                <w:highlight w:val="none"/>
              </w:rPr>
              <w:t>2</w:t>
            </w:r>
          </w:p>
        </w:tc>
        <w:tc>
          <w:tcPr>
            <w:tcW w:w="4702" w:type="dxa"/>
            <w:vAlign w:val="center"/>
          </w:tcPr>
          <w:p w14:paraId="6CD3A806">
            <w:pPr>
              <w:overflowPunct w:val="0"/>
              <w:autoSpaceDE w:val="0"/>
              <w:autoSpaceDN w:val="0"/>
              <w:adjustRightInd w:val="0"/>
              <w:snapToGrid w:val="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5.1负责省档案馆后库办公楼（区）及附属设施供电系统高、低压电器设备、电线电缆、网络网线、照明装置等设备正常运行、使用进行日常管理和养护维修，电灯等照明设施损坏应及时更换，进行小规模的、临时的线缆敷设，线路改造和施工。</w:t>
            </w:r>
          </w:p>
          <w:p w14:paraId="3CAAA78C">
            <w:pPr>
              <w:overflowPunct w:val="0"/>
              <w:autoSpaceDE w:val="0"/>
              <w:autoSpaceDN w:val="0"/>
              <w:adjustRightInd w:val="0"/>
              <w:snapToGrid w:val="0"/>
              <w:jc w:val="left"/>
              <w:rPr>
                <w:rFonts w:ascii="仿宋" w:hAnsi="仿宋" w:eastAsia="仿宋" w:cs="仿宋"/>
                <w:sz w:val="24"/>
                <w:szCs w:val="24"/>
                <w:highlight w:val="none"/>
              </w:rPr>
            </w:pPr>
            <w:r>
              <w:rPr>
                <w:rFonts w:hint="eastAsia" w:ascii="仿宋" w:hAnsi="仿宋" w:eastAsia="仿宋" w:cs="仿宋"/>
                <w:sz w:val="24"/>
                <w:szCs w:val="24"/>
                <w:highlight w:val="none"/>
              </w:rPr>
              <w:t xml:space="preserve">5.2 </w:t>
            </w:r>
            <w:r>
              <w:rPr>
                <w:rFonts w:hint="eastAsia" w:ascii="仿宋" w:hAnsi="仿宋" w:eastAsia="仿宋" w:cs="仿宋_GB2312"/>
                <w:sz w:val="24"/>
                <w:szCs w:val="24"/>
                <w:highlight w:val="none"/>
              </w:rPr>
              <w:t>对省档案馆后库管理处办公楼（区）及附属设施室内外给排水系统的设备、设施，如水泵、水箱、气压给水装置、水处理设备、消火栓、管道、管件、阀门、水嘴、卫生洁具、排水管、透气管及疏通、水封设备、室外排水管及其附属构筑物等进行日常养护，确保其正常运行和使用。如有阀件、龙头、管道等的损坏应及时更换，不能积少成多，留下隐患；库区内小型供水管线、排水管线的重新布置和改造。</w:t>
            </w:r>
          </w:p>
        </w:tc>
      </w:tr>
      <w:tr w14:paraId="28367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903" w:type="dxa"/>
            <w:vAlign w:val="center"/>
          </w:tcPr>
          <w:p w14:paraId="7B82F5BA">
            <w:pPr>
              <w:overflowPunct w:val="0"/>
              <w:autoSpaceDE w:val="0"/>
              <w:autoSpaceDN w:val="0"/>
              <w:adjustRightInd w:val="0"/>
              <w:snapToGrid w:val="0"/>
              <w:jc w:val="center"/>
              <w:rPr>
                <w:rFonts w:ascii="仿宋" w:hAnsi="仿宋" w:eastAsia="仿宋" w:cs="仿宋"/>
                <w:sz w:val="24"/>
                <w:szCs w:val="24"/>
                <w:highlight w:val="none"/>
              </w:rPr>
            </w:pPr>
            <w:r>
              <w:rPr>
                <w:rFonts w:hint="eastAsia" w:ascii="仿宋" w:hAnsi="仿宋" w:eastAsia="仿宋" w:cs="仿宋"/>
                <w:sz w:val="24"/>
                <w:szCs w:val="24"/>
                <w:highlight w:val="none"/>
              </w:rPr>
              <w:t>6</w:t>
            </w:r>
          </w:p>
        </w:tc>
        <w:tc>
          <w:tcPr>
            <w:tcW w:w="1025" w:type="dxa"/>
            <w:vAlign w:val="center"/>
          </w:tcPr>
          <w:p w14:paraId="43BD819F">
            <w:pPr>
              <w:overflowPunct w:val="0"/>
              <w:autoSpaceDE w:val="0"/>
              <w:autoSpaceDN w:val="0"/>
              <w:adjustRightInd w:val="0"/>
              <w:snapToGrid w:val="0"/>
              <w:jc w:val="center"/>
              <w:rPr>
                <w:rFonts w:ascii="仿宋" w:hAnsi="仿宋" w:eastAsia="仿宋" w:cs="仿宋"/>
                <w:sz w:val="24"/>
                <w:szCs w:val="24"/>
                <w:highlight w:val="none"/>
              </w:rPr>
            </w:pPr>
            <w:r>
              <w:rPr>
                <w:rFonts w:hint="eastAsia" w:ascii="仿宋" w:hAnsi="仿宋" w:eastAsia="仿宋" w:cs="仿宋"/>
                <w:sz w:val="24"/>
                <w:szCs w:val="24"/>
                <w:highlight w:val="none"/>
              </w:rPr>
              <w:t>勤杂工</w:t>
            </w:r>
          </w:p>
        </w:tc>
        <w:tc>
          <w:tcPr>
            <w:tcW w:w="812" w:type="dxa"/>
            <w:vAlign w:val="center"/>
          </w:tcPr>
          <w:p w14:paraId="23E79019">
            <w:pPr>
              <w:overflowPunct w:val="0"/>
              <w:autoSpaceDE w:val="0"/>
              <w:autoSpaceDN w:val="0"/>
              <w:adjustRightInd w:val="0"/>
              <w:snapToGrid w:val="0"/>
              <w:jc w:val="center"/>
              <w:rPr>
                <w:rFonts w:ascii="仿宋" w:hAnsi="仿宋" w:eastAsia="仿宋" w:cs="仿宋"/>
                <w:sz w:val="24"/>
                <w:szCs w:val="24"/>
                <w:highlight w:val="none"/>
              </w:rPr>
            </w:pPr>
            <w:r>
              <w:rPr>
                <w:rFonts w:hint="eastAsia" w:ascii="仿宋" w:hAnsi="仿宋" w:eastAsia="仿宋" w:cs="仿宋"/>
                <w:sz w:val="24"/>
                <w:szCs w:val="24"/>
                <w:highlight w:val="none"/>
              </w:rPr>
              <w:t>√</w:t>
            </w:r>
          </w:p>
        </w:tc>
        <w:tc>
          <w:tcPr>
            <w:tcW w:w="918" w:type="dxa"/>
            <w:vAlign w:val="center"/>
          </w:tcPr>
          <w:p w14:paraId="11CC924B">
            <w:pPr>
              <w:overflowPunct w:val="0"/>
              <w:autoSpaceDE w:val="0"/>
              <w:autoSpaceDN w:val="0"/>
              <w:adjustRightInd w:val="0"/>
              <w:snapToGrid w:val="0"/>
              <w:jc w:val="center"/>
              <w:rPr>
                <w:rFonts w:ascii="仿宋" w:hAnsi="仿宋" w:eastAsia="仿宋" w:cs="仿宋"/>
                <w:sz w:val="24"/>
                <w:szCs w:val="24"/>
                <w:highlight w:val="none"/>
              </w:rPr>
            </w:pPr>
            <w:r>
              <w:rPr>
                <w:rFonts w:hint="eastAsia" w:ascii="仿宋" w:hAnsi="仿宋" w:eastAsia="仿宋" w:cs="仿宋"/>
                <w:sz w:val="24"/>
                <w:szCs w:val="24"/>
                <w:highlight w:val="none"/>
              </w:rPr>
              <w:t>2</w:t>
            </w:r>
          </w:p>
        </w:tc>
        <w:tc>
          <w:tcPr>
            <w:tcW w:w="4702" w:type="dxa"/>
            <w:vAlign w:val="center"/>
          </w:tcPr>
          <w:p w14:paraId="10BD4DEA">
            <w:pPr>
              <w:overflowPunct w:val="0"/>
              <w:autoSpaceDE w:val="0"/>
              <w:autoSpaceDN w:val="0"/>
              <w:adjustRightInd w:val="0"/>
              <w:snapToGrid w:val="0"/>
              <w:jc w:val="left"/>
              <w:rPr>
                <w:rFonts w:ascii="仿宋" w:hAnsi="仿宋" w:eastAsia="仿宋" w:cs="仿宋"/>
                <w:sz w:val="24"/>
                <w:szCs w:val="24"/>
                <w:highlight w:val="none"/>
              </w:rPr>
            </w:pPr>
            <w:r>
              <w:rPr>
                <w:rFonts w:hint="eastAsia" w:ascii="仿宋" w:hAnsi="仿宋" w:eastAsia="仿宋" w:cs="仿宋"/>
                <w:sz w:val="24"/>
                <w:szCs w:val="24"/>
                <w:highlight w:val="none"/>
              </w:rPr>
              <w:t>省档案馆后库办公楼（区）内楼梯、大厅、走廊、篮球场、值班室、卫生间、公共活动场所等所有公共部位、办公区域道路、停车场（库）、档案库等所有公共场地及周边区域的日常清洁保养、垃圾等废弃物清理和化粪池清掏、垃圾分类管理、垃圾清运。</w:t>
            </w:r>
          </w:p>
        </w:tc>
      </w:tr>
    </w:tbl>
    <w:p w14:paraId="469E12FB">
      <w:pPr>
        <w:pStyle w:val="8"/>
        <w:spacing w:afterLines="0" w:line="500" w:lineRule="exact"/>
        <w:ind w:firstLine="554" w:firstLineChars="200"/>
        <w:rPr>
          <w:rFonts w:ascii="仿宋" w:hAnsi="仿宋" w:eastAsia="仿宋" w:cs="仿宋"/>
          <w:sz w:val="28"/>
          <w:szCs w:val="28"/>
          <w:highlight w:val="none"/>
        </w:rPr>
      </w:pPr>
      <w:r>
        <w:rPr>
          <w:rFonts w:hint="eastAsia" w:ascii="仿宋" w:hAnsi="仿宋" w:eastAsia="仿宋" w:cs="仿宋"/>
          <w:b/>
          <w:bCs/>
          <w:spacing w:val="-3"/>
          <w:sz w:val="28"/>
          <w:szCs w:val="28"/>
          <w:highlight w:val="none"/>
          <w:lang w:val="en-US" w:eastAsia="zh-CN"/>
        </w:rPr>
        <w:t>五</w:t>
      </w:r>
      <w:r>
        <w:rPr>
          <w:rFonts w:hint="eastAsia" w:ascii="仿宋" w:hAnsi="仿宋" w:eastAsia="仿宋" w:cs="仿宋"/>
          <w:b/>
          <w:bCs/>
          <w:spacing w:val="-3"/>
          <w:sz w:val="28"/>
          <w:szCs w:val="28"/>
          <w:highlight w:val="none"/>
        </w:rPr>
        <w:t>、其他要求</w:t>
      </w:r>
    </w:p>
    <w:p w14:paraId="03DA4B69">
      <w:pPr>
        <w:pStyle w:val="8"/>
        <w:spacing w:afterLines="0" w:line="500" w:lineRule="exact"/>
        <w:ind w:firstLine="558" w:firstLineChars="200"/>
        <w:rPr>
          <w:rFonts w:ascii="仿宋" w:hAnsi="仿宋" w:eastAsia="仿宋" w:cs="仿宋"/>
          <w:sz w:val="28"/>
          <w:szCs w:val="28"/>
          <w:highlight w:val="none"/>
        </w:rPr>
      </w:pPr>
      <w:r>
        <w:rPr>
          <w:rFonts w:hint="eastAsia" w:ascii="仿宋" w:hAnsi="仿宋" w:eastAsia="仿宋" w:cs="仿宋"/>
          <w:b/>
          <w:bCs/>
          <w:spacing w:val="-2"/>
          <w:sz w:val="28"/>
          <w:szCs w:val="28"/>
          <w:highlight w:val="none"/>
        </w:rPr>
        <w:t>（一）人员要求</w:t>
      </w:r>
    </w:p>
    <w:p w14:paraId="191E2E6F">
      <w:pPr>
        <w:pStyle w:val="8"/>
        <w:spacing w:afterLines="0" w:line="500" w:lineRule="exact"/>
        <w:ind w:firstLine="486" w:firstLineChars="200"/>
        <w:rPr>
          <w:rFonts w:hint="eastAsia" w:ascii="仿宋" w:hAnsi="仿宋" w:eastAsia="仿宋" w:cs="仿宋"/>
          <w:spacing w:val="4"/>
          <w:sz w:val="28"/>
          <w:szCs w:val="28"/>
          <w:highlight w:val="none"/>
          <w:lang w:val="en-US" w:eastAsia="zh-CN"/>
        </w:rPr>
      </w:pPr>
      <w:r>
        <w:rPr>
          <w:rFonts w:hint="eastAsia" w:ascii="仿宋" w:hAnsi="仿宋" w:eastAsia="仿宋" w:cs="仿宋"/>
          <w:b/>
          <w:bCs/>
          <w:color w:val="000000"/>
          <w:highlight w:val="none"/>
        </w:rPr>
        <w:t>▲</w:t>
      </w:r>
      <w:r>
        <w:rPr>
          <w:rFonts w:hint="eastAsia" w:ascii="仿宋" w:hAnsi="仿宋" w:eastAsia="仿宋" w:cs="仿宋"/>
          <w:spacing w:val="4"/>
          <w:sz w:val="28"/>
          <w:szCs w:val="28"/>
          <w:highlight w:val="none"/>
        </w:rPr>
        <w:t>1、</w:t>
      </w:r>
      <w:r>
        <w:rPr>
          <w:rFonts w:hint="eastAsia" w:ascii="仿宋" w:hAnsi="仿宋" w:eastAsia="仿宋" w:cs="仿宋"/>
          <w:spacing w:val="4"/>
          <w:sz w:val="28"/>
          <w:szCs w:val="28"/>
          <w:highlight w:val="none"/>
          <w:lang w:val="en-US" w:eastAsia="zh-CN"/>
        </w:rPr>
        <w:t>项目经理具有大专及以上学历，从事安保物业工作不少于5年。</w:t>
      </w:r>
    </w:p>
    <w:p w14:paraId="09506D68">
      <w:pPr>
        <w:pStyle w:val="8"/>
        <w:spacing w:afterLines="0" w:line="500" w:lineRule="exact"/>
        <w:ind w:firstLine="582" w:firstLineChars="200"/>
        <w:rPr>
          <w:rFonts w:ascii="仿宋" w:hAnsi="仿宋" w:eastAsia="仿宋" w:cs="仿宋"/>
          <w:sz w:val="28"/>
          <w:szCs w:val="28"/>
          <w:highlight w:val="none"/>
        </w:rPr>
      </w:pPr>
      <w:r>
        <w:rPr>
          <w:rFonts w:hint="eastAsia" w:ascii="仿宋" w:hAnsi="仿宋" w:eastAsia="仿宋" w:cs="仿宋"/>
          <w:spacing w:val="4"/>
          <w:sz w:val="28"/>
          <w:szCs w:val="28"/>
          <w:highlight w:val="none"/>
          <w:lang w:val="en-US" w:eastAsia="zh-CN"/>
        </w:rPr>
        <w:t>2、</w:t>
      </w:r>
      <w:r>
        <w:rPr>
          <w:rFonts w:hint="eastAsia" w:ascii="仿宋" w:hAnsi="仿宋" w:eastAsia="仿宋" w:cs="仿宋"/>
          <w:spacing w:val="4"/>
          <w:sz w:val="28"/>
          <w:szCs w:val="28"/>
          <w:highlight w:val="none"/>
        </w:rPr>
        <w:t>保安员需具有初中以上文化程度，55</w:t>
      </w:r>
      <w:r>
        <w:rPr>
          <w:rFonts w:hint="eastAsia" w:ascii="仿宋" w:hAnsi="仿宋" w:eastAsia="仿宋" w:cs="仿宋"/>
          <w:spacing w:val="-41"/>
          <w:sz w:val="28"/>
          <w:szCs w:val="28"/>
          <w:highlight w:val="none"/>
        </w:rPr>
        <w:t xml:space="preserve"> </w:t>
      </w:r>
      <w:r>
        <w:rPr>
          <w:rFonts w:hint="eastAsia" w:ascii="仿宋" w:hAnsi="仿宋" w:eastAsia="仿宋" w:cs="仿宋"/>
          <w:spacing w:val="4"/>
          <w:sz w:val="28"/>
          <w:szCs w:val="28"/>
          <w:highlight w:val="none"/>
        </w:rPr>
        <w:t>周岁以下，身体健康，无违</w:t>
      </w:r>
      <w:r>
        <w:rPr>
          <w:rFonts w:hint="eastAsia" w:ascii="仿宋" w:hAnsi="仿宋" w:eastAsia="仿宋" w:cs="仿宋"/>
          <w:spacing w:val="1"/>
          <w:sz w:val="28"/>
          <w:szCs w:val="28"/>
          <w:highlight w:val="none"/>
        </w:rPr>
        <w:t>法犯罪记录，均持有保安员</w:t>
      </w:r>
      <w:r>
        <w:rPr>
          <w:rFonts w:hint="eastAsia" w:ascii="仿宋" w:hAnsi="仿宋" w:eastAsia="仿宋" w:cs="仿宋"/>
          <w:spacing w:val="1"/>
          <w:sz w:val="28"/>
          <w:szCs w:val="28"/>
          <w:highlight w:val="none"/>
          <w:lang w:val="en-US" w:eastAsia="zh-CN"/>
        </w:rPr>
        <w:t>上岗</w:t>
      </w:r>
      <w:r>
        <w:rPr>
          <w:rFonts w:hint="eastAsia" w:ascii="仿宋" w:hAnsi="仿宋" w:eastAsia="仿宋" w:cs="仿宋"/>
          <w:spacing w:val="1"/>
          <w:sz w:val="28"/>
          <w:szCs w:val="28"/>
          <w:highlight w:val="none"/>
        </w:rPr>
        <w:t>证。</w:t>
      </w:r>
    </w:p>
    <w:p w14:paraId="0DE15FBC">
      <w:pPr>
        <w:pStyle w:val="8"/>
        <w:spacing w:afterLines="0" w:line="500" w:lineRule="exact"/>
        <w:ind w:firstLine="562" w:firstLineChars="200"/>
        <w:rPr>
          <w:rFonts w:ascii="仿宋" w:hAnsi="仿宋" w:eastAsia="仿宋" w:cs="仿宋"/>
          <w:sz w:val="28"/>
          <w:szCs w:val="28"/>
          <w:highlight w:val="none"/>
        </w:rPr>
      </w:pPr>
      <w:r>
        <w:rPr>
          <w:rFonts w:hint="eastAsia" w:ascii="仿宋" w:hAnsi="仿宋" w:eastAsia="仿宋" w:cs="仿宋"/>
          <w:spacing w:val="-1"/>
          <w:sz w:val="28"/>
          <w:szCs w:val="28"/>
          <w:highlight w:val="none"/>
          <w:lang w:val="en-US" w:eastAsia="zh-CN"/>
        </w:rPr>
        <w:t>3</w:t>
      </w:r>
      <w:r>
        <w:rPr>
          <w:rFonts w:hint="eastAsia" w:ascii="仿宋" w:hAnsi="仿宋" w:eastAsia="仿宋" w:cs="仿宋"/>
          <w:spacing w:val="-1"/>
          <w:sz w:val="28"/>
          <w:szCs w:val="28"/>
          <w:highlight w:val="none"/>
        </w:rPr>
        <w:t>、保安员在工作中要着装整齐（着保安服、</w:t>
      </w:r>
      <w:r>
        <w:rPr>
          <w:rFonts w:hint="eastAsia" w:ascii="仿宋" w:hAnsi="仿宋" w:eastAsia="仿宋" w:cs="仿宋"/>
          <w:spacing w:val="-2"/>
          <w:sz w:val="28"/>
          <w:szCs w:val="28"/>
          <w:highlight w:val="none"/>
        </w:rPr>
        <w:t>系武装带、配警棍，关键</w:t>
      </w:r>
      <w:r>
        <w:rPr>
          <w:rFonts w:hint="eastAsia" w:ascii="仿宋" w:hAnsi="仿宋" w:eastAsia="仿宋" w:cs="仿宋"/>
          <w:spacing w:val="-1"/>
          <w:sz w:val="28"/>
          <w:szCs w:val="28"/>
          <w:highlight w:val="none"/>
        </w:rPr>
        <w:t>岗和巡逻人员配对讲机</w:t>
      </w:r>
      <w:r>
        <w:rPr>
          <w:rFonts w:hint="eastAsia" w:ascii="仿宋" w:hAnsi="仿宋" w:eastAsia="仿宋" w:cs="仿宋"/>
          <w:spacing w:val="-68"/>
          <w:sz w:val="28"/>
          <w:szCs w:val="28"/>
          <w:highlight w:val="none"/>
        </w:rPr>
        <w:t>），</w:t>
      </w:r>
      <w:r>
        <w:rPr>
          <w:rFonts w:hint="eastAsia" w:ascii="仿宋" w:hAnsi="仿宋" w:eastAsia="仿宋" w:cs="仿宋"/>
          <w:spacing w:val="-1"/>
          <w:sz w:val="28"/>
          <w:szCs w:val="28"/>
          <w:highlight w:val="none"/>
        </w:rPr>
        <w:t>坚守岗位、履行职责</w:t>
      </w:r>
      <w:r>
        <w:rPr>
          <w:rFonts w:hint="eastAsia" w:ascii="仿宋" w:hAnsi="仿宋" w:eastAsia="仿宋" w:cs="仿宋"/>
          <w:spacing w:val="-2"/>
          <w:sz w:val="28"/>
          <w:szCs w:val="28"/>
          <w:highlight w:val="none"/>
        </w:rPr>
        <w:t>、文明执勤、保守机密，仪</w:t>
      </w:r>
      <w:r>
        <w:rPr>
          <w:rFonts w:hint="eastAsia" w:ascii="仿宋" w:hAnsi="仿宋" w:eastAsia="仿宋" w:cs="仿宋"/>
          <w:spacing w:val="2"/>
          <w:sz w:val="28"/>
          <w:szCs w:val="28"/>
          <w:highlight w:val="none"/>
        </w:rPr>
        <w:t>表端正，态度和善，语气亲切，言辞得体，耐心解答问话，微笑迎送。</w:t>
      </w:r>
    </w:p>
    <w:p w14:paraId="57585095">
      <w:pPr>
        <w:pStyle w:val="8"/>
        <w:spacing w:afterLines="0" w:line="500" w:lineRule="exact"/>
        <w:ind w:firstLine="570" w:firstLineChars="200"/>
        <w:rPr>
          <w:rFonts w:ascii="仿宋" w:hAnsi="仿宋" w:eastAsia="仿宋" w:cs="仿宋"/>
          <w:sz w:val="28"/>
          <w:szCs w:val="28"/>
          <w:highlight w:val="none"/>
        </w:rPr>
      </w:pPr>
      <w:r>
        <w:rPr>
          <w:rFonts w:hint="eastAsia" w:ascii="仿宋" w:hAnsi="仿宋" w:eastAsia="仿宋" w:cs="仿宋"/>
          <w:spacing w:val="1"/>
          <w:sz w:val="28"/>
          <w:szCs w:val="28"/>
          <w:highlight w:val="none"/>
          <w:lang w:val="en-US" w:eastAsia="zh-CN"/>
        </w:rPr>
        <w:t>4</w:t>
      </w:r>
      <w:r>
        <w:rPr>
          <w:rFonts w:hint="eastAsia" w:ascii="仿宋" w:hAnsi="仿宋" w:eastAsia="仿宋" w:cs="仿宋"/>
          <w:spacing w:val="1"/>
          <w:sz w:val="28"/>
          <w:szCs w:val="28"/>
          <w:highlight w:val="none"/>
        </w:rPr>
        <w:t>、保安员要时刻遵守后库的有关规定，严格作息时间，提前</w:t>
      </w:r>
      <w:r>
        <w:rPr>
          <w:rFonts w:hint="eastAsia" w:ascii="仿宋" w:hAnsi="仿宋" w:eastAsia="仿宋" w:cs="仿宋"/>
          <w:spacing w:val="-28"/>
          <w:sz w:val="28"/>
          <w:szCs w:val="28"/>
          <w:highlight w:val="none"/>
        </w:rPr>
        <w:t xml:space="preserve"> </w:t>
      </w:r>
      <w:r>
        <w:rPr>
          <w:rFonts w:hint="eastAsia" w:ascii="仿宋" w:hAnsi="仿宋" w:eastAsia="仿宋" w:cs="仿宋"/>
          <w:spacing w:val="1"/>
          <w:sz w:val="28"/>
          <w:szCs w:val="28"/>
          <w:highlight w:val="none"/>
        </w:rPr>
        <w:t>15</w:t>
      </w:r>
      <w:r>
        <w:rPr>
          <w:rFonts w:hint="eastAsia" w:ascii="仿宋" w:hAnsi="仿宋" w:eastAsia="仿宋" w:cs="仿宋"/>
          <w:spacing w:val="-45"/>
          <w:sz w:val="28"/>
          <w:szCs w:val="28"/>
          <w:highlight w:val="none"/>
        </w:rPr>
        <w:t xml:space="preserve"> </w:t>
      </w:r>
      <w:r>
        <w:rPr>
          <w:rFonts w:hint="eastAsia" w:ascii="仿宋" w:hAnsi="仿宋" w:eastAsia="仿宋" w:cs="仿宋"/>
          <w:spacing w:val="1"/>
          <w:sz w:val="28"/>
          <w:szCs w:val="28"/>
          <w:highlight w:val="none"/>
        </w:rPr>
        <w:t>分钟</w:t>
      </w:r>
      <w:r>
        <w:rPr>
          <w:rFonts w:hint="eastAsia" w:ascii="仿宋" w:hAnsi="仿宋" w:eastAsia="仿宋" w:cs="仿宋"/>
          <w:spacing w:val="-1"/>
          <w:sz w:val="28"/>
          <w:szCs w:val="28"/>
          <w:highlight w:val="none"/>
        </w:rPr>
        <w:t>到岗，准时上岗。</w:t>
      </w:r>
    </w:p>
    <w:p w14:paraId="2B66B67F">
      <w:pPr>
        <w:pStyle w:val="8"/>
        <w:spacing w:afterLines="0" w:line="500" w:lineRule="exact"/>
        <w:ind w:firstLine="562" w:firstLineChars="200"/>
        <w:rPr>
          <w:rFonts w:ascii="仿宋" w:hAnsi="仿宋" w:eastAsia="仿宋" w:cs="仿宋"/>
          <w:sz w:val="28"/>
          <w:szCs w:val="28"/>
          <w:highlight w:val="none"/>
        </w:rPr>
      </w:pPr>
      <w:r>
        <w:rPr>
          <w:rFonts w:hint="eastAsia" w:ascii="仿宋" w:hAnsi="仿宋" w:eastAsia="仿宋" w:cs="仿宋"/>
          <w:spacing w:val="-1"/>
          <w:sz w:val="28"/>
          <w:szCs w:val="28"/>
          <w:highlight w:val="none"/>
          <w:lang w:val="en-US" w:eastAsia="zh-CN"/>
        </w:rPr>
        <w:t>5</w:t>
      </w:r>
      <w:r>
        <w:rPr>
          <w:rFonts w:hint="eastAsia" w:ascii="仿宋" w:hAnsi="仿宋" w:eastAsia="仿宋" w:cs="仿宋"/>
          <w:spacing w:val="-1"/>
          <w:sz w:val="28"/>
          <w:szCs w:val="28"/>
          <w:highlight w:val="none"/>
        </w:rPr>
        <w:t>、保安员在岗期间严禁饮酒、睡岗、脱岗、听广播、打扑克、上网聊</w:t>
      </w:r>
      <w:r>
        <w:rPr>
          <w:rFonts w:hint="eastAsia" w:ascii="仿宋" w:hAnsi="仿宋" w:eastAsia="仿宋" w:cs="仿宋"/>
          <w:spacing w:val="-2"/>
          <w:sz w:val="28"/>
          <w:szCs w:val="28"/>
          <w:highlight w:val="none"/>
        </w:rPr>
        <w:t>天玩游戏。</w:t>
      </w:r>
    </w:p>
    <w:p w14:paraId="01AE7EBB">
      <w:pPr>
        <w:pStyle w:val="8"/>
        <w:spacing w:afterLines="0" w:line="500" w:lineRule="exact"/>
        <w:ind w:firstLine="562" w:firstLineChars="200"/>
        <w:rPr>
          <w:rFonts w:ascii="仿宋" w:hAnsi="仿宋" w:eastAsia="仿宋" w:cs="仿宋"/>
          <w:sz w:val="28"/>
          <w:szCs w:val="28"/>
          <w:highlight w:val="none"/>
        </w:rPr>
      </w:pPr>
      <w:r>
        <w:rPr>
          <w:rFonts w:hint="eastAsia" w:ascii="仿宋" w:hAnsi="仿宋" w:eastAsia="仿宋" w:cs="仿宋"/>
          <w:spacing w:val="-1"/>
          <w:sz w:val="28"/>
          <w:szCs w:val="28"/>
          <w:highlight w:val="none"/>
          <w:lang w:val="en-US" w:eastAsia="zh-CN"/>
        </w:rPr>
        <w:t>6</w:t>
      </w:r>
      <w:r>
        <w:rPr>
          <w:rFonts w:hint="eastAsia" w:ascii="仿宋" w:hAnsi="仿宋" w:eastAsia="仿宋" w:cs="仿宋"/>
          <w:spacing w:val="-1"/>
          <w:sz w:val="28"/>
          <w:szCs w:val="28"/>
          <w:highlight w:val="none"/>
        </w:rPr>
        <w:t>、保安员要有消防安全基本素质和排除安全</w:t>
      </w:r>
      <w:r>
        <w:rPr>
          <w:rFonts w:hint="eastAsia" w:ascii="仿宋" w:hAnsi="仿宋" w:eastAsia="仿宋" w:cs="仿宋"/>
          <w:spacing w:val="-2"/>
          <w:sz w:val="28"/>
          <w:szCs w:val="28"/>
          <w:highlight w:val="none"/>
        </w:rPr>
        <w:t>隐患的能力，熟悉了解后</w:t>
      </w:r>
      <w:r>
        <w:rPr>
          <w:rFonts w:hint="eastAsia" w:ascii="仿宋" w:hAnsi="仿宋" w:eastAsia="仿宋" w:cs="仿宋"/>
          <w:spacing w:val="2"/>
          <w:sz w:val="28"/>
          <w:szCs w:val="28"/>
          <w:highlight w:val="none"/>
        </w:rPr>
        <w:t>库消防设施的重点部位和熟练使用消防器材。</w:t>
      </w:r>
    </w:p>
    <w:p w14:paraId="412FB638">
      <w:pPr>
        <w:pStyle w:val="8"/>
        <w:spacing w:afterLines="0" w:line="500" w:lineRule="exact"/>
        <w:ind w:firstLine="562" w:firstLineChars="200"/>
        <w:rPr>
          <w:rFonts w:ascii="仿宋" w:hAnsi="仿宋" w:eastAsia="仿宋" w:cs="仿宋"/>
          <w:sz w:val="28"/>
          <w:szCs w:val="28"/>
          <w:highlight w:val="none"/>
        </w:rPr>
      </w:pPr>
      <w:r>
        <w:rPr>
          <w:rFonts w:hint="eastAsia" w:ascii="仿宋" w:hAnsi="仿宋" w:eastAsia="仿宋" w:cs="仿宋"/>
          <w:spacing w:val="-1"/>
          <w:sz w:val="28"/>
          <w:szCs w:val="28"/>
          <w:highlight w:val="none"/>
          <w:lang w:val="en-US" w:eastAsia="zh-CN"/>
        </w:rPr>
        <w:t>7</w:t>
      </w:r>
      <w:r>
        <w:rPr>
          <w:rFonts w:hint="eastAsia" w:ascii="仿宋" w:hAnsi="仿宋" w:eastAsia="仿宋" w:cs="仿宋"/>
          <w:spacing w:val="-1"/>
          <w:sz w:val="28"/>
          <w:szCs w:val="28"/>
          <w:highlight w:val="none"/>
        </w:rPr>
        <w:t>、保安员禁止做与本职工作无关的事宜，不准</w:t>
      </w:r>
      <w:r>
        <w:rPr>
          <w:rFonts w:hint="eastAsia" w:ascii="仿宋" w:hAnsi="仿宋" w:eastAsia="仿宋" w:cs="仿宋"/>
          <w:spacing w:val="-2"/>
          <w:sz w:val="28"/>
          <w:szCs w:val="28"/>
          <w:highlight w:val="none"/>
        </w:rPr>
        <w:t>向外人透露省档案馆和</w:t>
      </w:r>
      <w:r>
        <w:rPr>
          <w:rFonts w:hint="eastAsia" w:ascii="仿宋" w:hAnsi="仿宋" w:eastAsia="仿宋" w:cs="仿宋"/>
          <w:spacing w:val="3"/>
          <w:sz w:val="28"/>
          <w:szCs w:val="28"/>
          <w:highlight w:val="none"/>
        </w:rPr>
        <w:t>后库的有关事情。遵守省档案馆机关规章制度和保密规定，维护省档案馆机关及后库的合法权益和形象，不得借省档案馆及后库名义做虚假和不实</w:t>
      </w:r>
      <w:r>
        <w:rPr>
          <w:rFonts w:hint="eastAsia" w:ascii="仿宋" w:hAnsi="仿宋" w:eastAsia="仿宋" w:cs="仿宋"/>
          <w:spacing w:val="1"/>
          <w:sz w:val="28"/>
          <w:szCs w:val="28"/>
          <w:highlight w:val="none"/>
        </w:rPr>
        <w:t>宣传，保守党的秘密。</w:t>
      </w:r>
    </w:p>
    <w:p w14:paraId="589F0586">
      <w:pPr>
        <w:pStyle w:val="8"/>
        <w:spacing w:afterLines="0" w:line="500" w:lineRule="exact"/>
        <w:ind w:firstLine="562" w:firstLineChars="200"/>
        <w:rPr>
          <w:rFonts w:ascii="仿宋" w:hAnsi="仿宋" w:eastAsia="仿宋" w:cs="仿宋"/>
          <w:sz w:val="28"/>
          <w:szCs w:val="28"/>
          <w:highlight w:val="none"/>
        </w:rPr>
      </w:pPr>
      <w:r>
        <w:rPr>
          <w:rFonts w:hint="eastAsia" w:ascii="仿宋" w:hAnsi="仿宋" w:eastAsia="仿宋" w:cs="仿宋"/>
          <w:spacing w:val="-1"/>
          <w:sz w:val="28"/>
          <w:szCs w:val="28"/>
          <w:highlight w:val="none"/>
          <w:lang w:val="en-US" w:eastAsia="zh-CN"/>
        </w:rPr>
        <w:t>8</w:t>
      </w:r>
      <w:r>
        <w:rPr>
          <w:rFonts w:hint="eastAsia" w:ascii="仿宋" w:hAnsi="仿宋" w:eastAsia="仿宋" w:cs="仿宋"/>
          <w:spacing w:val="-1"/>
          <w:sz w:val="28"/>
          <w:szCs w:val="28"/>
          <w:highlight w:val="none"/>
        </w:rPr>
        <w:t>、保安员对后库院内重点部位定时巡视检</w:t>
      </w:r>
      <w:r>
        <w:rPr>
          <w:rFonts w:hint="eastAsia" w:ascii="仿宋" w:hAnsi="仿宋" w:eastAsia="仿宋" w:cs="仿宋"/>
          <w:spacing w:val="-2"/>
          <w:sz w:val="28"/>
          <w:szCs w:val="28"/>
          <w:highlight w:val="none"/>
        </w:rPr>
        <w:t>查，及时发现可疑人员和安</w:t>
      </w:r>
      <w:r>
        <w:rPr>
          <w:rFonts w:hint="eastAsia" w:ascii="仿宋" w:hAnsi="仿宋" w:eastAsia="仿宋" w:cs="仿宋"/>
          <w:spacing w:val="1"/>
          <w:sz w:val="28"/>
          <w:szCs w:val="28"/>
          <w:highlight w:val="none"/>
        </w:rPr>
        <w:t>全隐患，</w:t>
      </w:r>
      <w:r>
        <w:rPr>
          <w:rFonts w:hint="eastAsia" w:ascii="仿宋" w:hAnsi="仿宋" w:eastAsia="仿宋" w:cs="仿宋"/>
          <w:spacing w:val="-66"/>
          <w:sz w:val="28"/>
          <w:szCs w:val="28"/>
          <w:highlight w:val="none"/>
        </w:rPr>
        <w:t xml:space="preserve"> </w:t>
      </w:r>
      <w:r>
        <w:rPr>
          <w:rFonts w:hint="eastAsia" w:ascii="仿宋" w:hAnsi="仿宋" w:eastAsia="仿宋" w:cs="仿宋"/>
          <w:spacing w:val="1"/>
          <w:sz w:val="28"/>
          <w:szCs w:val="28"/>
          <w:highlight w:val="none"/>
        </w:rPr>
        <w:t>自觉维护库区良好办公秩序，确保院内无火</w:t>
      </w:r>
      <w:r>
        <w:rPr>
          <w:rFonts w:hint="eastAsia" w:ascii="仿宋" w:hAnsi="仿宋" w:eastAsia="仿宋" w:cs="仿宋"/>
          <w:sz w:val="28"/>
          <w:szCs w:val="28"/>
          <w:highlight w:val="none"/>
        </w:rPr>
        <w:t>灾事故和治安案件发</w:t>
      </w:r>
      <w:r>
        <w:rPr>
          <w:rFonts w:hint="eastAsia" w:ascii="仿宋" w:hAnsi="仿宋" w:eastAsia="仿宋" w:cs="仿宋"/>
          <w:spacing w:val="-13"/>
          <w:sz w:val="28"/>
          <w:szCs w:val="28"/>
          <w:highlight w:val="none"/>
        </w:rPr>
        <w:t>生。</w:t>
      </w:r>
    </w:p>
    <w:p w14:paraId="0D693363">
      <w:pPr>
        <w:pStyle w:val="8"/>
        <w:spacing w:afterLines="0" w:line="500" w:lineRule="exact"/>
        <w:ind w:firstLine="562" w:firstLineChars="200"/>
        <w:rPr>
          <w:rFonts w:hint="eastAsia" w:ascii="仿宋" w:hAnsi="仿宋" w:eastAsia="仿宋" w:cs="仿宋"/>
          <w:spacing w:val="1"/>
          <w:sz w:val="28"/>
          <w:szCs w:val="28"/>
          <w:highlight w:val="none"/>
        </w:rPr>
      </w:pPr>
      <w:r>
        <w:rPr>
          <w:rFonts w:hint="eastAsia" w:ascii="仿宋" w:hAnsi="仿宋" w:eastAsia="仿宋" w:cs="仿宋"/>
          <w:spacing w:val="-1"/>
          <w:sz w:val="28"/>
          <w:szCs w:val="28"/>
          <w:highlight w:val="none"/>
          <w:lang w:val="en-US" w:eastAsia="zh-CN"/>
        </w:rPr>
        <w:t>9</w:t>
      </w:r>
      <w:r>
        <w:rPr>
          <w:rFonts w:hint="eastAsia" w:ascii="仿宋" w:hAnsi="仿宋" w:eastAsia="仿宋" w:cs="仿宋"/>
          <w:spacing w:val="-1"/>
          <w:sz w:val="28"/>
          <w:szCs w:val="28"/>
          <w:highlight w:val="none"/>
        </w:rPr>
        <w:t>、采购人有权随时对保安人员进行检查，有权对</w:t>
      </w:r>
      <w:r>
        <w:rPr>
          <w:rFonts w:hint="eastAsia" w:ascii="仿宋" w:hAnsi="仿宋" w:eastAsia="仿宋" w:cs="仿宋"/>
          <w:spacing w:val="-2"/>
          <w:sz w:val="28"/>
          <w:szCs w:val="28"/>
          <w:highlight w:val="none"/>
        </w:rPr>
        <w:t>违规或不称职保安人</w:t>
      </w:r>
      <w:r>
        <w:rPr>
          <w:rFonts w:hint="eastAsia" w:ascii="仿宋" w:hAnsi="仿宋" w:eastAsia="仿宋" w:cs="仿宋"/>
          <w:spacing w:val="1"/>
          <w:sz w:val="28"/>
          <w:szCs w:val="28"/>
          <w:highlight w:val="none"/>
        </w:rPr>
        <w:t>员提出处罚、调换或辞退要求，供应商必须接受。</w:t>
      </w:r>
    </w:p>
    <w:p w14:paraId="0DAEBA71">
      <w:pPr>
        <w:pStyle w:val="8"/>
        <w:spacing w:afterLines="0" w:line="500" w:lineRule="exact"/>
        <w:ind w:firstLine="570" w:firstLineChars="200"/>
        <w:rPr>
          <w:rFonts w:hint="default" w:ascii="仿宋" w:hAnsi="仿宋" w:eastAsia="仿宋" w:cs="仿宋"/>
          <w:spacing w:val="1"/>
          <w:sz w:val="28"/>
          <w:szCs w:val="28"/>
          <w:highlight w:val="none"/>
          <w:lang w:val="en-US" w:eastAsia="zh-CN"/>
        </w:rPr>
      </w:pPr>
      <w:r>
        <w:rPr>
          <w:rFonts w:hint="eastAsia" w:ascii="仿宋" w:hAnsi="仿宋" w:eastAsia="仿宋" w:cs="仿宋"/>
          <w:spacing w:val="1"/>
          <w:sz w:val="28"/>
          <w:szCs w:val="28"/>
          <w:highlight w:val="none"/>
          <w:lang w:val="en-US" w:eastAsia="zh-CN"/>
        </w:rPr>
        <w:t>10、上岗前所有人员需提供身份证、学历及个人简历复印件。</w:t>
      </w:r>
    </w:p>
    <w:p w14:paraId="17D8269F">
      <w:pPr>
        <w:pStyle w:val="8"/>
        <w:spacing w:afterLines="0" w:line="500" w:lineRule="exact"/>
        <w:ind w:firstLine="562" w:firstLineChars="200"/>
        <w:rPr>
          <w:rFonts w:ascii="仿宋" w:hAnsi="仿宋" w:eastAsia="仿宋" w:cs="仿宋"/>
          <w:sz w:val="28"/>
          <w:szCs w:val="28"/>
          <w:highlight w:val="none"/>
        </w:rPr>
      </w:pPr>
      <w:r>
        <w:rPr>
          <w:rFonts w:hint="eastAsia" w:ascii="仿宋" w:hAnsi="仿宋" w:eastAsia="仿宋" w:cs="仿宋"/>
          <w:b/>
          <w:bCs/>
          <w:spacing w:val="-1"/>
          <w:sz w:val="28"/>
          <w:szCs w:val="28"/>
          <w:highlight w:val="none"/>
        </w:rPr>
        <w:t>（二）对供应商的要求</w:t>
      </w:r>
    </w:p>
    <w:p w14:paraId="5D0454C1">
      <w:pPr>
        <w:pStyle w:val="8"/>
        <w:spacing w:afterLines="0" w:line="500" w:lineRule="exact"/>
        <w:ind w:firstLine="570" w:firstLineChars="200"/>
        <w:rPr>
          <w:rFonts w:ascii="仿宋" w:hAnsi="仿宋" w:eastAsia="仿宋" w:cs="仿宋"/>
          <w:sz w:val="28"/>
          <w:szCs w:val="28"/>
          <w:highlight w:val="none"/>
        </w:rPr>
      </w:pPr>
      <w:r>
        <w:rPr>
          <w:rFonts w:hint="eastAsia" w:ascii="仿宋" w:hAnsi="仿宋" w:eastAsia="仿宋" w:cs="仿宋"/>
          <w:spacing w:val="1"/>
          <w:sz w:val="28"/>
          <w:szCs w:val="28"/>
          <w:highlight w:val="none"/>
        </w:rPr>
        <w:t>1、供应商具有履行合同所必须的设施和服务能力。</w:t>
      </w:r>
    </w:p>
    <w:p w14:paraId="182E8703">
      <w:pPr>
        <w:pStyle w:val="8"/>
        <w:spacing w:afterLines="0" w:line="500" w:lineRule="exact"/>
        <w:ind w:firstLine="574" w:firstLineChars="200"/>
        <w:rPr>
          <w:rFonts w:ascii="仿宋" w:hAnsi="仿宋" w:eastAsia="仿宋" w:cs="仿宋"/>
          <w:sz w:val="28"/>
          <w:szCs w:val="28"/>
          <w:highlight w:val="none"/>
        </w:rPr>
      </w:pPr>
      <w:r>
        <w:rPr>
          <w:rFonts w:hint="eastAsia" w:ascii="仿宋" w:hAnsi="仿宋" w:eastAsia="仿宋" w:cs="仿宋"/>
          <w:spacing w:val="2"/>
          <w:sz w:val="28"/>
          <w:szCs w:val="28"/>
          <w:highlight w:val="none"/>
        </w:rPr>
        <w:t>2、供应商具有良好的商业信誉和健全的规章制度。</w:t>
      </w:r>
    </w:p>
    <w:p w14:paraId="20910005">
      <w:pPr>
        <w:pStyle w:val="8"/>
        <w:spacing w:afterLines="0" w:line="500" w:lineRule="exact"/>
        <w:ind w:firstLine="574" w:firstLineChars="200"/>
        <w:rPr>
          <w:rFonts w:ascii="仿宋" w:hAnsi="仿宋" w:eastAsia="仿宋" w:cs="仿宋"/>
          <w:sz w:val="28"/>
          <w:szCs w:val="28"/>
          <w:highlight w:val="none"/>
        </w:rPr>
      </w:pPr>
      <w:r>
        <w:rPr>
          <w:rFonts w:hint="eastAsia" w:ascii="仿宋" w:hAnsi="仿宋" w:eastAsia="仿宋" w:cs="仿宋"/>
          <w:spacing w:val="2"/>
          <w:sz w:val="28"/>
          <w:szCs w:val="28"/>
          <w:highlight w:val="none"/>
        </w:rPr>
        <w:t>3、供应商具有专业培训部门，并有具体的培训考核机制。</w:t>
      </w:r>
    </w:p>
    <w:p w14:paraId="2B84B57A">
      <w:pPr>
        <w:pStyle w:val="8"/>
        <w:spacing w:afterLines="0" w:line="500" w:lineRule="exact"/>
        <w:ind w:firstLine="562" w:firstLineChars="200"/>
        <w:rPr>
          <w:rFonts w:ascii="仿宋" w:hAnsi="仿宋" w:eastAsia="仿宋" w:cs="仿宋"/>
          <w:sz w:val="28"/>
          <w:szCs w:val="28"/>
          <w:highlight w:val="none"/>
        </w:rPr>
      </w:pPr>
      <w:r>
        <w:rPr>
          <w:rFonts w:hint="eastAsia" w:ascii="仿宋" w:hAnsi="仿宋" w:eastAsia="仿宋" w:cs="仿宋"/>
          <w:spacing w:val="-1"/>
          <w:sz w:val="28"/>
          <w:szCs w:val="28"/>
          <w:highlight w:val="none"/>
        </w:rPr>
        <w:t>4、供应商必须同省档案馆办公室、后库管理处密切联系，遇</w:t>
      </w:r>
      <w:r>
        <w:rPr>
          <w:rFonts w:hint="eastAsia" w:ascii="仿宋" w:hAnsi="仿宋" w:eastAsia="仿宋" w:cs="仿宋"/>
          <w:spacing w:val="-2"/>
          <w:sz w:val="28"/>
          <w:szCs w:val="28"/>
          <w:highlight w:val="none"/>
        </w:rPr>
        <w:t>有重大事</w:t>
      </w:r>
      <w:r>
        <w:rPr>
          <w:rFonts w:hint="eastAsia" w:ascii="仿宋" w:hAnsi="仿宋" w:eastAsia="仿宋" w:cs="仿宋"/>
          <w:sz w:val="28"/>
          <w:szCs w:val="28"/>
          <w:highlight w:val="none"/>
        </w:rPr>
        <w:t>项要及时报告和反馈信息，充分尊重省档案馆的意见，接受合理建议。</w:t>
      </w:r>
    </w:p>
    <w:p w14:paraId="6ED13202">
      <w:pPr>
        <w:pStyle w:val="8"/>
        <w:spacing w:afterLines="0" w:line="500" w:lineRule="exact"/>
        <w:ind w:firstLine="542" w:firstLineChars="200"/>
        <w:rPr>
          <w:rFonts w:ascii="仿宋" w:hAnsi="仿宋" w:eastAsia="仿宋" w:cs="仿宋"/>
          <w:sz w:val="28"/>
          <w:szCs w:val="28"/>
          <w:highlight w:val="none"/>
        </w:rPr>
      </w:pPr>
      <w:r>
        <w:rPr>
          <w:rFonts w:hint="eastAsia" w:ascii="仿宋" w:hAnsi="仿宋" w:eastAsia="仿宋" w:cs="仿宋"/>
          <w:spacing w:val="-6"/>
          <w:sz w:val="28"/>
          <w:szCs w:val="28"/>
          <w:highlight w:val="none"/>
        </w:rPr>
        <w:t>5、供应商每月向省档案馆办公室上报保安员花名册、工资支出明细表、</w:t>
      </w:r>
      <w:r>
        <w:rPr>
          <w:rFonts w:hint="eastAsia" w:ascii="仿宋" w:hAnsi="仿宋" w:eastAsia="仿宋" w:cs="仿宋"/>
          <w:spacing w:val="3"/>
          <w:sz w:val="28"/>
          <w:szCs w:val="28"/>
          <w:highlight w:val="none"/>
        </w:rPr>
        <w:t>社会保险和上税证明，便于对保安员在岗人</w:t>
      </w:r>
      <w:r>
        <w:rPr>
          <w:rFonts w:hint="eastAsia" w:ascii="仿宋" w:hAnsi="仿宋" w:eastAsia="仿宋" w:cs="仿宋"/>
          <w:spacing w:val="2"/>
          <w:sz w:val="28"/>
          <w:szCs w:val="28"/>
          <w:highlight w:val="none"/>
        </w:rPr>
        <w:t>员变动情况进行监督管理。</w:t>
      </w:r>
    </w:p>
    <w:p w14:paraId="5E765C9D">
      <w:pPr>
        <w:pStyle w:val="8"/>
        <w:spacing w:afterLines="0" w:line="500" w:lineRule="exact"/>
        <w:ind w:firstLine="562" w:firstLineChars="200"/>
        <w:rPr>
          <w:rFonts w:ascii="仿宋" w:hAnsi="仿宋" w:eastAsia="仿宋" w:cs="仿宋"/>
          <w:sz w:val="28"/>
          <w:szCs w:val="28"/>
          <w:highlight w:val="none"/>
        </w:rPr>
      </w:pPr>
      <w:r>
        <w:rPr>
          <w:rFonts w:hint="eastAsia" w:ascii="仿宋" w:hAnsi="仿宋" w:eastAsia="仿宋" w:cs="仿宋"/>
          <w:spacing w:val="-1"/>
          <w:sz w:val="28"/>
          <w:szCs w:val="28"/>
          <w:highlight w:val="none"/>
        </w:rPr>
        <w:t>6、供应商要及时调整省档案馆办公室、后库管</w:t>
      </w:r>
      <w:r>
        <w:rPr>
          <w:rFonts w:hint="eastAsia" w:ascii="仿宋" w:hAnsi="仿宋" w:eastAsia="仿宋" w:cs="仿宋"/>
          <w:spacing w:val="-2"/>
          <w:sz w:val="28"/>
          <w:szCs w:val="28"/>
          <w:highlight w:val="none"/>
        </w:rPr>
        <w:t>理处认为不适合继续在</w:t>
      </w:r>
      <w:r>
        <w:rPr>
          <w:rFonts w:hint="eastAsia" w:ascii="仿宋" w:hAnsi="仿宋" w:eastAsia="仿宋" w:cs="仿宋"/>
          <w:spacing w:val="-1"/>
          <w:sz w:val="28"/>
          <w:szCs w:val="28"/>
          <w:highlight w:val="none"/>
        </w:rPr>
        <w:t>后库工作的保安员，接到通知后五日</w:t>
      </w:r>
      <w:r>
        <w:rPr>
          <w:rFonts w:hint="eastAsia" w:ascii="仿宋" w:hAnsi="仿宋" w:eastAsia="仿宋" w:cs="仿宋"/>
          <w:spacing w:val="-71"/>
          <w:sz w:val="28"/>
          <w:szCs w:val="28"/>
          <w:highlight w:val="none"/>
        </w:rPr>
        <w:t xml:space="preserve"> </w:t>
      </w:r>
      <w:r>
        <w:rPr>
          <w:rFonts w:hint="eastAsia" w:ascii="仿宋" w:hAnsi="仿宋" w:eastAsia="仿宋" w:cs="仿宋"/>
          <w:spacing w:val="-1"/>
          <w:sz w:val="28"/>
          <w:szCs w:val="28"/>
          <w:highlight w:val="none"/>
        </w:rPr>
        <w:t>内调整完毕。</w:t>
      </w:r>
    </w:p>
    <w:p w14:paraId="27EAB73B">
      <w:pPr>
        <w:pStyle w:val="8"/>
        <w:spacing w:afterLines="0" w:line="500" w:lineRule="exact"/>
        <w:ind w:firstLine="574" w:firstLineChars="200"/>
        <w:rPr>
          <w:rFonts w:ascii="仿宋" w:hAnsi="仿宋" w:eastAsia="仿宋" w:cs="仿宋"/>
          <w:sz w:val="28"/>
          <w:szCs w:val="28"/>
          <w:highlight w:val="none"/>
        </w:rPr>
      </w:pPr>
      <w:r>
        <w:rPr>
          <w:rFonts w:hint="eastAsia" w:ascii="仿宋" w:hAnsi="仿宋" w:eastAsia="仿宋" w:cs="仿宋"/>
          <w:spacing w:val="2"/>
          <w:sz w:val="28"/>
          <w:szCs w:val="28"/>
          <w:highlight w:val="none"/>
        </w:rPr>
        <w:t>7、供应商接受馆值班干部在岗检查，保安负责人报告在岗情况。</w:t>
      </w:r>
    </w:p>
    <w:p w14:paraId="528C4217">
      <w:pPr>
        <w:pStyle w:val="8"/>
        <w:spacing w:afterLines="0" w:line="500" w:lineRule="exact"/>
        <w:ind w:firstLine="582" w:firstLineChars="200"/>
        <w:rPr>
          <w:rFonts w:ascii="仿宋" w:hAnsi="仿宋" w:eastAsia="仿宋" w:cs="仿宋"/>
          <w:sz w:val="28"/>
          <w:szCs w:val="28"/>
          <w:highlight w:val="none"/>
        </w:rPr>
      </w:pPr>
      <w:r>
        <w:rPr>
          <w:rFonts w:hint="eastAsia" w:ascii="仿宋" w:hAnsi="仿宋" w:eastAsia="仿宋" w:cs="仿宋"/>
          <w:spacing w:val="4"/>
          <w:sz w:val="28"/>
          <w:szCs w:val="28"/>
          <w:highlight w:val="none"/>
        </w:rPr>
        <w:t>8、服务项目季度考核评分不低于85分。</w:t>
      </w:r>
    </w:p>
    <w:p w14:paraId="4FF8DC3F">
      <w:pPr>
        <w:pStyle w:val="8"/>
        <w:spacing w:afterLines="0" w:line="500" w:lineRule="exact"/>
        <w:ind w:firstLine="578" w:firstLineChars="200"/>
        <w:rPr>
          <w:rFonts w:ascii="仿宋" w:hAnsi="仿宋" w:eastAsia="仿宋" w:cs="仿宋"/>
          <w:sz w:val="28"/>
          <w:szCs w:val="28"/>
          <w:highlight w:val="none"/>
        </w:rPr>
      </w:pPr>
      <w:r>
        <w:rPr>
          <w:rFonts w:hint="eastAsia" w:ascii="仿宋" w:hAnsi="仿宋" w:eastAsia="仿宋" w:cs="仿宋"/>
          <w:spacing w:val="3"/>
          <w:sz w:val="28"/>
          <w:szCs w:val="28"/>
          <w:highlight w:val="none"/>
        </w:rPr>
        <w:t>9、供应商需提供保洁人员工作服装、卫生</w:t>
      </w:r>
      <w:r>
        <w:rPr>
          <w:rFonts w:hint="eastAsia" w:ascii="仿宋" w:hAnsi="仿宋" w:eastAsia="仿宋" w:cs="仿宋"/>
          <w:spacing w:val="2"/>
          <w:sz w:val="28"/>
          <w:szCs w:val="28"/>
          <w:highlight w:val="none"/>
        </w:rPr>
        <w:t>间日常保洁消耗品。</w:t>
      </w:r>
    </w:p>
    <w:p w14:paraId="36931FF9">
      <w:pPr>
        <w:pStyle w:val="8"/>
        <w:spacing w:after="190" w:line="500" w:lineRule="exact"/>
        <w:ind w:firstLine="566" w:firstLineChars="200"/>
        <w:rPr>
          <w:rFonts w:eastAsia="仿宋"/>
          <w:sz w:val="28"/>
          <w:szCs w:val="28"/>
          <w:highlight w:val="none"/>
        </w:rPr>
      </w:pPr>
      <w:r>
        <w:rPr>
          <w:rFonts w:hint="eastAsia" w:ascii="仿宋" w:hAnsi="仿宋" w:eastAsia="仿宋" w:cs="仿宋"/>
          <w:sz w:val="28"/>
          <w:szCs w:val="28"/>
          <w:highlight w:val="none"/>
        </w:rPr>
        <w:t>10、供应商需提供安保用具，具体如下：</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398"/>
        <w:gridCol w:w="1906"/>
        <w:gridCol w:w="2720"/>
      </w:tblGrid>
      <w:tr w14:paraId="06459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765" w:type="dxa"/>
            <w:vAlign w:val="center"/>
          </w:tcPr>
          <w:p w14:paraId="787CD26C">
            <w:pPr>
              <w:pStyle w:val="19"/>
              <w:overflowPunct w:val="0"/>
              <w:autoSpaceDE w:val="0"/>
              <w:autoSpaceDN w:val="0"/>
              <w:adjustRightInd w:val="0"/>
              <w:snapToGrid w:val="0"/>
              <w:spacing w:after="190" w:line="560" w:lineRule="exact"/>
              <w:ind w:firstLine="0" w:firstLineChars="0"/>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2398" w:type="dxa"/>
            <w:vAlign w:val="center"/>
          </w:tcPr>
          <w:p w14:paraId="3C4153C4">
            <w:pPr>
              <w:pStyle w:val="19"/>
              <w:overflowPunct w:val="0"/>
              <w:autoSpaceDE w:val="0"/>
              <w:autoSpaceDN w:val="0"/>
              <w:adjustRightInd w:val="0"/>
              <w:snapToGrid w:val="0"/>
              <w:spacing w:after="190" w:line="560" w:lineRule="exact"/>
              <w:ind w:firstLine="0" w:firstLineChars="0"/>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器械种类</w:t>
            </w:r>
          </w:p>
        </w:tc>
        <w:tc>
          <w:tcPr>
            <w:tcW w:w="1906" w:type="dxa"/>
            <w:vAlign w:val="center"/>
          </w:tcPr>
          <w:p w14:paraId="4DA05000">
            <w:pPr>
              <w:pStyle w:val="19"/>
              <w:overflowPunct w:val="0"/>
              <w:autoSpaceDE w:val="0"/>
              <w:autoSpaceDN w:val="0"/>
              <w:adjustRightInd w:val="0"/>
              <w:snapToGrid w:val="0"/>
              <w:spacing w:after="190" w:line="560" w:lineRule="exact"/>
              <w:ind w:firstLine="0" w:firstLineChars="0"/>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配备数量</w:t>
            </w:r>
          </w:p>
        </w:tc>
        <w:tc>
          <w:tcPr>
            <w:tcW w:w="2720" w:type="dxa"/>
            <w:vAlign w:val="center"/>
          </w:tcPr>
          <w:p w14:paraId="1DC94A92">
            <w:pPr>
              <w:pStyle w:val="19"/>
              <w:overflowPunct w:val="0"/>
              <w:autoSpaceDE w:val="0"/>
              <w:autoSpaceDN w:val="0"/>
              <w:adjustRightInd w:val="0"/>
              <w:snapToGrid w:val="0"/>
              <w:spacing w:after="190" w:line="560" w:lineRule="exact"/>
              <w:ind w:firstLine="0" w:firstLineChars="0"/>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型号</w:t>
            </w:r>
          </w:p>
        </w:tc>
      </w:tr>
      <w:tr w14:paraId="21B8A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765" w:type="dxa"/>
            <w:vAlign w:val="center"/>
          </w:tcPr>
          <w:p w14:paraId="6EC1F0E3">
            <w:pPr>
              <w:pStyle w:val="19"/>
              <w:overflowPunct w:val="0"/>
              <w:autoSpaceDE w:val="0"/>
              <w:autoSpaceDN w:val="0"/>
              <w:adjustRightInd w:val="0"/>
              <w:snapToGrid w:val="0"/>
              <w:spacing w:after="190" w:line="560" w:lineRule="exact"/>
              <w:ind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c>
          <w:tcPr>
            <w:tcW w:w="2398" w:type="dxa"/>
            <w:vAlign w:val="center"/>
          </w:tcPr>
          <w:p w14:paraId="4DFAFAA3">
            <w:pPr>
              <w:pStyle w:val="19"/>
              <w:overflowPunct w:val="0"/>
              <w:autoSpaceDE w:val="0"/>
              <w:autoSpaceDN w:val="0"/>
              <w:adjustRightInd w:val="0"/>
              <w:snapToGrid w:val="0"/>
              <w:spacing w:after="190" w:line="560" w:lineRule="exact"/>
              <w:ind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强光手电</w:t>
            </w:r>
          </w:p>
        </w:tc>
        <w:tc>
          <w:tcPr>
            <w:tcW w:w="1906" w:type="dxa"/>
            <w:vAlign w:val="center"/>
          </w:tcPr>
          <w:p w14:paraId="47CA17B4">
            <w:pPr>
              <w:pStyle w:val="19"/>
              <w:overflowPunct w:val="0"/>
              <w:autoSpaceDE w:val="0"/>
              <w:autoSpaceDN w:val="0"/>
              <w:adjustRightInd w:val="0"/>
              <w:snapToGrid w:val="0"/>
              <w:spacing w:after="190" w:line="560" w:lineRule="exact"/>
              <w:ind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5套</w:t>
            </w:r>
          </w:p>
        </w:tc>
        <w:tc>
          <w:tcPr>
            <w:tcW w:w="2720" w:type="dxa"/>
            <w:vAlign w:val="center"/>
          </w:tcPr>
          <w:p w14:paraId="2708A7F8">
            <w:pPr>
              <w:pStyle w:val="19"/>
              <w:overflowPunct w:val="0"/>
              <w:autoSpaceDE w:val="0"/>
              <w:autoSpaceDN w:val="0"/>
              <w:adjustRightInd w:val="0"/>
              <w:snapToGrid w:val="0"/>
              <w:spacing w:after="190" w:line="560" w:lineRule="exact"/>
              <w:ind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国内合格产品</w:t>
            </w:r>
          </w:p>
        </w:tc>
      </w:tr>
      <w:tr w14:paraId="181AC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765" w:type="dxa"/>
            <w:vAlign w:val="center"/>
          </w:tcPr>
          <w:p w14:paraId="623E12B6">
            <w:pPr>
              <w:pStyle w:val="19"/>
              <w:overflowPunct w:val="0"/>
              <w:autoSpaceDE w:val="0"/>
              <w:autoSpaceDN w:val="0"/>
              <w:adjustRightInd w:val="0"/>
              <w:snapToGrid w:val="0"/>
              <w:spacing w:after="190" w:line="560" w:lineRule="exact"/>
              <w:ind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2</w:t>
            </w:r>
          </w:p>
        </w:tc>
        <w:tc>
          <w:tcPr>
            <w:tcW w:w="2398" w:type="dxa"/>
            <w:vAlign w:val="center"/>
          </w:tcPr>
          <w:p w14:paraId="4F4FBE17">
            <w:pPr>
              <w:pStyle w:val="19"/>
              <w:overflowPunct w:val="0"/>
              <w:autoSpaceDE w:val="0"/>
              <w:autoSpaceDN w:val="0"/>
              <w:adjustRightInd w:val="0"/>
              <w:snapToGrid w:val="0"/>
              <w:spacing w:after="190" w:line="560" w:lineRule="exact"/>
              <w:ind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防爆钢叉</w:t>
            </w:r>
          </w:p>
        </w:tc>
        <w:tc>
          <w:tcPr>
            <w:tcW w:w="1906" w:type="dxa"/>
            <w:vAlign w:val="center"/>
          </w:tcPr>
          <w:p w14:paraId="0CADBD25">
            <w:pPr>
              <w:pStyle w:val="19"/>
              <w:overflowPunct w:val="0"/>
              <w:autoSpaceDE w:val="0"/>
              <w:autoSpaceDN w:val="0"/>
              <w:adjustRightInd w:val="0"/>
              <w:snapToGrid w:val="0"/>
              <w:spacing w:after="190" w:line="560" w:lineRule="exact"/>
              <w:ind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5个</w:t>
            </w:r>
          </w:p>
        </w:tc>
        <w:tc>
          <w:tcPr>
            <w:tcW w:w="2720" w:type="dxa"/>
            <w:vAlign w:val="center"/>
          </w:tcPr>
          <w:p w14:paraId="4EBCAEE4">
            <w:pPr>
              <w:pStyle w:val="19"/>
              <w:overflowPunct w:val="0"/>
              <w:autoSpaceDE w:val="0"/>
              <w:autoSpaceDN w:val="0"/>
              <w:adjustRightInd w:val="0"/>
              <w:snapToGrid w:val="0"/>
              <w:spacing w:after="190" w:line="560" w:lineRule="exact"/>
              <w:ind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国内合格产品</w:t>
            </w:r>
          </w:p>
        </w:tc>
      </w:tr>
      <w:tr w14:paraId="54631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765" w:type="dxa"/>
            <w:vAlign w:val="center"/>
          </w:tcPr>
          <w:p w14:paraId="6E7555D8">
            <w:pPr>
              <w:pStyle w:val="19"/>
              <w:overflowPunct w:val="0"/>
              <w:autoSpaceDE w:val="0"/>
              <w:autoSpaceDN w:val="0"/>
              <w:adjustRightInd w:val="0"/>
              <w:snapToGrid w:val="0"/>
              <w:spacing w:after="190" w:line="560" w:lineRule="exact"/>
              <w:ind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3</w:t>
            </w:r>
          </w:p>
        </w:tc>
        <w:tc>
          <w:tcPr>
            <w:tcW w:w="2398" w:type="dxa"/>
            <w:vAlign w:val="center"/>
          </w:tcPr>
          <w:p w14:paraId="26CF491D">
            <w:pPr>
              <w:pStyle w:val="19"/>
              <w:overflowPunct w:val="0"/>
              <w:autoSpaceDE w:val="0"/>
              <w:autoSpaceDN w:val="0"/>
              <w:adjustRightInd w:val="0"/>
              <w:snapToGrid w:val="0"/>
              <w:spacing w:after="190" w:line="560" w:lineRule="exact"/>
              <w:ind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防爆盾牌</w:t>
            </w:r>
          </w:p>
        </w:tc>
        <w:tc>
          <w:tcPr>
            <w:tcW w:w="1906" w:type="dxa"/>
            <w:vAlign w:val="center"/>
          </w:tcPr>
          <w:p w14:paraId="51B61997">
            <w:pPr>
              <w:pStyle w:val="19"/>
              <w:overflowPunct w:val="0"/>
              <w:autoSpaceDE w:val="0"/>
              <w:autoSpaceDN w:val="0"/>
              <w:adjustRightInd w:val="0"/>
              <w:snapToGrid w:val="0"/>
              <w:spacing w:after="190" w:line="560" w:lineRule="exact"/>
              <w:ind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5部</w:t>
            </w:r>
          </w:p>
        </w:tc>
        <w:tc>
          <w:tcPr>
            <w:tcW w:w="2720" w:type="dxa"/>
            <w:vAlign w:val="center"/>
          </w:tcPr>
          <w:p w14:paraId="17702DFA">
            <w:pPr>
              <w:pStyle w:val="19"/>
              <w:overflowPunct w:val="0"/>
              <w:autoSpaceDE w:val="0"/>
              <w:autoSpaceDN w:val="0"/>
              <w:adjustRightInd w:val="0"/>
              <w:snapToGrid w:val="0"/>
              <w:spacing w:after="190" w:line="560" w:lineRule="exact"/>
              <w:ind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国内合格产品</w:t>
            </w:r>
          </w:p>
        </w:tc>
      </w:tr>
      <w:tr w14:paraId="234DA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exact"/>
          <w:jc w:val="center"/>
        </w:trPr>
        <w:tc>
          <w:tcPr>
            <w:tcW w:w="765" w:type="dxa"/>
            <w:vAlign w:val="center"/>
          </w:tcPr>
          <w:p w14:paraId="730E1704">
            <w:pPr>
              <w:pStyle w:val="19"/>
              <w:overflowPunct w:val="0"/>
              <w:autoSpaceDE w:val="0"/>
              <w:autoSpaceDN w:val="0"/>
              <w:adjustRightInd w:val="0"/>
              <w:snapToGrid w:val="0"/>
              <w:spacing w:after="190" w:line="560" w:lineRule="exact"/>
              <w:ind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4</w:t>
            </w:r>
          </w:p>
        </w:tc>
        <w:tc>
          <w:tcPr>
            <w:tcW w:w="2398" w:type="dxa"/>
            <w:vAlign w:val="center"/>
          </w:tcPr>
          <w:p w14:paraId="6926D948">
            <w:pPr>
              <w:pStyle w:val="19"/>
              <w:overflowPunct w:val="0"/>
              <w:autoSpaceDE w:val="0"/>
              <w:autoSpaceDN w:val="0"/>
              <w:adjustRightInd w:val="0"/>
              <w:snapToGrid w:val="0"/>
              <w:spacing w:after="190" w:line="560" w:lineRule="exact"/>
              <w:ind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防爆长棍</w:t>
            </w:r>
          </w:p>
        </w:tc>
        <w:tc>
          <w:tcPr>
            <w:tcW w:w="1906" w:type="dxa"/>
            <w:vAlign w:val="center"/>
          </w:tcPr>
          <w:p w14:paraId="346C0EFA">
            <w:pPr>
              <w:pStyle w:val="19"/>
              <w:overflowPunct w:val="0"/>
              <w:autoSpaceDE w:val="0"/>
              <w:autoSpaceDN w:val="0"/>
              <w:adjustRightInd w:val="0"/>
              <w:snapToGrid w:val="0"/>
              <w:spacing w:after="190" w:line="560" w:lineRule="exact"/>
              <w:ind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5部</w:t>
            </w:r>
          </w:p>
        </w:tc>
        <w:tc>
          <w:tcPr>
            <w:tcW w:w="2720" w:type="dxa"/>
            <w:vAlign w:val="center"/>
          </w:tcPr>
          <w:p w14:paraId="6B106AE3">
            <w:pPr>
              <w:pStyle w:val="19"/>
              <w:overflowPunct w:val="0"/>
              <w:autoSpaceDE w:val="0"/>
              <w:autoSpaceDN w:val="0"/>
              <w:adjustRightInd w:val="0"/>
              <w:snapToGrid w:val="0"/>
              <w:spacing w:after="190" w:line="560" w:lineRule="exact"/>
              <w:ind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国内合格产品</w:t>
            </w:r>
          </w:p>
        </w:tc>
      </w:tr>
      <w:tr w14:paraId="2D4F6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exact"/>
          <w:jc w:val="center"/>
        </w:trPr>
        <w:tc>
          <w:tcPr>
            <w:tcW w:w="765" w:type="dxa"/>
            <w:vAlign w:val="center"/>
          </w:tcPr>
          <w:p w14:paraId="37185556">
            <w:pPr>
              <w:pStyle w:val="19"/>
              <w:overflowPunct w:val="0"/>
              <w:autoSpaceDE w:val="0"/>
              <w:autoSpaceDN w:val="0"/>
              <w:adjustRightInd w:val="0"/>
              <w:snapToGrid w:val="0"/>
              <w:spacing w:after="190" w:line="560" w:lineRule="exact"/>
              <w:ind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5</w:t>
            </w:r>
          </w:p>
        </w:tc>
        <w:tc>
          <w:tcPr>
            <w:tcW w:w="2398" w:type="dxa"/>
            <w:vAlign w:val="center"/>
          </w:tcPr>
          <w:p w14:paraId="25F6F364">
            <w:pPr>
              <w:pStyle w:val="19"/>
              <w:overflowPunct w:val="0"/>
              <w:autoSpaceDE w:val="0"/>
              <w:autoSpaceDN w:val="0"/>
              <w:adjustRightInd w:val="0"/>
              <w:snapToGrid w:val="0"/>
              <w:spacing w:after="190" w:line="560" w:lineRule="exact"/>
              <w:ind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对讲机</w:t>
            </w:r>
          </w:p>
        </w:tc>
        <w:tc>
          <w:tcPr>
            <w:tcW w:w="1906" w:type="dxa"/>
            <w:vAlign w:val="center"/>
          </w:tcPr>
          <w:p w14:paraId="1F03F6A4">
            <w:pPr>
              <w:pStyle w:val="19"/>
              <w:overflowPunct w:val="0"/>
              <w:autoSpaceDE w:val="0"/>
              <w:autoSpaceDN w:val="0"/>
              <w:adjustRightInd w:val="0"/>
              <w:snapToGrid w:val="0"/>
              <w:spacing w:after="190" w:line="560" w:lineRule="exact"/>
              <w:ind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10部</w:t>
            </w:r>
          </w:p>
        </w:tc>
        <w:tc>
          <w:tcPr>
            <w:tcW w:w="2720" w:type="dxa"/>
            <w:vAlign w:val="center"/>
          </w:tcPr>
          <w:p w14:paraId="5164BAB6">
            <w:pPr>
              <w:pStyle w:val="19"/>
              <w:overflowPunct w:val="0"/>
              <w:autoSpaceDE w:val="0"/>
              <w:autoSpaceDN w:val="0"/>
              <w:adjustRightInd w:val="0"/>
              <w:snapToGrid w:val="0"/>
              <w:spacing w:after="190" w:line="560" w:lineRule="exact"/>
              <w:ind w:firstLine="0" w:firstLineChars="0"/>
              <w:jc w:val="center"/>
              <w:rPr>
                <w:rFonts w:ascii="仿宋" w:hAnsi="仿宋" w:eastAsia="仿宋" w:cs="仿宋"/>
                <w:sz w:val="24"/>
                <w:szCs w:val="24"/>
                <w:highlight w:val="none"/>
              </w:rPr>
            </w:pPr>
            <w:r>
              <w:rPr>
                <w:rFonts w:hint="eastAsia" w:ascii="仿宋" w:hAnsi="仿宋" w:eastAsia="仿宋" w:cs="仿宋"/>
                <w:sz w:val="24"/>
                <w:szCs w:val="24"/>
                <w:highlight w:val="none"/>
              </w:rPr>
              <w:t>国内合格产品</w:t>
            </w:r>
          </w:p>
        </w:tc>
      </w:tr>
    </w:tbl>
    <w:p w14:paraId="0284E6BA">
      <w:pPr>
        <w:widowControl w:val="0"/>
        <w:spacing w:line="480" w:lineRule="exact"/>
        <w:ind w:firstLine="566" w:firstLineChars="200"/>
        <w:textAlignment w:val="baseline"/>
        <w:rPr>
          <w:rFonts w:ascii="仿宋" w:hAnsi="仿宋" w:eastAsia="仿宋" w:cs="仿宋"/>
          <w:b/>
          <w:bCs/>
          <w:color w:val="000000"/>
          <w:highlight w:val="none"/>
        </w:rPr>
      </w:pPr>
      <w:r>
        <w:rPr>
          <w:rFonts w:hint="eastAsia" w:ascii="宋体" w:hAnsi="宋体" w:eastAsia="宋体" w:cs="宋体"/>
          <w:color w:val="000000"/>
          <w:highlight w:val="none"/>
        </w:rPr>
        <w:t>▲</w:t>
      </w:r>
      <w:r>
        <w:rPr>
          <w:rFonts w:hint="eastAsia" w:ascii="仿宋" w:hAnsi="仿宋" w:eastAsia="仿宋" w:cs="仿宋"/>
          <w:b/>
          <w:bCs/>
          <w:color w:val="000000"/>
          <w:highlight w:val="none"/>
          <w:lang w:val="en-US" w:eastAsia="zh-CN"/>
        </w:rPr>
        <w:t>六</w:t>
      </w:r>
      <w:r>
        <w:rPr>
          <w:rFonts w:hint="eastAsia" w:ascii="仿宋" w:hAnsi="仿宋" w:eastAsia="仿宋" w:cs="仿宋"/>
          <w:b/>
          <w:bCs/>
          <w:color w:val="000000"/>
          <w:highlight w:val="none"/>
        </w:rPr>
        <w:t>、其他要求</w:t>
      </w:r>
    </w:p>
    <w:p w14:paraId="69873D4B">
      <w:pPr>
        <w:widowControl w:val="0"/>
        <w:spacing w:line="480" w:lineRule="exact"/>
        <w:ind w:firstLine="550" w:firstLineChars="200"/>
        <w:rPr>
          <w:rFonts w:ascii="仿宋" w:hAnsi="仿宋" w:eastAsia="仿宋" w:cs="仿宋"/>
          <w:color w:val="000000"/>
          <w:spacing w:val="-4"/>
          <w:highlight w:val="none"/>
          <w:lang w:bidi="ar"/>
        </w:rPr>
      </w:pPr>
      <w:r>
        <w:rPr>
          <w:rFonts w:hint="eastAsia" w:ascii="仿宋" w:hAnsi="仿宋" w:eastAsia="仿宋" w:cs="仿宋"/>
          <w:b/>
          <w:bCs/>
          <w:color w:val="000000"/>
          <w:spacing w:val="-4"/>
          <w:highlight w:val="none"/>
          <w:lang w:bidi="ar"/>
        </w:rPr>
        <w:t>（一）总体方案</w:t>
      </w:r>
    </w:p>
    <w:p w14:paraId="20FAED39">
      <w:pPr>
        <w:widowControl w:val="0"/>
        <w:spacing w:line="480" w:lineRule="exact"/>
        <w:ind w:firstLine="550" w:firstLineChars="200"/>
        <w:rPr>
          <w:rFonts w:ascii="仿宋" w:hAnsi="仿宋" w:eastAsia="仿宋" w:cs="仿宋"/>
          <w:color w:val="000000"/>
          <w:spacing w:val="-4"/>
          <w:highlight w:val="none"/>
          <w:lang w:bidi="ar"/>
        </w:rPr>
      </w:pPr>
      <w:r>
        <w:rPr>
          <w:rFonts w:hint="eastAsia" w:ascii="仿宋" w:hAnsi="仿宋" w:eastAsia="仿宋" w:cs="仿宋"/>
          <w:color w:val="000000"/>
          <w:spacing w:val="-4"/>
          <w:highlight w:val="none"/>
          <w:lang w:bidi="ar"/>
        </w:rPr>
        <w:t>供应商提出针对于本项目的物业服务总体方案，方案内容包含：①服务目标②服务计划③服务理念及特色④重难点分析及解决措施。</w:t>
      </w:r>
    </w:p>
    <w:p w14:paraId="661CACD7">
      <w:pPr>
        <w:widowControl w:val="0"/>
        <w:spacing w:line="480" w:lineRule="exact"/>
        <w:ind w:firstLine="550" w:firstLineChars="200"/>
        <w:rPr>
          <w:rFonts w:ascii="仿宋" w:hAnsi="仿宋" w:eastAsia="仿宋" w:cs="仿宋"/>
          <w:color w:val="000000"/>
          <w:spacing w:val="-4"/>
          <w:highlight w:val="none"/>
          <w:lang w:bidi="ar"/>
        </w:rPr>
      </w:pPr>
      <w:r>
        <w:rPr>
          <w:rFonts w:hint="eastAsia" w:ascii="仿宋" w:hAnsi="仿宋" w:eastAsia="仿宋" w:cs="仿宋"/>
          <w:b/>
          <w:bCs/>
          <w:color w:val="000000"/>
          <w:spacing w:val="-4"/>
          <w:highlight w:val="none"/>
          <w:lang w:bidi="ar"/>
        </w:rPr>
        <w:t>（二）设备工具保障</w:t>
      </w:r>
    </w:p>
    <w:p w14:paraId="72A1F378">
      <w:pPr>
        <w:widowControl w:val="0"/>
        <w:numPr>
          <w:ilvl w:val="255"/>
          <w:numId w:val="0"/>
        </w:numPr>
        <w:spacing w:line="480" w:lineRule="exact"/>
        <w:ind w:firstLine="550" w:firstLineChars="200"/>
        <w:rPr>
          <w:rFonts w:ascii="仿宋" w:hAnsi="仿宋" w:eastAsia="仿宋" w:cs="仿宋"/>
          <w:color w:val="000000"/>
          <w:spacing w:val="-4"/>
          <w:highlight w:val="none"/>
          <w:lang w:bidi="ar"/>
        </w:rPr>
      </w:pPr>
      <w:r>
        <w:rPr>
          <w:rFonts w:hint="eastAsia" w:ascii="仿宋" w:hAnsi="仿宋" w:eastAsia="仿宋" w:cs="仿宋"/>
          <w:color w:val="000000"/>
          <w:spacing w:val="-4"/>
          <w:highlight w:val="none"/>
          <w:lang w:bidi="ar"/>
        </w:rPr>
        <w:t>1、针对本项目特点提供设备工具保障清单，内容包含：①工作服装和安保用具②劳保用品和消耗品。</w:t>
      </w:r>
    </w:p>
    <w:p w14:paraId="75C71332">
      <w:pPr>
        <w:widowControl w:val="0"/>
        <w:spacing w:line="480" w:lineRule="exact"/>
        <w:ind w:firstLine="550" w:firstLineChars="200"/>
        <w:rPr>
          <w:rFonts w:ascii="仿宋" w:hAnsi="仿宋" w:eastAsia="仿宋" w:cs="仿宋"/>
          <w:color w:val="000000"/>
          <w:spacing w:val="-4"/>
          <w:highlight w:val="none"/>
          <w:lang w:bidi="ar"/>
        </w:rPr>
      </w:pPr>
      <w:r>
        <w:rPr>
          <w:rFonts w:hint="eastAsia" w:ascii="仿宋" w:hAnsi="仿宋" w:eastAsia="仿宋" w:cs="仿宋"/>
          <w:color w:val="000000"/>
          <w:spacing w:val="-4"/>
          <w:highlight w:val="none"/>
          <w:lang w:bidi="ar"/>
        </w:rPr>
        <w:t>2、供应商需提供保洁人员工作服装、卫生间日常保洁消耗品</w:t>
      </w:r>
    </w:p>
    <w:p w14:paraId="41551CC9">
      <w:pPr>
        <w:widowControl w:val="0"/>
        <w:spacing w:line="480" w:lineRule="exact"/>
        <w:ind w:firstLine="550" w:firstLineChars="200"/>
        <w:rPr>
          <w:rFonts w:ascii="仿宋" w:hAnsi="仿宋" w:eastAsia="仿宋" w:cs="仿宋"/>
          <w:b/>
          <w:bCs/>
          <w:color w:val="000000"/>
          <w:spacing w:val="-4"/>
          <w:highlight w:val="none"/>
          <w:lang w:bidi="ar"/>
        </w:rPr>
      </w:pPr>
      <w:r>
        <w:rPr>
          <w:rFonts w:hint="eastAsia" w:ascii="仿宋" w:hAnsi="仿宋" w:eastAsia="仿宋" w:cs="仿宋"/>
          <w:b/>
          <w:bCs/>
          <w:color w:val="000000"/>
          <w:spacing w:val="-4"/>
          <w:highlight w:val="none"/>
          <w:lang w:bidi="ar"/>
        </w:rPr>
        <w:t>（三）机构建设方案</w:t>
      </w:r>
    </w:p>
    <w:p w14:paraId="4D3406CD">
      <w:pPr>
        <w:widowControl w:val="0"/>
        <w:numPr>
          <w:ilvl w:val="255"/>
          <w:numId w:val="0"/>
        </w:numPr>
        <w:spacing w:line="480" w:lineRule="exact"/>
        <w:ind w:firstLine="550" w:firstLineChars="200"/>
        <w:rPr>
          <w:rFonts w:ascii="仿宋" w:hAnsi="仿宋" w:eastAsia="仿宋" w:cs="仿宋"/>
          <w:color w:val="000000"/>
          <w:spacing w:val="-4"/>
          <w:highlight w:val="none"/>
          <w:lang w:bidi="ar"/>
        </w:rPr>
      </w:pPr>
      <w:r>
        <w:rPr>
          <w:rFonts w:hint="eastAsia" w:ascii="仿宋" w:hAnsi="仿宋" w:eastAsia="仿宋" w:cs="仿宋"/>
          <w:color w:val="000000"/>
          <w:spacing w:val="-4"/>
          <w:highlight w:val="none"/>
          <w:lang w:bidi="ar"/>
        </w:rPr>
        <w:t>根据本项目特点提供机构建设方案，方案包含：①组织机构运行配备方案②专业服务团队人员的职能分工方案。</w:t>
      </w:r>
    </w:p>
    <w:p w14:paraId="0E319763">
      <w:pPr>
        <w:widowControl w:val="0"/>
        <w:spacing w:line="480" w:lineRule="exact"/>
        <w:ind w:firstLine="550" w:firstLineChars="200"/>
        <w:rPr>
          <w:rFonts w:ascii="仿宋" w:hAnsi="仿宋" w:eastAsia="仿宋" w:cs="仿宋"/>
          <w:color w:val="000000"/>
          <w:spacing w:val="-4"/>
          <w:highlight w:val="none"/>
          <w:lang w:bidi="ar"/>
        </w:rPr>
      </w:pPr>
      <w:r>
        <w:rPr>
          <w:rFonts w:hint="eastAsia" w:ascii="仿宋" w:hAnsi="仿宋" w:eastAsia="仿宋" w:cs="仿宋"/>
          <w:b/>
          <w:bCs/>
          <w:color w:val="000000"/>
          <w:spacing w:val="-4"/>
          <w:highlight w:val="none"/>
          <w:lang w:bidi="ar"/>
        </w:rPr>
        <w:t>（四）管理制度</w:t>
      </w:r>
    </w:p>
    <w:p w14:paraId="507C0A86">
      <w:pPr>
        <w:widowControl w:val="0"/>
        <w:numPr>
          <w:ilvl w:val="255"/>
          <w:numId w:val="0"/>
        </w:numPr>
        <w:spacing w:line="480" w:lineRule="exact"/>
        <w:ind w:firstLine="550" w:firstLineChars="200"/>
        <w:rPr>
          <w:rFonts w:ascii="仿宋" w:hAnsi="仿宋" w:eastAsia="仿宋" w:cs="仿宋"/>
          <w:color w:val="000000"/>
          <w:spacing w:val="-4"/>
          <w:highlight w:val="none"/>
          <w:lang w:bidi="ar"/>
        </w:rPr>
      </w:pPr>
      <w:r>
        <w:rPr>
          <w:rFonts w:hint="eastAsia" w:ascii="仿宋" w:hAnsi="仿宋" w:eastAsia="仿宋" w:cs="仿宋"/>
          <w:color w:val="000000"/>
          <w:spacing w:val="-4"/>
          <w:highlight w:val="none"/>
          <w:lang w:bidi="ar"/>
        </w:rPr>
        <w:t>供应商针对本项目具有良好的管理制度，方案包含：①岗位职责：具有岗位工作标准、服务质量标准、现场质量控制体系②内控制度：具有保密制度、问责机制、监督机制、自查制度③人员管理制度;具有员工日常管理办法、请销假制度、奖惩措施、激励机制、仪容仪表制度。</w:t>
      </w:r>
    </w:p>
    <w:p w14:paraId="357CF12C">
      <w:pPr>
        <w:widowControl w:val="0"/>
        <w:spacing w:line="500" w:lineRule="exact"/>
        <w:ind w:firstLine="550" w:firstLineChars="200"/>
        <w:rPr>
          <w:rFonts w:ascii="仿宋" w:hAnsi="仿宋" w:eastAsia="仿宋" w:cs="仿宋"/>
          <w:color w:val="000000"/>
          <w:spacing w:val="-4"/>
          <w:highlight w:val="none"/>
          <w:lang w:bidi="ar"/>
        </w:rPr>
      </w:pPr>
      <w:r>
        <w:rPr>
          <w:rFonts w:hint="eastAsia" w:ascii="仿宋" w:hAnsi="仿宋" w:eastAsia="仿宋" w:cs="仿宋"/>
          <w:b/>
          <w:bCs/>
          <w:color w:val="000000"/>
          <w:spacing w:val="-4"/>
          <w:highlight w:val="none"/>
          <w:lang w:bidi="ar"/>
        </w:rPr>
        <w:t>（五）应急预案</w:t>
      </w:r>
    </w:p>
    <w:p w14:paraId="0F408E3F">
      <w:pPr>
        <w:pStyle w:val="5"/>
        <w:widowControl w:val="0"/>
        <w:overflowPunct w:val="0"/>
        <w:autoSpaceDE w:val="0"/>
        <w:autoSpaceDN w:val="0"/>
        <w:adjustRightInd w:val="0"/>
        <w:snapToGrid w:val="0"/>
        <w:spacing w:line="500" w:lineRule="exact"/>
        <w:ind w:firstLine="550" w:firstLineChars="200"/>
        <w:rPr>
          <w:rFonts w:ascii="仿宋" w:hAnsi="仿宋" w:eastAsia="仿宋" w:cs="仿宋"/>
          <w:color w:val="000000"/>
          <w:spacing w:val="-4"/>
          <w:highlight w:val="none"/>
          <w:lang w:bidi="ar"/>
        </w:rPr>
      </w:pPr>
      <w:r>
        <w:rPr>
          <w:rFonts w:hint="eastAsia" w:ascii="仿宋" w:hAnsi="仿宋" w:eastAsia="仿宋" w:cs="仿宋"/>
          <w:color w:val="000000"/>
          <w:spacing w:val="-4"/>
          <w:highlight w:val="none"/>
          <w:lang w:bidi="ar"/>
        </w:rPr>
        <w:t>1、针对本项目特点提供应急预案，预案内容包含：①突发紧急事件：用气、用电、消防、地震等②恶劣天气：暴雨、暴雪、大风等强对流天气。</w:t>
      </w:r>
    </w:p>
    <w:p w14:paraId="1CD8BD35">
      <w:pPr>
        <w:pStyle w:val="5"/>
        <w:keepNext/>
        <w:widowControl w:val="0"/>
        <w:kinsoku w:val="0"/>
        <w:overflowPunct w:val="0"/>
        <w:autoSpaceDE w:val="0"/>
        <w:autoSpaceDN w:val="0"/>
        <w:adjustRightInd w:val="0"/>
        <w:snapToGrid w:val="0"/>
        <w:spacing w:line="500" w:lineRule="exact"/>
        <w:ind w:firstLine="550" w:firstLineChars="200"/>
        <w:rPr>
          <w:rFonts w:ascii="仿宋" w:hAnsi="仿宋" w:eastAsia="仿宋" w:cs="仿宋"/>
          <w:color w:val="000000"/>
          <w:spacing w:val="-4"/>
          <w:highlight w:val="none"/>
          <w:lang w:bidi="ar"/>
        </w:rPr>
      </w:pPr>
      <w:r>
        <w:rPr>
          <w:rFonts w:hint="eastAsia" w:ascii="仿宋" w:hAnsi="仿宋" w:eastAsia="仿宋" w:cs="仿宋"/>
          <w:color w:val="000000"/>
          <w:spacing w:val="-4"/>
          <w:highlight w:val="none"/>
          <w:lang w:bidi="ar"/>
        </w:rPr>
        <w:t>2、在发生地震、雷电、暴雨、用电事故、火灾等突发事件时，供应商要配合省档案馆突发事件应急指挥部采取一切可能的措施实施救援。供应商应有相应的预案，做好所使用物资的准备工作，制定值班、巡查制度，在事件发生时能立即启动救援。供应商有义务完成采购人交办的其它临时性任务（如：采购人要求供应商完成的工程施工，材料由采购人提供，供应商负责施工，供应商人员因加班产生的劳务费用由供应商解决。）</w:t>
      </w:r>
    </w:p>
    <w:p w14:paraId="372AE156">
      <w:pPr>
        <w:keepNext/>
        <w:widowControl w:val="0"/>
        <w:kinsoku w:val="0"/>
        <w:overflowPunct w:val="0"/>
        <w:spacing w:line="500" w:lineRule="exact"/>
        <w:ind w:firstLine="550" w:firstLineChars="200"/>
        <w:rPr>
          <w:rFonts w:ascii="仿宋" w:hAnsi="仿宋" w:eastAsia="仿宋" w:cs="仿宋"/>
          <w:b/>
          <w:bCs/>
          <w:color w:val="000000"/>
          <w:spacing w:val="-4"/>
          <w:highlight w:val="none"/>
          <w:lang w:bidi="ar"/>
        </w:rPr>
      </w:pPr>
      <w:r>
        <w:rPr>
          <w:rFonts w:hint="eastAsia" w:ascii="仿宋" w:hAnsi="仿宋" w:eastAsia="仿宋" w:cs="仿宋"/>
          <w:b/>
          <w:bCs/>
          <w:color w:val="000000"/>
          <w:spacing w:val="-4"/>
          <w:highlight w:val="none"/>
          <w:lang w:bidi="ar"/>
        </w:rPr>
        <w:t>（六）培训考核方案</w:t>
      </w:r>
    </w:p>
    <w:p w14:paraId="32220CE6">
      <w:pPr>
        <w:pStyle w:val="5"/>
        <w:keepNext/>
        <w:widowControl w:val="0"/>
        <w:kinsoku w:val="0"/>
        <w:overflowPunct w:val="0"/>
        <w:autoSpaceDE w:val="0"/>
        <w:autoSpaceDN w:val="0"/>
        <w:adjustRightInd w:val="0"/>
        <w:snapToGrid w:val="0"/>
        <w:spacing w:line="500" w:lineRule="exact"/>
        <w:rPr>
          <w:rFonts w:ascii="仿宋" w:hAnsi="仿宋" w:eastAsia="仿宋" w:cs="仿宋"/>
          <w:color w:val="000000"/>
          <w:spacing w:val="-4"/>
          <w:highlight w:val="none"/>
          <w:lang w:bidi="ar"/>
        </w:rPr>
      </w:pPr>
      <w:r>
        <w:rPr>
          <w:rFonts w:hint="eastAsia" w:ascii="仿宋" w:hAnsi="仿宋" w:eastAsia="仿宋" w:cs="仿宋"/>
          <w:color w:val="000000"/>
          <w:spacing w:val="-4"/>
          <w:highlight w:val="none"/>
          <w:lang w:bidi="ar"/>
        </w:rPr>
        <w:t>根据本项目制定详细、可行的培训考核方案，保证上岗人员的专业素质、服务质量符合采购人要求，方案包含：①岗前培训②定期常态化培训③培训后的成果验收和考核。</w:t>
      </w:r>
    </w:p>
    <w:p w14:paraId="1B65E543">
      <w:pPr>
        <w:pStyle w:val="5"/>
        <w:keepNext/>
        <w:widowControl w:val="0"/>
        <w:kinsoku w:val="0"/>
        <w:overflowPunct w:val="0"/>
        <w:autoSpaceDE w:val="0"/>
        <w:autoSpaceDN w:val="0"/>
        <w:adjustRightInd w:val="0"/>
        <w:snapToGrid w:val="0"/>
        <w:spacing w:line="500" w:lineRule="exact"/>
        <w:rPr>
          <w:rFonts w:ascii="仿宋" w:hAnsi="仿宋" w:eastAsia="仿宋" w:cs="仿宋"/>
          <w:color w:val="000000"/>
          <w:spacing w:val="-4"/>
          <w:highlight w:val="none"/>
          <w:lang w:bidi="ar"/>
        </w:rPr>
      </w:pPr>
      <w:r>
        <w:rPr>
          <w:rFonts w:hint="eastAsia" w:ascii="仿宋" w:hAnsi="仿宋" w:eastAsia="仿宋" w:cs="仿宋"/>
          <w:b/>
          <w:bCs/>
          <w:color w:val="000000"/>
          <w:spacing w:val="-4"/>
          <w:highlight w:val="none"/>
          <w:lang w:bidi="ar"/>
        </w:rPr>
        <w:t>（七）档案管理方案</w:t>
      </w:r>
    </w:p>
    <w:p w14:paraId="50A560F7">
      <w:pPr>
        <w:pStyle w:val="5"/>
        <w:keepNext/>
        <w:widowControl w:val="0"/>
        <w:kinsoku w:val="0"/>
        <w:overflowPunct w:val="0"/>
        <w:autoSpaceDE/>
        <w:autoSpaceDN/>
        <w:adjustRightInd w:val="0"/>
        <w:snapToGrid w:val="0"/>
        <w:spacing w:line="500" w:lineRule="exact"/>
        <w:ind w:firstLine="550" w:firstLineChars="200"/>
        <w:rPr>
          <w:rFonts w:ascii="仿宋" w:hAnsi="仿宋" w:eastAsia="仿宋" w:cs="仿宋"/>
          <w:color w:val="000000"/>
          <w:spacing w:val="-4"/>
          <w:highlight w:val="none"/>
          <w:lang w:bidi="ar"/>
        </w:rPr>
      </w:pPr>
      <w:r>
        <w:rPr>
          <w:rFonts w:hint="eastAsia" w:ascii="仿宋" w:hAnsi="仿宋" w:eastAsia="仿宋" w:cs="仿宋"/>
          <w:color w:val="000000"/>
          <w:spacing w:val="-4"/>
          <w:highlight w:val="none"/>
          <w:lang w:bidi="ar"/>
        </w:rPr>
        <w:t>1、根据本项目特点制定物业档案管理方案，内容包括：①档案管理制度，包括：物业档案收集、整理、保管、借阅②档案工作人员管理办法。</w:t>
      </w:r>
    </w:p>
    <w:p w14:paraId="4C34EBA3">
      <w:pPr>
        <w:pStyle w:val="5"/>
        <w:keepNext/>
        <w:widowControl w:val="0"/>
        <w:kinsoku w:val="0"/>
        <w:overflowPunct w:val="0"/>
        <w:autoSpaceDE/>
        <w:autoSpaceDN/>
        <w:adjustRightInd w:val="0"/>
        <w:snapToGrid w:val="0"/>
        <w:spacing w:line="500" w:lineRule="exact"/>
        <w:ind w:firstLine="550" w:firstLineChars="200"/>
        <w:rPr>
          <w:rFonts w:ascii="仿宋" w:hAnsi="仿宋" w:eastAsia="仿宋" w:cs="仿宋"/>
          <w:color w:val="000000"/>
          <w:spacing w:val="-4"/>
          <w:highlight w:val="none"/>
          <w:lang w:bidi="ar"/>
        </w:rPr>
      </w:pPr>
      <w:r>
        <w:rPr>
          <w:rFonts w:hint="eastAsia" w:ascii="仿宋" w:hAnsi="仿宋" w:eastAsia="仿宋" w:cs="仿宋"/>
          <w:color w:val="000000"/>
          <w:spacing w:val="-4"/>
          <w:highlight w:val="none"/>
          <w:lang w:bidi="ar"/>
        </w:rPr>
        <w:t>2、供应商要妥善保管好合同履行期间形成的《安全维护类记录》、《设备巡检类记录》、《绿化、保洁类记录》、《会务保障类记录》，督促各类岗位人员认真做好记录填写，供应商于每年末将各类登记簿，按照档案整理要求整理完毕，统一收集移交给省档案馆办公室。</w:t>
      </w:r>
    </w:p>
    <w:p w14:paraId="1C3A3EBF">
      <w:pPr>
        <w:widowControl w:val="0"/>
        <w:spacing w:line="480" w:lineRule="exact"/>
        <w:ind w:firstLine="550" w:firstLineChars="200"/>
        <w:rPr>
          <w:rFonts w:ascii="仿宋" w:hAnsi="仿宋" w:eastAsia="仿宋" w:cs="仿宋"/>
          <w:b/>
          <w:bCs/>
          <w:color w:val="000000"/>
          <w:spacing w:val="-4"/>
          <w:highlight w:val="none"/>
          <w:lang w:bidi="ar"/>
        </w:rPr>
      </w:pPr>
      <w:r>
        <w:rPr>
          <w:rFonts w:hint="eastAsia" w:ascii="仿宋" w:hAnsi="仿宋" w:eastAsia="仿宋" w:cs="仿宋"/>
          <w:b/>
          <w:bCs/>
          <w:color w:val="000000"/>
          <w:spacing w:val="-4"/>
          <w:highlight w:val="none"/>
          <w:lang w:bidi="ar"/>
        </w:rPr>
        <w:t>（八）防疫消杀服务</w:t>
      </w:r>
    </w:p>
    <w:p w14:paraId="355612AE">
      <w:pPr>
        <w:widowControl w:val="0"/>
        <w:spacing w:line="480" w:lineRule="exact"/>
        <w:ind w:firstLine="550" w:firstLineChars="200"/>
        <w:rPr>
          <w:rFonts w:ascii="仿宋" w:hAnsi="仿宋" w:eastAsia="仿宋" w:cs="仿宋"/>
          <w:color w:val="000000"/>
          <w:spacing w:val="-4"/>
          <w:highlight w:val="none"/>
          <w:lang w:bidi="ar"/>
        </w:rPr>
      </w:pPr>
      <w:r>
        <w:rPr>
          <w:rFonts w:hint="eastAsia" w:ascii="仿宋" w:hAnsi="仿宋" w:eastAsia="仿宋" w:cs="仿宋"/>
          <w:color w:val="000000"/>
          <w:spacing w:val="-4"/>
          <w:highlight w:val="none"/>
          <w:lang w:bidi="ar"/>
        </w:rPr>
        <w:t>供应商</w:t>
      </w:r>
      <w:r>
        <w:rPr>
          <w:rFonts w:ascii="仿宋" w:hAnsi="仿宋" w:eastAsia="仿宋" w:cs="仿宋"/>
          <w:color w:val="000000"/>
          <w:spacing w:val="-4"/>
          <w:highlight w:val="none"/>
          <w:lang w:bidi="ar"/>
        </w:rPr>
        <w:t>在省档案馆后库全域范围内协助馆疫情防控工作小组做好防疫工作，做好驻馆后库公司</w:t>
      </w:r>
      <w:r>
        <w:rPr>
          <w:rFonts w:hint="eastAsia" w:ascii="仿宋" w:hAnsi="仿宋" w:eastAsia="仿宋" w:cs="仿宋"/>
          <w:color w:val="000000"/>
          <w:spacing w:val="-4"/>
          <w:highlight w:val="none"/>
          <w:lang w:val="en-US" w:eastAsia="zh-CN" w:bidi="ar"/>
        </w:rPr>
        <w:t>消杀</w:t>
      </w:r>
      <w:r>
        <w:rPr>
          <w:rFonts w:ascii="仿宋" w:hAnsi="仿宋" w:eastAsia="仿宋" w:cs="仿宋"/>
          <w:color w:val="000000"/>
          <w:spacing w:val="-4"/>
          <w:highlight w:val="none"/>
          <w:lang w:bidi="ar"/>
        </w:rPr>
        <w:t>防控措施的落实，做好</w:t>
      </w:r>
      <w:r>
        <w:rPr>
          <w:rFonts w:hint="eastAsia" w:ascii="仿宋" w:hAnsi="仿宋" w:eastAsia="仿宋" w:cs="仿宋"/>
          <w:color w:val="000000"/>
          <w:spacing w:val="-4"/>
          <w:highlight w:val="none"/>
          <w:lang w:val="en-US" w:eastAsia="zh-CN" w:bidi="ar"/>
        </w:rPr>
        <w:t>消杀</w:t>
      </w:r>
      <w:r>
        <w:rPr>
          <w:rFonts w:ascii="仿宋" w:hAnsi="仿宋" w:eastAsia="仿宋" w:cs="仿宋"/>
          <w:color w:val="000000"/>
          <w:spacing w:val="-4"/>
          <w:highlight w:val="none"/>
          <w:lang w:bidi="ar"/>
        </w:rPr>
        <w:t>档案的搜集和整理，提供防疫、消毒、除虫服务。为使双方工作顺利开展，保证防疫虫害灭效，约定如下：</w:t>
      </w:r>
    </w:p>
    <w:p w14:paraId="1F80B688">
      <w:pPr>
        <w:widowControl w:val="0"/>
        <w:spacing w:line="480" w:lineRule="exact"/>
        <w:ind w:firstLine="550" w:firstLineChars="200"/>
        <w:rPr>
          <w:rFonts w:ascii="仿宋" w:hAnsi="仿宋" w:eastAsia="仿宋" w:cs="仿宋"/>
          <w:color w:val="000000"/>
          <w:spacing w:val="-4"/>
          <w:highlight w:val="none"/>
          <w:lang w:bidi="ar"/>
        </w:rPr>
      </w:pPr>
      <w:r>
        <w:rPr>
          <w:rFonts w:hint="eastAsia" w:ascii="仿宋" w:hAnsi="仿宋" w:eastAsia="仿宋" w:cs="仿宋"/>
          <w:color w:val="000000"/>
          <w:spacing w:val="-4"/>
          <w:highlight w:val="none"/>
          <w:lang w:bidi="ar"/>
        </w:rPr>
        <w:t>1、</w:t>
      </w:r>
      <w:r>
        <w:rPr>
          <w:rFonts w:ascii="仿宋" w:hAnsi="仿宋" w:eastAsia="仿宋" w:cs="仿宋"/>
          <w:color w:val="000000"/>
          <w:spacing w:val="-4"/>
          <w:highlight w:val="none"/>
          <w:lang w:bidi="ar"/>
        </w:rPr>
        <w:t>防疫、消毒、除虫所需的药物由采购人提供。</w:t>
      </w:r>
    </w:p>
    <w:p w14:paraId="58B0BF35">
      <w:pPr>
        <w:widowControl w:val="0"/>
        <w:spacing w:line="480" w:lineRule="exact"/>
        <w:ind w:firstLine="550" w:firstLineChars="200"/>
        <w:rPr>
          <w:rFonts w:ascii="仿宋" w:hAnsi="仿宋" w:eastAsia="仿宋" w:cs="仿宋"/>
          <w:color w:val="000000"/>
          <w:spacing w:val="-4"/>
          <w:highlight w:val="none"/>
          <w:lang w:bidi="ar"/>
        </w:rPr>
      </w:pPr>
      <w:r>
        <w:rPr>
          <w:rFonts w:hint="eastAsia" w:ascii="仿宋" w:hAnsi="仿宋" w:eastAsia="仿宋" w:cs="仿宋"/>
          <w:color w:val="000000"/>
          <w:spacing w:val="-4"/>
          <w:highlight w:val="none"/>
          <w:lang w:bidi="ar"/>
        </w:rPr>
        <w:t>2、</w:t>
      </w:r>
      <w:r>
        <w:rPr>
          <w:rFonts w:ascii="仿宋" w:hAnsi="仿宋" w:eastAsia="仿宋" w:cs="仿宋"/>
          <w:color w:val="000000"/>
          <w:spacing w:val="-4"/>
          <w:highlight w:val="none"/>
          <w:lang w:bidi="ar"/>
        </w:rPr>
        <w:t>实施工程中所需器械、人员均由</w:t>
      </w:r>
      <w:r>
        <w:rPr>
          <w:rFonts w:hint="eastAsia" w:ascii="仿宋" w:hAnsi="仿宋" w:eastAsia="仿宋" w:cs="仿宋"/>
          <w:color w:val="000000"/>
          <w:spacing w:val="-4"/>
          <w:highlight w:val="none"/>
          <w:lang w:bidi="ar"/>
        </w:rPr>
        <w:t>供应商</w:t>
      </w:r>
      <w:r>
        <w:rPr>
          <w:rFonts w:ascii="仿宋" w:hAnsi="仿宋" w:eastAsia="仿宋" w:cs="仿宋"/>
          <w:color w:val="000000"/>
          <w:spacing w:val="-4"/>
          <w:highlight w:val="none"/>
          <w:lang w:bidi="ar"/>
        </w:rPr>
        <w:t>负责组织安排，费用包含在合同总价中。</w:t>
      </w:r>
    </w:p>
    <w:p w14:paraId="50EE8CDE">
      <w:pPr>
        <w:widowControl w:val="0"/>
        <w:spacing w:line="480" w:lineRule="exact"/>
        <w:ind w:firstLine="550" w:firstLineChars="200"/>
        <w:rPr>
          <w:rFonts w:ascii="仿宋" w:hAnsi="仿宋" w:eastAsia="仿宋" w:cs="仿宋"/>
          <w:color w:val="000000"/>
          <w:spacing w:val="-4"/>
          <w:highlight w:val="none"/>
          <w:lang w:bidi="ar"/>
        </w:rPr>
      </w:pPr>
      <w:r>
        <w:rPr>
          <w:rFonts w:hint="eastAsia" w:ascii="仿宋" w:hAnsi="仿宋" w:eastAsia="仿宋" w:cs="仿宋"/>
          <w:color w:val="000000"/>
          <w:spacing w:val="-4"/>
          <w:highlight w:val="none"/>
          <w:lang w:bidi="ar"/>
        </w:rPr>
        <w:t>3、</w:t>
      </w:r>
      <w:r>
        <w:rPr>
          <w:rFonts w:ascii="仿宋" w:hAnsi="仿宋" w:eastAsia="仿宋" w:cs="仿宋"/>
          <w:color w:val="000000"/>
          <w:spacing w:val="-4"/>
          <w:highlight w:val="none"/>
          <w:lang w:bidi="ar"/>
        </w:rPr>
        <w:t>采购人在消杀区域应予积极配合，在消杀期间提供工作方便。</w:t>
      </w:r>
    </w:p>
    <w:p w14:paraId="558D5434">
      <w:pPr>
        <w:widowControl w:val="0"/>
        <w:spacing w:line="480" w:lineRule="exact"/>
        <w:ind w:firstLine="550" w:firstLineChars="200"/>
        <w:rPr>
          <w:rFonts w:ascii="仿宋" w:hAnsi="仿宋" w:eastAsia="仿宋" w:cs="仿宋"/>
          <w:b/>
          <w:bCs/>
          <w:color w:val="000000"/>
          <w:spacing w:val="-4"/>
          <w:highlight w:val="none"/>
          <w:lang w:bidi="ar"/>
        </w:rPr>
      </w:pPr>
      <w:r>
        <w:rPr>
          <w:rFonts w:hint="eastAsia" w:ascii="仿宋" w:hAnsi="仿宋" w:eastAsia="仿宋" w:cs="仿宋"/>
          <w:b/>
          <w:bCs/>
          <w:color w:val="000000"/>
          <w:spacing w:val="-4"/>
          <w:highlight w:val="none"/>
          <w:lang w:bidi="ar"/>
        </w:rPr>
        <w:t>（九）服务承诺</w:t>
      </w:r>
    </w:p>
    <w:p w14:paraId="36BC81B4">
      <w:pPr>
        <w:pStyle w:val="8"/>
        <w:snapToGrid w:val="0"/>
        <w:spacing w:afterLines="0" w:line="480" w:lineRule="exact"/>
        <w:ind w:firstLine="550" w:firstLineChars="200"/>
        <w:rPr>
          <w:rFonts w:ascii="仿宋" w:hAnsi="仿宋" w:eastAsia="仿宋" w:cs="仿宋"/>
          <w:spacing w:val="-4"/>
          <w:sz w:val="28"/>
          <w:szCs w:val="28"/>
          <w:highlight w:val="none"/>
          <w:lang w:bidi="ar"/>
        </w:rPr>
      </w:pPr>
      <w:r>
        <w:rPr>
          <w:rFonts w:hint="eastAsia" w:ascii="仿宋" w:hAnsi="仿宋" w:eastAsia="仿宋" w:cs="仿宋"/>
          <w:spacing w:val="-4"/>
          <w:sz w:val="28"/>
          <w:szCs w:val="28"/>
          <w:highlight w:val="none"/>
          <w:lang w:bidi="ar"/>
        </w:rPr>
        <w:t>1、承诺：接受采购人对本项目服务的考核、监督及管理，定期调研采购人对服务质量的满意度并加以改进，确保服务工作的优质高效。</w:t>
      </w:r>
    </w:p>
    <w:p w14:paraId="6D315C62">
      <w:pPr>
        <w:pStyle w:val="8"/>
        <w:snapToGrid w:val="0"/>
        <w:spacing w:afterLines="0" w:line="480" w:lineRule="exact"/>
        <w:ind w:firstLine="550" w:firstLineChars="200"/>
        <w:rPr>
          <w:rFonts w:ascii="仿宋" w:hAnsi="仿宋" w:eastAsia="仿宋" w:cs="仿宋"/>
          <w:spacing w:val="-4"/>
          <w:sz w:val="28"/>
          <w:szCs w:val="28"/>
          <w:highlight w:val="none"/>
          <w:lang w:bidi="ar"/>
        </w:rPr>
      </w:pPr>
      <w:r>
        <w:rPr>
          <w:rFonts w:hint="eastAsia" w:ascii="仿宋" w:hAnsi="仿宋" w:eastAsia="仿宋" w:cs="仿宋"/>
          <w:spacing w:val="-4"/>
          <w:sz w:val="28"/>
          <w:szCs w:val="28"/>
          <w:highlight w:val="none"/>
          <w:lang w:bidi="ar"/>
        </w:rPr>
        <w:t>2、承诺：储备有可调度人员，调度人员可保障临时性工作需要及突发事件处置。</w:t>
      </w:r>
    </w:p>
    <w:p w14:paraId="54975FF1">
      <w:pPr>
        <w:widowControl w:val="0"/>
        <w:kinsoku w:val="0"/>
        <w:overflowPunct w:val="0"/>
        <w:spacing w:line="500" w:lineRule="exact"/>
        <w:ind w:firstLine="566" w:firstLineChars="200"/>
        <w:textAlignment w:val="baseline"/>
        <w:rPr>
          <w:rFonts w:ascii="仿宋" w:hAnsi="仿宋" w:eastAsia="仿宋" w:cs="仿宋"/>
          <w:b/>
          <w:bCs/>
          <w:color w:val="000000"/>
          <w:highlight w:val="none"/>
        </w:rPr>
      </w:pPr>
      <w:r>
        <w:rPr>
          <w:rFonts w:hint="eastAsia" w:ascii="仿宋" w:hAnsi="仿宋" w:eastAsia="仿宋" w:cs="仿宋"/>
          <w:b/>
          <w:bCs/>
          <w:color w:val="000000"/>
          <w:highlight w:val="none"/>
        </w:rPr>
        <w:t>★</w:t>
      </w:r>
      <w:r>
        <w:rPr>
          <w:rFonts w:hint="eastAsia" w:ascii="仿宋" w:hAnsi="仿宋" w:eastAsia="仿宋" w:cs="仿宋"/>
          <w:b/>
          <w:bCs/>
          <w:color w:val="000000"/>
          <w:highlight w:val="none"/>
          <w:lang w:val="en-US" w:eastAsia="zh-CN"/>
        </w:rPr>
        <w:t>七</w:t>
      </w:r>
      <w:r>
        <w:rPr>
          <w:rFonts w:hint="eastAsia" w:ascii="仿宋" w:hAnsi="仿宋" w:eastAsia="仿宋" w:cs="仿宋"/>
          <w:b/>
          <w:bCs/>
          <w:color w:val="000000"/>
          <w:highlight w:val="none"/>
        </w:rPr>
        <w:t>、实质性条款要求</w:t>
      </w:r>
    </w:p>
    <w:p w14:paraId="67C5BBFA">
      <w:pPr>
        <w:pStyle w:val="8"/>
        <w:widowControl w:val="0"/>
        <w:overflowPunct w:val="0"/>
        <w:spacing w:after="190" w:line="500" w:lineRule="exact"/>
        <w:ind w:firstLine="569"/>
        <w:rPr>
          <w:rFonts w:ascii="仿宋" w:hAnsi="仿宋" w:eastAsia="仿宋" w:cs="仿宋"/>
          <w:b/>
          <w:bCs/>
          <w:highlight w:val="none"/>
        </w:rPr>
      </w:pPr>
      <w:r>
        <w:rPr>
          <w:rFonts w:hint="eastAsia" w:ascii="仿宋" w:hAnsi="仿宋" w:eastAsia="仿宋" w:cs="仿宋"/>
          <w:b/>
          <w:bCs/>
          <w:highlight w:val="none"/>
        </w:rPr>
        <w:t>（一）</w:t>
      </w:r>
      <w:r>
        <w:rPr>
          <w:b/>
          <w:bCs/>
          <w:sz w:val="28"/>
          <w:szCs w:val="28"/>
          <w:highlight w:val="none"/>
        </w:rPr>
        <w:t>供应商承诺函（均须提供承诺函，未提供承诺函的视为无效响</w:t>
      </w:r>
      <w:r>
        <w:rPr>
          <w:b/>
          <w:bCs/>
          <w:spacing w:val="-12"/>
          <w:sz w:val="28"/>
          <w:szCs w:val="28"/>
          <w:highlight w:val="none"/>
        </w:rPr>
        <w:t>应）</w:t>
      </w:r>
    </w:p>
    <w:p w14:paraId="04E2ADE5">
      <w:pPr>
        <w:pStyle w:val="20"/>
        <w:widowControl w:val="0"/>
        <w:overflowPunct w:val="0"/>
        <w:spacing w:after="0" w:line="500" w:lineRule="exact"/>
        <w:ind w:left="0" w:leftChars="0" w:firstLine="569"/>
        <w:rPr>
          <w:rFonts w:ascii="仿宋" w:hAnsi="仿宋" w:eastAsia="仿宋" w:cs="仿宋"/>
          <w:bCs/>
          <w:szCs w:val="28"/>
          <w:highlight w:val="none"/>
        </w:rPr>
      </w:pPr>
      <w:r>
        <w:rPr>
          <w:rFonts w:hint="eastAsia" w:ascii="仿宋" w:hAnsi="仿宋" w:eastAsia="仿宋" w:cs="仿宋"/>
          <w:bCs/>
          <w:szCs w:val="28"/>
          <w:highlight w:val="none"/>
        </w:rPr>
        <w:t>1、供应商须承诺：保质保量完成物业安保服务的所有内容，服务总人数不少于</w:t>
      </w:r>
      <w:r>
        <w:rPr>
          <w:rFonts w:hint="eastAsia" w:ascii="仿宋" w:hAnsi="仿宋" w:eastAsia="仿宋" w:cs="仿宋"/>
          <w:bCs/>
          <w:szCs w:val="28"/>
          <w:highlight w:val="none"/>
          <w:lang w:val="en-US" w:eastAsia="zh-CN"/>
        </w:rPr>
        <w:t>25</w:t>
      </w:r>
      <w:r>
        <w:rPr>
          <w:rFonts w:hint="eastAsia" w:ascii="仿宋" w:hAnsi="仿宋" w:eastAsia="仿宋" w:cs="仿宋"/>
          <w:bCs/>
          <w:szCs w:val="28"/>
          <w:highlight w:val="none"/>
        </w:rPr>
        <w:t>人。</w:t>
      </w:r>
    </w:p>
    <w:p w14:paraId="56FCBEF4">
      <w:pPr>
        <w:pStyle w:val="20"/>
        <w:widowControl w:val="0"/>
        <w:overflowPunct w:val="0"/>
        <w:spacing w:after="0" w:line="500" w:lineRule="exact"/>
        <w:ind w:left="0" w:leftChars="0" w:firstLine="569"/>
        <w:rPr>
          <w:rFonts w:ascii="仿宋" w:hAnsi="仿宋" w:eastAsia="仿宋" w:cs="仿宋"/>
          <w:bCs/>
          <w:szCs w:val="28"/>
          <w:highlight w:val="none"/>
        </w:rPr>
      </w:pPr>
      <w:r>
        <w:rPr>
          <w:rFonts w:hint="eastAsia" w:ascii="仿宋" w:hAnsi="仿宋" w:eastAsia="仿宋" w:cs="仿宋"/>
          <w:bCs/>
          <w:szCs w:val="28"/>
          <w:highlight w:val="none"/>
        </w:rPr>
        <w:t>2、供应商须承诺：拟任项目经理不得同时兼任其他项目的项目经理，且项目经理不得随意更换，如需更换则需经过采购人同意。</w:t>
      </w:r>
    </w:p>
    <w:p w14:paraId="3E8724CE">
      <w:pPr>
        <w:pStyle w:val="20"/>
        <w:widowControl w:val="0"/>
        <w:overflowPunct w:val="0"/>
        <w:spacing w:after="0" w:line="500" w:lineRule="exact"/>
        <w:ind w:left="0" w:leftChars="0" w:firstLine="569"/>
        <w:rPr>
          <w:rFonts w:ascii="仿宋" w:hAnsi="仿宋" w:eastAsia="仿宋" w:cs="仿宋"/>
          <w:bCs/>
          <w:szCs w:val="28"/>
          <w:highlight w:val="none"/>
        </w:rPr>
      </w:pPr>
      <w:r>
        <w:rPr>
          <w:rFonts w:hint="eastAsia" w:ascii="仿宋" w:hAnsi="仿宋" w:eastAsia="仿宋" w:cs="仿宋"/>
          <w:bCs/>
          <w:szCs w:val="28"/>
          <w:highlight w:val="none"/>
        </w:rPr>
        <w:t>3、供应商须承诺：拟派所有服务人员均须具有健康证明。</w:t>
      </w:r>
    </w:p>
    <w:p w14:paraId="0061EA8B">
      <w:pPr>
        <w:pStyle w:val="20"/>
        <w:widowControl w:val="0"/>
        <w:overflowPunct w:val="0"/>
        <w:spacing w:after="0" w:line="500" w:lineRule="exact"/>
        <w:ind w:left="0" w:leftChars="0" w:firstLine="569"/>
        <w:rPr>
          <w:rFonts w:ascii="仿宋" w:hAnsi="仿宋" w:eastAsia="仿宋" w:cs="仿宋"/>
          <w:bCs/>
          <w:szCs w:val="28"/>
          <w:highlight w:val="none"/>
        </w:rPr>
      </w:pPr>
      <w:r>
        <w:rPr>
          <w:rFonts w:hint="eastAsia" w:ascii="仿宋" w:hAnsi="仿宋" w:eastAsia="仿宋" w:cs="仿宋"/>
          <w:bCs/>
          <w:szCs w:val="28"/>
          <w:highlight w:val="none"/>
        </w:rPr>
        <w:t>4、供应商须承诺：拟派安保服务人员均须持有保安员上岗证。</w:t>
      </w:r>
    </w:p>
    <w:p w14:paraId="3652B63F">
      <w:pPr>
        <w:pStyle w:val="20"/>
        <w:spacing w:after="0" w:line="500" w:lineRule="exact"/>
        <w:ind w:left="0" w:leftChars="0" w:firstLine="569"/>
        <w:rPr>
          <w:rFonts w:ascii="仿宋" w:hAnsi="仿宋" w:eastAsia="仿宋" w:cs="仿宋"/>
          <w:bCs/>
          <w:szCs w:val="28"/>
          <w:highlight w:val="none"/>
        </w:rPr>
      </w:pPr>
      <w:r>
        <w:rPr>
          <w:rFonts w:hint="eastAsia" w:ascii="仿宋" w:hAnsi="仿宋" w:eastAsia="仿宋" w:cs="仿宋"/>
          <w:bCs/>
          <w:szCs w:val="28"/>
          <w:highlight w:val="none"/>
        </w:rPr>
        <w:t>（二）人员资格证书要求（须提供有效期内且经过年审的证书复印件，未提供则视为无效响应）</w:t>
      </w:r>
    </w:p>
    <w:p w14:paraId="773A5471">
      <w:pPr>
        <w:pStyle w:val="20"/>
        <w:spacing w:after="0" w:line="500" w:lineRule="exact"/>
        <w:ind w:left="0" w:leftChars="0" w:firstLine="569"/>
        <w:rPr>
          <w:rFonts w:ascii="仿宋" w:hAnsi="仿宋" w:eastAsia="仿宋" w:cs="仿宋"/>
          <w:bCs/>
          <w:szCs w:val="28"/>
          <w:highlight w:val="none"/>
        </w:rPr>
      </w:pPr>
      <w:r>
        <w:rPr>
          <w:rFonts w:hint="eastAsia" w:ascii="仿宋" w:hAnsi="仿宋" w:eastAsia="仿宋" w:cs="仿宋"/>
          <w:bCs/>
          <w:szCs w:val="28"/>
          <w:highlight w:val="none"/>
        </w:rPr>
        <w:t>水电工（2人）：均须提供特种作业操作证（低压</w:t>
      </w:r>
      <w:r>
        <w:rPr>
          <w:rFonts w:hint="eastAsia" w:ascii="仿宋" w:hAnsi="仿宋" w:eastAsia="仿宋" w:cs="仿宋"/>
          <w:bCs/>
          <w:szCs w:val="28"/>
          <w:highlight w:val="none"/>
          <w:lang w:val="en-US" w:eastAsia="zh-CN"/>
        </w:rPr>
        <w:t>作业</w:t>
      </w:r>
      <w:r>
        <w:rPr>
          <w:rFonts w:hint="eastAsia" w:ascii="仿宋" w:hAnsi="仿宋" w:eastAsia="仿宋" w:cs="仿宋"/>
          <w:bCs/>
          <w:szCs w:val="28"/>
          <w:highlight w:val="none"/>
        </w:rPr>
        <w:t>）。</w:t>
      </w:r>
    </w:p>
    <w:p w14:paraId="46A3550A">
      <w:pPr>
        <w:widowControl w:val="0"/>
        <w:wordWrap/>
        <w:adjustRightInd/>
        <w:snapToGrid/>
        <w:spacing w:line="400" w:lineRule="exact"/>
        <w:ind w:firstLine="486" w:firstLineChars="200"/>
        <w:textAlignment w:val="auto"/>
        <w:rPr>
          <w:rFonts w:ascii="仿宋" w:hAnsi="仿宋" w:eastAsia="仿宋" w:cs="仿宋"/>
          <w:b/>
          <w:bCs/>
          <w:sz w:val="24"/>
          <w:szCs w:val="24"/>
          <w:highlight w:val="none"/>
        </w:rPr>
      </w:pPr>
      <w:r>
        <w:rPr>
          <w:rFonts w:hint="eastAsia" w:ascii="仿宋" w:hAnsi="仿宋" w:eastAsia="仿宋" w:cs="仿宋"/>
          <w:b/>
          <w:bCs/>
          <w:sz w:val="24"/>
          <w:szCs w:val="24"/>
          <w:highlight w:val="none"/>
        </w:rPr>
        <w:t>特别提醒:</w:t>
      </w:r>
    </w:p>
    <w:p w14:paraId="0E06499A">
      <w:pPr>
        <w:widowControl w:val="0"/>
        <w:wordWrap/>
        <w:adjustRightInd/>
        <w:snapToGrid/>
        <w:spacing w:line="400" w:lineRule="exact"/>
        <w:ind w:firstLine="486" w:firstLineChars="200"/>
        <w:textAlignment w:val="auto"/>
        <w:rPr>
          <w:rFonts w:ascii="仿宋" w:hAnsi="仿宋" w:eastAsia="仿宋" w:cs="仿宋"/>
          <w:sz w:val="24"/>
          <w:szCs w:val="24"/>
          <w:highlight w:val="none"/>
        </w:rPr>
      </w:pPr>
      <w:r>
        <w:rPr>
          <w:rFonts w:hint="eastAsia" w:ascii="仿宋" w:hAnsi="仿宋" w:eastAsia="仿宋" w:cs="仿宋"/>
          <w:sz w:val="24"/>
          <w:szCs w:val="24"/>
          <w:highlight w:val="none"/>
        </w:rPr>
        <w:t>（1）如</w:t>
      </w:r>
      <w:r>
        <w:rPr>
          <w:rFonts w:hint="eastAsia" w:ascii="仿宋" w:hAnsi="仿宋" w:eastAsia="仿宋" w:cs="仿宋"/>
          <w:sz w:val="24"/>
          <w:szCs w:val="24"/>
          <w:highlight w:val="none"/>
          <w:lang w:val="en-US" w:eastAsia="zh-CN"/>
        </w:rPr>
        <w:t>投标人</w:t>
      </w:r>
      <w:r>
        <w:rPr>
          <w:rFonts w:hint="eastAsia" w:ascii="仿宋" w:hAnsi="仿宋" w:eastAsia="仿宋" w:cs="仿宋"/>
          <w:sz w:val="24"/>
          <w:szCs w:val="24"/>
          <w:highlight w:val="none"/>
        </w:rPr>
        <w:t>认为以上证书复印件不清晰，可在</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rPr>
        <w:t>文件中另附证书查询网址。</w:t>
      </w:r>
    </w:p>
    <w:p w14:paraId="18221AF9">
      <w:pPr>
        <w:widowControl w:val="0"/>
        <w:ind w:firstLine="486" w:firstLineChars="200"/>
        <w:rPr>
          <w:rFonts w:ascii="宋体" w:hAnsi="宋体" w:eastAsia="宋体" w:cs="宋体"/>
          <w:b/>
          <w:bCs/>
          <w:color w:val="000000"/>
          <w:sz w:val="21"/>
          <w:szCs w:val="21"/>
          <w:highlight w:val="none"/>
        </w:rPr>
      </w:pPr>
      <w:r>
        <w:rPr>
          <w:rFonts w:hint="eastAsia" w:ascii="仿宋" w:hAnsi="仿宋" w:eastAsia="仿宋" w:cs="仿宋"/>
          <w:sz w:val="24"/>
          <w:szCs w:val="24"/>
          <w:highlight w:val="none"/>
        </w:rPr>
        <w:t>（2）如</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rPr>
        <w:t>文件中所附证书不清晰，且未提供查询网址或所提供的网址查询不到的，视为无效</w:t>
      </w:r>
      <w:r>
        <w:rPr>
          <w:rFonts w:hint="eastAsia" w:ascii="仿宋" w:hAnsi="仿宋" w:eastAsia="仿宋" w:cs="仿宋"/>
          <w:sz w:val="24"/>
          <w:szCs w:val="24"/>
          <w:highlight w:val="none"/>
          <w:lang w:val="en-US" w:eastAsia="zh-CN"/>
        </w:rPr>
        <w:t>投标</w:t>
      </w:r>
      <w:r>
        <w:rPr>
          <w:rFonts w:hint="eastAsia" w:ascii="仿宋" w:hAnsi="仿宋" w:eastAsia="仿宋" w:cs="仿宋"/>
          <w:sz w:val="24"/>
          <w:szCs w:val="24"/>
          <w:highlight w:val="none"/>
        </w:rPr>
        <w:t>。</w:t>
      </w:r>
    </w:p>
    <w:p w14:paraId="2452A011">
      <w:pPr>
        <w:widowControl w:val="0"/>
        <w:ind w:firstLine="426" w:firstLineChars="200"/>
        <w:rPr>
          <w:rFonts w:hint="eastAsia" w:ascii="宋体" w:hAnsi="宋体" w:eastAsia="宋体" w:cs="宋体"/>
          <w:b/>
          <w:bCs/>
          <w:color w:val="000000"/>
          <w:sz w:val="21"/>
          <w:szCs w:val="21"/>
          <w:highlight w:val="none"/>
        </w:rPr>
      </w:pPr>
    </w:p>
    <w:p w14:paraId="39B94790">
      <w:pPr>
        <w:widowControl w:val="0"/>
        <w:ind w:firstLine="426" w:firstLineChars="200"/>
        <w:rPr>
          <w:rFonts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备注：</w:t>
      </w:r>
    </w:p>
    <w:p w14:paraId="56874153">
      <w:pPr>
        <w:widowControl w:val="0"/>
        <w:ind w:firstLine="426" w:firstLineChars="200"/>
        <w:rPr>
          <w:rFonts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1、“★”内容项为实质性条款，供应商应在第五章“响应文件构成及格式”中的“实质性条款响应”处逐条响应“★”内容项，未逐条响应、有缺漏将被视为无效响应。</w:t>
      </w:r>
    </w:p>
    <w:p w14:paraId="04D6CCD7">
      <w:pPr>
        <w:pStyle w:val="2"/>
        <w:spacing w:line="400" w:lineRule="exact"/>
        <w:ind w:firstLine="426" w:firstLineChars="200"/>
        <w:jc w:val="both"/>
        <w:rPr>
          <w:rFonts w:ascii="仿宋" w:hAnsi="仿宋" w:cs="仿宋"/>
          <w:highlight w:val="none"/>
        </w:rPr>
      </w:pPr>
      <w:bookmarkStart w:id="632" w:name="_Toc15291"/>
      <w:bookmarkStart w:id="633" w:name="_Toc16293"/>
      <w:bookmarkStart w:id="634" w:name="_Toc27070"/>
      <w:bookmarkStart w:id="635" w:name="_Toc32096"/>
      <w:bookmarkStart w:id="636" w:name="_Toc18068"/>
      <w:bookmarkStart w:id="637" w:name="_Toc10535"/>
      <w:bookmarkStart w:id="638" w:name="_Toc5597"/>
      <w:bookmarkStart w:id="639" w:name="_Toc5556"/>
      <w:bookmarkStart w:id="640" w:name="_Toc14088"/>
      <w:bookmarkStart w:id="641" w:name="_Toc27395"/>
      <w:bookmarkStart w:id="642" w:name="_Toc23534"/>
      <w:r>
        <w:rPr>
          <w:rFonts w:hint="eastAsia" w:ascii="宋体" w:hAnsi="宋体" w:eastAsia="宋体" w:cs="宋体"/>
          <w:kern w:val="2"/>
          <w:sz w:val="21"/>
          <w:szCs w:val="21"/>
          <w:highlight w:val="none"/>
        </w:rPr>
        <w:t>2、“▲”内容项为重要要求，供应商未达到这些要求或未响应将影响评分。</w:t>
      </w:r>
      <w:bookmarkEnd w:id="632"/>
      <w:bookmarkEnd w:id="633"/>
      <w:bookmarkEnd w:id="634"/>
      <w:bookmarkEnd w:id="635"/>
      <w:bookmarkEnd w:id="636"/>
      <w:bookmarkEnd w:id="637"/>
      <w:bookmarkEnd w:id="638"/>
      <w:bookmarkEnd w:id="639"/>
      <w:bookmarkEnd w:id="640"/>
      <w:bookmarkEnd w:id="641"/>
      <w:bookmarkEnd w:id="642"/>
    </w:p>
    <w:p w14:paraId="12581540">
      <w:pPr>
        <w:widowControl w:val="0"/>
        <w:rPr>
          <w:rFonts w:ascii="黑体" w:hAnsi="黑体" w:eastAsia="黑体" w:cs="黑体"/>
          <w:color w:val="000000"/>
          <w:sz w:val="32"/>
          <w:szCs w:val="32"/>
          <w:highlight w:val="none"/>
        </w:rPr>
      </w:pPr>
    </w:p>
    <w:p w14:paraId="092699FB">
      <w:pPr>
        <w:pStyle w:val="2"/>
        <w:widowControl w:val="0"/>
        <w:rPr>
          <w:sz w:val="32"/>
          <w:szCs w:val="32"/>
          <w:highlight w:val="none"/>
        </w:rPr>
      </w:pPr>
      <w:r>
        <w:rPr>
          <w:rFonts w:hint="eastAsia" w:ascii="黑体" w:hAnsi="黑体" w:eastAsia="黑体" w:cs="黑体"/>
          <w:b w:val="0"/>
          <w:bCs w:val="0"/>
          <w:sz w:val="32"/>
          <w:szCs w:val="32"/>
          <w:highlight w:val="none"/>
        </w:rPr>
        <w:br w:type="page"/>
      </w:r>
      <w:bookmarkStart w:id="643" w:name="_Toc3774"/>
      <w:bookmarkStart w:id="644" w:name="_Toc1521"/>
      <w:bookmarkStart w:id="645" w:name="_Toc10709"/>
      <w:bookmarkStart w:id="646" w:name="_Toc20332"/>
      <w:bookmarkStart w:id="647" w:name="_Toc7706"/>
      <w:bookmarkStart w:id="648" w:name="_Toc18970"/>
      <w:r>
        <w:rPr>
          <w:rFonts w:hint="eastAsia" w:ascii="黑体" w:hAnsi="黑体" w:eastAsia="黑体" w:cs="黑体"/>
          <w:b w:val="0"/>
          <w:bCs w:val="0"/>
          <w:sz w:val="32"/>
          <w:szCs w:val="32"/>
          <w:highlight w:val="none"/>
        </w:rPr>
        <w:t>第四章  合同基本条款</w:t>
      </w:r>
      <w:bookmarkEnd w:id="620"/>
      <w:bookmarkEnd w:id="621"/>
      <w:bookmarkEnd w:id="622"/>
      <w:bookmarkEnd w:id="623"/>
      <w:bookmarkEnd w:id="624"/>
      <w:bookmarkEnd w:id="643"/>
      <w:bookmarkEnd w:id="644"/>
      <w:bookmarkEnd w:id="645"/>
      <w:bookmarkEnd w:id="646"/>
      <w:bookmarkEnd w:id="647"/>
      <w:bookmarkEnd w:id="648"/>
    </w:p>
    <w:p w14:paraId="0EDF1263">
      <w:pPr>
        <w:pStyle w:val="3"/>
        <w:widowControl w:val="0"/>
        <w:spacing w:line="500" w:lineRule="exact"/>
        <w:ind w:firstLine="566" w:firstLineChars="200"/>
        <w:rPr>
          <w:rFonts w:ascii="仿宋" w:hAnsi="仿宋" w:eastAsia="仿宋" w:cs="仿宋"/>
          <w:color w:val="000000"/>
          <w:sz w:val="28"/>
          <w:szCs w:val="28"/>
          <w:highlight w:val="none"/>
        </w:rPr>
      </w:pPr>
      <w:bookmarkStart w:id="649" w:name="_Toc8760"/>
      <w:bookmarkStart w:id="650" w:name="_Toc25553"/>
      <w:bookmarkStart w:id="651" w:name="_Toc15286"/>
      <w:bookmarkStart w:id="652" w:name="_Toc13974"/>
      <w:bookmarkStart w:id="653" w:name="_Toc4166"/>
      <w:bookmarkStart w:id="654" w:name="_Toc9085"/>
      <w:bookmarkStart w:id="655" w:name="_Toc14082139"/>
      <w:bookmarkStart w:id="656" w:name="_Toc18894"/>
      <w:bookmarkStart w:id="657" w:name="_Toc32154"/>
      <w:bookmarkStart w:id="658" w:name="_Toc8274"/>
      <w:bookmarkStart w:id="659" w:name="_Toc677"/>
      <w:bookmarkStart w:id="660" w:name="_Toc11444"/>
      <w:bookmarkStart w:id="661" w:name="_Toc4523"/>
      <w:bookmarkStart w:id="662" w:name="_Toc20505"/>
      <w:bookmarkStart w:id="663" w:name="_Toc35871572"/>
      <w:bookmarkStart w:id="664" w:name="_Toc1540"/>
      <w:bookmarkStart w:id="665" w:name="_Toc28914"/>
      <w:bookmarkStart w:id="666" w:name="_Toc5335"/>
      <w:bookmarkStart w:id="667" w:name="_Toc23541"/>
      <w:bookmarkStart w:id="668" w:name="_Toc30955"/>
      <w:bookmarkStart w:id="669" w:name="_Toc12594"/>
      <w:bookmarkStart w:id="670" w:name="_Toc4288"/>
      <w:r>
        <w:rPr>
          <w:rFonts w:hint="eastAsia" w:ascii="仿宋" w:hAnsi="仿宋" w:eastAsia="仿宋" w:cs="仿宋"/>
          <w:color w:val="000000"/>
          <w:sz w:val="28"/>
          <w:szCs w:val="28"/>
          <w:highlight w:val="none"/>
        </w:rPr>
        <w:t>一、服务条件</w:t>
      </w:r>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p>
    <w:p w14:paraId="015B8F06">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（一）服务地点：采购人指定的地点</w:t>
      </w:r>
    </w:p>
    <w:p w14:paraId="3971C8B7">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（二）服务期：2026年5月1日至2026年12月31日</w:t>
      </w:r>
    </w:p>
    <w:p w14:paraId="22C5DD24">
      <w:pPr>
        <w:pStyle w:val="3"/>
        <w:widowControl w:val="0"/>
        <w:spacing w:line="500" w:lineRule="exact"/>
        <w:ind w:firstLine="566" w:firstLineChars="200"/>
        <w:rPr>
          <w:rFonts w:ascii="仿宋" w:hAnsi="仿宋" w:eastAsia="仿宋" w:cs="仿宋"/>
          <w:color w:val="000000"/>
          <w:sz w:val="28"/>
          <w:szCs w:val="28"/>
          <w:highlight w:val="none"/>
        </w:rPr>
      </w:pPr>
      <w:bookmarkStart w:id="671" w:name="_Toc3206"/>
      <w:bookmarkStart w:id="672" w:name="_Toc28088"/>
      <w:bookmarkStart w:id="673" w:name="_Toc4364"/>
      <w:bookmarkStart w:id="674" w:name="_Toc11302"/>
      <w:bookmarkStart w:id="675" w:name="_Toc7606"/>
      <w:bookmarkStart w:id="676" w:name="_Toc27138"/>
      <w:bookmarkStart w:id="677" w:name="_Toc2570"/>
      <w:bookmarkStart w:id="678" w:name="_Toc24868"/>
      <w:bookmarkStart w:id="679" w:name="_Toc3169"/>
      <w:bookmarkStart w:id="680" w:name="_Toc18660"/>
      <w:bookmarkStart w:id="681" w:name="_Toc21445"/>
      <w:bookmarkStart w:id="682" w:name="_Toc30539"/>
      <w:bookmarkStart w:id="683" w:name="_Toc15487"/>
      <w:r>
        <w:rPr>
          <w:rFonts w:hint="eastAsia" w:ascii="仿宋" w:hAnsi="仿宋" w:eastAsia="仿宋" w:cs="仿宋"/>
          <w:color w:val="000000"/>
          <w:sz w:val="28"/>
          <w:szCs w:val="28"/>
          <w:highlight w:val="none"/>
        </w:rPr>
        <w:t>二、合同价款</w:t>
      </w:r>
      <w:bookmarkEnd w:id="671"/>
      <w:bookmarkEnd w:id="672"/>
      <w:bookmarkEnd w:id="673"/>
      <w:bookmarkEnd w:id="674"/>
      <w:bookmarkEnd w:id="675"/>
      <w:bookmarkEnd w:id="676"/>
      <w:bookmarkEnd w:id="677"/>
      <w:bookmarkEnd w:id="678"/>
      <w:bookmarkEnd w:id="679"/>
      <w:bookmarkEnd w:id="680"/>
      <w:bookmarkEnd w:id="681"/>
      <w:bookmarkEnd w:id="682"/>
      <w:bookmarkEnd w:id="683"/>
    </w:p>
    <w:p w14:paraId="6D76B211">
      <w:pPr>
        <w:widowControl w:val="0"/>
        <w:spacing w:line="500" w:lineRule="exact"/>
        <w:ind w:firstLine="566" w:firstLineChars="200"/>
        <w:rPr>
          <w:rFonts w:ascii="仿宋" w:hAnsi="仿宋" w:eastAsia="仿宋" w:cs="仿宋"/>
          <w:color w:val="000000"/>
          <w:highlight w:val="none"/>
        </w:rPr>
      </w:pPr>
      <w:bookmarkStart w:id="684" w:name="_Toc22625"/>
      <w:bookmarkStart w:id="685" w:name="_Toc107"/>
      <w:r>
        <w:rPr>
          <w:rFonts w:hint="eastAsia" w:ascii="仿宋" w:hAnsi="仿宋" w:eastAsia="仿宋" w:cs="仿宋"/>
          <w:color w:val="000000"/>
          <w:highlight w:val="none"/>
        </w:rPr>
        <w:t>合同总价一次性包死，不受市场价格变化因素的影响。</w:t>
      </w:r>
    </w:p>
    <w:p w14:paraId="76CFE726">
      <w:pPr>
        <w:pStyle w:val="3"/>
        <w:widowControl w:val="0"/>
        <w:spacing w:line="500" w:lineRule="exact"/>
        <w:ind w:firstLine="566" w:firstLineChars="200"/>
        <w:rPr>
          <w:rFonts w:ascii="仿宋" w:hAnsi="仿宋" w:eastAsia="仿宋" w:cs="仿宋"/>
          <w:color w:val="000000"/>
          <w:sz w:val="28"/>
          <w:szCs w:val="28"/>
          <w:highlight w:val="none"/>
        </w:rPr>
      </w:pPr>
      <w:bookmarkStart w:id="686" w:name="_Toc30816"/>
      <w:bookmarkStart w:id="687" w:name="_Toc21262"/>
      <w:bookmarkStart w:id="688" w:name="_Toc30333"/>
      <w:bookmarkStart w:id="689" w:name="_Toc28166"/>
      <w:bookmarkStart w:id="690" w:name="_Toc7118"/>
      <w:bookmarkStart w:id="691" w:name="_Toc6440"/>
      <w:bookmarkStart w:id="692" w:name="_Toc19812"/>
      <w:bookmarkStart w:id="693" w:name="_Toc22004"/>
      <w:bookmarkStart w:id="694" w:name="_Toc3483"/>
      <w:bookmarkStart w:id="695" w:name="_Toc32468"/>
      <w:bookmarkStart w:id="696" w:name="_Toc24586"/>
      <w:r>
        <w:rPr>
          <w:rFonts w:hint="eastAsia" w:ascii="仿宋" w:hAnsi="仿宋" w:eastAsia="仿宋" w:cs="仿宋"/>
          <w:color w:val="000000"/>
          <w:sz w:val="28"/>
          <w:szCs w:val="28"/>
          <w:highlight w:val="none"/>
        </w:rPr>
        <w:t>三、款项结算</w:t>
      </w:r>
      <w:bookmarkEnd w:id="684"/>
      <w:bookmarkEnd w:id="686"/>
      <w:bookmarkEnd w:id="687"/>
      <w:bookmarkEnd w:id="688"/>
      <w:bookmarkEnd w:id="689"/>
      <w:bookmarkEnd w:id="690"/>
      <w:bookmarkEnd w:id="691"/>
      <w:bookmarkEnd w:id="692"/>
      <w:bookmarkEnd w:id="693"/>
      <w:bookmarkEnd w:id="694"/>
      <w:bookmarkEnd w:id="695"/>
      <w:bookmarkEnd w:id="696"/>
    </w:p>
    <w:p w14:paraId="5391CCDE">
      <w:pPr>
        <w:pStyle w:val="29"/>
        <w:widowControl w:val="0"/>
        <w:spacing w:line="500" w:lineRule="exact"/>
        <w:ind w:firstLine="567"/>
        <w:rPr>
          <w:rFonts w:ascii="仿宋" w:hAnsi="仿宋" w:eastAsia="仿宋" w:cs="仿宋"/>
          <w:color w:val="000000"/>
          <w:highlight w:val="none"/>
        </w:rPr>
      </w:pPr>
      <w:r>
        <w:rPr>
          <w:rFonts w:hint="eastAsia" w:ascii="仿宋" w:hAnsi="仿宋" w:eastAsia="仿宋" w:cs="仿宋"/>
          <w:color w:val="000000"/>
          <w:highlight w:val="none"/>
        </w:rPr>
        <w:t>（一）支付方式：银行转账</w:t>
      </w:r>
    </w:p>
    <w:p w14:paraId="6A4030C4">
      <w:pPr>
        <w:pStyle w:val="29"/>
        <w:widowControl w:val="0"/>
        <w:spacing w:line="500" w:lineRule="exact"/>
        <w:ind w:firstLine="567"/>
        <w:rPr>
          <w:rFonts w:ascii="仿宋" w:hAnsi="仿宋" w:eastAsia="仿宋" w:cs="仿宋"/>
          <w:color w:val="000000"/>
          <w:highlight w:val="none"/>
        </w:rPr>
      </w:pPr>
      <w:r>
        <w:rPr>
          <w:rFonts w:hint="eastAsia" w:ascii="仿宋" w:hAnsi="仿宋" w:eastAsia="仿宋" w:cs="仿宋"/>
          <w:color w:val="000000"/>
          <w:highlight w:val="none"/>
        </w:rPr>
        <w:t>（二）货币单位：人民币</w:t>
      </w:r>
    </w:p>
    <w:p w14:paraId="01A2662A">
      <w:pPr>
        <w:keepNext/>
        <w:keepLines/>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（三）结算方式：</w:t>
      </w:r>
      <w:bookmarkStart w:id="697" w:name="_Toc18191"/>
      <w:bookmarkStart w:id="698" w:name="_Toc11640"/>
      <w:bookmarkStart w:id="699" w:name="_Toc8545"/>
      <w:bookmarkStart w:id="700" w:name="_Toc23738"/>
      <w:bookmarkStart w:id="701" w:name="_Toc21822"/>
      <w:bookmarkStart w:id="702" w:name="_Toc16040"/>
      <w:bookmarkStart w:id="703" w:name="_Toc8934"/>
    </w:p>
    <w:p w14:paraId="007B7AFF">
      <w:pPr>
        <w:spacing w:line="48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按月支付，即在每月结束后经采购人管理部门考核验收合格后，根据考核结果采购人收到发票后10个工作日内支付月度物业服务费。（具体支付事宜由采购人与</w:t>
      </w:r>
      <w:r>
        <w:rPr>
          <w:rFonts w:hint="eastAsia" w:ascii="仿宋" w:hAnsi="仿宋" w:eastAsia="仿宋" w:cs="仿宋"/>
          <w:color w:val="000000" w:themeColor="text1"/>
          <w:highlight w:val="none"/>
          <w:lang w:eastAsia="zh-CN"/>
          <w14:textFill>
            <w14:solidFill>
              <w14:schemeClr w14:val="tx1"/>
            </w14:solidFill>
          </w14:textFill>
        </w:rPr>
        <w:t>成交供应商</w:t>
      </w:r>
      <w:r>
        <w:rPr>
          <w:rFonts w:hint="eastAsia" w:ascii="仿宋" w:hAnsi="仿宋" w:eastAsia="仿宋" w:cs="仿宋"/>
          <w:color w:val="000000" w:themeColor="text1"/>
          <w:highlight w:val="none"/>
          <w14:textFill>
            <w14:solidFill>
              <w14:schemeClr w14:val="tx1"/>
            </w14:solidFill>
          </w14:textFill>
        </w:rPr>
        <w:t>商定）</w:t>
      </w:r>
    </w:p>
    <w:p w14:paraId="0AC4C795">
      <w:pPr>
        <w:widowControl w:val="0"/>
        <w:spacing w:line="48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（四）履约保证金</w:t>
      </w:r>
    </w:p>
    <w:p w14:paraId="2A0314E8">
      <w:pPr>
        <w:widowControl w:val="0"/>
        <w:spacing w:line="48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1、履约保证金的收取</w:t>
      </w:r>
    </w:p>
    <w:p w14:paraId="4F93F76C">
      <w:pPr>
        <w:widowControl w:val="0"/>
        <w:spacing w:line="48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成交后，</w:t>
      </w:r>
      <w:r>
        <w:rPr>
          <w:rFonts w:hint="eastAsia" w:ascii="仿宋" w:hAnsi="仿宋" w:eastAsia="仿宋" w:cs="仿宋"/>
          <w:color w:val="000000" w:themeColor="text1"/>
          <w:highlight w:val="none"/>
          <w:lang w:val="en-US" w:eastAsia="zh-CN"/>
          <w14:textFill>
            <w14:solidFill>
              <w14:schemeClr w14:val="tx1"/>
            </w14:solidFill>
          </w14:textFill>
        </w:rPr>
        <w:t>成交</w:t>
      </w:r>
      <w:r>
        <w:rPr>
          <w:rFonts w:hint="eastAsia" w:ascii="仿宋" w:hAnsi="仿宋" w:eastAsia="仿宋" w:cs="仿宋"/>
          <w:color w:val="000000" w:themeColor="text1"/>
          <w:highlight w:val="none"/>
          <w14:textFill>
            <w14:solidFill>
              <w14:schemeClr w14:val="tx1"/>
            </w14:solidFill>
          </w14:textFill>
        </w:rPr>
        <w:t>供应商须向采购人交纳履约保证金（履约保证金应采取支票、本票、汇票、保函等非现金形式提交），履约保证金的数额为</w:t>
      </w:r>
      <w:r>
        <w:rPr>
          <w:rFonts w:ascii="仿宋" w:hAnsi="仿宋" w:eastAsia="仿宋" w:cs="仿宋"/>
          <w:color w:val="000000" w:themeColor="text1"/>
          <w:highlight w:val="none"/>
          <w14:textFill>
            <w14:solidFill>
              <w14:schemeClr w14:val="tx1"/>
            </w14:solidFill>
          </w14:textFill>
        </w:rPr>
        <w:t>中标金额的</w:t>
      </w:r>
      <w:r>
        <w:rPr>
          <w:rFonts w:hint="eastAsia" w:ascii="仿宋" w:hAnsi="仿宋" w:eastAsia="仿宋" w:cs="仿宋"/>
          <w:color w:val="000000" w:themeColor="text1"/>
          <w:highlight w:val="none"/>
          <w14:textFill>
            <w14:solidFill>
              <w14:schemeClr w14:val="tx1"/>
            </w14:solidFill>
          </w14:textFill>
        </w:rPr>
        <w:t>5%（取整）。</w:t>
      </w:r>
    </w:p>
    <w:p w14:paraId="3468E484">
      <w:pPr>
        <w:widowControl w:val="0"/>
        <w:spacing w:line="48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2、退还的时间及方式</w:t>
      </w:r>
    </w:p>
    <w:p w14:paraId="14A03B6E">
      <w:pPr>
        <w:widowControl w:val="0"/>
        <w:spacing w:line="48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r>
        <w:rPr>
          <w:rFonts w:hint="eastAsia" w:ascii="仿宋" w:hAnsi="仿宋" w:eastAsia="仿宋" w:cs="仿宋"/>
          <w:color w:val="000000" w:themeColor="text1"/>
          <w:highlight w:val="none"/>
          <w:lang w:eastAsia="zh-CN"/>
          <w14:textFill>
            <w14:solidFill>
              <w14:schemeClr w14:val="tx1"/>
            </w14:solidFill>
          </w14:textFill>
        </w:rPr>
        <w:t>成交供应商</w:t>
      </w:r>
      <w:r>
        <w:rPr>
          <w:rFonts w:hint="eastAsia" w:ascii="仿宋" w:hAnsi="仿宋" w:eastAsia="仿宋" w:cs="仿宋"/>
          <w:color w:val="000000" w:themeColor="text1"/>
          <w:highlight w:val="none"/>
          <w14:textFill>
            <w14:solidFill>
              <w14:schemeClr w14:val="tx1"/>
            </w14:solidFill>
          </w14:textFill>
        </w:rPr>
        <w:t>在合同履约完成且双方无争议后，采购人在15个工作日内，全额无息退还履约保证金。</w:t>
      </w:r>
    </w:p>
    <w:p w14:paraId="3D0BEAEE">
      <w:pPr>
        <w:widowControl w:val="0"/>
        <w:spacing w:line="48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（2）退还方式：按照原方式退回</w:t>
      </w:r>
    </w:p>
    <w:p w14:paraId="23BDD795">
      <w:pPr>
        <w:widowControl w:val="0"/>
        <w:kinsoku w:val="0"/>
        <w:overflowPunct w:val="0"/>
        <w:spacing w:line="480" w:lineRule="exact"/>
        <w:ind w:firstLine="566" w:firstLineChars="200"/>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3、不予退还的情形和逾期退还的违约责任由采购人与</w:t>
      </w:r>
      <w:r>
        <w:rPr>
          <w:rFonts w:hint="eastAsia" w:ascii="仿宋" w:hAnsi="仿宋" w:eastAsia="仿宋" w:cs="仿宋"/>
          <w:color w:val="000000" w:themeColor="text1"/>
          <w:highlight w:val="none"/>
          <w:lang w:eastAsia="zh-CN"/>
          <w14:textFill>
            <w14:solidFill>
              <w14:schemeClr w14:val="tx1"/>
            </w14:solidFill>
          </w14:textFill>
        </w:rPr>
        <w:t>成交供应商</w:t>
      </w:r>
      <w:r>
        <w:rPr>
          <w:rFonts w:hint="eastAsia" w:ascii="仿宋" w:hAnsi="仿宋" w:eastAsia="仿宋" w:cs="仿宋"/>
          <w:color w:val="000000" w:themeColor="text1"/>
          <w:highlight w:val="none"/>
          <w14:textFill>
            <w14:solidFill>
              <w14:schemeClr w14:val="tx1"/>
            </w14:solidFill>
          </w14:textFill>
        </w:rPr>
        <w:t>在政府采购合同中进一步明确。</w:t>
      </w:r>
    </w:p>
    <w:p w14:paraId="2C56E283">
      <w:pPr>
        <w:widowControl w:val="0"/>
        <w:kinsoku w:val="0"/>
        <w:overflowPunct w:val="0"/>
        <w:spacing w:line="500" w:lineRule="exact"/>
        <w:ind w:firstLine="426" w:firstLineChars="200"/>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备注：履约保证金的相关事宜，按照《陕西省财政厅关于进一步加大政府采购支持中小企业力度的通知》（陕财办采〔2022〕5号）的有关规定执行。</w:t>
      </w:r>
    </w:p>
    <w:p w14:paraId="2C56E283">
      <w:pPr>
        <w:widowControl/>
        <w:kinsoku w:val="0"/>
        <w:overflowPunct w:val="0"/>
        <w:ind w:firstLine="566" w:firstLineChars="200"/>
        <w:rPr>
          <w:rFonts w:hint="eastAsia" w:ascii="仿宋" w:hAnsi="仿宋" w:eastAsia="仿宋" w:cs="仿宋"/>
          <w:b/>
          <w:bCs/>
          <w:sz w:val="28"/>
          <w:szCs w:val="28"/>
        </w:rPr>
      </w:pPr>
      <w:bookmarkStart w:id="704" w:name="_Toc12647"/>
      <w:r>
        <w:rPr>
          <w:rStyle w:val="35"/>
          <w:sz w:val="28"/>
          <w:szCs w:val="28"/>
        </w:rPr>
        <w:t xml:space="preserve">四、在签订合同前，成交供应商应按照磋商文件第三章《磋商内容及采购要求》中所有承诺事项要求落实，如未在规定时限内按要求完成所承诺事项的，则视为主动放弃成交资格。 </w:t>
      </w:r>
      <w:bookmarkEnd w:id="704"/>
    </w:p>
    <w:bookmarkEnd w:id="697"/>
    <w:p w14:paraId="73E6840E">
      <w:pPr>
        <w:pStyle w:val="3"/>
        <w:widowControl w:val="0"/>
        <w:spacing w:line="500" w:lineRule="exact"/>
        <w:ind w:firstLine="566" w:firstLineChars="200"/>
        <w:rPr>
          <w:rFonts w:ascii="仿宋" w:hAnsi="仿宋" w:eastAsia="仿宋" w:cs="仿宋"/>
          <w:color w:val="000000"/>
          <w:sz w:val="28"/>
          <w:szCs w:val="28"/>
          <w:highlight w:val="none"/>
        </w:rPr>
      </w:pPr>
      <w:bookmarkStart w:id="705" w:name="_Toc21803"/>
      <w:bookmarkStart w:id="706" w:name="_Toc4521"/>
      <w:bookmarkStart w:id="707" w:name="_Toc29501"/>
      <w:bookmarkStart w:id="708" w:name="_Toc6348"/>
      <w:bookmarkStart w:id="709" w:name="_Toc21561"/>
      <w:bookmarkStart w:id="710" w:name="_Toc25968"/>
      <w:bookmarkStart w:id="711" w:name="_Toc7179"/>
      <w:bookmarkStart w:id="712" w:name="_Toc27419"/>
      <w:bookmarkStart w:id="713" w:name="_Toc32339"/>
      <w:bookmarkStart w:id="714" w:name="_Toc18667"/>
      <w:bookmarkStart w:id="715" w:name="_Toc26435"/>
      <w:bookmarkStart w:id="716" w:name="_Toc27799"/>
      <w:r>
        <w:rPr>
          <w:rFonts w:hint="eastAsia" w:ascii="仿宋" w:hAnsi="仿宋" w:eastAsia="仿宋" w:cs="仿宋"/>
          <w:color w:val="000000"/>
          <w:sz w:val="28"/>
          <w:szCs w:val="28"/>
          <w:highlight w:val="none"/>
        </w:rPr>
        <w:t>五、服务保证</w:t>
      </w:r>
      <w:bookmarkEnd w:id="705"/>
      <w:bookmarkEnd w:id="706"/>
      <w:bookmarkEnd w:id="707"/>
      <w:bookmarkEnd w:id="708"/>
      <w:bookmarkEnd w:id="709"/>
      <w:bookmarkEnd w:id="710"/>
      <w:bookmarkEnd w:id="711"/>
      <w:bookmarkEnd w:id="712"/>
      <w:bookmarkEnd w:id="713"/>
      <w:bookmarkEnd w:id="714"/>
      <w:bookmarkEnd w:id="715"/>
    </w:p>
    <w:p w14:paraId="252CDD44">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（一）人员雇佣及工资标准</w:t>
      </w:r>
    </w:p>
    <w:p w14:paraId="549403A0">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1、成交供应商须保障人员待遇不得低于采购人所在地最低工资标准和社保最低缴费额。</w:t>
      </w:r>
    </w:p>
    <w:p w14:paraId="08504C02">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2、成交供应商须与员工签订劳动合同，引起劳动关系问题由成交供应商负责。</w:t>
      </w:r>
    </w:p>
    <w:p w14:paraId="205D612F">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（二）成交供应商提供服务时，服务要求应按不低于国家、省、市有关部门规定的质量标准执行。</w:t>
      </w:r>
    </w:p>
    <w:p w14:paraId="5CED9E24">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1、成交供应商承诺与拟投入人员均有劳动合同或聘用协议。</w:t>
      </w:r>
    </w:p>
    <w:p w14:paraId="174310F6">
      <w:pPr>
        <w:widowControl w:val="0"/>
        <w:spacing w:line="500" w:lineRule="exact"/>
        <w:ind w:firstLine="566" w:firstLineChars="200"/>
        <w:rPr>
          <w:rFonts w:ascii="仿宋" w:hAnsi="仿宋" w:eastAsia="仿宋" w:cs="仿宋"/>
          <w:b/>
          <w:bCs/>
          <w:color w:val="000000"/>
          <w:highlight w:val="none"/>
        </w:rPr>
      </w:pPr>
      <w:r>
        <w:rPr>
          <w:rFonts w:hint="eastAsia" w:ascii="仿宋" w:hAnsi="仿宋" w:eastAsia="仿宋" w:cs="仿宋"/>
          <w:color w:val="000000"/>
          <w:highlight w:val="none"/>
        </w:rPr>
        <w:t>2、成交供应商承诺工作人员按磋商文件落实，具体人员要求与采购人协商确定。</w:t>
      </w:r>
    </w:p>
    <w:bookmarkEnd w:id="685"/>
    <w:bookmarkEnd w:id="698"/>
    <w:bookmarkEnd w:id="699"/>
    <w:bookmarkEnd w:id="700"/>
    <w:bookmarkEnd w:id="701"/>
    <w:bookmarkEnd w:id="702"/>
    <w:bookmarkEnd w:id="703"/>
    <w:bookmarkEnd w:id="716"/>
    <w:p w14:paraId="344845CD">
      <w:pPr>
        <w:widowControl w:val="0"/>
        <w:spacing w:line="500" w:lineRule="exact"/>
        <w:ind w:firstLine="566" w:firstLineChars="200"/>
        <w:outlineLvl w:val="1"/>
        <w:rPr>
          <w:rStyle w:val="30"/>
          <w:rFonts w:ascii="仿宋" w:hAnsi="仿宋" w:eastAsia="仿宋" w:cs="仿宋"/>
          <w:color w:val="000000"/>
          <w:sz w:val="28"/>
          <w:szCs w:val="28"/>
          <w:highlight w:val="none"/>
        </w:rPr>
      </w:pPr>
      <w:bookmarkStart w:id="717" w:name="_Toc6107"/>
      <w:bookmarkStart w:id="718" w:name="_Toc1078"/>
      <w:bookmarkStart w:id="719" w:name="_Toc17512"/>
      <w:bookmarkStart w:id="720" w:name="_Toc14683"/>
      <w:bookmarkStart w:id="721" w:name="_Toc29437"/>
      <w:bookmarkStart w:id="722" w:name="_Toc4397"/>
      <w:bookmarkStart w:id="723" w:name="_Toc31853"/>
      <w:bookmarkStart w:id="724" w:name="_Toc1827"/>
      <w:bookmarkStart w:id="725" w:name="_Toc26466"/>
      <w:bookmarkStart w:id="726" w:name="_Toc2658"/>
      <w:bookmarkStart w:id="727" w:name="_Toc597"/>
      <w:bookmarkStart w:id="728" w:name="_Toc22289"/>
      <w:bookmarkStart w:id="729" w:name="_Toc26963"/>
      <w:bookmarkStart w:id="730" w:name="_Toc29774"/>
      <w:bookmarkStart w:id="731" w:name="_Toc24576"/>
      <w:bookmarkStart w:id="732" w:name="_Toc28165"/>
      <w:bookmarkStart w:id="733" w:name="_Toc25497"/>
      <w:r>
        <w:rPr>
          <w:rStyle w:val="30"/>
          <w:rFonts w:hint="eastAsia" w:ascii="仿宋" w:hAnsi="仿宋" w:eastAsia="仿宋" w:cs="仿宋"/>
          <w:color w:val="000000"/>
          <w:sz w:val="28"/>
          <w:szCs w:val="28"/>
          <w:highlight w:val="none"/>
        </w:rPr>
        <w:t>六、服务承诺</w:t>
      </w:r>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p>
    <w:bookmarkEnd w:id="733"/>
    <w:p w14:paraId="506A9170">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以响应文件、澄清表（函）、合同和随服务的相关文件为准。</w:t>
      </w:r>
      <w:bookmarkEnd w:id="667"/>
      <w:bookmarkEnd w:id="668"/>
      <w:bookmarkEnd w:id="669"/>
      <w:bookmarkEnd w:id="670"/>
      <w:bookmarkStart w:id="734" w:name="_Toc27590"/>
      <w:bookmarkStart w:id="735" w:name="_Toc13224"/>
      <w:bookmarkStart w:id="736" w:name="_Toc32352"/>
    </w:p>
    <w:bookmarkEnd w:id="734"/>
    <w:bookmarkEnd w:id="735"/>
    <w:bookmarkEnd w:id="736"/>
    <w:p w14:paraId="5BF299CF">
      <w:pPr>
        <w:pStyle w:val="3"/>
        <w:widowControl w:val="0"/>
        <w:spacing w:line="500" w:lineRule="exact"/>
        <w:ind w:firstLine="566" w:firstLineChars="200"/>
        <w:rPr>
          <w:rFonts w:ascii="仿宋" w:hAnsi="仿宋" w:eastAsia="仿宋" w:cs="仿宋"/>
          <w:color w:val="000000"/>
          <w:sz w:val="28"/>
          <w:szCs w:val="28"/>
          <w:highlight w:val="none"/>
        </w:rPr>
      </w:pPr>
      <w:bookmarkStart w:id="737" w:name="_Toc7063"/>
      <w:bookmarkStart w:id="738" w:name="_Toc7749"/>
      <w:bookmarkStart w:id="739" w:name="_Toc19380"/>
      <w:bookmarkStart w:id="740" w:name="_Toc27853"/>
      <w:bookmarkStart w:id="741" w:name="_Toc20065"/>
      <w:bookmarkStart w:id="742" w:name="_Toc31591"/>
      <w:bookmarkStart w:id="743" w:name="_Toc26023"/>
      <w:bookmarkStart w:id="744" w:name="_Toc9653"/>
      <w:bookmarkStart w:id="745" w:name="_Toc29719"/>
      <w:bookmarkStart w:id="746" w:name="_Toc11864"/>
      <w:bookmarkStart w:id="747" w:name="_Toc19937"/>
      <w:bookmarkStart w:id="748" w:name="_Toc904"/>
      <w:bookmarkStart w:id="749" w:name="_Toc14993"/>
      <w:bookmarkStart w:id="750" w:name="_Toc5419"/>
      <w:bookmarkStart w:id="751" w:name="_Toc26163"/>
      <w:bookmarkStart w:id="752" w:name="_Toc32073"/>
      <w:bookmarkStart w:id="753" w:name="_Toc13188"/>
      <w:bookmarkStart w:id="754" w:name="_Toc11824"/>
      <w:bookmarkStart w:id="755" w:name="_Toc27349"/>
      <w:bookmarkStart w:id="756" w:name="_Toc13809"/>
      <w:bookmarkStart w:id="757" w:name="_Toc495012773"/>
      <w:bookmarkStart w:id="758" w:name="_Toc495014587"/>
      <w:bookmarkStart w:id="759" w:name="_Toc445306495"/>
      <w:bookmarkStart w:id="760" w:name="_Toc495014613"/>
      <w:bookmarkStart w:id="761" w:name="_Toc495014922"/>
      <w:bookmarkStart w:id="762" w:name="_Toc495012823"/>
      <w:bookmarkStart w:id="763" w:name="_Toc5554"/>
      <w:bookmarkStart w:id="764" w:name="_Toc495014651"/>
      <w:bookmarkStart w:id="765" w:name="_Toc495014956"/>
      <w:r>
        <w:rPr>
          <w:rFonts w:hint="eastAsia" w:ascii="仿宋" w:hAnsi="仿宋" w:eastAsia="仿宋" w:cs="仿宋"/>
          <w:color w:val="000000"/>
          <w:sz w:val="28"/>
          <w:szCs w:val="28"/>
          <w:highlight w:val="none"/>
        </w:rPr>
        <w:t>七、违约责任</w:t>
      </w:r>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p>
    <w:p w14:paraId="1758F802">
      <w:pPr>
        <w:widowControl w:val="0"/>
        <w:spacing w:line="500" w:lineRule="exact"/>
        <w:ind w:firstLine="566" w:firstLineChars="200"/>
        <w:rPr>
          <w:rFonts w:ascii="仿宋" w:hAnsi="仿宋" w:eastAsia="仿宋" w:cs="仿宋"/>
          <w:highlight w:val="none"/>
        </w:rPr>
      </w:pPr>
      <w:bookmarkStart w:id="766" w:name="_Toc11262"/>
      <w:bookmarkStart w:id="767" w:name="_Toc956"/>
      <w:bookmarkStart w:id="768" w:name="_Toc14133"/>
      <w:bookmarkStart w:id="769" w:name="_Toc16415"/>
      <w:bookmarkStart w:id="770" w:name="_Toc314"/>
      <w:bookmarkStart w:id="771" w:name="_Toc5100"/>
      <w:bookmarkStart w:id="772" w:name="_Toc31467"/>
      <w:bookmarkStart w:id="773" w:name="_Toc1257"/>
      <w:bookmarkStart w:id="774" w:name="_Toc6989"/>
      <w:r>
        <w:rPr>
          <w:rFonts w:hint="eastAsia" w:ascii="仿宋" w:hAnsi="仿宋" w:eastAsia="仿宋" w:cs="仿宋"/>
          <w:highlight w:val="none"/>
        </w:rPr>
        <w:t>（一）按《中华人民共和国民法典》中的相关条款执行。</w:t>
      </w:r>
    </w:p>
    <w:p w14:paraId="42F61B4E">
      <w:pPr>
        <w:widowControl w:val="0"/>
        <w:spacing w:line="500" w:lineRule="exact"/>
        <w:ind w:firstLine="566" w:firstLineChars="200"/>
        <w:rPr>
          <w:rFonts w:ascii="仿宋" w:hAnsi="仿宋" w:eastAsia="仿宋" w:cs="仿宋"/>
          <w:highlight w:val="none"/>
        </w:rPr>
      </w:pPr>
      <w:r>
        <w:rPr>
          <w:rFonts w:hint="eastAsia" w:ascii="仿宋" w:hAnsi="仿宋" w:eastAsia="仿宋" w:cs="仿宋"/>
          <w:highlight w:val="none"/>
        </w:rPr>
        <w:t>（二）未按合同要求提供服务或服务质量不能满足合同要求，采购人有权依据《中华人民共和国民法典》有关条款及合同约定终止合同，并要求成交供应商承担违约责任。</w:t>
      </w:r>
    </w:p>
    <w:p w14:paraId="7D2596A1">
      <w:pPr>
        <w:widowControl w:val="0"/>
        <w:spacing w:line="500" w:lineRule="exact"/>
        <w:ind w:firstLine="566" w:firstLineChars="200"/>
        <w:rPr>
          <w:rFonts w:ascii="仿宋" w:hAnsi="仿宋" w:eastAsia="仿宋" w:cs="仿宋"/>
          <w:highlight w:val="none"/>
        </w:rPr>
      </w:pPr>
      <w:r>
        <w:rPr>
          <w:rFonts w:hint="eastAsia" w:ascii="仿宋" w:hAnsi="仿宋" w:eastAsia="仿宋" w:cs="仿宋"/>
          <w:highlight w:val="none"/>
        </w:rPr>
        <w:t>（三）如因采购人原因，造成成交供应商未完成管理目标或造成直接经济损失的，采购人应给予成交供应商相应经济补偿或承担相应责任。</w:t>
      </w:r>
    </w:p>
    <w:p w14:paraId="643DA00D">
      <w:pPr>
        <w:widowControl w:val="0"/>
        <w:spacing w:line="500" w:lineRule="exact"/>
        <w:ind w:firstLine="566" w:firstLineChars="200"/>
        <w:rPr>
          <w:rFonts w:ascii="仿宋" w:hAnsi="仿宋" w:eastAsia="仿宋" w:cs="仿宋"/>
          <w:highlight w:val="none"/>
        </w:rPr>
      </w:pPr>
      <w:r>
        <w:rPr>
          <w:rFonts w:hint="eastAsia" w:ascii="仿宋" w:hAnsi="仿宋" w:eastAsia="仿宋" w:cs="仿宋"/>
          <w:highlight w:val="none"/>
        </w:rPr>
        <w:t>（四）如因成交供应商没有按照本合同约定的要求完成服务内容或未按本合同有关规定履行职责导致管理不善甚至发生重大失误的，造成经济损失的，采购人有权终止合同，并根据本合同约定，将相关损失在结算成交供应商服务费用时予以扣减，同时成交供应商还应承担相应的行政责任或其他一切赔偿责任。</w:t>
      </w:r>
    </w:p>
    <w:p w14:paraId="63181E28">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highlight w:val="none"/>
        </w:rPr>
        <w:t>（五）如成交供应商违反本合同，或不履行本合同项下义务，或履行本合同项下义务不符合约定的，或明确表示或以其行为表明将不履行本合同项下的任一条款义务、承诺或陈述保证事项，均属于违约行为，应向对方承担相应的违约责任，包括但不限于赔偿因该等违约行为而使对方遭致或支付的全部损失、债务、税费、损害赔偿、判决、和解及开支，包括合理的律师费用和开支（合称“损失”）。</w:t>
      </w:r>
    </w:p>
    <w:p w14:paraId="6EF2A971">
      <w:pPr>
        <w:pStyle w:val="3"/>
        <w:widowControl w:val="0"/>
        <w:spacing w:line="500" w:lineRule="exact"/>
        <w:ind w:firstLine="566" w:firstLineChars="200"/>
        <w:rPr>
          <w:rFonts w:ascii="仿宋" w:hAnsi="仿宋" w:eastAsia="仿宋" w:cs="仿宋"/>
          <w:color w:val="000000"/>
          <w:sz w:val="28"/>
          <w:szCs w:val="28"/>
          <w:highlight w:val="none"/>
        </w:rPr>
      </w:pPr>
      <w:bookmarkStart w:id="775" w:name="_Toc2087"/>
      <w:bookmarkStart w:id="776" w:name="_Toc20465"/>
      <w:bookmarkStart w:id="777" w:name="_Toc17345"/>
      <w:bookmarkStart w:id="778" w:name="_Toc7682"/>
      <w:bookmarkStart w:id="779" w:name="_Toc26800"/>
      <w:bookmarkStart w:id="780" w:name="_Toc18440"/>
      <w:r>
        <w:rPr>
          <w:rFonts w:hint="eastAsia" w:ascii="仿宋" w:hAnsi="仿宋" w:eastAsia="仿宋" w:cs="仿宋"/>
          <w:color w:val="000000"/>
          <w:sz w:val="28"/>
          <w:szCs w:val="28"/>
          <w:highlight w:val="none"/>
        </w:rPr>
        <w:t>八、争议解决</w:t>
      </w:r>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p>
    <w:p w14:paraId="0A2D0BF8">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执行本合同中产生纠纷，由采购人与成交供应商双方协商解决；协商不成，向有管辖权的人民法院提起诉讼。</w:t>
      </w:r>
    </w:p>
    <w:p w14:paraId="62CC1D69">
      <w:pPr>
        <w:pStyle w:val="3"/>
        <w:keepNext w:val="0"/>
        <w:widowControl w:val="0"/>
        <w:spacing w:line="500" w:lineRule="exact"/>
        <w:ind w:firstLine="566" w:firstLineChars="200"/>
        <w:rPr>
          <w:rFonts w:ascii="仿宋" w:hAnsi="仿宋" w:eastAsia="仿宋" w:cs="仿宋"/>
          <w:color w:val="000000"/>
          <w:sz w:val="28"/>
          <w:szCs w:val="28"/>
          <w:highlight w:val="none"/>
        </w:rPr>
      </w:pPr>
      <w:bookmarkStart w:id="781" w:name="_Toc10850"/>
      <w:bookmarkStart w:id="782" w:name="_Toc19798"/>
      <w:bookmarkStart w:id="783" w:name="_Toc29832"/>
      <w:bookmarkStart w:id="784" w:name="_Toc9453"/>
      <w:bookmarkStart w:id="785" w:name="_Toc22806"/>
      <w:bookmarkStart w:id="786" w:name="_Toc11727"/>
      <w:bookmarkStart w:id="787" w:name="_Toc12937"/>
      <w:bookmarkStart w:id="788" w:name="_Toc11837"/>
      <w:bookmarkStart w:id="789" w:name="_Toc11628"/>
      <w:bookmarkStart w:id="790" w:name="_Toc9318"/>
      <w:r>
        <w:rPr>
          <w:rFonts w:hint="eastAsia" w:ascii="仿宋" w:hAnsi="仿宋" w:eastAsia="仿宋" w:cs="仿宋"/>
          <w:color w:val="000000"/>
          <w:sz w:val="28"/>
          <w:szCs w:val="28"/>
          <w:highlight w:val="none"/>
        </w:rPr>
        <w:t>九、</w:t>
      </w:r>
      <w:bookmarkEnd w:id="781"/>
      <w:bookmarkEnd w:id="782"/>
      <w:bookmarkEnd w:id="783"/>
      <w:bookmarkEnd w:id="784"/>
      <w:bookmarkStart w:id="791" w:name="_Toc10334"/>
      <w:bookmarkStart w:id="792" w:name="_Toc13978"/>
      <w:bookmarkStart w:id="793" w:name="_Toc20994"/>
      <w:bookmarkStart w:id="794" w:name="_Toc8823"/>
      <w:bookmarkStart w:id="795" w:name="_Toc22100"/>
      <w:bookmarkStart w:id="796" w:name="_Toc20997"/>
      <w:bookmarkStart w:id="797" w:name="_Toc2376"/>
      <w:bookmarkStart w:id="798" w:name="_Toc780"/>
      <w:bookmarkStart w:id="799" w:name="_Toc7237"/>
      <w:bookmarkStart w:id="800" w:name="_Toc2214"/>
      <w:bookmarkStart w:id="801" w:name="_Toc526"/>
      <w:bookmarkStart w:id="802" w:name="_Toc18805"/>
      <w:r>
        <w:rPr>
          <w:rFonts w:hint="eastAsia" w:ascii="仿宋" w:hAnsi="仿宋" w:eastAsia="仿宋" w:cs="仿宋"/>
          <w:color w:val="000000"/>
          <w:sz w:val="28"/>
          <w:szCs w:val="28"/>
          <w:highlight w:val="none"/>
        </w:rPr>
        <w:t>采购人和成交供应商的权利义务</w:t>
      </w:r>
      <w:bookmarkEnd w:id="785"/>
      <w:bookmarkEnd w:id="786"/>
      <w:bookmarkEnd w:id="787"/>
      <w:bookmarkEnd w:id="788"/>
      <w:bookmarkEnd w:id="789"/>
      <w:bookmarkEnd w:id="790"/>
      <w:bookmarkEnd w:id="791"/>
      <w:bookmarkEnd w:id="792"/>
      <w:bookmarkEnd w:id="793"/>
    </w:p>
    <w:p w14:paraId="2AEE54A3">
      <w:pPr>
        <w:spacing w:line="500" w:lineRule="exact"/>
        <w:ind w:firstLine="566" w:firstLineChars="200"/>
        <w:rPr>
          <w:rFonts w:ascii="仿宋" w:hAnsi="仿宋" w:eastAsia="仿宋" w:cs="仿宋"/>
          <w:highlight w:val="none"/>
        </w:rPr>
      </w:pPr>
      <w:r>
        <w:rPr>
          <w:rFonts w:hint="eastAsia" w:ascii="仿宋" w:hAnsi="仿宋" w:eastAsia="仿宋" w:cs="仿宋"/>
          <w:highlight w:val="none"/>
        </w:rPr>
        <w:t>（一）采购人权利与义务</w:t>
      </w:r>
    </w:p>
    <w:p w14:paraId="60399D22">
      <w:pPr>
        <w:widowControl w:val="0"/>
        <w:spacing w:line="500" w:lineRule="exact"/>
        <w:ind w:firstLine="566" w:firstLineChars="200"/>
        <w:rPr>
          <w:rFonts w:ascii="仿宋" w:hAnsi="仿宋" w:eastAsia="仿宋" w:cs="仿宋"/>
          <w:highlight w:val="none"/>
        </w:rPr>
      </w:pPr>
      <w:r>
        <w:rPr>
          <w:rFonts w:hint="eastAsia" w:ascii="仿宋" w:hAnsi="仿宋" w:eastAsia="仿宋" w:cs="仿宋"/>
          <w:highlight w:val="none"/>
        </w:rPr>
        <w:t>1、检查监督成交供应商服务工作的实施及合同的执行情况，每月对成交供应商的服务工作进行考核。</w:t>
      </w:r>
    </w:p>
    <w:p w14:paraId="10CE60BA">
      <w:pPr>
        <w:widowControl w:val="0"/>
        <w:spacing w:line="500" w:lineRule="exact"/>
        <w:ind w:firstLine="566" w:firstLineChars="200"/>
        <w:rPr>
          <w:rFonts w:ascii="仿宋" w:hAnsi="仿宋" w:eastAsia="仿宋" w:cs="仿宋"/>
          <w:highlight w:val="none"/>
        </w:rPr>
      </w:pPr>
      <w:r>
        <w:rPr>
          <w:rFonts w:hint="eastAsia" w:ascii="仿宋" w:hAnsi="仿宋" w:eastAsia="仿宋" w:cs="仿宋"/>
          <w:highlight w:val="none"/>
        </w:rPr>
        <w:t>2、采购人有权向成交供应商就物业服务事项不满意现象提出改进意见和建议。成交供应商应在三个工作日内进行整改，整改后若</w:t>
      </w:r>
      <w:r>
        <w:rPr>
          <w:rFonts w:hint="eastAsia" w:ascii="仿宋" w:hAnsi="仿宋" w:eastAsia="仿宋" w:cs="仿宋"/>
          <w:highlight w:val="none"/>
          <w:lang w:val="en-US" w:eastAsia="zh-CN"/>
        </w:rPr>
        <w:t>仍</w:t>
      </w:r>
      <w:r>
        <w:rPr>
          <w:rFonts w:hint="eastAsia" w:ascii="仿宋" w:hAnsi="仿宋" w:eastAsia="仿宋" w:cs="仿宋"/>
          <w:highlight w:val="none"/>
        </w:rPr>
        <w:t>未达到采购人标准的，按照合同金额的0.03%予以处罚。</w:t>
      </w:r>
    </w:p>
    <w:p w14:paraId="7C386293">
      <w:pPr>
        <w:widowControl w:val="0"/>
        <w:spacing w:line="500" w:lineRule="exact"/>
        <w:ind w:firstLine="566" w:firstLineChars="200"/>
        <w:rPr>
          <w:rFonts w:ascii="仿宋" w:hAnsi="仿宋" w:eastAsia="仿宋" w:cs="仿宋"/>
          <w:highlight w:val="none"/>
        </w:rPr>
      </w:pPr>
      <w:r>
        <w:rPr>
          <w:rFonts w:hint="eastAsia" w:ascii="仿宋" w:hAnsi="仿宋" w:eastAsia="仿宋" w:cs="仿宋"/>
          <w:highlight w:val="none"/>
        </w:rPr>
        <w:t>3、采购人应按时向成交供应商支付安保管理服务费。</w:t>
      </w:r>
    </w:p>
    <w:p w14:paraId="11D70F4E">
      <w:pPr>
        <w:spacing w:line="500" w:lineRule="exact"/>
        <w:ind w:firstLine="566" w:firstLineChars="200"/>
        <w:rPr>
          <w:rFonts w:ascii="仿宋" w:hAnsi="仿宋" w:eastAsia="仿宋" w:cs="仿宋"/>
          <w:highlight w:val="none"/>
        </w:rPr>
      </w:pPr>
      <w:r>
        <w:rPr>
          <w:rFonts w:hint="eastAsia" w:ascii="仿宋" w:hAnsi="仿宋" w:eastAsia="仿宋" w:cs="仿宋"/>
          <w:highlight w:val="none"/>
        </w:rPr>
        <w:t>（二）成交供应商权利与义务</w:t>
      </w:r>
    </w:p>
    <w:p w14:paraId="098E85FE">
      <w:pPr>
        <w:widowControl w:val="0"/>
        <w:spacing w:line="500" w:lineRule="exact"/>
        <w:ind w:firstLine="566" w:firstLineChars="200"/>
        <w:rPr>
          <w:rFonts w:ascii="仿宋" w:hAnsi="仿宋" w:eastAsia="仿宋" w:cs="仿宋"/>
          <w:highlight w:val="none"/>
        </w:rPr>
      </w:pPr>
      <w:r>
        <w:rPr>
          <w:rFonts w:hint="eastAsia" w:ascii="仿宋" w:hAnsi="仿宋" w:eastAsia="仿宋" w:cs="仿宋"/>
          <w:highlight w:val="none"/>
        </w:rPr>
        <w:t>1、根据有关法律法规及合同相关条款制订具体的物业服务制度。</w:t>
      </w:r>
    </w:p>
    <w:p w14:paraId="048A5B80">
      <w:pPr>
        <w:widowControl w:val="0"/>
        <w:spacing w:line="500" w:lineRule="exact"/>
        <w:ind w:firstLine="566" w:firstLineChars="200"/>
        <w:rPr>
          <w:rFonts w:ascii="仿宋" w:hAnsi="仿宋" w:eastAsia="仿宋" w:cs="仿宋"/>
          <w:highlight w:val="none"/>
        </w:rPr>
      </w:pPr>
      <w:r>
        <w:rPr>
          <w:rFonts w:hint="eastAsia" w:ascii="仿宋" w:hAnsi="仿宋" w:eastAsia="仿宋" w:cs="仿宋"/>
          <w:highlight w:val="none"/>
        </w:rPr>
        <w:t>2、按照合同约定向采购人提供服务，保证服务的及时性和有效性。</w:t>
      </w:r>
    </w:p>
    <w:p w14:paraId="1B988982">
      <w:pPr>
        <w:widowControl w:val="0"/>
        <w:spacing w:line="500" w:lineRule="exact"/>
        <w:ind w:firstLine="566" w:firstLineChars="200"/>
        <w:rPr>
          <w:rFonts w:ascii="仿宋" w:hAnsi="仿宋" w:eastAsia="仿宋" w:cs="仿宋"/>
          <w:highlight w:val="none"/>
        </w:rPr>
      </w:pPr>
      <w:r>
        <w:rPr>
          <w:rFonts w:hint="eastAsia" w:ascii="仿宋" w:hAnsi="仿宋" w:eastAsia="仿宋" w:cs="仿宋"/>
          <w:highlight w:val="none"/>
        </w:rPr>
        <w:t>3、落实安全管理制度，协助采购人认真做好维护公共治安秩序的工作。</w:t>
      </w:r>
    </w:p>
    <w:p w14:paraId="619B83D7">
      <w:pPr>
        <w:widowControl w:val="0"/>
        <w:spacing w:line="500" w:lineRule="exact"/>
        <w:ind w:firstLine="566" w:firstLineChars="200"/>
        <w:rPr>
          <w:rFonts w:ascii="仿宋" w:hAnsi="仿宋" w:eastAsia="仿宋" w:cs="仿宋"/>
          <w:highlight w:val="none"/>
        </w:rPr>
      </w:pPr>
      <w:r>
        <w:rPr>
          <w:rFonts w:hint="eastAsia" w:ascii="仿宋" w:hAnsi="仿宋" w:eastAsia="仿宋" w:cs="仿宋"/>
          <w:highlight w:val="none"/>
        </w:rPr>
        <w:t>4、成交供应商有义务配合采购人协调处理与合同及各具体服务条款有关的事宜。</w:t>
      </w:r>
    </w:p>
    <w:bookmarkEnd w:id="794"/>
    <w:bookmarkEnd w:id="795"/>
    <w:p w14:paraId="6371AB28">
      <w:pPr>
        <w:pStyle w:val="3"/>
        <w:keepNext w:val="0"/>
        <w:spacing w:line="500" w:lineRule="exact"/>
        <w:ind w:firstLine="566" w:firstLineChars="200"/>
        <w:rPr>
          <w:rFonts w:ascii="仿宋" w:hAnsi="仿宋" w:eastAsia="仿宋" w:cs="仿宋"/>
          <w:color w:val="000000"/>
          <w:sz w:val="28"/>
          <w:szCs w:val="28"/>
          <w:highlight w:val="none"/>
        </w:rPr>
      </w:pPr>
      <w:bookmarkStart w:id="803" w:name="_Toc10182"/>
      <w:bookmarkStart w:id="804" w:name="_Toc19704"/>
      <w:bookmarkStart w:id="805" w:name="_Toc11450"/>
      <w:bookmarkStart w:id="806" w:name="_Toc12108"/>
      <w:bookmarkStart w:id="807" w:name="_Toc12046"/>
      <w:bookmarkStart w:id="808" w:name="_Toc24480"/>
      <w:bookmarkStart w:id="809" w:name="_Toc16771"/>
      <w:bookmarkStart w:id="810" w:name="_Toc23604"/>
      <w:bookmarkStart w:id="811" w:name="_Toc7117"/>
      <w:bookmarkStart w:id="812" w:name="_Toc20036"/>
      <w:bookmarkStart w:id="813" w:name="_Toc9937"/>
      <w:r>
        <w:rPr>
          <w:rFonts w:hint="eastAsia" w:ascii="仿宋" w:hAnsi="仿宋" w:eastAsia="仿宋" w:cs="仿宋"/>
          <w:color w:val="000000"/>
          <w:sz w:val="28"/>
          <w:szCs w:val="28"/>
          <w:highlight w:val="none"/>
        </w:rPr>
        <w:t>十、合同生效及其他</w:t>
      </w:r>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p>
    <w:p w14:paraId="68A1F553">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（一）本合同自签订之日起生效。</w:t>
      </w:r>
    </w:p>
    <w:p w14:paraId="61B3FDA9">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（二）合同份数由采购人和成交供应商具体商定。</w:t>
      </w:r>
    </w:p>
    <w:p w14:paraId="452A8712">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（三）未尽事宜由双方在签订合同时具体明确。</w:t>
      </w:r>
    </w:p>
    <w:p w14:paraId="0DE3C6C3">
      <w:pPr>
        <w:pStyle w:val="2"/>
        <w:widowControl w:val="0"/>
        <w:spacing w:line="500" w:lineRule="exact"/>
        <w:ind w:firstLine="566" w:firstLineChars="200"/>
        <w:rPr>
          <w:rFonts w:ascii="黑体" w:hAnsi="黑体" w:eastAsia="黑体" w:cs="Times New Roman"/>
          <w:b w:val="0"/>
          <w:bCs w:val="0"/>
          <w:sz w:val="32"/>
          <w:szCs w:val="32"/>
          <w:highlight w:val="none"/>
        </w:rPr>
      </w:pPr>
      <w:r>
        <w:rPr>
          <w:rFonts w:hint="eastAsia" w:ascii="仿宋" w:hAnsi="仿宋" w:cs="仿宋"/>
          <w:b w:val="0"/>
          <w:bCs w:val="0"/>
          <w:sz w:val="28"/>
          <w:szCs w:val="28"/>
          <w:highlight w:val="none"/>
        </w:rPr>
        <w:br w:type="page"/>
      </w:r>
      <w:bookmarkStart w:id="814" w:name="_Toc32475"/>
      <w:bookmarkStart w:id="815" w:name="_Toc31928"/>
      <w:bookmarkStart w:id="816" w:name="_Toc3151"/>
      <w:bookmarkStart w:id="817" w:name="_Toc31051"/>
      <w:bookmarkStart w:id="818" w:name="_Toc5316"/>
      <w:bookmarkStart w:id="819" w:name="_Toc28153"/>
      <w:bookmarkStart w:id="820" w:name="_Toc23684"/>
      <w:bookmarkStart w:id="821" w:name="_Toc4250"/>
      <w:bookmarkStart w:id="822" w:name="_Toc21233"/>
      <w:bookmarkStart w:id="823" w:name="_Toc29889"/>
      <w:bookmarkStart w:id="824" w:name="_Toc22895"/>
      <w:r>
        <w:rPr>
          <w:rFonts w:hint="eastAsia" w:ascii="黑体" w:hAnsi="黑体" w:eastAsia="黑体" w:cs="黑体"/>
          <w:b w:val="0"/>
          <w:bCs w:val="0"/>
          <w:sz w:val="32"/>
          <w:szCs w:val="32"/>
          <w:highlight w:val="none"/>
        </w:rPr>
        <w:t>第五章  响应文件构成及格式</w:t>
      </w:r>
      <w:bookmarkEnd w:id="755"/>
      <w:bookmarkEnd w:id="756"/>
      <w:bookmarkEnd w:id="757"/>
      <w:bookmarkEnd w:id="758"/>
      <w:bookmarkEnd w:id="759"/>
      <w:bookmarkEnd w:id="760"/>
      <w:bookmarkEnd w:id="761"/>
      <w:bookmarkEnd w:id="762"/>
      <w:bookmarkEnd w:id="763"/>
      <w:bookmarkEnd w:id="764"/>
      <w:bookmarkEnd w:id="765"/>
      <w:bookmarkEnd w:id="814"/>
      <w:bookmarkEnd w:id="815"/>
      <w:bookmarkEnd w:id="816"/>
      <w:bookmarkEnd w:id="817"/>
      <w:bookmarkEnd w:id="818"/>
      <w:bookmarkEnd w:id="819"/>
      <w:bookmarkEnd w:id="820"/>
      <w:bookmarkEnd w:id="821"/>
      <w:bookmarkEnd w:id="822"/>
      <w:bookmarkEnd w:id="823"/>
      <w:bookmarkEnd w:id="824"/>
    </w:p>
    <w:p w14:paraId="49B4AE3B">
      <w:pPr>
        <w:widowControl w:val="0"/>
        <w:rPr>
          <w:rFonts w:cs="Times New Roman"/>
          <w:color w:val="000000"/>
          <w:highlight w:val="none"/>
        </w:rPr>
      </w:pPr>
    </w:p>
    <w:p w14:paraId="1AAF8B95">
      <w:pPr>
        <w:widowControl w:val="0"/>
        <w:rPr>
          <w:rFonts w:cs="Times New Roman"/>
          <w:color w:val="000000"/>
          <w:highlight w:val="none"/>
        </w:rPr>
      </w:pPr>
    </w:p>
    <w:tbl>
      <w:tblPr>
        <w:tblStyle w:val="21"/>
        <w:tblW w:w="81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90"/>
      </w:tblGrid>
      <w:tr w14:paraId="15A49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 w:hRule="atLeast"/>
          <w:jc w:val="center"/>
        </w:trPr>
        <w:tc>
          <w:tcPr>
            <w:tcW w:w="8190" w:type="dxa"/>
          </w:tcPr>
          <w:p w14:paraId="5956890B">
            <w:pPr>
              <w:widowControl w:val="0"/>
              <w:spacing w:before="120"/>
              <w:rPr>
                <w:rFonts w:ascii="仿宋" w:hAnsi="仿宋" w:eastAsia="仿宋" w:cs="仿宋"/>
                <w:color w:val="000000"/>
                <w:sz w:val="24"/>
                <w:szCs w:val="24"/>
                <w:highlight w:val="none"/>
              </w:rPr>
            </w:pPr>
            <w:r>
              <w:rPr>
                <w:rFonts w:hint="eastAsia" w:ascii="仿宋" w:hAnsi="仿宋" w:eastAsia="仿宋" w:cs="仿宋"/>
                <w:color w:val="000000"/>
                <w:sz w:val="24"/>
                <w:szCs w:val="24"/>
                <w:highlight w:val="none"/>
              </w:rPr>
              <w:t>注释：</w:t>
            </w:r>
          </w:p>
          <w:p w14:paraId="67975925">
            <w:pPr>
              <w:widowControl w:val="0"/>
              <w:spacing w:before="120" w:line="420" w:lineRule="exact"/>
              <w:ind w:firstLine="486" w:firstLineChars="200"/>
              <w:jc w:val="left"/>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1</w:t>
            </w:r>
            <w:r>
              <w:rPr>
                <w:rFonts w:hint="eastAsia" w:ascii="仿宋" w:hAnsi="仿宋" w:eastAsia="仿宋" w:cs="仿宋"/>
                <w:color w:val="000000"/>
                <w:sz w:val="24"/>
                <w:szCs w:val="24"/>
                <w:highlight w:val="none"/>
              </w:rPr>
              <w:t>、本章分为三部分，是为方便供应商制作响应文件设计。第一、二部分应按要求或给定格式选择填报。</w:t>
            </w:r>
          </w:p>
          <w:p w14:paraId="135C5C53">
            <w:pPr>
              <w:widowControl w:val="0"/>
              <w:spacing w:before="120" w:line="420" w:lineRule="exact"/>
              <w:ind w:firstLine="486" w:firstLineChars="200"/>
              <w:jc w:val="left"/>
              <w:rPr>
                <w:rFonts w:ascii="仿宋" w:hAnsi="仿宋" w:eastAsia="仿宋" w:cs="Times New Roman"/>
                <w:color w:val="000000"/>
                <w:sz w:val="24"/>
                <w:szCs w:val="24"/>
                <w:highlight w:val="none"/>
              </w:rPr>
            </w:pPr>
            <w:r>
              <w:rPr>
                <w:rFonts w:ascii="仿宋" w:hAnsi="仿宋" w:eastAsia="仿宋" w:cs="仿宋"/>
                <w:color w:val="000000"/>
                <w:sz w:val="24"/>
                <w:szCs w:val="24"/>
                <w:highlight w:val="none"/>
              </w:rPr>
              <w:t>2</w:t>
            </w:r>
            <w:r>
              <w:rPr>
                <w:rFonts w:hint="eastAsia" w:ascii="仿宋" w:hAnsi="仿宋" w:eastAsia="仿宋" w:cs="仿宋"/>
                <w:color w:val="000000"/>
                <w:sz w:val="24"/>
                <w:szCs w:val="24"/>
                <w:highlight w:val="none"/>
              </w:rPr>
              <w:t>、第三部分响应方案格式仅供参考，供应商应根据项目特点，结合本次磋商要求，对有关表格进行补充或修改，但不得对实质性文件的相关条款作出变动。</w:t>
            </w:r>
          </w:p>
        </w:tc>
      </w:tr>
    </w:tbl>
    <w:p w14:paraId="175D48DE">
      <w:pPr>
        <w:pStyle w:val="29"/>
        <w:widowControl w:val="0"/>
        <w:spacing w:line="240" w:lineRule="auto"/>
        <w:ind w:firstLine="0" w:firstLineChars="0"/>
        <w:rPr>
          <w:rFonts w:ascii="黑体" w:hAnsi="黑体" w:eastAsia="黑体" w:cs="Times New Roman"/>
          <w:color w:val="000000"/>
          <w:highlight w:val="none"/>
        </w:rPr>
      </w:pPr>
    </w:p>
    <w:p w14:paraId="306991CB">
      <w:pPr>
        <w:pStyle w:val="29"/>
        <w:widowControl w:val="0"/>
        <w:spacing w:line="240" w:lineRule="auto"/>
        <w:ind w:firstLine="0" w:firstLineChars="0"/>
        <w:rPr>
          <w:rFonts w:ascii="黑体" w:hAnsi="黑体" w:eastAsia="黑体" w:cs="Times New Roman"/>
          <w:color w:val="000000"/>
          <w:highlight w:val="none"/>
        </w:rPr>
      </w:pPr>
    </w:p>
    <w:p w14:paraId="2AE6486A">
      <w:pPr>
        <w:pStyle w:val="29"/>
        <w:widowControl w:val="0"/>
        <w:spacing w:line="240" w:lineRule="auto"/>
        <w:ind w:firstLine="0" w:firstLineChars="0"/>
        <w:rPr>
          <w:rFonts w:ascii="黑体" w:hAnsi="黑体" w:eastAsia="黑体" w:cs="Times New Roman"/>
          <w:color w:val="000000"/>
          <w:highlight w:val="none"/>
        </w:rPr>
      </w:pPr>
    </w:p>
    <w:p w14:paraId="4880EBBA">
      <w:pPr>
        <w:pStyle w:val="29"/>
        <w:widowControl w:val="0"/>
        <w:spacing w:line="240" w:lineRule="auto"/>
        <w:ind w:firstLine="0" w:firstLineChars="0"/>
        <w:rPr>
          <w:rFonts w:ascii="黑体" w:hAnsi="黑体" w:eastAsia="黑体" w:cs="Times New Roman"/>
          <w:color w:val="000000"/>
          <w:highlight w:val="none"/>
        </w:rPr>
      </w:pPr>
    </w:p>
    <w:p w14:paraId="5542A3D6">
      <w:pPr>
        <w:pStyle w:val="29"/>
        <w:widowControl w:val="0"/>
        <w:spacing w:line="240" w:lineRule="auto"/>
        <w:ind w:firstLine="0" w:firstLineChars="0"/>
        <w:rPr>
          <w:rFonts w:ascii="黑体" w:hAnsi="黑体" w:eastAsia="黑体" w:cs="Times New Roman"/>
          <w:color w:val="000000"/>
          <w:highlight w:val="none"/>
        </w:rPr>
      </w:pPr>
    </w:p>
    <w:p w14:paraId="45C36C5D">
      <w:pPr>
        <w:pStyle w:val="29"/>
        <w:widowControl w:val="0"/>
        <w:spacing w:line="240" w:lineRule="auto"/>
        <w:ind w:firstLine="0" w:firstLineChars="0"/>
        <w:rPr>
          <w:rFonts w:ascii="黑体" w:hAnsi="黑体" w:eastAsia="黑体" w:cs="Times New Roman"/>
          <w:color w:val="000000"/>
          <w:highlight w:val="none"/>
        </w:rPr>
      </w:pPr>
    </w:p>
    <w:p w14:paraId="43B1E8A8">
      <w:pPr>
        <w:pStyle w:val="29"/>
        <w:widowControl w:val="0"/>
        <w:spacing w:line="240" w:lineRule="auto"/>
        <w:ind w:firstLine="0" w:firstLineChars="0"/>
        <w:rPr>
          <w:rFonts w:ascii="黑体" w:hAnsi="黑体" w:eastAsia="黑体" w:cs="Times New Roman"/>
          <w:color w:val="000000"/>
          <w:highlight w:val="none"/>
        </w:rPr>
      </w:pPr>
    </w:p>
    <w:p w14:paraId="00C72412">
      <w:pPr>
        <w:pStyle w:val="29"/>
        <w:widowControl w:val="0"/>
        <w:spacing w:line="240" w:lineRule="auto"/>
        <w:ind w:firstLine="0" w:firstLineChars="0"/>
        <w:rPr>
          <w:rFonts w:ascii="黑体" w:hAnsi="黑体" w:eastAsia="黑体" w:cs="Times New Roman"/>
          <w:color w:val="000000"/>
          <w:highlight w:val="none"/>
        </w:rPr>
      </w:pPr>
    </w:p>
    <w:p w14:paraId="2CEE0A23">
      <w:pPr>
        <w:pStyle w:val="29"/>
        <w:widowControl w:val="0"/>
        <w:spacing w:line="240" w:lineRule="auto"/>
        <w:ind w:firstLine="0" w:firstLineChars="0"/>
        <w:rPr>
          <w:rFonts w:ascii="黑体" w:hAnsi="黑体" w:eastAsia="黑体" w:cs="Times New Roman"/>
          <w:color w:val="000000"/>
          <w:highlight w:val="none"/>
        </w:rPr>
      </w:pPr>
    </w:p>
    <w:p w14:paraId="48254E55">
      <w:pPr>
        <w:pStyle w:val="29"/>
        <w:widowControl w:val="0"/>
        <w:spacing w:line="240" w:lineRule="auto"/>
        <w:ind w:firstLine="0" w:firstLineChars="0"/>
        <w:rPr>
          <w:rFonts w:ascii="黑体" w:hAnsi="黑体" w:eastAsia="黑体" w:cs="Times New Roman"/>
          <w:color w:val="000000"/>
          <w:highlight w:val="none"/>
        </w:rPr>
      </w:pPr>
    </w:p>
    <w:p w14:paraId="0D1BB585">
      <w:pPr>
        <w:pStyle w:val="29"/>
        <w:widowControl w:val="0"/>
        <w:spacing w:line="240" w:lineRule="auto"/>
        <w:ind w:firstLine="0" w:firstLineChars="0"/>
        <w:rPr>
          <w:rFonts w:ascii="黑体" w:hAnsi="黑体" w:eastAsia="黑体" w:cs="Times New Roman"/>
          <w:color w:val="000000"/>
          <w:highlight w:val="none"/>
        </w:rPr>
      </w:pPr>
    </w:p>
    <w:p w14:paraId="06B1EEC3">
      <w:pPr>
        <w:pStyle w:val="29"/>
        <w:widowControl w:val="0"/>
        <w:spacing w:line="240" w:lineRule="auto"/>
        <w:ind w:firstLine="0" w:firstLineChars="0"/>
        <w:rPr>
          <w:rFonts w:ascii="黑体" w:hAnsi="黑体" w:eastAsia="黑体" w:cs="Times New Roman"/>
          <w:color w:val="000000"/>
          <w:highlight w:val="none"/>
        </w:rPr>
      </w:pPr>
    </w:p>
    <w:p w14:paraId="5CB21ACA">
      <w:pPr>
        <w:pStyle w:val="29"/>
        <w:widowControl w:val="0"/>
        <w:spacing w:line="240" w:lineRule="auto"/>
        <w:ind w:firstLine="0" w:firstLineChars="0"/>
        <w:rPr>
          <w:rFonts w:ascii="黑体" w:hAnsi="黑体" w:eastAsia="黑体" w:cs="Times New Roman"/>
          <w:color w:val="000000"/>
          <w:highlight w:val="none"/>
        </w:rPr>
      </w:pPr>
    </w:p>
    <w:p w14:paraId="2A9E7FEA">
      <w:pPr>
        <w:pStyle w:val="29"/>
        <w:widowControl w:val="0"/>
        <w:spacing w:line="240" w:lineRule="auto"/>
        <w:ind w:firstLine="0" w:firstLineChars="0"/>
        <w:rPr>
          <w:rFonts w:ascii="黑体" w:hAnsi="黑体" w:eastAsia="黑体" w:cs="Times New Roman"/>
          <w:color w:val="000000"/>
          <w:highlight w:val="none"/>
        </w:rPr>
      </w:pPr>
    </w:p>
    <w:p w14:paraId="32CE03B8">
      <w:pPr>
        <w:pStyle w:val="29"/>
        <w:widowControl w:val="0"/>
        <w:spacing w:line="240" w:lineRule="auto"/>
        <w:ind w:firstLine="0" w:firstLineChars="0"/>
        <w:rPr>
          <w:rFonts w:ascii="黑体" w:hAnsi="黑体" w:eastAsia="黑体" w:cs="Times New Roman"/>
          <w:color w:val="000000"/>
          <w:highlight w:val="none"/>
        </w:rPr>
      </w:pPr>
    </w:p>
    <w:p w14:paraId="5E9A5B5C">
      <w:pPr>
        <w:pStyle w:val="29"/>
        <w:widowControl w:val="0"/>
        <w:spacing w:line="240" w:lineRule="auto"/>
        <w:ind w:firstLine="0" w:firstLineChars="0"/>
        <w:rPr>
          <w:rFonts w:ascii="黑体" w:hAnsi="黑体" w:eastAsia="黑体" w:cs="Times New Roman"/>
          <w:color w:val="000000"/>
          <w:highlight w:val="none"/>
        </w:rPr>
      </w:pPr>
    </w:p>
    <w:p w14:paraId="6C283669">
      <w:pPr>
        <w:pStyle w:val="29"/>
        <w:widowControl w:val="0"/>
        <w:spacing w:line="240" w:lineRule="auto"/>
        <w:ind w:firstLine="0" w:firstLineChars="0"/>
        <w:rPr>
          <w:rFonts w:ascii="黑体" w:hAnsi="黑体" w:eastAsia="黑体" w:cs="Times New Roman"/>
          <w:color w:val="000000"/>
          <w:highlight w:val="none"/>
        </w:rPr>
      </w:pPr>
    </w:p>
    <w:p w14:paraId="7D3749B7">
      <w:pPr>
        <w:pStyle w:val="29"/>
        <w:widowControl w:val="0"/>
        <w:spacing w:line="240" w:lineRule="auto"/>
        <w:ind w:firstLine="0" w:firstLineChars="0"/>
        <w:rPr>
          <w:rFonts w:ascii="黑体" w:hAnsi="黑体" w:eastAsia="黑体" w:cs="Times New Roman"/>
          <w:color w:val="000000"/>
          <w:highlight w:val="none"/>
        </w:rPr>
      </w:pPr>
    </w:p>
    <w:p w14:paraId="66068E1C">
      <w:pPr>
        <w:pStyle w:val="29"/>
        <w:widowControl w:val="0"/>
        <w:spacing w:line="240" w:lineRule="auto"/>
        <w:ind w:firstLine="0" w:firstLineChars="0"/>
        <w:rPr>
          <w:rFonts w:ascii="黑体" w:hAnsi="黑体" w:eastAsia="黑体" w:cs="Times New Roman"/>
          <w:color w:val="000000"/>
          <w:highlight w:val="none"/>
        </w:rPr>
      </w:pPr>
    </w:p>
    <w:p w14:paraId="6D0016FE">
      <w:pPr>
        <w:pStyle w:val="29"/>
        <w:widowControl w:val="0"/>
        <w:spacing w:line="240" w:lineRule="auto"/>
        <w:ind w:firstLine="0" w:firstLineChars="0"/>
        <w:rPr>
          <w:rFonts w:ascii="黑体" w:hAnsi="黑体" w:eastAsia="黑体" w:cs="Times New Roman"/>
          <w:color w:val="000000"/>
          <w:highlight w:val="none"/>
        </w:rPr>
      </w:pPr>
    </w:p>
    <w:p w14:paraId="6529A964">
      <w:pPr>
        <w:pStyle w:val="29"/>
        <w:widowControl w:val="0"/>
        <w:spacing w:line="240" w:lineRule="auto"/>
        <w:ind w:firstLine="0" w:firstLineChars="0"/>
        <w:rPr>
          <w:rFonts w:ascii="黑体" w:hAnsi="黑体" w:eastAsia="黑体" w:cs="Times New Roman"/>
          <w:color w:val="000000"/>
          <w:highlight w:val="none"/>
        </w:rPr>
      </w:pPr>
    </w:p>
    <w:p w14:paraId="48382828">
      <w:pPr>
        <w:pStyle w:val="29"/>
        <w:widowControl w:val="0"/>
        <w:spacing w:line="240" w:lineRule="auto"/>
        <w:ind w:firstLine="0" w:firstLineChars="0"/>
        <w:rPr>
          <w:rFonts w:ascii="黑体" w:hAnsi="黑体" w:eastAsia="黑体" w:cs="Times New Roman"/>
          <w:color w:val="000000"/>
          <w:highlight w:val="none"/>
        </w:rPr>
      </w:pPr>
    </w:p>
    <w:p w14:paraId="7EEDF1A4">
      <w:pPr>
        <w:pStyle w:val="29"/>
        <w:widowControl w:val="0"/>
        <w:spacing w:line="240" w:lineRule="auto"/>
        <w:ind w:firstLine="0" w:firstLineChars="0"/>
        <w:rPr>
          <w:rFonts w:ascii="黑体" w:hAnsi="黑体" w:eastAsia="黑体" w:cs="Times New Roman"/>
          <w:color w:val="000000"/>
          <w:highlight w:val="none"/>
        </w:rPr>
      </w:pPr>
    </w:p>
    <w:p w14:paraId="074EEBCB">
      <w:pPr>
        <w:pStyle w:val="29"/>
        <w:widowControl w:val="0"/>
        <w:spacing w:line="240" w:lineRule="auto"/>
        <w:ind w:firstLine="0" w:firstLineChars="0"/>
        <w:rPr>
          <w:rFonts w:ascii="黑体" w:hAnsi="黑体" w:eastAsia="黑体" w:cs="Times New Roman"/>
          <w:color w:val="000000"/>
          <w:highlight w:val="none"/>
        </w:rPr>
      </w:pPr>
    </w:p>
    <w:p w14:paraId="49CA7C96">
      <w:pPr>
        <w:pStyle w:val="29"/>
        <w:widowControl w:val="0"/>
        <w:spacing w:line="240" w:lineRule="auto"/>
        <w:ind w:firstLine="0" w:firstLineChars="0"/>
        <w:rPr>
          <w:rFonts w:ascii="黑体" w:hAnsi="黑体" w:eastAsia="黑体" w:cs="Times New Roman"/>
          <w:color w:val="000000"/>
          <w:highlight w:val="none"/>
        </w:rPr>
      </w:pPr>
    </w:p>
    <w:p w14:paraId="57FBCEC8">
      <w:pPr>
        <w:pStyle w:val="29"/>
        <w:widowControl w:val="0"/>
        <w:spacing w:line="240" w:lineRule="auto"/>
        <w:ind w:firstLine="0" w:firstLineChars="0"/>
        <w:rPr>
          <w:rFonts w:ascii="黑体" w:hAnsi="黑体" w:eastAsia="黑体" w:cs="Times New Roman"/>
          <w:color w:val="000000"/>
          <w:highlight w:val="none"/>
        </w:rPr>
      </w:pPr>
      <w:r>
        <w:rPr>
          <w:rFonts w:hint="eastAsia" w:ascii="黑体" w:hAnsi="黑体" w:eastAsia="黑体" w:cs="黑体"/>
          <w:color w:val="000000"/>
          <w:highlight w:val="none"/>
        </w:rPr>
        <w:t>封面格式</w:t>
      </w:r>
    </w:p>
    <w:p w14:paraId="3C56B5FA">
      <w:pPr>
        <w:pStyle w:val="29"/>
        <w:widowControl w:val="0"/>
        <w:spacing w:line="240" w:lineRule="auto"/>
        <w:ind w:firstLine="253" w:firstLineChars="70"/>
        <w:jc w:val="center"/>
        <w:rPr>
          <w:rFonts w:cs="Times New Roman"/>
          <w:color w:val="000000"/>
          <w:sz w:val="36"/>
          <w:szCs w:val="36"/>
          <w:highlight w:val="none"/>
        </w:rPr>
      </w:pPr>
    </w:p>
    <w:p w14:paraId="073DE6DC">
      <w:pPr>
        <w:widowControl w:val="0"/>
        <w:spacing w:line="240" w:lineRule="auto"/>
        <w:jc w:val="center"/>
        <w:rPr>
          <w:rFonts w:cs="Times New Roman"/>
          <w:color w:val="000000"/>
          <w:sz w:val="36"/>
          <w:szCs w:val="36"/>
          <w:highlight w:val="none"/>
        </w:rPr>
      </w:pPr>
      <w:r>
        <w:rPr>
          <w:rFonts w:hint="eastAsia" w:ascii="华文中宋" w:hAnsi="华文中宋" w:eastAsia="华文中宋" w:cs="华文中宋"/>
          <w:color w:val="000000"/>
          <w:sz w:val="60"/>
          <w:szCs w:val="60"/>
          <w:highlight w:val="none"/>
        </w:rPr>
        <w:t>陕西省政府采购服务项目</w:t>
      </w:r>
    </w:p>
    <w:p w14:paraId="6DEDA08C">
      <w:pPr>
        <w:widowControl w:val="0"/>
        <w:spacing w:line="500" w:lineRule="exact"/>
        <w:ind w:right="11"/>
        <w:rPr>
          <w:rFonts w:cs="Times New Roman"/>
          <w:color w:val="000000"/>
          <w:highlight w:val="none"/>
          <w:u w:val="single"/>
        </w:rPr>
      </w:pPr>
    </w:p>
    <w:p w14:paraId="04C90B37">
      <w:pPr>
        <w:pStyle w:val="29"/>
        <w:widowControl w:val="0"/>
        <w:spacing w:line="240" w:lineRule="auto"/>
        <w:ind w:firstLine="0" w:firstLineChars="0"/>
        <w:jc w:val="center"/>
        <w:rPr>
          <w:rFonts w:ascii="华文中宋" w:hAnsi="华文中宋" w:eastAsia="华文中宋" w:cs="Times New Roman"/>
          <w:color w:val="000000"/>
          <w:sz w:val="96"/>
          <w:szCs w:val="96"/>
          <w:highlight w:val="none"/>
        </w:rPr>
      </w:pPr>
      <w:r>
        <w:rPr>
          <w:rFonts w:hint="eastAsia" w:ascii="华文中宋" w:hAnsi="华文中宋" w:eastAsia="华文中宋" w:cs="华文中宋"/>
          <w:color w:val="000000"/>
          <w:spacing w:val="323"/>
          <w:kern w:val="0"/>
          <w:sz w:val="96"/>
          <w:szCs w:val="96"/>
          <w:highlight w:val="none"/>
        </w:rPr>
        <w:t>响应文件</w:t>
      </w:r>
    </w:p>
    <w:p w14:paraId="28A3C6B5">
      <w:pPr>
        <w:pStyle w:val="29"/>
        <w:widowControl w:val="0"/>
        <w:spacing w:line="240" w:lineRule="auto"/>
        <w:ind w:firstLine="0" w:firstLineChars="0"/>
        <w:jc w:val="center"/>
        <w:rPr>
          <w:rFonts w:cs="Times New Roman"/>
          <w:color w:val="000000"/>
          <w:sz w:val="36"/>
          <w:szCs w:val="36"/>
          <w:highlight w:val="none"/>
        </w:rPr>
      </w:pPr>
    </w:p>
    <w:p w14:paraId="5B8D4FED">
      <w:pPr>
        <w:pStyle w:val="29"/>
        <w:widowControl w:val="0"/>
        <w:spacing w:line="240" w:lineRule="auto"/>
        <w:ind w:firstLine="0" w:firstLineChars="0"/>
        <w:jc w:val="center"/>
        <w:rPr>
          <w:rFonts w:cs="Times New Roman"/>
          <w:color w:val="000000"/>
          <w:sz w:val="36"/>
          <w:szCs w:val="36"/>
          <w:highlight w:val="none"/>
        </w:rPr>
      </w:pPr>
    </w:p>
    <w:p w14:paraId="1D40CA35">
      <w:pPr>
        <w:pStyle w:val="29"/>
        <w:widowControl w:val="0"/>
        <w:spacing w:line="240" w:lineRule="auto"/>
        <w:ind w:firstLine="0" w:firstLineChars="0"/>
        <w:jc w:val="center"/>
        <w:rPr>
          <w:rFonts w:cs="Times New Roman"/>
          <w:color w:val="000000"/>
          <w:sz w:val="36"/>
          <w:szCs w:val="36"/>
          <w:highlight w:val="none"/>
        </w:rPr>
      </w:pPr>
    </w:p>
    <w:p w14:paraId="2A27C389">
      <w:pPr>
        <w:pStyle w:val="29"/>
        <w:widowControl w:val="0"/>
        <w:spacing w:line="240" w:lineRule="auto"/>
        <w:ind w:firstLine="0" w:firstLineChars="0"/>
        <w:jc w:val="center"/>
        <w:rPr>
          <w:rFonts w:cs="Times New Roman"/>
          <w:color w:val="000000"/>
          <w:sz w:val="36"/>
          <w:szCs w:val="36"/>
          <w:highlight w:val="none"/>
        </w:rPr>
      </w:pPr>
    </w:p>
    <w:p w14:paraId="246951FF">
      <w:pPr>
        <w:pStyle w:val="29"/>
        <w:widowControl w:val="0"/>
        <w:spacing w:line="240" w:lineRule="auto"/>
        <w:ind w:firstLine="0" w:firstLineChars="0"/>
        <w:jc w:val="center"/>
        <w:rPr>
          <w:rFonts w:cs="Times New Roman"/>
          <w:color w:val="000000"/>
          <w:sz w:val="36"/>
          <w:szCs w:val="36"/>
          <w:highlight w:val="none"/>
        </w:rPr>
      </w:pPr>
    </w:p>
    <w:p w14:paraId="20CE466B">
      <w:pPr>
        <w:pStyle w:val="29"/>
        <w:widowControl w:val="0"/>
        <w:spacing w:line="240" w:lineRule="auto"/>
        <w:ind w:firstLine="0" w:firstLineChars="0"/>
        <w:jc w:val="center"/>
        <w:rPr>
          <w:rFonts w:cs="Times New Roman"/>
          <w:color w:val="000000"/>
          <w:sz w:val="36"/>
          <w:szCs w:val="36"/>
          <w:highlight w:val="none"/>
        </w:rPr>
      </w:pPr>
    </w:p>
    <w:p w14:paraId="26534E86">
      <w:pPr>
        <w:pStyle w:val="29"/>
        <w:widowControl w:val="0"/>
        <w:spacing w:line="240" w:lineRule="auto"/>
        <w:ind w:firstLine="1815" w:firstLineChars="500"/>
        <w:jc w:val="left"/>
        <w:rPr>
          <w:rFonts w:ascii="仿宋" w:hAnsi="仿宋" w:eastAsia="仿宋" w:cs="仿宋"/>
          <w:color w:val="000000"/>
          <w:sz w:val="36"/>
          <w:szCs w:val="36"/>
          <w:highlight w:val="none"/>
          <w:u w:val="single"/>
        </w:rPr>
      </w:pPr>
      <w:r>
        <w:rPr>
          <w:rFonts w:hint="eastAsia" w:ascii="仿宋" w:hAnsi="仿宋" w:eastAsia="仿宋" w:cs="仿宋"/>
          <w:color w:val="000000"/>
          <w:sz w:val="36"/>
          <w:szCs w:val="36"/>
          <w:highlight w:val="none"/>
        </w:rPr>
        <w:t>项目名称：</w:t>
      </w:r>
      <w:r>
        <w:rPr>
          <w:rFonts w:hint="eastAsia" w:ascii="仿宋" w:hAnsi="仿宋" w:eastAsia="仿宋" w:cs="仿宋"/>
          <w:color w:val="000000"/>
          <w:sz w:val="36"/>
          <w:szCs w:val="36"/>
          <w:highlight w:val="none"/>
          <w:u w:val="single"/>
        </w:rPr>
        <w:t xml:space="preserve">             </w:t>
      </w:r>
    </w:p>
    <w:p w14:paraId="3F514B19">
      <w:pPr>
        <w:pStyle w:val="29"/>
        <w:widowControl w:val="0"/>
        <w:spacing w:line="240" w:lineRule="auto"/>
        <w:ind w:firstLine="1815" w:firstLineChars="500"/>
        <w:rPr>
          <w:rFonts w:ascii="仿宋" w:hAnsi="仿宋" w:eastAsia="仿宋" w:cs="仿宋"/>
          <w:color w:val="000000"/>
          <w:sz w:val="36"/>
          <w:szCs w:val="36"/>
          <w:highlight w:val="none"/>
        </w:rPr>
      </w:pPr>
      <w:r>
        <w:rPr>
          <w:rFonts w:hint="eastAsia" w:ascii="仿宋" w:hAnsi="仿宋" w:eastAsia="仿宋" w:cs="仿宋"/>
          <w:color w:val="000000"/>
          <w:sz w:val="36"/>
          <w:szCs w:val="36"/>
          <w:highlight w:val="none"/>
        </w:rPr>
        <w:t>项目编号：</w:t>
      </w:r>
      <w:r>
        <w:rPr>
          <w:rFonts w:hint="eastAsia" w:ascii="仿宋" w:hAnsi="仿宋" w:eastAsia="仿宋" w:cs="仿宋"/>
          <w:color w:val="000000"/>
          <w:sz w:val="36"/>
          <w:szCs w:val="36"/>
          <w:highlight w:val="none"/>
          <w:u w:val="single"/>
        </w:rPr>
        <w:t xml:space="preserve">             </w:t>
      </w:r>
    </w:p>
    <w:p w14:paraId="25B36B22">
      <w:pPr>
        <w:pStyle w:val="29"/>
        <w:widowControl w:val="0"/>
        <w:spacing w:line="240" w:lineRule="auto"/>
        <w:ind w:firstLine="1815" w:firstLineChars="500"/>
        <w:rPr>
          <w:rFonts w:ascii="仿宋" w:hAnsi="仿宋" w:eastAsia="仿宋" w:cs="仿宋"/>
          <w:color w:val="000000"/>
          <w:sz w:val="36"/>
          <w:szCs w:val="36"/>
          <w:highlight w:val="none"/>
        </w:rPr>
      </w:pPr>
      <w:r>
        <w:rPr>
          <w:rFonts w:hint="eastAsia" w:ascii="仿宋" w:hAnsi="仿宋" w:eastAsia="仿宋" w:cs="仿宋"/>
          <w:color w:val="000000"/>
          <w:sz w:val="36"/>
          <w:szCs w:val="36"/>
          <w:highlight w:val="none"/>
        </w:rPr>
        <w:t>供 应 商：</w:t>
      </w:r>
      <w:r>
        <w:rPr>
          <w:rFonts w:hint="eastAsia" w:ascii="仿宋" w:hAnsi="仿宋" w:eastAsia="仿宋" w:cs="仿宋"/>
          <w:color w:val="000000"/>
          <w:sz w:val="36"/>
          <w:szCs w:val="36"/>
          <w:highlight w:val="none"/>
          <w:u w:val="single"/>
        </w:rPr>
        <w:t xml:space="preserve">             </w:t>
      </w:r>
      <w:r>
        <w:rPr>
          <w:rFonts w:hint="eastAsia" w:ascii="仿宋" w:hAnsi="仿宋" w:eastAsia="仿宋" w:cs="仿宋"/>
          <w:color w:val="000000"/>
          <w:sz w:val="36"/>
          <w:szCs w:val="36"/>
          <w:highlight w:val="none"/>
        </w:rPr>
        <w:t>（公章）</w:t>
      </w:r>
    </w:p>
    <w:p w14:paraId="2A2F1EB9">
      <w:pPr>
        <w:pStyle w:val="29"/>
        <w:widowControl w:val="0"/>
        <w:spacing w:line="240" w:lineRule="auto"/>
        <w:ind w:firstLine="1815" w:firstLineChars="500"/>
        <w:rPr>
          <w:rFonts w:ascii="仿宋" w:hAnsi="仿宋" w:eastAsia="仿宋" w:cs="仿宋"/>
          <w:color w:val="000000"/>
          <w:sz w:val="36"/>
          <w:szCs w:val="36"/>
          <w:highlight w:val="none"/>
          <w:u w:val="single"/>
        </w:rPr>
      </w:pPr>
      <w:r>
        <w:rPr>
          <w:rFonts w:hint="eastAsia" w:ascii="仿宋" w:hAnsi="仿宋" w:eastAsia="仿宋" w:cs="仿宋"/>
          <w:color w:val="000000"/>
          <w:sz w:val="36"/>
          <w:szCs w:val="36"/>
          <w:highlight w:val="none"/>
        </w:rPr>
        <w:t>时　  间：</w:t>
      </w:r>
      <w:r>
        <w:rPr>
          <w:rFonts w:hint="eastAsia" w:ascii="仿宋" w:hAnsi="仿宋" w:eastAsia="仿宋" w:cs="仿宋"/>
          <w:color w:val="000000"/>
          <w:sz w:val="36"/>
          <w:szCs w:val="36"/>
          <w:highlight w:val="none"/>
          <w:u w:val="single"/>
        </w:rPr>
        <w:t xml:space="preserve">             </w:t>
      </w:r>
    </w:p>
    <w:p w14:paraId="44224DE6">
      <w:pPr>
        <w:widowControl w:val="0"/>
        <w:tabs>
          <w:tab w:val="right" w:leader="hyphen" w:pos="8504"/>
        </w:tabs>
        <w:spacing w:line="500" w:lineRule="exact"/>
        <w:ind w:firstLine="1815" w:firstLineChars="500"/>
        <w:rPr>
          <w:color w:val="000000"/>
          <w:highlight w:val="none"/>
        </w:rPr>
      </w:pPr>
      <w:r>
        <w:rPr>
          <w:rFonts w:hint="eastAsia" w:ascii="黑体" w:hAnsi="黑体" w:eastAsia="黑体" w:cs="黑体"/>
          <w:color w:val="000000"/>
          <w:sz w:val="36"/>
          <w:szCs w:val="36"/>
          <w:highlight w:val="none"/>
        </w:rPr>
        <w:br w:type="page"/>
      </w:r>
    </w:p>
    <w:p w14:paraId="59B51667">
      <w:pPr>
        <w:widowControl w:val="0"/>
        <w:tabs>
          <w:tab w:val="right" w:leader="hyphen" w:pos="8504"/>
        </w:tabs>
        <w:spacing w:line="500" w:lineRule="exact"/>
        <w:ind w:left="2381" w:leftChars="200" w:right="849" w:rightChars="300" w:hanging="1815" w:hangingChars="500"/>
        <w:jc w:val="center"/>
        <w:rPr>
          <w:rFonts w:ascii="黑体" w:hAnsi="黑体" w:eastAsia="黑体" w:cs="黑体"/>
          <w:color w:val="000000"/>
          <w:sz w:val="36"/>
          <w:szCs w:val="36"/>
          <w:highlight w:val="none"/>
        </w:rPr>
      </w:pPr>
      <w:r>
        <w:rPr>
          <w:rFonts w:hint="eastAsia" w:ascii="黑体" w:hAnsi="黑体" w:eastAsia="黑体" w:cs="黑体"/>
          <w:color w:val="000000"/>
          <w:sz w:val="36"/>
          <w:szCs w:val="36"/>
          <w:highlight w:val="none"/>
        </w:rPr>
        <w:t>目  录</w:t>
      </w:r>
    </w:p>
    <w:p w14:paraId="610B4C1F">
      <w:pPr>
        <w:widowControl w:val="0"/>
        <w:tabs>
          <w:tab w:val="right" w:leader="hyphen" w:pos="8504"/>
        </w:tabs>
        <w:spacing w:line="500" w:lineRule="exact"/>
        <w:ind w:left="1981" w:leftChars="200" w:right="849" w:rightChars="300" w:hanging="1415" w:hangingChars="500"/>
        <w:rPr>
          <w:rFonts w:ascii="仿宋" w:hAnsi="仿宋" w:eastAsia="仿宋" w:cs="仿宋"/>
          <w:b/>
          <w:bCs/>
          <w:color w:val="000000"/>
          <w:highlight w:val="none"/>
        </w:rPr>
      </w:pPr>
      <w:r>
        <w:rPr>
          <w:rFonts w:hint="eastAsia" w:ascii="仿宋" w:hAnsi="仿宋" w:eastAsia="仿宋" w:cs="仿宋"/>
          <w:b/>
          <w:bCs/>
          <w:color w:val="000000"/>
          <w:highlight w:val="none"/>
        </w:rPr>
        <w:t>第一部分  资格证明文件</w:t>
      </w:r>
      <w:r>
        <w:rPr>
          <w:rFonts w:hint="eastAsia" w:ascii="仿宋" w:hAnsi="仿宋" w:eastAsia="仿宋" w:cs="仿宋"/>
          <w:b/>
          <w:bCs/>
          <w:color w:val="000000"/>
          <w:highlight w:val="none"/>
        </w:rPr>
        <w:tab/>
      </w:r>
      <w:r>
        <w:rPr>
          <w:rFonts w:hint="eastAsia" w:ascii="仿宋" w:hAnsi="仿宋" w:eastAsia="仿宋" w:cs="仿宋"/>
          <w:b/>
          <w:bCs/>
          <w:color w:val="000000"/>
          <w:highlight w:val="none"/>
        </w:rPr>
        <w:t>X</w:t>
      </w:r>
    </w:p>
    <w:p w14:paraId="2ABA2B38">
      <w:pPr>
        <w:widowControl w:val="0"/>
        <w:tabs>
          <w:tab w:val="right" w:leader="hyphen" w:pos="8504"/>
        </w:tabs>
        <w:spacing w:line="500" w:lineRule="exact"/>
        <w:ind w:left="1981" w:leftChars="200" w:right="849" w:rightChars="300" w:hanging="1415" w:hangingChars="500"/>
        <w:rPr>
          <w:rFonts w:ascii="仿宋" w:hAnsi="仿宋" w:eastAsia="仿宋" w:cs="仿宋"/>
          <w:color w:val="000000"/>
          <w:highlight w:val="none"/>
        </w:rPr>
      </w:pPr>
      <w:r>
        <w:rPr>
          <w:rFonts w:hint="eastAsia" w:ascii="仿宋" w:hAnsi="仿宋" w:eastAsia="仿宋" w:cs="仿宋"/>
          <w:color w:val="000000"/>
          <w:highlight w:val="none"/>
        </w:rPr>
        <w:t>　　  一、营业执照等主体资格证明文件</w:t>
      </w:r>
      <w:r>
        <w:rPr>
          <w:rFonts w:hint="eastAsia" w:ascii="仿宋" w:hAnsi="仿宋" w:eastAsia="仿宋" w:cs="仿宋"/>
          <w:color w:val="000000"/>
          <w:highlight w:val="none"/>
        </w:rPr>
        <w:tab/>
      </w:r>
      <w:r>
        <w:rPr>
          <w:rFonts w:hint="eastAsia" w:ascii="仿宋" w:hAnsi="仿宋" w:eastAsia="仿宋" w:cs="仿宋"/>
          <w:color w:val="000000"/>
          <w:highlight w:val="none"/>
        </w:rPr>
        <w:t>X</w:t>
      </w:r>
    </w:p>
    <w:p w14:paraId="22A0F09C">
      <w:pPr>
        <w:widowControl w:val="0"/>
        <w:tabs>
          <w:tab w:val="right" w:leader="hyphen" w:pos="8504"/>
        </w:tabs>
        <w:spacing w:line="500" w:lineRule="exact"/>
        <w:ind w:right="849" w:rightChars="300" w:firstLine="1415" w:firstLineChars="500"/>
        <w:rPr>
          <w:rFonts w:ascii="仿宋" w:hAnsi="仿宋" w:eastAsia="仿宋" w:cs="仿宋"/>
          <w:color w:val="000000"/>
          <w:highlight w:val="none"/>
        </w:rPr>
      </w:pPr>
      <w:r>
        <w:rPr>
          <w:rFonts w:hint="eastAsia" w:ascii="仿宋" w:hAnsi="仿宋" w:eastAsia="仿宋" w:cs="仿宋"/>
          <w:color w:val="000000"/>
          <w:highlight w:val="none"/>
        </w:rPr>
        <w:t>二、财务状况报告</w:t>
      </w:r>
      <w:r>
        <w:rPr>
          <w:rFonts w:hint="eastAsia" w:ascii="仿宋" w:hAnsi="仿宋" w:eastAsia="仿宋" w:cs="仿宋"/>
          <w:color w:val="000000"/>
          <w:highlight w:val="none"/>
        </w:rPr>
        <w:tab/>
      </w:r>
      <w:r>
        <w:rPr>
          <w:rFonts w:hint="eastAsia" w:ascii="仿宋" w:hAnsi="仿宋" w:eastAsia="仿宋" w:cs="仿宋"/>
          <w:color w:val="000000"/>
          <w:highlight w:val="none"/>
        </w:rPr>
        <w:t>X</w:t>
      </w:r>
    </w:p>
    <w:p w14:paraId="4CF69B42">
      <w:pPr>
        <w:widowControl w:val="0"/>
        <w:tabs>
          <w:tab w:val="right" w:leader="hyphen" w:pos="8504"/>
        </w:tabs>
        <w:spacing w:line="500" w:lineRule="exact"/>
        <w:ind w:right="849" w:rightChars="300" w:firstLine="1415" w:firstLineChars="500"/>
        <w:rPr>
          <w:rFonts w:ascii="仿宋" w:hAnsi="仿宋" w:eastAsia="仿宋" w:cs="仿宋"/>
          <w:color w:val="000000"/>
          <w:highlight w:val="none"/>
        </w:rPr>
      </w:pPr>
      <w:r>
        <w:rPr>
          <w:rFonts w:hint="eastAsia" w:ascii="仿宋" w:hAnsi="仿宋" w:eastAsia="仿宋" w:cs="仿宋"/>
          <w:color w:val="000000"/>
          <w:highlight w:val="none"/>
        </w:rPr>
        <w:t>三、社保缴纳证明</w:t>
      </w:r>
      <w:r>
        <w:rPr>
          <w:rFonts w:hint="eastAsia" w:ascii="仿宋" w:hAnsi="仿宋" w:eastAsia="仿宋" w:cs="仿宋"/>
          <w:color w:val="000000"/>
          <w:highlight w:val="none"/>
        </w:rPr>
        <w:tab/>
      </w:r>
      <w:r>
        <w:rPr>
          <w:rFonts w:hint="eastAsia" w:ascii="仿宋" w:hAnsi="仿宋" w:eastAsia="仿宋" w:cs="仿宋"/>
          <w:color w:val="000000"/>
          <w:highlight w:val="none"/>
        </w:rPr>
        <w:t>X</w:t>
      </w:r>
    </w:p>
    <w:p w14:paraId="4BEC655F">
      <w:pPr>
        <w:widowControl w:val="0"/>
        <w:tabs>
          <w:tab w:val="right" w:leader="hyphen" w:pos="8504"/>
        </w:tabs>
        <w:spacing w:line="500" w:lineRule="exact"/>
        <w:ind w:right="849" w:rightChars="300" w:firstLine="1415" w:firstLineChars="500"/>
        <w:rPr>
          <w:rFonts w:ascii="仿宋" w:hAnsi="仿宋" w:eastAsia="仿宋" w:cs="仿宋"/>
          <w:color w:val="000000"/>
          <w:highlight w:val="none"/>
        </w:rPr>
      </w:pPr>
      <w:r>
        <w:rPr>
          <w:rFonts w:hint="eastAsia" w:ascii="仿宋" w:hAnsi="仿宋" w:eastAsia="仿宋" w:cs="仿宋"/>
          <w:color w:val="000000"/>
          <w:highlight w:val="none"/>
        </w:rPr>
        <w:t>四、税收缴纳证明</w:t>
      </w:r>
      <w:r>
        <w:rPr>
          <w:rFonts w:hint="eastAsia" w:ascii="仿宋" w:hAnsi="仿宋" w:eastAsia="仿宋" w:cs="仿宋"/>
          <w:color w:val="000000"/>
          <w:highlight w:val="none"/>
        </w:rPr>
        <w:tab/>
      </w:r>
      <w:r>
        <w:rPr>
          <w:rFonts w:hint="eastAsia" w:ascii="仿宋" w:hAnsi="仿宋" w:eastAsia="仿宋" w:cs="仿宋"/>
          <w:color w:val="000000"/>
          <w:highlight w:val="none"/>
        </w:rPr>
        <w:t>X</w:t>
      </w:r>
    </w:p>
    <w:p w14:paraId="5A450BF7">
      <w:pPr>
        <w:widowControl w:val="0"/>
        <w:tabs>
          <w:tab w:val="right" w:leader="hyphen" w:pos="8504"/>
        </w:tabs>
        <w:spacing w:line="500" w:lineRule="exact"/>
        <w:ind w:right="849" w:rightChars="300" w:firstLine="1415" w:firstLineChars="500"/>
        <w:rPr>
          <w:rFonts w:ascii="仿宋" w:hAnsi="仿宋" w:eastAsia="仿宋" w:cs="仿宋"/>
          <w:color w:val="000000"/>
          <w:highlight w:val="none"/>
        </w:rPr>
      </w:pPr>
      <w:r>
        <w:rPr>
          <w:rFonts w:hint="eastAsia" w:ascii="仿宋" w:hAnsi="仿宋" w:eastAsia="仿宋" w:cs="仿宋"/>
          <w:color w:val="000000"/>
          <w:highlight w:val="none"/>
        </w:rPr>
        <w:t>五、信用记录</w:t>
      </w:r>
      <w:r>
        <w:rPr>
          <w:rFonts w:hint="eastAsia" w:ascii="仿宋" w:hAnsi="仿宋" w:eastAsia="仿宋" w:cs="仿宋"/>
          <w:color w:val="000000"/>
          <w:highlight w:val="none"/>
        </w:rPr>
        <w:tab/>
      </w:r>
      <w:r>
        <w:rPr>
          <w:rFonts w:hint="eastAsia" w:ascii="仿宋" w:hAnsi="仿宋" w:eastAsia="仿宋" w:cs="仿宋"/>
          <w:color w:val="000000"/>
          <w:highlight w:val="none"/>
        </w:rPr>
        <w:t>X</w:t>
      </w:r>
    </w:p>
    <w:p w14:paraId="53DB1AC8">
      <w:pPr>
        <w:widowControl w:val="0"/>
        <w:tabs>
          <w:tab w:val="right" w:leader="hyphen" w:pos="8504"/>
        </w:tabs>
        <w:spacing w:line="500" w:lineRule="exact"/>
        <w:ind w:right="849" w:rightChars="300" w:firstLine="1415" w:firstLineChars="500"/>
        <w:rPr>
          <w:rFonts w:ascii="仿宋" w:hAnsi="仿宋" w:eastAsia="仿宋" w:cs="仿宋"/>
          <w:color w:val="000000"/>
          <w:highlight w:val="none"/>
        </w:rPr>
      </w:pPr>
      <w:r>
        <w:rPr>
          <w:rFonts w:hint="eastAsia" w:ascii="仿宋" w:hAnsi="仿宋" w:eastAsia="仿宋" w:cs="仿宋"/>
          <w:color w:val="000000"/>
          <w:highlight w:val="none"/>
        </w:rPr>
        <w:t>六、控股管理关系</w:t>
      </w:r>
      <w:r>
        <w:rPr>
          <w:rFonts w:hint="eastAsia" w:ascii="仿宋" w:hAnsi="仿宋" w:eastAsia="仿宋" w:cs="仿宋"/>
          <w:color w:val="000000"/>
          <w:highlight w:val="none"/>
        </w:rPr>
        <w:tab/>
      </w:r>
      <w:r>
        <w:rPr>
          <w:rFonts w:hint="eastAsia" w:ascii="仿宋" w:hAnsi="仿宋" w:eastAsia="仿宋" w:cs="仿宋"/>
          <w:color w:val="000000"/>
          <w:highlight w:val="none"/>
        </w:rPr>
        <w:t>X</w:t>
      </w:r>
    </w:p>
    <w:p w14:paraId="5E76EDD0">
      <w:pPr>
        <w:widowControl w:val="0"/>
        <w:tabs>
          <w:tab w:val="right" w:leader="hyphen" w:pos="8504"/>
        </w:tabs>
        <w:spacing w:line="500" w:lineRule="exact"/>
        <w:ind w:right="849" w:rightChars="300" w:firstLine="1415" w:firstLineChars="500"/>
        <w:rPr>
          <w:rFonts w:ascii="仿宋" w:hAnsi="仿宋" w:eastAsia="仿宋" w:cs="仿宋"/>
          <w:color w:val="000000"/>
          <w:highlight w:val="none"/>
        </w:rPr>
      </w:pPr>
      <w:r>
        <w:rPr>
          <w:rFonts w:hint="eastAsia" w:ascii="仿宋" w:hAnsi="仿宋" w:eastAsia="仿宋" w:cs="仿宋"/>
          <w:color w:val="000000"/>
          <w:highlight w:val="none"/>
        </w:rPr>
        <w:t>七、书面声明</w:t>
      </w:r>
      <w:r>
        <w:rPr>
          <w:rFonts w:hint="eastAsia" w:ascii="仿宋" w:hAnsi="仿宋" w:eastAsia="仿宋" w:cs="仿宋"/>
          <w:color w:val="000000"/>
          <w:highlight w:val="none"/>
        </w:rPr>
        <w:tab/>
      </w:r>
      <w:r>
        <w:rPr>
          <w:rFonts w:hint="eastAsia" w:ascii="仿宋" w:hAnsi="仿宋" w:eastAsia="仿宋" w:cs="仿宋"/>
          <w:color w:val="000000"/>
          <w:highlight w:val="none"/>
        </w:rPr>
        <w:t>X</w:t>
      </w:r>
    </w:p>
    <w:p w14:paraId="35BBF2D3">
      <w:pPr>
        <w:widowControl w:val="0"/>
        <w:tabs>
          <w:tab w:val="right" w:leader="hyphen" w:pos="8504"/>
        </w:tabs>
        <w:spacing w:line="500" w:lineRule="exact"/>
        <w:ind w:left="1981" w:leftChars="200" w:right="849" w:rightChars="300" w:hanging="1415" w:hangingChars="500"/>
        <w:rPr>
          <w:rFonts w:ascii="仿宋" w:hAnsi="仿宋" w:eastAsia="仿宋" w:cs="仿宋"/>
          <w:color w:val="000000"/>
          <w:highlight w:val="none"/>
        </w:rPr>
      </w:pPr>
      <w:r>
        <w:rPr>
          <w:rFonts w:hint="eastAsia" w:ascii="仿宋" w:hAnsi="仿宋" w:eastAsia="仿宋" w:cs="仿宋"/>
          <w:color w:val="000000"/>
          <w:highlight w:val="none"/>
        </w:rPr>
        <w:t>　　  八、法定代表人授权委托书</w:t>
      </w:r>
      <w:r>
        <w:rPr>
          <w:rFonts w:hint="eastAsia" w:ascii="仿宋" w:hAnsi="仿宋" w:eastAsia="仿宋" w:cs="仿宋"/>
          <w:color w:val="000000"/>
          <w:highlight w:val="none"/>
        </w:rPr>
        <w:tab/>
      </w:r>
      <w:r>
        <w:rPr>
          <w:rFonts w:hint="eastAsia" w:ascii="仿宋" w:hAnsi="仿宋" w:eastAsia="仿宋" w:cs="仿宋"/>
          <w:color w:val="000000"/>
          <w:highlight w:val="none"/>
        </w:rPr>
        <w:t>X</w:t>
      </w:r>
    </w:p>
    <w:p w14:paraId="326F1DE1">
      <w:pPr>
        <w:widowControl w:val="0"/>
        <w:tabs>
          <w:tab w:val="right" w:leader="hyphen" w:pos="8504"/>
        </w:tabs>
        <w:spacing w:line="500" w:lineRule="exact"/>
        <w:ind w:left="1734" w:leftChars="513" w:right="849" w:rightChars="300" w:hanging="283" w:hangingChars="100"/>
        <w:rPr>
          <w:rFonts w:ascii="仿宋" w:hAnsi="仿宋" w:eastAsia="仿宋" w:cs="仿宋"/>
          <w:color w:val="000000"/>
          <w:highlight w:val="none"/>
        </w:rPr>
      </w:pPr>
      <w:r>
        <w:rPr>
          <w:rFonts w:hint="eastAsia" w:ascii="仿宋" w:hAnsi="仿宋" w:eastAsia="仿宋" w:cs="仿宋"/>
          <w:color w:val="000000"/>
          <w:highlight w:val="none"/>
        </w:rPr>
        <w:t>九、落实政府采购政策须满足的资格要求</w:t>
      </w:r>
      <w:r>
        <w:rPr>
          <w:rFonts w:hint="eastAsia" w:ascii="仿宋" w:hAnsi="仿宋" w:eastAsia="仿宋" w:cs="仿宋"/>
          <w:color w:val="000000"/>
          <w:highlight w:val="none"/>
        </w:rPr>
        <w:tab/>
      </w:r>
      <w:r>
        <w:rPr>
          <w:rFonts w:hint="eastAsia" w:ascii="仿宋" w:hAnsi="仿宋" w:eastAsia="仿宋" w:cs="仿宋"/>
          <w:color w:val="000000"/>
          <w:highlight w:val="none"/>
        </w:rPr>
        <w:t>X</w:t>
      </w:r>
    </w:p>
    <w:p w14:paraId="3B80D7E9">
      <w:pPr>
        <w:widowControl w:val="0"/>
        <w:tabs>
          <w:tab w:val="right" w:leader="hyphen" w:pos="8504"/>
        </w:tabs>
        <w:spacing w:line="500" w:lineRule="exact"/>
        <w:ind w:left="1734" w:leftChars="513" w:right="849" w:rightChars="300" w:hanging="283" w:hangingChars="100"/>
        <w:rPr>
          <w:rFonts w:ascii="仿宋" w:hAnsi="仿宋" w:eastAsia="仿宋" w:cs="仿宋"/>
          <w:color w:val="000000"/>
          <w:highlight w:val="none"/>
        </w:rPr>
      </w:pPr>
      <w:r>
        <w:rPr>
          <w:rFonts w:hint="eastAsia" w:ascii="仿宋" w:hAnsi="仿宋" w:eastAsia="仿宋" w:cs="仿宋"/>
          <w:color w:val="000000"/>
          <w:highlight w:val="none"/>
        </w:rPr>
        <w:t>十、特定资格要求</w:t>
      </w:r>
      <w:r>
        <w:rPr>
          <w:rFonts w:hint="eastAsia" w:ascii="仿宋" w:hAnsi="仿宋" w:eastAsia="仿宋" w:cs="仿宋"/>
          <w:color w:val="000000"/>
          <w:highlight w:val="none"/>
        </w:rPr>
        <w:tab/>
      </w:r>
      <w:r>
        <w:rPr>
          <w:rFonts w:hint="eastAsia" w:ascii="仿宋" w:hAnsi="仿宋" w:eastAsia="仿宋" w:cs="仿宋"/>
          <w:color w:val="000000"/>
          <w:highlight w:val="none"/>
        </w:rPr>
        <w:t>X</w:t>
      </w:r>
    </w:p>
    <w:p w14:paraId="0A4CB198">
      <w:pPr>
        <w:widowControl w:val="0"/>
        <w:tabs>
          <w:tab w:val="right" w:leader="hyphen" w:pos="8504"/>
        </w:tabs>
        <w:spacing w:line="500" w:lineRule="exact"/>
        <w:ind w:left="1734" w:leftChars="513" w:right="849" w:rightChars="300" w:hanging="283" w:hangingChars="100"/>
        <w:rPr>
          <w:rFonts w:ascii="仿宋" w:hAnsi="仿宋" w:eastAsia="仿宋" w:cs="仿宋"/>
          <w:color w:val="000000"/>
          <w:highlight w:val="none"/>
        </w:rPr>
      </w:pPr>
      <w:r>
        <w:rPr>
          <w:rFonts w:hint="eastAsia" w:ascii="仿宋" w:hAnsi="仿宋" w:eastAsia="仿宋" w:cs="仿宋"/>
          <w:color w:val="000000"/>
          <w:highlight w:val="none"/>
        </w:rPr>
        <w:t>十一、本项目不接受联合体响应，不允许分包</w:t>
      </w:r>
      <w:r>
        <w:rPr>
          <w:rFonts w:hint="eastAsia" w:ascii="仿宋" w:hAnsi="仿宋" w:eastAsia="仿宋" w:cs="仿宋"/>
          <w:color w:val="000000"/>
          <w:highlight w:val="none"/>
        </w:rPr>
        <w:tab/>
      </w:r>
      <w:r>
        <w:rPr>
          <w:rFonts w:hint="eastAsia" w:ascii="仿宋" w:hAnsi="仿宋" w:eastAsia="仿宋" w:cs="仿宋"/>
          <w:color w:val="000000"/>
          <w:highlight w:val="none"/>
        </w:rPr>
        <w:t>X</w:t>
      </w:r>
    </w:p>
    <w:p w14:paraId="6B9FBC28">
      <w:pPr>
        <w:widowControl w:val="0"/>
        <w:tabs>
          <w:tab w:val="right" w:leader="hyphen" w:pos="8504"/>
        </w:tabs>
        <w:spacing w:line="500" w:lineRule="exact"/>
        <w:ind w:left="1981" w:leftChars="200" w:right="849" w:rightChars="300" w:hanging="1415" w:hangingChars="500"/>
        <w:rPr>
          <w:rFonts w:ascii="仿宋" w:hAnsi="仿宋" w:eastAsia="仿宋" w:cs="仿宋"/>
          <w:b/>
          <w:bCs/>
          <w:color w:val="000000"/>
          <w:highlight w:val="none"/>
        </w:rPr>
      </w:pPr>
      <w:r>
        <w:rPr>
          <w:rFonts w:hint="eastAsia" w:ascii="仿宋" w:hAnsi="仿宋" w:eastAsia="仿宋" w:cs="仿宋"/>
          <w:b/>
          <w:bCs/>
          <w:color w:val="000000"/>
          <w:highlight w:val="none"/>
        </w:rPr>
        <w:t>第二部分  符合性证明文件</w:t>
      </w:r>
      <w:r>
        <w:rPr>
          <w:rFonts w:hint="eastAsia" w:ascii="仿宋" w:hAnsi="仿宋" w:eastAsia="仿宋" w:cs="仿宋"/>
          <w:b/>
          <w:bCs/>
          <w:color w:val="000000"/>
          <w:highlight w:val="none"/>
        </w:rPr>
        <w:tab/>
      </w:r>
      <w:r>
        <w:rPr>
          <w:rFonts w:hint="eastAsia" w:ascii="仿宋" w:hAnsi="仿宋" w:eastAsia="仿宋" w:cs="仿宋"/>
          <w:b/>
          <w:bCs/>
          <w:color w:val="000000"/>
          <w:highlight w:val="none"/>
        </w:rPr>
        <w:t>X</w:t>
      </w:r>
    </w:p>
    <w:p w14:paraId="7298A377">
      <w:pPr>
        <w:widowControl w:val="0"/>
        <w:tabs>
          <w:tab w:val="right" w:leader="hyphen" w:pos="8504"/>
        </w:tabs>
        <w:spacing w:line="500" w:lineRule="exact"/>
        <w:ind w:right="849" w:rightChars="300" w:firstLine="1415" w:firstLineChars="500"/>
        <w:rPr>
          <w:rFonts w:ascii="仿宋" w:hAnsi="仿宋" w:eastAsia="仿宋" w:cs="仿宋"/>
          <w:color w:val="000000"/>
          <w:highlight w:val="none"/>
        </w:rPr>
      </w:pPr>
      <w:r>
        <w:rPr>
          <w:rFonts w:hint="eastAsia" w:ascii="仿宋" w:hAnsi="仿宋" w:eastAsia="仿宋" w:cs="仿宋"/>
          <w:color w:val="000000"/>
          <w:highlight w:val="none"/>
        </w:rPr>
        <w:t>一、响应函格式</w:t>
      </w:r>
      <w:r>
        <w:rPr>
          <w:rFonts w:hint="eastAsia" w:ascii="仿宋" w:hAnsi="仿宋" w:eastAsia="仿宋" w:cs="仿宋"/>
          <w:color w:val="000000"/>
          <w:highlight w:val="none"/>
        </w:rPr>
        <w:tab/>
      </w:r>
      <w:r>
        <w:rPr>
          <w:rFonts w:hint="eastAsia" w:ascii="仿宋" w:hAnsi="仿宋" w:eastAsia="仿宋" w:cs="仿宋"/>
          <w:color w:val="000000"/>
          <w:highlight w:val="none"/>
        </w:rPr>
        <w:t>X</w:t>
      </w:r>
    </w:p>
    <w:p w14:paraId="2038C6FC">
      <w:pPr>
        <w:widowControl w:val="0"/>
        <w:tabs>
          <w:tab w:val="right" w:leader="hyphen" w:pos="8504"/>
        </w:tabs>
        <w:spacing w:line="500" w:lineRule="exact"/>
        <w:ind w:left="1981" w:leftChars="500" w:right="849" w:rightChars="300" w:hanging="566" w:hangingChars="200"/>
        <w:rPr>
          <w:rFonts w:ascii="仿宋" w:hAnsi="仿宋" w:eastAsia="仿宋" w:cs="仿宋"/>
          <w:color w:val="000000"/>
          <w:highlight w:val="none"/>
        </w:rPr>
      </w:pPr>
      <w:r>
        <w:rPr>
          <w:rFonts w:hint="eastAsia" w:ascii="仿宋" w:hAnsi="仿宋" w:eastAsia="仿宋" w:cs="仿宋"/>
          <w:color w:val="000000"/>
          <w:highlight w:val="none"/>
        </w:rPr>
        <w:t>二、第一次磋商报价表</w:t>
      </w:r>
      <w:r>
        <w:rPr>
          <w:rFonts w:hint="eastAsia" w:ascii="仿宋" w:hAnsi="仿宋" w:eastAsia="仿宋" w:cs="仿宋"/>
          <w:color w:val="000000"/>
          <w:highlight w:val="none"/>
        </w:rPr>
        <w:tab/>
      </w:r>
      <w:r>
        <w:rPr>
          <w:rFonts w:hint="eastAsia" w:ascii="仿宋" w:hAnsi="仿宋" w:eastAsia="仿宋" w:cs="仿宋"/>
          <w:color w:val="000000"/>
          <w:highlight w:val="none"/>
        </w:rPr>
        <w:t>X</w:t>
      </w:r>
    </w:p>
    <w:p w14:paraId="0BC7E5E0">
      <w:pPr>
        <w:widowControl w:val="0"/>
        <w:tabs>
          <w:tab w:val="right" w:leader="hyphen" w:pos="8504"/>
        </w:tabs>
        <w:spacing w:line="500" w:lineRule="exact"/>
        <w:ind w:left="1981" w:leftChars="200" w:right="849" w:rightChars="300" w:hanging="1415" w:hangingChars="500"/>
        <w:rPr>
          <w:rFonts w:ascii="仿宋" w:hAnsi="仿宋" w:eastAsia="仿宋" w:cs="仿宋"/>
          <w:color w:val="000000"/>
          <w:highlight w:val="none"/>
        </w:rPr>
      </w:pPr>
      <w:r>
        <w:rPr>
          <w:rFonts w:hint="eastAsia" w:ascii="仿宋" w:hAnsi="仿宋" w:eastAsia="仿宋" w:cs="仿宋"/>
          <w:color w:val="000000"/>
          <w:highlight w:val="none"/>
        </w:rPr>
        <w:t>　　　    分项报价表</w:t>
      </w:r>
      <w:r>
        <w:rPr>
          <w:rFonts w:hint="eastAsia" w:ascii="仿宋" w:hAnsi="仿宋" w:eastAsia="仿宋" w:cs="仿宋"/>
          <w:color w:val="000000"/>
          <w:highlight w:val="none"/>
        </w:rPr>
        <w:tab/>
      </w:r>
      <w:r>
        <w:rPr>
          <w:rFonts w:hint="eastAsia" w:ascii="仿宋" w:hAnsi="仿宋" w:eastAsia="仿宋" w:cs="仿宋"/>
          <w:color w:val="000000"/>
          <w:highlight w:val="none"/>
        </w:rPr>
        <w:t>X</w:t>
      </w:r>
    </w:p>
    <w:p w14:paraId="0AA7A950">
      <w:pPr>
        <w:widowControl w:val="0"/>
        <w:tabs>
          <w:tab w:val="right" w:leader="hyphen" w:pos="8504"/>
        </w:tabs>
        <w:spacing w:line="500" w:lineRule="exact"/>
        <w:ind w:left="1415" w:right="849" w:rightChars="300"/>
        <w:rPr>
          <w:rFonts w:ascii="仿宋" w:hAnsi="仿宋" w:eastAsia="仿宋" w:cs="仿宋"/>
          <w:color w:val="000000"/>
          <w:highlight w:val="none"/>
        </w:rPr>
      </w:pPr>
      <w:r>
        <w:rPr>
          <w:rFonts w:hint="eastAsia" w:ascii="仿宋" w:hAnsi="仿宋" w:eastAsia="仿宋" w:cs="仿宋"/>
          <w:color w:val="000000"/>
          <w:highlight w:val="none"/>
        </w:rPr>
        <w:t>三、供应商承诺书</w:t>
      </w:r>
      <w:r>
        <w:rPr>
          <w:rFonts w:hint="eastAsia" w:ascii="仿宋" w:hAnsi="仿宋" w:eastAsia="仿宋" w:cs="仿宋"/>
          <w:color w:val="000000"/>
          <w:highlight w:val="none"/>
        </w:rPr>
        <w:tab/>
      </w:r>
      <w:r>
        <w:rPr>
          <w:rFonts w:hint="eastAsia" w:ascii="仿宋" w:hAnsi="仿宋" w:eastAsia="仿宋" w:cs="仿宋"/>
          <w:color w:val="000000"/>
          <w:highlight w:val="none"/>
        </w:rPr>
        <w:t>X</w:t>
      </w:r>
    </w:p>
    <w:p w14:paraId="6BD39666">
      <w:pPr>
        <w:widowControl w:val="0"/>
        <w:tabs>
          <w:tab w:val="right" w:leader="hyphen" w:pos="8504"/>
        </w:tabs>
        <w:spacing w:line="500" w:lineRule="exact"/>
        <w:ind w:right="849" w:rightChars="300" w:firstLine="1981" w:firstLineChars="700"/>
        <w:rPr>
          <w:rFonts w:ascii="仿宋" w:hAnsi="仿宋" w:eastAsia="仿宋" w:cs="仿宋"/>
          <w:color w:val="000000"/>
          <w:highlight w:val="none"/>
        </w:rPr>
      </w:pPr>
      <w:r>
        <w:rPr>
          <w:rFonts w:hint="eastAsia" w:ascii="仿宋" w:hAnsi="仿宋" w:eastAsia="仿宋" w:cs="仿宋"/>
          <w:color w:val="000000"/>
          <w:highlight w:val="none"/>
        </w:rPr>
        <w:t>（一）质量安全责任承诺书</w:t>
      </w:r>
      <w:r>
        <w:rPr>
          <w:rFonts w:hint="eastAsia" w:ascii="仿宋" w:hAnsi="仿宋" w:eastAsia="仿宋" w:cs="仿宋"/>
          <w:color w:val="000000"/>
          <w:highlight w:val="none"/>
        </w:rPr>
        <w:tab/>
      </w:r>
      <w:r>
        <w:rPr>
          <w:rFonts w:hint="eastAsia" w:ascii="仿宋" w:hAnsi="仿宋" w:eastAsia="仿宋" w:cs="仿宋"/>
          <w:color w:val="000000"/>
          <w:highlight w:val="none"/>
        </w:rPr>
        <w:t>X</w:t>
      </w:r>
    </w:p>
    <w:p w14:paraId="57F5BFC5">
      <w:pPr>
        <w:widowControl w:val="0"/>
        <w:tabs>
          <w:tab w:val="right" w:leader="hyphen" w:pos="8504"/>
        </w:tabs>
        <w:spacing w:line="500" w:lineRule="exact"/>
        <w:ind w:right="849" w:rightChars="300" w:firstLine="1981" w:firstLineChars="700"/>
        <w:rPr>
          <w:rFonts w:ascii="仿宋" w:hAnsi="仿宋" w:eastAsia="仿宋" w:cs="仿宋"/>
          <w:color w:val="000000"/>
          <w:highlight w:val="none"/>
        </w:rPr>
      </w:pPr>
      <w:r>
        <w:rPr>
          <w:rFonts w:hint="eastAsia" w:ascii="仿宋" w:hAnsi="仿宋" w:eastAsia="仿宋" w:cs="仿宋"/>
          <w:color w:val="000000"/>
          <w:highlight w:val="none"/>
        </w:rPr>
        <w:t>（二）拒绝政府采购领域商业贿赂承诺书</w:t>
      </w:r>
      <w:r>
        <w:rPr>
          <w:rFonts w:hint="eastAsia" w:ascii="仿宋" w:hAnsi="仿宋" w:eastAsia="仿宋" w:cs="仿宋"/>
          <w:color w:val="000000"/>
          <w:highlight w:val="none"/>
        </w:rPr>
        <w:tab/>
      </w:r>
      <w:r>
        <w:rPr>
          <w:rFonts w:hint="eastAsia" w:ascii="仿宋" w:hAnsi="仿宋" w:eastAsia="仿宋" w:cs="仿宋"/>
          <w:color w:val="000000"/>
          <w:highlight w:val="none"/>
        </w:rPr>
        <w:t>X</w:t>
      </w:r>
    </w:p>
    <w:p w14:paraId="3B0634C7">
      <w:pPr>
        <w:widowControl w:val="0"/>
        <w:tabs>
          <w:tab w:val="right" w:leader="hyphen" w:pos="8504"/>
        </w:tabs>
        <w:spacing w:line="500" w:lineRule="exact"/>
        <w:ind w:right="849" w:rightChars="300" w:firstLine="1415" w:firstLineChars="500"/>
        <w:rPr>
          <w:rFonts w:ascii="仿宋" w:hAnsi="仿宋" w:eastAsia="仿宋" w:cs="仿宋"/>
          <w:color w:val="000000"/>
          <w:highlight w:val="none"/>
        </w:rPr>
      </w:pPr>
      <w:r>
        <w:rPr>
          <w:rFonts w:hint="eastAsia" w:ascii="仿宋" w:hAnsi="仿宋" w:eastAsia="仿宋" w:cs="仿宋"/>
          <w:color w:val="000000"/>
          <w:highlight w:val="none"/>
        </w:rPr>
        <w:t>四、实质性条款响应</w:t>
      </w:r>
      <w:r>
        <w:rPr>
          <w:rFonts w:hint="eastAsia" w:ascii="仿宋" w:hAnsi="仿宋" w:eastAsia="仿宋" w:cs="仿宋"/>
          <w:color w:val="000000"/>
          <w:highlight w:val="none"/>
        </w:rPr>
        <w:tab/>
      </w:r>
      <w:r>
        <w:rPr>
          <w:rFonts w:hint="eastAsia" w:ascii="仿宋" w:hAnsi="仿宋" w:eastAsia="仿宋" w:cs="仿宋"/>
          <w:color w:val="000000"/>
          <w:highlight w:val="none"/>
        </w:rPr>
        <w:t>X</w:t>
      </w:r>
    </w:p>
    <w:p w14:paraId="64378103">
      <w:pPr>
        <w:widowControl w:val="0"/>
        <w:tabs>
          <w:tab w:val="right" w:leader="hyphen" w:pos="8504"/>
        </w:tabs>
        <w:spacing w:line="500" w:lineRule="exact"/>
        <w:ind w:left="1981" w:leftChars="500" w:right="849" w:rightChars="300" w:hanging="566" w:hangingChars="200"/>
        <w:rPr>
          <w:rFonts w:ascii="仿宋" w:hAnsi="仿宋" w:eastAsia="仿宋" w:cs="仿宋"/>
          <w:color w:val="000000"/>
          <w:highlight w:val="none"/>
        </w:rPr>
      </w:pPr>
      <w:r>
        <w:rPr>
          <w:rFonts w:hint="eastAsia" w:ascii="仿宋" w:hAnsi="仿宋" w:eastAsia="仿宋" w:cs="仿宋"/>
          <w:color w:val="000000"/>
          <w:highlight w:val="none"/>
        </w:rPr>
        <w:t>五、合同草案条款响应</w:t>
      </w:r>
      <w:r>
        <w:rPr>
          <w:rFonts w:hint="eastAsia" w:ascii="仿宋" w:hAnsi="仿宋" w:eastAsia="仿宋" w:cs="仿宋"/>
          <w:color w:val="000000"/>
          <w:highlight w:val="none"/>
        </w:rPr>
        <w:tab/>
      </w:r>
      <w:r>
        <w:rPr>
          <w:rFonts w:hint="eastAsia" w:ascii="仿宋" w:hAnsi="仿宋" w:eastAsia="仿宋" w:cs="仿宋"/>
          <w:color w:val="000000"/>
          <w:highlight w:val="none"/>
        </w:rPr>
        <w:t>X</w:t>
      </w:r>
    </w:p>
    <w:p w14:paraId="21B6516F">
      <w:pPr>
        <w:widowControl w:val="0"/>
        <w:tabs>
          <w:tab w:val="right" w:leader="hyphen" w:pos="8504"/>
        </w:tabs>
        <w:spacing w:line="500" w:lineRule="exact"/>
        <w:ind w:right="849" w:rightChars="300" w:firstLine="566" w:firstLineChars="200"/>
        <w:rPr>
          <w:rFonts w:ascii="仿宋" w:hAnsi="仿宋" w:eastAsia="仿宋" w:cs="仿宋"/>
          <w:b/>
          <w:bCs/>
          <w:color w:val="000000"/>
          <w:highlight w:val="none"/>
        </w:rPr>
      </w:pPr>
      <w:r>
        <w:rPr>
          <w:rFonts w:hint="eastAsia" w:ascii="仿宋" w:hAnsi="仿宋" w:eastAsia="仿宋" w:cs="仿宋"/>
          <w:b/>
          <w:bCs/>
          <w:color w:val="000000"/>
          <w:highlight w:val="none"/>
        </w:rPr>
        <w:t>第三部分  磋商方案</w:t>
      </w:r>
      <w:r>
        <w:rPr>
          <w:rFonts w:hint="eastAsia" w:ascii="仿宋" w:hAnsi="仿宋" w:eastAsia="仿宋" w:cs="仿宋"/>
          <w:b/>
          <w:bCs/>
          <w:color w:val="000000"/>
          <w:highlight w:val="none"/>
        </w:rPr>
        <w:tab/>
      </w:r>
      <w:r>
        <w:rPr>
          <w:rFonts w:hint="eastAsia" w:ascii="仿宋" w:hAnsi="仿宋" w:eastAsia="仿宋" w:cs="仿宋"/>
          <w:b/>
          <w:bCs/>
          <w:color w:val="000000"/>
          <w:highlight w:val="none"/>
        </w:rPr>
        <w:t>X</w:t>
      </w:r>
    </w:p>
    <w:p w14:paraId="4FC21788">
      <w:pPr>
        <w:widowControl w:val="0"/>
        <w:tabs>
          <w:tab w:val="right" w:leader="hyphen" w:pos="8504"/>
        </w:tabs>
        <w:spacing w:line="500" w:lineRule="exact"/>
        <w:ind w:right="849" w:rightChars="300" w:firstLine="1415" w:firstLineChars="500"/>
        <w:rPr>
          <w:rFonts w:ascii="仿宋" w:hAnsi="仿宋" w:eastAsia="仿宋" w:cs="仿宋"/>
          <w:color w:val="000000"/>
          <w:highlight w:val="none"/>
        </w:rPr>
      </w:pPr>
      <w:r>
        <w:rPr>
          <w:rFonts w:hint="eastAsia" w:ascii="仿宋" w:hAnsi="仿宋" w:eastAsia="仿宋" w:cs="仿宋"/>
          <w:color w:val="000000"/>
          <w:highlight w:val="none"/>
        </w:rPr>
        <w:t>一、供应商概况</w:t>
      </w:r>
      <w:r>
        <w:rPr>
          <w:rFonts w:hint="eastAsia" w:ascii="仿宋" w:hAnsi="仿宋" w:eastAsia="仿宋" w:cs="仿宋"/>
          <w:color w:val="000000"/>
          <w:highlight w:val="none"/>
        </w:rPr>
        <w:tab/>
      </w:r>
      <w:r>
        <w:rPr>
          <w:rFonts w:hint="eastAsia" w:ascii="仿宋" w:hAnsi="仿宋" w:eastAsia="仿宋" w:cs="仿宋"/>
          <w:color w:val="000000"/>
          <w:highlight w:val="none"/>
        </w:rPr>
        <w:t>X</w:t>
      </w:r>
    </w:p>
    <w:p w14:paraId="6F4010E8">
      <w:pPr>
        <w:widowControl w:val="0"/>
        <w:tabs>
          <w:tab w:val="right" w:leader="hyphen" w:pos="8504"/>
        </w:tabs>
        <w:spacing w:line="500" w:lineRule="exact"/>
        <w:ind w:right="849" w:rightChars="300" w:firstLine="1415" w:firstLineChars="500"/>
        <w:rPr>
          <w:rFonts w:ascii="仿宋" w:hAnsi="仿宋" w:eastAsia="仿宋" w:cs="仿宋"/>
          <w:color w:val="000000"/>
          <w:highlight w:val="none"/>
        </w:rPr>
      </w:pPr>
      <w:r>
        <w:rPr>
          <w:rFonts w:hint="eastAsia" w:ascii="仿宋" w:hAnsi="仿宋" w:eastAsia="仿宋" w:cs="仿宋"/>
          <w:color w:val="000000"/>
          <w:highlight w:val="none"/>
        </w:rPr>
        <w:t>二、响应方案</w:t>
      </w:r>
      <w:r>
        <w:rPr>
          <w:rFonts w:hint="eastAsia" w:ascii="仿宋" w:hAnsi="仿宋" w:eastAsia="仿宋" w:cs="仿宋"/>
          <w:color w:val="000000"/>
          <w:highlight w:val="none"/>
        </w:rPr>
        <w:tab/>
      </w:r>
      <w:r>
        <w:rPr>
          <w:rFonts w:hint="eastAsia" w:ascii="仿宋" w:hAnsi="仿宋" w:eastAsia="仿宋" w:cs="仿宋"/>
          <w:color w:val="000000"/>
          <w:highlight w:val="none"/>
        </w:rPr>
        <w:t>X</w:t>
      </w:r>
    </w:p>
    <w:p w14:paraId="6AB69BFA">
      <w:pPr>
        <w:widowControl w:val="0"/>
        <w:tabs>
          <w:tab w:val="right" w:leader="hyphen" w:pos="8504"/>
        </w:tabs>
        <w:spacing w:line="500" w:lineRule="exact"/>
        <w:ind w:right="849" w:rightChars="300" w:firstLine="1415" w:firstLineChars="500"/>
        <w:rPr>
          <w:rFonts w:ascii="仿宋" w:hAnsi="仿宋" w:eastAsia="仿宋" w:cs="仿宋"/>
          <w:color w:val="000000"/>
          <w:highlight w:val="none"/>
        </w:rPr>
      </w:pPr>
      <w:r>
        <w:rPr>
          <w:rFonts w:hint="eastAsia" w:ascii="仿宋" w:hAnsi="仿宋" w:eastAsia="仿宋" w:cs="仿宋"/>
          <w:color w:val="000000"/>
          <w:highlight w:val="none"/>
        </w:rPr>
        <w:t>三、参考样表</w:t>
      </w:r>
      <w:r>
        <w:rPr>
          <w:rFonts w:hint="eastAsia" w:ascii="仿宋" w:hAnsi="仿宋" w:eastAsia="仿宋" w:cs="仿宋"/>
          <w:color w:val="000000"/>
          <w:highlight w:val="none"/>
        </w:rPr>
        <w:tab/>
      </w:r>
      <w:r>
        <w:rPr>
          <w:rFonts w:hint="eastAsia" w:ascii="仿宋" w:hAnsi="仿宋" w:eastAsia="仿宋" w:cs="仿宋"/>
          <w:color w:val="000000"/>
          <w:highlight w:val="none"/>
        </w:rPr>
        <w:t>X</w:t>
      </w:r>
    </w:p>
    <w:p w14:paraId="48056A9B">
      <w:pPr>
        <w:pStyle w:val="2"/>
        <w:widowControl w:val="0"/>
        <w:ind w:firstLine="0" w:firstLineChars="0"/>
        <w:jc w:val="center"/>
        <w:rPr>
          <w:rFonts w:hint="eastAsia" w:ascii="黑体" w:hAnsi="黑体" w:eastAsia="黑体" w:cs="黑体"/>
          <w:b w:val="0"/>
          <w:bCs w:val="0"/>
          <w:color w:val="000000"/>
          <w:sz w:val="32"/>
          <w:szCs w:val="32"/>
          <w:highlight w:val="none"/>
        </w:rPr>
      </w:pPr>
      <w:bookmarkStart w:id="825" w:name="_Toc6003"/>
      <w:bookmarkStart w:id="826" w:name="_Toc12653"/>
      <w:bookmarkStart w:id="827" w:name="_Toc27546"/>
      <w:r>
        <w:rPr>
          <w:rFonts w:hint="eastAsia" w:ascii="黑体" w:hAnsi="黑体" w:eastAsia="黑体" w:cs="黑体"/>
          <w:color w:val="000000"/>
          <w:highlight w:val="none"/>
        </w:rPr>
        <w:br w:type="page"/>
      </w:r>
      <w:bookmarkStart w:id="828" w:name="_Toc1156"/>
      <w:bookmarkStart w:id="829" w:name="_Toc4468"/>
      <w:bookmarkStart w:id="830" w:name="_Toc7326"/>
      <w:bookmarkStart w:id="831" w:name="_Toc7714"/>
      <w:bookmarkStart w:id="832" w:name="_Toc2007"/>
      <w:bookmarkStart w:id="833" w:name="_Toc21157"/>
      <w:r>
        <w:rPr>
          <w:rFonts w:hint="eastAsia" w:ascii="黑体" w:hAnsi="黑体" w:eastAsia="黑体" w:cs="黑体"/>
          <w:b w:val="0"/>
          <w:bCs w:val="0"/>
          <w:sz w:val="32"/>
          <w:szCs w:val="32"/>
          <w:highlight w:val="none"/>
        </w:rPr>
        <w:t>第一部分  资格证明文件</w:t>
      </w:r>
      <w:bookmarkEnd w:id="825"/>
      <w:bookmarkEnd w:id="826"/>
      <w:bookmarkEnd w:id="827"/>
      <w:bookmarkEnd w:id="828"/>
      <w:bookmarkEnd w:id="829"/>
      <w:bookmarkEnd w:id="830"/>
      <w:bookmarkEnd w:id="831"/>
      <w:bookmarkEnd w:id="832"/>
      <w:bookmarkEnd w:id="833"/>
    </w:p>
    <w:p w14:paraId="29CA21A7">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供应商应按照磋商文件第一章第十项所列“供应商资格要求”逐一提供全部资格证明文件。缺少其中任何一项，其响应文件将被视为无效文件。其中，《供应商信用记录书面声明函》《控股管理关系》《书面声明》《法定代表人授权委托书》《残疾人福利性单位声明函》《非联合体不分包投标声明》须按下文给定格式填写。特别说明，法定代表人亲自参加磋商的，可不提供法定代表人授权委托书，但须提供其本人身份证（正反面）复印件。</w:t>
      </w:r>
    </w:p>
    <w:p w14:paraId="46F8132E">
      <w:pPr>
        <w:widowControl w:val="0"/>
        <w:spacing w:line="500" w:lineRule="exact"/>
        <w:ind w:firstLine="562"/>
        <w:rPr>
          <w:rFonts w:ascii="仿宋" w:hAnsi="仿宋" w:eastAsia="仿宋" w:cs="Times New Roman"/>
          <w:b/>
          <w:bCs/>
          <w:color w:val="000000"/>
          <w:highlight w:val="none"/>
        </w:rPr>
      </w:pPr>
      <w:r>
        <w:rPr>
          <w:rFonts w:hint="eastAsia" w:ascii="仿宋" w:hAnsi="仿宋" w:eastAsia="仿宋" w:cs="仿宋"/>
          <w:b/>
          <w:bCs/>
          <w:color w:val="000000"/>
          <w:highlight w:val="none"/>
        </w:rPr>
        <w:t>一、营业执照等主体资格证明文件</w:t>
      </w:r>
    </w:p>
    <w:p w14:paraId="5D74B902">
      <w:pPr>
        <w:widowControl w:val="0"/>
        <w:spacing w:line="500" w:lineRule="exact"/>
        <w:ind w:firstLine="562"/>
        <w:rPr>
          <w:rFonts w:ascii="仿宋" w:hAnsi="仿宋" w:eastAsia="仿宋" w:cs="Times New Roman"/>
          <w:b/>
          <w:bCs/>
          <w:color w:val="000000"/>
          <w:highlight w:val="none"/>
        </w:rPr>
      </w:pPr>
      <w:r>
        <w:rPr>
          <w:rFonts w:hint="eastAsia" w:ascii="仿宋" w:hAnsi="仿宋" w:eastAsia="仿宋" w:cs="仿宋"/>
          <w:b/>
          <w:bCs/>
          <w:color w:val="000000"/>
          <w:highlight w:val="none"/>
        </w:rPr>
        <w:t>二、财务状况报告</w:t>
      </w:r>
    </w:p>
    <w:p w14:paraId="0B6E8D86">
      <w:pPr>
        <w:widowControl w:val="0"/>
        <w:spacing w:line="500" w:lineRule="exact"/>
        <w:ind w:firstLine="562"/>
        <w:rPr>
          <w:rFonts w:ascii="仿宋" w:hAnsi="仿宋" w:eastAsia="仿宋" w:cs="Times New Roman"/>
          <w:b/>
          <w:bCs/>
          <w:color w:val="000000"/>
          <w:highlight w:val="none"/>
        </w:rPr>
      </w:pPr>
      <w:r>
        <w:rPr>
          <w:rFonts w:hint="eastAsia" w:ascii="仿宋" w:hAnsi="仿宋" w:eastAsia="仿宋" w:cs="仿宋"/>
          <w:b/>
          <w:bCs/>
          <w:color w:val="000000"/>
          <w:highlight w:val="none"/>
        </w:rPr>
        <w:t>三、社保缴纳证明</w:t>
      </w:r>
    </w:p>
    <w:p w14:paraId="4BC501DA">
      <w:pPr>
        <w:widowControl w:val="0"/>
        <w:spacing w:line="500" w:lineRule="exact"/>
        <w:ind w:firstLine="562"/>
        <w:rPr>
          <w:rFonts w:ascii="仿宋" w:hAnsi="仿宋" w:eastAsia="仿宋" w:cs="Times New Roman"/>
          <w:b/>
          <w:bCs/>
          <w:color w:val="000000"/>
          <w:highlight w:val="none"/>
        </w:rPr>
      </w:pPr>
      <w:r>
        <w:rPr>
          <w:rFonts w:hint="eastAsia" w:ascii="仿宋" w:hAnsi="仿宋" w:eastAsia="仿宋" w:cs="仿宋"/>
          <w:b/>
          <w:bCs/>
          <w:color w:val="000000"/>
          <w:highlight w:val="none"/>
        </w:rPr>
        <w:t>四、税收缴纳证明</w:t>
      </w:r>
    </w:p>
    <w:p w14:paraId="3042E591">
      <w:pPr>
        <w:widowControl w:val="0"/>
        <w:spacing w:line="500" w:lineRule="exact"/>
        <w:ind w:firstLine="562"/>
        <w:rPr>
          <w:rFonts w:ascii="仿宋" w:hAnsi="仿宋" w:eastAsia="仿宋" w:cs="Times New Roman"/>
          <w:b/>
          <w:bCs/>
          <w:color w:val="000000"/>
          <w:highlight w:val="none"/>
        </w:rPr>
      </w:pPr>
      <w:r>
        <w:rPr>
          <w:rFonts w:hint="eastAsia" w:ascii="仿宋" w:hAnsi="仿宋" w:eastAsia="仿宋" w:cs="仿宋"/>
          <w:b/>
          <w:bCs/>
          <w:color w:val="000000"/>
          <w:highlight w:val="none"/>
        </w:rPr>
        <w:t>五、信用记录</w:t>
      </w:r>
    </w:p>
    <w:p w14:paraId="2A74BCB5">
      <w:pPr>
        <w:pStyle w:val="31"/>
        <w:widowControl w:val="0"/>
        <w:jc w:val="center"/>
        <w:rPr>
          <w:rFonts w:cs="Times New Roman"/>
          <w:color w:val="000000"/>
          <w:sz w:val="30"/>
          <w:szCs w:val="30"/>
          <w:highlight w:val="none"/>
        </w:rPr>
      </w:pPr>
      <w:bookmarkStart w:id="834" w:name="_Toc9011"/>
      <w:bookmarkStart w:id="835" w:name="_Toc528596084"/>
      <w:bookmarkStart w:id="836" w:name="_Toc22518"/>
      <w:bookmarkStart w:id="837" w:name="_Toc726"/>
    </w:p>
    <w:p w14:paraId="30F3832A">
      <w:pPr>
        <w:widowControl w:val="0"/>
        <w:rPr>
          <w:rFonts w:ascii="仿宋" w:hAnsi="仿宋" w:eastAsia="仿宋" w:cs="仿宋"/>
          <w:color w:val="000000"/>
          <w:highlight w:val="none"/>
        </w:rPr>
      </w:pPr>
    </w:p>
    <w:bookmarkEnd w:id="834"/>
    <w:bookmarkEnd w:id="835"/>
    <w:bookmarkEnd w:id="836"/>
    <w:bookmarkEnd w:id="837"/>
    <w:p w14:paraId="6E431D71">
      <w:pPr>
        <w:pStyle w:val="31"/>
        <w:widowControl w:val="0"/>
        <w:jc w:val="center"/>
        <w:rPr>
          <w:rFonts w:ascii="仿宋" w:hAnsi="仿宋" w:eastAsia="仿宋" w:cs="仿宋"/>
          <w:color w:val="000000"/>
          <w:sz w:val="30"/>
          <w:szCs w:val="30"/>
          <w:highlight w:val="none"/>
        </w:rPr>
      </w:pPr>
      <w:bookmarkStart w:id="838" w:name="_Toc32208"/>
      <w:bookmarkStart w:id="839" w:name="_Toc17007"/>
      <w:bookmarkStart w:id="840" w:name="_Toc17633"/>
      <w:bookmarkStart w:id="841" w:name="_Toc26696"/>
      <w:bookmarkStart w:id="842" w:name="_Toc4538"/>
      <w:bookmarkStart w:id="843" w:name="_Toc27480"/>
      <w:bookmarkStart w:id="844" w:name="_Toc20870"/>
      <w:r>
        <w:rPr>
          <w:rFonts w:hint="eastAsia" w:ascii="仿宋" w:hAnsi="仿宋" w:eastAsia="仿宋" w:cs="仿宋"/>
          <w:color w:val="000000"/>
          <w:sz w:val="30"/>
          <w:szCs w:val="30"/>
          <w:highlight w:val="none"/>
        </w:rPr>
        <w:t>供应商信用记录书面声明函（格式）</w:t>
      </w:r>
      <w:bookmarkEnd w:id="838"/>
      <w:bookmarkEnd w:id="839"/>
      <w:bookmarkEnd w:id="840"/>
      <w:bookmarkEnd w:id="841"/>
      <w:bookmarkEnd w:id="842"/>
      <w:bookmarkEnd w:id="843"/>
      <w:bookmarkEnd w:id="844"/>
    </w:p>
    <w:p w14:paraId="777CBC00">
      <w:pPr>
        <w:widowControl w:val="0"/>
        <w:spacing w:line="500" w:lineRule="exact"/>
        <w:rPr>
          <w:rFonts w:ascii="仿宋" w:hAnsi="仿宋" w:eastAsia="仿宋" w:cs="仿宋"/>
          <w:color w:val="000000"/>
          <w:highlight w:val="none"/>
        </w:rPr>
      </w:pPr>
      <w:r>
        <w:rPr>
          <w:rFonts w:hint="eastAsia" w:ascii="仿宋" w:hAnsi="仿宋" w:eastAsia="仿宋" w:cs="仿宋"/>
          <w:color w:val="000000"/>
          <w:highlight w:val="none"/>
        </w:rPr>
        <w:t>陕西省省级单位政府采购中心：</w:t>
      </w:r>
    </w:p>
    <w:p w14:paraId="3CF6760B">
      <w:pPr>
        <w:widowControl w:val="0"/>
        <w:spacing w:line="500" w:lineRule="exact"/>
        <w:ind w:right="11" w:firstLine="566" w:firstLineChars="200"/>
        <w:rPr>
          <w:rFonts w:ascii="仿宋" w:hAnsi="仿宋" w:eastAsia="仿宋" w:cs="仿宋"/>
          <w:color w:val="000000"/>
          <w:highlight w:val="none"/>
        </w:rPr>
      </w:pPr>
      <w:r>
        <w:rPr>
          <w:rFonts w:hint="eastAsia" w:ascii="仿宋" w:hAnsi="仿宋" w:eastAsia="仿宋" w:cs="仿宋"/>
          <w:color w:val="000000"/>
          <w:highlight w:val="none"/>
        </w:rPr>
        <w:t>我方作为《</w:t>
      </w:r>
      <w:r>
        <w:rPr>
          <w:rFonts w:hint="eastAsia" w:ascii="仿宋" w:hAnsi="仿宋" w:eastAsia="仿宋" w:cs="仿宋"/>
          <w:color w:val="000000"/>
          <w:highlight w:val="none"/>
          <w:u w:val="single"/>
        </w:rPr>
        <w:t>项目名称</w:t>
      </w:r>
      <w:r>
        <w:rPr>
          <w:rFonts w:hint="eastAsia" w:ascii="仿宋" w:hAnsi="仿宋" w:eastAsia="仿宋" w:cs="仿宋"/>
          <w:color w:val="000000"/>
          <w:highlight w:val="none"/>
        </w:rPr>
        <w:t>》（项目编号：</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）第</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标段的供应商，在此郑重声明：</w:t>
      </w:r>
    </w:p>
    <w:p w14:paraId="6F38028A">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1、在参加本次政府采购活动前</w:t>
      </w:r>
      <w:r>
        <w:rPr>
          <w:rFonts w:ascii="仿宋" w:hAnsi="仿宋" w:eastAsia="仿宋" w:cs="仿宋"/>
          <w:color w:val="000000"/>
          <w:highlight w:val="none"/>
        </w:rPr>
        <w:t>3</w:t>
      </w:r>
      <w:r>
        <w:rPr>
          <w:rFonts w:hint="eastAsia" w:ascii="仿宋" w:hAnsi="仿宋" w:eastAsia="仿宋" w:cs="仿宋"/>
          <w:color w:val="000000"/>
          <w:highlight w:val="none"/>
        </w:rPr>
        <w:t>年内的经营活动中____（填“没有”或“有”）重大违法记录。</w:t>
      </w:r>
      <w:r>
        <w:rPr>
          <w:rFonts w:hint="eastAsia" w:ascii="仿宋" w:hAnsi="仿宋" w:eastAsia="仿宋" w:cs="仿宋"/>
          <w:b/>
          <w:bCs/>
          <w:color w:val="000000"/>
          <w:highlight w:val="none"/>
        </w:rPr>
        <w:t>供应商在参加政府采购活动前</w:t>
      </w:r>
      <w:r>
        <w:rPr>
          <w:rFonts w:ascii="仿宋" w:hAnsi="仿宋" w:eastAsia="仿宋" w:cs="仿宋"/>
          <w:b/>
          <w:bCs/>
          <w:color w:val="000000"/>
          <w:highlight w:val="none"/>
        </w:rPr>
        <w:t>3</w:t>
      </w:r>
      <w:r>
        <w:rPr>
          <w:rFonts w:hint="eastAsia" w:ascii="仿宋" w:hAnsi="仿宋" w:eastAsia="仿宋" w:cs="仿宋"/>
          <w:b/>
          <w:bCs/>
          <w:color w:val="000000"/>
          <w:highlight w:val="none"/>
        </w:rPr>
        <w:t>年内因违法经营被禁止在一定期限内参加政府采购活动，期限届满的，可以参加政府采购活动，但应提供期限届满的证明材料。</w:t>
      </w:r>
    </w:p>
    <w:p w14:paraId="04F491F4">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2、我方______（填“未被列入”或“被列入”）失信被执行人名单。</w:t>
      </w:r>
    </w:p>
    <w:p w14:paraId="2D7F703D">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3、我方______（填“未被列入”或“被列入”）重大税收违法案件当事人名单。</w:t>
      </w:r>
    </w:p>
    <w:p w14:paraId="290EFB7F">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4、我方______（填“未被列入”或“被列入”）政府采购严重违法失信行为记录名单。</w:t>
      </w:r>
    </w:p>
    <w:p w14:paraId="03E8D189">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如有不实，我方将无条件地退出本项目的采购活动，并遵照《政府采购法》有关“提供虚假材料的规定”接受处罚。</w:t>
      </w:r>
    </w:p>
    <w:p w14:paraId="44BEAAA4">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特此声明。</w:t>
      </w:r>
    </w:p>
    <w:p w14:paraId="45D238BE">
      <w:pPr>
        <w:widowControl w:val="0"/>
        <w:spacing w:line="500" w:lineRule="exact"/>
        <w:ind w:firstLine="4811" w:firstLineChars="1700"/>
        <w:rPr>
          <w:rFonts w:ascii="仿宋" w:hAnsi="仿宋" w:eastAsia="仿宋" w:cs="仿宋"/>
          <w:color w:val="000000"/>
          <w:highlight w:val="none"/>
        </w:rPr>
      </w:pPr>
      <w:r>
        <w:rPr>
          <w:rFonts w:hint="eastAsia" w:ascii="仿宋" w:hAnsi="仿宋" w:eastAsia="仿宋" w:cs="仿宋"/>
          <w:color w:val="000000"/>
          <w:highlight w:val="none"/>
        </w:rPr>
        <w:t>供应商：</w:t>
      </w:r>
      <w:r>
        <w:rPr>
          <w:rFonts w:hint="eastAsia" w:ascii="仿宋" w:hAnsi="仿宋" w:eastAsia="仿宋" w:cs="仿宋"/>
          <w:color w:val="000000"/>
          <w:highlight w:val="none"/>
          <w:u w:val="single"/>
        </w:rPr>
        <w:t>名称</w:t>
      </w:r>
      <w:r>
        <w:rPr>
          <w:rFonts w:hint="eastAsia" w:ascii="仿宋" w:hAnsi="仿宋" w:eastAsia="仿宋" w:cs="仿宋"/>
          <w:color w:val="000000"/>
          <w:highlight w:val="none"/>
        </w:rPr>
        <w:t>（加盖公章）</w:t>
      </w:r>
    </w:p>
    <w:p w14:paraId="148A8593">
      <w:pPr>
        <w:widowControl w:val="0"/>
        <w:spacing w:line="500" w:lineRule="exact"/>
        <w:ind w:firstLine="5094" w:firstLineChars="1800"/>
        <w:rPr>
          <w:rFonts w:ascii="仿宋" w:hAnsi="仿宋" w:eastAsia="仿宋" w:cs="仿宋"/>
          <w:color w:val="000000"/>
          <w:highlight w:val="none"/>
        </w:rPr>
      </w:pPr>
      <w:r>
        <w:rPr>
          <w:rFonts w:hint="eastAsia" w:ascii="仿宋" w:hAnsi="仿宋" w:eastAsia="仿宋" w:cs="仿宋"/>
          <w:color w:val="000000"/>
          <w:highlight w:val="none"/>
        </w:rPr>
        <w:t>日期：　　年　月　日</w:t>
      </w:r>
    </w:p>
    <w:p w14:paraId="3D493292">
      <w:pPr>
        <w:widowControl w:val="0"/>
        <w:spacing w:line="500" w:lineRule="exact"/>
        <w:ind w:firstLine="426" w:firstLineChars="200"/>
        <w:rPr>
          <w:rFonts w:ascii="宋体" w:hAnsi="宋体" w:eastAsia="宋体" w:cs="Times New Roman"/>
          <w:color w:val="000000"/>
          <w:sz w:val="21"/>
          <w:szCs w:val="21"/>
          <w:highlight w:val="none"/>
        </w:rPr>
      </w:pPr>
    </w:p>
    <w:p w14:paraId="715E9EA0">
      <w:pPr>
        <w:pStyle w:val="19"/>
        <w:widowControl w:val="0"/>
        <w:spacing w:after="190"/>
        <w:ind w:firstLine="213"/>
        <w:rPr>
          <w:color w:val="000000"/>
          <w:highlight w:val="none"/>
        </w:rPr>
      </w:pPr>
      <w:r>
        <w:rPr>
          <w:rFonts w:hint="eastAsia" w:ascii="宋体" w:hAnsi="宋体" w:eastAsia="宋体" w:cs="宋体"/>
          <w:color w:val="000000"/>
          <w:sz w:val="21"/>
          <w:szCs w:val="21"/>
          <w:highlight w:val="none"/>
        </w:rPr>
        <w:t>备注：项目不分标段的，第</w:t>
      </w:r>
      <w:r>
        <w:rPr>
          <w:rFonts w:ascii="宋体" w:hAnsi="宋体" w:eastAsia="宋体" w:cs="宋体"/>
          <w:color w:val="000000"/>
          <w:sz w:val="21"/>
          <w:szCs w:val="21"/>
          <w:highlight w:val="none"/>
        </w:rPr>
        <w:t>___</w:t>
      </w:r>
      <w:r>
        <w:rPr>
          <w:rFonts w:hint="eastAsia" w:ascii="宋体" w:hAnsi="宋体" w:eastAsia="宋体" w:cs="宋体"/>
          <w:color w:val="000000"/>
          <w:sz w:val="21"/>
          <w:szCs w:val="21"/>
          <w:highlight w:val="none"/>
        </w:rPr>
        <w:t>标段空白处填写“</w:t>
      </w:r>
      <w:r>
        <w:rPr>
          <w:rFonts w:ascii="宋体" w:hAnsi="宋体" w:eastAsia="宋体" w:cs="宋体"/>
          <w:color w:val="000000"/>
          <w:sz w:val="21"/>
          <w:szCs w:val="21"/>
          <w:highlight w:val="none"/>
        </w:rPr>
        <w:t>/</w:t>
      </w:r>
      <w:r>
        <w:rPr>
          <w:rFonts w:hint="eastAsia" w:ascii="宋体" w:hAnsi="宋体" w:eastAsia="宋体" w:cs="宋体"/>
          <w:color w:val="000000"/>
          <w:sz w:val="21"/>
          <w:szCs w:val="21"/>
          <w:highlight w:val="none"/>
        </w:rPr>
        <w:t>”。</w:t>
      </w:r>
    </w:p>
    <w:p w14:paraId="1CC1FB68">
      <w:pPr>
        <w:pStyle w:val="19"/>
        <w:widowControl w:val="0"/>
        <w:spacing w:after="190"/>
        <w:ind w:firstLine="183"/>
        <w:rPr>
          <w:color w:val="000000"/>
          <w:highlight w:val="none"/>
        </w:rPr>
      </w:pPr>
    </w:p>
    <w:p w14:paraId="63A6E6FB">
      <w:pPr>
        <w:pStyle w:val="19"/>
        <w:widowControl w:val="0"/>
        <w:spacing w:after="190"/>
        <w:ind w:firstLine="183"/>
        <w:rPr>
          <w:color w:val="000000"/>
          <w:highlight w:val="none"/>
        </w:rPr>
      </w:pPr>
    </w:p>
    <w:p w14:paraId="71A6E83C">
      <w:pPr>
        <w:pStyle w:val="31"/>
        <w:widowControl w:val="0"/>
        <w:rPr>
          <w:rFonts w:cs="Times New Roman"/>
          <w:color w:val="000000"/>
          <w:sz w:val="28"/>
          <w:szCs w:val="28"/>
          <w:highlight w:val="none"/>
        </w:rPr>
      </w:pPr>
      <w:bookmarkStart w:id="845" w:name="_Toc9550"/>
      <w:bookmarkStart w:id="846" w:name="_Toc29757"/>
    </w:p>
    <w:p w14:paraId="16F4E252">
      <w:pPr>
        <w:pStyle w:val="26"/>
        <w:widowControl w:val="0"/>
        <w:ind w:firstLine="0" w:firstLineChars="0"/>
        <w:rPr>
          <w:rFonts w:cs="Times New Roman"/>
          <w:color w:val="000000"/>
          <w:highlight w:val="none"/>
        </w:rPr>
      </w:pPr>
    </w:p>
    <w:p w14:paraId="22EBCAFC">
      <w:pPr>
        <w:pStyle w:val="26"/>
        <w:widowControl w:val="0"/>
        <w:rPr>
          <w:rFonts w:cs="Times New Roman"/>
          <w:color w:val="000000"/>
          <w:highlight w:val="none"/>
        </w:rPr>
      </w:pPr>
    </w:p>
    <w:p w14:paraId="747F5E63">
      <w:pPr>
        <w:pStyle w:val="26"/>
        <w:widowControl w:val="0"/>
        <w:ind w:firstLine="0" w:firstLineChars="0"/>
        <w:rPr>
          <w:rFonts w:cs="Times New Roman"/>
          <w:color w:val="000000"/>
          <w:highlight w:val="none"/>
        </w:rPr>
      </w:pPr>
    </w:p>
    <w:p w14:paraId="3BEAAB53">
      <w:pPr>
        <w:pStyle w:val="26"/>
        <w:widowControl w:val="0"/>
        <w:ind w:firstLine="0" w:firstLineChars="0"/>
        <w:rPr>
          <w:rFonts w:cs="Times New Roman"/>
          <w:color w:val="000000"/>
          <w:highlight w:val="none"/>
        </w:rPr>
      </w:pPr>
    </w:p>
    <w:p w14:paraId="1A21D823">
      <w:pPr>
        <w:pStyle w:val="26"/>
        <w:widowControl w:val="0"/>
        <w:ind w:firstLine="0" w:firstLineChars="0"/>
        <w:rPr>
          <w:rFonts w:cs="Times New Roman"/>
          <w:color w:val="000000"/>
          <w:highlight w:val="none"/>
        </w:rPr>
      </w:pPr>
    </w:p>
    <w:p w14:paraId="15A5940C">
      <w:pPr>
        <w:pStyle w:val="26"/>
        <w:widowControl w:val="0"/>
        <w:ind w:firstLine="0" w:firstLineChars="0"/>
        <w:rPr>
          <w:rFonts w:cs="Times New Roman"/>
          <w:color w:val="000000"/>
          <w:highlight w:val="none"/>
        </w:rPr>
      </w:pPr>
    </w:p>
    <w:p w14:paraId="71900B9A">
      <w:pPr>
        <w:pStyle w:val="26"/>
        <w:widowControl w:val="0"/>
        <w:ind w:firstLine="0" w:firstLineChars="0"/>
        <w:rPr>
          <w:rFonts w:cs="Times New Roman"/>
          <w:color w:val="000000"/>
          <w:highlight w:val="none"/>
        </w:rPr>
      </w:pPr>
    </w:p>
    <w:p w14:paraId="78202A3C">
      <w:pPr>
        <w:pStyle w:val="26"/>
        <w:widowControl w:val="0"/>
        <w:ind w:firstLine="0" w:firstLineChars="0"/>
        <w:rPr>
          <w:rFonts w:cs="Times New Roman"/>
          <w:color w:val="000000"/>
          <w:highlight w:val="none"/>
        </w:rPr>
      </w:pPr>
    </w:p>
    <w:p w14:paraId="05648EF7">
      <w:pPr>
        <w:pStyle w:val="26"/>
        <w:widowControl w:val="0"/>
        <w:ind w:firstLine="0" w:firstLineChars="0"/>
        <w:rPr>
          <w:rFonts w:cs="Times New Roman"/>
          <w:color w:val="000000"/>
          <w:highlight w:val="none"/>
        </w:rPr>
      </w:pPr>
    </w:p>
    <w:p w14:paraId="0094A8EA">
      <w:pPr>
        <w:pStyle w:val="26"/>
        <w:widowControl w:val="0"/>
        <w:ind w:firstLine="0" w:firstLineChars="0"/>
        <w:rPr>
          <w:rFonts w:cs="Times New Roman"/>
          <w:color w:val="000000"/>
          <w:highlight w:val="none"/>
        </w:rPr>
      </w:pPr>
    </w:p>
    <w:p w14:paraId="579D53FA">
      <w:pPr>
        <w:pStyle w:val="26"/>
        <w:widowControl w:val="0"/>
        <w:ind w:firstLine="0" w:firstLineChars="0"/>
        <w:rPr>
          <w:rFonts w:cs="Times New Roman"/>
          <w:color w:val="000000"/>
          <w:highlight w:val="none"/>
        </w:rPr>
      </w:pPr>
    </w:p>
    <w:p w14:paraId="639BF94C">
      <w:pPr>
        <w:pStyle w:val="26"/>
        <w:widowControl w:val="0"/>
        <w:ind w:firstLine="0" w:firstLineChars="0"/>
        <w:rPr>
          <w:rFonts w:cs="Times New Roman"/>
          <w:color w:val="000000"/>
          <w:highlight w:val="none"/>
        </w:rPr>
      </w:pPr>
    </w:p>
    <w:p w14:paraId="05D29C4D">
      <w:pPr>
        <w:pStyle w:val="26"/>
        <w:widowControl w:val="0"/>
        <w:ind w:firstLine="0" w:firstLineChars="0"/>
        <w:rPr>
          <w:rFonts w:cs="Times New Roman"/>
          <w:color w:val="000000"/>
          <w:highlight w:val="none"/>
        </w:rPr>
      </w:pPr>
    </w:p>
    <w:p w14:paraId="5588BAAD">
      <w:pPr>
        <w:pStyle w:val="26"/>
        <w:widowControl w:val="0"/>
        <w:ind w:firstLine="0" w:firstLineChars="0"/>
        <w:rPr>
          <w:rFonts w:cs="Times New Roman"/>
          <w:color w:val="000000"/>
          <w:highlight w:val="none"/>
        </w:rPr>
      </w:pPr>
    </w:p>
    <w:p w14:paraId="4D83659F">
      <w:pPr>
        <w:pStyle w:val="26"/>
        <w:widowControl w:val="0"/>
        <w:ind w:firstLine="0" w:firstLineChars="0"/>
        <w:rPr>
          <w:rFonts w:cs="Times New Roman"/>
          <w:color w:val="000000"/>
          <w:highlight w:val="none"/>
        </w:rPr>
      </w:pPr>
    </w:p>
    <w:p w14:paraId="3A3C5D98">
      <w:pPr>
        <w:pStyle w:val="26"/>
        <w:widowControl w:val="0"/>
        <w:ind w:firstLine="0" w:firstLineChars="0"/>
        <w:rPr>
          <w:rFonts w:cs="Times New Roman"/>
          <w:color w:val="000000"/>
          <w:highlight w:val="none"/>
        </w:rPr>
      </w:pPr>
    </w:p>
    <w:p w14:paraId="79045AAF">
      <w:pPr>
        <w:pStyle w:val="26"/>
        <w:widowControl w:val="0"/>
        <w:ind w:firstLine="0" w:firstLineChars="0"/>
        <w:rPr>
          <w:rFonts w:cs="Times New Roman"/>
          <w:color w:val="000000"/>
          <w:highlight w:val="none"/>
        </w:rPr>
      </w:pPr>
    </w:p>
    <w:p w14:paraId="6D501C60">
      <w:pPr>
        <w:pStyle w:val="26"/>
        <w:widowControl w:val="0"/>
        <w:ind w:firstLine="0" w:firstLineChars="0"/>
        <w:rPr>
          <w:rFonts w:cs="Times New Roman"/>
          <w:color w:val="000000"/>
          <w:highlight w:val="none"/>
        </w:rPr>
      </w:pPr>
    </w:p>
    <w:p w14:paraId="42CB84BA">
      <w:pPr>
        <w:pStyle w:val="26"/>
        <w:widowControl w:val="0"/>
        <w:ind w:firstLine="0" w:firstLineChars="0"/>
        <w:rPr>
          <w:rFonts w:cs="Times New Roman"/>
          <w:color w:val="000000"/>
          <w:highlight w:val="none"/>
        </w:rPr>
      </w:pPr>
    </w:p>
    <w:p w14:paraId="4C5DE20F">
      <w:pPr>
        <w:widowControl w:val="0"/>
        <w:rPr>
          <w:rFonts w:cs="Times New Roman"/>
          <w:color w:val="000000"/>
          <w:highlight w:val="none"/>
        </w:rPr>
      </w:pPr>
      <w:r>
        <w:rPr>
          <w:rFonts w:cs="Times New Roman"/>
          <w:color w:val="000000"/>
          <w:highlight w:val="none"/>
        </w:rPr>
        <w:br w:type="page"/>
      </w:r>
    </w:p>
    <w:p w14:paraId="14C4C02C">
      <w:pPr>
        <w:pStyle w:val="19"/>
        <w:widowControl w:val="0"/>
        <w:numPr>
          <w:ilvl w:val="0"/>
          <w:numId w:val="2"/>
        </w:numPr>
        <w:spacing w:afterLines="0" w:line="500" w:lineRule="exact"/>
        <w:ind w:firstLine="630" w:firstLineChars="208"/>
        <w:outlineLvl w:val="2"/>
        <w:rPr>
          <w:rFonts w:ascii="仿宋" w:hAnsi="仿宋" w:eastAsia="仿宋" w:cs="仿宋"/>
          <w:b/>
          <w:bCs/>
          <w:color w:val="000000"/>
          <w:sz w:val="30"/>
          <w:szCs w:val="30"/>
          <w:highlight w:val="none"/>
        </w:rPr>
      </w:pPr>
      <w:bookmarkStart w:id="847" w:name="_Toc24508"/>
      <w:bookmarkStart w:id="848" w:name="_Toc3778"/>
      <w:bookmarkStart w:id="849" w:name="_Toc3475"/>
      <w:bookmarkStart w:id="850" w:name="_Toc27297"/>
      <w:bookmarkStart w:id="851" w:name="_Toc14266"/>
      <w:bookmarkStart w:id="852" w:name="_Toc25845"/>
      <w:bookmarkStart w:id="853" w:name="_Toc14054"/>
      <w:bookmarkStart w:id="854" w:name="_Toc6319"/>
      <w:bookmarkStart w:id="855" w:name="_Toc5613"/>
      <w:bookmarkStart w:id="856" w:name="_Toc31252"/>
      <w:bookmarkStart w:id="857" w:name="_Toc5683"/>
      <w:bookmarkStart w:id="858" w:name="_Toc3159"/>
      <w:bookmarkStart w:id="859" w:name="_Toc6220"/>
      <w:bookmarkStart w:id="860" w:name="_Toc28599"/>
      <w:bookmarkStart w:id="861" w:name="_Toc27767"/>
      <w:bookmarkStart w:id="862" w:name="_Toc13686"/>
      <w:r>
        <w:rPr>
          <w:rFonts w:hint="eastAsia" w:ascii="仿宋" w:hAnsi="仿宋" w:eastAsia="仿宋" w:cs="仿宋"/>
          <w:b/>
          <w:bCs/>
          <w:color w:val="000000"/>
          <w:sz w:val="30"/>
          <w:szCs w:val="30"/>
          <w:highlight w:val="none"/>
        </w:rPr>
        <w:t>控股管理关系</w:t>
      </w:r>
      <w:bookmarkEnd w:id="847"/>
      <w:bookmarkEnd w:id="848"/>
      <w:bookmarkEnd w:id="849"/>
      <w:bookmarkEnd w:id="850"/>
      <w:bookmarkEnd w:id="851"/>
      <w:bookmarkEnd w:id="852"/>
      <w:bookmarkEnd w:id="853"/>
      <w:bookmarkEnd w:id="854"/>
      <w:bookmarkEnd w:id="855"/>
      <w:bookmarkEnd w:id="856"/>
      <w:bookmarkEnd w:id="857"/>
      <w:bookmarkEnd w:id="858"/>
      <w:bookmarkEnd w:id="859"/>
    </w:p>
    <w:p w14:paraId="14E43B0D">
      <w:pPr>
        <w:pStyle w:val="19"/>
        <w:widowControl w:val="0"/>
        <w:spacing w:afterLines="0" w:line="500" w:lineRule="exact"/>
        <w:ind w:firstLine="630" w:firstLineChars="208"/>
        <w:jc w:val="center"/>
        <w:outlineLvl w:val="2"/>
        <w:rPr>
          <w:rFonts w:ascii="仿宋" w:hAnsi="仿宋" w:eastAsia="仿宋" w:cs="仿宋"/>
          <w:b/>
          <w:bCs/>
          <w:color w:val="000000"/>
          <w:sz w:val="30"/>
          <w:szCs w:val="30"/>
          <w:highlight w:val="none"/>
        </w:rPr>
      </w:pPr>
      <w:bookmarkStart w:id="863" w:name="_Toc15852"/>
      <w:bookmarkStart w:id="864" w:name="_Toc952"/>
      <w:bookmarkStart w:id="865" w:name="_Toc21260"/>
      <w:bookmarkStart w:id="866" w:name="_Toc26760"/>
      <w:bookmarkStart w:id="867" w:name="_Toc30989"/>
      <w:bookmarkStart w:id="868" w:name="_Toc10651"/>
      <w:bookmarkStart w:id="869" w:name="_Toc15131"/>
      <w:bookmarkStart w:id="870" w:name="_Toc12979"/>
      <w:bookmarkStart w:id="871" w:name="_Toc22023"/>
      <w:bookmarkStart w:id="872" w:name="_Toc27988"/>
      <w:bookmarkStart w:id="873" w:name="_Toc27526"/>
      <w:r>
        <w:rPr>
          <w:rFonts w:hint="eastAsia" w:ascii="仿宋" w:hAnsi="仿宋" w:eastAsia="仿宋" w:cs="仿宋"/>
          <w:b/>
          <w:bCs/>
          <w:color w:val="000000"/>
          <w:sz w:val="30"/>
          <w:szCs w:val="30"/>
          <w:highlight w:val="none"/>
        </w:rPr>
        <w:t>控股管理关系（格式）</w:t>
      </w:r>
      <w:bookmarkEnd w:id="863"/>
      <w:bookmarkEnd w:id="864"/>
      <w:bookmarkEnd w:id="865"/>
      <w:bookmarkEnd w:id="866"/>
      <w:bookmarkEnd w:id="867"/>
    </w:p>
    <w:p w14:paraId="5AA1EF57">
      <w:pPr>
        <w:widowControl w:val="0"/>
        <w:spacing w:line="500" w:lineRule="exact"/>
        <w:rPr>
          <w:rFonts w:ascii="仿宋" w:hAnsi="仿宋" w:eastAsia="仿宋" w:cs="仿宋"/>
          <w:color w:val="000000"/>
          <w:highlight w:val="none"/>
        </w:rPr>
      </w:pPr>
      <w:r>
        <w:rPr>
          <w:rFonts w:hint="eastAsia" w:ascii="仿宋" w:hAnsi="仿宋" w:eastAsia="仿宋" w:cs="仿宋"/>
          <w:color w:val="000000"/>
          <w:highlight w:val="none"/>
        </w:rPr>
        <w:t>陕西省省级单位政府采购中心：</w:t>
      </w:r>
    </w:p>
    <w:p w14:paraId="3EE1F9C8">
      <w:pPr>
        <w:widowControl w:val="0"/>
        <w:spacing w:line="500" w:lineRule="exact"/>
        <w:ind w:firstLine="566" w:firstLineChars="200"/>
        <w:rPr>
          <w:rFonts w:ascii="仿宋" w:hAnsi="仿宋" w:eastAsia="仿宋" w:cs="仿宋"/>
          <w:b/>
          <w:bCs/>
          <w:color w:val="000000"/>
          <w:sz w:val="30"/>
          <w:szCs w:val="30"/>
          <w:highlight w:val="none"/>
        </w:rPr>
      </w:pPr>
      <w:r>
        <w:rPr>
          <w:rFonts w:hint="eastAsia" w:ascii="仿宋" w:hAnsi="仿宋" w:eastAsia="仿宋" w:cs="仿宋"/>
          <w:color w:val="000000"/>
          <w:highlight w:val="none"/>
        </w:rPr>
        <w:t>我方与以下供应商存在直接控股、管理关系：</w:t>
      </w:r>
    </w:p>
    <w:tbl>
      <w:tblPr>
        <w:tblStyle w:val="21"/>
        <w:tblW w:w="9180"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86"/>
        <w:gridCol w:w="2855"/>
        <w:gridCol w:w="2646"/>
        <w:gridCol w:w="1993"/>
      </w:tblGrid>
      <w:tr w14:paraId="539CD2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9180" w:type="dxa"/>
            <w:gridSpan w:val="4"/>
            <w:tcBorders>
              <w:left w:val="single" w:color="auto" w:sz="12" w:space="0"/>
              <w:right w:val="single" w:color="auto" w:sz="12" w:space="0"/>
            </w:tcBorders>
            <w:shd w:val="clear" w:color="auto" w:fill="F7CAAC"/>
            <w:vAlign w:val="center"/>
          </w:tcPr>
          <w:p w14:paraId="0C42AF73">
            <w:pPr>
              <w:widowControl w:val="0"/>
              <w:autoSpaceDE w:val="0"/>
              <w:autoSpaceDN w:val="0"/>
              <w:adjustRightInd w:val="0"/>
              <w:spacing w:line="320" w:lineRule="exact"/>
              <w:jc w:val="center"/>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存在直接控股、管理关系的相关供应商</w:t>
            </w:r>
          </w:p>
        </w:tc>
      </w:tr>
      <w:tr w14:paraId="5BD949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4A2C4DE0">
            <w:pPr>
              <w:widowControl w:val="0"/>
              <w:autoSpaceDE w:val="0"/>
              <w:autoSpaceDN w:val="0"/>
              <w:adjustRightInd w:val="0"/>
              <w:spacing w:line="320" w:lineRule="exact"/>
              <w:jc w:val="center"/>
              <w:rPr>
                <w:rFonts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序号</w:t>
            </w:r>
          </w:p>
        </w:tc>
        <w:tc>
          <w:tcPr>
            <w:tcW w:w="2855" w:type="dxa"/>
            <w:tcBorders>
              <w:right w:val="single" w:color="auto" w:sz="4" w:space="0"/>
            </w:tcBorders>
            <w:vAlign w:val="center"/>
          </w:tcPr>
          <w:p w14:paraId="3AABD0E8">
            <w:pPr>
              <w:widowControl w:val="0"/>
              <w:autoSpaceDE w:val="0"/>
              <w:autoSpaceDN w:val="0"/>
              <w:adjustRightInd w:val="0"/>
              <w:spacing w:line="320" w:lineRule="exact"/>
              <w:jc w:val="center"/>
              <w:rPr>
                <w:rFonts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直接控股股东名称及出资比例</w:t>
            </w:r>
          </w:p>
        </w:tc>
        <w:tc>
          <w:tcPr>
            <w:tcW w:w="2646" w:type="dxa"/>
            <w:tcBorders>
              <w:left w:val="single" w:color="auto" w:sz="4" w:space="0"/>
              <w:right w:val="single" w:color="auto" w:sz="4" w:space="0"/>
            </w:tcBorders>
            <w:vAlign w:val="center"/>
          </w:tcPr>
          <w:p w14:paraId="1E81C6AD">
            <w:pPr>
              <w:widowControl w:val="0"/>
              <w:autoSpaceDE w:val="0"/>
              <w:autoSpaceDN w:val="0"/>
              <w:adjustRightInd w:val="0"/>
              <w:spacing w:line="320" w:lineRule="exact"/>
              <w:jc w:val="center"/>
              <w:rPr>
                <w:rFonts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直接管理关系单位</w:t>
            </w:r>
          </w:p>
          <w:p w14:paraId="64619D62">
            <w:pPr>
              <w:widowControl w:val="0"/>
              <w:autoSpaceDE w:val="0"/>
              <w:autoSpaceDN w:val="0"/>
              <w:adjustRightInd w:val="0"/>
              <w:spacing w:line="320" w:lineRule="exact"/>
              <w:jc w:val="center"/>
              <w:rPr>
                <w:rFonts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名称</w:t>
            </w:r>
          </w:p>
        </w:tc>
        <w:tc>
          <w:tcPr>
            <w:tcW w:w="1993" w:type="dxa"/>
            <w:tcBorders>
              <w:left w:val="single" w:color="auto" w:sz="4" w:space="0"/>
              <w:right w:val="single" w:color="auto" w:sz="12" w:space="0"/>
            </w:tcBorders>
            <w:vAlign w:val="center"/>
          </w:tcPr>
          <w:p w14:paraId="2505A919">
            <w:pPr>
              <w:widowControl w:val="0"/>
              <w:autoSpaceDE w:val="0"/>
              <w:autoSpaceDN w:val="0"/>
              <w:adjustRightInd w:val="0"/>
              <w:spacing w:line="320" w:lineRule="exact"/>
              <w:jc w:val="center"/>
              <w:rPr>
                <w:rFonts w:ascii="仿宋" w:hAnsi="仿宋" w:eastAsia="仿宋" w:cs="仿宋"/>
                <w:b/>
                <w:color w:val="000000"/>
                <w:kern w:val="0"/>
                <w:sz w:val="24"/>
                <w:szCs w:val="24"/>
                <w:highlight w:val="none"/>
              </w:rPr>
            </w:pPr>
            <w:r>
              <w:rPr>
                <w:rFonts w:hint="eastAsia" w:ascii="仿宋" w:hAnsi="仿宋" w:eastAsia="仿宋" w:cs="仿宋"/>
                <w:b/>
                <w:color w:val="000000"/>
                <w:kern w:val="0"/>
                <w:sz w:val="24"/>
                <w:szCs w:val="24"/>
                <w:highlight w:val="none"/>
              </w:rPr>
              <w:t>备注</w:t>
            </w:r>
          </w:p>
        </w:tc>
      </w:tr>
      <w:tr w14:paraId="59A3221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21F66984">
            <w:pPr>
              <w:widowControl w:val="0"/>
              <w:autoSpaceDE w:val="0"/>
              <w:autoSpaceDN w:val="0"/>
              <w:adjustRightInd w:val="0"/>
              <w:spacing w:line="320" w:lineRule="exact"/>
              <w:jc w:val="center"/>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1</w:t>
            </w:r>
          </w:p>
        </w:tc>
        <w:tc>
          <w:tcPr>
            <w:tcW w:w="2855" w:type="dxa"/>
            <w:tcBorders>
              <w:right w:val="single" w:color="auto" w:sz="4" w:space="0"/>
            </w:tcBorders>
            <w:vAlign w:val="center"/>
          </w:tcPr>
          <w:p w14:paraId="0DDBF9F0">
            <w:pPr>
              <w:widowControl w:val="0"/>
              <w:autoSpaceDE w:val="0"/>
              <w:autoSpaceDN w:val="0"/>
              <w:adjustRightInd w:val="0"/>
              <w:spacing w:line="320" w:lineRule="exact"/>
              <w:rPr>
                <w:rFonts w:ascii="仿宋" w:hAnsi="仿宋" w:eastAsia="仿宋" w:cs="仿宋"/>
                <w:bCs/>
                <w:color w:val="000000"/>
                <w:kern w:val="0"/>
                <w:sz w:val="24"/>
                <w:szCs w:val="24"/>
                <w:highlight w:val="none"/>
              </w:rPr>
            </w:pPr>
          </w:p>
        </w:tc>
        <w:tc>
          <w:tcPr>
            <w:tcW w:w="2646" w:type="dxa"/>
            <w:tcBorders>
              <w:left w:val="single" w:color="auto" w:sz="4" w:space="0"/>
              <w:right w:val="single" w:color="auto" w:sz="4" w:space="0"/>
            </w:tcBorders>
            <w:vAlign w:val="center"/>
          </w:tcPr>
          <w:p w14:paraId="50B21F9B">
            <w:pPr>
              <w:widowControl w:val="0"/>
              <w:autoSpaceDE w:val="0"/>
              <w:autoSpaceDN w:val="0"/>
              <w:adjustRightInd w:val="0"/>
              <w:spacing w:line="320" w:lineRule="exact"/>
              <w:rPr>
                <w:rFonts w:ascii="仿宋" w:hAnsi="仿宋" w:eastAsia="仿宋" w:cs="仿宋"/>
                <w:bCs/>
                <w:color w:val="000000"/>
                <w:kern w:val="0"/>
                <w:sz w:val="24"/>
                <w:szCs w:val="24"/>
                <w:highlight w:val="none"/>
              </w:rPr>
            </w:pPr>
          </w:p>
        </w:tc>
        <w:tc>
          <w:tcPr>
            <w:tcW w:w="1993" w:type="dxa"/>
            <w:tcBorders>
              <w:left w:val="single" w:color="auto" w:sz="4" w:space="0"/>
              <w:right w:val="single" w:color="auto" w:sz="12" w:space="0"/>
            </w:tcBorders>
            <w:vAlign w:val="center"/>
          </w:tcPr>
          <w:p w14:paraId="551E126F">
            <w:pPr>
              <w:widowControl w:val="0"/>
              <w:autoSpaceDE w:val="0"/>
              <w:autoSpaceDN w:val="0"/>
              <w:adjustRightInd w:val="0"/>
              <w:spacing w:line="320" w:lineRule="exact"/>
              <w:rPr>
                <w:rFonts w:ascii="仿宋" w:hAnsi="仿宋" w:eastAsia="仿宋" w:cs="仿宋"/>
                <w:bCs/>
                <w:color w:val="000000"/>
                <w:kern w:val="0"/>
                <w:sz w:val="24"/>
                <w:szCs w:val="24"/>
                <w:highlight w:val="none"/>
              </w:rPr>
            </w:pPr>
          </w:p>
        </w:tc>
      </w:tr>
      <w:tr w14:paraId="499459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14EA0628">
            <w:pPr>
              <w:widowControl w:val="0"/>
              <w:autoSpaceDE w:val="0"/>
              <w:autoSpaceDN w:val="0"/>
              <w:adjustRightInd w:val="0"/>
              <w:spacing w:line="320" w:lineRule="exact"/>
              <w:jc w:val="center"/>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2</w:t>
            </w:r>
          </w:p>
        </w:tc>
        <w:tc>
          <w:tcPr>
            <w:tcW w:w="2855" w:type="dxa"/>
            <w:tcBorders>
              <w:right w:val="single" w:color="auto" w:sz="4" w:space="0"/>
            </w:tcBorders>
            <w:vAlign w:val="center"/>
          </w:tcPr>
          <w:p w14:paraId="76EA666E">
            <w:pPr>
              <w:widowControl w:val="0"/>
              <w:autoSpaceDE w:val="0"/>
              <w:autoSpaceDN w:val="0"/>
              <w:adjustRightInd w:val="0"/>
              <w:spacing w:line="320" w:lineRule="exact"/>
              <w:rPr>
                <w:rFonts w:ascii="仿宋" w:hAnsi="仿宋" w:eastAsia="仿宋" w:cs="仿宋"/>
                <w:bCs/>
                <w:color w:val="000000"/>
                <w:kern w:val="0"/>
                <w:sz w:val="24"/>
                <w:szCs w:val="24"/>
                <w:highlight w:val="none"/>
              </w:rPr>
            </w:pPr>
          </w:p>
        </w:tc>
        <w:tc>
          <w:tcPr>
            <w:tcW w:w="2646" w:type="dxa"/>
            <w:tcBorders>
              <w:left w:val="single" w:color="auto" w:sz="4" w:space="0"/>
              <w:right w:val="single" w:color="auto" w:sz="4" w:space="0"/>
            </w:tcBorders>
            <w:vAlign w:val="center"/>
          </w:tcPr>
          <w:p w14:paraId="0A0B9173">
            <w:pPr>
              <w:widowControl w:val="0"/>
              <w:autoSpaceDE w:val="0"/>
              <w:autoSpaceDN w:val="0"/>
              <w:adjustRightInd w:val="0"/>
              <w:spacing w:line="320" w:lineRule="exact"/>
              <w:rPr>
                <w:rFonts w:ascii="仿宋" w:hAnsi="仿宋" w:eastAsia="仿宋" w:cs="仿宋"/>
                <w:bCs/>
                <w:color w:val="000000"/>
                <w:kern w:val="0"/>
                <w:sz w:val="24"/>
                <w:szCs w:val="24"/>
                <w:highlight w:val="none"/>
              </w:rPr>
            </w:pPr>
          </w:p>
        </w:tc>
        <w:tc>
          <w:tcPr>
            <w:tcW w:w="1993" w:type="dxa"/>
            <w:tcBorders>
              <w:left w:val="single" w:color="auto" w:sz="4" w:space="0"/>
              <w:right w:val="single" w:color="auto" w:sz="12" w:space="0"/>
            </w:tcBorders>
            <w:vAlign w:val="center"/>
          </w:tcPr>
          <w:p w14:paraId="147D8651">
            <w:pPr>
              <w:widowControl w:val="0"/>
              <w:autoSpaceDE w:val="0"/>
              <w:autoSpaceDN w:val="0"/>
              <w:adjustRightInd w:val="0"/>
              <w:spacing w:line="320" w:lineRule="exact"/>
              <w:rPr>
                <w:rFonts w:ascii="仿宋" w:hAnsi="仿宋" w:eastAsia="仿宋" w:cs="仿宋"/>
                <w:bCs/>
                <w:color w:val="000000"/>
                <w:kern w:val="0"/>
                <w:sz w:val="24"/>
                <w:szCs w:val="24"/>
                <w:highlight w:val="none"/>
              </w:rPr>
            </w:pPr>
          </w:p>
        </w:tc>
      </w:tr>
      <w:tr w14:paraId="65AF0A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10B43171">
            <w:pPr>
              <w:widowControl w:val="0"/>
              <w:autoSpaceDE w:val="0"/>
              <w:autoSpaceDN w:val="0"/>
              <w:adjustRightInd w:val="0"/>
              <w:spacing w:line="320" w:lineRule="exact"/>
              <w:jc w:val="center"/>
              <w:rPr>
                <w:rFonts w:ascii="仿宋" w:hAnsi="仿宋" w:eastAsia="仿宋" w:cs="仿宋"/>
                <w:color w:val="000000"/>
                <w:kern w:val="0"/>
                <w:sz w:val="24"/>
                <w:szCs w:val="24"/>
                <w:highlight w:val="none"/>
              </w:rPr>
            </w:pPr>
            <w:r>
              <w:rPr>
                <w:rFonts w:hint="eastAsia" w:ascii="仿宋" w:hAnsi="仿宋" w:eastAsia="仿宋" w:cs="仿宋"/>
                <w:color w:val="000000"/>
                <w:kern w:val="0"/>
                <w:sz w:val="24"/>
                <w:szCs w:val="24"/>
                <w:highlight w:val="none"/>
              </w:rPr>
              <w:t>3</w:t>
            </w:r>
          </w:p>
        </w:tc>
        <w:tc>
          <w:tcPr>
            <w:tcW w:w="2855" w:type="dxa"/>
            <w:tcBorders>
              <w:right w:val="single" w:color="auto" w:sz="4" w:space="0"/>
            </w:tcBorders>
            <w:vAlign w:val="center"/>
          </w:tcPr>
          <w:p w14:paraId="4913651F">
            <w:pPr>
              <w:widowControl w:val="0"/>
              <w:autoSpaceDE w:val="0"/>
              <w:autoSpaceDN w:val="0"/>
              <w:adjustRightInd w:val="0"/>
              <w:spacing w:line="320" w:lineRule="exact"/>
              <w:rPr>
                <w:rFonts w:ascii="仿宋" w:hAnsi="仿宋" w:eastAsia="仿宋" w:cs="仿宋"/>
                <w:bCs/>
                <w:color w:val="000000"/>
                <w:kern w:val="0"/>
                <w:sz w:val="24"/>
                <w:szCs w:val="24"/>
                <w:highlight w:val="none"/>
              </w:rPr>
            </w:pPr>
          </w:p>
        </w:tc>
        <w:tc>
          <w:tcPr>
            <w:tcW w:w="2646" w:type="dxa"/>
            <w:tcBorders>
              <w:left w:val="single" w:color="auto" w:sz="4" w:space="0"/>
              <w:right w:val="single" w:color="auto" w:sz="4" w:space="0"/>
            </w:tcBorders>
            <w:vAlign w:val="center"/>
          </w:tcPr>
          <w:p w14:paraId="5A56F2D7">
            <w:pPr>
              <w:widowControl w:val="0"/>
              <w:autoSpaceDE w:val="0"/>
              <w:autoSpaceDN w:val="0"/>
              <w:adjustRightInd w:val="0"/>
              <w:spacing w:line="320" w:lineRule="exact"/>
              <w:rPr>
                <w:rFonts w:ascii="仿宋" w:hAnsi="仿宋" w:eastAsia="仿宋" w:cs="仿宋"/>
                <w:bCs/>
                <w:color w:val="000000"/>
                <w:kern w:val="0"/>
                <w:sz w:val="24"/>
                <w:szCs w:val="24"/>
                <w:highlight w:val="none"/>
              </w:rPr>
            </w:pPr>
          </w:p>
        </w:tc>
        <w:tc>
          <w:tcPr>
            <w:tcW w:w="1993" w:type="dxa"/>
            <w:tcBorders>
              <w:left w:val="single" w:color="auto" w:sz="4" w:space="0"/>
              <w:right w:val="single" w:color="auto" w:sz="12" w:space="0"/>
            </w:tcBorders>
            <w:vAlign w:val="center"/>
          </w:tcPr>
          <w:p w14:paraId="1D865F47">
            <w:pPr>
              <w:widowControl w:val="0"/>
              <w:autoSpaceDE w:val="0"/>
              <w:autoSpaceDN w:val="0"/>
              <w:adjustRightInd w:val="0"/>
              <w:spacing w:line="320" w:lineRule="exact"/>
              <w:rPr>
                <w:rFonts w:ascii="仿宋" w:hAnsi="仿宋" w:eastAsia="仿宋" w:cs="仿宋"/>
                <w:bCs/>
                <w:color w:val="000000"/>
                <w:kern w:val="0"/>
                <w:sz w:val="24"/>
                <w:szCs w:val="24"/>
                <w:highlight w:val="none"/>
              </w:rPr>
            </w:pPr>
          </w:p>
        </w:tc>
      </w:tr>
      <w:tr w14:paraId="21FA64A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54" w:hRule="atLeast"/>
          <w:jc w:val="center"/>
        </w:trPr>
        <w:tc>
          <w:tcPr>
            <w:tcW w:w="1686" w:type="dxa"/>
            <w:tcBorders>
              <w:left w:val="single" w:color="auto" w:sz="12" w:space="0"/>
            </w:tcBorders>
            <w:vAlign w:val="center"/>
          </w:tcPr>
          <w:p w14:paraId="1D40EB15">
            <w:pPr>
              <w:widowControl w:val="0"/>
              <w:autoSpaceDE w:val="0"/>
              <w:autoSpaceDN w:val="0"/>
              <w:adjustRightInd w:val="0"/>
              <w:spacing w:line="320" w:lineRule="exact"/>
              <w:jc w:val="center"/>
              <w:rPr>
                <w:rFonts w:ascii="仿宋" w:hAnsi="仿宋" w:eastAsia="仿宋" w:cs="仿宋"/>
                <w:color w:val="000000"/>
                <w:kern w:val="0"/>
                <w:sz w:val="24"/>
                <w:szCs w:val="24"/>
                <w:highlight w:val="none"/>
              </w:rPr>
            </w:pPr>
            <w:r>
              <w:rPr>
                <w:rFonts w:hint="eastAsia" w:ascii="宋体" w:hAnsi="宋体" w:cs="宋体"/>
                <w:color w:val="000000"/>
                <w:kern w:val="0"/>
                <w:sz w:val="24"/>
                <w:highlight w:val="none"/>
              </w:rPr>
              <w:t>……</w:t>
            </w:r>
          </w:p>
        </w:tc>
        <w:tc>
          <w:tcPr>
            <w:tcW w:w="2855" w:type="dxa"/>
            <w:tcBorders>
              <w:right w:val="single" w:color="auto" w:sz="4" w:space="0"/>
            </w:tcBorders>
            <w:vAlign w:val="center"/>
          </w:tcPr>
          <w:p w14:paraId="319A4048">
            <w:pPr>
              <w:widowControl w:val="0"/>
              <w:autoSpaceDE w:val="0"/>
              <w:autoSpaceDN w:val="0"/>
              <w:adjustRightInd w:val="0"/>
              <w:spacing w:line="320" w:lineRule="exact"/>
              <w:rPr>
                <w:rFonts w:ascii="仿宋" w:hAnsi="仿宋" w:eastAsia="仿宋" w:cs="仿宋"/>
                <w:bCs/>
                <w:color w:val="000000"/>
                <w:kern w:val="0"/>
                <w:sz w:val="24"/>
                <w:szCs w:val="24"/>
                <w:highlight w:val="none"/>
              </w:rPr>
            </w:pPr>
          </w:p>
        </w:tc>
        <w:tc>
          <w:tcPr>
            <w:tcW w:w="2646" w:type="dxa"/>
            <w:tcBorders>
              <w:left w:val="single" w:color="auto" w:sz="4" w:space="0"/>
              <w:right w:val="single" w:color="auto" w:sz="4" w:space="0"/>
            </w:tcBorders>
            <w:vAlign w:val="center"/>
          </w:tcPr>
          <w:p w14:paraId="231D0284">
            <w:pPr>
              <w:widowControl w:val="0"/>
              <w:autoSpaceDE w:val="0"/>
              <w:autoSpaceDN w:val="0"/>
              <w:adjustRightInd w:val="0"/>
              <w:spacing w:line="320" w:lineRule="exact"/>
              <w:rPr>
                <w:rFonts w:ascii="仿宋" w:hAnsi="仿宋" w:eastAsia="仿宋" w:cs="仿宋"/>
                <w:bCs/>
                <w:color w:val="000000"/>
                <w:kern w:val="0"/>
                <w:sz w:val="24"/>
                <w:szCs w:val="24"/>
                <w:highlight w:val="none"/>
              </w:rPr>
            </w:pPr>
          </w:p>
        </w:tc>
        <w:tc>
          <w:tcPr>
            <w:tcW w:w="1993" w:type="dxa"/>
            <w:tcBorders>
              <w:left w:val="single" w:color="auto" w:sz="4" w:space="0"/>
              <w:right w:val="single" w:color="auto" w:sz="12" w:space="0"/>
            </w:tcBorders>
            <w:vAlign w:val="center"/>
          </w:tcPr>
          <w:p w14:paraId="5BAF536E">
            <w:pPr>
              <w:widowControl w:val="0"/>
              <w:autoSpaceDE w:val="0"/>
              <w:autoSpaceDN w:val="0"/>
              <w:adjustRightInd w:val="0"/>
              <w:spacing w:line="320" w:lineRule="exact"/>
              <w:rPr>
                <w:rFonts w:ascii="仿宋" w:hAnsi="仿宋" w:eastAsia="仿宋" w:cs="仿宋"/>
                <w:bCs/>
                <w:color w:val="000000"/>
                <w:kern w:val="0"/>
                <w:sz w:val="24"/>
                <w:szCs w:val="24"/>
                <w:highlight w:val="none"/>
              </w:rPr>
            </w:pPr>
          </w:p>
        </w:tc>
      </w:tr>
    </w:tbl>
    <w:p w14:paraId="27C682BA">
      <w:pPr>
        <w:widowControl w:val="0"/>
        <w:spacing w:line="500" w:lineRule="exact"/>
        <w:ind w:firstLine="4528" w:firstLineChars="1600"/>
        <w:rPr>
          <w:rFonts w:ascii="仿宋" w:hAnsi="仿宋" w:eastAsia="仿宋" w:cs="仿宋"/>
          <w:color w:val="000000"/>
          <w:highlight w:val="none"/>
        </w:rPr>
      </w:pPr>
    </w:p>
    <w:p w14:paraId="39818048">
      <w:pPr>
        <w:widowControl w:val="0"/>
        <w:spacing w:line="500" w:lineRule="exact"/>
        <w:ind w:firstLine="4528" w:firstLineChars="1600"/>
        <w:rPr>
          <w:rFonts w:ascii="仿宋" w:hAnsi="仿宋" w:eastAsia="仿宋" w:cs="仿宋"/>
          <w:color w:val="000000"/>
          <w:highlight w:val="none"/>
        </w:rPr>
      </w:pPr>
      <w:r>
        <w:rPr>
          <w:rFonts w:hint="eastAsia" w:ascii="仿宋" w:hAnsi="仿宋" w:eastAsia="仿宋" w:cs="仿宋"/>
          <w:color w:val="000000"/>
          <w:highlight w:val="none"/>
        </w:rPr>
        <w:t xml:space="preserve">供应商： </w:t>
      </w:r>
      <w:r>
        <w:rPr>
          <w:rFonts w:hint="eastAsia" w:ascii="仿宋" w:hAnsi="仿宋" w:eastAsia="仿宋" w:cs="仿宋"/>
          <w:color w:val="000000"/>
          <w:highlight w:val="none"/>
          <w:u w:val="single"/>
        </w:rPr>
        <w:t>名称</w:t>
      </w:r>
      <w:r>
        <w:rPr>
          <w:rFonts w:hint="eastAsia" w:ascii="仿宋" w:hAnsi="仿宋" w:eastAsia="仿宋" w:cs="仿宋"/>
          <w:color w:val="000000"/>
          <w:highlight w:val="none"/>
        </w:rPr>
        <w:t>（加盖公章）</w:t>
      </w:r>
    </w:p>
    <w:p w14:paraId="6FB45670">
      <w:pPr>
        <w:widowControl w:val="0"/>
        <w:spacing w:line="500" w:lineRule="exact"/>
        <w:ind w:firstLine="4528" w:firstLineChars="1600"/>
        <w:rPr>
          <w:rFonts w:ascii="仿宋" w:hAnsi="仿宋" w:eastAsia="仿宋" w:cs="仿宋"/>
          <w:color w:val="000000"/>
          <w:highlight w:val="none"/>
        </w:rPr>
      </w:pPr>
      <w:r>
        <w:rPr>
          <w:rFonts w:hint="eastAsia" w:ascii="仿宋" w:hAnsi="仿宋" w:eastAsia="仿宋" w:cs="仿宋"/>
          <w:color w:val="000000"/>
          <w:highlight w:val="none"/>
        </w:rPr>
        <w:t>日期：  年  月  日</w:t>
      </w:r>
    </w:p>
    <w:p w14:paraId="6C372176">
      <w:pPr>
        <w:pStyle w:val="19"/>
        <w:widowControl w:val="0"/>
        <w:wordWrap w:val="0"/>
        <w:spacing w:afterLines="0" w:line="400" w:lineRule="exact"/>
        <w:ind w:firstLine="426" w:firstLineChars="200"/>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备注：</w:t>
      </w:r>
    </w:p>
    <w:p w14:paraId="304FB934">
      <w:pPr>
        <w:pStyle w:val="19"/>
        <w:widowControl w:val="0"/>
        <w:wordWrap w:val="0"/>
        <w:spacing w:afterLines="0" w:line="400" w:lineRule="exact"/>
        <w:ind w:firstLine="426" w:firstLineChars="200"/>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0A47BB40">
      <w:pPr>
        <w:pStyle w:val="19"/>
        <w:widowControl w:val="0"/>
        <w:wordWrap w:val="0"/>
        <w:spacing w:afterLines="0" w:line="400" w:lineRule="exact"/>
        <w:ind w:firstLine="426" w:firstLineChars="200"/>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2、管理关系：是指不具有出资持股关系的其他单位之间存在的管理与被管理关系，如一些上下级关系的事业单位和团体组织。</w:t>
      </w:r>
    </w:p>
    <w:p w14:paraId="048987BF">
      <w:pPr>
        <w:pStyle w:val="19"/>
        <w:widowControl w:val="0"/>
        <w:wordWrap w:val="0"/>
        <w:spacing w:afterLines="0" w:line="400" w:lineRule="exact"/>
        <w:ind w:firstLine="426" w:firstLineChars="200"/>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3、本表所指的控股、管理关系仅限于直接控股、直接管理关系，不包括间接的控股或管理关系。公司实际控制人与公司之间的关系不属于本表所指的直接控股关系。</w:t>
      </w:r>
    </w:p>
    <w:p w14:paraId="38392220">
      <w:pPr>
        <w:pStyle w:val="19"/>
        <w:widowControl w:val="0"/>
        <w:wordWrap w:val="0"/>
        <w:spacing w:afterLines="0" w:line="400" w:lineRule="exact"/>
        <w:ind w:firstLine="426" w:firstLineChars="200"/>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4、供应商如不存在直接控股股东的，则在“直接控股股东名称及出资比例”处填写“无”或“/”。供应商不存在直接管理关系的，则在“直接管理关系单位名称”中填“无”或“/”。</w:t>
      </w:r>
    </w:p>
    <w:bookmarkEnd w:id="868"/>
    <w:bookmarkEnd w:id="869"/>
    <w:bookmarkEnd w:id="870"/>
    <w:bookmarkEnd w:id="871"/>
    <w:bookmarkEnd w:id="872"/>
    <w:bookmarkEnd w:id="873"/>
    <w:p w14:paraId="125B7399">
      <w:pPr>
        <w:spacing w:line="240" w:lineRule="auto"/>
        <w:rPr>
          <w:rFonts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rPr>
        <w:br w:type="page"/>
      </w:r>
    </w:p>
    <w:p w14:paraId="27FE88D2">
      <w:pPr>
        <w:widowControl w:val="0"/>
        <w:spacing w:line="500" w:lineRule="exact"/>
        <w:ind w:firstLine="606" w:firstLineChars="200"/>
        <w:rPr>
          <w:rFonts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rPr>
        <w:t>七、书面声明</w:t>
      </w:r>
    </w:p>
    <w:p w14:paraId="6154B538">
      <w:pPr>
        <w:widowControl w:val="0"/>
        <w:spacing w:line="500" w:lineRule="exact"/>
        <w:jc w:val="center"/>
        <w:rPr>
          <w:rFonts w:ascii="仿宋" w:hAnsi="仿宋" w:eastAsia="仿宋" w:cs="仿宋"/>
          <w:b/>
          <w:bCs/>
          <w:color w:val="000000"/>
          <w:sz w:val="30"/>
          <w:szCs w:val="30"/>
          <w:highlight w:val="none"/>
        </w:rPr>
      </w:pPr>
      <w:r>
        <w:rPr>
          <w:rFonts w:hint="eastAsia" w:ascii="仿宋" w:hAnsi="仿宋" w:eastAsia="仿宋" w:cs="仿宋"/>
          <w:b/>
          <w:bCs/>
          <w:color w:val="000000"/>
          <w:sz w:val="30"/>
          <w:szCs w:val="30"/>
          <w:highlight w:val="none"/>
        </w:rPr>
        <w:t>书面声明</w:t>
      </w:r>
      <w:r>
        <w:rPr>
          <w:rFonts w:hint="eastAsia" w:cs="华文仿宋"/>
          <w:b/>
          <w:bCs/>
          <w:color w:val="000000"/>
          <w:sz w:val="30"/>
          <w:szCs w:val="30"/>
          <w:highlight w:val="none"/>
        </w:rPr>
        <w:t>（格式）</w:t>
      </w:r>
    </w:p>
    <w:p w14:paraId="301F2008">
      <w:pPr>
        <w:widowControl w:val="0"/>
        <w:spacing w:line="500" w:lineRule="exact"/>
        <w:rPr>
          <w:rFonts w:ascii="仿宋" w:hAnsi="仿宋" w:eastAsia="仿宋" w:cs="仿宋"/>
          <w:color w:val="000000"/>
          <w:highlight w:val="none"/>
        </w:rPr>
      </w:pPr>
      <w:r>
        <w:rPr>
          <w:rFonts w:hint="eastAsia" w:ascii="仿宋" w:hAnsi="仿宋" w:eastAsia="仿宋" w:cs="仿宋"/>
          <w:color w:val="000000"/>
          <w:highlight w:val="none"/>
        </w:rPr>
        <w:t>陕西省省级单位政府采购中心：</w:t>
      </w:r>
    </w:p>
    <w:p w14:paraId="143D0ADB">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我方作为</w:t>
      </w:r>
      <w:r>
        <w:rPr>
          <w:rFonts w:hint="eastAsia" w:ascii="仿宋" w:hAnsi="仿宋" w:eastAsia="仿宋" w:cs="仿宋"/>
          <w:color w:val="000000"/>
          <w:highlight w:val="none"/>
          <w:u w:val="single"/>
        </w:rPr>
        <w:t>项目名称</w:t>
      </w:r>
      <w:r>
        <w:rPr>
          <w:rFonts w:hint="eastAsia" w:ascii="仿宋" w:hAnsi="仿宋" w:eastAsia="仿宋" w:cs="仿宋"/>
          <w:color w:val="000000"/>
          <w:highlight w:val="none"/>
        </w:rPr>
        <w:t>（项目编号：</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）第</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标段的供应商，在此郑重声明：</w:t>
      </w:r>
    </w:p>
    <w:p w14:paraId="7388C041">
      <w:pPr>
        <w:widowControl w:val="0"/>
        <w:numPr>
          <w:ilvl w:val="0"/>
          <w:numId w:val="3"/>
        </w:num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我方具备履行合同所必须的设备和专业技术能力。</w:t>
      </w:r>
    </w:p>
    <w:p w14:paraId="56AD3EF6">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2、我方未为本项目提供整体设计、规范编制或者项目管理、监理、检测等服务。</w:t>
      </w:r>
    </w:p>
    <w:p w14:paraId="67DE0CE4">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如有不实，我方将无条件地退出本项目的采购活动，并遵照《政府采购法》有关“提供虚假材料的规定”接受处罚。</w:t>
      </w:r>
    </w:p>
    <w:p w14:paraId="7D43B5F2">
      <w:pPr>
        <w:widowControl w:val="0"/>
        <w:spacing w:line="500" w:lineRule="exact"/>
        <w:rPr>
          <w:rFonts w:ascii="仿宋" w:hAnsi="仿宋" w:eastAsia="仿宋" w:cs="仿宋"/>
          <w:color w:val="000000"/>
          <w:highlight w:val="none"/>
        </w:rPr>
      </w:pPr>
      <w:r>
        <w:rPr>
          <w:rFonts w:hint="eastAsia" w:ascii="仿宋" w:hAnsi="仿宋" w:eastAsia="仿宋" w:cs="仿宋"/>
          <w:color w:val="000000"/>
          <w:highlight w:val="none"/>
        </w:rPr>
        <w:t>特此声明。</w:t>
      </w:r>
    </w:p>
    <w:p w14:paraId="4BE1E301">
      <w:pPr>
        <w:widowControl w:val="0"/>
        <w:spacing w:line="500" w:lineRule="exact"/>
        <w:ind w:firstLine="4528" w:firstLineChars="1600"/>
        <w:rPr>
          <w:rFonts w:ascii="仿宋" w:hAnsi="仿宋" w:eastAsia="仿宋" w:cs="仿宋"/>
          <w:color w:val="000000"/>
          <w:highlight w:val="none"/>
        </w:rPr>
      </w:pPr>
      <w:r>
        <w:rPr>
          <w:rFonts w:hint="eastAsia" w:eastAsia="仿宋" w:cs="华文仿宋"/>
          <w:color w:val="000000"/>
          <w:highlight w:val="none"/>
        </w:rPr>
        <w:t>供应商</w:t>
      </w:r>
      <w:r>
        <w:rPr>
          <w:rFonts w:hint="eastAsia" w:ascii="仿宋" w:hAnsi="仿宋" w:eastAsia="仿宋" w:cs="仿宋"/>
          <w:color w:val="000000"/>
          <w:highlight w:val="none"/>
        </w:rPr>
        <w:t xml:space="preserve">： </w:t>
      </w:r>
      <w:r>
        <w:rPr>
          <w:rFonts w:hint="eastAsia" w:ascii="仿宋" w:hAnsi="仿宋" w:eastAsia="仿宋" w:cs="仿宋"/>
          <w:color w:val="000000"/>
          <w:highlight w:val="none"/>
          <w:u w:val="single"/>
        </w:rPr>
        <w:t>名称</w:t>
      </w:r>
      <w:r>
        <w:rPr>
          <w:rFonts w:hint="eastAsia" w:ascii="仿宋" w:hAnsi="仿宋" w:eastAsia="仿宋" w:cs="仿宋"/>
          <w:color w:val="000000"/>
          <w:highlight w:val="none"/>
        </w:rPr>
        <w:t>（加盖公章）</w:t>
      </w:r>
    </w:p>
    <w:p w14:paraId="22D756B3">
      <w:pPr>
        <w:widowControl w:val="0"/>
        <w:spacing w:line="500" w:lineRule="exact"/>
        <w:ind w:firstLine="4528" w:firstLineChars="1600"/>
        <w:rPr>
          <w:rFonts w:ascii="仿宋" w:hAnsi="仿宋" w:eastAsia="仿宋" w:cs="仿宋"/>
          <w:color w:val="000000"/>
          <w:highlight w:val="none"/>
        </w:rPr>
      </w:pPr>
      <w:r>
        <w:rPr>
          <w:rFonts w:hint="eastAsia" w:ascii="仿宋" w:hAnsi="仿宋" w:eastAsia="仿宋" w:cs="仿宋"/>
          <w:color w:val="000000"/>
          <w:highlight w:val="none"/>
        </w:rPr>
        <w:t>日期：  年  月  日</w:t>
      </w:r>
    </w:p>
    <w:p w14:paraId="3FAFBB0C">
      <w:pPr>
        <w:pStyle w:val="5"/>
        <w:widowControl w:val="0"/>
        <w:rPr>
          <w:rFonts w:ascii="仿宋" w:hAnsi="仿宋" w:eastAsia="仿宋" w:cs="仿宋"/>
          <w:color w:val="000000"/>
          <w:highlight w:val="none"/>
        </w:rPr>
      </w:pPr>
    </w:p>
    <w:p w14:paraId="7325666F">
      <w:pPr>
        <w:pStyle w:val="5"/>
        <w:widowControl w:val="0"/>
        <w:rPr>
          <w:rFonts w:ascii="仿宋" w:hAnsi="仿宋" w:eastAsia="仿宋" w:cs="仿宋"/>
          <w:color w:val="000000"/>
          <w:highlight w:val="none"/>
        </w:rPr>
      </w:pPr>
    </w:p>
    <w:p w14:paraId="78265C58">
      <w:pPr>
        <w:widowControl w:val="0"/>
        <w:spacing w:line="500" w:lineRule="exact"/>
        <w:rPr>
          <w:rFonts w:ascii="仿宋" w:hAnsi="仿宋" w:eastAsia="宋体" w:cs="仿宋"/>
          <w:b/>
          <w:bCs/>
          <w:color w:val="000000"/>
          <w:sz w:val="30"/>
          <w:szCs w:val="30"/>
          <w:highlight w:val="none"/>
        </w:rPr>
      </w:pPr>
      <w:r>
        <w:rPr>
          <w:rFonts w:hint="eastAsia" w:ascii="宋体" w:hAnsi="宋体" w:eastAsia="宋体" w:cs="宋体"/>
          <w:color w:val="000000"/>
          <w:sz w:val="21"/>
          <w:szCs w:val="21"/>
          <w:highlight w:val="none"/>
        </w:rPr>
        <w:t>备注：项目不分标段的，第</w:t>
      </w:r>
      <w:r>
        <w:rPr>
          <w:rFonts w:ascii="宋体" w:hAnsi="宋体" w:eastAsia="宋体" w:cs="宋体"/>
          <w:color w:val="000000"/>
          <w:sz w:val="21"/>
          <w:szCs w:val="21"/>
          <w:highlight w:val="none"/>
        </w:rPr>
        <w:t>___</w:t>
      </w:r>
      <w:r>
        <w:rPr>
          <w:rFonts w:hint="eastAsia" w:ascii="宋体" w:hAnsi="宋体" w:eastAsia="宋体" w:cs="宋体"/>
          <w:color w:val="000000"/>
          <w:sz w:val="21"/>
          <w:szCs w:val="21"/>
          <w:highlight w:val="none"/>
        </w:rPr>
        <w:t>标段空白处填写“/”。</w:t>
      </w:r>
    </w:p>
    <w:p w14:paraId="22BDF479">
      <w:pPr>
        <w:widowControl w:val="0"/>
        <w:tabs>
          <w:tab w:val="right" w:pos="9070"/>
        </w:tabs>
        <w:spacing w:line="500" w:lineRule="exact"/>
        <w:rPr>
          <w:rFonts w:ascii="仿宋" w:hAnsi="仿宋" w:eastAsia="仿宋" w:cs="仿宋"/>
          <w:bCs/>
          <w:color w:val="000000"/>
          <w:highlight w:val="none"/>
        </w:rPr>
      </w:pPr>
      <w:r>
        <w:rPr>
          <w:rFonts w:hint="eastAsia" w:ascii="仿宋" w:hAnsi="仿宋" w:eastAsia="仿宋" w:cs="仿宋"/>
          <w:bCs/>
          <w:color w:val="000000"/>
          <w:highlight w:val="none"/>
        </w:rPr>
        <w:tab/>
      </w:r>
    </w:p>
    <w:p w14:paraId="4925FC09">
      <w:pPr>
        <w:widowControl w:val="0"/>
        <w:tabs>
          <w:tab w:val="right" w:pos="9070"/>
        </w:tabs>
        <w:spacing w:line="500" w:lineRule="exact"/>
        <w:rPr>
          <w:rFonts w:ascii="仿宋" w:hAnsi="仿宋" w:eastAsia="仿宋" w:cs="仿宋"/>
          <w:bCs/>
          <w:color w:val="000000"/>
          <w:highlight w:val="none"/>
        </w:rPr>
      </w:pPr>
      <w:r>
        <w:rPr>
          <w:rFonts w:hint="eastAsia" w:ascii="仿宋" w:hAnsi="仿宋" w:eastAsia="仿宋" w:cs="仿宋"/>
          <w:bCs/>
          <w:color w:val="000000"/>
          <w:highlight w:val="none"/>
        </w:rPr>
        <w:tab/>
      </w:r>
    </w:p>
    <w:p w14:paraId="3CECF377">
      <w:pPr>
        <w:pStyle w:val="31"/>
        <w:widowControl w:val="0"/>
        <w:spacing w:line="500" w:lineRule="exact"/>
        <w:ind w:firstLine="646" w:firstLineChars="200"/>
        <w:rPr>
          <w:rFonts w:cs="Times New Roman"/>
          <w:color w:val="000000"/>
          <w:highlight w:val="none"/>
        </w:rPr>
      </w:pPr>
      <w:r>
        <w:rPr>
          <w:rFonts w:hint="eastAsia" w:ascii="仿宋" w:hAnsi="仿宋" w:eastAsia="仿宋" w:cs="仿宋"/>
          <w:color w:val="000000"/>
          <w:highlight w:val="none"/>
        </w:rPr>
        <w:br w:type="page"/>
      </w:r>
      <w:bookmarkStart w:id="874" w:name="_Toc775"/>
      <w:bookmarkStart w:id="875" w:name="_Toc28669"/>
      <w:bookmarkStart w:id="876" w:name="_Toc4405"/>
      <w:bookmarkStart w:id="877" w:name="_Toc24934"/>
      <w:bookmarkStart w:id="878" w:name="_Toc22384"/>
      <w:bookmarkStart w:id="879" w:name="_Toc6427"/>
      <w:bookmarkStart w:id="880" w:name="_Toc17830"/>
      <w:bookmarkStart w:id="881" w:name="_Toc21964"/>
      <w:bookmarkStart w:id="882" w:name="_Toc29668"/>
      <w:bookmarkStart w:id="883" w:name="_Toc12938"/>
      <w:bookmarkStart w:id="884" w:name="_Toc23754"/>
      <w:bookmarkStart w:id="885" w:name="_Toc17141"/>
      <w:bookmarkStart w:id="886" w:name="_Toc6900"/>
      <w:r>
        <w:rPr>
          <w:rFonts w:hint="eastAsia" w:cs="华文仿宋"/>
          <w:color w:val="000000"/>
          <w:sz w:val="30"/>
          <w:szCs w:val="30"/>
          <w:highlight w:val="none"/>
        </w:rPr>
        <w:t>八、法定代表人授权委托书</w:t>
      </w:r>
      <w:bookmarkEnd w:id="874"/>
      <w:bookmarkEnd w:id="875"/>
      <w:bookmarkEnd w:id="876"/>
      <w:bookmarkEnd w:id="877"/>
      <w:bookmarkEnd w:id="878"/>
      <w:bookmarkEnd w:id="879"/>
      <w:bookmarkEnd w:id="880"/>
      <w:bookmarkEnd w:id="881"/>
      <w:bookmarkEnd w:id="882"/>
      <w:bookmarkEnd w:id="883"/>
      <w:bookmarkEnd w:id="884"/>
      <w:bookmarkEnd w:id="885"/>
      <w:bookmarkEnd w:id="886"/>
    </w:p>
    <w:p w14:paraId="31819548">
      <w:pPr>
        <w:pStyle w:val="31"/>
        <w:widowControl w:val="0"/>
        <w:jc w:val="center"/>
        <w:rPr>
          <w:rFonts w:ascii="仿宋" w:hAnsi="仿宋" w:eastAsia="仿宋" w:cs="仿宋"/>
          <w:color w:val="000000"/>
          <w:sz w:val="30"/>
          <w:szCs w:val="30"/>
          <w:highlight w:val="none"/>
        </w:rPr>
      </w:pPr>
      <w:bookmarkStart w:id="887" w:name="_Toc13312"/>
      <w:bookmarkStart w:id="888" w:name="_Toc17482"/>
      <w:bookmarkStart w:id="889" w:name="_Toc12408"/>
      <w:bookmarkStart w:id="890" w:name="_Toc16636"/>
      <w:bookmarkStart w:id="891" w:name="_Toc11218"/>
      <w:bookmarkStart w:id="892" w:name="_Toc31497"/>
      <w:bookmarkStart w:id="893" w:name="_Toc30877"/>
      <w:bookmarkStart w:id="894" w:name="_Toc1535"/>
      <w:bookmarkStart w:id="895" w:name="_Toc14158"/>
      <w:bookmarkStart w:id="896" w:name="_Toc27641"/>
      <w:bookmarkStart w:id="897" w:name="_Toc25764"/>
      <w:bookmarkStart w:id="898" w:name="_Toc7695"/>
      <w:bookmarkStart w:id="899" w:name="_Toc12801"/>
      <w:r>
        <w:rPr>
          <w:rFonts w:hint="eastAsia" w:ascii="仿宋" w:hAnsi="仿宋" w:eastAsia="仿宋" w:cs="仿宋"/>
          <w:color w:val="000000"/>
          <w:sz w:val="30"/>
          <w:szCs w:val="30"/>
          <w:highlight w:val="none"/>
        </w:rPr>
        <w:t>法定代表人授权委托书</w:t>
      </w:r>
      <w:bookmarkEnd w:id="887"/>
      <w:bookmarkEnd w:id="888"/>
      <w:bookmarkEnd w:id="889"/>
      <w:r>
        <w:rPr>
          <w:rFonts w:hint="eastAsia" w:ascii="仿宋" w:hAnsi="仿宋" w:eastAsia="仿宋" w:cs="仿宋"/>
          <w:color w:val="000000"/>
          <w:sz w:val="30"/>
          <w:szCs w:val="30"/>
          <w:highlight w:val="none"/>
        </w:rPr>
        <w:t>（格式）</w:t>
      </w:r>
      <w:bookmarkEnd w:id="890"/>
      <w:bookmarkEnd w:id="891"/>
      <w:bookmarkEnd w:id="892"/>
      <w:bookmarkEnd w:id="893"/>
      <w:bookmarkEnd w:id="894"/>
      <w:bookmarkEnd w:id="895"/>
      <w:bookmarkEnd w:id="896"/>
      <w:bookmarkEnd w:id="897"/>
      <w:bookmarkEnd w:id="898"/>
      <w:bookmarkEnd w:id="899"/>
    </w:p>
    <w:p w14:paraId="26FFD63D">
      <w:pPr>
        <w:widowControl w:val="0"/>
        <w:snapToGrid w:val="0"/>
        <w:spacing w:after="190" w:afterLines="50" w:line="500" w:lineRule="exact"/>
        <w:rPr>
          <w:rFonts w:ascii="仿宋" w:hAnsi="仿宋" w:eastAsia="仿宋" w:cs="仿宋"/>
          <w:color w:val="000000"/>
          <w:highlight w:val="none"/>
        </w:rPr>
      </w:pPr>
      <w:r>
        <w:rPr>
          <w:rFonts w:hint="eastAsia" w:ascii="仿宋" w:hAnsi="仿宋" w:eastAsia="仿宋" w:cs="仿宋"/>
          <w:color w:val="000000"/>
          <w:highlight w:val="none"/>
        </w:rPr>
        <w:t>陕西省省级单位政府采购中心：</w:t>
      </w:r>
    </w:p>
    <w:p w14:paraId="0BFA62BD">
      <w:pPr>
        <w:widowControl w:val="0"/>
        <w:spacing w:line="460" w:lineRule="exact"/>
        <w:ind w:right="11" w:firstLine="566" w:firstLineChars="200"/>
        <w:rPr>
          <w:rFonts w:ascii="仿宋" w:hAnsi="仿宋" w:eastAsia="仿宋" w:cs="仿宋"/>
          <w:color w:val="000000"/>
          <w:highlight w:val="none"/>
        </w:rPr>
      </w:pPr>
      <w:r>
        <w:rPr>
          <w:rFonts w:hint="eastAsia" w:ascii="仿宋" w:hAnsi="仿宋" w:eastAsia="仿宋" w:cs="仿宋"/>
          <w:color w:val="000000"/>
          <w:highlight w:val="none"/>
        </w:rPr>
        <w:t>现委派（</w:t>
      </w:r>
      <w:r>
        <w:rPr>
          <w:rFonts w:hint="eastAsia" w:ascii="仿宋" w:hAnsi="仿宋" w:eastAsia="仿宋" w:cs="仿宋"/>
          <w:color w:val="000000"/>
          <w:highlight w:val="none"/>
          <w:u w:val="single"/>
        </w:rPr>
        <w:t>被授权代表姓名</w:t>
      </w:r>
      <w:r>
        <w:rPr>
          <w:rFonts w:hint="eastAsia" w:ascii="仿宋" w:hAnsi="仿宋" w:eastAsia="仿宋" w:cs="仿宋"/>
          <w:color w:val="000000"/>
          <w:highlight w:val="none"/>
        </w:rPr>
        <w:t>）（身份证号</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）为本公司的被授权代表，参加贵中心组织的</w:t>
      </w:r>
      <w:r>
        <w:rPr>
          <w:rFonts w:hint="eastAsia" w:ascii="仿宋" w:hAnsi="仿宋" w:eastAsia="仿宋" w:cs="仿宋"/>
          <w:color w:val="000000"/>
          <w:highlight w:val="none"/>
          <w:u w:val="single"/>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254000"/>
                <wp:effectExtent l="0" t="0" r="0" b="0"/>
                <wp:wrapNone/>
                <wp:docPr id="1026" name="矩形 1026"/>
                <wp:cNvGraphicFramePr/>
                <a:graphic xmlns:a="http://schemas.openxmlformats.org/drawingml/2006/main">
                  <a:graphicData uri="http://schemas.microsoft.com/office/word/2010/wordprocessingShape">
                    <wps:wsp>
                      <wps:cNvSpPr/>
                      <wps:spPr>
                        <a:xfrm>
                          <a:off x="0" y="0"/>
                          <a:ext cx="114934" cy="254000"/>
                        </a:xfrm>
                        <a:prstGeom prst="rect">
                          <a:avLst/>
                        </a:prstGeom>
                        <a:noFill/>
                        <a:ln>
                          <a:noFill/>
                        </a:ln>
                        <a:effectLst/>
                      </wps:spPr>
                      <wps:txbx>
                        <w:txbxContent>
                          <w:p w14:paraId="64B33B2A"/>
                        </w:txbxContent>
                      </wps:txbx>
                      <wps:bodyPr vert="horz" wrap="none" lIns="0" tIns="0" rIns="0" bIns="0" anchor="t" upright="1">
                        <a:spAutoFit/>
                      </wps:bodyPr>
                    </wps:wsp>
                  </a:graphicData>
                </a:graphic>
              </wp:anchor>
            </w:drawing>
          </mc:Choice>
          <mc:Fallback>
            <w:pict>
              <v:rect id="_x0000_s1026" o:spid="_x0000_s1026" o:spt="1" style="position:absolute;left:0pt;margin-top:0pt;height:20pt;width:9.05pt;mso-position-horizontal:center;mso-position-horizontal-relative:margin;mso-wrap-style:none;z-index:251659264;mso-width-relative:page;mso-height-relative:page;" filled="f" stroked="f" coordsize="21600,21600" o:gfxdata="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uTHRftEAAAADAQAADwAAAAAAAAABACAA&#10;AAAiAAAAZHJzL2Rvd25yZXYueG1sUEsBAhQAFAAAAAgAh07iQEro9JHbAQAAtQMAAA4AAAAAAAAA&#10;AQAgAAAAIAEAAGRycy9lMm9Eb2MueG1sUEsFBgAAAAAGAAYAWQEAAG0FAAAAAA==&#10;">
                <v:fill on="f" focussize="0,0"/>
                <v:stroke on="f"/>
                <v:imagedata o:title=""/>
                <o:lock v:ext="edit" aspectratio="f"/>
                <v:textbox inset="0mm,0mm,0mm,0mm" style="mso-fit-shape-to-text:t;">
                  <w:txbxContent>
                    <w:p w14:paraId="64B33B2A"/>
                  </w:txbxContent>
                </v:textbox>
              </v:rect>
            </w:pict>
          </mc:Fallback>
        </mc:AlternateContent>
      </w:r>
      <w:r>
        <w:rPr>
          <w:rFonts w:hint="eastAsia" w:ascii="仿宋" w:hAnsi="仿宋" w:eastAsia="仿宋" w:cs="仿宋"/>
          <w:color w:val="000000"/>
          <w:highlight w:val="none"/>
          <w:u w:val="single"/>
        </w:rPr>
        <w:t>《项目名称》</w:t>
      </w:r>
      <w:r>
        <w:rPr>
          <w:rFonts w:hint="eastAsia" w:ascii="仿宋" w:hAnsi="仿宋" w:eastAsia="仿宋" w:cs="仿宋"/>
          <w:color w:val="000000"/>
          <w:highlight w:val="none"/>
        </w:rPr>
        <w:t>（项目编号：</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）第</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标段政府采购活动，就该项目的投标及合同的执行和完成，以本公司的名义处理一切与之有关的事宜。本授权自开标之日起生效，有效期与响应文件有效期一致。</w:t>
      </w:r>
    </w:p>
    <w:p w14:paraId="4821331E">
      <w:pPr>
        <w:widowControl w:val="0"/>
        <w:tabs>
          <w:tab w:val="left" w:pos="5245"/>
        </w:tabs>
        <w:snapToGrid w:val="0"/>
        <w:ind w:firstLine="566" w:firstLineChars="200"/>
        <w:rPr>
          <w:rFonts w:ascii="仿宋" w:hAnsi="仿宋" w:eastAsia="仿宋" w:cs="仿宋"/>
          <w:color w:val="000000"/>
          <w:highlight w:val="none"/>
        </w:rPr>
      </w:pPr>
      <w:r>
        <w:rPr>
          <w:rFonts w:hint="eastAsia" w:ascii="仿宋" w:hAnsi="仿宋" w:eastAsia="仿宋" w:cs="仿宋"/>
          <w:color w:val="000000"/>
          <w:highlight w:val="none"/>
        </w:rPr>
        <w:t>被授权代表姓名：______       性别：________________</w:t>
      </w:r>
    </w:p>
    <w:p w14:paraId="4AA8A23C">
      <w:pPr>
        <w:widowControl w:val="0"/>
        <w:tabs>
          <w:tab w:val="left" w:pos="5245"/>
        </w:tabs>
        <w:snapToGrid w:val="0"/>
        <w:ind w:firstLine="566" w:firstLineChars="200"/>
        <w:rPr>
          <w:rFonts w:ascii="仿宋" w:hAnsi="仿宋" w:eastAsia="仿宋" w:cs="仿宋"/>
          <w:color w:val="000000"/>
          <w:highlight w:val="none"/>
        </w:rPr>
      </w:pPr>
      <w:r>
        <w:rPr>
          <w:rFonts w:hint="eastAsia" w:ascii="仿宋" w:hAnsi="仿宋" w:eastAsia="仿宋" w:cs="仿宋"/>
          <w:color w:val="000000"/>
          <w:highlight w:val="none"/>
        </w:rPr>
        <w:t>电话：__________通讯地址：______________</w:t>
      </w:r>
    </w:p>
    <w:tbl>
      <w:tblPr>
        <w:tblStyle w:val="21"/>
        <w:tblW w:w="81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2"/>
        <w:gridCol w:w="4098"/>
      </w:tblGrid>
      <w:tr w14:paraId="2DE69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7" w:hRule="atLeast"/>
          <w:jc w:val="center"/>
        </w:trPr>
        <w:tc>
          <w:tcPr>
            <w:tcW w:w="4072" w:type="dxa"/>
            <w:vAlign w:val="center"/>
          </w:tcPr>
          <w:p w14:paraId="1FBF411B">
            <w:pPr>
              <w:widowControl w:val="0"/>
              <w:snapToGrid w:val="0"/>
              <w:jc w:val="center"/>
              <w:rPr>
                <w:rFonts w:ascii="仿宋" w:hAnsi="仿宋" w:eastAsia="仿宋" w:cs="仿宋"/>
                <w:color w:val="000000"/>
                <w:highlight w:val="none"/>
              </w:rPr>
            </w:pPr>
            <w:r>
              <w:rPr>
                <w:rFonts w:hint="eastAsia" w:ascii="仿宋" w:hAnsi="仿宋" w:eastAsia="仿宋" w:cs="仿宋"/>
                <w:color w:val="000000"/>
                <w:highlight w:val="none"/>
              </w:rPr>
              <w:t>法定代表人身份证复印件</w:t>
            </w:r>
          </w:p>
          <w:p w14:paraId="3C89C41E">
            <w:pPr>
              <w:widowControl w:val="0"/>
              <w:snapToGrid w:val="0"/>
              <w:jc w:val="center"/>
              <w:rPr>
                <w:rFonts w:ascii="仿宋" w:hAnsi="仿宋" w:eastAsia="仿宋" w:cs="仿宋"/>
                <w:color w:val="000000"/>
                <w:highlight w:val="none"/>
              </w:rPr>
            </w:pPr>
            <w:r>
              <w:rPr>
                <w:rFonts w:hint="eastAsia" w:ascii="仿宋" w:hAnsi="仿宋" w:eastAsia="仿宋" w:cs="仿宋"/>
                <w:color w:val="000000"/>
                <w:highlight w:val="none"/>
              </w:rPr>
              <w:t>（有人像面）</w:t>
            </w:r>
          </w:p>
        </w:tc>
        <w:tc>
          <w:tcPr>
            <w:tcW w:w="4098" w:type="dxa"/>
            <w:vAlign w:val="center"/>
          </w:tcPr>
          <w:p w14:paraId="15259BC1">
            <w:pPr>
              <w:widowControl w:val="0"/>
              <w:snapToGrid w:val="0"/>
              <w:jc w:val="center"/>
              <w:rPr>
                <w:rFonts w:ascii="仿宋" w:hAnsi="仿宋" w:eastAsia="仿宋" w:cs="仿宋"/>
                <w:color w:val="000000"/>
                <w:highlight w:val="none"/>
              </w:rPr>
            </w:pPr>
            <w:r>
              <w:rPr>
                <w:rFonts w:hint="eastAsia" w:ascii="仿宋" w:hAnsi="仿宋" w:eastAsia="仿宋" w:cs="仿宋"/>
                <w:color w:val="000000"/>
                <w:highlight w:val="none"/>
              </w:rPr>
              <w:t>被授权代表身份证复印件</w:t>
            </w:r>
          </w:p>
          <w:p w14:paraId="7620BC61">
            <w:pPr>
              <w:widowControl w:val="0"/>
              <w:snapToGrid w:val="0"/>
              <w:jc w:val="center"/>
              <w:rPr>
                <w:rFonts w:ascii="仿宋" w:hAnsi="仿宋" w:eastAsia="仿宋" w:cs="仿宋"/>
                <w:color w:val="000000"/>
                <w:highlight w:val="none"/>
              </w:rPr>
            </w:pPr>
            <w:r>
              <w:rPr>
                <w:rFonts w:hint="eastAsia" w:ascii="仿宋" w:hAnsi="仿宋" w:eastAsia="仿宋" w:cs="仿宋"/>
                <w:color w:val="000000"/>
                <w:highlight w:val="none"/>
              </w:rPr>
              <w:t>（有人像面）</w:t>
            </w:r>
          </w:p>
        </w:tc>
      </w:tr>
      <w:tr w14:paraId="4D167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7" w:hRule="atLeast"/>
          <w:jc w:val="center"/>
        </w:trPr>
        <w:tc>
          <w:tcPr>
            <w:tcW w:w="4072" w:type="dxa"/>
            <w:vAlign w:val="center"/>
          </w:tcPr>
          <w:p w14:paraId="001D342F">
            <w:pPr>
              <w:widowControl w:val="0"/>
              <w:jc w:val="center"/>
              <w:rPr>
                <w:rFonts w:ascii="仿宋" w:hAnsi="仿宋" w:eastAsia="仿宋" w:cs="仿宋"/>
                <w:color w:val="000000"/>
                <w:highlight w:val="none"/>
              </w:rPr>
            </w:pPr>
            <w:r>
              <w:rPr>
                <w:rFonts w:hint="eastAsia" w:ascii="仿宋" w:hAnsi="仿宋" w:eastAsia="仿宋" w:cs="仿宋"/>
                <w:color w:val="000000"/>
                <w:highlight w:val="none"/>
              </w:rPr>
              <w:t>法定代表人身份证复印件</w:t>
            </w:r>
          </w:p>
          <w:p w14:paraId="795DD3ED">
            <w:pPr>
              <w:widowControl w:val="0"/>
              <w:jc w:val="center"/>
              <w:rPr>
                <w:rFonts w:ascii="仿宋" w:hAnsi="仿宋" w:eastAsia="仿宋" w:cs="仿宋"/>
                <w:color w:val="000000"/>
                <w:highlight w:val="none"/>
              </w:rPr>
            </w:pPr>
            <w:r>
              <w:rPr>
                <w:rFonts w:hint="eastAsia" w:ascii="仿宋" w:hAnsi="仿宋" w:eastAsia="仿宋" w:cs="仿宋"/>
                <w:color w:val="000000"/>
                <w:highlight w:val="none"/>
              </w:rPr>
              <w:t>（有国徽面）</w:t>
            </w:r>
          </w:p>
        </w:tc>
        <w:tc>
          <w:tcPr>
            <w:tcW w:w="4098" w:type="dxa"/>
            <w:vAlign w:val="center"/>
          </w:tcPr>
          <w:p w14:paraId="584D0235">
            <w:pPr>
              <w:widowControl w:val="0"/>
              <w:jc w:val="center"/>
              <w:rPr>
                <w:rFonts w:ascii="仿宋" w:hAnsi="仿宋" w:eastAsia="仿宋" w:cs="仿宋"/>
                <w:color w:val="000000"/>
                <w:highlight w:val="none"/>
              </w:rPr>
            </w:pPr>
            <w:r>
              <w:rPr>
                <w:rFonts w:hint="eastAsia" w:ascii="仿宋" w:hAnsi="仿宋" w:eastAsia="仿宋" w:cs="仿宋"/>
                <w:color w:val="000000"/>
                <w:highlight w:val="none"/>
              </w:rPr>
              <w:t>被授权代表身份证复印件</w:t>
            </w:r>
          </w:p>
          <w:p w14:paraId="0291150D">
            <w:pPr>
              <w:widowControl w:val="0"/>
              <w:jc w:val="center"/>
              <w:rPr>
                <w:rFonts w:ascii="仿宋" w:hAnsi="仿宋" w:eastAsia="仿宋" w:cs="仿宋"/>
                <w:color w:val="000000"/>
                <w:highlight w:val="none"/>
              </w:rPr>
            </w:pPr>
            <w:r>
              <w:rPr>
                <w:rFonts w:hint="eastAsia" w:ascii="仿宋" w:hAnsi="仿宋" w:eastAsia="仿宋" w:cs="仿宋"/>
                <w:color w:val="000000"/>
                <w:highlight w:val="none"/>
              </w:rPr>
              <w:t>（有国徽面）</w:t>
            </w:r>
          </w:p>
        </w:tc>
      </w:tr>
    </w:tbl>
    <w:p w14:paraId="194AB596">
      <w:pPr>
        <w:widowControl w:val="0"/>
        <w:tabs>
          <w:tab w:val="right" w:pos="8931"/>
        </w:tabs>
        <w:ind w:firstLine="566" w:firstLineChars="200"/>
        <w:rPr>
          <w:rFonts w:ascii="仿宋" w:hAnsi="仿宋" w:eastAsia="仿宋" w:cs="仿宋"/>
          <w:color w:val="000000"/>
          <w:highlight w:val="none"/>
        </w:rPr>
      </w:pPr>
      <w:r>
        <w:rPr>
          <w:rFonts w:hint="eastAsia" w:ascii="仿宋" w:hAnsi="仿宋" w:eastAsia="仿宋" w:cs="仿宋"/>
          <w:color w:val="000000"/>
          <w:highlight w:val="none"/>
        </w:rPr>
        <w:t>供应商：</w:t>
      </w:r>
      <w:r>
        <w:rPr>
          <w:rFonts w:hint="eastAsia" w:ascii="仿宋" w:hAnsi="仿宋" w:eastAsia="仿宋" w:cs="仿宋"/>
          <w:color w:val="000000"/>
          <w:highlight w:val="none"/>
          <w:u w:val="single"/>
        </w:rPr>
        <w:t>名称</w:t>
      </w:r>
      <w:r>
        <w:rPr>
          <w:rFonts w:hint="eastAsia" w:ascii="仿宋" w:hAnsi="仿宋" w:eastAsia="仿宋" w:cs="仿宋"/>
          <w:color w:val="000000"/>
          <w:highlight w:val="none"/>
        </w:rPr>
        <w:t>（加盖公章）       法定代表人：（签字或盖章）</w:t>
      </w:r>
    </w:p>
    <w:p w14:paraId="5D7CBE3D">
      <w:pPr>
        <w:widowControl w:val="0"/>
        <w:spacing w:line="440" w:lineRule="exact"/>
        <w:ind w:firstLine="5789" w:firstLineChars="2046"/>
        <w:rPr>
          <w:rFonts w:ascii="仿宋" w:hAnsi="仿宋" w:eastAsia="仿宋" w:cs="仿宋"/>
          <w:color w:val="000000"/>
          <w:highlight w:val="none"/>
        </w:rPr>
      </w:pPr>
      <w:r>
        <w:rPr>
          <w:rFonts w:hint="eastAsia" w:ascii="仿宋" w:hAnsi="仿宋" w:eastAsia="仿宋" w:cs="仿宋"/>
          <w:color w:val="000000"/>
          <w:highlight w:val="none"/>
        </w:rPr>
        <w:t>日期：　年　月　日</w:t>
      </w:r>
    </w:p>
    <w:p w14:paraId="76F00FCF">
      <w:pPr>
        <w:widowControl w:val="0"/>
        <w:spacing w:line="340" w:lineRule="exact"/>
        <w:rPr>
          <w:rFonts w:ascii="宋体" w:hAnsi="宋体" w:eastAsia="宋体" w:cs="Times New Roman"/>
          <w:color w:val="000000"/>
          <w:sz w:val="21"/>
          <w:szCs w:val="21"/>
          <w:highlight w:val="none"/>
        </w:rPr>
      </w:pPr>
      <w:r>
        <w:rPr>
          <w:rFonts w:hint="eastAsia" w:ascii="宋体" w:hAnsi="宋体" w:eastAsia="宋体" w:cs="宋体"/>
          <w:color w:val="000000"/>
          <w:sz w:val="21"/>
          <w:szCs w:val="21"/>
          <w:highlight w:val="none"/>
        </w:rPr>
        <w:t>备注：</w:t>
      </w:r>
      <w:r>
        <w:rPr>
          <w:rFonts w:ascii="宋体" w:hAnsi="宋体" w:eastAsia="宋体" w:cs="宋体"/>
          <w:color w:val="000000"/>
          <w:sz w:val="21"/>
          <w:szCs w:val="21"/>
          <w:highlight w:val="none"/>
        </w:rPr>
        <w:t>1</w:t>
      </w:r>
      <w:r>
        <w:rPr>
          <w:rFonts w:hint="eastAsia" w:ascii="宋体" w:hAnsi="宋体" w:eastAsia="宋体" w:cs="宋体"/>
          <w:color w:val="000000"/>
          <w:sz w:val="21"/>
          <w:szCs w:val="21"/>
          <w:highlight w:val="none"/>
        </w:rPr>
        <w:t>、项目不分标段的，第</w:t>
      </w:r>
      <w:r>
        <w:rPr>
          <w:rFonts w:ascii="宋体" w:hAnsi="宋体" w:eastAsia="宋体" w:cs="宋体"/>
          <w:color w:val="000000"/>
          <w:sz w:val="21"/>
          <w:szCs w:val="21"/>
          <w:highlight w:val="none"/>
        </w:rPr>
        <w:t>___</w:t>
      </w:r>
      <w:r>
        <w:rPr>
          <w:rFonts w:hint="eastAsia" w:ascii="宋体" w:hAnsi="宋体" w:eastAsia="宋体" w:cs="宋体"/>
          <w:color w:val="000000"/>
          <w:sz w:val="21"/>
          <w:szCs w:val="21"/>
          <w:highlight w:val="none"/>
        </w:rPr>
        <w:t>标段空白处填写“</w:t>
      </w:r>
      <w:r>
        <w:rPr>
          <w:rFonts w:ascii="宋体" w:hAnsi="宋体" w:eastAsia="宋体" w:cs="宋体"/>
          <w:color w:val="000000"/>
          <w:sz w:val="21"/>
          <w:szCs w:val="21"/>
          <w:highlight w:val="none"/>
        </w:rPr>
        <w:t>/</w:t>
      </w:r>
      <w:r>
        <w:rPr>
          <w:rFonts w:hint="eastAsia" w:ascii="宋体" w:hAnsi="宋体" w:eastAsia="宋体" w:cs="宋体"/>
          <w:color w:val="000000"/>
          <w:sz w:val="21"/>
          <w:szCs w:val="21"/>
          <w:highlight w:val="none"/>
        </w:rPr>
        <w:t>”。</w:t>
      </w:r>
    </w:p>
    <w:p w14:paraId="15A7CD65">
      <w:pPr>
        <w:pStyle w:val="19"/>
        <w:widowControl w:val="0"/>
        <w:spacing w:afterLines="0" w:line="340" w:lineRule="exact"/>
        <w:ind w:firstLine="639" w:firstLineChars="300"/>
        <w:rPr>
          <w:rFonts w:ascii="宋体" w:hAnsi="宋体" w:eastAsia="宋体"/>
          <w:color w:val="000000"/>
          <w:sz w:val="21"/>
          <w:szCs w:val="21"/>
          <w:highlight w:val="none"/>
        </w:rPr>
      </w:pPr>
      <w:r>
        <w:rPr>
          <w:rFonts w:ascii="宋体" w:hAnsi="宋体" w:eastAsia="宋体" w:cs="宋体"/>
          <w:b/>
          <w:bCs/>
          <w:color w:val="000000"/>
          <w:sz w:val="21"/>
          <w:szCs w:val="21"/>
          <w:highlight w:val="none"/>
        </w:rPr>
        <w:t>2</w:t>
      </w:r>
      <w:r>
        <w:rPr>
          <w:rFonts w:hint="eastAsia" w:ascii="宋体" w:hAnsi="宋体" w:eastAsia="宋体" w:cs="宋体"/>
          <w:b/>
          <w:bCs/>
          <w:color w:val="000000"/>
          <w:sz w:val="21"/>
          <w:szCs w:val="21"/>
          <w:highlight w:val="none"/>
        </w:rPr>
        <w:t>、法定代表人亲自参加磋商的，无需提供该委托授权书，但须提供法定代表人本人身份证（正反面）复印件，并在复印件中注明联系方式。</w:t>
      </w:r>
    </w:p>
    <w:p w14:paraId="1F4276A6">
      <w:pPr>
        <w:pStyle w:val="19"/>
        <w:widowControl w:val="0"/>
        <w:spacing w:afterLines="0" w:line="340" w:lineRule="exact"/>
        <w:ind w:firstLine="639" w:firstLineChars="300"/>
        <w:rPr>
          <w:rFonts w:ascii="宋体" w:hAnsi="宋体" w:eastAsia="宋体" w:cs="宋体"/>
          <w:color w:val="000000"/>
          <w:sz w:val="21"/>
          <w:szCs w:val="21"/>
          <w:highlight w:val="none"/>
        </w:rPr>
      </w:pPr>
      <w:r>
        <w:rPr>
          <w:rFonts w:ascii="宋体" w:hAnsi="宋体" w:eastAsia="宋体" w:cs="宋体"/>
          <w:color w:val="000000"/>
          <w:sz w:val="21"/>
          <w:szCs w:val="21"/>
          <w:highlight w:val="none"/>
        </w:rPr>
        <w:t>3</w:t>
      </w:r>
      <w:r>
        <w:rPr>
          <w:rFonts w:hint="eastAsia" w:ascii="宋体" w:hAnsi="宋体" w:eastAsia="宋体" w:cs="宋体"/>
          <w:color w:val="000000"/>
          <w:sz w:val="21"/>
          <w:szCs w:val="21"/>
          <w:highlight w:val="none"/>
        </w:rPr>
        <w:t>、法定代表人签字或盖章可采用纸质签字或盖章后，上传至电子响应文件，也可使用法定代表人</w:t>
      </w:r>
      <w:r>
        <w:rPr>
          <w:rFonts w:ascii="宋体" w:hAnsi="宋体" w:eastAsia="宋体" w:cs="宋体"/>
          <w:color w:val="000000"/>
          <w:sz w:val="21"/>
          <w:szCs w:val="21"/>
          <w:highlight w:val="none"/>
        </w:rPr>
        <w:t>CA</w:t>
      </w:r>
      <w:r>
        <w:rPr>
          <w:rFonts w:hint="eastAsia" w:ascii="宋体" w:hAnsi="宋体" w:eastAsia="宋体" w:cs="宋体"/>
          <w:color w:val="000000"/>
          <w:sz w:val="21"/>
          <w:szCs w:val="21"/>
          <w:highlight w:val="none"/>
        </w:rPr>
        <w:t>锁在电子响应文件制作软件中签章。</w:t>
      </w:r>
    </w:p>
    <w:p w14:paraId="651BFB8B">
      <w:pPr>
        <w:pStyle w:val="19"/>
        <w:widowControl w:val="0"/>
        <w:spacing w:afterLines="0" w:line="340" w:lineRule="exact"/>
        <w:ind w:firstLine="639" w:firstLineChars="300"/>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4、法人的分支机构参与磋商时，除提供《法定代表人授权委托书》外，还须同时提供法人给分支机构出具的授权书。授权书附此处。</w:t>
      </w:r>
    </w:p>
    <w:p w14:paraId="75D3B1DF">
      <w:pPr>
        <w:pStyle w:val="19"/>
        <w:widowControl w:val="0"/>
        <w:spacing w:afterLines="0" w:line="340" w:lineRule="exact"/>
        <w:ind w:firstLine="0" w:firstLineChars="0"/>
        <w:rPr>
          <w:rFonts w:ascii="仿宋" w:hAnsi="仿宋" w:eastAsia="仿宋" w:cs="仿宋"/>
          <w:b/>
          <w:bCs/>
          <w:color w:val="000000"/>
          <w:sz w:val="30"/>
          <w:szCs w:val="30"/>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color w:val="000000"/>
          <w:sz w:val="21"/>
          <w:szCs w:val="21"/>
          <w:highlight w:val="none"/>
        </w:rPr>
        <w:t xml:space="preserve">      </w:t>
      </w:r>
      <w:bookmarkEnd w:id="845"/>
      <w:bookmarkEnd w:id="846"/>
      <w:bookmarkEnd w:id="860"/>
      <w:bookmarkEnd w:id="861"/>
      <w:bookmarkEnd w:id="862"/>
      <w:bookmarkStart w:id="900" w:name="_Toc7264"/>
      <w:bookmarkStart w:id="901" w:name="_Toc2556"/>
      <w:bookmarkStart w:id="902" w:name="_Toc1763"/>
      <w:bookmarkStart w:id="903" w:name="_Toc5624"/>
      <w:bookmarkStart w:id="904" w:name="_Toc3866"/>
      <w:bookmarkStart w:id="905" w:name="_Toc9402"/>
      <w:bookmarkStart w:id="906" w:name="_Toc14776"/>
      <w:r>
        <w:rPr>
          <w:rFonts w:hint="eastAsia" w:ascii="仿宋" w:hAnsi="仿宋" w:eastAsia="仿宋" w:cs="仿宋"/>
          <w:b/>
          <w:bCs/>
          <w:color w:val="000000"/>
          <w:sz w:val="30"/>
          <w:szCs w:val="30"/>
          <w:highlight w:val="none"/>
        </w:rPr>
        <w:t>九、落实政府采购政策须满足的资格要求</w:t>
      </w:r>
    </w:p>
    <w:p w14:paraId="3A49A455">
      <w:pPr>
        <w:pStyle w:val="31"/>
        <w:widowControl w:val="0"/>
        <w:spacing w:line="500" w:lineRule="exact"/>
        <w:ind w:firstLine="566" w:firstLineChars="200"/>
        <w:jc w:val="both"/>
        <w:outlineLvl w:val="9"/>
        <w:rPr>
          <w:rFonts w:ascii="仿宋" w:hAnsi="仿宋" w:eastAsia="仿宋" w:cs="仿宋"/>
          <w:b w:val="0"/>
          <w:bCs w:val="0"/>
          <w:color w:val="000000"/>
          <w:sz w:val="28"/>
          <w:szCs w:val="28"/>
          <w:highlight w:val="none"/>
        </w:rPr>
      </w:pPr>
      <w:r>
        <w:rPr>
          <w:rFonts w:hint="eastAsia" w:ascii="仿宋" w:hAnsi="仿宋" w:eastAsia="仿宋" w:cs="仿宋"/>
          <w:b w:val="0"/>
          <w:bCs w:val="0"/>
          <w:color w:val="000000"/>
          <w:sz w:val="28"/>
          <w:szCs w:val="28"/>
          <w:highlight w:val="none"/>
        </w:rPr>
        <w:t>本项目为专门面向中小企业项目，供应商应为中型企业、小型企业和微型企业或监狱企业或残疾人福利性单位。供应商为中小企业的，提供《中小企业声明函》，且中小企业的划分标准所属行业为</w:t>
      </w:r>
      <w:r>
        <w:rPr>
          <w:rFonts w:hint="eastAsia" w:ascii="仿宋" w:hAnsi="仿宋" w:eastAsia="仿宋" w:cs="仿宋"/>
          <w:color w:val="000000"/>
          <w:sz w:val="28"/>
          <w:szCs w:val="28"/>
          <w:highlight w:val="none"/>
        </w:rPr>
        <w:t>物业管理</w:t>
      </w:r>
      <w:r>
        <w:rPr>
          <w:rFonts w:hint="eastAsia" w:ascii="仿宋" w:hAnsi="仿宋" w:eastAsia="仿宋" w:cs="仿宋"/>
          <w:b w:val="0"/>
          <w:bCs w:val="0"/>
          <w:color w:val="000000"/>
          <w:sz w:val="28"/>
          <w:szCs w:val="28"/>
          <w:highlight w:val="none"/>
        </w:rPr>
        <w:t>；供应商为监狱企业的，应提供监狱企业的证明文件；供应商为残疾人福利性单位的，应提供《残疾人福利性单位声明函》（监狱企业或残疾人福利性单位视同小型、微型企业）。</w:t>
      </w:r>
    </w:p>
    <w:p w14:paraId="32E1C1D9">
      <w:pPr>
        <w:widowControl w:val="0"/>
        <w:spacing w:line="500" w:lineRule="exact"/>
        <w:ind w:firstLine="566" w:firstLineChars="200"/>
        <w:rPr>
          <w:rFonts w:ascii="仿宋" w:hAnsi="仿宋" w:eastAsia="仿宋" w:cs="仿宋"/>
          <w:b/>
          <w:bCs/>
          <w:color w:val="000000"/>
          <w:highlight w:val="none"/>
        </w:rPr>
      </w:pPr>
      <w:r>
        <w:rPr>
          <w:rFonts w:hint="eastAsia" w:ascii="仿宋" w:hAnsi="仿宋" w:eastAsia="仿宋" w:cs="仿宋"/>
          <w:b/>
          <w:bCs/>
          <w:color w:val="000000"/>
          <w:highlight w:val="none"/>
        </w:rPr>
        <w:t>特别提醒：成交供应商的《中小企业声明函》或《残疾人福利性单位声明函》或监狱企业证明文件将随成交结果公告一同公布，接受社会监督。</w:t>
      </w:r>
    </w:p>
    <w:p w14:paraId="749032E0">
      <w:pPr>
        <w:widowControl w:val="0"/>
        <w:ind w:firstLine="446" w:firstLineChars="200"/>
        <w:rPr>
          <w:rFonts w:ascii="宋体" w:hAnsi="宋体" w:eastAsia="宋体" w:cs="宋体"/>
          <w:color w:val="000000"/>
          <w:sz w:val="22"/>
          <w:szCs w:val="22"/>
          <w:highlight w:val="none"/>
        </w:rPr>
      </w:pPr>
      <w:r>
        <w:rPr>
          <w:rFonts w:hint="eastAsia" w:ascii="宋体" w:hAnsi="宋体" w:eastAsia="宋体" w:cs="宋体"/>
          <w:color w:val="000000"/>
          <w:sz w:val="22"/>
          <w:szCs w:val="22"/>
          <w:highlight w:val="none"/>
        </w:rPr>
        <w:t>备注：各供应商可根据企业从业人员、营业收入、资产总额等指标，按照磋商文件约定的采购标的对应的中小企业划分标准所属行业和《中小企业划型标准规定》（工信部联企业〔2011〕300号）进行自测，判断属于中型、小型还是微型企业。也可在微信小程序中搜索中小企业规模类型自测小程序进行测算。</w:t>
      </w:r>
    </w:p>
    <w:p w14:paraId="0C2A5576">
      <w:pPr>
        <w:pStyle w:val="5"/>
        <w:widowControl w:val="0"/>
        <w:spacing w:line="500" w:lineRule="exact"/>
        <w:ind w:firstLine="566" w:firstLineChars="200"/>
        <w:rPr>
          <w:rFonts w:ascii="华文仿宋" w:hAnsi="华文仿宋" w:cs="华文仿宋"/>
          <w:color w:val="000000"/>
          <w:highlight w:val="none"/>
        </w:rPr>
      </w:pPr>
    </w:p>
    <w:p w14:paraId="26F94D9C">
      <w:pPr>
        <w:rPr>
          <w:rFonts w:cs="华文仿宋"/>
          <w:b/>
          <w:bCs/>
          <w:color w:val="000000"/>
          <w:kern w:val="0"/>
          <w:sz w:val="30"/>
          <w:szCs w:val="30"/>
          <w:highlight w:val="none"/>
        </w:rPr>
      </w:pPr>
      <w:r>
        <w:rPr>
          <w:rFonts w:hint="eastAsia" w:cs="华文仿宋"/>
          <w:b/>
          <w:bCs/>
          <w:color w:val="000000"/>
          <w:kern w:val="0"/>
          <w:sz w:val="30"/>
          <w:szCs w:val="30"/>
          <w:highlight w:val="none"/>
        </w:rPr>
        <w:br w:type="page"/>
      </w:r>
    </w:p>
    <w:p w14:paraId="7AD2EDAB">
      <w:pPr>
        <w:widowControl w:val="0"/>
        <w:jc w:val="center"/>
        <w:rPr>
          <w:rFonts w:ascii="仿宋" w:hAnsi="仿宋" w:eastAsia="仿宋" w:cs="仿宋"/>
          <w:color w:val="000000"/>
          <w:highlight w:val="none"/>
        </w:rPr>
      </w:pPr>
      <w:r>
        <w:rPr>
          <w:rFonts w:hint="eastAsia" w:ascii="仿宋" w:hAnsi="仿宋" w:eastAsia="仿宋" w:cs="仿宋"/>
          <w:b/>
          <w:color w:val="000000"/>
          <w:kern w:val="0"/>
          <w:highlight w:val="none"/>
        </w:rPr>
        <w:t>中小企业声明函</w:t>
      </w:r>
    </w:p>
    <w:p w14:paraId="72B6C622">
      <w:pPr>
        <w:widowControl w:val="0"/>
        <w:spacing w:line="500" w:lineRule="exact"/>
        <w:ind w:firstLine="566" w:firstLineChars="200"/>
        <w:jc w:val="left"/>
        <w:rPr>
          <w:rFonts w:ascii="仿宋" w:hAnsi="仿宋" w:eastAsia="仿宋" w:cs="仿宋"/>
          <w:color w:val="000000"/>
          <w:highlight w:val="none"/>
        </w:rPr>
      </w:pPr>
      <w:r>
        <w:rPr>
          <w:rFonts w:hint="eastAsia" w:ascii="仿宋" w:hAnsi="仿宋" w:eastAsia="仿宋" w:cs="仿宋"/>
          <w:color w:val="000000"/>
          <w:kern w:val="0"/>
          <w:highlight w:val="none"/>
        </w:rPr>
        <w:t>本公司郑重声明，根据《政府采购促进中小企业发展管理办法》（财库﹝2020﹞46号）的规定，本公司参加陕西省省级单位政府采购中心组织的</w:t>
      </w:r>
      <w:r>
        <w:rPr>
          <w:rFonts w:hint="eastAsia" w:ascii="仿宋" w:hAnsi="仿宋" w:eastAsia="仿宋" w:cs="仿宋"/>
          <w:iCs/>
          <w:color w:val="000000"/>
          <w:kern w:val="0"/>
          <w:highlight w:val="none"/>
          <w:u w:val="single"/>
        </w:rPr>
        <w:t>（项目名称）</w:t>
      </w:r>
      <w:r>
        <w:rPr>
          <w:rFonts w:hint="eastAsia" w:ascii="仿宋" w:hAnsi="仿宋" w:eastAsia="仿宋" w:cs="仿宋"/>
          <w:color w:val="000000"/>
          <w:kern w:val="0"/>
          <w:highlight w:val="none"/>
        </w:rPr>
        <w:t>采购活动，服务全部由符合政策要求的中小企业承接。相关企业的具体情况如下：</w:t>
      </w:r>
    </w:p>
    <w:p w14:paraId="11823608">
      <w:pPr>
        <w:widowControl w:val="0"/>
        <w:spacing w:line="500" w:lineRule="exact"/>
        <w:ind w:firstLine="566" w:firstLineChars="200"/>
        <w:jc w:val="left"/>
        <w:rPr>
          <w:rFonts w:ascii="仿宋" w:hAnsi="仿宋" w:eastAsia="仿宋" w:cs="仿宋"/>
          <w:color w:val="000000"/>
          <w:kern w:val="0"/>
          <w:highlight w:val="none"/>
        </w:rPr>
      </w:pPr>
      <w:r>
        <w:rPr>
          <w:rFonts w:hint="eastAsia" w:ascii="仿宋" w:hAnsi="仿宋" w:eastAsia="仿宋" w:cs="仿宋"/>
          <w:color w:val="000000"/>
          <w:kern w:val="0"/>
          <w:highlight w:val="none"/>
          <w:u w:val="single"/>
        </w:rPr>
        <w:t>（项目名称）</w:t>
      </w:r>
      <w:r>
        <w:rPr>
          <w:rFonts w:hint="eastAsia" w:ascii="仿宋" w:hAnsi="仿宋" w:eastAsia="仿宋" w:cs="仿宋"/>
          <w:color w:val="000000"/>
          <w:kern w:val="0"/>
          <w:highlight w:val="none"/>
        </w:rPr>
        <w:t>，属于</w:t>
      </w:r>
      <w:r>
        <w:rPr>
          <w:rFonts w:hint="eastAsia" w:ascii="仿宋" w:hAnsi="仿宋" w:eastAsia="仿宋" w:cs="仿宋"/>
          <w:color w:val="000000"/>
          <w:kern w:val="0"/>
          <w:highlight w:val="none"/>
          <w:u w:val="single"/>
        </w:rPr>
        <w:t xml:space="preserve">           </w:t>
      </w:r>
      <w:r>
        <w:rPr>
          <w:rFonts w:hint="eastAsia" w:ascii="仿宋" w:hAnsi="仿宋" w:eastAsia="仿宋" w:cs="仿宋"/>
          <w:color w:val="000000"/>
          <w:kern w:val="0"/>
          <w:highlight w:val="none"/>
        </w:rPr>
        <w:t>（磋商文件中明确的所属行业）；承接企业为</w:t>
      </w:r>
      <w:r>
        <w:rPr>
          <w:rFonts w:hint="eastAsia" w:ascii="仿宋" w:hAnsi="仿宋" w:eastAsia="仿宋" w:cs="仿宋"/>
          <w:color w:val="000000"/>
          <w:kern w:val="0"/>
          <w:highlight w:val="none"/>
          <w:u w:val="single"/>
        </w:rPr>
        <w:t>（企业名称）</w:t>
      </w:r>
      <w:r>
        <w:rPr>
          <w:rFonts w:hint="eastAsia" w:ascii="仿宋" w:hAnsi="仿宋" w:eastAsia="仿宋" w:cs="仿宋"/>
          <w:color w:val="000000"/>
          <w:kern w:val="0"/>
          <w:highlight w:val="none"/>
        </w:rPr>
        <w:t>，从业人员</w:t>
      </w:r>
      <w:r>
        <w:rPr>
          <w:rFonts w:hint="eastAsia" w:ascii="仿宋" w:hAnsi="仿宋" w:eastAsia="仿宋" w:cs="仿宋"/>
          <w:color w:val="000000"/>
          <w:kern w:val="0"/>
          <w:highlight w:val="none"/>
          <w:u w:val="single"/>
        </w:rPr>
        <w:t xml:space="preserve">     </w:t>
      </w:r>
      <w:r>
        <w:rPr>
          <w:rFonts w:hint="eastAsia" w:ascii="仿宋" w:hAnsi="仿宋" w:eastAsia="仿宋" w:cs="仿宋"/>
          <w:color w:val="000000"/>
          <w:kern w:val="0"/>
          <w:highlight w:val="none"/>
        </w:rPr>
        <w:t>人，营业收入为</w:t>
      </w:r>
      <w:r>
        <w:rPr>
          <w:rFonts w:hint="eastAsia" w:ascii="仿宋" w:hAnsi="仿宋" w:eastAsia="仿宋" w:cs="仿宋"/>
          <w:color w:val="000000"/>
          <w:kern w:val="0"/>
          <w:highlight w:val="none"/>
          <w:u w:val="single"/>
        </w:rPr>
        <w:t xml:space="preserve">     </w:t>
      </w:r>
      <w:r>
        <w:rPr>
          <w:rFonts w:hint="eastAsia" w:ascii="仿宋" w:hAnsi="仿宋" w:eastAsia="仿宋" w:cs="仿宋"/>
          <w:color w:val="000000"/>
          <w:kern w:val="0"/>
          <w:highlight w:val="none"/>
        </w:rPr>
        <w:t>万元，资产总额为</w:t>
      </w:r>
      <w:r>
        <w:rPr>
          <w:rFonts w:hint="eastAsia" w:ascii="仿宋" w:hAnsi="仿宋" w:eastAsia="仿宋" w:cs="仿宋"/>
          <w:color w:val="000000"/>
          <w:kern w:val="0"/>
          <w:highlight w:val="none"/>
          <w:u w:val="single"/>
        </w:rPr>
        <w:t xml:space="preserve">      </w:t>
      </w:r>
      <w:r>
        <w:rPr>
          <w:rFonts w:hint="eastAsia" w:ascii="仿宋" w:hAnsi="仿宋" w:eastAsia="仿宋" w:cs="仿宋"/>
          <w:color w:val="000000"/>
          <w:kern w:val="0"/>
          <w:highlight w:val="none"/>
        </w:rPr>
        <w:t>万元，属于</w:t>
      </w:r>
      <w:r>
        <w:rPr>
          <w:rFonts w:hint="eastAsia" w:ascii="仿宋" w:hAnsi="仿宋" w:eastAsia="仿宋" w:cs="仿宋"/>
          <w:color w:val="000000"/>
          <w:kern w:val="0"/>
          <w:highlight w:val="none"/>
          <w:u w:val="single"/>
        </w:rPr>
        <w:t xml:space="preserve">         </w:t>
      </w:r>
      <w:r>
        <w:rPr>
          <w:rFonts w:hint="eastAsia" w:ascii="仿宋" w:hAnsi="仿宋" w:eastAsia="仿宋" w:cs="仿宋"/>
          <w:color w:val="000000"/>
          <w:kern w:val="0"/>
          <w:highlight w:val="none"/>
        </w:rPr>
        <w:t>（中型企业、小型企业、微型企业）。</w:t>
      </w:r>
    </w:p>
    <w:p w14:paraId="76CBE4BC">
      <w:pPr>
        <w:widowControl w:val="0"/>
        <w:spacing w:line="500" w:lineRule="exact"/>
        <w:ind w:firstLine="566" w:firstLineChars="200"/>
        <w:jc w:val="left"/>
        <w:rPr>
          <w:rFonts w:ascii="仿宋" w:hAnsi="仿宋" w:eastAsia="仿宋" w:cs="仿宋"/>
          <w:color w:val="000000"/>
          <w:kern w:val="0"/>
          <w:highlight w:val="none"/>
        </w:rPr>
      </w:pPr>
      <w:r>
        <w:rPr>
          <w:rFonts w:hint="eastAsia" w:ascii="仿宋" w:hAnsi="仿宋" w:eastAsia="仿宋" w:cs="仿宋"/>
          <w:color w:val="000000"/>
          <w:kern w:val="0"/>
          <w:highlight w:val="none"/>
        </w:rPr>
        <w:t>以上企业，不属于大企业的分支机构，不存在控股股东为大企业的情形，也不存在与大企业的负责人为同一人的情形。</w:t>
      </w:r>
    </w:p>
    <w:p w14:paraId="1502D09E">
      <w:pPr>
        <w:widowControl w:val="0"/>
        <w:spacing w:line="500" w:lineRule="exact"/>
        <w:ind w:firstLine="566" w:firstLineChars="200"/>
        <w:jc w:val="left"/>
        <w:rPr>
          <w:rFonts w:ascii="仿宋" w:hAnsi="仿宋" w:eastAsia="仿宋" w:cs="仿宋"/>
          <w:color w:val="000000"/>
          <w:kern w:val="0"/>
          <w:highlight w:val="none"/>
        </w:rPr>
      </w:pPr>
      <w:r>
        <w:rPr>
          <w:rFonts w:hint="eastAsia" w:ascii="仿宋" w:hAnsi="仿宋" w:eastAsia="仿宋" w:cs="仿宋"/>
          <w:color w:val="000000"/>
          <w:kern w:val="0"/>
          <w:highlight w:val="none"/>
        </w:rPr>
        <w:t>本企业对上述声明内容的真实性负责。如有虚假，将依法承担相应责任。</w:t>
      </w:r>
    </w:p>
    <w:p w14:paraId="0AB4C3AA">
      <w:pPr>
        <w:pStyle w:val="5"/>
        <w:widowControl w:val="0"/>
        <w:rPr>
          <w:rFonts w:ascii="仿宋" w:hAnsi="仿宋" w:eastAsia="仿宋" w:cs="仿宋"/>
          <w:color w:val="000000"/>
          <w:highlight w:val="none"/>
        </w:rPr>
      </w:pPr>
    </w:p>
    <w:p w14:paraId="00581FE0">
      <w:pPr>
        <w:widowControl w:val="0"/>
        <w:spacing w:line="500" w:lineRule="exact"/>
        <w:rPr>
          <w:rFonts w:ascii="华文仿宋" w:hAnsi="华文仿宋" w:cs="华文仿宋"/>
          <w:color w:val="000000"/>
          <w:kern w:val="0"/>
          <w:highlight w:val="none"/>
        </w:rPr>
      </w:pPr>
      <w:r>
        <w:rPr>
          <w:rFonts w:hint="eastAsia"/>
          <w:color w:val="000000"/>
          <w:highlight w:val="none"/>
        </w:rPr>
        <w:t xml:space="preserve">                                 供应商</w:t>
      </w:r>
      <w:r>
        <w:rPr>
          <w:rFonts w:hint="eastAsia" w:ascii="华文仿宋" w:hAnsi="华文仿宋" w:cs="华文仿宋"/>
          <w:color w:val="000000"/>
          <w:kern w:val="0"/>
          <w:highlight w:val="none"/>
        </w:rPr>
        <w:t>：</w:t>
      </w:r>
      <w:r>
        <w:rPr>
          <w:rFonts w:hint="eastAsia" w:ascii="华文仿宋" w:hAnsi="华文仿宋" w:cs="华文仿宋"/>
          <w:color w:val="000000"/>
          <w:kern w:val="0"/>
          <w:highlight w:val="none"/>
          <w:u w:val="single"/>
        </w:rPr>
        <w:t>名称</w:t>
      </w:r>
      <w:r>
        <w:rPr>
          <w:rFonts w:hint="eastAsia" w:ascii="华文仿宋" w:hAnsi="华文仿宋" w:cs="华文仿宋"/>
          <w:color w:val="000000"/>
          <w:kern w:val="0"/>
          <w:highlight w:val="none"/>
        </w:rPr>
        <w:t>（加盖公章）</w:t>
      </w:r>
    </w:p>
    <w:p w14:paraId="23CC15AC">
      <w:pPr>
        <w:widowControl w:val="0"/>
        <w:spacing w:line="500" w:lineRule="exact"/>
        <w:ind w:firstLine="566" w:firstLineChars="200"/>
        <w:jc w:val="center"/>
        <w:rPr>
          <w:rFonts w:ascii="华文仿宋" w:hAnsi="华文仿宋" w:cs="华文仿宋"/>
          <w:color w:val="000000"/>
          <w:kern w:val="0"/>
          <w:highlight w:val="none"/>
        </w:rPr>
      </w:pPr>
      <w:r>
        <w:rPr>
          <w:rFonts w:hint="eastAsia" w:ascii="华文仿宋" w:hAnsi="华文仿宋" w:cs="华文仿宋"/>
          <w:color w:val="000000"/>
          <w:kern w:val="0"/>
          <w:highlight w:val="none"/>
        </w:rPr>
        <w:t xml:space="preserve">                      日期：    年  月  日</w:t>
      </w:r>
    </w:p>
    <w:p w14:paraId="6BE85218">
      <w:pPr>
        <w:widowControl w:val="0"/>
        <w:ind w:firstLine="426" w:firstLineChars="200"/>
        <w:rPr>
          <w:rFonts w:ascii="宋体" w:hAnsi="宋体" w:eastAsia="宋体" w:cs="宋体"/>
          <w:b/>
          <w:bCs/>
          <w:color w:val="000000"/>
          <w:kern w:val="0"/>
          <w:sz w:val="21"/>
          <w:szCs w:val="21"/>
          <w:highlight w:val="none"/>
        </w:rPr>
      </w:pPr>
    </w:p>
    <w:p w14:paraId="4B4EB192">
      <w:pPr>
        <w:widowControl w:val="0"/>
        <w:ind w:firstLine="426" w:firstLineChars="200"/>
        <w:rPr>
          <w:rFonts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备注：</w:t>
      </w:r>
    </w:p>
    <w:p w14:paraId="38FCAFD4">
      <w:pPr>
        <w:widowControl w:val="0"/>
        <w:ind w:firstLine="426" w:firstLineChars="200"/>
        <w:rPr>
          <w:color w:val="000000"/>
          <w:sz w:val="21"/>
          <w:szCs w:val="21"/>
          <w:highlight w:val="none"/>
        </w:rPr>
      </w:pPr>
      <w:r>
        <w:rPr>
          <w:rFonts w:hint="eastAsia" w:ascii="宋体" w:hAnsi="宋体" w:eastAsia="宋体" w:cs="宋体"/>
          <w:color w:val="000000"/>
          <w:kern w:val="0"/>
          <w:sz w:val="21"/>
          <w:szCs w:val="21"/>
          <w:highlight w:val="none"/>
        </w:rPr>
        <w:t>1、填写前请认真阅读《工业和信息化部、国家统计局、国家发展和改革委员会、财政部关于印发中小企业划型标准规定的通知》（工信部联企业[2011]300号）和财政部、工业和信息化部关于印发《政府采购促进中小企业发展管理办法》的通知(财库[2020]46号)相关规定。</w:t>
      </w:r>
    </w:p>
    <w:p w14:paraId="017BBC4F">
      <w:pPr>
        <w:widowControl w:val="0"/>
        <w:ind w:firstLine="426" w:firstLineChars="200"/>
        <w:rPr>
          <w:color w:val="000000"/>
          <w:sz w:val="21"/>
          <w:szCs w:val="21"/>
          <w:highlight w:val="none"/>
        </w:rPr>
      </w:pPr>
      <w:r>
        <w:rPr>
          <w:rFonts w:hint="eastAsia" w:ascii="宋体" w:hAnsi="宋体" w:eastAsia="宋体" w:cs="宋体"/>
          <w:color w:val="000000"/>
          <w:kern w:val="0"/>
          <w:sz w:val="21"/>
          <w:szCs w:val="21"/>
          <w:highlight w:val="none"/>
        </w:rPr>
        <w:t>2、从业人员、营业收入、资产总额填报上一年度数据，无上一年度数据的新成立企业可不填</w:t>
      </w:r>
    </w:p>
    <w:p w14:paraId="5932852A">
      <w:pPr>
        <w:widowControl w:val="0"/>
        <w:rPr>
          <w:rFonts w:eastAsia="宋体"/>
          <w:color w:val="000000"/>
          <w:sz w:val="21"/>
          <w:szCs w:val="21"/>
          <w:highlight w:val="none"/>
        </w:rPr>
      </w:pPr>
      <w:r>
        <w:rPr>
          <w:rFonts w:hint="eastAsia" w:ascii="宋体" w:hAnsi="宋体" w:eastAsia="宋体" w:cs="宋体"/>
          <w:color w:val="000000"/>
          <w:kern w:val="0"/>
          <w:sz w:val="21"/>
          <w:szCs w:val="21"/>
          <w:highlight w:val="none"/>
        </w:rPr>
        <w:t>报。</w:t>
      </w:r>
    </w:p>
    <w:p w14:paraId="7984AAC8">
      <w:pPr>
        <w:widowControl w:val="0"/>
        <w:ind w:firstLine="426" w:firstLineChars="200"/>
        <w:rPr>
          <w:rFonts w:eastAsia="宋体"/>
          <w:color w:val="000000"/>
          <w:sz w:val="21"/>
          <w:szCs w:val="21"/>
          <w:highlight w:val="none"/>
        </w:rPr>
      </w:pPr>
      <w:r>
        <w:rPr>
          <w:rFonts w:hint="eastAsia" w:ascii="宋体" w:hAnsi="宋体" w:eastAsia="宋体" w:cs="宋体"/>
          <w:color w:val="000000"/>
          <w:kern w:val="0"/>
          <w:sz w:val="21"/>
          <w:szCs w:val="21"/>
          <w:highlight w:val="none"/>
        </w:rPr>
        <w:t>3、根据《工业和信息化部、国家统计局、国家发展和改革委员会、财政部关于印发中小企业</w:t>
      </w:r>
    </w:p>
    <w:p w14:paraId="197579AF">
      <w:pPr>
        <w:widowControl w:val="0"/>
        <w:rPr>
          <w:color w:val="000000"/>
          <w:sz w:val="21"/>
          <w:szCs w:val="21"/>
          <w:highlight w:val="none"/>
        </w:rPr>
      </w:pPr>
      <w:r>
        <w:rPr>
          <w:rFonts w:hint="eastAsia" w:ascii="宋体" w:hAnsi="宋体" w:eastAsia="宋体" w:cs="宋体"/>
          <w:color w:val="000000"/>
          <w:kern w:val="0"/>
          <w:sz w:val="21"/>
          <w:szCs w:val="21"/>
          <w:highlight w:val="none"/>
        </w:rPr>
        <w:t>划型标准规定的通知》（工信部联企业[2011]300号），本项目所属行业中小企业划型标准具体如</w:t>
      </w:r>
    </w:p>
    <w:p w14:paraId="1EA6FDFB">
      <w:pPr>
        <w:widowControl w:val="0"/>
        <w:rPr>
          <w:rFonts w:eastAsia="宋体"/>
          <w:b/>
          <w:bCs/>
          <w:color w:val="000000"/>
          <w:highlight w:val="none"/>
        </w:rPr>
      </w:pPr>
      <w:r>
        <w:rPr>
          <w:rFonts w:hint="eastAsia" w:ascii="宋体" w:hAnsi="宋体" w:eastAsia="宋体" w:cs="宋体"/>
          <w:color w:val="000000"/>
          <w:kern w:val="0"/>
          <w:sz w:val="21"/>
          <w:szCs w:val="21"/>
          <w:highlight w:val="none"/>
        </w:rPr>
        <w:t>下：</w:t>
      </w:r>
      <w:r>
        <w:rPr>
          <w:rFonts w:hint="eastAsia" w:ascii="宋体" w:hAnsi="宋体" w:eastAsia="宋体" w:cs="宋体"/>
          <w:color w:val="000000"/>
          <w:sz w:val="21"/>
          <w:szCs w:val="21"/>
          <w:highlight w:val="none"/>
        </w:rPr>
        <w:t>物业管理。</w:t>
      </w:r>
      <w:r>
        <w:rPr>
          <w:rFonts w:hint="eastAsia" w:ascii="宋体" w:hAnsi="宋体" w:eastAsia="宋体" w:cs="宋体"/>
          <w:color w:val="000000" w:themeColor="text1"/>
          <w:sz w:val="21"/>
          <w:szCs w:val="21"/>
          <w:highlight w:val="none"/>
          <w14:textFill>
            <w14:solidFill>
              <w14:schemeClr w14:val="tx1"/>
            </w14:solidFill>
          </w14:textFill>
        </w:rPr>
        <w:t>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EF5439F">
      <w:pPr>
        <w:widowControl w:val="0"/>
        <w:spacing w:line="240" w:lineRule="auto"/>
        <w:jc w:val="center"/>
        <w:rPr>
          <w:color w:val="000000"/>
          <w:highlight w:val="none"/>
        </w:rPr>
      </w:pPr>
      <w:r>
        <w:rPr>
          <w:rFonts w:hint="eastAsia"/>
          <w:b/>
          <w:bCs/>
          <w:color w:val="000000"/>
          <w:highlight w:val="none"/>
        </w:rPr>
        <w:br w:type="page"/>
      </w:r>
      <w:bookmarkStart w:id="907" w:name="_Toc17829"/>
      <w:bookmarkStart w:id="908" w:name="_Toc14796"/>
      <w:bookmarkStart w:id="909" w:name="_Toc9361"/>
      <w:bookmarkStart w:id="910" w:name="_Toc27918"/>
      <w:bookmarkStart w:id="911" w:name="_Toc8407"/>
      <w:r>
        <w:rPr>
          <w:rFonts w:hint="eastAsia"/>
          <w:b/>
          <w:bCs/>
          <w:color w:val="000000"/>
          <w:highlight w:val="none"/>
        </w:rPr>
        <w:t>关于监狱企业的证明文件</w:t>
      </w:r>
      <w:bookmarkEnd w:id="907"/>
      <w:bookmarkEnd w:id="908"/>
      <w:bookmarkEnd w:id="909"/>
      <w:bookmarkEnd w:id="910"/>
      <w:bookmarkEnd w:id="911"/>
    </w:p>
    <w:p w14:paraId="62C1EE1C">
      <w:pPr>
        <w:widowControl w:val="0"/>
        <w:tabs>
          <w:tab w:val="left" w:pos="5670"/>
        </w:tabs>
        <w:spacing w:line="500" w:lineRule="exact"/>
        <w:ind w:firstLine="566" w:firstLineChars="200"/>
        <w:jc w:val="left"/>
        <w:outlineLvl w:val="1"/>
        <w:rPr>
          <w:rFonts w:ascii="仿宋" w:hAnsi="仿宋" w:eastAsia="仿宋" w:cs="仿宋"/>
          <w:color w:val="000000"/>
          <w:highlight w:val="none"/>
        </w:rPr>
      </w:pPr>
      <w:bookmarkStart w:id="912" w:name="_Toc5399"/>
      <w:bookmarkStart w:id="913" w:name="_Toc14870"/>
      <w:bookmarkStart w:id="914" w:name="_Toc12947"/>
      <w:bookmarkStart w:id="915" w:name="_Toc6901"/>
      <w:bookmarkStart w:id="916" w:name="_Toc589"/>
      <w:bookmarkStart w:id="917" w:name="_Toc28686"/>
      <w:bookmarkStart w:id="918" w:name="_Toc20169"/>
      <w:bookmarkStart w:id="919" w:name="_Toc17875"/>
      <w:bookmarkStart w:id="920" w:name="_Toc937"/>
      <w:bookmarkStart w:id="921" w:name="_Toc21705"/>
      <w:bookmarkStart w:id="922" w:name="_Toc14275"/>
      <w:r>
        <w:rPr>
          <w:rFonts w:hint="eastAsia" w:ascii="仿宋" w:hAnsi="仿宋" w:eastAsia="仿宋" w:cs="仿宋"/>
          <w:color w:val="000000"/>
          <w:highlight w:val="none"/>
        </w:rPr>
        <w:t>根据财政部、司法部《关于政府采购支持监狱企业发展有关问题的通知》（财库〔2014〕68号）的规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bookmarkEnd w:id="912"/>
      <w:bookmarkEnd w:id="913"/>
      <w:bookmarkEnd w:id="914"/>
      <w:bookmarkEnd w:id="915"/>
      <w:bookmarkEnd w:id="916"/>
      <w:bookmarkEnd w:id="917"/>
      <w:bookmarkEnd w:id="918"/>
      <w:bookmarkEnd w:id="919"/>
      <w:bookmarkEnd w:id="920"/>
      <w:bookmarkEnd w:id="921"/>
      <w:bookmarkEnd w:id="922"/>
    </w:p>
    <w:p w14:paraId="39DAE6E5">
      <w:pPr>
        <w:widowControl w:val="0"/>
        <w:spacing w:line="500" w:lineRule="exact"/>
        <w:ind w:firstLine="566" w:firstLineChars="200"/>
        <w:jc w:val="left"/>
        <w:rPr>
          <w:color w:val="000000"/>
          <w:highlight w:val="none"/>
        </w:rPr>
      </w:pPr>
      <w:r>
        <w:rPr>
          <w:rFonts w:hint="eastAsia" w:ascii="仿宋" w:hAnsi="仿宋" w:eastAsia="仿宋" w:cs="仿宋"/>
          <w:color w:val="000000"/>
          <w:highlight w:val="none"/>
        </w:rPr>
        <w:t>监狱企业参加政府采购活动时，应当提供由省级以上监狱管理局、戒毒管理局（含新疆生产建设兵团）出具的属于监狱企业的证明文件</w:t>
      </w:r>
      <w:r>
        <w:rPr>
          <w:rFonts w:hint="eastAsia"/>
          <w:color w:val="000000"/>
          <w:highlight w:val="none"/>
        </w:rPr>
        <w:t>。</w:t>
      </w:r>
    </w:p>
    <w:p w14:paraId="6A22B21B">
      <w:pPr>
        <w:pStyle w:val="19"/>
        <w:widowControl w:val="0"/>
        <w:spacing w:after="190"/>
        <w:ind w:firstLine="639" w:firstLineChars="300"/>
        <w:rPr>
          <w:rFonts w:ascii="宋体" w:hAnsi="宋体" w:eastAsia="宋体"/>
          <w:color w:val="000000"/>
          <w:sz w:val="21"/>
          <w:szCs w:val="21"/>
          <w:highlight w:val="none"/>
        </w:rPr>
      </w:pPr>
    </w:p>
    <w:p w14:paraId="3F3DE5A4">
      <w:pPr>
        <w:widowControl w:val="0"/>
        <w:tabs>
          <w:tab w:val="left" w:pos="5670"/>
        </w:tabs>
        <w:spacing w:line="500" w:lineRule="exact"/>
        <w:jc w:val="center"/>
        <w:rPr>
          <w:rFonts w:ascii="仿宋" w:hAnsi="仿宋" w:eastAsia="仿宋" w:cs="仿宋"/>
          <w:b/>
          <w:color w:val="000000"/>
          <w:sz w:val="30"/>
          <w:szCs w:val="30"/>
          <w:highlight w:val="none"/>
        </w:rPr>
      </w:pPr>
      <w:r>
        <w:rPr>
          <w:rFonts w:hint="eastAsia" w:ascii="宋体" w:hAnsi="宋体" w:eastAsia="宋体"/>
          <w:color w:val="000000"/>
          <w:sz w:val="21"/>
          <w:szCs w:val="21"/>
          <w:highlight w:val="none"/>
        </w:rPr>
        <w:br w:type="page"/>
      </w:r>
      <w:r>
        <w:rPr>
          <w:rFonts w:hint="eastAsia" w:ascii="仿宋" w:hAnsi="仿宋" w:eastAsia="仿宋" w:cs="仿宋"/>
          <w:b/>
          <w:color w:val="000000"/>
          <w:sz w:val="30"/>
          <w:szCs w:val="30"/>
          <w:highlight w:val="none"/>
        </w:rPr>
        <w:t>残疾人福利性单位声明函（格式）</w:t>
      </w:r>
    </w:p>
    <w:p w14:paraId="2ECA7E54">
      <w:pPr>
        <w:widowControl w:val="0"/>
        <w:spacing w:line="500" w:lineRule="exact"/>
        <w:ind w:firstLine="566" w:firstLineChars="200"/>
        <w:jc w:val="left"/>
        <w:rPr>
          <w:rFonts w:ascii="仿宋" w:hAnsi="仿宋" w:eastAsia="仿宋" w:cs="仿宋"/>
          <w:color w:val="000000"/>
          <w:highlight w:val="none"/>
        </w:rPr>
      </w:pPr>
      <w:r>
        <w:rPr>
          <w:rFonts w:hint="eastAsia" w:ascii="仿宋" w:hAnsi="仿宋" w:eastAsia="仿宋" w:cs="仿宋"/>
          <w:color w:val="000000"/>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仿宋" w:hAnsi="仿宋" w:eastAsia="仿宋" w:cs="仿宋"/>
          <w:color w:val="000000"/>
          <w:highlight w:val="none"/>
          <w:u w:val="single"/>
        </w:rPr>
        <w:t>（项目名称）</w:t>
      </w:r>
      <w:r>
        <w:rPr>
          <w:rFonts w:hint="eastAsia" w:ascii="仿宋" w:hAnsi="仿宋" w:eastAsia="仿宋" w:cs="仿宋"/>
          <w:color w:val="000000"/>
          <w:highlight w:val="none"/>
        </w:rPr>
        <w:t>（项目编号：</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）第___标段采购活动提供本单位制造的货物（由本单位承担工程/提供服务），或者提供其他残疾人福利性单位制造的货物（不包括使用非残疾人福利性单位注册商标的货物）。</w:t>
      </w:r>
    </w:p>
    <w:p w14:paraId="15A99C64">
      <w:pPr>
        <w:widowControl w:val="0"/>
        <w:spacing w:line="500" w:lineRule="exact"/>
        <w:ind w:firstLine="566" w:firstLineChars="200"/>
        <w:jc w:val="left"/>
        <w:rPr>
          <w:rFonts w:ascii="仿宋" w:hAnsi="仿宋" w:eastAsia="仿宋" w:cs="仿宋"/>
          <w:color w:val="000000"/>
          <w:highlight w:val="none"/>
        </w:rPr>
      </w:pPr>
      <w:r>
        <w:rPr>
          <w:rFonts w:hint="eastAsia" w:ascii="仿宋" w:hAnsi="仿宋" w:eastAsia="仿宋" w:cs="仿宋"/>
          <w:color w:val="000000"/>
          <w:highlight w:val="none"/>
        </w:rPr>
        <w:t>本单位对上述声明的真实性负责。如有虚假，将依法承担相应责任。</w:t>
      </w:r>
    </w:p>
    <w:p w14:paraId="7EB3090D">
      <w:pPr>
        <w:widowControl w:val="0"/>
        <w:spacing w:line="500" w:lineRule="exact"/>
        <w:ind w:firstLine="566" w:firstLineChars="200"/>
        <w:jc w:val="left"/>
        <w:rPr>
          <w:rFonts w:ascii="仿宋" w:hAnsi="仿宋" w:eastAsia="仿宋" w:cs="仿宋"/>
          <w:color w:val="000000"/>
          <w:highlight w:val="none"/>
        </w:rPr>
      </w:pPr>
    </w:p>
    <w:p w14:paraId="0BA1CE30">
      <w:pPr>
        <w:widowControl w:val="0"/>
        <w:spacing w:line="500" w:lineRule="exact"/>
        <w:ind w:firstLine="5094" w:firstLineChars="1800"/>
        <w:rPr>
          <w:rFonts w:ascii="仿宋" w:hAnsi="仿宋" w:eastAsia="仿宋" w:cs="仿宋"/>
          <w:color w:val="000000"/>
          <w:highlight w:val="none"/>
        </w:rPr>
      </w:pPr>
      <w:r>
        <w:rPr>
          <w:rFonts w:hint="eastAsia" w:ascii="仿宋" w:hAnsi="仿宋" w:eastAsia="仿宋" w:cs="仿宋"/>
          <w:color w:val="000000"/>
          <w:highlight w:val="none"/>
        </w:rPr>
        <w:t>供应商：</w:t>
      </w:r>
      <w:r>
        <w:rPr>
          <w:rFonts w:hint="eastAsia" w:ascii="仿宋" w:hAnsi="仿宋" w:eastAsia="仿宋" w:cs="仿宋"/>
          <w:color w:val="000000"/>
          <w:highlight w:val="none"/>
          <w:u w:val="single"/>
        </w:rPr>
        <w:t>名称</w:t>
      </w:r>
      <w:r>
        <w:rPr>
          <w:rFonts w:hint="eastAsia" w:ascii="仿宋" w:hAnsi="仿宋" w:eastAsia="仿宋" w:cs="仿宋"/>
          <w:color w:val="000000"/>
          <w:highlight w:val="none"/>
        </w:rPr>
        <w:t>（加盖公章）</w:t>
      </w:r>
    </w:p>
    <w:p w14:paraId="29F3E24F">
      <w:pPr>
        <w:widowControl w:val="0"/>
        <w:tabs>
          <w:tab w:val="left" w:pos="5670"/>
        </w:tabs>
        <w:spacing w:line="500" w:lineRule="exact"/>
        <w:ind w:firstLine="5377" w:firstLineChars="1900"/>
        <w:jc w:val="left"/>
        <w:rPr>
          <w:rFonts w:ascii="仿宋" w:hAnsi="仿宋" w:eastAsia="仿宋" w:cs="仿宋"/>
          <w:color w:val="000000"/>
          <w:highlight w:val="none"/>
        </w:rPr>
      </w:pPr>
      <w:r>
        <w:rPr>
          <w:rFonts w:hint="eastAsia" w:ascii="仿宋" w:hAnsi="仿宋" w:eastAsia="仿宋" w:cs="仿宋"/>
          <w:color w:val="000000"/>
          <w:highlight w:val="none"/>
        </w:rPr>
        <w:t>日期：　　年　月　日</w:t>
      </w:r>
    </w:p>
    <w:p w14:paraId="52135D7C">
      <w:pPr>
        <w:widowControl w:val="0"/>
        <w:tabs>
          <w:tab w:val="left" w:pos="5670"/>
        </w:tabs>
        <w:spacing w:line="240" w:lineRule="auto"/>
        <w:ind w:firstLine="566"/>
        <w:jc w:val="left"/>
        <w:rPr>
          <w:rFonts w:ascii="宋体" w:hAnsi="宋体" w:eastAsia="宋体" w:cs="宋体"/>
          <w:b/>
          <w:bCs/>
          <w:color w:val="000000"/>
          <w:sz w:val="21"/>
          <w:szCs w:val="21"/>
          <w:highlight w:val="none"/>
        </w:rPr>
      </w:pPr>
    </w:p>
    <w:p w14:paraId="6D142598">
      <w:pPr>
        <w:widowControl w:val="0"/>
        <w:tabs>
          <w:tab w:val="left" w:pos="5670"/>
        </w:tabs>
        <w:spacing w:line="240" w:lineRule="auto"/>
        <w:ind w:firstLine="566"/>
        <w:jc w:val="left"/>
        <w:rPr>
          <w:rFonts w:ascii="宋体" w:hAnsi="宋体" w:eastAsia="宋体" w:cs="宋体"/>
          <w:b/>
          <w:bCs/>
          <w:color w:val="000000"/>
          <w:sz w:val="21"/>
          <w:szCs w:val="21"/>
          <w:highlight w:val="none"/>
        </w:rPr>
      </w:pPr>
    </w:p>
    <w:p w14:paraId="1CD45C94">
      <w:pPr>
        <w:widowControl w:val="0"/>
        <w:tabs>
          <w:tab w:val="left" w:pos="5670"/>
        </w:tabs>
        <w:spacing w:line="240" w:lineRule="auto"/>
        <w:ind w:firstLine="566"/>
        <w:jc w:val="left"/>
        <w:rPr>
          <w:rFonts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备注：供应商非残疾人福利性单位不用填写此表。</w:t>
      </w:r>
    </w:p>
    <w:p w14:paraId="447A713E">
      <w:pPr>
        <w:widowControl w:val="0"/>
        <w:tabs>
          <w:tab w:val="left" w:pos="5670"/>
        </w:tabs>
        <w:spacing w:line="240" w:lineRule="auto"/>
        <w:ind w:firstLine="566"/>
        <w:jc w:val="lef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项目不分标段的，第___标段空白处填写“/”。</w:t>
      </w:r>
    </w:p>
    <w:p w14:paraId="60F1A1E5">
      <w:pPr>
        <w:widowControl w:val="0"/>
        <w:tabs>
          <w:tab w:val="left" w:pos="5670"/>
        </w:tabs>
        <w:spacing w:line="240" w:lineRule="auto"/>
        <w:ind w:firstLine="566"/>
        <w:jc w:val="lef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根据《财政部 民政部 中国残疾人联合会关于促进残疾人就业政府采购政策的通知》（财库〔2017〕141号）的规定：</w:t>
      </w:r>
    </w:p>
    <w:p w14:paraId="2D5DB95C">
      <w:pPr>
        <w:widowControl w:val="0"/>
        <w:tabs>
          <w:tab w:val="left" w:pos="5670"/>
        </w:tabs>
        <w:spacing w:line="240" w:lineRule="auto"/>
        <w:ind w:firstLine="426" w:firstLineChars="200"/>
        <w:jc w:val="lef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一、享受政府采购支持政策的残疾人福利性单位应当同时满足以下条件：</w:t>
      </w:r>
    </w:p>
    <w:p w14:paraId="683C39D5">
      <w:pPr>
        <w:widowControl w:val="0"/>
        <w:tabs>
          <w:tab w:val="left" w:pos="5670"/>
        </w:tabs>
        <w:spacing w:line="240" w:lineRule="auto"/>
        <w:ind w:firstLine="426" w:firstLineChars="200"/>
        <w:jc w:val="lef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（一）安置的残疾人占本单位在职职工人数的比例不低于</w:t>
      </w:r>
      <w:r>
        <w:rPr>
          <w:rFonts w:hint="eastAsia" w:ascii="仿宋" w:hAnsi="仿宋" w:cs="仿宋"/>
          <w:color w:val="000000"/>
          <w:sz w:val="21"/>
          <w:szCs w:val="21"/>
          <w:highlight w:val="none"/>
        </w:rPr>
        <w:t>25</w:t>
      </w:r>
      <w:r>
        <w:rPr>
          <w:rFonts w:hint="eastAsia" w:ascii="宋体" w:hAnsi="宋体" w:eastAsia="宋体" w:cs="宋体"/>
          <w:color w:val="000000"/>
          <w:sz w:val="21"/>
          <w:szCs w:val="21"/>
          <w:highlight w:val="none"/>
        </w:rPr>
        <w:t>%（含</w:t>
      </w:r>
      <w:r>
        <w:rPr>
          <w:rFonts w:hint="eastAsia" w:ascii="仿宋" w:hAnsi="仿宋" w:cs="仿宋"/>
          <w:color w:val="000000"/>
          <w:sz w:val="21"/>
          <w:szCs w:val="21"/>
          <w:highlight w:val="none"/>
        </w:rPr>
        <w:t>25</w:t>
      </w:r>
      <w:r>
        <w:rPr>
          <w:rFonts w:hint="eastAsia" w:ascii="宋体" w:hAnsi="宋体" w:eastAsia="宋体" w:cs="宋体"/>
          <w:color w:val="000000"/>
          <w:sz w:val="21"/>
          <w:szCs w:val="21"/>
          <w:highlight w:val="none"/>
        </w:rPr>
        <w:t>%），并且安置的残疾人人数不少于10人（含10人）；</w:t>
      </w:r>
    </w:p>
    <w:p w14:paraId="6189B989">
      <w:pPr>
        <w:widowControl w:val="0"/>
        <w:tabs>
          <w:tab w:val="left" w:pos="5670"/>
        </w:tabs>
        <w:spacing w:line="240" w:lineRule="auto"/>
        <w:ind w:firstLine="426" w:firstLineChars="200"/>
        <w:jc w:val="lef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（二）依法与安置的每位残疾人签订了一年以上（含一年）的劳动合同或服务协议；</w:t>
      </w:r>
    </w:p>
    <w:p w14:paraId="5EE0AF2A">
      <w:pPr>
        <w:widowControl w:val="0"/>
        <w:tabs>
          <w:tab w:val="left" w:pos="5670"/>
        </w:tabs>
        <w:spacing w:line="240" w:lineRule="auto"/>
        <w:ind w:firstLine="426" w:firstLineChars="200"/>
        <w:jc w:val="lef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（三）为安置的每位残疾人按月足额缴纳了基本养老保险、基本医疗保险、失业保险、工伤保险和生育保险等社会保险费；</w:t>
      </w:r>
    </w:p>
    <w:p w14:paraId="4996C4ED">
      <w:pPr>
        <w:widowControl w:val="0"/>
        <w:tabs>
          <w:tab w:val="left" w:pos="5670"/>
        </w:tabs>
        <w:spacing w:line="240" w:lineRule="auto"/>
        <w:ind w:firstLine="426" w:firstLineChars="200"/>
        <w:jc w:val="lef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（四）通过银行等金融机构向安置的每位残疾人，按月支付了不低于单位所在区县适用的经省级人民政府批准的月最低工资标准的工资；</w:t>
      </w:r>
    </w:p>
    <w:p w14:paraId="31822844">
      <w:pPr>
        <w:widowControl w:val="0"/>
        <w:tabs>
          <w:tab w:val="left" w:pos="5670"/>
        </w:tabs>
        <w:spacing w:line="240" w:lineRule="auto"/>
        <w:ind w:firstLine="426" w:firstLineChars="200"/>
        <w:jc w:val="lef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（五）提供本单位制造的货物、承担的工程或者服务（以下简称产品），或者提供其他残疾人福利性单位制造的货物（不包括使用非残疾人福利性单位注册商标的货物）。</w:t>
      </w:r>
    </w:p>
    <w:p w14:paraId="252C4DA7">
      <w:pPr>
        <w:widowControl w:val="0"/>
        <w:tabs>
          <w:tab w:val="left" w:pos="5670"/>
        </w:tabs>
        <w:spacing w:line="240" w:lineRule="auto"/>
        <w:ind w:firstLine="426" w:firstLineChars="200"/>
        <w:jc w:val="left"/>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2864372F">
      <w:pPr>
        <w:pStyle w:val="19"/>
        <w:widowControl w:val="0"/>
        <w:spacing w:afterLines="0"/>
        <w:ind w:firstLine="426" w:firstLineChars="200"/>
        <w:rPr>
          <w:rFonts w:ascii="Calibri Light" w:hAnsi="Calibri Light" w:cs="华文仿宋"/>
          <w:b/>
          <w:bCs/>
          <w:color w:val="000000"/>
          <w:sz w:val="30"/>
          <w:szCs w:val="30"/>
          <w:highlight w:val="none"/>
        </w:rPr>
      </w:pPr>
      <w:r>
        <w:rPr>
          <w:rFonts w:hint="eastAsia" w:ascii="宋体" w:hAnsi="宋体" w:eastAsia="宋体" w:cs="宋体"/>
          <w:color w:val="000000"/>
          <w:sz w:val="21"/>
          <w:szCs w:val="21"/>
          <w:highlight w:val="none"/>
        </w:rPr>
        <w:t>二、成交供应商为残疾人福利性单位的，采购人或者其委托的采购代理机构应当随成交结果同时公告其《残疾人福利性单位声明函》，接受社会监督。</w:t>
      </w:r>
    </w:p>
    <w:p w14:paraId="390B612D">
      <w:pPr>
        <w:jc w:val="left"/>
        <w:rPr>
          <w:rFonts w:ascii="仿宋" w:hAnsi="仿宋" w:eastAsia="仿宋" w:cs="仿宋"/>
          <w:b/>
          <w:bCs/>
          <w:color w:val="000000"/>
          <w:sz w:val="30"/>
          <w:szCs w:val="30"/>
          <w:highlight w:val="none"/>
        </w:rPr>
      </w:pPr>
      <w:r>
        <w:rPr>
          <w:rFonts w:hint="eastAsia" w:cs="华文仿宋"/>
          <w:b/>
          <w:bCs/>
          <w:color w:val="000000"/>
          <w:sz w:val="30"/>
          <w:szCs w:val="30"/>
          <w:highlight w:val="none"/>
        </w:rPr>
        <w:br w:type="page"/>
      </w:r>
      <w:r>
        <w:rPr>
          <w:rFonts w:hint="eastAsia" w:cs="华文仿宋"/>
          <w:b/>
          <w:bCs/>
          <w:color w:val="000000"/>
          <w:sz w:val="30"/>
          <w:szCs w:val="30"/>
          <w:highlight w:val="none"/>
        </w:rPr>
        <w:t xml:space="preserve">    </w:t>
      </w:r>
      <w:r>
        <w:rPr>
          <w:rFonts w:hint="eastAsia" w:ascii="仿宋" w:hAnsi="仿宋" w:eastAsia="仿宋" w:cs="仿宋"/>
          <w:b/>
          <w:bCs/>
          <w:color w:val="000000"/>
          <w:sz w:val="30"/>
          <w:szCs w:val="30"/>
          <w:highlight w:val="none"/>
        </w:rPr>
        <w:t>十、特定资格要求</w:t>
      </w:r>
    </w:p>
    <w:p w14:paraId="62E91ED3">
      <w:pPr>
        <w:numPr>
          <w:ilvl w:val="255"/>
          <w:numId w:val="0"/>
        </w:num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本项目采购内容以物业服务为主，其中涉及保安服务的，须以承诺书形式提供以下资料（承诺书格式不限），以下两种形式提供其中任意一种均可：</w:t>
      </w:r>
    </w:p>
    <w:p w14:paraId="6210AD4E">
      <w:pPr>
        <w:numPr>
          <w:ilvl w:val="255"/>
          <w:numId w:val="0"/>
        </w:num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（1）自行招用保安员的供应商须承诺：自承接本项目之日起30日内，向采购人所在地设区的市级人民政府公安机关备案。</w:t>
      </w:r>
    </w:p>
    <w:p w14:paraId="474B6AAB">
      <w:pPr>
        <w:numPr>
          <w:ilvl w:val="255"/>
          <w:numId w:val="0"/>
        </w:num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（2）从保安服务公司购买保安服务的供应商须承诺：成交后7日内，与保安服务公司签订保安服务合同，明确规定服务的项目、内容以及双方的权利义务，以满足本项目采购人的保安服务需求。</w:t>
      </w:r>
    </w:p>
    <w:p w14:paraId="111AA4D0">
      <w:pPr>
        <w:spacing w:line="500" w:lineRule="exact"/>
        <w:rPr>
          <w:rFonts w:ascii="仿宋" w:hAnsi="仿宋" w:eastAsia="仿宋" w:cs="仿宋"/>
          <w:color w:val="000000"/>
          <w:highlight w:val="none"/>
        </w:rPr>
      </w:pPr>
      <w:r>
        <w:rPr>
          <w:rFonts w:hint="eastAsia" w:ascii="仿宋" w:hAnsi="仿宋" w:eastAsia="仿宋" w:cs="仿宋"/>
          <w:b/>
          <w:bCs/>
          <w:color w:val="000000"/>
          <w:sz w:val="30"/>
          <w:szCs w:val="30"/>
          <w:highlight w:val="none"/>
        </w:rPr>
        <w:br w:type="page"/>
      </w:r>
      <w:r>
        <w:rPr>
          <w:rFonts w:hint="eastAsia" w:ascii="仿宋" w:hAnsi="仿宋" w:eastAsia="仿宋" w:cs="仿宋"/>
          <w:b/>
          <w:bCs/>
          <w:color w:val="000000"/>
          <w:sz w:val="30"/>
          <w:szCs w:val="30"/>
          <w:highlight w:val="none"/>
        </w:rPr>
        <w:t xml:space="preserve">    十一、本项目不接受联合体响应，不允许分包</w:t>
      </w:r>
      <w:bookmarkEnd w:id="900"/>
      <w:bookmarkEnd w:id="901"/>
      <w:bookmarkEnd w:id="902"/>
      <w:bookmarkEnd w:id="903"/>
      <w:bookmarkEnd w:id="904"/>
      <w:bookmarkEnd w:id="905"/>
    </w:p>
    <w:p w14:paraId="1F480469">
      <w:pPr>
        <w:pStyle w:val="5"/>
        <w:widowControl w:val="0"/>
        <w:spacing w:line="500" w:lineRule="exact"/>
        <w:jc w:val="center"/>
        <w:rPr>
          <w:rFonts w:ascii="仿宋" w:hAnsi="仿宋" w:eastAsia="仿宋" w:cs="仿宋"/>
          <w:b/>
          <w:bCs/>
          <w:color w:val="000000"/>
          <w:highlight w:val="none"/>
        </w:rPr>
      </w:pPr>
      <w:r>
        <w:rPr>
          <w:rFonts w:hint="eastAsia" w:ascii="仿宋" w:hAnsi="仿宋" w:eastAsia="仿宋" w:cs="仿宋"/>
          <w:b/>
          <w:bCs/>
          <w:color w:val="000000"/>
          <w:highlight w:val="none"/>
        </w:rPr>
        <w:t>非联合体不分包投标声明（格式）</w:t>
      </w:r>
    </w:p>
    <w:p w14:paraId="7E604DD3">
      <w:pPr>
        <w:widowControl w:val="0"/>
        <w:spacing w:line="500" w:lineRule="exact"/>
        <w:ind w:firstLine="566" w:firstLineChars="200"/>
        <w:rPr>
          <w:rFonts w:ascii="仿宋" w:hAnsi="仿宋" w:eastAsia="仿宋" w:cs="仿宋"/>
          <w:color w:val="000000"/>
          <w:highlight w:val="none"/>
        </w:rPr>
      </w:pPr>
    </w:p>
    <w:p w14:paraId="6CABAC0C">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本单位郑重声明，参加陕西省省级单位政府采购中心的</w:t>
      </w:r>
      <w:r>
        <w:rPr>
          <w:rFonts w:hint="eastAsia" w:ascii="仿宋" w:hAnsi="仿宋" w:eastAsia="仿宋" w:cs="仿宋"/>
          <w:color w:val="000000"/>
          <w:highlight w:val="none"/>
          <w:u w:val="single"/>
        </w:rPr>
        <w:t>项目名称</w:t>
      </w:r>
      <w:r>
        <w:rPr>
          <w:rFonts w:hint="eastAsia" w:ascii="仿宋" w:hAnsi="仿宋" w:eastAsia="仿宋" w:cs="仿宋"/>
          <w:color w:val="000000"/>
          <w:highlight w:val="none"/>
        </w:rPr>
        <w:t>（项目编号：</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）第</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标段采购活动，为非联合体投标，本项目实施过程由本单位独立承担。</w:t>
      </w:r>
    </w:p>
    <w:p w14:paraId="3076A8F5">
      <w:pPr>
        <w:widowControl w:val="0"/>
        <w:spacing w:line="500" w:lineRule="exact"/>
        <w:ind w:firstLine="566" w:firstLineChars="200"/>
        <w:jc w:val="left"/>
        <w:rPr>
          <w:rFonts w:ascii="仿宋" w:hAnsi="仿宋" w:eastAsia="仿宋" w:cs="仿宋"/>
          <w:color w:val="000000"/>
          <w:highlight w:val="none"/>
        </w:rPr>
      </w:pPr>
      <w:r>
        <w:rPr>
          <w:rFonts w:hint="eastAsia" w:ascii="仿宋" w:hAnsi="仿宋" w:eastAsia="仿宋" w:cs="仿宋"/>
          <w:color w:val="000000"/>
          <w:highlight w:val="none"/>
        </w:rPr>
        <w:t>本单位对上述声明的真实性负责。如有虚假，将依法承担相应责任。</w:t>
      </w:r>
    </w:p>
    <w:p w14:paraId="608E869A">
      <w:pPr>
        <w:widowControl w:val="0"/>
        <w:spacing w:line="500" w:lineRule="exact"/>
        <w:ind w:firstLine="566" w:firstLineChars="200"/>
        <w:jc w:val="left"/>
        <w:rPr>
          <w:rFonts w:ascii="仿宋" w:hAnsi="仿宋" w:eastAsia="仿宋" w:cs="仿宋"/>
          <w:color w:val="000000"/>
          <w:highlight w:val="none"/>
        </w:rPr>
      </w:pPr>
    </w:p>
    <w:p w14:paraId="71D97A7A">
      <w:pPr>
        <w:pStyle w:val="5"/>
        <w:widowControl w:val="0"/>
        <w:rPr>
          <w:rFonts w:ascii="仿宋" w:hAnsi="仿宋" w:eastAsia="仿宋" w:cs="仿宋"/>
          <w:color w:val="000000"/>
          <w:highlight w:val="none"/>
        </w:rPr>
      </w:pPr>
    </w:p>
    <w:p w14:paraId="5F14B05C">
      <w:pPr>
        <w:widowControl w:val="0"/>
        <w:spacing w:line="500" w:lineRule="exact"/>
        <w:ind w:firstLine="5094" w:firstLineChars="1800"/>
        <w:rPr>
          <w:rFonts w:ascii="仿宋" w:hAnsi="仿宋" w:eastAsia="仿宋" w:cs="仿宋"/>
          <w:color w:val="000000"/>
          <w:highlight w:val="none"/>
        </w:rPr>
      </w:pPr>
      <w:r>
        <w:rPr>
          <w:rFonts w:hint="eastAsia" w:ascii="仿宋" w:hAnsi="仿宋" w:eastAsia="仿宋" w:cs="仿宋"/>
          <w:color w:val="000000"/>
          <w:highlight w:val="none"/>
        </w:rPr>
        <w:t>供应商：</w:t>
      </w:r>
      <w:r>
        <w:rPr>
          <w:rFonts w:hint="eastAsia" w:ascii="仿宋" w:hAnsi="仿宋" w:eastAsia="仿宋" w:cs="仿宋"/>
          <w:color w:val="000000"/>
          <w:highlight w:val="none"/>
          <w:u w:val="single"/>
        </w:rPr>
        <w:t>名称</w:t>
      </w:r>
      <w:r>
        <w:rPr>
          <w:rFonts w:hint="eastAsia" w:ascii="仿宋" w:hAnsi="仿宋" w:eastAsia="仿宋" w:cs="仿宋"/>
          <w:color w:val="000000"/>
          <w:highlight w:val="none"/>
        </w:rPr>
        <w:t>（加盖公章）</w:t>
      </w:r>
    </w:p>
    <w:p w14:paraId="3BDD6B6A">
      <w:pPr>
        <w:widowControl w:val="0"/>
        <w:tabs>
          <w:tab w:val="left" w:pos="5670"/>
        </w:tabs>
        <w:spacing w:line="500" w:lineRule="exact"/>
        <w:ind w:firstLine="5377" w:firstLineChars="1900"/>
        <w:jc w:val="left"/>
        <w:rPr>
          <w:rFonts w:ascii="仿宋" w:hAnsi="仿宋" w:eastAsia="仿宋" w:cs="仿宋"/>
          <w:color w:val="000000"/>
          <w:highlight w:val="none"/>
        </w:rPr>
      </w:pPr>
      <w:r>
        <w:rPr>
          <w:rFonts w:hint="eastAsia" w:ascii="仿宋" w:hAnsi="仿宋" w:eastAsia="仿宋" w:cs="仿宋"/>
          <w:color w:val="000000"/>
          <w:highlight w:val="none"/>
        </w:rPr>
        <w:t>日期：　　年　月　日</w:t>
      </w:r>
    </w:p>
    <w:p w14:paraId="5D5F29A0">
      <w:pPr>
        <w:pStyle w:val="19"/>
        <w:widowControl w:val="0"/>
        <w:spacing w:after="190"/>
        <w:ind w:firstLine="183"/>
        <w:rPr>
          <w:rFonts w:ascii="仿宋" w:hAnsi="仿宋" w:eastAsia="仿宋" w:cs="仿宋"/>
          <w:color w:val="000000"/>
          <w:highlight w:val="none"/>
        </w:rPr>
      </w:pPr>
    </w:p>
    <w:p w14:paraId="6ABA9B7D">
      <w:pPr>
        <w:widowControl w:val="0"/>
        <w:autoSpaceDE w:val="0"/>
        <w:autoSpaceDN w:val="0"/>
        <w:spacing w:line="240" w:lineRule="auto"/>
        <w:ind w:firstLine="213" w:firstLineChars="100"/>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备注：项目不分标段的，第___标段空白处填写“/”。</w:t>
      </w:r>
    </w:p>
    <w:p w14:paraId="1DF6616E">
      <w:pPr>
        <w:pStyle w:val="19"/>
        <w:widowControl w:val="0"/>
        <w:spacing w:after="190"/>
        <w:ind w:firstLine="183"/>
        <w:rPr>
          <w:rFonts w:ascii="华文仿宋"/>
          <w:color w:val="000000"/>
          <w:highlight w:val="none"/>
        </w:rPr>
      </w:pPr>
    </w:p>
    <w:p w14:paraId="5B0C7D0C">
      <w:pPr>
        <w:pStyle w:val="19"/>
        <w:widowControl w:val="0"/>
        <w:spacing w:after="190"/>
        <w:ind w:firstLine="183"/>
        <w:rPr>
          <w:rFonts w:ascii="华文仿宋"/>
          <w:color w:val="000000"/>
          <w:highlight w:val="none"/>
        </w:rPr>
      </w:pPr>
    </w:p>
    <w:p w14:paraId="26169422">
      <w:pPr>
        <w:pStyle w:val="19"/>
        <w:widowControl w:val="0"/>
        <w:spacing w:after="190"/>
        <w:ind w:firstLine="183"/>
        <w:rPr>
          <w:rFonts w:ascii="华文仿宋"/>
          <w:color w:val="000000"/>
          <w:highlight w:val="none"/>
        </w:rPr>
      </w:pPr>
    </w:p>
    <w:p w14:paraId="35435202">
      <w:pPr>
        <w:pStyle w:val="19"/>
        <w:widowControl w:val="0"/>
        <w:spacing w:after="190"/>
        <w:ind w:firstLine="183"/>
        <w:rPr>
          <w:rFonts w:ascii="华文仿宋"/>
          <w:color w:val="000000"/>
          <w:highlight w:val="none"/>
        </w:rPr>
      </w:pPr>
    </w:p>
    <w:p w14:paraId="01B0335C">
      <w:pPr>
        <w:pStyle w:val="19"/>
        <w:widowControl w:val="0"/>
        <w:spacing w:after="190"/>
        <w:ind w:firstLine="183"/>
        <w:rPr>
          <w:rFonts w:ascii="华文仿宋"/>
          <w:color w:val="000000"/>
          <w:highlight w:val="none"/>
        </w:rPr>
      </w:pPr>
    </w:p>
    <w:p w14:paraId="5162EB5B">
      <w:pPr>
        <w:pStyle w:val="19"/>
        <w:widowControl w:val="0"/>
        <w:spacing w:after="190"/>
        <w:ind w:firstLine="183"/>
        <w:rPr>
          <w:rFonts w:ascii="华文仿宋"/>
          <w:color w:val="000000"/>
          <w:highlight w:val="none"/>
        </w:rPr>
      </w:pPr>
    </w:p>
    <w:p w14:paraId="659FA378">
      <w:pPr>
        <w:pStyle w:val="19"/>
        <w:widowControl w:val="0"/>
        <w:spacing w:after="190"/>
        <w:ind w:firstLine="183"/>
        <w:rPr>
          <w:rFonts w:ascii="华文仿宋"/>
          <w:color w:val="000000"/>
          <w:highlight w:val="none"/>
        </w:rPr>
      </w:pPr>
    </w:p>
    <w:p w14:paraId="196D3E44">
      <w:pPr>
        <w:pStyle w:val="19"/>
        <w:widowControl w:val="0"/>
        <w:spacing w:after="190"/>
        <w:ind w:firstLine="183"/>
        <w:rPr>
          <w:rFonts w:ascii="华文仿宋"/>
          <w:color w:val="000000"/>
          <w:highlight w:val="none"/>
        </w:rPr>
      </w:pPr>
    </w:p>
    <w:p w14:paraId="660E35DB">
      <w:pPr>
        <w:pStyle w:val="19"/>
        <w:widowControl w:val="0"/>
        <w:spacing w:after="190"/>
        <w:ind w:firstLine="183"/>
        <w:rPr>
          <w:rFonts w:ascii="华文仿宋"/>
          <w:color w:val="000000"/>
          <w:highlight w:val="none"/>
        </w:rPr>
      </w:pPr>
    </w:p>
    <w:p w14:paraId="2249E25B">
      <w:pPr>
        <w:pStyle w:val="19"/>
        <w:widowControl w:val="0"/>
        <w:spacing w:after="190"/>
        <w:ind w:firstLine="183"/>
        <w:rPr>
          <w:rFonts w:ascii="华文仿宋"/>
          <w:color w:val="000000"/>
          <w:highlight w:val="none"/>
        </w:rPr>
      </w:pPr>
    </w:p>
    <w:p w14:paraId="397EA09A">
      <w:pPr>
        <w:pStyle w:val="19"/>
        <w:widowControl w:val="0"/>
        <w:spacing w:after="190"/>
        <w:ind w:firstLine="183"/>
        <w:rPr>
          <w:rFonts w:ascii="华文仿宋"/>
          <w:color w:val="000000"/>
          <w:highlight w:val="none"/>
        </w:rPr>
      </w:pPr>
    </w:p>
    <w:p w14:paraId="6B335BAC">
      <w:pPr>
        <w:pStyle w:val="19"/>
        <w:widowControl w:val="0"/>
        <w:spacing w:after="190"/>
        <w:ind w:firstLine="0" w:firstLineChars="0"/>
        <w:rPr>
          <w:rFonts w:ascii="华文仿宋"/>
          <w:color w:val="000000"/>
          <w:highlight w:val="none"/>
        </w:rPr>
      </w:pPr>
    </w:p>
    <w:p w14:paraId="3EEEEBF9">
      <w:pPr>
        <w:pStyle w:val="2"/>
        <w:widowControl w:val="0"/>
        <w:ind w:firstLine="0" w:firstLineChars="0"/>
        <w:jc w:val="center"/>
        <w:rPr>
          <w:highlight w:val="none"/>
        </w:rPr>
      </w:pPr>
      <w:bookmarkStart w:id="923" w:name="_Toc22417"/>
      <w:bookmarkStart w:id="924" w:name="_Toc25329"/>
      <w:bookmarkStart w:id="925" w:name="_Toc11106"/>
      <w:bookmarkStart w:id="926" w:name="_Toc23551"/>
      <w:r>
        <w:rPr>
          <w:rFonts w:hint="eastAsia" w:ascii="黑体" w:hAnsi="黑体" w:eastAsia="黑体" w:cs="黑体"/>
          <w:color w:val="000000"/>
          <w:highlight w:val="none"/>
        </w:rPr>
        <w:br w:type="page"/>
      </w:r>
      <w:bookmarkStart w:id="927" w:name="_Toc681"/>
      <w:bookmarkStart w:id="928" w:name="_Toc15670"/>
      <w:bookmarkStart w:id="929" w:name="_Toc30636"/>
      <w:bookmarkStart w:id="930" w:name="_Toc19034"/>
      <w:r>
        <w:rPr>
          <w:rFonts w:hint="eastAsia" w:ascii="黑体" w:hAnsi="黑体" w:eastAsia="黑体" w:cs="黑体"/>
          <w:b w:val="0"/>
          <w:bCs w:val="0"/>
          <w:sz w:val="32"/>
          <w:szCs w:val="32"/>
          <w:highlight w:val="none"/>
        </w:rPr>
        <w:t>第二部分  符合性证明文件</w:t>
      </w:r>
      <w:bookmarkEnd w:id="906"/>
      <w:bookmarkEnd w:id="923"/>
      <w:bookmarkEnd w:id="924"/>
      <w:bookmarkEnd w:id="925"/>
      <w:bookmarkEnd w:id="926"/>
      <w:bookmarkEnd w:id="927"/>
      <w:bookmarkEnd w:id="928"/>
      <w:bookmarkEnd w:id="929"/>
      <w:bookmarkEnd w:id="930"/>
    </w:p>
    <w:p w14:paraId="01322709">
      <w:pPr>
        <w:pStyle w:val="32"/>
        <w:widowControl w:val="0"/>
        <w:spacing w:before="190" w:beforeLines="50" w:line="500" w:lineRule="exact"/>
        <w:ind w:firstLine="606" w:firstLineChars="200"/>
        <w:jc w:val="both"/>
        <w:rPr>
          <w:rFonts w:ascii="仿宋" w:hAnsi="仿宋" w:eastAsia="仿宋" w:cs="Times New Roman"/>
          <w:color w:val="000000"/>
          <w:highlight w:val="none"/>
        </w:rPr>
      </w:pPr>
      <w:bookmarkStart w:id="931" w:name="_Toc26252"/>
      <w:bookmarkStart w:id="932" w:name="_Toc9124"/>
      <w:bookmarkStart w:id="933" w:name="_Toc26064"/>
      <w:bookmarkStart w:id="934" w:name="_Toc4366"/>
      <w:bookmarkStart w:id="935" w:name="_Toc23035"/>
      <w:bookmarkStart w:id="936" w:name="_Toc30414"/>
      <w:bookmarkStart w:id="937" w:name="_Toc16480"/>
      <w:bookmarkStart w:id="938" w:name="_Toc32108"/>
      <w:bookmarkStart w:id="939" w:name="_Toc31044"/>
      <w:bookmarkStart w:id="940" w:name="_Toc1620"/>
      <w:bookmarkStart w:id="941" w:name="_Toc1167"/>
      <w:bookmarkStart w:id="942" w:name="_Toc26288"/>
      <w:bookmarkStart w:id="943" w:name="_Toc4254"/>
      <w:bookmarkStart w:id="944" w:name="_Toc17687"/>
      <w:bookmarkStart w:id="945" w:name="_Toc5204"/>
      <w:bookmarkStart w:id="946" w:name="_Toc4753"/>
      <w:bookmarkStart w:id="947" w:name="_Toc16590"/>
      <w:bookmarkStart w:id="948" w:name="_Toc4834"/>
      <w:bookmarkStart w:id="949" w:name="_Toc30709"/>
      <w:bookmarkStart w:id="950" w:name="_Toc25508"/>
      <w:bookmarkStart w:id="951" w:name="_Toc1542"/>
      <w:bookmarkStart w:id="952" w:name="_Toc3328"/>
      <w:bookmarkStart w:id="953" w:name="_Toc8380"/>
      <w:bookmarkStart w:id="954" w:name="_Toc32707"/>
      <w:bookmarkStart w:id="955" w:name="_Toc28718"/>
      <w:r>
        <w:rPr>
          <w:rFonts w:hint="eastAsia" w:ascii="仿宋" w:hAnsi="仿宋" w:eastAsia="仿宋" w:cs="仿宋"/>
          <w:color w:val="000000"/>
          <w:sz w:val="30"/>
          <w:szCs w:val="30"/>
          <w:highlight w:val="none"/>
        </w:rPr>
        <w:t>一、响应函格式</w:t>
      </w:r>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p>
    <w:p w14:paraId="61C54A98">
      <w:pPr>
        <w:pStyle w:val="32"/>
        <w:widowControl w:val="0"/>
        <w:spacing w:line="500" w:lineRule="exact"/>
        <w:outlineLvl w:val="9"/>
        <w:rPr>
          <w:rFonts w:ascii="黑体" w:hAnsi="黑体" w:eastAsia="黑体" w:cs="Times New Roman"/>
          <w:b w:val="0"/>
          <w:bCs w:val="0"/>
          <w:color w:val="000000"/>
          <w:highlight w:val="none"/>
        </w:rPr>
      </w:pPr>
      <w:bookmarkStart w:id="956" w:name="_Toc6798"/>
      <w:bookmarkStart w:id="957" w:name="_Toc12334"/>
      <w:bookmarkStart w:id="958" w:name="_Toc30597"/>
      <w:bookmarkStart w:id="959" w:name="_Toc18782"/>
      <w:bookmarkStart w:id="960" w:name="_Toc18135"/>
      <w:bookmarkStart w:id="961" w:name="_Toc5467"/>
      <w:bookmarkStart w:id="962" w:name="_Toc528596088"/>
      <w:bookmarkStart w:id="963" w:name="_Toc16608"/>
      <w:bookmarkStart w:id="964" w:name="_Toc29087"/>
      <w:bookmarkStart w:id="965" w:name="_Toc20547"/>
      <w:bookmarkStart w:id="966" w:name="_Toc16759"/>
      <w:bookmarkStart w:id="967" w:name="_Toc17151"/>
      <w:bookmarkStart w:id="968" w:name="_Toc19672"/>
      <w:bookmarkStart w:id="969" w:name="_Toc23313"/>
      <w:bookmarkStart w:id="970" w:name="_Toc23615"/>
      <w:bookmarkStart w:id="971" w:name="_Toc21850"/>
      <w:bookmarkStart w:id="972" w:name="_Toc2848"/>
      <w:r>
        <w:rPr>
          <w:rFonts w:hint="eastAsia" w:ascii="黑体" w:hAnsi="黑体" w:eastAsia="黑体" w:cs="黑体"/>
          <w:b w:val="0"/>
          <w:bCs w:val="0"/>
          <w:color w:val="000000"/>
          <w:highlight w:val="none"/>
        </w:rPr>
        <w:t>响应函</w:t>
      </w:r>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p>
    <w:p w14:paraId="6A0E54DB">
      <w:pPr>
        <w:pStyle w:val="29"/>
        <w:widowControl w:val="0"/>
        <w:spacing w:line="500" w:lineRule="exact"/>
        <w:ind w:firstLine="0" w:firstLineChars="0"/>
        <w:rPr>
          <w:rFonts w:ascii="仿宋" w:hAnsi="仿宋" w:eastAsia="仿宋" w:cs="Times New Roman"/>
          <w:color w:val="000000"/>
          <w:highlight w:val="none"/>
          <w:lang w:val="zh-CN"/>
        </w:rPr>
      </w:pPr>
      <w:r>
        <w:rPr>
          <w:rFonts w:hint="eastAsia" w:ascii="仿宋" w:hAnsi="仿宋" w:eastAsia="仿宋" w:cs="仿宋"/>
          <w:color w:val="000000"/>
          <w:highlight w:val="none"/>
        </w:rPr>
        <w:t>陕西省省级单位政府采购中心</w:t>
      </w:r>
      <w:r>
        <w:rPr>
          <w:rFonts w:hint="eastAsia" w:ascii="仿宋" w:hAnsi="仿宋" w:eastAsia="仿宋" w:cs="仿宋"/>
          <w:color w:val="000000"/>
          <w:highlight w:val="none"/>
          <w:lang w:val="zh-CN"/>
        </w:rPr>
        <w:t>：</w:t>
      </w:r>
    </w:p>
    <w:p w14:paraId="531EA89F">
      <w:pPr>
        <w:widowControl w:val="0"/>
        <w:spacing w:line="500" w:lineRule="exact"/>
        <w:ind w:right="11" w:firstLine="566" w:firstLineChars="200"/>
        <w:rPr>
          <w:rFonts w:ascii="仿宋" w:hAnsi="仿宋" w:eastAsia="仿宋" w:cs="仿宋"/>
          <w:color w:val="000000"/>
          <w:highlight w:val="none"/>
        </w:rPr>
      </w:pPr>
      <w:r>
        <w:rPr>
          <w:rFonts w:hint="eastAsia" w:ascii="仿宋" w:hAnsi="仿宋" w:eastAsia="仿宋" w:cs="仿宋"/>
          <w:color w:val="000000"/>
          <w:highlight w:val="none"/>
        </w:rPr>
        <w:t>我方收到贵中心发布的《</w:t>
      </w:r>
      <w:r>
        <w:rPr>
          <w:rFonts w:hint="eastAsia" w:ascii="仿宋" w:hAnsi="仿宋" w:eastAsia="仿宋" w:cs="仿宋"/>
          <w:color w:val="000000"/>
          <w:highlight w:val="none"/>
          <w:u w:val="single"/>
        </w:rPr>
        <w:t>项目名称</w:t>
      </w:r>
      <w:r>
        <w:rPr>
          <w:rFonts w:hint="eastAsia" w:ascii="仿宋" w:hAnsi="仿宋" w:eastAsia="仿宋" w:cs="仿宋"/>
          <w:color w:val="000000"/>
          <w:highlight w:val="none"/>
        </w:rPr>
        <w:t>》（项目编号：</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）第</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标段磋商文件，经详细研究，我方决定参加该项目第</w:t>
      </w:r>
      <w:r>
        <w:rPr>
          <w:rFonts w:hint="eastAsia" w:ascii="仿宋" w:hAnsi="仿宋" w:eastAsia="仿宋" w:cs="仿宋"/>
          <w:color w:val="000000"/>
          <w:highlight w:val="none"/>
          <w:u w:val="single"/>
        </w:rPr>
        <w:t xml:space="preserve">  </w:t>
      </w:r>
      <w:r>
        <w:rPr>
          <w:rFonts w:hint="eastAsia" w:ascii="仿宋" w:hAnsi="仿宋" w:eastAsia="仿宋" w:cs="仿宋"/>
          <w:color w:val="000000"/>
          <w:highlight w:val="none"/>
        </w:rPr>
        <w:t>标段磋商活动。为此，我方郑重声明以下诸点，并负法律责任。</w:t>
      </w:r>
    </w:p>
    <w:p w14:paraId="3708CCC5">
      <w:pPr>
        <w:pStyle w:val="29"/>
        <w:widowControl w:val="0"/>
        <w:spacing w:line="500" w:lineRule="exact"/>
        <w:ind w:firstLine="567"/>
        <w:rPr>
          <w:rFonts w:ascii="仿宋" w:hAnsi="仿宋" w:eastAsia="仿宋" w:cs="仿宋"/>
          <w:color w:val="000000"/>
          <w:highlight w:val="none"/>
        </w:rPr>
      </w:pPr>
      <w:r>
        <w:rPr>
          <w:rFonts w:hint="eastAsia" w:ascii="仿宋" w:hAnsi="仿宋" w:eastAsia="仿宋" w:cs="仿宋"/>
          <w:color w:val="000000"/>
          <w:highlight w:val="none"/>
        </w:rPr>
        <w:t>一、我方已详细阅读了磋商文件，完全理解并同意磋商文件的所有事项及内容。</w:t>
      </w:r>
    </w:p>
    <w:p w14:paraId="1BF95083">
      <w:pPr>
        <w:pStyle w:val="29"/>
        <w:widowControl w:val="0"/>
        <w:spacing w:line="500" w:lineRule="exact"/>
        <w:ind w:firstLine="567"/>
        <w:rPr>
          <w:rFonts w:ascii="仿宋" w:hAnsi="仿宋" w:eastAsia="仿宋" w:cs="仿宋"/>
          <w:color w:val="000000"/>
          <w:highlight w:val="none"/>
        </w:rPr>
      </w:pPr>
      <w:r>
        <w:rPr>
          <w:rFonts w:hint="eastAsia" w:ascii="仿宋" w:hAnsi="仿宋" w:eastAsia="仿宋" w:cs="仿宋"/>
          <w:color w:val="000000"/>
          <w:highlight w:val="none"/>
        </w:rPr>
        <w:t>二、我方已悉知并关注了贵方在政府采购信息发布媒体（详见磋商文件第二章第三条中的“磋商文件的修改、澄清”）上发布的关于本项目的有关变更公告（包括但不限于对磋商文件做出的修改或澄清、答疑纪要，以及项目暂停、重启、延期、终止等）。</w:t>
      </w:r>
    </w:p>
    <w:p w14:paraId="4A86DED0">
      <w:pPr>
        <w:pStyle w:val="29"/>
        <w:widowControl w:val="0"/>
        <w:spacing w:line="500" w:lineRule="exact"/>
        <w:ind w:firstLine="567"/>
        <w:rPr>
          <w:rFonts w:ascii="仿宋" w:hAnsi="仿宋" w:eastAsia="仿宋" w:cs="仿宋"/>
          <w:color w:val="000000"/>
          <w:highlight w:val="none"/>
        </w:rPr>
      </w:pPr>
      <w:r>
        <w:rPr>
          <w:rFonts w:hint="eastAsia" w:ascii="仿宋" w:hAnsi="仿宋" w:eastAsia="仿宋" w:cs="仿宋"/>
          <w:color w:val="000000"/>
          <w:highlight w:val="none"/>
        </w:rPr>
        <w:t>三、我方同意向贵方提供与本磋商有关的任何证明材料，保证所提交的证明材料真实、合法、有效。我方理解最低价不是中标的唯一条件，并尊重磋商小组的评审结果。</w:t>
      </w:r>
    </w:p>
    <w:p w14:paraId="3635902A">
      <w:pPr>
        <w:pStyle w:val="29"/>
        <w:widowControl w:val="0"/>
        <w:spacing w:line="500" w:lineRule="exact"/>
        <w:ind w:firstLine="567"/>
        <w:rPr>
          <w:rFonts w:ascii="仿宋" w:hAnsi="仿宋" w:eastAsia="仿宋" w:cs="仿宋"/>
          <w:color w:val="000000"/>
          <w:highlight w:val="none"/>
        </w:rPr>
      </w:pPr>
      <w:r>
        <w:rPr>
          <w:rFonts w:hint="eastAsia" w:ascii="仿宋" w:hAnsi="仿宋" w:eastAsia="仿宋" w:cs="仿宋"/>
          <w:color w:val="000000"/>
          <w:highlight w:val="none"/>
        </w:rPr>
        <w:t>四、我方愿意按照磋商文件中的一切要求，完成本项目合同责任和义务。</w:t>
      </w:r>
    </w:p>
    <w:p w14:paraId="10E3E18F">
      <w:pPr>
        <w:pStyle w:val="29"/>
        <w:widowControl w:val="0"/>
        <w:spacing w:line="500" w:lineRule="exact"/>
        <w:ind w:firstLine="567"/>
        <w:rPr>
          <w:rFonts w:ascii="仿宋" w:hAnsi="仿宋" w:eastAsia="仿宋" w:cs="仿宋"/>
          <w:color w:val="000000"/>
          <w:highlight w:val="none"/>
        </w:rPr>
      </w:pPr>
      <w:r>
        <w:rPr>
          <w:rFonts w:hint="eastAsia" w:ascii="仿宋" w:hAnsi="仿宋" w:eastAsia="仿宋" w:cs="仿宋"/>
          <w:color w:val="000000"/>
          <w:highlight w:val="none"/>
        </w:rPr>
        <w:t>五、我方提交的</w:t>
      </w:r>
      <w:r>
        <w:rPr>
          <w:rFonts w:hint="eastAsia" w:ascii="仿宋" w:hAnsi="仿宋" w:eastAsia="仿宋" w:cs="仿宋"/>
          <w:b/>
          <w:bCs/>
          <w:color w:val="000000"/>
          <w:highlight w:val="none"/>
        </w:rPr>
        <w:t>电子响应文件</w:t>
      </w:r>
      <w:r>
        <w:rPr>
          <w:rFonts w:hint="eastAsia" w:ascii="仿宋" w:hAnsi="仿宋" w:eastAsia="仿宋" w:cs="仿宋"/>
          <w:b/>
          <w:bCs/>
          <w:color w:val="000000"/>
          <w:highlight w:val="none"/>
          <w:u w:val="single"/>
        </w:rPr>
        <w:t>1</w:t>
      </w:r>
      <w:r>
        <w:rPr>
          <w:rFonts w:hint="eastAsia" w:ascii="仿宋" w:hAnsi="仿宋" w:eastAsia="仿宋" w:cs="仿宋"/>
          <w:b/>
          <w:bCs/>
          <w:color w:val="000000"/>
          <w:highlight w:val="none"/>
        </w:rPr>
        <w:t>份</w:t>
      </w:r>
      <w:r>
        <w:rPr>
          <w:rFonts w:hint="eastAsia" w:ascii="仿宋" w:hAnsi="仿宋" w:eastAsia="仿宋" w:cs="仿宋"/>
          <w:color w:val="000000"/>
          <w:highlight w:val="none"/>
        </w:rPr>
        <w:t>。</w:t>
      </w:r>
    </w:p>
    <w:p w14:paraId="5C157B3F">
      <w:pPr>
        <w:pStyle w:val="29"/>
        <w:widowControl w:val="0"/>
        <w:spacing w:line="500" w:lineRule="exact"/>
        <w:ind w:firstLine="567"/>
        <w:rPr>
          <w:rFonts w:ascii="仿宋" w:hAnsi="仿宋" w:eastAsia="仿宋" w:cs="仿宋"/>
          <w:color w:val="000000"/>
          <w:highlight w:val="none"/>
        </w:rPr>
      </w:pPr>
      <w:r>
        <w:rPr>
          <w:rFonts w:hint="eastAsia" w:ascii="仿宋" w:hAnsi="仿宋" w:eastAsia="仿宋" w:cs="仿宋"/>
          <w:color w:val="000000"/>
          <w:highlight w:val="none"/>
        </w:rPr>
        <w:t>六、开标后在规定的投标有效期内撤回投标，我们愿接受政府采购的有关处罚决定。</w:t>
      </w:r>
    </w:p>
    <w:p w14:paraId="22423F0B">
      <w:pPr>
        <w:widowControl w:val="0"/>
        <w:autoSpaceDE w:val="0"/>
        <w:autoSpaceDN w:val="0"/>
        <w:adjustRightInd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七、我方的响应文件在开标之日起</w:t>
      </w:r>
      <w:r>
        <w:rPr>
          <w:rFonts w:hint="eastAsia" w:ascii="仿宋" w:hAnsi="仿宋" w:eastAsia="仿宋" w:cs="仿宋"/>
          <w:b/>
          <w:bCs/>
          <w:color w:val="000000"/>
          <w:highlight w:val="none"/>
          <w:u w:val="single"/>
        </w:rPr>
        <w:t>90</w:t>
      </w:r>
      <w:r>
        <w:rPr>
          <w:rFonts w:hint="eastAsia" w:ascii="仿宋" w:hAnsi="仿宋" w:eastAsia="仿宋" w:cs="仿宋"/>
          <w:color w:val="000000"/>
          <w:highlight w:val="none"/>
        </w:rPr>
        <w:t>个日历日内有效，如成交，延长至合同执行完毕时止。</w:t>
      </w:r>
    </w:p>
    <w:p w14:paraId="5BB1FB80">
      <w:pPr>
        <w:pStyle w:val="29"/>
        <w:widowControl w:val="0"/>
        <w:spacing w:line="500" w:lineRule="exact"/>
        <w:ind w:firstLine="567"/>
        <w:rPr>
          <w:rFonts w:ascii="仿宋" w:hAnsi="仿宋" w:eastAsia="仿宋" w:cs="仿宋"/>
          <w:color w:val="000000"/>
          <w:highlight w:val="none"/>
        </w:rPr>
      </w:pPr>
      <w:r>
        <w:rPr>
          <w:rFonts w:hint="eastAsia" w:ascii="仿宋" w:hAnsi="仿宋" w:eastAsia="仿宋" w:cs="仿宋"/>
          <w:color w:val="000000"/>
          <w:highlight w:val="none"/>
        </w:rPr>
        <w:t>八、所有关于此次磋商活动的函电，请按下列地址联系：</w:t>
      </w:r>
    </w:p>
    <w:p w14:paraId="054EBEE8">
      <w:pPr>
        <w:pStyle w:val="29"/>
        <w:widowControl w:val="0"/>
        <w:spacing w:line="500" w:lineRule="exact"/>
        <w:ind w:firstLine="567"/>
        <w:rPr>
          <w:rFonts w:ascii="仿宋" w:hAnsi="仿宋" w:eastAsia="仿宋" w:cs="仿宋"/>
          <w:color w:val="000000"/>
          <w:highlight w:val="none"/>
        </w:rPr>
      </w:pPr>
    </w:p>
    <w:p w14:paraId="4D7FF5B8">
      <w:pPr>
        <w:pStyle w:val="29"/>
        <w:widowControl w:val="0"/>
        <w:spacing w:line="500" w:lineRule="exact"/>
        <w:ind w:firstLine="567"/>
        <w:rPr>
          <w:rFonts w:ascii="仿宋" w:hAnsi="仿宋" w:eastAsia="仿宋" w:cs="仿宋"/>
          <w:color w:val="000000"/>
          <w:highlight w:val="none"/>
        </w:rPr>
      </w:pPr>
      <w:r>
        <w:rPr>
          <w:rFonts w:hint="eastAsia" w:ascii="仿宋" w:hAnsi="仿宋" w:eastAsia="仿宋" w:cs="仿宋"/>
          <w:color w:val="000000"/>
          <w:highlight w:val="none"/>
        </w:rPr>
        <w:t>供应商：</w:t>
      </w:r>
      <w:r>
        <w:rPr>
          <w:rFonts w:hint="eastAsia" w:ascii="仿宋" w:hAnsi="仿宋" w:eastAsia="仿宋" w:cs="仿宋"/>
          <w:color w:val="000000"/>
          <w:highlight w:val="none"/>
          <w:u w:val="single"/>
        </w:rPr>
        <w:t>名称</w:t>
      </w:r>
      <w:r>
        <w:rPr>
          <w:rFonts w:hint="eastAsia" w:ascii="仿宋" w:hAnsi="仿宋" w:eastAsia="仿宋" w:cs="仿宋"/>
          <w:color w:val="000000"/>
          <w:highlight w:val="none"/>
        </w:rPr>
        <w:t>（加盖公章）</w:t>
      </w:r>
    </w:p>
    <w:p w14:paraId="7C7E7CE1">
      <w:pPr>
        <w:pStyle w:val="29"/>
        <w:widowControl w:val="0"/>
        <w:spacing w:line="500" w:lineRule="exact"/>
        <w:ind w:firstLine="567"/>
        <w:rPr>
          <w:rFonts w:ascii="仿宋" w:hAnsi="仿宋" w:eastAsia="仿宋" w:cs="仿宋"/>
          <w:color w:val="000000"/>
          <w:highlight w:val="none"/>
        </w:rPr>
      </w:pPr>
      <w:r>
        <w:rPr>
          <w:rFonts w:hint="eastAsia" w:ascii="仿宋" w:hAnsi="仿宋" w:eastAsia="仿宋" w:cs="仿宋"/>
          <w:color w:val="000000"/>
          <w:highlight w:val="none"/>
        </w:rPr>
        <w:t>地址：</w:t>
      </w:r>
    </w:p>
    <w:p w14:paraId="6EA76D94">
      <w:pPr>
        <w:pStyle w:val="29"/>
        <w:widowControl w:val="0"/>
        <w:spacing w:line="500" w:lineRule="exact"/>
        <w:ind w:firstLine="567"/>
        <w:rPr>
          <w:rFonts w:ascii="仿宋" w:hAnsi="仿宋" w:eastAsia="仿宋" w:cs="仿宋"/>
          <w:color w:val="000000"/>
          <w:highlight w:val="none"/>
        </w:rPr>
      </w:pPr>
      <w:r>
        <w:rPr>
          <w:rFonts w:hint="eastAsia" w:ascii="仿宋" w:hAnsi="仿宋" w:eastAsia="仿宋" w:cs="仿宋"/>
          <w:color w:val="000000"/>
          <w:highlight w:val="none"/>
        </w:rPr>
        <w:t>开户银行：</w:t>
      </w:r>
    </w:p>
    <w:p w14:paraId="05853A6B">
      <w:pPr>
        <w:pStyle w:val="29"/>
        <w:widowControl w:val="0"/>
        <w:spacing w:line="500" w:lineRule="exact"/>
        <w:ind w:firstLine="567"/>
        <w:rPr>
          <w:rFonts w:ascii="仿宋" w:hAnsi="仿宋" w:eastAsia="仿宋" w:cs="仿宋"/>
          <w:color w:val="000000"/>
          <w:highlight w:val="none"/>
        </w:rPr>
      </w:pPr>
      <w:r>
        <w:rPr>
          <w:rFonts w:hint="eastAsia" w:ascii="仿宋" w:hAnsi="仿宋" w:eastAsia="仿宋" w:cs="仿宋"/>
          <w:color w:val="000000"/>
          <w:highlight w:val="none"/>
        </w:rPr>
        <w:t>账号：</w:t>
      </w:r>
    </w:p>
    <w:p w14:paraId="5F420362">
      <w:pPr>
        <w:pStyle w:val="29"/>
        <w:widowControl w:val="0"/>
        <w:spacing w:line="500" w:lineRule="exact"/>
        <w:ind w:firstLine="567"/>
        <w:rPr>
          <w:rFonts w:ascii="仿宋" w:hAnsi="仿宋" w:eastAsia="仿宋" w:cs="仿宋"/>
          <w:color w:val="000000"/>
          <w:highlight w:val="none"/>
        </w:rPr>
      </w:pPr>
      <w:r>
        <w:rPr>
          <w:rFonts w:hint="eastAsia" w:ascii="仿宋" w:hAnsi="仿宋" w:eastAsia="仿宋" w:cs="仿宋"/>
          <w:color w:val="000000"/>
          <w:highlight w:val="none"/>
        </w:rPr>
        <w:t>电话：</w:t>
      </w:r>
    </w:p>
    <w:p w14:paraId="7B3C8CE2">
      <w:pPr>
        <w:pStyle w:val="29"/>
        <w:widowControl w:val="0"/>
        <w:spacing w:line="500" w:lineRule="exact"/>
        <w:ind w:firstLine="567"/>
        <w:rPr>
          <w:rFonts w:ascii="仿宋" w:hAnsi="仿宋" w:eastAsia="仿宋" w:cs="仿宋"/>
          <w:color w:val="000000"/>
          <w:highlight w:val="none"/>
        </w:rPr>
      </w:pPr>
      <w:r>
        <w:rPr>
          <w:rFonts w:hint="eastAsia" w:ascii="仿宋" w:hAnsi="仿宋" w:eastAsia="仿宋" w:cs="仿宋"/>
          <w:color w:val="000000"/>
          <w:highlight w:val="none"/>
        </w:rPr>
        <w:t>传真：</w:t>
      </w:r>
    </w:p>
    <w:p w14:paraId="0584887E">
      <w:pPr>
        <w:pStyle w:val="29"/>
        <w:widowControl w:val="0"/>
        <w:spacing w:line="500" w:lineRule="exact"/>
        <w:ind w:firstLine="567"/>
        <w:rPr>
          <w:rFonts w:ascii="仿宋" w:hAnsi="仿宋" w:eastAsia="仿宋" w:cs="仿宋"/>
          <w:color w:val="000000"/>
          <w:highlight w:val="none"/>
        </w:rPr>
      </w:pPr>
      <w:r>
        <w:rPr>
          <w:rFonts w:hint="eastAsia" w:ascii="仿宋" w:hAnsi="仿宋" w:eastAsia="仿宋" w:cs="仿宋"/>
          <w:color w:val="000000"/>
          <w:highlight w:val="none"/>
        </w:rPr>
        <w:t>邮编：</w:t>
      </w:r>
    </w:p>
    <w:p w14:paraId="1E23AEF5">
      <w:pPr>
        <w:pStyle w:val="29"/>
        <w:widowControl w:val="0"/>
        <w:spacing w:line="500" w:lineRule="exact"/>
        <w:ind w:firstLine="567"/>
        <w:rPr>
          <w:rFonts w:ascii="仿宋" w:hAnsi="仿宋" w:eastAsia="仿宋" w:cs="仿宋"/>
          <w:color w:val="000000"/>
          <w:highlight w:val="none"/>
        </w:rPr>
      </w:pPr>
      <w:r>
        <w:rPr>
          <w:rFonts w:hint="eastAsia" w:ascii="仿宋" w:hAnsi="仿宋" w:eastAsia="仿宋" w:cs="仿宋"/>
          <w:color w:val="000000"/>
          <w:highlight w:val="none"/>
        </w:rPr>
        <w:t>电子邮箱：</w:t>
      </w:r>
    </w:p>
    <w:p w14:paraId="63270512">
      <w:pPr>
        <w:pStyle w:val="29"/>
        <w:widowControl w:val="0"/>
        <w:spacing w:line="500" w:lineRule="exact"/>
        <w:ind w:firstLine="567"/>
        <w:rPr>
          <w:rFonts w:ascii="仿宋" w:hAnsi="仿宋" w:eastAsia="仿宋" w:cs="仿宋"/>
          <w:color w:val="000000"/>
          <w:highlight w:val="none"/>
        </w:rPr>
      </w:pPr>
      <w:r>
        <w:rPr>
          <w:rFonts w:hint="eastAsia" w:ascii="仿宋" w:hAnsi="仿宋" w:eastAsia="仿宋" w:cs="仿宋"/>
          <w:color w:val="000000"/>
          <w:highlight w:val="none"/>
        </w:rPr>
        <w:t>日期：　　年　月　日</w:t>
      </w:r>
    </w:p>
    <w:p w14:paraId="5ED7A5EB">
      <w:pPr>
        <w:pStyle w:val="29"/>
        <w:widowControl w:val="0"/>
        <w:ind w:firstLine="0" w:firstLineChars="0"/>
        <w:rPr>
          <w:rFonts w:cs="Times New Roman"/>
          <w:color w:val="000000"/>
          <w:sz w:val="36"/>
          <w:szCs w:val="36"/>
          <w:highlight w:val="none"/>
        </w:rPr>
      </w:pPr>
    </w:p>
    <w:p w14:paraId="347741C6">
      <w:pPr>
        <w:pStyle w:val="29"/>
        <w:widowControl w:val="0"/>
        <w:ind w:firstLine="0" w:firstLineChars="0"/>
        <w:rPr>
          <w:rFonts w:cs="Times New Roman"/>
          <w:color w:val="000000"/>
          <w:sz w:val="36"/>
          <w:szCs w:val="36"/>
          <w:highlight w:val="none"/>
        </w:rPr>
      </w:pPr>
    </w:p>
    <w:p w14:paraId="62FACA16">
      <w:pPr>
        <w:pStyle w:val="29"/>
        <w:widowControl w:val="0"/>
        <w:ind w:firstLine="0" w:firstLineChars="0"/>
        <w:rPr>
          <w:rFonts w:cs="Times New Roman"/>
          <w:color w:val="000000"/>
          <w:sz w:val="36"/>
          <w:szCs w:val="36"/>
          <w:highlight w:val="none"/>
        </w:rPr>
      </w:pPr>
    </w:p>
    <w:p w14:paraId="73FB3AF3">
      <w:pPr>
        <w:pStyle w:val="29"/>
        <w:widowControl w:val="0"/>
        <w:ind w:firstLine="427"/>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备注：</w:t>
      </w:r>
    </w:p>
    <w:p w14:paraId="15C3BFEE">
      <w:pPr>
        <w:pStyle w:val="29"/>
        <w:widowControl w:val="0"/>
        <w:ind w:firstLine="427"/>
        <w:rPr>
          <w:rFonts w:ascii="宋体" w:hAnsi="宋体" w:eastAsia="宋体" w:cs="Times New Roman"/>
          <w:color w:val="000000"/>
          <w:sz w:val="21"/>
          <w:szCs w:val="21"/>
          <w:highlight w:val="none"/>
        </w:rPr>
      </w:pPr>
      <w:r>
        <w:rPr>
          <w:rFonts w:ascii="宋体" w:hAnsi="宋体" w:eastAsia="宋体" w:cs="宋体"/>
          <w:color w:val="000000"/>
          <w:sz w:val="21"/>
          <w:szCs w:val="21"/>
          <w:highlight w:val="none"/>
        </w:rPr>
        <w:t>1</w:t>
      </w:r>
      <w:r>
        <w:rPr>
          <w:rFonts w:hint="eastAsia" w:ascii="宋体" w:hAnsi="宋体" w:eastAsia="宋体" w:cs="宋体"/>
          <w:color w:val="000000"/>
          <w:sz w:val="21"/>
          <w:szCs w:val="21"/>
          <w:highlight w:val="none"/>
        </w:rPr>
        <w:t>、项目不分标段的，第</w:t>
      </w:r>
      <w:r>
        <w:rPr>
          <w:rFonts w:ascii="宋体" w:hAnsi="宋体" w:eastAsia="宋体" w:cs="宋体"/>
          <w:color w:val="000000"/>
          <w:sz w:val="21"/>
          <w:szCs w:val="21"/>
          <w:highlight w:val="none"/>
        </w:rPr>
        <w:t>___</w:t>
      </w:r>
      <w:r>
        <w:rPr>
          <w:rFonts w:hint="eastAsia" w:ascii="宋体" w:hAnsi="宋体" w:eastAsia="宋体" w:cs="宋体"/>
          <w:color w:val="000000"/>
          <w:sz w:val="21"/>
          <w:szCs w:val="21"/>
          <w:highlight w:val="none"/>
        </w:rPr>
        <w:t>标段空白处填写“</w:t>
      </w:r>
      <w:r>
        <w:rPr>
          <w:rFonts w:ascii="宋体" w:hAnsi="宋体" w:eastAsia="宋体" w:cs="宋体"/>
          <w:color w:val="000000"/>
          <w:sz w:val="21"/>
          <w:szCs w:val="21"/>
          <w:highlight w:val="none"/>
        </w:rPr>
        <w:t>/</w:t>
      </w:r>
      <w:r>
        <w:rPr>
          <w:rFonts w:hint="eastAsia" w:ascii="宋体" w:hAnsi="宋体" w:eastAsia="宋体" w:cs="宋体"/>
          <w:color w:val="000000"/>
          <w:sz w:val="21"/>
          <w:szCs w:val="21"/>
          <w:highlight w:val="none"/>
        </w:rPr>
        <w:t>”。</w:t>
      </w:r>
    </w:p>
    <w:p w14:paraId="15C283CC">
      <w:pPr>
        <w:pStyle w:val="29"/>
        <w:widowControl w:val="0"/>
        <w:ind w:firstLine="427"/>
        <w:rPr>
          <w:rFonts w:ascii="宋体" w:hAnsi="宋体" w:eastAsia="宋体" w:cs="Times New Roman"/>
          <w:color w:val="000000"/>
          <w:sz w:val="21"/>
          <w:szCs w:val="21"/>
          <w:highlight w:val="none"/>
        </w:rPr>
      </w:pPr>
      <w:r>
        <w:rPr>
          <w:rFonts w:ascii="宋体" w:hAnsi="宋体" w:eastAsia="宋体" w:cs="宋体"/>
          <w:color w:val="000000"/>
          <w:sz w:val="21"/>
          <w:szCs w:val="21"/>
          <w:highlight w:val="none"/>
        </w:rPr>
        <w:t>2</w:t>
      </w:r>
      <w:r>
        <w:rPr>
          <w:rFonts w:hint="eastAsia" w:ascii="宋体" w:hAnsi="宋体" w:eastAsia="宋体" w:cs="宋体"/>
          <w:color w:val="000000"/>
          <w:sz w:val="21"/>
          <w:szCs w:val="21"/>
          <w:highlight w:val="none"/>
        </w:rPr>
        <w:t>、除可填报项目外，对本响应函的任何实质性内容修改将被视为非实质性响应，在评审时将其视为无效响应。</w:t>
      </w:r>
    </w:p>
    <w:p w14:paraId="5E7450FC">
      <w:pPr>
        <w:pStyle w:val="29"/>
        <w:widowControl w:val="0"/>
        <w:ind w:firstLine="0" w:firstLineChars="0"/>
        <w:rPr>
          <w:rFonts w:ascii="宋体" w:hAnsi="宋体" w:eastAsia="宋体" w:cs="Times New Roman"/>
          <w:b/>
          <w:bCs/>
          <w:color w:val="000000"/>
          <w:sz w:val="21"/>
          <w:szCs w:val="21"/>
          <w:highlight w:val="none"/>
        </w:rPr>
      </w:pPr>
    </w:p>
    <w:p w14:paraId="41C0DA4D">
      <w:pPr>
        <w:pStyle w:val="29"/>
        <w:widowControl w:val="0"/>
        <w:ind w:firstLine="0" w:firstLineChars="0"/>
        <w:rPr>
          <w:rFonts w:ascii="黑体" w:hAnsi="黑体" w:eastAsia="黑体" w:cs="Times New Roman"/>
          <w:color w:val="000000"/>
          <w:sz w:val="32"/>
          <w:szCs w:val="32"/>
          <w:highlight w:val="none"/>
        </w:rPr>
      </w:pPr>
    </w:p>
    <w:p w14:paraId="42FF7004">
      <w:pPr>
        <w:pStyle w:val="29"/>
        <w:widowControl w:val="0"/>
        <w:ind w:firstLine="0" w:firstLineChars="0"/>
        <w:rPr>
          <w:rFonts w:ascii="黑体" w:hAnsi="黑体" w:eastAsia="黑体" w:cs="Times New Roman"/>
          <w:color w:val="000000"/>
          <w:sz w:val="32"/>
          <w:szCs w:val="32"/>
          <w:highlight w:val="none"/>
        </w:rPr>
      </w:pPr>
    </w:p>
    <w:p w14:paraId="4DD5335E">
      <w:pPr>
        <w:pStyle w:val="29"/>
        <w:widowControl w:val="0"/>
        <w:ind w:firstLine="0" w:firstLineChars="0"/>
        <w:rPr>
          <w:rFonts w:ascii="黑体" w:hAnsi="黑体" w:eastAsia="黑体" w:cs="Times New Roman"/>
          <w:color w:val="000000"/>
          <w:sz w:val="32"/>
          <w:szCs w:val="32"/>
          <w:highlight w:val="none"/>
        </w:rPr>
      </w:pPr>
    </w:p>
    <w:p w14:paraId="39F2252F">
      <w:pPr>
        <w:pStyle w:val="29"/>
        <w:widowControl w:val="0"/>
        <w:ind w:firstLine="0" w:firstLineChars="0"/>
        <w:rPr>
          <w:rFonts w:ascii="黑体" w:hAnsi="黑体" w:eastAsia="黑体" w:cs="Times New Roman"/>
          <w:color w:val="000000"/>
          <w:sz w:val="32"/>
          <w:szCs w:val="32"/>
          <w:highlight w:val="none"/>
        </w:rPr>
      </w:pPr>
    </w:p>
    <w:p w14:paraId="711C54E3">
      <w:pPr>
        <w:pStyle w:val="29"/>
        <w:widowControl w:val="0"/>
        <w:ind w:firstLine="0" w:firstLineChars="0"/>
        <w:rPr>
          <w:rFonts w:ascii="黑体" w:hAnsi="黑体" w:eastAsia="黑体" w:cs="Times New Roman"/>
          <w:color w:val="000000"/>
          <w:sz w:val="32"/>
          <w:szCs w:val="32"/>
          <w:highlight w:val="none"/>
        </w:rPr>
      </w:pPr>
    </w:p>
    <w:p w14:paraId="21C82FBC">
      <w:pPr>
        <w:pStyle w:val="29"/>
        <w:widowControl w:val="0"/>
        <w:ind w:firstLine="0" w:firstLineChars="0"/>
        <w:rPr>
          <w:rFonts w:ascii="黑体" w:hAnsi="黑体" w:eastAsia="黑体" w:cs="Times New Roman"/>
          <w:color w:val="000000"/>
          <w:sz w:val="32"/>
          <w:szCs w:val="32"/>
          <w:highlight w:val="none"/>
        </w:rPr>
      </w:pPr>
    </w:p>
    <w:p w14:paraId="046E065E">
      <w:pPr>
        <w:pStyle w:val="29"/>
        <w:widowControl w:val="0"/>
        <w:ind w:firstLine="0" w:firstLineChars="0"/>
        <w:rPr>
          <w:rFonts w:ascii="黑体" w:hAnsi="黑体" w:eastAsia="黑体" w:cs="Times New Roman"/>
          <w:color w:val="000000"/>
          <w:sz w:val="32"/>
          <w:szCs w:val="32"/>
          <w:highlight w:val="none"/>
        </w:rPr>
      </w:pPr>
    </w:p>
    <w:p w14:paraId="221EBE11">
      <w:pPr>
        <w:pStyle w:val="29"/>
        <w:widowControl w:val="0"/>
        <w:ind w:firstLine="0" w:firstLineChars="0"/>
        <w:rPr>
          <w:rFonts w:ascii="黑体" w:hAnsi="黑体" w:eastAsia="黑体" w:cs="Times New Roman"/>
          <w:color w:val="000000"/>
          <w:sz w:val="32"/>
          <w:szCs w:val="32"/>
          <w:highlight w:val="none"/>
        </w:rPr>
      </w:pPr>
    </w:p>
    <w:p w14:paraId="784D3E02">
      <w:pPr>
        <w:pStyle w:val="29"/>
        <w:widowControl w:val="0"/>
        <w:ind w:firstLine="0" w:firstLineChars="0"/>
        <w:rPr>
          <w:rFonts w:ascii="黑体" w:hAnsi="黑体" w:eastAsia="黑体" w:cs="Times New Roman"/>
          <w:color w:val="000000"/>
          <w:sz w:val="32"/>
          <w:szCs w:val="32"/>
          <w:highlight w:val="none"/>
        </w:rPr>
      </w:pPr>
    </w:p>
    <w:p w14:paraId="52B6739B">
      <w:pPr>
        <w:pStyle w:val="29"/>
        <w:widowControl w:val="0"/>
        <w:ind w:firstLine="0" w:firstLineChars="0"/>
        <w:rPr>
          <w:rFonts w:ascii="黑体" w:hAnsi="黑体" w:eastAsia="黑体" w:cs="Times New Roman"/>
          <w:color w:val="000000"/>
          <w:sz w:val="32"/>
          <w:szCs w:val="32"/>
          <w:highlight w:val="none"/>
        </w:rPr>
      </w:pPr>
    </w:p>
    <w:p w14:paraId="193B685C">
      <w:pPr>
        <w:pStyle w:val="29"/>
        <w:widowControl w:val="0"/>
        <w:ind w:firstLine="0" w:firstLineChars="0"/>
        <w:rPr>
          <w:rFonts w:ascii="黑体" w:hAnsi="黑体" w:eastAsia="黑体" w:cs="Times New Roman"/>
          <w:color w:val="000000"/>
          <w:sz w:val="32"/>
          <w:szCs w:val="32"/>
          <w:highlight w:val="none"/>
        </w:rPr>
      </w:pPr>
    </w:p>
    <w:p w14:paraId="78246DFC">
      <w:pPr>
        <w:pStyle w:val="29"/>
        <w:widowControl w:val="0"/>
        <w:ind w:firstLine="0" w:firstLineChars="0"/>
        <w:rPr>
          <w:rFonts w:ascii="黑体" w:hAnsi="黑体" w:eastAsia="黑体" w:cs="Times New Roman"/>
          <w:color w:val="000000"/>
          <w:sz w:val="32"/>
          <w:szCs w:val="32"/>
          <w:highlight w:val="none"/>
        </w:rPr>
      </w:pPr>
    </w:p>
    <w:p w14:paraId="1AC69E97">
      <w:pPr>
        <w:pStyle w:val="29"/>
        <w:widowControl w:val="0"/>
        <w:ind w:firstLine="0" w:firstLineChars="0"/>
        <w:rPr>
          <w:rFonts w:ascii="黑体" w:hAnsi="黑体" w:eastAsia="黑体" w:cs="Times New Roman"/>
          <w:color w:val="000000"/>
          <w:sz w:val="32"/>
          <w:szCs w:val="32"/>
          <w:highlight w:val="none"/>
        </w:rPr>
      </w:pPr>
    </w:p>
    <w:p w14:paraId="26B59306">
      <w:pPr>
        <w:widowControl w:val="0"/>
        <w:rPr>
          <w:rFonts w:ascii="仿宋" w:hAnsi="仿宋" w:eastAsia="仿宋" w:cs="仿宋"/>
          <w:b/>
          <w:bCs/>
          <w:color w:val="000000"/>
          <w:highlight w:val="none"/>
        </w:rPr>
      </w:pPr>
      <w:bookmarkStart w:id="973" w:name="_Toc26017"/>
      <w:bookmarkStart w:id="974" w:name="_Toc6164"/>
      <w:bookmarkStart w:id="975" w:name="_Toc14393"/>
      <w:bookmarkStart w:id="976" w:name="_Toc23720"/>
      <w:bookmarkStart w:id="977" w:name="_Toc28380"/>
      <w:bookmarkStart w:id="978" w:name="_Toc28505"/>
      <w:bookmarkStart w:id="979" w:name="_Toc940"/>
      <w:bookmarkStart w:id="980" w:name="_Toc15271"/>
      <w:bookmarkStart w:id="981" w:name="_Toc6674"/>
      <w:bookmarkStart w:id="982" w:name="_Toc28261"/>
      <w:bookmarkStart w:id="983" w:name="_Toc5710"/>
      <w:bookmarkStart w:id="984" w:name="_Toc27965"/>
      <w:bookmarkStart w:id="985" w:name="_Toc28620"/>
      <w:bookmarkStart w:id="986" w:name="_Toc8061"/>
      <w:r>
        <w:rPr>
          <w:rFonts w:hint="eastAsia" w:ascii="仿宋" w:hAnsi="仿宋" w:eastAsia="仿宋" w:cs="仿宋"/>
          <w:color w:val="000000"/>
          <w:highlight w:val="none"/>
        </w:rPr>
        <w:br w:type="page"/>
      </w:r>
      <w:r>
        <w:rPr>
          <w:rFonts w:hint="eastAsia" w:ascii="仿宋" w:hAnsi="仿宋" w:eastAsia="仿宋" w:cs="仿宋"/>
          <w:color w:val="000000"/>
          <w:highlight w:val="none"/>
        </w:rPr>
        <w:t xml:space="preserve">    </w:t>
      </w:r>
      <w:r>
        <w:rPr>
          <w:rFonts w:hint="eastAsia" w:ascii="仿宋" w:hAnsi="仿宋" w:eastAsia="仿宋" w:cs="仿宋"/>
          <w:b/>
          <w:bCs/>
          <w:color w:val="000000"/>
          <w:sz w:val="30"/>
          <w:szCs w:val="30"/>
          <w:highlight w:val="none"/>
        </w:rPr>
        <w:t>二、</w:t>
      </w:r>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r>
        <w:rPr>
          <w:rFonts w:hint="eastAsia" w:ascii="仿宋" w:hAnsi="仿宋" w:eastAsia="仿宋" w:cs="仿宋"/>
          <w:b/>
          <w:bCs/>
          <w:color w:val="000000"/>
          <w:sz w:val="30"/>
          <w:szCs w:val="30"/>
          <w:highlight w:val="none"/>
        </w:rPr>
        <w:t>第一次磋商报价表</w:t>
      </w:r>
    </w:p>
    <w:p w14:paraId="0DF6CE95">
      <w:pPr>
        <w:widowControl w:val="0"/>
        <w:spacing w:line="600" w:lineRule="exact"/>
        <w:ind w:firstLine="566" w:firstLineChars="200"/>
        <w:jc w:val="left"/>
        <w:rPr>
          <w:rFonts w:ascii="仿宋" w:hAnsi="仿宋" w:eastAsia="仿宋" w:cs="仿宋"/>
          <w:color w:val="000000"/>
          <w:highlight w:val="none"/>
        </w:rPr>
      </w:pPr>
      <w:r>
        <w:rPr>
          <w:rFonts w:hint="eastAsia" w:ascii="仿宋" w:hAnsi="仿宋" w:eastAsia="仿宋" w:cs="仿宋"/>
          <w:color w:val="000000"/>
          <w:highlight w:val="none"/>
        </w:rPr>
        <w:t>项目编号：</w:t>
      </w:r>
    </w:p>
    <w:p w14:paraId="676317C5">
      <w:pPr>
        <w:widowControl w:val="0"/>
        <w:spacing w:line="600" w:lineRule="exact"/>
        <w:ind w:firstLine="566" w:firstLineChars="200"/>
        <w:jc w:val="left"/>
        <w:rPr>
          <w:rFonts w:ascii="仿宋" w:hAnsi="仿宋" w:eastAsia="仿宋" w:cs="仿宋"/>
          <w:color w:val="000000"/>
          <w:highlight w:val="none"/>
        </w:rPr>
      </w:pPr>
      <w:r>
        <w:rPr>
          <w:rFonts w:hint="eastAsia" w:ascii="仿宋" w:hAnsi="仿宋" w:eastAsia="仿宋" w:cs="仿宋"/>
          <w:color w:val="000000"/>
          <w:highlight w:val="none"/>
        </w:rPr>
        <w:t>项目名称：</w:t>
      </w:r>
    </w:p>
    <w:tbl>
      <w:tblPr>
        <w:tblStyle w:val="21"/>
        <w:tblW w:w="88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3059"/>
        <w:gridCol w:w="5752"/>
      </w:tblGrid>
      <w:tr w14:paraId="0686C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059" w:type="dxa"/>
            <w:vMerge w:val="restart"/>
            <w:vAlign w:val="center"/>
          </w:tcPr>
          <w:p w14:paraId="01DE1B4E">
            <w:pPr>
              <w:pStyle w:val="5"/>
              <w:spacing w:line="360" w:lineRule="auto"/>
              <w:ind w:firstLine="0"/>
              <w:jc w:val="center"/>
              <w:rPr>
                <w:rFonts w:ascii="仿宋" w:hAnsi="仿宋" w:eastAsia="仿宋" w:cs="仿宋"/>
                <w:color w:val="000000"/>
                <w:szCs w:val="24"/>
                <w:highlight w:val="none"/>
              </w:rPr>
            </w:pPr>
            <w:r>
              <w:rPr>
                <w:rFonts w:hint="eastAsia" w:ascii="仿宋" w:hAnsi="仿宋" w:eastAsia="仿宋" w:cs="仿宋"/>
                <w:color w:val="000000"/>
                <w:szCs w:val="24"/>
                <w:highlight w:val="none"/>
              </w:rPr>
              <w:t>磋商报价</w:t>
            </w:r>
          </w:p>
        </w:tc>
        <w:tc>
          <w:tcPr>
            <w:tcW w:w="5752" w:type="dxa"/>
            <w:vAlign w:val="center"/>
          </w:tcPr>
          <w:p w14:paraId="3B5F864D">
            <w:pPr>
              <w:spacing w:line="440" w:lineRule="exact"/>
              <w:jc w:val="center"/>
              <w:rPr>
                <w:rFonts w:ascii="仿宋" w:hAnsi="仿宋" w:eastAsia="仿宋" w:cs="仿宋"/>
                <w:color w:val="000000"/>
                <w:szCs w:val="24"/>
                <w:highlight w:val="none"/>
              </w:rPr>
            </w:pPr>
            <w:r>
              <w:rPr>
                <w:rFonts w:hint="eastAsia" w:ascii="仿宋" w:hAnsi="仿宋" w:eastAsia="仿宋" w:cs="仿宋"/>
                <w:color w:val="000000"/>
                <w:szCs w:val="24"/>
                <w:highlight w:val="none"/>
              </w:rPr>
              <w:t>内容</w:t>
            </w:r>
          </w:p>
        </w:tc>
      </w:tr>
      <w:tr w14:paraId="00C4E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23" w:hRule="atLeast"/>
          <w:jc w:val="center"/>
        </w:trPr>
        <w:tc>
          <w:tcPr>
            <w:tcW w:w="3059" w:type="dxa"/>
            <w:vMerge w:val="continue"/>
            <w:vAlign w:val="center"/>
          </w:tcPr>
          <w:p w14:paraId="65DEA0EF">
            <w:pPr>
              <w:pStyle w:val="5"/>
              <w:spacing w:line="360" w:lineRule="auto"/>
              <w:ind w:firstLine="0"/>
              <w:jc w:val="center"/>
              <w:rPr>
                <w:rFonts w:ascii="仿宋" w:hAnsi="仿宋" w:eastAsia="仿宋" w:cs="仿宋"/>
                <w:color w:val="000000"/>
                <w:szCs w:val="24"/>
                <w:highlight w:val="none"/>
              </w:rPr>
            </w:pPr>
          </w:p>
        </w:tc>
        <w:tc>
          <w:tcPr>
            <w:tcW w:w="5752" w:type="dxa"/>
            <w:vAlign w:val="center"/>
          </w:tcPr>
          <w:p w14:paraId="6CB50C5D">
            <w:pPr>
              <w:autoSpaceDE w:val="0"/>
              <w:autoSpaceDN w:val="0"/>
              <w:spacing w:line="360" w:lineRule="auto"/>
              <w:rPr>
                <w:rFonts w:ascii="仿宋" w:hAnsi="仿宋" w:eastAsia="仿宋" w:cs="仿宋"/>
                <w:color w:val="000000"/>
                <w:kern w:val="0"/>
                <w:szCs w:val="24"/>
                <w:highlight w:val="none"/>
                <w:lang w:val="zh-CN"/>
              </w:rPr>
            </w:pPr>
            <w:r>
              <w:rPr>
                <w:rFonts w:hint="eastAsia" w:ascii="仿宋" w:hAnsi="仿宋" w:eastAsia="仿宋" w:cs="仿宋"/>
                <w:color w:val="000000"/>
                <w:kern w:val="0"/>
                <w:szCs w:val="24"/>
                <w:highlight w:val="none"/>
                <w:lang w:val="zh-CN"/>
              </w:rPr>
              <w:t>小写：</w:t>
            </w:r>
          </w:p>
          <w:p w14:paraId="65E0B5FD">
            <w:pPr>
              <w:pStyle w:val="19"/>
              <w:spacing w:after="190"/>
              <w:ind w:firstLine="0" w:firstLineChars="0"/>
              <w:rPr>
                <w:rFonts w:ascii="仿宋" w:hAnsi="仿宋" w:eastAsia="仿宋" w:cs="仿宋"/>
                <w:color w:val="000000"/>
                <w:kern w:val="0"/>
                <w:sz w:val="28"/>
                <w:szCs w:val="24"/>
                <w:highlight w:val="none"/>
                <w:lang w:val="zh-CN"/>
              </w:rPr>
            </w:pPr>
          </w:p>
          <w:p w14:paraId="681B3AEF">
            <w:pPr>
              <w:pStyle w:val="19"/>
              <w:spacing w:after="190"/>
              <w:ind w:firstLine="0" w:firstLineChars="0"/>
              <w:rPr>
                <w:rFonts w:ascii="仿宋" w:hAnsi="仿宋" w:eastAsia="仿宋" w:cs="仿宋"/>
                <w:color w:val="000000"/>
                <w:kern w:val="0"/>
                <w:sz w:val="28"/>
                <w:szCs w:val="24"/>
                <w:highlight w:val="none"/>
                <w:lang w:val="zh-CN"/>
              </w:rPr>
            </w:pPr>
            <w:r>
              <w:rPr>
                <w:rFonts w:hint="eastAsia" w:ascii="仿宋" w:hAnsi="仿宋" w:eastAsia="仿宋" w:cs="仿宋"/>
                <w:color w:val="000000"/>
                <w:kern w:val="0"/>
                <w:sz w:val="28"/>
                <w:szCs w:val="24"/>
                <w:highlight w:val="none"/>
                <w:lang w:val="zh-CN"/>
              </w:rPr>
              <w:t>大写：</w:t>
            </w:r>
          </w:p>
          <w:p w14:paraId="1B8CABB6">
            <w:pPr>
              <w:autoSpaceDE w:val="0"/>
              <w:autoSpaceDN w:val="0"/>
              <w:spacing w:line="360" w:lineRule="auto"/>
              <w:rPr>
                <w:rFonts w:ascii="仿宋" w:hAnsi="仿宋" w:eastAsia="仿宋" w:cs="仿宋"/>
                <w:color w:val="000000"/>
                <w:highlight w:val="none"/>
              </w:rPr>
            </w:pPr>
            <w:r>
              <w:rPr>
                <w:rFonts w:hint="eastAsia" w:ascii="仿宋" w:hAnsi="仿宋" w:eastAsia="仿宋" w:cs="仿宋"/>
                <w:color w:val="000000"/>
                <w:sz w:val="24"/>
                <w:szCs w:val="24"/>
                <w:highlight w:val="none"/>
              </w:rPr>
              <w:t xml:space="preserve">           单位：元（报价最多保留到小数点后两位）</w:t>
            </w:r>
          </w:p>
        </w:tc>
      </w:tr>
    </w:tbl>
    <w:p w14:paraId="52B6AE38">
      <w:pPr>
        <w:widowControl w:val="0"/>
        <w:autoSpaceDE w:val="0"/>
        <w:autoSpaceDN w:val="0"/>
        <w:spacing w:line="240" w:lineRule="auto"/>
        <w:ind w:firstLine="213" w:firstLineChars="100"/>
        <w:rPr>
          <w:rFonts w:ascii="宋体" w:hAnsi="宋体" w:eastAsia="宋体" w:cs="宋体"/>
          <w:color w:val="000000"/>
          <w:sz w:val="21"/>
          <w:szCs w:val="21"/>
          <w:highlight w:val="none"/>
        </w:rPr>
      </w:pPr>
      <w:r>
        <w:rPr>
          <w:rFonts w:hint="eastAsia" w:ascii="宋体" w:hAnsi="宋体" w:eastAsia="宋体" w:cs="宋体"/>
          <w:color w:val="000000"/>
          <w:sz w:val="21"/>
          <w:szCs w:val="21"/>
          <w:highlight w:val="none"/>
        </w:rPr>
        <w:t>备注：“磋商报价”为磋商总价。</w:t>
      </w:r>
      <w:bookmarkStart w:id="987" w:name="_Toc29232"/>
      <w:bookmarkStart w:id="988" w:name="_Toc26334"/>
      <w:bookmarkStart w:id="989" w:name="_Toc29740_WPSOffice_Level2"/>
      <w:bookmarkStart w:id="990" w:name="_Toc8006"/>
      <w:bookmarkStart w:id="991" w:name="_Toc24699_WPSOffice_Level2"/>
      <w:bookmarkStart w:id="992" w:name="_Toc31114"/>
      <w:bookmarkStart w:id="993" w:name="_Toc25597_WPSOffice_Level2"/>
      <w:bookmarkStart w:id="994" w:name="_Toc5592"/>
      <w:r>
        <w:rPr>
          <w:rFonts w:hint="eastAsia" w:ascii="宋体" w:hAnsi="宋体" w:eastAsia="宋体" w:cs="宋体"/>
          <w:color w:val="000000"/>
          <w:sz w:val="21"/>
          <w:szCs w:val="21"/>
          <w:highlight w:val="none"/>
        </w:rPr>
        <w:t>磋商报价必须包括本项目所需全部费用。</w:t>
      </w:r>
    </w:p>
    <w:bookmarkEnd w:id="987"/>
    <w:bookmarkEnd w:id="988"/>
    <w:bookmarkEnd w:id="989"/>
    <w:bookmarkEnd w:id="990"/>
    <w:bookmarkEnd w:id="991"/>
    <w:bookmarkEnd w:id="992"/>
    <w:bookmarkEnd w:id="993"/>
    <w:p w14:paraId="4C0FDC45">
      <w:pPr>
        <w:widowControl w:val="0"/>
        <w:autoSpaceDE w:val="0"/>
        <w:autoSpaceDN w:val="0"/>
        <w:spacing w:before="190" w:beforeLines="50" w:line="500" w:lineRule="exact"/>
        <w:ind w:firstLine="5377" w:firstLineChars="1900"/>
        <w:rPr>
          <w:rFonts w:ascii="华文仿宋" w:hAnsi="华文仿宋" w:cs="华文仿宋"/>
          <w:color w:val="000000"/>
          <w:highlight w:val="none"/>
        </w:rPr>
      </w:pPr>
    </w:p>
    <w:p w14:paraId="78D45232">
      <w:pPr>
        <w:widowControl w:val="0"/>
        <w:autoSpaceDE w:val="0"/>
        <w:autoSpaceDN w:val="0"/>
        <w:spacing w:before="190" w:beforeLines="50" w:line="500" w:lineRule="exact"/>
        <w:ind w:firstLine="5377" w:firstLineChars="1900"/>
        <w:rPr>
          <w:rFonts w:ascii="华文仿宋" w:cs="Times New Roman"/>
          <w:color w:val="000000"/>
          <w:highlight w:val="none"/>
        </w:rPr>
      </w:pPr>
      <w:r>
        <w:rPr>
          <w:rFonts w:hint="eastAsia" w:cs="华文仿宋"/>
          <w:color w:val="000000"/>
          <w:highlight w:val="none"/>
        </w:rPr>
        <w:t>供应商</w:t>
      </w:r>
      <w:r>
        <w:rPr>
          <w:rFonts w:hint="eastAsia" w:ascii="华文仿宋" w:hAnsi="华文仿宋" w:cs="华文仿宋"/>
          <w:color w:val="000000"/>
          <w:highlight w:val="none"/>
        </w:rPr>
        <w:t>：</w:t>
      </w:r>
      <w:r>
        <w:rPr>
          <w:rFonts w:hint="eastAsia" w:ascii="华文仿宋" w:hAnsi="华文仿宋" w:cs="华文仿宋"/>
          <w:color w:val="000000"/>
          <w:highlight w:val="none"/>
          <w:u w:val="single"/>
        </w:rPr>
        <w:t>名称</w:t>
      </w:r>
      <w:r>
        <w:rPr>
          <w:rFonts w:hint="eastAsia" w:ascii="华文仿宋" w:hAnsi="华文仿宋" w:cs="华文仿宋"/>
          <w:color w:val="000000"/>
          <w:highlight w:val="none"/>
        </w:rPr>
        <w:t>（加盖公章）</w:t>
      </w:r>
    </w:p>
    <w:p w14:paraId="74D249CA">
      <w:pPr>
        <w:widowControl w:val="0"/>
        <w:spacing w:line="500" w:lineRule="exact"/>
        <w:ind w:firstLine="5660" w:firstLineChars="2000"/>
        <w:rPr>
          <w:rFonts w:cs="Times New Roman"/>
          <w:color w:val="000000"/>
          <w:highlight w:val="none"/>
        </w:rPr>
      </w:pPr>
      <w:r>
        <w:rPr>
          <w:rFonts w:hint="eastAsia" w:cs="华文仿宋"/>
          <w:color w:val="000000"/>
          <w:highlight w:val="none"/>
        </w:rPr>
        <w:t>日期：　年　月　日</w:t>
      </w:r>
    </w:p>
    <w:p w14:paraId="6A576BAB">
      <w:pPr>
        <w:widowControl w:val="0"/>
        <w:spacing w:after="190" w:afterLines="50" w:line="500" w:lineRule="exact"/>
        <w:jc w:val="center"/>
        <w:rPr>
          <w:rFonts w:ascii="华文仿宋" w:hAnsi="华文仿宋" w:cs="华文仿宋"/>
          <w:b/>
          <w:color w:val="000000"/>
          <w:highlight w:val="none"/>
        </w:rPr>
        <w:sectPr>
          <w:headerReference r:id="rId9" w:type="default"/>
          <w:footerReference r:id="rId10" w:type="default"/>
          <w:pgSz w:w="11906" w:h="16838"/>
          <w:pgMar w:top="1417" w:right="1417" w:bottom="1417" w:left="1417" w:header="850" w:footer="794" w:gutter="0"/>
          <w:pgNumType w:start="1"/>
          <w:cols w:space="720" w:num="1"/>
          <w:docGrid w:type="linesAndChars" w:linePitch="381" w:charSpace="704"/>
        </w:sectPr>
      </w:pPr>
    </w:p>
    <w:p w14:paraId="13149EEA">
      <w:pPr>
        <w:widowControl w:val="0"/>
        <w:spacing w:after="190" w:afterLines="50" w:line="500" w:lineRule="exact"/>
        <w:jc w:val="center"/>
        <w:rPr>
          <w:rFonts w:ascii="仿宋" w:hAnsi="仿宋"/>
          <w:b/>
          <w:bCs/>
          <w:color w:val="000000"/>
          <w:sz w:val="32"/>
          <w:szCs w:val="32"/>
          <w:highlight w:val="none"/>
        </w:rPr>
      </w:pPr>
      <w:r>
        <w:rPr>
          <w:rFonts w:hint="eastAsia" w:ascii="华文仿宋" w:hAnsi="华文仿宋" w:cs="华文仿宋"/>
          <w:b/>
          <w:color w:val="000000"/>
          <w:highlight w:val="none"/>
        </w:rPr>
        <w:t>分项报价表</w:t>
      </w:r>
    </w:p>
    <w:tbl>
      <w:tblPr>
        <w:tblStyle w:val="21"/>
        <w:tblW w:w="8854" w:type="dxa"/>
        <w:jc w:val="center"/>
        <w:tblLayout w:type="fixed"/>
        <w:tblCellMar>
          <w:top w:w="0" w:type="dxa"/>
          <w:left w:w="28" w:type="dxa"/>
          <w:bottom w:w="0" w:type="dxa"/>
          <w:right w:w="28" w:type="dxa"/>
        </w:tblCellMar>
      </w:tblPr>
      <w:tblGrid>
        <w:gridCol w:w="713"/>
        <w:gridCol w:w="1250"/>
        <w:gridCol w:w="1162"/>
        <w:gridCol w:w="1769"/>
        <w:gridCol w:w="1035"/>
        <w:gridCol w:w="825"/>
        <w:gridCol w:w="1334"/>
        <w:gridCol w:w="766"/>
      </w:tblGrid>
      <w:tr w14:paraId="38E8E415">
        <w:tblPrEx>
          <w:tblCellMar>
            <w:top w:w="0" w:type="dxa"/>
            <w:left w:w="28" w:type="dxa"/>
            <w:bottom w:w="0" w:type="dxa"/>
            <w:right w:w="28" w:type="dxa"/>
          </w:tblCellMar>
        </w:tblPrEx>
        <w:trPr>
          <w:trHeight w:val="1274" w:hRule="atLeast"/>
          <w:jc w:val="center"/>
        </w:trPr>
        <w:tc>
          <w:tcPr>
            <w:tcW w:w="713" w:type="dxa"/>
            <w:tcBorders>
              <w:top w:val="single" w:color="000000" w:sz="8" w:space="0"/>
              <w:left w:val="single" w:color="000000" w:sz="8" w:space="0"/>
              <w:bottom w:val="single" w:color="000000" w:sz="6" w:space="0"/>
              <w:right w:val="single" w:color="000000" w:sz="6" w:space="0"/>
            </w:tcBorders>
            <w:vAlign w:val="center"/>
          </w:tcPr>
          <w:p w14:paraId="15DCF2E1">
            <w:pPr>
              <w:widowControl w:val="0"/>
              <w:autoSpaceDE w:val="0"/>
              <w:autoSpaceDN w:val="0"/>
              <w:spacing w:line="240" w:lineRule="auto"/>
              <w:jc w:val="center"/>
              <w:rPr>
                <w:rFonts w:ascii="仿宋" w:hAnsi="仿宋" w:eastAsia="仿宋" w:cs="仿宋"/>
                <w:b/>
                <w:bCs/>
                <w:color w:val="000000"/>
                <w:kern w:val="0"/>
                <w:sz w:val="24"/>
                <w:szCs w:val="24"/>
                <w:highlight w:val="none"/>
                <w:lang w:val="zh-CN"/>
              </w:rPr>
            </w:pPr>
            <w:r>
              <w:rPr>
                <w:rFonts w:hint="eastAsia" w:ascii="仿宋" w:hAnsi="仿宋" w:eastAsia="仿宋" w:cs="仿宋"/>
                <w:b/>
                <w:bCs/>
                <w:color w:val="000000"/>
                <w:kern w:val="0"/>
                <w:sz w:val="24"/>
                <w:szCs w:val="24"/>
                <w:highlight w:val="none"/>
                <w:lang w:val="zh-CN"/>
              </w:rPr>
              <w:t>序号</w:t>
            </w:r>
          </w:p>
        </w:tc>
        <w:tc>
          <w:tcPr>
            <w:tcW w:w="1250" w:type="dxa"/>
            <w:tcBorders>
              <w:top w:val="single" w:color="000000" w:sz="8" w:space="0"/>
              <w:left w:val="single" w:color="000000" w:sz="6" w:space="0"/>
              <w:bottom w:val="single" w:color="000000" w:sz="6" w:space="0"/>
              <w:right w:val="single" w:color="000000" w:sz="6" w:space="0"/>
            </w:tcBorders>
            <w:vAlign w:val="center"/>
          </w:tcPr>
          <w:p w14:paraId="08DD84D9">
            <w:pPr>
              <w:widowControl w:val="0"/>
              <w:autoSpaceDE w:val="0"/>
              <w:autoSpaceDN w:val="0"/>
              <w:spacing w:line="240" w:lineRule="auto"/>
              <w:jc w:val="center"/>
              <w:rPr>
                <w:rFonts w:ascii="仿宋" w:hAnsi="仿宋" w:eastAsia="仿宋" w:cs="仿宋"/>
                <w:b/>
                <w:bCs/>
                <w:color w:val="000000"/>
                <w:kern w:val="0"/>
                <w:sz w:val="24"/>
                <w:szCs w:val="24"/>
                <w:highlight w:val="none"/>
              </w:rPr>
            </w:pPr>
            <w:r>
              <w:rPr>
                <w:rFonts w:hint="eastAsia" w:ascii="仿宋" w:hAnsi="仿宋" w:eastAsia="仿宋" w:cs="仿宋"/>
                <w:b/>
                <w:bCs/>
                <w:color w:val="000000"/>
                <w:kern w:val="0"/>
                <w:sz w:val="24"/>
                <w:szCs w:val="24"/>
                <w:highlight w:val="none"/>
              </w:rPr>
              <w:t>服务名称</w:t>
            </w:r>
          </w:p>
        </w:tc>
        <w:tc>
          <w:tcPr>
            <w:tcW w:w="1162" w:type="dxa"/>
            <w:tcBorders>
              <w:top w:val="single" w:color="000000" w:sz="8" w:space="0"/>
              <w:left w:val="single" w:color="000000" w:sz="6" w:space="0"/>
              <w:bottom w:val="single" w:color="000000" w:sz="6" w:space="0"/>
              <w:right w:val="single" w:color="000000" w:sz="6" w:space="0"/>
            </w:tcBorders>
            <w:vAlign w:val="center"/>
          </w:tcPr>
          <w:p w14:paraId="375EE910">
            <w:pPr>
              <w:pStyle w:val="32"/>
              <w:widowControl w:val="0"/>
              <w:rPr>
                <w:rFonts w:ascii="仿宋" w:hAnsi="仿宋" w:eastAsia="仿宋" w:cs="仿宋"/>
                <w:b w:val="0"/>
                <w:bCs w:val="0"/>
                <w:color w:val="000000"/>
                <w:kern w:val="0"/>
                <w:sz w:val="24"/>
                <w:szCs w:val="24"/>
                <w:highlight w:val="none"/>
              </w:rPr>
            </w:pPr>
            <w:bookmarkStart w:id="995" w:name="_Toc32559"/>
            <w:bookmarkStart w:id="996" w:name="_Toc25212"/>
            <w:bookmarkStart w:id="997" w:name="_Toc5888"/>
            <w:bookmarkStart w:id="998" w:name="_Toc16202"/>
            <w:bookmarkStart w:id="999" w:name="_Toc29462"/>
            <w:bookmarkStart w:id="1000" w:name="_Toc16359"/>
            <w:bookmarkStart w:id="1001" w:name="_Toc30487"/>
            <w:bookmarkStart w:id="1002" w:name="_Toc1747"/>
            <w:bookmarkStart w:id="1003" w:name="_Toc28616"/>
            <w:bookmarkStart w:id="1004" w:name="_Toc3271"/>
            <w:bookmarkStart w:id="1005" w:name="_Toc14584"/>
            <w:bookmarkStart w:id="1006" w:name="_Toc10138"/>
            <w:bookmarkStart w:id="1007" w:name="_Toc2385"/>
            <w:bookmarkStart w:id="1008" w:name="_Toc19165"/>
            <w:bookmarkStart w:id="1009" w:name="_Toc15254"/>
            <w:r>
              <w:rPr>
                <w:rFonts w:hint="eastAsia" w:ascii="仿宋" w:hAnsi="仿宋" w:eastAsia="仿宋" w:cs="仿宋"/>
                <w:bCs w:val="0"/>
                <w:color w:val="000000"/>
                <w:sz w:val="24"/>
                <w:szCs w:val="24"/>
                <w:highlight w:val="none"/>
              </w:rPr>
              <w:t>计量单位</w:t>
            </w:r>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p>
        </w:tc>
        <w:tc>
          <w:tcPr>
            <w:tcW w:w="1769" w:type="dxa"/>
            <w:tcBorders>
              <w:top w:val="single" w:color="000000" w:sz="8" w:space="0"/>
              <w:left w:val="single" w:color="000000" w:sz="6" w:space="0"/>
              <w:bottom w:val="single" w:color="000000" w:sz="6" w:space="0"/>
              <w:right w:val="single" w:color="000000" w:sz="6" w:space="0"/>
            </w:tcBorders>
            <w:vAlign w:val="center"/>
          </w:tcPr>
          <w:p w14:paraId="25A5D1EC">
            <w:pPr>
              <w:pStyle w:val="32"/>
              <w:widowControl w:val="0"/>
              <w:rPr>
                <w:rFonts w:ascii="仿宋" w:hAnsi="仿宋" w:eastAsia="仿宋" w:cs="仿宋"/>
                <w:b w:val="0"/>
                <w:bCs w:val="0"/>
                <w:color w:val="000000"/>
                <w:kern w:val="0"/>
                <w:sz w:val="24"/>
                <w:szCs w:val="24"/>
                <w:highlight w:val="none"/>
                <w:lang w:val="zh-CN"/>
              </w:rPr>
            </w:pPr>
            <w:bookmarkStart w:id="1010" w:name="_Toc30775"/>
            <w:bookmarkStart w:id="1011" w:name="_Toc5340"/>
            <w:bookmarkStart w:id="1012" w:name="_Toc18297"/>
            <w:bookmarkStart w:id="1013" w:name="_Toc32260"/>
            <w:bookmarkStart w:id="1014" w:name="_Toc15906"/>
            <w:bookmarkStart w:id="1015" w:name="_Toc26417"/>
            <w:bookmarkStart w:id="1016" w:name="_Toc23903"/>
            <w:bookmarkStart w:id="1017" w:name="_Toc4371"/>
            <w:bookmarkStart w:id="1018" w:name="_Toc3198"/>
            <w:bookmarkStart w:id="1019" w:name="_Toc1212"/>
            <w:bookmarkStart w:id="1020" w:name="_Toc31626"/>
            <w:bookmarkStart w:id="1021" w:name="_Toc6129"/>
            <w:bookmarkStart w:id="1022" w:name="_Toc8156"/>
            <w:bookmarkStart w:id="1023" w:name="_Toc29236"/>
            <w:bookmarkStart w:id="1024" w:name="_Toc24996"/>
            <w:r>
              <w:rPr>
                <w:rFonts w:hint="eastAsia" w:ascii="仿宋" w:hAnsi="仿宋" w:eastAsia="仿宋" w:cs="仿宋"/>
                <w:bCs w:val="0"/>
                <w:color w:val="000000"/>
                <w:sz w:val="24"/>
                <w:szCs w:val="24"/>
                <w:highlight w:val="none"/>
              </w:rPr>
              <w:t>具体要求说明</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p>
        </w:tc>
        <w:tc>
          <w:tcPr>
            <w:tcW w:w="1035" w:type="dxa"/>
            <w:tcBorders>
              <w:top w:val="single" w:color="000000" w:sz="8" w:space="0"/>
              <w:left w:val="single" w:color="000000" w:sz="6" w:space="0"/>
              <w:bottom w:val="single" w:color="000000" w:sz="6" w:space="0"/>
              <w:right w:val="single" w:color="auto" w:sz="4" w:space="0"/>
            </w:tcBorders>
            <w:vAlign w:val="center"/>
          </w:tcPr>
          <w:p w14:paraId="087A9E65">
            <w:pPr>
              <w:pStyle w:val="32"/>
              <w:widowControl w:val="0"/>
              <w:rPr>
                <w:rFonts w:ascii="仿宋" w:hAnsi="仿宋" w:eastAsia="仿宋" w:cs="仿宋"/>
                <w:b w:val="0"/>
                <w:bCs w:val="0"/>
                <w:color w:val="000000"/>
                <w:kern w:val="0"/>
                <w:sz w:val="24"/>
                <w:szCs w:val="24"/>
                <w:highlight w:val="none"/>
              </w:rPr>
            </w:pPr>
            <w:bookmarkStart w:id="1025" w:name="_Toc4918"/>
            <w:bookmarkStart w:id="1026" w:name="_Toc15529"/>
            <w:bookmarkStart w:id="1027" w:name="_Toc9055"/>
            <w:bookmarkStart w:id="1028" w:name="_Toc28130"/>
            <w:bookmarkStart w:id="1029" w:name="_Toc22256"/>
            <w:bookmarkStart w:id="1030" w:name="_Toc12816"/>
            <w:bookmarkStart w:id="1031" w:name="_Toc8515"/>
            <w:bookmarkStart w:id="1032" w:name="_Toc15513"/>
            <w:bookmarkStart w:id="1033" w:name="_Toc5883"/>
            <w:bookmarkStart w:id="1034" w:name="_Toc704"/>
            <w:bookmarkStart w:id="1035" w:name="_Toc22998"/>
            <w:r>
              <w:rPr>
                <w:rFonts w:hint="eastAsia" w:ascii="仿宋" w:hAnsi="仿宋" w:eastAsia="仿宋" w:cs="仿宋"/>
                <w:bCs w:val="0"/>
                <w:color w:val="000000"/>
                <w:sz w:val="24"/>
                <w:szCs w:val="24"/>
                <w:highlight w:val="none"/>
              </w:rPr>
              <w:t>单价</w:t>
            </w:r>
            <w:bookmarkEnd w:id="1025"/>
            <w:bookmarkEnd w:id="1026"/>
            <w:bookmarkEnd w:id="1027"/>
            <w:bookmarkEnd w:id="1028"/>
            <w:bookmarkEnd w:id="1029"/>
            <w:bookmarkEnd w:id="1030"/>
            <w:bookmarkEnd w:id="1031"/>
            <w:bookmarkEnd w:id="1032"/>
            <w:bookmarkEnd w:id="1033"/>
            <w:bookmarkEnd w:id="1034"/>
            <w:bookmarkEnd w:id="1035"/>
          </w:p>
        </w:tc>
        <w:tc>
          <w:tcPr>
            <w:tcW w:w="825" w:type="dxa"/>
            <w:tcBorders>
              <w:top w:val="single" w:color="000000" w:sz="8" w:space="0"/>
              <w:left w:val="single" w:color="auto" w:sz="4" w:space="0"/>
              <w:bottom w:val="single" w:color="000000" w:sz="6" w:space="0"/>
              <w:right w:val="single" w:color="auto" w:sz="4" w:space="0"/>
            </w:tcBorders>
            <w:vAlign w:val="center"/>
          </w:tcPr>
          <w:p w14:paraId="01CC8B52">
            <w:pPr>
              <w:pStyle w:val="32"/>
              <w:widowControl w:val="0"/>
              <w:rPr>
                <w:rFonts w:ascii="仿宋" w:hAnsi="仿宋" w:eastAsia="仿宋" w:cs="仿宋"/>
                <w:bCs w:val="0"/>
                <w:color w:val="000000"/>
                <w:sz w:val="24"/>
                <w:szCs w:val="24"/>
                <w:highlight w:val="none"/>
              </w:rPr>
            </w:pPr>
            <w:bookmarkStart w:id="1036" w:name="_Toc23072"/>
            <w:bookmarkStart w:id="1037" w:name="_Toc252"/>
            <w:bookmarkStart w:id="1038" w:name="_Toc3275"/>
            <w:bookmarkStart w:id="1039" w:name="_Toc21556"/>
            <w:bookmarkStart w:id="1040" w:name="_Toc19992"/>
            <w:bookmarkStart w:id="1041" w:name="_Toc19824"/>
            <w:bookmarkStart w:id="1042" w:name="_Toc5798"/>
            <w:bookmarkStart w:id="1043" w:name="_Toc26247"/>
            <w:bookmarkStart w:id="1044" w:name="_Toc16991"/>
            <w:bookmarkStart w:id="1045" w:name="_Toc2450"/>
            <w:bookmarkStart w:id="1046" w:name="_Toc26784"/>
            <w:bookmarkStart w:id="1047" w:name="_Toc24317"/>
            <w:bookmarkStart w:id="1048" w:name="_Toc9206"/>
            <w:bookmarkStart w:id="1049" w:name="_Toc18908"/>
            <w:bookmarkStart w:id="1050" w:name="_Toc14670"/>
            <w:r>
              <w:rPr>
                <w:rFonts w:hint="eastAsia" w:ascii="仿宋" w:hAnsi="仿宋" w:eastAsia="仿宋" w:cs="仿宋"/>
                <w:bCs w:val="0"/>
                <w:color w:val="000000"/>
                <w:sz w:val="24"/>
                <w:szCs w:val="24"/>
                <w:highlight w:val="none"/>
              </w:rPr>
              <w:t>数量</w:t>
            </w:r>
            <w:bookmarkEnd w:id="1036"/>
            <w:bookmarkEnd w:id="1037"/>
            <w:bookmarkEnd w:id="1038"/>
            <w:bookmarkEnd w:id="1039"/>
            <w:bookmarkEnd w:id="1040"/>
            <w:bookmarkEnd w:id="1041"/>
            <w:bookmarkEnd w:id="1042"/>
            <w:bookmarkEnd w:id="1043"/>
            <w:bookmarkEnd w:id="1044"/>
            <w:bookmarkEnd w:id="1045"/>
            <w:bookmarkEnd w:id="1046"/>
          </w:p>
        </w:tc>
        <w:tc>
          <w:tcPr>
            <w:tcW w:w="1334" w:type="dxa"/>
            <w:tcBorders>
              <w:top w:val="single" w:color="000000" w:sz="8" w:space="0"/>
              <w:left w:val="single" w:color="auto" w:sz="4" w:space="0"/>
              <w:bottom w:val="single" w:color="000000" w:sz="6" w:space="0"/>
              <w:right w:val="single" w:color="000000" w:sz="6" w:space="0"/>
            </w:tcBorders>
            <w:vAlign w:val="center"/>
          </w:tcPr>
          <w:p w14:paraId="58E819ED">
            <w:pPr>
              <w:pStyle w:val="32"/>
              <w:widowControl w:val="0"/>
              <w:rPr>
                <w:rFonts w:ascii="仿宋" w:hAnsi="仿宋" w:eastAsia="仿宋" w:cs="仿宋"/>
                <w:bCs w:val="0"/>
                <w:color w:val="000000"/>
                <w:sz w:val="24"/>
                <w:szCs w:val="24"/>
                <w:highlight w:val="none"/>
              </w:rPr>
            </w:pPr>
            <w:bookmarkStart w:id="1051" w:name="_Toc12891"/>
            <w:bookmarkStart w:id="1052" w:name="_Toc5649"/>
            <w:bookmarkStart w:id="1053" w:name="_Toc13444"/>
            <w:bookmarkStart w:id="1054" w:name="_Toc9060"/>
            <w:bookmarkStart w:id="1055" w:name="_Toc24793"/>
            <w:bookmarkStart w:id="1056" w:name="_Toc15744"/>
            <w:bookmarkStart w:id="1057" w:name="_Toc10886"/>
            <w:bookmarkStart w:id="1058" w:name="_Toc114"/>
            <w:bookmarkStart w:id="1059" w:name="_Toc18025"/>
            <w:bookmarkStart w:id="1060" w:name="_Toc14933"/>
            <w:bookmarkStart w:id="1061" w:name="_Toc29394"/>
            <w:r>
              <w:rPr>
                <w:rFonts w:hint="eastAsia" w:ascii="仿宋" w:hAnsi="仿宋" w:eastAsia="仿宋" w:cs="仿宋"/>
                <w:bCs w:val="0"/>
                <w:color w:val="000000"/>
                <w:sz w:val="24"/>
                <w:szCs w:val="24"/>
                <w:highlight w:val="none"/>
              </w:rPr>
              <w:t>金额</w:t>
            </w:r>
            <w:bookmarkEnd w:id="1051"/>
            <w:bookmarkEnd w:id="1052"/>
            <w:bookmarkEnd w:id="1053"/>
            <w:bookmarkEnd w:id="1054"/>
            <w:bookmarkEnd w:id="1055"/>
            <w:bookmarkEnd w:id="1056"/>
            <w:bookmarkEnd w:id="1057"/>
            <w:bookmarkEnd w:id="1058"/>
            <w:bookmarkEnd w:id="1059"/>
            <w:bookmarkEnd w:id="1060"/>
            <w:bookmarkEnd w:id="1061"/>
          </w:p>
        </w:tc>
        <w:tc>
          <w:tcPr>
            <w:tcW w:w="766" w:type="dxa"/>
            <w:tcBorders>
              <w:top w:val="single" w:color="000000" w:sz="8" w:space="0"/>
              <w:left w:val="single" w:color="000000" w:sz="6" w:space="0"/>
              <w:bottom w:val="single" w:color="000000" w:sz="6" w:space="0"/>
              <w:right w:val="single" w:color="000000" w:sz="8" w:space="0"/>
            </w:tcBorders>
            <w:vAlign w:val="center"/>
          </w:tcPr>
          <w:p w14:paraId="45F5FA4D">
            <w:pPr>
              <w:pStyle w:val="32"/>
              <w:widowControl w:val="0"/>
              <w:rPr>
                <w:rFonts w:ascii="仿宋" w:hAnsi="仿宋" w:eastAsia="仿宋" w:cs="仿宋"/>
                <w:b w:val="0"/>
                <w:bCs w:val="0"/>
                <w:color w:val="000000"/>
                <w:sz w:val="24"/>
                <w:szCs w:val="24"/>
                <w:highlight w:val="none"/>
              </w:rPr>
            </w:pPr>
            <w:bookmarkStart w:id="1062" w:name="_Toc2004"/>
            <w:bookmarkStart w:id="1063" w:name="_Toc4542"/>
            <w:bookmarkStart w:id="1064" w:name="_Toc30365"/>
            <w:bookmarkStart w:id="1065" w:name="_Toc7161"/>
            <w:bookmarkStart w:id="1066" w:name="_Toc19973"/>
            <w:bookmarkStart w:id="1067" w:name="_Toc10380"/>
            <w:bookmarkStart w:id="1068" w:name="_Toc9668"/>
            <w:bookmarkStart w:id="1069" w:name="_Toc17541"/>
            <w:bookmarkStart w:id="1070" w:name="_Toc18464"/>
            <w:bookmarkStart w:id="1071" w:name="_Toc7041"/>
            <w:bookmarkStart w:id="1072" w:name="_Toc6775"/>
            <w:r>
              <w:rPr>
                <w:rFonts w:hint="eastAsia" w:ascii="仿宋" w:hAnsi="仿宋" w:eastAsia="仿宋" w:cs="仿宋"/>
                <w:bCs w:val="0"/>
                <w:color w:val="000000"/>
                <w:sz w:val="24"/>
                <w:szCs w:val="24"/>
                <w:highlight w:val="none"/>
              </w:rPr>
              <w:t>备注</w:t>
            </w:r>
            <w:bookmarkEnd w:id="1047"/>
            <w:bookmarkEnd w:id="1048"/>
            <w:bookmarkEnd w:id="1049"/>
            <w:bookmarkEnd w:id="1050"/>
            <w:bookmarkEnd w:id="1062"/>
            <w:bookmarkEnd w:id="1063"/>
            <w:bookmarkEnd w:id="1064"/>
            <w:bookmarkEnd w:id="1065"/>
            <w:bookmarkEnd w:id="1066"/>
            <w:bookmarkEnd w:id="1067"/>
            <w:bookmarkEnd w:id="1068"/>
            <w:bookmarkEnd w:id="1069"/>
            <w:bookmarkEnd w:id="1070"/>
            <w:bookmarkEnd w:id="1071"/>
            <w:bookmarkEnd w:id="1072"/>
          </w:p>
        </w:tc>
      </w:tr>
      <w:tr w14:paraId="719A1F08">
        <w:tblPrEx>
          <w:tblCellMar>
            <w:top w:w="0" w:type="dxa"/>
            <w:left w:w="28" w:type="dxa"/>
            <w:bottom w:w="0" w:type="dxa"/>
            <w:right w:w="28" w:type="dxa"/>
          </w:tblCellMar>
        </w:tblPrEx>
        <w:trPr>
          <w:trHeight w:val="375" w:hRule="atLeast"/>
          <w:jc w:val="center"/>
        </w:trPr>
        <w:tc>
          <w:tcPr>
            <w:tcW w:w="713" w:type="dxa"/>
            <w:tcBorders>
              <w:top w:val="single" w:color="000000" w:sz="6" w:space="0"/>
              <w:left w:val="single" w:color="000000" w:sz="8" w:space="0"/>
              <w:bottom w:val="single" w:color="000000" w:sz="6" w:space="0"/>
              <w:right w:val="single" w:color="000000" w:sz="6" w:space="0"/>
            </w:tcBorders>
            <w:vAlign w:val="center"/>
          </w:tcPr>
          <w:p w14:paraId="606995B1">
            <w:pPr>
              <w:autoSpaceDE w:val="0"/>
              <w:autoSpaceDN w:val="0"/>
              <w:spacing w:line="240" w:lineRule="auto"/>
              <w:jc w:val="center"/>
              <w:rPr>
                <w:rFonts w:ascii="仿宋" w:hAnsi="仿宋" w:eastAsia="仿宋" w:cs="仿宋"/>
                <w:color w:val="000000"/>
                <w:kern w:val="0"/>
                <w:sz w:val="24"/>
                <w:szCs w:val="24"/>
                <w:highlight w:val="none"/>
                <w:lang w:val="zh-CN"/>
              </w:rPr>
            </w:pPr>
            <w:r>
              <w:rPr>
                <w:rFonts w:hint="eastAsia" w:ascii="仿宋" w:hAnsi="仿宋" w:eastAsia="仿宋" w:cs="仿宋"/>
                <w:color w:val="000000"/>
                <w:kern w:val="0"/>
                <w:sz w:val="24"/>
                <w:szCs w:val="24"/>
                <w:highlight w:val="none"/>
                <w:lang w:val="zh-CN"/>
              </w:rPr>
              <w:t>1</w:t>
            </w:r>
          </w:p>
        </w:tc>
        <w:tc>
          <w:tcPr>
            <w:tcW w:w="1250" w:type="dxa"/>
            <w:tcBorders>
              <w:top w:val="single" w:color="000000" w:sz="6" w:space="0"/>
              <w:left w:val="single" w:color="000000" w:sz="6" w:space="0"/>
              <w:bottom w:val="single" w:color="000000" w:sz="6" w:space="0"/>
              <w:right w:val="single" w:color="000000" w:sz="6" w:space="0"/>
            </w:tcBorders>
            <w:vAlign w:val="center"/>
          </w:tcPr>
          <w:p w14:paraId="123F1E9A">
            <w:pPr>
              <w:autoSpaceDE w:val="0"/>
              <w:autoSpaceDN w:val="0"/>
              <w:spacing w:line="240" w:lineRule="auto"/>
              <w:jc w:val="center"/>
              <w:rPr>
                <w:rFonts w:ascii="仿宋" w:hAnsi="仿宋" w:eastAsia="仿宋" w:cs="仿宋"/>
                <w:color w:val="000000"/>
                <w:kern w:val="0"/>
                <w:sz w:val="24"/>
                <w:szCs w:val="24"/>
                <w:highlight w:val="none"/>
                <w:lang w:val="zh-CN"/>
              </w:rPr>
            </w:pPr>
          </w:p>
        </w:tc>
        <w:tc>
          <w:tcPr>
            <w:tcW w:w="1162" w:type="dxa"/>
            <w:tcBorders>
              <w:top w:val="single" w:color="000000" w:sz="6" w:space="0"/>
              <w:left w:val="single" w:color="000000" w:sz="6" w:space="0"/>
              <w:bottom w:val="single" w:color="000000" w:sz="6" w:space="0"/>
              <w:right w:val="single" w:color="000000" w:sz="6" w:space="0"/>
            </w:tcBorders>
            <w:vAlign w:val="center"/>
          </w:tcPr>
          <w:p w14:paraId="44DF5956">
            <w:pPr>
              <w:autoSpaceDE w:val="0"/>
              <w:autoSpaceDN w:val="0"/>
              <w:spacing w:line="240" w:lineRule="auto"/>
              <w:jc w:val="center"/>
              <w:rPr>
                <w:rFonts w:ascii="仿宋" w:hAnsi="仿宋" w:eastAsia="仿宋" w:cs="仿宋"/>
                <w:color w:val="000000"/>
                <w:kern w:val="0"/>
                <w:sz w:val="24"/>
                <w:szCs w:val="24"/>
                <w:highlight w:val="none"/>
              </w:rPr>
            </w:pPr>
          </w:p>
        </w:tc>
        <w:tc>
          <w:tcPr>
            <w:tcW w:w="1769" w:type="dxa"/>
            <w:tcBorders>
              <w:top w:val="single" w:color="000000" w:sz="6" w:space="0"/>
              <w:left w:val="single" w:color="000000" w:sz="6" w:space="0"/>
              <w:bottom w:val="single" w:color="000000" w:sz="6" w:space="0"/>
              <w:right w:val="single" w:color="000000" w:sz="6" w:space="0"/>
            </w:tcBorders>
            <w:vAlign w:val="center"/>
          </w:tcPr>
          <w:p w14:paraId="6422EC0E">
            <w:pPr>
              <w:autoSpaceDE w:val="0"/>
              <w:autoSpaceDN w:val="0"/>
              <w:spacing w:line="240" w:lineRule="auto"/>
              <w:jc w:val="center"/>
              <w:rPr>
                <w:rFonts w:ascii="仿宋" w:hAnsi="仿宋" w:eastAsia="仿宋" w:cs="仿宋"/>
                <w:color w:val="000000"/>
                <w:kern w:val="0"/>
                <w:sz w:val="24"/>
                <w:szCs w:val="24"/>
                <w:highlight w:val="none"/>
                <w:lang w:val="zh-CN"/>
              </w:rPr>
            </w:pPr>
          </w:p>
        </w:tc>
        <w:tc>
          <w:tcPr>
            <w:tcW w:w="1035" w:type="dxa"/>
            <w:tcBorders>
              <w:top w:val="single" w:color="000000" w:sz="6" w:space="0"/>
              <w:left w:val="single" w:color="000000" w:sz="6" w:space="0"/>
              <w:bottom w:val="single" w:color="000000" w:sz="6" w:space="0"/>
              <w:right w:val="single" w:color="auto" w:sz="4" w:space="0"/>
            </w:tcBorders>
            <w:vAlign w:val="center"/>
          </w:tcPr>
          <w:p w14:paraId="73F6DCBE">
            <w:pPr>
              <w:autoSpaceDE w:val="0"/>
              <w:autoSpaceDN w:val="0"/>
              <w:spacing w:line="240" w:lineRule="auto"/>
              <w:jc w:val="center"/>
              <w:rPr>
                <w:rFonts w:ascii="仿宋" w:hAnsi="仿宋" w:eastAsia="仿宋" w:cs="仿宋"/>
                <w:color w:val="000000"/>
                <w:kern w:val="0"/>
                <w:sz w:val="24"/>
                <w:szCs w:val="24"/>
                <w:highlight w:val="none"/>
              </w:rPr>
            </w:pPr>
          </w:p>
        </w:tc>
        <w:tc>
          <w:tcPr>
            <w:tcW w:w="825" w:type="dxa"/>
            <w:tcBorders>
              <w:top w:val="single" w:color="000000" w:sz="6" w:space="0"/>
              <w:left w:val="single" w:color="auto" w:sz="4" w:space="0"/>
              <w:bottom w:val="single" w:color="000000" w:sz="6" w:space="0"/>
              <w:right w:val="single" w:color="auto" w:sz="4" w:space="0"/>
            </w:tcBorders>
            <w:vAlign w:val="center"/>
          </w:tcPr>
          <w:p w14:paraId="39F9C533">
            <w:pPr>
              <w:autoSpaceDE w:val="0"/>
              <w:autoSpaceDN w:val="0"/>
              <w:spacing w:line="240" w:lineRule="auto"/>
              <w:jc w:val="center"/>
              <w:rPr>
                <w:rFonts w:ascii="仿宋" w:hAnsi="仿宋" w:eastAsia="仿宋" w:cs="仿宋"/>
                <w:color w:val="000000"/>
                <w:kern w:val="0"/>
                <w:sz w:val="24"/>
                <w:szCs w:val="24"/>
                <w:highlight w:val="none"/>
              </w:rPr>
            </w:pPr>
          </w:p>
        </w:tc>
        <w:tc>
          <w:tcPr>
            <w:tcW w:w="1334" w:type="dxa"/>
            <w:tcBorders>
              <w:top w:val="single" w:color="000000" w:sz="6" w:space="0"/>
              <w:left w:val="single" w:color="auto" w:sz="4" w:space="0"/>
              <w:bottom w:val="single" w:color="000000" w:sz="6" w:space="0"/>
              <w:right w:val="single" w:color="000000" w:sz="6" w:space="0"/>
            </w:tcBorders>
            <w:vAlign w:val="center"/>
          </w:tcPr>
          <w:p w14:paraId="7EF5BDF8">
            <w:pPr>
              <w:autoSpaceDE w:val="0"/>
              <w:autoSpaceDN w:val="0"/>
              <w:spacing w:line="240" w:lineRule="auto"/>
              <w:jc w:val="center"/>
              <w:rPr>
                <w:rFonts w:ascii="仿宋" w:hAnsi="仿宋" w:eastAsia="仿宋" w:cs="仿宋"/>
                <w:color w:val="000000"/>
                <w:kern w:val="0"/>
                <w:sz w:val="24"/>
                <w:szCs w:val="24"/>
                <w:highlight w:val="none"/>
              </w:rPr>
            </w:pPr>
          </w:p>
        </w:tc>
        <w:tc>
          <w:tcPr>
            <w:tcW w:w="766" w:type="dxa"/>
            <w:tcBorders>
              <w:top w:val="single" w:color="000000" w:sz="6" w:space="0"/>
              <w:left w:val="single" w:color="000000" w:sz="6" w:space="0"/>
              <w:bottom w:val="single" w:color="000000" w:sz="6" w:space="0"/>
              <w:right w:val="single" w:color="000000" w:sz="8" w:space="0"/>
            </w:tcBorders>
            <w:vAlign w:val="center"/>
          </w:tcPr>
          <w:p w14:paraId="2929591D">
            <w:pPr>
              <w:autoSpaceDE w:val="0"/>
              <w:autoSpaceDN w:val="0"/>
              <w:spacing w:line="240" w:lineRule="auto"/>
              <w:jc w:val="center"/>
              <w:rPr>
                <w:rFonts w:ascii="仿宋" w:hAnsi="仿宋" w:eastAsia="仿宋" w:cs="仿宋"/>
                <w:color w:val="000000"/>
                <w:kern w:val="0"/>
                <w:sz w:val="24"/>
                <w:szCs w:val="24"/>
                <w:highlight w:val="none"/>
                <w:lang w:val="zh-CN"/>
              </w:rPr>
            </w:pPr>
          </w:p>
        </w:tc>
      </w:tr>
      <w:tr w14:paraId="26AF6D09">
        <w:tblPrEx>
          <w:tblCellMar>
            <w:top w:w="0" w:type="dxa"/>
            <w:left w:w="28" w:type="dxa"/>
            <w:bottom w:w="0" w:type="dxa"/>
            <w:right w:w="28" w:type="dxa"/>
          </w:tblCellMar>
        </w:tblPrEx>
        <w:trPr>
          <w:trHeight w:val="375" w:hRule="atLeast"/>
          <w:jc w:val="center"/>
        </w:trPr>
        <w:tc>
          <w:tcPr>
            <w:tcW w:w="713" w:type="dxa"/>
            <w:tcBorders>
              <w:top w:val="single" w:color="000000" w:sz="6" w:space="0"/>
              <w:left w:val="single" w:color="000000" w:sz="8" w:space="0"/>
              <w:bottom w:val="single" w:color="000000" w:sz="6" w:space="0"/>
              <w:right w:val="single" w:color="000000" w:sz="6" w:space="0"/>
            </w:tcBorders>
            <w:vAlign w:val="center"/>
          </w:tcPr>
          <w:p w14:paraId="28BF4D2B">
            <w:pPr>
              <w:autoSpaceDE w:val="0"/>
              <w:autoSpaceDN w:val="0"/>
              <w:spacing w:line="240" w:lineRule="auto"/>
              <w:jc w:val="center"/>
              <w:rPr>
                <w:rFonts w:ascii="仿宋" w:hAnsi="仿宋" w:eastAsia="仿宋" w:cs="仿宋"/>
                <w:color w:val="000000"/>
                <w:kern w:val="0"/>
                <w:sz w:val="24"/>
                <w:szCs w:val="24"/>
                <w:highlight w:val="none"/>
                <w:lang w:val="zh-CN"/>
              </w:rPr>
            </w:pPr>
            <w:r>
              <w:rPr>
                <w:rFonts w:hint="eastAsia" w:ascii="仿宋" w:hAnsi="仿宋" w:eastAsia="仿宋" w:cs="仿宋"/>
                <w:color w:val="000000"/>
                <w:kern w:val="0"/>
                <w:sz w:val="24"/>
                <w:szCs w:val="24"/>
                <w:highlight w:val="none"/>
                <w:lang w:val="zh-CN"/>
              </w:rPr>
              <w:t>2</w:t>
            </w:r>
          </w:p>
        </w:tc>
        <w:tc>
          <w:tcPr>
            <w:tcW w:w="1250" w:type="dxa"/>
            <w:tcBorders>
              <w:top w:val="single" w:color="000000" w:sz="6" w:space="0"/>
              <w:left w:val="single" w:color="000000" w:sz="6" w:space="0"/>
              <w:bottom w:val="single" w:color="000000" w:sz="6" w:space="0"/>
              <w:right w:val="single" w:color="000000" w:sz="6" w:space="0"/>
            </w:tcBorders>
            <w:vAlign w:val="center"/>
          </w:tcPr>
          <w:p w14:paraId="5E8CE2CA">
            <w:pPr>
              <w:autoSpaceDE w:val="0"/>
              <w:autoSpaceDN w:val="0"/>
              <w:spacing w:line="240" w:lineRule="auto"/>
              <w:jc w:val="center"/>
              <w:rPr>
                <w:rFonts w:ascii="仿宋" w:hAnsi="仿宋" w:eastAsia="仿宋" w:cs="仿宋"/>
                <w:color w:val="000000"/>
                <w:kern w:val="0"/>
                <w:sz w:val="24"/>
                <w:szCs w:val="24"/>
                <w:highlight w:val="none"/>
                <w:lang w:val="zh-CN"/>
              </w:rPr>
            </w:pPr>
          </w:p>
        </w:tc>
        <w:tc>
          <w:tcPr>
            <w:tcW w:w="1162" w:type="dxa"/>
            <w:tcBorders>
              <w:top w:val="single" w:color="000000" w:sz="6" w:space="0"/>
              <w:left w:val="single" w:color="000000" w:sz="6" w:space="0"/>
              <w:bottom w:val="single" w:color="000000" w:sz="6" w:space="0"/>
              <w:right w:val="single" w:color="000000" w:sz="6" w:space="0"/>
            </w:tcBorders>
            <w:vAlign w:val="center"/>
          </w:tcPr>
          <w:p w14:paraId="33EAFF72">
            <w:pPr>
              <w:autoSpaceDE w:val="0"/>
              <w:autoSpaceDN w:val="0"/>
              <w:spacing w:line="240" w:lineRule="auto"/>
              <w:jc w:val="center"/>
              <w:rPr>
                <w:rFonts w:ascii="仿宋" w:hAnsi="仿宋" w:eastAsia="仿宋" w:cs="仿宋"/>
                <w:color w:val="000000"/>
                <w:kern w:val="0"/>
                <w:sz w:val="24"/>
                <w:szCs w:val="24"/>
                <w:highlight w:val="none"/>
              </w:rPr>
            </w:pPr>
          </w:p>
        </w:tc>
        <w:tc>
          <w:tcPr>
            <w:tcW w:w="1769" w:type="dxa"/>
            <w:tcBorders>
              <w:top w:val="single" w:color="000000" w:sz="6" w:space="0"/>
              <w:left w:val="single" w:color="000000" w:sz="6" w:space="0"/>
              <w:bottom w:val="single" w:color="000000" w:sz="6" w:space="0"/>
              <w:right w:val="single" w:color="000000" w:sz="6" w:space="0"/>
            </w:tcBorders>
            <w:vAlign w:val="center"/>
          </w:tcPr>
          <w:p w14:paraId="05060A3F">
            <w:pPr>
              <w:autoSpaceDE w:val="0"/>
              <w:autoSpaceDN w:val="0"/>
              <w:spacing w:line="240" w:lineRule="auto"/>
              <w:jc w:val="center"/>
              <w:rPr>
                <w:rFonts w:ascii="仿宋" w:hAnsi="仿宋" w:eastAsia="仿宋" w:cs="仿宋"/>
                <w:color w:val="000000"/>
                <w:kern w:val="0"/>
                <w:sz w:val="24"/>
                <w:szCs w:val="24"/>
                <w:highlight w:val="none"/>
                <w:lang w:val="zh-CN"/>
              </w:rPr>
            </w:pPr>
          </w:p>
        </w:tc>
        <w:tc>
          <w:tcPr>
            <w:tcW w:w="1035" w:type="dxa"/>
            <w:tcBorders>
              <w:top w:val="single" w:color="000000" w:sz="6" w:space="0"/>
              <w:left w:val="single" w:color="000000" w:sz="6" w:space="0"/>
              <w:bottom w:val="single" w:color="000000" w:sz="6" w:space="0"/>
              <w:right w:val="single" w:color="auto" w:sz="4" w:space="0"/>
            </w:tcBorders>
            <w:vAlign w:val="center"/>
          </w:tcPr>
          <w:p w14:paraId="6B118A5D">
            <w:pPr>
              <w:autoSpaceDE w:val="0"/>
              <w:autoSpaceDN w:val="0"/>
              <w:spacing w:line="240" w:lineRule="auto"/>
              <w:jc w:val="center"/>
              <w:rPr>
                <w:rFonts w:ascii="仿宋" w:hAnsi="仿宋" w:eastAsia="仿宋" w:cs="仿宋"/>
                <w:color w:val="000000"/>
                <w:kern w:val="0"/>
                <w:sz w:val="24"/>
                <w:szCs w:val="24"/>
                <w:highlight w:val="none"/>
              </w:rPr>
            </w:pPr>
          </w:p>
        </w:tc>
        <w:tc>
          <w:tcPr>
            <w:tcW w:w="825" w:type="dxa"/>
            <w:tcBorders>
              <w:top w:val="single" w:color="000000" w:sz="6" w:space="0"/>
              <w:left w:val="single" w:color="auto" w:sz="4" w:space="0"/>
              <w:bottom w:val="single" w:color="000000" w:sz="6" w:space="0"/>
              <w:right w:val="single" w:color="auto" w:sz="4" w:space="0"/>
            </w:tcBorders>
            <w:vAlign w:val="center"/>
          </w:tcPr>
          <w:p w14:paraId="748F9BEE">
            <w:pPr>
              <w:autoSpaceDE w:val="0"/>
              <w:autoSpaceDN w:val="0"/>
              <w:spacing w:line="240" w:lineRule="auto"/>
              <w:jc w:val="center"/>
              <w:rPr>
                <w:rFonts w:ascii="仿宋" w:hAnsi="仿宋" w:eastAsia="仿宋" w:cs="仿宋"/>
                <w:color w:val="000000"/>
                <w:kern w:val="0"/>
                <w:sz w:val="24"/>
                <w:szCs w:val="24"/>
                <w:highlight w:val="none"/>
              </w:rPr>
            </w:pPr>
          </w:p>
        </w:tc>
        <w:tc>
          <w:tcPr>
            <w:tcW w:w="1334" w:type="dxa"/>
            <w:tcBorders>
              <w:top w:val="single" w:color="000000" w:sz="6" w:space="0"/>
              <w:left w:val="single" w:color="auto" w:sz="4" w:space="0"/>
              <w:bottom w:val="single" w:color="000000" w:sz="6" w:space="0"/>
              <w:right w:val="single" w:color="000000" w:sz="6" w:space="0"/>
            </w:tcBorders>
            <w:vAlign w:val="center"/>
          </w:tcPr>
          <w:p w14:paraId="288BE8A2">
            <w:pPr>
              <w:autoSpaceDE w:val="0"/>
              <w:autoSpaceDN w:val="0"/>
              <w:spacing w:line="240" w:lineRule="auto"/>
              <w:jc w:val="center"/>
              <w:rPr>
                <w:rFonts w:ascii="仿宋" w:hAnsi="仿宋" w:eastAsia="仿宋" w:cs="仿宋"/>
                <w:color w:val="000000"/>
                <w:kern w:val="0"/>
                <w:sz w:val="24"/>
                <w:szCs w:val="24"/>
                <w:highlight w:val="none"/>
              </w:rPr>
            </w:pPr>
          </w:p>
        </w:tc>
        <w:tc>
          <w:tcPr>
            <w:tcW w:w="766" w:type="dxa"/>
            <w:tcBorders>
              <w:top w:val="single" w:color="000000" w:sz="6" w:space="0"/>
              <w:left w:val="single" w:color="000000" w:sz="6" w:space="0"/>
              <w:bottom w:val="single" w:color="000000" w:sz="6" w:space="0"/>
              <w:right w:val="single" w:color="000000" w:sz="8" w:space="0"/>
            </w:tcBorders>
            <w:vAlign w:val="center"/>
          </w:tcPr>
          <w:p w14:paraId="5454FBDD">
            <w:pPr>
              <w:autoSpaceDE w:val="0"/>
              <w:autoSpaceDN w:val="0"/>
              <w:spacing w:line="240" w:lineRule="auto"/>
              <w:jc w:val="center"/>
              <w:rPr>
                <w:rFonts w:ascii="仿宋" w:hAnsi="仿宋" w:eastAsia="仿宋" w:cs="仿宋"/>
                <w:color w:val="000000"/>
                <w:kern w:val="0"/>
                <w:sz w:val="24"/>
                <w:szCs w:val="24"/>
                <w:highlight w:val="none"/>
                <w:lang w:val="zh-CN"/>
              </w:rPr>
            </w:pPr>
          </w:p>
        </w:tc>
      </w:tr>
      <w:tr w14:paraId="46CDEB86">
        <w:tblPrEx>
          <w:tblCellMar>
            <w:top w:w="0" w:type="dxa"/>
            <w:left w:w="28" w:type="dxa"/>
            <w:bottom w:w="0" w:type="dxa"/>
            <w:right w:w="28" w:type="dxa"/>
          </w:tblCellMar>
        </w:tblPrEx>
        <w:trPr>
          <w:trHeight w:val="375" w:hRule="atLeast"/>
          <w:jc w:val="center"/>
        </w:trPr>
        <w:tc>
          <w:tcPr>
            <w:tcW w:w="713" w:type="dxa"/>
            <w:tcBorders>
              <w:top w:val="single" w:color="000000" w:sz="6" w:space="0"/>
              <w:left w:val="single" w:color="000000" w:sz="8" w:space="0"/>
              <w:bottom w:val="single" w:color="000000" w:sz="6" w:space="0"/>
              <w:right w:val="single" w:color="000000" w:sz="6" w:space="0"/>
            </w:tcBorders>
            <w:vAlign w:val="center"/>
          </w:tcPr>
          <w:p w14:paraId="77CAF90E">
            <w:pPr>
              <w:autoSpaceDE w:val="0"/>
              <w:autoSpaceDN w:val="0"/>
              <w:spacing w:line="240" w:lineRule="auto"/>
              <w:jc w:val="center"/>
              <w:rPr>
                <w:rFonts w:ascii="仿宋" w:hAnsi="仿宋" w:eastAsia="仿宋" w:cs="仿宋"/>
                <w:color w:val="000000"/>
                <w:kern w:val="0"/>
                <w:sz w:val="24"/>
                <w:szCs w:val="24"/>
                <w:highlight w:val="none"/>
              </w:rPr>
            </w:pPr>
            <w:r>
              <w:rPr>
                <w:rFonts w:hint="eastAsia" w:ascii="仿宋" w:hAnsi="仿宋" w:eastAsia="仿宋" w:cs="仿宋"/>
                <w:color w:val="000000"/>
                <w:kern w:val="0"/>
                <w:sz w:val="21"/>
                <w:szCs w:val="21"/>
                <w:highlight w:val="none"/>
                <w:lang w:val="zh-CN"/>
              </w:rPr>
              <w:t>…</w:t>
            </w:r>
          </w:p>
        </w:tc>
        <w:tc>
          <w:tcPr>
            <w:tcW w:w="1250" w:type="dxa"/>
            <w:tcBorders>
              <w:top w:val="single" w:color="000000" w:sz="6" w:space="0"/>
              <w:left w:val="single" w:color="000000" w:sz="6" w:space="0"/>
              <w:bottom w:val="single" w:color="000000" w:sz="6" w:space="0"/>
              <w:right w:val="single" w:color="000000" w:sz="6" w:space="0"/>
            </w:tcBorders>
            <w:vAlign w:val="center"/>
          </w:tcPr>
          <w:p w14:paraId="53FAF062">
            <w:pPr>
              <w:autoSpaceDE w:val="0"/>
              <w:autoSpaceDN w:val="0"/>
              <w:spacing w:line="240" w:lineRule="auto"/>
              <w:jc w:val="center"/>
              <w:rPr>
                <w:rFonts w:ascii="仿宋" w:hAnsi="仿宋" w:eastAsia="仿宋" w:cs="仿宋"/>
                <w:color w:val="000000"/>
                <w:kern w:val="0"/>
                <w:sz w:val="24"/>
                <w:szCs w:val="24"/>
                <w:highlight w:val="none"/>
                <w:lang w:val="zh-CN"/>
              </w:rPr>
            </w:pPr>
          </w:p>
        </w:tc>
        <w:tc>
          <w:tcPr>
            <w:tcW w:w="1162" w:type="dxa"/>
            <w:tcBorders>
              <w:top w:val="single" w:color="000000" w:sz="6" w:space="0"/>
              <w:left w:val="single" w:color="000000" w:sz="6" w:space="0"/>
              <w:bottom w:val="single" w:color="000000" w:sz="6" w:space="0"/>
              <w:right w:val="single" w:color="000000" w:sz="6" w:space="0"/>
            </w:tcBorders>
            <w:vAlign w:val="center"/>
          </w:tcPr>
          <w:p w14:paraId="5E56D9F4">
            <w:pPr>
              <w:autoSpaceDE w:val="0"/>
              <w:autoSpaceDN w:val="0"/>
              <w:spacing w:line="240" w:lineRule="auto"/>
              <w:jc w:val="center"/>
              <w:rPr>
                <w:rFonts w:ascii="仿宋" w:hAnsi="仿宋" w:eastAsia="仿宋" w:cs="仿宋"/>
                <w:color w:val="000000"/>
                <w:kern w:val="0"/>
                <w:sz w:val="24"/>
                <w:szCs w:val="24"/>
                <w:highlight w:val="none"/>
              </w:rPr>
            </w:pPr>
          </w:p>
        </w:tc>
        <w:tc>
          <w:tcPr>
            <w:tcW w:w="1769" w:type="dxa"/>
            <w:tcBorders>
              <w:top w:val="single" w:color="000000" w:sz="6" w:space="0"/>
              <w:left w:val="single" w:color="000000" w:sz="6" w:space="0"/>
              <w:bottom w:val="single" w:color="000000" w:sz="6" w:space="0"/>
              <w:right w:val="single" w:color="000000" w:sz="6" w:space="0"/>
            </w:tcBorders>
            <w:vAlign w:val="center"/>
          </w:tcPr>
          <w:p w14:paraId="47A38D97">
            <w:pPr>
              <w:autoSpaceDE w:val="0"/>
              <w:autoSpaceDN w:val="0"/>
              <w:spacing w:line="240" w:lineRule="auto"/>
              <w:jc w:val="center"/>
              <w:rPr>
                <w:rFonts w:ascii="仿宋" w:hAnsi="仿宋" w:eastAsia="仿宋" w:cs="仿宋"/>
                <w:color w:val="000000"/>
                <w:kern w:val="0"/>
                <w:sz w:val="24"/>
                <w:szCs w:val="24"/>
                <w:highlight w:val="none"/>
                <w:lang w:val="zh-CN"/>
              </w:rPr>
            </w:pPr>
          </w:p>
        </w:tc>
        <w:tc>
          <w:tcPr>
            <w:tcW w:w="1035" w:type="dxa"/>
            <w:tcBorders>
              <w:top w:val="single" w:color="000000" w:sz="6" w:space="0"/>
              <w:left w:val="single" w:color="000000" w:sz="6" w:space="0"/>
              <w:bottom w:val="single" w:color="000000" w:sz="6" w:space="0"/>
              <w:right w:val="single" w:color="auto" w:sz="4" w:space="0"/>
            </w:tcBorders>
            <w:vAlign w:val="center"/>
          </w:tcPr>
          <w:p w14:paraId="6F27644E">
            <w:pPr>
              <w:autoSpaceDE w:val="0"/>
              <w:autoSpaceDN w:val="0"/>
              <w:spacing w:line="240" w:lineRule="auto"/>
              <w:jc w:val="center"/>
              <w:rPr>
                <w:rFonts w:ascii="仿宋" w:hAnsi="仿宋" w:eastAsia="仿宋" w:cs="仿宋"/>
                <w:color w:val="000000"/>
                <w:kern w:val="0"/>
                <w:sz w:val="24"/>
                <w:szCs w:val="24"/>
                <w:highlight w:val="none"/>
              </w:rPr>
            </w:pPr>
          </w:p>
        </w:tc>
        <w:tc>
          <w:tcPr>
            <w:tcW w:w="825" w:type="dxa"/>
            <w:tcBorders>
              <w:top w:val="single" w:color="000000" w:sz="6" w:space="0"/>
              <w:left w:val="single" w:color="auto" w:sz="4" w:space="0"/>
              <w:bottom w:val="single" w:color="000000" w:sz="6" w:space="0"/>
              <w:right w:val="single" w:color="auto" w:sz="4" w:space="0"/>
            </w:tcBorders>
            <w:vAlign w:val="center"/>
          </w:tcPr>
          <w:p w14:paraId="213AD358">
            <w:pPr>
              <w:autoSpaceDE w:val="0"/>
              <w:autoSpaceDN w:val="0"/>
              <w:spacing w:line="240" w:lineRule="auto"/>
              <w:jc w:val="center"/>
              <w:rPr>
                <w:rFonts w:ascii="仿宋" w:hAnsi="仿宋" w:eastAsia="仿宋" w:cs="仿宋"/>
                <w:color w:val="000000"/>
                <w:kern w:val="0"/>
                <w:sz w:val="24"/>
                <w:szCs w:val="24"/>
                <w:highlight w:val="none"/>
              </w:rPr>
            </w:pPr>
          </w:p>
        </w:tc>
        <w:tc>
          <w:tcPr>
            <w:tcW w:w="1334" w:type="dxa"/>
            <w:tcBorders>
              <w:top w:val="single" w:color="000000" w:sz="6" w:space="0"/>
              <w:left w:val="single" w:color="auto" w:sz="4" w:space="0"/>
              <w:bottom w:val="single" w:color="000000" w:sz="6" w:space="0"/>
              <w:right w:val="single" w:color="000000" w:sz="6" w:space="0"/>
            </w:tcBorders>
            <w:vAlign w:val="center"/>
          </w:tcPr>
          <w:p w14:paraId="582E36ED">
            <w:pPr>
              <w:autoSpaceDE w:val="0"/>
              <w:autoSpaceDN w:val="0"/>
              <w:spacing w:line="240" w:lineRule="auto"/>
              <w:jc w:val="center"/>
              <w:rPr>
                <w:rFonts w:ascii="仿宋" w:hAnsi="仿宋" w:eastAsia="仿宋" w:cs="仿宋"/>
                <w:color w:val="000000"/>
                <w:kern w:val="0"/>
                <w:sz w:val="24"/>
                <w:szCs w:val="24"/>
                <w:highlight w:val="none"/>
              </w:rPr>
            </w:pPr>
          </w:p>
        </w:tc>
        <w:tc>
          <w:tcPr>
            <w:tcW w:w="766" w:type="dxa"/>
            <w:tcBorders>
              <w:top w:val="single" w:color="000000" w:sz="6" w:space="0"/>
              <w:left w:val="single" w:color="000000" w:sz="6" w:space="0"/>
              <w:bottom w:val="single" w:color="000000" w:sz="6" w:space="0"/>
              <w:right w:val="single" w:color="000000" w:sz="8" w:space="0"/>
            </w:tcBorders>
            <w:vAlign w:val="center"/>
          </w:tcPr>
          <w:p w14:paraId="115A19EC">
            <w:pPr>
              <w:autoSpaceDE w:val="0"/>
              <w:autoSpaceDN w:val="0"/>
              <w:spacing w:line="240" w:lineRule="auto"/>
              <w:jc w:val="center"/>
              <w:rPr>
                <w:rFonts w:ascii="仿宋" w:hAnsi="仿宋" w:eastAsia="仿宋" w:cs="仿宋"/>
                <w:color w:val="000000"/>
                <w:kern w:val="0"/>
                <w:sz w:val="24"/>
                <w:szCs w:val="24"/>
                <w:highlight w:val="none"/>
                <w:lang w:val="zh-CN"/>
              </w:rPr>
            </w:pPr>
          </w:p>
        </w:tc>
      </w:tr>
      <w:tr w14:paraId="49698515">
        <w:tblPrEx>
          <w:tblCellMar>
            <w:top w:w="0" w:type="dxa"/>
            <w:left w:w="28" w:type="dxa"/>
            <w:bottom w:w="0" w:type="dxa"/>
            <w:right w:w="28" w:type="dxa"/>
          </w:tblCellMar>
        </w:tblPrEx>
        <w:trPr>
          <w:trHeight w:val="801" w:hRule="atLeast"/>
          <w:jc w:val="center"/>
        </w:trPr>
        <w:tc>
          <w:tcPr>
            <w:tcW w:w="8854" w:type="dxa"/>
            <w:gridSpan w:val="8"/>
            <w:tcBorders>
              <w:top w:val="single" w:color="000000" w:sz="6" w:space="0"/>
              <w:left w:val="single" w:color="000000" w:sz="8" w:space="0"/>
              <w:bottom w:val="single" w:color="000000" w:sz="6" w:space="0"/>
              <w:right w:val="single" w:color="000000" w:sz="8" w:space="0"/>
            </w:tcBorders>
            <w:vAlign w:val="center"/>
          </w:tcPr>
          <w:p w14:paraId="1CE28401">
            <w:pPr>
              <w:autoSpaceDE w:val="0"/>
              <w:autoSpaceDN w:val="0"/>
              <w:spacing w:line="240" w:lineRule="auto"/>
              <w:jc w:val="left"/>
              <w:rPr>
                <w:rFonts w:ascii="仿宋" w:hAnsi="仿宋" w:eastAsia="仿宋" w:cs="仿宋"/>
                <w:color w:val="000000"/>
                <w:kern w:val="0"/>
                <w:sz w:val="24"/>
                <w:szCs w:val="24"/>
                <w:highlight w:val="none"/>
              </w:rPr>
            </w:pPr>
            <w:r>
              <w:rPr>
                <w:rFonts w:hint="eastAsia" w:ascii="仿宋" w:hAnsi="仿宋" w:eastAsia="仿宋" w:cs="仿宋"/>
                <w:b/>
                <w:bCs/>
                <w:color w:val="000000"/>
                <w:kern w:val="0"/>
                <w:sz w:val="24"/>
                <w:szCs w:val="24"/>
                <w:highlight w:val="none"/>
              </w:rPr>
              <w:t>合计（元）：</w:t>
            </w:r>
          </w:p>
        </w:tc>
      </w:tr>
      <w:tr w14:paraId="47A0916B">
        <w:tblPrEx>
          <w:tblCellMar>
            <w:top w:w="0" w:type="dxa"/>
            <w:left w:w="28" w:type="dxa"/>
            <w:bottom w:w="0" w:type="dxa"/>
            <w:right w:w="28" w:type="dxa"/>
          </w:tblCellMar>
        </w:tblPrEx>
        <w:trPr>
          <w:trHeight w:val="1570" w:hRule="atLeast"/>
          <w:jc w:val="center"/>
        </w:trPr>
        <w:tc>
          <w:tcPr>
            <w:tcW w:w="1963" w:type="dxa"/>
            <w:gridSpan w:val="2"/>
            <w:tcBorders>
              <w:top w:val="single" w:color="000000" w:sz="6" w:space="0"/>
              <w:left w:val="single" w:color="000000" w:sz="8" w:space="0"/>
              <w:bottom w:val="single" w:color="000000" w:sz="6" w:space="0"/>
              <w:right w:val="single" w:color="000000" w:sz="6" w:space="0"/>
            </w:tcBorders>
            <w:vAlign w:val="center"/>
          </w:tcPr>
          <w:p w14:paraId="395E168F">
            <w:pPr>
              <w:autoSpaceDE w:val="0"/>
              <w:autoSpaceDN w:val="0"/>
              <w:spacing w:line="240" w:lineRule="auto"/>
              <w:jc w:val="center"/>
              <w:rPr>
                <w:rFonts w:ascii="仿宋" w:hAnsi="仿宋" w:eastAsia="仿宋" w:cs="仿宋"/>
                <w:color w:val="000000"/>
                <w:kern w:val="0"/>
                <w:sz w:val="24"/>
                <w:szCs w:val="24"/>
                <w:highlight w:val="none"/>
                <w:lang w:val="zh-CN"/>
              </w:rPr>
            </w:pPr>
            <w:r>
              <w:rPr>
                <w:rFonts w:hint="eastAsia" w:ascii="仿宋" w:hAnsi="仿宋" w:eastAsia="仿宋" w:cs="仿宋"/>
                <w:color w:val="000000"/>
                <w:kern w:val="0"/>
                <w:sz w:val="24"/>
                <w:szCs w:val="24"/>
                <w:highlight w:val="none"/>
                <w:lang w:val="zh-CN"/>
              </w:rPr>
              <w:t>磋商报价</w:t>
            </w:r>
          </w:p>
        </w:tc>
        <w:tc>
          <w:tcPr>
            <w:tcW w:w="6891" w:type="dxa"/>
            <w:gridSpan w:val="6"/>
            <w:tcBorders>
              <w:top w:val="single" w:color="000000" w:sz="6" w:space="0"/>
              <w:left w:val="single" w:color="000000" w:sz="6" w:space="0"/>
              <w:bottom w:val="single" w:color="000000" w:sz="6" w:space="0"/>
              <w:right w:val="single" w:color="000000" w:sz="8" w:space="0"/>
            </w:tcBorders>
            <w:vAlign w:val="center"/>
          </w:tcPr>
          <w:p w14:paraId="755E270D">
            <w:pPr>
              <w:autoSpaceDE w:val="0"/>
              <w:autoSpaceDN w:val="0"/>
              <w:spacing w:before="190" w:beforeLines="50" w:line="240" w:lineRule="auto"/>
              <w:rPr>
                <w:rFonts w:ascii="仿宋" w:hAnsi="仿宋" w:eastAsia="仿宋" w:cs="仿宋"/>
                <w:color w:val="000000"/>
                <w:kern w:val="0"/>
                <w:sz w:val="24"/>
                <w:szCs w:val="24"/>
                <w:highlight w:val="none"/>
                <w:lang w:val="zh-CN"/>
              </w:rPr>
            </w:pPr>
            <w:r>
              <w:rPr>
                <w:rFonts w:hint="eastAsia" w:ascii="仿宋" w:hAnsi="仿宋" w:eastAsia="仿宋" w:cs="仿宋"/>
                <w:color w:val="000000"/>
                <w:kern w:val="0"/>
                <w:sz w:val="24"/>
                <w:szCs w:val="24"/>
                <w:highlight w:val="none"/>
                <w:lang w:val="zh-CN"/>
              </w:rPr>
              <w:t>小写：</w:t>
            </w:r>
          </w:p>
          <w:p w14:paraId="41E079E8">
            <w:pPr>
              <w:autoSpaceDE w:val="0"/>
              <w:autoSpaceDN w:val="0"/>
              <w:spacing w:line="240" w:lineRule="auto"/>
              <w:jc w:val="right"/>
              <w:rPr>
                <w:rFonts w:ascii="仿宋" w:hAnsi="仿宋" w:eastAsia="仿宋" w:cs="仿宋"/>
                <w:color w:val="000000"/>
                <w:kern w:val="0"/>
                <w:sz w:val="24"/>
                <w:szCs w:val="24"/>
                <w:highlight w:val="none"/>
              </w:rPr>
            </w:pPr>
            <w:r>
              <w:rPr>
                <w:rFonts w:hint="eastAsia" w:ascii="仿宋" w:hAnsi="仿宋" w:eastAsia="仿宋" w:cs="仿宋"/>
                <w:color w:val="000000"/>
                <w:sz w:val="24"/>
                <w:szCs w:val="24"/>
                <w:highlight w:val="none"/>
              </w:rPr>
              <w:t>单位：元（报价最多保留到小数点后两位）</w:t>
            </w:r>
          </w:p>
        </w:tc>
      </w:tr>
    </w:tbl>
    <w:p w14:paraId="26E2F9A2">
      <w:pPr>
        <w:tabs>
          <w:tab w:val="right" w:pos="9072"/>
        </w:tabs>
        <w:ind w:firstLine="426" w:firstLineChars="200"/>
        <w:rPr>
          <w:rFonts w:ascii="宋体" w:hAnsi="宋体" w:eastAsia="宋体" w:cs="Times New Roman"/>
          <w:color w:val="000000"/>
          <w:sz w:val="21"/>
          <w:szCs w:val="21"/>
          <w:highlight w:val="none"/>
        </w:rPr>
      </w:pPr>
      <w:r>
        <w:rPr>
          <w:rFonts w:hint="eastAsia" w:ascii="宋体" w:hAnsi="宋体" w:eastAsia="宋体" w:cs="宋体"/>
          <w:color w:val="000000"/>
          <w:sz w:val="21"/>
          <w:szCs w:val="21"/>
          <w:highlight w:val="none"/>
        </w:rPr>
        <w:t>备注：</w:t>
      </w:r>
      <w:r>
        <w:rPr>
          <w:rFonts w:ascii="宋体" w:hAnsi="宋体" w:eastAsia="宋体" w:cs="宋体"/>
          <w:color w:val="000000"/>
          <w:sz w:val="21"/>
          <w:szCs w:val="21"/>
          <w:highlight w:val="none"/>
        </w:rPr>
        <w:t>1</w:t>
      </w:r>
      <w:r>
        <w:rPr>
          <w:rFonts w:hint="eastAsia" w:ascii="宋体" w:hAnsi="宋体" w:eastAsia="宋体" w:cs="宋体"/>
          <w:color w:val="000000"/>
          <w:sz w:val="21"/>
          <w:szCs w:val="21"/>
          <w:highlight w:val="none"/>
        </w:rPr>
        <w:t>、本表“磋商报价”金额应与“第一次磋商报价表”中的“磋商报价”一致；</w:t>
      </w:r>
    </w:p>
    <w:p w14:paraId="03ECD334">
      <w:pPr>
        <w:tabs>
          <w:tab w:val="right" w:pos="9072"/>
        </w:tabs>
        <w:spacing w:line="360" w:lineRule="exact"/>
        <w:ind w:firstLine="1065" w:firstLineChars="500"/>
        <w:rPr>
          <w:rFonts w:ascii="宋体" w:hAnsi="宋体" w:eastAsia="宋体" w:cs="宋体"/>
          <w:b/>
          <w:bCs/>
          <w:color w:val="000000"/>
          <w:sz w:val="21"/>
          <w:szCs w:val="21"/>
          <w:highlight w:val="none"/>
        </w:rPr>
      </w:pPr>
      <w:r>
        <w:rPr>
          <w:rFonts w:ascii="宋体" w:hAnsi="宋体" w:eastAsia="宋体" w:cs="宋体"/>
          <w:color w:val="000000"/>
          <w:sz w:val="21"/>
          <w:szCs w:val="21"/>
          <w:highlight w:val="none"/>
        </w:rPr>
        <w:t>2</w:t>
      </w:r>
      <w:r>
        <w:rPr>
          <w:rFonts w:hint="eastAsia" w:ascii="宋体" w:hAnsi="宋体" w:eastAsia="宋体" w:cs="宋体"/>
          <w:color w:val="000000"/>
          <w:sz w:val="21"/>
          <w:szCs w:val="21"/>
          <w:highlight w:val="none"/>
        </w:rPr>
        <w:t>、本表为样表，仅供参考，供应商根据项目实际需求进行填写。</w:t>
      </w:r>
    </w:p>
    <w:p w14:paraId="48C5AF00">
      <w:pPr>
        <w:pStyle w:val="11"/>
        <w:ind w:right="34"/>
        <w:rPr>
          <w:color w:val="000000"/>
          <w:highlight w:val="none"/>
        </w:rPr>
      </w:pPr>
    </w:p>
    <w:p w14:paraId="2FD3CBAD">
      <w:pPr>
        <w:widowControl w:val="0"/>
        <w:tabs>
          <w:tab w:val="right" w:pos="9072"/>
        </w:tabs>
        <w:ind w:firstLine="1981" w:firstLineChars="700"/>
        <w:rPr>
          <w:rFonts w:eastAsia="宋体"/>
          <w:color w:val="000000"/>
          <w:highlight w:val="none"/>
        </w:rPr>
      </w:pPr>
    </w:p>
    <w:p w14:paraId="133E493A">
      <w:pPr>
        <w:widowControl w:val="0"/>
        <w:spacing w:line="500" w:lineRule="exact"/>
        <w:ind w:firstLine="4811" w:firstLineChars="1700"/>
        <w:jc w:val="right"/>
        <w:rPr>
          <w:rFonts w:ascii="仿宋" w:hAnsi="仿宋" w:eastAsia="仿宋" w:cs="仿宋"/>
          <w:color w:val="000000"/>
          <w:highlight w:val="none"/>
        </w:rPr>
      </w:pPr>
      <w:r>
        <w:rPr>
          <w:rFonts w:hint="eastAsia" w:ascii="仿宋" w:hAnsi="仿宋" w:eastAsia="仿宋" w:cs="仿宋"/>
          <w:color w:val="000000"/>
          <w:highlight w:val="none"/>
        </w:rPr>
        <w:t>供应商：</w:t>
      </w:r>
      <w:r>
        <w:rPr>
          <w:rFonts w:hint="eastAsia" w:ascii="仿宋" w:hAnsi="仿宋" w:eastAsia="仿宋" w:cs="仿宋"/>
          <w:color w:val="000000"/>
          <w:highlight w:val="none"/>
          <w:u w:val="single"/>
        </w:rPr>
        <w:t>名称</w:t>
      </w:r>
      <w:r>
        <w:rPr>
          <w:rFonts w:hint="eastAsia" w:ascii="仿宋" w:hAnsi="仿宋" w:eastAsia="仿宋" w:cs="仿宋"/>
          <w:color w:val="000000"/>
          <w:highlight w:val="none"/>
        </w:rPr>
        <w:t>（加盖公章）</w:t>
      </w:r>
    </w:p>
    <w:p w14:paraId="55797DD4">
      <w:pPr>
        <w:pStyle w:val="8"/>
        <w:widowControl w:val="0"/>
        <w:spacing w:after="190"/>
        <w:ind w:firstLine="5660" w:firstLineChars="2000"/>
        <w:rPr>
          <w:rFonts w:cs="Times New Roman"/>
          <w:highlight w:val="none"/>
        </w:rPr>
        <w:sectPr>
          <w:pgSz w:w="11906" w:h="16838"/>
          <w:pgMar w:top="1304" w:right="1417" w:bottom="1304" w:left="1417" w:header="850" w:footer="992" w:gutter="0"/>
          <w:cols w:space="720" w:num="1"/>
          <w:docGrid w:type="linesAndChars" w:linePitch="381" w:charSpace="704"/>
        </w:sectPr>
      </w:pPr>
      <w:r>
        <w:rPr>
          <w:rFonts w:hint="eastAsia" w:ascii="仿宋" w:hAnsi="仿宋" w:eastAsia="仿宋" w:cs="仿宋"/>
          <w:sz w:val="28"/>
          <w:szCs w:val="28"/>
          <w:highlight w:val="none"/>
        </w:rPr>
        <w:t>日期：　　年　月　日</w:t>
      </w:r>
    </w:p>
    <w:bookmarkEnd w:id="994"/>
    <w:p w14:paraId="581941BE">
      <w:pPr>
        <w:pStyle w:val="32"/>
        <w:widowControl w:val="0"/>
        <w:spacing w:line="500" w:lineRule="exact"/>
        <w:ind w:firstLine="606" w:firstLineChars="200"/>
        <w:jc w:val="left"/>
        <w:rPr>
          <w:rFonts w:ascii="仿宋" w:hAnsi="仿宋" w:eastAsia="仿宋" w:cs="仿宋"/>
          <w:color w:val="000000"/>
          <w:sz w:val="30"/>
          <w:szCs w:val="30"/>
          <w:highlight w:val="none"/>
        </w:rPr>
      </w:pPr>
      <w:bookmarkStart w:id="1073" w:name="_Toc21044"/>
      <w:bookmarkStart w:id="1074" w:name="_Toc10991"/>
      <w:bookmarkStart w:id="1075" w:name="_Toc6005"/>
      <w:bookmarkStart w:id="1076" w:name="_Toc2012"/>
      <w:bookmarkStart w:id="1077" w:name="_Toc25704"/>
      <w:bookmarkStart w:id="1078" w:name="_Toc25825"/>
      <w:bookmarkStart w:id="1079" w:name="_Toc811"/>
      <w:bookmarkStart w:id="1080" w:name="_Toc27481"/>
      <w:bookmarkStart w:id="1081" w:name="_Toc27127"/>
      <w:bookmarkStart w:id="1082" w:name="_Toc30708"/>
      <w:bookmarkStart w:id="1083" w:name="_Toc3051"/>
      <w:bookmarkStart w:id="1084" w:name="_Toc23463"/>
      <w:bookmarkStart w:id="1085" w:name="_Toc15322"/>
      <w:bookmarkStart w:id="1086" w:name="_Toc4946"/>
      <w:bookmarkStart w:id="1087" w:name="_Toc11553"/>
      <w:bookmarkStart w:id="1088" w:name="_Toc24491"/>
      <w:bookmarkStart w:id="1089" w:name="_Toc6006"/>
      <w:bookmarkStart w:id="1090" w:name="_Toc9028"/>
      <w:bookmarkStart w:id="1091" w:name="_Toc32030"/>
      <w:bookmarkStart w:id="1092" w:name="_Toc15442"/>
      <w:bookmarkStart w:id="1093" w:name="_Toc25260"/>
      <w:bookmarkStart w:id="1094" w:name="_Toc21255"/>
      <w:r>
        <w:rPr>
          <w:rFonts w:hint="eastAsia" w:ascii="仿宋" w:hAnsi="仿宋" w:eastAsia="仿宋" w:cs="仿宋"/>
          <w:color w:val="000000"/>
          <w:sz w:val="30"/>
          <w:szCs w:val="30"/>
          <w:highlight w:val="none"/>
        </w:rPr>
        <w:t>三、供应商承诺书</w:t>
      </w:r>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p>
    <w:p w14:paraId="2969CA17">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未签署下列承诺书的，其责任由供应商自行承担。</w:t>
      </w:r>
    </w:p>
    <w:p w14:paraId="17189CDB">
      <w:pPr>
        <w:widowControl w:val="0"/>
        <w:spacing w:line="500" w:lineRule="exact"/>
        <w:ind w:firstLine="566" w:firstLineChars="200"/>
        <w:rPr>
          <w:rFonts w:ascii="仿宋" w:hAnsi="仿宋" w:eastAsia="仿宋" w:cs="仿宋"/>
          <w:b/>
          <w:bCs/>
          <w:color w:val="000000"/>
          <w:highlight w:val="none"/>
        </w:rPr>
      </w:pPr>
      <w:r>
        <w:rPr>
          <w:rFonts w:hint="eastAsia" w:ascii="仿宋" w:hAnsi="仿宋" w:eastAsia="仿宋" w:cs="仿宋"/>
          <w:b/>
          <w:bCs/>
          <w:color w:val="000000"/>
          <w:highlight w:val="none"/>
        </w:rPr>
        <w:t>（一）质量安全责任承诺书</w:t>
      </w:r>
    </w:p>
    <w:p w14:paraId="71F2C5F3">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为保证本采购项目顺利进行，作为供应商，现郑重承诺：</w:t>
      </w:r>
    </w:p>
    <w:p w14:paraId="4D362E24">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1、我方所投产品的生产（包括设计、制造、安装、改造、维修等）、投入使用的材料等均完全符合国家现行质量、安全、环保标准和要求。</w:t>
      </w:r>
    </w:p>
    <w:p w14:paraId="3CE6F79C">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2、我方将严格按照国家现行相关储存、运输、安装调试技术标准及规范、服务标准及规范、施工标准及规范，在规定的时限内，保质、保量完成项目全部内容，并向采购人交付合格产品。</w:t>
      </w:r>
    </w:p>
    <w:p w14:paraId="33CA27A0">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3、对于因产品生产质量以及储存、运输、安装调试、服务、施工等过程中产生的任何安全事故，我方承担全部责任。</w:t>
      </w:r>
    </w:p>
    <w:p w14:paraId="43B5FA96">
      <w:p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4、我方提供的货物、工程、服务等符合现行的国家、行业、地区、企业标准及要求，标准不一致的，以更为严格的为准，我方对提供的货物、工程、服务等的质量、安全、环保等承担全部责任。</w:t>
      </w:r>
    </w:p>
    <w:p w14:paraId="541382CA">
      <w:pPr>
        <w:widowControl w:val="0"/>
        <w:spacing w:line="500" w:lineRule="exact"/>
        <w:rPr>
          <w:rFonts w:cs="Times New Roman"/>
          <w:color w:val="000000"/>
          <w:highlight w:val="none"/>
        </w:rPr>
      </w:pPr>
    </w:p>
    <w:p w14:paraId="664324E7">
      <w:pPr>
        <w:widowControl w:val="0"/>
        <w:spacing w:line="500" w:lineRule="exact"/>
        <w:ind w:firstLine="566" w:firstLineChars="200"/>
        <w:rPr>
          <w:rFonts w:cs="Times New Roman"/>
          <w:color w:val="000000"/>
          <w:highlight w:val="none"/>
        </w:rPr>
      </w:pPr>
    </w:p>
    <w:p w14:paraId="4A7391CE">
      <w:pPr>
        <w:widowControl w:val="0"/>
        <w:spacing w:line="500" w:lineRule="exact"/>
        <w:ind w:firstLine="5094" w:firstLineChars="1800"/>
        <w:rPr>
          <w:rFonts w:cs="Times New Roman"/>
          <w:color w:val="000000"/>
          <w:highlight w:val="none"/>
        </w:rPr>
      </w:pPr>
      <w:r>
        <w:rPr>
          <w:rFonts w:hint="eastAsia" w:cs="华文仿宋"/>
          <w:color w:val="000000"/>
          <w:highlight w:val="none"/>
        </w:rPr>
        <w:t>供应商：</w:t>
      </w:r>
      <w:r>
        <w:rPr>
          <w:rFonts w:hint="eastAsia" w:cs="华文仿宋"/>
          <w:color w:val="000000"/>
          <w:highlight w:val="none"/>
          <w:u w:val="single"/>
        </w:rPr>
        <w:t>名称</w:t>
      </w:r>
      <w:r>
        <w:rPr>
          <w:rFonts w:hint="eastAsia" w:cs="华文仿宋"/>
          <w:color w:val="000000"/>
          <w:highlight w:val="none"/>
        </w:rPr>
        <w:t>（加盖公章）</w:t>
      </w:r>
    </w:p>
    <w:p w14:paraId="4113F2EF">
      <w:pPr>
        <w:widowControl w:val="0"/>
        <w:spacing w:line="500" w:lineRule="exact"/>
        <w:ind w:firstLine="5377" w:firstLineChars="1900"/>
        <w:rPr>
          <w:rFonts w:cs="Times New Roman"/>
          <w:color w:val="000000"/>
          <w:highlight w:val="none"/>
        </w:rPr>
      </w:pPr>
      <w:r>
        <w:rPr>
          <w:rFonts w:hint="eastAsia" w:cs="华文仿宋"/>
          <w:color w:val="000000"/>
          <w:highlight w:val="none"/>
        </w:rPr>
        <w:t>日期：　年　月　日</w:t>
      </w:r>
    </w:p>
    <w:p w14:paraId="5AF647C1">
      <w:pPr>
        <w:widowControl w:val="0"/>
        <w:spacing w:line="500" w:lineRule="exact"/>
        <w:rPr>
          <w:rFonts w:cs="Times New Roman"/>
          <w:color w:val="000000"/>
          <w:highlight w:val="none"/>
        </w:rPr>
      </w:pPr>
    </w:p>
    <w:p w14:paraId="08354E2D">
      <w:pPr>
        <w:widowControl w:val="0"/>
        <w:spacing w:line="500" w:lineRule="exact"/>
        <w:rPr>
          <w:rFonts w:cs="Times New Roman"/>
          <w:color w:val="000000"/>
          <w:highlight w:val="none"/>
        </w:rPr>
      </w:pPr>
    </w:p>
    <w:p w14:paraId="4681C39D">
      <w:pPr>
        <w:widowControl w:val="0"/>
        <w:spacing w:line="500" w:lineRule="exact"/>
        <w:rPr>
          <w:rFonts w:cs="Times New Roman"/>
          <w:color w:val="000000"/>
          <w:highlight w:val="none"/>
        </w:rPr>
      </w:pPr>
    </w:p>
    <w:p w14:paraId="59B654CE">
      <w:pPr>
        <w:widowControl w:val="0"/>
        <w:spacing w:line="500" w:lineRule="exact"/>
        <w:rPr>
          <w:rFonts w:cs="Times New Roman"/>
          <w:color w:val="000000"/>
          <w:highlight w:val="none"/>
        </w:rPr>
      </w:pPr>
    </w:p>
    <w:p w14:paraId="3B97BEDD">
      <w:pPr>
        <w:widowControl w:val="0"/>
        <w:spacing w:line="500" w:lineRule="exact"/>
        <w:rPr>
          <w:rFonts w:cs="Times New Roman"/>
          <w:color w:val="000000"/>
          <w:highlight w:val="none"/>
        </w:rPr>
      </w:pPr>
    </w:p>
    <w:p w14:paraId="4B7792B0">
      <w:pPr>
        <w:pStyle w:val="19"/>
        <w:widowControl w:val="0"/>
        <w:spacing w:after="190"/>
        <w:ind w:firstLine="183"/>
        <w:rPr>
          <w:color w:val="000000"/>
          <w:highlight w:val="none"/>
        </w:rPr>
      </w:pPr>
    </w:p>
    <w:p w14:paraId="4A464F26">
      <w:pPr>
        <w:widowControl w:val="0"/>
        <w:spacing w:line="500" w:lineRule="exact"/>
        <w:rPr>
          <w:rFonts w:cs="Times New Roman"/>
          <w:color w:val="000000"/>
          <w:highlight w:val="none"/>
        </w:rPr>
      </w:pPr>
    </w:p>
    <w:p w14:paraId="24F95775">
      <w:pPr>
        <w:pStyle w:val="19"/>
        <w:widowControl w:val="0"/>
        <w:spacing w:after="190"/>
        <w:ind w:firstLine="183"/>
        <w:rPr>
          <w:color w:val="000000"/>
          <w:highlight w:val="none"/>
        </w:rPr>
      </w:pPr>
    </w:p>
    <w:p w14:paraId="67977061">
      <w:pPr>
        <w:widowControl w:val="0"/>
        <w:spacing w:before="190" w:beforeLines="50" w:line="500" w:lineRule="exact"/>
        <w:ind w:firstLine="566" w:firstLineChars="200"/>
        <w:rPr>
          <w:rFonts w:cs="Times New Roman"/>
          <w:b/>
          <w:bCs/>
          <w:color w:val="000000"/>
          <w:highlight w:val="none"/>
        </w:rPr>
      </w:pPr>
    </w:p>
    <w:p w14:paraId="00CBC95C">
      <w:pPr>
        <w:widowControl w:val="0"/>
        <w:spacing w:before="190" w:beforeLines="50" w:line="500" w:lineRule="exact"/>
        <w:ind w:firstLine="566" w:firstLineChars="200"/>
        <w:rPr>
          <w:rFonts w:ascii="仿宋" w:hAnsi="仿宋" w:eastAsia="仿宋" w:cs="仿宋"/>
          <w:b/>
          <w:bCs/>
          <w:color w:val="000000"/>
          <w:highlight w:val="none"/>
        </w:rPr>
      </w:pPr>
      <w:r>
        <w:rPr>
          <w:rFonts w:hint="eastAsia" w:ascii="仿宋" w:hAnsi="仿宋" w:eastAsia="仿宋" w:cs="仿宋"/>
          <w:b/>
          <w:bCs/>
          <w:color w:val="000000"/>
          <w:highlight w:val="none"/>
        </w:rPr>
        <w:t>（二）拒绝政府采购领域商业贿赂承诺书</w:t>
      </w:r>
    </w:p>
    <w:p w14:paraId="77558B92">
      <w:pPr>
        <w:widowControl w:val="0"/>
        <w:overflowPunct w:val="0"/>
        <w:topLinePunct/>
        <w:spacing w:line="440" w:lineRule="exact"/>
        <w:jc w:val="center"/>
        <w:rPr>
          <w:rFonts w:ascii="仿宋" w:hAnsi="仿宋" w:eastAsia="仿宋" w:cs="仿宋"/>
          <w:color w:val="000000"/>
          <w:highlight w:val="none"/>
        </w:rPr>
      </w:pPr>
      <w:r>
        <w:rPr>
          <w:rFonts w:hint="eastAsia" w:ascii="仿宋" w:hAnsi="仿宋" w:eastAsia="仿宋" w:cs="仿宋"/>
          <w:color w:val="000000"/>
          <w:highlight w:val="none"/>
        </w:rPr>
        <w:t>（执行陕财办采管</w:t>
      </w:r>
      <w:r>
        <w:rPr>
          <w:rFonts w:ascii="仿宋" w:hAnsi="仿宋" w:eastAsia="仿宋" w:cs="仿宋"/>
          <w:color w:val="000000"/>
          <w:highlight w:val="none"/>
        </w:rPr>
        <w:t>[2006]21</w:t>
      </w:r>
      <w:r>
        <w:rPr>
          <w:rFonts w:hint="eastAsia" w:ascii="仿宋" w:hAnsi="仿宋" w:eastAsia="仿宋" w:cs="仿宋"/>
          <w:color w:val="000000"/>
          <w:highlight w:val="none"/>
        </w:rPr>
        <w:t>号文件）</w:t>
      </w:r>
    </w:p>
    <w:p w14:paraId="2BE7733A">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为响应党中央、国务院关于治理政府采购领域商业贿赂行为的号召，我公司在此庄严承诺：</w:t>
      </w:r>
    </w:p>
    <w:p w14:paraId="5E90D465">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1、在参与政府采购活动中遵纪守法、诚信经营、公平竞标。</w:t>
      </w:r>
    </w:p>
    <w:p w14:paraId="6B74B7F3">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2、不向政府采购人、采购代理机构和政府采购评审专家进行任何形式的商业贿赂以谋取交易机会。</w:t>
      </w:r>
    </w:p>
    <w:p w14:paraId="069B17EA">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3、不向政府采购代理机构和采购人提供虚假资质文件或采用虚假应标方式参与政府采购市场竞争并谋取中标、成交。</w:t>
      </w:r>
    </w:p>
    <w:p w14:paraId="61D91602">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4、不采取“围标、陪标”等商业欺诈手段获得政府采购定单。</w:t>
      </w:r>
    </w:p>
    <w:p w14:paraId="7F835D3C">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5、不采取不正当手段诋毁、排挤其他供应商。</w:t>
      </w:r>
    </w:p>
    <w:p w14:paraId="27A8763F">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6、不在提供商品和服务时“偷梁换柱、以次充好”损害采购人的合法权益。</w:t>
      </w:r>
    </w:p>
    <w:p w14:paraId="79E27B75">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7、不与采购人、采购代理机构政府采购评审专家或其它供应商恶意串通，进行质疑和投诉，维护政府采购市场秩序。</w:t>
      </w:r>
    </w:p>
    <w:p w14:paraId="706E3925">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8、尊重和接受政府采购监督管理部门的监督和政府采购代理机构招标采购要求，承担因违约行为给采购人造成的损失。</w:t>
      </w:r>
    </w:p>
    <w:p w14:paraId="2D2FDFA2">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9、不发生其他有悖于政府采购公开、公平、公正和诚信原则的行为。</w:t>
      </w:r>
    </w:p>
    <w:p w14:paraId="5D68838D">
      <w:pPr>
        <w:widowControl w:val="0"/>
        <w:spacing w:line="500" w:lineRule="exact"/>
        <w:rPr>
          <w:rFonts w:ascii="仿宋" w:hAnsi="仿宋" w:eastAsia="仿宋" w:cs="仿宋"/>
          <w:color w:val="000000"/>
          <w:highlight w:val="none"/>
        </w:rPr>
      </w:pPr>
    </w:p>
    <w:p w14:paraId="5E054185">
      <w:pPr>
        <w:widowControl w:val="0"/>
        <w:spacing w:line="500" w:lineRule="exact"/>
        <w:ind w:firstLine="5094" w:firstLineChars="1800"/>
        <w:rPr>
          <w:rFonts w:ascii="仿宋" w:hAnsi="仿宋" w:eastAsia="仿宋" w:cs="仿宋"/>
          <w:color w:val="000000"/>
          <w:highlight w:val="none"/>
        </w:rPr>
      </w:pPr>
      <w:r>
        <w:rPr>
          <w:rFonts w:hint="eastAsia" w:ascii="仿宋" w:hAnsi="仿宋" w:eastAsia="仿宋" w:cs="仿宋"/>
          <w:color w:val="000000"/>
          <w:highlight w:val="none"/>
        </w:rPr>
        <w:t>供应商：</w:t>
      </w:r>
      <w:r>
        <w:rPr>
          <w:rFonts w:hint="eastAsia" w:ascii="仿宋" w:hAnsi="仿宋" w:eastAsia="仿宋" w:cs="仿宋"/>
          <w:color w:val="000000"/>
          <w:highlight w:val="none"/>
          <w:u w:val="single"/>
        </w:rPr>
        <w:t>名称</w:t>
      </w:r>
      <w:r>
        <w:rPr>
          <w:rFonts w:hint="eastAsia" w:ascii="仿宋" w:hAnsi="仿宋" w:eastAsia="仿宋" w:cs="仿宋"/>
          <w:color w:val="000000"/>
          <w:highlight w:val="none"/>
        </w:rPr>
        <w:t>（加盖公章）</w:t>
      </w:r>
    </w:p>
    <w:p w14:paraId="653A3DDB">
      <w:pPr>
        <w:widowControl w:val="0"/>
        <w:spacing w:line="500" w:lineRule="exact"/>
        <w:ind w:firstLine="5377" w:firstLineChars="1900"/>
        <w:rPr>
          <w:rFonts w:ascii="仿宋" w:hAnsi="仿宋" w:eastAsia="仿宋" w:cs="仿宋"/>
          <w:color w:val="000000"/>
          <w:highlight w:val="none"/>
        </w:rPr>
      </w:pPr>
      <w:r>
        <w:rPr>
          <w:rFonts w:hint="eastAsia" w:ascii="仿宋" w:hAnsi="仿宋" w:eastAsia="仿宋" w:cs="仿宋"/>
          <w:color w:val="000000"/>
          <w:highlight w:val="none"/>
        </w:rPr>
        <w:t>日期：　年　月　日</w:t>
      </w:r>
    </w:p>
    <w:p w14:paraId="2DCA4444">
      <w:pPr>
        <w:widowControl w:val="0"/>
        <w:spacing w:line="500" w:lineRule="exact"/>
        <w:ind w:firstLine="566" w:firstLineChars="200"/>
        <w:jc w:val="left"/>
        <w:rPr>
          <w:rFonts w:ascii="华文仿宋" w:hAnsi="华文仿宋" w:eastAsia="仿宋" w:cs="华文仿宋"/>
          <w:b/>
          <w:bCs/>
          <w:color w:val="000000"/>
          <w:sz w:val="32"/>
          <w:szCs w:val="32"/>
          <w:highlight w:val="none"/>
        </w:rPr>
      </w:pPr>
      <w:r>
        <w:rPr>
          <w:rFonts w:cs="Times New Roman"/>
          <w:color w:val="000000"/>
          <w:highlight w:val="none"/>
        </w:rPr>
        <w:br w:type="page"/>
      </w:r>
      <w:r>
        <w:rPr>
          <w:rFonts w:hint="eastAsia" w:ascii="仿宋" w:hAnsi="仿宋" w:eastAsia="仿宋" w:cs="仿宋"/>
          <w:b/>
          <w:bCs/>
          <w:color w:val="000000"/>
          <w:sz w:val="30"/>
          <w:szCs w:val="30"/>
          <w:highlight w:val="none"/>
        </w:rPr>
        <w:t>四、实质性条款响应</w:t>
      </w:r>
    </w:p>
    <w:p w14:paraId="2A6FF456">
      <w:pPr>
        <w:tabs>
          <w:tab w:val="right" w:pos="9070"/>
        </w:tabs>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（一）按照磋商文件第三章“磋商内容及采购要求”中“★”内容要求，如须提供相关承诺函，供应商将承诺函附至此处。</w:t>
      </w:r>
    </w:p>
    <w:p w14:paraId="77FA5819">
      <w:pPr>
        <w:pStyle w:val="8"/>
        <w:spacing w:after="190" w:line="500" w:lineRule="exact"/>
        <w:rPr>
          <w:rFonts w:ascii="仿宋" w:hAnsi="仿宋" w:eastAsia="仿宋" w:cs="仿宋"/>
          <w:highlight w:val="none"/>
        </w:rPr>
      </w:pPr>
    </w:p>
    <w:p w14:paraId="16E5D1CB">
      <w:pPr>
        <w:pStyle w:val="8"/>
        <w:spacing w:after="190"/>
        <w:rPr>
          <w:rFonts w:ascii="仿宋" w:hAnsi="仿宋" w:eastAsia="仿宋" w:cs="仿宋"/>
          <w:highlight w:val="none"/>
        </w:rPr>
      </w:pPr>
    </w:p>
    <w:p w14:paraId="47F2E5FB">
      <w:pPr>
        <w:rPr>
          <w:rFonts w:ascii="仿宋" w:hAnsi="仿宋" w:eastAsia="仿宋" w:cs="仿宋"/>
          <w:color w:val="000000"/>
          <w:highlight w:val="none"/>
        </w:rPr>
      </w:pPr>
    </w:p>
    <w:p w14:paraId="2C49A2F3">
      <w:pPr>
        <w:rPr>
          <w:rFonts w:ascii="仿宋" w:hAnsi="仿宋" w:eastAsia="仿宋" w:cs="仿宋"/>
          <w:color w:val="000000"/>
          <w:highlight w:val="none"/>
        </w:rPr>
      </w:pPr>
    </w:p>
    <w:p w14:paraId="799753A9">
      <w:pPr>
        <w:rPr>
          <w:rFonts w:ascii="仿宋" w:hAnsi="仿宋" w:eastAsia="仿宋" w:cs="仿宋"/>
          <w:color w:val="000000"/>
          <w:highlight w:val="none"/>
        </w:rPr>
      </w:pPr>
    </w:p>
    <w:p w14:paraId="2ACCB76E">
      <w:pPr>
        <w:widowControl w:val="0"/>
        <w:numPr>
          <w:ilvl w:val="0"/>
          <w:numId w:val="4"/>
        </w:numPr>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按照磋商文件第三章“磋商内容及采购要求”中“★”内容要求，如须提供证书复印件等相关证明材料，供应商将证明材料附至此处。</w:t>
      </w:r>
    </w:p>
    <w:p w14:paraId="3BE88082">
      <w:pPr>
        <w:widowControl w:val="0"/>
        <w:spacing w:line="500" w:lineRule="exact"/>
        <w:rPr>
          <w:rFonts w:ascii="宋体" w:hAnsi="宋体" w:eastAsia="宋体" w:cs="宋体"/>
          <w:b/>
          <w:bCs/>
          <w:color w:val="000000"/>
          <w:sz w:val="21"/>
          <w:szCs w:val="21"/>
          <w:highlight w:val="none"/>
        </w:rPr>
      </w:pPr>
    </w:p>
    <w:p w14:paraId="0F96AB4B">
      <w:pPr>
        <w:pStyle w:val="8"/>
        <w:spacing w:after="190"/>
        <w:rPr>
          <w:rFonts w:eastAsia="宋体"/>
          <w:b/>
          <w:bCs/>
          <w:sz w:val="21"/>
          <w:szCs w:val="21"/>
          <w:highlight w:val="none"/>
        </w:rPr>
      </w:pPr>
    </w:p>
    <w:p w14:paraId="19C72EF0">
      <w:pPr>
        <w:rPr>
          <w:color w:val="000000"/>
          <w:highlight w:val="none"/>
        </w:rPr>
      </w:pPr>
    </w:p>
    <w:p w14:paraId="3A1226FF">
      <w:pPr>
        <w:ind w:firstLine="426" w:firstLineChars="200"/>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备注：</w:t>
      </w:r>
    </w:p>
    <w:p w14:paraId="04801C8A">
      <w:pPr>
        <w:widowControl w:val="0"/>
        <w:ind w:firstLine="426" w:firstLineChars="200"/>
        <w:jc w:val="left"/>
        <w:rPr>
          <w:rFonts w:ascii="宋体" w:hAnsi="宋体" w:eastAsia="宋体" w:cs="宋体"/>
          <w:bCs/>
          <w:color w:val="000000"/>
          <w:sz w:val="21"/>
          <w:szCs w:val="21"/>
          <w:highlight w:val="none"/>
        </w:rPr>
      </w:pPr>
      <w:r>
        <w:rPr>
          <w:rFonts w:hint="eastAsia" w:eastAsia="宋体" w:cs="宋体"/>
          <w:bCs/>
          <w:color w:val="000000"/>
          <w:sz w:val="21"/>
          <w:szCs w:val="21"/>
          <w:highlight w:val="none"/>
        </w:rPr>
        <w:t>1、供应商</w:t>
      </w:r>
      <w:r>
        <w:rPr>
          <w:rFonts w:hint="eastAsia" w:ascii="宋体" w:hAnsi="宋体" w:eastAsia="宋体" w:cs="宋体"/>
          <w:bCs/>
          <w:color w:val="000000"/>
          <w:sz w:val="21"/>
          <w:szCs w:val="21"/>
          <w:highlight w:val="none"/>
        </w:rPr>
        <w:t>填写须以第</w:t>
      </w:r>
      <w:r>
        <w:rPr>
          <w:rFonts w:hint="eastAsia" w:eastAsia="宋体" w:cs="宋体"/>
          <w:bCs/>
          <w:color w:val="000000"/>
          <w:sz w:val="21"/>
          <w:szCs w:val="21"/>
          <w:highlight w:val="none"/>
        </w:rPr>
        <w:t>三</w:t>
      </w:r>
      <w:r>
        <w:rPr>
          <w:rFonts w:hint="eastAsia" w:ascii="宋体" w:hAnsi="宋体" w:eastAsia="宋体" w:cs="宋体"/>
          <w:bCs/>
          <w:color w:val="000000"/>
          <w:sz w:val="21"/>
          <w:szCs w:val="21"/>
          <w:highlight w:val="none"/>
        </w:rPr>
        <w:t>章“</w:t>
      </w:r>
      <w:r>
        <w:rPr>
          <w:rFonts w:hint="eastAsia" w:eastAsia="宋体" w:cs="宋体"/>
          <w:bCs/>
          <w:color w:val="000000"/>
          <w:sz w:val="21"/>
          <w:szCs w:val="21"/>
          <w:highlight w:val="none"/>
        </w:rPr>
        <w:t>磋商</w:t>
      </w:r>
      <w:r>
        <w:rPr>
          <w:rFonts w:hint="eastAsia" w:ascii="宋体" w:hAnsi="宋体" w:eastAsia="宋体" w:cs="宋体"/>
          <w:bCs/>
          <w:color w:val="000000"/>
          <w:sz w:val="21"/>
          <w:szCs w:val="21"/>
          <w:highlight w:val="none"/>
        </w:rPr>
        <w:t>内容及</w:t>
      </w:r>
      <w:r>
        <w:rPr>
          <w:rFonts w:hint="eastAsia" w:eastAsia="宋体" w:cs="宋体"/>
          <w:bCs/>
          <w:color w:val="000000"/>
          <w:sz w:val="21"/>
          <w:szCs w:val="21"/>
          <w:highlight w:val="none"/>
        </w:rPr>
        <w:t>采购</w:t>
      </w:r>
      <w:r>
        <w:rPr>
          <w:rFonts w:hint="eastAsia" w:ascii="宋体" w:hAnsi="宋体" w:eastAsia="宋体" w:cs="宋体"/>
          <w:bCs/>
          <w:color w:val="000000"/>
          <w:sz w:val="21"/>
          <w:szCs w:val="21"/>
          <w:highlight w:val="none"/>
        </w:rPr>
        <w:t>要求”中“★”内容项为基本响应要求，须逐条响应，未逐条响应、有缺漏将视为无效</w:t>
      </w:r>
      <w:r>
        <w:rPr>
          <w:rFonts w:hint="eastAsia" w:eastAsia="宋体" w:cs="宋体"/>
          <w:bCs/>
          <w:color w:val="000000"/>
          <w:sz w:val="21"/>
          <w:szCs w:val="21"/>
          <w:highlight w:val="none"/>
        </w:rPr>
        <w:t>响应</w:t>
      </w:r>
      <w:r>
        <w:rPr>
          <w:rFonts w:hint="eastAsia" w:ascii="宋体" w:hAnsi="宋体" w:eastAsia="宋体" w:cs="宋体"/>
          <w:bCs/>
          <w:color w:val="000000"/>
          <w:sz w:val="21"/>
          <w:szCs w:val="21"/>
          <w:highlight w:val="none"/>
        </w:rPr>
        <w:t>。</w:t>
      </w:r>
    </w:p>
    <w:p w14:paraId="4E287C12">
      <w:pPr>
        <w:widowControl w:val="0"/>
        <w:ind w:firstLine="426" w:firstLineChars="200"/>
        <w:jc w:val="left"/>
        <w:rPr>
          <w:rFonts w:ascii="宋体" w:hAnsi="宋体" w:eastAsia="宋体" w:cs="宋体"/>
          <w:bCs/>
          <w:color w:val="000000"/>
          <w:sz w:val="21"/>
          <w:szCs w:val="21"/>
          <w:highlight w:val="none"/>
        </w:rPr>
      </w:pPr>
      <w:r>
        <w:rPr>
          <w:rFonts w:hint="eastAsia" w:ascii="宋体" w:hAnsi="宋体" w:eastAsia="宋体" w:cs="宋体"/>
          <w:bCs/>
          <w:color w:val="000000"/>
          <w:sz w:val="21"/>
          <w:szCs w:val="21"/>
          <w:highlight w:val="none"/>
        </w:rPr>
        <w:t>2、承诺函、证书复印件等相关证明材料均须加盖供应商公章。</w:t>
      </w:r>
      <w:r>
        <w:rPr>
          <w:rFonts w:hint="eastAsia" w:ascii="宋体" w:hAnsi="宋体" w:eastAsia="宋体" w:cs="宋体"/>
          <w:bCs/>
          <w:color w:val="000000"/>
          <w:sz w:val="21"/>
          <w:szCs w:val="21"/>
          <w:highlight w:val="none"/>
        </w:rPr>
        <w:tab/>
      </w:r>
    </w:p>
    <w:p w14:paraId="36F89589">
      <w:pPr>
        <w:widowControl w:val="0"/>
        <w:spacing w:line="500" w:lineRule="exact"/>
        <w:ind w:firstLine="566" w:firstLineChars="200"/>
        <w:rPr>
          <w:rFonts w:ascii="华文仿宋" w:hAnsi="华文仿宋" w:cs="华文仿宋"/>
          <w:color w:val="000000"/>
          <w:highlight w:val="none"/>
        </w:rPr>
      </w:pPr>
    </w:p>
    <w:p w14:paraId="3380EB7E">
      <w:pPr>
        <w:widowControl w:val="0"/>
        <w:spacing w:line="500" w:lineRule="exact"/>
        <w:rPr>
          <w:rFonts w:ascii="仿宋" w:hAnsi="仿宋" w:eastAsia="仿宋" w:cs="仿宋"/>
          <w:b/>
          <w:bCs/>
          <w:color w:val="000000"/>
          <w:sz w:val="30"/>
          <w:szCs w:val="30"/>
          <w:highlight w:val="none"/>
        </w:rPr>
      </w:pPr>
      <w:r>
        <w:rPr>
          <w:rFonts w:hint="eastAsia" w:ascii="宋体" w:hAnsi="宋体" w:eastAsia="宋体" w:cs="宋体"/>
          <w:b/>
          <w:bCs/>
          <w:color w:val="000000"/>
          <w:sz w:val="21"/>
          <w:szCs w:val="21"/>
          <w:highlight w:val="none"/>
        </w:rPr>
        <w:br w:type="page"/>
      </w:r>
      <w:r>
        <w:rPr>
          <w:rFonts w:hint="eastAsia" w:ascii="宋体" w:hAnsi="宋体" w:eastAsia="宋体" w:cs="宋体"/>
          <w:b/>
          <w:bCs/>
          <w:color w:val="000000"/>
          <w:sz w:val="21"/>
          <w:szCs w:val="21"/>
          <w:highlight w:val="none"/>
        </w:rPr>
        <w:t xml:space="preserve">     </w:t>
      </w:r>
      <w:r>
        <w:rPr>
          <w:rFonts w:hint="eastAsia" w:ascii="仿宋" w:hAnsi="仿宋" w:eastAsia="仿宋" w:cs="仿宋"/>
          <w:b/>
          <w:bCs/>
          <w:color w:val="000000"/>
          <w:sz w:val="30"/>
          <w:szCs w:val="30"/>
          <w:highlight w:val="none"/>
        </w:rPr>
        <w:t>五、合同草案条款响应</w:t>
      </w:r>
    </w:p>
    <w:p w14:paraId="05C0BBF3">
      <w:pPr>
        <w:widowControl w:val="0"/>
        <w:spacing w:line="500" w:lineRule="exact"/>
        <w:ind w:firstLine="566" w:firstLineChars="200"/>
        <w:rPr>
          <w:rFonts w:ascii="仿宋" w:hAnsi="仿宋" w:eastAsia="仿宋" w:cs="仿宋"/>
          <w:color w:val="000000"/>
          <w:highlight w:val="none"/>
        </w:rPr>
      </w:pPr>
      <w:r>
        <w:rPr>
          <w:rFonts w:hint="eastAsia" w:ascii="仿宋" w:hAnsi="仿宋" w:eastAsia="仿宋" w:cs="仿宋"/>
          <w:color w:val="000000"/>
          <w:highlight w:val="none"/>
        </w:rPr>
        <w:t>完全理解并接受磋商文件中“合同草案条款”要求。</w:t>
      </w:r>
    </w:p>
    <w:p w14:paraId="18425095">
      <w:pPr>
        <w:widowControl w:val="0"/>
        <w:spacing w:line="500" w:lineRule="exact"/>
        <w:ind w:firstLine="4811" w:firstLineChars="1700"/>
        <w:rPr>
          <w:rFonts w:ascii="仿宋" w:hAnsi="仿宋" w:eastAsia="仿宋" w:cs="Times New Roman"/>
          <w:color w:val="000000"/>
          <w:highlight w:val="none"/>
        </w:rPr>
      </w:pPr>
    </w:p>
    <w:p w14:paraId="2C8A9A42">
      <w:pPr>
        <w:pStyle w:val="8"/>
        <w:widowControl w:val="0"/>
        <w:spacing w:after="190"/>
        <w:rPr>
          <w:rFonts w:cs="Times New Roman"/>
          <w:highlight w:val="none"/>
        </w:rPr>
      </w:pPr>
    </w:p>
    <w:p w14:paraId="65AA6A5B">
      <w:pPr>
        <w:pStyle w:val="8"/>
        <w:widowControl w:val="0"/>
        <w:spacing w:after="190" w:line="500" w:lineRule="exact"/>
        <w:ind w:firstLine="5377" w:firstLineChars="1900"/>
        <w:rPr>
          <w:rFonts w:ascii="仿宋" w:hAnsi="仿宋" w:eastAsia="仿宋" w:cs="Times New Roman"/>
          <w:highlight w:val="none"/>
        </w:rPr>
      </w:pPr>
      <w:r>
        <w:rPr>
          <w:rFonts w:hint="eastAsia" w:ascii="华文仿宋" w:hAnsi="华文仿宋" w:cs="华文仿宋"/>
          <w:sz w:val="28"/>
          <w:szCs w:val="28"/>
          <w:highlight w:val="none"/>
        </w:rPr>
        <w:t>供应商：</w:t>
      </w:r>
      <w:r>
        <w:rPr>
          <w:rFonts w:hint="eastAsia" w:ascii="华文仿宋" w:hAnsi="华文仿宋" w:cs="华文仿宋"/>
          <w:sz w:val="28"/>
          <w:szCs w:val="28"/>
          <w:highlight w:val="none"/>
          <w:u w:val="single"/>
        </w:rPr>
        <w:t>名称</w:t>
      </w:r>
      <w:r>
        <w:rPr>
          <w:rFonts w:hint="eastAsia" w:ascii="华文仿宋" w:hAnsi="华文仿宋" w:cs="华文仿宋"/>
          <w:sz w:val="28"/>
          <w:szCs w:val="28"/>
          <w:highlight w:val="none"/>
        </w:rPr>
        <w:t>（加盖公章）</w:t>
      </w:r>
      <w:r>
        <w:rPr>
          <w:rFonts w:ascii="仿宋" w:hAnsi="仿宋" w:eastAsia="仿宋" w:cs="Times New Roman"/>
          <w:highlight w:val="none"/>
        </w:rPr>
        <w:tab/>
      </w:r>
    </w:p>
    <w:p w14:paraId="516CBD11">
      <w:pPr>
        <w:pStyle w:val="19"/>
        <w:widowControl w:val="0"/>
        <w:spacing w:after="190" w:line="500" w:lineRule="exact"/>
        <w:ind w:firstLine="5660" w:firstLineChars="2000"/>
        <w:rPr>
          <w:rFonts w:ascii="华文仿宋"/>
          <w:color w:val="000000"/>
          <w:sz w:val="28"/>
          <w:szCs w:val="28"/>
          <w:highlight w:val="none"/>
        </w:rPr>
      </w:pPr>
      <w:r>
        <w:rPr>
          <w:rFonts w:hint="eastAsia" w:ascii="华文仿宋" w:hAnsi="华文仿宋" w:cs="华文仿宋"/>
          <w:color w:val="000000"/>
          <w:sz w:val="28"/>
          <w:szCs w:val="28"/>
          <w:highlight w:val="none"/>
        </w:rPr>
        <w:t>日期：　年　月　日</w:t>
      </w:r>
    </w:p>
    <w:p w14:paraId="1EB3482B">
      <w:pPr>
        <w:pStyle w:val="19"/>
        <w:widowControl w:val="0"/>
        <w:spacing w:after="190"/>
        <w:ind w:firstLine="183"/>
        <w:rPr>
          <w:rFonts w:ascii="仿宋" w:hAnsi="仿宋" w:eastAsia="仿宋"/>
          <w:color w:val="000000"/>
          <w:highlight w:val="none"/>
        </w:rPr>
      </w:pPr>
    </w:p>
    <w:p w14:paraId="21DF14AA">
      <w:pPr>
        <w:pStyle w:val="19"/>
        <w:widowControl w:val="0"/>
        <w:spacing w:after="190"/>
        <w:ind w:firstLine="183"/>
        <w:rPr>
          <w:rFonts w:ascii="仿宋" w:hAnsi="仿宋" w:eastAsia="仿宋"/>
          <w:color w:val="000000"/>
          <w:highlight w:val="none"/>
        </w:rPr>
      </w:pPr>
    </w:p>
    <w:p w14:paraId="01A6CDF8">
      <w:pPr>
        <w:pStyle w:val="19"/>
        <w:widowControl w:val="0"/>
        <w:spacing w:after="190"/>
        <w:ind w:firstLine="183"/>
        <w:rPr>
          <w:rFonts w:ascii="仿宋" w:hAnsi="仿宋" w:eastAsia="仿宋"/>
          <w:color w:val="000000"/>
          <w:highlight w:val="none"/>
        </w:rPr>
      </w:pPr>
    </w:p>
    <w:p w14:paraId="5844727D">
      <w:pPr>
        <w:pStyle w:val="19"/>
        <w:widowControl w:val="0"/>
        <w:spacing w:after="190"/>
        <w:ind w:firstLine="183"/>
        <w:rPr>
          <w:rFonts w:ascii="仿宋" w:hAnsi="仿宋" w:eastAsia="仿宋"/>
          <w:color w:val="000000"/>
          <w:highlight w:val="none"/>
        </w:rPr>
      </w:pPr>
    </w:p>
    <w:p w14:paraId="5166962C">
      <w:pPr>
        <w:pStyle w:val="19"/>
        <w:widowControl w:val="0"/>
        <w:spacing w:after="190"/>
        <w:ind w:firstLine="183"/>
        <w:rPr>
          <w:rFonts w:ascii="仿宋" w:hAnsi="仿宋" w:eastAsia="仿宋"/>
          <w:color w:val="000000"/>
          <w:highlight w:val="none"/>
        </w:rPr>
      </w:pPr>
    </w:p>
    <w:p w14:paraId="28B07E28">
      <w:pPr>
        <w:pStyle w:val="19"/>
        <w:widowControl w:val="0"/>
        <w:spacing w:after="190"/>
        <w:ind w:firstLine="183"/>
        <w:rPr>
          <w:rFonts w:ascii="仿宋" w:hAnsi="仿宋" w:eastAsia="仿宋"/>
          <w:color w:val="000000"/>
          <w:highlight w:val="none"/>
        </w:rPr>
      </w:pPr>
    </w:p>
    <w:p w14:paraId="30955C1C">
      <w:pPr>
        <w:pStyle w:val="19"/>
        <w:widowControl w:val="0"/>
        <w:spacing w:after="190"/>
        <w:ind w:firstLine="183"/>
        <w:rPr>
          <w:rFonts w:ascii="仿宋" w:hAnsi="仿宋" w:eastAsia="仿宋"/>
          <w:color w:val="000000"/>
          <w:highlight w:val="none"/>
        </w:rPr>
      </w:pPr>
    </w:p>
    <w:p w14:paraId="48E0B316">
      <w:pPr>
        <w:pStyle w:val="19"/>
        <w:widowControl w:val="0"/>
        <w:spacing w:after="190"/>
        <w:ind w:firstLine="183"/>
        <w:rPr>
          <w:rFonts w:ascii="仿宋" w:hAnsi="仿宋" w:eastAsia="仿宋"/>
          <w:color w:val="000000"/>
          <w:highlight w:val="none"/>
        </w:rPr>
      </w:pPr>
    </w:p>
    <w:p w14:paraId="1BFA4E4A">
      <w:pPr>
        <w:pStyle w:val="19"/>
        <w:widowControl w:val="0"/>
        <w:spacing w:after="190"/>
        <w:ind w:firstLine="183"/>
        <w:rPr>
          <w:rFonts w:ascii="仿宋" w:hAnsi="仿宋" w:eastAsia="仿宋"/>
          <w:color w:val="000000"/>
          <w:highlight w:val="none"/>
        </w:rPr>
      </w:pPr>
    </w:p>
    <w:p w14:paraId="37D9218E">
      <w:pPr>
        <w:pStyle w:val="19"/>
        <w:widowControl w:val="0"/>
        <w:spacing w:after="190"/>
        <w:ind w:firstLine="183"/>
        <w:rPr>
          <w:rFonts w:ascii="仿宋" w:hAnsi="仿宋" w:eastAsia="仿宋"/>
          <w:color w:val="000000"/>
          <w:highlight w:val="none"/>
        </w:rPr>
      </w:pPr>
    </w:p>
    <w:p w14:paraId="660E7A91">
      <w:pPr>
        <w:pStyle w:val="19"/>
        <w:widowControl w:val="0"/>
        <w:spacing w:after="190"/>
        <w:ind w:firstLine="183"/>
        <w:rPr>
          <w:rFonts w:ascii="仿宋" w:hAnsi="仿宋" w:eastAsia="仿宋"/>
          <w:color w:val="000000"/>
          <w:highlight w:val="none"/>
        </w:rPr>
      </w:pPr>
    </w:p>
    <w:p w14:paraId="51972302">
      <w:pPr>
        <w:pStyle w:val="19"/>
        <w:widowControl w:val="0"/>
        <w:spacing w:after="190"/>
        <w:ind w:firstLine="183"/>
        <w:rPr>
          <w:rFonts w:ascii="仿宋" w:hAnsi="仿宋" w:eastAsia="仿宋"/>
          <w:color w:val="000000"/>
          <w:highlight w:val="none"/>
        </w:rPr>
      </w:pPr>
    </w:p>
    <w:p w14:paraId="7AB5E079">
      <w:pPr>
        <w:pStyle w:val="19"/>
        <w:widowControl w:val="0"/>
        <w:spacing w:after="190"/>
        <w:ind w:firstLine="183"/>
        <w:rPr>
          <w:rFonts w:ascii="仿宋" w:hAnsi="仿宋" w:eastAsia="仿宋"/>
          <w:color w:val="000000"/>
          <w:highlight w:val="none"/>
        </w:rPr>
      </w:pPr>
    </w:p>
    <w:p w14:paraId="76265C93">
      <w:pPr>
        <w:pStyle w:val="19"/>
        <w:widowControl w:val="0"/>
        <w:spacing w:after="190"/>
        <w:ind w:firstLine="183"/>
        <w:rPr>
          <w:rFonts w:ascii="仿宋" w:hAnsi="仿宋" w:eastAsia="仿宋"/>
          <w:color w:val="000000"/>
          <w:highlight w:val="none"/>
        </w:rPr>
      </w:pPr>
    </w:p>
    <w:p w14:paraId="0150A194">
      <w:pPr>
        <w:pStyle w:val="19"/>
        <w:widowControl w:val="0"/>
        <w:spacing w:after="190"/>
        <w:ind w:firstLine="183"/>
        <w:rPr>
          <w:rFonts w:ascii="仿宋" w:hAnsi="仿宋" w:eastAsia="仿宋"/>
          <w:color w:val="000000"/>
          <w:highlight w:val="none"/>
        </w:rPr>
      </w:pPr>
    </w:p>
    <w:p w14:paraId="3B925006">
      <w:pPr>
        <w:pStyle w:val="19"/>
        <w:widowControl w:val="0"/>
        <w:spacing w:after="190"/>
        <w:ind w:firstLine="183"/>
        <w:rPr>
          <w:rFonts w:ascii="仿宋" w:hAnsi="仿宋" w:eastAsia="仿宋"/>
          <w:color w:val="000000"/>
          <w:highlight w:val="none"/>
        </w:rPr>
      </w:pPr>
    </w:p>
    <w:p w14:paraId="3285CB48">
      <w:pPr>
        <w:pStyle w:val="19"/>
        <w:widowControl w:val="0"/>
        <w:spacing w:after="190"/>
        <w:ind w:firstLine="183"/>
        <w:rPr>
          <w:rFonts w:ascii="仿宋" w:hAnsi="仿宋" w:eastAsia="仿宋"/>
          <w:color w:val="000000"/>
          <w:highlight w:val="none"/>
        </w:rPr>
      </w:pPr>
    </w:p>
    <w:p w14:paraId="2F96B8CD">
      <w:pPr>
        <w:pStyle w:val="2"/>
        <w:widowControl w:val="0"/>
        <w:ind w:firstLine="0" w:firstLineChars="0"/>
        <w:jc w:val="center"/>
        <w:rPr>
          <w:rFonts w:ascii="黑体" w:hAnsi="黑体" w:eastAsia="黑体" w:cs="Times New Roman"/>
          <w:color w:val="000000"/>
          <w:highlight w:val="none"/>
        </w:rPr>
      </w:pPr>
      <w:r>
        <w:rPr>
          <w:rFonts w:hint="eastAsia" w:ascii="黑体" w:hAnsi="黑体" w:eastAsia="黑体" w:cs="Times New Roman"/>
          <w:color w:val="000000"/>
          <w:highlight w:val="none"/>
        </w:rPr>
        <w:br w:type="page"/>
      </w:r>
      <w:bookmarkStart w:id="1095" w:name="_Toc7239"/>
      <w:bookmarkStart w:id="1096" w:name="_Toc20524"/>
      <w:bookmarkStart w:id="1097" w:name="_Toc30644"/>
      <w:bookmarkStart w:id="1098" w:name="_Toc9350"/>
      <w:bookmarkStart w:id="1099" w:name="_Toc30067"/>
      <w:bookmarkStart w:id="1100" w:name="_Toc27403"/>
      <w:bookmarkStart w:id="1101" w:name="_Toc13676"/>
      <w:bookmarkStart w:id="1102" w:name="_Toc26612"/>
      <w:bookmarkStart w:id="1103" w:name="_Toc21577"/>
      <w:r>
        <w:rPr>
          <w:rFonts w:hint="eastAsia" w:ascii="黑体" w:hAnsi="黑体" w:eastAsia="黑体" w:cs="黑体"/>
          <w:b w:val="0"/>
          <w:bCs w:val="0"/>
          <w:sz w:val="32"/>
          <w:szCs w:val="32"/>
          <w:highlight w:val="none"/>
        </w:rPr>
        <w:t>第三部分  响应方案</w:t>
      </w:r>
      <w:bookmarkEnd w:id="1095"/>
      <w:bookmarkEnd w:id="1096"/>
      <w:bookmarkEnd w:id="1097"/>
      <w:bookmarkEnd w:id="1098"/>
      <w:bookmarkEnd w:id="1099"/>
      <w:bookmarkEnd w:id="1100"/>
      <w:bookmarkEnd w:id="1101"/>
      <w:bookmarkEnd w:id="1102"/>
      <w:bookmarkEnd w:id="1103"/>
    </w:p>
    <w:p w14:paraId="3BA25240">
      <w:pPr>
        <w:pStyle w:val="32"/>
        <w:widowControl w:val="0"/>
        <w:spacing w:line="500" w:lineRule="exact"/>
        <w:ind w:firstLine="606" w:firstLineChars="200"/>
        <w:jc w:val="both"/>
        <w:rPr>
          <w:rFonts w:ascii="仿宋" w:hAnsi="仿宋" w:eastAsia="仿宋" w:cs="仿宋"/>
          <w:color w:val="000000"/>
          <w:highlight w:val="none"/>
        </w:rPr>
      </w:pPr>
      <w:bookmarkStart w:id="1104" w:name="_Toc1143"/>
      <w:bookmarkStart w:id="1105" w:name="_Toc15253"/>
      <w:bookmarkStart w:id="1106" w:name="_Toc14902"/>
      <w:bookmarkStart w:id="1107" w:name="_Toc11877"/>
      <w:bookmarkStart w:id="1108" w:name="_Toc11480"/>
      <w:bookmarkStart w:id="1109" w:name="_Toc24785"/>
      <w:bookmarkStart w:id="1110" w:name="_Toc27531"/>
      <w:bookmarkStart w:id="1111" w:name="_Toc7402"/>
      <w:bookmarkStart w:id="1112" w:name="_Toc6378"/>
      <w:bookmarkStart w:id="1113" w:name="_Toc21184"/>
      <w:bookmarkStart w:id="1114" w:name="_Toc9795"/>
      <w:bookmarkStart w:id="1115" w:name="_Toc22123"/>
      <w:bookmarkStart w:id="1116" w:name="_Toc23944"/>
      <w:bookmarkStart w:id="1117" w:name="_Toc32512"/>
      <w:bookmarkStart w:id="1118" w:name="_Toc18389"/>
      <w:bookmarkStart w:id="1119" w:name="_Toc31882"/>
      <w:bookmarkStart w:id="1120" w:name="_Toc9535"/>
      <w:bookmarkStart w:id="1121" w:name="_Toc26478"/>
      <w:bookmarkStart w:id="1122" w:name="_Toc4666"/>
      <w:bookmarkStart w:id="1123" w:name="_Toc2565"/>
      <w:bookmarkStart w:id="1124" w:name="_Toc59"/>
      <w:bookmarkStart w:id="1125" w:name="_Toc27668"/>
      <w:bookmarkStart w:id="1126" w:name="_Toc30676"/>
      <w:bookmarkStart w:id="1127" w:name="_Toc5596"/>
      <w:bookmarkStart w:id="1128" w:name="_Toc7814"/>
      <w:bookmarkStart w:id="1129" w:name="_Toc25440"/>
      <w:r>
        <w:rPr>
          <w:rFonts w:hint="eastAsia" w:ascii="仿宋" w:hAnsi="仿宋" w:eastAsia="仿宋" w:cs="仿宋"/>
          <w:color w:val="000000"/>
          <w:sz w:val="30"/>
          <w:szCs w:val="30"/>
          <w:highlight w:val="none"/>
        </w:rPr>
        <w:t>一、供应商概况</w:t>
      </w:r>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Start w:id="1130" w:name="_Toc3411"/>
      <w:bookmarkStart w:id="1131" w:name="_Toc1568"/>
      <w:bookmarkStart w:id="1132" w:name="_Toc13373"/>
      <w:bookmarkStart w:id="1133" w:name="_Toc14867"/>
      <w:bookmarkStart w:id="1134" w:name="_Toc6405"/>
      <w:bookmarkStart w:id="1135" w:name="_Toc2826"/>
      <w:bookmarkStart w:id="1136" w:name="_Toc12342"/>
      <w:bookmarkStart w:id="1137" w:name="_Toc17436"/>
      <w:bookmarkStart w:id="1138" w:name="_Toc4295"/>
      <w:bookmarkStart w:id="1139" w:name="_Toc24226"/>
      <w:bookmarkStart w:id="1140" w:name="_Toc15509"/>
      <w:bookmarkStart w:id="1141" w:name="_Toc17171"/>
      <w:bookmarkStart w:id="1142" w:name="_Toc4085"/>
      <w:bookmarkStart w:id="1143" w:name="_Toc26403"/>
      <w:bookmarkStart w:id="1144" w:name="_Toc9336"/>
    </w:p>
    <w:p w14:paraId="3B94C7A1">
      <w:pPr>
        <w:widowControl w:val="0"/>
        <w:spacing w:line="500" w:lineRule="exact"/>
        <w:ind w:firstLine="566" w:firstLineChars="200"/>
        <w:jc w:val="left"/>
        <w:rPr>
          <w:rFonts w:ascii="仿宋" w:hAnsi="仿宋" w:eastAsia="仿宋" w:cs="仿宋"/>
          <w:b/>
          <w:bCs/>
          <w:color w:val="000000"/>
          <w:highlight w:val="none"/>
        </w:rPr>
      </w:pPr>
      <w:r>
        <w:rPr>
          <w:rFonts w:hint="eastAsia" w:ascii="仿宋" w:hAnsi="仿宋" w:eastAsia="仿宋" w:cs="仿宋"/>
          <w:color w:val="000000"/>
          <w:highlight w:val="none"/>
        </w:rPr>
        <w:t>包括但不限于成立时间、经营范围、股权变更、总公司分公司分布及经营状况、管理制度、人员配备、用户评价、正在实施的项目，评优获奖情况</w:t>
      </w:r>
      <w:r>
        <w:rPr>
          <w:rFonts w:hint="eastAsia" w:ascii="仿宋" w:hAnsi="仿宋" w:eastAsia="仿宋" w:cs="仿宋"/>
          <w:b/>
          <w:bCs/>
          <w:color w:val="000000"/>
          <w:highlight w:val="none"/>
        </w:rPr>
        <w:t>，</w:t>
      </w:r>
      <w:r>
        <w:rPr>
          <w:rFonts w:hint="eastAsia" w:ascii="仿宋" w:hAnsi="仿宋" w:eastAsia="仿宋" w:cs="仿宋"/>
          <w:color w:val="000000"/>
          <w:highlight w:val="none"/>
        </w:rPr>
        <w:t>以及供应商认为有利于中标的其他情况说明。</w:t>
      </w:r>
    </w:p>
    <w:p w14:paraId="53EEA60B">
      <w:pPr>
        <w:widowControl w:val="0"/>
        <w:rPr>
          <w:rFonts w:ascii="仿宋" w:hAnsi="仿宋" w:eastAsia="仿宋" w:cs="仿宋"/>
          <w:color w:val="000000"/>
          <w:highlight w:val="none"/>
        </w:rPr>
      </w:pPr>
      <w:r>
        <w:rPr>
          <w:rFonts w:hint="eastAsia" w:ascii="华文仿宋" w:hAnsi="华文仿宋" w:cs="华文仿宋"/>
          <w:color w:val="000000"/>
          <w:highlight w:val="none"/>
        </w:rPr>
        <w:br w:type="page"/>
      </w:r>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Start w:id="1145" w:name="_Toc15082"/>
      <w:bookmarkStart w:id="1146" w:name="_Toc18145"/>
      <w:bookmarkStart w:id="1147" w:name="_Toc12346"/>
      <w:bookmarkStart w:id="1148" w:name="_Toc4225"/>
      <w:bookmarkStart w:id="1149" w:name="_Toc14764"/>
      <w:r>
        <w:rPr>
          <w:rFonts w:hint="eastAsia" w:ascii="华文仿宋" w:hAnsi="华文仿宋" w:cs="华文仿宋"/>
          <w:color w:val="000000"/>
          <w:highlight w:val="none"/>
        </w:rPr>
        <w:t xml:space="preserve">    </w:t>
      </w:r>
      <w:r>
        <w:rPr>
          <w:rFonts w:hint="eastAsia" w:ascii="仿宋" w:hAnsi="仿宋" w:eastAsia="仿宋" w:cs="仿宋"/>
          <w:b/>
          <w:bCs/>
          <w:color w:val="000000"/>
          <w:sz w:val="30"/>
          <w:szCs w:val="30"/>
          <w:highlight w:val="none"/>
        </w:rPr>
        <w:t>二、</w:t>
      </w:r>
      <w:bookmarkStart w:id="1150" w:name="_Toc13262"/>
      <w:r>
        <w:rPr>
          <w:rFonts w:hint="eastAsia" w:ascii="仿宋" w:hAnsi="仿宋" w:eastAsia="仿宋" w:cs="仿宋"/>
          <w:b/>
          <w:bCs/>
          <w:color w:val="000000"/>
          <w:sz w:val="30"/>
          <w:szCs w:val="30"/>
          <w:highlight w:val="none"/>
        </w:rPr>
        <w:t>响应方案</w:t>
      </w:r>
      <w:bookmarkEnd w:id="1145"/>
      <w:bookmarkEnd w:id="1146"/>
      <w:bookmarkEnd w:id="1147"/>
      <w:bookmarkEnd w:id="1148"/>
      <w:bookmarkEnd w:id="1149"/>
      <w:bookmarkEnd w:id="1150"/>
    </w:p>
    <w:p w14:paraId="67EBEF71">
      <w:pPr>
        <w:widowControl w:val="0"/>
        <w:spacing w:line="500" w:lineRule="exact"/>
        <w:ind w:firstLine="566" w:firstLineChars="200"/>
        <w:rPr>
          <w:rFonts w:ascii="仿宋" w:hAnsi="仿宋" w:eastAsia="仿宋" w:cs="仿宋"/>
          <w:b/>
          <w:bCs/>
          <w:color w:val="000000"/>
          <w:highlight w:val="none"/>
        </w:rPr>
      </w:pPr>
      <w:r>
        <w:rPr>
          <w:rFonts w:hint="eastAsia" w:ascii="仿宋" w:hAnsi="仿宋" w:eastAsia="仿宋" w:cs="仿宋"/>
          <w:color w:val="000000"/>
          <w:highlight w:val="none"/>
        </w:rPr>
        <w:t>参照磋商文件第二章第八项《组织评审》各条款的要求，结合第三章《磋商内容及采购要求》编制响应方案。</w:t>
      </w:r>
    </w:p>
    <w:p w14:paraId="48AEE0D4">
      <w:pPr>
        <w:widowControl w:val="0"/>
        <w:spacing w:line="500" w:lineRule="exact"/>
        <w:rPr>
          <w:rFonts w:ascii="华文仿宋" w:hAnsi="华文仿宋" w:cs="华文仿宋"/>
          <w:b/>
          <w:bCs/>
          <w:color w:val="000000"/>
          <w:sz w:val="32"/>
          <w:szCs w:val="32"/>
          <w:highlight w:val="none"/>
        </w:rPr>
      </w:pPr>
    </w:p>
    <w:p w14:paraId="28EFE596">
      <w:pPr>
        <w:widowControl w:val="0"/>
        <w:jc w:val="left"/>
        <w:rPr>
          <w:rFonts w:ascii="仿宋" w:hAnsi="仿宋" w:eastAsia="仿宋" w:cs="仿宋"/>
          <w:b/>
          <w:bCs/>
          <w:color w:val="000000"/>
          <w:sz w:val="30"/>
          <w:szCs w:val="30"/>
          <w:highlight w:val="none"/>
        </w:rPr>
      </w:pPr>
      <w:r>
        <w:rPr>
          <w:rFonts w:hint="eastAsia" w:ascii="宋体" w:hAnsi="宋体" w:eastAsia="宋体" w:cs="宋体"/>
          <w:color w:val="000000"/>
          <w:sz w:val="21"/>
          <w:szCs w:val="21"/>
          <w:highlight w:val="none"/>
        </w:rPr>
        <w:br w:type="page"/>
      </w:r>
      <w:r>
        <w:rPr>
          <w:rFonts w:hint="eastAsia" w:ascii="宋体" w:hAnsi="宋体" w:eastAsia="宋体" w:cs="宋体"/>
          <w:color w:val="000000"/>
          <w:sz w:val="21"/>
          <w:szCs w:val="21"/>
          <w:highlight w:val="none"/>
        </w:rPr>
        <w:t xml:space="preserve">    </w:t>
      </w:r>
      <w:r>
        <w:rPr>
          <w:rFonts w:hint="eastAsia" w:ascii="仿宋" w:hAnsi="仿宋" w:eastAsia="仿宋" w:cs="仿宋"/>
          <w:b/>
          <w:bCs/>
          <w:color w:val="000000"/>
          <w:sz w:val="30"/>
          <w:szCs w:val="30"/>
          <w:highlight w:val="none"/>
        </w:rPr>
        <w:t>三、参考样表</w:t>
      </w:r>
    </w:p>
    <w:p w14:paraId="48078EC1">
      <w:pPr>
        <w:widowControl w:val="0"/>
        <w:spacing w:line="500" w:lineRule="exact"/>
        <w:ind w:firstLine="566" w:firstLineChars="200"/>
        <w:jc w:val="center"/>
        <w:rPr>
          <w:rFonts w:ascii="仿宋" w:hAnsi="仿宋" w:eastAsia="仿宋" w:cs="仿宋"/>
          <w:b/>
          <w:bCs/>
          <w:color w:val="000000"/>
          <w:highlight w:val="none"/>
        </w:rPr>
      </w:pPr>
      <w:r>
        <w:rPr>
          <w:rFonts w:hint="eastAsia" w:ascii="仿宋" w:hAnsi="仿宋" w:eastAsia="仿宋" w:cs="仿宋"/>
          <w:b/>
          <w:bCs/>
          <w:color w:val="000000"/>
          <w:highlight w:val="none"/>
        </w:rPr>
        <w:t>业绩合同样表（仅供参考）</w:t>
      </w:r>
    </w:p>
    <w:tbl>
      <w:tblPr>
        <w:tblStyle w:val="21"/>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1"/>
        <w:gridCol w:w="1736"/>
        <w:gridCol w:w="1701"/>
        <w:gridCol w:w="2557"/>
        <w:gridCol w:w="1984"/>
      </w:tblGrid>
      <w:tr w14:paraId="0EB452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vAlign w:val="center"/>
          </w:tcPr>
          <w:p w14:paraId="09A8F510">
            <w:pPr>
              <w:widowControl w:val="0"/>
              <w:adjustRightInd w:val="0"/>
              <w:snapToGrid w:val="0"/>
              <w:spacing w:line="440" w:lineRule="exact"/>
              <w:jc w:val="center"/>
              <w:rPr>
                <w:rFonts w:ascii="宋体" w:cs="Times New Roman"/>
                <w:b/>
                <w:bCs/>
                <w:color w:val="000000"/>
                <w:sz w:val="24"/>
                <w:szCs w:val="24"/>
                <w:highlight w:val="none"/>
              </w:rPr>
            </w:pPr>
            <w:r>
              <w:rPr>
                <w:rFonts w:hint="eastAsia" w:ascii="宋体" w:cs="华文仿宋"/>
                <w:b/>
                <w:bCs/>
                <w:color w:val="000000"/>
                <w:sz w:val="24"/>
                <w:szCs w:val="24"/>
                <w:highlight w:val="none"/>
              </w:rPr>
              <w:t>序号</w:t>
            </w:r>
          </w:p>
        </w:tc>
        <w:tc>
          <w:tcPr>
            <w:tcW w:w="1736" w:type="dxa"/>
            <w:vAlign w:val="center"/>
          </w:tcPr>
          <w:p w14:paraId="5964748B">
            <w:pPr>
              <w:widowControl w:val="0"/>
              <w:jc w:val="center"/>
              <w:rPr>
                <w:rFonts w:ascii="仿宋" w:hAnsi="仿宋" w:eastAsia="仿宋" w:cs="Times New Roman"/>
                <w:b/>
                <w:bCs/>
                <w:color w:val="000000"/>
                <w:sz w:val="24"/>
                <w:szCs w:val="24"/>
                <w:highlight w:val="none"/>
              </w:rPr>
            </w:pPr>
            <w:r>
              <w:rPr>
                <w:rFonts w:hint="eastAsia" w:ascii="仿宋" w:hAnsi="仿宋" w:eastAsia="仿宋" w:cs="仿宋"/>
                <w:b/>
                <w:bCs/>
                <w:color w:val="000000"/>
                <w:sz w:val="24"/>
                <w:szCs w:val="24"/>
                <w:highlight w:val="none"/>
              </w:rPr>
              <w:t>采购单位名称</w:t>
            </w:r>
          </w:p>
        </w:tc>
        <w:tc>
          <w:tcPr>
            <w:tcW w:w="1701" w:type="dxa"/>
            <w:vAlign w:val="center"/>
          </w:tcPr>
          <w:p w14:paraId="01FF7EF5">
            <w:pPr>
              <w:widowControl w:val="0"/>
              <w:jc w:val="center"/>
              <w:rPr>
                <w:rFonts w:ascii="仿宋" w:hAnsi="仿宋" w:eastAsia="仿宋" w:cs="Times New Roman"/>
                <w:b/>
                <w:bCs/>
                <w:color w:val="000000"/>
                <w:sz w:val="24"/>
                <w:szCs w:val="24"/>
                <w:highlight w:val="none"/>
              </w:rPr>
            </w:pPr>
            <w:r>
              <w:rPr>
                <w:rFonts w:hint="eastAsia" w:ascii="仿宋" w:hAnsi="仿宋" w:eastAsia="仿宋" w:cs="仿宋"/>
                <w:b/>
                <w:bCs/>
                <w:color w:val="000000"/>
                <w:sz w:val="24"/>
                <w:szCs w:val="24"/>
                <w:highlight w:val="none"/>
              </w:rPr>
              <w:t>合同名称</w:t>
            </w:r>
          </w:p>
        </w:tc>
        <w:tc>
          <w:tcPr>
            <w:tcW w:w="2557" w:type="dxa"/>
            <w:vAlign w:val="center"/>
          </w:tcPr>
          <w:p w14:paraId="68C950C3">
            <w:pPr>
              <w:widowControl w:val="0"/>
              <w:jc w:val="center"/>
              <w:rPr>
                <w:rFonts w:ascii="仿宋" w:hAnsi="仿宋" w:eastAsia="仿宋" w:cs="Times New Roman"/>
                <w:b/>
                <w:bCs/>
                <w:color w:val="000000"/>
                <w:sz w:val="24"/>
                <w:szCs w:val="24"/>
                <w:highlight w:val="none"/>
              </w:rPr>
            </w:pPr>
            <w:r>
              <w:rPr>
                <w:rFonts w:hint="eastAsia" w:ascii="仿宋" w:hAnsi="仿宋" w:eastAsia="仿宋" w:cs="仿宋"/>
                <w:b/>
                <w:bCs/>
                <w:color w:val="000000"/>
                <w:sz w:val="24"/>
                <w:szCs w:val="24"/>
                <w:highlight w:val="none"/>
              </w:rPr>
              <w:t>合同起止时间</w:t>
            </w:r>
          </w:p>
        </w:tc>
        <w:tc>
          <w:tcPr>
            <w:tcW w:w="1984" w:type="dxa"/>
            <w:vAlign w:val="center"/>
          </w:tcPr>
          <w:p w14:paraId="42ABAAAD">
            <w:pPr>
              <w:widowControl w:val="0"/>
              <w:jc w:val="center"/>
              <w:rPr>
                <w:rFonts w:ascii="仿宋" w:hAnsi="仿宋" w:eastAsia="仿宋" w:cs="Times New Roman"/>
                <w:b/>
                <w:bCs/>
                <w:color w:val="000000"/>
                <w:sz w:val="24"/>
                <w:szCs w:val="24"/>
                <w:highlight w:val="none"/>
              </w:rPr>
            </w:pPr>
            <w:r>
              <w:rPr>
                <w:rFonts w:hint="eastAsia" w:ascii="仿宋" w:hAnsi="仿宋" w:eastAsia="仿宋" w:cs="仿宋"/>
                <w:b/>
                <w:bCs/>
                <w:color w:val="000000"/>
                <w:sz w:val="24"/>
                <w:szCs w:val="24"/>
                <w:highlight w:val="none"/>
              </w:rPr>
              <w:t>合同金额（万元）</w:t>
            </w:r>
          </w:p>
        </w:tc>
      </w:tr>
      <w:tr w14:paraId="3BE62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vAlign w:val="center"/>
          </w:tcPr>
          <w:p w14:paraId="4F534A0C">
            <w:pPr>
              <w:widowControl w:val="0"/>
              <w:spacing w:line="440" w:lineRule="exact"/>
              <w:jc w:val="center"/>
              <w:rPr>
                <w:rFonts w:ascii="宋体" w:eastAsia="宋体" w:cs="Times New Roman"/>
                <w:color w:val="000000"/>
                <w:sz w:val="24"/>
                <w:szCs w:val="24"/>
                <w:highlight w:val="none"/>
              </w:rPr>
            </w:pPr>
          </w:p>
        </w:tc>
        <w:tc>
          <w:tcPr>
            <w:tcW w:w="1736" w:type="dxa"/>
            <w:vAlign w:val="center"/>
          </w:tcPr>
          <w:p w14:paraId="4F7260DA">
            <w:pPr>
              <w:widowControl w:val="0"/>
              <w:spacing w:line="440" w:lineRule="exact"/>
              <w:jc w:val="center"/>
              <w:rPr>
                <w:rFonts w:ascii="宋体" w:eastAsia="宋体" w:cs="Times New Roman"/>
                <w:color w:val="000000"/>
                <w:sz w:val="24"/>
                <w:szCs w:val="24"/>
                <w:highlight w:val="none"/>
              </w:rPr>
            </w:pPr>
          </w:p>
        </w:tc>
        <w:tc>
          <w:tcPr>
            <w:tcW w:w="1701" w:type="dxa"/>
            <w:vAlign w:val="center"/>
          </w:tcPr>
          <w:p w14:paraId="4EC3F195">
            <w:pPr>
              <w:widowControl w:val="0"/>
              <w:spacing w:line="440" w:lineRule="exact"/>
              <w:jc w:val="center"/>
              <w:rPr>
                <w:rFonts w:ascii="宋体" w:eastAsia="宋体" w:cs="Times New Roman"/>
                <w:color w:val="000000"/>
                <w:sz w:val="24"/>
                <w:szCs w:val="24"/>
                <w:highlight w:val="none"/>
              </w:rPr>
            </w:pPr>
          </w:p>
        </w:tc>
        <w:tc>
          <w:tcPr>
            <w:tcW w:w="2557" w:type="dxa"/>
            <w:vAlign w:val="center"/>
          </w:tcPr>
          <w:p w14:paraId="20C39F80">
            <w:pPr>
              <w:widowControl w:val="0"/>
              <w:spacing w:line="440" w:lineRule="exact"/>
              <w:jc w:val="center"/>
              <w:rPr>
                <w:rFonts w:ascii="宋体" w:eastAsia="宋体" w:cs="Times New Roman"/>
                <w:color w:val="000000"/>
                <w:sz w:val="24"/>
                <w:szCs w:val="24"/>
                <w:highlight w:val="none"/>
              </w:rPr>
            </w:pPr>
          </w:p>
        </w:tc>
        <w:tc>
          <w:tcPr>
            <w:tcW w:w="1984" w:type="dxa"/>
            <w:vAlign w:val="center"/>
          </w:tcPr>
          <w:p w14:paraId="6BFE0788">
            <w:pPr>
              <w:widowControl w:val="0"/>
              <w:spacing w:line="440" w:lineRule="exact"/>
              <w:jc w:val="center"/>
              <w:rPr>
                <w:rFonts w:ascii="宋体" w:eastAsia="宋体" w:cs="Times New Roman"/>
                <w:color w:val="000000"/>
                <w:sz w:val="24"/>
                <w:szCs w:val="24"/>
                <w:highlight w:val="none"/>
              </w:rPr>
            </w:pPr>
          </w:p>
        </w:tc>
      </w:tr>
      <w:tr w14:paraId="4FA48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11" w:type="dxa"/>
            <w:vAlign w:val="center"/>
          </w:tcPr>
          <w:p w14:paraId="4B759691">
            <w:pPr>
              <w:widowControl w:val="0"/>
              <w:spacing w:line="440" w:lineRule="exact"/>
              <w:jc w:val="center"/>
              <w:rPr>
                <w:rFonts w:ascii="宋体" w:eastAsia="宋体" w:cs="Times New Roman"/>
                <w:color w:val="000000"/>
                <w:sz w:val="24"/>
                <w:szCs w:val="24"/>
                <w:highlight w:val="none"/>
              </w:rPr>
            </w:pPr>
          </w:p>
        </w:tc>
        <w:tc>
          <w:tcPr>
            <w:tcW w:w="1736" w:type="dxa"/>
            <w:vAlign w:val="center"/>
          </w:tcPr>
          <w:p w14:paraId="13FA5F92">
            <w:pPr>
              <w:widowControl w:val="0"/>
              <w:spacing w:line="440" w:lineRule="exact"/>
              <w:jc w:val="center"/>
              <w:rPr>
                <w:rFonts w:ascii="宋体" w:eastAsia="宋体" w:cs="Times New Roman"/>
                <w:color w:val="000000"/>
                <w:sz w:val="24"/>
                <w:szCs w:val="24"/>
                <w:highlight w:val="none"/>
              </w:rPr>
            </w:pPr>
          </w:p>
        </w:tc>
        <w:tc>
          <w:tcPr>
            <w:tcW w:w="1701" w:type="dxa"/>
            <w:vAlign w:val="center"/>
          </w:tcPr>
          <w:p w14:paraId="5239E513">
            <w:pPr>
              <w:widowControl w:val="0"/>
              <w:spacing w:line="440" w:lineRule="exact"/>
              <w:jc w:val="center"/>
              <w:rPr>
                <w:rFonts w:ascii="宋体" w:eastAsia="宋体" w:cs="Times New Roman"/>
                <w:color w:val="000000"/>
                <w:sz w:val="24"/>
                <w:szCs w:val="24"/>
                <w:highlight w:val="none"/>
              </w:rPr>
            </w:pPr>
          </w:p>
        </w:tc>
        <w:tc>
          <w:tcPr>
            <w:tcW w:w="2557" w:type="dxa"/>
            <w:vAlign w:val="center"/>
          </w:tcPr>
          <w:p w14:paraId="7A287DFE">
            <w:pPr>
              <w:widowControl w:val="0"/>
              <w:spacing w:line="440" w:lineRule="exact"/>
              <w:jc w:val="center"/>
              <w:rPr>
                <w:rFonts w:ascii="宋体" w:eastAsia="宋体" w:cs="Times New Roman"/>
                <w:color w:val="000000"/>
                <w:sz w:val="24"/>
                <w:szCs w:val="24"/>
                <w:highlight w:val="none"/>
              </w:rPr>
            </w:pPr>
          </w:p>
        </w:tc>
        <w:tc>
          <w:tcPr>
            <w:tcW w:w="1984" w:type="dxa"/>
            <w:vAlign w:val="center"/>
          </w:tcPr>
          <w:p w14:paraId="63B7DAEE">
            <w:pPr>
              <w:widowControl w:val="0"/>
              <w:spacing w:line="440" w:lineRule="exact"/>
              <w:jc w:val="center"/>
              <w:rPr>
                <w:rFonts w:ascii="宋体" w:eastAsia="宋体" w:cs="Times New Roman"/>
                <w:color w:val="000000"/>
                <w:sz w:val="24"/>
                <w:szCs w:val="24"/>
                <w:highlight w:val="none"/>
              </w:rPr>
            </w:pPr>
          </w:p>
        </w:tc>
      </w:tr>
      <w:tr w14:paraId="4060E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8789" w:type="dxa"/>
            <w:gridSpan w:val="5"/>
            <w:vAlign w:val="center"/>
          </w:tcPr>
          <w:p w14:paraId="0B64BA0B">
            <w:pPr>
              <w:widowControl w:val="0"/>
              <w:spacing w:line="440" w:lineRule="exact"/>
              <w:jc w:val="left"/>
              <w:rPr>
                <w:rFonts w:ascii="宋体" w:eastAsia="宋体" w:cs="Times New Roman"/>
                <w:color w:val="000000"/>
                <w:sz w:val="24"/>
                <w:szCs w:val="24"/>
                <w:highlight w:val="none"/>
              </w:rPr>
            </w:pPr>
            <w:r>
              <w:rPr>
                <w:rFonts w:hint="eastAsia" w:ascii="仿宋" w:hAnsi="仿宋" w:eastAsia="仿宋" w:cs="仿宋"/>
                <w:b/>
                <w:bCs/>
                <w:color w:val="000000"/>
                <w:sz w:val="24"/>
                <w:szCs w:val="24"/>
                <w:highlight w:val="none"/>
              </w:rPr>
              <w:t>数量合计（个）</w:t>
            </w:r>
            <w:r>
              <w:rPr>
                <w:rFonts w:hint="eastAsia" w:ascii="宋体" w:hAnsi="宋体" w:cs="华文仿宋"/>
                <w:color w:val="000000"/>
                <w:sz w:val="24"/>
                <w:szCs w:val="24"/>
                <w:highlight w:val="none"/>
              </w:rPr>
              <w:t>：</w:t>
            </w:r>
          </w:p>
        </w:tc>
      </w:tr>
    </w:tbl>
    <w:p w14:paraId="207133BB">
      <w:pPr>
        <w:widowControl w:val="0"/>
        <w:rPr>
          <w:color w:val="000000"/>
          <w:highlight w:val="none"/>
        </w:rPr>
      </w:pPr>
    </w:p>
    <w:p w14:paraId="5636B5E0">
      <w:pPr>
        <w:rPr>
          <w:color w:val="000000"/>
          <w:highlight w:val="none"/>
        </w:rPr>
      </w:pPr>
    </w:p>
    <w:p w14:paraId="73EFB31A">
      <w:pPr>
        <w:rPr>
          <w:color w:val="000000"/>
          <w:highlight w:val="none"/>
        </w:rPr>
      </w:pPr>
    </w:p>
    <w:p w14:paraId="72C19986">
      <w:pPr>
        <w:rPr>
          <w:highlight w:val="none"/>
        </w:rPr>
      </w:pPr>
    </w:p>
    <w:sectPr>
      <w:pgSz w:w="11906" w:h="16838"/>
      <w:pgMar w:top="1417" w:right="1418" w:bottom="1417" w:left="1418" w:header="851" w:footer="794" w:gutter="0"/>
      <w:cols w:space="720" w:num="1"/>
      <w:docGrid w:type="linesAndChars" w:linePitch="381" w:charSpace="7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6" w:usb3="00000000" w:csb0="00040001" w:csb1="00000000"/>
  </w:font>
  <w:font w:name="华文中宋">
    <w:panose1 w:val="02010600040101010101"/>
    <w:charset w:val="86"/>
    <w:family w:val="auto"/>
    <w:pitch w:val="default"/>
    <w:sig w:usb0="00000287" w:usb1="080F0000" w:usb2="00000000" w:usb3="00000000" w:csb0="0004009F" w:csb1="DFD7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FE2BD0">
    <w:pPr>
      <w:pStyle w:val="14"/>
      <w:jc w:val="center"/>
      <w:rPr>
        <w:sz w:val="21"/>
        <w:szCs w:val="21"/>
      </w:rPr>
    </w:pPr>
  </w:p>
  <w:p w14:paraId="175F5AC1">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5083C">
    <w:pPr>
      <w:pStyle w:val="14"/>
      <w:jc w:val="center"/>
      <w:rPr>
        <w:sz w:val="21"/>
        <w:szCs w:val="21"/>
      </w:rPr>
    </w:pPr>
  </w:p>
  <w:p w14:paraId="631A0A5E">
    <w:pPr>
      <w:pStyle w:val="1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94CE02">
    <w:pPr>
      <w:pStyle w:val="14"/>
      <w:tabs>
        <w:tab w:val="clear" w:pos="4153"/>
        <w:tab w:val="clear" w:pos="8306"/>
      </w:tabs>
      <w:rPr>
        <w:rFonts w:ascii="宋体"/>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57835" cy="147955"/>
              <wp:effectExtent l="0" t="0" r="0" b="0"/>
              <wp:wrapNone/>
              <wp:docPr id="1" name="矩形 1"/>
              <wp:cNvGraphicFramePr/>
              <a:graphic xmlns:a="http://schemas.openxmlformats.org/drawingml/2006/main">
                <a:graphicData uri="http://schemas.microsoft.com/office/word/2010/wordprocessingShape">
                  <wps:wsp>
                    <wps:cNvSpPr/>
                    <wps:spPr>
                      <a:xfrm>
                        <a:off x="0" y="0"/>
                        <a:ext cx="457835" cy="147955"/>
                      </a:xfrm>
                      <a:prstGeom prst="rect">
                        <a:avLst/>
                      </a:prstGeom>
                      <a:noFill/>
                      <a:ln>
                        <a:noFill/>
                      </a:ln>
                    </wps:spPr>
                    <wps:txbx>
                      <w:txbxContent>
                        <w:p w14:paraId="4CAB8DA5">
                          <w:pPr>
                            <w:pStyle w:val="14"/>
                          </w:pPr>
                          <w:r>
                            <w:t xml:space="preserve">第 </w:t>
                          </w:r>
                          <w:r>
                            <w:fldChar w:fldCharType="begin"/>
                          </w:r>
                          <w:r>
                            <w:instrText xml:space="preserve"> PAGE  \* MERGEFORMAT </w:instrText>
                          </w:r>
                          <w:r>
                            <w:fldChar w:fldCharType="separate"/>
                          </w:r>
                          <w:r>
                            <w:t>61</w:t>
                          </w:r>
                          <w:r>
                            <w:fldChar w:fldCharType="end"/>
                          </w:r>
                          <w:r>
                            <w:t xml:space="preserve"> 页</w:t>
                          </w:r>
                        </w:p>
                      </w:txbxContent>
                    </wps:txbx>
                    <wps:bodyPr wrap="none" lIns="0" tIns="0" rIns="0" bIns="0" upright="1">
                      <a:spAutoFit/>
                    </wps:bodyPr>
                  </wps:wsp>
                </a:graphicData>
              </a:graphic>
            </wp:anchor>
          </w:drawing>
        </mc:Choice>
        <mc:Fallback>
          <w:pict>
            <v:rect id="_x0000_s1026" o:spid="_x0000_s1026" o:spt="1" style="position:absolute;left:0pt;margin-top:0pt;height:11.65pt;width:36.05pt;mso-position-horizontal:center;mso-position-horizontal-relative:margin;mso-wrap-style:none;z-index:251659264;mso-width-relative:page;mso-height-relative:page;" filled="f" stroked="f" coordsize="21600,21600" o:gfxdata="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Vz22G9IAAAADAQAADwAAAAAAAAABACAAAAAiAAAAZHJzL2Rvd25yZXYueG1s&#10;UEsBAhQAFAAAAAgAh07iQJsYhlnFAQAAigMAAA4AAAAAAAAAAQAgAAAAIQEAAGRycy9lMm9Eb2Mu&#10;eG1sUEsFBgAAAAAGAAYAWQEAAFgFAAAAAA==&#10;">
              <v:fill on="f" focussize="0,0"/>
              <v:stroke on="f"/>
              <v:imagedata o:title=""/>
              <o:lock v:ext="edit" aspectratio="f"/>
              <v:textbox inset="0mm,0mm,0mm,0mm" style="mso-fit-shape-to-text:t;">
                <w:txbxContent>
                  <w:p w14:paraId="4CAB8DA5">
                    <w:pPr>
                      <w:pStyle w:val="14"/>
                    </w:pPr>
                    <w:r>
                      <w:t xml:space="preserve">第 </w:t>
                    </w:r>
                    <w:r>
                      <w:fldChar w:fldCharType="begin"/>
                    </w:r>
                    <w:r>
                      <w:instrText xml:space="preserve"> PAGE  \* MERGEFORMAT </w:instrText>
                    </w:r>
                    <w:r>
                      <w:fldChar w:fldCharType="separate"/>
                    </w:r>
                    <w:r>
                      <w:t>61</w:t>
                    </w:r>
                    <w:r>
                      <w:fldChar w:fldCharType="end"/>
                    </w:r>
                    <w:r>
                      <w:t xml:space="preserve"> 页</w:t>
                    </w:r>
                  </w:p>
                </w:txbxContent>
              </v:textbox>
            </v:rect>
          </w:pict>
        </mc:Fallback>
      </mc:AlternateContent>
    </w:r>
    <w:r>
      <w:rPr>
        <w:rFonts w:hint="eastAsia" w:ascii="宋体"/>
      </w:rPr>
      <w:tab/>
    </w:r>
  </w:p>
  <w:p w14:paraId="0B38E946">
    <w:pPr>
      <w:pStyle w:val="14"/>
      <w:tabs>
        <w:tab w:val="clear" w:pos="4153"/>
        <w:tab w:val="clear" w:pos="8306"/>
      </w:tabs>
      <w:ind w:right="-2"/>
      <w:jc w:val="both"/>
      <w:rPr>
        <w:rFonts w:ascii="宋体"/>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AF2645">
    <w:pPr>
      <w:spacing w:line="240" w:lineRule="auto"/>
      <w:rPr>
        <w:rFonts w:ascii="宋体" w:eastAsia="宋体" w:cs="Times New Roman"/>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DA2A2F">
    <w:pPr>
      <w:pStyle w:val="15"/>
      <w:pBdr>
        <w:bottom w:val="none" w:color="auto" w:sz="0" w:space="1"/>
      </w:pBdr>
      <w:rPr>
        <w:rFonts w:ascii="仿宋" w:hAnsi="仿宋" w:eastAsia="仿宋" w:cs="仿宋"/>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C6ACC">
    <w:pPr>
      <w:pStyle w:val="15"/>
      <w:rPr>
        <w:rFonts w:ascii="仿宋" w:hAnsi="仿宋" w:eastAsia="仿宋" w:cs="仿宋"/>
        <w:sz w:val="21"/>
        <w:szCs w:val="21"/>
      </w:rPr>
    </w:pPr>
    <w:r>
      <w:rPr>
        <w:rFonts w:hint="eastAsia" w:ascii="仿宋" w:hAnsi="仿宋" w:eastAsia="仿宋" w:cs="仿宋"/>
        <w:sz w:val="21"/>
        <w:szCs w:val="21"/>
      </w:rPr>
      <w:t>陕西省档案馆2026年后库安保物业服务项目</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1"/>
      <w:numFmt w:val="decimal"/>
      <w:suff w:val="nothing"/>
      <w:lvlText w:val="%1、"/>
      <w:lvlJc w:val="left"/>
    </w:lvl>
  </w:abstractNum>
  <w:abstractNum w:abstractNumId="1">
    <w:nsid w:val="00000002"/>
    <w:multiLevelType w:val="singleLevel"/>
    <w:tmpl w:val="00000002"/>
    <w:lvl w:ilvl="0" w:tentative="0">
      <w:start w:val="2"/>
      <w:numFmt w:val="decimal"/>
      <w:suff w:val="nothing"/>
      <w:lvlText w:val="%1、"/>
      <w:lvlJc w:val="left"/>
      <w:rPr>
        <w:rFonts w:hint="default" w:ascii="华文仿宋" w:hAnsi="华文仿宋" w:eastAsia="华文仿宋" w:cs="华文仿宋"/>
      </w:rPr>
    </w:lvl>
  </w:abstractNum>
  <w:abstractNum w:abstractNumId="2">
    <w:nsid w:val="00000003"/>
    <w:multiLevelType w:val="singleLevel"/>
    <w:tmpl w:val="00000003"/>
    <w:lvl w:ilvl="0" w:tentative="0">
      <w:start w:val="2"/>
      <w:numFmt w:val="chineseCounting"/>
      <w:suff w:val="nothing"/>
      <w:lvlText w:val="（%1）"/>
      <w:lvlJc w:val="left"/>
      <w:rPr>
        <w:rFonts w:hint="eastAsia"/>
      </w:rPr>
    </w:lvl>
  </w:abstractNum>
  <w:abstractNum w:abstractNumId="3">
    <w:nsid w:val="04551FEB"/>
    <w:multiLevelType w:val="singleLevel"/>
    <w:tmpl w:val="04551FEB"/>
    <w:lvl w:ilvl="0" w:tentative="0">
      <w:start w:val="6"/>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B31D7A"/>
    <w:rsid w:val="003E2ACE"/>
    <w:rsid w:val="00AD68AA"/>
    <w:rsid w:val="00E53BA1"/>
    <w:rsid w:val="0167394E"/>
    <w:rsid w:val="068154EF"/>
    <w:rsid w:val="06DB560F"/>
    <w:rsid w:val="07E57F63"/>
    <w:rsid w:val="08A97A8F"/>
    <w:rsid w:val="09187861"/>
    <w:rsid w:val="09EA33AB"/>
    <w:rsid w:val="0B6238B6"/>
    <w:rsid w:val="0F696B20"/>
    <w:rsid w:val="0FB45EB2"/>
    <w:rsid w:val="127B54E8"/>
    <w:rsid w:val="1BDA4777"/>
    <w:rsid w:val="242361A3"/>
    <w:rsid w:val="25EF714A"/>
    <w:rsid w:val="266B6185"/>
    <w:rsid w:val="288D3819"/>
    <w:rsid w:val="2A1F09F7"/>
    <w:rsid w:val="2A2048B3"/>
    <w:rsid w:val="2BDB094E"/>
    <w:rsid w:val="2E383F1D"/>
    <w:rsid w:val="31DD27CD"/>
    <w:rsid w:val="320329AC"/>
    <w:rsid w:val="332C2BEA"/>
    <w:rsid w:val="37FE022F"/>
    <w:rsid w:val="3BD855AB"/>
    <w:rsid w:val="3C9B215F"/>
    <w:rsid w:val="3DE027DA"/>
    <w:rsid w:val="3EF47905"/>
    <w:rsid w:val="3FB31D7A"/>
    <w:rsid w:val="3FF121B7"/>
    <w:rsid w:val="40324B88"/>
    <w:rsid w:val="479E0D55"/>
    <w:rsid w:val="4EB90282"/>
    <w:rsid w:val="54646E83"/>
    <w:rsid w:val="57096DAB"/>
    <w:rsid w:val="57B5585F"/>
    <w:rsid w:val="5F481AE1"/>
    <w:rsid w:val="5F8413A2"/>
    <w:rsid w:val="60467517"/>
    <w:rsid w:val="62D12746"/>
    <w:rsid w:val="63AC61C8"/>
    <w:rsid w:val="668A09CB"/>
    <w:rsid w:val="688B0A2A"/>
    <w:rsid w:val="723F0650"/>
    <w:rsid w:val="72B34E05"/>
    <w:rsid w:val="73D33E93"/>
    <w:rsid w:val="7400407A"/>
    <w:rsid w:val="74A77E02"/>
    <w:rsid w:val="76F61765"/>
    <w:rsid w:val="78B72619"/>
    <w:rsid w:val="79FE0981"/>
    <w:rsid w:val="7A707A80"/>
    <w:rsid w:val="7B6C0247"/>
    <w:rsid w:val="7D885AA2"/>
    <w:rsid w:val="7E0B45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qFormat="1" w:unhideWhenUsed="0" w:uiPriority="99"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99"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jc w:val="both"/>
    </w:pPr>
    <w:rPr>
      <w:rFonts w:ascii="Calibri Light" w:hAnsi="Calibri Light" w:eastAsia="华文仿宋" w:cs="Calibri Light"/>
      <w:kern w:val="2"/>
      <w:sz w:val="28"/>
      <w:szCs w:val="28"/>
      <w:lang w:val="en-US" w:eastAsia="zh-CN" w:bidi="ar-SA"/>
    </w:rPr>
  </w:style>
  <w:style w:type="paragraph" w:styleId="2">
    <w:name w:val="heading 1"/>
    <w:basedOn w:val="1"/>
    <w:next w:val="1"/>
    <w:link w:val="35"/>
    <w:qFormat/>
    <w:uiPriority w:val="99"/>
    <w:pPr>
      <w:keepNext/>
      <w:keepLines/>
      <w:spacing w:line="240" w:lineRule="auto"/>
      <w:jc w:val="center"/>
      <w:outlineLvl w:val="0"/>
    </w:pPr>
    <w:rPr>
      <w:rFonts w:eastAsia="仿宋"/>
      <w:b/>
      <w:bCs/>
      <w:color w:val="000000"/>
      <w:kern w:val="44"/>
      <w:sz w:val="36"/>
      <w:szCs w:val="36"/>
    </w:rPr>
  </w:style>
  <w:style w:type="paragraph" w:styleId="3">
    <w:name w:val="heading 2"/>
    <w:basedOn w:val="1"/>
    <w:next w:val="1"/>
    <w:link w:val="30"/>
    <w:qFormat/>
    <w:uiPriority w:val="99"/>
    <w:pPr>
      <w:keepNext/>
      <w:keepLines/>
      <w:spacing w:line="240" w:lineRule="auto"/>
      <w:outlineLvl w:val="1"/>
    </w:pPr>
    <w:rPr>
      <w:rFonts w:ascii="Calibri" w:hAnsi="Calibri" w:cs="Calibri"/>
      <w:b/>
      <w:bCs/>
      <w:sz w:val="32"/>
      <w:szCs w:val="32"/>
    </w:rPr>
  </w:style>
  <w:style w:type="paragraph" w:styleId="4">
    <w:name w:val="heading 3"/>
    <w:basedOn w:val="1"/>
    <w:next w:val="1"/>
    <w:qFormat/>
    <w:uiPriority w:val="99"/>
    <w:pPr>
      <w:keepNext/>
      <w:keepLines/>
      <w:spacing w:line="400" w:lineRule="atLeast"/>
      <w:jc w:val="center"/>
      <w:outlineLvl w:val="2"/>
    </w:pPr>
    <w:rPr>
      <w:b/>
      <w:bCs/>
      <w:sz w:val="32"/>
      <w:szCs w:val="32"/>
      <w:u w:val="double"/>
    </w:rPr>
  </w:style>
  <w:style w:type="character" w:default="1" w:styleId="22">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6"/>
    <w:qFormat/>
    <w:uiPriority w:val="99"/>
    <w:pPr>
      <w:ind w:firstLine="420"/>
    </w:pPr>
  </w:style>
  <w:style w:type="paragraph" w:styleId="6">
    <w:name w:val="toc 4"/>
    <w:basedOn w:val="1"/>
    <w:next w:val="1"/>
    <w:qFormat/>
    <w:uiPriority w:val="0"/>
    <w:pPr>
      <w:ind w:left="1260" w:leftChars="600"/>
    </w:pPr>
  </w:style>
  <w:style w:type="paragraph" w:styleId="7">
    <w:name w:val="annotation text"/>
    <w:basedOn w:val="1"/>
    <w:qFormat/>
    <w:uiPriority w:val="0"/>
    <w:pPr>
      <w:jc w:val="left"/>
    </w:pPr>
  </w:style>
  <w:style w:type="paragraph" w:styleId="8">
    <w:name w:val="Body Text"/>
    <w:basedOn w:val="1"/>
    <w:qFormat/>
    <w:uiPriority w:val="99"/>
    <w:pPr>
      <w:spacing w:afterLines="50" w:line="360" w:lineRule="auto"/>
    </w:pPr>
    <w:rPr>
      <w:rFonts w:ascii="宋体" w:hAnsi="宋体" w:cs="宋体"/>
      <w:color w:val="000000"/>
      <w:sz w:val="24"/>
      <w:szCs w:val="24"/>
    </w:rPr>
  </w:style>
  <w:style w:type="paragraph" w:styleId="9">
    <w:name w:val="Body Text Indent"/>
    <w:basedOn w:val="1"/>
    <w:next w:val="10"/>
    <w:qFormat/>
    <w:uiPriority w:val="99"/>
    <w:pPr>
      <w:spacing w:after="120"/>
      <w:ind w:left="420" w:leftChars="200"/>
    </w:pPr>
  </w:style>
  <w:style w:type="paragraph" w:styleId="10">
    <w:name w:val="envelope return"/>
    <w:basedOn w:val="1"/>
    <w:qFormat/>
    <w:uiPriority w:val="0"/>
    <w:pPr>
      <w:snapToGrid w:val="0"/>
    </w:pPr>
    <w:rPr>
      <w:rFonts w:ascii="Arial" w:hAnsi="Arial"/>
    </w:rPr>
  </w:style>
  <w:style w:type="paragraph" w:styleId="11">
    <w:name w:val="Block Text"/>
    <w:basedOn w:val="1"/>
    <w:qFormat/>
    <w:uiPriority w:val="0"/>
    <w:pPr>
      <w:ind w:left="2" w:right="25" w:rightChars="12" w:hanging="2"/>
    </w:pPr>
    <w:rPr>
      <w:rFonts w:ascii="楷体_GB2312" w:hAnsi="宋体" w:eastAsia="楷体_GB2312"/>
      <w:szCs w:val="24"/>
    </w:rPr>
  </w:style>
  <w:style w:type="paragraph" w:styleId="12">
    <w:name w:val="toc 3"/>
    <w:basedOn w:val="1"/>
    <w:next w:val="1"/>
    <w:uiPriority w:val="0"/>
    <w:pPr>
      <w:ind w:left="840" w:leftChars="400"/>
    </w:pPr>
  </w:style>
  <w:style w:type="paragraph" w:styleId="13">
    <w:name w:val="Balloon Text"/>
    <w:basedOn w:val="1"/>
    <w:link w:val="34"/>
    <w:qFormat/>
    <w:uiPriority w:val="0"/>
    <w:pPr>
      <w:spacing w:line="240" w:lineRule="auto"/>
    </w:pPr>
    <w:rPr>
      <w:sz w:val="18"/>
      <w:szCs w:val="18"/>
    </w:rPr>
  </w:style>
  <w:style w:type="paragraph" w:styleId="14">
    <w:name w:val="footer"/>
    <w:basedOn w:val="1"/>
    <w:qFormat/>
    <w:uiPriority w:val="99"/>
    <w:pPr>
      <w:widowControl w:val="0"/>
      <w:tabs>
        <w:tab w:val="center" w:pos="4153"/>
        <w:tab w:val="right" w:pos="8306"/>
      </w:tabs>
      <w:snapToGrid w:val="0"/>
      <w:spacing w:line="240" w:lineRule="auto"/>
      <w:jc w:val="left"/>
    </w:pPr>
    <w:rPr>
      <w:rFonts w:ascii="Times New Roman" w:hAnsi="Times New Roman" w:eastAsia="宋体" w:cs="Times New Roman"/>
      <w:kern w:val="0"/>
      <w:sz w:val="18"/>
      <w:szCs w:val="18"/>
    </w:rPr>
  </w:style>
  <w:style w:type="paragraph" w:styleId="15">
    <w:name w:val="header"/>
    <w:basedOn w:val="1"/>
    <w:qFormat/>
    <w:uiPriority w:val="99"/>
    <w:pPr>
      <w:widowControl w:val="0"/>
      <w:pBdr>
        <w:bottom w:val="single" w:color="auto" w:sz="6" w:space="1"/>
      </w:pBdr>
      <w:tabs>
        <w:tab w:val="center" w:pos="4153"/>
        <w:tab w:val="right" w:pos="8306"/>
      </w:tabs>
      <w:snapToGrid w:val="0"/>
      <w:spacing w:line="240" w:lineRule="auto"/>
      <w:jc w:val="center"/>
    </w:pPr>
    <w:rPr>
      <w:rFonts w:ascii="Times New Roman" w:hAnsi="Times New Roman" w:eastAsia="宋体" w:cs="Times New Roman"/>
      <w:kern w:val="0"/>
      <w:sz w:val="18"/>
      <w:szCs w:val="18"/>
    </w:rPr>
  </w:style>
  <w:style w:type="paragraph" w:styleId="16">
    <w:name w:val="toc 1"/>
    <w:basedOn w:val="1"/>
    <w:next w:val="1"/>
    <w:qFormat/>
    <w:uiPriority w:val="99"/>
  </w:style>
  <w:style w:type="paragraph" w:styleId="17">
    <w:name w:val="toc 2"/>
    <w:basedOn w:val="1"/>
    <w:next w:val="1"/>
    <w:qFormat/>
    <w:uiPriority w:val="99"/>
    <w:pPr>
      <w:ind w:left="420" w:leftChars="200"/>
    </w:pPr>
  </w:style>
  <w:style w:type="paragraph" w:styleId="18">
    <w:name w:val="Normal (Web)"/>
    <w:basedOn w:val="1"/>
    <w:qFormat/>
    <w:uiPriority w:val="99"/>
    <w:pPr>
      <w:spacing w:beforeAutospacing="1" w:afterAutospacing="1"/>
      <w:jc w:val="left"/>
    </w:pPr>
    <w:rPr>
      <w:kern w:val="0"/>
      <w:sz w:val="24"/>
      <w:szCs w:val="24"/>
    </w:rPr>
  </w:style>
  <w:style w:type="paragraph" w:styleId="19">
    <w:name w:val="Body Text First Indent"/>
    <w:basedOn w:val="8"/>
    <w:qFormat/>
    <w:uiPriority w:val="99"/>
    <w:pPr>
      <w:spacing w:line="240" w:lineRule="auto"/>
      <w:ind w:firstLine="420" w:firstLineChars="100"/>
    </w:pPr>
    <w:rPr>
      <w:rFonts w:ascii="Times New Roman" w:hAnsi="Times New Roman" w:cs="Times New Roman"/>
      <w:color w:val="auto"/>
      <w:sz w:val="18"/>
      <w:szCs w:val="18"/>
    </w:rPr>
  </w:style>
  <w:style w:type="paragraph" w:styleId="20">
    <w:name w:val="Body Text First Indent 2"/>
    <w:basedOn w:val="9"/>
    <w:next w:val="1"/>
    <w:qFormat/>
    <w:uiPriority w:val="0"/>
    <w:pPr>
      <w:tabs>
        <w:tab w:val="left" w:pos="0"/>
      </w:tabs>
      <w:spacing w:line="240" w:lineRule="auto"/>
      <w:ind w:firstLine="420" w:firstLineChars="200"/>
    </w:pPr>
    <w:rPr>
      <w:rFonts w:eastAsia="楷体_GB2312"/>
      <w:b/>
      <w:szCs w:val="24"/>
    </w:rPr>
  </w:style>
  <w:style w:type="character" w:styleId="23">
    <w:name w:val="Hyperlink"/>
    <w:basedOn w:val="22"/>
    <w:qFormat/>
    <w:uiPriority w:val="99"/>
    <w:rPr>
      <w:color w:val="000000"/>
      <w:sz w:val="18"/>
      <w:szCs w:val="18"/>
      <w:u w:val="none"/>
    </w:rPr>
  </w:style>
  <w:style w:type="paragraph" w:customStyle="1" w:styleId="24">
    <w:name w:val="BodyText1I"/>
    <w:basedOn w:val="25"/>
    <w:qFormat/>
    <w:uiPriority w:val="0"/>
    <w:pPr>
      <w:spacing w:line="240" w:lineRule="auto"/>
      <w:ind w:firstLine="420" w:firstLineChars="100"/>
    </w:pPr>
    <w:rPr>
      <w:rFonts w:ascii="Times New Roman" w:hAnsi="Times New Roman"/>
      <w:sz w:val="18"/>
      <w:szCs w:val="18"/>
    </w:rPr>
  </w:style>
  <w:style w:type="paragraph" w:customStyle="1" w:styleId="25">
    <w:name w:val="BodyText"/>
    <w:basedOn w:val="1"/>
    <w:next w:val="1"/>
    <w:qFormat/>
    <w:uiPriority w:val="0"/>
    <w:pPr>
      <w:spacing w:after="156" w:line="360" w:lineRule="auto"/>
      <w:textAlignment w:val="baseline"/>
    </w:pPr>
    <w:rPr>
      <w:rFonts w:ascii="宋体" w:hAnsi="宋体"/>
      <w:color w:val="000000"/>
      <w:sz w:val="24"/>
    </w:rPr>
  </w:style>
  <w:style w:type="paragraph" w:customStyle="1" w:styleId="26">
    <w:name w:val="正文（缩进 4 字符）"/>
    <w:basedOn w:val="1"/>
    <w:qFormat/>
    <w:uiPriority w:val="99"/>
    <w:pPr>
      <w:ind w:firstLine="1134" w:firstLineChars="400"/>
    </w:pPr>
  </w:style>
  <w:style w:type="paragraph" w:customStyle="1" w:styleId="27">
    <w:name w:val="Other|1"/>
    <w:basedOn w:val="1"/>
    <w:qFormat/>
    <w:uiPriority w:val="0"/>
    <w:pPr>
      <w:widowControl w:val="0"/>
      <w:spacing w:line="384" w:lineRule="auto"/>
      <w:ind w:firstLine="400"/>
    </w:pPr>
    <w:rPr>
      <w:rFonts w:ascii="宋体" w:hAnsi="宋体" w:eastAsia="宋体" w:cs="宋体"/>
      <w:lang w:val="zh-TW" w:eastAsia="zh-TW" w:bidi="zh-TW"/>
    </w:rPr>
  </w:style>
  <w:style w:type="table" w:customStyle="1" w:styleId="28">
    <w:name w:val="Table Normal"/>
    <w:qFormat/>
    <w:uiPriority w:val="2"/>
    <w:tblPr>
      <w:tblCellMar>
        <w:top w:w="0" w:type="dxa"/>
        <w:left w:w="0" w:type="dxa"/>
        <w:bottom w:w="0" w:type="dxa"/>
        <w:right w:w="0" w:type="dxa"/>
      </w:tblCellMar>
    </w:tblPr>
  </w:style>
  <w:style w:type="paragraph" w:customStyle="1" w:styleId="29">
    <w:name w:val="正文（缩进 2 字符）"/>
    <w:basedOn w:val="1"/>
    <w:qFormat/>
    <w:uiPriority w:val="99"/>
    <w:pPr>
      <w:ind w:firstLine="200" w:firstLineChars="200"/>
    </w:pPr>
  </w:style>
  <w:style w:type="character" w:customStyle="1" w:styleId="30">
    <w:name w:val="标题 2 Char"/>
    <w:link w:val="3"/>
    <w:qFormat/>
    <w:uiPriority w:val="9"/>
    <w:rPr>
      <w:rFonts w:ascii="Calibri" w:hAnsi="Calibri" w:cs="Calibri"/>
      <w:b/>
      <w:bCs/>
      <w:sz w:val="32"/>
      <w:szCs w:val="32"/>
    </w:rPr>
  </w:style>
  <w:style w:type="paragraph" w:customStyle="1" w:styleId="31">
    <w:name w:val="标题 3（投标文件）"/>
    <w:basedOn w:val="4"/>
    <w:qFormat/>
    <w:uiPriority w:val="99"/>
    <w:pPr>
      <w:jc w:val="left"/>
    </w:pPr>
    <w:rPr>
      <w:u w:val="none"/>
    </w:rPr>
  </w:style>
  <w:style w:type="paragraph" w:customStyle="1" w:styleId="32">
    <w:name w:val="标题 2（投标文件）"/>
    <w:basedOn w:val="3"/>
    <w:qFormat/>
    <w:uiPriority w:val="99"/>
    <w:pPr>
      <w:jc w:val="center"/>
    </w:pPr>
  </w:style>
  <w:style w:type="paragraph" w:customStyle="1" w:styleId="33">
    <w:name w:val="Table Text"/>
    <w:basedOn w:val="1"/>
    <w:semiHidden/>
    <w:qFormat/>
    <w:uiPriority w:val="0"/>
    <w:rPr>
      <w:rFonts w:ascii="仿宋" w:hAnsi="仿宋" w:eastAsia="仿宋" w:cs="仿宋"/>
      <w:sz w:val="24"/>
      <w:szCs w:val="24"/>
      <w:lang w:eastAsia="en-US"/>
    </w:rPr>
  </w:style>
  <w:style w:type="character" w:customStyle="1" w:styleId="34">
    <w:name w:val="批注框文本 Char"/>
    <w:basedOn w:val="22"/>
    <w:link w:val="13"/>
    <w:qFormat/>
    <w:uiPriority w:val="0"/>
    <w:rPr>
      <w:rFonts w:ascii="Calibri Light" w:hAnsi="Calibri Light" w:eastAsia="华文仿宋" w:cs="Calibri Light"/>
      <w:kern w:val="2"/>
      <w:sz w:val="18"/>
      <w:szCs w:val="18"/>
    </w:rPr>
  </w:style>
  <w:style w:type="character" w:customStyle="1" w:styleId="35">
    <w:name w:val="标题 1 Char"/>
    <w:link w:val="2"/>
    <w:uiPriority w:val="99"/>
    <w:rPr>
      <w:rFonts w:eastAsia="仿宋"/>
      <w:b/>
      <w:bCs/>
      <w:color w:val="000000"/>
      <w:kern w:val="44"/>
      <w:sz w:val="36"/>
      <w:szCs w:val="36"/>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90</Pages>
  <Words>47914</Words>
  <Characters>49280</Characters>
  <Lines>368</Lines>
  <Paragraphs>103</Paragraphs>
  <TotalTime>28</TotalTime>
  <ScaleCrop>false</ScaleCrop>
  <LinksUpToDate>false</LinksUpToDate>
  <CharactersWithSpaces>50005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2026-03-03T01:00:00Z</dcterms:created>
  <dc:creator>HXY</dc:creator>
  <cp:lastModifiedBy>HXY</cp:lastModifiedBy>
  <dcterms:modified xsi:type="dcterms:W3CDTF">2026-04-08T07:12:06Z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60751AA8CD014B028DE69329648520E8_13</vt:lpwstr>
  </property>
  <property fmtid="{D5CDD505-2E9C-101B-9397-08002B2CF9AE}" pid="4" name="KSOTemplateDocerSaveRecord">
    <vt:lpwstr>eyJoZGlkIjoiNjY0M2M0MWY4NzYxMDg5NWNmNGRmNTNkMGI2NTIyMzUiLCJ1c2VySWQiOiIyODQ2ODY3MDcifQ==</vt:lpwstr>
  </property>
</Properties>
</file>