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14:paraId="68C1A546">
      <w:pPr>
        <w:widowControl w:val="0"/>
        <w:topLinePunct/>
        <w:jc w:val="center"/>
        <w:rPr>
          <w:rFonts w:eastAsia="宋体" w:cs="Tahoma"/>
          <w:sz w:val="44"/>
          <w:szCs w:val="44"/>
        </w:rPr>
      </w:pPr>
      <w:bookmarkStart w:id="13" w:name="_GoBack"/>
      <w:bookmarkEnd w:id="13"/>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3"/>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14:paraId="0BF7852F">
      <w:pPr>
        <w:widowControl w:val="0"/>
        <w:topLinePunct/>
        <w:spacing w:line="360" w:lineRule="auto"/>
        <w:jc w:val="center"/>
        <w:rPr>
          <w:rFonts w:eastAsia="宋体" w:cs="Tahoma"/>
          <w:sz w:val="36"/>
          <w:szCs w:val="36"/>
        </w:rPr>
      </w:pPr>
    </w:p>
    <w:p w14:paraId="31BD0224">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hint="eastAsia" w:cs="Tahoma" w:asciiTheme="minorHAnsi" w:hAnsiTheme="minorHAnsi"/>
          <w:color w:val="C00000"/>
        </w:rPr>
        <w:t>西安职业技术学院安保社会化服务外包采购</w:t>
      </w:r>
    </w:p>
    <w:p w14:paraId="3B07DD0B">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XCZX2026-0019</w:t>
      </w: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1A9924C3">
      <w:pPr>
        <w:widowControl w:val="0"/>
        <w:topLinePunct/>
        <w:spacing w:line="360" w:lineRule="auto"/>
        <w:jc w:val="center"/>
        <w:rPr>
          <w:rFonts w:eastAsia="宋体" w:cs="Tahoma"/>
          <w:sz w:val="36"/>
          <w:szCs w:val="36"/>
        </w:rPr>
      </w:pPr>
    </w:p>
    <w:p w14:paraId="00241E4B">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2026年5月</w:t>
      </w:r>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4DF3E142">
      <w:pPr>
        <w:pStyle w:val="19"/>
        <w:tabs>
          <w:tab w:val="right" w:leader="dot" w:pos="906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"_Toc211437466" </w:instrText>
      </w:r>
      <w:r>
        <w:fldChar w:fldCharType="separate"/>
      </w:r>
      <w:r>
        <w:rPr>
          <w:rStyle w:val="31"/>
          <w:rFonts w:hint="eastAsia"/>
        </w:rPr>
        <w:t>第一章　投标邀请函</w:t>
      </w:r>
      <w:r>
        <w:tab/>
      </w:r>
      <w:r>
        <w:fldChar w:fldCharType="begin"/>
      </w:r>
      <w:r>
        <w:instrText xml:space="preserve"> PAGEREF _Toc211437466 \h </w:instrText>
      </w:r>
      <w:r>
        <w:fldChar w:fldCharType="separate"/>
      </w:r>
      <w:r>
        <w:t>1</w:t>
      </w:r>
      <w:r>
        <w:fldChar w:fldCharType="end"/>
      </w:r>
      <w:r>
        <w:fldChar w:fldCharType="end"/>
      </w:r>
    </w:p>
    <w:p w14:paraId="201574F9">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"_Toc211437467" </w:instrText>
      </w:r>
      <w:r>
        <w:fldChar w:fldCharType="separate"/>
      </w:r>
      <w:r>
        <w:rPr>
          <w:rStyle w:val="31"/>
          <w:rFonts w:hint="eastAsia"/>
        </w:rPr>
        <w:t>第二章　供应商须知</w:t>
      </w:r>
      <w:r>
        <w:tab/>
      </w:r>
      <w:r>
        <w:fldChar w:fldCharType="begin"/>
      </w:r>
      <w:r>
        <w:instrText xml:space="preserve"> PAGEREF _Toc211437467 \h </w:instrText>
      </w:r>
      <w:r>
        <w:fldChar w:fldCharType="separate"/>
      </w:r>
      <w:r>
        <w:t>4</w:t>
      </w:r>
      <w:r>
        <w:fldChar w:fldCharType="end"/>
      </w:r>
      <w:r>
        <w:fldChar w:fldCharType="end"/>
      </w:r>
    </w:p>
    <w:p w14:paraId="72353FAF">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"_Toc211437468" </w:instrText>
      </w:r>
      <w:r>
        <w:fldChar w:fldCharType="separate"/>
      </w:r>
      <w:r>
        <w:rPr>
          <w:rStyle w:val="31"/>
          <w:rFonts w:hint="eastAsia"/>
        </w:rPr>
        <w:t>第三章　招标内容及要求</w:t>
      </w:r>
      <w:r>
        <w:tab/>
      </w:r>
      <w:r>
        <w:fldChar w:fldCharType="begin"/>
      </w:r>
      <w:r>
        <w:instrText xml:space="preserve"> PAGEREF _Toc211437468 \h </w:instrText>
      </w:r>
      <w:r>
        <w:fldChar w:fldCharType="separate"/>
      </w:r>
      <w:r>
        <w:t>34</w:t>
      </w:r>
      <w:r>
        <w:fldChar w:fldCharType="end"/>
      </w:r>
      <w:r>
        <w:fldChar w:fldCharType="end"/>
      </w:r>
    </w:p>
    <w:p w14:paraId="438E79F1">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"_Toc211437470" </w:instrText>
      </w:r>
      <w:r>
        <w:fldChar w:fldCharType="separate"/>
      </w:r>
      <w:r>
        <w:rPr>
          <w:rStyle w:val="31"/>
          <w:rFonts w:hint="eastAsia"/>
        </w:rPr>
        <w:t>第四章　合同文本</w:t>
      </w:r>
      <w:r>
        <w:tab/>
      </w:r>
      <w:r>
        <w:fldChar w:fldCharType="begin"/>
      </w:r>
      <w:r>
        <w:instrText xml:space="preserve"> PAGEREF _Toc211437470 \h </w:instrText>
      </w:r>
      <w:r>
        <w:fldChar w:fldCharType="separate"/>
      </w:r>
      <w:r>
        <w:t>38</w:t>
      </w:r>
      <w:r>
        <w:fldChar w:fldCharType="end"/>
      </w:r>
      <w:r>
        <w:fldChar w:fldCharType="end"/>
      </w:r>
    </w:p>
    <w:p w14:paraId="4BE8EB7E">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"_Toc211437471" </w:instrText>
      </w:r>
      <w:r>
        <w:fldChar w:fldCharType="separate"/>
      </w:r>
      <w:r>
        <w:rPr>
          <w:rStyle w:val="31"/>
          <w:rFonts w:hint="eastAsia"/>
        </w:rPr>
        <w:t>第五章　投标文件构成及格式</w:t>
      </w:r>
      <w:r>
        <w:tab/>
      </w:r>
      <w:r>
        <w:fldChar w:fldCharType="begin"/>
      </w:r>
      <w:r>
        <w:instrText xml:space="preserve"> PAGEREF _Toc211437471 \h </w:instrText>
      </w:r>
      <w:r>
        <w:fldChar w:fldCharType="separate"/>
      </w:r>
      <w:r>
        <w:t>42</w:t>
      </w:r>
      <w:r>
        <w:fldChar w:fldCharType="end"/>
      </w:r>
      <w:r>
        <w:fldChar w:fldCharType="end"/>
      </w:r>
    </w:p>
    <w:p w14:paraId="41D1F5B5">
      <w:pPr>
        <w:pStyle w:val="19"/>
        <w:tabs>
          <w:tab w:val="right" w:leader="dot" w:pos="8890"/>
        </w:tabs>
        <w:spacing w:before="460" w:after="460"/>
        <w:rPr>
          <w:rFonts w:cstheme="minorHAnsi"/>
          <w:sz w:val="36"/>
          <w:szCs w:val="36"/>
        </w:rPr>
      </w:pP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0" w:name="_Toc211437466"/>
      <w:r>
        <w:rPr>
          <w:rFonts w:hint="eastAsia"/>
        </w:rPr>
        <w:t>第一章　投标邀请函</w:t>
      </w:r>
      <w:bookmarkEnd w:id="0"/>
    </w:p>
    <w:p w14:paraId="0B3A0504">
      <w:pPr>
        <w:widowControl w:val="0"/>
        <w:topLinePunct/>
        <w:ind w:firstLine="480" w:firstLineChars="200"/>
        <w:jc w:val="both"/>
      </w:pPr>
      <w:r>
        <w:rPr>
          <w:rFonts w:hint="eastAsia"/>
        </w:rPr>
        <w:t>西安市市级单位政府采购中心受</w:t>
      </w:r>
      <w:r>
        <w:rPr>
          <w:rFonts w:hint="eastAsia"/>
          <w:color w:val="C00000"/>
        </w:rPr>
        <w:t>西安职业技术学院</w:t>
      </w:r>
      <w:r>
        <w:rPr>
          <w:rFonts w:hint="eastAsia"/>
        </w:rPr>
        <w:t>的委托，经政府采购监管部门批准，按照政府采购程序，对</w:t>
      </w:r>
      <w:r>
        <w:rPr>
          <w:rFonts w:hint="eastAsia"/>
          <w:color w:val="C00000"/>
        </w:rPr>
        <w:t>西安职业技术学院安保社会化服务外包采购</w:t>
      </w:r>
      <w:r>
        <w:rPr>
          <w:rFonts w:hint="eastAsia"/>
        </w:rPr>
        <w:t>进行公开招标，欢迎符合资格条件的、有能力提供本项目所需货物或服务的供应商参加投标。</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olor w:val="C00000"/>
        </w:rPr>
        <w:t>西安职业技术学院安保社会化服务外包采购</w:t>
      </w:r>
    </w:p>
    <w:p w14:paraId="6C237C05">
      <w:pPr>
        <w:widowControl w:val="0"/>
        <w:topLinePunct/>
        <w:ind w:firstLine="480" w:firstLineChars="200"/>
        <w:jc w:val="both"/>
      </w:pPr>
      <w:r>
        <w:rPr>
          <w:rFonts w:hint="eastAsia"/>
        </w:rPr>
        <w:t>项目编号：</w:t>
      </w:r>
      <w:r>
        <w:rPr>
          <w:rFonts w:hint="eastAsia"/>
          <w:color w:val="C00000"/>
        </w:rPr>
        <w:t>XCZX2026-</w:t>
      </w:r>
      <w:r>
        <w:rPr>
          <w:color w:val="C00000"/>
        </w:rPr>
        <w:t>0019</w:t>
      </w:r>
    </w:p>
    <w:p w14:paraId="2859C042">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2026-0</w:t>
      </w:r>
      <w:r>
        <w:rPr>
          <w:color w:val="C00000"/>
        </w:rPr>
        <w:t>0180</w:t>
      </w:r>
    </w:p>
    <w:p w14:paraId="11EC738C">
      <w:pPr>
        <w:widowControl w:val="0"/>
        <w:topLinePunct/>
        <w:ind w:firstLine="480" w:firstLineChars="200"/>
        <w:jc w:val="both"/>
      </w:pPr>
      <w:r>
        <w:rPr>
          <w:rFonts w:hint="eastAsia"/>
          <w:b/>
        </w:rPr>
        <w:t>二、项目性质：</w:t>
      </w:r>
      <w:r>
        <w:rPr>
          <w:rFonts w:hint="eastAsia"/>
          <w:color w:val="C00000"/>
        </w:rPr>
        <w:t>专门面向中小企业的采购项目</w:t>
      </w:r>
    </w:p>
    <w:p w14:paraId="143219DA">
      <w:pPr>
        <w:widowControl w:val="0"/>
        <w:topLinePunct/>
        <w:ind w:firstLine="480" w:firstLineChars="200"/>
        <w:jc w:val="both"/>
        <w:rPr>
          <w:color w:val="C00000"/>
        </w:rPr>
      </w:pPr>
      <w:r>
        <w:rPr>
          <w:rFonts w:hint="eastAsia"/>
          <w:b/>
        </w:rPr>
        <w:t>三、采购预算：</w:t>
      </w:r>
      <w:r>
        <w:rPr>
          <w:rFonts w:hint="eastAsia"/>
          <w:color w:val="C00000"/>
        </w:rPr>
        <w:t>2</w:t>
      </w:r>
      <w:r>
        <w:rPr>
          <w:color w:val="C00000"/>
        </w:rPr>
        <w:t>800000</w:t>
      </w:r>
      <w:r>
        <w:rPr>
          <w:rFonts w:hint="eastAsia"/>
          <w:color w:val="C00000"/>
        </w:rPr>
        <w:t>元（最高限价</w:t>
      </w:r>
      <w:r>
        <w:rPr>
          <w:color w:val="C00000"/>
        </w:rPr>
        <w:t>2800000</w:t>
      </w:r>
      <w:r>
        <w:rPr>
          <w:rFonts w:hint="eastAsia"/>
          <w:color w:val="C00000"/>
        </w:rPr>
        <w:t>元）</w:t>
      </w:r>
    </w:p>
    <w:p w14:paraId="371969CC">
      <w:pPr>
        <w:widowControl w:val="0"/>
        <w:topLinePunct/>
        <w:ind w:firstLine="480" w:firstLineChars="200"/>
        <w:jc w:val="both"/>
      </w:pPr>
      <w:r>
        <w:rPr>
          <w:b/>
        </w:rPr>
        <w:t>四、采购</w:t>
      </w:r>
      <w:r>
        <w:rPr>
          <w:rFonts w:hint="eastAsia"/>
          <w:b/>
        </w:rPr>
        <w:t>内容和要求：</w:t>
      </w:r>
    </w:p>
    <w:p w14:paraId="64FC89D4">
      <w:pPr>
        <w:widowControl w:val="0"/>
        <w:topLinePunct/>
        <w:ind w:firstLine="480" w:firstLineChars="200"/>
        <w:jc w:val="both"/>
      </w:pPr>
      <w:r>
        <w:rPr>
          <w:rFonts w:hint="eastAsia"/>
        </w:rPr>
        <w:t>详见第三章「招标内容及要求」。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51999A2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0CBCD27F">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42E4084F">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760BC234">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3C2646F7">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七、获取招标文件的时间及方式：</w:t>
      </w:r>
    </w:p>
    <w:p w14:paraId="00291F81">
      <w:pPr>
        <w:widowControl w:val="0"/>
        <w:topLinePunct/>
        <w:ind w:firstLine="480" w:firstLineChars="200"/>
        <w:jc w:val="both"/>
      </w:pPr>
      <w:r>
        <w:rPr>
          <w:rFonts w:hint="eastAsia"/>
        </w:rPr>
        <w:t>1．获取时间：自招标公告发布之日起5个工作日内。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14:paraId="089EDA29">
      <w:pPr>
        <w:widowControl w:val="0"/>
        <w:topLinePunct/>
        <w:ind w:firstLine="480" w:firstLineChars="200"/>
        <w:jc w:val="both"/>
        <w:rPr>
          <w:b/>
        </w:rPr>
      </w:pPr>
      <w:r>
        <w:rPr>
          <w:rFonts w:hint="eastAsia"/>
          <w:b/>
        </w:rPr>
        <w:t>八、提交投标文件截止时间及方式：</w:t>
      </w:r>
    </w:p>
    <w:p w14:paraId="51241B74">
      <w:pPr>
        <w:widowControl w:val="0"/>
        <w:topLinePunct/>
        <w:ind w:firstLine="480" w:firstLineChars="200"/>
        <w:jc w:val="both"/>
      </w:pPr>
      <w:r>
        <w:rPr>
          <w:rFonts w:hint="eastAsia"/>
        </w:rPr>
        <w:t>1．提交投标文件截止时间：</w:t>
      </w:r>
      <w:r>
        <w:rPr>
          <w:rFonts w:hint="eastAsia"/>
          <w:u w:val="single"/>
        </w:rPr>
        <w:t>2026</w:t>
      </w:r>
      <w:r>
        <w:rPr>
          <w:rFonts w:hint="eastAsia"/>
        </w:rPr>
        <w:t>年</w:t>
      </w:r>
      <w:r>
        <w:t>4</w:t>
      </w:r>
      <w:r>
        <w:rPr>
          <w:rFonts w:hint="eastAsia"/>
        </w:rPr>
        <w:t>月2</w:t>
      </w:r>
      <w:r>
        <w:t>9</w:t>
      </w:r>
      <w:r>
        <w:rPr>
          <w:rFonts w:hint="eastAsia"/>
        </w:rPr>
        <w:t>日10:30，逾期提交的，系统将拒绝接收。</w:t>
      </w:r>
    </w:p>
    <w:p w14:paraId="713E12B2">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14:paraId="002298FE">
      <w:pPr>
        <w:widowControl w:val="0"/>
        <w:topLinePunct/>
        <w:ind w:firstLine="480" w:firstLineChars="200"/>
        <w:jc w:val="both"/>
      </w:pPr>
      <w:r>
        <w:rPr>
          <w:rFonts w:hint="eastAsia"/>
          <w:b/>
        </w:rPr>
        <w:t>九、开标时间、地点及形式：</w:t>
      </w:r>
    </w:p>
    <w:p w14:paraId="1CB81DA3">
      <w:pPr>
        <w:widowControl w:val="0"/>
        <w:topLinePunct/>
        <w:ind w:firstLine="480" w:firstLineChars="200"/>
        <w:jc w:val="both"/>
      </w:pPr>
      <w:r>
        <w:t>1</w:t>
      </w:r>
      <w:r>
        <w:rPr>
          <w:rFonts w:hint="eastAsia"/>
        </w:rPr>
        <w:t>．开标时间：</w:t>
      </w:r>
      <w:r>
        <w:rPr>
          <w:rFonts w:hint="eastAsia"/>
          <w:u w:val="single"/>
        </w:rPr>
        <w:t>2026</w:t>
      </w:r>
      <w:r>
        <w:rPr>
          <w:rFonts w:hint="eastAsia"/>
        </w:rPr>
        <w:t>年</w:t>
      </w:r>
      <w:r>
        <w:t>4</w:t>
      </w:r>
      <w:r>
        <w:rPr>
          <w:rFonts w:hint="eastAsia"/>
        </w:rPr>
        <w:t>月2</w:t>
      </w:r>
      <w:r>
        <w:t>9</w:t>
      </w:r>
      <w:r>
        <w:rPr>
          <w:rFonts w:hint="eastAsia"/>
        </w:rPr>
        <w:t>日10:30</w:t>
      </w:r>
    </w:p>
    <w:p w14:paraId="75602388">
      <w:pPr>
        <w:widowControl w:val="0"/>
        <w:topLinePunct/>
        <w:ind w:firstLine="480" w:firstLineChars="200"/>
        <w:jc w:val="both"/>
      </w:pPr>
      <w:r>
        <w:rPr>
          <w:rFonts w:hint="eastAsia"/>
        </w:rPr>
        <w:t>2．</w:t>
      </w:r>
      <w:r>
        <w:t>开标</w:t>
      </w:r>
      <w:r>
        <w:rPr>
          <w:rFonts w:hint="eastAsia"/>
        </w:rPr>
        <w:t>地点：本集采机构虚拟开标室</w:t>
      </w:r>
      <w:r>
        <w:t>4</w:t>
      </w:r>
      <w:r>
        <w:rPr>
          <w:rFonts w:hint="eastAsia"/>
        </w:rPr>
        <w:t>。</w:t>
      </w:r>
    </w:p>
    <w:p w14:paraId="044015C4">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1．采购人：西安职业技术学院</w:t>
      </w:r>
    </w:p>
    <w:p w14:paraId="07A194B0">
      <w:pPr>
        <w:widowControl w:val="0"/>
        <w:topLinePunct/>
        <w:ind w:firstLine="480" w:firstLineChars="200"/>
        <w:jc w:val="both"/>
      </w:pPr>
      <w:r>
        <w:rPr>
          <w:rFonts w:hint="eastAsia"/>
        </w:rPr>
        <w:t>地址：西安市雁塔区鱼斗路251号</w:t>
      </w:r>
    </w:p>
    <w:p w14:paraId="5CD1CE1F">
      <w:pPr>
        <w:widowControl w:val="0"/>
        <w:topLinePunct/>
        <w:ind w:firstLine="480" w:firstLineChars="200"/>
        <w:jc w:val="both"/>
      </w:pPr>
      <w:r>
        <w:rPr>
          <w:rFonts w:hint="eastAsia"/>
        </w:rPr>
        <w:t>联系人：姬老师</w:t>
      </w:r>
    </w:p>
    <w:p w14:paraId="7C403659">
      <w:pPr>
        <w:widowControl w:val="0"/>
        <w:topLinePunct/>
        <w:ind w:firstLine="480" w:firstLineChars="200"/>
        <w:jc w:val="both"/>
      </w:pPr>
      <w:r>
        <w:rPr>
          <w:rFonts w:hint="eastAsia"/>
        </w:rPr>
        <w:t>联系电话：0</w:t>
      </w:r>
      <w:r>
        <w:t>29-88519310</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标书联系人及分机号：梁老师（</w:t>
      </w:r>
      <w:r>
        <w:t>80865</w:t>
      </w:r>
      <w:r>
        <w:rPr>
          <w:rFonts w:hint="eastAsia"/>
        </w:rPr>
        <w:t>）</w:t>
      </w:r>
    </w:p>
    <w:p w14:paraId="6F1334A2">
      <w:pPr>
        <w:widowControl w:val="0"/>
        <w:topLinePunct/>
        <w:ind w:firstLine="480" w:firstLineChars="200"/>
        <w:jc w:val="both"/>
      </w:pPr>
      <w:r>
        <w:rPr>
          <w:rFonts w:hint="eastAsia"/>
        </w:rPr>
        <w:t>开标联系人及分机号：朱老师（</w:t>
      </w:r>
      <w:r>
        <w:t>80805</w:t>
      </w:r>
      <w:r>
        <w:rPr>
          <w:rFonts w:hint="eastAsia"/>
        </w:rPr>
        <w:t>）</w:t>
      </w:r>
    </w:p>
    <w:p w14:paraId="4ED7171F">
      <w:pPr>
        <w:widowControl w:val="0"/>
        <w:topLinePunct/>
        <w:jc w:val="both"/>
      </w:pPr>
    </w:p>
    <w:p w14:paraId="2C9EEC3C">
      <w:pPr>
        <w:widowControl w:val="0"/>
        <w:topLinePunct/>
        <w:jc w:val="both"/>
        <w:sectPr>
          <w:headerReference r:id="rId9" w:type="default"/>
          <w:footerReference r:id="rId11" w:type="default"/>
          <w:headerReference r:id="rId10" w:type="even"/>
          <w:footerReference r:id="rId12"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1" w:name="_Toc445407251"/>
      <w:bookmarkStart w:id="2" w:name="_Toc533363235"/>
      <w:bookmarkStart w:id="3" w:name="_Toc534656409"/>
      <w:bookmarkStart w:id="4" w:name="_Toc533363262"/>
      <w:bookmarkStart w:id="5" w:name="_Toc498349068"/>
      <w:bookmarkStart w:id="6" w:name="_Toc97563329"/>
      <w:bookmarkStart w:id="7" w:name="_Toc211437467"/>
      <w:bookmarkStart w:id="8" w:name="_Toc534656414"/>
      <w:r>
        <w:t>第二章</w:t>
      </w:r>
      <w:r>
        <w:rPr>
          <w:rFonts w:hint="eastAsia"/>
        </w:rPr>
        <w:t>　</w:t>
      </w:r>
      <w:r>
        <w:t>供应商须知</w:t>
      </w:r>
      <w:bookmarkEnd w:id="1"/>
      <w:bookmarkEnd w:id="2"/>
      <w:bookmarkEnd w:id="3"/>
      <w:bookmarkEnd w:id="4"/>
      <w:bookmarkEnd w:id="5"/>
      <w:bookmarkEnd w:id="6"/>
      <w:bookmarkEnd w:id="7"/>
      <w:bookmarkEnd w:id="8"/>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西安职业技术学院安保社会化服务外包采购</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XCZX2026-0019</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3" w:hRule="atLeast"/>
          <w:jc w:val="center"/>
        </w:trPr>
        <w:tc>
          <w:tcPr>
            <w:tcW w:w="694" w:type="dxa"/>
            <w:shd w:val="clear" w:color="auto" w:fill="auto"/>
            <w:vAlign w:val="center"/>
          </w:tcPr>
          <w:p w14:paraId="4D74D8F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hint="eastAsia" w:ascii="Calibri" w:hAnsi="宋体" w:eastAsia="宋体" w:cstheme="minorHAnsi"/>
                <w:sz w:val="21"/>
              </w:rPr>
              <w:t>2</w:t>
            </w:r>
            <w:r>
              <w:rPr>
                <w:rFonts w:ascii="Calibri" w:hAnsi="宋体" w:eastAsia="宋体" w:cstheme="minorHAnsi"/>
                <w:sz w:val="21"/>
              </w:rPr>
              <w:t>800000</w:t>
            </w:r>
            <w:r>
              <w:rPr>
                <w:rFonts w:hint="eastAsia" w:ascii="Calibri" w:hAnsi="宋体" w:eastAsia="宋体" w:cstheme="minorHAnsi"/>
                <w:sz w:val="21"/>
              </w:rPr>
              <w:t>元（最高限价</w:t>
            </w:r>
            <w:r>
              <w:rPr>
                <w:rFonts w:ascii="Calibri" w:hAnsi="宋体" w:eastAsia="宋体" w:cstheme="minorHAnsi"/>
                <w:sz w:val="21"/>
              </w:rPr>
              <w:t>2800000</w:t>
            </w:r>
            <w:r>
              <w:rPr>
                <w:rFonts w:hint="eastAsia" w:ascii="Calibri" w:hAnsi="宋体" w:eastAsia="宋体" w:cstheme="minorHAnsi"/>
                <w:sz w:val="21"/>
              </w:rPr>
              <w:t>元）</w:t>
            </w:r>
          </w:p>
        </w:tc>
      </w:tr>
      <w:tr w14:paraId="3A7305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0679276">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06A8285">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411E175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2AC880A7">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5EF59E0">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4C0A9936">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5713A06C">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纸质投标文件份数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投标供应商无需提供纸质投标文件；</w:t>
            </w:r>
          </w:p>
          <w:p w14:paraId="3A61785F">
            <w:pPr>
              <w:spacing w:line="320" w:lineRule="exact"/>
              <w:jc w:val="both"/>
              <w:rPr>
                <w:rFonts w:ascii="Calibri" w:hAnsi="宋体" w:eastAsia="宋体" w:cstheme="minorHAnsi"/>
                <w:sz w:val="21"/>
              </w:rPr>
            </w:pPr>
            <w:r>
              <w:rPr>
                <w:rFonts w:ascii="Calibri" w:hAnsi="宋体" w:eastAsia="宋体" w:cstheme="minorHAnsi"/>
                <w:sz w:val="21"/>
              </w:rPr>
              <w:t>中标供应商在领取中标通知书时提供一正两副。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见第一章「投标邀请函」中的联系方式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同提交投标文件截止时间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42B74847">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14:paraId="0C5CAAF5">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供应商的法定代表人或其授权代表应当持有效身份证件在提交投标文件截止时间前抵达开标现场，并签到确认。</w:t>
            </w:r>
          </w:p>
        </w:tc>
      </w:tr>
      <w:tr w14:paraId="35098F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8C61A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B8B5ED9">
            <w:pPr>
              <w:spacing w:line="320" w:lineRule="exact"/>
              <w:rPr>
                <w:rFonts w:ascii="Calibri" w:hAnsi="宋体" w:eastAsia="宋体" w:cstheme="minorHAnsi"/>
                <w:sz w:val="21"/>
              </w:rPr>
            </w:pPr>
            <w:r>
              <w:rPr>
                <w:rFonts w:hint="eastAsia" w:ascii="Calibri" w:hAnsi="宋体" w:eastAsia="宋体" w:cstheme="minorHAnsi"/>
                <w:sz w:val="21"/>
              </w:rPr>
              <w:t>评标形式</w:t>
            </w:r>
          </w:p>
        </w:tc>
        <w:tc>
          <w:tcPr>
            <w:tcW w:w="5766" w:type="dxa"/>
            <w:shd w:val="clear" w:color="auto" w:fill="auto"/>
            <w:vAlign w:val="center"/>
          </w:tcPr>
          <w:p w14:paraId="4CC26520">
            <w:pPr>
              <w:spacing w:line="320" w:lineRule="exact"/>
              <w:jc w:val="both"/>
              <w:rPr>
                <w:rFonts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14:paraId="58AE629A">
            <w:pPr>
              <w:spacing w:line="320" w:lineRule="exact"/>
              <w:jc w:val="both"/>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租赁和商务服务业</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bl>
    <w:p w14:paraId="516F5056">
      <w:r>
        <w:br w:type="page"/>
      </w:r>
    </w:p>
    <w:p w14:paraId="3669E3A3">
      <w:pPr>
        <w:pStyle w:val="3"/>
        <w:jc w:val="both"/>
      </w:pPr>
      <w:r>
        <w:t>一、有关定义</w:t>
      </w:r>
    </w:p>
    <w:p w14:paraId="4917CFF5">
      <w:pPr>
        <w:ind w:firstLine="480" w:firstLineChars="200"/>
        <w:jc w:val="both"/>
        <w:rPr>
          <w:rFonts w:cstheme="minorHAnsi"/>
        </w:rPr>
      </w:pPr>
      <w:r>
        <w:rPr>
          <w:rFonts w:hint="eastAsia" w:cstheme="minorHAnsi"/>
        </w:rPr>
        <w:t>1．采购人：依法进行政府采购的西安市市级机关、事业单位或团体组织。</w:t>
      </w:r>
    </w:p>
    <w:p w14:paraId="3191BE8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46F053">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F7E6B3C">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4FE4906C">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hint="eastAsia"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71A429EB">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1E904F9">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14:paraId="23708DD0">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制作电子投标文件</w:t>
      </w:r>
      <w:r>
        <w:rPr>
          <w:rFonts w:cstheme="minorHAnsi"/>
        </w:rPr>
        <w:t>：详见本章「</w:t>
      </w:r>
      <w:r>
        <w:rPr>
          <w:rFonts w:hint="eastAsia" w:cstheme="minorHAnsi"/>
        </w:rPr>
        <w:t>投标文件</w:t>
      </w:r>
      <w:r>
        <w:rPr>
          <w:rFonts w:cstheme="minorHAnsi"/>
        </w:rPr>
        <w:t>」一节相关内容。</w:t>
      </w:r>
    </w:p>
    <w:p w14:paraId="2FFD37BC">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提交电子投标文件</w:t>
      </w:r>
      <w:r>
        <w:rPr>
          <w:rFonts w:cstheme="minorHAnsi"/>
        </w:rPr>
        <w:t>：详见本章「</w:t>
      </w:r>
      <w:r>
        <w:rPr>
          <w:rFonts w:hint="eastAsia" w:cstheme="minorHAnsi"/>
        </w:rPr>
        <w:t>投标文件</w:t>
      </w:r>
      <w:r>
        <w:rPr>
          <w:rFonts w:cstheme="minorHAnsi"/>
        </w:rPr>
        <w:t>」一节相关内容。</w:t>
      </w:r>
    </w:p>
    <w:p w14:paraId="204FF29A">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14:paraId="361AC67A">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14:paraId="3C3D0991">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widowControl w:val="0"/>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widowControl w:val="0"/>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14:paraId="0757EB72">
      <w:pPr>
        <w:pStyle w:val="4"/>
        <w:ind w:firstLine="482"/>
      </w:pPr>
      <w:r>
        <w:t>（五）</w:t>
      </w:r>
      <w:r>
        <w:rPr>
          <w:rFonts w:hint="eastAsia"/>
        </w:rPr>
        <w:t>关于政府采购</w:t>
      </w:r>
      <w:r>
        <w:t>政策</w:t>
      </w:r>
    </w:p>
    <w:p w14:paraId="6399B53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1ACA875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66B674C2">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00AA2F1E">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1BDE2FF2">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35E22A89">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14:paraId="4086A40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084F38AC">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7B7B3BB4">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41AE6DB0">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5BB2D82C">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14:paraId="771BE4A6">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14:paraId="041FBE40">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51AF7651">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14:paraId="535AE4B4">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14:paraId="6104C114">
      <w:pPr>
        <w:wordWrap w:val="0"/>
        <w:ind w:firstLine="480" w:firstLineChars="200"/>
        <w:jc w:val="both"/>
        <w:rPr>
          <w:rStyle w:val="31"/>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cstheme="minorHAnsi"/>
          <w:color w:val="0070C0"/>
        </w:rPr>
        <w:t>http://www.ccgp-shaanxi.gov.cn/zcdservice/zcd/shanxi/</w:t>
      </w:r>
    </w:p>
    <w:p w14:paraId="0E70077E">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14:paraId="14ED80E4">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1"/>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AAE7C30">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22819453">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14:paraId="6023EE72">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14:paraId="5D7F7164">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pPr>
        <w:pStyle w:val="4"/>
      </w:pPr>
      <w:r>
        <w:t>（十）关于联合体</w:t>
      </w:r>
    </w:p>
    <w:p w14:paraId="0EEC1CC6">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13188C4F">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2FCB64E7">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8EAC038">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50DCF710">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14:paraId="47FF0F08">
      <w:pPr>
        <w:ind w:firstLine="480" w:firstLineChars="200"/>
        <w:jc w:val="both"/>
      </w:pPr>
      <w:r>
        <w:rPr>
          <w:rFonts w:hint="eastAsia"/>
        </w:rPr>
        <w:t>6．联合体可享受的中小企业优惠政策：</w:t>
      </w:r>
    </w:p>
    <w:p w14:paraId="1EF0872A">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0C7E2742">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5EB4D003">
      <w:pPr>
        <w:ind w:firstLine="480" w:firstLineChars="200"/>
        <w:jc w:val="both"/>
      </w:pPr>
      <w:r>
        <w:rPr>
          <w:rFonts w:hint="eastAsia"/>
        </w:rPr>
        <w:t>7．联合体出现下列情形之一的，投标无效：</w:t>
      </w:r>
    </w:p>
    <w:p w14:paraId="599CF667">
      <w:pPr>
        <w:ind w:firstLine="480" w:firstLineChars="200"/>
        <w:jc w:val="both"/>
      </w:pPr>
      <w:r>
        <w:rPr>
          <w:rFonts w:hint="eastAsia"/>
        </w:rPr>
        <w:t>（1）联合体没有提交有效的联合协议的；</w:t>
      </w:r>
    </w:p>
    <w:p w14:paraId="75A5BC29">
      <w:pPr>
        <w:ind w:firstLine="480" w:firstLineChars="200"/>
        <w:jc w:val="both"/>
      </w:pPr>
      <w:r>
        <w:rPr>
          <w:rFonts w:hint="eastAsia"/>
        </w:rPr>
        <w:t>（2）进行资格预审的项目，资格预审后联合体增减、更换成员的；</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三、招标文件</w:t>
      </w:r>
    </w:p>
    <w:p w14:paraId="57027355">
      <w:pPr>
        <w:pStyle w:val="4"/>
        <w:ind w:firstLine="482"/>
      </w:pPr>
      <w:r>
        <w:t>（一）招标</w:t>
      </w:r>
      <w:r>
        <w:rPr>
          <w:rFonts w:hint="eastAsia"/>
        </w:rPr>
        <w:t>文件的解释权</w:t>
      </w:r>
    </w:p>
    <w:p w14:paraId="140F6F8E">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14:paraId="2F374EBD">
      <w:pPr>
        <w:pStyle w:val="4"/>
        <w:ind w:firstLine="482"/>
      </w:pPr>
      <w:r>
        <w:t>（二）招标文件主要内容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14:paraId="604A09AD">
      <w:pPr>
        <w:pStyle w:val="4"/>
        <w:ind w:firstLine="482"/>
      </w:pPr>
      <w:r>
        <w:t>（三）招标文件的检查及阅读</w:t>
      </w:r>
    </w:p>
    <w:p w14:paraId="136227A3">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14:paraId="3797605F">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14:paraId="4558F347">
      <w:pPr>
        <w:pStyle w:val="4"/>
        <w:ind w:firstLine="482"/>
      </w:pPr>
      <w:r>
        <w:t>（四）招标文件的修改、澄清</w:t>
      </w:r>
    </w:p>
    <w:p w14:paraId="0079D1AC">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14:paraId="5C6D7605">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14:paraId="6E55830B">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14:paraId="76A1CFDA">
      <w:pPr>
        <w:pStyle w:val="3"/>
      </w:pPr>
      <w:r>
        <w:t>四、投标文件</w:t>
      </w:r>
    </w:p>
    <w:p w14:paraId="38AFDCFA">
      <w:pPr>
        <w:pStyle w:val="4"/>
        <w:ind w:firstLine="482"/>
      </w:pPr>
      <w:r>
        <w:rPr>
          <w:rFonts w:hint="eastAsia"/>
        </w:rPr>
        <w:t>（一）投标文件</w:t>
      </w:r>
      <w:r>
        <w:t>的式样</w:t>
      </w:r>
    </w:p>
    <w:p w14:paraId="4DBD232F">
      <w:pPr>
        <w:pStyle w:val="81"/>
        <w:ind w:firstLine="480"/>
      </w:pPr>
      <w:r>
        <w:t>1</w:t>
      </w:r>
      <w:r>
        <w:rPr>
          <w:rFonts w:hint="eastAsia"/>
          <w:color w:val="auto"/>
        </w:rPr>
        <w:t>．</w:t>
      </w:r>
      <w:r>
        <w:rPr>
          <w:rFonts w:hint="eastAsia"/>
        </w:rPr>
        <w:t>组成</w:t>
      </w:r>
      <w:r>
        <w:t>及格式</w:t>
      </w:r>
    </w:p>
    <w:p w14:paraId="6BFB9D09">
      <w:pPr>
        <w:pStyle w:val="81"/>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14:paraId="2EC44FBE">
      <w:pPr>
        <w:pStyle w:val="81"/>
        <w:ind w:firstLine="480"/>
      </w:pPr>
      <w:r>
        <w:rPr>
          <w:rFonts w:hint="eastAsia"/>
        </w:rPr>
        <w:t>2</w:t>
      </w:r>
      <w:r>
        <w:rPr>
          <w:rFonts w:hint="eastAsia"/>
          <w:color w:val="auto"/>
        </w:rPr>
        <w:t>．</w:t>
      </w:r>
      <w:r>
        <w:rPr>
          <w:rFonts w:hint="eastAsia"/>
        </w:rPr>
        <w:t>语言</w:t>
      </w:r>
    </w:p>
    <w:p w14:paraId="3C33EE09">
      <w:pPr>
        <w:pStyle w:val="81"/>
        <w:ind w:firstLine="480"/>
      </w:pPr>
      <w:r>
        <w:rPr>
          <w:rFonts w:hint="eastAsia"/>
        </w:rPr>
        <w:t>招标活动的所有文件、资料、函电文字均使用简体中文，确需提交用其他语言形成的资料，必须翻译成简体中文，如有差异，以简体中文为准。</w:t>
      </w:r>
    </w:p>
    <w:p w14:paraId="2F3FAA15">
      <w:pPr>
        <w:pStyle w:val="81"/>
        <w:ind w:firstLine="480"/>
      </w:pPr>
      <w:r>
        <w:rPr>
          <w:rFonts w:hint="eastAsia"/>
        </w:rPr>
        <w:t>3</w:t>
      </w:r>
      <w:r>
        <w:rPr>
          <w:rFonts w:hint="eastAsia"/>
          <w:color w:val="auto"/>
        </w:rPr>
        <w:t>．</w:t>
      </w:r>
      <w:r>
        <w:t>计量单位</w:t>
      </w:r>
    </w:p>
    <w:p w14:paraId="386CC72A">
      <w:pPr>
        <w:pStyle w:val="81"/>
        <w:ind w:firstLine="480"/>
      </w:pPr>
      <w:r>
        <w:rPr>
          <w:rFonts w:hint="eastAsia"/>
        </w:rPr>
        <w:t>投标文件的计量单位应使用中华人民共和国法定计量单位，但招标文件另有规定的除外。</w:t>
      </w:r>
    </w:p>
    <w:p w14:paraId="40216070">
      <w:pPr>
        <w:pStyle w:val="4"/>
        <w:ind w:firstLine="482"/>
      </w:pPr>
      <w:r>
        <w:rPr>
          <w:rFonts w:hint="eastAsia"/>
        </w:rPr>
        <w:t>（二）投标文件</w:t>
      </w:r>
      <w:r>
        <w:t>的有效期</w:t>
      </w:r>
    </w:p>
    <w:p w14:paraId="5B7D7BC8">
      <w:pPr>
        <w:pStyle w:val="81"/>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14:paraId="7802925A">
      <w:pPr>
        <w:pStyle w:val="4"/>
        <w:ind w:firstLine="482"/>
      </w:pPr>
      <w:r>
        <w:rPr>
          <w:rFonts w:hint="eastAsia"/>
        </w:rPr>
        <w:t>（三）投标</w:t>
      </w:r>
      <w:r>
        <w:t>报价</w:t>
      </w:r>
    </w:p>
    <w:p w14:paraId="15B579B7">
      <w:pPr>
        <w:pStyle w:val="81"/>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1"/>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39275893">
      <w:pPr>
        <w:pStyle w:val="81"/>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14:paraId="357DD472">
      <w:pPr>
        <w:pStyle w:val="81"/>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374BF979">
      <w:pPr>
        <w:pStyle w:val="81"/>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6B854EE6">
      <w:pPr>
        <w:pStyle w:val="4"/>
        <w:ind w:firstLine="482"/>
      </w:pPr>
      <w:r>
        <w:rPr>
          <w:rFonts w:hint="eastAsia"/>
        </w:rPr>
        <w:t>（四）电子投标文件</w:t>
      </w:r>
      <w:r>
        <w:t>的</w:t>
      </w:r>
      <w:r>
        <w:rPr>
          <w:rFonts w:hint="eastAsia"/>
        </w:rPr>
        <w:t>制作、</w:t>
      </w:r>
      <w:r>
        <w:t>签章及加密</w:t>
      </w:r>
    </w:p>
    <w:p w14:paraId="7430BFF8">
      <w:pPr>
        <w:pStyle w:val="81"/>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0D417506">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14:paraId="23331843">
      <w:pPr>
        <w:pStyle w:val="81"/>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7A3674D7">
      <w:pPr>
        <w:pStyle w:val="81"/>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14:paraId="162D4648">
      <w:pPr>
        <w:pStyle w:val="81"/>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61EDFA77">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w:t>
      </w:r>
      <w:r>
        <w:rPr>
          <w:rFonts w:hint="eastAsia"/>
        </w:rPr>
        <w:t>电子化交易系统技术支持</w:t>
      </w:r>
      <w:r>
        <w:t>。</w:t>
      </w:r>
    </w:p>
    <w:p w14:paraId="3879E32A">
      <w:pPr>
        <w:pStyle w:val="81"/>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14:paraId="20C51986">
      <w:pPr>
        <w:pStyle w:val="4"/>
        <w:ind w:firstLine="482"/>
      </w:pPr>
      <w:r>
        <w:rPr>
          <w:rFonts w:hint="eastAsia"/>
        </w:rPr>
        <w:t>（五）电子投标文件</w:t>
      </w:r>
      <w:r>
        <w:t>的提交</w:t>
      </w:r>
    </w:p>
    <w:p w14:paraId="0656DC15">
      <w:pPr>
        <w:pStyle w:val="81"/>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14:paraId="35B7D99B">
      <w:pPr>
        <w:pStyle w:val="81"/>
        <w:ind w:firstLine="480"/>
      </w:pPr>
      <w:r>
        <w:t>出现下述情形的，电子投标文件将被系统拒收：</w:t>
      </w:r>
    </w:p>
    <w:p w14:paraId="6923E938">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1B70859">
      <w:pPr>
        <w:ind w:firstLine="480" w:firstLineChars="200"/>
        <w:jc w:val="both"/>
        <w:rPr>
          <w:rFonts w:cstheme="minorHAnsi"/>
        </w:rPr>
      </w:pPr>
      <w:r>
        <w:rPr>
          <w:rFonts w:hint="eastAsia" w:cstheme="minorHAnsi"/>
        </w:rPr>
        <w:t>2．</w:t>
      </w:r>
      <w:r>
        <w:rPr>
          <w:rFonts w:cstheme="minorHAnsi"/>
        </w:rPr>
        <w:t>逾期提交电子投标文件的；</w:t>
      </w:r>
    </w:p>
    <w:p w14:paraId="0209945B">
      <w:pPr>
        <w:pStyle w:val="81"/>
        <w:ind w:firstLine="480"/>
      </w:pPr>
      <w:r>
        <w:t>3</w:t>
      </w:r>
      <w:r>
        <w:rPr>
          <w:rFonts w:hint="eastAsia"/>
        </w:rPr>
        <w:t>．使用旧版电子招标文件制作电子投标文件的。</w:t>
      </w:r>
    </w:p>
    <w:p w14:paraId="092E8868">
      <w:pPr>
        <w:pStyle w:val="4"/>
        <w:ind w:firstLine="482"/>
      </w:pPr>
      <w:r>
        <w:t>（</w:t>
      </w:r>
      <w:r>
        <w:rPr>
          <w:rFonts w:hint="eastAsia"/>
        </w:rPr>
        <w:t>六</w:t>
      </w:r>
      <w:r>
        <w:t>）电子</w:t>
      </w:r>
      <w:r>
        <w:rPr>
          <w:rFonts w:hint="eastAsia"/>
        </w:rPr>
        <w:t>投标</w:t>
      </w:r>
      <w:r>
        <w:t>文件的撤回、补充及修改</w:t>
      </w:r>
    </w:p>
    <w:p w14:paraId="2729E8A5">
      <w:pPr>
        <w:pStyle w:val="81"/>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14:paraId="38FFA116">
      <w:pPr>
        <w:pStyle w:val="81"/>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14:paraId="41D38B9B">
      <w:pPr>
        <w:pStyle w:val="4"/>
        <w:ind w:firstLine="482"/>
      </w:pPr>
      <w:r>
        <w:rPr>
          <w:rFonts w:hint="eastAsia"/>
        </w:rPr>
        <w:t>（七）关于电子投标文件的雷同性分析</w:t>
      </w:r>
    </w:p>
    <w:p w14:paraId="6B9F7F24">
      <w:pPr>
        <w:pStyle w:val="81"/>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14:paraId="60DD6D01">
      <w:pPr>
        <w:pStyle w:val="81"/>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29ABB2FB">
      <w:pPr>
        <w:pStyle w:val="81"/>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14:paraId="3AFE0513">
      <w:pPr>
        <w:pStyle w:val="81"/>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0E7CD9CC">
      <w:pPr>
        <w:pStyle w:val="4"/>
        <w:ind w:firstLine="482"/>
      </w:pPr>
      <w:r>
        <w:rPr>
          <w:rFonts w:hint="eastAsia"/>
        </w:rPr>
        <w:t>（八）投标文件出现下列情形时，视同供应商串通投标，其投标无效：</w:t>
      </w:r>
    </w:p>
    <w:p w14:paraId="66BC20E1">
      <w:pPr>
        <w:pStyle w:val="81"/>
        <w:ind w:firstLine="480"/>
      </w:pPr>
      <w:r>
        <w:rPr>
          <w:rFonts w:hint="eastAsia"/>
        </w:rPr>
        <w:t>1．不同供应商的投标文件由同一单位或者个人编制的；</w:t>
      </w:r>
    </w:p>
    <w:p w14:paraId="5A46334D">
      <w:pPr>
        <w:pStyle w:val="81"/>
        <w:ind w:firstLine="480"/>
      </w:pPr>
      <w:r>
        <w:rPr>
          <w:rFonts w:hint="eastAsia"/>
        </w:rPr>
        <w:t>2．不同供应商委托同一单位或者个人办理投标事宜的；</w:t>
      </w:r>
    </w:p>
    <w:p w14:paraId="522AE976">
      <w:pPr>
        <w:pStyle w:val="81"/>
        <w:ind w:firstLine="480"/>
      </w:pPr>
      <w:r>
        <w:rPr>
          <w:rFonts w:hint="eastAsia"/>
        </w:rPr>
        <w:t>3．不同供应商的投标文件载明的项目管理成员或者联系人员为同一人的；</w:t>
      </w:r>
    </w:p>
    <w:p w14:paraId="226BBCA8">
      <w:pPr>
        <w:pStyle w:val="81"/>
        <w:ind w:firstLine="480"/>
      </w:pPr>
      <w:r>
        <w:rPr>
          <w:rFonts w:hint="eastAsia"/>
        </w:rPr>
        <w:t>4．不同供应商的投标文件异常一致或者投标报价呈规律性差异的。</w:t>
      </w:r>
    </w:p>
    <w:p w14:paraId="38B1B516">
      <w:pPr>
        <w:pStyle w:val="81"/>
        <w:ind w:firstLine="480"/>
      </w:pPr>
      <w:r>
        <w:rPr>
          <w:rFonts w:hint="eastAsia"/>
        </w:rPr>
        <w:t>5．不同供应商的投标文件相互混编或混装的。</w:t>
      </w:r>
    </w:p>
    <w:p w14:paraId="147CE1F7">
      <w:pPr>
        <w:pStyle w:val="3"/>
      </w:pPr>
      <w:r>
        <w:rPr>
          <w:rFonts w:hint="eastAsia"/>
        </w:rPr>
        <w:t>五</w:t>
      </w:r>
      <w:r>
        <w:t>、开标</w:t>
      </w:r>
      <w:r>
        <w:rPr>
          <w:rFonts w:hint="eastAsia"/>
        </w:rPr>
        <w:t>程序</w:t>
      </w:r>
    </w:p>
    <w:p w14:paraId="15F57376">
      <w:pPr>
        <w:pStyle w:val="81"/>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67B84E63">
      <w:pPr>
        <w:pStyle w:val="81"/>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26DB9D5E">
      <w:pPr>
        <w:pStyle w:val="81"/>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14:paraId="045B2839">
      <w:pPr>
        <w:pStyle w:val="4"/>
        <w:ind w:firstLine="482"/>
      </w:pPr>
      <w:r>
        <w:rPr>
          <w:rFonts w:hint="eastAsia"/>
        </w:rPr>
        <w:t>（一）基本流程</w:t>
      </w:r>
    </w:p>
    <w:p w14:paraId="2975C69C">
      <w:pPr>
        <w:pStyle w:val="81"/>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14:paraId="26511747">
      <w:pPr>
        <w:pStyle w:val="81"/>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0FF6D903">
      <w:pPr>
        <w:pStyle w:val="81"/>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pPr>
        <w:pStyle w:val="81"/>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14:paraId="30688DCD">
      <w:pPr>
        <w:pStyle w:val="81"/>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3614C984">
      <w:pPr>
        <w:pStyle w:val="4"/>
        <w:ind w:firstLine="480" w:firstLineChars="200"/>
      </w:pPr>
      <w:r>
        <w:rPr>
          <w:rFonts w:hint="eastAsia"/>
        </w:rPr>
        <w:t>（二）开标环节出现以下情形之一的，投标文件将被视为无效：</w:t>
      </w:r>
    </w:p>
    <w:p w14:paraId="568390D6">
      <w:pPr>
        <w:pStyle w:val="81"/>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14:paraId="10585150">
      <w:pPr>
        <w:pStyle w:val="81"/>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14:paraId="27342F4C">
      <w:pPr>
        <w:pStyle w:val="81"/>
        <w:ind w:firstLine="480"/>
        <w:rPr>
          <w:color w:val="auto"/>
        </w:rPr>
      </w:pPr>
      <w:r>
        <w:rPr>
          <w:rFonts w:hint="eastAsia"/>
          <w:color w:val="auto"/>
        </w:rPr>
        <w:t>3．上传</w:t>
      </w:r>
      <w:r>
        <w:rPr>
          <w:color w:val="auto"/>
        </w:rPr>
        <w:t>的电子投标文件无法正常打开的；</w:t>
      </w:r>
    </w:p>
    <w:p w14:paraId="18074A28">
      <w:pPr>
        <w:pStyle w:val="81"/>
        <w:ind w:firstLine="480"/>
        <w:rPr>
          <w:color w:val="auto"/>
        </w:rPr>
      </w:pPr>
      <w:r>
        <w:rPr>
          <w:rFonts w:hint="eastAsia"/>
          <w:color w:val="auto"/>
        </w:rPr>
        <w:t>4．</w:t>
      </w:r>
      <w:r>
        <w:rPr>
          <w:color w:val="auto"/>
        </w:rPr>
        <w:t>政府采购法律法规规定的其他无效情形。</w:t>
      </w:r>
    </w:p>
    <w:p w14:paraId="6AB4A84F">
      <w:pPr>
        <w:pStyle w:val="4"/>
        <w:ind w:firstLine="482"/>
      </w:pPr>
      <w:r>
        <w:rPr>
          <w:rFonts w:hint="eastAsia"/>
        </w:rPr>
        <w:t>（</w:t>
      </w:r>
      <w:r>
        <w:t>三</w:t>
      </w:r>
      <w:r>
        <w:rPr>
          <w:rFonts w:hint="eastAsia"/>
        </w:rPr>
        <w:t>）突发状况的应急处置</w:t>
      </w:r>
    </w:p>
    <w:p w14:paraId="2FA9DF5A">
      <w:pPr>
        <w:pStyle w:val="81"/>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14:paraId="22EA54D1">
      <w:pPr>
        <w:pStyle w:val="3"/>
      </w:pPr>
      <w:r>
        <w:t>六、资格审查</w:t>
      </w:r>
    </w:p>
    <w:p w14:paraId="12C49698">
      <w:pPr>
        <w:pStyle w:val="81"/>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14:paraId="071C2BB1">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5EC4C811">
      <w:pPr>
        <w:pStyle w:val="81"/>
        <w:ind w:firstLine="480"/>
      </w:pPr>
      <w:r>
        <w:rPr>
          <w:rFonts w:hint="eastAsia"/>
        </w:rPr>
        <w:t>（1）不具备招标文件中规定的资格要求的；</w:t>
      </w:r>
    </w:p>
    <w:p w14:paraId="3E3C18CE">
      <w:pPr>
        <w:pStyle w:val="81"/>
        <w:ind w:firstLine="480"/>
      </w:pPr>
      <w:r>
        <w:rPr>
          <w:rFonts w:hint="eastAsia"/>
        </w:rPr>
        <w:t>（2）未按招标文件要求提供资格证明文件，或资格证明文件未按招标文件要求签字、盖章的；</w:t>
      </w:r>
    </w:p>
    <w:p w14:paraId="22906E81">
      <w:pPr>
        <w:pStyle w:val="81"/>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1AD1EF55">
      <w:pPr>
        <w:pStyle w:val="81"/>
        <w:ind w:firstLine="480"/>
      </w:pPr>
      <w:r>
        <w:rPr>
          <w:rFonts w:hint="eastAsia"/>
        </w:rPr>
        <w:t>（4）法律法规规定的其他无效情形。</w:t>
      </w:r>
    </w:p>
    <w:p w14:paraId="02D74681">
      <w:pPr>
        <w:pStyle w:val="81"/>
        <w:ind w:firstLine="480"/>
      </w:pPr>
      <w:r>
        <w:t>资格审查结束后，资格审查小组成员应当对审查结果进行签字确认；</w:t>
      </w:r>
      <w:r>
        <w:rPr>
          <w:rFonts w:hint="eastAsia"/>
        </w:rPr>
        <w:t>对未通过资格审查的供应商，资格审查小组应</w:t>
      </w:r>
      <w:r>
        <w:t>当场告知其未通过的原因。</w:t>
      </w:r>
    </w:p>
    <w:p w14:paraId="17B8864D">
      <w:pPr>
        <w:pStyle w:val="81"/>
        <w:ind w:firstLine="480"/>
      </w:pPr>
      <w:r>
        <w:t>合格供应商不足3家的，</w:t>
      </w:r>
      <w:r>
        <w:rPr>
          <w:rFonts w:hint="eastAsia"/>
        </w:rPr>
        <w:t>应予以废标。</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58" w:hRule="atLeast"/>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1087B0DB">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24或</w:t>
            </w:r>
            <w:r>
              <w:rPr>
                <w:rFonts w:hint="eastAsia" w:ascii="Calibri" w:hAnsi="宋体" w:eastAsia="宋体" w:cstheme="minorHAnsi"/>
                <w:bCs/>
                <w:sz w:val="21"/>
              </w:rPr>
              <w:t>2</w:t>
            </w:r>
            <w:r>
              <w:rPr>
                <w:rFonts w:ascii="Calibri" w:hAnsi="宋体" w:eastAsia="宋体" w:cstheme="minorHAnsi"/>
                <w:bCs/>
                <w:sz w:val="21"/>
              </w:rPr>
              <w:t>025</w:t>
            </w:r>
            <w:r>
              <w:rPr>
                <w:rFonts w:hint="eastAsia" w:ascii="Calibri" w:hAnsi="宋体" w:eastAsia="宋体" w:cstheme="minorHAnsi"/>
                <w:bCs/>
                <w:sz w:val="21"/>
              </w:rPr>
              <w:t>年度经审计的财务会计报告（成立时间至提交投标文件截止时间不足一年的可提供成立后任意时段的资产负债表）；</w:t>
            </w:r>
          </w:p>
          <w:p w14:paraId="40987256">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31" w:hRule="atLeast"/>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7</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52" w:hRule="atLeast"/>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7</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21" w:hRule="atLeast"/>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中小企业声明函</w:t>
            </w:r>
          </w:p>
        </w:tc>
        <w:tc>
          <w:tcPr>
            <w:tcW w:w="5846" w:type="dxa"/>
            <w:vAlign w:val="center"/>
          </w:tcPr>
          <w:p w14:paraId="123631DD">
            <w:pPr>
              <w:spacing w:line="400" w:lineRule="exact"/>
              <w:jc w:val="both"/>
              <w:rPr>
                <w:rFonts w:ascii="Calibri" w:hAnsi="宋体" w:eastAsia="宋体" w:cstheme="minorHAnsi"/>
                <w:bCs/>
                <w:color w:val="FF0000"/>
                <w:sz w:val="21"/>
              </w:rPr>
            </w:pPr>
            <w:r>
              <w:rPr>
                <w:rFonts w:hint="eastAsia" w:ascii="Calibri" w:hAnsi="宋体" w:eastAsia="宋体" w:cstheme="minorHAnsi"/>
                <w:bCs/>
                <w:sz w:val="21"/>
              </w:rPr>
              <w:t>仅接受中型企业或小型、微型企业参与，提供《中小企业声明函》、或《残疾人福利性单位声明函》、或《监狱企业证明函》。</w:t>
            </w:r>
          </w:p>
        </w:tc>
      </w:tr>
      <w:tr w14:paraId="0DFF8F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E2DC6E3">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14:paraId="3D33F9B6">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241099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203915BB">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49036DE4">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保安服务许可证</w:t>
            </w:r>
          </w:p>
        </w:tc>
        <w:tc>
          <w:tcPr>
            <w:tcW w:w="5846" w:type="dxa"/>
            <w:vAlign w:val="center"/>
          </w:tcPr>
          <w:p w14:paraId="239B9E32">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供应商须提供公安机关颁发的《保安服务许可证》；陕西省外供应商还须出具承诺书（承诺书形式不限），承诺自承接本项目之日起30日内向采购人所在地设区的市级人民政府公安机关备案。</w:t>
            </w: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4B630391">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08CAB4B">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0F906DD9">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14:paraId="32D2C492">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color w:val="00B05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0D4FE9EB">
      <w:pPr>
        <w:pStyle w:val="3"/>
      </w:pPr>
      <w:r>
        <w:t>七、评审方法和程序</w:t>
      </w:r>
    </w:p>
    <w:p w14:paraId="4DCD95B1">
      <w:pPr>
        <w:pStyle w:val="4"/>
        <w:ind w:firstLine="482"/>
      </w:pPr>
      <w:r>
        <w:t>（一）评标方法</w:t>
      </w:r>
    </w:p>
    <w:p w14:paraId="50B5260D">
      <w:pPr>
        <w:pStyle w:val="81"/>
        <w:ind w:firstLine="480"/>
      </w:pPr>
      <w:r>
        <w:t>本项目采用</w:t>
      </w:r>
      <w:r>
        <w:rPr>
          <w:color w:val="C00000"/>
        </w:rPr>
        <w:t>综合评分法</w:t>
      </w:r>
      <w:r>
        <w:rPr>
          <w:rFonts w:hint="eastAsia"/>
          <w:color w:val="C00000"/>
        </w:rPr>
        <w:t>。</w:t>
      </w:r>
    </w:p>
    <w:p w14:paraId="04856298">
      <w:pPr>
        <w:pStyle w:val="81"/>
        <w:ind w:firstLine="480"/>
      </w:pPr>
      <w:r>
        <w:rPr>
          <w:rFonts w:hint="eastAsia"/>
        </w:rPr>
        <w:t>评标方法分为最低评标价法和综合评分法。</w:t>
      </w:r>
    </w:p>
    <w:p w14:paraId="0C241752">
      <w:pPr>
        <w:pStyle w:val="81"/>
        <w:ind w:firstLine="480"/>
      </w:pPr>
      <w:r>
        <w:rPr>
          <w:rFonts w:hint="eastAsia"/>
        </w:rPr>
        <w:t>1、最低评标价法，是指投标文件满足招标文件全部实质性要求，且投标报价最低的供应商为中标候选人的评标方法。</w:t>
      </w:r>
    </w:p>
    <w:p w14:paraId="62F47F6A">
      <w:pPr>
        <w:pStyle w:val="81"/>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14:paraId="428FCA09">
      <w:pPr>
        <w:pStyle w:val="4"/>
        <w:ind w:firstLine="482"/>
      </w:pPr>
      <w:r>
        <w:t>（二）评标形式</w:t>
      </w:r>
    </w:p>
    <w:p w14:paraId="253CAA0B">
      <w:pPr>
        <w:pStyle w:val="81"/>
        <w:widowControl w:val="0"/>
        <w:ind w:firstLine="480"/>
      </w:pPr>
      <w:r>
        <w:rPr>
          <w:rFonts w:hint="eastAsia"/>
        </w:rPr>
        <w:t>1．关于技术标“暗标盲评”</w:t>
      </w:r>
    </w:p>
    <w:p w14:paraId="23542BF5">
      <w:pPr>
        <w:pStyle w:val="81"/>
        <w:widowControl w:val="0"/>
        <w:ind w:firstLine="480"/>
      </w:pPr>
      <w:r>
        <w:rPr>
          <w:rFonts w:hint="eastAsia"/>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14:paraId="05E83320">
      <w:pPr>
        <w:pStyle w:val="81"/>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14:paraId="629839A5">
      <w:pPr>
        <w:pStyle w:val="81"/>
        <w:ind w:firstLine="480"/>
      </w:pPr>
      <w:r>
        <w:rPr>
          <w:rFonts w:hint="eastAsia"/>
        </w:rPr>
        <w:t>2．“暗标盲评部分”编制要求</w:t>
      </w:r>
    </w:p>
    <w:p w14:paraId="04E86089">
      <w:pPr>
        <w:pStyle w:val="81"/>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14:paraId="6FEB706A">
      <w:pPr>
        <w:pStyle w:val="81"/>
        <w:ind w:firstLine="480"/>
        <w:rPr>
          <w:color w:val="C00000"/>
        </w:rPr>
      </w:pPr>
      <w:r>
        <w:rPr>
          <w:rFonts w:hint="eastAsia"/>
          <w:color w:val="C00000"/>
        </w:rPr>
        <w:t>（1）不得出现任何可直接识别投标供应商身份的字符或徽标，包括文字、符号、图案、标志、标识、人员姓名、投标供应商独有的企业标准名称或编号等。</w:t>
      </w:r>
    </w:p>
    <w:p w14:paraId="36448A3F">
      <w:pPr>
        <w:pStyle w:val="81"/>
        <w:ind w:firstLine="480"/>
        <w:rPr>
          <w:color w:val="C00000"/>
        </w:rPr>
      </w:pPr>
      <w:r>
        <w:rPr>
          <w:rFonts w:hint="eastAsia"/>
          <w:color w:val="C00000"/>
        </w:rPr>
        <w:t>（2）签章要求：暗标部分不得进行签章。</w:t>
      </w:r>
    </w:p>
    <w:p w14:paraId="63C0B9B7">
      <w:pPr>
        <w:pStyle w:val="81"/>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pPr>
        <w:pStyle w:val="4"/>
        <w:ind w:firstLine="482"/>
      </w:pPr>
      <w:r>
        <w:t>（三）评标程序</w:t>
      </w:r>
    </w:p>
    <w:p w14:paraId="30AE02A8">
      <w:pPr>
        <w:pStyle w:val="81"/>
        <w:ind w:firstLine="482"/>
        <w:rPr>
          <w:b/>
        </w:rPr>
      </w:pPr>
      <w:r>
        <w:rPr>
          <w:rFonts w:hint="eastAsia"/>
          <w:b/>
        </w:rPr>
        <w:t>1</w:t>
      </w:r>
      <w:r>
        <w:rPr>
          <w:rFonts w:hint="eastAsia"/>
          <w:b/>
          <w:color w:val="auto"/>
        </w:rPr>
        <w:t>．</w:t>
      </w:r>
      <w:r>
        <w:rPr>
          <w:rFonts w:hint="eastAsia"/>
          <w:b/>
        </w:rPr>
        <w:t>组建评标委员会</w:t>
      </w:r>
    </w:p>
    <w:p w14:paraId="1EA8ACA4">
      <w:pPr>
        <w:pStyle w:val="81"/>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14:paraId="47F3DF9A">
      <w:pPr>
        <w:pStyle w:val="81"/>
        <w:ind w:firstLine="480"/>
      </w:pPr>
      <w:r>
        <w:rPr>
          <w:rFonts w:hint="eastAsia"/>
        </w:rPr>
        <w:t>由采购代理机构组织评标委员会推选评标组长，采购人代表不得担任组长。</w:t>
      </w:r>
    </w:p>
    <w:p w14:paraId="71D5F07B">
      <w:pPr>
        <w:pStyle w:val="81"/>
        <w:ind w:firstLine="482"/>
        <w:rPr>
          <w:b/>
        </w:rPr>
      </w:pPr>
      <w:r>
        <w:rPr>
          <w:rFonts w:hint="eastAsia"/>
          <w:b/>
        </w:rPr>
        <w:t>2</w:t>
      </w:r>
      <w:r>
        <w:rPr>
          <w:rFonts w:hint="eastAsia"/>
          <w:b/>
          <w:color w:val="auto"/>
        </w:rPr>
        <w:t>．</w:t>
      </w:r>
      <w:r>
        <w:rPr>
          <w:b/>
        </w:rPr>
        <w:t>投标文件的符合性审查</w:t>
      </w:r>
    </w:p>
    <w:p w14:paraId="3010E81C">
      <w:pPr>
        <w:pStyle w:val="81"/>
        <w:widowControl w:val="0"/>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14:paraId="4C75C960">
      <w:pPr>
        <w:pStyle w:val="81"/>
        <w:widowControl w:val="0"/>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14:paraId="3B88381A">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14:paraId="2A5A9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73DD0FD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14:paraId="02B68A00">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14:paraId="2FD8C717">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22D648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6FE5E7A8">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14:paraId="61F50859">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14:paraId="104E22F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14:paraId="20A00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14:paraId="376D93A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14:paraId="01C731A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51C8E3C1">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4269E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19F51CA">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14:paraId="28117A3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14:paraId="418B576B">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14:paraId="19A574DF">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14:paraId="7B81500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p>
          <w:p w14:paraId="2AE8CFAD">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4073E84E">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39A3C49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14:paraId="5ABA916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3836BE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4B5C9C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14:paraId="7D0ABAA5">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14:paraId="1FA746C0">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p w14:paraId="6F52027F">
            <w:pPr>
              <w:spacing w:line="400" w:lineRule="exact"/>
              <w:jc w:val="both"/>
              <w:rPr>
                <w:rFonts w:ascii="Calibri" w:hAnsi="宋体" w:eastAsia="宋体" w:cstheme="minorHAnsi"/>
                <w:bCs/>
                <w:sz w:val="21"/>
                <w:szCs w:val="21"/>
              </w:rPr>
            </w:pPr>
            <w:r>
              <w:rPr>
                <w:rFonts w:ascii="Calibri" w:hAnsi="宋体" w:eastAsia="宋体" w:cstheme="minorHAnsi"/>
                <w:b/>
                <w:color w:val="C00000"/>
                <w:sz w:val="21"/>
                <w:szCs w:val="21"/>
                <w:highlight w:val="yellow"/>
              </w:rPr>
              <w:t>注意：暗标部分不得进行签章</w:t>
            </w:r>
            <w:r>
              <w:rPr>
                <w:rFonts w:ascii="Calibri" w:hAnsi="宋体" w:eastAsia="宋体" w:cstheme="minorHAnsi"/>
                <w:color w:val="C00000"/>
                <w:sz w:val="21"/>
                <w:szCs w:val="21"/>
                <w:highlight w:val="yellow"/>
              </w:rPr>
              <w:t>。</w:t>
            </w:r>
          </w:p>
        </w:tc>
      </w:tr>
      <w:tr w14:paraId="6D6960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73D7BC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14:paraId="7CC1D94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14:paraId="33B97925">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14:paraId="08AE7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E9983B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14:paraId="625FDAE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14:paraId="125CAEE6">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14:paraId="0933AA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890364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14:paraId="3F7E358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14:paraId="67D854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713592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14:paraId="2F4F3712">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0D0075D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65B5C42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14:paraId="7F4C6C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E25590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141" w:type="dxa"/>
            <w:vAlign w:val="center"/>
          </w:tcPr>
          <w:p w14:paraId="19D5FF8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56E87AAC">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41B95DB3">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72915C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31EE275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14:paraId="1868B3E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03C9DF8A">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05EC66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DA85389">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14:paraId="4D998683">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14:paraId="15CA1DF8">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14:paraId="51971B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92200F8">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14:paraId="088C0BBB">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14:paraId="7FAAAC0B">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F5673B4">
      <w:pPr>
        <w:pStyle w:val="81"/>
        <w:ind w:firstLine="482"/>
        <w:rPr>
          <w:b/>
        </w:rPr>
      </w:pPr>
      <w:r>
        <w:rPr>
          <w:b/>
        </w:rPr>
        <w:t>3</w:t>
      </w:r>
      <w:r>
        <w:rPr>
          <w:rFonts w:hint="eastAsia"/>
          <w:b/>
          <w:color w:val="auto"/>
        </w:rPr>
        <w:t>．投标</w:t>
      </w:r>
      <w:r>
        <w:rPr>
          <w:rFonts w:hint="eastAsia"/>
          <w:b/>
        </w:rPr>
        <w:t>文件的澄清</w:t>
      </w:r>
    </w:p>
    <w:p w14:paraId="32A1BE32">
      <w:pPr>
        <w:pStyle w:val="81"/>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14:paraId="6CEEB1D6">
      <w:pPr>
        <w:pStyle w:val="81"/>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68BFF8D4">
      <w:pPr>
        <w:pStyle w:val="81"/>
        <w:ind w:firstLine="482"/>
        <w:rPr>
          <w:b/>
        </w:rPr>
      </w:pPr>
      <w:r>
        <w:rPr>
          <w:rFonts w:hint="eastAsia"/>
          <w:b/>
        </w:rPr>
        <w:t>4．异常低价的审查</w:t>
      </w:r>
    </w:p>
    <w:p w14:paraId="38F56A15">
      <w:pPr>
        <w:pStyle w:val="99"/>
        <w:snapToGrid w:val="0"/>
        <w:spacing w:line="360" w:lineRule="auto"/>
        <w:ind w:firstLine="480" w:firstLineChars="200"/>
        <w:textAlignment w:val="auto"/>
        <w:rPr>
          <w:rFonts w:hAnsi="宋体" w:cs="宋体"/>
          <w:sz w:val="24"/>
          <w:szCs w:val="24"/>
        </w:rPr>
      </w:pPr>
      <w:r>
        <w:rPr>
          <w:rFonts w:hint="eastAsia" w:hAnsi="宋体" w:cs="宋体"/>
          <w:sz w:val="24"/>
          <w:szCs w:val="24"/>
        </w:rPr>
        <w:t>（1）评审中出现下列情形之一的，评标委员会应当启动异常低价投标审查程序：</w:t>
      </w:r>
    </w:p>
    <w:p w14:paraId="39F38657">
      <w:pPr>
        <w:pStyle w:val="99"/>
        <w:snapToGrid w:val="0"/>
        <w:spacing w:line="360" w:lineRule="auto"/>
        <w:ind w:firstLine="480" w:firstLineChars="200"/>
        <w:textAlignment w:val="auto"/>
        <w:rPr>
          <w:color w:val="FF0000"/>
          <w:sz w:val="24"/>
          <w:szCs w:val="24"/>
        </w:rPr>
      </w:pPr>
      <w:r>
        <w:rPr>
          <w:rFonts w:hint="eastAsia"/>
          <w:color w:val="FF0000"/>
          <w:sz w:val="24"/>
          <w:szCs w:val="24"/>
        </w:rPr>
        <w:t xml:space="preserve">① </w:t>
      </w:r>
      <w:r>
        <w:rPr>
          <w:color w:val="FF0000"/>
          <w:sz w:val="24"/>
          <w:szCs w:val="24"/>
        </w:rPr>
        <w:t>投标报价低于全部通过符合性审查供应商投标报价平均值</w:t>
      </w:r>
      <w:r>
        <w:rPr>
          <w:color w:val="FF0000"/>
          <w:sz w:val="24"/>
          <w:szCs w:val="24"/>
          <w:u w:val="single"/>
        </w:rPr>
        <w:t>50</w:t>
      </w:r>
      <w:r>
        <w:rPr>
          <w:color w:val="FF0000"/>
          <w:sz w:val="24"/>
          <w:szCs w:val="24"/>
        </w:rPr>
        <w:t>%的，即投标报价</w:t>
      </w:r>
      <w:r>
        <w:rPr>
          <w:rFonts w:hint="eastAsia"/>
          <w:color w:val="FF0000"/>
          <w:sz w:val="24"/>
          <w:szCs w:val="24"/>
        </w:rPr>
        <w:t>＜</w:t>
      </w:r>
      <w:r>
        <w:rPr>
          <w:color w:val="FF0000"/>
          <w:sz w:val="24"/>
          <w:szCs w:val="24"/>
        </w:rPr>
        <w:t>全部通过符合性审查供应商投标报价平均值×</w:t>
      </w:r>
      <w:r>
        <w:rPr>
          <w:color w:val="FF0000"/>
          <w:sz w:val="24"/>
          <w:szCs w:val="24"/>
          <w:u w:val="single"/>
        </w:rPr>
        <w:t>50</w:t>
      </w:r>
      <w:r>
        <w:rPr>
          <w:color w:val="FF0000"/>
          <w:sz w:val="24"/>
          <w:szCs w:val="24"/>
        </w:rPr>
        <w:t>%；</w:t>
      </w:r>
    </w:p>
    <w:p w14:paraId="4E7581DC">
      <w:pPr>
        <w:pStyle w:val="99"/>
        <w:snapToGrid w:val="0"/>
        <w:spacing w:line="360" w:lineRule="auto"/>
        <w:ind w:firstLine="480" w:firstLineChars="200"/>
        <w:textAlignment w:val="auto"/>
        <w:rPr>
          <w:color w:val="FF0000"/>
          <w:sz w:val="24"/>
          <w:szCs w:val="24"/>
        </w:rPr>
      </w:pPr>
      <w:r>
        <w:rPr>
          <w:rFonts w:hint="eastAsia"/>
          <w:color w:val="FF0000"/>
          <w:sz w:val="24"/>
          <w:szCs w:val="24"/>
        </w:rPr>
        <w:t xml:space="preserve">② </w:t>
      </w:r>
      <w:r>
        <w:rPr>
          <w:color w:val="FF0000"/>
          <w:sz w:val="24"/>
          <w:szCs w:val="24"/>
        </w:rPr>
        <w:t>投标报价低于通过符合性审查的次低报价供应商投标报价</w:t>
      </w:r>
      <w:r>
        <w:rPr>
          <w:color w:val="FF0000"/>
          <w:sz w:val="24"/>
          <w:szCs w:val="24"/>
          <w:u w:val="single"/>
        </w:rPr>
        <w:t>50</w:t>
      </w:r>
      <w:r>
        <w:rPr>
          <w:color w:val="FF0000"/>
          <w:sz w:val="24"/>
          <w:szCs w:val="24"/>
        </w:rPr>
        <w:t>%的，即投标报价</w:t>
      </w:r>
      <w:r>
        <w:rPr>
          <w:rFonts w:hint="eastAsia"/>
          <w:color w:val="FF0000"/>
          <w:sz w:val="24"/>
          <w:szCs w:val="24"/>
        </w:rPr>
        <w:t>＜</w:t>
      </w:r>
      <w:r>
        <w:rPr>
          <w:color w:val="FF0000"/>
          <w:sz w:val="24"/>
          <w:szCs w:val="24"/>
        </w:rPr>
        <w:t>通过符合性审查的次低报价供应商投标报价×</w:t>
      </w:r>
      <w:r>
        <w:rPr>
          <w:color w:val="FF0000"/>
          <w:sz w:val="24"/>
          <w:szCs w:val="24"/>
          <w:u w:val="single"/>
        </w:rPr>
        <w:t>50</w:t>
      </w:r>
      <w:r>
        <w:rPr>
          <w:color w:val="FF0000"/>
          <w:sz w:val="24"/>
          <w:szCs w:val="24"/>
        </w:rPr>
        <w:t>%；</w:t>
      </w:r>
    </w:p>
    <w:p w14:paraId="0D03AEFD">
      <w:pPr>
        <w:pStyle w:val="99"/>
        <w:snapToGrid w:val="0"/>
        <w:spacing w:line="360" w:lineRule="auto"/>
        <w:ind w:firstLine="480" w:firstLineChars="200"/>
        <w:textAlignment w:val="auto"/>
        <w:rPr>
          <w:rFonts w:hAnsi="宋体" w:cs="宋体"/>
          <w:color w:val="FF0000"/>
          <w:sz w:val="24"/>
          <w:szCs w:val="24"/>
        </w:rPr>
      </w:pPr>
      <w:r>
        <w:rPr>
          <w:rFonts w:hint="eastAsia"/>
          <w:color w:val="FF0000"/>
          <w:sz w:val="24"/>
          <w:szCs w:val="24"/>
        </w:rPr>
        <w:t xml:space="preserve">③ </w:t>
      </w:r>
      <w:r>
        <w:rPr>
          <w:color w:val="FF0000"/>
          <w:sz w:val="24"/>
          <w:szCs w:val="24"/>
        </w:rPr>
        <w:t>投标报价低于采购项目最高限价</w:t>
      </w:r>
      <w:r>
        <w:rPr>
          <w:color w:val="FF0000"/>
          <w:sz w:val="24"/>
          <w:szCs w:val="24"/>
          <w:u w:val="single"/>
        </w:rPr>
        <w:t>45</w:t>
      </w:r>
      <w:r>
        <w:rPr>
          <w:color w:val="FF0000"/>
          <w:sz w:val="24"/>
          <w:szCs w:val="24"/>
        </w:rPr>
        <w:t>%的，即投标报价</w:t>
      </w:r>
      <w:r>
        <w:rPr>
          <w:rFonts w:hint="eastAsia"/>
          <w:color w:val="FF0000"/>
          <w:sz w:val="24"/>
          <w:szCs w:val="24"/>
        </w:rPr>
        <w:t>＜</w:t>
      </w:r>
      <w:r>
        <w:rPr>
          <w:color w:val="FF0000"/>
          <w:sz w:val="24"/>
          <w:szCs w:val="24"/>
        </w:rPr>
        <w:t>采购项目最高限价×</w:t>
      </w:r>
      <w:r>
        <w:rPr>
          <w:color w:val="FF0000"/>
          <w:sz w:val="24"/>
          <w:szCs w:val="24"/>
          <w:u w:val="single"/>
        </w:rPr>
        <w:t>45</w:t>
      </w:r>
      <w:r>
        <w:rPr>
          <w:color w:val="FF0000"/>
          <w:sz w:val="24"/>
          <w:szCs w:val="24"/>
        </w:rPr>
        <w:t>%</w:t>
      </w:r>
      <w:r>
        <w:rPr>
          <w:rFonts w:hint="eastAsia" w:hAnsi="宋体" w:cs="宋体"/>
          <w:color w:val="FF0000"/>
          <w:sz w:val="24"/>
          <w:szCs w:val="24"/>
        </w:rPr>
        <w:t>；</w:t>
      </w:r>
    </w:p>
    <w:p w14:paraId="615CE01F">
      <w:pPr>
        <w:pStyle w:val="99"/>
        <w:snapToGrid w:val="0"/>
        <w:spacing w:line="360" w:lineRule="auto"/>
        <w:ind w:firstLine="480" w:firstLineChars="200"/>
        <w:textAlignment w:val="auto"/>
        <w:rPr>
          <w:rFonts w:hAnsi="宋体" w:cs="宋体"/>
          <w:sz w:val="24"/>
          <w:szCs w:val="24"/>
        </w:rPr>
      </w:pPr>
      <w:r>
        <w:rPr>
          <w:rFonts w:hint="eastAsia" w:hAnsi="宋体" w:cs="宋体"/>
          <w:sz w:val="24"/>
          <w:szCs w:val="24"/>
        </w:rPr>
        <w:t>④ 评标委员会基于专业判断，认为供应商报价过低，有可能影响产品质量或者不能诚信履约的其他情形。</w:t>
      </w:r>
    </w:p>
    <w:p w14:paraId="430EF8A7">
      <w:pPr>
        <w:pStyle w:val="99"/>
        <w:snapToGrid w:val="0"/>
        <w:spacing w:line="360" w:lineRule="auto"/>
        <w:ind w:firstLine="480" w:firstLineChars="200"/>
        <w:textAlignment w:val="auto"/>
        <w:rPr>
          <w:rFonts w:hAnsi="宋体" w:cs="宋体"/>
          <w:sz w:val="24"/>
          <w:szCs w:val="24"/>
        </w:rPr>
      </w:pPr>
      <w:r>
        <w:rPr>
          <w:rFonts w:hint="eastAsia" w:hAnsi="宋体" w:cs="宋体"/>
          <w:sz w:val="24"/>
          <w:szCs w:val="24"/>
        </w:rPr>
        <w:t>（2）评标委员会启动异常低价投标审查后，属于第①项至第④项情形的，相关供应商应当在40分钟</w:t>
      </w:r>
      <w:r>
        <w:rPr>
          <w:rFonts w:hAnsi="宋体" w:cs="宋体"/>
          <w:sz w:val="24"/>
          <w:szCs w:val="24"/>
        </w:rPr>
        <w:t>内</w:t>
      </w:r>
      <w:r>
        <w:rPr>
          <w:rFonts w:hint="eastAsia" w:hAnsi="宋体" w:cs="宋体"/>
          <w:sz w:val="24"/>
          <w:szCs w:val="24"/>
        </w:rPr>
        <w:t>通过电子</w:t>
      </w:r>
      <w:r>
        <w:rPr>
          <w:rFonts w:hAnsi="宋体" w:cs="宋体"/>
          <w:sz w:val="24"/>
          <w:szCs w:val="24"/>
        </w:rPr>
        <w:t>交易平台</w:t>
      </w:r>
      <w:r>
        <w:rPr>
          <w:rFonts w:hint="eastAsia" w:hAnsi="宋体" w:cs="宋体"/>
          <w:sz w:val="24"/>
          <w:szCs w:val="24"/>
        </w:rPr>
        <w:t>，提供项目具体成本测算等与报价合理性相关的书面说明及必要的证明材料，包括但不限于原材料成本、人工成本、制造费用等。其中，属于第③项情形，供应商已随投标文件一并提交相关书面说明及必要的证明材料的，可不再重复提交。</w:t>
      </w:r>
    </w:p>
    <w:p w14:paraId="3065EE05">
      <w:pPr>
        <w:pStyle w:val="99"/>
        <w:snapToGrid w:val="0"/>
        <w:spacing w:line="360" w:lineRule="auto"/>
        <w:ind w:firstLine="480" w:firstLineChars="200"/>
        <w:textAlignment w:val="auto"/>
        <w:rPr>
          <w:rFonts w:hAnsi="宋体" w:cs="宋体"/>
          <w:sz w:val="24"/>
          <w:szCs w:val="24"/>
        </w:rPr>
      </w:pPr>
      <w:r>
        <w:rPr>
          <w:rFonts w:hint="eastAsia" w:hAnsi="宋体" w:cs="宋体"/>
          <w:sz w:val="24"/>
          <w:szCs w:val="24"/>
        </w:rPr>
        <w:t>评标委员会依据专业经验，参考同类项目中标价格、类似产品市场价格水平、行业人工费用标准、国家有关部门指导行业协会发布的行业平均成本等情况，对报价合理性进行判断。</w:t>
      </w:r>
      <w:r>
        <w:rPr>
          <w:rFonts w:hint="eastAsia" w:hAnsi="宋体" w:cs="宋体"/>
          <w:b/>
          <w:sz w:val="24"/>
          <w:szCs w:val="24"/>
        </w:rPr>
        <w:t>投标供应商不能提供书面说明、证明材料，或者提供的书面说明、证明材料不能证明其报价合理性的，评标委员会应当将其作为无效投标处理。</w:t>
      </w:r>
    </w:p>
    <w:p w14:paraId="5168F701">
      <w:pPr>
        <w:pStyle w:val="99"/>
        <w:snapToGrid w:val="0"/>
        <w:spacing w:line="360" w:lineRule="auto"/>
        <w:ind w:firstLine="480" w:firstLineChars="200"/>
        <w:textAlignment w:val="auto"/>
        <w:rPr>
          <w:rFonts w:hAnsi="宋体" w:cs="宋体"/>
          <w:sz w:val="24"/>
          <w:szCs w:val="24"/>
        </w:rPr>
      </w:pPr>
      <w:r>
        <w:rPr>
          <w:rFonts w:hint="eastAsia" w:hAnsi="宋体" w:cs="宋体"/>
          <w:sz w:val="24"/>
          <w:szCs w:val="24"/>
        </w:rPr>
        <w:t>采购人、采购代理机构应当为评标委员会在评审现场及时获取同类项目中标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B1753C5">
      <w:pPr>
        <w:pStyle w:val="99"/>
        <w:snapToGrid w:val="0"/>
        <w:spacing w:line="360" w:lineRule="auto"/>
        <w:ind w:firstLine="480" w:firstLineChars="200"/>
        <w:textAlignment w:val="auto"/>
        <w:rPr>
          <w:rFonts w:hAnsi="宋体" w:cs="宋体"/>
          <w:sz w:val="24"/>
          <w:szCs w:val="24"/>
        </w:rPr>
      </w:pPr>
      <w:r>
        <w:rPr>
          <w:rFonts w:hint="eastAsia" w:hAnsi="宋体" w:cs="宋体"/>
          <w:sz w:val="24"/>
          <w:szCs w:val="24"/>
        </w:rPr>
        <w:t>异常低价投标审查的启动原因、审查意见和审查结果应当在评审报告中记录，并随供应商提供的相关书面说明及证明材料，以及评标委员会有关互联网浏览、查询历史一并归档。</w:t>
      </w:r>
    </w:p>
    <w:p w14:paraId="2CF99C6F">
      <w:pPr>
        <w:pStyle w:val="81"/>
        <w:ind w:firstLine="482"/>
        <w:rPr>
          <w:b/>
        </w:rPr>
      </w:pPr>
      <w:r>
        <w:rPr>
          <w:b/>
        </w:rPr>
        <w:t>5</w:t>
      </w:r>
      <w:r>
        <w:rPr>
          <w:rFonts w:hint="eastAsia"/>
          <w:b/>
        </w:rPr>
        <w:t>．</w:t>
      </w:r>
      <w:r>
        <w:rPr>
          <w:b/>
        </w:rPr>
        <w:t>综合比较与评价</w:t>
      </w:r>
    </w:p>
    <w:p w14:paraId="1A590DF6">
      <w:pPr>
        <w:pStyle w:val="81"/>
        <w:ind w:firstLine="480"/>
      </w:pPr>
      <w:r>
        <w:rPr>
          <w:rFonts w:hint="eastAsia"/>
        </w:rPr>
        <w:t>采用最低评标价法的，评标委员会对通过符合性审查的投标文件的投标报价由低到高顺序排列。</w:t>
      </w:r>
    </w:p>
    <w:p w14:paraId="7EF30C10">
      <w:pPr>
        <w:pStyle w:val="81"/>
        <w:ind w:firstLine="480"/>
      </w:pPr>
      <w:r>
        <w:rPr>
          <w:rFonts w:hint="eastAsia"/>
        </w:rPr>
        <w:t>采用综合评分法的，</w:t>
      </w:r>
      <w:r>
        <w:t>评标委员会按「评审要素及分值一览表」中规定的评标方法和标准，对通过符合性审查的投标文件进行商务和技术评估，综合比较与评价。</w:t>
      </w:r>
    </w:p>
    <w:p w14:paraId="62034A2C">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5951"/>
        <w:gridCol w:w="1276"/>
      </w:tblGrid>
      <w:tr w14:paraId="7FE741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68FD6C4C">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5D30909A">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5951" w:type="dxa"/>
            <w:vMerge w:val="restart"/>
            <w:tcBorders>
              <w:top w:val="single" w:color="auto" w:sz="12" w:space="0"/>
              <w:bottom w:val="single" w:color="auto" w:sz="2" w:space="0"/>
            </w:tcBorders>
            <w:shd w:val="clear" w:color="auto" w:fill="F1F1F1" w:themeFill="background1" w:themeFillShade="F2"/>
            <w:vAlign w:val="center"/>
          </w:tcPr>
          <w:p w14:paraId="2B283A7D">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w:t>
            </w:r>
            <w:r>
              <w:rPr>
                <w:rFonts w:ascii="Calibri" w:hAnsi="宋体" w:eastAsia="宋体" w:cstheme="minorHAnsi"/>
                <w:b/>
                <w:bCs/>
                <w:sz w:val="21"/>
                <w:szCs w:val="21"/>
              </w:rPr>
              <w:t>要素</w:t>
            </w:r>
          </w:p>
        </w:tc>
        <w:tc>
          <w:tcPr>
            <w:tcW w:w="1276" w:type="dxa"/>
            <w:vMerge w:val="restart"/>
            <w:tcBorders>
              <w:top w:val="single" w:color="auto" w:sz="12" w:space="0"/>
              <w:bottom w:val="single" w:color="auto" w:sz="2" w:space="0"/>
            </w:tcBorders>
            <w:shd w:val="clear" w:color="auto" w:fill="F1F1F1" w:themeFill="background1" w:themeFillShade="F2"/>
            <w:vAlign w:val="center"/>
          </w:tcPr>
          <w:p w14:paraId="41589F62">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14:paraId="286798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65C8AF9A">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5F059A8F">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75074433">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5951" w:type="dxa"/>
            <w:vMerge w:val="continue"/>
            <w:tcBorders>
              <w:top w:val="single" w:color="auto" w:sz="2" w:space="0"/>
              <w:bottom w:val="single" w:color="auto" w:sz="2" w:space="0"/>
            </w:tcBorders>
            <w:shd w:val="clear" w:color="auto" w:fill="F1F1F1" w:themeFill="background1" w:themeFillShade="F2"/>
            <w:vAlign w:val="center"/>
          </w:tcPr>
          <w:p w14:paraId="32D05A14">
            <w:pPr>
              <w:spacing w:line="400" w:lineRule="exact"/>
              <w:ind w:firstLine="420"/>
              <w:jc w:val="center"/>
              <w:rPr>
                <w:rFonts w:ascii="Calibri" w:hAnsi="宋体" w:eastAsia="宋体" w:cstheme="minorHAnsi"/>
                <w:bCs/>
                <w:sz w:val="21"/>
                <w:szCs w:val="21"/>
              </w:rPr>
            </w:pPr>
          </w:p>
        </w:tc>
        <w:tc>
          <w:tcPr>
            <w:tcW w:w="1276" w:type="dxa"/>
            <w:vMerge w:val="continue"/>
            <w:tcBorders>
              <w:top w:val="single" w:color="auto" w:sz="2" w:space="0"/>
              <w:bottom w:val="single" w:color="auto" w:sz="2" w:space="0"/>
            </w:tcBorders>
            <w:shd w:val="clear" w:color="auto" w:fill="F1F1F1" w:themeFill="background1" w:themeFillShade="F2"/>
            <w:vAlign w:val="center"/>
          </w:tcPr>
          <w:p w14:paraId="7E1C8D59">
            <w:pPr>
              <w:spacing w:line="400" w:lineRule="exact"/>
              <w:jc w:val="center"/>
              <w:rPr>
                <w:rFonts w:ascii="Calibri" w:hAnsi="宋体" w:eastAsia="宋体" w:cstheme="minorHAnsi"/>
                <w:bCs/>
                <w:sz w:val="21"/>
                <w:szCs w:val="21"/>
              </w:rPr>
            </w:pPr>
          </w:p>
        </w:tc>
      </w:tr>
      <w:tr w14:paraId="2D8B2F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29561CCB">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14:paraId="679B7135">
            <w:pPr>
              <w:spacing w:line="400" w:lineRule="exact"/>
              <w:jc w:val="center"/>
              <w:rPr>
                <w:rFonts w:ascii="Calibri" w:hAnsi="宋体" w:eastAsia="宋体" w:cs="宋体"/>
                <w:bCs/>
                <w:sz w:val="21"/>
                <w:szCs w:val="21"/>
              </w:rPr>
            </w:pPr>
            <w:r>
              <w:rPr>
                <w:rFonts w:ascii="Calibri" w:hAnsi="宋体" w:eastAsia="宋体" w:cs="宋体"/>
                <w:bCs/>
                <w:sz w:val="21"/>
                <w:szCs w:val="21"/>
              </w:rPr>
              <w:t>15</w:t>
            </w:r>
          </w:p>
        </w:tc>
        <w:tc>
          <w:tcPr>
            <w:tcW w:w="860" w:type="dxa"/>
            <w:shd w:val="clear" w:color="auto" w:fill="auto"/>
            <w:vAlign w:val="center"/>
          </w:tcPr>
          <w:p w14:paraId="5152F9CF">
            <w:pPr>
              <w:spacing w:line="400" w:lineRule="exact"/>
              <w:jc w:val="center"/>
              <w:rPr>
                <w:rFonts w:ascii="Calibri" w:hAnsi="宋体" w:eastAsia="宋体" w:cs="宋体"/>
                <w:bCs/>
                <w:sz w:val="21"/>
                <w:szCs w:val="21"/>
              </w:rPr>
            </w:pPr>
            <w:r>
              <w:rPr>
                <w:rFonts w:ascii="Calibri" w:hAnsi="宋体" w:eastAsia="宋体" w:cs="宋体"/>
                <w:bCs/>
                <w:sz w:val="21"/>
                <w:szCs w:val="21"/>
              </w:rPr>
              <w:t>15</w:t>
            </w:r>
          </w:p>
        </w:tc>
        <w:tc>
          <w:tcPr>
            <w:tcW w:w="5951" w:type="dxa"/>
            <w:tcBorders>
              <w:top w:val="single" w:color="auto" w:sz="2" w:space="0"/>
            </w:tcBorders>
            <w:shd w:val="clear" w:color="auto" w:fill="auto"/>
            <w:vAlign w:val="center"/>
          </w:tcPr>
          <w:p w14:paraId="77466831">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有效供应商最低报价为基准价，各供应商的报价得分按下列公式计算：（基准价/投标报价）×</w:t>
            </w:r>
            <w:r>
              <w:rPr>
                <w:rFonts w:ascii="Calibri" w:hAnsi="宋体" w:eastAsia="宋体" w:cs="宋体"/>
                <w:sz w:val="21"/>
                <w:szCs w:val="21"/>
              </w:rPr>
              <w:t>15</w:t>
            </w:r>
            <w:r>
              <w:rPr>
                <w:rFonts w:hint="eastAsia" w:ascii="Calibri" w:hAnsi="宋体" w:eastAsia="宋体" w:cs="宋体"/>
                <w:sz w:val="21"/>
                <w:szCs w:val="21"/>
              </w:rPr>
              <w:t>%×100分</w:t>
            </w:r>
          </w:p>
        </w:tc>
        <w:tc>
          <w:tcPr>
            <w:tcW w:w="1276" w:type="dxa"/>
            <w:tcBorders>
              <w:top w:val="single" w:color="auto" w:sz="2" w:space="0"/>
            </w:tcBorders>
            <w:shd w:val="clear" w:color="auto" w:fill="auto"/>
            <w:vAlign w:val="center"/>
          </w:tcPr>
          <w:p w14:paraId="63181284">
            <w:pPr>
              <w:spacing w:line="400" w:lineRule="exact"/>
              <w:jc w:val="center"/>
              <w:rPr>
                <w:rFonts w:ascii="Calibri" w:hAnsi="宋体" w:eastAsia="宋体" w:cs="宋体"/>
                <w:bCs/>
                <w:color w:val="FF0000"/>
                <w:sz w:val="21"/>
                <w:szCs w:val="21"/>
              </w:rPr>
            </w:pPr>
          </w:p>
        </w:tc>
      </w:tr>
      <w:tr w14:paraId="4A5A46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6" w:hRule="atLeast"/>
        </w:trPr>
        <w:tc>
          <w:tcPr>
            <w:tcW w:w="756" w:type="dxa"/>
            <w:vMerge w:val="restart"/>
            <w:tcBorders>
              <w:top w:val="single" w:color="auto" w:sz="2" w:space="0"/>
            </w:tcBorders>
            <w:shd w:val="clear" w:color="auto" w:fill="auto"/>
            <w:vAlign w:val="center"/>
          </w:tcPr>
          <w:p w14:paraId="4FA5D636">
            <w:pPr>
              <w:spacing w:line="400" w:lineRule="exact"/>
              <w:jc w:val="center"/>
              <w:rPr>
                <w:rFonts w:ascii="Calibri" w:hAnsi="宋体" w:eastAsia="宋体" w:cs="宋体"/>
                <w:b/>
                <w:sz w:val="21"/>
                <w:szCs w:val="21"/>
              </w:rPr>
            </w:pPr>
            <w:r>
              <w:rPr>
                <w:rFonts w:hint="eastAsia" w:ascii="Calibri" w:hAnsi="宋体" w:eastAsia="宋体"/>
                <w:color w:val="000000" w:themeColor="text1"/>
                <w:szCs w:val="21"/>
                <w14:textFill>
                  <w14:solidFill>
                    <w14:schemeClr w14:val="tx1"/>
                  </w14:solidFill>
                </w14:textFill>
              </w:rPr>
              <w:t>技术（服务</w:t>
            </w:r>
            <w:r>
              <w:rPr>
                <w:rFonts w:ascii="Calibri" w:hAnsi="宋体" w:eastAsia="宋体"/>
                <w:color w:val="000000" w:themeColor="text1"/>
                <w:szCs w:val="21"/>
                <w14:textFill>
                  <w14:solidFill>
                    <w14:schemeClr w14:val="tx1"/>
                  </w14:solidFill>
                </w14:textFill>
              </w:rPr>
              <w:t>）暗标盲评</w:t>
            </w:r>
            <w:r>
              <w:rPr>
                <w:rFonts w:hint="eastAsia" w:ascii="Calibri" w:hAnsi="宋体" w:eastAsia="宋体"/>
                <w:color w:val="000000" w:themeColor="text1"/>
                <w:szCs w:val="21"/>
                <w14:textFill>
                  <w14:solidFill>
                    <w14:schemeClr w14:val="tx1"/>
                  </w14:solidFill>
                </w14:textFill>
              </w:rPr>
              <w:t>部分</w:t>
            </w:r>
          </w:p>
        </w:tc>
        <w:tc>
          <w:tcPr>
            <w:tcW w:w="640" w:type="dxa"/>
            <w:vMerge w:val="restart"/>
            <w:tcBorders>
              <w:top w:val="single" w:color="auto" w:sz="2" w:space="0"/>
            </w:tcBorders>
            <w:shd w:val="clear" w:color="auto" w:fill="auto"/>
            <w:vAlign w:val="center"/>
          </w:tcPr>
          <w:p w14:paraId="2817A904">
            <w:pPr>
              <w:spacing w:line="400" w:lineRule="exact"/>
              <w:jc w:val="center"/>
              <w:rPr>
                <w:rFonts w:ascii="Calibri" w:hAnsi="宋体" w:eastAsia="宋体" w:cs="宋体"/>
                <w:bCs/>
                <w:sz w:val="21"/>
                <w:szCs w:val="21"/>
              </w:rPr>
            </w:pPr>
            <w:r>
              <w:rPr>
                <w:rFonts w:hint="eastAsia" w:ascii="Calibri" w:hAnsi="宋体" w:eastAsia="宋体" w:cs="宋体"/>
                <w:bCs/>
                <w:sz w:val="21"/>
                <w:szCs w:val="21"/>
              </w:rPr>
              <w:t>4</w:t>
            </w:r>
            <w:r>
              <w:rPr>
                <w:rFonts w:ascii="Calibri" w:hAnsi="宋体" w:eastAsia="宋体" w:cs="宋体"/>
                <w:bCs/>
                <w:sz w:val="21"/>
                <w:szCs w:val="21"/>
              </w:rPr>
              <w:t>8</w:t>
            </w:r>
          </w:p>
        </w:tc>
        <w:tc>
          <w:tcPr>
            <w:tcW w:w="860" w:type="dxa"/>
            <w:shd w:val="clear" w:color="auto" w:fill="auto"/>
            <w:vAlign w:val="center"/>
          </w:tcPr>
          <w:p w14:paraId="2EBBB84D">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8</w:t>
            </w:r>
          </w:p>
        </w:tc>
        <w:tc>
          <w:tcPr>
            <w:tcW w:w="5951" w:type="dxa"/>
            <w:tcBorders>
              <w:top w:val="single" w:color="auto" w:sz="2" w:space="0"/>
            </w:tcBorders>
            <w:shd w:val="clear" w:color="auto" w:fill="auto"/>
            <w:vAlign w:val="center"/>
          </w:tcPr>
          <w:p w14:paraId="6B47AF8B">
            <w:pPr>
              <w:tabs>
                <w:tab w:val="left" w:pos="547"/>
              </w:tabs>
              <w:spacing w:line="320" w:lineRule="exact"/>
              <w:jc w:val="both"/>
              <w:rPr>
                <w:rFonts w:ascii="Calibri" w:hAnsi="宋体" w:eastAsia="宋体" w:cs="宋体"/>
                <w:b/>
                <w:sz w:val="21"/>
                <w:szCs w:val="21"/>
              </w:rPr>
            </w:pPr>
            <w:r>
              <w:rPr>
                <w:rFonts w:hint="eastAsia" w:ascii="Calibri" w:hAnsi="宋体" w:eastAsia="宋体" w:cs="宋体"/>
                <w:b/>
                <w:color w:val="C00000"/>
                <w:sz w:val="21"/>
                <w:szCs w:val="21"/>
              </w:rPr>
              <w:t>安保服务方案</w:t>
            </w:r>
          </w:p>
          <w:p w14:paraId="38264B9A">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302F2033">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供应商提供针对于本项目的安保服务方案，内容包含：①服务目标及计划安排；②服务重难点分析及解决方案；③服务内容及措施；④进退场交接方案；⑤服务理念及特色。</w:t>
            </w:r>
          </w:p>
          <w:p w14:paraId="1AF3026C">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77B09E0E">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1、完整性：方案须详细全面，表述清晰完整，完全满足磋商文件要求；</w:t>
            </w:r>
          </w:p>
          <w:p w14:paraId="4DAC8176">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2、可实施性：切合本项目实际情况，实施步骤清晰、合理；</w:t>
            </w:r>
          </w:p>
          <w:p w14:paraId="6DEF67CD">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3、针对性：方案能够紧扣项目实际情况，内容科学合理。</w:t>
            </w:r>
          </w:p>
          <w:p w14:paraId="146E1ECF">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三、赋分标准（满分1</w:t>
            </w:r>
            <w:r>
              <w:rPr>
                <w:rFonts w:ascii="Calibri" w:hAnsi="宋体" w:eastAsia="宋体" w:cs="宋体"/>
                <w:b/>
                <w:sz w:val="21"/>
                <w:szCs w:val="21"/>
              </w:rPr>
              <w:t>8</w:t>
            </w:r>
            <w:r>
              <w:rPr>
                <w:rFonts w:hint="eastAsia" w:ascii="Calibri" w:hAnsi="宋体" w:eastAsia="宋体" w:cs="宋体"/>
                <w:b/>
                <w:sz w:val="21"/>
                <w:szCs w:val="21"/>
              </w:rPr>
              <w:t>分）</w:t>
            </w:r>
          </w:p>
          <w:p w14:paraId="5FA09E13">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①服务目标及计划安排：每完全满足一项评审标准得1</w:t>
            </w:r>
            <w:r>
              <w:rPr>
                <w:rFonts w:ascii="Calibri" w:hAnsi="宋体" w:eastAsia="宋体" w:cs="宋体"/>
                <w:sz w:val="21"/>
                <w:szCs w:val="21"/>
              </w:rPr>
              <w:t>.5</w:t>
            </w:r>
            <w:r>
              <w:rPr>
                <w:rFonts w:hint="eastAsia" w:ascii="Calibri" w:hAnsi="宋体" w:eastAsia="宋体" w:cs="宋体"/>
                <w:sz w:val="21"/>
                <w:szCs w:val="21"/>
              </w:rPr>
              <w:t>分，满分</w:t>
            </w:r>
            <w:r>
              <w:rPr>
                <w:rFonts w:ascii="Calibri" w:hAnsi="宋体" w:eastAsia="宋体" w:cs="宋体"/>
                <w:sz w:val="21"/>
                <w:szCs w:val="21"/>
              </w:rPr>
              <w:t>4.5</w:t>
            </w:r>
            <w:r>
              <w:rPr>
                <w:rFonts w:hint="eastAsia" w:ascii="Calibri" w:hAnsi="宋体" w:eastAsia="宋体" w:cs="宋体"/>
                <w:sz w:val="21"/>
                <w:szCs w:val="21"/>
              </w:rPr>
              <w:t>分；</w:t>
            </w:r>
          </w:p>
          <w:p w14:paraId="2FDD258E">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②服务重难点分析及解决方案：每完全满足一项评审标准得1</w:t>
            </w:r>
            <w:r>
              <w:rPr>
                <w:rFonts w:ascii="Calibri" w:hAnsi="宋体" w:eastAsia="宋体" w:cs="宋体"/>
                <w:sz w:val="21"/>
                <w:szCs w:val="21"/>
              </w:rPr>
              <w:t>.5</w:t>
            </w:r>
            <w:r>
              <w:rPr>
                <w:rFonts w:hint="eastAsia" w:ascii="Calibri" w:hAnsi="宋体" w:eastAsia="宋体" w:cs="宋体"/>
                <w:sz w:val="21"/>
                <w:szCs w:val="21"/>
              </w:rPr>
              <w:t>分，满分</w:t>
            </w:r>
            <w:r>
              <w:rPr>
                <w:rFonts w:ascii="Calibri" w:hAnsi="宋体" w:eastAsia="宋体" w:cs="宋体"/>
                <w:sz w:val="21"/>
                <w:szCs w:val="21"/>
              </w:rPr>
              <w:t>4.5</w:t>
            </w:r>
            <w:r>
              <w:rPr>
                <w:rFonts w:hint="eastAsia" w:ascii="Calibri" w:hAnsi="宋体" w:eastAsia="宋体" w:cs="宋体"/>
                <w:sz w:val="21"/>
                <w:szCs w:val="21"/>
              </w:rPr>
              <w:t>分；</w:t>
            </w:r>
          </w:p>
          <w:p w14:paraId="51F68C94">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③服务内容及措施：每完全满足一项评审标准得1分，满分3分；</w:t>
            </w:r>
          </w:p>
          <w:p w14:paraId="7A7BFB5B">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④进退场交接方案：每完全满足一项评审标准得1分，满分3分；</w:t>
            </w:r>
          </w:p>
          <w:p w14:paraId="729A1E23">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⑤服务理念及特色：每完全满足一项评审标准得1分，满分3分。</w:t>
            </w:r>
          </w:p>
        </w:tc>
        <w:tc>
          <w:tcPr>
            <w:tcW w:w="1276" w:type="dxa"/>
            <w:vMerge w:val="restart"/>
            <w:tcBorders>
              <w:top w:val="single" w:color="auto" w:sz="2" w:space="0"/>
            </w:tcBorders>
            <w:shd w:val="clear" w:color="auto" w:fill="auto"/>
            <w:vAlign w:val="center"/>
          </w:tcPr>
          <w:p w14:paraId="1D831F73">
            <w:pPr>
              <w:spacing w:line="400" w:lineRule="exact"/>
              <w:jc w:val="center"/>
              <w:rPr>
                <w:rFonts w:ascii="Calibri" w:hAnsi="宋体" w:eastAsia="宋体" w:cs="宋体"/>
                <w:bCs/>
                <w:color w:val="FF0000"/>
                <w:sz w:val="21"/>
                <w:szCs w:val="21"/>
              </w:rPr>
            </w:pPr>
            <w:r>
              <w:rPr>
                <w:rFonts w:hint="eastAsia" w:ascii="Calibri" w:hAnsi="宋体" w:eastAsia="宋体" w:cs="宋体"/>
                <w:bCs/>
                <w:color w:val="FF0000"/>
                <w:sz w:val="21"/>
                <w:szCs w:val="21"/>
              </w:rPr>
              <w:t>违反第二章第七部分“二、评标形式”中的“暗标盲评部分”编制要求的，其投标视为无效。</w:t>
            </w:r>
          </w:p>
        </w:tc>
      </w:tr>
      <w:tr w14:paraId="44DE36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DBBDCBE">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B102CCD">
            <w:pPr>
              <w:spacing w:line="400" w:lineRule="exact"/>
              <w:jc w:val="center"/>
              <w:rPr>
                <w:rFonts w:ascii="Calibri" w:hAnsi="宋体" w:eastAsia="宋体" w:cs="宋体"/>
                <w:bCs/>
                <w:sz w:val="21"/>
                <w:szCs w:val="21"/>
              </w:rPr>
            </w:pPr>
          </w:p>
        </w:tc>
        <w:tc>
          <w:tcPr>
            <w:tcW w:w="860" w:type="dxa"/>
            <w:shd w:val="clear" w:color="auto" w:fill="auto"/>
            <w:vAlign w:val="center"/>
          </w:tcPr>
          <w:p w14:paraId="6693B51F">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5</w:t>
            </w:r>
          </w:p>
        </w:tc>
        <w:tc>
          <w:tcPr>
            <w:tcW w:w="5951" w:type="dxa"/>
            <w:shd w:val="clear" w:color="auto" w:fill="auto"/>
            <w:vAlign w:val="center"/>
          </w:tcPr>
          <w:p w14:paraId="7D6477FD">
            <w:pPr>
              <w:tabs>
                <w:tab w:val="left" w:pos="547"/>
              </w:tabs>
              <w:spacing w:line="32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管理制度</w:t>
            </w:r>
          </w:p>
          <w:p w14:paraId="125C1D9F">
            <w:pPr>
              <w:spacing w:line="320" w:lineRule="exact"/>
              <w:ind w:firstLine="420" w:firstLineChars="200"/>
              <w:jc w:val="both"/>
              <w:rPr>
                <w:rFonts w:ascii="Calibri" w:hAnsi="宋体" w:eastAsia="宋体"/>
                <w:b/>
                <w:sz w:val="21"/>
              </w:rPr>
            </w:pPr>
            <w:r>
              <w:rPr>
                <w:rFonts w:hint="eastAsia" w:ascii="Calibri" w:hAnsi="宋体" w:eastAsia="宋体"/>
                <w:b/>
                <w:sz w:val="21"/>
              </w:rPr>
              <w:t>一、评审内容</w:t>
            </w:r>
          </w:p>
          <w:p w14:paraId="72E92836">
            <w:pPr>
              <w:spacing w:line="320" w:lineRule="exact"/>
              <w:ind w:firstLine="420" w:firstLineChars="200"/>
              <w:jc w:val="both"/>
              <w:rPr>
                <w:rFonts w:ascii="Calibri" w:hAnsi="宋体" w:eastAsia="宋体"/>
                <w:sz w:val="21"/>
              </w:rPr>
            </w:pPr>
            <w:r>
              <w:rPr>
                <w:rFonts w:hint="eastAsia" w:ascii="Calibri" w:hAnsi="宋体" w:eastAsia="宋体"/>
                <w:sz w:val="21"/>
              </w:rPr>
              <w:t>供应商提供针对本项目的管理制度，内容包含：①岗位职责：包含岗位工作标准、服务质量标准、现场质量控制体系、组织架构图；②内控制度：包含保密制度、管理组织机构、问责机制、监督机制、自查制度、档案管理制度（包含档案保管措施及档案的归档、移交、备案登记、保存和销毁）；③人员管理制度：包含员工日常管理办法、请销假制度、奖惩措施、激励机制、仪容仪表制度；④培训制度：包含岗前培训、应急培训；⑤招聘制度：根据招标文件和国家相关要求制定招聘制度。</w:t>
            </w:r>
          </w:p>
          <w:p w14:paraId="75B89C72">
            <w:pPr>
              <w:spacing w:line="320" w:lineRule="exact"/>
              <w:ind w:firstLine="420" w:firstLineChars="200"/>
              <w:jc w:val="both"/>
              <w:rPr>
                <w:rFonts w:ascii="Calibri" w:hAnsi="宋体" w:eastAsia="宋体"/>
                <w:b/>
                <w:sz w:val="21"/>
              </w:rPr>
            </w:pPr>
            <w:r>
              <w:rPr>
                <w:rFonts w:hint="eastAsia" w:ascii="Calibri" w:hAnsi="宋体" w:eastAsia="宋体"/>
                <w:b/>
                <w:sz w:val="21"/>
              </w:rPr>
              <w:t>二、评审标准</w:t>
            </w:r>
          </w:p>
          <w:p w14:paraId="4656B2EE">
            <w:pPr>
              <w:spacing w:line="320" w:lineRule="exact"/>
              <w:ind w:firstLine="420" w:firstLineChars="200"/>
              <w:jc w:val="both"/>
              <w:rPr>
                <w:rFonts w:ascii="Calibri" w:hAnsi="宋体" w:eastAsia="宋体"/>
                <w:sz w:val="21"/>
              </w:rPr>
            </w:pPr>
            <w:r>
              <w:rPr>
                <w:rFonts w:hint="eastAsia" w:ascii="Calibri" w:hAnsi="宋体" w:eastAsia="宋体"/>
                <w:sz w:val="21"/>
              </w:rPr>
              <w:t>1、完整性：制度须详细全面，表述清晰完整，完全满足磋商文件要求；</w:t>
            </w:r>
          </w:p>
          <w:p w14:paraId="071B357F">
            <w:pPr>
              <w:spacing w:line="320" w:lineRule="exact"/>
              <w:ind w:firstLine="420" w:firstLineChars="200"/>
              <w:jc w:val="both"/>
              <w:rPr>
                <w:rFonts w:ascii="Calibri" w:hAnsi="宋体" w:eastAsia="宋体"/>
                <w:sz w:val="21"/>
              </w:rPr>
            </w:pPr>
            <w:r>
              <w:rPr>
                <w:rFonts w:hint="eastAsia" w:ascii="Calibri" w:hAnsi="宋体" w:eastAsia="宋体"/>
                <w:sz w:val="21"/>
              </w:rPr>
              <w:t>2、可实施性：切合本项目实际情况，实施步骤清晰、合理；</w:t>
            </w:r>
          </w:p>
          <w:p w14:paraId="39E0053B">
            <w:pPr>
              <w:spacing w:line="320" w:lineRule="exact"/>
              <w:ind w:firstLine="420" w:firstLineChars="200"/>
              <w:jc w:val="both"/>
              <w:rPr>
                <w:rFonts w:ascii="Calibri" w:hAnsi="宋体" w:eastAsia="宋体"/>
                <w:sz w:val="21"/>
              </w:rPr>
            </w:pPr>
            <w:r>
              <w:rPr>
                <w:rFonts w:hint="eastAsia" w:ascii="Calibri" w:hAnsi="宋体" w:eastAsia="宋体"/>
                <w:sz w:val="21"/>
              </w:rPr>
              <w:t>3、针对性：制度能够紧扣项目实际情况，内容科学合理。</w:t>
            </w:r>
          </w:p>
          <w:p w14:paraId="623575D5">
            <w:pPr>
              <w:spacing w:line="320" w:lineRule="exact"/>
              <w:ind w:firstLine="420" w:firstLineChars="200"/>
              <w:jc w:val="both"/>
              <w:rPr>
                <w:rFonts w:ascii="Calibri" w:hAnsi="宋体" w:eastAsia="宋体"/>
                <w:b/>
                <w:sz w:val="21"/>
              </w:rPr>
            </w:pPr>
            <w:r>
              <w:rPr>
                <w:rFonts w:hint="eastAsia" w:ascii="Calibri" w:hAnsi="宋体" w:eastAsia="宋体"/>
                <w:b/>
                <w:sz w:val="21"/>
              </w:rPr>
              <w:t>三、赋分标准（满分15分）</w:t>
            </w:r>
          </w:p>
          <w:p w14:paraId="37F65E92">
            <w:pPr>
              <w:spacing w:line="320" w:lineRule="exact"/>
              <w:ind w:firstLine="420" w:firstLineChars="200"/>
              <w:jc w:val="both"/>
              <w:rPr>
                <w:rFonts w:ascii="Calibri" w:hAnsi="宋体" w:eastAsia="宋体"/>
                <w:sz w:val="21"/>
              </w:rPr>
            </w:pPr>
            <w:r>
              <w:rPr>
                <w:rFonts w:hint="eastAsia" w:ascii="Calibri" w:hAnsi="宋体" w:eastAsia="宋体"/>
                <w:sz w:val="21"/>
              </w:rPr>
              <w:t>①岗位职责：每完全满足一项评审标准得1分，满分3分；</w:t>
            </w:r>
          </w:p>
          <w:p w14:paraId="0196D9FD">
            <w:pPr>
              <w:spacing w:line="320" w:lineRule="exact"/>
              <w:ind w:firstLine="420" w:firstLineChars="200"/>
              <w:jc w:val="both"/>
              <w:rPr>
                <w:rFonts w:ascii="Calibri" w:hAnsi="宋体" w:eastAsia="宋体"/>
                <w:sz w:val="21"/>
              </w:rPr>
            </w:pPr>
            <w:r>
              <w:rPr>
                <w:rFonts w:hint="eastAsia" w:ascii="Calibri" w:hAnsi="宋体" w:eastAsia="宋体"/>
                <w:sz w:val="21"/>
              </w:rPr>
              <w:t>②内控制度：每完全满足一项评审标准得1分，满分3分；</w:t>
            </w:r>
          </w:p>
          <w:p w14:paraId="13357550">
            <w:pPr>
              <w:spacing w:line="320" w:lineRule="exact"/>
              <w:ind w:firstLine="420" w:firstLineChars="200"/>
              <w:jc w:val="both"/>
              <w:rPr>
                <w:rFonts w:ascii="Calibri" w:hAnsi="宋体" w:eastAsia="宋体"/>
                <w:sz w:val="21"/>
              </w:rPr>
            </w:pPr>
            <w:r>
              <w:rPr>
                <w:rFonts w:hint="eastAsia" w:ascii="Calibri" w:hAnsi="宋体" w:eastAsia="宋体"/>
                <w:sz w:val="21"/>
              </w:rPr>
              <w:t>③人员管理制度：每完全满足一项评审标准得1分，满分3分；</w:t>
            </w:r>
          </w:p>
          <w:p w14:paraId="04E22C99">
            <w:pPr>
              <w:spacing w:line="320" w:lineRule="exact"/>
              <w:ind w:firstLine="420" w:firstLineChars="200"/>
              <w:jc w:val="both"/>
              <w:rPr>
                <w:rFonts w:ascii="Calibri" w:hAnsi="宋体" w:eastAsia="宋体"/>
                <w:sz w:val="21"/>
              </w:rPr>
            </w:pPr>
            <w:r>
              <w:rPr>
                <w:rFonts w:hint="eastAsia" w:ascii="Calibri" w:hAnsi="宋体" w:eastAsia="宋体"/>
                <w:sz w:val="21"/>
              </w:rPr>
              <w:t>④培训制度：每完全满足一项评审标准得1分，满分3分；</w:t>
            </w:r>
          </w:p>
          <w:p w14:paraId="4B9861D1">
            <w:pPr>
              <w:spacing w:line="320" w:lineRule="exact"/>
              <w:ind w:firstLine="420" w:firstLineChars="200"/>
              <w:jc w:val="both"/>
              <w:rPr>
                <w:rFonts w:ascii="Calibri" w:hAnsi="宋体" w:eastAsia="宋体"/>
                <w:sz w:val="21"/>
              </w:rPr>
            </w:pPr>
            <w:r>
              <w:rPr>
                <w:rFonts w:hint="eastAsia" w:ascii="Calibri" w:hAnsi="宋体" w:eastAsia="宋体"/>
                <w:sz w:val="21"/>
              </w:rPr>
              <w:t>⑤招聘制度：每完全满足一项评审标准得1分，满分3分。</w:t>
            </w:r>
          </w:p>
        </w:tc>
        <w:tc>
          <w:tcPr>
            <w:tcW w:w="1276" w:type="dxa"/>
            <w:vMerge w:val="continue"/>
            <w:shd w:val="clear" w:color="auto" w:fill="auto"/>
            <w:vAlign w:val="center"/>
          </w:tcPr>
          <w:p w14:paraId="2FED7CEC">
            <w:pPr>
              <w:spacing w:line="400" w:lineRule="exact"/>
              <w:jc w:val="center"/>
              <w:rPr>
                <w:rFonts w:ascii="Calibri" w:hAnsi="宋体" w:eastAsia="宋体" w:cs="宋体"/>
                <w:bCs/>
                <w:color w:val="FF0000"/>
                <w:sz w:val="21"/>
                <w:szCs w:val="21"/>
              </w:rPr>
            </w:pPr>
          </w:p>
        </w:tc>
      </w:tr>
      <w:tr w14:paraId="50D6E3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136F5CD">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24807F4F">
            <w:pPr>
              <w:spacing w:line="400" w:lineRule="exact"/>
              <w:jc w:val="center"/>
              <w:rPr>
                <w:rFonts w:ascii="Calibri" w:hAnsi="宋体" w:eastAsia="宋体" w:cs="宋体"/>
                <w:bCs/>
                <w:sz w:val="21"/>
                <w:szCs w:val="21"/>
              </w:rPr>
            </w:pPr>
          </w:p>
        </w:tc>
        <w:tc>
          <w:tcPr>
            <w:tcW w:w="860" w:type="dxa"/>
            <w:shd w:val="clear" w:color="auto" w:fill="auto"/>
            <w:vAlign w:val="center"/>
          </w:tcPr>
          <w:p w14:paraId="70A0B843">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5</w:t>
            </w:r>
          </w:p>
        </w:tc>
        <w:tc>
          <w:tcPr>
            <w:tcW w:w="5951" w:type="dxa"/>
            <w:shd w:val="clear" w:color="auto" w:fill="auto"/>
            <w:vAlign w:val="center"/>
          </w:tcPr>
          <w:p w14:paraId="2459313A">
            <w:pPr>
              <w:tabs>
                <w:tab w:val="left" w:pos="547"/>
              </w:tabs>
              <w:spacing w:line="32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应急方案</w:t>
            </w:r>
          </w:p>
          <w:p w14:paraId="0CC248DA">
            <w:pPr>
              <w:spacing w:line="320" w:lineRule="exact"/>
              <w:ind w:firstLine="420" w:firstLineChars="200"/>
              <w:jc w:val="both"/>
              <w:rPr>
                <w:rFonts w:ascii="Calibri" w:hAnsi="宋体" w:eastAsia="宋体"/>
                <w:b/>
                <w:sz w:val="21"/>
              </w:rPr>
            </w:pPr>
            <w:r>
              <w:rPr>
                <w:rFonts w:hint="eastAsia" w:ascii="Calibri" w:hAnsi="宋体" w:eastAsia="宋体"/>
                <w:b/>
                <w:sz w:val="21"/>
              </w:rPr>
              <w:t>一、评审内容</w:t>
            </w:r>
          </w:p>
          <w:p w14:paraId="14719150">
            <w:pPr>
              <w:spacing w:line="320" w:lineRule="exact"/>
              <w:ind w:firstLine="420" w:firstLineChars="200"/>
              <w:jc w:val="both"/>
              <w:rPr>
                <w:rFonts w:ascii="Calibri" w:hAnsi="宋体" w:eastAsia="宋体"/>
                <w:sz w:val="21"/>
              </w:rPr>
            </w:pPr>
            <w:r>
              <w:rPr>
                <w:rFonts w:hint="eastAsia" w:ascii="Calibri" w:hAnsi="宋体" w:eastAsia="宋体"/>
                <w:sz w:val="21"/>
              </w:rPr>
              <w:t>供应商提供针对本项目的应急方案，内容包含：①极端天气及灾害应急预案；②消防应急预案；③治安突发事件应急预案；④大型活动应急预案；⑤其他应急预案。</w:t>
            </w:r>
          </w:p>
          <w:p w14:paraId="63E073CA">
            <w:pPr>
              <w:spacing w:line="320" w:lineRule="exact"/>
              <w:ind w:firstLine="420" w:firstLineChars="200"/>
              <w:jc w:val="both"/>
              <w:rPr>
                <w:rFonts w:ascii="Calibri" w:hAnsi="宋体" w:eastAsia="宋体"/>
                <w:b/>
                <w:sz w:val="21"/>
              </w:rPr>
            </w:pPr>
            <w:r>
              <w:rPr>
                <w:rFonts w:hint="eastAsia" w:ascii="Calibri" w:hAnsi="宋体" w:eastAsia="宋体"/>
                <w:b/>
                <w:sz w:val="21"/>
              </w:rPr>
              <w:t>二、评审标准</w:t>
            </w:r>
          </w:p>
          <w:p w14:paraId="34C70265">
            <w:pPr>
              <w:spacing w:line="320" w:lineRule="exact"/>
              <w:ind w:firstLine="420" w:firstLineChars="200"/>
              <w:jc w:val="both"/>
              <w:rPr>
                <w:rFonts w:ascii="Calibri" w:hAnsi="宋体" w:eastAsia="宋体"/>
                <w:sz w:val="21"/>
              </w:rPr>
            </w:pPr>
            <w:r>
              <w:rPr>
                <w:rFonts w:hint="eastAsia" w:ascii="Calibri" w:hAnsi="宋体" w:eastAsia="宋体"/>
                <w:sz w:val="21"/>
              </w:rPr>
              <w:t>1、完整性：方案须详细全面，表述清晰完整，完全满足磋商文件要求；</w:t>
            </w:r>
          </w:p>
          <w:p w14:paraId="51B3B9C0">
            <w:pPr>
              <w:spacing w:line="320" w:lineRule="exact"/>
              <w:ind w:firstLine="420" w:firstLineChars="200"/>
              <w:jc w:val="both"/>
              <w:rPr>
                <w:rFonts w:ascii="Calibri" w:hAnsi="宋体" w:eastAsia="宋体"/>
                <w:sz w:val="21"/>
              </w:rPr>
            </w:pPr>
            <w:r>
              <w:rPr>
                <w:rFonts w:hint="eastAsia" w:ascii="Calibri" w:hAnsi="宋体" w:eastAsia="宋体"/>
                <w:sz w:val="21"/>
              </w:rPr>
              <w:t>2、可实施性：切合本项目实际情况，实施步骤清晰、合理；</w:t>
            </w:r>
          </w:p>
          <w:p w14:paraId="76E9EB84">
            <w:pPr>
              <w:spacing w:line="320" w:lineRule="exact"/>
              <w:ind w:firstLine="420" w:firstLineChars="200"/>
              <w:jc w:val="both"/>
              <w:rPr>
                <w:rFonts w:ascii="Calibri" w:hAnsi="宋体" w:eastAsia="宋体"/>
                <w:sz w:val="21"/>
              </w:rPr>
            </w:pPr>
            <w:r>
              <w:rPr>
                <w:rFonts w:hint="eastAsia" w:ascii="Calibri" w:hAnsi="宋体" w:eastAsia="宋体"/>
                <w:sz w:val="21"/>
              </w:rPr>
              <w:t>3、针对性：方案能够紧扣项目实际情况，内容科学合理。</w:t>
            </w:r>
          </w:p>
          <w:p w14:paraId="06FD0EF5">
            <w:pPr>
              <w:spacing w:line="320" w:lineRule="exact"/>
              <w:ind w:firstLine="420" w:firstLineChars="200"/>
              <w:jc w:val="both"/>
              <w:rPr>
                <w:rFonts w:ascii="Calibri" w:hAnsi="宋体" w:eastAsia="宋体"/>
                <w:b/>
                <w:sz w:val="21"/>
              </w:rPr>
            </w:pPr>
            <w:r>
              <w:rPr>
                <w:rFonts w:hint="eastAsia" w:ascii="Calibri" w:hAnsi="宋体" w:eastAsia="宋体"/>
                <w:b/>
                <w:sz w:val="21"/>
              </w:rPr>
              <w:t>三、赋分标准（满分15分）</w:t>
            </w:r>
          </w:p>
          <w:p w14:paraId="353384FA">
            <w:pPr>
              <w:spacing w:line="320" w:lineRule="exact"/>
              <w:ind w:firstLine="420" w:firstLineChars="200"/>
              <w:jc w:val="both"/>
              <w:rPr>
                <w:rFonts w:ascii="Calibri" w:hAnsi="宋体" w:eastAsia="宋体"/>
                <w:sz w:val="21"/>
              </w:rPr>
            </w:pPr>
            <w:r>
              <w:rPr>
                <w:rFonts w:hint="eastAsia" w:ascii="Calibri" w:hAnsi="宋体" w:eastAsia="宋体"/>
                <w:sz w:val="21"/>
              </w:rPr>
              <w:t>①极端天气及灾害应急预案：每完全满足一项评审标准得1分，满分3分；</w:t>
            </w:r>
          </w:p>
          <w:p w14:paraId="14813899">
            <w:pPr>
              <w:spacing w:line="320" w:lineRule="exact"/>
              <w:ind w:firstLine="420" w:firstLineChars="200"/>
              <w:jc w:val="both"/>
              <w:rPr>
                <w:rFonts w:ascii="Calibri" w:hAnsi="宋体" w:eastAsia="宋体"/>
                <w:sz w:val="21"/>
              </w:rPr>
            </w:pPr>
            <w:r>
              <w:rPr>
                <w:rFonts w:hint="eastAsia" w:ascii="Calibri" w:hAnsi="宋体" w:eastAsia="宋体"/>
                <w:sz w:val="21"/>
              </w:rPr>
              <w:t>②消防应急预案：每完全满足一项评审标准得1分，满分3分；</w:t>
            </w:r>
          </w:p>
          <w:p w14:paraId="3C650DE3">
            <w:pPr>
              <w:spacing w:line="320" w:lineRule="exact"/>
              <w:ind w:firstLine="420" w:firstLineChars="200"/>
              <w:jc w:val="both"/>
              <w:rPr>
                <w:rFonts w:ascii="Calibri" w:hAnsi="宋体" w:eastAsia="宋体"/>
                <w:sz w:val="21"/>
              </w:rPr>
            </w:pPr>
            <w:r>
              <w:rPr>
                <w:rFonts w:hint="eastAsia" w:ascii="Calibri" w:hAnsi="宋体" w:eastAsia="宋体"/>
                <w:sz w:val="21"/>
              </w:rPr>
              <w:t>③治安突发事件应急预案：每完全满足一项评审标准得1分，满分3分；</w:t>
            </w:r>
          </w:p>
          <w:p w14:paraId="0BD2A22C">
            <w:pPr>
              <w:spacing w:line="320" w:lineRule="exact"/>
              <w:ind w:firstLine="420" w:firstLineChars="200"/>
              <w:jc w:val="both"/>
              <w:rPr>
                <w:rFonts w:ascii="Calibri" w:hAnsi="宋体" w:eastAsia="宋体"/>
                <w:sz w:val="21"/>
              </w:rPr>
            </w:pPr>
            <w:r>
              <w:rPr>
                <w:rFonts w:hint="eastAsia" w:ascii="Calibri" w:hAnsi="宋体" w:eastAsia="宋体"/>
                <w:sz w:val="21"/>
              </w:rPr>
              <w:t>④大型活动应急预案：每完全满足一项评审标准得1分，满分3分；</w:t>
            </w:r>
          </w:p>
          <w:p w14:paraId="60C9D5E1">
            <w:pPr>
              <w:spacing w:line="320" w:lineRule="exact"/>
              <w:ind w:firstLine="420" w:firstLineChars="200"/>
              <w:jc w:val="both"/>
              <w:rPr>
                <w:rFonts w:ascii="Calibri" w:hAnsi="宋体" w:eastAsia="宋体"/>
                <w:sz w:val="21"/>
              </w:rPr>
            </w:pPr>
            <w:r>
              <w:rPr>
                <w:rFonts w:hint="eastAsia" w:ascii="Calibri" w:hAnsi="宋体" w:eastAsia="宋体"/>
                <w:sz w:val="21"/>
              </w:rPr>
              <w:t>⑤其他应急预案：每完全满足一项评审标准得1分，满分3分。</w:t>
            </w:r>
          </w:p>
        </w:tc>
        <w:tc>
          <w:tcPr>
            <w:tcW w:w="1276" w:type="dxa"/>
            <w:vMerge w:val="continue"/>
            <w:shd w:val="clear" w:color="auto" w:fill="auto"/>
            <w:vAlign w:val="center"/>
          </w:tcPr>
          <w:p w14:paraId="3A1EF62D">
            <w:pPr>
              <w:spacing w:line="400" w:lineRule="exact"/>
              <w:jc w:val="center"/>
              <w:rPr>
                <w:rFonts w:ascii="Calibri" w:hAnsi="宋体" w:eastAsia="宋体" w:cs="宋体"/>
                <w:bCs/>
                <w:color w:val="FF0000"/>
                <w:sz w:val="21"/>
                <w:szCs w:val="21"/>
              </w:rPr>
            </w:pPr>
          </w:p>
        </w:tc>
      </w:tr>
      <w:tr w14:paraId="6E99F9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481DC9FD">
            <w:pPr>
              <w:spacing w:line="400" w:lineRule="exact"/>
              <w:jc w:val="center"/>
              <w:rPr>
                <w:rFonts w:ascii="Calibri" w:hAnsi="宋体" w:eastAsia="宋体" w:cs="宋体"/>
                <w:bCs/>
                <w:sz w:val="21"/>
                <w:szCs w:val="21"/>
              </w:rPr>
            </w:pPr>
            <w:r>
              <w:rPr>
                <w:rFonts w:hint="eastAsia" w:ascii="Calibri" w:hAnsi="宋体" w:eastAsia="宋体" w:cs="宋体"/>
                <w:bCs/>
                <w:sz w:val="21"/>
                <w:szCs w:val="21"/>
              </w:rPr>
              <w:t>商务部分</w:t>
            </w:r>
          </w:p>
        </w:tc>
        <w:tc>
          <w:tcPr>
            <w:tcW w:w="640" w:type="dxa"/>
            <w:vMerge w:val="restart"/>
            <w:shd w:val="clear" w:color="auto" w:fill="auto"/>
            <w:vAlign w:val="center"/>
          </w:tcPr>
          <w:p w14:paraId="39DAC8FA">
            <w:pPr>
              <w:spacing w:line="400" w:lineRule="exact"/>
              <w:jc w:val="center"/>
              <w:rPr>
                <w:rFonts w:ascii="Calibri" w:hAnsi="宋体" w:eastAsia="宋体" w:cs="宋体"/>
                <w:bCs/>
                <w:sz w:val="21"/>
                <w:szCs w:val="21"/>
              </w:rPr>
            </w:pPr>
            <w:r>
              <w:rPr>
                <w:rFonts w:ascii="Calibri" w:hAnsi="宋体" w:eastAsia="宋体" w:cs="宋体"/>
                <w:bCs/>
                <w:sz w:val="21"/>
                <w:szCs w:val="21"/>
              </w:rPr>
              <w:t>37</w:t>
            </w:r>
          </w:p>
        </w:tc>
        <w:tc>
          <w:tcPr>
            <w:tcW w:w="860" w:type="dxa"/>
            <w:shd w:val="clear" w:color="auto" w:fill="auto"/>
            <w:vAlign w:val="center"/>
          </w:tcPr>
          <w:p w14:paraId="195CDF09">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8</w:t>
            </w:r>
          </w:p>
        </w:tc>
        <w:tc>
          <w:tcPr>
            <w:tcW w:w="5951" w:type="dxa"/>
            <w:shd w:val="clear" w:color="auto" w:fill="auto"/>
            <w:vAlign w:val="center"/>
          </w:tcPr>
          <w:p w14:paraId="0D4C725A">
            <w:pPr>
              <w:tabs>
                <w:tab w:val="left" w:pos="547"/>
              </w:tabs>
              <w:spacing w:line="32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人员配置</w:t>
            </w:r>
          </w:p>
          <w:p w14:paraId="48CB9CCB">
            <w:pPr>
              <w:spacing w:line="320" w:lineRule="exact"/>
              <w:ind w:firstLine="420" w:firstLineChars="200"/>
              <w:jc w:val="both"/>
              <w:rPr>
                <w:rFonts w:ascii="Calibri" w:hAnsi="宋体" w:eastAsia="宋体"/>
                <w:b/>
                <w:sz w:val="21"/>
              </w:rPr>
            </w:pPr>
            <w:r>
              <w:rPr>
                <w:rFonts w:hint="eastAsia" w:ascii="Calibri" w:hAnsi="宋体" w:eastAsia="宋体"/>
                <w:b/>
                <w:sz w:val="21"/>
              </w:rPr>
              <w:t>一、人员配置方案（本项满分6分）</w:t>
            </w:r>
          </w:p>
          <w:p w14:paraId="464AF721">
            <w:pPr>
              <w:spacing w:line="320" w:lineRule="exact"/>
              <w:ind w:firstLine="420" w:firstLineChars="200"/>
              <w:jc w:val="both"/>
              <w:rPr>
                <w:rFonts w:ascii="Calibri" w:hAnsi="宋体" w:eastAsia="宋体"/>
                <w:sz w:val="21"/>
              </w:rPr>
            </w:pPr>
            <w:r>
              <w:rPr>
                <w:rFonts w:hint="eastAsia" w:ascii="Calibri" w:hAnsi="宋体" w:eastAsia="宋体"/>
                <w:sz w:val="21"/>
              </w:rPr>
              <w:t>（一）评审内容</w:t>
            </w:r>
          </w:p>
          <w:p w14:paraId="44F78F98">
            <w:pPr>
              <w:spacing w:line="320" w:lineRule="exact"/>
              <w:ind w:firstLine="420" w:firstLineChars="200"/>
              <w:jc w:val="both"/>
              <w:rPr>
                <w:rFonts w:ascii="Calibri" w:hAnsi="宋体" w:eastAsia="宋体"/>
                <w:sz w:val="21"/>
              </w:rPr>
            </w:pPr>
            <w:r>
              <w:rPr>
                <w:rFonts w:hint="eastAsia" w:ascii="Calibri" w:hAnsi="宋体" w:eastAsia="宋体"/>
                <w:sz w:val="21"/>
              </w:rPr>
              <w:t>针对本项目提供人员配置方案，包括管理人员、员工素质标准（包括不限于服务人员的年龄/学历/专业资格/职称,相关工作经验和所获荣誉等）。</w:t>
            </w:r>
          </w:p>
          <w:p w14:paraId="684C958E">
            <w:pPr>
              <w:spacing w:line="320" w:lineRule="exact"/>
              <w:ind w:firstLine="420" w:firstLineChars="200"/>
              <w:jc w:val="both"/>
              <w:rPr>
                <w:rFonts w:ascii="Calibri" w:hAnsi="宋体" w:eastAsia="宋体"/>
                <w:sz w:val="21"/>
              </w:rPr>
            </w:pPr>
            <w:r>
              <w:rPr>
                <w:rFonts w:hint="eastAsia" w:ascii="Calibri" w:hAnsi="宋体" w:eastAsia="宋体"/>
                <w:sz w:val="21"/>
              </w:rPr>
              <w:t>（二）评审标准</w:t>
            </w:r>
          </w:p>
          <w:p w14:paraId="5D125288">
            <w:pPr>
              <w:spacing w:line="320" w:lineRule="exact"/>
              <w:ind w:firstLine="420" w:firstLineChars="200"/>
              <w:jc w:val="both"/>
              <w:rPr>
                <w:rFonts w:ascii="Calibri" w:hAnsi="宋体" w:eastAsia="宋体"/>
                <w:sz w:val="21"/>
              </w:rPr>
            </w:pPr>
            <w:r>
              <w:rPr>
                <w:rFonts w:hint="eastAsia" w:ascii="Calibri" w:hAnsi="宋体" w:eastAsia="宋体"/>
                <w:sz w:val="21"/>
              </w:rPr>
              <w:t>1、完整性：各类人员配置合理，分工明确。</w:t>
            </w:r>
          </w:p>
          <w:p w14:paraId="22F52577">
            <w:pPr>
              <w:spacing w:line="320" w:lineRule="exact"/>
              <w:ind w:firstLine="420" w:firstLineChars="200"/>
              <w:jc w:val="both"/>
              <w:rPr>
                <w:rFonts w:ascii="Calibri" w:hAnsi="宋体" w:eastAsia="宋体"/>
                <w:sz w:val="21"/>
              </w:rPr>
            </w:pPr>
            <w:r>
              <w:rPr>
                <w:rFonts w:hint="eastAsia" w:ascii="Calibri" w:hAnsi="宋体" w:eastAsia="宋体"/>
                <w:sz w:val="21"/>
              </w:rPr>
              <w:t>2、针对性：人员数量充足，人员资格/年龄等符合采购需求；</w:t>
            </w:r>
          </w:p>
          <w:p w14:paraId="31AB1BF3">
            <w:pPr>
              <w:spacing w:line="320" w:lineRule="exact"/>
              <w:ind w:firstLine="420" w:firstLineChars="200"/>
              <w:jc w:val="both"/>
              <w:rPr>
                <w:rFonts w:ascii="Calibri" w:hAnsi="宋体" w:eastAsia="宋体"/>
                <w:sz w:val="21"/>
              </w:rPr>
            </w:pPr>
            <w:r>
              <w:rPr>
                <w:rFonts w:hint="eastAsia" w:ascii="Calibri" w:hAnsi="宋体" w:eastAsia="宋体"/>
                <w:sz w:val="21"/>
              </w:rPr>
              <w:t>3、专业性：人员相关岗位经验丰富，切合本项目实际情况。</w:t>
            </w:r>
          </w:p>
          <w:p w14:paraId="0C5C0B54">
            <w:pPr>
              <w:spacing w:line="320" w:lineRule="exact"/>
              <w:ind w:firstLine="420" w:firstLineChars="200"/>
              <w:jc w:val="both"/>
              <w:rPr>
                <w:rFonts w:ascii="Calibri" w:hAnsi="宋体" w:eastAsia="宋体"/>
                <w:sz w:val="21"/>
              </w:rPr>
            </w:pPr>
            <w:r>
              <w:rPr>
                <w:rFonts w:hint="eastAsia" w:ascii="Calibri" w:hAnsi="宋体" w:eastAsia="宋体"/>
                <w:sz w:val="21"/>
              </w:rPr>
              <w:t>（三）赋分标准</w:t>
            </w:r>
          </w:p>
          <w:p w14:paraId="422B4505">
            <w:pPr>
              <w:spacing w:line="320" w:lineRule="exact"/>
              <w:ind w:firstLine="420" w:firstLineChars="200"/>
              <w:jc w:val="both"/>
              <w:rPr>
                <w:rFonts w:ascii="Calibri" w:hAnsi="宋体" w:eastAsia="宋体"/>
                <w:sz w:val="21"/>
              </w:rPr>
            </w:pPr>
            <w:r>
              <w:rPr>
                <w:rFonts w:hint="eastAsia" w:ascii="Calibri" w:hAnsi="宋体" w:eastAsia="宋体"/>
                <w:sz w:val="21"/>
              </w:rPr>
              <w:t>每完全满足一项评审标准得2分，满分6分。</w:t>
            </w:r>
          </w:p>
          <w:p w14:paraId="55A27619">
            <w:pPr>
              <w:spacing w:line="320" w:lineRule="exact"/>
              <w:ind w:firstLine="420" w:firstLineChars="200"/>
              <w:jc w:val="both"/>
              <w:rPr>
                <w:rFonts w:ascii="Calibri" w:hAnsi="宋体" w:eastAsia="宋体"/>
                <w:b/>
                <w:sz w:val="21"/>
              </w:rPr>
            </w:pPr>
            <w:r>
              <w:rPr>
                <w:rFonts w:hint="eastAsia" w:ascii="Calibri" w:hAnsi="宋体" w:eastAsia="宋体"/>
                <w:b/>
                <w:sz w:val="21"/>
              </w:rPr>
              <w:t>二、保安队长：（本项满分</w:t>
            </w:r>
            <w:r>
              <w:rPr>
                <w:rFonts w:ascii="Calibri" w:hAnsi="宋体" w:eastAsia="宋体"/>
                <w:b/>
                <w:sz w:val="21"/>
              </w:rPr>
              <w:t>6</w:t>
            </w:r>
            <w:r>
              <w:rPr>
                <w:rFonts w:hint="eastAsia" w:ascii="Calibri" w:hAnsi="宋体" w:eastAsia="宋体"/>
                <w:b/>
                <w:sz w:val="21"/>
              </w:rPr>
              <w:t>分）</w:t>
            </w:r>
          </w:p>
          <w:p w14:paraId="3655C6A2">
            <w:pPr>
              <w:spacing w:line="320" w:lineRule="exact"/>
              <w:ind w:firstLine="420" w:firstLineChars="200"/>
              <w:jc w:val="both"/>
              <w:rPr>
                <w:rFonts w:ascii="Calibri" w:hAnsi="宋体" w:eastAsia="宋体"/>
                <w:sz w:val="21"/>
              </w:rPr>
            </w:pPr>
            <w:r>
              <w:rPr>
                <w:rFonts w:hint="eastAsia" w:ascii="Calibri" w:hAnsi="宋体" w:eastAsia="宋体"/>
                <w:sz w:val="21"/>
              </w:rPr>
              <w:t>1、供应商拟派保安队长提供学历证明资料扫描件（初中及以上学历），提供3年及以上安保服务管理经验（以相关工作证明资料扫描件并加盖供应商公章为依据），满足得5分，缺项不得分。</w:t>
            </w:r>
          </w:p>
          <w:p w14:paraId="54997DD0">
            <w:pPr>
              <w:spacing w:line="320" w:lineRule="exact"/>
              <w:ind w:firstLine="420" w:firstLineChars="200"/>
              <w:jc w:val="both"/>
              <w:rPr>
                <w:rFonts w:ascii="Calibri" w:hAnsi="宋体" w:eastAsia="宋体"/>
                <w:sz w:val="21"/>
              </w:rPr>
            </w:pPr>
            <w:r>
              <w:rPr>
                <w:rFonts w:ascii="Calibri" w:hAnsi="宋体" w:eastAsia="宋体"/>
                <w:sz w:val="21"/>
              </w:rPr>
              <w:t>2、在满足</w:t>
            </w:r>
            <w:r>
              <w:rPr>
                <w:rFonts w:hint="eastAsia" w:ascii="Calibri" w:hAnsi="宋体" w:eastAsia="宋体"/>
                <w:sz w:val="21"/>
              </w:rPr>
              <w:t>第1条要求的基础上，若保安队长为退伍军人，提供退伍军人证书扫描件并加盖供应商公章，加1分；若不满足第1条要求，本项不得分。</w:t>
            </w:r>
          </w:p>
          <w:p w14:paraId="1F7C8183">
            <w:pPr>
              <w:spacing w:line="320" w:lineRule="exact"/>
              <w:ind w:firstLine="420" w:firstLineChars="20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若学历为大专及以上，须提供学历证明扫描件及经学信网查证的《教育部学历证书电子注册备案表》。</w:t>
            </w:r>
          </w:p>
          <w:p w14:paraId="4E37B3B5">
            <w:pPr>
              <w:spacing w:line="320" w:lineRule="exact"/>
              <w:ind w:firstLine="420" w:firstLineChars="200"/>
              <w:jc w:val="both"/>
              <w:rPr>
                <w:rFonts w:ascii="Calibri" w:hAnsi="宋体" w:eastAsia="宋体"/>
                <w:sz w:val="21"/>
              </w:rPr>
            </w:pPr>
            <w:r>
              <w:rPr>
                <w:rFonts w:hint="eastAsia" w:ascii="Calibri" w:hAnsi="宋体" w:eastAsia="宋体"/>
                <w:b/>
                <w:sz w:val="21"/>
              </w:rPr>
              <w:t>三、</w:t>
            </w:r>
            <w:r>
              <w:rPr>
                <w:rFonts w:hint="eastAsia" w:ascii="Calibri" w:hAnsi="宋体" w:eastAsia="宋体"/>
                <w:sz w:val="21"/>
              </w:rPr>
              <w:t>供应商拟派安保人员中，退伍军人及警校毕业生占比30%及以上，得</w:t>
            </w:r>
            <w:r>
              <w:rPr>
                <w:rFonts w:ascii="Calibri" w:hAnsi="宋体" w:eastAsia="宋体"/>
                <w:sz w:val="21"/>
              </w:rPr>
              <w:t>6</w:t>
            </w:r>
            <w:r>
              <w:rPr>
                <w:rFonts w:hint="eastAsia" w:ascii="Calibri" w:hAnsi="宋体" w:eastAsia="宋体"/>
                <w:sz w:val="21"/>
              </w:rPr>
              <w:t>分。</w:t>
            </w:r>
          </w:p>
          <w:p w14:paraId="1AE5294C">
            <w:pPr>
              <w:spacing w:line="320" w:lineRule="exact"/>
              <w:ind w:firstLine="420" w:firstLineChars="200"/>
              <w:jc w:val="both"/>
              <w:rPr>
                <w:rFonts w:ascii="Calibri" w:hAnsi="宋体" w:eastAsia="宋体"/>
                <w:sz w:val="21"/>
              </w:rPr>
            </w:pPr>
            <w:r>
              <w:rPr>
                <w:rFonts w:ascii="Calibri" w:hAnsi="宋体" w:eastAsia="宋体"/>
                <w:b/>
                <w:sz w:val="21"/>
              </w:rPr>
              <w:t>注：</w:t>
            </w:r>
            <w:r>
              <w:rPr>
                <w:rFonts w:hint="eastAsia" w:ascii="Calibri" w:hAnsi="宋体" w:eastAsia="宋体"/>
                <w:sz w:val="21"/>
              </w:rPr>
              <w:t>以加盖供应商公章的退伍证或毕业证扫描件作为计分依据。</w:t>
            </w:r>
          </w:p>
        </w:tc>
        <w:tc>
          <w:tcPr>
            <w:tcW w:w="1276" w:type="dxa"/>
            <w:shd w:val="clear" w:color="auto" w:fill="auto"/>
            <w:vAlign w:val="center"/>
          </w:tcPr>
          <w:p w14:paraId="646E17F5">
            <w:pPr>
              <w:spacing w:line="400" w:lineRule="exact"/>
              <w:jc w:val="center"/>
              <w:rPr>
                <w:rFonts w:ascii="Calibri" w:hAnsi="宋体" w:eastAsia="宋体" w:cs="宋体"/>
                <w:bCs/>
                <w:color w:val="FF0000"/>
                <w:sz w:val="21"/>
                <w:szCs w:val="21"/>
              </w:rPr>
            </w:pPr>
          </w:p>
        </w:tc>
      </w:tr>
      <w:tr w14:paraId="708307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C462BEE">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B1029AB">
            <w:pPr>
              <w:spacing w:line="400" w:lineRule="exact"/>
              <w:jc w:val="center"/>
              <w:rPr>
                <w:rFonts w:ascii="Calibri" w:hAnsi="宋体" w:eastAsia="宋体" w:cs="宋体"/>
                <w:bCs/>
                <w:sz w:val="21"/>
                <w:szCs w:val="21"/>
              </w:rPr>
            </w:pPr>
          </w:p>
        </w:tc>
        <w:tc>
          <w:tcPr>
            <w:tcW w:w="860" w:type="dxa"/>
            <w:shd w:val="clear" w:color="auto" w:fill="auto"/>
            <w:vAlign w:val="center"/>
          </w:tcPr>
          <w:p w14:paraId="661B67A6">
            <w:pPr>
              <w:spacing w:line="400" w:lineRule="exact"/>
              <w:jc w:val="center"/>
              <w:rPr>
                <w:rFonts w:ascii="Calibri" w:hAnsi="宋体" w:eastAsia="宋体" w:cs="宋体"/>
                <w:bCs/>
                <w:sz w:val="21"/>
                <w:szCs w:val="21"/>
              </w:rPr>
            </w:pPr>
            <w:r>
              <w:rPr>
                <w:rFonts w:ascii="Calibri" w:hAnsi="宋体" w:eastAsia="宋体" w:cs="宋体"/>
                <w:bCs/>
                <w:sz w:val="21"/>
                <w:szCs w:val="21"/>
              </w:rPr>
              <w:t>6</w:t>
            </w:r>
          </w:p>
        </w:tc>
        <w:tc>
          <w:tcPr>
            <w:tcW w:w="5951" w:type="dxa"/>
            <w:shd w:val="clear" w:color="auto" w:fill="auto"/>
            <w:vAlign w:val="center"/>
          </w:tcPr>
          <w:p w14:paraId="11D3BDC4">
            <w:pPr>
              <w:tabs>
                <w:tab w:val="left" w:pos="547"/>
              </w:tabs>
              <w:spacing w:line="32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服务承诺</w:t>
            </w:r>
          </w:p>
          <w:p w14:paraId="0323D4DC">
            <w:pPr>
              <w:spacing w:line="320" w:lineRule="exact"/>
              <w:ind w:firstLine="420" w:firstLineChars="200"/>
              <w:jc w:val="both"/>
              <w:rPr>
                <w:rFonts w:ascii="Calibri" w:hAnsi="宋体" w:eastAsia="宋体"/>
                <w:sz w:val="21"/>
              </w:rPr>
            </w:pPr>
            <w:r>
              <w:rPr>
                <w:rFonts w:hint="eastAsia" w:ascii="Calibri" w:hAnsi="宋体" w:eastAsia="宋体"/>
                <w:sz w:val="21"/>
              </w:rPr>
              <w:t>每提供一项承诺得</w:t>
            </w:r>
            <w:r>
              <w:rPr>
                <w:rFonts w:ascii="Calibri" w:hAnsi="宋体" w:eastAsia="宋体"/>
                <w:sz w:val="21"/>
              </w:rPr>
              <w:t>1</w:t>
            </w:r>
            <w:r>
              <w:rPr>
                <w:rFonts w:hint="eastAsia" w:ascii="Calibri" w:hAnsi="宋体" w:eastAsia="宋体"/>
                <w:sz w:val="21"/>
              </w:rPr>
              <w:t>分（承诺函格式自拟），满分</w:t>
            </w:r>
            <w:r>
              <w:rPr>
                <w:rFonts w:ascii="Calibri" w:hAnsi="宋体" w:eastAsia="宋体"/>
                <w:sz w:val="21"/>
              </w:rPr>
              <w:t>6</w:t>
            </w:r>
            <w:r>
              <w:rPr>
                <w:rFonts w:hint="eastAsia" w:ascii="Calibri" w:hAnsi="宋体" w:eastAsia="宋体"/>
                <w:sz w:val="21"/>
              </w:rPr>
              <w:t>分</w:t>
            </w:r>
            <w:r>
              <w:rPr>
                <w:rFonts w:ascii="MS Gothic" w:hAnsi="MS Gothic" w:eastAsia="宋体" w:cs="MS Gothic"/>
                <w:sz w:val="21"/>
              </w:rPr>
              <w:t>｡</w:t>
            </w:r>
          </w:p>
          <w:p w14:paraId="10A9A86F">
            <w:pPr>
              <w:spacing w:line="320" w:lineRule="exact"/>
              <w:ind w:firstLine="420" w:firstLineChars="200"/>
              <w:jc w:val="both"/>
              <w:rPr>
                <w:rFonts w:ascii="Calibri" w:hAnsi="宋体" w:eastAsia="宋体"/>
                <w:sz w:val="21"/>
              </w:rPr>
            </w:pPr>
            <w:r>
              <w:rPr>
                <w:rFonts w:hint="eastAsia" w:ascii="Calibri" w:hAnsi="宋体" w:eastAsia="宋体"/>
                <w:sz w:val="21"/>
              </w:rPr>
              <w:t>1、供应商承诺发生紧急突发事件时，积极配合采购人工作，必要时增派人员。</w:t>
            </w:r>
          </w:p>
          <w:p w14:paraId="57AF59C1">
            <w:pPr>
              <w:spacing w:line="320" w:lineRule="exact"/>
              <w:ind w:firstLine="420" w:firstLineChars="200"/>
              <w:jc w:val="both"/>
              <w:rPr>
                <w:rFonts w:ascii="Calibri" w:hAnsi="宋体" w:eastAsia="宋体"/>
                <w:sz w:val="21"/>
              </w:rPr>
            </w:pPr>
            <w:r>
              <w:rPr>
                <w:rFonts w:hint="eastAsia" w:ascii="Calibri" w:hAnsi="宋体" w:eastAsia="宋体"/>
                <w:sz w:val="21"/>
              </w:rPr>
              <w:t>2、供应商承诺人员调离时征得采购人同意。</w:t>
            </w:r>
          </w:p>
          <w:p w14:paraId="7D133121">
            <w:pPr>
              <w:spacing w:line="320" w:lineRule="exact"/>
              <w:ind w:firstLine="420" w:firstLineChars="200"/>
              <w:jc w:val="both"/>
              <w:rPr>
                <w:rFonts w:ascii="Calibri" w:hAnsi="宋体" w:eastAsia="宋体"/>
                <w:sz w:val="21"/>
              </w:rPr>
            </w:pPr>
            <w:r>
              <w:rPr>
                <w:rFonts w:hint="eastAsia" w:ascii="Calibri" w:hAnsi="宋体" w:eastAsia="宋体"/>
                <w:sz w:val="21"/>
              </w:rPr>
              <w:t>3、供应商承诺有人员休假时，自行调配人员，保证各岗人员齐全。</w:t>
            </w:r>
          </w:p>
          <w:p w14:paraId="6450AE08">
            <w:pPr>
              <w:spacing w:line="320" w:lineRule="exact"/>
              <w:ind w:firstLine="420" w:firstLineChars="200"/>
              <w:jc w:val="both"/>
              <w:rPr>
                <w:rFonts w:ascii="Calibri" w:hAnsi="宋体" w:eastAsia="宋体"/>
                <w:sz w:val="21"/>
              </w:rPr>
            </w:pPr>
            <w:r>
              <w:rPr>
                <w:rFonts w:hint="eastAsia" w:ascii="Calibri" w:hAnsi="宋体" w:eastAsia="宋体"/>
                <w:sz w:val="21"/>
              </w:rPr>
              <w:t>4、供应商承诺服从采购人指挥和调度，遵守采购人的规章制度。</w:t>
            </w:r>
          </w:p>
          <w:p w14:paraId="06314A3E">
            <w:pPr>
              <w:spacing w:line="320" w:lineRule="exact"/>
              <w:ind w:firstLine="420" w:firstLineChars="200"/>
              <w:jc w:val="both"/>
              <w:rPr>
                <w:rFonts w:ascii="Calibri" w:hAnsi="宋体" w:eastAsia="宋体"/>
                <w:sz w:val="21"/>
              </w:rPr>
            </w:pPr>
            <w:r>
              <w:rPr>
                <w:rFonts w:hint="eastAsia" w:ascii="Calibri" w:hAnsi="宋体" w:eastAsia="宋体"/>
                <w:sz w:val="21"/>
              </w:rPr>
              <w:t>5、供应商承诺接受采购人对本项目服务的考核、监督及管理，定期调研采购人对服务质量的满意度并加以改进，确保服务工作的优质高效。</w:t>
            </w:r>
          </w:p>
          <w:p w14:paraId="4464461D">
            <w:pPr>
              <w:spacing w:line="320" w:lineRule="exact"/>
              <w:ind w:firstLine="420" w:firstLineChars="200"/>
              <w:jc w:val="both"/>
              <w:rPr>
                <w:rFonts w:ascii="Calibri" w:hAnsi="宋体" w:eastAsia="宋体"/>
                <w:sz w:val="21"/>
              </w:rPr>
            </w:pPr>
            <w:r>
              <w:rPr>
                <w:rFonts w:hint="eastAsia" w:ascii="Calibri" w:hAnsi="宋体" w:eastAsia="宋体"/>
                <w:sz w:val="21"/>
              </w:rPr>
              <w:t>6、供应商承诺保安人员统一着装（春秋、夏、冬装人均各一套）。</w:t>
            </w:r>
          </w:p>
        </w:tc>
        <w:tc>
          <w:tcPr>
            <w:tcW w:w="1276" w:type="dxa"/>
            <w:shd w:val="clear" w:color="auto" w:fill="auto"/>
            <w:vAlign w:val="center"/>
          </w:tcPr>
          <w:p w14:paraId="55E29535">
            <w:pPr>
              <w:spacing w:line="400" w:lineRule="exact"/>
              <w:jc w:val="center"/>
              <w:rPr>
                <w:rFonts w:ascii="Calibri" w:hAnsi="宋体" w:eastAsia="宋体" w:cs="宋体"/>
                <w:bCs/>
                <w:color w:val="FF0000"/>
                <w:sz w:val="21"/>
                <w:szCs w:val="21"/>
              </w:rPr>
            </w:pPr>
          </w:p>
        </w:tc>
      </w:tr>
      <w:tr w14:paraId="5BEC1F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228C3FA">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0F30DF5">
            <w:pPr>
              <w:spacing w:line="400" w:lineRule="exact"/>
              <w:jc w:val="center"/>
              <w:rPr>
                <w:rFonts w:ascii="Calibri" w:hAnsi="宋体" w:eastAsia="宋体" w:cs="宋体"/>
                <w:bCs/>
                <w:sz w:val="21"/>
                <w:szCs w:val="21"/>
              </w:rPr>
            </w:pPr>
          </w:p>
        </w:tc>
        <w:tc>
          <w:tcPr>
            <w:tcW w:w="860" w:type="dxa"/>
            <w:shd w:val="clear" w:color="auto" w:fill="auto"/>
            <w:vAlign w:val="center"/>
          </w:tcPr>
          <w:p w14:paraId="676B5C6C">
            <w:pPr>
              <w:spacing w:line="400" w:lineRule="exact"/>
              <w:jc w:val="center"/>
              <w:rPr>
                <w:rFonts w:ascii="Calibri" w:hAnsi="宋体" w:eastAsia="宋体" w:cs="宋体"/>
                <w:bCs/>
                <w:sz w:val="21"/>
                <w:szCs w:val="21"/>
              </w:rPr>
            </w:pPr>
            <w:r>
              <w:rPr>
                <w:rFonts w:ascii="Calibri" w:hAnsi="宋体" w:eastAsia="宋体" w:cs="宋体"/>
                <w:bCs/>
                <w:sz w:val="21"/>
                <w:szCs w:val="21"/>
              </w:rPr>
              <w:t>4</w:t>
            </w:r>
          </w:p>
        </w:tc>
        <w:tc>
          <w:tcPr>
            <w:tcW w:w="5951" w:type="dxa"/>
            <w:shd w:val="clear" w:color="auto" w:fill="auto"/>
            <w:vAlign w:val="center"/>
          </w:tcPr>
          <w:p w14:paraId="7240CF21">
            <w:pPr>
              <w:tabs>
                <w:tab w:val="left" w:pos="547"/>
              </w:tabs>
              <w:spacing w:line="32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安保用具情况</w:t>
            </w:r>
          </w:p>
          <w:p w14:paraId="3B572A96">
            <w:pPr>
              <w:spacing w:line="320" w:lineRule="exact"/>
              <w:ind w:firstLine="420" w:firstLineChars="200"/>
              <w:jc w:val="both"/>
              <w:rPr>
                <w:rFonts w:ascii="Calibri" w:hAnsi="宋体" w:eastAsia="宋体"/>
                <w:b/>
                <w:sz w:val="21"/>
              </w:rPr>
            </w:pPr>
            <w:r>
              <w:rPr>
                <w:rFonts w:hint="eastAsia" w:ascii="Calibri" w:hAnsi="宋体" w:eastAsia="宋体"/>
                <w:b/>
                <w:sz w:val="21"/>
              </w:rPr>
              <w:t>一、评审内容</w:t>
            </w:r>
          </w:p>
          <w:p w14:paraId="1A09913D">
            <w:pPr>
              <w:spacing w:line="320" w:lineRule="exact"/>
              <w:ind w:firstLine="420" w:firstLineChars="200"/>
              <w:jc w:val="both"/>
              <w:rPr>
                <w:rFonts w:ascii="Calibri" w:hAnsi="宋体" w:eastAsia="宋体"/>
                <w:sz w:val="21"/>
              </w:rPr>
            </w:pPr>
            <w:r>
              <w:rPr>
                <w:rFonts w:hint="eastAsia" w:ascii="Calibri" w:hAnsi="宋体" w:eastAsia="宋体"/>
                <w:sz w:val="21"/>
              </w:rPr>
              <w:t>供应商提供的装备配置清单，须满足</w:t>
            </w:r>
            <w:r>
              <w:rPr>
                <w:rFonts w:ascii="Calibri" w:hAnsi="宋体" w:eastAsia="宋体"/>
                <w:sz w:val="21"/>
              </w:rPr>
              <w:t>至少一辆</w:t>
            </w:r>
            <w:r>
              <w:rPr>
                <w:rFonts w:hint="eastAsia" w:ascii="Calibri" w:hAnsi="宋体" w:eastAsia="宋体"/>
                <w:sz w:val="21"/>
              </w:rPr>
              <w:t>四轮巡逻车、三辆两轮巡逻摩托、六套（含）安保十件套、十五个（含）对讲机。</w:t>
            </w:r>
          </w:p>
          <w:p w14:paraId="788531F2">
            <w:pPr>
              <w:spacing w:line="320" w:lineRule="exact"/>
              <w:ind w:firstLine="420" w:firstLineChars="200"/>
              <w:jc w:val="both"/>
              <w:rPr>
                <w:rFonts w:ascii="Calibri" w:hAnsi="宋体" w:eastAsia="宋体"/>
                <w:b/>
                <w:sz w:val="21"/>
              </w:rPr>
            </w:pPr>
            <w:r>
              <w:rPr>
                <w:rFonts w:hint="eastAsia" w:ascii="Calibri" w:hAnsi="宋体" w:eastAsia="宋体"/>
                <w:b/>
                <w:sz w:val="21"/>
              </w:rPr>
              <w:t>二、赋分标准（满分</w:t>
            </w:r>
            <w:r>
              <w:rPr>
                <w:rFonts w:ascii="Calibri" w:hAnsi="宋体" w:eastAsia="宋体"/>
                <w:b/>
                <w:sz w:val="21"/>
              </w:rPr>
              <w:t>4</w:t>
            </w:r>
            <w:r>
              <w:rPr>
                <w:rFonts w:hint="eastAsia" w:ascii="Calibri" w:hAnsi="宋体" w:eastAsia="宋体"/>
                <w:b/>
                <w:sz w:val="21"/>
              </w:rPr>
              <w:t>分）</w:t>
            </w:r>
          </w:p>
          <w:p w14:paraId="28DA0C3F">
            <w:pPr>
              <w:spacing w:line="320" w:lineRule="exact"/>
              <w:ind w:firstLine="420" w:firstLineChars="200"/>
              <w:jc w:val="both"/>
              <w:rPr>
                <w:rFonts w:ascii="Calibri" w:hAnsi="宋体" w:eastAsia="宋体"/>
                <w:sz w:val="21"/>
              </w:rPr>
            </w:pPr>
            <w:r>
              <w:rPr>
                <w:rFonts w:hint="eastAsia" w:ascii="Calibri" w:hAnsi="宋体" w:eastAsia="宋体"/>
                <w:sz w:val="21"/>
              </w:rPr>
              <w:t>在以上装备配置基础上，每增加一辆四轮巡逻车得2分，每增加一辆二轮摩托车得1分，最多得4分。</w:t>
            </w:r>
          </w:p>
          <w:p w14:paraId="1CC59512">
            <w:pPr>
              <w:spacing w:line="320" w:lineRule="exact"/>
              <w:ind w:firstLine="420" w:firstLineChars="20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供应商提供详细的安保器械及执勤装备清单（包含但不限于品牌、规格、数量、用途、生产厂家、已服役年限等，属于自购的附发票复印件，属于租借的附相关证明材料。）</w:t>
            </w:r>
          </w:p>
        </w:tc>
        <w:tc>
          <w:tcPr>
            <w:tcW w:w="1276" w:type="dxa"/>
            <w:shd w:val="clear" w:color="auto" w:fill="auto"/>
            <w:vAlign w:val="center"/>
          </w:tcPr>
          <w:p w14:paraId="62F4945A">
            <w:pPr>
              <w:spacing w:line="400" w:lineRule="exact"/>
              <w:jc w:val="center"/>
              <w:rPr>
                <w:rFonts w:ascii="Calibri" w:hAnsi="宋体" w:eastAsia="宋体" w:cs="宋体"/>
                <w:bCs/>
                <w:color w:val="FF0000"/>
                <w:sz w:val="21"/>
                <w:szCs w:val="21"/>
              </w:rPr>
            </w:pPr>
          </w:p>
        </w:tc>
      </w:tr>
      <w:tr w14:paraId="149136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6246C16B">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4F7717EA">
            <w:pPr>
              <w:spacing w:line="400" w:lineRule="exact"/>
              <w:jc w:val="center"/>
              <w:rPr>
                <w:rFonts w:ascii="Calibri" w:hAnsi="宋体" w:eastAsia="宋体" w:cs="宋体"/>
                <w:bCs/>
                <w:sz w:val="21"/>
                <w:szCs w:val="21"/>
              </w:rPr>
            </w:pPr>
          </w:p>
        </w:tc>
        <w:tc>
          <w:tcPr>
            <w:tcW w:w="860" w:type="dxa"/>
            <w:shd w:val="clear" w:color="auto" w:fill="auto"/>
            <w:vAlign w:val="center"/>
          </w:tcPr>
          <w:p w14:paraId="26DD4806">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p>
        </w:tc>
        <w:tc>
          <w:tcPr>
            <w:tcW w:w="5951" w:type="dxa"/>
            <w:shd w:val="clear" w:color="auto" w:fill="auto"/>
            <w:vAlign w:val="center"/>
          </w:tcPr>
          <w:p w14:paraId="2ECF34BB">
            <w:pPr>
              <w:tabs>
                <w:tab w:val="left" w:pos="547"/>
              </w:tabs>
              <w:spacing w:line="32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企业资质</w:t>
            </w:r>
          </w:p>
          <w:p w14:paraId="5E26A700">
            <w:pPr>
              <w:spacing w:line="320" w:lineRule="exact"/>
              <w:ind w:firstLine="420" w:firstLineChars="200"/>
              <w:jc w:val="both"/>
              <w:rPr>
                <w:rFonts w:ascii="Calibri" w:hAnsi="宋体" w:eastAsia="宋体"/>
                <w:b/>
                <w:sz w:val="21"/>
              </w:rPr>
            </w:pPr>
            <w:r>
              <w:rPr>
                <w:rFonts w:hint="eastAsia" w:ascii="Calibri" w:hAnsi="宋体" w:eastAsia="宋体"/>
                <w:b/>
                <w:sz w:val="21"/>
              </w:rPr>
              <w:t>一、评审内容</w:t>
            </w:r>
          </w:p>
          <w:p w14:paraId="0BE18644">
            <w:pPr>
              <w:spacing w:line="320" w:lineRule="exact"/>
              <w:ind w:firstLine="420" w:firstLineChars="200"/>
              <w:jc w:val="both"/>
              <w:rPr>
                <w:rFonts w:ascii="Calibri" w:hAnsi="宋体" w:eastAsia="宋体"/>
                <w:sz w:val="21"/>
              </w:rPr>
            </w:pPr>
            <w:r>
              <w:rPr>
                <w:rFonts w:hint="eastAsia" w:ascii="Calibri" w:hAnsi="宋体" w:eastAsia="宋体"/>
                <w:sz w:val="21"/>
              </w:rPr>
              <w:t>1、供应商具有质量管理体系认证证书。</w:t>
            </w:r>
          </w:p>
          <w:p w14:paraId="65E89B51">
            <w:pPr>
              <w:spacing w:line="320" w:lineRule="exact"/>
              <w:ind w:firstLine="420" w:firstLineChars="200"/>
              <w:jc w:val="both"/>
              <w:rPr>
                <w:rFonts w:ascii="Calibri" w:hAnsi="宋体" w:eastAsia="宋体"/>
                <w:sz w:val="21"/>
              </w:rPr>
            </w:pPr>
            <w:r>
              <w:rPr>
                <w:rFonts w:hint="eastAsia" w:ascii="Calibri" w:hAnsi="宋体" w:eastAsia="宋体"/>
                <w:sz w:val="21"/>
              </w:rPr>
              <w:t>2、供应商具有环境管理体系认证证书。</w:t>
            </w:r>
          </w:p>
          <w:p w14:paraId="279B709B">
            <w:pPr>
              <w:spacing w:line="320" w:lineRule="exact"/>
              <w:ind w:firstLine="420" w:firstLineChars="200"/>
              <w:jc w:val="both"/>
              <w:rPr>
                <w:rFonts w:ascii="Calibri" w:hAnsi="宋体" w:eastAsia="宋体"/>
                <w:sz w:val="21"/>
              </w:rPr>
            </w:pPr>
            <w:r>
              <w:rPr>
                <w:rFonts w:hint="eastAsia" w:ascii="Calibri" w:hAnsi="宋体" w:eastAsia="宋体"/>
                <w:sz w:val="21"/>
              </w:rPr>
              <w:t>3、供应商具有职业健康安全管理体系认证证书。</w:t>
            </w:r>
          </w:p>
          <w:p w14:paraId="113BBFA8">
            <w:pPr>
              <w:spacing w:line="320" w:lineRule="exact"/>
              <w:ind w:firstLine="420" w:firstLineChars="200"/>
              <w:jc w:val="both"/>
              <w:rPr>
                <w:rFonts w:ascii="Calibri" w:hAnsi="宋体" w:eastAsia="宋体"/>
                <w:b/>
                <w:sz w:val="21"/>
              </w:rPr>
            </w:pPr>
            <w:r>
              <w:rPr>
                <w:rFonts w:hint="eastAsia" w:ascii="Calibri" w:hAnsi="宋体" w:eastAsia="宋体"/>
                <w:b/>
                <w:sz w:val="21"/>
              </w:rPr>
              <w:t>二、赋分标准（满分3分）</w:t>
            </w:r>
          </w:p>
          <w:p w14:paraId="1220C3C2">
            <w:pPr>
              <w:spacing w:line="320" w:lineRule="exact"/>
              <w:ind w:firstLine="420" w:firstLineChars="200"/>
              <w:jc w:val="both"/>
              <w:rPr>
                <w:rFonts w:ascii="Calibri" w:hAnsi="宋体" w:eastAsia="宋体"/>
                <w:sz w:val="21"/>
              </w:rPr>
            </w:pPr>
            <w:r>
              <w:rPr>
                <w:rFonts w:hint="eastAsia" w:ascii="Calibri" w:hAnsi="宋体" w:eastAsia="宋体"/>
                <w:sz w:val="21"/>
              </w:rPr>
              <w:t>供应商每提供一个有效期内的资质证书扫描件得1分，满分3分。</w:t>
            </w:r>
          </w:p>
        </w:tc>
        <w:tc>
          <w:tcPr>
            <w:tcW w:w="1276" w:type="dxa"/>
            <w:shd w:val="clear" w:color="auto" w:fill="auto"/>
            <w:vAlign w:val="center"/>
          </w:tcPr>
          <w:p w14:paraId="0E029816">
            <w:pPr>
              <w:spacing w:line="400" w:lineRule="exact"/>
              <w:jc w:val="center"/>
              <w:rPr>
                <w:rFonts w:ascii="Calibri" w:hAnsi="宋体" w:eastAsia="宋体" w:cs="宋体"/>
                <w:bCs/>
                <w:color w:val="FF0000"/>
                <w:sz w:val="21"/>
                <w:szCs w:val="21"/>
              </w:rPr>
            </w:pPr>
          </w:p>
        </w:tc>
      </w:tr>
      <w:tr w14:paraId="443993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48FB90C">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58BAD61A">
            <w:pPr>
              <w:spacing w:line="400" w:lineRule="exact"/>
              <w:jc w:val="center"/>
              <w:rPr>
                <w:rFonts w:ascii="Calibri" w:hAnsi="宋体" w:eastAsia="宋体" w:cs="宋体"/>
                <w:bCs/>
                <w:sz w:val="21"/>
                <w:szCs w:val="21"/>
              </w:rPr>
            </w:pPr>
          </w:p>
        </w:tc>
        <w:tc>
          <w:tcPr>
            <w:tcW w:w="860" w:type="dxa"/>
            <w:shd w:val="clear" w:color="auto" w:fill="auto"/>
            <w:vAlign w:val="center"/>
          </w:tcPr>
          <w:p w14:paraId="12B48DFF">
            <w:pPr>
              <w:spacing w:line="400" w:lineRule="exact"/>
              <w:jc w:val="center"/>
              <w:rPr>
                <w:rFonts w:ascii="Calibri" w:hAnsi="宋体" w:eastAsia="宋体" w:cs="宋体"/>
                <w:bCs/>
                <w:sz w:val="21"/>
                <w:szCs w:val="21"/>
              </w:rPr>
            </w:pPr>
            <w:r>
              <w:rPr>
                <w:rFonts w:ascii="Calibri" w:hAnsi="宋体" w:eastAsia="宋体" w:cs="宋体"/>
                <w:bCs/>
                <w:sz w:val="21"/>
                <w:szCs w:val="21"/>
              </w:rPr>
              <w:t>6</w:t>
            </w:r>
          </w:p>
        </w:tc>
        <w:tc>
          <w:tcPr>
            <w:tcW w:w="5951" w:type="dxa"/>
            <w:shd w:val="clear" w:color="auto" w:fill="auto"/>
            <w:vAlign w:val="center"/>
          </w:tcPr>
          <w:p w14:paraId="432E8820">
            <w:pPr>
              <w:tabs>
                <w:tab w:val="left" w:pos="547"/>
              </w:tabs>
              <w:spacing w:line="320" w:lineRule="exact"/>
              <w:jc w:val="both"/>
              <w:rPr>
                <w:rFonts w:ascii="Calibri" w:hAnsi="宋体" w:eastAsia="宋体" w:cs="宋体"/>
                <w:b/>
                <w:color w:val="C00000"/>
                <w:sz w:val="21"/>
                <w:szCs w:val="21"/>
              </w:rPr>
            </w:pPr>
            <w:r>
              <w:rPr>
                <w:rFonts w:hint="eastAsia" w:ascii="Calibri" w:hAnsi="宋体" w:eastAsia="宋体" w:cs="宋体"/>
                <w:b/>
                <w:color w:val="C00000"/>
                <w:sz w:val="21"/>
                <w:szCs w:val="21"/>
              </w:rPr>
              <w:t>业绩</w:t>
            </w:r>
          </w:p>
          <w:p w14:paraId="6B28FAE1">
            <w:pPr>
              <w:spacing w:line="320" w:lineRule="exact"/>
              <w:ind w:firstLine="420" w:firstLineChars="200"/>
              <w:jc w:val="both"/>
              <w:rPr>
                <w:rFonts w:ascii="Calibri" w:hAnsi="宋体" w:eastAsia="宋体"/>
                <w:sz w:val="21"/>
              </w:rPr>
            </w:pPr>
            <w:r>
              <w:rPr>
                <w:rFonts w:hint="eastAsia" w:ascii="Calibri" w:hAnsi="宋体" w:eastAsia="宋体"/>
                <w:sz w:val="21"/>
              </w:rPr>
              <w:t>提供2023年4月1日（以合同签订时间为准）以来类似项目的业绩证明文件（包括合同关键页扫描件、项目验收文件、该合同对应的任意一期服务费用发票，三者同时出具并加盖供应商公章方为有效），每出具一份有效的业绩证明文件得2分，满分6分。</w:t>
            </w:r>
          </w:p>
          <w:p w14:paraId="33B82E5A">
            <w:pPr>
              <w:spacing w:line="320" w:lineRule="exact"/>
              <w:ind w:firstLine="420" w:firstLineChars="20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合同关键页扫描件至少应包含合同首页、合同金额所在页、签字盖章页。</w:t>
            </w:r>
          </w:p>
        </w:tc>
        <w:tc>
          <w:tcPr>
            <w:tcW w:w="1276" w:type="dxa"/>
            <w:shd w:val="clear" w:color="auto" w:fill="auto"/>
            <w:vAlign w:val="center"/>
          </w:tcPr>
          <w:p w14:paraId="3BD70DCF">
            <w:pPr>
              <w:spacing w:line="400" w:lineRule="exact"/>
              <w:jc w:val="center"/>
              <w:rPr>
                <w:rFonts w:ascii="Calibri" w:hAnsi="宋体" w:eastAsia="宋体" w:cs="宋体"/>
                <w:bCs/>
                <w:color w:val="FF0000"/>
                <w:sz w:val="21"/>
                <w:szCs w:val="21"/>
              </w:rPr>
            </w:pPr>
          </w:p>
        </w:tc>
      </w:tr>
      <w:tr w14:paraId="2399D4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625AF7E6">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14:paraId="6007BAE5">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评标委员会成员必须按照本评审要素据实打分，各类数字计算均按“四舍五入”保留小数点后两位。</w:t>
            </w:r>
          </w:p>
        </w:tc>
      </w:tr>
    </w:tbl>
    <w:p w14:paraId="5E16FD7D">
      <w:pPr>
        <w:pStyle w:val="81"/>
        <w:ind w:firstLine="482"/>
        <w:rPr>
          <w:b/>
        </w:rPr>
      </w:pPr>
      <w:r>
        <w:rPr>
          <w:b/>
        </w:rPr>
        <w:t>6</w:t>
      </w:r>
      <w:r>
        <w:rPr>
          <w:rFonts w:hint="eastAsia"/>
          <w:b/>
          <w:color w:val="auto"/>
        </w:rPr>
        <w:t>．</w:t>
      </w:r>
      <w:r>
        <w:rPr>
          <w:b/>
        </w:rPr>
        <w:t>推荐中标候选人</w:t>
      </w:r>
    </w:p>
    <w:p w14:paraId="33078F8F">
      <w:pPr>
        <w:pStyle w:val="81"/>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14:paraId="441B310C">
      <w:pPr>
        <w:pStyle w:val="81"/>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623579DE">
      <w:pPr>
        <w:pStyle w:val="81"/>
        <w:ind w:firstLine="482"/>
        <w:rPr>
          <w:b/>
        </w:rPr>
      </w:pPr>
      <w:r>
        <w:rPr>
          <w:b/>
        </w:rPr>
        <w:t>7</w:t>
      </w:r>
      <w:r>
        <w:rPr>
          <w:rFonts w:hint="eastAsia"/>
          <w:b/>
          <w:color w:val="auto"/>
        </w:rPr>
        <w:t>．</w:t>
      </w:r>
      <w:r>
        <w:rPr>
          <w:b/>
        </w:rPr>
        <w:t>编写评审报告</w:t>
      </w:r>
    </w:p>
    <w:p w14:paraId="43D27BE5">
      <w:pPr>
        <w:pStyle w:val="81"/>
        <w:ind w:firstLine="480"/>
        <w:rPr>
          <w:rFonts w:hAnsi="华文仿宋"/>
        </w:rPr>
      </w:pPr>
      <w:r>
        <w:rPr>
          <w:rFonts w:hint="eastAsia" w:hAnsi="华文仿宋"/>
        </w:rPr>
        <w:t>评审报告是评标委员会根据全体评标成员签字的原始评标记录和评标结果编写的报告。</w:t>
      </w:r>
    </w:p>
    <w:p w14:paraId="7CE7E351">
      <w:pPr>
        <w:pStyle w:val="81"/>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pPr>
        <w:pStyle w:val="4"/>
        <w:ind w:firstLine="482"/>
      </w:pPr>
      <w:r>
        <w:t>（四）</w:t>
      </w:r>
      <w:r>
        <w:rPr>
          <w:rFonts w:hint="eastAsia"/>
        </w:rPr>
        <w:t>评标争议处理规则</w:t>
      </w:r>
    </w:p>
    <w:p w14:paraId="111494EC">
      <w:pPr>
        <w:pStyle w:val="81"/>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5DA1D057">
      <w:pPr>
        <w:pStyle w:val="4"/>
        <w:ind w:firstLine="482"/>
      </w:pPr>
      <w:r>
        <w:t>（五）评审现场人员的保密责任</w:t>
      </w:r>
    </w:p>
    <w:p w14:paraId="23C272B2">
      <w:pPr>
        <w:pStyle w:val="81"/>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pPr>
        <w:pStyle w:val="4"/>
        <w:ind w:firstLine="482"/>
      </w:pPr>
      <w:r>
        <w:t>（六）出现下列情形时，视同供应商串通投标，其投标无效：</w:t>
      </w:r>
    </w:p>
    <w:p w14:paraId="060A387B">
      <w:pPr>
        <w:pStyle w:val="81"/>
        <w:ind w:firstLine="480"/>
      </w:pPr>
      <w:r>
        <w:t>1</w:t>
      </w:r>
      <w:r>
        <w:rPr>
          <w:rFonts w:hint="eastAsia"/>
          <w:color w:val="auto"/>
        </w:rPr>
        <w:t>．</w:t>
      </w:r>
      <w:r>
        <w:t>不同供应商的投标文件由同一单位或者个人编制；</w:t>
      </w:r>
    </w:p>
    <w:p w14:paraId="51256AE0">
      <w:pPr>
        <w:pStyle w:val="81"/>
        <w:ind w:firstLine="480"/>
      </w:pPr>
      <w:r>
        <w:t>2</w:t>
      </w:r>
      <w:r>
        <w:rPr>
          <w:rFonts w:hint="eastAsia"/>
          <w:color w:val="auto"/>
        </w:rPr>
        <w:t>．</w:t>
      </w:r>
      <w:r>
        <w:t>不同供应商委托同一单位或者个人办理投标事宜；</w:t>
      </w:r>
    </w:p>
    <w:p w14:paraId="2381E2F3">
      <w:pPr>
        <w:pStyle w:val="81"/>
        <w:ind w:firstLine="480"/>
      </w:pPr>
      <w:r>
        <w:t>3</w:t>
      </w:r>
      <w:r>
        <w:rPr>
          <w:rFonts w:hint="eastAsia"/>
          <w:color w:val="auto"/>
        </w:rPr>
        <w:t>．</w:t>
      </w:r>
      <w:r>
        <w:t>不同供应商的投标文件载明的项目管理成员或者联系人员为同一人；</w:t>
      </w:r>
    </w:p>
    <w:p w14:paraId="48EC5A5F">
      <w:pPr>
        <w:pStyle w:val="81"/>
        <w:ind w:firstLine="480"/>
        <w:rPr>
          <w:strike/>
        </w:rPr>
      </w:pPr>
      <w:r>
        <w:t>4</w:t>
      </w:r>
      <w:r>
        <w:rPr>
          <w:rFonts w:hint="eastAsia"/>
          <w:color w:val="auto"/>
        </w:rPr>
        <w:t>．</w:t>
      </w:r>
      <w:r>
        <w:t>不同供应商的投标文件异常一致或者投标报价呈规律性差异。</w:t>
      </w:r>
    </w:p>
    <w:p w14:paraId="2E53BD0A">
      <w:pPr>
        <w:pStyle w:val="3"/>
      </w:pPr>
      <w:r>
        <w:t>八、中标</w:t>
      </w:r>
    </w:p>
    <w:p w14:paraId="5D87E9E5">
      <w:pPr>
        <w:pStyle w:val="81"/>
        <w:ind w:firstLine="480"/>
      </w:pPr>
      <w:r>
        <w:rPr>
          <w:rFonts w:hint="eastAsia"/>
        </w:rPr>
        <w:t>1</w:t>
      </w:r>
      <w:r>
        <w:rPr>
          <w:rFonts w:hint="eastAsia"/>
          <w:color w:val="auto"/>
        </w:rPr>
        <w:t>．</w:t>
      </w:r>
      <w:r>
        <w:t>采购代理机构在评标工作结束后2个工作日内将评审报告送采购人。</w:t>
      </w:r>
    </w:p>
    <w:p w14:paraId="4224D80C">
      <w:pPr>
        <w:pStyle w:val="81"/>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1A8126BE">
      <w:pPr>
        <w:pStyle w:val="81"/>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）上公布中标结果。中标公告期限为1个工作日。</w:t>
      </w:r>
    </w:p>
    <w:p w14:paraId="67B80D74">
      <w:pPr>
        <w:pStyle w:val="81"/>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1AE91174">
      <w:pPr>
        <w:pStyle w:val="81"/>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7A4F61B5">
      <w:pPr>
        <w:pStyle w:val="81"/>
        <w:ind w:firstLine="480"/>
      </w:pPr>
      <w:r>
        <w:rPr>
          <w:rFonts w:hint="eastAsia"/>
        </w:rPr>
        <w:t>6</w:t>
      </w:r>
      <w:r>
        <w:rPr>
          <w:rFonts w:hint="eastAsia"/>
          <w:color w:val="auto"/>
        </w:rPr>
        <w:t>．</w:t>
      </w:r>
      <w:r>
        <w:rPr>
          <w:rFonts w:hint="eastAsia"/>
        </w:rPr>
        <w:t>采购代理机构按照相关规定将评审报告送同级政府采购监管部门备案。</w:t>
      </w:r>
    </w:p>
    <w:p w14:paraId="52646366">
      <w:pPr>
        <w:pStyle w:val="3"/>
      </w:pPr>
      <w:r>
        <w:t>九、合同签订、履行及验收</w:t>
      </w:r>
    </w:p>
    <w:p w14:paraId="704629A0">
      <w:pPr>
        <w:pStyle w:val="81"/>
        <w:ind w:firstLine="480"/>
      </w:pPr>
      <w:r>
        <w:t>招标文件、投标文件、澄清、补充合同等为政府采购合同的组成部分，具有同等法律效力。</w:t>
      </w:r>
    </w:p>
    <w:p w14:paraId="4EB7DCB4">
      <w:pPr>
        <w:pStyle w:val="4"/>
        <w:ind w:firstLine="482"/>
      </w:pPr>
      <w:r>
        <w:t>（一）签订政府采购合同</w:t>
      </w:r>
    </w:p>
    <w:p w14:paraId="7E9ACFB6">
      <w:pPr>
        <w:pStyle w:val="81"/>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14:paraId="141F6FA8">
      <w:pPr>
        <w:pStyle w:val="81"/>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14:paraId="150B414C">
      <w:pPr>
        <w:pStyle w:val="81"/>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6BD4BC1A">
      <w:pPr>
        <w:pStyle w:val="81"/>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14:paraId="5B4113D3">
      <w:pPr>
        <w:pStyle w:val="4"/>
        <w:ind w:firstLine="482"/>
      </w:pPr>
      <w:r>
        <w:t>（二）合同公示</w:t>
      </w:r>
    </w:p>
    <w:p w14:paraId="6AA27285">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14:paraId="0EB09D09">
      <w:pPr>
        <w:pStyle w:val="4"/>
        <w:ind w:firstLine="482"/>
      </w:pPr>
      <w:r>
        <w:t>（三）合同履行</w:t>
      </w:r>
    </w:p>
    <w:p w14:paraId="28851CA4">
      <w:pPr>
        <w:pStyle w:val="81"/>
        <w:ind w:firstLine="480"/>
      </w:pPr>
      <w:r>
        <w:rPr>
          <w:rFonts w:hint="eastAsia"/>
        </w:rPr>
        <w:t>1</w:t>
      </w:r>
      <w:r>
        <w:rPr>
          <w:rFonts w:hint="eastAsia"/>
          <w:color w:val="auto"/>
        </w:rPr>
        <w:t>．</w:t>
      </w:r>
      <w:r>
        <w:rPr>
          <w:rFonts w:hint="eastAsia"/>
        </w:rPr>
        <w:t>合同一经签订，双方应严格履行合同规定的义务。</w:t>
      </w:r>
    </w:p>
    <w:p w14:paraId="7846AF21">
      <w:pPr>
        <w:pStyle w:val="81"/>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7D2FB0C7">
      <w:pPr>
        <w:pStyle w:val="4"/>
        <w:ind w:firstLine="482"/>
      </w:pPr>
      <w:r>
        <w:t>（四）验收或考核</w:t>
      </w:r>
    </w:p>
    <w:p w14:paraId="299DB2FD">
      <w:pPr>
        <w:pStyle w:val="81"/>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21E84E95">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十、其他</w:t>
      </w:r>
    </w:p>
    <w:p w14:paraId="791FCABD">
      <w:pPr>
        <w:pStyle w:val="81"/>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53B1B2EA">
      <w:pPr>
        <w:pStyle w:val="81"/>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pPr>
        <w:pStyle w:val="81"/>
        <w:ind w:firstLine="480"/>
      </w:pPr>
      <w:r>
        <w:t>3</w:t>
      </w:r>
      <w:r>
        <w:rPr>
          <w:rFonts w:hint="eastAsia"/>
          <w:color w:val="auto"/>
        </w:rPr>
        <w:t>．</w:t>
      </w:r>
      <w:r>
        <w:t>根据《政府采购法》第三十六条规定，在招标采购中，出现下列情形之一的，本项目按废标处理：</w:t>
      </w:r>
    </w:p>
    <w:p w14:paraId="4DA1D61B">
      <w:pPr>
        <w:pStyle w:val="81"/>
        <w:ind w:firstLine="480"/>
      </w:pPr>
      <w:r>
        <w:t>（</w:t>
      </w:r>
      <w:r>
        <w:rPr>
          <w:rFonts w:hint="eastAsia"/>
        </w:rPr>
        <w:t>1</w:t>
      </w:r>
      <w:r>
        <w:t>）出现影响采购公正的违法、违规行为的；</w:t>
      </w:r>
    </w:p>
    <w:p w14:paraId="549FB089">
      <w:pPr>
        <w:pStyle w:val="81"/>
        <w:ind w:firstLine="480"/>
      </w:pPr>
      <w:r>
        <w:t>（</w:t>
      </w:r>
      <w:r>
        <w:rPr>
          <w:rFonts w:hint="eastAsia"/>
        </w:rPr>
        <w:t>2</w:t>
      </w:r>
      <w:r>
        <w:t>）供应商的报价均超过了采购预算，采购人不能支付的；</w:t>
      </w:r>
    </w:p>
    <w:p w14:paraId="0D4452BC">
      <w:pPr>
        <w:pStyle w:val="81"/>
        <w:ind w:firstLine="480"/>
      </w:pPr>
      <w:r>
        <w:t>（</w:t>
      </w:r>
      <w:r>
        <w:rPr>
          <w:rFonts w:hint="eastAsia"/>
        </w:rPr>
        <w:t>3</w:t>
      </w:r>
      <w:r>
        <w:t>）因重大变故，采购任务取消的。</w:t>
      </w:r>
    </w:p>
    <w:p w14:paraId="1126BD68">
      <w:pPr>
        <w:pStyle w:val="81"/>
        <w:ind w:firstLine="480"/>
      </w:pPr>
      <w:r>
        <w:t>废标后，除采购任务取消外，本项目将重新组织招标。</w:t>
      </w:r>
    </w:p>
    <w:p w14:paraId="163D00B9">
      <w:pPr>
        <w:pStyle w:val="81"/>
        <w:widowControl w:val="0"/>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pPr>
        <w:pStyle w:val="81"/>
        <w:widowControl w:val="0"/>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0A42446B">
      <w:pPr>
        <w:pStyle w:val="81"/>
        <w:widowControl w:val="0"/>
        <w:ind w:firstLine="480"/>
        <w:sectPr>
          <w:footerReference r:id="rId13" w:type="default"/>
          <w:footerReference r:id="rId14"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14:paraId="3E5C702B">
      <w:pPr>
        <w:pStyle w:val="2"/>
        <w:spacing w:before="230" w:after="230"/>
      </w:pPr>
      <w:bookmarkStart w:id="9" w:name="_Toc211437468"/>
      <w:r>
        <w:rPr>
          <w:rFonts w:hint="eastAsia"/>
        </w:rPr>
        <w:t>第三章　招标内容及要求</w:t>
      </w:r>
      <w:bookmarkEnd w:id="9"/>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066B8F95">
      <w:pPr>
        <w:ind w:firstLine="480" w:firstLineChars="200"/>
        <w:jc w:val="both"/>
      </w:pPr>
      <w:r>
        <w:rPr>
          <w:rFonts w:hint="eastAsia"/>
        </w:rPr>
        <w:t>本项目以院本部、土门校区、辛家庙校区、鱼化校区门禁管理和院本部治安巡逻、校园监控为主,同时负责学院大型活动(如:新生报到、招生考试、大型集会、重要客人来访等)的安全保卫及校园突发事件应急处置工作。协助学院组织开展突发事件、反恐防暴、紧急疏散等科目的演练活动，并做好校内防火、防事故等安全工作，配合相关部门打击校园内部与周边的违法犯罪活动。</w:t>
      </w:r>
    </w:p>
    <w:p w14:paraId="7307D21B">
      <w:pPr>
        <w:pStyle w:val="3"/>
        <w:jc w:val="both"/>
      </w:pPr>
      <w:r>
        <w:rPr>
          <w:rFonts w:hint="eastAsia"/>
        </w:rPr>
        <w:t>二、采购内容</w:t>
      </w:r>
    </w:p>
    <w:p w14:paraId="3CBBC845">
      <w:pPr>
        <w:ind w:left="480"/>
        <w:jc w:val="both"/>
      </w:pPr>
      <w:r>
        <w:t>（一）岗位设置</w:t>
      </w:r>
    </w:p>
    <w:p w14:paraId="14A17FF8">
      <w:pPr>
        <w:ind w:firstLine="480" w:firstLineChars="200"/>
      </w:pPr>
      <w:r>
        <w:rPr>
          <w:rFonts w:hint="eastAsia"/>
        </w:rPr>
        <w:t>岗位设置共计64人（实岗）。其中队长1人、副队长1人、四校区门岗42人、院本部警务巡逻14人、监控室6人（女性，其中1人兼责处理安保项目日常管理、文秘等勤务工作）。队员轮休由供应商采取增加队员人数或发放加班费的形式解决，不得减少岗位编制人数。</w:t>
      </w:r>
    </w:p>
    <w:p w14:paraId="780AA32B">
      <w:pPr>
        <w:ind w:firstLine="480" w:firstLineChars="200"/>
      </w:pPr>
      <w:r>
        <w:t>（二）人员要求</w:t>
      </w:r>
    </w:p>
    <w:p w14:paraId="19F024CB">
      <w:pPr>
        <w:ind w:firstLine="464" w:firstLineChars="200"/>
        <w:rPr>
          <w:spacing w:val="-4"/>
        </w:rPr>
      </w:pPr>
      <w:r>
        <w:rPr>
          <w:rFonts w:hint="eastAsia"/>
          <w:spacing w:val="-4"/>
        </w:rPr>
        <w:t>1、安保人员年龄要求在25-55岁，初中及以上文化程度，身高1.65米以上，经过专业培训，业务熟练，体检及政审合格，无高血压、心理和精神等疾病，无违法犯罪前科。</w:t>
      </w:r>
    </w:p>
    <w:p w14:paraId="2FDE9245">
      <w:pPr>
        <w:ind w:firstLine="464" w:firstLineChars="200"/>
      </w:pPr>
      <w:r>
        <w:rPr>
          <w:rFonts w:hint="eastAsia"/>
          <w:spacing w:val="-4"/>
        </w:rPr>
        <w:t>★2、供应商承诺拟派人员均持有有效期内的保安员证，提供承诺书（格式自拟）。</w:t>
      </w:r>
    </w:p>
    <w:p w14:paraId="561F8BF1">
      <w:pPr>
        <w:ind w:firstLine="480" w:firstLineChars="200"/>
      </w:pPr>
      <w:r>
        <w:rPr>
          <w:rFonts w:hint="eastAsia"/>
        </w:rPr>
        <w:t>（1）队长工作</w:t>
      </w:r>
    </w:p>
    <w:p w14:paraId="1348829C">
      <w:pPr>
        <w:ind w:firstLine="472" w:firstLineChars="200"/>
        <w:rPr>
          <w:spacing w:val="-2"/>
        </w:rPr>
      </w:pPr>
      <w:r>
        <w:rPr>
          <w:rFonts w:hint="eastAsia"/>
          <w:spacing w:val="-2"/>
        </w:rPr>
        <w:t>设队长1名，常驻学院（除正常假期，需24小时在岗）；副队长1名，协助队长做好保安队伍日常业务管理工作。全天候负责四个校区安保人员的日常教育管理、检查考核、教育培训、协调沟通、应急处理、大型活动临时安保工作等；安排好保安队员值班、调休、就餐、备勤等日常工作；队长、副队长每晚总带班，负责全院安保工作。</w:t>
      </w:r>
    </w:p>
    <w:p w14:paraId="5FC7448E">
      <w:pPr>
        <w:ind w:firstLine="480" w:firstLineChars="200"/>
      </w:pPr>
      <w:r>
        <w:rPr>
          <w:rFonts w:hint="eastAsia"/>
        </w:rPr>
        <w:t>（2）门禁管理工作</w:t>
      </w:r>
    </w:p>
    <w:p w14:paraId="7A9DEA07">
      <w:pPr>
        <w:widowControl w:val="0"/>
        <w:ind w:firstLine="480" w:firstLineChars="200"/>
      </w:pPr>
      <w:r>
        <w:rPr>
          <w:rFonts w:hint="eastAsia"/>
        </w:rPr>
        <w:t>按照学院管理要求，建立四校区校园门禁协调管理机制，实行统一标准、统一管理、统一组织落实。</w:t>
      </w:r>
    </w:p>
    <w:p w14:paraId="172804B5">
      <w:pPr>
        <w:widowControl w:val="0"/>
        <w:ind w:firstLine="480" w:firstLineChars="200"/>
      </w:pPr>
      <w:r>
        <w:rPr>
          <w:rFonts w:hint="eastAsia" w:asciiTheme="minorEastAsia" w:hAnsiTheme="minorEastAsia"/>
        </w:rPr>
        <w:t>①</w:t>
      </w:r>
      <w:r>
        <w:rPr>
          <w:rFonts w:hint="eastAsia"/>
        </w:rPr>
        <w:t>门岗设置。共42人，其中：院本部大门26人（东门7人、南门12人、西门7人），土门校区6人、辛家庙校区7人，鱼化校区门岗3人。</w:t>
      </w:r>
    </w:p>
    <w:p w14:paraId="75495876">
      <w:pPr>
        <w:widowControl w:val="0"/>
        <w:ind w:firstLine="480" w:firstLineChars="200"/>
      </w:pPr>
      <w:r>
        <w:rPr>
          <w:rFonts w:hint="eastAsia" w:asciiTheme="minorEastAsia" w:hAnsiTheme="minorEastAsia"/>
        </w:rPr>
        <w:t>②</w:t>
      </w:r>
      <w:r>
        <w:rPr>
          <w:rFonts w:hint="eastAsia"/>
        </w:rPr>
        <w:t>执勤时间。门岗全年实行每日24小时三班轮班制。院本部东门白班3人、中班、夜班2人；南门每班4人；西门白班3人、中班、夜班2人；辛家庙校区白班3人，中班、夜班2人；土门校区每班2人；鱼化校区门岗每班1人。</w:t>
      </w:r>
    </w:p>
    <w:p w14:paraId="19D3965D">
      <w:pPr>
        <w:ind w:firstLine="480" w:firstLineChars="200"/>
      </w:pPr>
      <w:r>
        <w:rPr>
          <w:rFonts w:hint="eastAsia"/>
        </w:rPr>
        <w:t>（3）警务、巡逻及监控室工作</w:t>
      </w:r>
    </w:p>
    <w:p w14:paraId="653C2C0C">
      <w:pPr>
        <w:ind w:firstLine="480" w:firstLineChars="200"/>
      </w:pPr>
      <w:r>
        <w:rPr>
          <w:rFonts w:hint="eastAsia" w:asciiTheme="minorEastAsia" w:hAnsiTheme="minorEastAsia"/>
        </w:rPr>
        <w:t>①</w:t>
      </w:r>
      <w:r>
        <w:rPr>
          <w:rFonts w:hint="eastAsia"/>
        </w:rPr>
        <w:t>岗位设置。共20人，其中：警务室14人，监控室6人 （女性），承担院本部治安巡逻、校园监控和警务处置工作。</w:t>
      </w:r>
    </w:p>
    <w:p w14:paraId="5072C663">
      <w:pPr>
        <w:ind w:firstLine="480" w:firstLineChars="200"/>
      </w:pPr>
      <w:r>
        <w:rPr>
          <w:rFonts w:hint="eastAsia" w:asciiTheme="minorEastAsia" w:hAnsiTheme="minorEastAsia"/>
        </w:rPr>
        <w:t>②</w:t>
      </w:r>
      <w:r>
        <w:rPr>
          <w:rFonts w:hint="eastAsia"/>
        </w:rPr>
        <w:t>执勤时间。全年实行每日24小时三班轮班制。警务室白班5人，夜班4人；监控室每班2人 。</w:t>
      </w:r>
    </w:p>
    <w:p w14:paraId="5E31B1BC">
      <w:pPr>
        <w:ind w:firstLine="480" w:firstLineChars="200"/>
      </w:pPr>
      <w:r>
        <w:rPr>
          <w:rFonts w:hint="eastAsia"/>
        </w:rPr>
        <w:t>（4）大型活动及处置突发应急事件工作</w:t>
      </w:r>
    </w:p>
    <w:p w14:paraId="337C571C">
      <w:pPr>
        <w:ind w:firstLine="480" w:firstLineChars="200"/>
      </w:pPr>
      <w:r>
        <w:rPr>
          <w:rFonts w:hint="eastAsia" w:asciiTheme="minorEastAsia" w:hAnsiTheme="minorEastAsia"/>
        </w:rPr>
        <w:t>①</w:t>
      </w:r>
      <w:r>
        <w:rPr>
          <w:rFonts w:hint="eastAsia"/>
        </w:rPr>
        <w:t>负责维护大型活动的外围和现场秩序，防止社会闲杂人干扰，保证活动安全、顺利开展。</w:t>
      </w:r>
    </w:p>
    <w:p w14:paraId="44269088">
      <w:pPr>
        <w:ind w:firstLine="480" w:firstLineChars="200"/>
      </w:pPr>
      <w:r>
        <w:rPr>
          <w:rFonts w:hint="eastAsia" w:asciiTheme="minorEastAsia" w:hAnsiTheme="minorEastAsia"/>
        </w:rPr>
        <w:t>②</w:t>
      </w:r>
      <w:r>
        <w:rPr>
          <w:rFonts w:hint="eastAsia"/>
        </w:rPr>
        <w:t>对校园内发生的突发事件，在接到学院通知后及时进行处置，制止违纪违法行为，做好现场管控，防止事态扩大。</w:t>
      </w:r>
    </w:p>
    <w:p w14:paraId="16839690">
      <w:pPr>
        <w:ind w:firstLine="480" w:firstLineChars="200"/>
      </w:pPr>
      <w:r>
        <w:rPr>
          <w:rFonts w:hint="eastAsia" w:asciiTheme="minorEastAsia" w:hAnsiTheme="minorEastAsia"/>
        </w:rPr>
        <w:t>③</w:t>
      </w:r>
      <w:r>
        <w:rPr>
          <w:rFonts w:hint="eastAsia"/>
        </w:rPr>
        <w:t>根据上级部门和学院专项、紧急、特殊工作要求，严格落实各项应急管控措施，明晰工作流程，做好外来车辆、人员管理和秩序维护等保障工作。</w:t>
      </w:r>
    </w:p>
    <w:p w14:paraId="5133CE08">
      <w:pPr>
        <w:ind w:firstLine="480" w:firstLineChars="200"/>
      </w:pPr>
      <w:r>
        <w:rPr>
          <w:rFonts w:hint="eastAsia" w:asciiTheme="minorEastAsia" w:hAnsiTheme="minorEastAsia"/>
        </w:rPr>
        <w:t>④</w:t>
      </w:r>
      <w:r>
        <w:rPr>
          <w:rFonts w:hint="eastAsia"/>
        </w:rPr>
        <w:t>大型活动、特勤服务安保一律按次计算，全年预计约20次，每次实际出勤人数由甲方根据实际需要提出，不受合同约定的人/次数限制，乙方须无条件执行。</w:t>
      </w:r>
    </w:p>
    <w:p w14:paraId="1546E42D">
      <w:pPr>
        <w:ind w:firstLine="480" w:firstLineChars="200"/>
      </w:pPr>
      <w:r>
        <w:rPr>
          <w:rFonts w:hint="eastAsia" w:asciiTheme="minorEastAsia" w:hAnsiTheme="minorEastAsia"/>
        </w:rPr>
        <w:t>⑤</w:t>
      </w:r>
      <w:r>
        <w:rPr>
          <w:rFonts w:hint="eastAsia"/>
        </w:rPr>
        <w:t>队员须经过专业培训，具有处置突发事件的经验和能力。</w:t>
      </w:r>
    </w:p>
    <w:p w14:paraId="22A7E5B5">
      <w:pPr>
        <w:ind w:firstLine="480" w:firstLineChars="200"/>
      </w:pPr>
      <w:r>
        <w:t>（三）安保工作量化指标</w:t>
      </w:r>
    </w:p>
    <w:tbl>
      <w:tblPr>
        <w:tblStyle w:val="24"/>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8"/>
        <w:gridCol w:w="1555"/>
        <w:gridCol w:w="4786"/>
      </w:tblGrid>
      <w:tr w14:paraId="1602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E6E6E6"/>
            <w:vAlign w:val="center"/>
          </w:tcPr>
          <w:p w14:paraId="6FE896E9">
            <w:pPr>
              <w:jc w:val="center"/>
              <w:rPr>
                <w:rFonts w:cs="仿宋" w:asciiTheme="minorEastAsia" w:hAnsiTheme="minorEastAsia"/>
              </w:rPr>
            </w:pPr>
            <w:r>
              <w:rPr>
                <w:rFonts w:cs="仿宋" w:asciiTheme="minorEastAsia" w:hAnsiTheme="minorEastAsia"/>
              </w:rPr>
              <w:t>序号</w:t>
            </w:r>
          </w:p>
        </w:tc>
        <w:tc>
          <w:tcPr>
            <w:tcW w:w="1276" w:type="dxa"/>
            <w:tcBorders>
              <w:top w:val="single" w:color="auto" w:sz="4" w:space="0"/>
              <w:left w:val="single" w:color="auto" w:sz="4" w:space="0"/>
              <w:bottom w:val="single" w:color="auto" w:sz="4" w:space="0"/>
              <w:right w:val="single" w:color="auto" w:sz="4" w:space="0"/>
            </w:tcBorders>
            <w:shd w:val="clear" w:color="auto" w:fill="E6E6E6"/>
            <w:vAlign w:val="center"/>
          </w:tcPr>
          <w:p w14:paraId="48F268C6">
            <w:pPr>
              <w:jc w:val="center"/>
              <w:rPr>
                <w:rFonts w:cs="仿宋" w:asciiTheme="minorEastAsia" w:hAnsiTheme="minorEastAsia"/>
              </w:rPr>
            </w:pPr>
            <w:r>
              <w:rPr>
                <w:rFonts w:cs="仿宋" w:asciiTheme="minorEastAsia" w:hAnsiTheme="minorEastAsia"/>
              </w:rPr>
              <w:t>岗 位</w:t>
            </w:r>
          </w:p>
        </w:tc>
        <w:tc>
          <w:tcPr>
            <w:tcW w:w="1138" w:type="dxa"/>
            <w:tcBorders>
              <w:top w:val="single" w:color="auto" w:sz="4" w:space="0"/>
              <w:left w:val="single" w:color="auto" w:sz="4" w:space="0"/>
              <w:bottom w:val="single" w:color="auto" w:sz="4" w:space="0"/>
              <w:right w:val="single" w:color="auto" w:sz="4" w:space="0"/>
            </w:tcBorders>
            <w:shd w:val="clear" w:color="auto" w:fill="E6E6E6"/>
            <w:vAlign w:val="center"/>
          </w:tcPr>
          <w:p w14:paraId="16AA3EC9">
            <w:pPr>
              <w:jc w:val="center"/>
              <w:rPr>
                <w:rFonts w:cs="仿宋" w:asciiTheme="minorEastAsia" w:hAnsiTheme="minorEastAsia"/>
              </w:rPr>
            </w:pPr>
            <w:r>
              <w:rPr>
                <w:rFonts w:cs="仿宋" w:asciiTheme="minorEastAsia" w:hAnsiTheme="minorEastAsia"/>
              </w:rPr>
              <w:t>地点</w:t>
            </w:r>
          </w:p>
        </w:tc>
        <w:tc>
          <w:tcPr>
            <w:tcW w:w="1555" w:type="dxa"/>
            <w:tcBorders>
              <w:top w:val="single" w:color="auto" w:sz="4" w:space="0"/>
              <w:left w:val="single" w:color="auto" w:sz="4" w:space="0"/>
              <w:bottom w:val="single" w:color="auto" w:sz="4" w:space="0"/>
              <w:right w:val="single" w:color="auto" w:sz="4" w:space="0"/>
            </w:tcBorders>
            <w:shd w:val="clear" w:color="auto" w:fill="E6E6E6"/>
            <w:vAlign w:val="center"/>
          </w:tcPr>
          <w:p w14:paraId="1C376A1B">
            <w:pPr>
              <w:jc w:val="center"/>
              <w:rPr>
                <w:rFonts w:cs="仿宋" w:asciiTheme="minorEastAsia" w:hAnsiTheme="minorEastAsia"/>
              </w:rPr>
            </w:pPr>
            <w:r>
              <w:rPr>
                <w:rFonts w:cs="仿宋" w:asciiTheme="minorEastAsia" w:hAnsiTheme="minorEastAsia"/>
              </w:rPr>
              <w:t>人数</w:t>
            </w:r>
          </w:p>
        </w:tc>
        <w:tc>
          <w:tcPr>
            <w:tcW w:w="4786" w:type="dxa"/>
            <w:tcBorders>
              <w:top w:val="single" w:color="auto" w:sz="4" w:space="0"/>
              <w:left w:val="single" w:color="auto" w:sz="4" w:space="0"/>
              <w:bottom w:val="single" w:color="auto" w:sz="4" w:space="0"/>
              <w:right w:val="single" w:color="auto" w:sz="4" w:space="0"/>
            </w:tcBorders>
            <w:shd w:val="clear" w:color="auto" w:fill="E6E6E6"/>
            <w:vAlign w:val="center"/>
          </w:tcPr>
          <w:p w14:paraId="14EE536C">
            <w:pPr>
              <w:jc w:val="center"/>
              <w:rPr>
                <w:rFonts w:cs="仿宋" w:asciiTheme="minorEastAsia" w:hAnsiTheme="minorEastAsia"/>
              </w:rPr>
            </w:pPr>
            <w:r>
              <w:rPr>
                <w:rFonts w:cs="仿宋" w:asciiTheme="minorEastAsia" w:hAnsiTheme="minorEastAsia"/>
              </w:rPr>
              <w:t>工作方式与量化指标</w:t>
            </w:r>
          </w:p>
        </w:tc>
      </w:tr>
      <w:tr w14:paraId="48E1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restart"/>
            <w:tcBorders>
              <w:top w:val="nil"/>
              <w:left w:val="single" w:color="auto" w:sz="4" w:space="0"/>
              <w:bottom w:val="single" w:color="auto" w:sz="4" w:space="0"/>
              <w:right w:val="single" w:color="auto" w:sz="4" w:space="0"/>
            </w:tcBorders>
            <w:vAlign w:val="center"/>
          </w:tcPr>
          <w:p w14:paraId="0C1FCDBC">
            <w:pPr>
              <w:jc w:val="center"/>
              <w:rPr>
                <w:rFonts w:cs="仿宋" w:asciiTheme="minorEastAsia" w:hAnsiTheme="minorEastAsia"/>
              </w:rPr>
            </w:pPr>
            <w:r>
              <w:rPr>
                <w:rFonts w:cs="仿宋" w:asciiTheme="minorEastAsia" w:hAnsiTheme="minorEastAsia"/>
              </w:rPr>
              <w:t>1</w:t>
            </w:r>
          </w:p>
        </w:tc>
        <w:tc>
          <w:tcPr>
            <w:tcW w:w="1276" w:type="dxa"/>
            <w:vMerge w:val="restart"/>
            <w:tcBorders>
              <w:top w:val="nil"/>
              <w:left w:val="single" w:color="auto" w:sz="4" w:space="0"/>
              <w:bottom w:val="single" w:color="auto" w:sz="4" w:space="0"/>
              <w:right w:val="single" w:color="auto" w:sz="4" w:space="0"/>
            </w:tcBorders>
            <w:vAlign w:val="center"/>
          </w:tcPr>
          <w:p w14:paraId="3B245B19">
            <w:pPr>
              <w:jc w:val="center"/>
              <w:rPr>
                <w:rFonts w:cs="仿宋" w:asciiTheme="minorEastAsia" w:hAnsiTheme="minorEastAsia"/>
              </w:rPr>
            </w:pPr>
            <w:r>
              <w:rPr>
                <w:rFonts w:cs="仿宋" w:asciiTheme="minorEastAsia" w:hAnsiTheme="minorEastAsia"/>
              </w:rPr>
              <w:t>门岗</w:t>
            </w:r>
          </w:p>
        </w:tc>
        <w:tc>
          <w:tcPr>
            <w:tcW w:w="1138" w:type="dxa"/>
            <w:tcBorders>
              <w:top w:val="single" w:color="auto" w:sz="4" w:space="0"/>
              <w:left w:val="single" w:color="auto" w:sz="4" w:space="0"/>
              <w:bottom w:val="single" w:color="auto" w:sz="4" w:space="0"/>
              <w:right w:val="single" w:color="auto" w:sz="4" w:space="0"/>
            </w:tcBorders>
            <w:vAlign w:val="center"/>
          </w:tcPr>
          <w:p w14:paraId="7CC79197">
            <w:pPr>
              <w:kinsoku w:val="0"/>
              <w:autoSpaceDE w:val="0"/>
              <w:autoSpaceDN w:val="0"/>
              <w:adjustRightInd w:val="0"/>
              <w:snapToGrid w:val="0"/>
              <w:spacing w:before="46"/>
              <w:jc w:val="center"/>
              <w:textAlignment w:val="baseline"/>
              <w:rPr>
                <w:rFonts w:cs="仿宋" w:asciiTheme="minorEastAsia" w:hAnsiTheme="minorEastAsia"/>
              </w:rPr>
            </w:pPr>
            <w:r>
              <w:rPr>
                <w:rFonts w:cs="仿宋" w:asciiTheme="minorEastAsia" w:hAnsiTheme="minorEastAsia"/>
              </w:rPr>
              <w:t>院本部</w:t>
            </w:r>
          </w:p>
        </w:tc>
        <w:tc>
          <w:tcPr>
            <w:tcW w:w="1555" w:type="dxa"/>
            <w:tcBorders>
              <w:top w:val="single" w:color="auto" w:sz="4" w:space="0"/>
              <w:left w:val="single" w:color="auto" w:sz="4" w:space="0"/>
              <w:bottom w:val="single" w:color="auto" w:sz="4" w:space="0"/>
              <w:right w:val="single" w:color="auto" w:sz="4" w:space="0"/>
            </w:tcBorders>
            <w:vAlign w:val="center"/>
          </w:tcPr>
          <w:p w14:paraId="0F2940F3">
            <w:pPr>
              <w:kinsoku w:val="0"/>
              <w:autoSpaceDE w:val="0"/>
              <w:autoSpaceDN w:val="0"/>
              <w:adjustRightInd w:val="0"/>
              <w:snapToGrid w:val="0"/>
              <w:spacing w:before="46"/>
              <w:jc w:val="center"/>
              <w:textAlignment w:val="baseline"/>
              <w:rPr>
                <w:rFonts w:cs="仿宋" w:asciiTheme="minorEastAsia" w:hAnsiTheme="minorEastAsia"/>
              </w:rPr>
            </w:pPr>
          </w:p>
          <w:p w14:paraId="3CAD5DC1">
            <w:pPr>
              <w:kinsoku w:val="0"/>
              <w:autoSpaceDE w:val="0"/>
              <w:autoSpaceDN w:val="0"/>
              <w:adjustRightInd w:val="0"/>
              <w:snapToGrid w:val="0"/>
              <w:spacing w:before="46"/>
              <w:jc w:val="center"/>
              <w:textAlignment w:val="baseline"/>
              <w:rPr>
                <w:rFonts w:cs="仿宋" w:asciiTheme="minorEastAsia" w:hAnsiTheme="minorEastAsia"/>
              </w:rPr>
            </w:pPr>
            <w:r>
              <w:rPr>
                <w:rFonts w:cs="仿宋" w:asciiTheme="minorEastAsia" w:hAnsiTheme="minorEastAsia"/>
              </w:rPr>
              <w:t>26人</w:t>
            </w:r>
          </w:p>
          <w:p w14:paraId="61F286C9">
            <w:pPr>
              <w:kinsoku w:val="0"/>
              <w:autoSpaceDE w:val="0"/>
              <w:autoSpaceDN w:val="0"/>
              <w:adjustRightInd w:val="0"/>
              <w:snapToGrid w:val="0"/>
              <w:spacing w:before="46"/>
              <w:jc w:val="center"/>
              <w:textAlignment w:val="baseline"/>
              <w:rPr>
                <w:rFonts w:cs="仿宋" w:asciiTheme="minorEastAsia" w:hAnsiTheme="minorEastAsia"/>
              </w:rPr>
            </w:pPr>
          </w:p>
        </w:tc>
        <w:tc>
          <w:tcPr>
            <w:tcW w:w="4786" w:type="dxa"/>
            <w:tcBorders>
              <w:top w:val="single" w:color="auto" w:sz="4" w:space="0"/>
              <w:left w:val="single" w:color="auto" w:sz="4" w:space="0"/>
              <w:bottom w:val="single" w:color="auto" w:sz="4" w:space="0"/>
              <w:right w:val="single" w:color="auto" w:sz="4" w:space="0"/>
            </w:tcBorders>
            <w:vAlign w:val="center"/>
          </w:tcPr>
          <w:p w14:paraId="3029A669">
            <w:pPr>
              <w:kinsoku w:val="0"/>
              <w:autoSpaceDE w:val="0"/>
              <w:autoSpaceDN w:val="0"/>
              <w:adjustRightInd w:val="0"/>
              <w:snapToGrid w:val="0"/>
              <w:spacing w:before="21"/>
              <w:textAlignment w:val="baseline"/>
              <w:rPr>
                <w:rFonts w:cs="仿宋" w:asciiTheme="minorEastAsia" w:hAnsiTheme="minorEastAsia"/>
              </w:rPr>
            </w:pPr>
            <w:r>
              <w:rPr>
                <w:rFonts w:cs="仿宋" w:asciiTheme="minorEastAsia" w:hAnsiTheme="minorEastAsia"/>
              </w:rPr>
              <w:t>门岗实行24小时三班轮换制，每班8小时。其中东门、西门各7人、南门12人，7:30-8:30、11:30-13:00、16:00-19:00三个时段要求东门、南门为4人站岗；东门、西门为2人站岗；其他时段东门、南门为2个站岗、2个坐岗；西门1人站岗、1人坐岗；夜间：23:00-次日6:00均可坐岗。</w:t>
            </w:r>
          </w:p>
        </w:tc>
      </w:tr>
      <w:tr w14:paraId="7154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tcBorders>
              <w:top w:val="nil"/>
              <w:left w:val="single" w:color="auto" w:sz="4" w:space="0"/>
              <w:bottom w:val="single" w:color="auto" w:sz="4" w:space="0"/>
              <w:right w:val="single" w:color="auto" w:sz="4" w:space="0"/>
            </w:tcBorders>
            <w:vAlign w:val="center"/>
          </w:tcPr>
          <w:p w14:paraId="1B368044">
            <w:pPr>
              <w:rPr>
                <w:rFonts w:cs="仿宋" w:asciiTheme="minorEastAsia" w:hAnsiTheme="minorEastAsia"/>
              </w:rPr>
            </w:pPr>
          </w:p>
        </w:tc>
        <w:tc>
          <w:tcPr>
            <w:tcW w:w="1276" w:type="dxa"/>
            <w:vMerge w:val="continue"/>
            <w:tcBorders>
              <w:top w:val="nil"/>
              <w:left w:val="single" w:color="auto" w:sz="4" w:space="0"/>
              <w:bottom w:val="single" w:color="auto" w:sz="4" w:space="0"/>
              <w:right w:val="single" w:color="auto" w:sz="4" w:space="0"/>
            </w:tcBorders>
            <w:vAlign w:val="center"/>
          </w:tcPr>
          <w:p w14:paraId="14E37CAF">
            <w:pPr>
              <w:rPr>
                <w:rFonts w:cs="仿宋" w:asciiTheme="minorEastAsia" w:hAnsiTheme="minorEastAsia"/>
              </w:rPr>
            </w:pPr>
          </w:p>
        </w:tc>
        <w:tc>
          <w:tcPr>
            <w:tcW w:w="1138" w:type="dxa"/>
            <w:tcBorders>
              <w:top w:val="single" w:color="auto" w:sz="4" w:space="0"/>
              <w:left w:val="single" w:color="auto" w:sz="4" w:space="0"/>
              <w:bottom w:val="single" w:color="auto" w:sz="4" w:space="0"/>
              <w:right w:val="single" w:color="auto" w:sz="4" w:space="0"/>
            </w:tcBorders>
            <w:vAlign w:val="center"/>
          </w:tcPr>
          <w:p w14:paraId="76330017">
            <w:pPr>
              <w:kinsoku w:val="0"/>
              <w:autoSpaceDE w:val="0"/>
              <w:autoSpaceDN w:val="0"/>
              <w:adjustRightInd w:val="0"/>
              <w:snapToGrid w:val="0"/>
              <w:spacing w:before="46"/>
              <w:jc w:val="center"/>
              <w:textAlignment w:val="baseline"/>
              <w:rPr>
                <w:rFonts w:cs="仿宋" w:asciiTheme="minorEastAsia" w:hAnsiTheme="minorEastAsia"/>
              </w:rPr>
            </w:pPr>
            <w:r>
              <w:rPr>
                <w:rFonts w:cs="仿宋" w:asciiTheme="minorEastAsia" w:hAnsiTheme="minorEastAsia"/>
              </w:rPr>
              <w:t>土门、辛家庙校区</w:t>
            </w:r>
          </w:p>
        </w:tc>
        <w:tc>
          <w:tcPr>
            <w:tcW w:w="1555" w:type="dxa"/>
            <w:tcBorders>
              <w:top w:val="single" w:color="auto" w:sz="4" w:space="0"/>
              <w:left w:val="single" w:color="auto" w:sz="4" w:space="0"/>
              <w:bottom w:val="single" w:color="auto" w:sz="4" w:space="0"/>
              <w:right w:val="single" w:color="auto" w:sz="4" w:space="0"/>
            </w:tcBorders>
            <w:vAlign w:val="center"/>
          </w:tcPr>
          <w:p w14:paraId="1D976D3E">
            <w:pPr>
              <w:ind w:left="240" w:hanging="240" w:hangingChars="100"/>
              <w:jc w:val="center"/>
              <w:rPr>
                <w:rFonts w:cs="仿宋" w:asciiTheme="minorEastAsia" w:hAnsiTheme="minorEastAsia"/>
              </w:rPr>
            </w:pPr>
            <w:r>
              <w:rPr>
                <w:rFonts w:cs="仿宋" w:asciiTheme="minorEastAsia" w:hAnsiTheme="minorEastAsia"/>
              </w:rPr>
              <w:t>辛家庙7人</w:t>
            </w:r>
          </w:p>
          <w:p w14:paraId="554692CD">
            <w:pPr>
              <w:ind w:left="240" w:hanging="240" w:hangingChars="100"/>
              <w:jc w:val="center"/>
              <w:rPr>
                <w:rFonts w:cs="仿宋" w:asciiTheme="minorEastAsia" w:hAnsiTheme="minorEastAsia"/>
              </w:rPr>
            </w:pPr>
            <w:r>
              <w:rPr>
                <w:rFonts w:cs="仿宋" w:asciiTheme="minorEastAsia" w:hAnsiTheme="minorEastAsia"/>
              </w:rPr>
              <w:t>土门6人</w:t>
            </w:r>
          </w:p>
        </w:tc>
        <w:tc>
          <w:tcPr>
            <w:tcW w:w="4786" w:type="dxa"/>
            <w:tcBorders>
              <w:top w:val="single" w:color="auto" w:sz="4" w:space="0"/>
              <w:left w:val="single" w:color="auto" w:sz="4" w:space="0"/>
              <w:bottom w:val="single" w:color="auto" w:sz="4" w:space="0"/>
              <w:right w:val="single" w:color="auto" w:sz="4" w:space="0"/>
            </w:tcBorders>
            <w:vAlign w:val="center"/>
          </w:tcPr>
          <w:p w14:paraId="0F7AB3EB">
            <w:pPr>
              <w:kinsoku w:val="0"/>
              <w:autoSpaceDE w:val="0"/>
              <w:autoSpaceDN w:val="0"/>
              <w:adjustRightInd w:val="0"/>
              <w:snapToGrid w:val="0"/>
              <w:spacing w:before="194"/>
              <w:textAlignment w:val="baseline"/>
              <w:rPr>
                <w:rFonts w:cs="仿宋" w:asciiTheme="minorEastAsia" w:hAnsiTheme="minorEastAsia"/>
              </w:rPr>
            </w:pPr>
            <w:r>
              <w:rPr>
                <w:rFonts w:cs="仿宋" w:asciiTheme="minorEastAsia" w:hAnsiTheme="minorEastAsia"/>
              </w:rPr>
              <w:t>门岗为双岗，24小时三班轮换值班，每班8小时。7:30-8:30、11:30-13:00、16:00-19:00三个时段要求双人站岗，其它时段最少一人站岗，23:00-次日6:00可坐岗。</w:t>
            </w:r>
          </w:p>
        </w:tc>
      </w:tr>
      <w:tr w14:paraId="4988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tcBorders>
              <w:top w:val="nil"/>
              <w:left w:val="single" w:color="auto" w:sz="4" w:space="0"/>
              <w:bottom w:val="single" w:color="auto" w:sz="4" w:space="0"/>
              <w:right w:val="single" w:color="auto" w:sz="4" w:space="0"/>
            </w:tcBorders>
            <w:vAlign w:val="center"/>
          </w:tcPr>
          <w:p w14:paraId="62D4A33E">
            <w:pPr>
              <w:rPr>
                <w:rFonts w:cs="仿宋" w:asciiTheme="minorEastAsia" w:hAnsiTheme="minorEastAsia"/>
              </w:rPr>
            </w:pPr>
          </w:p>
        </w:tc>
        <w:tc>
          <w:tcPr>
            <w:tcW w:w="1276" w:type="dxa"/>
            <w:vMerge w:val="continue"/>
            <w:tcBorders>
              <w:top w:val="nil"/>
              <w:left w:val="single" w:color="auto" w:sz="4" w:space="0"/>
              <w:bottom w:val="single" w:color="auto" w:sz="4" w:space="0"/>
              <w:right w:val="single" w:color="auto" w:sz="4" w:space="0"/>
            </w:tcBorders>
            <w:vAlign w:val="center"/>
          </w:tcPr>
          <w:p w14:paraId="1287790A">
            <w:pPr>
              <w:rPr>
                <w:rFonts w:cs="仿宋" w:asciiTheme="minorEastAsia" w:hAnsiTheme="minorEastAsia"/>
              </w:rPr>
            </w:pPr>
          </w:p>
        </w:tc>
        <w:tc>
          <w:tcPr>
            <w:tcW w:w="1138" w:type="dxa"/>
            <w:tcBorders>
              <w:top w:val="single" w:color="auto" w:sz="4" w:space="0"/>
              <w:left w:val="single" w:color="auto" w:sz="4" w:space="0"/>
              <w:bottom w:val="single" w:color="auto" w:sz="4" w:space="0"/>
              <w:right w:val="single" w:color="auto" w:sz="4" w:space="0"/>
            </w:tcBorders>
            <w:vAlign w:val="center"/>
          </w:tcPr>
          <w:p w14:paraId="723B1D3E">
            <w:pPr>
              <w:kinsoku w:val="0"/>
              <w:autoSpaceDE w:val="0"/>
              <w:autoSpaceDN w:val="0"/>
              <w:adjustRightInd w:val="0"/>
              <w:snapToGrid w:val="0"/>
              <w:spacing w:before="46"/>
              <w:textAlignment w:val="baseline"/>
              <w:rPr>
                <w:rFonts w:cs="仿宋" w:asciiTheme="minorEastAsia" w:hAnsiTheme="minorEastAsia"/>
              </w:rPr>
            </w:pPr>
            <w:r>
              <w:rPr>
                <w:rFonts w:cs="仿宋" w:asciiTheme="minorEastAsia" w:hAnsiTheme="minorEastAsia"/>
              </w:rPr>
              <w:t>鱼化校区</w:t>
            </w:r>
          </w:p>
        </w:tc>
        <w:tc>
          <w:tcPr>
            <w:tcW w:w="1555" w:type="dxa"/>
            <w:tcBorders>
              <w:top w:val="single" w:color="auto" w:sz="4" w:space="0"/>
              <w:left w:val="single" w:color="auto" w:sz="4" w:space="0"/>
              <w:bottom w:val="single" w:color="auto" w:sz="4" w:space="0"/>
              <w:right w:val="single" w:color="auto" w:sz="4" w:space="0"/>
            </w:tcBorders>
            <w:vAlign w:val="center"/>
          </w:tcPr>
          <w:p w14:paraId="60DDBE98">
            <w:pPr>
              <w:kinsoku w:val="0"/>
              <w:autoSpaceDE w:val="0"/>
              <w:autoSpaceDN w:val="0"/>
              <w:adjustRightInd w:val="0"/>
              <w:snapToGrid w:val="0"/>
              <w:spacing w:before="46"/>
              <w:jc w:val="center"/>
              <w:textAlignment w:val="baseline"/>
              <w:rPr>
                <w:rFonts w:cs="仿宋" w:asciiTheme="minorEastAsia" w:hAnsiTheme="minorEastAsia"/>
              </w:rPr>
            </w:pPr>
            <w:r>
              <w:rPr>
                <w:rFonts w:cs="仿宋" w:asciiTheme="minorEastAsia" w:hAnsiTheme="minorEastAsia"/>
              </w:rPr>
              <w:t>3人</w:t>
            </w:r>
          </w:p>
        </w:tc>
        <w:tc>
          <w:tcPr>
            <w:tcW w:w="4786" w:type="dxa"/>
            <w:tcBorders>
              <w:top w:val="single" w:color="auto" w:sz="4" w:space="0"/>
              <w:left w:val="single" w:color="auto" w:sz="4" w:space="0"/>
              <w:bottom w:val="single" w:color="auto" w:sz="4" w:space="0"/>
              <w:right w:val="single" w:color="auto" w:sz="4" w:space="0"/>
            </w:tcBorders>
            <w:vAlign w:val="center"/>
          </w:tcPr>
          <w:p w14:paraId="35E5BCCA">
            <w:pPr>
              <w:rPr>
                <w:rFonts w:cs="仿宋" w:asciiTheme="minorEastAsia" w:hAnsiTheme="minorEastAsia"/>
              </w:rPr>
            </w:pPr>
            <w:r>
              <w:rPr>
                <w:rFonts w:cs="仿宋" w:asciiTheme="minorEastAsia" w:hAnsiTheme="minorEastAsia"/>
              </w:rPr>
              <w:t>24小时三班轮换值班，每班8小时，每班1人。</w:t>
            </w:r>
          </w:p>
        </w:tc>
      </w:tr>
      <w:tr w14:paraId="08DC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14:paraId="0E6FBEF2">
            <w:pPr>
              <w:jc w:val="center"/>
              <w:rPr>
                <w:rFonts w:cs="仿宋" w:asciiTheme="minorEastAsia" w:hAnsiTheme="minorEastAsia"/>
              </w:rPr>
            </w:pPr>
            <w:r>
              <w:rPr>
                <w:rFonts w:cs="仿宋" w:asciiTheme="minorEastAsia" w:hAnsiTheme="minorEastAsia"/>
              </w:rPr>
              <w:t>2</w:t>
            </w:r>
          </w:p>
        </w:tc>
        <w:tc>
          <w:tcPr>
            <w:tcW w:w="1276" w:type="dxa"/>
            <w:tcBorders>
              <w:top w:val="single" w:color="auto" w:sz="4" w:space="0"/>
              <w:left w:val="single" w:color="auto" w:sz="4" w:space="0"/>
              <w:bottom w:val="single" w:color="auto" w:sz="4" w:space="0"/>
              <w:right w:val="single" w:color="auto" w:sz="4" w:space="0"/>
            </w:tcBorders>
            <w:vAlign w:val="center"/>
          </w:tcPr>
          <w:p w14:paraId="6FFD11B1">
            <w:pPr>
              <w:jc w:val="center"/>
              <w:rPr>
                <w:rFonts w:cs="仿宋" w:asciiTheme="minorEastAsia" w:hAnsiTheme="minorEastAsia"/>
              </w:rPr>
            </w:pPr>
            <w:r>
              <w:rPr>
                <w:rFonts w:cs="仿宋" w:asciiTheme="minorEastAsia" w:hAnsiTheme="minorEastAsia"/>
              </w:rPr>
              <w:t>警务巡逻</w:t>
            </w:r>
          </w:p>
        </w:tc>
        <w:tc>
          <w:tcPr>
            <w:tcW w:w="1138" w:type="dxa"/>
            <w:tcBorders>
              <w:top w:val="single" w:color="auto" w:sz="4" w:space="0"/>
              <w:left w:val="single" w:color="auto" w:sz="4" w:space="0"/>
              <w:bottom w:val="single" w:color="auto" w:sz="4" w:space="0"/>
              <w:right w:val="single" w:color="auto" w:sz="4" w:space="0"/>
            </w:tcBorders>
            <w:vAlign w:val="center"/>
          </w:tcPr>
          <w:p w14:paraId="5A9CB3F4">
            <w:pPr>
              <w:spacing w:line="360" w:lineRule="exact"/>
              <w:jc w:val="center"/>
              <w:rPr>
                <w:rFonts w:cs="仿宋" w:asciiTheme="minorEastAsia" w:hAnsiTheme="minorEastAsia"/>
              </w:rPr>
            </w:pPr>
            <w:r>
              <w:rPr>
                <w:rFonts w:cs="仿宋" w:asciiTheme="minorEastAsia" w:hAnsiTheme="minorEastAsia"/>
              </w:rPr>
              <w:t>院本部</w:t>
            </w:r>
          </w:p>
        </w:tc>
        <w:tc>
          <w:tcPr>
            <w:tcW w:w="1555" w:type="dxa"/>
            <w:tcBorders>
              <w:top w:val="single" w:color="auto" w:sz="4" w:space="0"/>
              <w:left w:val="single" w:color="auto" w:sz="4" w:space="0"/>
              <w:bottom w:val="single" w:color="auto" w:sz="4" w:space="0"/>
              <w:right w:val="single" w:color="auto" w:sz="4" w:space="0"/>
            </w:tcBorders>
            <w:vAlign w:val="center"/>
          </w:tcPr>
          <w:p w14:paraId="48B06CD5">
            <w:pPr>
              <w:jc w:val="center"/>
              <w:rPr>
                <w:rFonts w:cs="仿宋" w:asciiTheme="minorEastAsia" w:hAnsiTheme="minorEastAsia"/>
              </w:rPr>
            </w:pPr>
            <w:r>
              <w:rPr>
                <w:rFonts w:cs="仿宋" w:asciiTheme="minorEastAsia" w:hAnsiTheme="minorEastAsia"/>
              </w:rPr>
              <w:t>14人</w:t>
            </w:r>
          </w:p>
        </w:tc>
        <w:tc>
          <w:tcPr>
            <w:tcW w:w="4786" w:type="dxa"/>
            <w:tcBorders>
              <w:top w:val="single" w:color="auto" w:sz="4" w:space="0"/>
              <w:left w:val="single" w:color="auto" w:sz="4" w:space="0"/>
              <w:bottom w:val="single" w:color="auto" w:sz="4" w:space="0"/>
              <w:right w:val="single" w:color="auto" w:sz="4" w:space="0"/>
            </w:tcBorders>
            <w:vAlign w:val="center"/>
          </w:tcPr>
          <w:p w14:paraId="334C1560">
            <w:pPr>
              <w:kinsoku w:val="0"/>
              <w:autoSpaceDE w:val="0"/>
              <w:autoSpaceDN w:val="0"/>
              <w:adjustRightInd w:val="0"/>
              <w:snapToGrid w:val="0"/>
              <w:spacing w:before="194"/>
              <w:textAlignment w:val="baseline"/>
              <w:rPr>
                <w:rFonts w:cs="仿宋" w:asciiTheme="minorEastAsia" w:hAnsiTheme="minorEastAsia"/>
              </w:rPr>
            </w:pPr>
            <w:r>
              <w:rPr>
                <w:rFonts w:cs="仿宋" w:asciiTheme="minorEastAsia" w:hAnsiTheme="minorEastAsia"/>
              </w:rPr>
              <w:t>24小时三班轮换制，每班8小时。白班5人，夜班4人。</w:t>
            </w:r>
          </w:p>
        </w:tc>
      </w:tr>
      <w:tr w14:paraId="7705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14:paraId="1A2D1E6F">
            <w:pPr>
              <w:jc w:val="center"/>
              <w:rPr>
                <w:rFonts w:cs="仿宋" w:asciiTheme="minorEastAsia" w:hAnsiTheme="minorEastAsia"/>
              </w:rPr>
            </w:pPr>
            <w:r>
              <w:rPr>
                <w:rFonts w:cs="仿宋" w:asciiTheme="minorEastAsia" w:hAnsiTheme="minorEastAsia"/>
              </w:rPr>
              <w:t>3</w:t>
            </w:r>
          </w:p>
        </w:tc>
        <w:tc>
          <w:tcPr>
            <w:tcW w:w="1276" w:type="dxa"/>
            <w:tcBorders>
              <w:top w:val="single" w:color="auto" w:sz="4" w:space="0"/>
              <w:left w:val="single" w:color="auto" w:sz="4" w:space="0"/>
              <w:bottom w:val="single" w:color="auto" w:sz="4" w:space="0"/>
              <w:right w:val="single" w:color="auto" w:sz="4" w:space="0"/>
            </w:tcBorders>
            <w:vAlign w:val="center"/>
          </w:tcPr>
          <w:p w14:paraId="4FF5483D">
            <w:pPr>
              <w:jc w:val="center"/>
              <w:rPr>
                <w:rFonts w:cs="仿宋" w:asciiTheme="minorEastAsia" w:hAnsiTheme="minorEastAsia"/>
              </w:rPr>
            </w:pPr>
            <w:r>
              <w:rPr>
                <w:rFonts w:cs="仿宋" w:asciiTheme="minorEastAsia" w:hAnsiTheme="minorEastAsia"/>
              </w:rPr>
              <w:t>监控值班</w:t>
            </w:r>
          </w:p>
        </w:tc>
        <w:tc>
          <w:tcPr>
            <w:tcW w:w="1138" w:type="dxa"/>
            <w:tcBorders>
              <w:top w:val="single" w:color="auto" w:sz="4" w:space="0"/>
              <w:left w:val="single" w:color="auto" w:sz="4" w:space="0"/>
              <w:bottom w:val="single" w:color="auto" w:sz="4" w:space="0"/>
              <w:right w:val="single" w:color="auto" w:sz="4" w:space="0"/>
            </w:tcBorders>
            <w:vAlign w:val="center"/>
          </w:tcPr>
          <w:p w14:paraId="0FE123AE">
            <w:pPr>
              <w:spacing w:line="360" w:lineRule="exact"/>
              <w:jc w:val="center"/>
              <w:rPr>
                <w:rFonts w:cs="仿宋" w:asciiTheme="minorEastAsia" w:hAnsiTheme="minorEastAsia"/>
              </w:rPr>
            </w:pPr>
            <w:r>
              <w:rPr>
                <w:rFonts w:cs="仿宋" w:asciiTheme="minorEastAsia" w:hAnsiTheme="minorEastAsia"/>
              </w:rPr>
              <w:t>院本部</w:t>
            </w:r>
          </w:p>
        </w:tc>
        <w:tc>
          <w:tcPr>
            <w:tcW w:w="1555" w:type="dxa"/>
            <w:tcBorders>
              <w:top w:val="single" w:color="auto" w:sz="4" w:space="0"/>
              <w:left w:val="single" w:color="auto" w:sz="4" w:space="0"/>
              <w:bottom w:val="single" w:color="auto" w:sz="4" w:space="0"/>
              <w:right w:val="single" w:color="auto" w:sz="4" w:space="0"/>
            </w:tcBorders>
            <w:vAlign w:val="center"/>
          </w:tcPr>
          <w:p w14:paraId="4B2283AE">
            <w:pPr>
              <w:jc w:val="center"/>
              <w:rPr>
                <w:rFonts w:cs="仿宋" w:asciiTheme="minorEastAsia" w:hAnsiTheme="minorEastAsia"/>
              </w:rPr>
            </w:pPr>
            <w:r>
              <w:rPr>
                <w:rFonts w:cs="仿宋" w:asciiTheme="minorEastAsia" w:hAnsiTheme="minorEastAsia"/>
              </w:rPr>
              <w:t>6人</w:t>
            </w:r>
          </w:p>
        </w:tc>
        <w:tc>
          <w:tcPr>
            <w:tcW w:w="4786" w:type="dxa"/>
            <w:tcBorders>
              <w:top w:val="single" w:color="auto" w:sz="4" w:space="0"/>
              <w:left w:val="single" w:color="auto" w:sz="4" w:space="0"/>
              <w:bottom w:val="single" w:color="auto" w:sz="4" w:space="0"/>
              <w:right w:val="single" w:color="auto" w:sz="4" w:space="0"/>
            </w:tcBorders>
            <w:vAlign w:val="center"/>
          </w:tcPr>
          <w:p w14:paraId="06229044">
            <w:pPr>
              <w:rPr>
                <w:rFonts w:cs="仿宋" w:asciiTheme="minorEastAsia" w:hAnsiTheme="minorEastAsia"/>
              </w:rPr>
            </w:pPr>
            <w:r>
              <w:rPr>
                <w:rFonts w:cs="仿宋" w:asciiTheme="minorEastAsia" w:hAnsiTheme="minorEastAsia"/>
              </w:rPr>
              <w:t>24小时三班轮换制，每班8小时。每班2人。</w:t>
            </w:r>
          </w:p>
        </w:tc>
      </w:tr>
      <w:tr w14:paraId="448F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04" w:type="dxa"/>
            <w:tcBorders>
              <w:top w:val="single" w:color="auto" w:sz="4" w:space="0"/>
              <w:left w:val="single" w:color="auto" w:sz="4" w:space="0"/>
              <w:bottom w:val="single" w:color="auto" w:sz="4" w:space="0"/>
              <w:right w:val="single" w:color="auto" w:sz="4" w:space="0"/>
            </w:tcBorders>
            <w:vAlign w:val="center"/>
          </w:tcPr>
          <w:p w14:paraId="1FF44043">
            <w:pPr>
              <w:jc w:val="center"/>
              <w:rPr>
                <w:rFonts w:cs="仿宋" w:asciiTheme="minorEastAsia" w:hAnsiTheme="minorEastAsia"/>
              </w:rPr>
            </w:pPr>
            <w:r>
              <w:rPr>
                <w:rFonts w:cs="仿宋" w:asciiTheme="minorEastAsia" w:hAnsiTheme="minorEastAsia"/>
              </w:rPr>
              <w:t>4</w:t>
            </w:r>
          </w:p>
        </w:tc>
        <w:tc>
          <w:tcPr>
            <w:tcW w:w="1276" w:type="dxa"/>
            <w:tcBorders>
              <w:top w:val="single" w:color="auto" w:sz="4" w:space="0"/>
              <w:left w:val="single" w:color="auto" w:sz="4" w:space="0"/>
              <w:bottom w:val="single" w:color="auto" w:sz="4" w:space="0"/>
              <w:right w:val="single" w:color="auto" w:sz="4" w:space="0"/>
            </w:tcBorders>
            <w:vAlign w:val="center"/>
          </w:tcPr>
          <w:p w14:paraId="785208E7">
            <w:pPr>
              <w:spacing w:line="360" w:lineRule="exact"/>
              <w:jc w:val="center"/>
              <w:rPr>
                <w:rFonts w:cs="仿宋" w:asciiTheme="minorEastAsia" w:hAnsiTheme="minorEastAsia"/>
              </w:rPr>
            </w:pPr>
            <w:r>
              <w:rPr>
                <w:rFonts w:cs="仿宋" w:asciiTheme="minorEastAsia" w:hAnsiTheme="minorEastAsia"/>
              </w:rPr>
              <w:t>大型活动特勤服务</w:t>
            </w:r>
          </w:p>
        </w:tc>
        <w:tc>
          <w:tcPr>
            <w:tcW w:w="1138" w:type="dxa"/>
            <w:tcBorders>
              <w:top w:val="single" w:color="auto" w:sz="4" w:space="0"/>
              <w:left w:val="single" w:color="auto" w:sz="4" w:space="0"/>
              <w:bottom w:val="single" w:color="auto" w:sz="4" w:space="0"/>
              <w:right w:val="single" w:color="auto" w:sz="4" w:space="0"/>
            </w:tcBorders>
            <w:vAlign w:val="center"/>
          </w:tcPr>
          <w:p w14:paraId="7E2C7974">
            <w:pPr>
              <w:jc w:val="center"/>
              <w:rPr>
                <w:rFonts w:cs="仿宋" w:asciiTheme="minorEastAsia" w:hAnsiTheme="minorEastAsia"/>
              </w:rPr>
            </w:pPr>
            <w:r>
              <w:rPr>
                <w:rFonts w:cs="仿宋" w:asciiTheme="minorEastAsia" w:hAnsiTheme="minorEastAsia"/>
              </w:rPr>
              <w:t>—</w:t>
            </w:r>
          </w:p>
        </w:tc>
        <w:tc>
          <w:tcPr>
            <w:tcW w:w="1555" w:type="dxa"/>
            <w:tcBorders>
              <w:top w:val="single" w:color="auto" w:sz="4" w:space="0"/>
              <w:left w:val="single" w:color="auto" w:sz="4" w:space="0"/>
              <w:bottom w:val="single" w:color="auto" w:sz="4" w:space="0"/>
              <w:right w:val="single" w:color="auto" w:sz="4" w:space="0"/>
            </w:tcBorders>
            <w:vAlign w:val="center"/>
          </w:tcPr>
          <w:p w14:paraId="0B3C5AF1">
            <w:pPr>
              <w:jc w:val="center"/>
              <w:rPr>
                <w:rFonts w:cs="仿宋" w:asciiTheme="minorEastAsia" w:hAnsiTheme="minorEastAsia"/>
              </w:rPr>
            </w:pPr>
            <w:r>
              <w:rPr>
                <w:rFonts w:cs="仿宋" w:asciiTheme="minorEastAsia" w:hAnsiTheme="minorEastAsia"/>
              </w:rPr>
              <w:t>按需求</w:t>
            </w:r>
          </w:p>
        </w:tc>
        <w:tc>
          <w:tcPr>
            <w:tcW w:w="4786" w:type="dxa"/>
            <w:tcBorders>
              <w:top w:val="single" w:color="auto" w:sz="4" w:space="0"/>
              <w:left w:val="single" w:color="auto" w:sz="4" w:space="0"/>
              <w:bottom w:val="single" w:color="auto" w:sz="4" w:space="0"/>
              <w:right w:val="single" w:color="auto" w:sz="4" w:space="0"/>
            </w:tcBorders>
            <w:vAlign w:val="center"/>
          </w:tcPr>
          <w:p w14:paraId="25799683">
            <w:pPr>
              <w:rPr>
                <w:rFonts w:cs="仿宋" w:asciiTheme="minorEastAsia" w:hAnsiTheme="minorEastAsia"/>
              </w:rPr>
            </w:pPr>
            <w:r>
              <w:rPr>
                <w:rFonts w:cs="仿宋" w:asciiTheme="minorEastAsia" w:hAnsiTheme="minorEastAsia"/>
              </w:rPr>
              <w:t>每年约20次，人员根据实际需求确定数量。</w:t>
            </w:r>
          </w:p>
        </w:tc>
      </w:tr>
    </w:tbl>
    <w:p w14:paraId="26042384">
      <w:pPr>
        <w:pStyle w:val="3"/>
        <w:jc w:val="both"/>
      </w:pPr>
      <w:r>
        <w:t>三、</w:t>
      </w:r>
      <w:r>
        <w:rPr>
          <w:rFonts w:hint="eastAsia"/>
        </w:rPr>
        <w:t>服务要求</w:t>
      </w:r>
    </w:p>
    <w:p w14:paraId="16B7B92D">
      <w:pPr>
        <w:ind w:firstLine="480" w:firstLineChars="200"/>
        <w:jc w:val="both"/>
      </w:pPr>
      <w:r>
        <w:rPr>
          <w:rFonts w:hint="eastAsia"/>
        </w:rPr>
        <w:t>（一）供应商必须依据合同，在学院保卫处的指导下，严格履行保安工作职能，落实校园安全保卫整体方案，并结合校园实际在实践中不断完善。保证执勤人员数量、质量，实行24小时安保服务。</w:t>
      </w:r>
    </w:p>
    <w:p w14:paraId="2147A7E0">
      <w:pPr>
        <w:ind w:firstLine="480" w:firstLineChars="200"/>
        <w:jc w:val="both"/>
      </w:pPr>
      <w:r>
        <w:rPr>
          <w:rFonts w:hint="eastAsia"/>
        </w:rPr>
        <w:t>（二）供应商选派的安保人员必须经过正规的保安业务培训，持证上岗，身体健康，无精神疾病，无违法犯罪前科，并向学校提供安保人员花名册、保安员登记审批表（个人信息资料）、购买商业意外保险证明材料，供应商与安保人员签订的劳务合同副本、安保人员保安证或上岗证等扫描件。</w:t>
      </w:r>
    </w:p>
    <w:p w14:paraId="54FFFC83">
      <w:pPr>
        <w:ind w:firstLine="480" w:firstLineChars="200"/>
        <w:jc w:val="both"/>
      </w:pPr>
      <w:r>
        <w:rPr>
          <w:rFonts w:hint="eastAsia"/>
        </w:rPr>
        <w:t>（三）为提高服务质量，供应商需派专职管理人员（队长）1名常驻学院，做好保安队伍日常管理工作（上岗标准：初中及以上文化程度，三年以上保安管理工作经验者年龄可放宽至六十岁）。主要任务：全天候负责四个校区安保人员的日常教育管理、检查考核、教育培训、协调沟通、应急处理、大型活动临时安保工作等；安排好安保人员值班、调休，就餐、备勤等日常工作。队长为供应商第一联系人，接受公司和学院双重领导，须保证联系电话24小时处于可接通状态，不得出现拒接或无法接通状况。</w:t>
      </w:r>
    </w:p>
    <w:p w14:paraId="7B871A02">
      <w:pPr>
        <w:ind w:firstLine="480" w:firstLineChars="200"/>
        <w:jc w:val="both"/>
      </w:pPr>
      <w:r>
        <w:rPr>
          <w:rFonts w:hint="eastAsia"/>
        </w:rPr>
        <w:t>（四）供应商管理人员每天要做好详细的执勤记录，原始台帐保存完好，以备核查；每星期向学院保卫处报告保安工作开展情况及信息反馈，重大情况须及时报告。</w:t>
      </w:r>
    </w:p>
    <w:p w14:paraId="089E2D47">
      <w:pPr>
        <w:widowControl w:val="0"/>
        <w:ind w:firstLine="480" w:firstLineChars="200"/>
      </w:pPr>
      <w:r>
        <w:rPr>
          <w:rFonts w:hint="eastAsia"/>
        </w:rPr>
        <w:t>（五）供应商按合同每班执勤人数不得少于规定人数。遇请假、人员轮休时，则由替休人员替补上岗，不得发生缺岗现象。供应商每天当班出勤人数低于约定人数，经查实后学院按照缺岗人次，除当日缺岗人/次的日工资外，每次处罚500元；在学院大型活动安保工作或处置突发事件需要集合时，保安上岗人员必须指定时间、指定地点集合，按任务要求约定人数每少一人/次处罚1000元，少二人及以上按双倍罚款，罚款将在当月安保服务费内扣除。</w:t>
      </w:r>
    </w:p>
    <w:p w14:paraId="373BC2C7">
      <w:pPr>
        <w:widowControl w:val="0"/>
        <w:ind w:firstLine="480" w:firstLineChars="200"/>
        <w:jc w:val="both"/>
      </w:pPr>
      <w:r>
        <w:rPr>
          <w:rFonts w:hint="eastAsia"/>
        </w:rPr>
        <w:t>（六）为了确保保安队伍稳定，供应商更换安保人员时，须提前三日（节假日顺延）报告保卫处主管并提供相关材料。</w:t>
      </w:r>
    </w:p>
    <w:p w14:paraId="0AAC18CC">
      <w:pPr>
        <w:widowControl w:val="0"/>
        <w:ind w:firstLine="480" w:firstLineChars="200"/>
        <w:jc w:val="both"/>
      </w:pPr>
      <w:r>
        <w:rPr>
          <w:rFonts w:hint="eastAsia"/>
        </w:rPr>
        <w:t>（七）供应商安保人员与学院不存在劳动关系，供应商须负责承担安保人员的工资、意外保险、社会劳动保险、雇主责任险、福利等一切费用；供应商安保人员不得在学校借用公款、公物。安保人员因公或意外伤亡，由供应商全权负责办理保险索赔及其他赔偿事宜，学校不承担任何经济赔偿或连带责任，但对供应商可给予协助配合。</w:t>
      </w:r>
    </w:p>
    <w:p w14:paraId="07400F0C">
      <w:pPr>
        <w:ind w:firstLine="480" w:firstLineChars="200"/>
        <w:jc w:val="both"/>
      </w:pPr>
      <w:r>
        <w:rPr>
          <w:rFonts w:hint="eastAsia"/>
        </w:rPr>
        <w:t>（八）供应商安保人员在执勤过程中，故意或过失造成学院或第三人的人身损害或财产损失的，经双方责任认定或由有关权威部门确认后，由供应商投保的保险负责承担学院相应的经济损失，供应商负责申请理赔。若保险公司不予理赔或不足额赔付的，供应商亦不免责，仍需承担相应的补充赔偿责任。</w:t>
      </w:r>
    </w:p>
    <w:p w14:paraId="6CC3B8F2">
      <w:pPr>
        <w:ind w:firstLine="480" w:firstLineChars="200"/>
        <w:jc w:val="both"/>
      </w:pPr>
      <w:r>
        <w:rPr>
          <w:rFonts w:hint="eastAsia"/>
        </w:rPr>
        <w:t>★（九）供应商需针对本项目专属配备以下设备：</w:t>
      </w:r>
    </w:p>
    <w:p w14:paraId="6F1153DF">
      <w:pPr>
        <w:ind w:firstLine="480" w:firstLineChars="200"/>
        <w:jc w:val="both"/>
      </w:pPr>
      <w:r>
        <w:rPr>
          <w:rFonts w:hint="eastAsia"/>
        </w:rPr>
        <w:t>1、一辆四轮五座电动巡逻车；</w:t>
      </w:r>
    </w:p>
    <w:p w14:paraId="4B4FB5CA">
      <w:pPr>
        <w:ind w:firstLine="480" w:firstLineChars="200"/>
        <w:jc w:val="both"/>
      </w:pPr>
      <w:r>
        <w:rPr>
          <w:rFonts w:hint="eastAsia"/>
        </w:rPr>
        <w:t>2、三辆电动两轮警用摩托车；</w:t>
      </w:r>
    </w:p>
    <w:p w14:paraId="424DA579">
      <w:pPr>
        <w:ind w:firstLine="480" w:firstLineChars="200"/>
        <w:jc w:val="both"/>
      </w:pPr>
      <w:r>
        <w:rPr>
          <w:rFonts w:hint="eastAsia"/>
        </w:rPr>
        <w:t>3、六套组合防暴装备（架），每套组合防暴装备含头盔、腰杈、防刺服、盾牌、辣椒水、长、短橡胶棍各2个；</w:t>
      </w:r>
    </w:p>
    <w:p w14:paraId="66995D37">
      <w:pPr>
        <w:ind w:firstLine="480" w:firstLineChars="200"/>
        <w:jc w:val="both"/>
      </w:pPr>
      <w:r>
        <w:rPr>
          <w:rFonts w:hint="eastAsia"/>
        </w:rPr>
        <w:t>4、二十</w:t>
      </w:r>
      <w:r>
        <w:t xml:space="preserve">个对讲机； </w:t>
      </w:r>
    </w:p>
    <w:p w14:paraId="5EAA425E">
      <w:pPr>
        <w:ind w:firstLine="480" w:firstLineChars="200"/>
        <w:jc w:val="both"/>
      </w:pPr>
      <w:r>
        <w:rPr>
          <w:rFonts w:hint="eastAsia"/>
        </w:rPr>
        <w:t>以上专属配备物资须作出实质性响应，提供自购设备的购置发票证明材料，或租用合同证明材料扫描件。</w:t>
      </w:r>
    </w:p>
    <w:p w14:paraId="68B4ED16">
      <w:pPr>
        <w:ind w:firstLine="480" w:firstLineChars="200"/>
        <w:jc w:val="both"/>
      </w:pPr>
      <w:r>
        <w:rPr>
          <w:rFonts w:hint="eastAsia"/>
        </w:rPr>
        <w:t>（十）供应商根据岗位数量需求配足队员春夏、秋冬季服装、对讲机、手电筒、雨衣等保安执勤装备，并对装备进行及时更新和维护，保证其工作状态良好。根据工作需要和季节变化，配备取暖、降温设备、手套、口罩、蚊香等生活保障物品，所有提供配备的劳保用品必须要进行严格筛选，质量达标。</w:t>
      </w:r>
    </w:p>
    <w:p w14:paraId="1C8888A0">
      <w:pPr>
        <w:pStyle w:val="3"/>
        <w:jc w:val="both"/>
      </w:pPr>
      <w:r>
        <w:rPr>
          <w:rFonts w:hint="eastAsia"/>
        </w:rPr>
        <w:t>四、商务要求及其他</w:t>
      </w:r>
    </w:p>
    <w:p w14:paraId="28C5A625">
      <w:pPr>
        <w:ind w:left="480"/>
        <w:jc w:val="both"/>
      </w:pPr>
      <w:r>
        <w:t>（一）服务期：</w:t>
      </w:r>
      <w:r>
        <w:rPr>
          <w:rFonts w:hint="eastAsia"/>
        </w:rPr>
        <w:t>一年，以双方签订合同时约定的起止时间为准。</w:t>
      </w:r>
    </w:p>
    <w:p w14:paraId="391DFF85">
      <w:pPr>
        <w:ind w:firstLine="480" w:firstLineChars="200"/>
        <w:jc w:val="both"/>
      </w:pPr>
      <w:r>
        <w:rPr>
          <w:rFonts w:hint="eastAsia"/>
        </w:rPr>
        <w:t>（二）其他</w:t>
      </w:r>
    </w:p>
    <w:p w14:paraId="24DD7923">
      <w:pPr>
        <w:ind w:firstLine="480" w:firstLineChars="200"/>
        <w:jc w:val="both"/>
      </w:pPr>
      <w:r>
        <w:rPr>
          <w:rFonts w:hint="eastAsia"/>
        </w:rPr>
        <w:t>1、大型活动、特勤服务采购人不另行负担执勤人员伙食、交通及其它费用，供应商需按照甲方要求足额配备执勤人员。</w:t>
      </w:r>
    </w:p>
    <w:p w14:paraId="71AF4923">
      <w:pPr>
        <w:widowControl w:val="0"/>
        <w:ind w:firstLine="480" w:firstLineChars="200"/>
        <w:jc w:val="both"/>
      </w:pPr>
      <w:r>
        <w:rPr>
          <w:rFonts w:hint="eastAsia"/>
        </w:rPr>
        <w:t>2、供应商成立专门服务小组，分管领导亲自负责，分工明确（应有具体成员名单，包括姓名、所在公司、职务、文化程度、工作职责、联系方式等）。</w:t>
      </w:r>
    </w:p>
    <w:p w14:paraId="2A3BDD75">
      <w:pPr>
        <w:widowControl w:val="0"/>
        <w:ind w:firstLine="464" w:firstLineChars="200"/>
        <w:jc w:val="both"/>
      </w:pPr>
      <w:r>
        <w:rPr>
          <w:rFonts w:hint="eastAsia"/>
          <w:spacing w:val="-4"/>
        </w:rPr>
        <w:t>3、供应商有服务保障措施，如对服务态度、服务质量较差的保安人员有具体处罚办法。</w:t>
      </w:r>
    </w:p>
    <w:p w14:paraId="220B5AB6">
      <w:pPr>
        <w:pStyle w:val="81"/>
        <w:ind w:firstLine="480"/>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2DA58542">
      <w:pPr>
        <w:pStyle w:val="2"/>
        <w:spacing w:before="230" w:after="230"/>
        <w:rPr>
          <w:color w:val="C00000"/>
        </w:rPr>
      </w:pPr>
      <w:bookmarkStart w:id="10" w:name="_Toc148453731"/>
      <w:bookmarkStart w:id="11" w:name="_Toc211437470"/>
      <w:r>
        <w:rPr>
          <w:rFonts w:hint="eastAsia"/>
        </w:rPr>
        <w:t>第四章　合同</w:t>
      </w:r>
      <w:bookmarkEnd w:id="10"/>
      <w:r>
        <w:rPr>
          <w:rFonts w:hint="eastAsia"/>
        </w:rPr>
        <w:t>文本</w:t>
      </w:r>
      <w:bookmarkEnd w:id="11"/>
    </w:p>
    <w:p w14:paraId="41F60992">
      <w:pPr>
        <w:jc w:val="center"/>
        <w:rPr>
          <w:color w:val="C00000"/>
        </w:rPr>
      </w:pPr>
      <w:r>
        <w:rPr>
          <w:color w:val="C00000"/>
        </w:rPr>
        <w:t>（本合同为中小企业预留合同）</w:t>
      </w:r>
    </w:p>
    <w:p w14:paraId="16DA02A7">
      <w:pPr>
        <w:spacing w:before="230" w:beforeLines="50"/>
        <w:ind w:firstLine="480" w:firstLineChars="200"/>
        <w:jc w:val="both"/>
        <w:rPr>
          <w:b/>
        </w:rPr>
      </w:pPr>
      <w:r>
        <w:rPr>
          <w:b/>
        </w:rPr>
        <w:t>甲方（采购人）：</w:t>
      </w:r>
      <w:r>
        <w:rPr>
          <w:rFonts w:hint="eastAsia"/>
          <w:b/>
          <w:color w:val="C00000"/>
          <w:u w:val="single"/>
        </w:rPr>
        <w:t xml:space="preserve"> </w:t>
      </w:r>
      <w:r>
        <w:rPr>
          <w:b/>
          <w:color w:val="C00000"/>
          <w:u w:val="single"/>
        </w:rPr>
        <w:t xml:space="preserve">            </w:t>
      </w:r>
    </w:p>
    <w:p w14:paraId="44A487A0">
      <w:pPr>
        <w:ind w:firstLine="480" w:firstLineChars="200"/>
        <w:jc w:val="both"/>
        <w:rPr>
          <w:b/>
        </w:rPr>
      </w:pPr>
      <w:r>
        <w:rPr>
          <w:b/>
        </w:rPr>
        <w:t>乙方（中标供应商）：</w:t>
      </w:r>
      <w:r>
        <w:rPr>
          <w:color w:val="C00000"/>
        </w:rPr>
        <w:t>_________________</w:t>
      </w:r>
    </w:p>
    <w:p w14:paraId="76F3DF7C">
      <w:pPr>
        <w:spacing w:before="230" w:beforeLines="50"/>
        <w:jc w:val="both"/>
        <w:rPr>
          <w:rFonts w:cs="Calibri Light"/>
          <w:b/>
        </w:rPr>
      </w:pPr>
      <w:r>
        <w:rPr>
          <w:rFonts w:cs="Calibri Light"/>
          <w:b/>
        </w:rPr>
        <w:t>一、服务条件：</w:t>
      </w:r>
    </w:p>
    <w:p w14:paraId="04D19A80">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（一）服务地点：甲方指定地点。</w:t>
      </w:r>
    </w:p>
    <w:p w14:paraId="7820DD1D">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（二）服务内容：见本项目招标文件</w:t>
      </w:r>
    </w:p>
    <w:p w14:paraId="1FCF9FB7">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（三）服务期：</w:t>
      </w:r>
      <w:r>
        <w:rPr>
          <w:rFonts w:hint="eastAsia" w:asciiTheme="minorHAnsi" w:hAnsiTheme="minorHAnsi" w:eastAsiaTheme="minorEastAsia"/>
          <w:sz w:val="24"/>
          <w:szCs w:val="24"/>
        </w:rPr>
        <w:t>一年，以双方签订合同时约定的起止时间为准。</w:t>
      </w:r>
    </w:p>
    <w:p w14:paraId="7B2F04D2">
      <w:pPr>
        <w:spacing w:before="230" w:beforeLines="50"/>
        <w:jc w:val="both"/>
        <w:rPr>
          <w:rFonts w:cs="Calibri Light"/>
          <w:b/>
        </w:rPr>
      </w:pPr>
      <w:r>
        <w:rPr>
          <w:rFonts w:cs="Calibri Light"/>
          <w:b/>
        </w:rPr>
        <w:t>二、合同价款</w:t>
      </w:r>
    </w:p>
    <w:p w14:paraId="55D8E838">
      <w:pPr>
        <w:ind w:firstLine="480" w:firstLineChars="200"/>
        <w:jc w:val="both"/>
      </w:pPr>
      <w:r>
        <w:t>（一）本合同项下总价款为人民币_________元（小写，精确到小数点后两位），即__________（大写）。合同履行期间，合同总价固定不变，不受市场价格变化因素的影响。</w:t>
      </w:r>
    </w:p>
    <w:p w14:paraId="7D5196F7">
      <w:pPr>
        <w:ind w:firstLine="480" w:firstLineChars="200"/>
        <w:jc w:val="both"/>
      </w:pPr>
      <w:r>
        <w:t>（二）</w:t>
      </w:r>
      <w:r>
        <w:rPr>
          <w:rFonts w:hint="eastAsia"/>
        </w:rPr>
        <w:t>本合同总价已包含了人员薪酬、加班费（如延时加班、双休加班、法定节假日加班、遇突发重大应急加班等）、人员食宿、制服及保安用品用具（包括但不限于警具、寝具、雨具、通讯设备、电筒、值班登记等），以及管理费、税金等完成本项目服务所需的一切费用，不接受乙方因遗漏报价而发生的费用追加。</w:t>
      </w:r>
    </w:p>
    <w:p w14:paraId="3E196DC7">
      <w:pPr>
        <w:spacing w:before="230" w:beforeLines="50"/>
        <w:jc w:val="both"/>
        <w:rPr>
          <w:rFonts w:cs="Calibri Light"/>
          <w:b/>
        </w:rPr>
      </w:pPr>
      <w:r>
        <w:rPr>
          <w:rFonts w:cs="Calibri Light"/>
          <w:b/>
        </w:rPr>
        <w:t>三、款项结算</w:t>
      </w:r>
    </w:p>
    <w:p w14:paraId="7095426F">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（一）付款进度：</w:t>
      </w:r>
    </w:p>
    <w:p w14:paraId="29227FAE">
      <w:pPr>
        <w:pStyle w:val="40"/>
        <w:spacing w:line="240" w:lineRule="auto"/>
        <w:ind w:firstLine="480" w:firstLineChars="200"/>
        <w:jc w:val="both"/>
        <w:rPr>
          <w:rFonts w:asciiTheme="minorHAnsi" w:hAnsiTheme="minorHAnsi" w:eastAsiaTheme="minorEastAsia"/>
        </w:rPr>
      </w:pPr>
      <w:r>
        <w:rPr>
          <w:rFonts w:hint="eastAsia" w:asciiTheme="minorHAnsi" w:hAnsiTheme="minorHAnsi" w:eastAsiaTheme="minorEastAsia"/>
          <w:sz w:val="24"/>
          <w:szCs w:val="24"/>
        </w:rPr>
        <w:t>无预付款，服务期内分两期结算。第一期结算：服务开始满3个月后，经甲方对本期服务验收合格，甲方自收到乙方发票1</w:t>
      </w:r>
      <w:r>
        <w:rPr>
          <w:rFonts w:asciiTheme="minorHAnsi" w:hAnsiTheme="minorHAnsi" w:eastAsiaTheme="minorEastAsia"/>
          <w:sz w:val="24"/>
          <w:szCs w:val="24"/>
        </w:rPr>
        <w:t>0个工作日内</w:t>
      </w:r>
      <w:r>
        <w:rPr>
          <w:rFonts w:hint="eastAsia" w:asciiTheme="minorHAnsi" w:hAnsiTheme="minorHAnsi" w:eastAsiaTheme="minorEastAsia"/>
          <w:sz w:val="24"/>
          <w:szCs w:val="24"/>
        </w:rPr>
        <w:t>支付合同价款的50%（如有考核扣款，须减去服务期内的考核扣款）；第二期结算：在本年度12月底前，甲方自收到乙方发票10个工作日内内支付合同价款的50%（如有考核扣款，须减去服务期内的考核扣款）。乙方开具合法有效的正式劳务发票与甲方进行结算。</w:t>
      </w:r>
    </w:p>
    <w:p w14:paraId="2B890AA8">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14:paraId="5E2B1E65">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（三）结算方式：</w:t>
      </w:r>
      <w:r>
        <w:rPr>
          <w:rFonts w:hint="eastAsia" w:asciiTheme="minorHAnsi" w:hAnsiTheme="minorHAnsi" w:eastAsiaTheme="minorEastAsia"/>
          <w:sz w:val="24"/>
          <w:szCs w:val="24"/>
        </w:rPr>
        <w:t>乙方持中标通知书、合同、发票、政府采购项目验收单，与甲方结算。</w:t>
      </w:r>
    </w:p>
    <w:p w14:paraId="1F18EAFD">
      <w:pPr>
        <w:spacing w:before="230" w:beforeLines="50"/>
        <w:jc w:val="both"/>
        <w:rPr>
          <w:rFonts w:cs="Calibri Light"/>
          <w:b/>
        </w:rPr>
      </w:pPr>
      <w:r>
        <w:rPr>
          <w:rFonts w:cs="Calibri Light"/>
          <w:b/>
        </w:rPr>
        <w:t>四、服务保证</w:t>
      </w:r>
    </w:p>
    <w:p w14:paraId="4D51DCAB">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（一）甲方对岗位设置和管理工作具有直接指挥权和决定权。</w:t>
      </w:r>
    </w:p>
    <w:p w14:paraId="588B7279">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（二）乙方杜绝因管理失职而造成的火灾、治安、交通、刑事等事故。</w:t>
      </w:r>
    </w:p>
    <w:p w14:paraId="78B36A70">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（三）乙方所供服务须执行下列条款：</w:t>
      </w:r>
    </w:p>
    <w:p w14:paraId="16074CC4">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1、服务方案和方式科学、可行，人员配置合理，全面满足招标文件要求。</w:t>
      </w:r>
    </w:p>
    <w:p w14:paraId="3118BB45">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2、符合国家有关服务规范要求，确保各项服务达到最佳运行效果。</w:t>
      </w:r>
    </w:p>
    <w:p w14:paraId="1CD50529">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（四）乙方应进场前制定出服务期的工作计划；</w:t>
      </w:r>
    </w:p>
    <w:p w14:paraId="3333A720">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（五）有专门的项目负责人员；</w:t>
      </w:r>
    </w:p>
    <w:p w14:paraId="5F9F3710">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（六）设有专人投诉举报电话，有专人接听记录、受理；</w:t>
      </w:r>
    </w:p>
    <w:p w14:paraId="7A1042BE">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（七）乙方提供的服务，若发生侵权而产生的一切后果，由乙方负责。甲方保留索赔权力；</w:t>
      </w:r>
    </w:p>
    <w:p w14:paraId="1184FA92">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（八）乙方需与所聘安保人员签订安全责任书。在服务期内，乙方安保人员出现的任何安全事故均由乙方承担，甲方无任何连带关系和责任。</w:t>
      </w:r>
    </w:p>
    <w:p w14:paraId="1B8E6982">
      <w:pPr>
        <w:spacing w:before="230" w:beforeLines="50"/>
        <w:jc w:val="both"/>
        <w:rPr>
          <w:rFonts w:cs="Calibri Light"/>
          <w:b/>
        </w:rPr>
      </w:pPr>
      <w:r>
        <w:rPr>
          <w:rFonts w:cs="Calibri Light"/>
          <w:b/>
        </w:rPr>
        <w:t>五、验收</w:t>
      </w:r>
    </w:p>
    <w:p w14:paraId="53A8B320">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（一）服务期</w:t>
      </w:r>
      <w:r>
        <w:rPr>
          <w:rFonts w:asciiTheme="minorHAnsi" w:hAnsiTheme="minorHAnsi" w:eastAsiaTheme="minorEastAsia"/>
          <w:sz w:val="24"/>
          <w:szCs w:val="24"/>
        </w:rPr>
        <w:t>满后，甲方进行验收，确认服务标准和服务方式是否达到采购要求（必要时甲方可委托技术专家对</w:t>
      </w:r>
      <w:r>
        <w:rPr>
          <w:rFonts w:hint="eastAsia" w:asciiTheme="minorHAnsi" w:hAnsiTheme="minorHAnsi" w:eastAsiaTheme="minorEastAsia"/>
          <w:sz w:val="24"/>
          <w:szCs w:val="24"/>
        </w:rPr>
        <w:t>项目</w:t>
      </w:r>
      <w:r>
        <w:rPr>
          <w:rFonts w:asciiTheme="minorHAnsi" w:hAnsiTheme="minorHAnsi" w:eastAsiaTheme="minorEastAsia"/>
          <w:sz w:val="24"/>
          <w:szCs w:val="24"/>
        </w:rPr>
        <w:t>进行验收）。</w:t>
      </w:r>
    </w:p>
    <w:p w14:paraId="09ECB6CF">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二</w:t>
      </w:r>
      <w:r>
        <w:rPr>
          <w:rFonts w:asciiTheme="minorHAnsi" w:hAnsiTheme="minorHAnsi" w:eastAsiaTheme="minorEastAsia"/>
          <w:sz w:val="24"/>
          <w:szCs w:val="24"/>
        </w:rPr>
        <w:t>）验收依据</w:t>
      </w:r>
    </w:p>
    <w:p w14:paraId="592DD10E">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1、招标文件、投标文件、澄清表（函）；</w:t>
      </w:r>
    </w:p>
    <w:p w14:paraId="4DB9E638">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2、本合同及附件文本；</w:t>
      </w:r>
    </w:p>
    <w:p w14:paraId="6FC1CDE7">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3、合同签订时国家及行业现行的标准和技术规范。</w:t>
      </w:r>
    </w:p>
    <w:p w14:paraId="59C594C7">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三</w:t>
      </w:r>
      <w:r>
        <w:rPr>
          <w:rFonts w:asciiTheme="minorHAnsi" w:hAnsiTheme="minorHAnsi" w:eastAsiaTheme="minorEastAsia"/>
          <w:sz w:val="24"/>
          <w:szCs w:val="24"/>
        </w:rPr>
        <w:t>）乙方应向甲方提交项目实施过程中的所有资料，以便甲方日后管理。</w:t>
      </w:r>
    </w:p>
    <w:p w14:paraId="3739DF02">
      <w:pPr>
        <w:spacing w:before="230" w:beforeLines="50"/>
        <w:jc w:val="both"/>
        <w:rPr>
          <w:rFonts w:cs="Calibri Light"/>
          <w:b/>
        </w:rPr>
      </w:pPr>
      <w:r>
        <w:rPr>
          <w:rFonts w:cs="Calibri Light"/>
          <w:b/>
        </w:rPr>
        <w:t>六、双方的权利和义务</w:t>
      </w:r>
    </w:p>
    <w:p w14:paraId="422D3328">
      <w:pPr>
        <w:wordWrap w:val="0"/>
        <w:ind w:firstLine="480" w:firstLineChars="200"/>
        <w:jc w:val="both"/>
      </w:pPr>
      <w:r>
        <w:t>（一）甲方的权利和义务</w:t>
      </w:r>
    </w:p>
    <w:p w14:paraId="68AA73DF">
      <w:pPr>
        <w:wordWrap w:val="0"/>
        <w:ind w:firstLine="480" w:firstLineChars="200"/>
        <w:jc w:val="both"/>
      </w:pPr>
      <w:r>
        <w:rPr>
          <w:rFonts w:hint="eastAsia"/>
        </w:rPr>
        <w:t>1、为安保人员提供基本的工作条件。</w:t>
      </w:r>
    </w:p>
    <w:p w14:paraId="6E2C2BEB">
      <w:pPr>
        <w:wordWrap w:val="0"/>
        <w:ind w:firstLine="480" w:firstLineChars="200"/>
        <w:jc w:val="both"/>
      </w:pPr>
      <w:r>
        <w:rPr>
          <w:rFonts w:hint="eastAsia"/>
        </w:rPr>
        <w:t>2、甲方有权要求乙方撤换不符合用工要求的员工。</w:t>
      </w:r>
    </w:p>
    <w:p w14:paraId="5288D664">
      <w:pPr>
        <w:wordWrap w:val="0"/>
        <w:ind w:firstLine="480" w:firstLineChars="200"/>
        <w:jc w:val="both"/>
      </w:pPr>
      <w:r>
        <w:rPr>
          <w:rFonts w:hint="eastAsia"/>
        </w:rPr>
        <w:t>3、审定乙方拟定的服务方案；有权对乙方承诺的服务事项，进行监督并提出合理化建议；对乙方未按合同约定履行服务义务，有权要求乙方整改到位。</w:t>
      </w:r>
    </w:p>
    <w:p w14:paraId="10616045">
      <w:pPr>
        <w:wordWrap w:val="0"/>
        <w:ind w:firstLine="480" w:firstLineChars="200"/>
        <w:jc w:val="both"/>
      </w:pPr>
      <w:r>
        <w:t>（二）乙方的权利和义务</w:t>
      </w:r>
    </w:p>
    <w:p w14:paraId="10DA504B">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1、乙方所雇佣的安保人员基本工资（不包括员工社保、医保、福利以及加班工资等）不能低于当地最低工资标准。</w:t>
      </w:r>
    </w:p>
    <w:p w14:paraId="22471734">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2、乙方负责员工的社会养老、医疗、工伤、失业等费用，若发生劳动争议均由乙方自己解决，甲方无任何连带关系和责任；如发生违反国家相关法规、政策，由乙方自行解决并承担所有责任，与甲方无关。</w:t>
      </w:r>
    </w:p>
    <w:p w14:paraId="1C51E415">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3、及时向甲方介绍汇报工作情况。</w:t>
      </w:r>
    </w:p>
    <w:p w14:paraId="0CA7CA55">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4、在服务期限内，遵循零干扰服务。乙方不得干扰或阻碍甲方对该办公区域和公共区域的正常使用。</w:t>
      </w:r>
    </w:p>
    <w:p w14:paraId="1C09C40C">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5、乙方人员应严格遵守国家法律、法规及甲方的规章制度进行服务。</w:t>
      </w:r>
    </w:p>
    <w:p w14:paraId="3DB2B76F">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6、服务人员上岗前必须经过专业培训和考核，统一规范着装，佩戴工卡，文明用语，礼貌服务，在保证工作质量的前提下，节能降耗运行，降低作业成本。在工作中若因疏忽或操作不当，造成本人、甲方或第三人身意外或财产损失，均由乙方承担责任及赔偿费用。</w:t>
      </w:r>
    </w:p>
    <w:p w14:paraId="51D4F364">
      <w:pPr>
        <w:pStyle w:val="40"/>
        <w:spacing w:line="240" w:lineRule="auto"/>
        <w:ind w:firstLine="480" w:firstLineChars="200"/>
        <w:jc w:val="both"/>
        <w:rPr>
          <w:rFonts w:asciiTheme="minorHAnsi" w:hAnsiTheme="minorHAnsi" w:eastAsiaTheme="minorEastAsia"/>
        </w:rPr>
      </w:pPr>
      <w:r>
        <w:rPr>
          <w:rFonts w:hint="eastAsia" w:asciiTheme="minorHAnsi" w:hAnsiTheme="minorHAnsi" w:eastAsiaTheme="minorEastAsia"/>
          <w:sz w:val="24"/>
          <w:szCs w:val="24"/>
        </w:rPr>
        <w:t>7、甲乙双方在协商、签订和履行本合同过程中获悉对方的商业秘密（运营计划、财务状况和技术信息等）应予以保密。未经过对方同意，另一方不得向第三方泄露该商业秘密的全部和部分内容。但法律、法规另有约定的除外。</w:t>
      </w:r>
    </w:p>
    <w:p w14:paraId="3DC698A6">
      <w:pPr>
        <w:spacing w:before="230" w:beforeLines="50"/>
        <w:jc w:val="both"/>
        <w:rPr>
          <w:rFonts w:cs="Calibri Light"/>
          <w:b/>
        </w:rPr>
      </w:pPr>
      <w:r>
        <w:rPr>
          <w:rFonts w:hint="eastAsia" w:cs="Calibri Light"/>
          <w:b/>
        </w:rPr>
        <w:t>七</w:t>
      </w:r>
      <w:r>
        <w:rPr>
          <w:rFonts w:cs="Calibri Light"/>
          <w:b/>
        </w:rPr>
        <w:t>、争议解决方式</w:t>
      </w:r>
    </w:p>
    <w:p w14:paraId="3D4E4889">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1、对本合同执行过程中发生的一切争议，双方应友好协商解决，经协商在15个日历日内不能达成协议时，则向甲方所在地有管辖权的人民法院提起诉讼解决争议。</w:t>
      </w:r>
    </w:p>
    <w:p w14:paraId="5C7E25A1">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2、在诉讼期间，本合同应继续履行。</w:t>
      </w:r>
    </w:p>
    <w:p w14:paraId="1358C10D">
      <w:pPr>
        <w:spacing w:before="230" w:beforeLines="50"/>
        <w:jc w:val="both"/>
        <w:rPr>
          <w:rFonts w:cs="Calibri Light"/>
          <w:b/>
        </w:rPr>
      </w:pPr>
      <w:r>
        <w:rPr>
          <w:rFonts w:cs="Calibri Light"/>
          <w:b/>
        </w:rPr>
        <w:t>八、违约责任</w:t>
      </w:r>
    </w:p>
    <w:p w14:paraId="17243B22">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（一）由双方按《民法典》中的相关原则经平等协商后补充。</w:t>
      </w:r>
    </w:p>
    <w:p w14:paraId="4E3EDB02">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未按合同要求提供服务或服务质量不能满足合同要求，甲方应当将乙方违约的情况以及拟采取的措施以书面形式报政府采购监管部门，根据政府采购监管部门的处理意见，甲方有权依据《民法典》及合同有关条款终止合同，并要求乙方承担违约责任。同时，政府采购监管部门有权依据《政府采购法》及相关法律法规对乙方的违法行为进行相应的处罚。</w:t>
      </w:r>
    </w:p>
    <w:p w14:paraId="500EF15B">
      <w:pPr>
        <w:spacing w:before="230" w:beforeLines="50"/>
        <w:jc w:val="both"/>
        <w:rPr>
          <w:rFonts w:cs="Calibri Light"/>
          <w:b/>
        </w:rPr>
      </w:pPr>
      <w:r>
        <w:rPr>
          <w:rFonts w:hint="eastAsia" w:cs="Calibri Light"/>
          <w:b/>
        </w:rPr>
        <w:t>九</w:t>
      </w:r>
      <w:r>
        <w:rPr>
          <w:rFonts w:cs="Calibri Light"/>
          <w:b/>
        </w:rPr>
        <w:t>、</w:t>
      </w:r>
      <w:r>
        <w:rPr>
          <w:rFonts w:hint="eastAsia" w:cs="Calibri Light"/>
          <w:b/>
        </w:rPr>
        <w:t>合同终止条款</w:t>
      </w:r>
    </w:p>
    <w:p w14:paraId="5E742435">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（一）乙方不能满足甲方实际工作需要，不服从甲方日常工作管理；</w:t>
      </w:r>
    </w:p>
    <w:p w14:paraId="289DF666">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（二）因乙方管理不到位，造成群发性事件，给甲方声誉带来严重影响的；</w:t>
      </w:r>
    </w:p>
    <w:p w14:paraId="4F02652B">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（三）发生各类突发性应急事件或甲方举行重大活动，乙方不服从甲方统一调配的；</w:t>
      </w:r>
    </w:p>
    <w:p w14:paraId="13BC3B4B">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（四）乙方在合同期间及服务过程中，给甲方造成重大责任事故或恶劣社会影响的。</w:t>
      </w:r>
    </w:p>
    <w:p w14:paraId="1CFC79DC">
      <w:pPr>
        <w:spacing w:before="230" w:beforeLines="50"/>
        <w:jc w:val="both"/>
        <w:rPr>
          <w:rFonts w:cs="Calibri Light"/>
          <w:b/>
        </w:rPr>
      </w:pPr>
      <w:r>
        <w:rPr>
          <w:rFonts w:cs="Calibri Light"/>
          <w:b/>
        </w:rPr>
        <w:t>十、合同生效及其他</w:t>
      </w:r>
    </w:p>
    <w:p w14:paraId="1CDBA44C">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（一）本合同自签订之日起生效。</w:t>
      </w:r>
    </w:p>
    <w:p w14:paraId="313AB401">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份，甲方执</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份、乙方执</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w:t>
      </w:r>
    </w:p>
    <w:p w14:paraId="20D0CFDA">
      <w:pPr>
        <w:spacing w:before="230" w:beforeLines="50"/>
        <w:ind w:firstLine="480" w:firstLineChars="200"/>
        <w:jc w:val="both"/>
      </w:pPr>
      <w:r>
        <w:t>（三）</w:t>
      </w:r>
      <w:r>
        <w:rPr>
          <w:rFonts w:hint="eastAsia"/>
        </w:rPr>
        <w:t>如本合同有未尽事宜，以招标文件为准，招标文件未做要求的，由双方依法订立补充合同。</w:t>
      </w:r>
    </w:p>
    <w:p w14:paraId="05C291D3">
      <w:pPr>
        <w:spacing w:before="230" w:beforeLines="50"/>
        <w:jc w:val="both"/>
        <w:rPr>
          <w:rFonts w:cs="Calibri Light"/>
          <w:b/>
        </w:rPr>
      </w:pPr>
      <w:r>
        <w:rPr>
          <w:rFonts w:cs="Calibri Light"/>
          <w:b/>
        </w:rPr>
        <w:t>十</w:t>
      </w:r>
      <w:r>
        <w:rPr>
          <w:rFonts w:hint="eastAsia" w:cs="Calibri Light"/>
          <w:b/>
        </w:rPr>
        <w:t>一</w:t>
      </w:r>
      <w:r>
        <w:rPr>
          <w:rFonts w:cs="Calibri Light"/>
          <w:b/>
        </w:rPr>
        <w:t>、</w:t>
      </w:r>
      <w:r>
        <w:rPr>
          <w:rFonts w:hint="eastAsia" w:cs="Calibri Light"/>
          <w:b/>
        </w:rPr>
        <w:t>附件</w:t>
      </w:r>
    </w:p>
    <w:p w14:paraId="298CA3B0">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1、项目招标文件</w:t>
      </w:r>
    </w:p>
    <w:p w14:paraId="13706B4F">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2、项目澄清文件</w:t>
      </w:r>
    </w:p>
    <w:p w14:paraId="5AD17D67">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3、项目投标文件</w:t>
      </w:r>
    </w:p>
    <w:p w14:paraId="31C4D21A">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4、中标通知书</w:t>
      </w:r>
    </w:p>
    <w:p w14:paraId="66BD08AF">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5、其他</w:t>
      </w:r>
    </w:p>
    <w:p w14:paraId="1C25145E">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（以下无正文）</w:t>
      </w:r>
    </w:p>
    <w:p w14:paraId="6FD31474"/>
    <w:p w14:paraId="0FC4A7EB">
      <w:p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14:paraId="066AACEE">
      <w:pPr>
        <w:pStyle w:val="2"/>
        <w:spacing w:before="230" w:after="230"/>
      </w:pPr>
      <w:bookmarkStart w:id="12" w:name="_Toc211437471"/>
      <w:r>
        <w:rPr>
          <w:rFonts w:hint="eastAsia"/>
        </w:rPr>
        <w:t>第五章　投标文件构成及格式</w:t>
      </w:r>
      <w:bookmarkEnd w:id="12"/>
    </w:p>
    <w:p w14:paraId="4578CFAC">
      <w:pPr>
        <w:ind w:firstLine="251" w:firstLineChars="70"/>
        <w:jc w:val="center"/>
        <w:rPr>
          <w:rFonts w:cstheme="minorHAnsi"/>
          <w:sz w:val="36"/>
          <w:szCs w:val="36"/>
        </w:rPr>
      </w:pPr>
    </w:p>
    <w:p w14:paraId="46C3CF94">
      <w:pPr>
        <w:ind w:firstLine="251" w:firstLineChars="70"/>
        <w:jc w:val="center"/>
        <w:rPr>
          <w:rFonts w:cstheme="minorHAnsi"/>
          <w:sz w:val="36"/>
          <w:szCs w:val="36"/>
        </w:rPr>
      </w:pPr>
    </w:p>
    <w:p w14:paraId="60FF2F4A">
      <w:pPr>
        <w:ind w:firstLine="251" w:firstLineChars="70"/>
        <w:jc w:val="center"/>
        <w:rPr>
          <w:rFonts w:cstheme="minorHAnsi"/>
          <w:sz w:val="36"/>
          <w:szCs w:val="36"/>
        </w:rPr>
      </w:pPr>
    </w:p>
    <w:p w14:paraId="0B78F1C6">
      <w:pPr>
        <w:jc w:val="center"/>
        <w:rPr>
          <w:rFonts w:cstheme="minorHAnsi"/>
          <w:b/>
          <w:color w:val="C00000"/>
          <w:sz w:val="44"/>
          <w:szCs w:val="44"/>
        </w:rPr>
      </w:pPr>
      <w:r>
        <w:rPr>
          <w:rFonts w:hint="eastAsia" w:cstheme="minorHAnsi"/>
          <w:b/>
          <w:color w:val="C00000"/>
          <w:sz w:val="44"/>
          <w:szCs w:val="44"/>
        </w:rPr>
        <w:t>［项目名称］</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hint="eastAsia" w:cstheme="minorHAnsi"/>
          <w:sz w:val="36"/>
          <w:szCs w:val="36"/>
        </w:rPr>
        <w:t>X</w:t>
      </w:r>
      <w:r>
        <w:rPr>
          <w:rFonts w:cstheme="minorHAnsi"/>
          <w:sz w:val="36"/>
          <w:szCs w:val="36"/>
        </w:rPr>
        <w:t>CZX20XX-XXXX）</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1A53BF79">
      <w:pPr>
        <w:ind w:firstLine="200"/>
        <w:rPr>
          <w:rFonts w:cstheme="minorHAnsi"/>
          <w:sz w:val="36"/>
        </w:rPr>
      </w:pPr>
    </w:p>
    <w:p w14:paraId="63B1F57B">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r>
        <w:rPr>
          <w:rFonts w:cstheme="minorHAnsi"/>
          <w:sz w:val="28"/>
          <w:szCs w:val="28"/>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14:paraId="2C03735F">
      <w:pPr>
        <w:jc w:val="both"/>
        <w:rPr>
          <w:rFonts w:cstheme="minorHAnsi"/>
          <w:color w:val="000000"/>
        </w:rPr>
      </w:pPr>
      <w:r>
        <w:rPr>
          <w:rFonts w:hint="eastAsia"/>
        </w:rPr>
        <w:t>西安市市级单位政府采购中心</w:t>
      </w:r>
      <w:r>
        <w:rPr>
          <w:rFonts w:hint="eastAsia" w:cstheme="minorHAnsi"/>
          <w:color w:val="000000"/>
        </w:rPr>
        <w:t>：</w:t>
      </w:r>
    </w:p>
    <w:p w14:paraId="1B6DBBC9">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w:t>
      </w:r>
      <w:r>
        <w:rPr>
          <w:rFonts w:hint="eastAsia" w:cstheme="minorHAnsi"/>
        </w:rPr>
        <w:t>或</w:t>
      </w:r>
      <w:r>
        <w:rPr>
          <w:rFonts w:cstheme="minorHAnsi"/>
        </w:rPr>
        <w:t>删除，全文同）的采购</w:t>
      </w:r>
      <w:r>
        <w:rPr>
          <w:rFonts w:cstheme="minorHAnsi"/>
          <w:color w:val="000000"/>
        </w:rPr>
        <w:t>活动。</w:t>
      </w:r>
      <w:r>
        <w:rPr>
          <w:rFonts w:hint="eastAsia" w:cstheme="minorHAnsi"/>
          <w:color w:val="000000"/>
        </w:rPr>
        <w:t>为此，我方郑重声明以下诸点，并负法律责任。</w:t>
      </w:r>
    </w:p>
    <w:p w14:paraId="5BC9D14E">
      <w:pPr>
        <w:ind w:firstLine="567"/>
        <w:jc w:val="both"/>
        <w:rPr>
          <w:rFonts w:cstheme="minorHAnsi"/>
          <w:color w:val="000000"/>
        </w:rPr>
      </w:pPr>
      <w:r>
        <w:rPr>
          <w:rFonts w:hint="eastAsia" w:cstheme="minorHAnsi"/>
          <w:color w:val="000000"/>
        </w:rPr>
        <w:t>1．我方已详细阅读了招标文件，完全理解并同意招标文件的所有事项及内容。</w:t>
      </w:r>
    </w:p>
    <w:p w14:paraId="686F7B85">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14:paraId="17E28385">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67DC55DD">
      <w:pPr>
        <w:ind w:firstLine="567"/>
        <w:jc w:val="both"/>
        <w:rPr>
          <w:rFonts w:cstheme="minorHAnsi"/>
          <w:color w:val="000000"/>
        </w:rPr>
      </w:pPr>
      <w:r>
        <w:rPr>
          <w:rFonts w:hint="eastAsia" w:cstheme="minorHAnsi"/>
          <w:color w:val="000000"/>
        </w:rPr>
        <w:t>4．我方理解最低价不是中标的唯一条件，并尊重评标委员会的评审结果。</w:t>
      </w:r>
    </w:p>
    <w:p w14:paraId="0AD6E33E">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70D880D6">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3CD37E3D">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14:paraId="189EC49A">
      <w:pPr>
        <w:ind w:firstLine="567"/>
        <w:jc w:val="both"/>
        <w:rPr>
          <w:rFonts w:cstheme="minorHAnsi"/>
          <w:color w:val="000000"/>
        </w:rPr>
      </w:pPr>
      <w:r>
        <w:rPr>
          <w:rFonts w:cstheme="minorHAnsi"/>
          <w:color w:val="000000"/>
        </w:rPr>
        <w:t>8</w:t>
      </w:r>
      <w:r>
        <w:rPr>
          <w:rFonts w:hint="eastAsia" w:cstheme="minorHAnsi"/>
          <w:color w:val="000000"/>
        </w:rPr>
        <w:t>．若我方中标，我方承诺：</w:t>
      </w:r>
    </w:p>
    <w:p w14:paraId="1DE904A4">
      <w:pPr>
        <w:ind w:firstLine="567"/>
        <w:jc w:val="both"/>
        <w:rPr>
          <w:rFonts w:cstheme="minorHAnsi"/>
          <w:color w:val="000000"/>
        </w:rPr>
      </w:pPr>
      <w:r>
        <w:rPr>
          <w:rFonts w:hint="eastAsia" w:cstheme="minorHAnsi"/>
          <w:color w:val="000000"/>
        </w:rPr>
        <w:t>（1）将投标文件有效期延长至合同执行完毕；</w:t>
      </w:r>
    </w:p>
    <w:p w14:paraId="0F63C001">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14:paraId="00C9913A">
      <w:pPr>
        <w:ind w:firstLine="567"/>
        <w:jc w:val="both"/>
        <w:rPr>
          <w:rFonts w:cstheme="minorHAnsi"/>
          <w:color w:val="000000"/>
        </w:rPr>
      </w:pPr>
      <w:r>
        <w:rPr>
          <w:rFonts w:hint="eastAsia" w:cstheme="minorHAnsi"/>
          <w:color w:val="000000"/>
        </w:rPr>
        <w:t>（3）遵照招标文件中的要求，完成本项目的合同责任和义务。</w:t>
      </w:r>
    </w:p>
    <w:p w14:paraId="4FD50DA6">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3B798042">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3F3A38F2">
      <w:pPr>
        <w:ind w:firstLine="567"/>
        <w:jc w:val="both"/>
        <w:rPr>
          <w:color w:val="000000"/>
        </w:rPr>
      </w:pPr>
      <w:r>
        <w:rPr>
          <w:rFonts w:hint="eastAsia"/>
          <w:color w:val="000000"/>
        </w:rPr>
        <w:t>（2）联系</w:t>
      </w:r>
      <w:r>
        <w:rPr>
          <w:color w:val="000000"/>
        </w:rPr>
        <w:t>电话：</w:t>
      </w:r>
    </w:p>
    <w:p w14:paraId="37A77501">
      <w:pPr>
        <w:ind w:firstLine="567"/>
        <w:jc w:val="both"/>
        <w:rPr>
          <w:color w:val="000000"/>
        </w:rPr>
      </w:pPr>
      <w:r>
        <w:rPr>
          <w:color w:val="000000"/>
        </w:rPr>
        <w:t>（</w:t>
      </w:r>
      <w:r>
        <w:rPr>
          <w:rFonts w:hint="eastAsia"/>
          <w:color w:val="000000"/>
        </w:rPr>
        <w:t>3</w:t>
      </w:r>
      <w:r>
        <w:rPr>
          <w:color w:val="000000"/>
        </w:rPr>
        <w:t>）通讯地址：</w:t>
      </w:r>
    </w:p>
    <w:p w14:paraId="2E408014">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7B7E5B80">
      <w:pPr>
        <w:ind w:firstLine="567"/>
        <w:jc w:val="both"/>
      </w:pPr>
      <w:r>
        <w:t>（</w:t>
      </w:r>
      <w:r>
        <w:rPr>
          <w:rFonts w:hint="eastAsia"/>
        </w:rPr>
        <w:t>5</w:t>
      </w:r>
      <w:r>
        <w:t>）电子邮箱：</w:t>
      </w:r>
    </w:p>
    <w:p w14:paraId="39892E58">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098E7857">
      <w:pPr>
        <w:ind w:firstLine="567"/>
        <w:jc w:val="both"/>
      </w:pPr>
      <w:r>
        <w:t>日</w:t>
      </w:r>
      <w:r>
        <w:rPr>
          <w:rFonts w:hint="eastAsia"/>
        </w:rPr>
        <w:t>　</w:t>
      </w:r>
      <w:r>
        <w:t>期：　　年　月　日</w:t>
      </w:r>
    </w:p>
    <w:p w14:paraId="39AB650B">
      <w:pPr>
        <w:ind w:firstLine="567"/>
        <w:jc w:val="both"/>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5D6A6AE5">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14:paraId="3004DCD5">
      <w:pPr>
        <w:jc w:val="center"/>
        <w:rPr>
          <w:kern w:val="24"/>
        </w:rPr>
      </w:pP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14:paraId="4F03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14:paraId="3885D152">
            <w:pPr>
              <w:spacing w:line="440" w:lineRule="exact"/>
              <w:ind w:right="280"/>
              <w:jc w:val="right"/>
              <w:rPr>
                <w:rFonts w:cstheme="minorHAnsi"/>
                <w:b/>
                <w:color w:val="000000"/>
              </w:rPr>
            </w:pPr>
            <w:r>
              <w:rPr>
                <w:rFonts w:cstheme="minorHAnsi"/>
                <w:b/>
                <w:color w:val="000000"/>
              </w:rPr>
              <w:t>报价内容</w:t>
            </w:r>
          </w:p>
          <w:p w14:paraId="00BC1068">
            <w:pPr>
              <w:rPr>
                <w:rFonts w:cstheme="minorHAnsi"/>
                <w:color w:val="000000"/>
              </w:rPr>
            </w:pPr>
          </w:p>
          <w:p w14:paraId="49CE228C">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04103A9E">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7DA57199">
            <w:pPr>
              <w:jc w:val="center"/>
              <w:rPr>
                <w:rFonts w:cstheme="minorHAnsi"/>
                <w:b/>
              </w:rPr>
            </w:pPr>
            <w:r>
              <w:rPr>
                <w:rFonts w:cstheme="minorHAnsi"/>
                <w:b/>
              </w:rPr>
              <w:t>B</w:t>
            </w:r>
          </w:p>
        </w:tc>
      </w:tr>
      <w:tr w14:paraId="58A5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14:paraId="64FE16AE">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14:paraId="02B90667">
            <w:pPr>
              <w:spacing w:line="440" w:lineRule="exact"/>
              <w:jc w:val="center"/>
              <w:rPr>
                <w:b/>
              </w:rPr>
            </w:pPr>
            <w:r>
              <w:rPr>
                <w:rFonts w:hint="eastAsia"/>
                <w:b/>
              </w:rPr>
              <w:t>投标报价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14:paraId="0F375432">
            <w:pPr>
              <w:jc w:val="center"/>
              <w:rPr>
                <w:b/>
              </w:rPr>
            </w:pPr>
            <w:r>
              <w:rPr>
                <w:rFonts w:hint="eastAsia"/>
                <w:b/>
              </w:rPr>
              <w:t>服务</w:t>
            </w:r>
            <w:r>
              <w:rPr>
                <w:b/>
              </w:rPr>
              <w:t>期</w:t>
            </w:r>
          </w:p>
        </w:tc>
      </w:tr>
      <w:tr w14:paraId="19B7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14:paraId="73167E73">
            <w:pPr>
              <w:spacing w:line="440" w:lineRule="exact"/>
              <w:jc w:val="center"/>
              <w:rPr>
                <w:rFonts w:cstheme="minorHAnsi"/>
                <w:color w:val="C00000"/>
                <w:sz w:val="21"/>
                <w:szCs w:val="21"/>
              </w:rPr>
            </w:pPr>
            <w:r>
              <w:rPr>
                <w:rFonts w:cstheme="minorHAnsi"/>
                <w:color w:val="C00000"/>
                <w:sz w:val="21"/>
                <w:szCs w:val="21"/>
              </w:rPr>
              <w:t>［项目名称］</w:t>
            </w:r>
          </w:p>
          <w:p w14:paraId="66F16BDD">
            <w:pPr>
              <w:spacing w:line="440" w:lineRule="exact"/>
              <w:jc w:val="center"/>
              <w:rPr>
                <w:rFonts w:cstheme="minorHAnsi"/>
                <w:b/>
                <w:color w:val="000000"/>
              </w:rPr>
            </w:pPr>
            <w:r>
              <w:rPr>
                <w:rFonts w:hint="eastAsia" w:cstheme="minorHAnsi"/>
                <w:color w:val="C00000"/>
              </w:rPr>
              <w:t>采购包</w:t>
            </w:r>
            <w:r>
              <w:rPr>
                <w:rFonts w:cstheme="minorHAnsi"/>
                <w:color w:val="C00000"/>
              </w:rPr>
              <w:t>［___］</w:t>
            </w:r>
          </w:p>
        </w:tc>
        <w:tc>
          <w:tcPr>
            <w:tcW w:w="2764" w:type="dxa"/>
            <w:tcBorders>
              <w:top w:val="single" w:color="auto" w:sz="2" w:space="0"/>
              <w:left w:val="single" w:color="auto" w:sz="2" w:space="0"/>
              <w:bottom w:val="single" w:color="auto" w:sz="2" w:space="0"/>
              <w:right w:val="single" w:color="auto" w:sz="2" w:space="0"/>
            </w:tcBorders>
            <w:vAlign w:val="center"/>
          </w:tcPr>
          <w:p w14:paraId="56C3F94A">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14:paraId="373F7D53">
            <w:pPr>
              <w:spacing w:line="440" w:lineRule="exact"/>
              <w:jc w:val="center"/>
              <w:rPr>
                <w:rFonts w:cstheme="minorHAnsi"/>
                <w:color w:val="000000"/>
              </w:rPr>
            </w:pPr>
          </w:p>
        </w:tc>
      </w:tr>
    </w:tbl>
    <w:p w14:paraId="445350CE">
      <w:r>
        <w:rPr>
          <w:rFonts w:cstheme="minorHAnsi"/>
          <w:color w:val="000000"/>
        </w:rPr>
        <w:t>供应商：（</w:t>
      </w:r>
      <w:r>
        <w:rPr>
          <w:rFonts w:cstheme="minorHAnsi"/>
          <w:i/>
          <w:color w:val="7030A0"/>
        </w:rPr>
        <w:t>供应商全称并加盖公章</w:t>
      </w:r>
      <w:r>
        <w:rPr>
          <w:rFonts w:cstheme="minorHAnsi"/>
          <w:color w:val="000000"/>
        </w:rPr>
        <w:t>）</w:t>
      </w:r>
    </w:p>
    <w:p w14:paraId="4B4FB7F7">
      <w:pPr>
        <w:spacing w:before="230" w:beforeLines="50"/>
        <w:jc w:val="both"/>
        <w:rPr>
          <w:kern w:val="24"/>
        </w:rPr>
      </w:pPr>
    </w:p>
    <w:p w14:paraId="695D9816">
      <w:pPr>
        <w:jc w:val="both"/>
        <w:rPr>
          <w:kern w:val="24"/>
        </w:rPr>
      </w:pPr>
      <w:r>
        <w:rPr>
          <w:kern w:val="24"/>
        </w:rPr>
        <w:t>〖注〗以下情况按无效投标处理：</w:t>
      </w:r>
    </w:p>
    <w:p w14:paraId="46A071C3">
      <w:pPr>
        <w:ind w:firstLine="480" w:firstLineChars="200"/>
        <w:jc w:val="both"/>
        <w:rPr>
          <w:kern w:val="24"/>
        </w:rPr>
      </w:pPr>
      <w:r>
        <w:rPr>
          <w:kern w:val="24"/>
        </w:rPr>
        <w:t>1．A栏未按阿拉伯小写金额样式填写，B栏未填写</w:t>
      </w:r>
      <w:r>
        <w:rPr>
          <w:rFonts w:hint="eastAsia"/>
          <w:kern w:val="24"/>
        </w:rPr>
        <w:t>服务</w:t>
      </w:r>
      <w:r>
        <w:rPr>
          <w:kern w:val="24"/>
        </w:rPr>
        <w:t>期。</w:t>
      </w:r>
    </w:p>
    <w:p w14:paraId="6F198107">
      <w:pPr>
        <w:ind w:firstLine="480" w:firstLineChars="200"/>
        <w:jc w:val="both"/>
        <w:rPr>
          <w:kern w:val="24"/>
        </w:rPr>
      </w:pPr>
      <w:r>
        <w:rPr>
          <w:kern w:val="24"/>
        </w:rPr>
        <w:t>2．本表A栏值与分项报价表中的“合计”值不一致的。</w:t>
      </w:r>
    </w:p>
    <w:p w14:paraId="4077CEB2">
      <w:pPr>
        <w:ind w:firstLine="480" w:firstLineChars="200"/>
        <w:jc w:val="both"/>
        <w:rPr>
          <w:kern w:val="24"/>
        </w:rPr>
      </w:pPr>
      <w:r>
        <w:rPr>
          <w:kern w:val="24"/>
        </w:rPr>
        <w:t>3．合计超过本</w:t>
      </w:r>
      <w:r>
        <w:rPr>
          <w:rFonts w:hint="eastAsia"/>
          <w:kern w:val="24"/>
        </w:rPr>
        <w:t>采购包/项目</w:t>
      </w:r>
      <w:r>
        <w:rPr>
          <w:kern w:val="24"/>
        </w:rPr>
        <w:t>预算的。</w:t>
      </w:r>
    </w:p>
    <w:p w14:paraId="1FD46F10">
      <w:pPr>
        <w:pStyle w:val="40"/>
        <w:jc w:val="both"/>
        <w:rPr>
          <w:rFonts w:hAnsi="华文仿宋"/>
        </w:rPr>
      </w:pPr>
    </w:p>
    <w:p w14:paraId="60CE0BFD">
      <w:pPr>
        <w:pStyle w:val="40"/>
        <w:ind w:firstLine="560" w:firstLineChars="200"/>
        <w:jc w:val="both"/>
        <w:rPr>
          <w:rFonts w:hAnsi="华文仿宋"/>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6300E3AD">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分项报价</w:t>
      </w:r>
      <w:r>
        <w:rPr>
          <w:rFonts w:ascii="黑体" w:hAnsi="黑体" w:eastAsia="黑体" w:cs="Calibri Light"/>
          <w:color w:val="1F4E79"/>
          <w:sz w:val="32"/>
          <w:szCs w:val="36"/>
        </w:rPr>
        <w:t>表</w:t>
      </w:r>
    </w:p>
    <w:p w14:paraId="342B404F">
      <w:pPr>
        <w:jc w:val="both"/>
        <w:rPr>
          <w:rFonts w:cs="Calibri Light"/>
          <w:b/>
          <w:color w:val="000000"/>
        </w:rPr>
      </w:pPr>
      <w:r>
        <w:rPr>
          <w:rFonts w:hint="eastAsia" w:cstheme="minorHAnsi"/>
          <w:color w:val="C00000"/>
        </w:rPr>
        <w:t>采购包</w:t>
      </w:r>
      <w:r>
        <w:rPr>
          <w:rFonts w:cstheme="minorHAnsi"/>
          <w:color w:val="C00000"/>
        </w:rPr>
        <w:t>［___］</w:t>
      </w:r>
    </w:p>
    <w:tbl>
      <w:tblPr>
        <w:tblStyle w:val="24"/>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3827"/>
        <w:gridCol w:w="992"/>
        <w:gridCol w:w="851"/>
        <w:gridCol w:w="1068"/>
      </w:tblGrid>
      <w:tr w14:paraId="44AA3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14:paraId="7A4EF614">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14:paraId="4243663C">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8D8D8" w:themeFill="background1" w:themeFillShade="D9"/>
            <w:noWrap/>
            <w:tcMar>
              <w:top w:w="20" w:type="dxa"/>
              <w:left w:w="20" w:type="dxa"/>
              <w:bottom w:w="0" w:type="dxa"/>
              <w:right w:w="20" w:type="dxa"/>
            </w:tcMar>
            <w:vAlign w:val="center"/>
          </w:tcPr>
          <w:p w14:paraId="2EB5E723">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8D8D8" w:themeFill="background1" w:themeFillShade="D9"/>
            <w:noWrap/>
            <w:tcMar>
              <w:top w:w="20" w:type="dxa"/>
              <w:left w:w="20" w:type="dxa"/>
              <w:bottom w:w="0" w:type="dxa"/>
              <w:right w:w="20" w:type="dxa"/>
            </w:tcMar>
            <w:vAlign w:val="center"/>
          </w:tcPr>
          <w:p w14:paraId="1370ED4E">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8D8D8" w:themeFill="background1" w:themeFillShade="D9"/>
            <w:noWrap/>
            <w:tcMar>
              <w:top w:w="20" w:type="dxa"/>
              <w:left w:w="20" w:type="dxa"/>
              <w:bottom w:w="0" w:type="dxa"/>
              <w:right w:w="20" w:type="dxa"/>
            </w:tcMar>
            <w:vAlign w:val="center"/>
          </w:tcPr>
          <w:p w14:paraId="6E4C76AA">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8D8D8" w:themeFill="background1" w:themeFillShade="D9"/>
            <w:vAlign w:val="center"/>
          </w:tcPr>
          <w:p w14:paraId="067153D8">
            <w:pPr>
              <w:spacing w:line="320" w:lineRule="exact"/>
              <w:jc w:val="center"/>
              <w:rPr>
                <w:rFonts w:cs="Calibri Light"/>
                <w:b/>
                <w:color w:val="000000"/>
                <w:sz w:val="21"/>
                <w:szCs w:val="21"/>
              </w:rPr>
            </w:pPr>
            <w:r>
              <w:rPr>
                <w:rFonts w:cs="Calibri Light"/>
                <w:b/>
                <w:color w:val="000000"/>
                <w:sz w:val="21"/>
                <w:szCs w:val="21"/>
              </w:rPr>
              <w:t>总价</w:t>
            </w:r>
          </w:p>
        </w:tc>
      </w:tr>
      <w:tr w14:paraId="401B4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2C7B09">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pPr>
              <w:spacing w:line="440" w:lineRule="exact"/>
              <w:jc w:val="center"/>
              <w:rPr>
                <w:rFonts w:cs="Calibri Light"/>
                <w:b/>
                <w:bCs/>
                <w:color w:val="000000"/>
                <w:sz w:val="21"/>
                <w:szCs w:val="21"/>
              </w:rPr>
            </w:pPr>
          </w:p>
        </w:tc>
        <w:tc>
          <w:tcPr>
            <w:tcW w:w="1068" w:type="dxa"/>
            <w:vAlign w:val="center"/>
          </w:tcPr>
          <w:p w14:paraId="1C0327D1">
            <w:pPr>
              <w:spacing w:line="440" w:lineRule="exact"/>
              <w:jc w:val="center"/>
              <w:rPr>
                <w:rFonts w:cs="Calibri Light"/>
                <w:b/>
                <w:bCs/>
                <w:color w:val="000000"/>
                <w:sz w:val="21"/>
                <w:szCs w:val="21"/>
              </w:rPr>
            </w:pPr>
          </w:p>
        </w:tc>
      </w:tr>
      <w:tr w14:paraId="0A167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718969A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pPr>
              <w:spacing w:line="440" w:lineRule="exact"/>
              <w:jc w:val="center"/>
              <w:rPr>
                <w:rFonts w:cs="Calibri Light"/>
                <w:b/>
                <w:bCs/>
                <w:color w:val="000000"/>
                <w:sz w:val="21"/>
                <w:szCs w:val="21"/>
              </w:rPr>
            </w:pPr>
          </w:p>
        </w:tc>
        <w:tc>
          <w:tcPr>
            <w:tcW w:w="1068" w:type="dxa"/>
            <w:vAlign w:val="center"/>
          </w:tcPr>
          <w:p w14:paraId="69A8C18F">
            <w:pPr>
              <w:spacing w:line="440" w:lineRule="exact"/>
              <w:jc w:val="center"/>
              <w:rPr>
                <w:rFonts w:cs="Calibri Light"/>
                <w:b/>
                <w:bCs/>
                <w:color w:val="000000"/>
                <w:sz w:val="21"/>
                <w:szCs w:val="21"/>
              </w:rPr>
            </w:pPr>
          </w:p>
        </w:tc>
      </w:tr>
      <w:tr w14:paraId="4AB23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ADD0BC3">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pPr>
              <w:spacing w:line="440" w:lineRule="exact"/>
              <w:jc w:val="center"/>
              <w:rPr>
                <w:rFonts w:cs="Calibri Light"/>
                <w:b/>
                <w:bCs/>
                <w:color w:val="000000"/>
                <w:sz w:val="21"/>
                <w:szCs w:val="21"/>
              </w:rPr>
            </w:pPr>
          </w:p>
        </w:tc>
        <w:tc>
          <w:tcPr>
            <w:tcW w:w="1068" w:type="dxa"/>
            <w:vAlign w:val="center"/>
          </w:tcPr>
          <w:p w14:paraId="0876A55B">
            <w:pPr>
              <w:spacing w:line="440" w:lineRule="exact"/>
              <w:jc w:val="center"/>
              <w:rPr>
                <w:rFonts w:cs="Calibri Light"/>
                <w:b/>
                <w:bCs/>
                <w:color w:val="000000"/>
                <w:sz w:val="21"/>
                <w:szCs w:val="21"/>
              </w:rPr>
            </w:pPr>
          </w:p>
        </w:tc>
      </w:tr>
      <w:tr w14:paraId="3E76B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335D28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pPr>
              <w:spacing w:line="440" w:lineRule="exact"/>
              <w:jc w:val="center"/>
              <w:rPr>
                <w:rFonts w:cs="Calibri Light"/>
                <w:b/>
                <w:bCs/>
                <w:color w:val="000000"/>
                <w:sz w:val="21"/>
                <w:szCs w:val="21"/>
              </w:rPr>
            </w:pPr>
          </w:p>
        </w:tc>
        <w:tc>
          <w:tcPr>
            <w:tcW w:w="1068" w:type="dxa"/>
            <w:vAlign w:val="center"/>
          </w:tcPr>
          <w:p w14:paraId="3FB283CA">
            <w:pPr>
              <w:spacing w:line="440" w:lineRule="exact"/>
              <w:jc w:val="center"/>
              <w:rPr>
                <w:rFonts w:cs="Calibri Light"/>
                <w:b/>
                <w:bCs/>
                <w:color w:val="000000"/>
                <w:sz w:val="21"/>
                <w:szCs w:val="21"/>
              </w:rPr>
            </w:pPr>
          </w:p>
        </w:tc>
      </w:tr>
      <w:tr w14:paraId="5C414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6A98819E">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pPr>
              <w:spacing w:line="440" w:lineRule="exact"/>
              <w:jc w:val="center"/>
              <w:rPr>
                <w:rFonts w:cs="Calibri Light"/>
                <w:b/>
                <w:bCs/>
                <w:color w:val="000000"/>
                <w:sz w:val="21"/>
                <w:szCs w:val="21"/>
              </w:rPr>
            </w:pPr>
          </w:p>
        </w:tc>
        <w:tc>
          <w:tcPr>
            <w:tcW w:w="1068" w:type="dxa"/>
            <w:vAlign w:val="center"/>
          </w:tcPr>
          <w:p w14:paraId="648EFB08">
            <w:pPr>
              <w:spacing w:line="440" w:lineRule="exact"/>
              <w:jc w:val="center"/>
              <w:rPr>
                <w:rFonts w:cs="Calibri Light"/>
                <w:b/>
                <w:bCs/>
                <w:color w:val="000000"/>
                <w:sz w:val="21"/>
                <w:szCs w:val="21"/>
              </w:rPr>
            </w:pPr>
          </w:p>
        </w:tc>
      </w:tr>
      <w:tr w14:paraId="1F8E1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3E81C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pPr>
              <w:spacing w:line="440" w:lineRule="exact"/>
              <w:jc w:val="center"/>
              <w:rPr>
                <w:rFonts w:cs="Calibri Light"/>
                <w:b/>
                <w:bCs/>
                <w:color w:val="000000"/>
                <w:sz w:val="21"/>
                <w:szCs w:val="21"/>
              </w:rPr>
            </w:pPr>
          </w:p>
        </w:tc>
        <w:tc>
          <w:tcPr>
            <w:tcW w:w="1068" w:type="dxa"/>
            <w:vAlign w:val="center"/>
          </w:tcPr>
          <w:p w14:paraId="6DEFB20A">
            <w:pPr>
              <w:spacing w:line="440" w:lineRule="exact"/>
              <w:jc w:val="center"/>
              <w:rPr>
                <w:rFonts w:cs="Calibri Light"/>
                <w:b/>
                <w:bCs/>
                <w:color w:val="000000"/>
                <w:sz w:val="21"/>
                <w:szCs w:val="21"/>
              </w:rPr>
            </w:pPr>
          </w:p>
        </w:tc>
      </w:tr>
      <w:tr w14:paraId="0EB0F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8CE6C2F">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pPr>
              <w:spacing w:line="440" w:lineRule="exact"/>
              <w:jc w:val="center"/>
              <w:rPr>
                <w:rFonts w:cs="Calibri Light"/>
                <w:b/>
                <w:bCs/>
                <w:color w:val="000000"/>
                <w:sz w:val="21"/>
                <w:szCs w:val="21"/>
              </w:rPr>
            </w:pPr>
          </w:p>
        </w:tc>
        <w:tc>
          <w:tcPr>
            <w:tcW w:w="1068" w:type="dxa"/>
            <w:vAlign w:val="center"/>
          </w:tcPr>
          <w:p w14:paraId="1CE8166C">
            <w:pPr>
              <w:spacing w:line="440" w:lineRule="exact"/>
              <w:jc w:val="center"/>
              <w:rPr>
                <w:rFonts w:cs="Calibri Light"/>
                <w:b/>
                <w:bCs/>
                <w:color w:val="000000"/>
                <w:sz w:val="21"/>
                <w:szCs w:val="21"/>
              </w:rPr>
            </w:pPr>
          </w:p>
        </w:tc>
      </w:tr>
      <w:tr w14:paraId="1F8F2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60D90B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pPr>
              <w:spacing w:line="440" w:lineRule="exact"/>
              <w:jc w:val="center"/>
              <w:rPr>
                <w:rFonts w:cs="Calibri Light"/>
                <w:b/>
                <w:bCs/>
                <w:color w:val="000000"/>
                <w:sz w:val="21"/>
                <w:szCs w:val="21"/>
              </w:rPr>
            </w:pPr>
          </w:p>
        </w:tc>
        <w:tc>
          <w:tcPr>
            <w:tcW w:w="1068" w:type="dxa"/>
            <w:vAlign w:val="center"/>
          </w:tcPr>
          <w:p w14:paraId="4AB86889">
            <w:pPr>
              <w:spacing w:line="440" w:lineRule="exact"/>
              <w:jc w:val="center"/>
              <w:rPr>
                <w:rFonts w:cs="Calibri Light"/>
                <w:b/>
                <w:bCs/>
                <w:color w:val="000000"/>
                <w:sz w:val="21"/>
                <w:szCs w:val="21"/>
              </w:rPr>
            </w:pPr>
          </w:p>
        </w:tc>
      </w:tr>
      <w:tr w14:paraId="04F41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30B0E0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pPr>
              <w:spacing w:line="440" w:lineRule="exact"/>
              <w:jc w:val="center"/>
              <w:rPr>
                <w:rFonts w:cs="Calibri Light"/>
                <w:b/>
                <w:bCs/>
                <w:color w:val="000000"/>
                <w:sz w:val="21"/>
                <w:szCs w:val="21"/>
              </w:rPr>
            </w:pPr>
          </w:p>
        </w:tc>
        <w:tc>
          <w:tcPr>
            <w:tcW w:w="1068" w:type="dxa"/>
            <w:vAlign w:val="center"/>
          </w:tcPr>
          <w:p w14:paraId="1E7EE3C1">
            <w:pPr>
              <w:spacing w:line="440" w:lineRule="exact"/>
              <w:jc w:val="center"/>
              <w:rPr>
                <w:rFonts w:cs="Calibri Light"/>
                <w:b/>
                <w:bCs/>
                <w:color w:val="000000"/>
                <w:sz w:val="21"/>
                <w:szCs w:val="21"/>
              </w:rPr>
            </w:pPr>
          </w:p>
        </w:tc>
      </w:tr>
      <w:tr w14:paraId="0C82E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41BE4A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pPr>
              <w:spacing w:line="440" w:lineRule="exact"/>
              <w:jc w:val="center"/>
              <w:rPr>
                <w:rFonts w:cs="Calibri Light"/>
                <w:b/>
                <w:bCs/>
                <w:color w:val="000000"/>
                <w:sz w:val="21"/>
                <w:szCs w:val="21"/>
              </w:rPr>
            </w:pPr>
          </w:p>
        </w:tc>
        <w:tc>
          <w:tcPr>
            <w:tcW w:w="1068" w:type="dxa"/>
            <w:vAlign w:val="center"/>
          </w:tcPr>
          <w:p w14:paraId="45EC1232">
            <w:pPr>
              <w:spacing w:line="440" w:lineRule="exact"/>
              <w:jc w:val="center"/>
              <w:rPr>
                <w:rFonts w:cs="Calibri Light"/>
                <w:b/>
                <w:bCs/>
                <w:color w:val="000000"/>
                <w:sz w:val="21"/>
                <w:szCs w:val="21"/>
              </w:rPr>
            </w:pPr>
          </w:p>
        </w:tc>
      </w:tr>
      <w:tr w14:paraId="6DEB0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425120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pPr>
              <w:spacing w:line="440" w:lineRule="exact"/>
              <w:jc w:val="center"/>
              <w:rPr>
                <w:rFonts w:cs="Calibri Light"/>
                <w:b/>
                <w:bCs/>
                <w:color w:val="000000"/>
                <w:sz w:val="21"/>
                <w:szCs w:val="21"/>
              </w:rPr>
            </w:pPr>
          </w:p>
        </w:tc>
        <w:tc>
          <w:tcPr>
            <w:tcW w:w="1068" w:type="dxa"/>
            <w:vAlign w:val="center"/>
          </w:tcPr>
          <w:p w14:paraId="72C0EA57">
            <w:pPr>
              <w:spacing w:line="440" w:lineRule="exact"/>
              <w:jc w:val="center"/>
              <w:rPr>
                <w:rFonts w:cs="Calibri Light"/>
                <w:b/>
                <w:bCs/>
                <w:color w:val="000000"/>
                <w:sz w:val="21"/>
                <w:szCs w:val="21"/>
              </w:rPr>
            </w:pPr>
          </w:p>
        </w:tc>
      </w:tr>
      <w:tr w14:paraId="14068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5"/>
            <w:noWrap/>
            <w:tcMar>
              <w:top w:w="20" w:type="dxa"/>
              <w:left w:w="20" w:type="dxa"/>
              <w:bottom w:w="0" w:type="dxa"/>
              <w:right w:w="20" w:type="dxa"/>
            </w:tcMar>
            <w:vAlign w:val="center"/>
          </w:tcPr>
          <w:p w14:paraId="6C679EFF">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5E4B9100">
            <w:pPr>
              <w:spacing w:line="440" w:lineRule="exact"/>
              <w:jc w:val="center"/>
              <w:rPr>
                <w:rFonts w:cs="Calibri Light"/>
                <w:b/>
                <w:bCs/>
                <w:color w:val="000000"/>
                <w:sz w:val="21"/>
                <w:szCs w:val="21"/>
              </w:rPr>
            </w:pPr>
          </w:p>
        </w:tc>
      </w:tr>
    </w:tbl>
    <w:p w14:paraId="59F3F1D4">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7E912DA6">
      <w:pPr>
        <w:tabs>
          <w:tab w:val="right" w:pos="9070"/>
        </w:tabs>
        <w:spacing w:line="440" w:lineRule="exact"/>
        <w:jc w:val="both"/>
        <w:rPr>
          <w:rFonts w:cs="Calibri Light"/>
          <w:bCs/>
        </w:rPr>
      </w:pPr>
    </w:p>
    <w:p w14:paraId="22913F21">
      <w:pPr>
        <w:wordWrap w:val="0"/>
        <w:spacing w:line="400" w:lineRule="exact"/>
        <w:jc w:val="both"/>
      </w:pPr>
      <w:r>
        <w:t>说明：1．此表各项费用由供应商自行列支；</w:t>
      </w:r>
    </w:p>
    <w:p w14:paraId="0B69B6ED">
      <w:pPr>
        <w:tabs>
          <w:tab w:val="right" w:pos="9070"/>
        </w:tabs>
        <w:spacing w:line="440" w:lineRule="exact"/>
        <w:ind w:firstLine="720" w:firstLineChars="300"/>
      </w:pPr>
      <w:r>
        <w:t>2．表格空间不足时，可以自行扩展。</w:t>
      </w:r>
    </w:p>
    <w:p w14:paraId="2D4F2EEF">
      <w:pPr>
        <w:jc w:val="both"/>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67993D79">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14:paraId="7CD83CFF">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14:paraId="0EA8EE03">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政府采购活动，以我方名义签署、澄清、确认、递交、撤回、修改投标文件，签订合同和全权处理一切与之有关的事宜，其法律后果由我方承担。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本授权有效期与投标文件有效期一致。授权代表无转委托权。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68D5994F">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14:paraId="65676D53">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14:paraId="02EB3F8E">
      <w:pPr>
        <w:ind w:firstLine="480" w:firstLineChars="200"/>
        <w:jc w:val="both"/>
        <w:rPr>
          <w:color w:val="C00000"/>
        </w:rPr>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rFonts w:hint="eastAsia"/>
        </w:rPr>
        <w:t>。</w:t>
      </w:r>
      <w:r>
        <w:rPr>
          <w:color w:val="C00000"/>
        </w:rPr>
        <w:t>未按要求提供的，视为无效投标文件。</w:t>
      </w:r>
    </w:p>
    <w:p w14:paraId="77A76149">
      <w:pPr>
        <w:ind w:firstLine="480" w:firstLineChars="200"/>
        <w:jc w:val="both"/>
        <w:rPr>
          <w:color w:val="00B050"/>
        </w:rPr>
      </w:pPr>
      <w:r>
        <w:rPr>
          <w:rFonts w:hint="eastAsia"/>
          <w:color w:val="00B050"/>
        </w:rPr>
        <w:t>以联合体形式参加政府采购活动或者合同分包的，《中小企业声明函》中需填写联合体中的中小企业或签订分包意向协议的中小企业相关信息。</w:t>
      </w:r>
    </w:p>
    <w:p w14:paraId="052906B6">
      <w:pPr>
        <w:ind w:firstLine="480" w:firstLineChars="200"/>
        <w:jc w:val="both"/>
        <w:rPr>
          <w:color w:val="C00000"/>
        </w:rPr>
      </w:pPr>
      <w:r>
        <w:rPr>
          <w:rFonts w:hint="eastAsia"/>
          <w:color w:val="00B050"/>
        </w:rPr>
        <w:t>联合体各方均为中小企业的，联合体视同中小企业。其中，联合体各方均为小微企业的，联合体视同小微企业。</w:t>
      </w:r>
    </w:p>
    <w:p w14:paraId="153C29E3">
      <w:pPr>
        <w:ind w:firstLine="480" w:firstLineChars="200"/>
        <w:jc w:val="both"/>
      </w:pPr>
      <w:r>
        <w:t>中标供应商的声明函\证明函将随中标结果一同公布，接受社会监督。</w:t>
      </w:r>
    </w:p>
    <w:p w14:paraId="1D5B35F4">
      <w:pPr>
        <w:keepNext/>
        <w:spacing w:before="120" w:after="60"/>
        <w:jc w:val="both"/>
        <w:outlineLvl w:val="3"/>
        <w:rPr>
          <w:b/>
          <w:kern w:val="28"/>
        </w:rPr>
      </w:pPr>
      <w:r>
        <w:rPr>
          <w:rFonts w:hint="eastAsia"/>
          <w:b/>
          <w:kern w:val="28"/>
        </w:rPr>
        <w:t>1．中小企业声明函</w:t>
      </w:r>
    </w:p>
    <w:p w14:paraId="4F318E8F">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750A6366">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489DFBA3">
      <w:pPr>
        <w:pStyle w:val="40"/>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14:paraId="61354368">
      <w:pPr>
        <w:tabs>
          <w:tab w:val="left" w:pos="5670"/>
        </w:tabs>
        <w:jc w:val="center"/>
        <w:rPr>
          <w:rFonts w:cs="Calibri Light"/>
          <w:b/>
          <w:color w:val="1F4E79"/>
          <w:sz w:val="28"/>
        </w:rPr>
      </w:pPr>
      <w:r>
        <w:rPr>
          <w:rFonts w:cs="Calibri Light"/>
          <w:b/>
          <w:color w:val="1F4E79"/>
          <w:sz w:val="28"/>
        </w:rPr>
        <w:t>『中小企业声明函』（服务类格式）</w:t>
      </w:r>
    </w:p>
    <w:p w14:paraId="4BDBABA6">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14:paraId="4554EB20">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65CD1313">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0761A1B0">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478491FD">
      <w:pPr>
        <w:ind w:firstLine="480" w:firstLineChars="200"/>
        <w:jc w:val="both"/>
      </w:pPr>
      <w:r>
        <w:t>以上企业，不属于大企业的分支机构，不存在控股股东为大企业的情形，也不存在与大企业的负责人为同一人的情形。</w:t>
      </w:r>
    </w:p>
    <w:p w14:paraId="43E16177">
      <w:pPr>
        <w:ind w:firstLine="480" w:firstLineChars="200"/>
        <w:jc w:val="both"/>
      </w:pPr>
      <w:r>
        <w:t>本企业对上述声明内容的真实性负责。如有虚假，将依法承担相应责任。</w:t>
      </w:r>
    </w:p>
    <w:p w14:paraId="3864E1CE">
      <w:pPr>
        <w:ind w:firstLine="480" w:firstLineChars="200"/>
        <w:jc w:val="both"/>
      </w:pPr>
    </w:p>
    <w:p w14:paraId="113771EF">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4CA062BF">
      <w:pPr>
        <w:tabs>
          <w:tab w:val="left" w:pos="5670"/>
        </w:tabs>
        <w:ind w:firstLine="480" w:firstLineChars="200"/>
        <w:jc w:val="both"/>
        <w:rPr>
          <w:rFonts w:cs="Calibri Light"/>
          <w:color w:val="000000"/>
        </w:rPr>
      </w:pPr>
      <w:r>
        <w:rPr>
          <w:rFonts w:cs="Calibri Light"/>
          <w:color w:val="000000"/>
        </w:rPr>
        <w:t>日　期：　　年　月　日</w:t>
      </w:r>
    </w:p>
    <w:p w14:paraId="3FF906A3">
      <w:pPr>
        <w:rPr>
          <w:rFonts w:cs="Calibri Light"/>
          <w:color w:val="000000"/>
        </w:rPr>
      </w:pPr>
      <w:r>
        <w:rPr>
          <w:rFonts w:cs="Calibri Light"/>
          <w:color w:val="000000"/>
        </w:rPr>
        <w:br w:type="page"/>
      </w:r>
    </w:p>
    <w:p w14:paraId="6277AF58">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248EA9FF">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101C6C1D">
      <w:pPr>
        <w:jc w:val="center"/>
        <w:rPr>
          <w:rFonts w:cs="Calibri Light"/>
          <w:b/>
          <w:color w:val="1F4E79"/>
          <w:sz w:val="28"/>
          <w:szCs w:val="36"/>
        </w:rPr>
      </w:pPr>
      <w:r>
        <w:rPr>
          <w:rFonts w:cs="Calibri Light"/>
          <w:b/>
          <w:color w:val="1F4E79"/>
          <w:sz w:val="28"/>
          <w:szCs w:val="36"/>
        </w:rPr>
        <w:t>『残疾人福利性单位声明函』（格式）</w:t>
      </w:r>
    </w:p>
    <w:p w14:paraId="2D6C4B29">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E8C2755">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1CDADA3">
      <w:pPr>
        <w:ind w:firstLine="480" w:firstLineChars="200"/>
        <w:jc w:val="both"/>
        <w:rPr>
          <w:rFonts w:cstheme="minorHAnsi"/>
          <w:color w:val="000000"/>
        </w:rPr>
      </w:pPr>
    </w:p>
    <w:p w14:paraId="5A8B242C">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6F7A3A6">
      <w:pPr>
        <w:tabs>
          <w:tab w:val="left" w:pos="5670"/>
        </w:tabs>
        <w:ind w:firstLine="480" w:firstLineChars="200"/>
        <w:jc w:val="both"/>
        <w:rPr>
          <w:rFonts w:cstheme="minorHAnsi"/>
          <w:color w:val="000000"/>
        </w:rPr>
      </w:pPr>
      <w:r>
        <w:rPr>
          <w:rFonts w:cstheme="minorHAnsi"/>
          <w:color w:val="000000"/>
        </w:rPr>
        <w:t>日　期：　　年　月　日</w:t>
      </w:r>
    </w:p>
    <w:p w14:paraId="054DCDDB">
      <w:pPr>
        <w:tabs>
          <w:tab w:val="left" w:pos="5670"/>
        </w:tabs>
        <w:jc w:val="both"/>
        <w:rPr>
          <w:rFonts w:cstheme="minorHAnsi"/>
          <w:color w:val="000000"/>
        </w:rPr>
      </w:pPr>
    </w:p>
    <w:p w14:paraId="14DF0707">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4B1D616C">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412F49D2">
      <w:pPr>
        <w:jc w:val="center"/>
        <w:rPr>
          <w:rFonts w:cs="Calibri Light"/>
          <w:b/>
          <w:color w:val="1F4E79"/>
          <w:sz w:val="28"/>
          <w:szCs w:val="36"/>
        </w:rPr>
      </w:pPr>
      <w:r>
        <w:rPr>
          <w:rFonts w:cs="Calibri Light"/>
          <w:b/>
          <w:color w:val="1F4E79"/>
          <w:sz w:val="28"/>
          <w:szCs w:val="36"/>
        </w:rPr>
        <w:t>『监狱企业证明函』</w:t>
      </w:r>
    </w:p>
    <w:p w14:paraId="4E2FD21B">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14:paraId="2F92E43E">
      <w:pPr>
        <w:rPr>
          <w:rFonts w:cstheme="minorHAnsi"/>
          <w:color w:val="000000"/>
        </w:rPr>
      </w:pPr>
      <w:r>
        <w:rPr>
          <w:rFonts w:cstheme="minorHAnsi"/>
          <w:color w:val="000000"/>
        </w:rPr>
        <w:br w:type="page"/>
      </w:r>
    </w:p>
    <w:p w14:paraId="314ADD5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14:paraId="6E9E3C6B">
      <w:pPr>
        <w:spacing w:line="440" w:lineRule="exact"/>
        <w:ind w:firstLine="480" w:firstLineChars="200"/>
        <w:jc w:val="both"/>
        <w:rPr>
          <w:rFonts w:cstheme="minorHAnsi"/>
          <w:color w:val="000000"/>
        </w:rPr>
      </w:pPr>
    </w:p>
    <w:p w14:paraId="660607BB">
      <w:pPr>
        <w:jc w:val="both"/>
        <w:rPr>
          <w:rFonts w:ascii="Calibri" w:hAnsi="Calibri" w:eastAsia="黑体"/>
          <w:kern w:val="28"/>
          <w:sz w:val="28"/>
        </w:rPr>
      </w:pPr>
    </w:p>
    <w:p w14:paraId="76454DB5">
      <w:pPr>
        <w:jc w:val="both"/>
        <w:rPr>
          <w:rFonts w:ascii="Calibri" w:hAnsi="Calibri" w:eastAsia="黑体"/>
          <w:kern w:val="28"/>
          <w:sz w:val="28"/>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tbl>
      <w:tblPr>
        <w:tblStyle w:val="24"/>
        <w:tblW w:w="91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3"/>
        <w:gridCol w:w="1576"/>
        <w:gridCol w:w="1417"/>
        <w:gridCol w:w="1701"/>
        <w:gridCol w:w="1426"/>
        <w:gridCol w:w="1792"/>
      </w:tblGrid>
      <w:tr w14:paraId="225C4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F1F1F1" w:themeFill="background1" w:themeFillShade="F2"/>
            <w:vAlign w:val="center"/>
          </w:tcPr>
          <w:p w14:paraId="3140F62F">
            <w:pPr>
              <w:jc w:val="center"/>
              <w:rPr>
                <w:rFonts w:asciiTheme="minorEastAsia" w:hAnsiTheme="minorEastAsia"/>
                <w:b/>
                <w:sz w:val="21"/>
                <w:szCs w:val="21"/>
              </w:rPr>
            </w:pPr>
            <w:r>
              <w:rPr>
                <w:rFonts w:asciiTheme="minorEastAsia" w:hAnsiTheme="minorEastAsia"/>
                <w:b/>
                <w:sz w:val="21"/>
                <w:szCs w:val="21"/>
              </w:rPr>
              <w:t>设备名称</w:t>
            </w:r>
          </w:p>
        </w:tc>
        <w:tc>
          <w:tcPr>
            <w:tcW w:w="1576" w:type="dxa"/>
            <w:shd w:val="clear" w:color="auto" w:fill="F1F1F1" w:themeFill="background1" w:themeFillShade="F2"/>
            <w:vAlign w:val="center"/>
          </w:tcPr>
          <w:p w14:paraId="243141A4">
            <w:pPr>
              <w:jc w:val="center"/>
              <w:rPr>
                <w:rFonts w:asciiTheme="minorEastAsia" w:hAnsiTheme="minorEastAsia"/>
                <w:b/>
                <w:sz w:val="21"/>
                <w:szCs w:val="21"/>
              </w:rPr>
            </w:pPr>
            <w:r>
              <w:rPr>
                <w:rFonts w:asciiTheme="minorEastAsia" w:hAnsiTheme="minorEastAsia"/>
                <w:b/>
                <w:sz w:val="21"/>
                <w:szCs w:val="21"/>
              </w:rPr>
              <w:t>型号</w:t>
            </w:r>
          </w:p>
        </w:tc>
        <w:tc>
          <w:tcPr>
            <w:tcW w:w="1417" w:type="dxa"/>
            <w:shd w:val="clear" w:color="auto" w:fill="F1F1F1" w:themeFill="background1" w:themeFillShade="F2"/>
            <w:vAlign w:val="center"/>
          </w:tcPr>
          <w:p w14:paraId="10AFFEE2">
            <w:pPr>
              <w:jc w:val="center"/>
              <w:rPr>
                <w:rFonts w:asciiTheme="minorEastAsia" w:hAnsiTheme="minorEastAsia"/>
                <w:b/>
                <w:sz w:val="21"/>
                <w:szCs w:val="21"/>
              </w:rPr>
            </w:pPr>
            <w:r>
              <w:rPr>
                <w:rFonts w:asciiTheme="minorEastAsia" w:hAnsiTheme="minorEastAsia"/>
                <w:b/>
                <w:sz w:val="21"/>
                <w:szCs w:val="21"/>
              </w:rPr>
              <w:t>用途</w:t>
            </w:r>
          </w:p>
        </w:tc>
        <w:tc>
          <w:tcPr>
            <w:tcW w:w="1701" w:type="dxa"/>
            <w:shd w:val="clear" w:color="auto" w:fill="F1F1F1" w:themeFill="background1" w:themeFillShade="F2"/>
            <w:vAlign w:val="center"/>
          </w:tcPr>
          <w:p w14:paraId="4AD1D075">
            <w:pPr>
              <w:jc w:val="center"/>
              <w:rPr>
                <w:rFonts w:asciiTheme="minorEastAsia" w:hAnsiTheme="minorEastAsia"/>
                <w:b/>
                <w:sz w:val="21"/>
                <w:szCs w:val="21"/>
              </w:rPr>
            </w:pPr>
            <w:r>
              <w:rPr>
                <w:rFonts w:hint="eastAsia" w:asciiTheme="minorEastAsia" w:hAnsiTheme="minorEastAsia"/>
                <w:b/>
                <w:sz w:val="21"/>
                <w:szCs w:val="21"/>
              </w:rPr>
              <w:t>制造商</w:t>
            </w:r>
          </w:p>
        </w:tc>
        <w:tc>
          <w:tcPr>
            <w:tcW w:w="1426" w:type="dxa"/>
            <w:shd w:val="clear" w:color="auto" w:fill="F1F1F1" w:themeFill="background1" w:themeFillShade="F2"/>
            <w:vAlign w:val="center"/>
          </w:tcPr>
          <w:p w14:paraId="6E3706B9">
            <w:pPr>
              <w:jc w:val="center"/>
              <w:rPr>
                <w:rFonts w:asciiTheme="minorEastAsia" w:hAnsiTheme="minorEastAsia"/>
                <w:b/>
                <w:sz w:val="21"/>
                <w:szCs w:val="21"/>
              </w:rPr>
            </w:pPr>
            <w:r>
              <w:rPr>
                <w:rFonts w:asciiTheme="minorEastAsia" w:hAnsiTheme="minorEastAsia"/>
                <w:b/>
                <w:sz w:val="21"/>
                <w:szCs w:val="21"/>
              </w:rPr>
              <w:t>已服役年限</w:t>
            </w:r>
          </w:p>
        </w:tc>
        <w:tc>
          <w:tcPr>
            <w:tcW w:w="1792" w:type="dxa"/>
            <w:shd w:val="clear" w:color="auto" w:fill="F1F1F1" w:themeFill="background1" w:themeFillShade="F2"/>
            <w:vAlign w:val="center"/>
          </w:tcPr>
          <w:p w14:paraId="5009C877">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设备购买发票或租赁证明</w:t>
            </w:r>
          </w:p>
        </w:tc>
      </w:tr>
      <w:tr w14:paraId="124D44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4A37AE36">
            <w:pPr>
              <w:rPr>
                <w:rFonts w:asciiTheme="minorEastAsia" w:hAnsiTheme="minorEastAsia"/>
                <w:sz w:val="21"/>
                <w:szCs w:val="21"/>
              </w:rPr>
            </w:pPr>
          </w:p>
        </w:tc>
        <w:tc>
          <w:tcPr>
            <w:tcW w:w="1576" w:type="dxa"/>
            <w:shd w:val="clear" w:color="auto" w:fill="auto"/>
            <w:vAlign w:val="center"/>
          </w:tcPr>
          <w:p w14:paraId="552338B0">
            <w:pPr>
              <w:rPr>
                <w:rFonts w:asciiTheme="minorEastAsia" w:hAnsiTheme="minorEastAsia"/>
                <w:sz w:val="21"/>
                <w:szCs w:val="21"/>
              </w:rPr>
            </w:pPr>
          </w:p>
        </w:tc>
        <w:tc>
          <w:tcPr>
            <w:tcW w:w="1417" w:type="dxa"/>
            <w:shd w:val="clear" w:color="auto" w:fill="auto"/>
            <w:vAlign w:val="center"/>
          </w:tcPr>
          <w:p w14:paraId="4342A76E">
            <w:pPr>
              <w:rPr>
                <w:rFonts w:asciiTheme="minorEastAsia" w:hAnsiTheme="minorEastAsia"/>
                <w:sz w:val="21"/>
                <w:szCs w:val="21"/>
              </w:rPr>
            </w:pPr>
          </w:p>
        </w:tc>
        <w:tc>
          <w:tcPr>
            <w:tcW w:w="1701" w:type="dxa"/>
            <w:shd w:val="clear" w:color="auto" w:fill="auto"/>
            <w:vAlign w:val="center"/>
          </w:tcPr>
          <w:p w14:paraId="6F1E0B96">
            <w:pPr>
              <w:rPr>
                <w:rFonts w:asciiTheme="minorEastAsia" w:hAnsiTheme="minorEastAsia"/>
                <w:sz w:val="21"/>
                <w:szCs w:val="21"/>
              </w:rPr>
            </w:pPr>
          </w:p>
        </w:tc>
        <w:tc>
          <w:tcPr>
            <w:tcW w:w="1426" w:type="dxa"/>
            <w:shd w:val="clear" w:color="auto" w:fill="auto"/>
            <w:vAlign w:val="center"/>
          </w:tcPr>
          <w:p w14:paraId="6EAF7785">
            <w:pPr>
              <w:rPr>
                <w:rFonts w:asciiTheme="minorEastAsia" w:hAnsiTheme="minorEastAsia"/>
                <w:sz w:val="21"/>
                <w:szCs w:val="21"/>
              </w:rPr>
            </w:pPr>
          </w:p>
        </w:tc>
        <w:tc>
          <w:tcPr>
            <w:tcW w:w="1792" w:type="dxa"/>
            <w:shd w:val="clear" w:color="auto" w:fill="auto"/>
            <w:vAlign w:val="center"/>
          </w:tcPr>
          <w:p w14:paraId="5C89173C">
            <w:pPr>
              <w:rPr>
                <w:rFonts w:asciiTheme="minorEastAsia" w:hAnsiTheme="minorEastAsia"/>
                <w:sz w:val="21"/>
                <w:szCs w:val="21"/>
              </w:rPr>
            </w:pPr>
          </w:p>
        </w:tc>
      </w:tr>
      <w:tr w14:paraId="665E2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394E49D9">
            <w:pPr>
              <w:rPr>
                <w:rFonts w:asciiTheme="minorEastAsia" w:hAnsiTheme="minorEastAsia"/>
                <w:sz w:val="21"/>
                <w:szCs w:val="21"/>
              </w:rPr>
            </w:pPr>
          </w:p>
        </w:tc>
        <w:tc>
          <w:tcPr>
            <w:tcW w:w="1576" w:type="dxa"/>
            <w:shd w:val="clear" w:color="auto" w:fill="auto"/>
            <w:vAlign w:val="center"/>
          </w:tcPr>
          <w:p w14:paraId="0B73EB9E">
            <w:pPr>
              <w:rPr>
                <w:rFonts w:asciiTheme="minorEastAsia" w:hAnsiTheme="minorEastAsia"/>
                <w:sz w:val="21"/>
                <w:szCs w:val="21"/>
              </w:rPr>
            </w:pPr>
          </w:p>
        </w:tc>
        <w:tc>
          <w:tcPr>
            <w:tcW w:w="1417" w:type="dxa"/>
            <w:shd w:val="clear" w:color="auto" w:fill="auto"/>
            <w:vAlign w:val="center"/>
          </w:tcPr>
          <w:p w14:paraId="7922C172">
            <w:pPr>
              <w:rPr>
                <w:rFonts w:asciiTheme="minorEastAsia" w:hAnsiTheme="minorEastAsia"/>
                <w:sz w:val="21"/>
                <w:szCs w:val="21"/>
              </w:rPr>
            </w:pPr>
          </w:p>
        </w:tc>
        <w:tc>
          <w:tcPr>
            <w:tcW w:w="1701" w:type="dxa"/>
            <w:shd w:val="clear" w:color="auto" w:fill="auto"/>
            <w:vAlign w:val="center"/>
          </w:tcPr>
          <w:p w14:paraId="45642355">
            <w:pPr>
              <w:rPr>
                <w:rFonts w:asciiTheme="minorEastAsia" w:hAnsiTheme="minorEastAsia"/>
                <w:sz w:val="21"/>
                <w:szCs w:val="21"/>
              </w:rPr>
            </w:pPr>
          </w:p>
        </w:tc>
        <w:tc>
          <w:tcPr>
            <w:tcW w:w="1426" w:type="dxa"/>
            <w:shd w:val="clear" w:color="auto" w:fill="auto"/>
            <w:vAlign w:val="center"/>
          </w:tcPr>
          <w:p w14:paraId="2DAC4387">
            <w:pPr>
              <w:rPr>
                <w:rFonts w:asciiTheme="minorEastAsia" w:hAnsiTheme="minorEastAsia"/>
                <w:sz w:val="21"/>
                <w:szCs w:val="21"/>
              </w:rPr>
            </w:pPr>
          </w:p>
        </w:tc>
        <w:tc>
          <w:tcPr>
            <w:tcW w:w="1792" w:type="dxa"/>
            <w:shd w:val="clear" w:color="auto" w:fill="auto"/>
            <w:vAlign w:val="center"/>
          </w:tcPr>
          <w:p w14:paraId="44A76F1B">
            <w:pPr>
              <w:rPr>
                <w:rFonts w:asciiTheme="minorEastAsia" w:hAnsiTheme="minorEastAsia"/>
                <w:sz w:val="21"/>
                <w:szCs w:val="21"/>
              </w:rPr>
            </w:pPr>
          </w:p>
        </w:tc>
      </w:tr>
      <w:tr w14:paraId="5588E6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455FE49E">
            <w:pPr>
              <w:rPr>
                <w:rFonts w:asciiTheme="minorEastAsia" w:hAnsiTheme="minorEastAsia"/>
                <w:sz w:val="21"/>
                <w:szCs w:val="21"/>
              </w:rPr>
            </w:pPr>
          </w:p>
        </w:tc>
        <w:tc>
          <w:tcPr>
            <w:tcW w:w="1576" w:type="dxa"/>
            <w:shd w:val="clear" w:color="auto" w:fill="auto"/>
            <w:vAlign w:val="center"/>
          </w:tcPr>
          <w:p w14:paraId="0AD25FBD">
            <w:pPr>
              <w:rPr>
                <w:rFonts w:asciiTheme="minorEastAsia" w:hAnsiTheme="minorEastAsia"/>
                <w:sz w:val="21"/>
                <w:szCs w:val="21"/>
              </w:rPr>
            </w:pPr>
          </w:p>
        </w:tc>
        <w:tc>
          <w:tcPr>
            <w:tcW w:w="1417" w:type="dxa"/>
            <w:shd w:val="clear" w:color="auto" w:fill="auto"/>
            <w:vAlign w:val="center"/>
          </w:tcPr>
          <w:p w14:paraId="43AF7D13">
            <w:pPr>
              <w:rPr>
                <w:rFonts w:asciiTheme="minorEastAsia" w:hAnsiTheme="minorEastAsia"/>
                <w:sz w:val="21"/>
                <w:szCs w:val="21"/>
              </w:rPr>
            </w:pPr>
          </w:p>
        </w:tc>
        <w:tc>
          <w:tcPr>
            <w:tcW w:w="1701" w:type="dxa"/>
            <w:shd w:val="clear" w:color="auto" w:fill="auto"/>
            <w:vAlign w:val="center"/>
          </w:tcPr>
          <w:p w14:paraId="3E5E0A35">
            <w:pPr>
              <w:rPr>
                <w:rFonts w:asciiTheme="minorEastAsia" w:hAnsiTheme="minorEastAsia"/>
                <w:sz w:val="21"/>
                <w:szCs w:val="21"/>
              </w:rPr>
            </w:pPr>
          </w:p>
        </w:tc>
        <w:tc>
          <w:tcPr>
            <w:tcW w:w="1426" w:type="dxa"/>
            <w:shd w:val="clear" w:color="auto" w:fill="auto"/>
            <w:vAlign w:val="center"/>
          </w:tcPr>
          <w:p w14:paraId="38BA77F5">
            <w:pPr>
              <w:rPr>
                <w:rFonts w:asciiTheme="minorEastAsia" w:hAnsiTheme="minorEastAsia"/>
                <w:sz w:val="21"/>
                <w:szCs w:val="21"/>
              </w:rPr>
            </w:pPr>
          </w:p>
        </w:tc>
        <w:tc>
          <w:tcPr>
            <w:tcW w:w="1792" w:type="dxa"/>
            <w:shd w:val="clear" w:color="auto" w:fill="auto"/>
            <w:vAlign w:val="center"/>
          </w:tcPr>
          <w:p w14:paraId="6498D0A3">
            <w:pPr>
              <w:rPr>
                <w:rFonts w:asciiTheme="minorEastAsia" w:hAnsiTheme="minorEastAsia"/>
                <w:sz w:val="21"/>
                <w:szCs w:val="21"/>
              </w:rPr>
            </w:pPr>
          </w:p>
        </w:tc>
      </w:tr>
      <w:tr w14:paraId="13B3AF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000D8A79">
            <w:pPr>
              <w:rPr>
                <w:rFonts w:asciiTheme="minorEastAsia" w:hAnsiTheme="minorEastAsia"/>
                <w:sz w:val="21"/>
                <w:szCs w:val="21"/>
              </w:rPr>
            </w:pPr>
          </w:p>
        </w:tc>
        <w:tc>
          <w:tcPr>
            <w:tcW w:w="1576" w:type="dxa"/>
            <w:shd w:val="clear" w:color="auto" w:fill="auto"/>
            <w:vAlign w:val="center"/>
          </w:tcPr>
          <w:p w14:paraId="228603CC">
            <w:pPr>
              <w:rPr>
                <w:rFonts w:asciiTheme="minorEastAsia" w:hAnsiTheme="minorEastAsia"/>
                <w:sz w:val="21"/>
                <w:szCs w:val="21"/>
              </w:rPr>
            </w:pPr>
          </w:p>
        </w:tc>
        <w:tc>
          <w:tcPr>
            <w:tcW w:w="1417" w:type="dxa"/>
            <w:shd w:val="clear" w:color="auto" w:fill="auto"/>
            <w:vAlign w:val="center"/>
          </w:tcPr>
          <w:p w14:paraId="0A4C79AA">
            <w:pPr>
              <w:rPr>
                <w:rFonts w:asciiTheme="minorEastAsia" w:hAnsiTheme="minorEastAsia"/>
                <w:sz w:val="21"/>
                <w:szCs w:val="21"/>
              </w:rPr>
            </w:pPr>
          </w:p>
        </w:tc>
        <w:tc>
          <w:tcPr>
            <w:tcW w:w="1701" w:type="dxa"/>
            <w:shd w:val="clear" w:color="auto" w:fill="auto"/>
            <w:vAlign w:val="center"/>
          </w:tcPr>
          <w:p w14:paraId="32E413A0">
            <w:pPr>
              <w:rPr>
                <w:rFonts w:asciiTheme="minorEastAsia" w:hAnsiTheme="minorEastAsia"/>
                <w:sz w:val="21"/>
                <w:szCs w:val="21"/>
              </w:rPr>
            </w:pPr>
          </w:p>
        </w:tc>
        <w:tc>
          <w:tcPr>
            <w:tcW w:w="1426" w:type="dxa"/>
            <w:shd w:val="clear" w:color="auto" w:fill="auto"/>
            <w:vAlign w:val="center"/>
          </w:tcPr>
          <w:p w14:paraId="72D1A2AF">
            <w:pPr>
              <w:rPr>
                <w:rFonts w:asciiTheme="minorEastAsia" w:hAnsiTheme="minorEastAsia"/>
                <w:sz w:val="21"/>
                <w:szCs w:val="21"/>
              </w:rPr>
            </w:pPr>
          </w:p>
        </w:tc>
        <w:tc>
          <w:tcPr>
            <w:tcW w:w="1792" w:type="dxa"/>
            <w:shd w:val="clear" w:color="auto" w:fill="auto"/>
            <w:vAlign w:val="center"/>
          </w:tcPr>
          <w:p w14:paraId="6F5B114D">
            <w:pPr>
              <w:rPr>
                <w:rFonts w:asciiTheme="minorEastAsia" w:hAnsiTheme="minorEastAsia"/>
                <w:sz w:val="21"/>
                <w:szCs w:val="21"/>
              </w:rPr>
            </w:pPr>
          </w:p>
        </w:tc>
      </w:tr>
      <w:tr w14:paraId="0ADA87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6F5C188B">
            <w:pPr>
              <w:jc w:val="center"/>
              <w:rPr>
                <w:rFonts w:asciiTheme="minorEastAsia" w:hAnsiTheme="minorEastAsia"/>
                <w:sz w:val="21"/>
                <w:szCs w:val="21"/>
              </w:rPr>
            </w:pPr>
            <w:r>
              <w:rPr>
                <w:rFonts w:asciiTheme="minorEastAsia" w:hAnsiTheme="minorEastAsia"/>
                <w:sz w:val="21"/>
                <w:szCs w:val="21"/>
              </w:rPr>
              <w:t>备注</w:t>
            </w:r>
          </w:p>
        </w:tc>
        <w:tc>
          <w:tcPr>
            <w:tcW w:w="7912" w:type="dxa"/>
            <w:gridSpan w:val="5"/>
            <w:shd w:val="clear" w:color="auto" w:fill="auto"/>
            <w:vAlign w:val="center"/>
          </w:tcPr>
          <w:p w14:paraId="3B267373">
            <w:pPr>
              <w:jc w:val="both"/>
              <w:rPr>
                <w:rFonts w:asciiTheme="minorEastAsia" w:hAnsiTheme="minorEastAsia"/>
                <w:sz w:val="21"/>
                <w:szCs w:val="21"/>
              </w:rPr>
            </w:pPr>
            <w:r>
              <w:rPr>
                <w:rFonts w:asciiTheme="minorEastAsia" w:hAnsiTheme="minorEastAsia"/>
                <w:sz w:val="21"/>
                <w:szCs w:val="21"/>
              </w:rPr>
              <w:t>① 表格行数不足时请自行扩展。</w:t>
            </w:r>
          </w:p>
          <w:p w14:paraId="4D27CC6E">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tc>
      </w:tr>
    </w:tbl>
    <w:p w14:paraId="7C7A128B">
      <w:pPr>
        <w:rPr>
          <w:rFonts w:asciiTheme="minorEastAsia" w:hAnsiTheme="minorEastAsia" w:cstheme="minorHAnsi"/>
          <w:color w:val="C00000"/>
          <w:kern w:val="24"/>
        </w:rPr>
      </w:pPr>
      <w:r>
        <w:rPr>
          <w:rFonts w:asciiTheme="minorEastAsia" w:hAnsiTheme="minorEastAsia" w:cstheme="minorHAnsi"/>
          <w:color w:val="C00000"/>
          <w:kern w:val="24"/>
        </w:rPr>
        <w:t>附：</w:t>
      </w:r>
      <w:r>
        <w:rPr>
          <w:rFonts w:hint="eastAsia" w:asciiTheme="minorEastAsia" w:hAnsiTheme="minorEastAsia" w:cstheme="minorHAnsi"/>
          <w:color w:val="C00000"/>
          <w:kern w:val="24"/>
        </w:rPr>
        <w:t>设备购买发票或租赁证明</w:t>
      </w:r>
    </w:p>
    <w:p w14:paraId="283DE308">
      <w:pPr>
        <w:rPr>
          <w:rFonts w:cstheme="minorHAnsi"/>
        </w:rPr>
      </w:pPr>
    </w:p>
    <w:p w14:paraId="693B6E9D">
      <w:pPr>
        <w:rPr>
          <w:rFonts w:cstheme="minorHAnsi"/>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14:paraId="72C35BAB">
      <w:pPr>
        <w:outlineLvl w:val="2"/>
        <w:rPr>
          <w:rFonts w:ascii="黑体" w:hAnsi="黑体" w:eastAsia="黑体"/>
          <w:sz w:val="28"/>
          <w:szCs w:val="28"/>
        </w:rPr>
      </w:pPr>
      <w:r>
        <w:rPr>
          <w:rFonts w:ascii="黑体" w:hAnsi="黑体" w:eastAsia="黑体"/>
          <w:sz w:val="28"/>
          <w:szCs w:val="28"/>
        </w:rPr>
        <w:t>（一）技术（服务）条款响应（暗标盲评部分）</w:t>
      </w:r>
    </w:p>
    <w:p w14:paraId="06E135A1">
      <w:pPr>
        <w:ind w:firstLine="480" w:firstLineChars="200"/>
        <w:rPr>
          <w:rFonts w:asciiTheme="minorEastAsia" w:hAnsiTheme="minorEastAsia"/>
        </w:rPr>
      </w:pPr>
      <w:r>
        <w:rPr>
          <w:rFonts w:asciiTheme="minorEastAsia" w:hAnsiTheme="minorEastAsia"/>
        </w:rPr>
        <w:t>特别提醒：</w:t>
      </w:r>
    </w:p>
    <w:p w14:paraId="178D79B7">
      <w:pPr>
        <w:ind w:firstLine="480" w:firstLineChars="200"/>
        <w:rPr>
          <w:rFonts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14:paraId="7FD6BB09">
      <w:pPr>
        <w:ind w:firstLine="480" w:firstLineChars="200"/>
        <w:rPr>
          <w:rFonts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14:paraId="00E85DD8">
      <w:pPr>
        <w:ind w:firstLine="480" w:firstLineChars="200"/>
        <w:rPr>
          <w:rFonts w:asciiTheme="minorEastAsia" w:hAnsiTheme="minorEastAsia"/>
        </w:rPr>
      </w:pPr>
    </w:p>
    <w:p w14:paraId="23EE6490">
      <w:pPr>
        <w:jc w:val="center"/>
        <w:rPr>
          <w:rFonts w:cstheme="minorHAnsi"/>
          <w:b/>
        </w:rPr>
      </w:pPr>
      <w:r>
        <w:rPr>
          <w:rFonts w:hint="eastAsia" w:cstheme="minorHAnsi"/>
          <w:b/>
        </w:rPr>
        <w:t>技术（服务）响应方案</w:t>
      </w:r>
    </w:p>
    <w:p w14:paraId="456B6BDF">
      <w:r>
        <w:rPr>
          <w:rFonts w:hint="eastAsia"/>
        </w:rPr>
        <w:t>供应商结合第三章《招标内容及要求》相关要求及第二章《评审要素及分值一览表》暗标部分中各评审要素逐项编写方案。</w:t>
      </w:r>
    </w:p>
    <w:p w14:paraId="7DF70D87">
      <w:pPr>
        <w:rPr>
          <w:i/>
          <w:color w:val="C00000"/>
        </w:rPr>
      </w:pPr>
    </w:p>
    <w:p w14:paraId="51A0E141">
      <w:r>
        <w:rPr>
          <w:rFonts w:hint="eastAsia"/>
        </w:rPr>
        <w:t>示例：</w:t>
      </w:r>
    </w:p>
    <w:p w14:paraId="7D648F58">
      <w:pPr>
        <w:rPr>
          <w:rFonts w:asciiTheme="minorEastAsia" w:hAnsiTheme="minorEastAsia"/>
        </w:rPr>
      </w:pPr>
      <w:r>
        <w:rPr>
          <w:rFonts w:hint="eastAsia" w:asciiTheme="minorEastAsia" w:hAnsiTheme="minorEastAsia"/>
        </w:rPr>
        <w:t>1．安保服务方案</w:t>
      </w:r>
    </w:p>
    <w:p w14:paraId="5A8ADE46">
      <w:pPr>
        <w:rPr>
          <w:rFonts w:asciiTheme="minorEastAsia" w:hAnsiTheme="minorEastAsia"/>
        </w:rPr>
      </w:pPr>
    </w:p>
    <w:p w14:paraId="3F4732B9">
      <w:pPr>
        <w:rPr>
          <w:rFonts w:asciiTheme="minorEastAsia" w:hAnsiTheme="minorEastAsia"/>
        </w:rPr>
      </w:pPr>
      <w:r>
        <w:rPr>
          <w:rFonts w:asciiTheme="minorEastAsia" w:hAnsiTheme="minorEastAsia"/>
        </w:rPr>
        <w:t>2</w:t>
      </w:r>
      <w:r>
        <w:rPr>
          <w:rFonts w:hint="eastAsia" w:asciiTheme="minorEastAsia" w:hAnsiTheme="minorEastAsia"/>
        </w:rPr>
        <w:t>．管理制度</w:t>
      </w:r>
    </w:p>
    <w:p w14:paraId="553B8543">
      <w:pPr>
        <w:rPr>
          <w:rFonts w:asciiTheme="minorEastAsia" w:hAnsiTheme="minorEastAsia"/>
        </w:rPr>
      </w:pPr>
    </w:p>
    <w:p w14:paraId="67742D02">
      <w:pPr>
        <w:rPr>
          <w:rFonts w:asciiTheme="minorEastAsia" w:hAnsiTheme="minorEastAsia"/>
        </w:rPr>
      </w:pPr>
      <w:r>
        <w:rPr>
          <w:rFonts w:hint="eastAsia" w:asciiTheme="minorEastAsia" w:hAnsiTheme="minorEastAsia"/>
        </w:rPr>
        <w:t>3</w:t>
      </w:r>
      <w:r>
        <w:rPr>
          <w:rFonts w:asciiTheme="minorEastAsia" w:hAnsiTheme="minorEastAsia"/>
        </w:rPr>
        <w:t>. 应急方案</w:t>
      </w: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b/>
          <w:color w:val="000000"/>
          <w:kern w:val="24"/>
        </w:rPr>
      </w:pPr>
      <w:r>
        <w:rPr>
          <w:rFonts w:hint="eastAsia" w:ascii="Calibri" w:hAnsi="Calibri" w:eastAsia="宋体" w:cstheme="minorHAnsi"/>
          <w:b/>
          <w:color w:val="000000"/>
          <w:kern w:val="24"/>
        </w:rPr>
        <w:t>1.商务要求（非实质性）条款偏差表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rFonts w:hint="eastAsia"/>
                <w:sz w:val="21"/>
                <w:szCs w:val="21"/>
              </w:rPr>
              <w:t>招标</w:t>
            </w:r>
            <w:r>
              <w:rPr>
                <w:sz w:val="21"/>
                <w:szCs w:val="21"/>
              </w:rPr>
              <w:t>文件</w:t>
            </w:r>
          </w:p>
        </w:tc>
        <w:tc>
          <w:tcPr>
            <w:tcW w:w="3432" w:type="dxa"/>
            <w:shd w:val="clear" w:color="auto" w:fill="F1F1F1" w:themeFill="background1" w:themeFillShade="F2"/>
            <w:vAlign w:val="center"/>
          </w:tcPr>
          <w:p w14:paraId="75A1598A">
            <w:pPr>
              <w:jc w:val="center"/>
              <w:rPr>
                <w:sz w:val="21"/>
                <w:szCs w:val="21"/>
              </w:rPr>
            </w:pPr>
            <w:r>
              <w:rPr>
                <w:rFonts w:hint="eastAsia"/>
                <w:sz w:val="21"/>
                <w:szCs w:val="21"/>
              </w:rPr>
              <w:t>投标</w:t>
            </w:r>
            <w:r>
              <w:rPr>
                <w:sz w:val="21"/>
                <w:szCs w:val="21"/>
              </w:rPr>
              <w:t>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084E07DE">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14:paraId="349090C3">
            <w:pPr>
              <w:jc w:val="both"/>
              <w:rPr>
                <w:sz w:val="21"/>
                <w:szCs w:val="21"/>
              </w:rPr>
            </w:pPr>
            <w:r>
              <w:rPr>
                <w:rFonts w:hint="eastAsia" w:asciiTheme="minorEastAsia" w:hAnsiTheme="minorEastAsia"/>
                <w:sz w:val="21"/>
                <w:szCs w:val="21"/>
              </w:rPr>
              <w:t>④ 表格中“示例”部分仅供参考，供应商在响应时请自行清除。</w:t>
            </w:r>
          </w:p>
        </w:tc>
      </w:tr>
    </w:tbl>
    <w:p w14:paraId="32EFF2EE">
      <w:pPr>
        <w:rPr>
          <w:rFonts w:asciiTheme="minorEastAsia" w:hAnsiTheme="minorEastAsia" w:cstheme="minorHAnsi"/>
          <w:b/>
          <w:color w:val="000000"/>
          <w:kern w:val="24"/>
        </w:rPr>
      </w:pPr>
    </w:p>
    <w:p w14:paraId="7C88BFE9">
      <w:pPr>
        <w:jc w:val="center"/>
        <w:rPr>
          <w:rFonts w:cstheme="minorHAnsi"/>
          <w:b/>
        </w:rPr>
      </w:pPr>
      <w:r>
        <w:rPr>
          <w:rFonts w:cstheme="minorHAnsi"/>
          <w:b/>
        </w:rPr>
        <w:t>2</w:t>
      </w:r>
      <w:r>
        <w:rPr>
          <w:rFonts w:hint="eastAsia" w:cstheme="minorHAnsi"/>
          <w:b/>
        </w:rPr>
        <w:t>.商务评审部分响应方案</w:t>
      </w:r>
    </w:p>
    <w:p w14:paraId="25373708">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6D235065">
      <w:pPr>
        <w:tabs>
          <w:tab w:val="center" w:pos="4395"/>
        </w:tabs>
        <w:rPr>
          <w:i/>
          <w:color w:val="C00000"/>
        </w:rPr>
      </w:pPr>
    </w:p>
    <w:p w14:paraId="3A475221">
      <w:pPr>
        <w:rPr>
          <w:i/>
          <w:color w:val="C00000"/>
        </w:rPr>
      </w:pPr>
      <w:r>
        <w:rPr>
          <w:rFonts w:hint="eastAsia"/>
          <w:i/>
          <w:color w:val="C00000"/>
        </w:rPr>
        <w:t>示例：</w:t>
      </w:r>
    </w:p>
    <w:p w14:paraId="69D3B794">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．人员配置</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14:paraId="275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14:paraId="15FECD9D">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14:paraId="6B22C3D8">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14:paraId="2FC01E12">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14:paraId="784E61E4">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14:paraId="720E615C">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14:paraId="2CB9F83D">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757512B3">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14:paraId="7C7E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75E69FD5">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2B8EA06C">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9AD1465">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FF43345">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65FA9F7">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F086902">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10B14A5F">
            <w:pPr>
              <w:jc w:val="center"/>
              <w:rPr>
                <w:rFonts w:asciiTheme="minorEastAsia" w:hAnsiTheme="minorEastAsia" w:cstheme="minorHAnsi"/>
                <w:color w:val="000000"/>
                <w:sz w:val="21"/>
                <w:szCs w:val="21"/>
              </w:rPr>
            </w:pPr>
          </w:p>
        </w:tc>
      </w:tr>
      <w:tr w14:paraId="0F33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279B5079">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0C6AFA44">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F0FC10A">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A6DA1A2">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ADE8735">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5F607C5">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0A94F2CD">
            <w:pPr>
              <w:jc w:val="center"/>
              <w:rPr>
                <w:rFonts w:asciiTheme="minorEastAsia" w:hAnsiTheme="minorEastAsia" w:cstheme="minorHAnsi"/>
                <w:color w:val="000000"/>
                <w:sz w:val="21"/>
                <w:szCs w:val="21"/>
              </w:rPr>
            </w:pPr>
          </w:p>
        </w:tc>
      </w:tr>
      <w:tr w14:paraId="6AEA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4035B449">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67522657">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595BEEE">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CCA9CCE">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33EE7DB4">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5F592766">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7A49590E">
            <w:pPr>
              <w:jc w:val="center"/>
              <w:rPr>
                <w:rFonts w:asciiTheme="minorEastAsia" w:hAnsiTheme="minorEastAsia" w:cstheme="minorHAnsi"/>
                <w:color w:val="000000"/>
                <w:sz w:val="21"/>
                <w:szCs w:val="21"/>
              </w:rPr>
            </w:pPr>
          </w:p>
        </w:tc>
      </w:tr>
      <w:tr w14:paraId="50D2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3DBB6875">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59A3373B">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58AAD65">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42AE92A">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D3FB232">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1FA3FC03">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7107BC61">
            <w:pPr>
              <w:jc w:val="center"/>
              <w:rPr>
                <w:rFonts w:asciiTheme="minorEastAsia" w:hAnsiTheme="minorEastAsia" w:cstheme="minorHAnsi"/>
                <w:color w:val="000000"/>
                <w:sz w:val="21"/>
                <w:szCs w:val="21"/>
              </w:rPr>
            </w:pPr>
          </w:p>
        </w:tc>
      </w:tr>
      <w:tr w14:paraId="776A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40EBFD79">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3867EADE">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5AA0D4F">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7CD4E30">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A3D7402">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32985222">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1893C14A">
            <w:pPr>
              <w:jc w:val="center"/>
              <w:rPr>
                <w:rFonts w:asciiTheme="minorEastAsia" w:hAnsiTheme="minorEastAsia" w:cstheme="minorHAnsi"/>
                <w:color w:val="000000"/>
                <w:sz w:val="21"/>
                <w:szCs w:val="21"/>
              </w:rPr>
            </w:pPr>
          </w:p>
        </w:tc>
      </w:tr>
      <w:tr w14:paraId="3421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64F2BEDE">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14:paraId="4F913A97">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11819AEF">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招标文件对人员“资格\学历\职称”提出要求的，应在本表下方附相应的“资格证\学历证\职称证”等证明材料。</w:t>
            </w:r>
          </w:p>
        </w:tc>
      </w:tr>
    </w:tbl>
    <w:p w14:paraId="763739A8">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14:paraId="0BB9A80A">
      <w:pPr>
        <w:rPr>
          <w:rFonts w:asciiTheme="minorEastAsia" w:hAnsiTheme="minorEastAsia" w:cstheme="minorHAnsi"/>
          <w:b/>
          <w:color w:val="000000"/>
          <w:kern w:val="24"/>
        </w:rPr>
      </w:pPr>
    </w:p>
    <w:p w14:paraId="1B2751F2">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．服务承诺</w:t>
      </w:r>
    </w:p>
    <w:p w14:paraId="0C2EF47B">
      <w:pPr>
        <w:rPr>
          <w:rFonts w:asciiTheme="minorEastAsia" w:hAnsiTheme="minorEastAsia" w:cstheme="minorHAnsi"/>
          <w:b/>
          <w:color w:val="000000"/>
          <w:kern w:val="24"/>
        </w:rPr>
      </w:pPr>
    </w:p>
    <w:p w14:paraId="6D6D09B5">
      <w:pPr>
        <w:rPr>
          <w:rFonts w:asciiTheme="minorEastAsia" w:hAnsiTheme="minorEastAsia" w:cstheme="minorHAnsi"/>
          <w:b/>
          <w:color w:val="000000"/>
          <w:kern w:val="24"/>
        </w:rPr>
      </w:pPr>
      <w:r>
        <w:rPr>
          <w:rFonts w:hint="eastAsia" w:asciiTheme="minorEastAsia" w:hAnsiTheme="minorEastAsia" w:cstheme="minorHAnsi"/>
          <w:b/>
          <w:color w:val="000000"/>
          <w:kern w:val="24"/>
        </w:rPr>
        <w:t>3．安保用具情况（填写除第三章实质性条款要求的设备清单外，增配设备相关信息）</w:t>
      </w:r>
    </w:p>
    <w:tbl>
      <w:tblPr>
        <w:tblStyle w:val="24"/>
        <w:tblW w:w="91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3"/>
        <w:gridCol w:w="1576"/>
        <w:gridCol w:w="1417"/>
        <w:gridCol w:w="1701"/>
        <w:gridCol w:w="1426"/>
        <w:gridCol w:w="1792"/>
      </w:tblGrid>
      <w:tr w14:paraId="24E9EB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F1F1F1" w:themeFill="background1" w:themeFillShade="F2"/>
            <w:vAlign w:val="center"/>
          </w:tcPr>
          <w:p w14:paraId="494FCA15">
            <w:pPr>
              <w:jc w:val="center"/>
              <w:rPr>
                <w:rFonts w:asciiTheme="minorEastAsia" w:hAnsiTheme="minorEastAsia"/>
                <w:b/>
                <w:sz w:val="21"/>
                <w:szCs w:val="21"/>
              </w:rPr>
            </w:pPr>
            <w:r>
              <w:rPr>
                <w:rFonts w:asciiTheme="minorEastAsia" w:hAnsiTheme="minorEastAsia"/>
                <w:b/>
                <w:sz w:val="21"/>
                <w:szCs w:val="21"/>
              </w:rPr>
              <w:t>设备名称</w:t>
            </w:r>
          </w:p>
        </w:tc>
        <w:tc>
          <w:tcPr>
            <w:tcW w:w="1576" w:type="dxa"/>
            <w:shd w:val="clear" w:color="auto" w:fill="F1F1F1" w:themeFill="background1" w:themeFillShade="F2"/>
            <w:vAlign w:val="center"/>
          </w:tcPr>
          <w:p w14:paraId="150859E7">
            <w:pPr>
              <w:jc w:val="center"/>
              <w:rPr>
                <w:rFonts w:asciiTheme="minorEastAsia" w:hAnsiTheme="minorEastAsia"/>
                <w:b/>
                <w:sz w:val="21"/>
                <w:szCs w:val="21"/>
              </w:rPr>
            </w:pPr>
            <w:r>
              <w:rPr>
                <w:rFonts w:asciiTheme="minorEastAsia" w:hAnsiTheme="minorEastAsia"/>
                <w:b/>
                <w:sz w:val="21"/>
                <w:szCs w:val="21"/>
              </w:rPr>
              <w:t>型号</w:t>
            </w:r>
          </w:p>
        </w:tc>
        <w:tc>
          <w:tcPr>
            <w:tcW w:w="1417" w:type="dxa"/>
            <w:shd w:val="clear" w:color="auto" w:fill="F1F1F1" w:themeFill="background1" w:themeFillShade="F2"/>
            <w:vAlign w:val="center"/>
          </w:tcPr>
          <w:p w14:paraId="7C6DB753">
            <w:pPr>
              <w:jc w:val="center"/>
              <w:rPr>
                <w:rFonts w:asciiTheme="minorEastAsia" w:hAnsiTheme="minorEastAsia"/>
                <w:b/>
                <w:sz w:val="21"/>
                <w:szCs w:val="21"/>
              </w:rPr>
            </w:pPr>
            <w:r>
              <w:rPr>
                <w:rFonts w:asciiTheme="minorEastAsia" w:hAnsiTheme="minorEastAsia"/>
                <w:b/>
                <w:sz w:val="21"/>
                <w:szCs w:val="21"/>
              </w:rPr>
              <w:t>用途</w:t>
            </w:r>
          </w:p>
        </w:tc>
        <w:tc>
          <w:tcPr>
            <w:tcW w:w="1701" w:type="dxa"/>
            <w:shd w:val="clear" w:color="auto" w:fill="F1F1F1" w:themeFill="background1" w:themeFillShade="F2"/>
            <w:vAlign w:val="center"/>
          </w:tcPr>
          <w:p w14:paraId="181EE523">
            <w:pPr>
              <w:jc w:val="center"/>
              <w:rPr>
                <w:rFonts w:asciiTheme="minorEastAsia" w:hAnsiTheme="minorEastAsia"/>
                <w:b/>
                <w:sz w:val="21"/>
                <w:szCs w:val="21"/>
              </w:rPr>
            </w:pPr>
            <w:r>
              <w:rPr>
                <w:rFonts w:hint="eastAsia" w:asciiTheme="minorEastAsia" w:hAnsiTheme="minorEastAsia"/>
                <w:b/>
                <w:sz w:val="21"/>
                <w:szCs w:val="21"/>
              </w:rPr>
              <w:t>制造商</w:t>
            </w:r>
          </w:p>
        </w:tc>
        <w:tc>
          <w:tcPr>
            <w:tcW w:w="1426" w:type="dxa"/>
            <w:shd w:val="clear" w:color="auto" w:fill="F1F1F1" w:themeFill="background1" w:themeFillShade="F2"/>
            <w:vAlign w:val="center"/>
          </w:tcPr>
          <w:p w14:paraId="74493E76">
            <w:pPr>
              <w:jc w:val="center"/>
              <w:rPr>
                <w:rFonts w:asciiTheme="minorEastAsia" w:hAnsiTheme="minorEastAsia"/>
                <w:b/>
                <w:sz w:val="21"/>
                <w:szCs w:val="21"/>
              </w:rPr>
            </w:pPr>
            <w:r>
              <w:rPr>
                <w:rFonts w:asciiTheme="minorEastAsia" w:hAnsiTheme="minorEastAsia"/>
                <w:b/>
                <w:sz w:val="21"/>
                <w:szCs w:val="21"/>
              </w:rPr>
              <w:t>已服役年限</w:t>
            </w:r>
          </w:p>
        </w:tc>
        <w:tc>
          <w:tcPr>
            <w:tcW w:w="1792" w:type="dxa"/>
            <w:shd w:val="clear" w:color="auto" w:fill="F1F1F1" w:themeFill="background1" w:themeFillShade="F2"/>
            <w:vAlign w:val="center"/>
          </w:tcPr>
          <w:p w14:paraId="38EE3166">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设备购买发票或租赁证明</w:t>
            </w:r>
          </w:p>
        </w:tc>
      </w:tr>
      <w:tr w14:paraId="463AB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3D03FD1B">
            <w:pPr>
              <w:rPr>
                <w:rFonts w:asciiTheme="minorEastAsia" w:hAnsiTheme="minorEastAsia"/>
                <w:sz w:val="21"/>
                <w:szCs w:val="21"/>
              </w:rPr>
            </w:pPr>
          </w:p>
        </w:tc>
        <w:tc>
          <w:tcPr>
            <w:tcW w:w="1576" w:type="dxa"/>
            <w:shd w:val="clear" w:color="auto" w:fill="auto"/>
            <w:vAlign w:val="center"/>
          </w:tcPr>
          <w:p w14:paraId="5D11CECC">
            <w:pPr>
              <w:rPr>
                <w:rFonts w:asciiTheme="minorEastAsia" w:hAnsiTheme="minorEastAsia"/>
                <w:sz w:val="21"/>
                <w:szCs w:val="21"/>
              </w:rPr>
            </w:pPr>
          </w:p>
        </w:tc>
        <w:tc>
          <w:tcPr>
            <w:tcW w:w="1417" w:type="dxa"/>
            <w:shd w:val="clear" w:color="auto" w:fill="auto"/>
            <w:vAlign w:val="center"/>
          </w:tcPr>
          <w:p w14:paraId="0F3747B9">
            <w:pPr>
              <w:rPr>
                <w:rFonts w:asciiTheme="minorEastAsia" w:hAnsiTheme="minorEastAsia"/>
                <w:sz w:val="21"/>
                <w:szCs w:val="21"/>
              </w:rPr>
            </w:pPr>
          </w:p>
        </w:tc>
        <w:tc>
          <w:tcPr>
            <w:tcW w:w="1701" w:type="dxa"/>
            <w:shd w:val="clear" w:color="auto" w:fill="auto"/>
            <w:vAlign w:val="center"/>
          </w:tcPr>
          <w:p w14:paraId="56C72EFD">
            <w:pPr>
              <w:rPr>
                <w:rFonts w:asciiTheme="minorEastAsia" w:hAnsiTheme="minorEastAsia"/>
                <w:sz w:val="21"/>
                <w:szCs w:val="21"/>
              </w:rPr>
            </w:pPr>
          </w:p>
        </w:tc>
        <w:tc>
          <w:tcPr>
            <w:tcW w:w="1426" w:type="dxa"/>
            <w:shd w:val="clear" w:color="auto" w:fill="auto"/>
            <w:vAlign w:val="center"/>
          </w:tcPr>
          <w:p w14:paraId="32629540">
            <w:pPr>
              <w:rPr>
                <w:rFonts w:asciiTheme="minorEastAsia" w:hAnsiTheme="minorEastAsia"/>
                <w:sz w:val="21"/>
                <w:szCs w:val="21"/>
              </w:rPr>
            </w:pPr>
          </w:p>
        </w:tc>
        <w:tc>
          <w:tcPr>
            <w:tcW w:w="1792" w:type="dxa"/>
            <w:shd w:val="clear" w:color="auto" w:fill="auto"/>
            <w:vAlign w:val="center"/>
          </w:tcPr>
          <w:p w14:paraId="0B047CF6">
            <w:pPr>
              <w:rPr>
                <w:rFonts w:asciiTheme="minorEastAsia" w:hAnsiTheme="minorEastAsia"/>
                <w:sz w:val="21"/>
                <w:szCs w:val="21"/>
              </w:rPr>
            </w:pPr>
          </w:p>
        </w:tc>
      </w:tr>
      <w:tr w14:paraId="77243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54DE96C4">
            <w:pPr>
              <w:rPr>
                <w:rFonts w:asciiTheme="minorEastAsia" w:hAnsiTheme="minorEastAsia"/>
                <w:sz w:val="21"/>
                <w:szCs w:val="21"/>
              </w:rPr>
            </w:pPr>
          </w:p>
        </w:tc>
        <w:tc>
          <w:tcPr>
            <w:tcW w:w="1576" w:type="dxa"/>
            <w:shd w:val="clear" w:color="auto" w:fill="auto"/>
            <w:vAlign w:val="center"/>
          </w:tcPr>
          <w:p w14:paraId="7A4AB4DE">
            <w:pPr>
              <w:rPr>
                <w:rFonts w:asciiTheme="minorEastAsia" w:hAnsiTheme="minorEastAsia"/>
                <w:sz w:val="21"/>
                <w:szCs w:val="21"/>
              </w:rPr>
            </w:pPr>
          </w:p>
        </w:tc>
        <w:tc>
          <w:tcPr>
            <w:tcW w:w="1417" w:type="dxa"/>
            <w:shd w:val="clear" w:color="auto" w:fill="auto"/>
            <w:vAlign w:val="center"/>
          </w:tcPr>
          <w:p w14:paraId="1F09966C">
            <w:pPr>
              <w:rPr>
                <w:rFonts w:asciiTheme="minorEastAsia" w:hAnsiTheme="minorEastAsia"/>
                <w:sz w:val="21"/>
                <w:szCs w:val="21"/>
              </w:rPr>
            </w:pPr>
          </w:p>
        </w:tc>
        <w:tc>
          <w:tcPr>
            <w:tcW w:w="1701" w:type="dxa"/>
            <w:shd w:val="clear" w:color="auto" w:fill="auto"/>
            <w:vAlign w:val="center"/>
          </w:tcPr>
          <w:p w14:paraId="4DDC64C1">
            <w:pPr>
              <w:rPr>
                <w:rFonts w:asciiTheme="minorEastAsia" w:hAnsiTheme="minorEastAsia"/>
                <w:sz w:val="21"/>
                <w:szCs w:val="21"/>
              </w:rPr>
            </w:pPr>
          </w:p>
        </w:tc>
        <w:tc>
          <w:tcPr>
            <w:tcW w:w="1426" w:type="dxa"/>
            <w:shd w:val="clear" w:color="auto" w:fill="auto"/>
            <w:vAlign w:val="center"/>
          </w:tcPr>
          <w:p w14:paraId="1B1230CF">
            <w:pPr>
              <w:rPr>
                <w:rFonts w:asciiTheme="minorEastAsia" w:hAnsiTheme="minorEastAsia"/>
                <w:sz w:val="21"/>
                <w:szCs w:val="21"/>
              </w:rPr>
            </w:pPr>
          </w:p>
        </w:tc>
        <w:tc>
          <w:tcPr>
            <w:tcW w:w="1792" w:type="dxa"/>
            <w:shd w:val="clear" w:color="auto" w:fill="auto"/>
            <w:vAlign w:val="center"/>
          </w:tcPr>
          <w:p w14:paraId="23E72FDF">
            <w:pPr>
              <w:rPr>
                <w:rFonts w:asciiTheme="minorEastAsia" w:hAnsiTheme="minorEastAsia"/>
                <w:sz w:val="21"/>
                <w:szCs w:val="21"/>
              </w:rPr>
            </w:pPr>
          </w:p>
        </w:tc>
      </w:tr>
      <w:tr w14:paraId="2E573E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43D5EB36">
            <w:pPr>
              <w:rPr>
                <w:rFonts w:asciiTheme="minorEastAsia" w:hAnsiTheme="minorEastAsia"/>
                <w:sz w:val="21"/>
                <w:szCs w:val="21"/>
              </w:rPr>
            </w:pPr>
          </w:p>
        </w:tc>
        <w:tc>
          <w:tcPr>
            <w:tcW w:w="1576" w:type="dxa"/>
            <w:shd w:val="clear" w:color="auto" w:fill="auto"/>
            <w:vAlign w:val="center"/>
          </w:tcPr>
          <w:p w14:paraId="00AD4286">
            <w:pPr>
              <w:rPr>
                <w:rFonts w:asciiTheme="minorEastAsia" w:hAnsiTheme="minorEastAsia"/>
                <w:sz w:val="21"/>
                <w:szCs w:val="21"/>
              </w:rPr>
            </w:pPr>
          </w:p>
        </w:tc>
        <w:tc>
          <w:tcPr>
            <w:tcW w:w="1417" w:type="dxa"/>
            <w:shd w:val="clear" w:color="auto" w:fill="auto"/>
            <w:vAlign w:val="center"/>
          </w:tcPr>
          <w:p w14:paraId="11DDC23C">
            <w:pPr>
              <w:rPr>
                <w:rFonts w:asciiTheme="minorEastAsia" w:hAnsiTheme="minorEastAsia"/>
                <w:sz w:val="21"/>
                <w:szCs w:val="21"/>
              </w:rPr>
            </w:pPr>
          </w:p>
        </w:tc>
        <w:tc>
          <w:tcPr>
            <w:tcW w:w="1701" w:type="dxa"/>
            <w:shd w:val="clear" w:color="auto" w:fill="auto"/>
            <w:vAlign w:val="center"/>
          </w:tcPr>
          <w:p w14:paraId="03712A14">
            <w:pPr>
              <w:rPr>
                <w:rFonts w:asciiTheme="minorEastAsia" w:hAnsiTheme="minorEastAsia"/>
                <w:sz w:val="21"/>
                <w:szCs w:val="21"/>
              </w:rPr>
            </w:pPr>
          </w:p>
        </w:tc>
        <w:tc>
          <w:tcPr>
            <w:tcW w:w="1426" w:type="dxa"/>
            <w:shd w:val="clear" w:color="auto" w:fill="auto"/>
            <w:vAlign w:val="center"/>
          </w:tcPr>
          <w:p w14:paraId="2767FBAD">
            <w:pPr>
              <w:rPr>
                <w:rFonts w:asciiTheme="minorEastAsia" w:hAnsiTheme="minorEastAsia"/>
                <w:sz w:val="21"/>
                <w:szCs w:val="21"/>
              </w:rPr>
            </w:pPr>
          </w:p>
        </w:tc>
        <w:tc>
          <w:tcPr>
            <w:tcW w:w="1792" w:type="dxa"/>
            <w:shd w:val="clear" w:color="auto" w:fill="auto"/>
            <w:vAlign w:val="center"/>
          </w:tcPr>
          <w:p w14:paraId="5B2ED2BB">
            <w:pPr>
              <w:rPr>
                <w:rFonts w:asciiTheme="minorEastAsia" w:hAnsiTheme="minorEastAsia"/>
                <w:sz w:val="21"/>
                <w:szCs w:val="21"/>
              </w:rPr>
            </w:pPr>
          </w:p>
        </w:tc>
      </w:tr>
      <w:tr w14:paraId="7D3CA7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64166E07">
            <w:pPr>
              <w:rPr>
                <w:rFonts w:asciiTheme="minorEastAsia" w:hAnsiTheme="minorEastAsia"/>
                <w:sz w:val="21"/>
                <w:szCs w:val="21"/>
              </w:rPr>
            </w:pPr>
          </w:p>
        </w:tc>
        <w:tc>
          <w:tcPr>
            <w:tcW w:w="1576" w:type="dxa"/>
            <w:shd w:val="clear" w:color="auto" w:fill="auto"/>
            <w:vAlign w:val="center"/>
          </w:tcPr>
          <w:p w14:paraId="4B87F183">
            <w:pPr>
              <w:rPr>
                <w:rFonts w:asciiTheme="minorEastAsia" w:hAnsiTheme="minorEastAsia"/>
                <w:sz w:val="21"/>
                <w:szCs w:val="21"/>
              </w:rPr>
            </w:pPr>
          </w:p>
        </w:tc>
        <w:tc>
          <w:tcPr>
            <w:tcW w:w="1417" w:type="dxa"/>
            <w:shd w:val="clear" w:color="auto" w:fill="auto"/>
            <w:vAlign w:val="center"/>
          </w:tcPr>
          <w:p w14:paraId="394908CE">
            <w:pPr>
              <w:rPr>
                <w:rFonts w:asciiTheme="minorEastAsia" w:hAnsiTheme="minorEastAsia"/>
                <w:sz w:val="21"/>
                <w:szCs w:val="21"/>
              </w:rPr>
            </w:pPr>
          </w:p>
        </w:tc>
        <w:tc>
          <w:tcPr>
            <w:tcW w:w="1701" w:type="dxa"/>
            <w:shd w:val="clear" w:color="auto" w:fill="auto"/>
            <w:vAlign w:val="center"/>
          </w:tcPr>
          <w:p w14:paraId="41E394FD">
            <w:pPr>
              <w:rPr>
                <w:rFonts w:asciiTheme="minorEastAsia" w:hAnsiTheme="minorEastAsia"/>
                <w:sz w:val="21"/>
                <w:szCs w:val="21"/>
              </w:rPr>
            </w:pPr>
          </w:p>
        </w:tc>
        <w:tc>
          <w:tcPr>
            <w:tcW w:w="1426" w:type="dxa"/>
            <w:shd w:val="clear" w:color="auto" w:fill="auto"/>
            <w:vAlign w:val="center"/>
          </w:tcPr>
          <w:p w14:paraId="52D772B2">
            <w:pPr>
              <w:rPr>
                <w:rFonts w:asciiTheme="minorEastAsia" w:hAnsiTheme="minorEastAsia"/>
                <w:sz w:val="21"/>
                <w:szCs w:val="21"/>
              </w:rPr>
            </w:pPr>
          </w:p>
        </w:tc>
        <w:tc>
          <w:tcPr>
            <w:tcW w:w="1792" w:type="dxa"/>
            <w:shd w:val="clear" w:color="auto" w:fill="auto"/>
            <w:vAlign w:val="center"/>
          </w:tcPr>
          <w:p w14:paraId="2E57E6C4">
            <w:pPr>
              <w:rPr>
                <w:rFonts w:asciiTheme="minorEastAsia" w:hAnsiTheme="minorEastAsia"/>
                <w:sz w:val="21"/>
                <w:szCs w:val="21"/>
              </w:rPr>
            </w:pPr>
          </w:p>
        </w:tc>
      </w:tr>
      <w:tr w14:paraId="7229A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5C946F9C">
            <w:pPr>
              <w:jc w:val="center"/>
              <w:rPr>
                <w:rFonts w:asciiTheme="minorEastAsia" w:hAnsiTheme="minorEastAsia"/>
                <w:sz w:val="21"/>
                <w:szCs w:val="21"/>
              </w:rPr>
            </w:pPr>
            <w:r>
              <w:rPr>
                <w:rFonts w:asciiTheme="minorEastAsia" w:hAnsiTheme="minorEastAsia"/>
                <w:sz w:val="21"/>
                <w:szCs w:val="21"/>
              </w:rPr>
              <w:t>备注</w:t>
            </w:r>
          </w:p>
        </w:tc>
        <w:tc>
          <w:tcPr>
            <w:tcW w:w="7912" w:type="dxa"/>
            <w:gridSpan w:val="5"/>
            <w:shd w:val="clear" w:color="auto" w:fill="auto"/>
            <w:vAlign w:val="center"/>
          </w:tcPr>
          <w:p w14:paraId="64234ED3">
            <w:pPr>
              <w:jc w:val="both"/>
              <w:rPr>
                <w:rFonts w:asciiTheme="minorEastAsia" w:hAnsiTheme="minorEastAsia"/>
                <w:sz w:val="21"/>
                <w:szCs w:val="21"/>
              </w:rPr>
            </w:pPr>
            <w:r>
              <w:rPr>
                <w:rFonts w:asciiTheme="minorEastAsia" w:hAnsiTheme="minorEastAsia"/>
                <w:sz w:val="21"/>
                <w:szCs w:val="21"/>
              </w:rPr>
              <w:t>① 表格行数不足时请自行扩展。</w:t>
            </w:r>
          </w:p>
          <w:p w14:paraId="458AA00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tc>
      </w:tr>
    </w:tbl>
    <w:p w14:paraId="72D6B5E7">
      <w:pPr>
        <w:rPr>
          <w:rFonts w:asciiTheme="minorEastAsia" w:hAnsiTheme="minorEastAsia" w:cstheme="minorHAnsi"/>
          <w:color w:val="C00000"/>
          <w:kern w:val="24"/>
        </w:rPr>
      </w:pPr>
      <w:r>
        <w:rPr>
          <w:rFonts w:asciiTheme="minorEastAsia" w:hAnsiTheme="minorEastAsia" w:cstheme="minorHAnsi"/>
          <w:color w:val="C00000"/>
          <w:kern w:val="24"/>
        </w:rPr>
        <w:t>附：</w:t>
      </w:r>
      <w:r>
        <w:rPr>
          <w:rFonts w:hint="eastAsia" w:asciiTheme="minorEastAsia" w:hAnsiTheme="minorEastAsia" w:cstheme="minorHAnsi"/>
          <w:color w:val="C00000"/>
          <w:kern w:val="24"/>
        </w:rPr>
        <w:t>设备购买发票或租赁证明</w:t>
      </w:r>
    </w:p>
    <w:p w14:paraId="3A9EA6E1">
      <w:pPr>
        <w:rPr>
          <w:rFonts w:asciiTheme="minorEastAsia" w:hAnsiTheme="minorEastAsia" w:cstheme="minorHAnsi"/>
          <w:b/>
          <w:color w:val="000000"/>
          <w:kern w:val="24"/>
        </w:rPr>
      </w:pPr>
    </w:p>
    <w:p w14:paraId="6F53AD8B">
      <w:pPr>
        <w:rPr>
          <w:rFonts w:asciiTheme="minorEastAsia" w:hAnsiTheme="minorEastAsia" w:cstheme="minorHAnsi"/>
          <w:b/>
          <w:color w:val="000000"/>
          <w:kern w:val="24"/>
        </w:rPr>
      </w:pPr>
      <w:r>
        <w:rPr>
          <w:rFonts w:asciiTheme="minorEastAsia" w:hAnsiTheme="minorEastAsia" w:cstheme="minorHAnsi"/>
          <w:b/>
          <w:color w:val="000000"/>
          <w:kern w:val="24"/>
        </w:rPr>
        <w:t>4．</w:t>
      </w:r>
      <w:r>
        <w:rPr>
          <w:rFonts w:hint="eastAsia" w:asciiTheme="minorEastAsia" w:hAnsiTheme="minorEastAsia" w:cstheme="minorHAnsi"/>
          <w:b/>
          <w:color w:val="000000"/>
          <w:kern w:val="24"/>
        </w:rPr>
        <w:t>企业资质</w:t>
      </w:r>
    </w:p>
    <w:p w14:paraId="5571EA0C">
      <w:pPr>
        <w:rPr>
          <w:rFonts w:asciiTheme="minorEastAsia" w:hAnsiTheme="minorEastAsia" w:cstheme="minorHAnsi"/>
          <w:b/>
          <w:color w:val="000000"/>
          <w:kern w:val="24"/>
        </w:rPr>
      </w:pPr>
    </w:p>
    <w:p w14:paraId="73E4F6CB">
      <w:pPr>
        <w:rPr>
          <w:rFonts w:asciiTheme="minorEastAsia" w:hAnsiTheme="minorEastAsia" w:cstheme="minorHAnsi"/>
          <w:b/>
          <w:color w:val="000000"/>
          <w:kern w:val="24"/>
        </w:rPr>
      </w:pPr>
      <w:r>
        <w:rPr>
          <w:rFonts w:hint="eastAsia" w:asciiTheme="minorEastAsia" w:hAnsiTheme="minorEastAsia" w:cstheme="minorHAnsi"/>
          <w:b/>
          <w:color w:val="000000"/>
          <w:kern w:val="24"/>
        </w:rPr>
        <w:t>5．认证证书</w:t>
      </w:r>
    </w:p>
    <w:p w14:paraId="21883646">
      <w:pPr>
        <w:rPr>
          <w:rFonts w:asciiTheme="minorEastAsia" w:hAnsiTheme="minorEastAsia" w:cstheme="minorHAnsi"/>
          <w:b/>
          <w:color w:val="000000"/>
          <w:kern w:val="24"/>
        </w:rPr>
      </w:pPr>
    </w:p>
    <w:p w14:paraId="158D2DDA">
      <w:pPr>
        <w:rPr>
          <w:rFonts w:asciiTheme="minorEastAsia" w:hAnsiTheme="minorEastAsia" w:cstheme="minorHAnsi"/>
          <w:b/>
          <w:color w:val="000000"/>
          <w:kern w:val="24"/>
        </w:rPr>
      </w:pPr>
      <w:r>
        <w:rPr>
          <w:rFonts w:asciiTheme="minorEastAsia" w:hAnsiTheme="minorEastAsia" w:cstheme="minorHAnsi"/>
          <w:b/>
          <w:color w:val="000000"/>
          <w:kern w:val="24"/>
        </w:rPr>
        <w:t>6</w:t>
      </w:r>
      <w:r>
        <w:rPr>
          <w:rFonts w:hint="eastAsia" w:asciiTheme="minorEastAsia" w:hAnsiTheme="minorEastAsia" w:cstheme="minorHAnsi"/>
          <w:b/>
          <w:color w:val="000000"/>
          <w:kern w:val="24"/>
        </w:rPr>
        <w:t>．业绩</w:t>
      </w:r>
    </w:p>
    <w:p w14:paraId="1C782DD1">
      <w:pPr>
        <w:rPr>
          <w:rFonts w:asciiTheme="minorEastAsia" w:hAnsiTheme="minorEastAsia" w:cstheme="minorHAnsi"/>
          <w:b/>
        </w:rPr>
      </w:pPr>
    </w:p>
    <w:p w14:paraId="49827016">
      <w:pPr>
        <w:rPr>
          <w:rFonts w:cstheme="minorHAnsi"/>
          <w:b/>
        </w:rPr>
      </w:pPr>
      <w:r>
        <w:rPr>
          <w:rFonts w:cstheme="minorHAnsi"/>
          <w:b/>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0C1D8066">
      <w:pPr>
        <w:rPr>
          <w:rFonts w:ascii="Calibri" w:hAnsi="华文仿宋"/>
          <w:b/>
        </w:rPr>
      </w:pPr>
    </w:p>
    <w:p w14:paraId="62D3921C">
      <w:pPr>
        <w:rPr>
          <w:rFonts w:cstheme="minorHAnsi"/>
        </w:rPr>
      </w:pPr>
    </w:p>
    <w:p w14:paraId="004BA9F8">
      <w:pPr>
        <w:rPr>
          <w:rFonts w:cstheme="minorHAnsi"/>
        </w:rPr>
        <w:sectPr>
          <w:footerReference r:id="rId31" w:type="default"/>
          <w:footerReference r:id="rId32"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1"/>
        <w:ind w:firstLine="480"/>
        <w:rPr>
          <w:i/>
          <w:color w:val="7030A0"/>
        </w:rPr>
      </w:pPr>
      <w:r>
        <w:rPr>
          <w:i/>
          <w:color w:val="7030A0"/>
        </w:rPr>
        <w:t>未签署下列承诺书的，将被视为无效投标，其责任由供应商自行承担。</w:t>
      </w:r>
    </w:p>
    <w:p w14:paraId="05D1ED37">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6186186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7062A41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133F136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7EF745B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3597CA6C">
      <w:pPr>
        <w:ind w:firstLine="480" w:firstLineChars="200"/>
        <w:jc w:val="both"/>
        <w:rPr>
          <w:rFonts w:ascii="Calibri" w:hAnsi="Calibri" w:eastAsia="宋体" w:cstheme="minorHAnsi"/>
          <w:color w:val="000000"/>
          <w:kern w:val="24"/>
        </w:rPr>
      </w:pPr>
    </w:p>
    <w:p w14:paraId="1B3D52CD">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1A9E337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7880822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sectPr>
      <w:footerReference r:id="rId33" w:type="default"/>
      <w:footerReference r:id="rId34"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77D01">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CFC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4FE34">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E7902">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CBB3C">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2F366">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3CD44">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47403">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7D0B1">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3C6D8">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7771">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1F392">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ADF0">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07644">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9F63F">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7774D">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3B9AB">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48F2">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EC122">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E70D">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2C869">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A37F9">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EB1A9">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西安职业技术学院安保社会化服务外包采购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8A53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西安职业技术学院安保社会化服务外包采购</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西安职业技术学院安保社会化服务外包采购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31F"/>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88"/>
    <w:rsid w:val="000440AF"/>
    <w:rsid w:val="00044F32"/>
    <w:rsid w:val="00047455"/>
    <w:rsid w:val="00051EF3"/>
    <w:rsid w:val="00052177"/>
    <w:rsid w:val="0005253E"/>
    <w:rsid w:val="00052922"/>
    <w:rsid w:val="000543B4"/>
    <w:rsid w:val="00054879"/>
    <w:rsid w:val="00054FF3"/>
    <w:rsid w:val="000556F1"/>
    <w:rsid w:val="00055F81"/>
    <w:rsid w:val="0005692F"/>
    <w:rsid w:val="00060D11"/>
    <w:rsid w:val="00061066"/>
    <w:rsid w:val="00061A13"/>
    <w:rsid w:val="0006226C"/>
    <w:rsid w:val="00062828"/>
    <w:rsid w:val="00062D84"/>
    <w:rsid w:val="00063EEF"/>
    <w:rsid w:val="00064071"/>
    <w:rsid w:val="00064386"/>
    <w:rsid w:val="00066950"/>
    <w:rsid w:val="00067A39"/>
    <w:rsid w:val="00067D44"/>
    <w:rsid w:val="0007053B"/>
    <w:rsid w:val="00070AA6"/>
    <w:rsid w:val="00071BE6"/>
    <w:rsid w:val="00072084"/>
    <w:rsid w:val="00073A16"/>
    <w:rsid w:val="00074562"/>
    <w:rsid w:val="0007534F"/>
    <w:rsid w:val="000770B7"/>
    <w:rsid w:val="00077B80"/>
    <w:rsid w:val="000815B4"/>
    <w:rsid w:val="00084264"/>
    <w:rsid w:val="00084335"/>
    <w:rsid w:val="000857F2"/>
    <w:rsid w:val="00085999"/>
    <w:rsid w:val="00085E78"/>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2F8E"/>
    <w:rsid w:val="000B4360"/>
    <w:rsid w:val="000B5741"/>
    <w:rsid w:val="000B5ACF"/>
    <w:rsid w:val="000B5DE5"/>
    <w:rsid w:val="000B6858"/>
    <w:rsid w:val="000B7806"/>
    <w:rsid w:val="000B7B93"/>
    <w:rsid w:val="000B7EF7"/>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A53"/>
    <w:rsid w:val="000D7EAE"/>
    <w:rsid w:val="000E1433"/>
    <w:rsid w:val="000E17C6"/>
    <w:rsid w:val="000E1C24"/>
    <w:rsid w:val="000E3C31"/>
    <w:rsid w:val="000E3FB5"/>
    <w:rsid w:val="000E49C1"/>
    <w:rsid w:val="000E5C68"/>
    <w:rsid w:val="000E5DED"/>
    <w:rsid w:val="000E6AE7"/>
    <w:rsid w:val="000F01AA"/>
    <w:rsid w:val="000F0C8A"/>
    <w:rsid w:val="000F1A9A"/>
    <w:rsid w:val="000F2036"/>
    <w:rsid w:val="000F27AD"/>
    <w:rsid w:val="000F2BEC"/>
    <w:rsid w:val="000F35AB"/>
    <w:rsid w:val="000F3645"/>
    <w:rsid w:val="000F476D"/>
    <w:rsid w:val="000F499A"/>
    <w:rsid w:val="000F4ECB"/>
    <w:rsid w:val="000F4FAD"/>
    <w:rsid w:val="000F56A5"/>
    <w:rsid w:val="000F5DB3"/>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932"/>
    <w:rsid w:val="00107B8A"/>
    <w:rsid w:val="00107BFB"/>
    <w:rsid w:val="001101BD"/>
    <w:rsid w:val="0011093D"/>
    <w:rsid w:val="001118A7"/>
    <w:rsid w:val="00111F0F"/>
    <w:rsid w:val="0011272B"/>
    <w:rsid w:val="001131D6"/>
    <w:rsid w:val="00113B9B"/>
    <w:rsid w:val="00116102"/>
    <w:rsid w:val="001173C5"/>
    <w:rsid w:val="0012085C"/>
    <w:rsid w:val="00121FC0"/>
    <w:rsid w:val="001221AC"/>
    <w:rsid w:val="00122D76"/>
    <w:rsid w:val="001232DE"/>
    <w:rsid w:val="001232E1"/>
    <w:rsid w:val="001240BB"/>
    <w:rsid w:val="001257D4"/>
    <w:rsid w:val="0013005B"/>
    <w:rsid w:val="0013015E"/>
    <w:rsid w:val="0013081C"/>
    <w:rsid w:val="0013082C"/>
    <w:rsid w:val="001315EA"/>
    <w:rsid w:val="00131904"/>
    <w:rsid w:val="0013342E"/>
    <w:rsid w:val="001338D9"/>
    <w:rsid w:val="00133ADB"/>
    <w:rsid w:val="00133B9E"/>
    <w:rsid w:val="00134EE2"/>
    <w:rsid w:val="001351E3"/>
    <w:rsid w:val="00135637"/>
    <w:rsid w:val="00135AA2"/>
    <w:rsid w:val="00136D4A"/>
    <w:rsid w:val="0013712F"/>
    <w:rsid w:val="00137CD5"/>
    <w:rsid w:val="00137E7B"/>
    <w:rsid w:val="00140177"/>
    <w:rsid w:val="00142244"/>
    <w:rsid w:val="001454AD"/>
    <w:rsid w:val="001455F6"/>
    <w:rsid w:val="001456C7"/>
    <w:rsid w:val="00145DA0"/>
    <w:rsid w:val="00152476"/>
    <w:rsid w:val="001534EC"/>
    <w:rsid w:val="0015361E"/>
    <w:rsid w:val="00154D39"/>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07F"/>
    <w:rsid w:val="00197C5C"/>
    <w:rsid w:val="00197D89"/>
    <w:rsid w:val="001A0376"/>
    <w:rsid w:val="001A061B"/>
    <w:rsid w:val="001A0C97"/>
    <w:rsid w:val="001A127F"/>
    <w:rsid w:val="001A2103"/>
    <w:rsid w:val="001A5309"/>
    <w:rsid w:val="001A5764"/>
    <w:rsid w:val="001A58E0"/>
    <w:rsid w:val="001B0699"/>
    <w:rsid w:val="001B0C7B"/>
    <w:rsid w:val="001B15EA"/>
    <w:rsid w:val="001B2019"/>
    <w:rsid w:val="001B3C57"/>
    <w:rsid w:val="001B3EB7"/>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768"/>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5599"/>
    <w:rsid w:val="001F7532"/>
    <w:rsid w:val="001F779A"/>
    <w:rsid w:val="001F7B5A"/>
    <w:rsid w:val="00200E55"/>
    <w:rsid w:val="00201795"/>
    <w:rsid w:val="002017D8"/>
    <w:rsid w:val="002027F6"/>
    <w:rsid w:val="002039B1"/>
    <w:rsid w:val="0020498C"/>
    <w:rsid w:val="002051A7"/>
    <w:rsid w:val="002061CB"/>
    <w:rsid w:val="00207790"/>
    <w:rsid w:val="00210476"/>
    <w:rsid w:val="00210CFC"/>
    <w:rsid w:val="00210FBE"/>
    <w:rsid w:val="002111A6"/>
    <w:rsid w:val="00212328"/>
    <w:rsid w:val="002125C8"/>
    <w:rsid w:val="00213205"/>
    <w:rsid w:val="002137AF"/>
    <w:rsid w:val="0021698B"/>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2A7D"/>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C8A"/>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2BA1"/>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02B"/>
    <w:rsid w:val="002C4511"/>
    <w:rsid w:val="002C45C3"/>
    <w:rsid w:val="002C4DAE"/>
    <w:rsid w:val="002C6405"/>
    <w:rsid w:val="002C6442"/>
    <w:rsid w:val="002C6F4A"/>
    <w:rsid w:val="002D1AEB"/>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07F20"/>
    <w:rsid w:val="00311862"/>
    <w:rsid w:val="00312811"/>
    <w:rsid w:val="0031590A"/>
    <w:rsid w:val="00316961"/>
    <w:rsid w:val="00316D60"/>
    <w:rsid w:val="003172BB"/>
    <w:rsid w:val="00317F17"/>
    <w:rsid w:val="0032080F"/>
    <w:rsid w:val="003216C3"/>
    <w:rsid w:val="0032203C"/>
    <w:rsid w:val="00322208"/>
    <w:rsid w:val="00322600"/>
    <w:rsid w:val="003231CF"/>
    <w:rsid w:val="00323283"/>
    <w:rsid w:val="003245F8"/>
    <w:rsid w:val="00324B69"/>
    <w:rsid w:val="00325042"/>
    <w:rsid w:val="00325D47"/>
    <w:rsid w:val="00325EF1"/>
    <w:rsid w:val="00326169"/>
    <w:rsid w:val="0032696A"/>
    <w:rsid w:val="00326B69"/>
    <w:rsid w:val="00327A6B"/>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4896"/>
    <w:rsid w:val="003666A9"/>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0FC4"/>
    <w:rsid w:val="0039216D"/>
    <w:rsid w:val="003929F1"/>
    <w:rsid w:val="00392EBD"/>
    <w:rsid w:val="00393459"/>
    <w:rsid w:val="003943D1"/>
    <w:rsid w:val="0039449C"/>
    <w:rsid w:val="00395695"/>
    <w:rsid w:val="0039665F"/>
    <w:rsid w:val="003966C3"/>
    <w:rsid w:val="00396F78"/>
    <w:rsid w:val="00397EEA"/>
    <w:rsid w:val="003A0002"/>
    <w:rsid w:val="003A0295"/>
    <w:rsid w:val="003A0D83"/>
    <w:rsid w:val="003A0DC6"/>
    <w:rsid w:val="003A0E76"/>
    <w:rsid w:val="003A192D"/>
    <w:rsid w:val="003A2A14"/>
    <w:rsid w:val="003A3CB1"/>
    <w:rsid w:val="003B086A"/>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52D"/>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28C"/>
    <w:rsid w:val="003F3882"/>
    <w:rsid w:val="003F3F0B"/>
    <w:rsid w:val="003F60A3"/>
    <w:rsid w:val="003F7C8E"/>
    <w:rsid w:val="004001BE"/>
    <w:rsid w:val="0040124D"/>
    <w:rsid w:val="004017C8"/>
    <w:rsid w:val="0040181A"/>
    <w:rsid w:val="00401D26"/>
    <w:rsid w:val="004024C2"/>
    <w:rsid w:val="00403FBB"/>
    <w:rsid w:val="00404A7B"/>
    <w:rsid w:val="00405285"/>
    <w:rsid w:val="00406631"/>
    <w:rsid w:val="004068A7"/>
    <w:rsid w:val="00406C11"/>
    <w:rsid w:val="00407BBB"/>
    <w:rsid w:val="004106B2"/>
    <w:rsid w:val="00411AA1"/>
    <w:rsid w:val="00411B24"/>
    <w:rsid w:val="00411C65"/>
    <w:rsid w:val="00412CBC"/>
    <w:rsid w:val="00414D38"/>
    <w:rsid w:val="004155E3"/>
    <w:rsid w:val="004155E5"/>
    <w:rsid w:val="004156E2"/>
    <w:rsid w:val="00415AB5"/>
    <w:rsid w:val="00415ABC"/>
    <w:rsid w:val="00416311"/>
    <w:rsid w:val="00416478"/>
    <w:rsid w:val="004173E5"/>
    <w:rsid w:val="0041776D"/>
    <w:rsid w:val="0041787E"/>
    <w:rsid w:val="00417AAE"/>
    <w:rsid w:val="00420875"/>
    <w:rsid w:val="00421EBB"/>
    <w:rsid w:val="00422EB1"/>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69C6"/>
    <w:rsid w:val="00437842"/>
    <w:rsid w:val="00441097"/>
    <w:rsid w:val="0044122A"/>
    <w:rsid w:val="004415D9"/>
    <w:rsid w:val="00441977"/>
    <w:rsid w:val="00441D7B"/>
    <w:rsid w:val="00442041"/>
    <w:rsid w:val="00442E62"/>
    <w:rsid w:val="00444250"/>
    <w:rsid w:val="00444298"/>
    <w:rsid w:val="00444474"/>
    <w:rsid w:val="0044514F"/>
    <w:rsid w:val="004456C5"/>
    <w:rsid w:val="004474B0"/>
    <w:rsid w:val="00454666"/>
    <w:rsid w:val="004547F6"/>
    <w:rsid w:val="004549DF"/>
    <w:rsid w:val="004550FE"/>
    <w:rsid w:val="004556E4"/>
    <w:rsid w:val="00455F40"/>
    <w:rsid w:val="004574A4"/>
    <w:rsid w:val="00460822"/>
    <w:rsid w:val="00463236"/>
    <w:rsid w:val="00463834"/>
    <w:rsid w:val="004657D3"/>
    <w:rsid w:val="00466895"/>
    <w:rsid w:val="0046690A"/>
    <w:rsid w:val="0046782F"/>
    <w:rsid w:val="00471E1E"/>
    <w:rsid w:val="0047278F"/>
    <w:rsid w:val="00473CE1"/>
    <w:rsid w:val="0047566E"/>
    <w:rsid w:val="0047590B"/>
    <w:rsid w:val="0047799A"/>
    <w:rsid w:val="00480CD4"/>
    <w:rsid w:val="004846F1"/>
    <w:rsid w:val="00486172"/>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2914"/>
    <w:rsid w:val="004A570C"/>
    <w:rsid w:val="004A5782"/>
    <w:rsid w:val="004A5A7A"/>
    <w:rsid w:val="004A5CFF"/>
    <w:rsid w:val="004A61D7"/>
    <w:rsid w:val="004A699E"/>
    <w:rsid w:val="004A6B5A"/>
    <w:rsid w:val="004A7113"/>
    <w:rsid w:val="004B1026"/>
    <w:rsid w:val="004B13F6"/>
    <w:rsid w:val="004B3327"/>
    <w:rsid w:val="004B3DF0"/>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0EF7"/>
    <w:rsid w:val="004D11A6"/>
    <w:rsid w:val="004D2147"/>
    <w:rsid w:val="004D2BAF"/>
    <w:rsid w:val="004D2D8E"/>
    <w:rsid w:val="004D2F54"/>
    <w:rsid w:val="004D3590"/>
    <w:rsid w:val="004D4879"/>
    <w:rsid w:val="004D64C5"/>
    <w:rsid w:val="004D6A1A"/>
    <w:rsid w:val="004D7112"/>
    <w:rsid w:val="004D7397"/>
    <w:rsid w:val="004D7C23"/>
    <w:rsid w:val="004D7F2C"/>
    <w:rsid w:val="004E07B6"/>
    <w:rsid w:val="004E0B6D"/>
    <w:rsid w:val="004E2550"/>
    <w:rsid w:val="004E4F56"/>
    <w:rsid w:val="004E5196"/>
    <w:rsid w:val="004E63AF"/>
    <w:rsid w:val="004E6FB3"/>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C10"/>
    <w:rsid w:val="00510D3F"/>
    <w:rsid w:val="00511E18"/>
    <w:rsid w:val="00512B77"/>
    <w:rsid w:val="00512C56"/>
    <w:rsid w:val="005159F0"/>
    <w:rsid w:val="00515ADE"/>
    <w:rsid w:val="00515E63"/>
    <w:rsid w:val="005176F4"/>
    <w:rsid w:val="005203BA"/>
    <w:rsid w:val="00521222"/>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12E0"/>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4524"/>
    <w:rsid w:val="00565711"/>
    <w:rsid w:val="00566019"/>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877"/>
    <w:rsid w:val="00585E3F"/>
    <w:rsid w:val="005866B9"/>
    <w:rsid w:val="00587094"/>
    <w:rsid w:val="005919EF"/>
    <w:rsid w:val="00592CFD"/>
    <w:rsid w:val="00593C8A"/>
    <w:rsid w:val="00594467"/>
    <w:rsid w:val="00594F66"/>
    <w:rsid w:val="005960B9"/>
    <w:rsid w:val="00596DDA"/>
    <w:rsid w:val="005A10DB"/>
    <w:rsid w:val="005A1806"/>
    <w:rsid w:val="005A20E0"/>
    <w:rsid w:val="005A24F4"/>
    <w:rsid w:val="005A32F2"/>
    <w:rsid w:val="005A3486"/>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0DB6"/>
    <w:rsid w:val="005C1784"/>
    <w:rsid w:val="005C3D94"/>
    <w:rsid w:val="005C50A4"/>
    <w:rsid w:val="005C50D1"/>
    <w:rsid w:val="005C5163"/>
    <w:rsid w:val="005C6C4F"/>
    <w:rsid w:val="005D000E"/>
    <w:rsid w:val="005D035F"/>
    <w:rsid w:val="005D2A79"/>
    <w:rsid w:val="005D3C04"/>
    <w:rsid w:val="005D5E30"/>
    <w:rsid w:val="005D62E5"/>
    <w:rsid w:val="005D7216"/>
    <w:rsid w:val="005E032C"/>
    <w:rsid w:val="005E12F7"/>
    <w:rsid w:val="005E37E1"/>
    <w:rsid w:val="005E51CD"/>
    <w:rsid w:val="005E548A"/>
    <w:rsid w:val="005E5BCC"/>
    <w:rsid w:val="005E5CCE"/>
    <w:rsid w:val="005E6A4F"/>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969"/>
    <w:rsid w:val="00606A55"/>
    <w:rsid w:val="00611427"/>
    <w:rsid w:val="00611AC2"/>
    <w:rsid w:val="00611FFE"/>
    <w:rsid w:val="00612626"/>
    <w:rsid w:val="00613BB6"/>
    <w:rsid w:val="0061572C"/>
    <w:rsid w:val="00615E79"/>
    <w:rsid w:val="00616D0D"/>
    <w:rsid w:val="0061777B"/>
    <w:rsid w:val="006211BA"/>
    <w:rsid w:val="00621531"/>
    <w:rsid w:val="00623385"/>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5ED5"/>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AA7"/>
    <w:rsid w:val="00662E32"/>
    <w:rsid w:val="00664104"/>
    <w:rsid w:val="00664343"/>
    <w:rsid w:val="0066668A"/>
    <w:rsid w:val="006670D6"/>
    <w:rsid w:val="00667CAB"/>
    <w:rsid w:val="00670BE1"/>
    <w:rsid w:val="006741A2"/>
    <w:rsid w:val="00674641"/>
    <w:rsid w:val="00675065"/>
    <w:rsid w:val="006752CA"/>
    <w:rsid w:val="00675563"/>
    <w:rsid w:val="00675AAC"/>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D7D7D"/>
    <w:rsid w:val="006E1A0E"/>
    <w:rsid w:val="006E1ECB"/>
    <w:rsid w:val="006E2DF5"/>
    <w:rsid w:val="006E2F77"/>
    <w:rsid w:val="006E3179"/>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237"/>
    <w:rsid w:val="006F7A75"/>
    <w:rsid w:val="0070080E"/>
    <w:rsid w:val="007019E2"/>
    <w:rsid w:val="007022FB"/>
    <w:rsid w:val="00703F7A"/>
    <w:rsid w:val="00704218"/>
    <w:rsid w:val="0070472C"/>
    <w:rsid w:val="007048B7"/>
    <w:rsid w:val="00706102"/>
    <w:rsid w:val="00706B38"/>
    <w:rsid w:val="00711356"/>
    <w:rsid w:val="007126F3"/>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305"/>
    <w:rsid w:val="007357E3"/>
    <w:rsid w:val="0073652C"/>
    <w:rsid w:val="00740381"/>
    <w:rsid w:val="007405AB"/>
    <w:rsid w:val="00740862"/>
    <w:rsid w:val="00740ED2"/>
    <w:rsid w:val="0074169B"/>
    <w:rsid w:val="00742326"/>
    <w:rsid w:val="007426D7"/>
    <w:rsid w:val="00743F8B"/>
    <w:rsid w:val="0074622A"/>
    <w:rsid w:val="00747EE2"/>
    <w:rsid w:val="007535D8"/>
    <w:rsid w:val="007552A7"/>
    <w:rsid w:val="007557E9"/>
    <w:rsid w:val="007566E2"/>
    <w:rsid w:val="00757FC1"/>
    <w:rsid w:val="00760265"/>
    <w:rsid w:val="00761357"/>
    <w:rsid w:val="00761C27"/>
    <w:rsid w:val="00762202"/>
    <w:rsid w:val="00763522"/>
    <w:rsid w:val="00763B46"/>
    <w:rsid w:val="00764A6D"/>
    <w:rsid w:val="0076550E"/>
    <w:rsid w:val="00765B85"/>
    <w:rsid w:val="00766E1C"/>
    <w:rsid w:val="00767121"/>
    <w:rsid w:val="00770983"/>
    <w:rsid w:val="00770A23"/>
    <w:rsid w:val="00770D89"/>
    <w:rsid w:val="00771FBD"/>
    <w:rsid w:val="00772751"/>
    <w:rsid w:val="00772BFA"/>
    <w:rsid w:val="007732E5"/>
    <w:rsid w:val="007735B7"/>
    <w:rsid w:val="0077367C"/>
    <w:rsid w:val="00773A1F"/>
    <w:rsid w:val="00773D80"/>
    <w:rsid w:val="007747FE"/>
    <w:rsid w:val="007750D4"/>
    <w:rsid w:val="00775725"/>
    <w:rsid w:val="00775864"/>
    <w:rsid w:val="00776280"/>
    <w:rsid w:val="0078129F"/>
    <w:rsid w:val="00781798"/>
    <w:rsid w:val="00781A2A"/>
    <w:rsid w:val="00782C17"/>
    <w:rsid w:val="0079003B"/>
    <w:rsid w:val="00791F35"/>
    <w:rsid w:val="0079398D"/>
    <w:rsid w:val="00796382"/>
    <w:rsid w:val="00797959"/>
    <w:rsid w:val="007A0298"/>
    <w:rsid w:val="007A07F3"/>
    <w:rsid w:val="007A0EED"/>
    <w:rsid w:val="007A1F61"/>
    <w:rsid w:val="007A2D00"/>
    <w:rsid w:val="007A3344"/>
    <w:rsid w:val="007A3396"/>
    <w:rsid w:val="007A3433"/>
    <w:rsid w:val="007A359F"/>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1FAF"/>
    <w:rsid w:val="007C2A5B"/>
    <w:rsid w:val="007C2F2F"/>
    <w:rsid w:val="007C32E6"/>
    <w:rsid w:val="007C4071"/>
    <w:rsid w:val="007C551E"/>
    <w:rsid w:val="007C6103"/>
    <w:rsid w:val="007C7079"/>
    <w:rsid w:val="007C745E"/>
    <w:rsid w:val="007C7E4A"/>
    <w:rsid w:val="007D1827"/>
    <w:rsid w:val="007D20D8"/>
    <w:rsid w:val="007D249E"/>
    <w:rsid w:val="007D2AE7"/>
    <w:rsid w:val="007D2EE8"/>
    <w:rsid w:val="007D39B9"/>
    <w:rsid w:val="007D4745"/>
    <w:rsid w:val="007D5563"/>
    <w:rsid w:val="007D5763"/>
    <w:rsid w:val="007D596E"/>
    <w:rsid w:val="007D6288"/>
    <w:rsid w:val="007D7193"/>
    <w:rsid w:val="007D7781"/>
    <w:rsid w:val="007D7958"/>
    <w:rsid w:val="007D7D00"/>
    <w:rsid w:val="007E0A87"/>
    <w:rsid w:val="007E0EF3"/>
    <w:rsid w:val="007E1576"/>
    <w:rsid w:val="007E1F6F"/>
    <w:rsid w:val="007E2BD2"/>
    <w:rsid w:val="007E59D7"/>
    <w:rsid w:val="007E5F41"/>
    <w:rsid w:val="007E6311"/>
    <w:rsid w:val="007E6CF2"/>
    <w:rsid w:val="007F0BE0"/>
    <w:rsid w:val="007F1EB4"/>
    <w:rsid w:val="007F304C"/>
    <w:rsid w:val="007F5493"/>
    <w:rsid w:val="007F575C"/>
    <w:rsid w:val="007F599D"/>
    <w:rsid w:val="007F5B53"/>
    <w:rsid w:val="007F60D5"/>
    <w:rsid w:val="007F6DC7"/>
    <w:rsid w:val="0080075E"/>
    <w:rsid w:val="00802948"/>
    <w:rsid w:val="00802AAC"/>
    <w:rsid w:val="008060FA"/>
    <w:rsid w:val="00806FED"/>
    <w:rsid w:val="008103CB"/>
    <w:rsid w:val="00811115"/>
    <w:rsid w:val="008122DE"/>
    <w:rsid w:val="00812F64"/>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365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4D01"/>
    <w:rsid w:val="00865BFC"/>
    <w:rsid w:val="0086776A"/>
    <w:rsid w:val="00870585"/>
    <w:rsid w:val="00872291"/>
    <w:rsid w:val="0087254B"/>
    <w:rsid w:val="00872837"/>
    <w:rsid w:val="0087394A"/>
    <w:rsid w:val="00873EAC"/>
    <w:rsid w:val="00874D32"/>
    <w:rsid w:val="00880D1C"/>
    <w:rsid w:val="00880EB6"/>
    <w:rsid w:val="0088102F"/>
    <w:rsid w:val="00881B84"/>
    <w:rsid w:val="00882D57"/>
    <w:rsid w:val="00885CC3"/>
    <w:rsid w:val="00886362"/>
    <w:rsid w:val="008876A3"/>
    <w:rsid w:val="00887DFB"/>
    <w:rsid w:val="0089199A"/>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C7B84"/>
    <w:rsid w:val="008D0DB7"/>
    <w:rsid w:val="008D2DAF"/>
    <w:rsid w:val="008D4EEC"/>
    <w:rsid w:val="008D5B0C"/>
    <w:rsid w:val="008D5BFC"/>
    <w:rsid w:val="008E1018"/>
    <w:rsid w:val="008E1C91"/>
    <w:rsid w:val="008E2EFF"/>
    <w:rsid w:val="008E3B9E"/>
    <w:rsid w:val="008E4AFF"/>
    <w:rsid w:val="008E4E0F"/>
    <w:rsid w:val="008E5935"/>
    <w:rsid w:val="008E6BB0"/>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1CB2"/>
    <w:rsid w:val="0090408F"/>
    <w:rsid w:val="009066DC"/>
    <w:rsid w:val="00906F8A"/>
    <w:rsid w:val="009104E4"/>
    <w:rsid w:val="00910A37"/>
    <w:rsid w:val="00910FFE"/>
    <w:rsid w:val="00911C4C"/>
    <w:rsid w:val="00913EA0"/>
    <w:rsid w:val="00914AF5"/>
    <w:rsid w:val="00915570"/>
    <w:rsid w:val="0091611D"/>
    <w:rsid w:val="00916267"/>
    <w:rsid w:val="00917373"/>
    <w:rsid w:val="009173A3"/>
    <w:rsid w:val="00917762"/>
    <w:rsid w:val="00917B62"/>
    <w:rsid w:val="0092016A"/>
    <w:rsid w:val="0092075F"/>
    <w:rsid w:val="0092091C"/>
    <w:rsid w:val="00920CEB"/>
    <w:rsid w:val="00921082"/>
    <w:rsid w:val="00922A4F"/>
    <w:rsid w:val="00922DE7"/>
    <w:rsid w:val="00922EFB"/>
    <w:rsid w:val="00923A6C"/>
    <w:rsid w:val="00923B78"/>
    <w:rsid w:val="009249C8"/>
    <w:rsid w:val="00925816"/>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6F8B"/>
    <w:rsid w:val="009570F6"/>
    <w:rsid w:val="00961028"/>
    <w:rsid w:val="0096331A"/>
    <w:rsid w:val="0096484B"/>
    <w:rsid w:val="00965C09"/>
    <w:rsid w:val="00966B06"/>
    <w:rsid w:val="00966B6A"/>
    <w:rsid w:val="0097057C"/>
    <w:rsid w:val="00970C2C"/>
    <w:rsid w:val="00971419"/>
    <w:rsid w:val="009715C5"/>
    <w:rsid w:val="00971AF2"/>
    <w:rsid w:val="009723B8"/>
    <w:rsid w:val="00972647"/>
    <w:rsid w:val="00973264"/>
    <w:rsid w:val="00975CD0"/>
    <w:rsid w:val="00976502"/>
    <w:rsid w:val="009817A0"/>
    <w:rsid w:val="00981AF7"/>
    <w:rsid w:val="0098281C"/>
    <w:rsid w:val="009833A0"/>
    <w:rsid w:val="00983C0B"/>
    <w:rsid w:val="0098423D"/>
    <w:rsid w:val="00984871"/>
    <w:rsid w:val="009850E9"/>
    <w:rsid w:val="00985DFA"/>
    <w:rsid w:val="00986315"/>
    <w:rsid w:val="00986617"/>
    <w:rsid w:val="009911E3"/>
    <w:rsid w:val="00991869"/>
    <w:rsid w:val="00992201"/>
    <w:rsid w:val="00992BCA"/>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9A"/>
    <w:rsid w:val="009B206F"/>
    <w:rsid w:val="009B32A8"/>
    <w:rsid w:val="009B5F6F"/>
    <w:rsid w:val="009B728E"/>
    <w:rsid w:val="009B7A7F"/>
    <w:rsid w:val="009B7A90"/>
    <w:rsid w:val="009B7BA4"/>
    <w:rsid w:val="009B7F07"/>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D0EFF"/>
    <w:rsid w:val="009D1B51"/>
    <w:rsid w:val="009D2D85"/>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26B"/>
    <w:rsid w:val="009F1DBD"/>
    <w:rsid w:val="009F22FE"/>
    <w:rsid w:val="009F410E"/>
    <w:rsid w:val="009F4EBF"/>
    <w:rsid w:val="009F5D47"/>
    <w:rsid w:val="009F68EB"/>
    <w:rsid w:val="009F750B"/>
    <w:rsid w:val="00A00435"/>
    <w:rsid w:val="00A00A4D"/>
    <w:rsid w:val="00A01FCD"/>
    <w:rsid w:val="00A025E8"/>
    <w:rsid w:val="00A03071"/>
    <w:rsid w:val="00A044F0"/>
    <w:rsid w:val="00A04764"/>
    <w:rsid w:val="00A05451"/>
    <w:rsid w:val="00A0582B"/>
    <w:rsid w:val="00A05B11"/>
    <w:rsid w:val="00A0600A"/>
    <w:rsid w:val="00A06B7F"/>
    <w:rsid w:val="00A06FBD"/>
    <w:rsid w:val="00A07001"/>
    <w:rsid w:val="00A07D9C"/>
    <w:rsid w:val="00A109CC"/>
    <w:rsid w:val="00A13EDB"/>
    <w:rsid w:val="00A14C4D"/>
    <w:rsid w:val="00A14C72"/>
    <w:rsid w:val="00A15504"/>
    <w:rsid w:val="00A15845"/>
    <w:rsid w:val="00A16B48"/>
    <w:rsid w:val="00A16ED8"/>
    <w:rsid w:val="00A17B52"/>
    <w:rsid w:val="00A200FF"/>
    <w:rsid w:val="00A2021A"/>
    <w:rsid w:val="00A20958"/>
    <w:rsid w:val="00A21110"/>
    <w:rsid w:val="00A2141C"/>
    <w:rsid w:val="00A21B16"/>
    <w:rsid w:val="00A22D76"/>
    <w:rsid w:val="00A2438C"/>
    <w:rsid w:val="00A24D47"/>
    <w:rsid w:val="00A25EAE"/>
    <w:rsid w:val="00A271E8"/>
    <w:rsid w:val="00A30370"/>
    <w:rsid w:val="00A31242"/>
    <w:rsid w:val="00A31E1E"/>
    <w:rsid w:val="00A32017"/>
    <w:rsid w:val="00A328C9"/>
    <w:rsid w:val="00A335F7"/>
    <w:rsid w:val="00A3527C"/>
    <w:rsid w:val="00A352E6"/>
    <w:rsid w:val="00A35CB4"/>
    <w:rsid w:val="00A36E1D"/>
    <w:rsid w:val="00A37CFC"/>
    <w:rsid w:val="00A37E7E"/>
    <w:rsid w:val="00A4093C"/>
    <w:rsid w:val="00A4098F"/>
    <w:rsid w:val="00A4193A"/>
    <w:rsid w:val="00A41E41"/>
    <w:rsid w:val="00A4279E"/>
    <w:rsid w:val="00A42D4A"/>
    <w:rsid w:val="00A451FE"/>
    <w:rsid w:val="00A45ABE"/>
    <w:rsid w:val="00A45C6F"/>
    <w:rsid w:val="00A46DCC"/>
    <w:rsid w:val="00A47B0A"/>
    <w:rsid w:val="00A5014E"/>
    <w:rsid w:val="00A50CBF"/>
    <w:rsid w:val="00A528A8"/>
    <w:rsid w:val="00A55DD6"/>
    <w:rsid w:val="00A562E3"/>
    <w:rsid w:val="00A569D3"/>
    <w:rsid w:val="00A5706D"/>
    <w:rsid w:val="00A602BC"/>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6DF6"/>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3274"/>
    <w:rsid w:val="00AB3E05"/>
    <w:rsid w:val="00AB6831"/>
    <w:rsid w:val="00AB7A0E"/>
    <w:rsid w:val="00AB7ABD"/>
    <w:rsid w:val="00AC0409"/>
    <w:rsid w:val="00AC09A1"/>
    <w:rsid w:val="00AC0C60"/>
    <w:rsid w:val="00AC178D"/>
    <w:rsid w:val="00AC1897"/>
    <w:rsid w:val="00AC1A52"/>
    <w:rsid w:val="00AC2E63"/>
    <w:rsid w:val="00AC2EA5"/>
    <w:rsid w:val="00AC3A70"/>
    <w:rsid w:val="00AC4494"/>
    <w:rsid w:val="00AC63F8"/>
    <w:rsid w:val="00AC6600"/>
    <w:rsid w:val="00AC6FC6"/>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46A"/>
    <w:rsid w:val="00AE0CFD"/>
    <w:rsid w:val="00AE16D0"/>
    <w:rsid w:val="00AE1978"/>
    <w:rsid w:val="00AE1DA8"/>
    <w:rsid w:val="00AE4D94"/>
    <w:rsid w:val="00AE5612"/>
    <w:rsid w:val="00AE5C6B"/>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2D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1747E"/>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7F8"/>
    <w:rsid w:val="00B26A2C"/>
    <w:rsid w:val="00B26BDA"/>
    <w:rsid w:val="00B27DB3"/>
    <w:rsid w:val="00B30526"/>
    <w:rsid w:val="00B3125B"/>
    <w:rsid w:val="00B31B0D"/>
    <w:rsid w:val="00B32F9A"/>
    <w:rsid w:val="00B32FCD"/>
    <w:rsid w:val="00B34577"/>
    <w:rsid w:val="00B34E07"/>
    <w:rsid w:val="00B34ED0"/>
    <w:rsid w:val="00B35897"/>
    <w:rsid w:val="00B412DD"/>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77790"/>
    <w:rsid w:val="00B81B80"/>
    <w:rsid w:val="00B81D7F"/>
    <w:rsid w:val="00B81ECA"/>
    <w:rsid w:val="00B830E9"/>
    <w:rsid w:val="00B838D7"/>
    <w:rsid w:val="00B83DCC"/>
    <w:rsid w:val="00B83F53"/>
    <w:rsid w:val="00B85358"/>
    <w:rsid w:val="00B85ABC"/>
    <w:rsid w:val="00B86A3E"/>
    <w:rsid w:val="00B87299"/>
    <w:rsid w:val="00B87B51"/>
    <w:rsid w:val="00B903B2"/>
    <w:rsid w:val="00B90D23"/>
    <w:rsid w:val="00B9113C"/>
    <w:rsid w:val="00B91DE8"/>
    <w:rsid w:val="00B92CD2"/>
    <w:rsid w:val="00B93ECE"/>
    <w:rsid w:val="00B94367"/>
    <w:rsid w:val="00B94B9D"/>
    <w:rsid w:val="00B96111"/>
    <w:rsid w:val="00B975ED"/>
    <w:rsid w:val="00B979E2"/>
    <w:rsid w:val="00B97D1F"/>
    <w:rsid w:val="00B97E9D"/>
    <w:rsid w:val="00BA1740"/>
    <w:rsid w:val="00BA1B01"/>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31D2"/>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085D"/>
    <w:rsid w:val="00BD15BE"/>
    <w:rsid w:val="00BD2E19"/>
    <w:rsid w:val="00BD3BF3"/>
    <w:rsid w:val="00BD5316"/>
    <w:rsid w:val="00BD6613"/>
    <w:rsid w:val="00BD6787"/>
    <w:rsid w:val="00BD7A29"/>
    <w:rsid w:val="00BE1F49"/>
    <w:rsid w:val="00BE41BE"/>
    <w:rsid w:val="00BE4EBB"/>
    <w:rsid w:val="00BE57E2"/>
    <w:rsid w:val="00BE65DE"/>
    <w:rsid w:val="00BE6F8C"/>
    <w:rsid w:val="00BE735F"/>
    <w:rsid w:val="00BF0B0F"/>
    <w:rsid w:val="00BF150A"/>
    <w:rsid w:val="00BF30A5"/>
    <w:rsid w:val="00BF3210"/>
    <w:rsid w:val="00BF3B09"/>
    <w:rsid w:val="00BF449C"/>
    <w:rsid w:val="00BF47BB"/>
    <w:rsid w:val="00BF4A06"/>
    <w:rsid w:val="00BF4B27"/>
    <w:rsid w:val="00BF641C"/>
    <w:rsid w:val="00BF6721"/>
    <w:rsid w:val="00C01EBF"/>
    <w:rsid w:val="00C02DA8"/>
    <w:rsid w:val="00C03270"/>
    <w:rsid w:val="00C03937"/>
    <w:rsid w:val="00C039C6"/>
    <w:rsid w:val="00C03D8E"/>
    <w:rsid w:val="00C044EA"/>
    <w:rsid w:val="00C048FB"/>
    <w:rsid w:val="00C04CFA"/>
    <w:rsid w:val="00C0514C"/>
    <w:rsid w:val="00C07250"/>
    <w:rsid w:val="00C074A8"/>
    <w:rsid w:val="00C076EF"/>
    <w:rsid w:val="00C07F2A"/>
    <w:rsid w:val="00C1262A"/>
    <w:rsid w:val="00C12AF0"/>
    <w:rsid w:val="00C1444A"/>
    <w:rsid w:val="00C144BA"/>
    <w:rsid w:val="00C15E59"/>
    <w:rsid w:val="00C15E84"/>
    <w:rsid w:val="00C16C84"/>
    <w:rsid w:val="00C17537"/>
    <w:rsid w:val="00C20D1A"/>
    <w:rsid w:val="00C21DB4"/>
    <w:rsid w:val="00C224CD"/>
    <w:rsid w:val="00C22AEC"/>
    <w:rsid w:val="00C2437B"/>
    <w:rsid w:val="00C25539"/>
    <w:rsid w:val="00C25B4A"/>
    <w:rsid w:val="00C25C2B"/>
    <w:rsid w:val="00C2744F"/>
    <w:rsid w:val="00C31B63"/>
    <w:rsid w:val="00C33D5F"/>
    <w:rsid w:val="00C3443C"/>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96"/>
    <w:rsid w:val="00C472A3"/>
    <w:rsid w:val="00C50C4A"/>
    <w:rsid w:val="00C51797"/>
    <w:rsid w:val="00C524B1"/>
    <w:rsid w:val="00C53D6E"/>
    <w:rsid w:val="00C544EF"/>
    <w:rsid w:val="00C54FB4"/>
    <w:rsid w:val="00C56B9D"/>
    <w:rsid w:val="00C56D79"/>
    <w:rsid w:val="00C60706"/>
    <w:rsid w:val="00C61A1B"/>
    <w:rsid w:val="00C6464D"/>
    <w:rsid w:val="00C6491B"/>
    <w:rsid w:val="00C64FE6"/>
    <w:rsid w:val="00C66713"/>
    <w:rsid w:val="00C67BE9"/>
    <w:rsid w:val="00C70E74"/>
    <w:rsid w:val="00C71217"/>
    <w:rsid w:val="00C72672"/>
    <w:rsid w:val="00C72DBC"/>
    <w:rsid w:val="00C72F18"/>
    <w:rsid w:val="00C73800"/>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058E"/>
    <w:rsid w:val="00CA14A2"/>
    <w:rsid w:val="00CA2995"/>
    <w:rsid w:val="00CA5311"/>
    <w:rsid w:val="00CA597B"/>
    <w:rsid w:val="00CA618E"/>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879"/>
    <w:rsid w:val="00CD4428"/>
    <w:rsid w:val="00CD495B"/>
    <w:rsid w:val="00CD5C64"/>
    <w:rsid w:val="00CD611F"/>
    <w:rsid w:val="00CD6818"/>
    <w:rsid w:val="00CD6CF4"/>
    <w:rsid w:val="00CD7C0B"/>
    <w:rsid w:val="00CD7C6C"/>
    <w:rsid w:val="00CE15B0"/>
    <w:rsid w:val="00CE3BDB"/>
    <w:rsid w:val="00CE4305"/>
    <w:rsid w:val="00CE44AB"/>
    <w:rsid w:val="00CE4BC6"/>
    <w:rsid w:val="00CE52BF"/>
    <w:rsid w:val="00CE698A"/>
    <w:rsid w:val="00CE70DB"/>
    <w:rsid w:val="00CE7D62"/>
    <w:rsid w:val="00CF001E"/>
    <w:rsid w:val="00CF2651"/>
    <w:rsid w:val="00CF3031"/>
    <w:rsid w:val="00CF363A"/>
    <w:rsid w:val="00CF4792"/>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5219"/>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276C7"/>
    <w:rsid w:val="00D31768"/>
    <w:rsid w:val="00D330DB"/>
    <w:rsid w:val="00D33B09"/>
    <w:rsid w:val="00D33C2D"/>
    <w:rsid w:val="00D34190"/>
    <w:rsid w:val="00D344FD"/>
    <w:rsid w:val="00D35E6A"/>
    <w:rsid w:val="00D361F7"/>
    <w:rsid w:val="00D367A3"/>
    <w:rsid w:val="00D36F7E"/>
    <w:rsid w:val="00D379C7"/>
    <w:rsid w:val="00D37A4D"/>
    <w:rsid w:val="00D37BDA"/>
    <w:rsid w:val="00D41A0B"/>
    <w:rsid w:val="00D41D8D"/>
    <w:rsid w:val="00D42370"/>
    <w:rsid w:val="00D42755"/>
    <w:rsid w:val="00D454EC"/>
    <w:rsid w:val="00D46FE0"/>
    <w:rsid w:val="00D51C08"/>
    <w:rsid w:val="00D51F3E"/>
    <w:rsid w:val="00D52B8F"/>
    <w:rsid w:val="00D54E2F"/>
    <w:rsid w:val="00D55586"/>
    <w:rsid w:val="00D55644"/>
    <w:rsid w:val="00D559B2"/>
    <w:rsid w:val="00D55D74"/>
    <w:rsid w:val="00D568D6"/>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2A95"/>
    <w:rsid w:val="00D93BBB"/>
    <w:rsid w:val="00D9483F"/>
    <w:rsid w:val="00D957E5"/>
    <w:rsid w:val="00D9612C"/>
    <w:rsid w:val="00D963A4"/>
    <w:rsid w:val="00D96B41"/>
    <w:rsid w:val="00DA02CE"/>
    <w:rsid w:val="00DA0A9B"/>
    <w:rsid w:val="00DA0DFD"/>
    <w:rsid w:val="00DA26D1"/>
    <w:rsid w:val="00DA4B6B"/>
    <w:rsid w:val="00DA7EC9"/>
    <w:rsid w:val="00DB18FC"/>
    <w:rsid w:val="00DB1DFA"/>
    <w:rsid w:val="00DB240D"/>
    <w:rsid w:val="00DB2769"/>
    <w:rsid w:val="00DB4762"/>
    <w:rsid w:val="00DB4E58"/>
    <w:rsid w:val="00DB51D0"/>
    <w:rsid w:val="00DB630A"/>
    <w:rsid w:val="00DB6473"/>
    <w:rsid w:val="00DB6F6B"/>
    <w:rsid w:val="00DB7D87"/>
    <w:rsid w:val="00DC1FC6"/>
    <w:rsid w:val="00DC3ED2"/>
    <w:rsid w:val="00DC4AE1"/>
    <w:rsid w:val="00DC5939"/>
    <w:rsid w:val="00DC6522"/>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112A"/>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4BA1"/>
    <w:rsid w:val="00E05F80"/>
    <w:rsid w:val="00E070FA"/>
    <w:rsid w:val="00E07564"/>
    <w:rsid w:val="00E07EB9"/>
    <w:rsid w:val="00E10A87"/>
    <w:rsid w:val="00E114BC"/>
    <w:rsid w:val="00E11D50"/>
    <w:rsid w:val="00E12434"/>
    <w:rsid w:val="00E13609"/>
    <w:rsid w:val="00E138AE"/>
    <w:rsid w:val="00E13FA4"/>
    <w:rsid w:val="00E14B3C"/>
    <w:rsid w:val="00E16067"/>
    <w:rsid w:val="00E212E3"/>
    <w:rsid w:val="00E21EB3"/>
    <w:rsid w:val="00E22505"/>
    <w:rsid w:val="00E227F4"/>
    <w:rsid w:val="00E2372E"/>
    <w:rsid w:val="00E23903"/>
    <w:rsid w:val="00E2465F"/>
    <w:rsid w:val="00E2575E"/>
    <w:rsid w:val="00E25B15"/>
    <w:rsid w:val="00E25E0D"/>
    <w:rsid w:val="00E2723D"/>
    <w:rsid w:val="00E27DAA"/>
    <w:rsid w:val="00E27FDC"/>
    <w:rsid w:val="00E303C9"/>
    <w:rsid w:val="00E30627"/>
    <w:rsid w:val="00E30807"/>
    <w:rsid w:val="00E30E7D"/>
    <w:rsid w:val="00E31BA9"/>
    <w:rsid w:val="00E332F8"/>
    <w:rsid w:val="00E33659"/>
    <w:rsid w:val="00E33F7C"/>
    <w:rsid w:val="00E366B2"/>
    <w:rsid w:val="00E40872"/>
    <w:rsid w:val="00E41594"/>
    <w:rsid w:val="00E423C2"/>
    <w:rsid w:val="00E4296F"/>
    <w:rsid w:val="00E44D88"/>
    <w:rsid w:val="00E45177"/>
    <w:rsid w:val="00E46034"/>
    <w:rsid w:val="00E46A08"/>
    <w:rsid w:val="00E47BE1"/>
    <w:rsid w:val="00E518FB"/>
    <w:rsid w:val="00E51911"/>
    <w:rsid w:val="00E560EE"/>
    <w:rsid w:val="00E56FE8"/>
    <w:rsid w:val="00E57C5E"/>
    <w:rsid w:val="00E57FE6"/>
    <w:rsid w:val="00E6057C"/>
    <w:rsid w:val="00E607A7"/>
    <w:rsid w:val="00E60C5E"/>
    <w:rsid w:val="00E630D7"/>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A39"/>
    <w:rsid w:val="00E8703F"/>
    <w:rsid w:val="00E873F7"/>
    <w:rsid w:val="00E87864"/>
    <w:rsid w:val="00E90EE7"/>
    <w:rsid w:val="00E91684"/>
    <w:rsid w:val="00E9170D"/>
    <w:rsid w:val="00E9198A"/>
    <w:rsid w:val="00E92C29"/>
    <w:rsid w:val="00E92DA0"/>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5741"/>
    <w:rsid w:val="00ED6961"/>
    <w:rsid w:val="00ED7CED"/>
    <w:rsid w:val="00ED7D80"/>
    <w:rsid w:val="00EE017D"/>
    <w:rsid w:val="00EE08BA"/>
    <w:rsid w:val="00EE0E7D"/>
    <w:rsid w:val="00EE1F17"/>
    <w:rsid w:val="00EE1F49"/>
    <w:rsid w:val="00EE1F87"/>
    <w:rsid w:val="00EE3720"/>
    <w:rsid w:val="00EE3943"/>
    <w:rsid w:val="00EE3F92"/>
    <w:rsid w:val="00EE4E4F"/>
    <w:rsid w:val="00EE68DF"/>
    <w:rsid w:val="00EE7634"/>
    <w:rsid w:val="00EF08C2"/>
    <w:rsid w:val="00EF1AA0"/>
    <w:rsid w:val="00EF1C30"/>
    <w:rsid w:val="00EF2095"/>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A90"/>
    <w:rsid w:val="00F31BE1"/>
    <w:rsid w:val="00F31CAB"/>
    <w:rsid w:val="00F31ECE"/>
    <w:rsid w:val="00F31FF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39B9"/>
    <w:rsid w:val="00F64C12"/>
    <w:rsid w:val="00F64D11"/>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1938"/>
    <w:rsid w:val="00F83666"/>
    <w:rsid w:val="00F85256"/>
    <w:rsid w:val="00F8751C"/>
    <w:rsid w:val="00F87572"/>
    <w:rsid w:val="00F87CA2"/>
    <w:rsid w:val="00F87FF7"/>
    <w:rsid w:val="00F911A7"/>
    <w:rsid w:val="00F91976"/>
    <w:rsid w:val="00F92BF3"/>
    <w:rsid w:val="00F92C8D"/>
    <w:rsid w:val="00F92D86"/>
    <w:rsid w:val="00F931AD"/>
    <w:rsid w:val="00F95FE5"/>
    <w:rsid w:val="00F96E61"/>
    <w:rsid w:val="00F9741A"/>
    <w:rsid w:val="00FA0E94"/>
    <w:rsid w:val="00FA1393"/>
    <w:rsid w:val="00FA18B4"/>
    <w:rsid w:val="00FA1F53"/>
    <w:rsid w:val="00FA2095"/>
    <w:rsid w:val="00FA244D"/>
    <w:rsid w:val="00FA2668"/>
    <w:rsid w:val="00FA60FE"/>
    <w:rsid w:val="00FA7224"/>
    <w:rsid w:val="00FB1215"/>
    <w:rsid w:val="00FB2935"/>
    <w:rsid w:val="00FB3D8E"/>
    <w:rsid w:val="00FB4CB0"/>
    <w:rsid w:val="00FB608E"/>
    <w:rsid w:val="00FB6392"/>
    <w:rsid w:val="00FB63A7"/>
    <w:rsid w:val="00FB6B49"/>
    <w:rsid w:val="00FC0A59"/>
    <w:rsid w:val="00FC0E03"/>
    <w:rsid w:val="00FC149A"/>
    <w:rsid w:val="00FC326D"/>
    <w:rsid w:val="00FC3953"/>
    <w:rsid w:val="00FC39BA"/>
    <w:rsid w:val="00FC3DAC"/>
    <w:rsid w:val="00FC5864"/>
    <w:rsid w:val="00FC6E9B"/>
    <w:rsid w:val="00FC7C3D"/>
    <w:rsid w:val="00FD1428"/>
    <w:rsid w:val="00FD20C5"/>
    <w:rsid w:val="00FD2761"/>
    <w:rsid w:val="00FD2AA0"/>
    <w:rsid w:val="00FD37B5"/>
    <w:rsid w:val="00FD4568"/>
    <w:rsid w:val="00FD5B5E"/>
    <w:rsid w:val="00FD613E"/>
    <w:rsid w:val="00FD6F4D"/>
    <w:rsid w:val="00FD728F"/>
    <w:rsid w:val="00FE0559"/>
    <w:rsid w:val="00FE05A0"/>
    <w:rsid w:val="00FE12FC"/>
    <w:rsid w:val="00FE16E0"/>
    <w:rsid w:val="00FE3884"/>
    <w:rsid w:val="00FE3FCF"/>
    <w:rsid w:val="00FE4338"/>
    <w:rsid w:val="00FE5D2D"/>
    <w:rsid w:val="00FF025A"/>
    <w:rsid w:val="00FF161C"/>
    <w:rsid w:val="00FF2C7E"/>
    <w:rsid w:val="00FF2E19"/>
    <w:rsid w:val="00FF568F"/>
    <w:rsid w:val="00FF636E"/>
    <w:rsid w:val="00FF756F"/>
    <w:rsid w:val="5D6A1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 w:type="paragraph" w:customStyle="1" w:styleId="99">
    <w:name w:val="样式1"/>
    <w:basedOn w:val="1"/>
    <w:qFormat/>
    <w:uiPriority w:val="0"/>
    <w:pPr>
      <w:widowControl w:val="0"/>
      <w:adjustRightInd w:val="0"/>
      <w:jc w:val="both"/>
      <w:textAlignment w:val="baseline"/>
    </w:pPr>
    <w:rPr>
      <w:rFonts w:ascii="宋体" w:hAnsi="Times New Roman"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numbering" Target="numbering.xml"/><Relationship Id="rId35" Type="http://schemas.openxmlformats.org/officeDocument/2006/relationships/theme" Target="theme/theme1.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6041D-380A-491B-A15B-CA394DD2E66E}">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60</Pages>
  <Words>330</Words>
  <Characters>386</Characters>
  <Lines>1008</Lines>
  <Paragraphs>1070</Paragraphs>
  <TotalTime>0</TotalTime>
  <ScaleCrop>false</ScaleCrop>
  <LinksUpToDate>false</LinksUpToDate>
  <CharactersWithSpaces>399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2026-04-07T09:06:00Z</dcterms:created>
  <dc:creator>admin</dc:creator>
  <cp:lastModifiedBy>常巧利</cp:lastModifiedBy>
  <cp:lastPrinted>2026-03-25T03:18:00Z</cp:lastPrinted>
  <dcterms:modified xsi:type="dcterms:W3CDTF">2026-05-08T08:56:12Z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D66EFF60BB5840D3BB212F1C9FDBB8FA_13</vt:lpwstr>
  </property>
</Properties>
</file>