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29555">
      <w:pPr>
        <w:pStyle w:val="4"/>
      </w:pPr>
      <w:r>
        <w:rPr>
          <w:rFonts w:ascii="仿宋_GB2312" w:hAnsi="仿宋_GB2312" w:eastAsia="仿宋_GB2312" w:cs="仿宋_GB2312"/>
        </w:rPr>
        <w:t>一、招标要求</w:t>
      </w:r>
    </w:p>
    <w:p w14:paraId="28C24C04">
      <w:pPr>
        <w:pStyle w:val="4"/>
      </w:pPr>
      <w:r>
        <w:rPr>
          <w:rFonts w:ascii="仿宋_GB2312" w:hAnsi="仿宋_GB2312" w:eastAsia="仿宋_GB2312" w:cs="仿宋_GB2312"/>
        </w:rPr>
        <w:t>1、编制“大雁塔不均匀沉降及变形监测”项目方案，并提供大雁塔监测专用测量设备工具。</w:t>
      </w:r>
    </w:p>
    <w:p w14:paraId="07DB2D19">
      <w:pPr>
        <w:pStyle w:val="4"/>
      </w:pPr>
      <w:r>
        <w:rPr>
          <w:rFonts w:ascii="仿宋_GB2312" w:hAnsi="仿宋_GB2312" w:eastAsia="仿宋_GB2312" w:cs="仿宋_GB2312"/>
        </w:rPr>
        <w:t>2、本项目监测等级为“一等”，一年监测不少于二次，特殊情况需随时加测，监测程序及监测技术科学合理，每次监测完成后及时向大雁塔管理机构提交专业技术报告，形成数据累计、对比分析，为综合研判提供监测依据。</w:t>
      </w:r>
    </w:p>
    <w:p w14:paraId="1F176E53">
      <w:pPr>
        <w:pStyle w:val="4"/>
      </w:pPr>
      <w:r>
        <w:rPr>
          <w:rFonts w:ascii="仿宋_GB2312" w:hAnsi="仿宋_GB2312" w:eastAsia="仿宋_GB2312" w:cs="仿宋_GB2312"/>
        </w:rPr>
        <w:t>3、满足测绘内容：塔身轴线变化监测；塔身总体倾斜监测；塔身挠度监测；环塔路及其半径1公里范围内的地面沉降监测；塔身沉降监测；塔座及近处地面加密沉降点的监测；塔身结构稳定性的监测。</w:t>
      </w:r>
    </w:p>
    <w:p w14:paraId="6FD2D697">
      <w:pPr>
        <w:pStyle w:val="4"/>
      </w:pPr>
      <w:r>
        <w:rPr>
          <w:rFonts w:ascii="仿宋_GB2312" w:hAnsi="仿宋_GB2312" w:eastAsia="仿宋_GB2312" w:cs="仿宋_GB2312"/>
        </w:rPr>
        <w:t>二、技术要求</w:t>
      </w:r>
    </w:p>
    <w:p w14:paraId="298F04BD">
      <w:pPr>
        <w:pStyle w:val="4"/>
      </w:pPr>
      <w:r>
        <w:rPr>
          <w:rFonts w:ascii="仿宋_GB2312" w:hAnsi="仿宋_GB2312" w:eastAsia="仿宋_GB2312" w:cs="仿宋_GB2312"/>
        </w:rPr>
        <w:t>依据本项目技术文件的要求，观测需达到但不限于下列现行主要的中华人民共和国以及 省、市或行业的沉降观测技术标准或规范的要求</w:t>
      </w:r>
    </w:p>
    <w:p w14:paraId="44D13224">
      <w:pPr>
        <w:pStyle w:val="4"/>
      </w:pPr>
      <w:r>
        <w:rPr>
          <w:rFonts w:ascii="仿宋_GB2312" w:hAnsi="仿宋_GB2312" w:eastAsia="仿宋_GB2312" w:cs="仿宋_GB2312"/>
        </w:rPr>
        <w:t>1、《中华人民共和国文物保护法》；</w:t>
      </w:r>
    </w:p>
    <w:p w14:paraId="31B9C03B">
      <w:pPr>
        <w:pStyle w:val="4"/>
      </w:pPr>
      <w:r>
        <w:rPr>
          <w:rFonts w:ascii="仿宋_GB2312" w:hAnsi="仿宋_GB2312" w:eastAsia="仿宋_GB2312" w:cs="仿宋_GB2312"/>
        </w:rPr>
        <w:t>2、《中国文物古迹保护准则》；</w:t>
      </w:r>
    </w:p>
    <w:p w14:paraId="073B851D">
      <w:pPr>
        <w:pStyle w:val="4"/>
      </w:pPr>
      <w:r>
        <w:rPr>
          <w:rFonts w:ascii="仿宋_GB2312" w:hAnsi="仿宋_GB2312" w:eastAsia="仿宋_GB2312" w:cs="仿宋_GB2312"/>
        </w:rPr>
        <w:t>3、《陕西省文物保护管理条例》；</w:t>
      </w:r>
    </w:p>
    <w:p w14:paraId="5AB87260">
      <w:pPr>
        <w:pStyle w:val="4"/>
      </w:pPr>
      <w:r>
        <w:rPr>
          <w:rFonts w:ascii="仿宋_GB2312" w:hAnsi="仿宋_GB2312" w:eastAsia="仿宋_GB2312" w:cs="仿宋_GB2312"/>
        </w:rPr>
        <w:t>4、《西安市不可移动文物保护条例》；</w:t>
      </w:r>
    </w:p>
    <w:p w14:paraId="136C8468">
      <w:pPr>
        <w:pStyle w:val="4"/>
      </w:pPr>
      <w:r>
        <w:rPr>
          <w:rFonts w:ascii="仿宋_GB2312" w:hAnsi="仿宋_GB2312" w:eastAsia="仿宋_GB2312" w:cs="仿宋_GB2312"/>
        </w:rPr>
        <w:t>5、《工程测量标准》（GB50026-2020）；</w:t>
      </w:r>
    </w:p>
    <w:p w14:paraId="16505869">
      <w:pPr>
        <w:pStyle w:val="4"/>
      </w:pPr>
      <w:r>
        <w:rPr>
          <w:rFonts w:ascii="仿宋_GB2312" w:hAnsi="仿宋_GB2312" w:eastAsia="仿宋_GB2312" w:cs="仿宋_GB2312"/>
        </w:rPr>
        <w:t>6、《建筑变形测量规范》（JGJ8-2016）；</w:t>
      </w:r>
    </w:p>
    <w:p w14:paraId="00FDD22B">
      <w:pPr>
        <w:pStyle w:val="4"/>
      </w:pPr>
      <w:r>
        <w:rPr>
          <w:rFonts w:ascii="仿宋_GB2312" w:hAnsi="仿宋_GB2312" w:eastAsia="仿宋_GB2312" w:cs="仿宋_GB2312"/>
        </w:rPr>
        <w:t>7、《全球定位系统（GPS）测量规范》（GB/T 18314-2009）；</w:t>
      </w:r>
    </w:p>
    <w:p w14:paraId="5AF2C9EA">
      <w:pPr>
        <w:pStyle w:val="4"/>
      </w:pPr>
      <w:r>
        <w:rPr>
          <w:rFonts w:ascii="仿宋_GB2312" w:hAnsi="仿宋_GB2312" w:eastAsia="仿宋_GB2312" w:cs="仿宋_GB2312"/>
        </w:rPr>
        <w:t>8、《国家一、二等水准测量规范》（GB/T 12897-2006）；</w:t>
      </w:r>
    </w:p>
    <w:p w14:paraId="38927E17">
      <w:pPr>
        <w:pStyle w:val="4"/>
      </w:pPr>
      <w:r>
        <w:rPr>
          <w:rFonts w:ascii="仿宋_GB2312" w:hAnsi="仿宋_GB2312" w:eastAsia="仿宋_GB2312" w:cs="仿宋_GB2312"/>
        </w:rPr>
        <w:t>9、《岩土工程勘察规范》（GB50021-2001）（2009 年版）；</w:t>
      </w:r>
    </w:p>
    <w:p w14:paraId="0B1EBD76">
      <w:pPr>
        <w:pStyle w:val="4"/>
      </w:pPr>
      <w:r>
        <w:rPr>
          <w:rFonts w:ascii="仿宋_GB2312" w:hAnsi="仿宋_GB2312" w:eastAsia="仿宋_GB2312" w:cs="仿宋_GB2312"/>
        </w:rPr>
        <w:t>10、《供水水文地质勘察规范》GB50027-2001；</w:t>
      </w:r>
    </w:p>
    <w:p w14:paraId="5BD184CA">
      <w:pPr>
        <w:pStyle w:val="4"/>
      </w:pPr>
      <w:r>
        <w:rPr>
          <w:rFonts w:ascii="仿宋_GB2312" w:hAnsi="仿宋_GB2312" w:eastAsia="仿宋_GB2312" w:cs="仿宋_GB2312"/>
        </w:rPr>
        <w:t>11、《公共安全视频监控联网系统信息传输、交换、控制技术要求》（GB/T28181-2016） ；</w:t>
      </w:r>
    </w:p>
    <w:p w14:paraId="4C0E52B5">
      <w:pPr>
        <w:pStyle w:val="4"/>
      </w:pPr>
      <w:r>
        <w:rPr>
          <w:rFonts w:ascii="仿宋_GB2312" w:hAnsi="仿宋_GB2312" w:eastAsia="仿宋_GB2312" w:cs="仿宋_GB2312"/>
        </w:rPr>
        <w:t>12、国家或行业其他相关规范、强制性标准</w:t>
      </w:r>
    </w:p>
    <w:p w14:paraId="236671B1">
      <w:pPr>
        <w:pStyle w:val="4"/>
      </w:pPr>
      <w:r>
        <w:rPr>
          <w:rFonts w:ascii="仿宋_GB2312" w:hAnsi="仿宋_GB2312" w:eastAsia="仿宋_GB2312" w:cs="仿宋_GB2312"/>
        </w:rPr>
        <w:t>三、人员配置要求</w:t>
      </w:r>
    </w:p>
    <w:p w14:paraId="40EB644E">
      <w:pPr>
        <w:pStyle w:val="4"/>
      </w:pPr>
      <w:r>
        <w:rPr>
          <w:rFonts w:ascii="仿宋_GB2312" w:hAnsi="仿宋_GB2312" w:eastAsia="仿宋_GB2312" w:cs="仿宋_GB2312"/>
        </w:rPr>
        <w:t>1、供应商须承诺根据采购人要求能够保证在临时因工作需要时，安排1名人员，在采购人指定的场所驻点工作。</w:t>
      </w:r>
    </w:p>
    <w:p w14:paraId="4D35E6F6">
      <w:pPr>
        <w:pStyle w:val="4"/>
      </w:pPr>
      <w:r>
        <w:rPr>
          <w:rFonts w:ascii="仿宋_GB2312" w:hAnsi="仿宋_GB2312" w:eastAsia="仿宋_GB2312" w:cs="仿宋_GB2312"/>
        </w:rPr>
        <w:t>2、供应商须在响应文件中详细列清参与本项目人员的名单、资历、资格。项目执行期间，供应商须严格按照响应文件填报的项目人员进行考勤管理。</w:t>
      </w:r>
    </w:p>
    <w:p w14:paraId="0D696922">
      <w:pPr>
        <w:pStyle w:val="4"/>
      </w:pPr>
      <w:r>
        <w:rPr>
          <w:rFonts w:ascii="仿宋_GB2312" w:hAnsi="仿宋_GB2312" w:eastAsia="仿宋_GB2312" w:cs="仿宋_GB2312"/>
        </w:rPr>
        <w:t>3、供应商在响应文件中填报的项目人员不得随意更换，如确需更换须经采购人同意，且拟更换人员应具备同等或以上专业技术资格。</w:t>
      </w:r>
    </w:p>
    <w:p w14:paraId="16B9175F">
      <w:pPr>
        <w:pStyle w:val="4"/>
      </w:pPr>
      <w:r>
        <w:rPr>
          <w:rFonts w:ascii="仿宋_GB2312" w:hAnsi="仿宋_GB2312" w:eastAsia="仿宋_GB2312" w:cs="仿宋_GB2312"/>
        </w:rPr>
        <w:t>4、供应商派出的人员不能胜任该项工作的，采购人有权要求调换。</w:t>
      </w:r>
    </w:p>
    <w:p w14:paraId="33151460">
      <w:pPr>
        <w:pStyle w:val="4"/>
      </w:pPr>
      <w:r>
        <w:rPr>
          <w:rFonts w:ascii="仿宋_GB2312" w:hAnsi="仿宋_GB2312" w:eastAsia="仿宋_GB2312" w:cs="仿宋_GB2312"/>
        </w:rPr>
        <w:t>5、供应商派出的人员违反有关法律、法规或采购人制定的工作纪律、或被有效投诉的，采购人除相应扣减要支付给供应商的费用外，可视情节解除与供应商的服务协议。</w:t>
      </w:r>
    </w:p>
    <w:p w14:paraId="4959A852">
      <w:r>
        <w:rPr>
          <w:rFonts w:ascii="仿宋_GB2312" w:hAnsi="仿宋_GB2312" w:eastAsia="仿宋_GB2312" w:cs="仿宋_GB2312"/>
        </w:rPr>
        <w:t>6、供应商项目负责人具有注册测绘师资格证书和相关行业高级职称。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F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2026-05-09T02:48:34Z</dcterms:created>
  <dc:creator>Administrator</dc:creator>
  <cp:lastModifiedBy>123</cp:lastModifiedBy>
  <dcterms:modified xsi:type="dcterms:W3CDTF">2026-05-09T02:48:41Z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eyJoZGlkIjoiOGQ3ODNlYjZjZWMzNDM3YjRkMjE4MzBmODAzNWZiY2UiLCJ1c2VySWQiOiI0NDQ4NzkxMjQifQ==</vt:lpwstr>
  </property>
  <property fmtid="{D5CDD505-2E9C-101B-9397-08002B2CF9AE}" pid="4" name="ICV">
    <vt:lpwstr>4A9170D03FEB4D4CAE5BF85CDA9A512D_12</vt:lpwstr>
  </property>
</Properties>
</file>