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F52C2">
      <w:pPr>
        <w:jc w:val="both"/>
        <w:rPr>
          <w:rFonts w:hint="eastAsia" w:ascii="宋体" w:hAnsi="宋体" w:eastAsia="宋体" w:cs="宋体"/>
          <w:b/>
          <w:snapToGrid w:val="0"/>
          <w:sz w:val="48"/>
          <w:szCs w:val="48"/>
          <w:highlight w:val="none"/>
          <w:u w:val="single"/>
        </w:rPr>
      </w:pPr>
    </w:p>
    <w:p w14:paraId="54216530">
      <w:pPr>
        <w:jc w:val="center"/>
        <w:rPr>
          <w:rFonts w:hint="eastAsia" w:ascii="宋体" w:hAnsi="宋体" w:eastAsia="宋体" w:cs="宋体"/>
          <w:b/>
          <w:snapToGrid w:val="0"/>
          <w:sz w:val="48"/>
          <w:szCs w:val="48"/>
          <w:highlight w:val="none"/>
          <w:u w:val="single"/>
        </w:rPr>
      </w:pPr>
    </w:p>
    <w:p w14:paraId="7976C279">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bookmarkStart w:id="0" w:name="_Toc1475"/>
      <w:bookmarkStart w:id="1" w:name="_Toc1469"/>
      <w:bookmarkStart w:id="2" w:name="_Toc9646"/>
      <w:bookmarkStart w:id="3" w:name="_Toc5552"/>
      <w:bookmarkStart w:id="4" w:name="_Toc22946"/>
      <w:r>
        <w:rPr>
          <w:rFonts w:hint="eastAsia" w:ascii="宋体" w:hAnsi="宋体" w:eastAsia="宋体" w:cs="宋体"/>
          <w:b/>
          <w:snapToGrid w:val="0"/>
          <w:sz w:val="48"/>
          <w:szCs w:val="48"/>
          <w:highlight w:val="none"/>
          <w:u w:val="none"/>
        </w:rPr>
        <w:t>西安市会展业第三方统计项目</w:t>
      </w:r>
    </w:p>
    <w:p w14:paraId="56EDE07A">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21"/>
          <w:szCs w:val="21"/>
          <w:highlight w:val="none"/>
          <w:u w:val="none"/>
          <w:lang w:eastAsia="zh-CN"/>
        </w:rPr>
      </w:pPr>
      <w:r>
        <w:rPr>
          <w:rFonts w:hint="eastAsia" w:ascii="宋体" w:hAnsi="宋体" w:eastAsia="宋体" w:cs="宋体"/>
          <w:b/>
          <w:snapToGrid w:val="0"/>
          <w:sz w:val="21"/>
          <w:szCs w:val="21"/>
          <w:highlight w:val="none"/>
          <w:u w:val="none"/>
          <w:lang w:eastAsia="zh-CN"/>
        </w:rPr>
        <w:t>（</w:t>
      </w:r>
      <w:r>
        <w:rPr>
          <w:rFonts w:hint="eastAsia" w:ascii="宋体" w:hAnsi="宋体" w:eastAsia="宋体" w:cs="宋体"/>
          <w:b/>
          <w:snapToGrid w:val="0"/>
          <w:sz w:val="21"/>
          <w:szCs w:val="21"/>
          <w:highlight w:val="none"/>
          <w:u w:val="none"/>
          <w:lang w:val="en-US" w:eastAsia="zh-CN"/>
        </w:rPr>
        <w:t>仅供参考，具体以双方签订合同为准</w:t>
      </w:r>
      <w:r>
        <w:rPr>
          <w:rFonts w:hint="eastAsia" w:ascii="宋体" w:hAnsi="宋体" w:eastAsia="宋体" w:cs="宋体"/>
          <w:b/>
          <w:snapToGrid w:val="0"/>
          <w:sz w:val="21"/>
          <w:szCs w:val="21"/>
          <w:highlight w:val="none"/>
          <w:u w:val="none"/>
          <w:lang w:eastAsia="zh-CN"/>
        </w:rPr>
        <w:t>）</w:t>
      </w:r>
    </w:p>
    <w:p w14:paraId="6FAE04FE">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p>
    <w:p w14:paraId="2EF11F51">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p>
    <w:p w14:paraId="511121CB">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r>
        <w:rPr>
          <w:rFonts w:hint="eastAsia" w:ascii="宋体" w:hAnsi="宋体" w:eastAsia="宋体" w:cs="宋体"/>
          <w:b/>
          <w:snapToGrid w:val="0"/>
          <w:sz w:val="48"/>
          <w:szCs w:val="48"/>
          <w:highlight w:val="none"/>
          <w:u w:val="none"/>
        </w:rPr>
        <w:t>服务合同</w:t>
      </w:r>
      <w:bookmarkEnd w:id="0"/>
      <w:bookmarkEnd w:id="1"/>
      <w:bookmarkEnd w:id="2"/>
      <w:bookmarkEnd w:id="3"/>
      <w:bookmarkEnd w:id="4"/>
    </w:p>
    <w:p w14:paraId="55598EFE">
      <w:pPr>
        <w:pStyle w:val="2"/>
        <w:rPr>
          <w:rFonts w:hint="eastAsia" w:ascii="宋体" w:hAnsi="宋体" w:eastAsia="宋体" w:cs="宋体"/>
        </w:rPr>
      </w:pPr>
    </w:p>
    <w:p w14:paraId="5FCB6199">
      <w:pPr>
        <w:jc w:val="center"/>
        <w:rPr>
          <w:rFonts w:hint="eastAsia" w:ascii="宋体" w:hAnsi="宋体" w:eastAsia="宋体" w:cs="宋体"/>
          <w:sz w:val="30"/>
          <w:szCs w:val="30"/>
          <w:highlight w:val="none"/>
        </w:rPr>
      </w:pPr>
      <w:r>
        <w:rPr>
          <w:rFonts w:hint="eastAsia" w:ascii="宋体" w:hAnsi="宋体" w:eastAsia="宋体" w:cs="宋体"/>
          <w:sz w:val="30"/>
          <w:szCs w:val="30"/>
          <w:highlight w:val="none"/>
        </w:rPr>
        <w:t>（项目编号：ZJXG2026040</w:t>
      </w:r>
      <w:r>
        <w:rPr>
          <w:rFonts w:hint="eastAsia" w:ascii="宋体" w:hAnsi="宋体" w:eastAsia="宋体" w:cs="宋体"/>
          <w:sz w:val="28"/>
          <w:szCs w:val="28"/>
          <w:highlight w:val="none"/>
        </w:rPr>
        <w:t>）</w:t>
      </w:r>
    </w:p>
    <w:p w14:paraId="0C11ECD2">
      <w:pPr>
        <w:jc w:val="center"/>
        <w:rPr>
          <w:rFonts w:hint="eastAsia" w:ascii="宋体" w:hAnsi="宋体" w:eastAsia="宋体" w:cs="宋体"/>
          <w:sz w:val="30"/>
          <w:szCs w:val="30"/>
          <w:highlight w:val="none"/>
        </w:rPr>
      </w:pPr>
    </w:p>
    <w:p w14:paraId="03D44AD0">
      <w:pPr>
        <w:jc w:val="center"/>
        <w:rPr>
          <w:rFonts w:hint="eastAsia" w:ascii="宋体" w:hAnsi="宋体" w:eastAsia="宋体" w:cs="宋体"/>
          <w:sz w:val="30"/>
          <w:szCs w:val="30"/>
          <w:highlight w:val="none"/>
        </w:rPr>
      </w:pPr>
    </w:p>
    <w:p w14:paraId="38B295CA">
      <w:pPr>
        <w:pStyle w:val="2"/>
        <w:ind w:left="0" w:leftChars="0" w:firstLine="0" w:firstLineChars="0"/>
        <w:rPr>
          <w:rFonts w:hint="eastAsia" w:ascii="宋体" w:hAnsi="宋体" w:eastAsia="宋体" w:cs="宋体"/>
          <w:sz w:val="30"/>
          <w:szCs w:val="30"/>
          <w:highlight w:val="none"/>
        </w:rPr>
      </w:pPr>
    </w:p>
    <w:p w14:paraId="52578F59">
      <w:pPr>
        <w:pStyle w:val="2"/>
        <w:ind w:left="0" w:leftChars="0" w:firstLine="0" w:firstLineChars="0"/>
        <w:rPr>
          <w:rFonts w:hint="eastAsia" w:ascii="宋体" w:hAnsi="宋体" w:eastAsia="宋体" w:cs="宋体"/>
          <w:sz w:val="30"/>
          <w:szCs w:val="30"/>
          <w:highlight w:val="none"/>
        </w:rPr>
      </w:pPr>
    </w:p>
    <w:p w14:paraId="63CE2CE0">
      <w:pPr>
        <w:pStyle w:val="2"/>
        <w:rPr>
          <w:rFonts w:hint="eastAsia" w:ascii="宋体" w:hAnsi="宋体" w:eastAsia="宋体" w:cs="宋体"/>
          <w:sz w:val="30"/>
          <w:szCs w:val="30"/>
          <w:highlight w:val="none"/>
        </w:rPr>
      </w:pPr>
    </w:p>
    <w:p w14:paraId="703E6072">
      <w:pPr>
        <w:pStyle w:val="2"/>
        <w:rPr>
          <w:rFonts w:hint="eastAsia" w:ascii="宋体" w:hAnsi="宋体" w:eastAsia="宋体" w:cs="宋体"/>
          <w:sz w:val="30"/>
          <w:szCs w:val="30"/>
          <w:highlight w:val="none"/>
        </w:rPr>
      </w:pPr>
    </w:p>
    <w:p w14:paraId="019F1226">
      <w:pPr>
        <w:jc w:val="center"/>
        <w:rPr>
          <w:rFonts w:hint="eastAsia" w:ascii="宋体" w:hAnsi="宋体" w:eastAsia="宋体" w:cs="宋体"/>
          <w:sz w:val="30"/>
          <w:szCs w:val="30"/>
          <w:highlight w:val="none"/>
        </w:rPr>
      </w:pPr>
    </w:p>
    <w:p w14:paraId="7E46DD48">
      <w:pPr>
        <w:ind w:firstLine="2080" w:firstLineChars="650"/>
        <w:rPr>
          <w:rFonts w:hint="eastAsia" w:ascii="宋体" w:hAnsi="宋体" w:eastAsia="宋体" w:cs="宋体"/>
          <w:sz w:val="32"/>
          <w:szCs w:val="32"/>
          <w:highlight w:val="none"/>
        </w:rPr>
      </w:pPr>
      <w:r>
        <w:rPr>
          <w:rFonts w:hint="eastAsia" w:ascii="宋体" w:hAnsi="宋体" w:eastAsia="宋体" w:cs="宋体"/>
          <w:sz w:val="32"/>
          <w:szCs w:val="32"/>
          <w:highlight w:val="none"/>
        </w:rPr>
        <w:t>甲  方：</w:t>
      </w:r>
      <w:r>
        <w:rPr>
          <w:rFonts w:hint="eastAsia" w:ascii="宋体" w:hAnsi="宋体" w:eastAsia="宋体" w:cs="宋体"/>
          <w:sz w:val="32"/>
          <w:szCs w:val="32"/>
          <w:highlight w:val="none"/>
          <w:lang w:val="en-US" w:eastAsia="zh-Hans"/>
        </w:rPr>
        <w:t>西安市商务局</w:t>
      </w:r>
      <w:r>
        <w:rPr>
          <w:rFonts w:hint="eastAsia" w:ascii="宋体" w:hAnsi="宋体" w:eastAsia="宋体" w:cs="宋体"/>
          <w:sz w:val="32"/>
          <w:szCs w:val="32"/>
          <w:highlight w:val="none"/>
        </w:rPr>
        <w:t xml:space="preserve"> </w:t>
      </w:r>
    </w:p>
    <w:p w14:paraId="4303FA7A">
      <w:pPr>
        <w:tabs>
          <w:tab w:val="left" w:pos="480"/>
        </w:tabs>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6F185AB3">
      <w:pPr>
        <w:jc w:val="both"/>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w:t>
      </w:r>
    </w:p>
    <w:p w14:paraId="487C1DA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624" w:gutter="0"/>
          <w:pgNumType w:fmt="decimal" w:start="1"/>
          <w:cols w:space="720" w:num="1"/>
          <w:docGrid w:type="lines" w:linePitch="312" w:charSpace="0"/>
        </w:sectPr>
      </w:pPr>
    </w:p>
    <w:p w14:paraId="203DD5AB">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甲方（采购人）：</w:t>
      </w:r>
    </w:p>
    <w:p w14:paraId="1DE84BCB">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bCs w:val="0"/>
          <w:color w:val="auto"/>
          <w:sz w:val="24"/>
          <w:szCs w:val="24"/>
          <w:highlight w:val="none"/>
        </w:rPr>
        <w:t xml:space="preserve">乙方（成交供应商）： </w:t>
      </w:r>
    </w:p>
    <w:p w14:paraId="27BFFDC1">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 xml:space="preserve">  西安市会展业第三方统计项目 (项目编号：ZJXG2026040</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由</w:t>
      </w:r>
      <w:r>
        <w:rPr>
          <w:rFonts w:hint="eastAsia" w:ascii="宋体" w:hAnsi="宋体" w:eastAsia="宋体" w:cs="宋体"/>
          <w:bCs/>
          <w:color w:val="auto"/>
          <w:sz w:val="24"/>
          <w:szCs w:val="24"/>
          <w:highlight w:val="none"/>
          <w:lang w:val="en-US" w:eastAsia="zh-CN"/>
        </w:rPr>
        <w:t>陕西中鉴项目管理有限公司</w:t>
      </w:r>
      <w:r>
        <w:rPr>
          <w:rFonts w:hint="eastAsia" w:ascii="宋体" w:hAnsi="宋体" w:eastAsia="宋体" w:cs="宋体"/>
          <w:bCs/>
          <w:color w:val="auto"/>
          <w:sz w:val="24"/>
          <w:szCs w:val="24"/>
          <w:highlight w:val="none"/>
        </w:rPr>
        <w:t>组织竞争性磋商采购，</w:t>
      </w:r>
      <w:r>
        <w:rPr>
          <w:rFonts w:hint="eastAsia" w:ascii="宋体" w:hAnsi="宋体" w:eastAsia="宋体" w:cs="宋体"/>
          <w:bCs/>
          <w:color w:val="auto"/>
          <w:sz w:val="24"/>
          <w:szCs w:val="24"/>
          <w:highlight w:val="none"/>
          <w:u w:val="single"/>
        </w:rPr>
        <w:t xml:space="preserve">  西安市商务局 </w:t>
      </w:r>
      <w:r>
        <w:rPr>
          <w:rFonts w:hint="eastAsia" w:ascii="宋体" w:hAnsi="宋体" w:eastAsia="宋体" w:cs="宋体"/>
          <w:bCs/>
          <w:color w:val="auto"/>
          <w:sz w:val="24"/>
          <w:szCs w:val="24"/>
          <w:highlight w:val="none"/>
        </w:rPr>
        <w:t>(以下简称“甲方”)确定</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（以下简称“乙方”）为成交供应商。</w:t>
      </w:r>
    </w:p>
    <w:p w14:paraId="1557B94D">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依据《中华人民共和国</w:t>
      </w:r>
      <w:r>
        <w:rPr>
          <w:rFonts w:hint="eastAsia" w:ascii="宋体" w:hAnsi="宋体" w:eastAsia="宋体" w:cs="宋体"/>
          <w:bCs/>
          <w:color w:val="auto"/>
          <w:sz w:val="24"/>
          <w:szCs w:val="24"/>
          <w:highlight w:val="none"/>
          <w:lang w:val="en-US" w:eastAsia="zh-CN"/>
        </w:rPr>
        <w:t>民法典</w:t>
      </w:r>
      <w:r>
        <w:rPr>
          <w:rFonts w:hint="eastAsia" w:ascii="宋体" w:hAnsi="宋体" w:eastAsia="宋体" w:cs="宋体"/>
          <w:bCs/>
          <w:color w:val="auto"/>
          <w:sz w:val="24"/>
          <w:szCs w:val="24"/>
          <w:highlight w:val="none"/>
        </w:rPr>
        <w:t>》和《</w:t>
      </w:r>
      <w:r>
        <w:rPr>
          <w:rFonts w:hint="eastAsia" w:ascii="宋体" w:hAnsi="宋体" w:eastAsia="宋体" w:cs="宋体"/>
          <w:color w:val="auto"/>
          <w:sz w:val="24"/>
          <w:szCs w:val="24"/>
          <w:highlight w:val="none"/>
        </w:rPr>
        <w:t>中华人民共和国政府采购法</w:t>
      </w:r>
      <w:r>
        <w:rPr>
          <w:rFonts w:hint="eastAsia" w:ascii="宋体" w:hAnsi="宋体" w:eastAsia="宋体" w:cs="宋体"/>
          <w:bCs/>
          <w:color w:val="auto"/>
          <w:sz w:val="24"/>
          <w:szCs w:val="24"/>
          <w:highlight w:val="none"/>
        </w:rPr>
        <w:t>》，经双方协商按下述条款和条件签署本合同。</w:t>
      </w:r>
    </w:p>
    <w:p w14:paraId="6D333765">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内容</w:t>
      </w:r>
    </w:p>
    <w:p w14:paraId="5D5C291A">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（一）会展业基础统计</w:t>
      </w:r>
    </w:p>
    <w:p w14:paraId="01E4E52A">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开展展会项目统计调查以展览项目统计调查为主，兼顾规模以上的会议活动和促销会。统计对象包括会展活动重点场所、会展活动组织单位、会展服务商、会展活动的延伸企业等。</w:t>
      </w:r>
    </w:p>
    <w:p w14:paraId="38FDCEFF">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1.展览项目统计调查指标包括展会名称、所在展馆、主承办单位、展出时间、总展览天数、展出面积、行业分类（一、二类）展出形式、参展公司数量、观众人数、意向成交额或实际成交额等。</w:t>
      </w:r>
    </w:p>
    <w:p w14:paraId="02232AC0">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2.会议活动统计调查指标包括会议名称、举办地点、主承办单位、会议时间、参会人数、会议面积等。</w:t>
      </w:r>
    </w:p>
    <w:p w14:paraId="54418466">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3.促销会统计调查指标包括活动名称、举办地点、主承办单位、活动时间、参展公司数量、观众人数、成交额等。</w:t>
      </w:r>
    </w:p>
    <w:p w14:paraId="5456E0E7">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（二）会展业延伸统计</w:t>
      </w:r>
    </w:p>
    <w:p w14:paraId="0EC9CDDD">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1.完善重点会展企业动态数据库：分类别优化骨干库、成长库、种子库3个重点会展企业库，实时更新企业数量、名称、所属区县、业务类型、营收情况、运营项目等数据，精准掌握企业发展态势。</w:t>
      </w:r>
    </w:p>
    <w:p w14:paraId="5F2599A0">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2.科学测算会展带动效益：结合展会规模、参展人数、交易数据等指标，建立专业测算模型，核算会展业对我市住宿、餐饮、交通、旅游、零售等关联产业的拉动作用，量化会展经济综合贡献值。</w:t>
      </w:r>
    </w:p>
    <w:p w14:paraId="684D0306">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3.开展重点展会绩效评估：调研我市重点展会运作情况，从城市消费、产业发展、社会就业等维度开展绩效评估，全面反映展会综合带动作用。</w:t>
      </w:r>
    </w:p>
    <w:p w14:paraId="73CBBDE7">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推进重点会展城市对比分析：收集整理全国15个副省级城市会展核心数据，从展览数量、面积、展馆承载力、利用率、会议竞争力、政策出台情况等方面开展对比分析，精准定位我市会展业发展位次，挖掘优势与潜力。</w:t>
      </w:r>
    </w:p>
    <w:p w14:paraId="4AFD664B">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en-US" w:eastAsia="zh-CN"/>
        </w:rPr>
        <w:t>、技术要求</w:t>
      </w:r>
    </w:p>
    <w:p w14:paraId="43BAAE46">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对数据处理软件进行使用，解决数据处理软件在使用过程中出现的技术问题。</w:t>
      </w:r>
    </w:p>
    <w:p w14:paraId="6607B16D">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、服务要求</w:t>
      </w:r>
    </w:p>
    <w:p w14:paraId="4D812D22">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（一）服务标准</w:t>
      </w:r>
    </w:p>
    <w:p w14:paraId="0AB2587D">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按照《西安市会展业统计报表制度》和省商务厅关于展览数据统计工作等要求，开展会展业统计服务，完成当年度西安市区域内举办展览、会议、展销等展会活动的统计工作，按时提供月度、季度、年度统计数据收集汇总，开展季度数据分析和年度统计分析报告。</w:t>
      </w:r>
    </w:p>
    <w:p w14:paraId="5CE405A3">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（二）人员配置</w:t>
      </w:r>
    </w:p>
    <w:p w14:paraId="4DC82926">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成立项目工作小组，配备工作人员，制定服务方案。工作人员需熟悉会展行业和了解相关场馆、企业运作模式，并具备统计、调查及分析工作的经验。</w:t>
      </w:r>
    </w:p>
    <w:p w14:paraId="11D619CD">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、合同价款</w:t>
      </w:r>
    </w:p>
    <w:p w14:paraId="0B1F125E">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（一）合同总价款为人民币（大写）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元）。</w:t>
      </w:r>
    </w:p>
    <w:p w14:paraId="69F0AB3E">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（二）合同总价包括：</w:t>
      </w:r>
      <w:r>
        <w:rPr>
          <w:rFonts w:hint="eastAsia" w:ascii="宋体" w:hAnsi="宋体" w:eastAsia="宋体" w:cs="宋体"/>
          <w:color w:val="auto"/>
          <w:sz w:val="24"/>
          <w:szCs w:val="24"/>
          <w:highlight w:val="none"/>
        </w:rPr>
        <w:t>包括但不限于</w:t>
      </w:r>
      <w:r>
        <w:rPr>
          <w:rFonts w:hint="eastAsia" w:ascii="宋体" w:hAnsi="宋体" w:eastAsia="宋体" w:cs="宋体"/>
          <w:color w:val="auto"/>
          <w:sz w:val="24"/>
          <w:szCs w:val="24"/>
          <w:highlight w:val="none"/>
          <w:lang w:val="en-US" w:eastAsia="zh-CN"/>
        </w:rPr>
        <w:t>人员费、税金等乙方</w:t>
      </w:r>
      <w:r>
        <w:rPr>
          <w:rFonts w:hint="eastAsia" w:ascii="宋体" w:hAnsi="宋体" w:eastAsia="宋体" w:cs="宋体"/>
          <w:color w:val="auto"/>
          <w:sz w:val="24"/>
          <w:szCs w:val="24"/>
          <w:highlight w:val="none"/>
        </w:rPr>
        <w:t>完成本次招标所要求</w:t>
      </w:r>
      <w:r>
        <w:rPr>
          <w:rFonts w:hint="eastAsia" w:ascii="宋体" w:hAnsi="宋体" w:eastAsia="宋体" w:cs="宋体"/>
          <w:color w:val="auto"/>
          <w:sz w:val="24"/>
          <w:szCs w:val="24"/>
          <w:highlight w:val="none"/>
          <w:lang w:val="en-US" w:eastAsia="zh-CN"/>
        </w:rPr>
        <w:t>全部</w:t>
      </w:r>
      <w:r>
        <w:rPr>
          <w:rFonts w:hint="eastAsia" w:ascii="宋体" w:hAnsi="宋体" w:eastAsia="宋体" w:cs="宋体"/>
          <w:color w:val="auto"/>
          <w:sz w:val="24"/>
          <w:szCs w:val="24"/>
          <w:highlight w:val="none"/>
        </w:rPr>
        <w:t>服务至</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验收合格的一切相关费用。</w:t>
      </w:r>
    </w:p>
    <w:p w14:paraId="75BA16DA">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（三）合同总价为固定总价，不受市场价格变化因素的影响。</w:t>
      </w:r>
    </w:p>
    <w:p w14:paraId="4D6AA4FB">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Cs/>
          <w:color w:val="auto"/>
          <w:sz w:val="24"/>
          <w:szCs w:val="24"/>
          <w:highlight w:val="none"/>
        </w:rPr>
      </w:pPr>
      <w:r>
        <w:rPr>
          <w:rFonts w:hint="eastAsia" w:ascii="宋体"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地点及</w:t>
      </w:r>
      <w:r>
        <w:rPr>
          <w:rFonts w:hint="eastAsia" w:ascii="宋体" w:hAnsi="宋体" w:eastAsia="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期</w:t>
      </w:r>
    </w:p>
    <w:p w14:paraId="6BBC0DB7">
      <w:pPr>
        <w:keepNext w:val="0"/>
        <w:keepLines w:val="0"/>
        <w:pageBreakBefore w:val="0"/>
        <w:widowControl w:val="0"/>
        <w:kinsoku/>
        <w:wordWrap/>
        <w:overflowPunct/>
        <w:topLinePunct w:val="0"/>
        <w:autoSpaceDE/>
        <w:autoSpaceDN/>
        <w:bidi w:val="0"/>
        <w:snapToGrid/>
        <w:spacing w:line="60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（一）</w:t>
      </w:r>
      <w:r>
        <w:rPr>
          <w:rFonts w:hint="eastAsia" w:ascii="宋体" w:hAnsi="宋体" w:eastAsia="宋体" w:cs="宋体"/>
          <w:color w:val="auto"/>
          <w:sz w:val="24"/>
          <w:szCs w:val="24"/>
          <w:highlight w:val="none"/>
          <w:lang w:val="en-US" w:eastAsia="zh-CN"/>
        </w:rPr>
        <w:t>服务</w:t>
      </w:r>
      <w:r>
        <w:rPr>
          <w:rFonts w:hint="eastAsia" w:ascii="宋体" w:hAnsi="宋体" w:cs="宋体"/>
          <w:bCs/>
          <w:color w:val="auto"/>
          <w:sz w:val="24"/>
          <w:szCs w:val="24"/>
          <w:highlight w:val="none"/>
          <w:lang w:val="en-US" w:eastAsia="zh-CN"/>
        </w:rPr>
        <w:t>期限</w:t>
      </w:r>
      <w:r>
        <w:rPr>
          <w:rFonts w:hint="eastAsia" w:ascii="宋体" w:hAnsi="宋体" w:eastAsia="宋体" w:cs="宋体"/>
          <w:bCs/>
          <w:color w:val="auto"/>
          <w:sz w:val="24"/>
          <w:szCs w:val="24"/>
          <w:highlight w:val="none"/>
        </w:rPr>
        <w:t>：自合同签订之日至项目结束。。</w:t>
      </w:r>
    </w:p>
    <w:p w14:paraId="355A79F4">
      <w:pPr>
        <w:keepNext w:val="0"/>
        <w:keepLines w:val="0"/>
        <w:pageBreakBefore w:val="0"/>
        <w:widowControl w:val="0"/>
        <w:kinsoku/>
        <w:wordWrap/>
        <w:overflowPunct/>
        <w:topLinePunct w:val="0"/>
        <w:autoSpaceDE/>
        <w:autoSpaceDN/>
        <w:bidi w:val="0"/>
        <w:snapToGrid/>
        <w:spacing w:line="6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（二）</w:t>
      </w:r>
      <w:r>
        <w:rPr>
          <w:rFonts w:hint="eastAsia" w:ascii="宋体" w:hAnsi="宋体" w:eastAsia="宋体" w:cs="宋体"/>
          <w:bCs/>
          <w:color w:val="auto"/>
          <w:sz w:val="24"/>
          <w:szCs w:val="24"/>
          <w:highlight w:val="none"/>
          <w:lang w:val="en-US" w:eastAsia="zh-CN"/>
        </w:rPr>
        <w:t>服务</w:t>
      </w:r>
      <w:r>
        <w:rPr>
          <w:rFonts w:hint="eastAsia"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采购人</w:t>
      </w:r>
      <w:r>
        <w:rPr>
          <w:rFonts w:hint="eastAsia" w:ascii="宋体" w:hAnsi="宋体" w:eastAsia="宋体" w:cs="宋体"/>
          <w:bCs/>
          <w:color w:val="auto"/>
          <w:sz w:val="24"/>
          <w:szCs w:val="24"/>
          <w:highlight w:val="none"/>
          <w:u w:val="single"/>
        </w:rPr>
        <w:t xml:space="preserve">指定地点  </w:t>
      </w:r>
      <w:r>
        <w:rPr>
          <w:rFonts w:hint="eastAsia" w:ascii="宋体" w:hAnsi="宋体" w:eastAsia="宋体" w:cs="宋体"/>
          <w:bCs/>
          <w:color w:val="auto"/>
          <w:sz w:val="24"/>
          <w:szCs w:val="24"/>
          <w:highlight w:val="none"/>
        </w:rPr>
        <w:t>。</w:t>
      </w:r>
    </w:p>
    <w:p w14:paraId="3E1A7FEB">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、付款</w:t>
      </w:r>
    </w:p>
    <w:p w14:paraId="6541B403">
      <w:pPr>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bookmarkStart w:id="5" w:name="_Toc12322"/>
      <w:bookmarkStart w:id="6" w:name="_Toc29562"/>
      <w:r>
        <w:rPr>
          <w:rFonts w:hint="eastAsia" w:ascii="宋体" w:hAnsi="宋体" w:eastAsia="宋体" w:cs="宋体"/>
          <w:b w:val="0"/>
          <w:bCs w:val="0"/>
          <w:color w:val="auto"/>
          <w:sz w:val="24"/>
          <w:szCs w:val="24"/>
          <w:highlight w:val="none"/>
          <w:lang w:val="en-US" w:eastAsia="zh-CN"/>
        </w:rPr>
        <w:t>1、付款条件说明： 合同签订后，供应商向采购方开具等额的增值税普通发票，采购方收到合规的发票 ，达到付款条件起 30日内，支付合同总金额的 60.00%。</w:t>
      </w:r>
    </w:p>
    <w:p w14:paraId="4FB4698C">
      <w:pPr>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、付款条件说明： 供应商项目执行结束经验收合格后，向采购方开具等额的增值税普通发票，采购方收到合规的发票 ，达到付款条件起 30 日内，支付合同总金额的 40.00%。</w:t>
      </w:r>
    </w:p>
    <w:p w14:paraId="52B31D0F">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甲方的权利与义务</w:t>
      </w:r>
    </w:p>
    <w:p w14:paraId="49218992">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1、甲方权利</w:t>
      </w:r>
    </w:p>
    <w:p w14:paraId="177C5097">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1.1甲方有权按照竞争性磋商文件及竞争性磋商响应文件要求和标准对本次服务项目的实施进行监督，有权对乙方的服务工作提出意见或具体要求，乙方应在规定的时间内进行修改、完善。</w:t>
      </w:r>
    </w:p>
    <w:p w14:paraId="7BFC80A6">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1.2乙方未能按照合同约定、竞争性磋商响应文件要求和标准或甲方要求完成本合同项下任何一项义务的，甲方有权扣除相应部分的费用。</w:t>
      </w:r>
    </w:p>
    <w:p w14:paraId="00986DAB">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2、甲方义务：积极配合乙方服务过程中的沟通协调工作。</w:t>
      </w:r>
    </w:p>
    <w:p w14:paraId="50ECAE13">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en-US" w:eastAsia="zh-CN"/>
        </w:rPr>
        <w:t>、乙方的权利与义务</w:t>
      </w:r>
    </w:p>
    <w:p w14:paraId="4FFD7EF2">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1、乙方权利：按照合同约定要求甲方及时付款。</w:t>
      </w:r>
    </w:p>
    <w:p w14:paraId="34834BA0">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2、乙方义务：</w:t>
      </w:r>
    </w:p>
    <w:p w14:paraId="7419EE23">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乙方应严格按照竞争性磋商响应文件要求和标准以及本合同的约定制定具体服务方案（服务方案应涉及各服务项目具体完成时间）并将服务方案交付甲方。乙方须严格按照服务方案执行，确保合同目的实现。乙方在履行本合同的过程中应配合甲方的考核验收工作，对甲方的建议及要求，应严格执行。</w:t>
      </w:r>
    </w:p>
    <w:p w14:paraId="33D89D81">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甲方与乙方所有参与本合同项目的人员不存在劳动关系。乙方应当按时向其员工支付工资或报酬，并按约定向合作方或者供应商支付款项，若乙方未按时支付上述款项，导致任何第三方向甲方主张的，甲方有权要求乙方双倍赔偿。</w:t>
      </w:r>
    </w:p>
    <w:p w14:paraId="39158C2A">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2.3项目期间产生的一切经济纠纷，包括但不限于乙方同自身员工、其他第三方之间的纠纷等均由乙方负责处理并承担相关责任，甲方对此不承担任何责任。若甲方因此承担责任的，有权向乙方追偿，同时乙方应向甲方支付合同总价款10%的违约金。</w:t>
      </w:r>
    </w:p>
    <w:p w14:paraId="5D045512">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2.4项目结束后，乙方应制作书面项目总结报告，并交付甲方。</w:t>
      </w:r>
    </w:p>
    <w:p w14:paraId="1826FD1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sz w:val="24"/>
          <w:szCs w:val="24"/>
        </w:rPr>
        <w:t>乙方应保证</w:t>
      </w:r>
      <w:r>
        <w:rPr>
          <w:rFonts w:hint="eastAsia" w:ascii="宋体" w:hAnsi="宋体" w:eastAsia="宋体" w:cs="宋体"/>
          <w:sz w:val="24"/>
          <w:szCs w:val="24"/>
          <w:lang w:val="en-US" w:eastAsia="zh-CN"/>
        </w:rPr>
        <w:t>调研报告</w:t>
      </w:r>
      <w:r>
        <w:rPr>
          <w:rFonts w:hint="eastAsia" w:ascii="宋体" w:hAnsi="宋体" w:eastAsia="宋体" w:cs="宋体"/>
          <w:sz w:val="24"/>
          <w:szCs w:val="24"/>
        </w:rPr>
        <w:t>的真实性</w:t>
      </w:r>
      <w:r>
        <w:rPr>
          <w:rFonts w:hint="eastAsia" w:ascii="宋体" w:hAnsi="宋体" w:eastAsia="宋体" w:cs="宋体"/>
          <w:sz w:val="24"/>
          <w:szCs w:val="24"/>
          <w:lang w:eastAsia="zh-CN"/>
        </w:rPr>
        <w:t>、</w:t>
      </w:r>
      <w:r>
        <w:rPr>
          <w:rFonts w:hint="eastAsia" w:ascii="宋体" w:hAnsi="宋体" w:eastAsia="宋体" w:cs="宋体"/>
          <w:sz w:val="24"/>
          <w:szCs w:val="24"/>
        </w:rPr>
        <w:t>客观性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科学性</w:t>
      </w:r>
      <w:r>
        <w:rPr>
          <w:rFonts w:hint="eastAsia" w:ascii="宋体" w:hAnsi="宋体" w:eastAsia="宋体" w:cs="宋体"/>
          <w:sz w:val="24"/>
          <w:szCs w:val="24"/>
        </w:rPr>
        <w:t>,不得有重大遗漏、</w:t>
      </w:r>
      <w:r>
        <w:rPr>
          <w:rFonts w:hint="eastAsia" w:ascii="宋体" w:hAnsi="宋体" w:eastAsia="宋体" w:cs="宋体"/>
          <w:sz w:val="24"/>
          <w:szCs w:val="24"/>
          <w:lang w:val="en-US" w:eastAsia="zh-CN"/>
        </w:rPr>
        <w:t>瞒报、</w:t>
      </w:r>
      <w:r>
        <w:rPr>
          <w:rFonts w:hint="eastAsia" w:ascii="宋体" w:hAnsi="宋体" w:eastAsia="宋体" w:cs="宋体"/>
          <w:sz w:val="24"/>
          <w:szCs w:val="24"/>
        </w:rPr>
        <w:t>错误或其他不符合国家、行业协会相关规定的情形,否则,甲方有权单方解除本</w:t>
      </w:r>
      <w:r>
        <w:rPr>
          <w:rFonts w:hint="eastAsia" w:ascii="宋体" w:hAnsi="宋体" w:eastAsia="宋体" w:cs="宋体"/>
          <w:sz w:val="24"/>
          <w:szCs w:val="24"/>
          <w:lang w:val="en-US" w:eastAsia="zh-CN"/>
        </w:rPr>
        <w:t>合同</w:t>
      </w:r>
      <w:r>
        <w:rPr>
          <w:rFonts w:hint="eastAsia" w:ascii="宋体" w:hAnsi="宋体" w:eastAsia="宋体" w:cs="宋体"/>
          <w:sz w:val="24"/>
          <w:szCs w:val="24"/>
        </w:rPr>
        <w:t>,并要求乙方按照本约定书总金额的</w:t>
      </w:r>
      <w:r>
        <w:rPr>
          <w:rFonts w:hint="eastAsia" w:ascii="宋体" w:hAnsi="宋体" w:eastAsia="宋体" w:cs="宋体"/>
          <w:sz w:val="24"/>
          <w:szCs w:val="24"/>
          <w:lang w:val="en-US" w:eastAsia="zh-CN"/>
        </w:rPr>
        <w:t>20</w:t>
      </w:r>
      <w:r>
        <w:rPr>
          <w:rFonts w:hint="eastAsia" w:ascii="宋体" w:hAnsi="宋体" w:eastAsia="宋体" w:cs="宋体"/>
          <w:sz w:val="24"/>
          <w:szCs w:val="24"/>
        </w:rPr>
        <w:t>%支付违约金。</w:t>
      </w:r>
    </w:p>
    <w:p w14:paraId="6CA69F06">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lang w:val="en-US" w:eastAsia="zh-CN"/>
        </w:rPr>
        <w:t>、知识产权</w:t>
      </w:r>
    </w:p>
    <w:p w14:paraId="4C000A4D">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w:t>
      </w:r>
      <w:r>
        <w:rPr>
          <w:rFonts w:hint="eastAsia" w:ascii="宋体" w:hAnsi="宋体" w:cs="宋体"/>
          <w:b w:val="0"/>
          <w:bCs w:val="0"/>
          <w:color w:val="auto"/>
          <w:sz w:val="24"/>
          <w:szCs w:val="24"/>
          <w:highlight w:val="none"/>
          <w:lang w:val="en-US" w:eastAsia="zh-CN"/>
        </w:rPr>
        <w:t>项目</w:t>
      </w:r>
      <w:r>
        <w:rPr>
          <w:rFonts w:hint="eastAsia" w:ascii="宋体" w:hAnsi="宋体" w:eastAsia="宋体" w:cs="宋体"/>
          <w:b w:val="0"/>
          <w:bCs w:val="0"/>
          <w:color w:val="auto"/>
          <w:sz w:val="24"/>
          <w:szCs w:val="24"/>
          <w:highlight w:val="none"/>
          <w:lang w:val="en-US" w:eastAsia="zh-CN"/>
        </w:rPr>
        <w:t>结束后，项目成果所有权、知识产权归甲方所有，乙方不得以任何理由干涉甲方对项目成果的使用</w:t>
      </w:r>
    </w:p>
    <w:p w14:paraId="5B9CEADA">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其它事项</w:t>
      </w:r>
      <w:bookmarkEnd w:id="5"/>
      <w:bookmarkEnd w:id="6"/>
    </w:p>
    <w:p w14:paraId="2B355C8C">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（一）乙方不得转让、分包给其它单位或个人。</w:t>
      </w:r>
    </w:p>
    <w:p w14:paraId="3E018F83">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（二）乙方的响应文件和承诺等内容将列入合同。</w:t>
      </w:r>
    </w:p>
    <w:p w14:paraId="6FF2533E">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三</w:t>
      </w:r>
      <w:r>
        <w:rPr>
          <w:rFonts w:hint="eastAsia" w:ascii="宋体" w:hAnsi="宋体" w:cs="宋体"/>
          <w:bCs/>
          <w:color w:val="auto"/>
          <w:sz w:val="24"/>
          <w:szCs w:val="24"/>
          <w:highlight w:val="none"/>
          <w:lang w:eastAsia="zh-CN"/>
        </w:rPr>
        <w:t>）进度要求</w:t>
      </w:r>
    </w:p>
    <w:p w14:paraId="5024EE22">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次月5个工作日内完成上月数据采集、整理，出具月度统计表；每季度结束后次月10个工作日内编制形成季度数据分析；年度统计报告根据项目进度按采购方要求按时提供。</w:t>
      </w:r>
    </w:p>
    <w:p w14:paraId="15E5AEB6">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四</w:t>
      </w:r>
      <w:r>
        <w:rPr>
          <w:rFonts w:hint="eastAsia" w:ascii="宋体" w:hAnsi="宋体" w:cs="宋体"/>
          <w:bCs/>
          <w:color w:val="auto"/>
          <w:sz w:val="24"/>
          <w:szCs w:val="24"/>
          <w:highlight w:val="none"/>
          <w:lang w:eastAsia="zh-CN"/>
        </w:rPr>
        <w:t>）成果交付要求</w:t>
      </w:r>
    </w:p>
    <w:p w14:paraId="042DAE61">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1.提供会展业年度数据库，形成月度会展活动统计表12份、季度会展活动统计表4份、年度会展活动汇总表1份。</w:t>
      </w:r>
    </w:p>
    <w:p w14:paraId="405493C0">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2.提供重点会展企业骨干库、成长库和种子库3个数据库。</w:t>
      </w:r>
    </w:p>
    <w:p w14:paraId="69D2F5AF">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3.建立会展带动效益测算模型，形成测算分析报告1份。</w:t>
      </w:r>
    </w:p>
    <w:p w14:paraId="7C3B4E69">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3.撰写季度数据分析4份、年度统计报告1份。</w:t>
      </w:r>
    </w:p>
    <w:p w14:paraId="44755F8E">
      <w:pPr>
        <w:pStyle w:val="2"/>
        <w:keepNext w:val="0"/>
        <w:keepLines w:val="0"/>
        <w:pageBreakBefore w:val="0"/>
        <w:widowControl w:val="0"/>
        <w:kinsoku/>
        <w:wordWrap/>
        <w:overflowPunct/>
        <w:topLinePunct w:val="0"/>
        <w:autoSpaceDE/>
        <w:autoSpaceDN/>
        <w:bidi w:val="0"/>
        <w:snapToGrid/>
        <w:spacing w:line="600" w:lineRule="exact"/>
        <w:textAlignment w:val="auto"/>
        <w:rPr>
          <w:rFonts w:hint="eastAsia" w:eastAsia="宋体"/>
          <w:lang w:eastAsia="zh-CN"/>
        </w:rPr>
      </w:pPr>
      <w:r>
        <w:rPr>
          <w:rFonts w:hint="eastAsia" w:ascii="宋体" w:hAnsi="宋体" w:cs="宋体"/>
          <w:bCs/>
          <w:color w:val="auto"/>
          <w:sz w:val="24"/>
          <w:szCs w:val="24"/>
          <w:highlight w:val="none"/>
          <w:lang w:eastAsia="zh-CN"/>
        </w:rPr>
        <w:t>以上资料提供纸质版10份；电子版2份，并刻录U盘。</w:t>
      </w:r>
    </w:p>
    <w:p w14:paraId="4F2A01F8">
      <w:pPr>
        <w:pStyle w:val="4"/>
        <w:keepNext w:val="0"/>
        <w:keepLines w:val="0"/>
        <w:pageBreakBefore w:val="0"/>
        <w:widowControl w:val="0"/>
        <w:kinsoku/>
        <w:wordWrap/>
        <w:overflowPunct/>
        <w:topLinePunct w:val="0"/>
        <w:autoSpaceDE/>
        <w:autoSpaceDN/>
        <w:bidi w:val="0"/>
        <w:snapToGrid/>
        <w:spacing w:line="600" w:lineRule="exact"/>
        <w:textAlignment w:val="auto"/>
        <w:rPr>
          <w:rFonts w:hint="eastAsia" w:ascii="宋体" w:hAnsi="宋体" w:eastAsia="宋体" w:cs="宋体"/>
          <w:b/>
          <w:bCs/>
          <w:color w:val="auto"/>
          <w:kern w:val="0"/>
          <w:sz w:val="24"/>
          <w:szCs w:val="24"/>
          <w:highlight w:val="none"/>
        </w:rPr>
      </w:pPr>
      <w:bookmarkStart w:id="7" w:name="_Toc9857"/>
      <w:bookmarkStart w:id="8" w:name="_Toc32637"/>
      <w:r>
        <w:rPr>
          <w:rFonts w:hint="eastAsia" w:ascii="宋体" w:hAnsi="宋体" w:eastAsia="宋体" w:cs="宋体"/>
          <w:b/>
          <w:bCs/>
          <w:color w:val="auto"/>
          <w:kern w:val="0"/>
          <w:sz w:val="24"/>
          <w:szCs w:val="24"/>
          <w:highlight w:val="none"/>
          <w:lang w:val="en-US" w:eastAsia="zh-CN"/>
        </w:rPr>
        <w:t>十一</w:t>
      </w:r>
      <w:r>
        <w:rPr>
          <w:rFonts w:hint="eastAsia" w:ascii="宋体" w:hAnsi="宋体" w:eastAsia="宋体" w:cs="宋体"/>
          <w:b/>
          <w:bCs/>
          <w:color w:val="auto"/>
          <w:kern w:val="0"/>
          <w:sz w:val="24"/>
          <w:szCs w:val="24"/>
          <w:highlight w:val="none"/>
        </w:rPr>
        <w:t>、违约责任</w:t>
      </w:r>
      <w:bookmarkEnd w:id="7"/>
      <w:bookmarkEnd w:id="8"/>
    </w:p>
    <w:p w14:paraId="2D454402">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1.按《中华人民共和国民法典》中的相关条款执行。</w:t>
      </w:r>
    </w:p>
    <w:p w14:paraId="17FDD694">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2.如任意一方不履行合同义务或者履行合同义务不符合约定的，应当承担继续履行、采取补救措施或者赔偿损失等违约责任。</w:t>
      </w:r>
    </w:p>
    <w:p w14:paraId="33CCE241">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3.因任何一方违约导致合同无法继续履行的，违约方需赔偿守约方合同金额20%的违约金，该违约金不足以弥补守约方实际损失的，违约方应赔偿守约方所有实际损失。</w:t>
      </w:r>
    </w:p>
    <w:p w14:paraId="2D604EA6">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4.如碰到不可抗力因素造成无法按照原计划提供服务的，由甲乙双方协商解决。</w:t>
      </w:r>
    </w:p>
    <w:p w14:paraId="6E8780FA">
      <w:pPr>
        <w:keepNext w:val="0"/>
        <w:keepLines w:val="0"/>
        <w:pageBreakBefore w:val="0"/>
        <w:widowControl w:val="0"/>
        <w:kinsoku/>
        <w:wordWrap/>
        <w:overflowPunct/>
        <w:topLinePunct w:val="0"/>
        <w:autoSpaceDE/>
        <w:autoSpaceDN/>
        <w:bidi w:val="0"/>
        <w:adjustRightInd w:val="0"/>
        <w:snapToGrid/>
        <w:spacing w:line="60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w:t>
      </w:r>
      <w:r>
        <w:rPr>
          <w:rFonts w:hint="eastAsia" w:ascii="宋体" w:hAnsi="宋体" w:cs="宋体"/>
          <w:b/>
          <w:bCs/>
          <w:color w:val="auto"/>
          <w:kern w:val="0"/>
          <w:sz w:val="24"/>
          <w:szCs w:val="24"/>
          <w:highlight w:val="none"/>
          <w:lang w:val="en-US" w:eastAsia="zh-CN"/>
        </w:rPr>
        <w:t>二</w:t>
      </w:r>
      <w:r>
        <w:rPr>
          <w:rFonts w:hint="eastAsia" w:ascii="宋体" w:hAnsi="宋体" w:eastAsia="宋体" w:cs="宋体"/>
          <w:b/>
          <w:bCs/>
          <w:color w:val="auto"/>
          <w:kern w:val="0"/>
          <w:sz w:val="24"/>
          <w:szCs w:val="24"/>
          <w:highlight w:val="none"/>
          <w:lang w:val="en-US" w:eastAsia="zh-CN"/>
        </w:rPr>
        <w:t>、</w:t>
      </w:r>
      <w:r>
        <w:rPr>
          <w:rFonts w:hint="eastAsia" w:ascii="宋体" w:hAnsi="宋体" w:eastAsia="宋体" w:cs="宋体"/>
          <w:b/>
          <w:bCs/>
          <w:color w:val="auto"/>
          <w:kern w:val="0"/>
          <w:sz w:val="24"/>
          <w:szCs w:val="24"/>
          <w:highlight w:val="none"/>
        </w:rPr>
        <w:t>验收依据：</w:t>
      </w:r>
    </w:p>
    <w:p w14:paraId="3A93C40C">
      <w:pPr>
        <w:pStyle w:val="4"/>
        <w:keepNext w:val="0"/>
        <w:keepLines w:val="0"/>
        <w:pageBreakBefore w:val="0"/>
        <w:widowControl w:val="0"/>
        <w:kinsoku/>
        <w:wordWrap/>
        <w:overflowPunct/>
        <w:topLinePunct w:val="0"/>
        <w:autoSpaceDE/>
        <w:autoSpaceDN/>
        <w:bidi w:val="0"/>
        <w:snapToGrid/>
        <w:spacing w:line="600" w:lineRule="exact"/>
        <w:ind w:firstLine="482"/>
        <w:textAlignment w:val="auto"/>
        <w:rPr>
          <w:rFonts w:hint="eastAsia" w:ascii="宋体" w:hAnsi="宋体" w:eastAsia="宋体" w:cs="宋体"/>
          <w:b w:val="0"/>
          <w:bCs w:val="0"/>
          <w:color w:val="auto"/>
          <w:kern w:val="0"/>
          <w:sz w:val="24"/>
          <w:szCs w:val="24"/>
          <w:highlight w:val="none"/>
          <w:lang w:val="en-US" w:eastAsia="zh-CN"/>
        </w:rPr>
      </w:pPr>
      <w:bookmarkStart w:id="9" w:name="_Toc12051"/>
      <w:bookmarkStart w:id="10" w:name="_Toc11251"/>
      <w:r>
        <w:rPr>
          <w:rFonts w:hint="eastAsia" w:ascii="宋体" w:hAnsi="宋体" w:eastAsia="宋体" w:cs="宋体"/>
          <w:b w:val="0"/>
          <w:bCs w:val="0"/>
          <w:color w:val="auto"/>
          <w:kern w:val="0"/>
          <w:sz w:val="24"/>
          <w:szCs w:val="24"/>
          <w:highlight w:val="none"/>
          <w:lang w:val="en-US" w:eastAsia="zh-CN"/>
        </w:rPr>
        <w:t>参考《西安市会展业统计报表制度》和省商务厅关于展览数据统计工作等要求，在规定时间内完成方案设计、数据采集、数据处理、数据呈现、数据分析、报告撰写等各个环节的工作。统计报告做到图文并茂、科学详实，体现西安会展业发展情况、发展成果和前景优势，并按照甲方要求做好验收相关工作。</w:t>
      </w:r>
    </w:p>
    <w:p w14:paraId="22644118">
      <w:pPr>
        <w:pStyle w:val="4"/>
        <w:keepNext w:val="0"/>
        <w:keepLines w:val="0"/>
        <w:pageBreakBefore w:val="0"/>
        <w:widowControl w:val="0"/>
        <w:kinsoku/>
        <w:wordWrap/>
        <w:overflowPunct/>
        <w:topLinePunct w:val="0"/>
        <w:autoSpaceDE/>
        <w:autoSpaceDN/>
        <w:bidi w:val="0"/>
        <w:snapToGrid/>
        <w:spacing w:line="600" w:lineRule="exact"/>
        <w:ind w:firstLine="482"/>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十三</w:t>
      </w:r>
      <w:r>
        <w:rPr>
          <w:rFonts w:hint="eastAsia" w:ascii="宋体" w:hAnsi="宋体" w:eastAsia="宋体" w:cs="宋体"/>
          <w:b/>
          <w:bCs/>
          <w:color w:val="auto"/>
          <w:kern w:val="0"/>
          <w:sz w:val="24"/>
          <w:szCs w:val="24"/>
          <w:highlight w:val="none"/>
        </w:rPr>
        <w:t>、合同争议解决的方式</w:t>
      </w:r>
      <w:bookmarkEnd w:id="9"/>
      <w:bookmarkEnd w:id="10"/>
    </w:p>
    <w:p w14:paraId="33DD9228">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本合同在履行过程中发生的争议，由甲、乙双方当事人协商解决，协商不成的按下列第</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种方式解决：</w:t>
      </w:r>
    </w:p>
    <w:p w14:paraId="25437870">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（一）提交当地仲裁委员会仲裁；</w:t>
      </w:r>
    </w:p>
    <w:p w14:paraId="678059DE">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（二）依法向甲方所在地人民法院起诉。</w:t>
      </w:r>
    </w:p>
    <w:p w14:paraId="34E554CC">
      <w:pPr>
        <w:pStyle w:val="4"/>
        <w:keepNext w:val="0"/>
        <w:keepLines w:val="0"/>
        <w:pageBreakBefore w:val="0"/>
        <w:widowControl w:val="0"/>
        <w:kinsoku/>
        <w:wordWrap/>
        <w:overflowPunct/>
        <w:topLinePunct w:val="0"/>
        <w:autoSpaceDE/>
        <w:autoSpaceDN/>
        <w:bidi w:val="0"/>
        <w:snapToGrid/>
        <w:spacing w:line="600" w:lineRule="exact"/>
        <w:ind w:firstLine="482" w:firstLineChars="200"/>
        <w:textAlignment w:val="auto"/>
        <w:rPr>
          <w:rFonts w:hint="eastAsia" w:ascii="宋体" w:hAnsi="宋体" w:eastAsia="宋体" w:cs="宋体"/>
          <w:b/>
          <w:bCs/>
          <w:color w:val="auto"/>
          <w:kern w:val="0"/>
          <w:sz w:val="24"/>
          <w:szCs w:val="24"/>
          <w:highlight w:val="none"/>
        </w:rPr>
      </w:pPr>
      <w:bookmarkStart w:id="11" w:name="_Toc31089"/>
      <w:bookmarkStart w:id="12" w:name="_Toc18561"/>
      <w:r>
        <w:rPr>
          <w:rFonts w:hint="eastAsia" w:ascii="宋体" w:hAnsi="宋体" w:eastAsia="宋体" w:cs="宋体"/>
          <w:b/>
          <w:bCs/>
          <w:color w:val="auto"/>
          <w:kern w:val="0"/>
          <w:sz w:val="24"/>
          <w:szCs w:val="24"/>
          <w:highlight w:val="none"/>
          <w:lang w:val="en-US" w:eastAsia="zh-CN"/>
        </w:rPr>
        <w:t>十四</w:t>
      </w:r>
      <w:bookmarkStart w:id="13" w:name="_GoBack"/>
      <w:bookmarkEnd w:id="13"/>
      <w:r>
        <w:rPr>
          <w:rFonts w:hint="eastAsia" w:ascii="宋体" w:hAnsi="宋体" w:eastAsia="宋体" w:cs="宋体"/>
          <w:b/>
          <w:bCs/>
          <w:color w:val="auto"/>
          <w:kern w:val="0"/>
          <w:sz w:val="24"/>
          <w:szCs w:val="24"/>
          <w:highlight w:val="none"/>
        </w:rPr>
        <w:t>、合同生效</w:t>
      </w:r>
      <w:bookmarkEnd w:id="11"/>
      <w:bookmarkEnd w:id="12"/>
    </w:p>
    <w:p w14:paraId="769D49AD">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（一）本合同须经甲、乙双方的法定代表人（授权代理人）在合同书上签字并加盖本单位公章后正式生效。</w:t>
      </w:r>
    </w:p>
    <w:p w14:paraId="2EA34DE0">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（二）合同生效后，甲、乙双方须严格执行本合同条款的规定，全面履行合同，违者按《</w:t>
      </w:r>
      <w:r>
        <w:rPr>
          <w:rFonts w:hint="eastAsia" w:ascii="宋体" w:hAnsi="宋体" w:eastAsia="宋体" w:cs="宋体"/>
          <w:bCs/>
          <w:color w:val="auto"/>
          <w:sz w:val="24"/>
          <w:szCs w:val="24"/>
          <w:highlight w:val="none"/>
          <w:lang w:val="zh-CN"/>
        </w:rPr>
        <w:t>中华人民共和国</w:t>
      </w:r>
      <w:r>
        <w:rPr>
          <w:rFonts w:hint="eastAsia" w:ascii="宋体" w:hAnsi="宋体" w:eastAsia="宋体" w:cs="宋体"/>
          <w:bCs/>
          <w:color w:val="auto"/>
          <w:sz w:val="24"/>
          <w:szCs w:val="24"/>
          <w:highlight w:val="none"/>
        </w:rPr>
        <w:t>民法典》的有关规定承担相应责任。</w:t>
      </w:r>
    </w:p>
    <w:p w14:paraId="55CC0EA1">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（三）本合同一式</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份，甲方执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份，乙方执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61E5EED1">
      <w:pPr>
        <w:keepNext w:val="0"/>
        <w:keepLines w:val="0"/>
        <w:pageBreakBefore w:val="0"/>
        <w:widowControl w:val="0"/>
        <w:kinsoku/>
        <w:wordWrap/>
        <w:overflowPunct/>
        <w:topLinePunct w:val="0"/>
        <w:autoSpaceDE/>
        <w:autoSpaceDN/>
        <w:bidi w:val="0"/>
        <w:adjustRightInd w:val="0"/>
        <w:snapToGrid/>
        <w:spacing w:line="600" w:lineRule="exact"/>
        <w:ind w:firstLine="480"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Cs/>
          <w:color w:val="auto"/>
          <w:sz w:val="24"/>
          <w:szCs w:val="24"/>
          <w:highlight w:val="none"/>
        </w:rPr>
        <w:t>（四）本合同如有未尽事宜，</w:t>
      </w:r>
      <w:r>
        <w:rPr>
          <w:rFonts w:hint="eastAsia" w:ascii="宋体" w:hAnsi="宋体" w:eastAsia="宋体" w:cs="宋体"/>
          <w:bCs/>
          <w:color w:val="auto"/>
          <w:sz w:val="24"/>
          <w:szCs w:val="24"/>
          <w:highlight w:val="none"/>
          <w:lang w:val="en-US" w:eastAsia="zh-CN"/>
        </w:rPr>
        <w:t>经</w:t>
      </w:r>
      <w:r>
        <w:rPr>
          <w:rFonts w:hint="eastAsia" w:ascii="宋体" w:hAnsi="宋体" w:eastAsia="宋体" w:cs="宋体"/>
          <w:bCs/>
          <w:color w:val="auto"/>
          <w:sz w:val="24"/>
          <w:szCs w:val="24"/>
          <w:highlight w:val="none"/>
        </w:rPr>
        <w:t>甲、乙双方协商</w:t>
      </w:r>
      <w:r>
        <w:rPr>
          <w:rFonts w:hint="eastAsia" w:ascii="宋体" w:hAnsi="宋体" w:eastAsia="宋体" w:cs="宋体"/>
          <w:bCs/>
          <w:color w:val="auto"/>
          <w:sz w:val="24"/>
          <w:szCs w:val="24"/>
          <w:highlight w:val="none"/>
          <w:lang w:val="en-US" w:eastAsia="zh-CN"/>
        </w:rPr>
        <w:t>一致达成补充协议，作为本合同的补充，与本合同具有同等法律效力</w:t>
      </w:r>
      <w:r>
        <w:rPr>
          <w:rFonts w:hint="eastAsia" w:ascii="宋体" w:hAnsi="宋体" w:eastAsia="宋体" w:cs="宋体"/>
          <w:bCs/>
          <w:color w:val="auto"/>
          <w:sz w:val="24"/>
          <w:szCs w:val="24"/>
          <w:highlight w:val="none"/>
        </w:rPr>
        <w:t>。</w:t>
      </w:r>
    </w:p>
    <w:p w14:paraId="0B12DA86">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480" w:firstLineChars="200"/>
        <w:textAlignment w:val="auto"/>
        <w:outlineLvl w:val="9"/>
        <w:rPr>
          <w:rFonts w:hint="eastAsia" w:ascii="宋体" w:hAnsi="宋体" w:eastAsia="宋体" w:cs="宋体"/>
          <w:lang w:val="en-US" w:eastAsia="zh-CN"/>
        </w:rPr>
      </w:pPr>
      <w:r>
        <w:rPr>
          <w:rFonts w:hint="eastAsia" w:ascii="宋体" w:hAnsi="宋体" w:eastAsia="宋体" w:cs="宋体"/>
          <w:b w:val="0"/>
          <w:bCs/>
          <w:color w:val="auto"/>
          <w:sz w:val="24"/>
          <w:szCs w:val="24"/>
          <w:highlight w:val="none"/>
          <w:lang w:val="en-US" w:eastAsia="zh-CN"/>
        </w:rPr>
        <w:t>（以下无正文）</w:t>
      </w:r>
    </w:p>
    <w:p w14:paraId="7BC9C36B">
      <w:pPr>
        <w:rPr>
          <w:rFonts w:hint="eastAsia" w:ascii="宋体" w:hAnsi="宋体" w:eastAsia="宋体" w:cs="宋体"/>
        </w:rPr>
      </w:pPr>
      <w:r>
        <w:rPr>
          <w:rFonts w:hint="eastAsia" w:ascii="宋体" w:hAnsi="宋体" w:eastAsia="宋体" w:cs="宋体"/>
        </w:rPr>
        <w:br w:type="page"/>
      </w:r>
    </w:p>
    <w:p w14:paraId="1AD38793">
      <w:pPr>
        <w:pStyle w:val="15"/>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签署页</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24"/>
        <w:gridCol w:w="4298"/>
      </w:tblGrid>
      <w:tr w14:paraId="783F4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6B4C9FC1">
            <w:pPr>
              <w:pStyle w:val="15"/>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宋体" w:hAnsi="宋体" w:eastAsia="宋体" w:cs="宋体"/>
                <w:sz w:val="24"/>
                <w:szCs w:val="24"/>
                <w:vertAlign w:val="baseline"/>
              </w:rPr>
            </w:pPr>
            <w:r>
              <w:rPr>
                <w:rFonts w:hint="eastAsia" w:ascii="宋体" w:hAnsi="宋体" w:eastAsia="宋体" w:cs="宋体"/>
                <w:b/>
                <w:color w:val="auto"/>
                <w:sz w:val="24"/>
                <w:szCs w:val="24"/>
                <w:highlight w:val="none"/>
              </w:rPr>
              <w:t>甲  方（公章）</w:t>
            </w:r>
          </w:p>
        </w:tc>
        <w:tc>
          <w:tcPr>
            <w:tcW w:w="4981" w:type="dxa"/>
          </w:tcPr>
          <w:p w14:paraId="3E4B0205">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sz w:val="24"/>
                <w:szCs w:val="24"/>
                <w:vertAlign w:val="baseline"/>
              </w:rPr>
            </w:pPr>
            <w:r>
              <w:rPr>
                <w:rFonts w:hint="eastAsia" w:ascii="宋体" w:hAnsi="宋体" w:eastAsia="宋体" w:cs="宋体"/>
                <w:b/>
                <w:color w:val="auto"/>
                <w:sz w:val="24"/>
                <w:szCs w:val="24"/>
                <w:highlight w:val="none"/>
              </w:rPr>
              <w:t>乙  方（公章）</w:t>
            </w:r>
          </w:p>
        </w:tc>
      </w:tr>
      <w:tr w14:paraId="3F28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07C353E8">
            <w:pPr>
              <w:pStyle w:val="15"/>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宋体" w:hAnsi="宋体" w:eastAsia="宋体" w:cs="宋体"/>
                <w:sz w:val="24"/>
                <w:szCs w:val="24"/>
                <w:vertAlign w:val="baseline"/>
                <w:lang w:eastAsia="zh-CN"/>
              </w:rPr>
            </w:pPr>
            <w:r>
              <w:rPr>
                <w:rFonts w:hint="eastAsia" w:ascii="宋体" w:hAnsi="宋体" w:eastAsia="宋体" w:cs="宋体"/>
                <w:b/>
                <w:bCs/>
                <w:color w:val="auto"/>
                <w:sz w:val="24"/>
                <w:szCs w:val="24"/>
                <w:highlight w:val="none"/>
              </w:rPr>
              <w:t>单位名称：</w:t>
            </w:r>
            <w:r>
              <w:rPr>
                <w:rFonts w:hint="eastAsia" w:ascii="宋体" w:hAnsi="宋体" w:eastAsia="宋体" w:cs="宋体"/>
                <w:color w:val="auto"/>
                <w:sz w:val="24"/>
                <w:szCs w:val="24"/>
                <w:highlight w:val="none"/>
                <w:lang w:val="en-US" w:eastAsia="zh-CN"/>
              </w:rPr>
              <w:t xml:space="preserve"> </w:t>
            </w:r>
          </w:p>
        </w:tc>
        <w:tc>
          <w:tcPr>
            <w:tcW w:w="4981" w:type="dxa"/>
          </w:tcPr>
          <w:p w14:paraId="6226FF1B">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sz w:val="24"/>
                <w:szCs w:val="24"/>
                <w:vertAlign w:val="baseline"/>
                <w:lang w:eastAsia="zh-CN"/>
              </w:rPr>
            </w:pPr>
            <w:r>
              <w:rPr>
                <w:rFonts w:hint="eastAsia" w:ascii="宋体" w:hAnsi="宋体" w:eastAsia="宋体" w:cs="宋体"/>
                <w:b/>
                <w:bCs/>
                <w:color w:val="auto"/>
                <w:sz w:val="24"/>
                <w:szCs w:val="24"/>
                <w:highlight w:val="none"/>
              </w:rPr>
              <w:t>单位名称：</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tc>
      </w:tr>
      <w:tr w14:paraId="0ECDC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1D1A9D03">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地    址：</w:t>
            </w:r>
            <w:r>
              <w:rPr>
                <w:rFonts w:hint="eastAsia" w:ascii="宋体" w:hAnsi="宋体" w:eastAsia="宋体" w:cs="宋体"/>
                <w:color w:val="auto"/>
                <w:sz w:val="24"/>
                <w:szCs w:val="24"/>
                <w:highlight w:val="none"/>
                <w:lang w:val="en-US" w:eastAsia="zh-CN"/>
              </w:rPr>
              <w:t xml:space="preserve"> </w:t>
            </w:r>
          </w:p>
        </w:tc>
        <w:tc>
          <w:tcPr>
            <w:tcW w:w="4981" w:type="dxa"/>
          </w:tcPr>
          <w:p w14:paraId="20500461">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地    址：</w:t>
            </w:r>
            <w:r>
              <w:rPr>
                <w:rFonts w:hint="eastAsia" w:ascii="宋体" w:hAnsi="宋体" w:eastAsia="宋体" w:cs="宋体"/>
                <w:color w:val="auto"/>
                <w:sz w:val="24"/>
                <w:szCs w:val="24"/>
                <w:highlight w:val="none"/>
                <w:lang w:val="en-US" w:eastAsia="zh-CN"/>
              </w:rPr>
              <w:t xml:space="preserve"> </w:t>
            </w:r>
          </w:p>
        </w:tc>
      </w:tr>
      <w:tr w14:paraId="4CF1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4D2E7ECB">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代 理 人：</w:t>
            </w:r>
          </w:p>
        </w:tc>
        <w:tc>
          <w:tcPr>
            <w:tcW w:w="4981" w:type="dxa"/>
          </w:tcPr>
          <w:p w14:paraId="4170880D">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 理 人：</w:t>
            </w:r>
          </w:p>
          <w:p w14:paraId="1E3E77EE">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rPr>
            </w:pPr>
          </w:p>
        </w:tc>
      </w:tr>
      <w:tr w14:paraId="2582B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703E512F">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联系电话：</w:t>
            </w:r>
          </w:p>
        </w:tc>
        <w:tc>
          <w:tcPr>
            <w:tcW w:w="4981" w:type="dxa"/>
          </w:tcPr>
          <w:p w14:paraId="08E94303">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联系电话：</w:t>
            </w:r>
            <w:r>
              <w:rPr>
                <w:rFonts w:hint="eastAsia" w:ascii="宋体" w:hAnsi="宋体" w:eastAsia="宋体" w:cs="宋体"/>
                <w:color w:val="auto"/>
                <w:sz w:val="24"/>
                <w:szCs w:val="24"/>
                <w:highlight w:val="none"/>
                <w:lang w:val="en-US" w:eastAsia="zh-CN"/>
              </w:rPr>
              <w:t xml:space="preserve"> </w:t>
            </w:r>
          </w:p>
        </w:tc>
      </w:tr>
      <w:tr w14:paraId="7BB0D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38245AE7">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color w:val="auto"/>
                <w:sz w:val="24"/>
                <w:szCs w:val="24"/>
                <w:highlight w:val="none"/>
              </w:rPr>
            </w:pPr>
          </w:p>
        </w:tc>
        <w:tc>
          <w:tcPr>
            <w:tcW w:w="4981" w:type="dxa"/>
          </w:tcPr>
          <w:p w14:paraId="1A5E301A">
            <w:pPr>
              <w:pStyle w:val="15"/>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帐    号：</w:t>
            </w:r>
            <w:r>
              <w:rPr>
                <w:rFonts w:hint="eastAsia" w:ascii="宋体" w:hAnsi="宋体" w:eastAsia="宋体" w:cs="宋体"/>
                <w:color w:val="auto"/>
                <w:sz w:val="24"/>
                <w:szCs w:val="24"/>
                <w:highlight w:val="none"/>
                <w:lang w:val="en-US" w:eastAsia="zh-CN"/>
              </w:rPr>
              <w:t xml:space="preserve"> </w:t>
            </w:r>
          </w:p>
        </w:tc>
      </w:tr>
      <w:tr w14:paraId="18E58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629791F5">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color w:val="auto"/>
                <w:sz w:val="24"/>
                <w:szCs w:val="24"/>
                <w:highlight w:val="none"/>
              </w:rPr>
            </w:pPr>
          </w:p>
        </w:tc>
        <w:tc>
          <w:tcPr>
            <w:tcW w:w="4981" w:type="dxa"/>
          </w:tcPr>
          <w:p w14:paraId="5554AA13">
            <w:pPr>
              <w:keepNext w:val="0"/>
              <w:keepLines w:val="0"/>
              <w:pageBreakBefore w:val="0"/>
              <w:widowControl w:val="0"/>
              <w:tabs>
                <w:tab w:val="left" w:pos="480"/>
              </w:tabs>
              <w:kinsoku/>
              <w:wordWrap/>
              <w:overflowPunct/>
              <w:topLinePunct w:val="0"/>
              <w:autoSpaceDE/>
              <w:autoSpaceDN/>
              <w:bidi w:val="0"/>
              <w:adjustRightInd/>
              <w:snapToGrid/>
              <w:spacing w:line="600" w:lineRule="exact"/>
              <w:ind w:left="420" w:left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开户银行：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tc>
      </w:tr>
      <w:tr w14:paraId="0F1DB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74A3AB46">
            <w:pPr>
              <w:keepNext w:val="0"/>
              <w:keepLines w:val="0"/>
              <w:pageBreakBefore w:val="0"/>
              <w:widowControl w:val="0"/>
              <w:tabs>
                <w:tab w:val="left" w:pos="480"/>
              </w:tabs>
              <w:kinsoku/>
              <w:wordWrap/>
              <w:overflowPunct/>
              <w:topLinePunct w:val="0"/>
              <w:autoSpaceDE/>
              <w:autoSpaceDN/>
              <w:bidi w:val="0"/>
              <w:adjustRightInd/>
              <w:snapToGrid/>
              <w:spacing w:line="60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签订日期：</w:t>
            </w:r>
          </w:p>
        </w:tc>
        <w:tc>
          <w:tcPr>
            <w:tcW w:w="4981" w:type="dxa"/>
          </w:tcPr>
          <w:p w14:paraId="2691E6AC">
            <w:pPr>
              <w:keepNext w:val="0"/>
              <w:keepLines w:val="0"/>
              <w:pageBreakBefore w:val="0"/>
              <w:widowControl w:val="0"/>
              <w:tabs>
                <w:tab w:val="left" w:pos="480"/>
              </w:tabs>
              <w:kinsoku/>
              <w:wordWrap/>
              <w:overflowPunct/>
              <w:topLinePunct w:val="0"/>
              <w:autoSpaceDE/>
              <w:autoSpaceDN/>
              <w:bidi w:val="0"/>
              <w:adjustRightInd/>
              <w:snapToGrid/>
              <w:spacing w:line="600" w:lineRule="exact"/>
              <w:ind w:left="420" w:left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签订日期：</w:t>
            </w:r>
          </w:p>
        </w:tc>
      </w:tr>
    </w:tbl>
    <w:p w14:paraId="34D39845">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sz w:val="24"/>
          <w:szCs w:val="24"/>
        </w:rPr>
      </w:pPr>
    </w:p>
    <w:p w14:paraId="5351884B">
      <w:pPr>
        <w:spacing w:line="560" w:lineRule="exact"/>
        <w:rPr>
          <w:rFonts w:hint="eastAsia" w:ascii="宋体" w:hAnsi="宋体" w:eastAsia="宋体" w:cs="宋体"/>
          <w:sz w:val="28"/>
          <w:szCs w:val="28"/>
        </w:rPr>
      </w:pPr>
    </w:p>
    <w:sectPr>
      <w:headerReference r:id="rId11" w:type="default"/>
      <w:footerReference r:id="rId12"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91070">
    <w:pPr>
      <w:pStyle w:val="7"/>
      <w:rPr>
        <w:rFonts w:hint="eastAsia" w:ascii="宋体" w:hAnsi="宋体"/>
      </w:rPr>
    </w:pPr>
    <w:r>
      <w:rPr>
        <w:rFonts w:hint="eastAsia" w:ascii="宋体" w:hAnsi="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FA2E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476DB">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2B6C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B8112">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DB8112">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BCC55">
    <w:pPr>
      <w:pStyle w:val="8"/>
      <w:pBdr>
        <w:bottom w:val="none" w:color="auto" w:sz="0" w:space="0"/>
      </w:pBdr>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4737A">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0DFF2">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DFC2B">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5B3"/>
    <w:rsid w:val="004D65B3"/>
    <w:rsid w:val="00930A27"/>
    <w:rsid w:val="00A62AE5"/>
    <w:rsid w:val="00ED41B0"/>
    <w:rsid w:val="01703979"/>
    <w:rsid w:val="028448AE"/>
    <w:rsid w:val="02C346E6"/>
    <w:rsid w:val="03AE2EEF"/>
    <w:rsid w:val="05AB3032"/>
    <w:rsid w:val="05D47115"/>
    <w:rsid w:val="06733BD7"/>
    <w:rsid w:val="07E87F08"/>
    <w:rsid w:val="08204ED2"/>
    <w:rsid w:val="08425ABC"/>
    <w:rsid w:val="08703D50"/>
    <w:rsid w:val="0ADD6A6C"/>
    <w:rsid w:val="0B070EB3"/>
    <w:rsid w:val="0BF257A2"/>
    <w:rsid w:val="0C455B31"/>
    <w:rsid w:val="0CE07DDD"/>
    <w:rsid w:val="0D6F5C9D"/>
    <w:rsid w:val="0D927FE1"/>
    <w:rsid w:val="0DF51A14"/>
    <w:rsid w:val="0F1605D0"/>
    <w:rsid w:val="10DD4562"/>
    <w:rsid w:val="1237708E"/>
    <w:rsid w:val="12FC10BC"/>
    <w:rsid w:val="130B45D5"/>
    <w:rsid w:val="13465239"/>
    <w:rsid w:val="135F350A"/>
    <w:rsid w:val="14044A9A"/>
    <w:rsid w:val="164F233D"/>
    <w:rsid w:val="18157F6D"/>
    <w:rsid w:val="1819603E"/>
    <w:rsid w:val="188F350D"/>
    <w:rsid w:val="1B0557AD"/>
    <w:rsid w:val="1DA63DBA"/>
    <w:rsid w:val="201046FC"/>
    <w:rsid w:val="20A4654A"/>
    <w:rsid w:val="22D71C1D"/>
    <w:rsid w:val="231B5F2B"/>
    <w:rsid w:val="23291DC4"/>
    <w:rsid w:val="28BD3A65"/>
    <w:rsid w:val="29622D05"/>
    <w:rsid w:val="2AA319C7"/>
    <w:rsid w:val="2BD94BFC"/>
    <w:rsid w:val="2C4A1A38"/>
    <w:rsid w:val="2CA40D8B"/>
    <w:rsid w:val="2CCC6551"/>
    <w:rsid w:val="2E090E65"/>
    <w:rsid w:val="3179263A"/>
    <w:rsid w:val="31E8643F"/>
    <w:rsid w:val="32C47B0D"/>
    <w:rsid w:val="344D6161"/>
    <w:rsid w:val="35755789"/>
    <w:rsid w:val="35F0501F"/>
    <w:rsid w:val="36041D19"/>
    <w:rsid w:val="3A7B2975"/>
    <w:rsid w:val="3C6851A9"/>
    <w:rsid w:val="3CAD2655"/>
    <w:rsid w:val="3D9A3A9E"/>
    <w:rsid w:val="3E5C6F78"/>
    <w:rsid w:val="42745E2D"/>
    <w:rsid w:val="447A41FD"/>
    <w:rsid w:val="44A51BCC"/>
    <w:rsid w:val="44D25E2F"/>
    <w:rsid w:val="4541547F"/>
    <w:rsid w:val="47B65AB2"/>
    <w:rsid w:val="4C515295"/>
    <w:rsid w:val="4CDA3D41"/>
    <w:rsid w:val="4DAC647D"/>
    <w:rsid w:val="4F7E5458"/>
    <w:rsid w:val="4FC5585D"/>
    <w:rsid w:val="5231233C"/>
    <w:rsid w:val="524B2DC8"/>
    <w:rsid w:val="53F26278"/>
    <w:rsid w:val="54B756AE"/>
    <w:rsid w:val="58144D0D"/>
    <w:rsid w:val="59473E05"/>
    <w:rsid w:val="5ACB4331"/>
    <w:rsid w:val="5C29540E"/>
    <w:rsid w:val="5D8A4962"/>
    <w:rsid w:val="5FB34AB6"/>
    <w:rsid w:val="634001E3"/>
    <w:rsid w:val="64446389"/>
    <w:rsid w:val="67C779FD"/>
    <w:rsid w:val="6954726C"/>
    <w:rsid w:val="6B24677C"/>
    <w:rsid w:val="6BC20B7C"/>
    <w:rsid w:val="6C6E6DCF"/>
    <w:rsid w:val="6E4D3AB1"/>
    <w:rsid w:val="6F094457"/>
    <w:rsid w:val="71B45234"/>
    <w:rsid w:val="7227190F"/>
    <w:rsid w:val="741370C1"/>
    <w:rsid w:val="74860B76"/>
    <w:rsid w:val="74895730"/>
    <w:rsid w:val="75AB62D5"/>
    <w:rsid w:val="763C79DD"/>
    <w:rsid w:val="76CC75F6"/>
    <w:rsid w:val="777367F2"/>
    <w:rsid w:val="7779317A"/>
    <w:rsid w:val="77A95EF0"/>
    <w:rsid w:val="77B67E5F"/>
    <w:rsid w:val="78111D7D"/>
    <w:rsid w:val="78C77BFC"/>
    <w:rsid w:val="7AD3168F"/>
    <w:rsid w:val="7DCC321F"/>
    <w:rsid w:val="7E464214"/>
    <w:rsid w:val="7FB92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kern w:val="0"/>
      <w:sz w:val="28"/>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semiHidden/>
    <w:qFormat/>
    <w:uiPriority w:val="0"/>
    <w:rPr>
      <w:rFonts w:ascii="仿宋" w:hAnsi="仿宋" w:eastAsia="仿宋" w:cs="仿宋"/>
      <w:sz w:val="20"/>
      <w:szCs w:val="20"/>
      <w:lang w:eastAsia="en-US"/>
    </w:rPr>
  </w:style>
  <w:style w:type="paragraph" w:styleId="6">
    <w:name w:val="Balloon Text"/>
    <w:basedOn w:val="1"/>
    <w:link w:val="13"/>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框文本 字符"/>
    <w:basedOn w:val="12"/>
    <w:link w:val="6"/>
    <w:qFormat/>
    <w:uiPriority w:val="0"/>
    <w:rPr>
      <w:rFonts w:asciiTheme="minorHAnsi" w:hAnsiTheme="minorHAnsi" w:eastAsiaTheme="minorEastAsia" w:cstheme="minorBidi"/>
      <w:kern w:val="2"/>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3256</Words>
  <Characters>3362</Characters>
  <Lines>23</Lines>
  <Paragraphs>6</Paragraphs>
  <TotalTime>0</TotalTime>
  <ScaleCrop>false</ScaleCrop>
  <LinksUpToDate>false</LinksUpToDate>
  <CharactersWithSpaces>3475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2025-06-19T07:45:00Z</dcterms:created>
  <dc:creator>陈小民</dc:creator>
  <cp:lastModifiedBy>hi wang</cp:lastModifiedBy>
  <cp:lastPrinted>2025-07-01T03:25:00Z</cp:lastPrinted>
  <dcterms:modified xsi:type="dcterms:W3CDTF">2026-04-27T08:19:19Z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eyJoZGlkIjoiZDIxMWVhM2Y3Mzk4YmMyZjRlY2Y5MTg1ZTVjOGFlMjAifQ==</vt:lpwstr>
  </property>
  <property fmtid="{D5CDD505-2E9C-101B-9397-08002B2CF9AE}" pid="4" name="ICV">
    <vt:lpwstr>A0FCD779844E4991975807167FADA7C2_13</vt:lpwstr>
  </property>
</Properties>
</file>