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3ED32">
      <w:pPr>
        <w:snapToGrid w:val="0"/>
        <w:ind w:firstLine="201" w:firstLineChars="100"/>
        <w:rPr>
          <w:rFonts w:hint="eastAsia" w:ascii="仿宋_GB2312" w:hAnsi="仿宋_GB2312" w:eastAsia="仿宋_GB2312" w:cs="仿宋_GB2312"/>
          <w:b/>
          <w:bCs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0"/>
          <w:szCs w:val="20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20"/>
          <w:szCs w:val="20"/>
          <w:highlight w:val="none"/>
        </w:rPr>
        <w:t>、项目概况</w:t>
      </w:r>
    </w:p>
    <w:p w14:paraId="0872AF9D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1、项目位置</w:t>
      </w:r>
    </w:p>
    <w:p w14:paraId="5717B248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位于曲江新区核心区单元详细规划范围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eastAsia="zh-CN"/>
        </w:rPr>
        <w:t>。</w:t>
      </w:r>
    </w:p>
    <w:p w14:paraId="7BFF0B43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2、规划范围</w:t>
      </w:r>
    </w:p>
    <w:p w14:paraId="2318D430">
      <w:pPr>
        <w:pStyle w:val="5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曲江新区核心区单元详细规划约44平方公里建设用地范围内的国土空间规划服务及土地规划设计项目。</w:t>
      </w:r>
    </w:p>
    <w:p w14:paraId="269D76DD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3、设计依据</w:t>
      </w:r>
    </w:p>
    <w:p w14:paraId="0D74AF16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本项目执行和遵守中华人民共和国有关规划设计的法律、法规和规章，全部采用中华人民共和国现行建设工程设计规范，包括但不限于：</w:t>
      </w:r>
    </w:p>
    <w:p w14:paraId="702B4FC5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《中华人民共和国城乡规划法》（2008年）</w:t>
      </w:r>
    </w:p>
    <w:p w14:paraId="3D89B323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《城市规划编制办法》（2006年）</w:t>
      </w:r>
    </w:p>
    <w:p w14:paraId="437D2809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《国土空间调查、规划、用途管制用地用海分类指南》（自然资发〔2023〕234号）</w:t>
      </w:r>
    </w:p>
    <w:p w14:paraId="12B78F12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城市公共设施规划规范》（GB50442-2008）</w:t>
      </w:r>
    </w:p>
    <w:p w14:paraId="381205AF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val="en-US" w:eastAsia="zh-CN"/>
        </w:rPr>
        <w:t>5）《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陕西省城市规划管理技术规定》（陕建发[2008]73号）</w:t>
      </w:r>
    </w:p>
    <w:p w14:paraId="53AAEBD3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val="en-US" w:eastAsia="zh-CN"/>
        </w:rPr>
        <w:t>6）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《中共中央国务院关于建立国土空间规划体系并监督实施的若干意见》（2019年5月9日）</w:t>
      </w:r>
    </w:p>
    <w:p w14:paraId="6720A26A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val="en-US" w:eastAsia="zh-CN"/>
        </w:rPr>
        <w:t>7）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《西安市国土空间详细规划编制指引（试行版）》</w:t>
      </w:r>
    </w:p>
    <w:p w14:paraId="4D36C0FB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val="en-US" w:eastAsia="zh-CN"/>
        </w:rPr>
        <w:t>8）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《西安市居住区公共服务设施配套指引（试行）》（市资源发〔2025〕114号）</w:t>
      </w:r>
    </w:p>
    <w:p w14:paraId="4F2CE739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val="en-US" w:eastAsia="zh-CN"/>
        </w:rPr>
        <w:t>9）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国家、省市及其他相关文件</w:t>
      </w:r>
    </w:p>
    <w:p w14:paraId="06347A50">
      <w:pPr>
        <w:snapToGrid w:val="0"/>
        <w:ind w:firstLine="201" w:firstLineChars="100"/>
        <w:rPr>
          <w:rFonts w:hint="eastAsia" w:ascii="仿宋_GB2312" w:hAnsi="仿宋_GB2312" w:eastAsia="仿宋_GB2312" w:cs="仿宋_GB2312"/>
          <w:b/>
          <w:bCs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0"/>
          <w:szCs w:val="20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20"/>
          <w:szCs w:val="20"/>
          <w:highlight w:val="none"/>
        </w:rPr>
        <w:t>、设计内容及要求</w:t>
      </w:r>
    </w:p>
    <w:p w14:paraId="37CADA64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1、国土空间规划服务</w:t>
      </w:r>
    </w:p>
    <w:p w14:paraId="0BB28F53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（1）提供技术服务</w:t>
      </w:r>
    </w:p>
    <w:p w14:paraId="0A85C780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在规划审批、土地储备供应工作中，做好前期的技术咨询工作。</w:t>
      </w:r>
    </w:p>
    <w:p w14:paraId="2230C1FE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（2）日常事务工作</w:t>
      </w:r>
    </w:p>
    <w:p w14:paraId="6F994CBD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提供国土空间规划项目前期策划、政策分析与研讨；项目中期技术咨询与答疑，协助开展技术审查、上报等。</w:t>
      </w:r>
    </w:p>
    <w:p w14:paraId="791280C5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（3）政策技术贯宣</w:t>
      </w:r>
    </w:p>
    <w:p w14:paraId="4FE2E646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开展市级规划宣讲、政策解读等工作，助力政策落实与项目落地。</w:t>
      </w:r>
    </w:p>
    <w:p w14:paraId="0F90AE1C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（4）协调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规划</w:t>
      </w:r>
    </w:p>
    <w:p w14:paraId="16160DD7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在上位规划指导约束下，协调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eastAsia="zh-CN"/>
        </w:rPr>
        <w:t>单元规划、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专项规划编制。</w:t>
      </w:r>
    </w:p>
    <w:p w14:paraId="0A039034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2、土地规划设计项目</w:t>
      </w:r>
    </w:p>
    <w:p w14:paraId="13BFF19F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曲江新区储备土地规划用地研究报告、实施详细规划、“规土评让”方案等编制服务。具体以甲方每笔业务发生时的《业务委托单》载明范围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val="en-US" w:eastAsia="zh-CN"/>
        </w:rPr>
        <w:t>及事项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为准。</w:t>
      </w:r>
    </w:p>
    <w:p w14:paraId="693773BB">
      <w:pPr>
        <w:snapToGrid w:val="0"/>
        <w:ind w:firstLine="201" w:firstLineChars="100"/>
        <w:rPr>
          <w:rFonts w:hint="eastAsia" w:ascii="仿宋_GB2312" w:hAnsi="仿宋_GB2312" w:eastAsia="仿宋_GB2312" w:cs="仿宋_GB2312"/>
          <w:b/>
          <w:bCs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0"/>
          <w:szCs w:val="20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0"/>
          <w:szCs w:val="20"/>
          <w:highlight w:val="none"/>
        </w:rPr>
        <w:t>、成果提交</w:t>
      </w:r>
    </w:p>
    <w:p w14:paraId="4DD1787C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国土空间规划服务按国土空间规划服务事项具体要求提供成果；</w:t>
      </w:r>
    </w:p>
    <w:p w14:paraId="7546ED78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土地规划设计项目根据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</w:rPr>
        <w:t>提供资料，按宗地需要，出具纸质及电子成果一套。</w:t>
      </w:r>
    </w:p>
    <w:p w14:paraId="1D7733FD">
      <w:pPr>
        <w:snapToGrid w:val="0"/>
        <w:ind w:firstLine="201" w:firstLineChars="100"/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  <w:highlight w:val="none"/>
          <w:lang w:val="en-US" w:eastAsia="zh-CN"/>
        </w:rPr>
        <w:t>四、其他要求</w:t>
      </w:r>
    </w:p>
    <w:p w14:paraId="713329A7">
      <w:p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1、国土空间规划服务两年期费用按采购人实际情况每季度据实结算。项目数量以采购人出具《业务委托单》为准，具体要求如下：</w:t>
      </w:r>
    </w:p>
    <w:tbl>
      <w:tblPr>
        <w:tblStyle w:val="3"/>
        <w:tblpPr w:leftFromText="180" w:rightFromText="180" w:vertAnchor="text" w:horzAnchor="page" w:tblpX="2160" w:tblpY="989"/>
        <w:tblOverlap w:val="never"/>
        <w:tblW w:w="47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055"/>
        <w:gridCol w:w="2700"/>
        <w:gridCol w:w="2757"/>
      </w:tblGrid>
      <w:tr w14:paraId="192F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E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1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暂定工程量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7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限价</w:t>
            </w:r>
          </w:p>
        </w:tc>
      </w:tr>
      <w:tr w14:paraId="182A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单元规划用地优化</w:t>
            </w:r>
          </w:p>
          <w:p w14:paraId="13DC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1个重要发展单元（约300公顷）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1100元/公顷</w:t>
            </w:r>
          </w:p>
        </w:tc>
      </w:tr>
      <w:tr w14:paraId="738F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5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25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2个其他单元（约815公顷）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1000元/公顷</w:t>
            </w:r>
          </w:p>
        </w:tc>
      </w:tr>
      <w:tr w14:paraId="49E89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详细规划一张图动态更新维护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43.88平方公里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E879">
            <w:pPr>
              <w:keepNext w:val="0"/>
              <w:keepLines w:val="0"/>
              <w:widowControl/>
              <w:suppressLineNumbers w:val="0"/>
              <w:ind w:firstLine="3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10000元/平方公里</w:t>
            </w:r>
          </w:p>
        </w:tc>
      </w:tr>
      <w:tr w14:paraId="5B1F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年度城市体检评估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2个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210000元/个</w:t>
            </w:r>
          </w:p>
        </w:tc>
      </w:tr>
      <w:tr w14:paraId="3C15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年度土地征收储备供应计划相关规划工作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2个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2026年18万/个、2027年12万/个</w:t>
            </w:r>
          </w:p>
        </w:tc>
      </w:tr>
      <w:tr w14:paraId="2FC72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信息技术服务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43.88平方公里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5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8000元/平方公里</w:t>
            </w:r>
          </w:p>
        </w:tc>
      </w:tr>
      <w:tr w14:paraId="63EC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地块四类优化调整情形研究工作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1个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F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45000元/个</w:t>
            </w:r>
          </w:p>
        </w:tc>
      </w:tr>
      <w:tr w14:paraId="207C0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地块研究论证报告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5个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7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100000元/个</w:t>
            </w:r>
          </w:p>
        </w:tc>
      </w:tr>
    </w:tbl>
    <w:p w14:paraId="401FF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0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val="en-US" w:eastAsia="zh-CN"/>
        </w:rPr>
      </w:pPr>
    </w:p>
    <w:p w14:paraId="12C75015">
      <w:pPr>
        <w:pStyle w:val="2"/>
        <w:rPr>
          <w:rFonts w:hint="eastAsia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20"/>
          <w:szCs w:val="20"/>
          <w:highlight w:val="none"/>
          <w:lang w:val="en-US" w:eastAsia="zh-CN" w:bidi="ar-SA"/>
        </w:rPr>
        <w:t>备注：单元优化以完成行政审批为一个周期，多轮优化另行计费。</w:t>
      </w:r>
    </w:p>
    <w:p w14:paraId="5DE00308">
      <w:pPr>
        <w:pStyle w:val="2"/>
        <w:rPr>
          <w:rFonts w:hint="eastAsia"/>
          <w:highlight w:val="none"/>
          <w:lang w:val="en-US" w:eastAsia="zh-CN"/>
        </w:rPr>
      </w:pPr>
    </w:p>
    <w:p w14:paraId="7B0C3AA8">
      <w:pPr>
        <w:numPr>
          <w:ilvl w:val="0"/>
          <w:numId w:val="1"/>
        </w:numPr>
        <w:snapToGrid w:val="0"/>
        <w:ind w:firstLine="200" w:firstLineChars="100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highlight w:val="none"/>
          <w:lang w:val="en-US" w:eastAsia="zh-CN"/>
        </w:rPr>
        <w:t>土地规划设计项目两年期费用按采购人实际情况每季度据实结算。项目数量以采购人出具《业务委托单》为准，具体要求如下：</w:t>
      </w:r>
    </w:p>
    <w:tbl>
      <w:tblPr>
        <w:tblStyle w:val="3"/>
        <w:tblW w:w="478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084"/>
        <w:gridCol w:w="2621"/>
        <w:gridCol w:w="2679"/>
      </w:tblGrid>
      <w:tr w14:paraId="443E7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0" w:hRule="atLeast"/>
          <w:jc w:val="center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2B90">
            <w:pPr>
              <w:autoSpaceDE w:val="0"/>
              <w:autoSpaceDN w:val="0"/>
              <w:adjustRightInd w:val="0"/>
              <w:snapToGrid w:val="0"/>
              <w:spacing w:line="312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暂定工程量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限价</w:t>
            </w:r>
          </w:p>
        </w:tc>
      </w:tr>
      <w:tr w14:paraId="2752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土地规划（含规土评让相关技术服务）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3CC8"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元/个</w:t>
            </w:r>
          </w:p>
        </w:tc>
      </w:tr>
    </w:tbl>
    <w:p w14:paraId="1DDF6FDC">
      <w:pPr>
        <w:snapToGrid w:val="0"/>
        <w:ind w:firstLine="201" w:firstLineChars="100"/>
        <w:rPr>
          <w:rFonts w:hint="eastAsia" w:ascii="仿宋_GB2312" w:hAnsi="仿宋_GB2312" w:eastAsia="仿宋_GB2312" w:cs="仿宋_GB2312"/>
          <w:b/>
          <w:bCs/>
          <w:sz w:val="20"/>
          <w:szCs w:val="20"/>
          <w:highlight w:val="none"/>
          <w:lang w:val="en-US" w:eastAsia="zh-CN"/>
        </w:rPr>
      </w:pPr>
    </w:p>
    <w:p w14:paraId="749012F3">
      <w:pPr>
        <w:snapToGrid w:val="0"/>
        <w:ind w:firstLine="201" w:firstLineChars="100"/>
        <w:rPr>
          <w:rFonts w:hint="eastAsia" w:ascii="仿宋_GB2312" w:hAnsi="仿宋_GB2312" w:eastAsia="仿宋_GB2312" w:cs="仿宋_GB2312"/>
          <w:b/>
          <w:bCs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0"/>
          <w:szCs w:val="20"/>
          <w:highlight w:val="none"/>
          <w:lang w:val="en-US" w:eastAsia="zh-CN"/>
        </w:rPr>
        <w:t>注：以上1-8项</w:t>
      </w:r>
      <w:r>
        <w:rPr>
          <w:rFonts w:hint="eastAsia" w:ascii="仿宋_GB2312" w:hAnsi="仿宋_GB2312" w:eastAsia="仿宋_GB2312" w:cs="仿宋_GB2312"/>
          <w:b/>
          <w:bCs/>
          <w:sz w:val="20"/>
          <w:szCs w:val="20"/>
          <w:highlight w:val="none"/>
        </w:rPr>
        <w:t>单价</w:t>
      </w:r>
      <w:r>
        <w:rPr>
          <w:rFonts w:hint="eastAsia" w:ascii="仿宋_GB2312" w:hAnsi="仿宋_GB2312" w:eastAsia="仿宋_GB2312" w:cs="仿宋_GB2312"/>
          <w:b/>
          <w:bCs/>
          <w:sz w:val="20"/>
          <w:szCs w:val="20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b/>
          <w:bCs/>
          <w:sz w:val="20"/>
          <w:szCs w:val="20"/>
          <w:highlight w:val="none"/>
        </w:rPr>
        <w:t>不得超过单价最高限价，</w:t>
      </w:r>
      <w:r>
        <w:rPr>
          <w:rFonts w:hint="eastAsia" w:ascii="仿宋_GB2312" w:hAnsi="仿宋_GB2312" w:eastAsia="仿宋_GB2312" w:cs="仿宋_GB2312"/>
          <w:b/>
          <w:bCs/>
          <w:sz w:val="20"/>
          <w:szCs w:val="20"/>
          <w:highlight w:val="none"/>
          <w:lang w:val="en-US" w:eastAsia="zh-CN"/>
        </w:rPr>
        <w:t>否则按无效标处理</w:t>
      </w:r>
      <w:r>
        <w:rPr>
          <w:rFonts w:hint="eastAsia" w:ascii="仿宋_GB2312" w:hAnsi="仿宋_GB2312" w:eastAsia="仿宋_GB2312" w:cs="仿宋_GB2312"/>
          <w:b/>
          <w:bCs/>
          <w:sz w:val="20"/>
          <w:szCs w:val="20"/>
          <w:highlight w:val="none"/>
          <w:lang w:eastAsia="zh-CN"/>
        </w:rPr>
        <w:t>。</w:t>
      </w:r>
    </w:p>
    <w:p w14:paraId="5F03EB1B">
      <w:pPr>
        <w:snapToGrid w:val="0"/>
        <w:ind w:firstLine="201" w:firstLineChars="100"/>
        <w:rPr>
          <w:rFonts w:hint="eastAsia" w:ascii="仿宋_GB2312" w:hAnsi="仿宋_GB2312" w:eastAsia="仿宋_GB2312" w:cs="仿宋_GB2312"/>
          <w:b/>
          <w:bCs/>
          <w:sz w:val="20"/>
          <w:szCs w:val="20"/>
          <w:highlight w:val="none"/>
          <w:lang w:val="en-US" w:eastAsia="zh-CN"/>
        </w:rPr>
      </w:pPr>
    </w:p>
    <w:p w14:paraId="75F1BD28">
      <w:pPr>
        <w:snapToGrid w:val="0"/>
        <w:ind w:firstLine="201" w:firstLineChars="100"/>
        <w:rPr>
          <w:rFonts w:hint="eastAsia" w:ascii="仿宋_GB2312" w:hAnsi="仿宋_GB2312" w:eastAsia="仿宋_GB2312" w:cs="仿宋_GB2312"/>
          <w:b/>
          <w:bCs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0"/>
          <w:szCs w:val="20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20"/>
          <w:szCs w:val="20"/>
          <w:highlight w:val="none"/>
        </w:rPr>
        <w:t>服务期限</w:t>
      </w:r>
    </w:p>
    <w:p w14:paraId="3C8B8A4E">
      <w:pPr>
        <w:pStyle w:val="5"/>
        <w:ind w:firstLine="200" w:firstLineChars="100"/>
        <w:rPr>
          <w:rFonts w:hint="eastAsia" w:ascii="仿宋_GB2312" w:hAnsi="仿宋_GB2312" w:eastAsia="仿宋_GB2312" w:cs="仿宋_GB2312"/>
          <w:b/>
          <w:bCs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服务期限两年，从合同签订之日起计算。</w:t>
      </w:r>
    </w:p>
    <w:p w14:paraId="6B2488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DE916"/>
    <w:multiLevelType w:val="singleLevel"/>
    <w:tmpl w:val="164DE91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2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2026-05-14T04:26:16Z</dcterms:created>
  <dc:creator>Administrator</dc:creator>
  <cp:lastModifiedBy>高蕊玲</cp:lastModifiedBy>
  <dcterms:modified xsi:type="dcterms:W3CDTF">2026-05-14T04:27:38Z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eyJoZGlkIjoiOWNkODk0Yzk4YThhZTUxYjE4YjI3ZGQ1ZWZmMWIzMGUiLCJ1c2VySWQiOiIxNjY0MTM3NDI2In0=</vt:lpwstr>
  </property>
  <property fmtid="{D5CDD505-2E9C-101B-9397-08002B2CF9AE}" pid="4" name="ICV">
    <vt:lpwstr>233A1EEE1B5645019954B035349DA002_12</vt:lpwstr>
  </property>
</Properties>
</file>