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6C6CF">
      <w:pPr>
        <w:spacing w:before="91" w:line="360" w:lineRule="auto"/>
        <w:ind w:left="2"/>
        <w:rPr>
          <w:rFonts w:hint="eastAsia" w:ascii="宋体" w:hAnsi="宋体" w:eastAsia="宋体" w:cs="宋体"/>
          <w:sz w:val="28"/>
          <w:szCs w:val="28"/>
          <w:lang w:eastAsia="zh-CN"/>
        </w:rPr>
      </w:pPr>
      <w:r>
        <w:rPr>
          <w:rFonts w:ascii="宋体" w:hAnsi="宋体" w:eastAsia="宋体" w:cs="宋体"/>
          <w:b/>
          <w:bCs/>
          <w:spacing w:val="-3"/>
          <w:sz w:val="28"/>
          <w:szCs w:val="28"/>
        </w:rPr>
        <w:t>项目编号：</w:t>
      </w:r>
      <w:r>
        <w:rPr>
          <w:rFonts w:hint="eastAsia" w:ascii="宋体" w:hAnsi="宋体" w:eastAsia="宋体" w:cs="宋体"/>
          <w:b/>
          <w:bCs/>
          <w:spacing w:val="-3"/>
          <w:sz w:val="28"/>
          <w:szCs w:val="28"/>
          <w:lang w:eastAsia="zh-CN"/>
        </w:rPr>
        <w:t>HCKPZY-ZB-2026010</w:t>
      </w:r>
    </w:p>
    <w:p w14:paraId="32AFA605">
      <w:pPr>
        <w:pStyle w:val="4"/>
        <w:spacing w:line="360" w:lineRule="auto"/>
      </w:pPr>
    </w:p>
    <w:p w14:paraId="63D15E93">
      <w:pPr>
        <w:pStyle w:val="4"/>
        <w:spacing w:line="360" w:lineRule="auto"/>
      </w:pPr>
    </w:p>
    <w:p w14:paraId="40595341">
      <w:pPr>
        <w:pStyle w:val="4"/>
        <w:spacing w:line="360" w:lineRule="auto"/>
      </w:pPr>
    </w:p>
    <w:p w14:paraId="53125492">
      <w:pPr>
        <w:spacing w:before="152" w:line="360" w:lineRule="auto"/>
        <w:jc w:val="center"/>
        <w:rPr>
          <w:rFonts w:hint="eastAsia" w:ascii="宋体" w:hAnsi="宋体" w:eastAsia="宋体" w:cs="宋体"/>
          <w:b/>
          <w:bCs/>
          <w:spacing w:val="1"/>
          <w:sz w:val="47"/>
          <w:szCs w:val="47"/>
          <w:lang w:eastAsia="zh-CN"/>
        </w:rPr>
      </w:pPr>
      <w:r>
        <w:rPr>
          <w:rFonts w:hint="eastAsia" w:ascii="宋体" w:hAnsi="宋体" w:eastAsia="宋体" w:cs="宋体"/>
          <w:b/>
          <w:bCs/>
          <w:spacing w:val="1"/>
          <w:sz w:val="47"/>
          <w:szCs w:val="47"/>
          <w:lang w:eastAsia="zh-CN"/>
        </w:rPr>
        <w:t>杨凌农业科技成果转化综合信息服务平台项目软件测试服务及等保测评服务</w:t>
      </w:r>
    </w:p>
    <w:p w14:paraId="15B6DBB0">
      <w:pPr>
        <w:spacing w:before="152" w:line="360" w:lineRule="auto"/>
        <w:jc w:val="center"/>
        <w:rPr>
          <w:rFonts w:hint="eastAsia" w:ascii="宋体" w:hAnsi="宋体" w:eastAsia="宋体" w:cs="宋体"/>
          <w:b/>
          <w:bCs/>
          <w:spacing w:val="1"/>
          <w:sz w:val="32"/>
          <w:szCs w:val="32"/>
          <w:lang w:eastAsia="zh-CN"/>
        </w:rPr>
      </w:pPr>
      <w:r>
        <w:rPr>
          <w:rFonts w:asciiTheme="minorEastAsia" w:hAnsiTheme="minorEastAsia" w:eastAsiaTheme="minorEastAsia" w:cstheme="minorEastAsia"/>
          <w:b/>
          <w:bCs/>
          <w:sz w:val="32"/>
          <w:szCs w:val="32"/>
        </w:rPr>
        <w:t>合同包1(</w:t>
      </w:r>
      <w:r>
        <w:rPr>
          <w:rFonts w:hint="eastAsia" w:asciiTheme="minorEastAsia" w:hAnsiTheme="minorEastAsia" w:cstheme="minorEastAsia"/>
          <w:b/>
          <w:bCs/>
          <w:sz w:val="32"/>
          <w:szCs w:val="32"/>
          <w:lang w:eastAsia="zh-CN"/>
        </w:rPr>
        <w:t>软件测试服务</w:t>
      </w:r>
      <w:r>
        <w:rPr>
          <w:rFonts w:asciiTheme="minorEastAsia" w:hAnsiTheme="minorEastAsia" w:eastAsiaTheme="minorEastAsia" w:cstheme="minorEastAsia"/>
          <w:b/>
          <w:bCs/>
          <w:sz w:val="32"/>
          <w:szCs w:val="32"/>
        </w:rPr>
        <w:t>)</w:t>
      </w:r>
    </w:p>
    <w:p w14:paraId="155FC2C3">
      <w:pPr>
        <w:pStyle w:val="4"/>
        <w:spacing w:line="360" w:lineRule="auto"/>
      </w:pPr>
    </w:p>
    <w:p w14:paraId="5565B8F3">
      <w:pPr>
        <w:pStyle w:val="4"/>
        <w:spacing w:line="360" w:lineRule="auto"/>
      </w:pPr>
    </w:p>
    <w:p w14:paraId="34CB8D9C">
      <w:pPr>
        <w:pStyle w:val="4"/>
        <w:spacing w:line="360" w:lineRule="auto"/>
      </w:pPr>
    </w:p>
    <w:p w14:paraId="0C65C8F1">
      <w:pPr>
        <w:pStyle w:val="4"/>
        <w:spacing w:line="360" w:lineRule="auto"/>
      </w:pPr>
    </w:p>
    <w:p w14:paraId="4FE4425B">
      <w:pPr>
        <w:pStyle w:val="4"/>
        <w:spacing w:line="360" w:lineRule="auto"/>
      </w:pPr>
    </w:p>
    <w:p w14:paraId="32DD1892">
      <w:pPr>
        <w:pStyle w:val="4"/>
        <w:spacing w:line="360" w:lineRule="auto"/>
      </w:pPr>
    </w:p>
    <w:p w14:paraId="12B665E8">
      <w:pPr>
        <w:spacing w:before="231" w:line="360" w:lineRule="auto"/>
        <w:ind w:left="2366"/>
        <w:rPr>
          <w:rFonts w:ascii="宋体" w:hAnsi="宋体" w:eastAsia="宋体" w:cs="宋体"/>
          <w:sz w:val="71"/>
          <w:szCs w:val="71"/>
        </w:rPr>
      </w:pPr>
      <w:r>
        <w:rPr>
          <w:rFonts w:ascii="宋体" w:hAnsi="宋体" w:eastAsia="宋体" w:cs="宋体"/>
          <w:b/>
          <w:bCs/>
          <w:spacing w:val="-1"/>
          <w:sz w:val="71"/>
          <w:szCs w:val="71"/>
        </w:rPr>
        <w:t>竞争性磋商文件</w:t>
      </w:r>
    </w:p>
    <w:p w14:paraId="4B5F44E2">
      <w:pPr>
        <w:pStyle w:val="4"/>
        <w:spacing w:line="360" w:lineRule="auto"/>
      </w:pPr>
    </w:p>
    <w:p w14:paraId="2FA03B34">
      <w:pPr>
        <w:pStyle w:val="4"/>
        <w:spacing w:line="360" w:lineRule="auto"/>
      </w:pPr>
    </w:p>
    <w:p w14:paraId="63FF09F3">
      <w:pPr>
        <w:pStyle w:val="4"/>
        <w:spacing w:line="360" w:lineRule="auto"/>
      </w:pPr>
    </w:p>
    <w:p w14:paraId="4E943995">
      <w:pPr>
        <w:pStyle w:val="4"/>
        <w:spacing w:line="360" w:lineRule="auto"/>
      </w:pPr>
    </w:p>
    <w:p w14:paraId="6D466D50">
      <w:pPr>
        <w:pStyle w:val="4"/>
        <w:spacing w:line="360" w:lineRule="auto"/>
      </w:pPr>
    </w:p>
    <w:p w14:paraId="0742D52B">
      <w:pPr>
        <w:pStyle w:val="4"/>
        <w:spacing w:line="360" w:lineRule="auto"/>
      </w:pPr>
    </w:p>
    <w:p w14:paraId="60C10717">
      <w:pPr>
        <w:spacing w:before="114" w:line="360" w:lineRule="auto"/>
        <w:ind w:firstLine="727" w:firstLineChars="200"/>
        <w:rPr>
          <w:rFonts w:hint="eastAsia" w:ascii="宋体" w:hAnsi="宋体" w:eastAsia="宋体" w:cs="宋体"/>
          <w:sz w:val="35"/>
          <w:szCs w:val="35"/>
          <w:lang w:eastAsia="zh-CN"/>
        </w:rPr>
      </w:pPr>
      <w:r>
        <w:rPr>
          <w:rFonts w:ascii="宋体" w:hAnsi="宋体" w:eastAsia="宋体" w:cs="宋体"/>
          <w:b/>
          <w:bCs/>
          <w:spacing w:val="6"/>
          <w:sz w:val="35"/>
          <w:szCs w:val="35"/>
        </w:rPr>
        <w:t>采</w:t>
      </w:r>
      <w:r>
        <w:rPr>
          <w:rFonts w:ascii="宋体" w:hAnsi="宋体" w:eastAsia="宋体" w:cs="宋体"/>
          <w:spacing w:val="6"/>
          <w:sz w:val="35"/>
          <w:szCs w:val="35"/>
        </w:rPr>
        <w:t xml:space="preserve">   </w:t>
      </w:r>
      <w:r>
        <w:rPr>
          <w:rFonts w:ascii="宋体" w:hAnsi="宋体" w:eastAsia="宋体" w:cs="宋体"/>
          <w:b/>
          <w:bCs/>
          <w:spacing w:val="6"/>
          <w:sz w:val="35"/>
          <w:szCs w:val="35"/>
        </w:rPr>
        <w:t>购</w:t>
      </w:r>
      <w:r>
        <w:rPr>
          <w:rFonts w:ascii="宋体" w:hAnsi="宋体" w:eastAsia="宋体" w:cs="宋体"/>
          <w:spacing w:val="6"/>
          <w:sz w:val="35"/>
          <w:szCs w:val="35"/>
        </w:rPr>
        <w:t xml:space="preserve">   </w:t>
      </w:r>
      <w:r>
        <w:rPr>
          <w:rFonts w:ascii="宋体" w:hAnsi="宋体" w:eastAsia="宋体" w:cs="宋体"/>
          <w:b/>
          <w:bCs/>
          <w:spacing w:val="6"/>
          <w:sz w:val="35"/>
          <w:szCs w:val="35"/>
        </w:rPr>
        <w:t>人：</w:t>
      </w:r>
      <w:r>
        <w:rPr>
          <w:rFonts w:hint="eastAsia" w:ascii="宋体" w:hAnsi="宋体" w:eastAsia="宋体" w:cs="宋体"/>
          <w:b/>
          <w:bCs/>
          <w:spacing w:val="6"/>
          <w:sz w:val="35"/>
          <w:szCs w:val="35"/>
          <w:lang w:eastAsia="zh-CN"/>
        </w:rPr>
        <w:t>杨凌示范区科技创新和转化推广局</w:t>
      </w:r>
    </w:p>
    <w:p w14:paraId="6653DCF8">
      <w:pPr>
        <w:spacing w:before="277" w:line="360" w:lineRule="auto"/>
        <w:ind w:firstLine="731" w:firstLineChars="200"/>
        <w:rPr>
          <w:rFonts w:hint="eastAsia" w:ascii="宋体" w:hAnsi="宋体" w:eastAsia="宋体" w:cs="宋体"/>
          <w:sz w:val="35"/>
          <w:szCs w:val="35"/>
          <w:lang w:eastAsia="zh-CN"/>
        </w:rPr>
      </w:pPr>
      <w:r>
        <w:rPr>
          <w:rFonts w:ascii="宋体" w:hAnsi="宋体" w:eastAsia="宋体" w:cs="宋体"/>
          <w:b/>
          <w:bCs/>
          <w:spacing w:val="7"/>
          <w:sz w:val="35"/>
          <w:szCs w:val="35"/>
        </w:rPr>
        <w:t>采购代理机构：</w:t>
      </w:r>
      <w:r>
        <w:rPr>
          <w:rFonts w:hint="eastAsia" w:ascii="宋体" w:hAnsi="宋体" w:eastAsia="宋体" w:cs="宋体"/>
          <w:b/>
          <w:bCs/>
          <w:spacing w:val="7"/>
          <w:sz w:val="35"/>
          <w:szCs w:val="35"/>
          <w:lang w:eastAsia="zh-CN"/>
        </w:rPr>
        <w:t>华春建设工程项目管理有限责任公司</w:t>
      </w:r>
    </w:p>
    <w:p w14:paraId="70364566">
      <w:pPr>
        <w:spacing w:before="275" w:line="360" w:lineRule="auto"/>
        <w:ind w:left="3614"/>
        <w:rPr>
          <w:rFonts w:ascii="宋体" w:hAnsi="宋体" w:eastAsia="宋体" w:cs="宋体"/>
          <w:sz w:val="35"/>
          <w:szCs w:val="35"/>
        </w:rPr>
      </w:pPr>
      <w:r>
        <w:rPr>
          <w:rFonts w:ascii="宋体" w:hAnsi="宋体" w:eastAsia="宋体" w:cs="宋体"/>
          <w:b/>
          <w:bCs/>
          <w:spacing w:val="4"/>
          <w:sz w:val="35"/>
          <w:szCs w:val="35"/>
        </w:rPr>
        <w:t>二〇二六年</w:t>
      </w:r>
      <w:r>
        <w:rPr>
          <w:rFonts w:hint="eastAsia" w:ascii="宋体" w:hAnsi="宋体" w:eastAsia="宋体" w:cs="宋体"/>
          <w:b/>
          <w:bCs/>
          <w:spacing w:val="4"/>
          <w:sz w:val="35"/>
          <w:szCs w:val="35"/>
          <w:lang w:val="en-US" w:eastAsia="zh-CN"/>
        </w:rPr>
        <w:t>四</w:t>
      </w:r>
      <w:r>
        <w:rPr>
          <w:rFonts w:ascii="宋体" w:hAnsi="宋体" w:eastAsia="宋体" w:cs="宋体"/>
          <w:b/>
          <w:bCs/>
          <w:spacing w:val="4"/>
          <w:sz w:val="35"/>
          <w:szCs w:val="35"/>
        </w:rPr>
        <w:t>月</w:t>
      </w:r>
    </w:p>
    <w:p w14:paraId="5B0C28A5">
      <w:pPr>
        <w:spacing w:line="360" w:lineRule="auto"/>
        <w:rPr>
          <w:rFonts w:ascii="宋体" w:hAnsi="宋体" w:eastAsia="宋体" w:cs="宋体"/>
          <w:sz w:val="35"/>
          <w:szCs w:val="35"/>
        </w:rPr>
        <w:sectPr>
          <w:pgSz w:w="11906" w:h="16839"/>
          <w:pgMar w:top="1431" w:right="1619" w:bottom="0" w:left="1092" w:header="0" w:footer="0" w:gutter="0"/>
          <w:cols w:space="720" w:num="1"/>
        </w:sectPr>
      </w:pPr>
    </w:p>
    <w:p w14:paraId="3C35CA20">
      <w:pPr>
        <w:spacing w:before="308" w:line="360" w:lineRule="auto"/>
        <w:ind w:left="4403"/>
        <w:rPr>
          <w:rFonts w:ascii="宋体" w:hAnsi="宋体" w:eastAsia="宋体" w:cs="宋体"/>
          <w:b/>
          <w:bCs/>
          <w:sz w:val="24"/>
          <w:szCs w:val="24"/>
        </w:rPr>
      </w:pPr>
      <w:r>
        <w:rPr>
          <w:rFonts w:ascii="宋体" w:hAnsi="宋体" w:eastAsia="宋体" w:cs="宋体"/>
          <w:b/>
          <w:bCs/>
          <w:spacing w:val="-5"/>
          <w:sz w:val="24"/>
          <w:szCs w:val="24"/>
        </w:rPr>
        <w:t>特别提示</w:t>
      </w:r>
    </w:p>
    <w:p w14:paraId="64E6ED6D">
      <w:pPr>
        <w:spacing w:before="178" w:line="360" w:lineRule="auto"/>
        <w:ind w:left="12"/>
        <w:rPr>
          <w:rFonts w:ascii="宋体" w:hAnsi="宋体" w:eastAsia="宋体" w:cs="宋体"/>
          <w:sz w:val="20"/>
          <w:szCs w:val="20"/>
        </w:rPr>
      </w:pPr>
      <w:r>
        <w:rPr>
          <w:rFonts w:ascii="宋体" w:hAnsi="宋体" w:eastAsia="宋体" w:cs="宋体"/>
          <w:spacing w:val="8"/>
          <w:sz w:val="20"/>
          <w:szCs w:val="20"/>
        </w:rPr>
        <w:t>各供应商，在此我们特别提醒您注意以下事项：</w:t>
      </w:r>
    </w:p>
    <w:p w14:paraId="5811E54B">
      <w:pPr>
        <w:spacing w:before="162" w:line="360" w:lineRule="auto"/>
        <w:ind w:left="11" w:right="2" w:firstLine="426"/>
        <w:rPr>
          <w:rFonts w:ascii="宋体" w:hAnsi="宋体" w:eastAsia="宋体" w:cs="宋体"/>
          <w:sz w:val="20"/>
          <w:szCs w:val="20"/>
        </w:rPr>
      </w:pPr>
      <w:r>
        <w:rPr>
          <w:rFonts w:ascii="宋体" w:hAnsi="宋体" w:eastAsia="宋体" w:cs="宋体"/>
          <w:spacing w:val="12"/>
          <w:sz w:val="20"/>
          <w:szCs w:val="20"/>
        </w:rPr>
        <w:t>1、本项目采用电子化投标及远程不见面开启</w:t>
      </w:r>
      <w:r>
        <w:rPr>
          <w:rFonts w:ascii="宋体" w:hAnsi="宋体" w:eastAsia="宋体" w:cs="宋体"/>
          <w:spacing w:val="11"/>
          <w:sz w:val="20"/>
          <w:szCs w:val="20"/>
        </w:rPr>
        <w:t>方式。供应商须使用数字认证证书（</w:t>
      </w:r>
      <w:r>
        <w:rPr>
          <w:rFonts w:ascii="宋体" w:hAnsi="宋体" w:eastAsia="宋体" w:cs="宋体"/>
          <w:sz w:val="20"/>
          <w:szCs w:val="20"/>
        </w:rPr>
        <w:t>CA</w:t>
      </w:r>
      <w:r>
        <w:rPr>
          <w:rFonts w:ascii="宋体" w:hAnsi="宋体" w:eastAsia="宋体" w:cs="宋体"/>
          <w:spacing w:val="11"/>
          <w:sz w:val="20"/>
          <w:szCs w:val="20"/>
        </w:rPr>
        <w:t>锁）对电子响应</w:t>
      </w:r>
      <w:r>
        <w:rPr>
          <w:rFonts w:ascii="宋体" w:hAnsi="宋体" w:eastAsia="宋体" w:cs="宋体"/>
          <w:spacing w:val="12"/>
          <w:sz w:val="20"/>
          <w:szCs w:val="20"/>
        </w:rPr>
        <w:t>文件进行签章、加密、递交及开启时解密等相关招投标事宜</w:t>
      </w:r>
      <w:r>
        <w:rPr>
          <w:rFonts w:ascii="宋体" w:hAnsi="宋体" w:eastAsia="宋体" w:cs="宋体"/>
          <w:spacing w:val="11"/>
          <w:sz w:val="20"/>
          <w:szCs w:val="20"/>
        </w:rPr>
        <w:t>。开标前，供应商需登录网络开标大厅。开启</w:t>
      </w:r>
      <w:r>
        <w:rPr>
          <w:rFonts w:ascii="宋体" w:hAnsi="宋体" w:eastAsia="宋体" w:cs="宋体"/>
          <w:spacing w:val="12"/>
          <w:sz w:val="20"/>
          <w:szCs w:val="20"/>
        </w:rPr>
        <w:t>时，按照工作人员要求进行远程解密，如因供应商自身原因</w:t>
      </w:r>
      <w:r>
        <w:rPr>
          <w:rFonts w:ascii="宋体" w:hAnsi="宋体" w:eastAsia="宋体" w:cs="宋体"/>
          <w:spacing w:val="11"/>
          <w:sz w:val="20"/>
          <w:szCs w:val="20"/>
        </w:rPr>
        <w:t>造成无法在规定时间内解密响应文件的，按无</w:t>
      </w:r>
      <w:r>
        <w:rPr>
          <w:rFonts w:ascii="宋体" w:hAnsi="宋体" w:eastAsia="宋体" w:cs="宋体"/>
          <w:spacing w:val="6"/>
          <w:sz w:val="20"/>
          <w:szCs w:val="20"/>
        </w:rPr>
        <w:t>效响应对待。</w:t>
      </w:r>
    </w:p>
    <w:p w14:paraId="4F1FB4A3">
      <w:pPr>
        <w:spacing w:line="360" w:lineRule="auto"/>
        <w:ind w:right="1" w:firstLine="425"/>
        <w:jc w:val="both"/>
        <w:rPr>
          <w:rFonts w:ascii="宋体" w:hAnsi="宋体" w:eastAsia="宋体" w:cs="宋体"/>
          <w:sz w:val="20"/>
          <w:szCs w:val="20"/>
        </w:rPr>
      </w:pPr>
      <w:r>
        <w:rPr>
          <w:rFonts w:ascii="宋体" w:hAnsi="宋体" w:eastAsia="宋体" w:cs="宋体"/>
          <w:spacing w:val="-8"/>
          <w:sz w:val="20"/>
          <w:szCs w:val="20"/>
        </w:rPr>
        <w:t>2、制作电子响应文件。供应商须在“</w:t>
      </w:r>
      <w:r>
        <w:rPr>
          <w:rFonts w:ascii="宋体" w:hAnsi="宋体" w:eastAsia="宋体" w:cs="宋体"/>
          <w:spacing w:val="-49"/>
          <w:sz w:val="20"/>
          <w:szCs w:val="20"/>
        </w:rPr>
        <w:t xml:space="preserve"> </w:t>
      </w:r>
      <w:r>
        <w:rPr>
          <w:rFonts w:ascii="宋体" w:hAnsi="宋体" w:eastAsia="宋体" w:cs="宋体"/>
          <w:spacing w:val="-8"/>
          <w:sz w:val="20"/>
          <w:szCs w:val="20"/>
        </w:rPr>
        <w:t>全国公共资源交易平台（陕西省·杨凌示范区）</w:t>
      </w:r>
      <w:r>
        <w:rPr>
          <w:rFonts w:ascii="宋体" w:hAnsi="宋体" w:eastAsia="宋体" w:cs="宋体"/>
          <w:spacing w:val="10"/>
          <w:sz w:val="20"/>
          <w:szCs w:val="20"/>
        </w:rPr>
        <w:t>（</w:t>
      </w:r>
      <w:r>
        <w:fldChar w:fldCharType="begin"/>
      </w:r>
      <w:r>
        <w:instrText xml:space="preserve"> HYPERLINK "http://yangl.sxggzyjy.cn/" </w:instrText>
      </w:r>
      <w:r>
        <w:fldChar w:fldCharType="separate"/>
      </w:r>
      <w:r>
        <w:rPr>
          <w:rFonts w:ascii="宋体" w:hAnsi="宋体" w:eastAsia="宋体" w:cs="宋体"/>
          <w:sz w:val="20"/>
          <w:szCs w:val="20"/>
        </w:rPr>
        <w:t>http</w:t>
      </w:r>
      <w:r>
        <w:rPr>
          <w:rFonts w:ascii="宋体" w:hAnsi="宋体" w:eastAsia="宋体" w:cs="宋体"/>
          <w:spacing w:val="10"/>
          <w:sz w:val="20"/>
          <w:szCs w:val="20"/>
        </w:rPr>
        <w:t>://</w:t>
      </w:r>
      <w:r>
        <w:rPr>
          <w:rFonts w:ascii="宋体" w:hAnsi="宋体" w:eastAsia="宋体" w:cs="宋体"/>
          <w:sz w:val="20"/>
          <w:szCs w:val="20"/>
        </w:rPr>
        <w:t>yangl</w:t>
      </w:r>
      <w:r>
        <w:rPr>
          <w:rFonts w:ascii="宋体" w:hAnsi="宋体" w:eastAsia="宋体" w:cs="宋体"/>
          <w:spacing w:val="10"/>
          <w:sz w:val="20"/>
          <w:szCs w:val="20"/>
        </w:rPr>
        <w:t>.</w:t>
      </w:r>
      <w:r>
        <w:rPr>
          <w:rFonts w:ascii="宋体" w:hAnsi="宋体" w:eastAsia="宋体" w:cs="宋体"/>
          <w:sz w:val="20"/>
          <w:szCs w:val="20"/>
        </w:rPr>
        <w:t>sxggzyjy</w:t>
      </w:r>
      <w:r>
        <w:rPr>
          <w:rFonts w:ascii="宋体" w:hAnsi="宋体" w:eastAsia="宋体" w:cs="宋体"/>
          <w:spacing w:val="10"/>
          <w:sz w:val="20"/>
          <w:szCs w:val="20"/>
        </w:rPr>
        <w:t>.</w:t>
      </w:r>
      <w:r>
        <w:rPr>
          <w:rFonts w:ascii="宋体" w:hAnsi="宋体" w:eastAsia="宋体" w:cs="宋体"/>
          <w:sz w:val="20"/>
          <w:szCs w:val="20"/>
        </w:rPr>
        <w:t>cn</w:t>
      </w:r>
      <w:r>
        <w:rPr>
          <w:rFonts w:ascii="宋体" w:hAnsi="宋体" w:eastAsia="宋体" w:cs="宋体"/>
          <w:spacing w:val="10"/>
          <w:sz w:val="20"/>
          <w:szCs w:val="20"/>
        </w:rPr>
        <w:t>/</w:t>
      </w:r>
      <w:r>
        <w:rPr>
          <w:rFonts w:ascii="宋体" w:hAnsi="宋体" w:eastAsia="宋体" w:cs="宋体"/>
          <w:spacing w:val="10"/>
          <w:sz w:val="20"/>
          <w:szCs w:val="20"/>
        </w:rPr>
        <w:fldChar w:fldCharType="end"/>
      </w:r>
      <w:r>
        <w:rPr>
          <w:rFonts w:ascii="宋体" w:hAnsi="宋体" w:eastAsia="宋体" w:cs="宋体"/>
          <w:spacing w:val="10"/>
          <w:sz w:val="20"/>
          <w:szCs w:val="20"/>
        </w:rPr>
        <w:t>）”的“服务指南”栏目“下载专区”中，免费下载“陕西省公共资源交易</w:t>
      </w:r>
      <w:r>
        <w:rPr>
          <w:rFonts w:ascii="宋体" w:hAnsi="宋体" w:eastAsia="宋体" w:cs="宋体"/>
          <w:spacing w:val="11"/>
          <w:sz w:val="20"/>
          <w:szCs w:val="20"/>
        </w:rPr>
        <w:t>平台政府采购电子标书制作工具”，并升级至最新版本，使用该客户端制作电子响应文件，制作扩展名为</w:t>
      </w:r>
      <w:r>
        <w:rPr>
          <w:rFonts w:ascii="宋体" w:hAnsi="宋体" w:eastAsia="宋体" w:cs="宋体"/>
          <w:spacing w:val="14"/>
          <w:sz w:val="20"/>
          <w:szCs w:val="20"/>
        </w:rPr>
        <w:t>“.</w:t>
      </w:r>
      <w:r>
        <w:rPr>
          <w:rFonts w:ascii="宋体" w:hAnsi="宋体" w:eastAsia="宋体" w:cs="宋体"/>
          <w:sz w:val="20"/>
          <w:szCs w:val="20"/>
        </w:rPr>
        <w:t>SXSTF</w:t>
      </w:r>
      <w:r>
        <w:rPr>
          <w:rFonts w:ascii="宋体" w:hAnsi="宋体" w:eastAsia="宋体" w:cs="宋体"/>
          <w:spacing w:val="14"/>
          <w:sz w:val="20"/>
          <w:szCs w:val="20"/>
        </w:rPr>
        <w:t>”的电子响应文件”。</w:t>
      </w:r>
    </w:p>
    <w:p w14:paraId="71E4A4F9">
      <w:pPr>
        <w:spacing w:line="360" w:lineRule="auto"/>
        <w:ind w:left="9" w:right="1" w:firstLine="417"/>
        <w:rPr>
          <w:rFonts w:ascii="宋体" w:hAnsi="宋体" w:eastAsia="宋体" w:cs="宋体"/>
          <w:sz w:val="20"/>
          <w:szCs w:val="20"/>
        </w:rPr>
      </w:pPr>
      <w:r>
        <w:rPr>
          <w:rFonts w:ascii="宋体" w:hAnsi="宋体" w:eastAsia="宋体" w:cs="宋体"/>
          <w:spacing w:val="7"/>
          <w:sz w:val="20"/>
          <w:szCs w:val="20"/>
        </w:rPr>
        <w:t>3、递交电子响应文件。登录全国公共资源交易平台</w:t>
      </w:r>
      <w:r>
        <w:rPr>
          <w:rFonts w:ascii="宋体" w:hAnsi="宋体" w:eastAsia="宋体" w:cs="宋体"/>
          <w:spacing w:val="6"/>
          <w:sz w:val="20"/>
          <w:szCs w:val="20"/>
        </w:rPr>
        <w:t>（陕西省·杨凌示范区</w:t>
      </w:r>
      <w:r>
        <w:rPr>
          <w:rFonts w:ascii="宋体" w:hAnsi="宋体" w:eastAsia="宋体" w:cs="宋体"/>
          <w:spacing w:val="12"/>
          <w:sz w:val="20"/>
          <w:szCs w:val="20"/>
        </w:rPr>
        <w:t>），</w:t>
      </w:r>
      <w:r>
        <w:rPr>
          <w:rFonts w:ascii="宋体" w:hAnsi="宋体" w:eastAsia="宋体" w:cs="宋体"/>
          <w:spacing w:val="6"/>
          <w:sz w:val="20"/>
          <w:szCs w:val="20"/>
        </w:rPr>
        <w:t>选择“电子交易平台—</w:t>
      </w:r>
      <w:r>
        <w:rPr>
          <w:rFonts w:ascii="宋体" w:hAnsi="宋体" w:eastAsia="宋体" w:cs="宋体"/>
          <w:spacing w:val="10"/>
          <w:sz w:val="20"/>
          <w:szCs w:val="20"/>
        </w:rPr>
        <w:t>陕西政府采购交易系统—企业端”进行登录，登录后选择“交易乙方”身份进入，进入菜单“采购业务—我的项目——项目流程——上传响应文件”，上传加密的电子响应文件。上传成功后，</w:t>
      </w:r>
      <w:r>
        <w:rPr>
          <w:rFonts w:ascii="宋体" w:hAnsi="宋体" w:eastAsia="宋体" w:cs="宋体"/>
          <w:spacing w:val="-57"/>
          <w:sz w:val="20"/>
          <w:szCs w:val="20"/>
        </w:rPr>
        <w:t xml:space="preserve"> </w:t>
      </w:r>
      <w:r>
        <w:rPr>
          <w:rFonts w:ascii="宋体" w:hAnsi="宋体" w:eastAsia="宋体" w:cs="宋体"/>
          <w:spacing w:val="10"/>
          <w:sz w:val="20"/>
          <w:szCs w:val="20"/>
        </w:rPr>
        <w:t>电子化平台将予以</w:t>
      </w:r>
      <w:r>
        <w:rPr>
          <w:rFonts w:ascii="宋体" w:hAnsi="宋体" w:eastAsia="宋体" w:cs="宋体"/>
          <w:spacing w:val="3"/>
          <w:sz w:val="20"/>
          <w:szCs w:val="20"/>
        </w:rPr>
        <w:t>记录。</w:t>
      </w:r>
    </w:p>
    <w:p w14:paraId="6EA8904B">
      <w:pPr>
        <w:spacing w:before="4" w:line="360" w:lineRule="auto"/>
        <w:ind w:left="7" w:right="1" w:firstLine="414"/>
        <w:rPr>
          <w:rFonts w:ascii="宋体" w:hAnsi="宋体" w:eastAsia="宋体" w:cs="宋体"/>
          <w:sz w:val="20"/>
          <w:szCs w:val="20"/>
        </w:rPr>
      </w:pPr>
      <w:r>
        <w:rPr>
          <w:rFonts w:ascii="宋体" w:hAnsi="宋体" w:eastAsia="宋体" w:cs="宋体"/>
          <w:spacing w:val="-5"/>
          <w:sz w:val="20"/>
          <w:szCs w:val="20"/>
        </w:rPr>
        <w:t>4</w:t>
      </w:r>
      <w:r>
        <w:rPr>
          <w:rFonts w:ascii="宋体" w:hAnsi="宋体" w:eastAsia="宋体" w:cs="宋体"/>
          <w:spacing w:val="-22"/>
          <w:sz w:val="20"/>
          <w:szCs w:val="20"/>
        </w:rPr>
        <w:t xml:space="preserve"> </w:t>
      </w:r>
      <w:r>
        <w:rPr>
          <w:rFonts w:ascii="宋体" w:hAnsi="宋体" w:eastAsia="宋体" w:cs="宋体"/>
          <w:spacing w:val="-5"/>
          <w:sz w:val="20"/>
          <w:szCs w:val="20"/>
        </w:rPr>
        <w:t>、</w:t>
      </w:r>
      <w:r>
        <w:rPr>
          <w:rFonts w:ascii="宋体" w:hAnsi="宋体" w:eastAsia="宋体" w:cs="宋体"/>
          <w:spacing w:val="-33"/>
          <w:sz w:val="20"/>
          <w:szCs w:val="20"/>
        </w:rPr>
        <w:t xml:space="preserve"> </w:t>
      </w:r>
      <w:r>
        <w:rPr>
          <w:rFonts w:ascii="宋体" w:hAnsi="宋体" w:eastAsia="宋体" w:cs="宋体"/>
          <w:spacing w:val="-5"/>
          <w:sz w:val="20"/>
          <w:szCs w:val="20"/>
        </w:rPr>
        <w:t>供</w:t>
      </w:r>
      <w:r>
        <w:rPr>
          <w:rFonts w:ascii="宋体" w:hAnsi="宋体" w:eastAsia="宋体" w:cs="宋体"/>
          <w:spacing w:val="-42"/>
          <w:sz w:val="20"/>
          <w:szCs w:val="20"/>
        </w:rPr>
        <w:t xml:space="preserve"> </w:t>
      </w:r>
      <w:r>
        <w:rPr>
          <w:rFonts w:ascii="宋体" w:hAnsi="宋体" w:eastAsia="宋体" w:cs="宋体"/>
          <w:spacing w:val="-5"/>
          <w:sz w:val="20"/>
          <w:szCs w:val="20"/>
        </w:rPr>
        <w:t>应</w:t>
      </w:r>
      <w:r>
        <w:rPr>
          <w:rFonts w:ascii="宋体" w:hAnsi="宋体" w:eastAsia="宋体" w:cs="宋体"/>
          <w:spacing w:val="-35"/>
          <w:sz w:val="20"/>
          <w:szCs w:val="20"/>
        </w:rPr>
        <w:t xml:space="preserve"> </w:t>
      </w:r>
      <w:r>
        <w:rPr>
          <w:rFonts w:ascii="宋体" w:hAnsi="宋体" w:eastAsia="宋体" w:cs="宋体"/>
          <w:spacing w:val="-5"/>
          <w:sz w:val="20"/>
          <w:szCs w:val="20"/>
        </w:rPr>
        <w:t>商</w:t>
      </w:r>
      <w:r>
        <w:rPr>
          <w:rFonts w:ascii="宋体" w:hAnsi="宋体" w:eastAsia="宋体" w:cs="宋体"/>
          <w:spacing w:val="-30"/>
          <w:sz w:val="20"/>
          <w:szCs w:val="20"/>
        </w:rPr>
        <w:t xml:space="preserve"> </w:t>
      </w:r>
      <w:r>
        <w:rPr>
          <w:rFonts w:ascii="宋体" w:hAnsi="宋体" w:eastAsia="宋体" w:cs="宋体"/>
          <w:spacing w:val="-5"/>
          <w:sz w:val="20"/>
          <w:szCs w:val="20"/>
        </w:rPr>
        <w:t>需</w:t>
      </w:r>
      <w:r>
        <w:rPr>
          <w:rFonts w:ascii="宋体" w:hAnsi="宋体" w:eastAsia="宋体" w:cs="宋体"/>
          <w:spacing w:val="-40"/>
          <w:sz w:val="20"/>
          <w:szCs w:val="20"/>
        </w:rPr>
        <w:t xml:space="preserve"> </w:t>
      </w:r>
      <w:r>
        <w:rPr>
          <w:rFonts w:ascii="宋体" w:hAnsi="宋体" w:eastAsia="宋体" w:cs="宋体"/>
          <w:spacing w:val="-5"/>
          <w:sz w:val="20"/>
          <w:szCs w:val="20"/>
        </w:rPr>
        <w:t>在</w:t>
      </w:r>
      <w:r>
        <w:rPr>
          <w:rFonts w:ascii="宋体" w:hAnsi="宋体" w:eastAsia="宋体" w:cs="宋体"/>
          <w:spacing w:val="-39"/>
          <w:sz w:val="20"/>
          <w:szCs w:val="20"/>
        </w:rPr>
        <w:t xml:space="preserve"> </w:t>
      </w:r>
      <w:r>
        <w:rPr>
          <w:rFonts w:ascii="宋体" w:hAnsi="宋体" w:eastAsia="宋体" w:cs="宋体"/>
          <w:spacing w:val="-5"/>
          <w:sz w:val="20"/>
          <w:szCs w:val="20"/>
        </w:rPr>
        <w:t>开</w:t>
      </w:r>
      <w:r>
        <w:rPr>
          <w:rFonts w:ascii="宋体" w:hAnsi="宋体" w:eastAsia="宋体" w:cs="宋体"/>
          <w:spacing w:val="-37"/>
          <w:sz w:val="20"/>
          <w:szCs w:val="20"/>
        </w:rPr>
        <w:t xml:space="preserve"> </w:t>
      </w:r>
      <w:r>
        <w:rPr>
          <w:rFonts w:ascii="宋体" w:hAnsi="宋体" w:eastAsia="宋体" w:cs="宋体"/>
          <w:spacing w:val="-5"/>
          <w:sz w:val="20"/>
          <w:szCs w:val="20"/>
        </w:rPr>
        <w:t>启</w:t>
      </w:r>
      <w:r>
        <w:rPr>
          <w:rFonts w:ascii="宋体" w:hAnsi="宋体" w:eastAsia="宋体" w:cs="宋体"/>
          <w:spacing w:val="-36"/>
          <w:sz w:val="20"/>
          <w:szCs w:val="20"/>
        </w:rPr>
        <w:t xml:space="preserve"> </w:t>
      </w:r>
      <w:r>
        <w:rPr>
          <w:rFonts w:ascii="宋体" w:hAnsi="宋体" w:eastAsia="宋体" w:cs="宋体"/>
          <w:spacing w:val="-5"/>
          <w:sz w:val="20"/>
          <w:szCs w:val="20"/>
        </w:rPr>
        <w:t>前 30 分</w:t>
      </w:r>
      <w:r>
        <w:rPr>
          <w:rFonts w:ascii="宋体" w:hAnsi="宋体" w:eastAsia="宋体" w:cs="宋体"/>
          <w:spacing w:val="-38"/>
          <w:sz w:val="20"/>
          <w:szCs w:val="20"/>
        </w:rPr>
        <w:t xml:space="preserve"> </w:t>
      </w:r>
      <w:r>
        <w:rPr>
          <w:rFonts w:ascii="宋体" w:hAnsi="宋体" w:eastAsia="宋体" w:cs="宋体"/>
          <w:spacing w:val="-5"/>
          <w:sz w:val="20"/>
          <w:szCs w:val="20"/>
        </w:rPr>
        <w:t>钟登</w:t>
      </w:r>
      <w:r>
        <w:rPr>
          <w:rFonts w:ascii="宋体" w:hAnsi="宋体" w:eastAsia="宋体" w:cs="宋体"/>
          <w:spacing w:val="-39"/>
          <w:sz w:val="20"/>
          <w:szCs w:val="20"/>
        </w:rPr>
        <w:t xml:space="preserve"> </w:t>
      </w:r>
      <w:r>
        <w:rPr>
          <w:rFonts w:ascii="宋体" w:hAnsi="宋体" w:eastAsia="宋体" w:cs="宋体"/>
          <w:spacing w:val="-5"/>
          <w:sz w:val="20"/>
          <w:szCs w:val="20"/>
        </w:rPr>
        <w:t>录</w:t>
      </w:r>
      <w:r>
        <w:rPr>
          <w:rFonts w:ascii="宋体" w:hAnsi="宋体" w:eastAsia="宋体" w:cs="宋体"/>
          <w:spacing w:val="-39"/>
          <w:sz w:val="20"/>
          <w:szCs w:val="20"/>
        </w:rPr>
        <w:t xml:space="preserve"> </w:t>
      </w:r>
      <w:r>
        <w:rPr>
          <w:rFonts w:ascii="宋体" w:hAnsi="宋体" w:eastAsia="宋体" w:cs="宋体"/>
          <w:spacing w:val="-5"/>
          <w:sz w:val="20"/>
          <w:szCs w:val="20"/>
        </w:rPr>
        <w:t>全 国</w:t>
      </w:r>
      <w:r>
        <w:rPr>
          <w:rFonts w:ascii="宋体" w:hAnsi="宋体" w:eastAsia="宋体" w:cs="宋体"/>
          <w:spacing w:val="-35"/>
          <w:sz w:val="20"/>
          <w:szCs w:val="20"/>
        </w:rPr>
        <w:t xml:space="preserve"> </w:t>
      </w:r>
      <w:r>
        <w:rPr>
          <w:rFonts w:ascii="宋体" w:hAnsi="宋体" w:eastAsia="宋体" w:cs="宋体"/>
          <w:spacing w:val="-5"/>
          <w:sz w:val="20"/>
          <w:szCs w:val="20"/>
        </w:rPr>
        <w:t>公</w:t>
      </w:r>
      <w:r>
        <w:rPr>
          <w:rFonts w:ascii="宋体" w:hAnsi="宋体" w:eastAsia="宋体" w:cs="宋体"/>
          <w:spacing w:val="-40"/>
          <w:sz w:val="20"/>
          <w:szCs w:val="20"/>
        </w:rPr>
        <w:t xml:space="preserve"> </w:t>
      </w:r>
      <w:r>
        <w:rPr>
          <w:rFonts w:ascii="宋体" w:hAnsi="宋体" w:eastAsia="宋体" w:cs="宋体"/>
          <w:spacing w:val="-5"/>
          <w:sz w:val="20"/>
          <w:szCs w:val="20"/>
        </w:rPr>
        <w:t>共</w:t>
      </w:r>
      <w:r>
        <w:rPr>
          <w:rFonts w:ascii="宋体" w:hAnsi="宋体" w:eastAsia="宋体" w:cs="宋体"/>
          <w:spacing w:val="-33"/>
          <w:sz w:val="20"/>
          <w:szCs w:val="20"/>
        </w:rPr>
        <w:t xml:space="preserve"> </w:t>
      </w:r>
      <w:r>
        <w:rPr>
          <w:rFonts w:ascii="宋体" w:hAnsi="宋体" w:eastAsia="宋体" w:cs="宋体"/>
          <w:spacing w:val="-5"/>
          <w:sz w:val="20"/>
          <w:szCs w:val="20"/>
        </w:rPr>
        <w:t>资</w:t>
      </w:r>
      <w:r>
        <w:rPr>
          <w:rFonts w:ascii="宋体" w:hAnsi="宋体" w:eastAsia="宋体" w:cs="宋体"/>
          <w:spacing w:val="-40"/>
          <w:sz w:val="20"/>
          <w:szCs w:val="20"/>
        </w:rPr>
        <w:t xml:space="preserve"> </w:t>
      </w:r>
      <w:r>
        <w:rPr>
          <w:rFonts w:ascii="宋体" w:hAnsi="宋体" w:eastAsia="宋体" w:cs="宋体"/>
          <w:spacing w:val="-5"/>
          <w:sz w:val="20"/>
          <w:szCs w:val="20"/>
        </w:rPr>
        <w:t>源</w:t>
      </w:r>
      <w:r>
        <w:rPr>
          <w:rFonts w:ascii="宋体" w:hAnsi="宋体" w:eastAsia="宋体" w:cs="宋体"/>
          <w:spacing w:val="-35"/>
          <w:sz w:val="20"/>
          <w:szCs w:val="20"/>
        </w:rPr>
        <w:t xml:space="preserve"> </w:t>
      </w:r>
      <w:r>
        <w:rPr>
          <w:rFonts w:ascii="宋体" w:hAnsi="宋体" w:eastAsia="宋体" w:cs="宋体"/>
          <w:spacing w:val="-5"/>
          <w:sz w:val="20"/>
          <w:szCs w:val="20"/>
        </w:rPr>
        <w:t>交</w:t>
      </w:r>
      <w:r>
        <w:rPr>
          <w:rFonts w:ascii="宋体" w:hAnsi="宋体" w:eastAsia="宋体" w:cs="宋体"/>
          <w:spacing w:val="-28"/>
          <w:sz w:val="20"/>
          <w:szCs w:val="20"/>
        </w:rPr>
        <w:t xml:space="preserve"> </w:t>
      </w:r>
      <w:r>
        <w:rPr>
          <w:rFonts w:ascii="宋体" w:hAnsi="宋体" w:eastAsia="宋体" w:cs="宋体"/>
          <w:spacing w:val="-5"/>
          <w:sz w:val="20"/>
          <w:szCs w:val="20"/>
        </w:rPr>
        <w:t>易</w:t>
      </w:r>
      <w:r>
        <w:rPr>
          <w:rFonts w:ascii="宋体" w:hAnsi="宋体" w:eastAsia="宋体" w:cs="宋体"/>
          <w:spacing w:val="-40"/>
          <w:sz w:val="20"/>
          <w:szCs w:val="20"/>
        </w:rPr>
        <w:t xml:space="preserve"> </w:t>
      </w:r>
      <w:r>
        <w:rPr>
          <w:rFonts w:ascii="宋体" w:hAnsi="宋体" w:eastAsia="宋体" w:cs="宋体"/>
          <w:spacing w:val="-5"/>
          <w:sz w:val="20"/>
          <w:szCs w:val="20"/>
        </w:rPr>
        <w:t>平</w:t>
      </w:r>
      <w:r>
        <w:rPr>
          <w:rFonts w:ascii="宋体" w:hAnsi="宋体" w:eastAsia="宋体" w:cs="宋体"/>
          <w:spacing w:val="-23"/>
          <w:sz w:val="20"/>
          <w:szCs w:val="20"/>
        </w:rPr>
        <w:t xml:space="preserve"> </w:t>
      </w:r>
      <w:r>
        <w:rPr>
          <w:rFonts w:ascii="宋体" w:hAnsi="宋体" w:eastAsia="宋体" w:cs="宋体"/>
          <w:spacing w:val="-5"/>
          <w:sz w:val="20"/>
          <w:szCs w:val="20"/>
        </w:rPr>
        <w:t>台</w:t>
      </w:r>
      <w:r>
        <w:rPr>
          <w:rFonts w:ascii="宋体" w:hAnsi="宋体" w:eastAsia="宋体" w:cs="宋体"/>
          <w:spacing w:val="-45"/>
          <w:sz w:val="20"/>
          <w:szCs w:val="20"/>
        </w:rPr>
        <w:t xml:space="preserve"> </w:t>
      </w:r>
      <w:r>
        <w:rPr>
          <w:rFonts w:ascii="宋体" w:hAnsi="宋体" w:eastAsia="宋体" w:cs="宋体"/>
          <w:spacing w:val="-5"/>
          <w:sz w:val="20"/>
          <w:szCs w:val="20"/>
        </w:rPr>
        <w:t>（ 陕</w:t>
      </w:r>
      <w:r>
        <w:rPr>
          <w:rFonts w:ascii="宋体" w:hAnsi="宋体" w:eastAsia="宋体" w:cs="宋体"/>
          <w:spacing w:val="-36"/>
          <w:sz w:val="20"/>
          <w:szCs w:val="20"/>
        </w:rPr>
        <w:t xml:space="preserve"> </w:t>
      </w:r>
      <w:r>
        <w:rPr>
          <w:rFonts w:ascii="宋体" w:hAnsi="宋体" w:eastAsia="宋体" w:cs="宋体"/>
          <w:spacing w:val="-5"/>
          <w:sz w:val="20"/>
          <w:szCs w:val="20"/>
        </w:rPr>
        <w:t>西</w:t>
      </w:r>
      <w:r>
        <w:rPr>
          <w:rFonts w:ascii="宋体" w:hAnsi="宋体" w:eastAsia="宋体" w:cs="宋体"/>
          <w:spacing w:val="-36"/>
          <w:sz w:val="20"/>
          <w:szCs w:val="20"/>
        </w:rPr>
        <w:t xml:space="preserve"> </w:t>
      </w:r>
      <w:r>
        <w:rPr>
          <w:rFonts w:ascii="宋体" w:hAnsi="宋体" w:eastAsia="宋体" w:cs="宋体"/>
          <w:spacing w:val="-5"/>
          <w:sz w:val="20"/>
          <w:szCs w:val="20"/>
        </w:rPr>
        <w:t>省</w:t>
      </w:r>
      <w:r>
        <w:rPr>
          <w:rFonts w:ascii="宋体" w:hAnsi="宋体" w:eastAsia="宋体" w:cs="宋体"/>
          <w:spacing w:val="30"/>
          <w:sz w:val="20"/>
          <w:szCs w:val="20"/>
        </w:rPr>
        <w:t xml:space="preserve"> </w:t>
      </w:r>
      <w:r>
        <w:rPr>
          <w:rFonts w:ascii="宋体" w:hAnsi="宋体" w:eastAsia="宋体" w:cs="宋体"/>
          <w:spacing w:val="-5"/>
          <w:sz w:val="20"/>
          <w:szCs w:val="20"/>
        </w:rPr>
        <w:t>·</w:t>
      </w:r>
      <w:r>
        <w:rPr>
          <w:rFonts w:ascii="宋体" w:hAnsi="宋体" w:eastAsia="宋体" w:cs="宋体"/>
          <w:spacing w:val="-38"/>
          <w:sz w:val="20"/>
          <w:szCs w:val="20"/>
        </w:rPr>
        <w:t xml:space="preserve"> </w:t>
      </w:r>
      <w:r>
        <w:rPr>
          <w:rFonts w:ascii="宋体" w:hAnsi="宋体" w:eastAsia="宋体" w:cs="宋体"/>
          <w:spacing w:val="-5"/>
          <w:sz w:val="20"/>
          <w:szCs w:val="20"/>
        </w:rPr>
        <w:t>杨</w:t>
      </w:r>
      <w:r>
        <w:rPr>
          <w:rFonts w:ascii="宋体" w:hAnsi="宋体" w:eastAsia="宋体" w:cs="宋体"/>
          <w:spacing w:val="-37"/>
          <w:sz w:val="20"/>
          <w:szCs w:val="20"/>
        </w:rPr>
        <w:t xml:space="preserve"> </w:t>
      </w:r>
      <w:r>
        <w:rPr>
          <w:rFonts w:ascii="宋体" w:hAnsi="宋体" w:eastAsia="宋体" w:cs="宋体"/>
          <w:spacing w:val="-5"/>
          <w:sz w:val="20"/>
          <w:szCs w:val="20"/>
        </w:rPr>
        <w:t>凌</w:t>
      </w:r>
      <w:r>
        <w:rPr>
          <w:rFonts w:ascii="宋体" w:hAnsi="宋体" w:eastAsia="宋体" w:cs="宋体"/>
          <w:spacing w:val="-41"/>
          <w:sz w:val="20"/>
          <w:szCs w:val="20"/>
        </w:rPr>
        <w:t xml:space="preserve"> </w:t>
      </w:r>
      <w:r>
        <w:rPr>
          <w:rFonts w:ascii="宋体" w:hAnsi="宋体" w:eastAsia="宋体" w:cs="宋体"/>
          <w:spacing w:val="-5"/>
          <w:sz w:val="20"/>
          <w:szCs w:val="20"/>
        </w:rPr>
        <w:t>示</w:t>
      </w:r>
      <w:r>
        <w:rPr>
          <w:rFonts w:ascii="宋体" w:hAnsi="宋体" w:eastAsia="宋体" w:cs="宋体"/>
          <w:spacing w:val="-34"/>
          <w:sz w:val="20"/>
          <w:szCs w:val="20"/>
        </w:rPr>
        <w:t xml:space="preserve"> </w:t>
      </w:r>
      <w:r>
        <w:rPr>
          <w:rFonts w:ascii="宋体" w:hAnsi="宋体" w:eastAsia="宋体" w:cs="宋体"/>
          <w:spacing w:val="-5"/>
          <w:sz w:val="20"/>
          <w:szCs w:val="20"/>
        </w:rPr>
        <w:t>范</w:t>
      </w:r>
      <w:r>
        <w:rPr>
          <w:rFonts w:ascii="宋体" w:hAnsi="宋体" w:eastAsia="宋体" w:cs="宋体"/>
          <w:spacing w:val="-26"/>
          <w:sz w:val="20"/>
          <w:szCs w:val="20"/>
        </w:rPr>
        <w:t xml:space="preserve"> </w:t>
      </w:r>
      <w:r>
        <w:rPr>
          <w:rFonts w:ascii="宋体" w:hAnsi="宋体" w:eastAsia="宋体" w:cs="宋体"/>
          <w:spacing w:val="-5"/>
          <w:sz w:val="20"/>
          <w:szCs w:val="20"/>
        </w:rPr>
        <w:t>区 ）</w:t>
      </w:r>
      <w:r>
        <w:rPr>
          <w:rFonts w:ascii="宋体" w:hAnsi="宋体" w:eastAsia="宋体" w:cs="宋体"/>
          <w:sz w:val="20"/>
          <w:szCs w:val="20"/>
        </w:rPr>
        <w:t xml:space="preserve"> </w:t>
      </w:r>
      <w:r>
        <w:rPr>
          <w:rFonts w:ascii="宋体" w:hAnsi="宋体" w:eastAsia="宋体" w:cs="宋体"/>
          <w:spacing w:val="11"/>
          <w:sz w:val="20"/>
          <w:szCs w:val="20"/>
        </w:rPr>
        <w:t>（</w:t>
      </w:r>
      <w:r>
        <w:fldChar w:fldCharType="begin"/>
      </w:r>
      <w:r>
        <w:instrText xml:space="preserve"> HYPERLINK "http://yangl.sxggzyjy.cn/" </w:instrText>
      </w:r>
      <w:r>
        <w:fldChar w:fldCharType="separate"/>
      </w:r>
      <w:r>
        <w:rPr>
          <w:rFonts w:ascii="宋体" w:hAnsi="宋体" w:eastAsia="宋体" w:cs="宋体"/>
          <w:sz w:val="20"/>
          <w:szCs w:val="20"/>
        </w:rPr>
        <w:t>http</w:t>
      </w:r>
      <w:r>
        <w:rPr>
          <w:rFonts w:ascii="宋体" w:hAnsi="宋体" w:eastAsia="宋体" w:cs="宋体"/>
          <w:spacing w:val="11"/>
          <w:sz w:val="20"/>
          <w:szCs w:val="20"/>
        </w:rPr>
        <w:t>://</w:t>
      </w:r>
      <w:r>
        <w:rPr>
          <w:rFonts w:ascii="宋体" w:hAnsi="宋体" w:eastAsia="宋体" w:cs="宋体"/>
          <w:sz w:val="20"/>
          <w:szCs w:val="20"/>
        </w:rPr>
        <w:t>yangl</w:t>
      </w:r>
      <w:r>
        <w:rPr>
          <w:rFonts w:ascii="宋体" w:hAnsi="宋体" w:eastAsia="宋体" w:cs="宋体"/>
          <w:spacing w:val="11"/>
          <w:sz w:val="20"/>
          <w:szCs w:val="20"/>
        </w:rPr>
        <w:t>.</w:t>
      </w:r>
      <w:r>
        <w:rPr>
          <w:rFonts w:ascii="宋体" w:hAnsi="宋体" w:eastAsia="宋体" w:cs="宋体"/>
          <w:sz w:val="20"/>
          <w:szCs w:val="20"/>
        </w:rPr>
        <w:t>sxggzyjy</w:t>
      </w:r>
      <w:r>
        <w:rPr>
          <w:rFonts w:ascii="宋体" w:hAnsi="宋体" w:eastAsia="宋体" w:cs="宋体"/>
          <w:spacing w:val="11"/>
          <w:sz w:val="20"/>
          <w:szCs w:val="20"/>
        </w:rPr>
        <w:t>.</w:t>
      </w:r>
      <w:r>
        <w:rPr>
          <w:rFonts w:ascii="宋体" w:hAnsi="宋体" w:eastAsia="宋体" w:cs="宋体"/>
          <w:sz w:val="20"/>
          <w:szCs w:val="20"/>
        </w:rPr>
        <w:t>cn</w:t>
      </w:r>
      <w:r>
        <w:rPr>
          <w:rFonts w:ascii="宋体" w:hAnsi="宋体" w:eastAsia="宋体" w:cs="宋体"/>
          <w:spacing w:val="11"/>
          <w:sz w:val="20"/>
          <w:szCs w:val="20"/>
        </w:rPr>
        <w:t>/</w:t>
      </w:r>
      <w:r>
        <w:rPr>
          <w:rFonts w:ascii="宋体" w:hAnsi="宋体" w:eastAsia="宋体" w:cs="宋体"/>
          <w:spacing w:val="11"/>
          <w:sz w:val="20"/>
          <w:szCs w:val="20"/>
        </w:rPr>
        <w:fldChar w:fldCharType="end"/>
      </w:r>
      <w:r>
        <w:rPr>
          <w:rFonts w:ascii="宋体" w:hAnsi="宋体" w:eastAsia="宋体" w:cs="宋体"/>
          <w:spacing w:val="11"/>
          <w:sz w:val="20"/>
          <w:szCs w:val="20"/>
        </w:rPr>
        <w:t>）〖《首页》不见面开标〗在线参与开评过程，详见交易平台〖首页</w:t>
      </w:r>
      <w:r>
        <w:rPr>
          <w:rFonts w:ascii="宋体" w:hAnsi="宋体" w:eastAsia="宋体" w:cs="宋体"/>
          <w:spacing w:val="10"/>
          <w:sz w:val="20"/>
          <w:szCs w:val="20"/>
        </w:rPr>
        <w:t>〉服务</w:t>
      </w:r>
      <w:r>
        <w:rPr>
          <w:rFonts w:ascii="宋体" w:hAnsi="宋体" w:eastAsia="宋体" w:cs="宋体"/>
          <w:spacing w:val="25"/>
          <w:sz w:val="20"/>
          <w:szCs w:val="20"/>
        </w:rPr>
        <w:t>指南</w:t>
      </w:r>
      <w:r>
        <w:rPr>
          <w:rFonts w:ascii="宋体" w:hAnsi="宋体" w:eastAsia="宋体" w:cs="宋体"/>
          <w:spacing w:val="-46"/>
          <w:sz w:val="20"/>
          <w:szCs w:val="20"/>
        </w:rPr>
        <w:t xml:space="preserve"> </w:t>
      </w:r>
      <w:r>
        <w:rPr>
          <w:rFonts w:ascii="宋体" w:hAnsi="宋体" w:eastAsia="宋体" w:cs="宋体"/>
          <w:spacing w:val="25"/>
          <w:sz w:val="20"/>
          <w:szCs w:val="20"/>
        </w:rPr>
        <w:t>〉</w:t>
      </w:r>
      <w:r>
        <w:rPr>
          <w:rFonts w:ascii="宋体" w:hAnsi="宋体" w:eastAsia="宋体" w:cs="宋体"/>
          <w:spacing w:val="-51"/>
          <w:sz w:val="20"/>
          <w:szCs w:val="20"/>
        </w:rPr>
        <w:t xml:space="preserve"> </w:t>
      </w:r>
      <w:r>
        <w:rPr>
          <w:rFonts w:ascii="宋体" w:hAnsi="宋体" w:eastAsia="宋体" w:cs="宋体"/>
          <w:spacing w:val="25"/>
          <w:sz w:val="20"/>
          <w:szCs w:val="20"/>
        </w:rPr>
        <w:t>下载专区〗 中的《</w:t>
      </w:r>
      <w:r>
        <w:rPr>
          <w:rFonts w:ascii="宋体" w:hAnsi="宋体" w:eastAsia="宋体" w:cs="宋体"/>
          <w:spacing w:val="-41"/>
          <w:sz w:val="20"/>
          <w:szCs w:val="20"/>
        </w:rPr>
        <w:t xml:space="preserve"> </w:t>
      </w:r>
      <w:r>
        <w:rPr>
          <w:rFonts w:ascii="宋体" w:hAnsi="宋体" w:eastAsia="宋体" w:cs="宋体"/>
          <w:spacing w:val="25"/>
          <w:sz w:val="20"/>
          <w:szCs w:val="20"/>
        </w:rPr>
        <w:t>杨凌示范区公共资源交易不见面开标大厅供应商操作手册</w:t>
      </w:r>
      <w:r>
        <w:rPr>
          <w:rFonts w:ascii="宋体" w:hAnsi="宋体" w:eastAsia="宋体" w:cs="宋体"/>
          <w:spacing w:val="-52"/>
          <w:sz w:val="20"/>
          <w:szCs w:val="20"/>
        </w:rPr>
        <w:t xml:space="preserve"> </w:t>
      </w:r>
      <w:r>
        <w:rPr>
          <w:rFonts w:ascii="宋体" w:hAnsi="宋体" w:eastAsia="宋体" w:cs="宋体"/>
          <w:spacing w:val="25"/>
          <w:sz w:val="20"/>
          <w:szCs w:val="20"/>
        </w:rPr>
        <w:t>》</w:t>
      </w:r>
      <w:r>
        <w:rPr>
          <w:rFonts w:ascii="宋体" w:hAnsi="宋体" w:eastAsia="宋体" w:cs="宋体"/>
          <w:spacing w:val="-59"/>
          <w:sz w:val="20"/>
          <w:szCs w:val="20"/>
        </w:rPr>
        <w:t xml:space="preserve"> </w:t>
      </w:r>
      <w:r>
        <w:rPr>
          <w:rFonts w:ascii="宋体" w:hAnsi="宋体" w:eastAsia="宋体" w:cs="宋体"/>
          <w:spacing w:val="25"/>
          <w:sz w:val="20"/>
          <w:szCs w:val="20"/>
        </w:rPr>
        <w:t>（</w:t>
      </w:r>
      <w:r>
        <w:rPr>
          <w:rFonts w:ascii="宋体" w:hAnsi="宋体" w:eastAsia="宋体" w:cs="宋体"/>
          <w:spacing w:val="-17"/>
          <w:sz w:val="20"/>
          <w:szCs w:val="20"/>
        </w:rPr>
        <w:t xml:space="preserve"> </w:t>
      </w:r>
      <w:r>
        <w:rPr>
          <w:rFonts w:ascii="宋体" w:hAnsi="宋体" w:eastAsia="宋体" w:cs="宋体"/>
          <w:spacing w:val="25"/>
          <w:sz w:val="20"/>
          <w:szCs w:val="20"/>
        </w:rPr>
        <w:t>网址：</w:t>
      </w:r>
      <w:r>
        <w:rPr>
          <w:rFonts w:ascii="宋体" w:hAnsi="宋体" w:eastAsia="宋体" w:cs="宋体"/>
          <w:sz w:val="20"/>
          <w:szCs w:val="20"/>
        </w:rPr>
        <w:t xml:space="preserve"> </w:t>
      </w:r>
      <w:r>
        <w:fldChar w:fldCharType="begin"/>
      </w:r>
      <w:r>
        <w:instrText xml:space="preserve"> HYPERLINK "http://yangl.sxggzyjy.cn/fwzn/004003/subPage.html" </w:instrText>
      </w:r>
      <w:r>
        <w:fldChar w:fldCharType="separate"/>
      </w:r>
      <w:r>
        <w:rPr>
          <w:rFonts w:ascii="宋体" w:hAnsi="宋体" w:eastAsia="宋体" w:cs="宋体"/>
          <w:sz w:val="20"/>
          <w:szCs w:val="20"/>
        </w:rPr>
        <w:t>http</w:t>
      </w:r>
      <w:r>
        <w:rPr>
          <w:rFonts w:ascii="宋体" w:hAnsi="宋体" w:eastAsia="宋体" w:cs="宋体"/>
          <w:spacing w:val="14"/>
          <w:sz w:val="20"/>
          <w:szCs w:val="20"/>
        </w:rPr>
        <w:t>://</w:t>
      </w:r>
      <w:r>
        <w:rPr>
          <w:rFonts w:ascii="宋体" w:hAnsi="宋体" w:eastAsia="宋体" w:cs="宋体"/>
          <w:sz w:val="20"/>
          <w:szCs w:val="20"/>
        </w:rPr>
        <w:t>yangl</w:t>
      </w:r>
      <w:r>
        <w:rPr>
          <w:rFonts w:ascii="宋体" w:hAnsi="宋体" w:eastAsia="宋体" w:cs="宋体"/>
          <w:spacing w:val="14"/>
          <w:sz w:val="20"/>
          <w:szCs w:val="20"/>
        </w:rPr>
        <w:t>.</w:t>
      </w:r>
      <w:r>
        <w:rPr>
          <w:rFonts w:ascii="宋体" w:hAnsi="宋体" w:eastAsia="宋体" w:cs="宋体"/>
          <w:sz w:val="20"/>
          <w:szCs w:val="20"/>
        </w:rPr>
        <w:t>sxggzyjy</w:t>
      </w:r>
      <w:r>
        <w:rPr>
          <w:rFonts w:ascii="宋体" w:hAnsi="宋体" w:eastAsia="宋体" w:cs="宋体"/>
          <w:spacing w:val="14"/>
          <w:sz w:val="20"/>
          <w:szCs w:val="20"/>
        </w:rPr>
        <w:t>.</w:t>
      </w:r>
      <w:r>
        <w:rPr>
          <w:rFonts w:ascii="宋体" w:hAnsi="宋体" w:eastAsia="宋体" w:cs="宋体"/>
          <w:sz w:val="20"/>
          <w:szCs w:val="20"/>
        </w:rPr>
        <w:t>cn</w:t>
      </w:r>
      <w:r>
        <w:rPr>
          <w:rFonts w:ascii="宋体" w:hAnsi="宋体" w:eastAsia="宋体" w:cs="宋体"/>
          <w:spacing w:val="14"/>
          <w:sz w:val="20"/>
          <w:szCs w:val="20"/>
        </w:rPr>
        <w:t>/</w:t>
      </w:r>
      <w:r>
        <w:rPr>
          <w:rFonts w:ascii="宋体" w:hAnsi="宋体" w:eastAsia="宋体" w:cs="宋体"/>
          <w:sz w:val="20"/>
          <w:szCs w:val="20"/>
        </w:rPr>
        <w:t>fwzn</w:t>
      </w:r>
      <w:r>
        <w:rPr>
          <w:rFonts w:ascii="宋体" w:hAnsi="宋体" w:eastAsia="宋体" w:cs="宋体"/>
          <w:spacing w:val="14"/>
          <w:sz w:val="20"/>
          <w:szCs w:val="20"/>
        </w:rPr>
        <w:t>/004003/</w:t>
      </w:r>
      <w:r>
        <w:rPr>
          <w:rFonts w:ascii="宋体" w:hAnsi="宋体" w:eastAsia="宋体" w:cs="宋体"/>
          <w:sz w:val="20"/>
          <w:szCs w:val="20"/>
        </w:rPr>
        <w:t>subPage</w:t>
      </w:r>
      <w:r>
        <w:rPr>
          <w:rFonts w:ascii="宋体" w:hAnsi="宋体" w:eastAsia="宋体" w:cs="宋体"/>
          <w:spacing w:val="14"/>
          <w:sz w:val="20"/>
          <w:szCs w:val="20"/>
        </w:rPr>
        <w:t>.</w:t>
      </w:r>
      <w:r>
        <w:rPr>
          <w:rFonts w:ascii="宋体" w:hAnsi="宋体" w:eastAsia="宋体" w:cs="宋体"/>
          <w:sz w:val="20"/>
          <w:szCs w:val="20"/>
        </w:rPr>
        <w:t>html</w:t>
      </w:r>
      <w:r>
        <w:rPr>
          <w:rFonts w:ascii="宋体" w:hAnsi="宋体" w:eastAsia="宋体" w:cs="宋体"/>
          <w:sz w:val="20"/>
          <w:szCs w:val="20"/>
        </w:rPr>
        <w:fldChar w:fldCharType="end"/>
      </w:r>
      <w:r>
        <w:rPr>
          <w:rFonts w:ascii="宋体" w:hAnsi="宋体" w:eastAsia="宋体" w:cs="宋体"/>
          <w:spacing w:val="14"/>
          <w:sz w:val="20"/>
          <w:szCs w:val="20"/>
        </w:rPr>
        <w:t>）。</w:t>
      </w:r>
    </w:p>
    <w:p w14:paraId="5C1B9313">
      <w:pPr>
        <w:spacing w:before="3" w:line="360" w:lineRule="auto"/>
        <w:ind w:left="9" w:right="1" w:firstLine="417"/>
        <w:rPr>
          <w:rFonts w:ascii="宋体" w:hAnsi="宋体" w:eastAsia="宋体" w:cs="宋体"/>
          <w:sz w:val="20"/>
          <w:szCs w:val="20"/>
        </w:rPr>
      </w:pPr>
      <w:r>
        <w:rPr>
          <w:rFonts w:ascii="宋体" w:hAnsi="宋体" w:eastAsia="宋体" w:cs="宋体"/>
          <w:spacing w:val="9"/>
          <w:sz w:val="20"/>
          <w:szCs w:val="20"/>
        </w:rPr>
        <w:t>5、评审过程中，磋商小组要求供应商提交多轮（最后）磋商报价时，供应商须登录全国公共资源交易</w:t>
      </w:r>
      <w:r>
        <w:rPr>
          <w:rFonts w:ascii="宋体" w:hAnsi="宋体" w:eastAsia="宋体" w:cs="宋体"/>
          <w:spacing w:val="8"/>
          <w:sz w:val="20"/>
          <w:szCs w:val="20"/>
        </w:rPr>
        <w:t>平台（陕西省</w:t>
      </w:r>
      <w:r>
        <w:rPr>
          <w:rFonts w:ascii="宋体" w:hAnsi="宋体" w:eastAsia="宋体" w:cs="宋体"/>
          <w:spacing w:val="-17"/>
          <w:sz w:val="20"/>
          <w:szCs w:val="20"/>
        </w:rPr>
        <w:t xml:space="preserve"> </w:t>
      </w:r>
      <w:r>
        <w:rPr>
          <w:rFonts w:ascii="宋体" w:hAnsi="宋体" w:eastAsia="宋体" w:cs="宋体"/>
          <w:spacing w:val="8"/>
          <w:sz w:val="20"/>
          <w:szCs w:val="20"/>
        </w:rPr>
        <w:t>·杨凌示范区）在交易系统中提交多轮（最后）报价，并用数字认证证</w:t>
      </w:r>
      <w:r>
        <w:rPr>
          <w:rFonts w:ascii="宋体" w:hAnsi="宋体" w:eastAsia="宋体" w:cs="宋体"/>
          <w:spacing w:val="7"/>
          <w:sz w:val="20"/>
          <w:szCs w:val="20"/>
        </w:rPr>
        <w:t>书（</w:t>
      </w:r>
      <w:r>
        <w:rPr>
          <w:rFonts w:ascii="宋体" w:hAnsi="宋体" w:eastAsia="宋体" w:cs="宋体"/>
          <w:sz w:val="20"/>
          <w:szCs w:val="20"/>
        </w:rPr>
        <w:t>CA</w:t>
      </w:r>
      <w:r>
        <w:rPr>
          <w:rFonts w:ascii="宋体" w:hAnsi="宋体" w:eastAsia="宋体" w:cs="宋体"/>
          <w:spacing w:val="7"/>
          <w:sz w:val="20"/>
          <w:szCs w:val="20"/>
        </w:rPr>
        <w:t xml:space="preserve"> 锁）签章。</w:t>
      </w:r>
    </w:p>
    <w:p w14:paraId="32AAD43C">
      <w:pPr>
        <w:spacing w:before="1" w:line="360" w:lineRule="auto"/>
        <w:ind w:left="9" w:right="1" w:firstLine="415"/>
        <w:rPr>
          <w:rFonts w:ascii="宋体" w:hAnsi="宋体" w:eastAsia="宋体" w:cs="宋体"/>
          <w:sz w:val="20"/>
          <w:szCs w:val="20"/>
        </w:rPr>
      </w:pPr>
      <w:r>
        <w:rPr>
          <w:rFonts w:ascii="宋体" w:hAnsi="宋体" w:eastAsia="宋体" w:cs="宋体"/>
          <w:spacing w:val="9"/>
          <w:sz w:val="20"/>
          <w:szCs w:val="20"/>
        </w:rPr>
        <w:t>6、根据陕西省财政厅关于政府采购供应商注册登记有关事项的通知，如所投本项目的供应商未在陕西</w:t>
      </w:r>
      <w:r>
        <w:rPr>
          <w:rFonts w:ascii="宋体" w:hAnsi="宋体" w:eastAsia="宋体" w:cs="宋体"/>
          <w:spacing w:val="11"/>
          <w:sz w:val="20"/>
          <w:szCs w:val="20"/>
        </w:rPr>
        <w:t>省政府采购网（</w:t>
      </w:r>
      <w:r>
        <w:fldChar w:fldCharType="begin"/>
      </w:r>
      <w:r>
        <w:instrText xml:space="preserve"> HYPERLINK "http://www.ccgp-shaanxi.gov.cn/" </w:instrText>
      </w:r>
      <w:r>
        <w:fldChar w:fldCharType="separate"/>
      </w:r>
      <w:r>
        <w:rPr>
          <w:rFonts w:ascii="宋体" w:hAnsi="宋体" w:eastAsia="宋体" w:cs="宋体"/>
          <w:sz w:val="20"/>
          <w:szCs w:val="20"/>
        </w:rPr>
        <w:t>http</w:t>
      </w:r>
      <w:r>
        <w:rPr>
          <w:rFonts w:ascii="宋体" w:hAnsi="宋体" w:eastAsia="宋体" w:cs="宋体"/>
          <w:spacing w:val="11"/>
          <w:sz w:val="20"/>
          <w:szCs w:val="20"/>
        </w:rPr>
        <w:t>://</w:t>
      </w:r>
      <w:r>
        <w:rPr>
          <w:rFonts w:ascii="宋体" w:hAnsi="宋体" w:eastAsia="宋体" w:cs="宋体"/>
          <w:sz w:val="20"/>
          <w:szCs w:val="20"/>
        </w:rPr>
        <w:t>www</w:t>
      </w:r>
      <w:r>
        <w:rPr>
          <w:rFonts w:ascii="宋体" w:hAnsi="宋体" w:eastAsia="宋体" w:cs="宋体"/>
          <w:spacing w:val="11"/>
          <w:sz w:val="20"/>
          <w:szCs w:val="20"/>
        </w:rPr>
        <w:t>.</w:t>
      </w:r>
      <w:r>
        <w:rPr>
          <w:rFonts w:ascii="宋体" w:hAnsi="宋体" w:eastAsia="宋体" w:cs="宋体"/>
          <w:sz w:val="20"/>
          <w:szCs w:val="20"/>
        </w:rPr>
        <w:t>ccgp</w:t>
      </w:r>
      <w:r>
        <w:rPr>
          <w:rFonts w:ascii="宋体" w:hAnsi="宋体" w:eastAsia="宋体" w:cs="宋体"/>
          <w:spacing w:val="11"/>
          <w:sz w:val="20"/>
          <w:szCs w:val="20"/>
        </w:rPr>
        <w:t>-</w:t>
      </w:r>
      <w:r>
        <w:rPr>
          <w:rFonts w:ascii="宋体" w:hAnsi="宋体" w:eastAsia="宋体" w:cs="宋体"/>
          <w:sz w:val="20"/>
          <w:szCs w:val="20"/>
        </w:rPr>
        <w:t>shaanxi</w:t>
      </w:r>
      <w:r>
        <w:rPr>
          <w:rFonts w:ascii="宋体" w:hAnsi="宋体" w:eastAsia="宋体" w:cs="宋体"/>
          <w:spacing w:val="11"/>
          <w:sz w:val="20"/>
          <w:szCs w:val="20"/>
        </w:rPr>
        <w:t>.</w:t>
      </w:r>
      <w:r>
        <w:rPr>
          <w:rFonts w:ascii="宋体" w:hAnsi="宋体" w:eastAsia="宋体" w:cs="宋体"/>
          <w:sz w:val="20"/>
          <w:szCs w:val="20"/>
        </w:rPr>
        <w:t>gov</w:t>
      </w:r>
      <w:r>
        <w:rPr>
          <w:rFonts w:ascii="宋体" w:hAnsi="宋体" w:eastAsia="宋体" w:cs="宋体"/>
          <w:spacing w:val="11"/>
          <w:sz w:val="20"/>
          <w:szCs w:val="20"/>
        </w:rPr>
        <w:t>.</w:t>
      </w:r>
      <w:r>
        <w:rPr>
          <w:rFonts w:ascii="宋体" w:hAnsi="宋体" w:eastAsia="宋体" w:cs="宋体"/>
          <w:sz w:val="20"/>
          <w:szCs w:val="20"/>
        </w:rPr>
        <w:t>cn</w:t>
      </w:r>
      <w:r>
        <w:rPr>
          <w:rFonts w:ascii="宋体" w:hAnsi="宋体" w:eastAsia="宋体" w:cs="宋体"/>
          <w:spacing w:val="11"/>
          <w:sz w:val="20"/>
          <w:szCs w:val="20"/>
        </w:rPr>
        <w:t>/</w:t>
      </w:r>
      <w:r>
        <w:rPr>
          <w:rFonts w:ascii="宋体" w:hAnsi="宋体" w:eastAsia="宋体" w:cs="宋体"/>
          <w:spacing w:val="11"/>
          <w:sz w:val="20"/>
          <w:szCs w:val="20"/>
        </w:rPr>
        <w:fldChar w:fldCharType="end"/>
      </w:r>
      <w:r>
        <w:rPr>
          <w:rFonts w:ascii="宋体" w:hAnsi="宋体" w:eastAsia="宋体" w:cs="宋体"/>
          <w:spacing w:val="11"/>
          <w:sz w:val="20"/>
          <w:szCs w:val="20"/>
        </w:rPr>
        <w:t>）注册登记加入陕西省政府采购供应商库的，应按要求</w:t>
      </w:r>
      <w:r>
        <w:rPr>
          <w:rFonts w:ascii="宋体" w:hAnsi="宋体" w:eastAsia="宋体" w:cs="宋体"/>
          <w:spacing w:val="12"/>
          <w:sz w:val="20"/>
          <w:szCs w:val="20"/>
        </w:rPr>
        <w:t>及时办理注册登记，并接受财政部门监督管理。请各供应商仔细阅</w:t>
      </w:r>
      <w:r>
        <w:rPr>
          <w:rFonts w:ascii="宋体" w:hAnsi="宋体" w:eastAsia="宋体" w:cs="宋体"/>
          <w:spacing w:val="11"/>
          <w:sz w:val="20"/>
          <w:szCs w:val="20"/>
        </w:rPr>
        <w:t>读上述提示。如需帮助，请您与我们的</w:t>
      </w:r>
      <w:r>
        <w:rPr>
          <w:rFonts w:ascii="宋体" w:hAnsi="宋体" w:eastAsia="宋体" w:cs="宋体"/>
          <w:spacing w:val="9"/>
          <w:sz w:val="20"/>
          <w:szCs w:val="20"/>
        </w:rPr>
        <w:t>工作人员联系，我们将非常高兴地为您服务。</w:t>
      </w:r>
    </w:p>
    <w:p w14:paraId="3945AE7D">
      <w:pPr>
        <w:spacing w:line="360" w:lineRule="auto"/>
        <w:ind w:left="433"/>
        <w:rPr>
          <w:rFonts w:ascii="宋体" w:hAnsi="宋体" w:eastAsia="宋体" w:cs="宋体"/>
          <w:sz w:val="20"/>
          <w:szCs w:val="20"/>
        </w:rPr>
      </w:pPr>
      <w:r>
        <w:rPr>
          <w:rFonts w:ascii="宋体" w:hAnsi="宋体" w:eastAsia="宋体" w:cs="宋体"/>
          <w:b/>
          <w:bCs/>
          <w:spacing w:val="6"/>
          <w:sz w:val="20"/>
          <w:szCs w:val="20"/>
        </w:rPr>
        <w:t>关于线上操作流程：</w:t>
      </w:r>
    </w:p>
    <w:p w14:paraId="6FEC4553">
      <w:pPr>
        <w:spacing w:before="162" w:line="360" w:lineRule="auto"/>
        <w:ind w:left="9" w:right="1" w:firstLine="429"/>
        <w:rPr>
          <w:rFonts w:ascii="宋体" w:hAnsi="宋体" w:eastAsia="宋体" w:cs="宋体"/>
          <w:sz w:val="20"/>
          <w:szCs w:val="20"/>
        </w:rPr>
      </w:pPr>
      <w:r>
        <w:rPr>
          <w:rFonts w:ascii="宋体" w:hAnsi="宋体" w:eastAsia="宋体" w:cs="宋体"/>
          <w:spacing w:val="8"/>
          <w:sz w:val="20"/>
          <w:szCs w:val="20"/>
        </w:rPr>
        <w:t>1、供应商初次使用交易平台，须先完成诚信入库登记、</w:t>
      </w:r>
      <w:r>
        <w:rPr>
          <w:rFonts w:ascii="宋体" w:hAnsi="宋体" w:eastAsia="宋体" w:cs="宋体"/>
          <w:sz w:val="20"/>
          <w:szCs w:val="20"/>
        </w:rPr>
        <w:t>CA</w:t>
      </w:r>
      <w:r>
        <w:rPr>
          <w:rFonts w:ascii="宋体" w:hAnsi="宋体" w:eastAsia="宋体" w:cs="宋体"/>
          <w:spacing w:val="-38"/>
          <w:sz w:val="20"/>
          <w:szCs w:val="20"/>
        </w:rPr>
        <w:t xml:space="preserve"> </w:t>
      </w:r>
      <w:r>
        <w:rPr>
          <w:rFonts w:ascii="宋体" w:hAnsi="宋体" w:eastAsia="宋体" w:cs="宋体"/>
          <w:spacing w:val="8"/>
          <w:sz w:val="20"/>
          <w:szCs w:val="20"/>
        </w:rPr>
        <w:t>锁认证及企业信息绑定。</w:t>
      </w:r>
      <w:r>
        <w:rPr>
          <w:rFonts w:ascii="宋体" w:hAnsi="宋体" w:eastAsia="宋体" w:cs="宋体"/>
          <w:spacing w:val="7"/>
          <w:sz w:val="20"/>
          <w:szCs w:val="20"/>
        </w:rPr>
        <w:t>相关操作流程详见</w:t>
      </w:r>
      <w:r>
        <w:rPr>
          <w:rFonts w:ascii="宋体" w:hAnsi="宋体" w:eastAsia="宋体" w:cs="宋体"/>
          <w:spacing w:val="5"/>
          <w:sz w:val="20"/>
          <w:szCs w:val="20"/>
        </w:rPr>
        <w:t>全国政府采购平台（陕西省）</w:t>
      </w:r>
      <w:r>
        <w:rPr>
          <w:rFonts w:ascii="宋体" w:hAnsi="宋体" w:eastAsia="宋体" w:cs="宋体"/>
          <w:spacing w:val="-55"/>
          <w:sz w:val="20"/>
          <w:szCs w:val="20"/>
        </w:rPr>
        <w:t xml:space="preserve"> </w:t>
      </w:r>
      <w:r>
        <w:rPr>
          <w:rFonts w:ascii="宋体" w:hAnsi="宋体" w:eastAsia="宋体" w:cs="宋体"/>
          <w:spacing w:val="5"/>
          <w:sz w:val="20"/>
          <w:szCs w:val="20"/>
        </w:rPr>
        <w:t>网站〖首页</w:t>
      </w:r>
      <w:r>
        <w:rPr>
          <w:rFonts w:ascii="宋体" w:hAnsi="宋体" w:eastAsia="宋体" w:cs="宋体"/>
          <w:spacing w:val="-18"/>
          <w:sz w:val="20"/>
          <w:szCs w:val="20"/>
        </w:rPr>
        <w:t xml:space="preserve"> </w:t>
      </w:r>
      <w:r>
        <w:rPr>
          <w:rFonts w:ascii="宋体" w:hAnsi="宋体" w:eastAsia="宋体" w:cs="宋体"/>
          <w:spacing w:val="5"/>
          <w:sz w:val="20"/>
          <w:szCs w:val="20"/>
        </w:rPr>
        <w:t>·</w:t>
      </w:r>
      <w:r>
        <w:rPr>
          <w:rFonts w:ascii="宋体" w:hAnsi="宋体" w:eastAsia="宋体" w:cs="宋体"/>
          <w:spacing w:val="-75"/>
          <w:sz w:val="20"/>
          <w:szCs w:val="20"/>
        </w:rPr>
        <w:t xml:space="preserve"> </w:t>
      </w:r>
      <w:r>
        <w:rPr>
          <w:rFonts w:ascii="宋体" w:hAnsi="宋体" w:eastAsia="宋体" w:cs="宋体"/>
          <w:spacing w:val="5"/>
          <w:sz w:val="20"/>
          <w:szCs w:val="20"/>
        </w:rPr>
        <w:t>〉服务指南</w:t>
      </w:r>
      <w:r>
        <w:rPr>
          <w:rFonts w:ascii="宋体" w:hAnsi="宋体" w:eastAsia="宋体" w:cs="宋体"/>
          <w:spacing w:val="-15"/>
          <w:sz w:val="20"/>
          <w:szCs w:val="20"/>
        </w:rPr>
        <w:t xml:space="preserve"> </w:t>
      </w:r>
      <w:r>
        <w:rPr>
          <w:rFonts w:ascii="宋体" w:hAnsi="宋体" w:eastAsia="宋体" w:cs="宋体"/>
          <w:spacing w:val="5"/>
          <w:sz w:val="20"/>
          <w:szCs w:val="20"/>
        </w:rPr>
        <w:t>·</w:t>
      </w:r>
      <w:r>
        <w:rPr>
          <w:rFonts w:ascii="宋体" w:hAnsi="宋体" w:eastAsia="宋体" w:cs="宋体"/>
          <w:spacing w:val="-75"/>
          <w:sz w:val="20"/>
          <w:szCs w:val="20"/>
        </w:rPr>
        <w:t xml:space="preserve"> </w:t>
      </w:r>
      <w:r>
        <w:rPr>
          <w:rFonts w:ascii="宋体" w:hAnsi="宋体" w:eastAsia="宋体" w:cs="宋体"/>
          <w:spacing w:val="5"/>
          <w:sz w:val="20"/>
          <w:szCs w:val="20"/>
        </w:rPr>
        <w:t>〉下载专区〗</w:t>
      </w:r>
      <w:r>
        <w:rPr>
          <w:rFonts w:ascii="宋体" w:hAnsi="宋体" w:eastAsia="宋体" w:cs="宋体"/>
          <w:spacing w:val="-57"/>
          <w:sz w:val="20"/>
          <w:szCs w:val="20"/>
        </w:rPr>
        <w:t xml:space="preserve"> </w:t>
      </w:r>
      <w:r>
        <w:rPr>
          <w:rFonts w:ascii="宋体" w:hAnsi="宋体" w:eastAsia="宋体" w:cs="宋体"/>
          <w:spacing w:val="5"/>
          <w:sz w:val="20"/>
          <w:szCs w:val="20"/>
        </w:rPr>
        <w:t>中的《陕西省公共资源交易中心政</w:t>
      </w:r>
      <w:r>
        <w:rPr>
          <w:rFonts w:ascii="宋体" w:hAnsi="宋体" w:eastAsia="宋体" w:cs="宋体"/>
          <w:spacing w:val="7"/>
          <w:sz w:val="20"/>
          <w:szCs w:val="20"/>
        </w:rPr>
        <w:t>府采购项目投标指南》。</w:t>
      </w:r>
      <w:r>
        <w:rPr>
          <w:rFonts w:ascii="宋体" w:hAnsi="宋体" w:eastAsia="宋体" w:cs="宋体"/>
          <w:sz w:val="20"/>
          <w:szCs w:val="20"/>
        </w:rPr>
        <w:t>CA</w:t>
      </w:r>
      <w:r>
        <w:rPr>
          <w:rFonts w:ascii="宋体" w:hAnsi="宋体" w:eastAsia="宋体" w:cs="宋体"/>
          <w:spacing w:val="-38"/>
          <w:sz w:val="20"/>
          <w:szCs w:val="20"/>
        </w:rPr>
        <w:t xml:space="preserve"> </w:t>
      </w:r>
      <w:r>
        <w:rPr>
          <w:rFonts w:ascii="宋体" w:hAnsi="宋体" w:eastAsia="宋体" w:cs="宋体"/>
          <w:spacing w:val="7"/>
          <w:sz w:val="20"/>
          <w:szCs w:val="20"/>
        </w:rPr>
        <w:t>锁办理地址及咨询电话如下：西安市长安北路</w:t>
      </w:r>
      <w:r>
        <w:rPr>
          <w:rFonts w:ascii="宋体" w:hAnsi="宋体" w:eastAsia="宋体" w:cs="宋体"/>
          <w:spacing w:val="-23"/>
          <w:sz w:val="20"/>
          <w:szCs w:val="20"/>
        </w:rPr>
        <w:t xml:space="preserve"> </w:t>
      </w:r>
      <w:r>
        <w:rPr>
          <w:rFonts w:ascii="宋体" w:hAnsi="宋体" w:eastAsia="宋体" w:cs="宋体"/>
          <w:spacing w:val="7"/>
          <w:sz w:val="20"/>
          <w:szCs w:val="20"/>
        </w:rPr>
        <w:t>14</w:t>
      </w:r>
      <w:r>
        <w:rPr>
          <w:rFonts w:ascii="宋体" w:hAnsi="宋体" w:eastAsia="宋体" w:cs="宋体"/>
          <w:spacing w:val="-36"/>
          <w:sz w:val="20"/>
          <w:szCs w:val="20"/>
        </w:rPr>
        <w:t xml:space="preserve"> </w:t>
      </w:r>
      <w:r>
        <w:rPr>
          <w:rFonts w:ascii="宋体" w:hAnsi="宋体" w:eastAsia="宋体" w:cs="宋体"/>
          <w:spacing w:val="7"/>
          <w:sz w:val="20"/>
          <w:szCs w:val="20"/>
        </w:rPr>
        <w:t>号</w:t>
      </w:r>
      <w:r>
        <w:rPr>
          <w:rFonts w:ascii="宋体" w:hAnsi="宋体" w:eastAsia="宋体" w:cs="宋体"/>
          <w:spacing w:val="6"/>
          <w:sz w:val="20"/>
          <w:szCs w:val="20"/>
        </w:rPr>
        <w:t>省体育公寓</w:t>
      </w:r>
      <w:r>
        <w:rPr>
          <w:rFonts w:ascii="宋体" w:hAnsi="宋体" w:eastAsia="宋体" w:cs="宋体"/>
          <w:spacing w:val="-41"/>
          <w:sz w:val="20"/>
          <w:szCs w:val="20"/>
        </w:rPr>
        <w:t xml:space="preserve"> </w:t>
      </w:r>
      <w:r>
        <w:rPr>
          <w:rFonts w:ascii="宋体" w:hAnsi="宋体" w:eastAsia="宋体" w:cs="宋体"/>
          <w:spacing w:val="6"/>
          <w:sz w:val="20"/>
          <w:szCs w:val="20"/>
        </w:rPr>
        <w:t>B</w:t>
      </w:r>
      <w:r>
        <w:rPr>
          <w:rFonts w:ascii="宋体" w:hAnsi="宋体" w:eastAsia="宋体" w:cs="宋体"/>
          <w:spacing w:val="-37"/>
          <w:sz w:val="20"/>
          <w:szCs w:val="20"/>
        </w:rPr>
        <w:t xml:space="preserve"> </w:t>
      </w:r>
      <w:r>
        <w:rPr>
          <w:rFonts w:ascii="宋体" w:hAnsi="宋体" w:eastAsia="宋体" w:cs="宋体"/>
          <w:spacing w:val="6"/>
          <w:sz w:val="20"/>
          <w:szCs w:val="20"/>
        </w:rPr>
        <w:t>座一楼咨询电</w:t>
      </w:r>
      <w:r>
        <w:rPr>
          <w:rFonts w:ascii="宋体" w:hAnsi="宋体" w:eastAsia="宋体" w:cs="宋体"/>
          <w:spacing w:val="4"/>
          <w:sz w:val="20"/>
          <w:szCs w:val="20"/>
        </w:rPr>
        <w:t>话：029-88661241。</w:t>
      </w:r>
    </w:p>
    <w:p w14:paraId="1751D6B8">
      <w:pPr>
        <w:spacing w:before="2" w:line="360" w:lineRule="auto"/>
        <w:ind w:left="12" w:right="1" w:firstLine="412"/>
        <w:rPr>
          <w:rFonts w:ascii="宋体" w:hAnsi="宋体" w:eastAsia="宋体" w:cs="宋体"/>
          <w:sz w:val="20"/>
          <w:szCs w:val="20"/>
        </w:rPr>
      </w:pPr>
      <w:r>
        <w:rPr>
          <w:rFonts w:ascii="宋体" w:hAnsi="宋体" w:eastAsia="宋体" w:cs="宋体"/>
          <w:spacing w:val="15"/>
          <w:sz w:val="20"/>
          <w:szCs w:val="20"/>
        </w:rPr>
        <w:t>2、网上报名。在全国公共资源交易平台（陕西</w:t>
      </w:r>
      <w:r>
        <w:rPr>
          <w:rFonts w:ascii="宋体" w:hAnsi="宋体" w:eastAsia="宋体" w:cs="宋体"/>
          <w:spacing w:val="14"/>
          <w:sz w:val="20"/>
          <w:szCs w:val="20"/>
        </w:rPr>
        <w:t>省·杨凌示范区</w:t>
      </w:r>
      <w:r>
        <w:rPr>
          <w:rFonts w:ascii="宋体" w:hAnsi="宋体" w:eastAsia="宋体" w:cs="宋体"/>
          <w:spacing w:val="-14"/>
          <w:sz w:val="20"/>
          <w:szCs w:val="20"/>
        </w:rPr>
        <w:t>）</w:t>
      </w:r>
      <w:r>
        <w:rPr>
          <w:rFonts w:ascii="宋体" w:hAnsi="宋体" w:eastAsia="宋体" w:cs="宋体"/>
          <w:spacing w:val="-78"/>
          <w:sz w:val="20"/>
          <w:szCs w:val="20"/>
        </w:rPr>
        <w:t xml:space="preserve"> </w:t>
      </w:r>
      <w:r>
        <w:rPr>
          <w:rFonts w:ascii="宋体" w:hAnsi="宋体" w:eastAsia="宋体" w:cs="宋体"/>
          <w:spacing w:val="-14"/>
          <w:sz w:val="20"/>
          <w:szCs w:val="20"/>
        </w:rPr>
        <w:t>（</w:t>
      </w:r>
      <w:r>
        <w:fldChar w:fldCharType="begin"/>
      </w:r>
      <w:r>
        <w:instrText xml:space="preserve"> HYPERLINK "http://yangl.sxggzyjy.cn/" </w:instrText>
      </w:r>
      <w:r>
        <w:fldChar w:fldCharType="separate"/>
      </w:r>
      <w:r>
        <w:rPr>
          <w:rFonts w:ascii="宋体" w:hAnsi="宋体" w:eastAsia="宋体" w:cs="宋体"/>
          <w:sz w:val="20"/>
          <w:szCs w:val="20"/>
        </w:rPr>
        <w:t>http</w:t>
      </w:r>
      <w:r>
        <w:rPr>
          <w:rFonts w:ascii="宋体" w:hAnsi="宋体" w:eastAsia="宋体" w:cs="宋体"/>
          <w:spacing w:val="14"/>
          <w:sz w:val="20"/>
          <w:szCs w:val="20"/>
        </w:rPr>
        <w:t>://</w:t>
      </w:r>
      <w:r>
        <w:rPr>
          <w:rFonts w:ascii="宋体" w:hAnsi="宋体" w:eastAsia="宋体" w:cs="宋体"/>
          <w:sz w:val="20"/>
          <w:szCs w:val="20"/>
        </w:rPr>
        <w:t>yangl</w:t>
      </w:r>
      <w:r>
        <w:rPr>
          <w:rFonts w:ascii="宋体" w:hAnsi="宋体" w:eastAsia="宋体" w:cs="宋体"/>
          <w:spacing w:val="14"/>
          <w:sz w:val="20"/>
          <w:szCs w:val="20"/>
        </w:rPr>
        <w:t>.</w:t>
      </w:r>
      <w:r>
        <w:rPr>
          <w:rFonts w:ascii="宋体" w:hAnsi="宋体" w:eastAsia="宋体" w:cs="宋体"/>
          <w:sz w:val="20"/>
          <w:szCs w:val="20"/>
        </w:rPr>
        <w:t>sxggzyjy</w:t>
      </w:r>
      <w:r>
        <w:rPr>
          <w:rFonts w:ascii="宋体" w:hAnsi="宋体" w:eastAsia="宋体" w:cs="宋体"/>
          <w:spacing w:val="14"/>
          <w:sz w:val="20"/>
          <w:szCs w:val="20"/>
        </w:rPr>
        <w:t>.</w:t>
      </w:r>
      <w:r>
        <w:rPr>
          <w:rFonts w:ascii="宋体" w:hAnsi="宋体" w:eastAsia="宋体" w:cs="宋体"/>
          <w:sz w:val="20"/>
          <w:szCs w:val="20"/>
        </w:rPr>
        <w:t>cn</w:t>
      </w:r>
      <w:r>
        <w:rPr>
          <w:rFonts w:ascii="宋体" w:hAnsi="宋体" w:eastAsia="宋体" w:cs="宋体"/>
          <w:spacing w:val="14"/>
          <w:sz w:val="20"/>
          <w:szCs w:val="20"/>
        </w:rPr>
        <w:t>/</w:t>
      </w:r>
      <w:r>
        <w:rPr>
          <w:rFonts w:ascii="宋体" w:hAnsi="宋体" w:eastAsia="宋体" w:cs="宋体"/>
          <w:spacing w:val="14"/>
          <w:sz w:val="20"/>
          <w:szCs w:val="20"/>
        </w:rPr>
        <w:fldChar w:fldCharType="end"/>
      </w:r>
      <w:r>
        <w:rPr>
          <w:rFonts w:ascii="宋体" w:hAnsi="宋体" w:eastAsia="宋体" w:cs="宋体"/>
          <w:spacing w:val="14"/>
          <w:sz w:val="20"/>
          <w:szCs w:val="20"/>
        </w:rPr>
        <w:t>）报</w:t>
      </w:r>
      <w:r>
        <w:rPr>
          <w:rFonts w:ascii="宋体" w:hAnsi="宋体" w:eastAsia="宋体" w:cs="宋体"/>
          <w:spacing w:val="-1"/>
          <w:sz w:val="20"/>
          <w:szCs w:val="20"/>
        </w:rPr>
        <w:t>名。</w:t>
      </w:r>
    </w:p>
    <w:p w14:paraId="319084E4">
      <w:pPr>
        <w:spacing w:line="360" w:lineRule="auto"/>
        <w:ind w:left="20" w:right="20" w:firstLine="406"/>
        <w:rPr>
          <w:rFonts w:ascii="宋体" w:hAnsi="宋体" w:eastAsia="宋体" w:cs="宋体"/>
          <w:sz w:val="20"/>
          <w:szCs w:val="20"/>
        </w:rPr>
      </w:pPr>
      <w:r>
        <w:rPr>
          <w:rFonts w:ascii="宋体" w:hAnsi="宋体" w:eastAsia="宋体" w:cs="宋体"/>
          <w:spacing w:val="12"/>
          <w:sz w:val="20"/>
          <w:szCs w:val="20"/>
        </w:rPr>
        <w:t>3、下载竞争性磋商文件。供应商在报名确认后登陆全国公共资源交易</w:t>
      </w:r>
      <w:r>
        <w:rPr>
          <w:rFonts w:ascii="宋体" w:hAnsi="宋体" w:eastAsia="宋体" w:cs="宋体"/>
          <w:spacing w:val="11"/>
          <w:sz w:val="20"/>
          <w:szCs w:val="20"/>
        </w:rPr>
        <w:t>平台（陕西省</w:t>
      </w:r>
      <w:r>
        <w:rPr>
          <w:rFonts w:ascii="宋体" w:hAnsi="宋体" w:eastAsia="宋体" w:cs="宋体"/>
          <w:spacing w:val="-16"/>
          <w:sz w:val="20"/>
          <w:szCs w:val="20"/>
        </w:rPr>
        <w:t xml:space="preserve"> </w:t>
      </w:r>
      <w:r>
        <w:rPr>
          <w:rFonts w:ascii="宋体" w:hAnsi="宋体" w:eastAsia="宋体" w:cs="宋体"/>
          <w:spacing w:val="11"/>
          <w:sz w:val="20"/>
          <w:szCs w:val="20"/>
        </w:rPr>
        <w:t>·杨凌示范区）</w:t>
      </w:r>
      <w:r>
        <w:rPr>
          <w:rFonts w:ascii="宋体" w:hAnsi="宋体" w:eastAsia="宋体" w:cs="宋体"/>
          <w:sz w:val="20"/>
          <w:szCs w:val="20"/>
        </w:rPr>
        <w:t xml:space="preserve"> </w:t>
      </w:r>
      <w:r>
        <w:rPr>
          <w:rFonts w:ascii="宋体" w:hAnsi="宋体" w:eastAsia="宋体" w:cs="宋体"/>
          <w:spacing w:val="12"/>
          <w:sz w:val="20"/>
          <w:szCs w:val="20"/>
        </w:rPr>
        <w:t>（</w:t>
      </w:r>
      <w:r>
        <w:fldChar w:fldCharType="begin"/>
      </w:r>
      <w:r>
        <w:instrText xml:space="preserve"> HYPERLINK "http://yangl.sxggzyjy.cn/" </w:instrText>
      </w:r>
      <w:r>
        <w:fldChar w:fldCharType="separate"/>
      </w:r>
      <w:r>
        <w:rPr>
          <w:rFonts w:ascii="宋体" w:hAnsi="宋体" w:eastAsia="宋体" w:cs="宋体"/>
          <w:sz w:val="20"/>
          <w:szCs w:val="20"/>
        </w:rPr>
        <w:t>http</w:t>
      </w:r>
      <w:r>
        <w:rPr>
          <w:rFonts w:ascii="宋体" w:hAnsi="宋体" w:eastAsia="宋体" w:cs="宋体"/>
          <w:spacing w:val="12"/>
          <w:sz w:val="20"/>
          <w:szCs w:val="20"/>
        </w:rPr>
        <w:t>://</w:t>
      </w:r>
      <w:r>
        <w:rPr>
          <w:rFonts w:ascii="宋体" w:hAnsi="宋体" w:eastAsia="宋体" w:cs="宋体"/>
          <w:sz w:val="20"/>
          <w:szCs w:val="20"/>
        </w:rPr>
        <w:t>yangl</w:t>
      </w:r>
      <w:r>
        <w:rPr>
          <w:rFonts w:ascii="宋体" w:hAnsi="宋体" w:eastAsia="宋体" w:cs="宋体"/>
          <w:spacing w:val="12"/>
          <w:sz w:val="20"/>
          <w:szCs w:val="20"/>
        </w:rPr>
        <w:t>.</w:t>
      </w:r>
      <w:r>
        <w:rPr>
          <w:rFonts w:ascii="宋体" w:hAnsi="宋体" w:eastAsia="宋体" w:cs="宋体"/>
          <w:sz w:val="20"/>
          <w:szCs w:val="20"/>
        </w:rPr>
        <w:t>sxggzyjy</w:t>
      </w:r>
      <w:r>
        <w:rPr>
          <w:rFonts w:ascii="宋体" w:hAnsi="宋体" w:eastAsia="宋体" w:cs="宋体"/>
          <w:spacing w:val="12"/>
          <w:sz w:val="20"/>
          <w:szCs w:val="20"/>
        </w:rPr>
        <w:t>.</w:t>
      </w:r>
      <w:r>
        <w:rPr>
          <w:rFonts w:ascii="宋体" w:hAnsi="宋体" w:eastAsia="宋体" w:cs="宋体"/>
          <w:sz w:val="20"/>
          <w:szCs w:val="20"/>
        </w:rPr>
        <w:t>cn</w:t>
      </w:r>
      <w:r>
        <w:rPr>
          <w:rFonts w:ascii="宋体" w:hAnsi="宋体" w:eastAsia="宋体" w:cs="宋体"/>
          <w:spacing w:val="12"/>
          <w:sz w:val="20"/>
          <w:szCs w:val="20"/>
        </w:rPr>
        <w:t>/</w:t>
      </w:r>
      <w:r>
        <w:rPr>
          <w:rFonts w:ascii="宋体" w:hAnsi="宋体" w:eastAsia="宋体" w:cs="宋体"/>
          <w:spacing w:val="12"/>
          <w:sz w:val="20"/>
          <w:szCs w:val="20"/>
        </w:rPr>
        <w:fldChar w:fldCharType="end"/>
      </w:r>
      <w:r>
        <w:rPr>
          <w:rFonts w:ascii="宋体" w:hAnsi="宋体" w:eastAsia="宋体" w:cs="宋体"/>
          <w:spacing w:val="12"/>
          <w:sz w:val="20"/>
          <w:szCs w:val="20"/>
        </w:rPr>
        <w:t>）下载竞争性磋商文件。</w:t>
      </w:r>
    </w:p>
    <w:p w14:paraId="6535FBF8">
      <w:pPr>
        <w:spacing w:before="5" w:line="360" w:lineRule="auto"/>
        <w:ind w:left="429"/>
        <w:rPr>
          <w:rFonts w:ascii="宋体" w:hAnsi="宋体" w:eastAsia="宋体" w:cs="宋体"/>
          <w:sz w:val="20"/>
          <w:szCs w:val="20"/>
        </w:rPr>
      </w:pPr>
      <w:r>
        <w:rPr>
          <w:rFonts w:ascii="宋体" w:hAnsi="宋体" w:eastAsia="宋体" w:cs="宋体"/>
          <w:spacing w:val="9"/>
          <w:sz w:val="20"/>
          <w:szCs w:val="20"/>
        </w:rPr>
        <w:t>4、下载编标工具，编辑竞争性磋商响应文件，并在规定时限之前上传竞争性磋商响应文件。</w:t>
      </w:r>
    </w:p>
    <w:p w14:paraId="24A5E274">
      <w:pPr>
        <w:spacing w:before="91" w:line="360" w:lineRule="auto"/>
        <w:rPr>
          <w:rFonts w:ascii="宋体" w:hAnsi="宋体" w:eastAsia="宋体" w:cs="宋体"/>
          <w:spacing w:val="9"/>
          <w:sz w:val="20"/>
          <w:szCs w:val="20"/>
        </w:rPr>
      </w:pPr>
      <w:r>
        <w:rPr>
          <w:rFonts w:ascii="宋体" w:hAnsi="宋体" w:eastAsia="宋体" w:cs="宋体"/>
          <w:spacing w:val="10"/>
          <w:sz w:val="20"/>
          <w:szCs w:val="20"/>
        </w:rPr>
        <w:t>请各供应商仔细阅读上述提示。如需帮助，请您与我们的</w:t>
      </w:r>
      <w:r>
        <w:rPr>
          <w:rFonts w:ascii="宋体" w:hAnsi="宋体" w:eastAsia="宋体" w:cs="宋体"/>
          <w:spacing w:val="9"/>
          <w:sz w:val="20"/>
          <w:szCs w:val="20"/>
        </w:rPr>
        <w:t>工作人员联系，我们将非常高兴为您服务。</w:t>
      </w:r>
    </w:p>
    <w:p w14:paraId="492629E0">
      <w:pPr>
        <w:spacing w:line="360" w:lineRule="auto"/>
        <w:rPr>
          <w:rFonts w:ascii="宋体" w:hAnsi="宋体" w:eastAsia="宋体" w:cs="宋体"/>
          <w:spacing w:val="9"/>
          <w:sz w:val="20"/>
          <w:szCs w:val="20"/>
        </w:rPr>
      </w:pPr>
      <w:r>
        <w:rPr>
          <w:rFonts w:ascii="宋体" w:hAnsi="宋体" w:eastAsia="宋体" w:cs="宋体"/>
          <w:spacing w:val="9"/>
          <w:sz w:val="20"/>
          <w:szCs w:val="20"/>
        </w:rPr>
        <w:br w:type="page"/>
      </w:r>
    </w:p>
    <w:sdt>
      <w:sdtPr>
        <w:rPr>
          <w:rFonts w:ascii="宋体" w:hAnsi="宋体" w:eastAsia="宋体" w:cs="Arial"/>
          <w:snapToGrid w:val="0"/>
          <w:color w:val="000000"/>
          <w:kern w:val="0"/>
          <w:sz w:val="21"/>
          <w:szCs w:val="21"/>
          <w:lang w:val="en-US" w:eastAsia="en-US" w:bidi="ar-SA"/>
        </w:rPr>
        <w:id w:val="147453559"/>
        <w15:color w:val="DBDBDB"/>
        <w:docPartObj>
          <w:docPartGallery w:val="Table of Contents"/>
          <w:docPartUnique/>
        </w:docPartObj>
      </w:sdtPr>
      <w:sdtEndPr>
        <w:rPr>
          <w:rFonts w:ascii="Times New Roman" w:hAnsi="Times New Roman" w:eastAsia="Times New Roman" w:cs="Times New Roman"/>
          <w:snapToGrid w:val="0"/>
          <w:color w:val="000000"/>
          <w:kern w:val="0"/>
          <w:sz w:val="21"/>
          <w:szCs w:val="24"/>
          <w:lang w:val="en-US" w:eastAsia="en-US" w:bidi="ar-SA"/>
        </w:rPr>
      </w:sdtEndPr>
      <w:sdtContent>
        <w:p w14:paraId="1C111BDD">
          <w:pPr>
            <w:spacing w:before="0" w:beforeLines="0" w:after="0" w:afterLines="0" w:line="240" w:lineRule="auto"/>
            <w:ind w:left="0" w:leftChars="0" w:right="0" w:rightChars="0" w:firstLine="0" w:firstLineChars="0"/>
            <w:jc w:val="center"/>
            <w:rPr>
              <w:sz w:val="36"/>
              <w:szCs w:val="36"/>
            </w:rPr>
          </w:pPr>
          <w:r>
            <w:rPr>
              <w:rFonts w:ascii="宋体" w:hAnsi="宋体" w:eastAsia="宋体"/>
              <w:sz w:val="36"/>
              <w:szCs w:val="36"/>
            </w:rPr>
            <w:t>目录</w:t>
          </w:r>
        </w:p>
        <w:p w14:paraId="6047F58C">
          <w:pPr>
            <w:pStyle w:val="8"/>
            <w:tabs>
              <w:tab w:val="right" w:leader="dot" w:pos="9746"/>
            </w:tabs>
            <w:rPr>
              <w:sz w:val="28"/>
              <w:szCs w:val="28"/>
            </w:rPr>
          </w:pPr>
          <w:r>
            <w:rPr>
              <w:rFonts w:ascii="Times New Roman" w:hAnsi="Times New Roman" w:eastAsia="Times New Roman" w:cs="Times New Roman"/>
              <w:sz w:val="28"/>
              <w:szCs w:val="28"/>
            </w:rPr>
            <w:fldChar w:fldCharType="begin"/>
          </w:r>
          <w:r>
            <w:rPr>
              <w:rFonts w:ascii="Times New Roman" w:hAnsi="Times New Roman" w:eastAsia="Times New Roman" w:cs="Times New Roman"/>
              <w:sz w:val="28"/>
              <w:szCs w:val="28"/>
            </w:rPr>
            <w:instrText xml:space="preserve">TOC \o "1-3" \h \u </w:instrText>
          </w:r>
          <w:r>
            <w:rPr>
              <w:rFonts w:ascii="Times New Roman" w:hAnsi="Times New Roman" w:eastAsia="Times New Roman" w:cs="Times New Roman"/>
              <w:sz w:val="28"/>
              <w:szCs w:val="28"/>
            </w:rPr>
            <w:fldChar w:fldCharType="separate"/>
          </w:r>
          <w:r>
            <w:rPr>
              <w:rFonts w:ascii="Times New Roman" w:hAnsi="Times New Roman" w:eastAsia="Times New Roman" w:cs="Times New Roman"/>
              <w:sz w:val="28"/>
              <w:szCs w:val="28"/>
            </w:rPr>
            <w:fldChar w:fldCharType="begin"/>
          </w:r>
          <w:r>
            <w:rPr>
              <w:rFonts w:ascii="Times New Roman" w:hAnsi="Times New Roman" w:eastAsia="Times New Roman" w:cs="Times New Roman"/>
              <w:sz w:val="28"/>
              <w:szCs w:val="28"/>
            </w:rPr>
            <w:instrText xml:space="preserve"> HYPERLINK \l _Toc18783 </w:instrText>
          </w:r>
          <w:r>
            <w:rPr>
              <w:rFonts w:ascii="Times New Roman" w:hAnsi="Times New Roman" w:eastAsia="Times New Roman" w:cs="Times New Roman"/>
              <w:sz w:val="28"/>
              <w:szCs w:val="28"/>
            </w:rPr>
            <w:fldChar w:fldCharType="separate"/>
          </w:r>
          <w:r>
            <w:rPr>
              <w:rFonts w:ascii="宋体" w:hAnsi="宋体" w:eastAsia="宋体" w:cs="宋体"/>
              <w:bCs/>
              <w:spacing w:val="-3"/>
              <w:sz w:val="28"/>
              <w:szCs w:val="28"/>
            </w:rPr>
            <w:t>第一章</w:t>
          </w:r>
          <w:r>
            <w:rPr>
              <w:rFonts w:ascii="宋体" w:hAnsi="宋体" w:eastAsia="宋体" w:cs="宋体"/>
              <w:spacing w:val="-3"/>
              <w:sz w:val="28"/>
              <w:szCs w:val="28"/>
            </w:rPr>
            <w:t xml:space="preserve"> </w:t>
          </w:r>
          <w:bookmarkStart w:id="96" w:name="_GoBack"/>
          <w:bookmarkEnd w:id="96"/>
          <w:r>
            <w:rPr>
              <w:rFonts w:ascii="宋体" w:hAnsi="宋体" w:eastAsia="宋体" w:cs="宋体"/>
              <w:bCs/>
              <w:spacing w:val="-3"/>
              <w:sz w:val="28"/>
              <w:szCs w:val="28"/>
            </w:rPr>
            <w:t>竞争性磋商公告</w:t>
          </w:r>
          <w:r>
            <w:rPr>
              <w:sz w:val="28"/>
              <w:szCs w:val="28"/>
            </w:rPr>
            <w:tab/>
          </w:r>
          <w:r>
            <w:rPr>
              <w:sz w:val="28"/>
              <w:szCs w:val="28"/>
            </w:rPr>
            <w:fldChar w:fldCharType="begin"/>
          </w:r>
          <w:r>
            <w:rPr>
              <w:sz w:val="28"/>
              <w:szCs w:val="28"/>
            </w:rPr>
            <w:instrText xml:space="preserve"> PAGEREF _Toc18783 \h </w:instrText>
          </w:r>
          <w:r>
            <w:rPr>
              <w:sz w:val="28"/>
              <w:szCs w:val="28"/>
            </w:rPr>
            <w:fldChar w:fldCharType="separate"/>
          </w:r>
          <w:r>
            <w:rPr>
              <w:sz w:val="28"/>
              <w:szCs w:val="28"/>
            </w:rPr>
            <w:t>5</w:t>
          </w:r>
          <w:r>
            <w:rPr>
              <w:sz w:val="28"/>
              <w:szCs w:val="28"/>
            </w:rPr>
            <w:fldChar w:fldCharType="end"/>
          </w:r>
          <w:r>
            <w:rPr>
              <w:rFonts w:ascii="Times New Roman" w:hAnsi="Times New Roman" w:eastAsia="Times New Roman" w:cs="Times New Roman"/>
              <w:sz w:val="28"/>
              <w:szCs w:val="28"/>
            </w:rPr>
            <w:fldChar w:fldCharType="end"/>
          </w:r>
        </w:p>
        <w:p w14:paraId="760586AC">
          <w:pPr>
            <w:pStyle w:val="8"/>
            <w:tabs>
              <w:tab w:val="right" w:leader="dot" w:pos="9746"/>
            </w:tabs>
            <w:rPr>
              <w:sz w:val="28"/>
              <w:szCs w:val="28"/>
            </w:rPr>
          </w:pPr>
          <w:r>
            <w:rPr>
              <w:rFonts w:ascii="Times New Roman" w:hAnsi="Times New Roman" w:eastAsia="Times New Roman" w:cs="Times New Roman"/>
              <w:sz w:val="28"/>
              <w:szCs w:val="28"/>
            </w:rPr>
            <w:fldChar w:fldCharType="begin"/>
          </w:r>
          <w:r>
            <w:rPr>
              <w:rFonts w:ascii="Times New Roman" w:hAnsi="Times New Roman" w:eastAsia="Times New Roman" w:cs="Times New Roman"/>
              <w:sz w:val="28"/>
              <w:szCs w:val="28"/>
            </w:rPr>
            <w:instrText xml:space="preserve"> HYPERLINK \l _Toc5117 </w:instrText>
          </w:r>
          <w:r>
            <w:rPr>
              <w:rFonts w:ascii="Times New Roman" w:hAnsi="Times New Roman" w:eastAsia="Times New Roman" w:cs="Times New Roman"/>
              <w:sz w:val="28"/>
              <w:szCs w:val="28"/>
            </w:rPr>
            <w:fldChar w:fldCharType="separate"/>
          </w:r>
          <w:r>
            <w:rPr>
              <w:rFonts w:ascii="宋体" w:hAnsi="宋体" w:eastAsia="宋体" w:cs="宋体"/>
              <w:bCs/>
              <w:spacing w:val="-3"/>
              <w:sz w:val="28"/>
              <w:szCs w:val="28"/>
            </w:rPr>
            <w:t>第二章</w:t>
          </w:r>
          <w:r>
            <w:rPr>
              <w:rFonts w:ascii="宋体" w:hAnsi="宋体" w:eastAsia="宋体" w:cs="宋体"/>
              <w:spacing w:val="-3"/>
              <w:sz w:val="28"/>
              <w:szCs w:val="28"/>
            </w:rPr>
            <w:t xml:space="preserve"> </w:t>
          </w:r>
          <w:r>
            <w:rPr>
              <w:rFonts w:ascii="宋体" w:hAnsi="宋体" w:eastAsia="宋体" w:cs="宋体"/>
              <w:bCs/>
              <w:spacing w:val="-3"/>
              <w:sz w:val="28"/>
              <w:szCs w:val="28"/>
            </w:rPr>
            <w:t>供应商须知前附表</w:t>
          </w:r>
          <w:r>
            <w:rPr>
              <w:sz w:val="28"/>
              <w:szCs w:val="28"/>
            </w:rPr>
            <w:tab/>
          </w:r>
          <w:r>
            <w:rPr>
              <w:sz w:val="28"/>
              <w:szCs w:val="28"/>
            </w:rPr>
            <w:fldChar w:fldCharType="begin"/>
          </w:r>
          <w:r>
            <w:rPr>
              <w:sz w:val="28"/>
              <w:szCs w:val="28"/>
            </w:rPr>
            <w:instrText xml:space="preserve"> PAGEREF _Toc5117 \h </w:instrText>
          </w:r>
          <w:r>
            <w:rPr>
              <w:sz w:val="28"/>
              <w:szCs w:val="28"/>
            </w:rPr>
            <w:fldChar w:fldCharType="separate"/>
          </w:r>
          <w:r>
            <w:rPr>
              <w:sz w:val="28"/>
              <w:szCs w:val="28"/>
            </w:rPr>
            <w:t>11</w:t>
          </w:r>
          <w:r>
            <w:rPr>
              <w:sz w:val="28"/>
              <w:szCs w:val="28"/>
            </w:rPr>
            <w:fldChar w:fldCharType="end"/>
          </w:r>
          <w:r>
            <w:rPr>
              <w:rFonts w:ascii="Times New Roman" w:hAnsi="Times New Roman" w:eastAsia="Times New Roman" w:cs="Times New Roman"/>
              <w:sz w:val="28"/>
              <w:szCs w:val="28"/>
            </w:rPr>
            <w:fldChar w:fldCharType="end"/>
          </w:r>
        </w:p>
        <w:p w14:paraId="14566A60">
          <w:pPr>
            <w:pStyle w:val="8"/>
            <w:tabs>
              <w:tab w:val="right" w:leader="dot" w:pos="9746"/>
            </w:tabs>
            <w:rPr>
              <w:sz w:val="28"/>
              <w:szCs w:val="28"/>
            </w:rPr>
          </w:pPr>
          <w:r>
            <w:rPr>
              <w:rFonts w:ascii="Times New Roman" w:hAnsi="Times New Roman" w:eastAsia="Times New Roman" w:cs="Times New Roman"/>
              <w:sz w:val="28"/>
              <w:szCs w:val="28"/>
            </w:rPr>
            <w:fldChar w:fldCharType="begin"/>
          </w:r>
          <w:r>
            <w:rPr>
              <w:rFonts w:ascii="Times New Roman" w:hAnsi="Times New Roman" w:eastAsia="Times New Roman" w:cs="Times New Roman"/>
              <w:sz w:val="28"/>
              <w:szCs w:val="28"/>
            </w:rPr>
            <w:instrText xml:space="preserve"> HYPERLINK \l _Toc12794 </w:instrText>
          </w:r>
          <w:r>
            <w:rPr>
              <w:rFonts w:ascii="Times New Roman" w:hAnsi="Times New Roman" w:eastAsia="Times New Roman" w:cs="Times New Roman"/>
              <w:sz w:val="28"/>
              <w:szCs w:val="28"/>
            </w:rPr>
            <w:fldChar w:fldCharType="separate"/>
          </w:r>
          <w:r>
            <w:rPr>
              <w:rFonts w:ascii="宋体" w:hAnsi="宋体" w:eastAsia="宋体" w:cs="宋体"/>
              <w:bCs/>
              <w:spacing w:val="-3"/>
              <w:sz w:val="28"/>
              <w:szCs w:val="28"/>
            </w:rPr>
            <w:t>第三章</w:t>
          </w:r>
          <w:r>
            <w:rPr>
              <w:rFonts w:ascii="宋体" w:hAnsi="宋体" w:eastAsia="宋体" w:cs="宋体"/>
              <w:spacing w:val="-3"/>
              <w:sz w:val="28"/>
              <w:szCs w:val="28"/>
            </w:rPr>
            <w:t xml:space="preserve"> </w:t>
          </w:r>
          <w:r>
            <w:rPr>
              <w:rFonts w:ascii="宋体" w:hAnsi="宋体" w:eastAsia="宋体" w:cs="宋体"/>
              <w:bCs/>
              <w:spacing w:val="-3"/>
              <w:sz w:val="28"/>
              <w:szCs w:val="28"/>
            </w:rPr>
            <w:t>供应商须知</w:t>
          </w:r>
          <w:r>
            <w:rPr>
              <w:sz w:val="28"/>
              <w:szCs w:val="28"/>
            </w:rPr>
            <w:tab/>
          </w:r>
          <w:r>
            <w:rPr>
              <w:sz w:val="28"/>
              <w:szCs w:val="28"/>
            </w:rPr>
            <w:fldChar w:fldCharType="begin"/>
          </w:r>
          <w:r>
            <w:rPr>
              <w:sz w:val="28"/>
              <w:szCs w:val="28"/>
            </w:rPr>
            <w:instrText xml:space="preserve"> PAGEREF _Toc12794 \h </w:instrText>
          </w:r>
          <w:r>
            <w:rPr>
              <w:sz w:val="28"/>
              <w:szCs w:val="28"/>
            </w:rPr>
            <w:fldChar w:fldCharType="separate"/>
          </w:r>
          <w:r>
            <w:rPr>
              <w:sz w:val="28"/>
              <w:szCs w:val="28"/>
            </w:rPr>
            <w:t>15</w:t>
          </w:r>
          <w:r>
            <w:rPr>
              <w:sz w:val="28"/>
              <w:szCs w:val="28"/>
            </w:rPr>
            <w:fldChar w:fldCharType="end"/>
          </w:r>
          <w:r>
            <w:rPr>
              <w:rFonts w:ascii="Times New Roman" w:hAnsi="Times New Roman" w:eastAsia="Times New Roman" w:cs="Times New Roman"/>
              <w:sz w:val="28"/>
              <w:szCs w:val="28"/>
            </w:rPr>
            <w:fldChar w:fldCharType="end"/>
          </w:r>
        </w:p>
        <w:p w14:paraId="77F6B8C1">
          <w:pPr>
            <w:pStyle w:val="8"/>
            <w:tabs>
              <w:tab w:val="right" w:leader="dot" w:pos="9746"/>
            </w:tabs>
            <w:rPr>
              <w:sz w:val="28"/>
              <w:szCs w:val="28"/>
            </w:rPr>
          </w:pPr>
          <w:r>
            <w:rPr>
              <w:rFonts w:ascii="Times New Roman" w:hAnsi="Times New Roman" w:eastAsia="Times New Roman" w:cs="Times New Roman"/>
              <w:sz w:val="28"/>
              <w:szCs w:val="28"/>
            </w:rPr>
            <w:fldChar w:fldCharType="begin"/>
          </w:r>
          <w:r>
            <w:rPr>
              <w:rFonts w:ascii="Times New Roman" w:hAnsi="Times New Roman" w:eastAsia="Times New Roman" w:cs="Times New Roman"/>
              <w:sz w:val="28"/>
              <w:szCs w:val="28"/>
            </w:rPr>
            <w:instrText xml:space="preserve"> HYPERLINK \l _Toc23430 </w:instrText>
          </w:r>
          <w:r>
            <w:rPr>
              <w:rFonts w:ascii="Times New Roman" w:hAnsi="Times New Roman" w:eastAsia="Times New Roman" w:cs="Times New Roman"/>
              <w:sz w:val="28"/>
              <w:szCs w:val="28"/>
            </w:rPr>
            <w:fldChar w:fldCharType="separate"/>
          </w:r>
          <w:r>
            <w:rPr>
              <w:rFonts w:ascii="宋体" w:hAnsi="宋体" w:eastAsia="宋体" w:cs="宋体"/>
              <w:bCs/>
              <w:spacing w:val="-4"/>
              <w:sz w:val="28"/>
              <w:szCs w:val="28"/>
            </w:rPr>
            <w:t>第四章</w:t>
          </w:r>
          <w:r>
            <w:rPr>
              <w:rFonts w:ascii="宋体" w:hAnsi="宋体" w:eastAsia="宋体" w:cs="宋体"/>
              <w:spacing w:val="-4"/>
              <w:sz w:val="28"/>
              <w:szCs w:val="28"/>
            </w:rPr>
            <w:t xml:space="preserve"> </w:t>
          </w:r>
          <w:r>
            <w:rPr>
              <w:rFonts w:hint="eastAsia" w:ascii="宋体" w:hAnsi="宋体" w:eastAsia="宋体" w:cs="宋体"/>
              <w:bCs/>
              <w:spacing w:val="-4"/>
              <w:sz w:val="28"/>
              <w:szCs w:val="28"/>
              <w:lang w:val="en-US" w:eastAsia="zh-CN"/>
            </w:rPr>
            <w:t>磋商评审</w:t>
          </w:r>
          <w:r>
            <w:rPr>
              <w:rFonts w:ascii="宋体" w:hAnsi="宋体" w:eastAsia="宋体" w:cs="宋体"/>
              <w:bCs/>
              <w:spacing w:val="-4"/>
              <w:sz w:val="28"/>
              <w:szCs w:val="28"/>
            </w:rPr>
            <w:t>办法</w:t>
          </w:r>
          <w:r>
            <w:rPr>
              <w:sz w:val="28"/>
              <w:szCs w:val="28"/>
            </w:rPr>
            <w:tab/>
          </w:r>
          <w:r>
            <w:rPr>
              <w:sz w:val="28"/>
              <w:szCs w:val="28"/>
            </w:rPr>
            <w:fldChar w:fldCharType="begin"/>
          </w:r>
          <w:r>
            <w:rPr>
              <w:sz w:val="28"/>
              <w:szCs w:val="28"/>
            </w:rPr>
            <w:instrText xml:space="preserve"> PAGEREF _Toc23430 \h </w:instrText>
          </w:r>
          <w:r>
            <w:rPr>
              <w:sz w:val="28"/>
              <w:szCs w:val="28"/>
            </w:rPr>
            <w:fldChar w:fldCharType="separate"/>
          </w:r>
          <w:r>
            <w:rPr>
              <w:sz w:val="28"/>
              <w:szCs w:val="28"/>
            </w:rPr>
            <w:t>37</w:t>
          </w:r>
          <w:r>
            <w:rPr>
              <w:sz w:val="28"/>
              <w:szCs w:val="28"/>
            </w:rPr>
            <w:fldChar w:fldCharType="end"/>
          </w:r>
          <w:r>
            <w:rPr>
              <w:rFonts w:ascii="Times New Roman" w:hAnsi="Times New Roman" w:eastAsia="Times New Roman" w:cs="Times New Roman"/>
              <w:sz w:val="28"/>
              <w:szCs w:val="28"/>
            </w:rPr>
            <w:fldChar w:fldCharType="end"/>
          </w:r>
        </w:p>
        <w:p w14:paraId="6DD57527">
          <w:pPr>
            <w:pStyle w:val="8"/>
            <w:tabs>
              <w:tab w:val="right" w:leader="dot" w:pos="9746"/>
            </w:tabs>
            <w:rPr>
              <w:sz w:val="28"/>
              <w:szCs w:val="28"/>
            </w:rPr>
          </w:pPr>
          <w:r>
            <w:rPr>
              <w:rFonts w:ascii="Times New Roman" w:hAnsi="Times New Roman" w:eastAsia="Times New Roman" w:cs="Times New Roman"/>
              <w:sz w:val="28"/>
              <w:szCs w:val="28"/>
            </w:rPr>
            <w:fldChar w:fldCharType="begin"/>
          </w:r>
          <w:r>
            <w:rPr>
              <w:rFonts w:ascii="Times New Roman" w:hAnsi="Times New Roman" w:eastAsia="Times New Roman" w:cs="Times New Roman"/>
              <w:sz w:val="28"/>
              <w:szCs w:val="28"/>
            </w:rPr>
            <w:instrText xml:space="preserve"> HYPERLINK \l _Toc18512 </w:instrText>
          </w:r>
          <w:r>
            <w:rPr>
              <w:rFonts w:ascii="Times New Roman" w:hAnsi="Times New Roman" w:eastAsia="Times New Roman" w:cs="Times New Roman"/>
              <w:sz w:val="28"/>
              <w:szCs w:val="28"/>
            </w:rPr>
            <w:fldChar w:fldCharType="separate"/>
          </w:r>
          <w:r>
            <w:rPr>
              <w:rFonts w:ascii="宋体" w:hAnsi="宋体" w:eastAsia="宋体" w:cs="宋体"/>
              <w:bCs/>
              <w:spacing w:val="-3"/>
              <w:sz w:val="28"/>
              <w:szCs w:val="28"/>
            </w:rPr>
            <w:t>第五章</w:t>
          </w:r>
          <w:r>
            <w:rPr>
              <w:rFonts w:ascii="宋体" w:hAnsi="宋体" w:eastAsia="宋体" w:cs="宋体"/>
              <w:spacing w:val="-3"/>
              <w:sz w:val="28"/>
              <w:szCs w:val="28"/>
            </w:rPr>
            <w:t xml:space="preserve"> </w:t>
          </w:r>
          <w:r>
            <w:rPr>
              <w:rFonts w:ascii="宋体" w:hAnsi="宋体" w:eastAsia="宋体" w:cs="宋体"/>
              <w:bCs/>
              <w:spacing w:val="-3"/>
              <w:sz w:val="28"/>
              <w:szCs w:val="28"/>
            </w:rPr>
            <w:t>采购内容及要求</w:t>
          </w:r>
          <w:r>
            <w:rPr>
              <w:sz w:val="28"/>
              <w:szCs w:val="28"/>
            </w:rPr>
            <w:tab/>
          </w:r>
          <w:r>
            <w:rPr>
              <w:sz w:val="28"/>
              <w:szCs w:val="28"/>
            </w:rPr>
            <w:fldChar w:fldCharType="begin"/>
          </w:r>
          <w:r>
            <w:rPr>
              <w:sz w:val="28"/>
              <w:szCs w:val="28"/>
            </w:rPr>
            <w:instrText xml:space="preserve"> PAGEREF _Toc18512 \h </w:instrText>
          </w:r>
          <w:r>
            <w:rPr>
              <w:sz w:val="28"/>
              <w:szCs w:val="28"/>
            </w:rPr>
            <w:fldChar w:fldCharType="separate"/>
          </w:r>
          <w:r>
            <w:rPr>
              <w:sz w:val="28"/>
              <w:szCs w:val="28"/>
            </w:rPr>
            <w:t>51</w:t>
          </w:r>
          <w:r>
            <w:rPr>
              <w:sz w:val="28"/>
              <w:szCs w:val="28"/>
            </w:rPr>
            <w:fldChar w:fldCharType="end"/>
          </w:r>
          <w:r>
            <w:rPr>
              <w:rFonts w:ascii="Times New Roman" w:hAnsi="Times New Roman" w:eastAsia="Times New Roman" w:cs="Times New Roman"/>
              <w:sz w:val="28"/>
              <w:szCs w:val="28"/>
            </w:rPr>
            <w:fldChar w:fldCharType="end"/>
          </w:r>
        </w:p>
        <w:p w14:paraId="575790DB">
          <w:pPr>
            <w:pStyle w:val="8"/>
            <w:tabs>
              <w:tab w:val="right" w:leader="dot" w:pos="9746"/>
            </w:tabs>
            <w:rPr>
              <w:sz w:val="28"/>
              <w:szCs w:val="28"/>
            </w:rPr>
          </w:pPr>
          <w:r>
            <w:rPr>
              <w:rFonts w:ascii="Times New Roman" w:hAnsi="Times New Roman" w:eastAsia="Times New Roman" w:cs="Times New Roman"/>
              <w:sz w:val="28"/>
              <w:szCs w:val="28"/>
            </w:rPr>
            <w:fldChar w:fldCharType="begin"/>
          </w:r>
          <w:r>
            <w:rPr>
              <w:rFonts w:ascii="Times New Roman" w:hAnsi="Times New Roman" w:eastAsia="Times New Roman" w:cs="Times New Roman"/>
              <w:sz w:val="28"/>
              <w:szCs w:val="28"/>
            </w:rPr>
            <w:instrText xml:space="preserve"> HYPERLINK \l _Toc20005 </w:instrText>
          </w:r>
          <w:r>
            <w:rPr>
              <w:rFonts w:ascii="Times New Roman" w:hAnsi="Times New Roman" w:eastAsia="Times New Roman" w:cs="Times New Roman"/>
              <w:sz w:val="28"/>
              <w:szCs w:val="28"/>
            </w:rPr>
            <w:fldChar w:fldCharType="separate"/>
          </w:r>
          <w:r>
            <w:rPr>
              <w:rFonts w:ascii="宋体" w:hAnsi="宋体" w:eastAsia="宋体" w:cs="宋体"/>
              <w:bCs/>
              <w:spacing w:val="-3"/>
              <w:sz w:val="28"/>
              <w:szCs w:val="28"/>
            </w:rPr>
            <w:t>第六章</w:t>
          </w:r>
          <w:r>
            <w:rPr>
              <w:rFonts w:ascii="宋体" w:hAnsi="宋体" w:eastAsia="宋体" w:cs="宋体"/>
              <w:spacing w:val="-3"/>
              <w:sz w:val="28"/>
              <w:szCs w:val="28"/>
            </w:rPr>
            <w:t xml:space="preserve"> </w:t>
          </w:r>
          <w:r>
            <w:rPr>
              <w:rFonts w:ascii="宋体" w:hAnsi="宋体" w:eastAsia="宋体" w:cs="宋体"/>
              <w:bCs/>
              <w:spacing w:val="-3"/>
              <w:sz w:val="28"/>
              <w:szCs w:val="28"/>
            </w:rPr>
            <w:t>合同协议书</w:t>
          </w:r>
          <w:r>
            <w:rPr>
              <w:sz w:val="28"/>
              <w:szCs w:val="28"/>
            </w:rPr>
            <w:tab/>
          </w:r>
          <w:r>
            <w:rPr>
              <w:sz w:val="28"/>
              <w:szCs w:val="28"/>
            </w:rPr>
            <w:fldChar w:fldCharType="begin"/>
          </w:r>
          <w:r>
            <w:rPr>
              <w:sz w:val="28"/>
              <w:szCs w:val="28"/>
            </w:rPr>
            <w:instrText xml:space="preserve"> PAGEREF _Toc20005 \h </w:instrText>
          </w:r>
          <w:r>
            <w:rPr>
              <w:sz w:val="28"/>
              <w:szCs w:val="28"/>
            </w:rPr>
            <w:fldChar w:fldCharType="separate"/>
          </w:r>
          <w:r>
            <w:rPr>
              <w:sz w:val="28"/>
              <w:szCs w:val="28"/>
            </w:rPr>
            <w:t>61</w:t>
          </w:r>
          <w:r>
            <w:rPr>
              <w:sz w:val="28"/>
              <w:szCs w:val="28"/>
            </w:rPr>
            <w:fldChar w:fldCharType="end"/>
          </w:r>
          <w:r>
            <w:rPr>
              <w:rFonts w:ascii="Times New Roman" w:hAnsi="Times New Roman" w:eastAsia="Times New Roman" w:cs="Times New Roman"/>
              <w:sz w:val="28"/>
              <w:szCs w:val="28"/>
            </w:rPr>
            <w:fldChar w:fldCharType="end"/>
          </w:r>
        </w:p>
        <w:p w14:paraId="10346BE1">
          <w:pPr>
            <w:pStyle w:val="8"/>
            <w:tabs>
              <w:tab w:val="right" w:leader="dot" w:pos="9746"/>
            </w:tabs>
            <w:rPr>
              <w:sz w:val="28"/>
              <w:szCs w:val="28"/>
            </w:rPr>
          </w:pPr>
          <w:r>
            <w:rPr>
              <w:rFonts w:ascii="Times New Roman" w:hAnsi="Times New Roman" w:eastAsia="Times New Roman" w:cs="Times New Roman"/>
              <w:sz w:val="28"/>
              <w:szCs w:val="28"/>
            </w:rPr>
            <w:fldChar w:fldCharType="begin"/>
          </w:r>
          <w:r>
            <w:rPr>
              <w:rFonts w:ascii="Times New Roman" w:hAnsi="Times New Roman" w:eastAsia="Times New Roman" w:cs="Times New Roman"/>
              <w:sz w:val="28"/>
              <w:szCs w:val="28"/>
            </w:rPr>
            <w:instrText xml:space="preserve"> HYPERLINK \l _Toc5935 </w:instrText>
          </w:r>
          <w:r>
            <w:rPr>
              <w:rFonts w:ascii="Times New Roman" w:hAnsi="Times New Roman" w:eastAsia="Times New Roman" w:cs="Times New Roman"/>
              <w:sz w:val="28"/>
              <w:szCs w:val="28"/>
            </w:rPr>
            <w:fldChar w:fldCharType="separate"/>
          </w:r>
          <w:r>
            <w:rPr>
              <w:rFonts w:ascii="宋体" w:hAnsi="宋体" w:eastAsia="宋体" w:cs="宋体"/>
              <w:bCs/>
              <w:spacing w:val="6"/>
              <w:sz w:val="28"/>
              <w:szCs w:val="28"/>
            </w:rPr>
            <w:t>第七章</w:t>
          </w:r>
          <w:r>
            <w:rPr>
              <w:rFonts w:ascii="宋体" w:hAnsi="宋体" w:eastAsia="宋体" w:cs="宋体"/>
              <w:spacing w:val="6"/>
              <w:sz w:val="28"/>
              <w:szCs w:val="28"/>
            </w:rPr>
            <w:t xml:space="preserve"> </w:t>
          </w:r>
          <w:r>
            <w:rPr>
              <w:rFonts w:ascii="宋体" w:hAnsi="宋体" w:eastAsia="宋体" w:cs="宋体"/>
              <w:bCs/>
              <w:spacing w:val="6"/>
              <w:sz w:val="28"/>
              <w:szCs w:val="28"/>
            </w:rPr>
            <w:t>竞争性磋商响应文件格式</w:t>
          </w:r>
          <w:r>
            <w:rPr>
              <w:sz w:val="28"/>
              <w:szCs w:val="28"/>
            </w:rPr>
            <w:tab/>
          </w:r>
          <w:r>
            <w:rPr>
              <w:sz w:val="28"/>
              <w:szCs w:val="28"/>
            </w:rPr>
            <w:fldChar w:fldCharType="begin"/>
          </w:r>
          <w:r>
            <w:rPr>
              <w:sz w:val="28"/>
              <w:szCs w:val="28"/>
            </w:rPr>
            <w:instrText xml:space="preserve"> PAGEREF _Toc5935 \h </w:instrText>
          </w:r>
          <w:r>
            <w:rPr>
              <w:sz w:val="28"/>
              <w:szCs w:val="28"/>
            </w:rPr>
            <w:fldChar w:fldCharType="separate"/>
          </w:r>
          <w:r>
            <w:rPr>
              <w:sz w:val="28"/>
              <w:szCs w:val="28"/>
            </w:rPr>
            <w:t>68</w:t>
          </w:r>
          <w:r>
            <w:rPr>
              <w:sz w:val="28"/>
              <w:szCs w:val="28"/>
            </w:rPr>
            <w:fldChar w:fldCharType="end"/>
          </w:r>
          <w:r>
            <w:rPr>
              <w:rFonts w:ascii="Times New Roman" w:hAnsi="Times New Roman" w:eastAsia="Times New Roman" w:cs="Times New Roman"/>
              <w:sz w:val="28"/>
              <w:szCs w:val="28"/>
            </w:rPr>
            <w:fldChar w:fldCharType="end"/>
          </w:r>
        </w:p>
        <w:p w14:paraId="2193ECA2">
          <w:pPr>
            <w:spacing w:line="360" w:lineRule="auto"/>
            <w:rPr>
              <w:rFonts w:ascii="Times New Roman" w:hAnsi="Times New Roman" w:eastAsia="Times New Roman" w:cs="Times New Roman"/>
              <w:snapToGrid w:val="0"/>
              <w:color w:val="000000"/>
              <w:kern w:val="0"/>
              <w:sz w:val="21"/>
              <w:szCs w:val="24"/>
              <w:lang w:val="en-US" w:eastAsia="en-US" w:bidi="ar-SA"/>
            </w:rPr>
          </w:pPr>
          <w:r>
            <w:rPr>
              <w:rFonts w:ascii="Times New Roman" w:hAnsi="Times New Roman" w:eastAsia="Times New Roman" w:cs="Times New Roman"/>
              <w:sz w:val="28"/>
              <w:szCs w:val="28"/>
            </w:rPr>
            <w:fldChar w:fldCharType="end"/>
          </w:r>
        </w:p>
      </w:sdtContent>
    </w:sdt>
    <w:p w14:paraId="78EA0AD7">
      <w:pPr>
        <w:spacing w:line="360" w:lineRule="auto"/>
        <w:rPr>
          <w:rFonts w:ascii="Times New Roman" w:hAnsi="Times New Roman" w:eastAsia="Times New Roman" w:cs="Times New Roman"/>
          <w:snapToGrid w:val="0"/>
          <w:color w:val="000000"/>
          <w:kern w:val="0"/>
          <w:sz w:val="21"/>
          <w:szCs w:val="24"/>
          <w:lang w:val="en-US" w:eastAsia="en-US" w:bidi="ar-SA"/>
        </w:rPr>
        <w:sectPr>
          <w:headerReference r:id="rId5" w:type="default"/>
          <w:pgSz w:w="11906" w:h="16839"/>
          <w:pgMar w:top="1166" w:right="1080" w:bottom="0" w:left="1080" w:header="829" w:footer="0" w:gutter="0"/>
          <w:cols w:space="720" w:num="1"/>
        </w:sectPr>
      </w:pPr>
    </w:p>
    <w:p w14:paraId="510334E8">
      <w:pPr>
        <w:pStyle w:val="4"/>
        <w:spacing w:line="360" w:lineRule="auto"/>
      </w:pPr>
    </w:p>
    <w:p w14:paraId="69042A54">
      <w:pPr>
        <w:spacing w:before="91" w:line="360" w:lineRule="auto"/>
        <w:ind w:left="3450"/>
        <w:outlineLvl w:val="0"/>
        <w:rPr>
          <w:rFonts w:ascii="宋体" w:hAnsi="宋体" w:eastAsia="宋体" w:cs="宋体"/>
          <w:sz w:val="28"/>
          <w:szCs w:val="28"/>
        </w:rPr>
      </w:pPr>
      <w:bookmarkStart w:id="0" w:name="_Toc18783"/>
      <w:r>
        <w:rPr>
          <w:rFonts w:ascii="宋体" w:hAnsi="宋体" w:eastAsia="宋体" w:cs="宋体"/>
          <w:b/>
          <w:bCs/>
          <w:spacing w:val="-3"/>
          <w:sz w:val="28"/>
          <w:szCs w:val="28"/>
        </w:rPr>
        <w:t>第一章</w:t>
      </w:r>
      <w:r>
        <w:rPr>
          <w:rFonts w:ascii="宋体" w:hAnsi="宋体" w:eastAsia="宋体" w:cs="宋体"/>
          <w:spacing w:val="-3"/>
          <w:sz w:val="28"/>
          <w:szCs w:val="28"/>
        </w:rPr>
        <w:t xml:space="preserve">  </w:t>
      </w:r>
      <w:r>
        <w:rPr>
          <w:rFonts w:ascii="宋体" w:hAnsi="宋体" w:eastAsia="宋体" w:cs="宋体"/>
          <w:b/>
          <w:bCs/>
          <w:spacing w:val="-3"/>
          <w:sz w:val="28"/>
          <w:szCs w:val="28"/>
        </w:rPr>
        <w:t>竞争性磋商公告</w:t>
      </w:r>
      <w:bookmarkEnd w:id="0"/>
    </w:p>
    <w:p w14:paraId="62504B74">
      <w:pPr>
        <w:pStyle w:val="13"/>
        <w:spacing w:before="129" w:line="360" w:lineRule="auto"/>
        <w:ind w:left="121"/>
        <w:outlineLvl w:val="1"/>
      </w:pPr>
      <w:bookmarkStart w:id="1" w:name="_Toc17702"/>
      <w:r>
        <w:rPr>
          <w:b/>
          <w:bCs/>
          <w:spacing w:val="-6"/>
        </w:rPr>
        <w:t>项目概况</w:t>
      </w:r>
      <w:bookmarkEnd w:id="1"/>
    </w:p>
    <w:p w14:paraId="384D633F">
      <w:pPr>
        <w:keepNext w:val="0"/>
        <w:keepLines w:val="0"/>
        <w:pageBreakBefore w:val="0"/>
        <w:widowControl/>
        <w:kinsoku w:val="0"/>
        <w:wordWrap/>
        <w:overflowPunct/>
        <w:topLinePunct w:val="0"/>
        <w:autoSpaceDE w:val="0"/>
        <w:autoSpaceDN w:val="0"/>
        <w:bidi w:val="0"/>
        <w:adjustRightInd w:val="0"/>
        <w:snapToGrid w:val="0"/>
        <w:spacing w:before="124" w:line="360" w:lineRule="auto"/>
        <w:ind w:left="125" w:firstLine="472" w:firstLineChars="200"/>
        <w:textAlignment w:val="baseline"/>
        <w:outlineLvl w:val="1"/>
        <w:rPr>
          <w:rFonts w:ascii="宋体" w:hAnsi="宋体" w:eastAsia="宋体" w:cs="宋体"/>
          <w:b/>
          <w:bCs/>
          <w:spacing w:val="-4"/>
          <w:sz w:val="24"/>
          <w:szCs w:val="24"/>
        </w:rPr>
      </w:pPr>
      <w:bookmarkStart w:id="2" w:name="_Toc10187"/>
      <w:r>
        <w:rPr>
          <w:rFonts w:hint="eastAsia" w:ascii="宋体" w:hAnsi="宋体" w:eastAsia="宋体" w:cs="宋体"/>
          <w:snapToGrid w:val="0"/>
          <w:color w:val="000000"/>
          <w:spacing w:val="-2"/>
          <w:kern w:val="0"/>
          <w:sz w:val="24"/>
          <w:szCs w:val="24"/>
          <w:lang w:val="en-US" w:eastAsia="zh-CN" w:bidi="ar-SA"/>
        </w:rPr>
        <w:t>杨凌农业科技成果转化综合信息服务平台项目软件测试服务及等保测评服务的潜在供应商应在全国公共资源交易平台（陕西省 ·杨凌示范区）〖首页〉电子交易平台〉陕西政府采购交易系统〉企业端〗获取采购文件，并于 2026 年  月  日 09 时30 分（北京时间）前提交响应文件。</w:t>
      </w:r>
      <w:bookmarkEnd w:id="2"/>
    </w:p>
    <w:p w14:paraId="7D546A4D">
      <w:pPr>
        <w:spacing w:before="124" w:line="360" w:lineRule="auto"/>
        <w:ind w:left="126"/>
        <w:outlineLvl w:val="1"/>
        <w:rPr>
          <w:rFonts w:ascii="宋体" w:hAnsi="宋体" w:eastAsia="宋体" w:cs="宋体"/>
          <w:sz w:val="24"/>
          <w:szCs w:val="24"/>
        </w:rPr>
      </w:pPr>
      <w:bookmarkStart w:id="3" w:name="_Toc30754"/>
      <w:r>
        <w:rPr>
          <w:rFonts w:ascii="宋体" w:hAnsi="宋体" w:eastAsia="宋体" w:cs="宋体"/>
          <w:b/>
          <w:bCs/>
          <w:spacing w:val="-4"/>
          <w:sz w:val="24"/>
          <w:szCs w:val="24"/>
        </w:rPr>
        <w:t>一、项目基本情况</w:t>
      </w:r>
      <w:bookmarkEnd w:id="3"/>
    </w:p>
    <w:p w14:paraId="6D6409AF">
      <w:pPr>
        <w:spacing w:before="116" w:line="360" w:lineRule="auto"/>
        <w:ind w:left="606"/>
        <w:rPr>
          <w:rFonts w:hint="eastAsia" w:ascii="宋体" w:hAnsi="宋体" w:eastAsia="宋体" w:cs="宋体"/>
          <w:sz w:val="24"/>
          <w:szCs w:val="24"/>
          <w:lang w:eastAsia="zh-CN"/>
        </w:rPr>
      </w:pPr>
      <w:r>
        <w:rPr>
          <w:rFonts w:ascii="宋体" w:hAnsi="宋体" w:eastAsia="宋体" w:cs="宋体"/>
          <w:spacing w:val="-1"/>
          <w:sz w:val="24"/>
          <w:szCs w:val="24"/>
        </w:rPr>
        <w:t>项目编号：</w:t>
      </w:r>
      <w:r>
        <w:rPr>
          <w:rFonts w:hint="eastAsia" w:ascii="宋体" w:hAnsi="宋体" w:eastAsia="宋体" w:cs="宋体"/>
          <w:spacing w:val="-1"/>
          <w:sz w:val="24"/>
          <w:szCs w:val="24"/>
          <w:lang w:eastAsia="zh-CN"/>
        </w:rPr>
        <w:t>HCKPZY-ZB-2026010</w:t>
      </w:r>
    </w:p>
    <w:p w14:paraId="5E62F313">
      <w:pPr>
        <w:spacing w:before="115" w:line="360" w:lineRule="auto"/>
        <w:ind w:left="606"/>
        <w:rPr>
          <w:rFonts w:hint="eastAsia" w:ascii="宋体" w:hAnsi="宋体" w:eastAsia="宋体" w:cs="宋体"/>
          <w:sz w:val="24"/>
          <w:szCs w:val="24"/>
          <w:lang w:eastAsia="zh-CN"/>
        </w:rPr>
      </w:pPr>
      <w:r>
        <w:rPr>
          <w:rFonts w:ascii="宋体" w:hAnsi="宋体" w:eastAsia="宋体" w:cs="宋体"/>
          <w:spacing w:val="-2"/>
          <w:sz w:val="24"/>
          <w:szCs w:val="24"/>
        </w:rPr>
        <w:t>项目名称：</w:t>
      </w:r>
      <w:r>
        <w:rPr>
          <w:rFonts w:hint="eastAsia" w:ascii="宋体" w:hAnsi="宋体" w:eastAsia="宋体" w:cs="宋体"/>
          <w:spacing w:val="-2"/>
          <w:sz w:val="24"/>
          <w:szCs w:val="24"/>
          <w:lang w:eastAsia="zh-CN"/>
        </w:rPr>
        <w:t>杨凌农业科技成果转化综合信息服务平台项目软件测试服务及等保测评服务</w:t>
      </w:r>
    </w:p>
    <w:p w14:paraId="13EEAF93">
      <w:pPr>
        <w:spacing w:before="115" w:line="360" w:lineRule="auto"/>
        <w:ind w:left="601"/>
        <w:rPr>
          <w:rFonts w:ascii="宋体" w:hAnsi="宋体" w:eastAsia="宋体" w:cs="宋体"/>
          <w:sz w:val="24"/>
          <w:szCs w:val="24"/>
        </w:rPr>
      </w:pPr>
      <w:r>
        <w:rPr>
          <w:rFonts w:ascii="宋体" w:hAnsi="宋体" w:eastAsia="宋体" w:cs="宋体"/>
          <w:spacing w:val="-1"/>
          <w:sz w:val="24"/>
          <w:szCs w:val="24"/>
        </w:rPr>
        <w:t>采购方式：竞争性磋商</w:t>
      </w:r>
    </w:p>
    <w:p w14:paraId="2DD59345">
      <w:pPr>
        <w:spacing w:before="117" w:line="360" w:lineRule="auto"/>
        <w:ind w:left="604"/>
        <w:rPr>
          <w:rFonts w:ascii="宋体" w:hAnsi="宋体" w:eastAsia="宋体" w:cs="宋体"/>
          <w:sz w:val="24"/>
          <w:szCs w:val="24"/>
        </w:rPr>
      </w:pPr>
      <w:r>
        <w:rPr>
          <w:rFonts w:ascii="宋体" w:hAnsi="宋体" w:eastAsia="宋体" w:cs="宋体"/>
          <w:spacing w:val="-1"/>
          <w:sz w:val="24"/>
          <w:szCs w:val="24"/>
        </w:rPr>
        <w:t>预算金额：</w:t>
      </w:r>
      <w:r>
        <w:rPr>
          <w:rFonts w:hint="eastAsia" w:asciiTheme="minorEastAsia" w:hAnsiTheme="minorEastAsia" w:cstheme="minorEastAsia"/>
          <w:sz w:val="24"/>
          <w:szCs w:val="24"/>
          <w:lang w:eastAsia="zh-CN"/>
        </w:rPr>
        <w:t>189000.00</w:t>
      </w:r>
      <w:r>
        <w:rPr>
          <w:rFonts w:asciiTheme="minorEastAsia" w:hAnsiTheme="minorEastAsia" w:eastAsiaTheme="minorEastAsia" w:cstheme="minorEastAsia"/>
          <w:sz w:val="24"/>
          <w:szCs w:val="24"/>
        </w:rPr>
        <w:t>元</w:t>
      </w:r>
    </w:p>
    <w:p w14:paraId="25558275">
      <w:pPr>
        <w:spacing w:before="116" w:line="360" w:lineRule="auto"/>
        <w:ind w:left="606"/>
        <w:rPr>
          <w:rFonts w:ascii="宋体" w:hAnsi="宋体" w:eastAsia="宋体" w:cs="宋体"/>
          <w:spacing w:val="-1"/>
          <w:sz w:val="24"/>
          <w:szCs w:val="24"/>
        </w:rPr>
      </w:pPr>
      <w:r>
        <w:rPr>
          <w:rFonts w:ascii="宋体" w:hAnsi="宋体" w:eastAsia="宋体" w:cs="宋体"/>
          <w:spacing w:val="-1"/>
          <w:sz w:val="24"/>
          <w:szCs w:val="24"/>
        </w:rPr>
        <w:t>采购需求：</w:t>
      </w:r>
    </w:p>
    <w:p w14:paraId="04540A02">
      <w:pPr>
        <w:spacing w:before="116" w:line="360" w:lineRule="auto"/>
        <w:ind w:left="606"/>
        <w:rPr>
          <w:rFonts w:ascii="宋体" w:hAnsi="宋体" w:eastAsia="宋体" w:cs="宋体"/>
          <w:spacing w:val="-1"/>
          <w:sz w:val="24"/>
          <w:szCs w:val="24"/>
        </w:rPr>
      </w:pPr>
      <w:r>
        <w:rPr>
          <w:rFonts w:ascii="宋体" w:hAnsi="宋体" w:eastAsia="宋体" w:cs="宋体"/>
          <w:spacing w:val="-1"/>
          <w:sz w:val="24"/>
          <w:szCs w:val="24"/>
        </w:rPr>
        <w:t>合同包1(</w:t>
      </w:r>
      <w:r>
        <w:rPr>
          <w:rFonts w:hint="eastAsia" w:ascii="宋体" w:hAnsi="宋体" w:eastAsia="宋体" w:cs="宋体"/>
          <w:spacing w:val="-1"/>
          <w:sz w:val="24"/>
          <w:szCs w:val="24"/>
          <w:lang w:eastAsia="zh-CN"/>
        </w:rPr>
        <w:t>软件测试服务</w:t>
      </w:r>
      <w:r>
        <w:rPr>
          <w:rFonts w:ascii="宋体" w:hAnsi="宋体" w:eastAsia="宋体" w:cs="宋体"/>
          <w:spacing w:val="-1"/>
          <w:sz w:val="24"/>
          <w:szCs w:val="24"/>
        </w:rPr>
        <w:t>):</w:t>
      </w:r>
    </w:p>
    <w:p w14:paraId="5C345CF6">
      <w:pPr>
        <w:spacing w:before="116" w:line="360" w:lineRule="auto"/>
        <w:ind w:left="606"/>
        <w:rPr>
          <w:rFonts w:ascii="宋体" w:hAnsi="宋体" w:eastAsia="宋体" w:cs="宋体"/>
          <w:spacing w:val="-1"/>
          <w:sz w:val="24"/>
          <w:szCs w:val="24"/>
        </w:rPr>
      </w:pPr>
      <w:r>
        <w:rPr>
          <w:rFonts w:ascii="宋体" w:hAnsi="宋体" w:eastAsia="宋体" w:cs="宋体"/>
          <w:spacing w:val="-1"/>
          <w:sz w:val="24"/>
          <w:szCs w:val="24"/>
        </w:rPr>
        <w:t>合同包</w:t>
      </w:r>
      <w:r>
        <w:rPr>
          <w:rFonts w:hint="eastAsia" w:ascii="宋体" w:hAnsi="宋体" w:eastAsia="宋体" w:cs="宋体"/>
          <w:spacing w:val="-1"/>
          <w:sz w:val="24"/>
          <w:szCs w:val="24"/>
          <w:lang w:val="en-US" w:eastAsia="zh-CN"/>
        </w:rPr>
        <w:t>1</w:t>
      </w:r>
      <w:r>
        <w:rPr>
          <w:rFonts w:ascii="宋体" w:hAnsi="宋体" w:eastAsia="宋体" w:cs="宋体"/>
          <w:spacing w:val="-1"/>
          <w:sz w:val="24"/>
          <w:szCs w:val="24"/>
        </w:rPr>
        <w:t>预算金额：</w:t>
      </w:r>
      <w:r>
        <w:rPr>
          <w:rFonts w:hint="eastAsia" w:ascii="宋体" w:hAnsi="宋体" w:eastAsia="宋体" w:cs="宋体"/>
          <w:spacing w:val="-1"/>
          <w:sz w:val="24"/>
          <w:szCs w:val="24"/>
          <w:lang w:val="en-US" w:eastAsia="zh-CN"/>
        </w:rPr>
        <w:t>13</w:t>
      </w:r>
      <w:r>
        <w:rPr>
          <w:rFonts w:hint="eastAsia" w:ascii="宋体" w:hAnsi="宋体" w:eastAsia="宋体" w:cs="宋体"/>
          <w:spacing w:val="-1"/>
          <w:sz w:val="24"/>
          <w:szCs w:val="24"/>
          <w:lang w:eastAsia="zh-CN"/>
        </w:rPr>
        <w:t>9000.00</w:t>
      </w:r>
      <w:r>
        <w:rPr>
          <w:rFonts w:ascii="宋体" w:hAnsi="宋体" w:eastAsia="宋体" w:cs="宋体"/>
          <w:spacing w:val="-1"/>
          <w:sz w:val="24"/>
          <w:szCs w:val="24"/>
        </w:rPr>
        <w:t>元</w:t>
      </w:r>
    </w:p>
    <w:p w14:paraId="3CB4D173">
      <w:pPr>
        <w:spacing w:before="116" w:line="360" w:lineRule="auto"/>
        <w:ind w:left="606"/>
        <w:rPr>
          <w:rFonts w:ascii="宋体" w:hAnsi="宋体" w:eastAsia="宋体" w:cs="宋体"/>
          <w:spacing w:val="-1"/>
          <w:sz w:val="24"/>
          <w:szCs w:val="24"/>
        </w:rPr>
      </w:pPr>
      <w:r>
        <w:rPr>
          <w:rFonts w:ascii="宋体" w:hAnsi="宋体" w:eastAsia="宋体" w:cs="宋体"/>
          <w:spacing w:val="-1"/>
          <w:sz w:val="24"/>
          <w:szCs w:val="24"/>
        </w:rPr>
        <w:t xml:space="preserve"> 合同包</w:t>
      </w:r>
      <w:r>
        <w:rPr>
          <w:rFonts w:hint="eastAsia" w:ascii="宋体" w:hAnsi="宋体" w:eastAsia="宋体" w:cs="宋体"/>
          <w:spacing w:val="-1"/>
          <w:sz w:val="24"/>
          <w:szCs w:val="24"/>
          <w:lang w:val="en-US" w:eastAsia="zh-CN"/>
        </w:rPr>
        <w:t>1</w:t>
      </w:r>
      <w:r>
        <w:rPr>
          <w:rFonts w:ascii="宋体" w:hAnsi="宋体" w:eastAsia="宋体" w:cs="宋体"/>
          <w:spacing w:val="-1"/>
          <w:sz w:val="24"/>
          <w:szCs w:val="24"/>
        </w:rPr>
        <w:t>最高限价：</w:t>
      </w:r>
      <w:r>
        <w:rPr>
          <w:rFonts w:hint="eastAsia" w:ascii="宋体" w:hAnsi="宋体" w:eastAsia="宋体" w:cs="宋体"/>
          <w:spacing w:val="-1"/>
          <w:sz w:val="24"/>
          <w:szCs w:val="24"/>
          <w:lang w:val="en-US" w:eastAsia="zh-CN"/>
        </w:rPr>
        <w:t>13</w:t>
      </w:r>
      <w:r>
        <w:rPr>
          <w:rFonts w:hint="eastAsia" w:ascii="宋体" w:hAnsi="宋体" w:eastAsia="宋体" w:cs="宋体"/>
          <w:spacing w:val="-1"/>
          <w:sz w:val="24"/>
          <w:szCs w:val="24"/>
          <w:lang w:eastAsia="zh-CN"/>
        </w:rPr>
        <w:t>9000.00</w:t>
      </w:r>
      <w:r>
        <w:rPr>
          <w:rFonts w:ascii="宋体" w:hAnsi="宋体" w:eastAsia="宋体" w:cs="宋体"/>
          <w:spacing w:val="-1"/>
          <w:sz w:val="24"/>
          <w:szCs w:val="24"/>
        </w:rPr>
        <w:t>元</w:t>
      </w:r>
    </w:p>
    <w:tbl>
      <w:tblPr>
        <w:tblStyle w:val="10"/>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1A899F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tcPr>
          <w:p w14:paraId="090944E5">
            <w:pPr>
              <w:pStyle w:val="14"/>
              <w:spacing w:line="360" w:lineRule="auto"/>
              <w:rPr>
                <w:rFonts w:asciiTheme="minorEastAsia" w:hAnsiTheme="minorEastAsia" w:cstheme="minorEastAsia"/>
                <w:sz w:val="24"/>
                <w:szCs w:val="24"/>
              </w:rPr>
            </w:pPr>
            <w:r>
              <w:rPr>
                <w:rFonts w:asciiTheme="minorEastAsia" w:hAnsiTheme="minorEastAsia" w:eastAsiaTheme="minorEastAsia" w:cstheme="minorEastAsia"/>
                <w:sz w:val="24"/>
                <w:szCs w:val="24"/>
              </w:rPr>
              <w:t>品目号</w:t>
            </w:r>
          </w:p>
        </w:tc>
        <w:tc>
          <w:tcPr>
            <w:tcW w:w="1384" w:type="dxa"/>
          </w:tcPr>
          <w:p w14:paraId="3B0B6698">
            <w:pPr>
              <w:pStyle w:val="14"/>
              <w:spacing w:line="360" w:lineRule="auto"/>
              <w:rPr>
                <w:rFonts w:asciiTheme="minorEastAsia" w:hAnsiTheme="minorEastAsia" w:cstheme="minorEastAsia"/>
                <w:sz w:val="24"/>
                <w:szCs w:val="24"/>
              </w:rPr>
            </w:pPr>
            <w:r>
              <w:rPr>
                <w:rFonts w:asciiTheme="minorEastAsia" w:hAnsiTheme="minorEastAsia" w:eastAsiaTheme="minorEastAsia" w:cstheme="minorEastAsia"/>
                <w:sz w:val="24"/>
                <w:szCs w:val="24"/>
              </w:rPr>
              <w:t>品目名称</w:t>
            </w:r>
          </w:p>
        </w:tc>
        <w:tc>
          <w:tcPr>
            <w:tcW w:w="1384" w:type="dxa"/>
          </w:tcPr>
          <w:p w14:paraId="683DDEEA">
            <w:pPr>
              <w:pStyle w:val="14"/>
              <w:spacing w:line="360" w:lineRule="auto"/>
              <w:rPr>
                <w:rFonts w:asciiTheme="minorEastAsia" w:hAnsiTheme="minorEastAsia" w:cstheme="minorEastAsia"/>
                <w:sz w:val="24"/>
                <w:szCs w:val="24"/>
              </w:rPr>
            </w:pPr>
            <w:r>
              <w:rPr>
                <w:rFonts w:asciiTheme="minorEastAsia" w:hAnsiTheme="minorEastAsia" w:eastAsiaTheme="minorEastAsia" w:cstheme="minorEastAsia"/>
                <w:sz w:val="24"/>
                <w:szCs w:val="24"/>
              </w:rPr>
              <w:t>采购标的</w:t>
            </w:r>
          </w:p>
        </w:tc>
        <w:tc>
          <w:tcPr>
            <w:tcW w:w="1384" w:type="dxa"/>
          </w:tcPr>
          <w:p w14:paraId="4B5C0A92">
            <w:pPr>
              <w:pStyle w:val="14"/>
              <w:spacing w:line="360" w:lineRule="auto"/>
              <w:rPr>
                <w:rFonts w:asciiTheme="minorEastAsia" w:hAnsiTheme="minorEastAsia" w:cstheme="minorEastAsia"/>
                <w:sz w:val="24"/>
                <w:szCs w:val="24"/>
              </w:rPr>
            </w:pPr>
            <w:r>
              <w:rPr>
                <w:rFonts w:asciiTheme="minorEastAsia" w:hAnsiTheme="minorEastAsia" w:eastAsiaTheme="minorEastAsia" w:cstheme="minorEastAsia"/>
                <w:sz w:val="24"/>
                <w:szCs w:val="24"/>
              </w:rPr>
              <w:t>数量（单位）</w:t>
            </w:r>
          </w:p>
        </w:tc>
        <w:tc>
          <w:tcPr>
            <w:tcW w:w="1384" w:type="dxa"/>
          </w:tcPr>
          <w:p w14:paraId="05EE092B">
            <w:pPr>
              <w:pStyle w:val="14"/>
              <w:spacing w:line="360" w:lineRule="auto"/>
              <w:rPr>
                <w:rFonts w:asciiTheme="minorEastAsia" w:hAnsiTheme="minorEastAsia" w:cstheme="minorEastAsia"/>
                <w:sz w:val="24"/>
                <w:szCs w:val="24"/>
              </w:rPr>
            </w:pPr>
            <w:r>
              <w:rPr>
                <w:rFonts w:asciiTheme="minorEastAsia" w:hAnsiTheme="minorEastAsia" w:eastAsiaTheme="minorEastAsia" w:cstheme="minorEastAsia"/>
                <w:sz w:val="24"/>
                <w:szCs w:val="24"/>
              </w:rPr>
              <w:t>技术规格、参数及要求</w:t>
            </w:r>
          </w:p>
        </w:tc>
        <w:tc>
          <w:tcPr>
            <w:tcW w:w="1384" w:type="dxa"/>
          </w:tcPr>
          <w:p w14:paraId="0F3EC07E">
            <w:pPr>
              <w:pStyle w:val="14"/>
              <w:spacing w:line="360" w:lineRule="auto"/>
              <w:rPr>
                <w:rFonts w:asciiTheme="minorEastAsia" w:hAnsiTheme="minorEastAsia" w:cstheme="minorEastAsia"/>
                <w:sz w:val="24"/>
                <w:szCs w:val="24"/>
              </w:rPr>
            </w:pPr>
            <w:r>
              <w:rPr>
                <w:rFonts w:asciiTheme="minorEastAsia" w:hAnsiTheme="minorEastAsia" w:eastAsiaTheme="minorEastAsia" w:cstheme="minorEastAsia"/>
                <w:sz w:val="24"/>
                <w:szCs w:val="24"/>
              </w:rPr>
              <w:t>品目预算(元)</w:t>
            </w:r>
          </w:p>
        </w:tc>
      </w:tr>
      <w:tr w14:paraId="281E56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tcPr>
          <w:p w14:paraId="60F850BA">
            <w:pPr>
              <w:pStyle w:val="14"/>
              <w:spacing w:line="360" w:lineRule="auto"/>
              <w:rPr>
                <w:rFonts w:asciiTheme="minorEastAsia" w:hAnsiTheme="minorEastAsia" w:cstheme="minorEastAsia"/>
                <w:sz w:val="24"/>
                <w:szCs w:val="24"/>
              </w:rPr>
            </w:pPr>
            <w:r>
              <w:rPr>
                <w:rFonts w:asciiTheme="minorEastAsia" w:hAnsiTheme="minorEastAsia" w:eastAsiaTheme="minorEastAsia" w:cstheme="minorEastAsia"/>
                <w:sz w:val="24"/>
                <w:szCs w:val="24"/>
              </w:rPr>
              <w:t>1-1</w:t>
            </w:r>
          </w:p>
        </w:tc>
        <w:tc>
          <w:tcPr>
            <w:tcW w:w="1384" w:type="dxa"/>
          </w:tcPr>
          <w:p w14:paraId="223BC1A3">
            <w:pPr>
              <w:pStyle w:val="14"/>
              <w:spacing w:line="360" w:lineRule="auto"/>
              <w:rPr>
                <w:rFonts w:asciiTheme="minorEastAsia" w:hAnsiTheme="minorEastAsia" w:cstheme="minorEastAsia"/>
                <w:sz w:val="24"/>
                <w:szCs w:val="24"/>
              </w:rPr>
            </w:pPr>
            <w:r>
              <w:rPr>
                <w:rFonts w:hint="eastAsia" w:asciiTheme="minorEastAsia" w:hAnsiTheme="minorEastAsia" w:eastAsiaTheme="minorEastAsia" w:cstheme="minorEastAsia"/>
                <w:sz w:val="24"/>
                <w:szCs w:val="24"/>
                <w:lang w:eastAsia="zh-CN"/>
              </w:rPr>
              <w:t>测试评估认证服务</w:t>
            </w:r>
          </w:p>
        </w:tc>
        <w:tc>
          <w:tcPr>
            <w:tcW w:w="1384" w:type="dxa"/>
          </w:tcPr>
          <w:p w14:paraId="7337D1FB">
            <w:pPr>
              <w:pStyle w:val="14"/>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软件测试服务</w:t>
            </w:r>
          </w:p>
        </w:tc>
        <w:tc>
          <w:tcPr>
            <w:tcW w:w="1384" w:type="dxa"/>
          </w:tcPr>
          <w:p w14:paraId="76B57C3C">
            <w:pPr>
              <w:pStyle w:val="14"/>
              <w:spacing w:line="360" w:lineRule="auto"/>
              <w:rPr>
                <w:rFonts w:asciiTheme="minorEastAsia" w:hAnsiTheme="minorEastAsia" w:cstheme="minorEastAsia"/>
                <w:sz w:val="24"/>
                <w:szCs w:val="24"/>
              </w:rPr>
            </w:pPr>
            <w:r>
              <w:rPr>
                <w:rFonts w:hint="eastAsia" w:asciiTheme="minorEastAsia" w:hAnsiTheme="minorEastAsia" w:cstheme="minorEastAsia"/>
                <w:sz w:val="24"/>
                <w:szCs w:val="24"/>
                <w:lang w:val="en-US" w:eastAsia="zh-CN"/>
              </w:rPr>
              <w:t>1</w:t>
            </w:r>
            <w:r>
              <w:rPr>
                <w:rFonts w:asciiTheme="minorEastAsia" w:hAnsiTheme="minorEastAsia" w:eastAsiaTheme="minorEastAsia" w:cstheme="minorEastAsia"/>
                <w:sz w:val="24"/>
                <w:szCs w:val="24"/>
              </w:rPr>
              <w:t>(项)</w:t>
            </w:r>
          </w:p>
        </w:tc>
        <w:tc>
          <w:tcPr>
            <w:tcW w:w="1384" w:type="dxa"/>
          </w:tcPr>
          <w:p w14:paraId="387DDF00">
            <w:pPr>
              <w:pStyle w:val="14"/>
              <w:spacing w:line="360" w:lineRule="auto"/>
              <w:rPr>
                <w:rFonts w:asciiTheme="minorEastAsia" w:hAnsiTheme="minorEastAsia" w:cstheme="minorEastAsia"/>
                <w:sz w:val="24"/>
                <w:szCs w:val="24"/>
              </w:rPr>
            </w:pPr>
            <w:r>
              <w:rPr>
                <w:rFonts w:asciiTheme="minorEastAsia" w:hAnsiTheme="minorEastAsia" w:eastAsiaTheme="minorEastAsia" w:cstheme="minorEastAsia"/>
                <w:sz w:val="24"/>
                <w:szCs w:val="24"/>
              </w:rPr>
              <w:t>详见采购文件</w:t>
            </w:r>
          </w:p>
        </w:tc>
        <w:tc>
          <w:tcPr>
            <w:tcW w:w="1384" w:type="dxa"/>
          </w:tcPr>
          <w:p w14:paraId="2A4E792E">
            <w:pPr>
              <w:pStyle w:val="14"/>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13</w:t>
            </w:r>
            <w:r>
              <w:rPr>
                <w:rFonts w:hint="eastAsia" w:asciiTheme="minorEastAsia" w:hAnsiTheme="minorEastAsia" w:cstheme="minorEastAsia"/>
                <w:sz w:val="24"/>
                <w:szCs w:val="24"/>
                <w:lang w:eastAsia="zh-CN"/>
              </w:rPr>
              <w:t>9000.00</w:t>
            </w:r>
          </w:p>
        </w:tc>
      </w:tr>
    </w:tbl>
    <w:p w14:paraId="324DFCFE">
      <w:pPr>
        <w:spacing w:before="116" w:line="360" w:lineRule="auto"/>
        <w:ind w:left="606"/>
        <w:rPr>
          <w:rFonts w:hint="eastAsia" w:ascii="宋体" w:hAnsi="宋体" w:eastAsia="宋体" w:cs="宋体"/>
          <w:spacing w:val="-1"/>
          <w:sz w:val="24"/>
          <w:szCs w:val="24"/>
          <w:lang w:eastAsia="zh-CN"/>
        </w:rPr>
      </w:pPr>
      <w:r>
        <w:rPr>
          <w:rFonts w:ascii="宋体" w:hAnsi="宋体" w:eastAsia="宋体" w:cs="宋体"/>
          <w:spacing w:val="-1"/>
          <w:sz w:val="24"/>
          <w:szCs w:val="24"/>
        </w:rPr>
        <w:t xml:space="preserve"> 本合同包不接受</w:t>
      </w:r>
      <w:r>
        <w:rPr>
          <w:rFonts w:hint="eastAsia" w:ascii="宋体" w:hAnsi="宋体" w:eastAsia="宋体" w:cs="宋体"/>
          <w:spacing w:val="-1"/>
          <w:sz w:val="24"/>
          <w:szCs w:val="24"/>
          <w:lang w:eastAsia="zh-CN"/>
        </w:rPr>
        <w:t>联合体磋商</w:t>
      </w:r>
    </w:p>
    <w:p w14:paraId="6AA6B852">
      <w:pPr>
        <w:spacing w:before="116" w:line="360" w:lineRule="auto"/>
        <w:ind w:left="606"/>
        <w:rPr>
          <w:rFonts w:hint="eastAsia" w:ascii="宋体" w:hAnsi="宋体" w:eastAsia="宋体" w:cs="宋体"/>
          <w:spacing w:val="-1"/>
          <w:sz w:val="24"/>
          <w:szCs w:val="24"/>
          <w:lang w:eastAsia="zh-CN"/>
        </w:rPr>
      </w:pPr>
      <w:r>
        <w:rPr>
          <w:rFonts w:ascii="宋体" w:hAnsi="宋体" w:eastAsia="宋体" w:cs="宋体"/>
          <w:spacing w:val="-1"/>
          <w:sz w:val="24"/>
          <w:szCs w:val="24"/>
        </w:rPr>
        <w:t xml:space="preserve"> 合同履行期限：</w:t>
      </w:r>
      <w:r>
        <w:rPr>
          <w:rFonts w:hint="eastAsia" w:ascii="宋体" w:hAnsi="宋体" w:eastAsia="宋体" w:cs="宋体"/>
          <w:spacing w:val="-1"/>
          <w:sz w:val="24"/>
          <w:szCs w:val="24"/>
        </w:rPr>
        <w:t>具备软件测试条件开始至测试完成并出具测试报告30个工作日</w:t>
      </w:r>
    </w:p>
    <w:p w14:paraId="0CD8AB36">
      <w:pPr>
        <w:spacing w:before="116" w:line="360" w:lineRule="auto"/>
        <w:ind w:left="606"/>
        <w:rPr>
          <w:rFonts w:ascii="宋体" w:hAnsi="宋体" w:eastAsia="宋体" w:cs="宋体"/>
          <w:spacing w:val="-1"/>
          <w:sz w:val="24"/>
          <w:szCs w:val="24"/>
        </w:rPr>
      </w:pPr>
      <w:r>
        <w:rPr>
          <w:rFonts w:ascii="宋体" w:hAnsi="宋体" w:eastAsia="宋体" w:cs="宋体"/>
          <w:spacing w:val="-1"/>
          <w:sz w:val="24"/>
          <w:szCs w:val="24"/>
        </w:rPr>
        <w:t>合同包</w:t>
      </w:r>
      <w:r>
        <w:rPr>
          <w:rFonts w:hint="eastAsia" w:ascii="宋体" w:hAnsi="宋体" w:eastAsia="宋体" w:cs="宋体"/>
          <w:spacing w:val="-1"/>
          <w:sz w:val="24"/>
          <w:szCs w:val="24"/>
          <w:lang w:val="en-US" w:eastAsia="zh-CN"/>
        </w:rPr>
        <w:t>2</w:t>
      </w:r>
      <w:r>
        <w:rPr>
          <w:rFonts w:ascii="宋体" w:hAnsi="宋体" w:eastAsia="宋体" w:cs="宋体"/>
          <w:spacing w:val="-1"/>
          <w:sz w:val="24"/>
          <w:szCs w:val="24"/>
        </w:rPr>
        <w:t>(</w:t>
      </w:r>
      <w:r>
        <w:rPr>
          <w:rFonts w:hint="eastAsia" w:ascii="宋体" w:hAnsi="宋体" w:eastAsia="宋体" w:cs="宋体"/>
          <w:spacing w:val="-1"/>
          <w:sz w:val="24"/>
          <w:szCs w:val="24"/>
          <w:lang w:eastAsia="zh-CN"/>
        </w:rPr>
        <w:t>等保测评服务</w:t>
      </w:r>
      <w:r>
        <w:rPr>
          <w:rFonts w:ascii="宋体" w:hAnsi="宋体" w:eastAsia="宋体" w:cs="宋体"/>
          <w:spacing w:val="-1"/>
          <w:sz w:val="24"/>
          <w:szCs w:val="24"/>
        </w:rPr>
        <w:t>):</w:t>
      </w:r>
    </w:p>
    <w:p w14:paraId="38ECFDD3">
      <w:pPr>
        <w:spacing w:before="116" w:line="360" w:lineRule="auto"/>
        <w:ind w:left="606"/>
        <w:rPr>
          <w:rFonts w:ascii="宋体" w:hAnsi="宋体" w:eastAsia="宋体" w:cs="宋体"/>
          <w:spacing w:val="-1"/>
          <w:sz w:val="24"/>
          <w:szCs w:val="24"/>
        </w:rPr>
      </w:pPr>
      <w:r>
        <w:rPr>
          <w:rFonts w:ascii="宋体" w:hAnsi="宋体" w:eastAsia="宋体" w:cs="宋体"/>
          <w:spacing w:val="-1"/>
          <w:sz w:val="24"/>
          <w:szCs w:val="24"/>
        </w:rPr>
        <w:t>合同包预算金额：</w:t>
      </w:r>
      <w:r>
        <w:rPr>
          <w:rFonts w:hint="eastAsia" w:ascii="宋体" w:hAnsi="宋体" w:eastAsia="宋体" w:cs="宋体"/>
          <w:spacing w:val="-1"/>
          <w:sz w:val="24"/>
          <w:szCs w:val="24"/>
          <w:lang w:val="en-US" w:eastAsia="zh-CN"/>
        </w:rPr>
        <w:t>50</w:t>
      </w:r>
      <w:r>
        <w:rPr>
          <w:rFonts w:hint="eastAsia" w:ascii="宋体" w:hAnsi="宋体" w:eastAsia="宋体" w:cs="宋体"/>
          <w:spacing w:val="-1"/>
          <w:sz w:val="24"/>
          <w:szCs w:val="24"/>
          <w:lang w:eastAsia="zh-CN"/>
        </w:rPr>
        <w:t>000.00</w:t>
      </w:r>
      <w:r>
        <w:rPr>
          <w:rFonts w:ascii="宋体" w:hAnsi="宋体" w:eastAsia="宋体" w:cs="宋体"/>
          <w:spacing w:val="-1"/>
          <w:sz w:val="24"/>
          <w:szCs w:val="24"/>
        </w:rPr>
        <w:t>元</w:t>
      </w:r>
    </w:p>
    <w:p w14:paraId="78A53A9B">
      <w:pPr>
        <w:spacing w:before="116" w:line="360" w:lineRule="auto"/>
        <w:ind w:left="606"/>
        <w:rPr>
          <w:rFonts w:ascii="宋体" w:hAnsi="宋体" w:eastAsia="宋体" w:cs="宋体"/>
          <w:spacing w:val="-1"/>
          <w:sz w:val="24"/>
          <w:szCs w:val="24"/>
        </w:rPr>
      </w:pPr>
      <w:r>
        <w:rPr>
          <w:rFonts w:ascii="宋体" w:hAnsi="宋体" w:eastAsia="宋体" w:cs="宋体"/>
          <w:spacing w:val="-1"/>
          <w:sz w:val="24"/>
          <w:szCs w:val="24"/>
        </w:rPr>
        <w:t xml:space="preserve"> 合同包最高限价：</w:t>
      </w:r>
      <w:r>
        <w:rPr>
          <w:rFonts w:hint="eastAsia" w:ascii="宋体" w:hAnsi="宋体" w:eastAsia="宋体" w:cs="宋体"/>
          <w:spacing w:val="-1"/>
          <w:sz w:val="24"/>
          <w:szCs w:val="24"/>
          <w:lang w:val="en-US" w:eastAsia="zh-CN"/>
        </w:rPr>
        <w:t>50</w:t>
      </w:r>
      <w:r>
        <w:rPr>
          <w:rFonts w:hint="eastAsia" w:ascii="宋体" w:hAnsi="宋体" w:eastAsia="宋体" w:cs="宋体"/>
          <w:spacing w:val="-1"/>
          <w:sz w:val="24"/>
          <w:szCs w:val="24"/>
          <w:lang w:eastAsia="zh-CN"/>
        </w:rPr>
        <w:t>000.00</w:t>
      </w:r>
      <w:r>
        <w:rPr>
          <w:rFonts w:ascii="宋体" w:hAnsi="宋体" w:eastAsia="宋体" w:cs="宋体"/>
          <w:spacing w:val="-1"/>
          <w:sz w:val="24"/>
          <w:szCs w:val="24"/>
        </w:rPr>
        <w:t>元</w:t>
      </w:r>
    </w:p>
    <w:tbl>
      <w:tblPr>
        <w:tblStyle w:val="10"/>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34F397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tcPr>
          <w:p w14:paraId="02B5F151">
            <w:pPr>
              <w:pStyle w:val="14"/>
              <w:spacing w:line="360" w:lineRule="auto"/>
              <w:rPr>
                <w:rFonts w:asciiTheme="minorEastAsia" w:hAnsiTheme="minorEastAsia" w:cstheme="minorEastAsia"/>
                <w:sz w:val="24"/>
                <w:szCs w:val="24"/>
              </w:rPr>
            </w:pPr>
            <w:r>
              <w:rPr>
                <w:rFonts w:asciiTheme="minorEastAsia" w:hAnsiTheme="minorEastAsia" w:eastAsiaTheme="minorEastAsia" w:cstheme="minorEastAsia"/>
                <w:sz w:val="24"/>
                <w:szCs w:val="24"/>
              </w:rPr>
              <w:t>品目号</w:t>
            </w:r>
          </w:p>
        </w:tc>
        <w:tc>
          <w:tcPr>
            <w:tcW w:w="1384" w:type="dxa"/>
          </w:tcPr>
          <w:p w14:paraId="1A2359ED">
            <w:pPr>
              <w:pStyle w:val="14"/>
              <w:spacing w:line="360" w:lineRule="auto"/>
              <w:rPr>
                <w:rFonts w:asciiTheme="minorEastAsia" w:hAnsiTheme="minorEastAsia" w:cstheme="minorEastAsia"/>
                <w:sz w:val="24"/>
                <w:szCs w:val="24"/>
              </w:rPr>
            </w:pPr>
            <w:r>
              <w:rPr>
                <w:rFonts w:asciiTheme="minorEastAsia" w:hAnsiTheme="minorEastAsia" w:eastAsiaTheme="minorEastAsia" w:cstheme="minorEastAsia"/>
                <w:sz w:val="24"/>
                <w:szCs w:val="24"/>
              </w:rPr>
              <w:t>品目名称</w:t>
            </w:r>
          </w:p>
        </w:tc>
        <w:tc>
          <w:tcPr>
            <w:tcW w:w="1384" w:type="dxa"/>
          </w:tcPr>
          <w:p w14:paraId="5FB2CE03">
            <w:pPr>
              <w:pStyle w:val="14"/>
              <w:spacing w:line="360" w:lineRule="auto"/>
              <w:rPr>
                <w:rFonts w:asciiTheme="minorEastAsia" w:hAnsiTheme="minorEastAsia" w:cstheme="minorEastAsia"/>
                <w:sz w:val="24"/>
                <w:szCs w:val="24"/>
              </w:rPr>
            </w:pPr>
            <w:r>
              <w:rPr>
                <w:rFonts w:asciiTheme="minorEastAsia" w:hAnsiTheme="minorEastAsia" w:eastAsiaTheme="minorEastAsia" w:cstheme="minorEastAsia"/>
                <w:sz w:val="24"/>
                <w:szCs w:val="24"/>
              </w:rPr>
              <w:t>采购标的</w:t>
            </w:r>
          </w:p>
        </w:tc>
        <w:tc>
          <w:tcPr>
            <w:tcW w:w="1384" w:type="dxa"/>
          </w:tcPr>
          <w:p w14:paraId="4F862A2B">
            <w:pPr>
              <w:pStyle w:val="14"/>
              <w:spacing w:line="360" w:lineRule="auto"/>
              <w:rPr>
                <w:rFonts w:asciiTheme="minorEastAsia" w:hAnsiTheme="minorEastAsia" w:cstheme="minorEastAsia"/>
                <w:sz w:val="24"/>
                <w:szCs w:val="24"/>
              </w:rPr>
            </w:pPr>
            <w:r>
              <w:rPr>
                <w:rFonts w:asciiTheme="minorEastAsia" w:hAnsiTheme="minorEastAsia" w:eastAsiaTheme="minorEastAsia" w:cstheme="minorEastAsia"/>
                <w:sz w:val="24"/>
                <w:szCs w:val="24"/>
              </w:rPr>
              <w:t>数量（单位）</w:t>
            </w:r>
          </w:p>
        </w:tc>
        <w:tc>
          <w:tcPr>
            <w:tcW w:w="1384" w:type="dxa"/>
          </w:tcPr>
          <w:p w14:paraId="4EF1497C">
            <w:pPr>
              <w:pStyle w:val="14"/>
              <w:spacing w:line="360" w:lineRule="auto"/>
              <w:rPr>
                <w:rFonts w:asciiTheme="minorEastAsia" w:hAnsiTheme="minorEastAsia" w:cstheme="minorEastAsia"/>
                <w:sz w:val="24"/>
                <w:szCs w:val="24"/>
              </w:rPr>
            </w:pPr>
            <w:r>
              <w:rPr>
                <w:rFonts w:asciiTheme="minorEastAsia" w:hAnsiTheme="minorEastAsia" w:eastAsiaTheme="minorEastAsia" w:cstheme="minorEastAsia"/>
                <w:sz w:val="24"/>
                <w:szCs w:val="24"/>
              </w:rPr>
              <w:t>技术规格、参数及要求</w:t>
            </w:r>
          </w:p>
        </w:tc>
        <w:tc>
          <w:tcPr>
            <w:tcW w:w="1384" w:type="dxa"/>
          </w:tcPr>
          <w:p w14:paraId="6EB90317">
            <w:pPr>
              <w:pStyle w:val="14"/>
              <w:spacing w:line="360" w:lineRule="auto"/>
              <w:rPr>
                <w:rFonts w:asciiTheme="minorEastAsia" w:hAnsiTheme="minorEastAsia" w:cstheme="minorEastAsia"/>
                <w:sz w:val="24"/>
                <w:szCs w:val="24"/>
              </w:rPr>
            </w:pPr>
            <w:r>
              <w:rPr>
                <w:rFonts w:asciiTheme="minorEastAsia" w:hAnsiTheme="minorEastAsia" w:eastAsiaTheme="minorEastAsia" w:cstheme="minorEastAsia"/>
                <w:sz w:val="24"/>
                <w:szCs w:val="24"/>
              </w:rPr>
              <w:t>品目预算(元)</w:t>
            </w:r>
          </w:p>
        </w:tc>
      </w:tr>
      <w:tr w14:paraId="14F91F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tcPr>
          <w:p w14:paraId="30732ADC">
            <w:pPr>
              <w:pStyle w:val="14"/>
              <w:spacing w:line="360" w:lineRule="auto"/>
              <w:rPr>
                <w:rFonts w:asciiTheme="minorEastAsia" w:hAnsiTheme="minorEastAsia" w:cstheme="minorEastAsia"/>
                <w:sz w:val="24"/>
                <w:szCs w:val="24"/>
              </w:rPr>
            </w:pPr>
            <w:r>
              <w:rPr>
                <w:rFonts w:hint="eastAsia" w:asciiTheme="minorEastAsia" w:hAnsiTheme="minorEastAsia" w:cstheme="minorEastAsia"/>
                <w:sz w:val="24"/>
                <w:szCs w:val="24"/>
                <w:lang w:val="en-US" w:eastAsia="zh-CN"/>
              </w:rPr>
              <w:t>2</w:t>
            </w:r>
            <w:r>
              <w:rPr>
                <w:rFonts w:asciiTheme="minorEastAsia" w:hAnsiTheme="minorEastAsia" w:eastAsiaTheme="minorEastAsia" w:cstheme="minorEastAsia"/>
                <w:sz w:val="24"/>
                <w:szCs w:val="24"/>
              </w:rPr>
              <w:t>-1</w:t>
            </w:r>
          </w:p>
        </w:tc>
        <w:tc>
          <w:tcPr>
            <w:tcW w:w="1384" w:type="dxa"/>
          </w:tcPr>
          <w:p w14:paraId="749CB70B">
            <w:pPr>
              <w:pStyle w:val="14"/>
              <w:spacing w:line="360" w:lineRule="auto"/>
              <w:rPr>
                <w:rFonts w:asciiTheme="minorEastAsia" w:hAnsiTheme="minorEastAsia" w:cstheme="minorEastAsia"/>
                <w:sz w:val="24"/>
                <w:szCs w:val="24"/>
              </w:rPr>
            </w:pPr>
            <w:r>
              <w:rPr>
                <w:rFonts w:hint="eastAsia" w:asciiTheme="minorEastAsia" w:hAnsiTheme="minorEastAsia" w:eastAsiaTheme="minorEastAsia" w:cstheme="minorEastAsia"/>
                <w:sz w:val="24"/>
                <w:szCs w:val="24"/>
                <w:lang w:eastAsia="zh-CN"/>
              </w:rPr>
              <w:t>测试评估认证服务</w:t>
            </w:r>
          </w:p>
        </w:tc>
        <w:tc>
          <w:tcPr>
            <w:tcW w:w="1384" w:type="dxa"/>
          </w:tcPr>
          <w:p w14:paraId="4F6FABD6">
            <w:pPr>
              <w:pStyle w:val="14"/>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等保测评服务</w:t>
            </w:r>
          </w:p>
        </w:tc>
        <w:tc>
          <w:tcPr>
            <w:tcW w:w="1384" w:type="dxa"/>
          </w:tcPr>
          <w:p w14:paraId="72D32445">
            <w:pPr>
              <w:pStyle w:val="14"/>
              <w:spacing w:line="360" w:lineRule="auto"/>
              <w:rPr>
                <w:rFonts w:asciiTheme="minorEastAsia" w:hAnsiTheme="minorEastAsia" w:cstheme="minorEastAsia"/>
                <w:sz w:val="24"/>
                <w:szCs w:val="24"/>
              </w:rPr>
            </w:pPr>
            <w:r>
              <w:rPr>
                <w:rFonts w:hint="eastAsia" w:asciiTheme="minorEastAsia" w:hAnsiTheme="minorEastAsia" w:cstheme="minorEastAsia"/>
                <w:sz w:val="24"/>
                <w:szCs w:val="24"/>
                <w:lang w:val="en-US" w:eastAsia="zh-CN"/>
              </w:rPr>
              <w:t>1</w:t>
            </w:r>
            <w:r>
              <w:rPr>
                <w:rFonts w:asciiTheme="minorEastAsia" w:hAnsiTheme="minorEastAsia" w:eastAsiaTheme="minorEastAsia" w:cstheme="minorEastAsia"/>
                <w:sz w:val="24"/>
                <w:szCs w:val="24"/>
              </w:rPr>
              <w:t>(项)</w:t>
            </w:r>
          </w:p>
        </w:tc>
        <w:tc>
          <w:tcPr>
            <w:tcW w:w="1384" w:type="dxa"/>
          </w:tcPr>
          <w:p w14:paraId="46CDDE28">
            <w:pPr>
              <w:pStyle w:val="14"/>
              <w:spacing w:line="360" w:lineRule="auto"/>
              <w:rPr>
                <w:rFonts w:asciiTheme="minorEastAsia" w:hAnsiTheme="minorEastAsia" w:cstheme="minorEastAsia"/>
                <w:sz w:val="24"/>
                <w:szCs w:val="24"/>
              </w:rPr>
            </w:pPr>
            <w:r>
              <w:rPr>
                <w:rFonts w:asciiTheme="minorEastAsia" w:hAnsiTheme="minorEastAsia" w:eastAsiaTheme="minorEastAsia" w:cstheme="minorEastAsia"/>
                <w:sz w:val="24"/>
                <w:szCs w:val="24"/>
              </w:rPr>
              <w:t>详见采购文件</w:t>
            </w:r>
          </w:p>
        </w:tc>
        <w:tc>
          <w:tcPr>
            <w:tcW w:w="1384" w:type="dxa"/>
          </w:tcPr>
          <w:p w14:paraId="152FAB63">
            <w:pPr>
              <w:pStyle w:val="14"/>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50</w:t>
            </w:r>
            <w:r>
              <w:rPr>
                <w:rFonts w:hint="eastAsia" w:asciiTheme="minorEastAsia" w:hAnsiTheme="minorEastAsia" w:cstheme="minorEastAsia"/>
                <w:sz w:val="24"/>
                <w:szCs w:val="24"/>
                <w:lang w:eastAsia="zh-CN"/>
              </w:rPr>
              <w:t>000.00</w:t>
            </w:r>
          </w:p>
        </w:tc>
      </w:tr>
    </w:tbl>
    <w:p w14:paraId="551485D1">
      <w:pPr>
        <w:spacing w:before="116" w:line="360" w:lineRule="auto"/>
        <w:ind w:left="606"/>
        <w:rPr>
          <w:rFonts w:hint="eastAsia" w:ascii="宋体" w:hAnsi="宋体" w:eastAsia="宋体" w:cs="宋体"/>
          <w:spacing w:val="-1"/>
          <w:sz w:val="24"/>
          <w:szCs w:val="24"/>
          <w:lang w:eastAsia="zh-CN"/>
        </w:rPr>
      </w:pPr>
      <w:r>
        <w:rPr>
          <w:rFonts w:ascii="宋体" w:hAnsi="宋体" w:eastAsia="宋体" w:cs="宋体"/>
          <w:spacing w:val="-1"/>
          <w:sz w:val="24"/>
          <w:szCs w:val="24"/>
        </w:rPr>
        <w:t xml:space="preserve"> 本合同包不接受</w:t>
      </w:r>
      <w:r>
        <w:rPr>
          <w:rFonts w:hint="eastAsia" w:ascii="宋体" w:hAnsi="宋体" w:eastAsia="宋体" w:cs="宋体"/>
          <w:spacing w:val="-1"/>
          <w:sz w:val="24"/>
          <w:szCs w:val="24"/>
          <w:lang w:eastAsia="zh-CN"/>
        </w:rPr>
        <w:t>联合体磋商</w:t>
      </w:r>
    </w:p>
    <w:p w14:paraId="60590CCA">
      <w:pPr>
        <w:spacing w:before="116" w:line="360" w:lineRule="auto"/>
        <w:ind w:left="606"/>
        <w:rPr>
          <w:rFonts w:ascii="宋体" w:hAnsi="宋体" w:eastAsia="宋体" w:cs="宋体"/>
          <w:spacing w:val="-1"/>
          <w:sz w:val="24"/>
          <w:szCs w:val="24"/>
        </w:rPr>
      </w:pPr>
      <w:r>
        <w:rPr>
          <w:rFonts w:ascii="宋体" w:hAnsi="宋体" w:eastAsia="宋体" w:cs="宋体"/>
          <w:spacing w:val="-1"/>
          <w:sz w:val="24"/>
          <w:szCs w:val="24"/>
        </w:rPr>
        <w:t xml:space="preserve"> 合同履行期限：</w:t>
      </w:r>
      <w:r>
        <w:rPr>
          <w:rFonts w:hint="eastAsia" w:ascii="宋体" w:hAnsi="宋体" w:eastAsia="宋体" w:cs="宋体"/>
          <w:spacing w:val="-1"/>
          <w:sz w:val="24"/>
          <w:szCs w:val="24"/>
          <w:lang w:eastAsia="zh-CN"/>
        </w:rPr>
        <w:t>自合同生效之日起至乙方完成全部服务内容、提交所有成果文件并通过甲方最终验收之日止</w:t>
      </w:r>
    </w:p>
    <w:p w14:paraId="067599BE">
      <w:pPr>
        <w:spacing w:before="116" w:line="360" w:lineRule="auto"/>
        <w:ind w:left="126"/>
        <w:outlineLvl w:val="1"/>
        <w:rPr>
          <w:rFonts w:ascii="宋体" w:hAnsi="宋体" w:eastAsia="宋体" w:cs="宋体"/>
          <w:sz w:val="24"/>
          <w:szCs w:val="24"/>
        </w:rPr>
      </w:pPr>
      <w:bookmarkStart w:id="4" w:name="_Toc28603"/>
      <w:r>
        <w:rPr>
          <w:rFonts w:ascii="宋体" w:hAnsi="宋体" w:eastAsia="宋体" w:cs="宋体"/>
          <w:b/>
          <w:bCs/>
          <w:spacing w:val="-3"/>
          <w:sz w:val="24"/>
          <w:szCs w:val="24"/>
        </w:rPr>
        <w:t>二、申请人的资格要求：</w:t>
      </w:r>
      <w:bookmarkEnd w:id="4"/>
    </w:p>
    <w:p w14:paraId="582A33CD">
      <w:pPr>
        <w:pStyle w:val="14"/>
        <w:spacing w:line="360" w:lineRule="auto"/>
        <w:rPr>
          <w:rFonts w:asciiTheme="minorEastAsia" w:hAnsiTheme="minorEastAsia" w:cstheme="minorEastAsia"/>
          <w:sz w:val="24"/>
          <w:szCs w:val="24"/>
        </w:rPr>
      </w:pPr>
      <w:r>
        <w:rPr>
          <w:rFonts w:asciiTheme="minorEastAsia" w:hAnsiTheme="minorEastAsia" w:eastAsiaTheme="minorEastAsia" w:cstheme="minorEastAsia"/>
          <w:sz w:val="24"/>
          <w:szCs w:val="24"/>
        </w:rPr>
        <w:t>1.满足《中华人民共和国政府采购法》第二十二条规定;</w:t>
      </w:r>
    </w:p>
    <w:p w14:paraId="60FB5679">
      <w:pPr>
        <w:pStyle w:val="14"/>
        <w:spacing w:line="360" w:lineRule="auto"/>
        <w:rPr>
          <w:rFonts w:asciiTheme="minorEastAsia" w:hAnsiTheme="minorEastAsia" w:cstheme="minorEastAsia"/>
          <w:sz w:val="24"/>
          <w:szCs w:val="24"/>
        </w:rPr>
      </w:pPr>
      <w:r>
        <w:rPr>
          <w:rFonts w:asciiTheme="minorEastAsia" w:hAnsiTheme="minorEastAsia" w:eastAsiaTheme="minorEastAsia" w:cstheme="minorEastAsia"/>
          <w:sz w:val="24"/>
          <w:szCs w:val="24"/>
        </w:rPr>
        <w:t>2.落实政府采购政策需满足的资格要求：</w:t>
      </w:r>
    </w:p>
    <w:p w14:paraId="2F7C0500">
      <w:pPr>
        <w:pStyle w:val="14"/>
        <w:spacing w:line="360" w:lineRule="auto"/>
        <w:rPr>
          <w:rFonts w:asciiTheme="minorEastAsia" w:hAnsiTheme="minorEastAsia" w:cstheme="minorEastAsia"/>
          <w:sz w:val="24"/>
          <w:szCs w:val="24"/>
        </w:rPr>
      </w:pPr>
      <w:r>
        <w:rPr>
          <w:rFonts w:asciiTheme="minorEastAsia" w:hAnsiTheme="minorEastAsia" w:eastAsiaTheme="minorEastAsia" w:cstheme="minorEastAsia"/>
          <w:sz w:val="24"/>
          <w:szCs w:val="24"/>
        </w:rPr>
        <w:t>合同包1(</w:t>
      </w:r>
      <w:r>
        <w:rPr>
          <w:rFonts w:hint="eastAsia" w:asciiTheme="minorEastAsia" w:hAnsiTheme="minorEastAsia" w:cstheme="minorEastAsia"/>
          <w:sz w:val="24"/>
          <w:szCs w:val="24"/>
          <w:lang w:eastAsia="zh-CN"/>
        </w:rPr>
        <w:t>杨凌农业科技成果转化综合信息服务平台项目软件测试服务及等保测评服务</w:t>
      </w:r>
      <w:r>
        <w:rPr>
          <w:rFonts w:asciiTheme="minorEastAsia" w:hAnsiTheme="minorEastAsia" w:eastAsiaTheme="minorEastAsia" w:cstheme="minorEastAsia"/>
          <w:sz w:val="24"/>
          <w:szCs w:val="24"/>
        </w:rPr>
        <w:t>)落实政府采购政策需满足的资格要求如下:</w:t>
      </w:r>
    </w:p>
    <w:p w14:paraId="0A68E911">
      <w:pPr>
        <w:pStyle w:val="14"/>
        <w:spacing w:line="360" w:lineRule="auto"/>
        <w:ind w:left="480"/>
        <w:rPr>
          <w:rFonts w:asciiTheme="minorEastAsia" w:hAnsiTheme="minorEastAsia" w:cstheme="minorEastAsia"/>
          <w:sz w:val="24"/>
          <w:szCs w:val="24"/>
        </w:rPr>
      </w:pPr>
      <w:r>
        <w:rPr>
          <w:rFonts w:hint="eastAsia" w:asciiTheme="minorEastAsia" w:hAnsiTheme="minorEastAsia" w:cstheme="minorEastAsia"/>
          <w:sz w:val="24"/>
          <w:szCs w:val="24"/>
          <w:lang w:eastAsia="zh-CN"/>
        </w:rPr>
        <w:t>本项目专门面向中小企业采购</w:t>
      </w:r>
      <w:r>
        <w:rPr>
          <w:rFonts w:asciiTheme="minorEastAsia" w:hAnsiTheme="minorEastAsia" w:eastAsiaTheme="minorEastAsia" w:cstheme="minorEastAsia"/>
          <w:sz w:val="24"/>
          <w:szCs w:val="24"/>
        </w:rPr>
        <w:t>。</w:t>
      </w:r>
    </w:p>
    <w:p w14:paraId="23EE6BF5">
      <w:pPr>
        <w:pStyle w:val="14"/>
        <w:spacing w:line="360" w:lineRule="auto"/>
        <w:rPr>
          <w:rFonts w:asciiTheme="minorEastAsia" w:hAnsiTheme="minorEastAsia" w:cstheme="minorEastAsia"/>
          <w:sz w:val="24"/>
          <w:szCs w:val="24"/>
        </w:rPr>
      </w:pPr>
      <w:r>
        <w:rPr>
          <w:rFonts w:asciiTheme="minorEastAsia" w:hAnsiTheme="minorEastAsia" w:eastAsiaTheme="minorEastAsia" w:cstheme="minorEastAsia"/>
          <w:sz w:val="24"/>
          <w:szCs w:val="24"/>
        </w:rPr>
        <w:t>3.本项目的特定资格要求：</w:t>
      </w:r>
    </w:p>
    <w:p w14:paraId="343CA642">
      <w:pPr>
        <w:pStyle w:val="14"/>
        <w:spacing w:line="360" w:lineRule="auto"/>
        <w:rPr>
          <w:rFonts w:asciiTheme="minorEastAsia" w:hAnsiTheme="minorEastAsia" w:cstheme="minorEastAsia"/>
          <w:b/>
          <w:bCs/>
          <w:sz w:val="24"/>
          <w:szCs w:val="24"/>
        </w:rPr>
      </w:pPr>
      <w:r>
        <w:rPr>
          <w:rFonts w:asciiTheme="minorEastAsia" w:hAnsiTheme="minorEastAsia" w:eastAsiaTheme="minorEastAsia" w:cstheme="minorEastAsia"/>
          <w:b/>
          <w:bCs/>
          <w:sz w:val="24"/>
          <w:szCs w:val="24"/>
        </w:rPr>
        <w:t>合同包1(</w:t>
      </w:r>
      <w:r>
        <w:rPr>
          <w:rFonts w:hint="eastAsia" w:asciiTheme="minorEastAsia" w:hAnsiTheme="minorEastAsia" w:cstheme="minorEastAsia"/>
          <w:b/>
          <w:bCs/>
          <w:sz w:val="24"/>
          <w:szCs w:val="24"/>
          <w:lang w:eastAsia="zh-CN"/>
        </w:rPr>
        <w:t>软件测试服务</w:t>
      </w:r>
      <w:r>
        <w:rPr>
          <w:rFonts w:asciiTheme="minorEastAsia" w:hAnsiTheme="minorEastAsia" w:eastAsiaTheme="minorEastAsia" w:cstheme="minorEastAsia"/>
          <w:b/>
          <w:bCs/>
          <w:sz w:val="24"/>
          <w:szCs w:val="24"/>
        </w:rPr>
        <w:t>)特定资格要求如下:</w:t>
      </w:r>
    </w:p>
    <w:p w14:paraId="49ED0F4D">
      <w:pPr>
        <w:pStyle w:val="14"/>
        <w:numPr>
          <w:ilvl w:val="0"/>
          <w:numId w:val="2"/>
        </w:numPr>
        <w:spacing w:line="360" w:lineRule="auto"/>
        <w:ind w:left="480"/>
        <w:rPr>
          <w:rFonts w:hint="default" w:asciiTheme="minorEastAsia" w:hAnsiTheme="minorEastAsia" w:eastAsiaTheme="minorEastAsia" w:cstheme="minorEastAsia"/>
          <w:sz w:val="24"/>
          <w:szCs w:val="24"/>
          <w:lang w:val="en-US" w:eastAsia="zh-CN"/>
        </w:rPr>
      </w:pPr>
      <w:r>
        <w:rPr>
          <w:rFonts w:asciiTheme="minorEastAsia" w:hAnsiTheme="minorEastAsia" w:eastAsiaTheme="minorEastAsia" w:cstheme="minorEastAsia"/>
          <w:sz w:val="24"/>
          <w:szCs w:val="24"/>
        </w:rPr>
        <w:t>供应商为具有独立承担民事责任能力的法人、其他组织或自然人并出具合法有效的营业执照或事业单位法人证书等国家规定的相关证明，自然人参与的提供其身份证明。</w:t>
      </w:r>
      <w:r>
        <w:rPr>
          <w:rFonts w:asciiTheme="minorEastAsia" w:hAnsiTheme="minorEastAsia" w:cstheme="minorEastAsia"/>
          <w:sz w:val="24"/>
          <w:szCs w:val="24"/>
        </w:rPr>
        <w:br w:type="textWrapping"/>
      </w:r>
      <w:r>
        <w:rPr>
          <w:rFonts w:asciiTheme="minorEastAsia" w:hAnsiTheme="minorEastAsia" w:eastAsiaTheme="minorEastAsia" w:cstheme="minorEastAsia"/>
          <w:sz w:val="24"/>
          <w:szCs w:val="24"/>
        </w:rPr>
        <w:t>2）财务状况报告：提供2024年财务审计报告（成立时间至开标时间不足一年的可提供成立后任意时段的资产负债表），或提供基本存款账户信息及开标日期前三个月内其基本存款账户开户银行出具的资信证明，或财政部门认可的政府采购专业担保机构出具的投标担保函。</w:t>
      </w:r>
      <w:r>
        <w:rPr>
          <w:rFonts w:asciiTheme="minorEastAsia" w:hAnsiTheme="minorEastAsia" w:cstheme="minorEastAsia"/>
          <w:sz w:val="24"/>
          <w:szCs w:val="24"/>
        </w:rPr>
        <w:br w:type="textWrapping"/>
      </w:r>
      <w:r>
        <w:rPr>
          <w:rFonts w:asciiTheme="minorEastAsia" w:hAnsiTheme="minorEastAsia" w:eastAsiaTheme="minorEastAsia" w:cstheme="minorEastAsia"/>
          <w:sz w:val="24"/>
          <w:szCs w:val="24"/>
        </w:rPr>
        <w:t>3）税收缴纳证明：提供</w:t>
      </w:r>
      <w:r>
        <w:rPr>
          <w:rFonts w:hint="eastAsia" w:asciiTheme="minorEastAsia" w:hAnsiTheme="minorEastAsia" w:cstheme="minorEastAsia"/>
          <w:sz w:val="24"/>
          <w:szCs w:val="24"/>
          <w:lang w:eastAsia="zh-CN"/>
        </w:rPr>
        <w:t>响应文件</w:t>
      </w:r>
      <w:r>
        <w:rPr>
          <w:rFonts w:asciiTheme="minorEastAsia" w:hAnsiTheme="minorEastAsia" w:eastAsiaTheme="minorEastAsia" w:cstheme="minorEastAsia"/>
          <w:sz w:val="24"/>
          <w:szCs w:val="24"/>
        </w:rPr>
        <w:t>截止时间一年内至少一个月的依法缴纳税收的相关凭据（时间以税款所属日期为准、税种须至少包含增值税或企业所得税）。依法免税或无须缴纳税收的投标人，应提供相应证明文件。</w:t>
      </w:r>
      <w:r>
        <w:rPr>
          <w:rFonts w:asciiTheme="minorEastAsia" w:hAnsiTheme="minorEastAsia" w:cstheme="minorEastAsia"/>
          <w:sz w:val="24"/>
          <w:szCs w:val="24"/>
        </w:rPr>
        <w:br w:type="textWrapping"/>
      </w:r>
      <w:r>
        <w:rPr>
          <w:rFonts w:asciiTheme="minorEastAsia" w:hAnsiTheme="minorEastAsia" w:eastAsiaTheme="minorEastAsia" w:cstheme="minorEastAsia"/>
          <w:sz w:val="24"/>
          <w:szCs w:val="24"/>
        </w:rPr>
        <w:t>4）社会保障资金缴纳证明：提供</w:t>
      </w:r>
      <w:r>
        <w:rPr>
          <w:rFonts w:hint="eastAsia" w:asciiTheme="minorEastAsia" w:hAnsiTheme="minorEastAsia" w:cstheme="minorEastAsia"/>
          <w:sz w:val="24"/>
          <w:szCs w:val="24"/>
          <w:lang w:eastAsia="zh-CN"/>
        </w:rPr>
        <w:t>响应文件</w:t>
      </w:r>
      <w:r>
        <w:rPr>
          <w:rFonts w:asciiTheme="minorEastAsia" w:hAnsiTheme="minorEastAsia" w:eastAsiaTheme="minorEastAsia" w:cstheme="minorEastAsia"/>
          <w:sz w:val="24"/>
          <w:szCs w:val="24"/>
        </w:rPr>
        <w:t>截止时间一年内至少一个月的社会保障资金缴存单据或社保机构开具的社会保险参保缴费情况证明。依法不需要缴纳社会保障资金的投标供应商，应提供相关证明。</w:t>
      </w:r>
      <w:r>
        <w:rPr>
          <w:rFonts w:asciiTheme="minorEastAsia" w:hAnsiTheme="minorEastAsia" w:cstheme="minorEastAsia"/>
          <w:sz w:val="24"/>
          <w:szCs w:val="24"/>
        </w:rPr>
        <w:br w:type="textWrapping"/>
      </w:r>
      <w:r>
        <w:rPr>
          <w:rFonts w:asciiTheme="minorEastAsia" w:hAnsiTheme="minorEastAsia" w:eastAsiaTheme="minorEastAsia" w:cstheme="minorEastAsia"/>
          <w:sz w:val="24"/>
          <w:szCs w:val="24"/>
        </w:rPr>
        <w:t>5）提供具有履行本合同所必需的设备和专业技术能力的声明。</w:t>
      </w:r>
      <w:r>
        <w:rPr>
          <w:rFonts w:asciiTheme="minorEastAsia" w:hAnsiTheme="minorEastAsia" w:cstheme="minorEastAsia"/>
          <w:sz w:val="24"/>
          <w:szCs w:val="24"/>
        </w:rPr>
        <w:br w:type="textWrapping"/>
      </w:r>
      <w:r>
        <w:rPr>
          <w:rFonts w:asciiTheme="minorEastAsia" w:hAnsiTheme="minorEastAsia" w:eastAsiaTheme="minorEastAsia" w:cstheme="minorEastAsia"/>
          <w:sz w:val="24"/>
          <w:szCs w:val="24"/>
        </w:rPr>
        <w:t>6）法定代表人授权书及被授权人身份证(法定代表人直接参加投标，须提交其身份证复印件及法定代表人身份证明)，非法人单位参照执行。</w:t>
      </w:r>
      <w:r>
        <w:rPr>
          <w:rFonts w:asciiTheme="minorEastAsia" w:hAnsiTheme="minorEastAsia" w:cstheme="minorEastAsia"/>
          <w:sz w:val="24"/>
          <w:szCs w:val="24"/>
        </w:rPr>
        <w:br w:type="textWrapping"/>
      </w:r>
      <w:r>
        <w:rPr>
          <w:rFonts w:asciiTheme="minorEastAsia" w:hAnsiTheme="minorEastAsia" w:eastAsiaTheme="minorEastAsia" w:cstheme="minorEastAsia"/>
          <w:sz w:val="24"/>
          <w:szCs w:val="24"/>
        </w:rPr>
        <w:t>7）提供参加本次政府采购活动前三年内在经营活动中没有重大违法记录的书面声明（提供声明书）。</w:t>
      </w:r>
      <w:r>
        <w:rPr>
          <w:rFonts w:asciiTheme="minorEastAsia" w:hAnsiTheme="minorEastAsia" w:cstheme="minorEastAsia"/>
          <w:sz w:val="24"/>
          <w:szCs w:val="24"/>
        </w:rPr>
        <w:br w:type="textWrapping"/>
      </w:r>
      <w:r>
        <w:rPr>
          <w:rFonts w:asciiTheme="minorEastAsia" w:hAnsiTheme="minorEastAsia" w:eastAsiaTheme="minorEastAsia" w:cstheme="minorEastAsia"/>
          <w:sz w:val="24"/>
          <w:szCs w:val="24"/>
        </w:rPr>
        <w:t>8）信用查询：未被“信用中国” 网站（www.creditchina.gov.cn）列入重大税收违法失信主体；不得被“中国执行信息公开网”（zxgk.court.gov.cn）列入失信被执行人名单；不得被“中国政府采购网”（www.ccgp.gov.cn）列入政府采购严重违法失信行为记录名单（采购代理机构查询，采购代理机构查询时限为响应文件递交截止之日）。</w:t>
      </w:r>
      <w:r>
        <w:rPr>
          <w:rFonts w:asciiTheme="minorEastAsia" w:hAnsiTheme="minorEastAsia" w:cstheme="minorEastAsia"/>
          <w:sz w:val="24"/>
          <w:szCs w:val="24"/>
        </w:rPr>
        <w:br w:type="textWrapping"/>
      </w:r>
      <w:r>
        <w:rPr>
          <w:rFonts w:hint="eastAsia" w:asciiTheme="minorEastAsia" w:hAnsiTheme="minorEastAsia" w:cstheme="minorEastAsia"/>
          <w:sz w:val="24"/>
          <w:szCs w:val="24"/>
          <w:highlight w:val="yellow"/>
          <w:lang w:eastAsia="zh-CN"/>
        </w:rPr>
        <w:t>9）供应商应具备检验检测机构资质认定证书（CMA证书）。</w:t>
      </w:r>
    </w:p>
    <w:p w14:paraId="42EA63DA">
      <w:pPr>
        <w:pStyle w:val="14"/>
        <w:numPr>
          <w:ilvl w:val="-1"/>
          <w:numId w:val="0"/>
        </w:numPr>
        <w:spacing w:line="360" w:lineRule="auto"/>
        <w:ind w:left="0" w:firstLine="480" w:firstLineChars="200"/>
        <w:rPr>
          <w:rFonts w:hint="eastAsia" w:asciiTheme="minorEastAsia" w:hAnsiTheme="minorEastAsia" w:cstheme="minorEastAsia"/>
          <w:sz w:val="24"/>
          <w:szCs w:val="24"/>
          <w:lang w:eastAsia="zh-CN"/>
        </w:rPr>
      </w:pPr>
      <w:r>
        <w:rPr>
          <w:rFonts w:hint="eastAsia" w:asciiTheme="minorEastAsia" w:hAnsiTheme="minorEastAsia" w:cstheme="minorEastAsia"/>
          <w:sz w:val="24"/>
          <w:szCs w:val="24"/>
          <w:highlight w:val="yellow"/>
          <w:lang w:val="en-US" w:eastAsia="zh-CN"/>
        </w:rPr>
        <w:t>10）</w:t>
      </w:r>
      <w:r>
        <w:rPr>
          <w:rFonts w:hint="eastAsia" w:asciiTheme="minorEastAsia" w:hAnsiTheme="minorEastAsia" w:cstheme="minorEastAsia"/>
          <w:sz w:val="24"/>
          <w:szCs w:val="24"/>
          <w:lang w:eastAsia="zh-CN"/>
        </w:rPr>
        <w:t>本项目不接受联合体磋商。</w:t>
      </w:r>
    </w:p>
    <w:p w14:paraId="394767B3">
      <w:pPr>
        <w:pStyle w:val="14"/>
        <w:spacing w:line="360" w:lineRule="auto"/>
        <w:rPr>
          <w:rFonts w:asciiTheme="minorEastAsia" w:hAnsiTheme="minorEastAsia" w:cstheme="minorEastAsia"/>
          <w:b/>
          <w:bCs/>
          <w:sz w:val="24"/>
          <w:szCs w:val="24"/>
        </w:rPr>
      </w:pPr>
      <w:r>
        <w:rPr>
          <w:rFonts w:asciiTheme="minorEastAsia" w:hAnsiTheme="minorEastAsia" w:eastAsiaTheme="minorEastAsia" w:cstheme="minorEastAsia"/>
          <w:b/>
          <w:bCs/>
          <w:sz w:val="24"/>
          <w:szCs w:val="24"/>
        </w:rPr>
        <w:t>合同包</w:t>
      </w:r>
      <w:r>
        <w:rPr>
          <w:rFonts w:hint="eastAsia" w:asciiTheme="minorEastAsia" w:hAnsiTheme="minorEastAsia" w:cstheme="minorEastAsia"/>
          <w:b/>
          <w:bCs/>
          <w:sz w:val="24"/>
          <w:szCs w:val="24"/>
          <w:lang w:val="en-US" w:eastAsia="zh-CN"/>
        </w:rPr>
        <w:t>2</w:t>
      </w:r>
      <w:r>
        <w:rPr>
          <w:rFonts w:asciiTheme="minorEastAsia" w:hAnsiTheme="minorEastAsia" w:eastAsiaTheme="minorEastAsia" w:cstheme="minorEastAsia"/>
          <w:b/>
          <w:bCs/>
          <w:sz w:val="24"/>
          <w:szCs w:val="24"/>
        </w:rPr>
        <w:t>(</w:t>
      </w:r>
      <w:r>
        <w:rPr>
          <w:rFonts w:hint="eastAsia" w:asciiTheme="minorEastAsia" w:hAnsiTheme="minorEastAsia" w:cstheme="minorEastAsia"/>
          <w:b/>
          <w:bCs/>
          <w:sz w:val="24"/>
          <w:szCs w:val="24"/>
          <w:lang w:eastAsia="zh-CN"/>
        </w:rPr>
        <w:t>等保测评服务</w:t>
      </w:r>
      <w:r>
        <w:rPr>
          <w:rFonts w:asciiTheme="minorEastAsia" w:hAnsiTheme="minorEastAsia" w:eastAsiaTheme="minorEastAsia" w:cstheme="minorEastAsia"/>
          <w:b/>
          <w:bCs/>
          <w:sz w:val="24"/>
          <w:szCs w:val="24"/>
        </w:rPr>
        <w:t>)特定资格要求如下:</w:t>
      </w:r>
    </w:p>
    <w:p w14:paraId="6F8994B8">
      <w:pPr>
        <w:pStyle w:val="14"/>
        <w:numPr>
          <w:ilvl w:val="0"/>
          <w:numId w:val="3"/>
        </w:numPr>
        <w:spacing w:line="360" w:lineRule="auto"/>
        <w:ind w:left="480"/>
        <w:rPr>
          <w:rFonts w:hint="eastAsia" w:asciiTheme="minorEastAsia" w:hAnsiTheme="minorEastAsia" w:cstheme="minorEastAsia"/>
          <w:sz w:val="24"/>
          <w:szCs w:val="24"/>
          <w:lang w:eastAsia="zh-CN"/>
        </w:rPr>
      </w:pPr>
      <w:r>
        <w:rPr>
          <w:rFonts w:asciiTheme="minorEastAsia" w:hAnsiTheme="minorEastAsia" w:eastAsiaTheme="minorEastAsia" w:cstheme="minorEastAsia"/>
          <w:sz w:val="24"/>
          <w:szCs w:val="24"/>
        </w:rPr>
        <w:t>供应商为具有独立承担民事责任能力的法人、其他组织或自然人并出具合法有效的营业执照或事业单位法人证书等国家规定的相关证明，自然人参与的提供其身份证明。</w:t>
      </w:r>
      <w:r>
        <w:rPr>
          <w:rFonts w:asciiTheme="minorEastAsia" w:hAnsiTheme="minorEastAsia" w:cstheme="minorEastAsia"/>
          <w:sz w:val="24"/>
          <w:szCs w:val="24"/>
        </w:rPr>
        <w:br w:type="textWrapping"/>
      </w:r>
      <w:r>
        <w:rPr>
          <w:rFonts w:asciiTheme="minorEastAsia" w:hAnsiTheme="minorEastAsia" w:eastAsiaTheme="minorEastAsia" w:cstheme="minorEastAsia"/>
          <w:sz w:val="24"/>
          <w:szCs w:val="24"/>
        </w:rPr>
        <w:t>2）财务状况报告：提供2024年财务审计报告（成立时间至开标时间不足一年的可提供成立后任意时段的资产负债表），或提供基本存款账户信息及开标日期前三个月内其基本存款账户开户银行出具的资信证明，或财政部门认可的政府采购专业担保机构出具的投标担保函。</w:t>
      </w:r>
      <w:r>
        <w:rPr>
          <w:rFonts w:asciiTheme="minorEastAsia" w:hAnsiTheme="minorEastAsia" w:cstheme="minorEastAsia"/>
          <w:sz w:val="24"/>
          <w:szCs w:val="24"/>
        </w:rPr>
        <w:br w:type="textWrapping"/>
      </w:r>
      <w:r>
        <w:rPr>
          <w:rFonts w:asciiTheme="minorEastAsia" w:hAnsiTheme="minorEastAsia" w:eastAsiaTheme="minorEastAsia" w:cstheme="minorEastAsia"/>
          <w:sz w:val="24"/>
          <w:szCs w:val="24"/>
        </w:rPr>
        <w:t>3）税收缴纳证明：提供</w:t>
      </w:r>
      <w:r>
        <w:rPr>
          <w:rFonts w:hint="eastAsia" w:asciiTheme="minorEastAsia" w:hAnsiTheme="minorEastAsia" w:cstheme="minorEastAsia"/>
          <w:sz w:val="24"/>
          <w:szCs w:val="24"/>
          <w:lang w:eastAsia="zh-CN"/>
        </w:rPr>
        <w:t>响应文件</w:t>
      </w:r>
      <w:r>
        <w:rPr>
          <w:rFonts w:asciiTheme="minorEastAsia" w:hAnsiTheme="minorEastAsia" w:eastAsiaTheme="minorEastAsia" w:cstheme="minorEastAsia"/>
          <w:sz w:val="24"/>
          <w:szCs w:val="24"/>
        </w:rPr>
        <w:t>截止时间一年内至少一个月的依法缴纳税收的相关凭据（时间以税款所属日期为准、税种须至少包含增值税或企业所得税）。依法免税或无须缴纳税收的投标人，应提供相应证明文件。</w:t>
      </w:r>
      <w:r>
        <w:rPr>
          <w:rFonts w:asciiTheme="minorEastAsia" w:hAnsiTheme="minorEastAsia" w:cstheme="minorEastAsia"/>
          <w:sz w:val="24"/>
          <w:szCs w:val="24"/>
        </w:rPr>
        <w:br w:type="textWrapping"/>
      </w:r>
      <w:r>
        <w:rPr>
          <w:rFonts w:asciiTheme="minorEastAsia" w:hAnsiTheme="minorEastAsia" w:eastAsiaTheme="minorEastAsia" w:cstheme="minorEastAsia"/>
          <w:sz w:val="24"/>
          <w:szCs w:val="24"/>
        </w:rPr>
        <w:t>4）社会保障资金缴纳证明：提供</w:t>
      </w:r>
      <w:r>
        <w:rPr>
          <w:rFonts w:hint="eastAsia" w:asciiTheme="minorEastAsia" w:hAnsiTheme="minorEastAsia" w:cstheme="minorEastAsia"/>
          <w:sz w:val="24"/>
          <w:szCs w:val="24"/>
          <w:lang w:eastAsia="zh-CN"/>
        </w:rPr>
        <w:t>响应文件</w:t>
      </w:r>
      <w:r>
        <w:rPr>
          <w:rFonts w:asciiTheme="minorEastAsia" w:hAnsiTheme="minorEastAsia" w:eastAsiaTheme="minorEastAsia" w:cstheme="minorEastAsia"/>
          <w:sz w:val="24"/>
          <w:szCs w:val="24"/>
        </w:rPr>
        <w:t>截止时间一年内至少一个月的社会保障资金缴存单据或社保机构开具的社会保险参保缴费情况证明。依法不需要缴纳社会保障资金的投标供应商，应提供相关证明。</w:t>
      </w:r>
      <w:r>
        <w:rPr>
          <w:rFonts w:asciiTheme="minorEastAsia" w:hAnsiTheme="minorEastAsia" w:cstheme="minorEastAsia"/>
          <w:sz w:val="24"/>
          <w:szCs w:val="24"/>
        </w:rPr>
        <w:br w:type="textWrapping"/>
      </w:r>
      <w:r>
        <w:rPr>
          <w:rFonts w:asciiTheme="minorEastAsia" w:hAnsiTheme="minorEastAsia" w:eastAsiaTheme="minorEastAsia" w:cstheme="minorEastAsia"/>
          <w:sz w:val="24"/>
          <w:szCs w:val="24"/>
        </w:rPr>
        <w:t>5）提供具有履行本合同所必需的设备和专业技术能力的声明。</w:t>
      </w:r>
      <w:r>
        <w:rPr>
          <w:rFonts w:asciiTheme="minorEastAsia" w:hAnsiTheme="minorEastAsia" w:cstheme="minorEastAsia"/>
          <w:sz w:val="24"/>
          <w:szCs w:val="24"/>
        </w:rPr>
        <w:br w:type="textWrapping"/>
      </w:r>
      <w:r>
        <w:rPr>
          <w:rFonts w:asciiTheme="minorEastAsia" w:hAnsiTheme="minorEastAsia" w:eastAsiaTheme="minorEastAsia" w:cstheme="minorEastAsia"/>
          <w:sz w:val="24"/>
          <w:szCs w:val="24"/>
        </w:rPr>
        <w:t>6）法定代表人授权书及被授权人身份证(法定代表人直接参加投标，须提交其身份证复印件及法定代表人身份证明)，非法人单位参照执行。</w:t>
      </w:r>
      <w:r>
        <w:rPr>
          <w:rFonts w:asciiTheme="minorEastAsia" w:hAnsiTheme="minorEastAsia" w:cstheme="minorEastAsia"/>
          <w:sz w:val="24"/>
          <w:szCs w:val="24"/>
        </w:rPr>
        <w:br w:type="textWrapping"/>
      </w:r>
      <w:r>
        <w:rPr>
          <w:rFonts w:asciiTheme="minorEastAsia" w:hAnsiTheme="minorEastAsia" w:eastAsiaTheme="minorEastAsia" w:cstheme="minorEastAsia"/>
          <w:sz w:val="24"/>
          <w:szCs w:val="24"/>
        </w:rPr>
        <w:t>7）提供参加本次政府采购活动前三年内在经营活动中没有重大违法记录的书面声明（提供声明书）。</w:t>
      </w:r>
      <w:r>
        <w:rPr>
          <w:rFonts w:asciiTheme="minorEastAsia" w:hAnsiTheme="minorEastAsia" w:cstheme="minorEastAsia"/>
          <w:sz w:val="24"/>
          <w:szCs w:val="24"/>
        </w:rPr>
        <w:br w:type="textWrapping"/>
      </w:r>
      <w:r>
        <w:rPr>
          <w:rFonts w:asciiTheme="minorEastAsia" w:hAnsiTheme="minorEastAsia" w:eastAsiaTheme="minorEastAsia" w:cstheme="minorEastAsia"/>
          <w:sz w:val="24"/>
          <w:szCs w:val="24"/>
        </w:rPr>
        <w:t>8）信用查询：未被“信用中国” 网站（www.creditchina.gov.cn）列入重大税收违法失信主体；不得被“中国执行信息公开网”（zxgk.court.gov.cn）列入失信被执行人名单；不得被“中国政府采购网”（www.ccgp.gov.cn）列入政府采购严重违法失信行为记录名单（采购代理机构查询，采购代理机构查询时限为响应文件递交截止之日）。</w:t>
      </w:r>
      <w:r>
        <w:rPr>
          <w:rFonts w:asciiTheme="minorEastAsia" w:hAnsiTheme="minorEastAsia" w:cstheme="minorEastAsia"/>
          <w:sz w:val="24"/>
          <w:szCs w:val="24"/>
        </w:rPr>
        <w:br w:type="textWrapping"/>
      </w:r>
      <w:r>
        <w:rPr>
          <w:rFonts w:hint="eastAsia" w:asciiTheme="minorEastAsia" w:hAnsiTheme="minorEastAsia" w:cstheme="minorEastAsia"/>
          <w:sz w:val="24"/>
          <w:szCs w:val="24"/>
          <w:highlight w:val="yellow"/>
          <w:lang w:eastAsia="zh-CN"/>
        </w:rPr>
        <w:t>9）供应商应具备《网络安全等级测评与检测评估机构服务认证证书》。</w:t>
      </w:r>
    </w:p>
    <w:p w14:paraId="34044203">
      <w:pPr>
        <w:spacing w:line="360" w:lineRule="auto"/>
        <w:ind w:left="500"/>
        <w:rPr>
          <w:rFonts w:ascii="宋体" w:hAnsi="宋体" w:eastAsia="宋体" w:cs="宋体"/>
          <w:sz w:val="24"/>
          <w:szCs w:val="24"/>
        </w:rPr>
      </w:pPr>
      <w:r>
        <w:rPr>
          <w:rFonts w:hint="eastAsia" w:asciiTheme="minorEastAsia" w:hAnsiTheme="minorEastAsia" w:cstheme="minorEastAsia"/>
          <w:sz w:val="24"/>
          <w:szCs w:val="24"/>
          <w:highlight w:val="yellow"/>
          <w:lang w:val="en-US" w:eastAsia="zh-CN"/>
        </w:rPr>
        <w:t>10）</w:t>
      </w:r>
      <w:r>
        <w:rPr>
          <w:rFonts w:hint="eastAsia" w:asciiTheme="minorEastAsia" w:hAnsiTheme="minorEastAsia" w:cstheme="minorEastAsia"/>
          <w:sz w:val="24"/>
          <w:szCs w:val="24"/>
          <w:lang w:eastAsia="zh-CN"/>
        </w:rPr>
        <w:t>本项目不接受联合体磋商。</w:t>
      </w:r>
    </w:p>
    <w:p w14:paraId="1197C9F3">
      <w:pPr>
        <w:spacing w:before="114" w:line="360" w:lineRule="auto"/>
        <w:ind w:left="9"/>
        <w:outlineLvl w:val="1"/>
        <w:rPr>
          <w:rFonts w:ascii="宋体" w:hAnsi="宋体" w:eastAsia="宋体" w:cs="宋体"/>
          <w:sz w:val="24"/>
          <w:szCs w:val="24"/>
        </w:rPr>
      </w:pPr>
      <w:bookmarkStart w:id="5" w:name="_Toc6851"/>
      <w:r>
        <w:rPr>
          <w:rFonts w:ascii="宋体" w:hAnsi="宋体" w:eastAsia="宋体" w:cs="宋体"/>
          <w:b/>
          <w:bCs/>
          <w:spacing w:val="-3"/>
          <w:sz w:val="24"/>
          <w:szCs w:val="24"/>
        </w:rPr>
        <w:t>三、获取采购文件</w:t>
      </w:r>
      <w:bookmarkEnd w:id="5"/>
    </w:p>
    <w:p w14:paraId="1F2E363E">
      <w:pPr>
        <w:spacing w:before="118" w:line="360" w:lineRule="auto"/>
        <w:ind w:left="11" w:right="32" w:firstLine="489"/>
        <w:rPr>
          <w:rFonts w:ascii="宋体" w:hAnsi="宋体" w:eastAsia="宋体" w:cs="宋体"/>
          <w:sz w:val="24"/>
          <w:szCs w:val="24"/>
        </w:rPr>
      </w:pPr>
      <w:r>
        <w:rPr>
          <w:rFonts w:ascii="宋体" w:hAnsi="宋体" w:eastAsia="宋体" w:cs="宋体"/>
          <w:spacing w:val="-10"/>
          <w:sz w:val="24"/>
          <w:szCs w:val="24"/>
        </w:rPr>
        <w:t>时间：2026</w:t>
      </w:r>
      <w:r>
        <w:rPr>
          <w:rFonts w:ascii="宋体" w:hAnsi="宋体" w:eastAsia="宋体" w:cs="宋体"/>
          <w:spacing w:val="-71"/>
          <w:sz w:val="24"/>
          <w:szCs w:val="24"/>
        </w:rPr>
        <w:t xml:space="preserve"> </w:t>
      </w:r>
      <w:r>
        <w:rPr>
          <w:rFonts w:ascii="宋体" w:hAnsi="宋体" w:eastAsia="宋体" w:cs="宋体"/>
          <w:spacing w:val="-10"/>
          <w:sz w:val="24"/>
          <w:szCs w:val="24"/>
        </w:rPr>
        <w:t>年  月</w:t>
      </w:r>
      <w:r>
        <w:rPr>
          <w:rFonts w:ascii="宋体" w:hAnsi="宋体" w:eastAsia="宋体" w:cs="宋体"/>
          <w:spacing w:val="25"/>
          <w:sz w:val="24"/>
          <w:szCs w:val="24"/>
        </w:rPr>
        <w:t xml:space="preserve">  </w:t>
      </w:r>
      <w:r>
        <w:rPr>
          <w:rFonts w:ascii="宋体" w:hAnsi="宋体" w:eastAsia="宋体" w:cs="宋体"/>
          <w:spacing w:val="-10"/>
          <w:sz w:val="24"/>
          <w:szCs w:val="24"/>
        </w:rPr>
        <w:t>日至</w:t>
      </w:r>
      <w:r>
        <w:rPr>
          <w:rFonts w:ascii="宋体" w:hAnsi="宋体" w:eastAsia="宋体" w:cs="宋体"/>
          <w:spacing w:val="-69"/>
          <w:sz w:val="24"/>
          <w:szCs w:val="24"/>
        </w:rPr>
        <w:t xml:space="preserve"> </w:t>
      </w:r>
      <w:r>
        <w:rPr>
          <w:rFonts w:ascii="宋体" w:hAnsi="宋体" w:eastAsia="宋体" w:cs="宋体"/>
          <w:spacing w:val="-10"/>
          <w:sz w:val="24"/>
          <w:szCs w:val="24"/>
        </w:rPr>
        <w:t xml:space="preserve">2026年  月 </w:t>
      </w:r>
      <w:r>
        <w:rPr>
          <w:rFonts w:ascii="宋体" w:hAnsi="宋体" w:eastAsia="宋体" w:cs="宋体"/>
          <w:spacing w:val="-11"/>
          <w:sz w:val="24"/>
          <w:szCs w:val="24"/>
        </w:rPr>
        <w:t xml:space="preserve">  日，每天上午</w:t>
      </w:r>
      <w:r>
        <w:rPr>
          <w:rFonts w:ascii="宋体" w:hAnsi="宋体" w:eastAsia="宋体" w:cs="宋体"/>
          <w:spacing w:val="-70"/>
          <w:sz w:val="24"/>
          <w:szCs w:val="24"/>
        </w:rPr>
        <w:t xml:space="preserve"> </w:t>
      </w:r>
      <w:r>
        <w:rPr>
          <w:rFonts w:ascii="宋体" w:hAnsi="宋体" w:eastAsia="宋体" w:cs="宋体"/>
          <w:spacing w:val="-11"/>
          <w:sz w:val="24"/>
          <w:szCs w:val="24"/>
        </w:rPr>
        <w:t>00:00:00</w:t>
      </w:r>
      <w:r>
        <w:rPr>
          <w:rFonts w:ascii="宋体" w:hAnsi="宋体" w:eastAsia="宋体" w:cs="宋体"/>
          <w:spacing w:val="-71"/>
          <w:sz w:val="24"/>
          <w:szCs w:val="24"/>
        </w:rPr>
        <w:t xml:space="preserve"> </w:t>
      </w:r>
      <w:r>
        <w:rPr>
          <w:rFonts w:ascii="宋体" w:hAnsi="宋体" w:eastAsia="宋体" w:cs="宋体"/>
          <w:spacing w:val="-11"/>
          <w:sz w:val="24"/>
          <w:szCs w:val="24"/>
        </w:rPr>
        <w:t>至</w:t>
      </w:r>
      <w:r>
        <w:rPr>
          <w:rFonts w:ascii="宋体" w:hAnsi="宋体" w:eastAsia="宋体" w:cs="宋体"/>
          <w:spacing w:val="-54"/>
          <w:sz w:val="24"/>
          <w:szCs w:val="24"/>
        </w:rPr>
        <w:t xml:space="preserve"> </w:t>
      </w:r>
      <w:r>
        <w:rPr>
          <w:rFonts w:ascii="宋体" w:hAnsi="宋体" w:eastAsia="宋体" w:cs="宋体"/>
          <w:spacing w:val="-11"/>
          <w:sz w:val="24"/>
          <w:szCs w:val="24"/>
        </w:rPr>
        <w:t>12:00:00，下午</w:t>
      </w:r>
      <w:r>
        <w:rPr>
          <w:rFonts w:ascii="宋体" w:hAnsi="宋体" w:eastAsia="宋体" w:cs="宋体"/>
          <w:spacing w:val="-55"/>
          <w:sz w:val="24"/>
          <w:szCs w:val="24"/>
        </w:rPr>
        <w:t xml:space="preserve"> </w:t>
      </w:r>
      <w:r>
        <w:rPr>
          <w:rFonts w:ascii="宋体" w:hAnsi="宋体" w:eastAsia="宋体" w:cs="宋体"/>
          <w:spacing w:val="-11"/>
          <w:sz w:val="24"/>
          <w:szCs w:val="24"/>
        </w:rPr>
        <w:t>12:00:00</w:t>
      </w:r>
      <w:r>
        <w:rPr>
          <w:rFonts w:ascii="宋体" w:hAnsi="宋体" w:eastAsia="宋体" w:cs="宋体"/>
          <w:spacing w:val="-1"/>
          <w:sz w:val="24"/>
          <w:szCs w:val="24"/>
        </w:rPr>
        <w:t>至</w:t>
      </w:r>
      <w:r>
        <w:rPr>
          <w:rFonts w:ascii="宋体" w:hAnsi="宋体" w:eastAsia="宋体" w:cs="宋体"/>
          <w:spacing w:val="-48"/>
          <w:sz w:val="24"/>
          <w:szCs w:val="24"/>
        </w:rPr>
        <w:t xml:space="preserve"> </w:t>
      </w:r>
      <w:r>
        <w:rPr>
          <w:rFonts w:ascii="宋体" w:hAnsi="宋体" w:eastAsia="宋体" w:cs="宋体"/>
          <w:spacing w:val="-1"/>
          <w:sz w:val="24"/>
          <w:szCs w:val="24"/>
        </w:rPr>
        <w:t>23:59:59（北京时间,法定节假日除</w:t>
      </w:r>
      <w:r>
        <w:rPr>
          <w:rFonts w:ascii="宋体" w:hAnsi="宋体" w:eastAsia="宋体" w:cs="宋体"/>
          <w:spacing w:val="-2"/>
          <w:sz w:val="24"/>
          <w:szCs w:val="24"/>
        </w:rPr>
        <w:t>外）</w:t>
      </w:r>
    </w:p>
    <w:p w14:paraId="3A52F096">
      <w:pPr>
        <w:spacing w:before="1" w:line="360" w:lineRule="auto"/>
        <w:ind w:left="8" w:right="34" w:firstLine="480"/>
        <w:rPr>
          <w:rFonts w:ascii="宋体" w:hAnsi="宋体" w:eastAsia="宋体" w:cs="宋体"/>
          <w:sz w:val="24"/>
          <w:szCs w:val="24"/>
        </w:rPr>
      </w:pPr>
      <w:r>
        <w:rPr>
          <w:rFonts w:ascii="宋体" w:hAnsi="宋体" w:eastAsia="宋体" w:cs="宋体"/>
          <w:spacing w:val="-5"/>
          <w:sz w:val="24"/>
          <w:szCs w:val="24"/>
        </w:rPr>
        <w:t>途径：全国公共资源交易平台（陕西省</w:t>
      </w:r>
      <w:r>
        <w:rPr>
          <w:rFonts w:ascii="宋体" w:hAnsi="宋体" w:eastAsia="宋体" w:cs="宋体"/>
          <w:spacing w:val="-28"/>
          <w:sz w:val="24"/>
          <w:szCs w:val="24"/>
        </w:rPr>
        <w:t xml:space="preserve"> </w:t>
      </w:r>
      <w:r>
        <w:rPr>
          <w:rFonts w:ascii="宋体" w:hAnsi="宋体" w:eastAsia="宋体" w:cs="宋体"/>
          <w:spacing w:val="-5"/>
          <w:sz w:val="24"/>
          <w:szCs w:val="24"/>
        </w:rPr>
        <w:t>·杨凌示范区）〖首页〉电子交易平台〉</w:t>
      </w:r>
      <w:r>
        <w:rPr>
          <w:rFonts w:ascii="宋体" w:hAnsi="宋体" w:eastAsia="宋体" w:cs="宋体"/>
          <w:spacing w:val="-6"/>
          <w:sz w:val="24"/>
          <w:szCs w:val="24"/>
        </w:rPr>
        <w:t>陕西政府</w:t>
      </w:r>
      <w:r>
        <w:rPr>
          <w:rFonts w:ascii="宋体" w:hAnsi="宋体" w:eastAsia="宋体" w:cs="宋体"/>
          <w:spacing w:val="-1"/>
          <w:sz w:val="24"/>
          <w:szCs w:val="24"/>
        </w:rPr>
        <w:t>采购交易系统〉企业端〗</w:t>
      </w:r>
    </w:p>
    <w:p w14:paraId="662762DE">
      <w:pPr>
        <w:spacing w:line="360" w:lineRule="auto"/>
        <w:ind w:left="490"/>
        <w:rPr>
          <w:rFonts w:ascii="宋体" w:hAnsi="宋体" w:eastAsia="宋体" w:cs="宋体"/>
          <w:sz w:val="24"/>
          <w:szCs w:val="24"/>
        </w:rPr>
      </w:pPr>
      <w:r>
        <w:rPr>
          <w:rFonts w:ascii="宋体" w:hAnsi="宋体" w:eastAsia="宋体" w:cs="宋体"/>
          <w:spacing w:val="-2"/>
          <w:sz w:val="24"/>
          <w:szCs w:val="24"/>
        </w:rPr>
        <w:t>方式：在线获取</w:t>
      </w:r>
    </w:p>
    <w:p w14:paraId="3EF2D1AC">
      <w:pPr>
        <w:spacing w:before="113" w:line="360" w:lineRule="auto"/>
        <w:ind w:left="489"/>
        <w:rPr>
          <w:rFonts w:ascii="宋体" w:hAnsi="宋体" w:eastAsia="宋体" w:cs="宋体"/>
          <w:sz w:val="24"/>
          <w:szCs w:val="24"/>
        </w:rPr>
      </w:pPr>
      <w:r>
        <w:rPr>
          <w:rFonts w:ascii="宋体" w:hAnsi="宋体" w:eastAsia="宋体" w:cs="宋体"/>
          <w:spacing w:val="-2"/>
          <w:sz w:val="24"/>
          <w:szCs w:val="24"/>
        </w:rPr>
        <w:t>售价：0</w:t>
      </w:r>
      <w:r>
        <w:rPr>
          <w:rFonts w:ascii="宋体" w:hAnsi="宋体" w:eastAsia="宋体" w:cs="宋体"/>
          <w:spacing w:val="-49"/>
          <w:sz w:val="24"/>
          <w:szCs w:val="24"/>
        </w:rPr>
        <w:t xml:space="preserve"> </w:t>
      </w:r>
      <w:r>
        <w:rPr>
          <w:rFonts w:ascii="宋体" w:hAnsi="宋体" w:eastAsia="宋体" w:cs="宋体"/>
          <w:spacing w:val="-2"/>
          <w:sz w:val="24"/>
          <w:szCs w:val="24"/>
        </w:rPr>
        <w:t>元</w:t>
      </w:r>
    </w:p>
    <w:p w14:paraId="20CD6365">
      <w:pPr>
        <w:spacing w:before="118" w:line="360" w:lineRule="auto"/>
        <w:ind w:left="31"/>
        <w:outlineLvl w:val="1"/>
        <w:rPr>
          <w:rFonts w:ascii="宋体" w:hAnsi="宋体" w:eastAsia="宋体" w:cs="宋体"/>
          <w:sz w:val="24"/>
          <w:szCs w:val="24"/>
        </w:rPr>
      </w:pPr>
      <w:bookmarkStart w:id="6" w:name="_Toc16676"/>
      <w:r>
        <w:rPr>
          <w:rFonts w:ascii="宋体" w:hAnsi="宋体" w:eastAsia="宋体" w:cs="宋体"/>
          <w:b/>
          <w:bCs/>
          <w:spacing w:val="-6"/>
          <w:sz w:val="24"/>
          <w:szCs w:val="24"/>
        </w:rPr>
        <w:t>四、响应文件提交</w:t>
      </w:r>
      <w:bookmarkEnd w:id="6"/>
    </w:p>
    <w:p w14:paraId="773B46AB">
      <w:pPr>
        <w:spacing w:before="116" w:line="360" w:lineRule="auto"/>
        <w:ind w:left="488"/>
        <w:rPr>
          <w:rFonts w:ascii="宋体" w:hAnsi="宋体" w:eastAsia="宋体" w:cs="宋体"/>
          <w:sz w:val="24"/>
          <w:szCs w:val="24"/>
        </w:rPr>
      </w:pPr>
      <w:r>
        <w:rPr>
          <w:rFonts w:ascii="宋体" w:hAnsi="宋体" w:eastAsia="宋体" w:cs="宋体"/>
          <w:spacing w:val="-5"/>
          <w:sz w:val="24"/>
          <w:szCs w:val="24"/>
        </w:rPr>
        <w:t>截止时间：2026</w:t>
      </w:r>
      <w:r>
        <w:rPr>
          <w:rFonts w:ascii="宋体" w:hAnsi="宋体" w:eastAsia="宋体" w:cs="宋体"/>
          <w:spacing w:val="-34"/>
          <w:sz w:val="24"/>
          <w:szCs w:val="24"/>
        </w:rPr>
        <w:t xml:space="preserve"> </w:t>
      </w:r>
      <w:r>
        <w:rPr>
          <w:rFonts w:ascii="宋体" w:hAnsi="宋体" w:eastAsia="宋体" w:cs="宋体"/>
          <w:spacing w:val="-5"/>
          <w:sz w:val="24"/>
          <w:szCs w:val="24"/>
        </w:rPr>
        <w:t>年  月</w:t>
      </w:r>
      <w:r>
        <w:rPr>
          <w:rFonts w:ascii="宋体" w:hAnsi="宋体" w:eastAsia="宋体" w:cs="宋体"/>
          <w:spacing w:val="25"/>
          <w:sz w:val="24"/>
          <w:szCs w:val="24"/>
        </w:rPr>
        <w:t xml:space="preserve">  </w:t>
      </w:r>
      <w:r>
        <w:rPr>
          <w:rFonts w:ascii="宋体" w:hAnsi="宋体" w:eastAsia="宋体" w:cs="宋体"/>
          <w:spacing w:val="-5"/>
          <w:sz w:val="24"/>
          <w:szCs w:val="24"/>
        </w:rPr>
        <w:t>日 09</w:t>
      </w:r>
      <w:r>
        <w:rPr>
          <w:rFonts w:ascii="宋体" w:hAnsi="宋体" w:eastAsia="宋体" w:cs="宋体"/>
          <w:spacing w:val="-39"/>
          <w:sz w:val="24"/>
          <w:szCs w:val="24"/>
        </w:rPr>
        <w:t xml:space="preserve"> </w:t>
      </w:r>
      <w:r>
        <w:rPr>
          <w:rFonts w:ascii="宋体" w:hAnsi="宋体" w:eastAsia="宋体" w:cs="宋体"/>
          <w:spacing w:val="-5"/>
          <w:sz w:val="24"/>
          <w:szCs w:val="24"/>
        </w:rPr>
        <w:t>时</w:t>
      </w:r>
      <w:r>
        <w:rPr>
          <w:rFonts w:ascii="宋体" w:hAnsi="宋体" w:eastAsia="宋体" w:cs="宋体"/>
          <w:spacing w:val="-49"/>
          <w:sz w:val="24"/>
          <w:szCs w:val="24"/>
        </w:rPr>
        <w:t xml:space="preserve"> </w:t>
      </w:r>
      <w:r>
        <w:rPr>
          <w:rFonts w:ascii="宋体" w:hAnsi="宋体" w:eastAsia="宋体" w:cs="宋体"/>
          <w:spacing w:val="-5"/>
          <w:sz w:val="24"/>
          <w:szCs w:val="24"/>
        </w:rPr>
        <w:t>00</w:t>
      </w:r>
      <w:r>
        <w:rPr>
          <w:rFonts w:ascii="宋体" w:hAnsi="宋体" w:eastAsia="宋体" w:cs="宋体"/>
          <w:spacing w:val="-48"/>
          <w:sz w:val="24"/>
          <w:szCs w:val="24"/>
        </w:rPr>
        <w:t xml:space="preserve"> </w:t>
      </w:r>
      <w:r>
        <w:rPr>
          <w:rFonts w:ascii="宋体" w:hAnsi="宋体" w:eastAsia="宋体" w:cs="宋体"/>
          <w:spacing w:val="-5"/>
          <w:sz w:val="24"/>
          <w:szCs w:val="24"/>
        </w:rPr>
        <w:t>分</w:t>
      </w:r>
      <w:r>
        <w:rPr>
          <w:rFonts w:ascii="宋体" w:hAnsi="宋体" w:eastAsia="宋体" w:cs="宋体"/>
          <w:spacing w:val="-48"/>
          <w:sz w:val="24"/>
          <w:szCs w:val="24"/>
        </w:rPr>
        <w:t xml:space="preserve"> </w:t>
      </w:r>
      <w:r>
        <w:rPr>
          <w:rFonts w:ascii="宋体" w:hAnsi="宋体" w:eastAsia="宋体" w:cs="宋体"/>
          <w:spacing w:val="-5"/>
          <w:sz w:val="24"/>
          <w:szCs w:val="24"/>
        </w:rPr>
        <w:t>00</w:t>
      </w:r>
      <w:r>
        <w:rPr>
          <w:rFonts w:ascii="宋体" w:hAnsi="宋体" w:eastAsia="宋体" w:cs="宋体"/>
          <w:spacing w:val="-52"/>
          <w:sz w:val="24"/>
          <w:szCs w:val="24"/>
        </w:rPr>
        <w:t xml:space="preserve"> </w:t>
      </w:r>
      <w:r>
        <w:rPr>
          <w:rFonts w:ascii="宋体" w:hAnsi="宋体" w:eastAsia="宋体" w:cs="宋体"/>
          <w:spacing w:val="-5"/>
          <w:sz w:val="24"/>
          <w:szCs w:val="24"/>
        </w:rPr>
        <w:t>秒（北京时间）</w:t>
      </w:r>
    </w:p>
    <w:p w14:paraId="14F23105">
      <w:pPr>
        <w:spacing w:before="114" w:line="360" w:lineRule="auto"/>
        <w:ind w:left="8" w:right="34" w:firstLine="480"/>
        <w:rPr>
          <w:rFonts w:ascii="宋体" w:hAnsi="宋体" w:eastAsia="宋体" w:cs="宋体"/>
          <w:sz w:val="24"/>
          <w:szCs w:val="24"/>
        </w:rPr>
      </w:pPr>
      <w:r>
        <w:rPr>
          <w:rFonts w:ascii="宋体" w:hAnsi="宋体" w:eastAsia="宋体" w:cs="宋体"/>
          <w:spacing w:val="-5"/>
          <w:sz w:val="24"/>
          <w:szCs w:val="24"/>
        </w:rPr>
        <w:t>地点：全国公共资源交易平台（陕西省</w:t>
      </w:r>
      <w:r>
        <w:rPr>
          <w:rFonts w:ascii="宋体" w:hAnsi="宋体" w:eastAsia="宋体" w:cs="宋体"/>
          <w:spacing w:val="-28"/>
          <w:sz w:val="24"/>
          <w:szCs w:val="24"/>
        </w:rPr>
        <w:t xml:space="preserve"> </w:t>
      </w:r>
      <w:r>
        <w:rPr>
          <w:rFonts w:ascii="宋体" w:hAnsi="宋体" w:eastAsia="宋体" w:cs="宋体"/>
          <w:spacing w:val="-5"/>
          <w:sz w:val="24"/>
          <w:szCs w:val="24"/>
        </w:rPr>
        <w:t>·杨凌示范区）〖首页〉电子交易平台〉</w:t>
      </w:r>
      <w:r>
        <w:rPr>
          <w:rFonts w:ascii="宋体" w:hAnsi="宋体" w:eastAsia="宋体" w:cs="宋体"/>
          <w:spacing w:val="-6"/>
          <w:sz w:val="24"/>
          <w:szCs w:val="24"/>
        </w:rPr>
        <w:t>陕西政府</w:t>
      </w:r>
      <w:r>
        <w:rPr>
          <w:rFonts w:ascii="宋体" w:hAnsi="宋体" w:eastAsia="宋体" w:cs="宋体"/>
          <w:spacing w:val="-1"/>
          <w:sz w:val="24"/>
          <w:szCs w:val="24"/>
        </w:rPr>
        <w:t>采购交易系统〉企业端〗，在线提交，逾期系统将拒绝接收。</w:t>
      </w:r>
    </w:p>
    <w:p w14:paraId="769A8AB8">
      <w:pPr>
        <w:spacing w:before="1" w:line="360" w:lineRule="auto"/>
        <w:ind w:left="13"/>
        <w:outlineLvl w:val="1"/>
        <w:rPr>
          <w:rFonts w:ascii="宋体" w:hAnsi="宋体" w:eastAsia="宋体" w:cs="宋体"/>
          <w:sz w:val="24"/>
          <w:szCs w:val="24"/>
        </w:rPr>
      </w:pPr>
      <w:bookmarkStart w:id="7" w:name="_Toc197"/>
      <w:r>
        <w:rPr>
          <w:rFonts w:ascii="宋体" w:hAnsi="宋体" w:eastAsia="宋体" w:cs="宋体"/>
          <w:b/>
          <w:bCs/>
          <w:spacing w:val="-6"/>
          <w:sz w:val="24"/>
          <w:szCs w:val="24"/>
        </w:rPr>
        <w:t>五、开启</w:t>
      </w:r>
      <w:bookmarkEnd w:id="7"/>
    </w:p>
    <w:p w14:paraId="7429A9D4">
      <w:pPr>
        <w:spacing w:before="112" w:line="360" w:lineRule="auto"/>
        <w:ind w:left="500"/>
      </w:pPr>
      <w:r>
        <w:rPr>
          <w:rFonts w:ascii="宋体" w:hAnsi="宋体" w:eastAsia="宋体" w:cs="宋体"/>
          <w:spacing w:val="-6"/>
          <w:sz w:val="24"/>
          <w:szCs w:val="24"/>
        </w:rPr>
        <w:t>时间：2026</w:t>
      </w:r>
      <w:r>
        <w:rPr>
          <w:rFonts w:ascii="宋体" w:hAnsi="宋体" w:eastAsia="宋体" w:cs="宋体"/>
          <w:spacing w:val="-46"/>
          <w:sz w:val="24"/>
          <w:szCs w:val="24"/>
        </w:rPr>
        <w:t xml:space="preserve"> </w:t>
      </w:r>
      <w:r>
        <w:rPr>
          <w:rFonts w:ascii="宋体" w:hAnsi="宋体" w:eastAsia="宋体" w:cs="宋体"/>
          <w:spacing w:val="-6"/>
          <w:sz w:val="24"/>
          <w:szCs w:val="24"/>
        </w:rPr>
        <w:t>年  月</w:t>
      </w:r>
      <w:r>
        <w:rPr>
          <w:rFonts w:ascii="宋体" w:hAnsi="宋体" w:eastAsia="宋体" w:cs="宋体"/>
          <w:spacing w:val="25"/>
          <w:sz w:val="24"/>
          <w:szCs w:val="24"/>
        </w:rPr>
        <w:t xml:space="preserve">  </w:t>
      </w:r>
      <w:r>
        <w:rPr>
          <w:rFonts w:ascii="宋体" w:hAnsi="宋体" w:eastAsia="宋体" w:cs="宋体"/>
          <w:spacing w:val="-6"/>
          <w:sz w:val="24"/>
          <w:szCs w:val="24"/>
        </w:rPr>
        <w:t>日</w:t>
      </w:r>
      <w:r>
        <w:rPr>
          <w:rFonts w:ascii="宋体" w:hAnsi="宋体" w:eastAsia="宋体" w:cs="宋体"/>
          <w:spacing w:val="-48"/>
          <w:sz w:val="24"/>
          <w:szCs w:val="24"/>
        </w:rPr>
        <w:t xml:space="preserve"> </w:t>
      </w:r>
      <w:r>
        <w:rPr>
          <w:rFonts w:ascii="宋体" w:hAnsi="宋体" w:eastAsia="宋体" w:cs="宋体"/>
          <w:spacing w:val="-6"/>
          <w:sz w:val="24"/>
          <w:szCs w:val="24"/>
        </w:rPr>
        <w:t>09</w:t>
      </w:r>
      <w:r>
        <w:rPr>
          <w:rFonts w:ascii="宋体" w:hAnsi="宋体" w:eastAsia="宋体" w:cs="宋体"/>
          <w:spacing w:val="-39"/>
          <w:sz w:val="24"/>
          <w:szCs w:val="24"/>
        </w:rPr>
        <w:t xml:space="preserve"> </w:t>
      </w:r>
      <w:r>
        <w:rPr>
          <w:rFonts w:ascii="宋体" w:hAnsi="宋体" w:eastAsia="宋体" w:cs="宋体"/>
          <w:spacing w:val="-6"/>
          <w:sz w:val="24"/>
          <w:szCs w:val="24"/>
        </w:rPr>
        <w:t>时</w:t>
      </w:r>
      <w:r>
        <w:rPr>
          <w:rFonts w:ascii="宋体" w:hAnsi="宋体" w:eastAsia="宋体" w:cs="宋体"/>
          <w:spacing w:val="-49"/>
          <w:sz w:val="24"/>
          <w:szCs w:val="24"/>
        </w:rPr>
        <w:t xml:space="preserve"> </w:t>
      </w:r>
      <w:r>
        <w:rPr>
          <w:rFonts w:ascii="宋体" w:hAnsi="宋体" w:eastAsia="宋体" w:cs="宋体"/>
          <w:spacing w:val="-6"/>
          <w:sz w:val="24"/>
          <w:szCs w:val="24"/>
        </w:rPr>
        <w:t>00</w:t>
      </w:r>
      <w:r>
        <w:rPr>
          <w:rFonts w:ascii="宋体" w:hAnsi="宋体" w:eastAsia="宋体" w:cs="宋体"/>
          <w:spacing w:val="-48"/>
          <w:sz w:val="24"/>
          <w:szCs w:val="24"/>
        </w:rPr>
        <w:t xml:space="preserve"> </w:t>
      </w:r>
      <w:r>
        <w:rPr>
          <w:rFonts w:ascii="宋体" w:hAnsi="宋体" w:eastAsia="宋体" w:cs="宋体"/>
          <w:spacing w:val="-6"/>
          <w:sz w:val="24"/>
          <w:szCs w:val="24"/>
        </w:rPr>
        <w:t>分</w:t>
      </w:r>
      <w:r>
        <w:rPr>
          <w:rFonts w:ascii="宋体" w:hAnsi="宋体" w:eastAsia="宋体" w:cs="宋体"/>
          <w:spacing w:val="-49"/>
          <w:sz w:val="24"/>
          <w:szCs w:val="24"/>
        </w:rPr>
        <w:t xml:space="preserve"> </w:t>
      </w:r>
      <w:r>
        <w:rPr>
          <w:rFonts w:ascii="宋体" w:hAnsi="宋体" w:eastAsia="宋体" w:cs="宋体"/>
          <w:spacing w:val="-6"/>
          <w:sz w:val="24"/>
          <w:szCs w:val="24"/>
        </w:rPr>
        <w:t>00</w:t>
      </w:r>
      <w:r>
        <w:rPr>
          <w:rFonts w:ascii="宋体" w:hAnsi="宋体" w:eastAsia="宋体" w:cs="宋体"/>
          <w:spacing w:val="-51"/>
          <w:sz w:val="24"/>
          <w:szCs w:val="24"/>
        </w:rPr>
        <w:t xml:space="preserve"> </w:t>
      </w:r>
      <w:r>
        <w:rPr>
          <w:rFonts w:ascii="宋体" w:hAnsi="宋体" w:eastAsia="宋体" w:cs="宋体"/>
          <w:spacing w:val="-6"/>
          <w:sz w:val="24"/>
          <w:szCs w:val="24"/>
        </w:rPr>
        <w:t>秒（北京时间）</w:t>
      </w:r>
    </w:p>
    <w:p w14:paraId="5B363B1E">
      <w:pPr>
        <w:spacing w:before="78" w:line="360" w:lineRule="auto"/>
        <w:ind w:left="491"/>
        <w:rPr>
          <w:rFonts w:ascii="宋体" w:hAnsi="宋体" w:eastAsia="宋体" w:cs="宋体"/>
          <w:sz w:val="24"/>
          <w:szCs w:val="24"/>
        </w:rPr>
      </w:pPr>
      <w:r>
        <w:rPr>
          <w:rFonts w:ascii="宋体" w:hAnsi="宋体" w:eastAsia="宋体" w:cs="宋体"/>
          <w:spacing w:val="-3"/>
          <w:sz w:val="24"/>
          <w:szCs w:val="24"/>
        </w:rPr>
        <w:t>地点：全国公共资源交易平台（陕西省</w:t>
      </w:r>
      <w:r>
        <w:rPr>
          <w:rFonts w:ascii="宋体" w:hAnsi="宋体" w:eastAsia="宋体" w:cs="宋体"/>
          <w:spacing w:val="-28"/>
          <w:sz w:val="24"/>
          <w:szCs w:val="24"/>
        </w:rPr>
        <w:t xml:space="preserve"> </w:t>
      </w:r>
      <w:r>
        <w:rPr>
          <w:rFonts w:ascii="宋体" w:hAnsi="宋体" w:eastAsia="宋体" w:cs="宋体"/>
          <w:spacing w:val="-3"/>
          <w:sz w:val="24"/>
          <w:szCs w:val="24"/>
        </w:rPr>
        <w:t>·杨凌示范区）不</w:t>
      </w:r>
      <w:r>
        <w:rPr>
          <w:rFonts w:ascii="宋体" w:hAnsi="宋体" w:eastAsia="宋体" w:cs="宋体"/>
          <w:spacing w:val="-4"/>
          <w:sz w:val="24"/>
          <w:szCs w:val="24"/>
        </w:rPr>
        <w:t>见面开标大厅。</w:t>
      </w:r>
    </w:p>
    <w:p w14:paraId="3D2F5E30">
      <w:pPr>
        <w:spacing w:before="115" w:line="360" w:lineRule="auto"/>
        <w:ind w:left="13"/>
        <w:outlineLvl w:val="1"/>
        <w:rPr>
          <w:rFonts w:ascii="宋体" w:hAnsi="宋体" w:eastAsia="宋体" w:cs="宋体"/>
          <w:sz w:val="24"/>
          <w:szCs w:val="24"/>
        </w:rPr>
      </w:pPr>
      <w:bookmarkStart w:id="8" w:name="_Toc28160"/>
      <w:r>
        <w:rPr>
          <w:rFonts w:ascii="宋体" w:hAnsi="宋体" w:eastAsia="宋体" w:cs="宋体"/>
          <w:b/>
          <w:bCs/>
          <w:spacing w:val="-4"/>
          <w:sz w:val="24"/>
          <w:szCs w:val="24"/>
        </w:rPr>
        <w:t>六、公告期限</w:t>
      </w:r>
      <w:bookmarkEnd w:id="8"/>
    </w:p>
    <w:p w14:paraId="7E673ED2">
      <w:pPr>
        <w:spacing w:before="117" w:line="360" w:lineRule="auto"/>
        <w:ind w:left="531"/>
        <w:rPr>
          <w:rFonts w:ascii="宋体" w:hAnsi="宋体" w:eastAsia="宋体" w:cs="宋体"/>
          <w:sz w:val="24"/>
          <w:szCs w:val="24"/>
        </w:rPr>
      </w:pPr>
      <w:r>
        <w:rPr>
          <w:rFonts w:ascii="宋体" w:hAnsi="宋体" w:eastAsia="宋体" w:cs="宋体"/>
          <w:spacing w:val="-5"/>
          <w:sz w:val="24"/>
          <w:szCs w:val="24"/>
        </w:rPr>
        <w:t>自本公告发布之日起</w:t>
      </w:r>
      <w:r>
        <w:rPr>
          <w:rFonts w:ascii="宋体" w:hAnsi="宋体" w:eastAsia="宋体" w:cs="宋体"/>
          <w:spacing w:val="-45"/>
          <w:sz w:val="24"/>
          <w:szCs w:val="24"/>
        </w:rPr>
        <w:t xml:space="preserve"> </w:t>
      </w:r>
      <w:r>
        <w:rPr>
          <w:rFonts w:ascii="宋体" w:hAnsi="宋体" w:eastAsia="宋体" w:cs="宋体"/>
          <w:spacing w:val="-5"/>
          <w:sz w:val="24"/>
          <w:szCs w:val="24"/>
        </w:rPr>
        <w:t>3</w:t>
      </w:r>
      <w:r>
        <w:rPr>
          <w:rFonts w:ascii="宋体" w:hAnsi="宋体" w:eastAsia="宋体" w:cs="宋体"/>
          <w:spacing w:val="-50"/>
          <w:sz w:val="24"/>
          <w:szCs w:val="24"/>
        </w:rPr>
        <w:t xml:space="preserve"> </w:t>
      </w:r>
      <w:r>
        <w:rPr>
          <w:rFonts w:ascii="宋体" w:hAnsi="宋体" w:eastAsia="宋体" w:cs="宋体"/>
          <w:spacing w:val="-5"/>
          <w:sz w:val="24"/>
          <w:szCs w:val="24"/>
        </w:rPr>
        <w:t>个工作日。</w:t>
      </w:r>
    </w:p>
    <w:p w14:paraId="4AEEFFC3">
      <w:pPr>
        <w:spacing w:before="115" w:line="360" w:lineRule="auto"/>
        <w:ind w:left="10"/>
        <w:outlineLvl w:val="1"/>
        <w:rPr>
          <w:rFonts w:ascii="宋体" w:hAnsi="宋体" w:eastAsia="宋体" w:cs="宋体"/>
          <w:sz w:val="24"/>
          <w:szCs w:val="24"/>
        </w:rPr>
      </w:pPr>
      <w:bookmarkStart w:id="9" w:name="_Toc5289"/>
      <w:r>
        <w:rPr>
          <w:rFonts w:ascii="宋体" w:hAnsi="宋体" w:eastAsia="宋体" w:cs="宋体"/>
          <w:b/>
          <w:bCs/>
          <w:spacing w:val="-3"/>
          <w:sz w:val="24"/>
          <w:szCs w:val="24"/>
        </w:rPr>
        <w:t>七、其他补充事宜</w:t>
      </w:r>
      <w:bookmarkEnd w:id="9"/>
    </w:p>
    <w:p w14:paraId="4AD8D0E0">
      <w:pPr>
        <w:spacing w:before="115" w:line="360" w:lineRule="auto"/>
        <w:ind w:left="509"/>
        <w:outlineLvl w:val="2"/>
        <w:rPr>
          <w:rFonts w:ascii="宋体" w:hAnsi="宋体" w:eastAsia="宋体" w:cs="宋体"/>
          <w:sz w:val="24"/>
          <w:szCs w:val="24"/>
        </w:rPr>
      </w:pPr>
      <w:bookmarkStart w:id="10" w:name="_Toc15763"/>
      <w:r>
        <w:rPr>
          <w:rFonts w:ascii="宋体" w:hAnsi="宋体" w:eastAsia="宋体" w:cs="宋体"/>
          <w:sz w:val="24"/>
          <w:szCs w:val="24"/>
        </w:rPr>
        <w:t>1.网上投标确认流程：登录全国公共资源交易平台（陕西省·杨凌示范区</w:t>
      </w:r>
      <w:r>
        <w:rPr>
          <w:rFonts w:ascii="宋体" w:hAnsi="宋体" w:eastAsia="宋体" w:cs="宋体"/>
          <w:spacing w:val="-15"/>
          <w:sz w:val="24"/>
          <w:szCs w:val="24"/>
        </w:rPr>
        <w:t>）（</w:t>
      </w:r>
      <w:r>
        <w:fldChar w:fldCharType="begin"/>
      </w:r>
      <w:r>
        <w:instrText xml:space="preserve"> HYPERLINK "http://ya" </w:instrText>
      </w:r>
      <w:r>
        <w:fldChar w:fldCharType="separate"/>
      </w:r>
      <w:r>
        <w:rPr>
          <w:rFonts w:ascii="宋体" w:hAnsi="宋体" w:eastAsia="宋体" w:cs="宋体"/>
          <w:sz w:val="24"/>
          <w:szCs w:val="24"/>
        </w:rPr>
        <w:t>http://ya</w:t>
      </w:r>
      <w:r>
        <w:rPr>
          <w:rFonts w:ascii="宋体" w:hAnsi="宋体" w:eastAsia="宋体" w:cs="宋体"/>
          <w:sz w:val="24"/>
          <w:szCs w:val="24"/>
        </w:rPr>
        <w:fldChar w:fldCharType="end"/>
      </w:r>
      <w:bookmarkEnd w:id="10"/>
    </w:p>
    <w:p w14:paraId="06918D83">
      <w:pPr>
        <w:spacing w:before="119" w:line="360" w:lineRule="auto"/>
        <w:ind w:right="79" w:firstLine="9"/>
        <w:jc w:val="both"/>
        <w:rPr>
          <w:rFonts w:ascii="宋体" w:hAnsi="宋体" w:eastAsia="宋体" w:cs="宋体"/>
          <w:sz w:val="24"/>
          <w:szCs w:val="24"/>
        </w:rPr>
      </w:pPr>
      <w:r>
        <w:fldChar w:fldCharType="begin"/>
      </w:r>
      <w:r>
        <w:instrText xml:space="preserve"> HYPERLINK "ngl.sxggzyjy.cn/" </w:instrText>
      </w:r>
      <w:r>
        <w:fldChar w:fldCharType="separate"/>
      </w:r>
      <w:r>
        <w:rPr>
          <w:rFonts w:ascii="宋体" w:hAnsi="宋体" w:eastAsia="宋体" w:cs="宋体"/>
          <w:sz w:val="24"/>
          <w:szCs w:val="24"/>
        </w:rPr>
        <w:t>ngl.sxggzyjy.cn/</w:t>
      </w:r>
      <w:r>
        <w:rPr>
          <w:rFonts w:ascii="宋体" w:hAnsi="宋体" w:eastAsia="宋体" w:cs="宋体"/>
          <w:sz w:val="24"/>
          <w:szCs w:val="24"/>
        </w:rPr>
        <w:fldChar w:fldCharType="end"/>
      </w:r>
      <w:r>
        <w:rPr>
          <w:rFonts w:ascii="宋体" w:hAnsi="宋体" w:eastAsia="宋体" w:cs="宋体"/>
          <w:spacing w:val="4"/>
          <w:sz w:val="24"/>
          <w:szCs w:val="24"/>
        </w:rPr>
        <w:t>），</w:t>
      </w:r>
      <w:r>
        <w:rPr>
          <w:rFonts w:ascii="宋体" w:hAnsi="宋体" w:eastAsia="宋体" w:cs="宋体"/>
          <w:sz w:val="24"/>
          <w:szCs w:val="24"/>
        </w:rPr>
        <w:t>选择“电子交易平台-陕西政府</w:t>
      </w:r>
      <w:r>
        <w:rPr>
          <w:rFonts w:ascii="宋体" w:hAnsi="宋体" w:eastAsia="宋体" w:cs="宋体"/>
          <w:spacing w:val="-1"/>
          <w:sz w:val="24"/>
          <w:szCs w:val="24"/>
        </w:rPr>
        <w:t>采购交易系统”进行登录，登录后选择</w:t>
      </w:r>
      <w:r>
        <w:rPr>
          <w:rFonts w:ascii="宋体" w:hAnsi="宋体" w:eastAsia="宋体" w:cs="宋体"/>
          <w:spacing w:val="-4"/>
          <w:sz w:val="24"/>
          <w:szCs w:val="24"/>
        </w:rPr>
        <w:t>“交易乙方</w:t>
      </w:r>
      <w:r>
        <w:rPr>
          <w:rFonts w:ascii="宋体" w:hAnsi="宋体" w:eastAsia="宋体" w:cs="宋体"/>
          <w:spacing w:val="-81"/>
          <w:sz w:val="24"/>
          <w:szCs w:val="24"/>
        </w:rPr>
        <w:t xml:space="preserve"> </w:t>
      </w:r>
      <w:r>
        <w:rPr>
          <w:rFonts w:ascii="宋体" w:hAnsi="宋体" w:eastAsia="宋体" w:cs="宋体"/>
          <w:spacing w:val="-4"/>
          <w:sz w:val="24"/>
          <w:szCs w:val="24"/>
        </w:rPr>
        <w:t>”选择本项目选择“我要投标</w:t>
      </w:r>
      <w:r>
        <w:rPr>
          <w:rFonts w:ascii="宋体" w:hAnsi="宋体" w:eastAsia="宋体" w:cs="宋体"/>
          <w:spacing w:val="-88"/>
          <w:sz w:val="24"/>
          <w:szCs w:val="24"/>
        </w:rPr>
        <w:t xml:space="preserve"> </w:t>
      </w:r>
      <w:r>
        <w:rPr>
          <w:rFonts w:ascii="宋体" w:hAnsi="宋体" w:eastAsia="宋体" w:cs="宋体"/>
          <w:spacing w:val="-4"/>
          <w:sz w:val="24"/>
          <w:szCs w:val="24"/>
        </w:rPr>
        <w:t>”填写相关信息后提交确认。获取采购文件方式：选择本项目点击“项目流程</w:t>
      </w:r>
      <w:r>
        <w:rPr>
          <w:rFonts w:ascii="宋体" w:hAnsi="宋体" w:eastAsia="宋体" w:cs="宋体"/>
          <w:spacing w:val="-81"/>
          <w:sz w:val="24"/>
          <w:szCs w:val="24"/>
        </w:rPr>
        <w:t xml:space="preserve"> </w:t>
      </w:r>
      <w:r>
        <w:rPr>
          <w:rFonts w:ascii="宋体" w:hAnsi="宋体" w:eastAsia="宋体" w:cs="宋体"/>
          <w:spacing w:val="-4"/>
          <w:sz w:val="24"/>
          <w:szCs w:val="24"/>
        </w:rPr>
        <w:t>”进入采购文件下载页面，点击“交易文件下载</w:t>
      </w:r>
      <w:r>
        <w:rPr>
          <w:rFonts w:ascii="宋体" w:hAnsi="宋体" w:eastAsia="宋体" w:cs="宋体"/>
          <w:spacing w:val="-88"/>
          <w:sz w:val="24"/>
          <w:szCs w:val="24"/>
        </w:rPr>
        <w:t xml:space="preserve"> </w:t>
      </w:r>
      <w:r>
        <w:rPr>
          <w:rFonts w:ascii="宋体" w:hAnsi="宋体" w:eastAsia="宋体" w:cs="宋体"/>
          <w:spacing w:val="-4"/>
          <w:sz w:val="24"/>
          <w:szCs w:val="24"/>
        </w:rPr>
        <w:t>”即可下载该项目发</w:t>
      </w:r>
      <w:r>
        <w:rPr>
          <w:rFonts w:ascii="宋体" w:hAnsi="宋体" w:eastAsia="宋体" w:cs="宋体"/>
          <w:spacing w:val="-2"/>
          <w:sz w:val="24"/>
          <w:szCs w:val="24"/>
        </w:rPr>
        <w:t>布的电子采购文件，供应商须在获取采购文件时限内（2026</w:t>
      </w:r>
      <w:r>
        <w:rPr>
          <w:rFonts w:ascii="宋体" w:hAnsi="宋体" w:eastAsia="宋体" w:cs="宋体"/>
          <w:spacing w:val="-40"/>
          <w:sz w:val="24"/>
          <w:szCs w:val="24"/>
        </w:rPr>
        <w:t xml:space="preserve"> </w:t>
      </w:r>
      <w:r>
        <w:rPr>
          <w:rFonts w:ascii="宋体" w:hAnsi="宋体" w:eastAsia="宋体" w:cs="宋体"/>
          <w:spacing w:val="-2"/>
          <w:sz w:val="24"/>
          <w:szCs w:val="24"/>
        </w:rPr>
        <w:t>年  月  日</w:t>
      </w:r>
      <w:r>
        <w:rPr>
          <w:rFonts w:ascii="宋体" w:hAnsi="宋体" w:eastAsia="宋体" w:cs="宋体"/>
          <w:spacing w:val="-49"/>
          <w:sz w:val="24"/>
          <w:szCs w:val="24"/>
        </w:rPr>
        <w:t xml:space="preserve"> </w:t>
      </w:r>
      <w:r>
        <w:rPr>
          <w:rFonts w:ascii="宋体" w:hAnsi="宋体" w:eastAsia="宋体" w:cs="宋体"/>
          <w:spacing w:val="-2"/>
          <w:sz w:val="24"/>
          <w:szCs w:val="24"/>
        </w:rPr>
        <w:t>00:00:00</w:t>
      </w:r>
      <w:r>
        <w:rPr>
          <w:rFonts w:ascii="宋体" w:hAnsi="宋体" w:eastAsia="宋体" w:cs="宋体"/>
          <w:spacing w:val="-48"/>
          <w:sz w:val="24"/>
          <w:szCs w:val="24"/>
        </w:rPr>
        <w:t xml:space="preserve"> </w:t>
      </w:r>
      <w:r>
        <w:rPr>
          <w:rFonts w:ascii="宋体" w:hAnsi="宋体" w:eastAsia="宋体" w:cs="宋体"/>
          <w:spacing w:val="-2"/>
          <w:sz w:val="24"/>
          <w:szCs w:val="24"/>
        </w:rPr>
        <w:t>至</w:t>
      </w:r>
      <w:r>
        <w:rPr>
          <w:rFonts w:ascii="宋体" w:hAnsi="宋体" w:eastAsia="宋体" w:cs="宋体"/>
          <w:spacing w:val="-48"/>
          <w:sz w:val="24"/>
          <w:szCs w:val="24"/>
        </w:rPr>
        <w:t xml:space="preserve"> </w:t>
      </w:r>
      <w:r>
        <w:rPr>
          <w:rFonts w:ascii="宋体" w:hAnsi="宋体" w:eastAsia="宋体" w:cs="宋体"/>
          <w:spacing w:val="-2"/>
          <w:sz w:val="24"/>
          <w:szCs w:val="24"/>
        </w:rPr>
        <w:t>2026</w:t>
      </w:r>
      <w:r>
        <w:rPr>
          <w:rFonts w:ascii="宋体" w:hAnsi="宋体" w:eastAsia="宋体" w:cs="宋体"/>
          <w:spacing w:val="-50"/>
          <w:sz w:val="24"/>
          <w:szCs w:val="24"/>
        </w:rPr>
        <w:t xml:space="preserve"> </w:t>
      </w:r>
      <w:r>
        <w:rPr>
          <w:rFonts w:ascii="宋体" w:hAnsi="宋体" w:eastAsia="宋体" w:cs="宋体"/>
          <w:spacing w:val="-2"/>
          <w:sz w:val="24"/>
          <w:szCs w:val="24"/>
        </w:rPr>
        <w:t>年</w:t>
      </w:r>
      <w:r>
        <w:rPr>
          <w:rFonts w:ascii="宋体" w:hAnsi="宋体" w:eastAsia="宋体" w:cs="宋体"/>
          <w:sz w:val="24"/>
          <w:szCs w:val="24"/>
        </w:rPr>
        <w:t>月  日</w:t>
      </w:r>
      <w:r>
        <w:rPr>
          <w:rFonts w:ascii="宋体" w:hAnsi="宋体" w:eastAsia="宋体" w:cs="宋体"/>
          <w:spacing w:val="-48"/>
          <w:sz w:val="24"/>
          <w:szCs w:val="24"/>
        </w:rPr>
        <w:t xml:space="preserve"> </w:t>
      </w:r>
      <w:r>
        <w:rPr>
          <w:rFonts w:ascii="宋体" w:hAnsi="宋体" w:eastAsia="宋体" w:cs="宋体"/>
          <w:sz w:val="24"/>
          <w:szCs w:val="24"/>
        </w:rPr>
        <w:t>23:59:59）登录全国公共资源交易平台（陕西</w:t>
      </w:r>
      <w:r>
        <w:rPr>
          <w:rFonts w:ascii="宋体" w:hAnsi="宋体" w:eastAsia="宋体" w:cs="宋体"/>
          <w:spacing w:val="-1"/>
          <w:sz w:val="24"/>
          <w:szCs w:val="24"/>
        </w:rPr>
        <w:t>省</w:t>
      </w:r>
      <w:r>
        <w:rPr>
          <w:rFonts w:ascii="宋体" w:hAnsi="宋体" w:eastAsia="宋体" w:cs="宋体"/>
          <w:spacing w:val="-28"/>
          <w:sz w:val="24"/>
          <w:szCs w:val="24"/>
        </w:rPr>
        <w:t xml:space="preserve"> </w:t>
      </w:r>
      <w:r>
        <w:rPr>
          <w:rFonts w:ascii="宋体" w:hAnsi="宋体" w:eastAsia="宋体" w:cs="宋体"/>
          <w:spacing w:val="-1"/>
          <w:sz w:val="24"/>
          <w:szCs w:val="24"/>
        </w:rPr>
        <w:t>·杨凌示范区）系统，直接下载采购</w:t>
      </w:r>
      <w:r>
        <w:rPr>
          <w:rFonts w:ascii="宋体" w:hAnsi="宋体" w:eastAsia="宋体" w:cs="宋体"/>
          <w:sz w:val="24"/>
          <w:szCs w:val="24"/>
        </w:rPr>
        <w:t>文件。逾期下载通道将关闭，未及时下载采购文件将会影响后续开评标活动。</w:t>
      </w:r>
    </w:p>
    <w:p w14:paraId="0E354835">
      <w:pPr>
        <w:spacing w:before="1" w:line="360" w:lineRule="auto"/>
        <w:ind w:left="494"/>
        <w:outlineLvl w:val="2"/>
        <w:rPr>
          <w:rFonts w:ascii="宋体" w:hAnsi="宋体" w:eastAsia="宋体" w:cs="宋体"/>
          <w:sz w:val="24"/>
          <w:szCs w:val="24"/>
        </w:rPr>
      </w:pPr>
      <w:bookmarkStart w:id="11" w:name="_Toc29782"/>
      <w:r>
        <w:rPr>
          <w:rFonts w:ascii="宋体" w:hAnsi="宋体" w:eastAsia="宋体" w:cs="宋体"/>
          <w:spacing w:val="-1"/>
          <w:sz w:val="24"/>
          <w:szCs w:val="24"/>
        </w:rPr>
        <w:t>2.供应商初次使用交易平台，须先完成诚信入库登记、CA</w:t>
      </w:r>
      <w:r>
        <w:rPr>
          <w:rFonts w:ascii="宋体" w:hAnsi="宋体" w:eastAsia="宋体" w:cs="宋体"/>
          <w:spacing w:val="-34"/>
          <w:sz w:val="24"/>
          <w:szCs w:val="24"/>
        </w:rPr>
        <w:t xml:space="preserve"> </w:t>
      </w:r>
      <w:r>
        <w:rPr>
          <w:rFonts w:ascii="宋体" w:hAnsi="宋体" w:eastAsia="宋体" w:cs="宋体"/>
          <w:spacing w:val="-1"/>
          <w:sz w:val="24"/>
          <w:szCs w:val="24"/>
        </w:rPr>
        <w:t>锁认证及企业信息绑定。相关</w:t>
      </w:r>
      <w:bookmarkEnd w:id="11"/>
    </w:p>
    <w:p w14:paraId="5E60134C">
      <w:pPr>
        <w:spacing w:before="113" w:line="360" w:lineRule="auto"/>
        <w:ind w:left="15" w:right="79" w:hanging="5"/>
        <w:jc w:val="both"/>
        <w:rPr>
          <w:rFonts w:ascii="宋体" w:hAnsi="宋体" w:eastAsia="宋体" w:cs="宋体"/>
          <w:sz w:val="24"/>
          <w:szCs w:val="24"/>
        </w:rPr>
      </w:pPr>
      <w:r>
        <w:rPr>
          <w:rFonts w:ascii="宋体" w:hAnsi="宋体" w:eastAsia="宋体" w:cs="宋体"/>
          <w:spacing w:val="-7"/>
          <w:sz w:val="24"/>
          <w:szCs w:val="24"/>
        </w:rPr>
        <w:t>操作流程详见全国政府采购平台（陕西省）网站〖首页</w:t>
      </w:r>
      <w:r>
        <w:rPr>
          <w:rFonts w:ascii="宋体" w:hAnsi="宋体" w:eastAsia="宋体" w:cs="宋体"/>
          <w:spacing w:val="-28"/>
          <w:sz w:val="24"/>
          <w:szCs w:val="24"/>
        </w:rPr>
        <w:t xml:space="preserve"> </w:t>
      </w:r>
      <w:r>
        <w:rPr>
          <w:rFonts w:ascii="宋体" w:hAnsi="宋体" w:eastAsia="宋体" w:cs="宋体"/>
          <w:spacing w:val="-7"/>
          <w:sz w:val="24"/>
          <w:szCs w:val="24"/>
        </w:rPr>
        <w:t>·〉服务指南</w:t>
      </w:r>
      <w:r>
        <w:rPr>
          <w:rFonts w:ascii="宋体" w:hAnsi="宋体" w:eastAsia="宋体" w:cs="宋体"/>
          <w:spacing w:val="-28"/>
          <w:sz w:val="24"/>
          <w:szCs w:val="24"/>
        </w:rPr>
        <w:t xml:space="preserve"> </w:t>
      </w:r>
      <w:r>
        <w:rPr>
          <w:rFonts w:ascii="宋体" w:hAnsi="宋体" w:eastAsia="宋体" w:cs="宋体"/>
          <w:spacing w:val="-7"/>
          <w:sz w:val="24"/>
          <w:szCs w:val="24"/>
        </w:rPr>
        <w:t>·〉下载专区〗中的《陕</w:t>
      </w:r>
      <w:r>
        <w:rPr>
          <w:rFonts w:ascii="宋体" w:hAnsi="宋体" w:eastAsia="宋体" w:cs="宋体"/>
          <w:spacing w:val="-1"/>
          <w:sz w:val="24"/>
          <w:szCs w:val="24"/>
        </w:rPr>
        <w:t>西省公共资源交易中心政府采购项目投标指南》。CA</w:t>
      </w:r>
      <w:r>
        <w:rPr>
          <w:rFonts w:ascii="宋体" w:hAnsi="宋体" w:eastAsia="宋体" w:cs="宋体"/>
          <w:spacing w:val="-35"/>
          <w:sz w:val="24"/>
          <w:szCs w:val="24"/>
        </w:rPr>
        <w:t xml:space="preserve"> </w:t>
      </w:r>
      <w:r>
        <w:rPr>
          <w:rFonts w:ascii="宋体" w:hAnsi="宋体" w:eastAsia="宋体" w:cs="宋体"/>
          <w:spacing w:val="-1"/>
          <w:sz w:val="24"/>
          <w:szCs w:val="24"/>
        </w:rPr>
        <w:t>锁办理地址及咨询电话如下：西安市长</w:t>
      </w:r>
      <w:r>
        <w:rPr>
          <w:rFonts w:ascii="宋体" w:hAnsi="宋体" w:eastAsia="宋体" w:cs="宋体"/>
          <w:spacing w:val="-2"/>
          <w:sz w:val="24"/>
          <w:szCs w:val="24"/>
        </w:rPr>
        <w:t>安北路</w:t>
      </w:r>
      <w:r>
        <w:rPr>
          <w:rFonts w:ascii="宋体" w:hAnsi="宋体" w:eastAsia="宋体" w:cs="宋体"/>
          <w:spacing w:val="-19"/>
          <w:sz w:val="24"/>
          <w:szCs w:val="24"/>
        </w:rPr>
        <w:t xml:space="preserve"> </w:t>
      </w:r>
      <w:r>
        <w:rPr>
          <w:rFonts w:ascii="宋体" w:hAnsi="宋体" w:eastAsia="宋体" w:cs="宋体"/>
          <w:spacing w:val="-2"/>
          <w:sz w:val="24"/>
          <w:szCs w:val="24"/>
        </w:rPr>
        <w:t>14</w:t>
      </w:r>
      <w:r>
        <w:rPr>
          <w:rFonts w:ascii="宋体" w:hAnsi="宋体" w:eastAsia="宋体" w:cs="宋体"/>
          <w:spacing w:val="-45"/>
          <w:sz w:val="24"/>
          <w:szCs w:val="24"/>
        </w:rPr>
        <w:t xml:space="preserve"> </w:t>
      </w:r>
      <w:r>
        <w:rPr>
          <w:rFonts w:ascii="宋体" w:hAnsi="宋体" w:eastAsia="宋体" w:cs="宋体"/>
          <w:spacing w:val="-2"/>
          <w:sz w:val="24"/>
          <w:szCs w:val="24"/>
        </w:rPr>
        <w:t>号省体育公寓 B 座一楼 咨询电话：029-88661241。</w:t>
      </w:r>
    </w:p>
    <w:p w14:paraId="13A0B71B">
      <w:pPr>
        <w:spacing w:line="360" w:lineRule="auto"/>
        <w:ind w:left="496"/>
        <w:outlineLvl w:val="2"/>
        <w:rPr>
          <w:rFonts w:ascii="宋体" w:hAnsi="宋体" w:eastAsia="宋体" w:cs="宋体"/>
          <w:sz w:val="24"/>
          <w:szCs w:val="24"/>
        </w:rPr>
      </w:pPr>
      <w:bookmarkStart w:id="12" w:name="_Toc25333"/>
      <w:r>
        <w:rPr>
          <w:rFonts w:ascii="宋体" w:hAnsi="宋体" w:eastAsia="宋体" w:cs="宋体"/>
          <w:spacing w:val="-3"/>
          <w:sz w:val="24"/>
          <w:szCs w:val="24"/>
        </w:rPr>
        <w:t>3.本项目采用“不见面开标”方式进行，</w:t>
      </w:r>
      <w:r>
        <w:rPr>
          <w:rFonts w:ascii="宋体" w:hAnsi="宋体" w:eastAsia="宋体" w:cs="宋体"/>
          <w:spacing w:val="-4"/>
          <w:sz w:val="24"/>
          <w:szCs w:val="24"/>
        </w:rPr>
        <w:t>供应商可远程登录〖全国公共资源交易平台（陕</w:t>
      </w:r>
      <w:bookmarkEnd w:id="12"/>
    </w:p>
    <w:p w14:paraId="3EAD28E7">
      <w:pPr>
        <w:spacing w:before="116" w:line="360" w:lineRule="auto"/>
        <w:ind w:left="11" w:right="79" w:firstLine="5"/>
        <w:jc w:val="both"/>
        <w:rPr>
          <w:rFonts w:ascii="宋体" w:hAnsi="宋体" w:eastAsia="宋体" w:cs="宋体"/>
          <w:sz w:val="24"/>
          <w:szCs w:val="24"/>
        </w:rPr>
      </w:pPr>
      <w:r>
        <w:rPr>
          <w:rFonts w:ascii="宋体" w:hAnsi="宋体" w:eastAsia="宋体" w:cs="宋体"/>
          <w:spacing w:val="-5"/>
          <w:sz w:val="24"/>
          <w:szCs w:val="24"/>
        </w:rPr>
        <w:t>西省·杨凌示范区）〉不见面开标〗在线参加开标过程。详见〖全国公共资源交易平台（陕西省·杨凌示范区）〉服务指南〉下载专区〗中的《杨凌示范区公共资源交易不见面开标大厅供</w:t>
      </w:r>
      <w:r>
        <w:rPr>
          <w:rFonts w:ascii="宋体" w:hAnsi="宋体" w:eastAsia="宋体" w:cs="宋体"/>
          <w:spacing w:val="-2"/>
          <w:sz w:val="24"/>
          <w:szCs w:val="24"/>
        </w:rPr>
        <w:t>应商操作手册》。</w:t>
      </w:r>
    </w:p>
    <w:p w14:paraId="50F14A76">
      <w:pPr>
        <w:spacing w:before="1" w:line="360" w:lineRule="auto"/>
        <w:ind w:left="490"/>
        <w:outlineLvl w:val="2"/>
        <w:rPr>
          <w:rFonts w:ascii="宋体" w:hAnsi="宋体" w:eastAsia="宋体" w:cs="宋体"/>
          <w:sz w:val="24"/>
          <w:szCs w:val="24"/>
        </w:rPr>
      </w:pPr>
      <w:bookmarkStart w:id="13" w:name="_Toc10258"/>
      <w:r>
        <w:rPr>
          <w:rFonts w:ascii="宋体" w:hAnsi="宋体" w:eastAsia="宋体" w:cs="宋体"/>
          <w:sz w:val="24"/>
          <w:szCs w:val="24"/>
        </w:rPr>
        <w:t>4.供应商应在首次电子竞争性磋商响应文件递交截止时间前通过</w:t>
      </w:r>
      <w:r>
        <w:rPr>
          <w:rFonts w:ascii="宋体" w:hAnsi="宋体" w:eastAsia="宋体" w:cs="宋体"/>
          <w:spacing w:val="-1"/>
          <w:sz w:val="24"/>
          <w:szCs w:val="24"/>
        </w:rPr>
        <w:t>全国公共资源交易平台</w:t>
      </w:r>
      <w:bookmarkEnd w:id="13"/>
    </w:p>
    <w:p w14:paraId="7B07E4EB">
      <w:pPr>
        <w:spacing w:before="117" w:line="360" w:lineRule="auto"/>
        <w:ind w:left="11" w:right="79" w:firstLine="11"/>
        <w:rPr>
          <w:rFonts w:ascii="宋体" w:hAnsi="宋体" w:eastAsia="宋体" w:cs="宋体"/>
          <w:sz w:val="24"/>
          <w:szCs w:val="24"/>
        </w:rPr>
      </w:pPr>
      <w:r>
        <w:rPr>
          <w:rFonts w:ascii="宋体" w:hAnsi="宋体" w:eastAsia="宋体" w:cs="宋体"/>
          <w:spacing w:val="-5"/>
          <w:sz w:val="24"/>
          <w:szCs w:val="24"/>
        </w:rPr>
        <w:t>（陕西省</w:t>
      </w:r>
      <w:r>
        <w:rPr>
          <w:rFonts w:ascii="宋体" w:hAnsi="宋体" w:eastAsia="宋体" w:cs="宋体"/>
          <w:spacing w:val="-28"/>
          <w:sz w:val="24"/>
          <w:szCs w:val="24"/>
        </w:rPr>
        <w:t xml:space="preserve"> </w:t>
      </w:r>
      <w:r>
        <w:rPr>
          <w:rFonts w:ascii="宋体" w:hAnsi="宋体" w:eastAsia="宋体" w:cs="宋体"/>
          <w:spacing w:val="-5"/>
          <w:sz w:val="24"/>
          <w:szCs w:val="24"/>
        </w:rPr>
        <w:t>·杨凌示范区）递交电子竞争性磋商响应文件。因供应商自身设施故障或自身</w:t>
      </w:r>
      <w:r>
        <w:rPr>
          <w:rFonts w:ascii="宋体" w:hAnsi="宋体" w:eastAsia="宋体" w:cs="宋体"/>
          <w:spacing w:val="-6"/>
          <w:sz w:val="24"/>
          <w:szCs w:val="24"/>
        </w:rPr>
        <w:t>原因导</w:t>
      </w:r>
      <w:r>
        <w:rPr>
          <w:rFonts w:ascii="宋体" w:hAnsi="宋体" w:eastAsia="宋体" w:cs="宋体"/>
          <w:spacing w:val="-1"/>
          <w:sz w:val="24"/>
          <w:szCs w:val="24"/>
        </w:rPr>
        <w:t>致无法完成投标的，由供应商自行承担后果。</w:t>
      </w:r>
    </w:p>
    <w:p w14:paraId="16090981">
      <w:pPr>
        <w:spacing w:before="1" w:line="360" w:lineRule="auto"/>
        <w:jc w:val="right"/>
        <w:outlineLvl w:val="2"/>
        <w:rPr>
          <w:rFonts w:ascii="宋体" w:hAnsi="宋体" w:eastAsia="宋体" w:cs="宋体"/>
          <w:sz w:val="24"/>
          <w:szCs w:val="24"/>
        </w:rPr>
      </w:pPr>
      <w:bookmarkStart w:id="14" w:name="_Toc2232"/>
      <w:r>
        <w:rPr>
          <w:rFonts w:ascii="宋体" w:hAnsi="宋体" w:eastAsia="宋体" w:cs="宋体"/>
          <w:spacing w:val="-1"/>
          <w:sz w:val="24"/>
          <w:szCs w:val="24"/>
        </w:rPr>
        <w:t>5.请潜在供应商务必按照《陕西省财政厅关于政府采购供应商注册登记有关事项的通知》</w:t>
      </w:r>
      <w:bookmarkEnd w:id="14"/>
    </w:p>
    <w:p w14:paraId="1E10F0ED">
      <w:pPr>
        <w:spacing w:before="118" w:line="360" w:lineRule="auto"/>
        <w:ind w:left="17" w:right="105" w:hanging="5"/>
        <w:rPr>
          <w:rFonts w:ascii="宋体" w:hAnsi="宋体" w:eastAsia="宋体" w:cs="宋体"/>
          <w:sz w:val="24"/>
          <w:szCs w:val="24"/>
        </w:rPr>
      </w:pPr>
      <w:r>
        <w:rPr>
          <w:rFonts w:ascii="宋体" w:hAnsi="宋体" w:eastAsia="宋体" w:cs="宋体"/>
          <w:sz w:val="24"/>
          <w:szCs w:val="24"/>
        </w:rPr>
        <w:t>要求，通过陕西省政府采购网（</w:t>
      </w:r>
      <w:r>
        <w:fldChar w:fldCharType="begin"/>
      </w:r>
      <w:r>
        <w:instrText xml:space="preserve"> HYPERLINK "http://www.ccgp-shaanxi.gov.cn/" </w:instrText>
      </w:r>
      <w:r>
        <w:fldChar w:fldCharType="separate"/>
      </w:r>
      <w:r>
        <w:rPr>
          <w:rFonts w:ascii="宋体" w:hAnsi="宋体" w:eastAsia="宋体" w:cs="宋体"/>
          <w:sz w:val="24"/>
          <w:szCs w:val="24"/>
        </w:rPr>
        <w:t>http://www.ccgp-shaanxi.gov.cn</w:t>
      </w:r>
      <w:r>
        <w:rPr>
          <w:rFonts w:ascii="宋体" w:hAnsi="宋体" w:eastAsia="宋体" w:cs="宋体"/>
          <w:spacing w:val="-1"/>
          <w:sz w:val="24"/>
          <w:szCs w:val="24"/>
        </w:rPr>
        <w:t>/</w:t>
      </w:r>
      <w:r>
        <w:rPr>
          <w:rFonts w:ascii="宋体" w:hAnsi="宋体" w:eastAsia="宋体" w:cs="宋体"/>
          <w:spacing w:val="-1"/>
          <w:sz w:val="24"/>
          <w:szCs w:val="24"/>
        </w:rPr>
        <w:fldChar w:fldCharType="end"/>
      </w:r>
      <w:r>
        <w:rPr>
          <w:rFonts w:ascii="宋体" w:hAnsi="宋体" w:eastAsia="宋体" w:cs="宋体"/>
          <w:spacing w:val="-1"/>
          <w:sz w:val="24"/>
          <w:szCs w:val="24"/>
        </w:rPr>
        <w:t>）进行陕西政府采购统一</w:t>
      </w:r>
      <w:r>
        <w:rPr>
          <w:rFonts w:ascii="宋体" w:hAnsi="宋体" w:eastAsia="宋体" w:cs="宋体"/>
          <w:spacing w:val="-2"/>
          <w:sz w:val="24"/>
          <w:szCs w:val="24"/>
        </w:rPr>
        <w:t>身份认证注册登记。</w:t>
      </w:r>
    </w:p>
    <w:p w14:paraId="0FD3DF49">
      <w:pPr>
        <w:spacing w:before="1" w:line="360" w:lineRule="auto"/>
        <w:ind w:left="12" w:right="79" w:firstLine="480"/>
        <w:rPr>
          <w:rFonts w:ascii="宋体" w:hAnsi="宋体" w:eastAsia="宋体" w:cs="宋体"/>
          <w:sz w:val="24"/>
          <w:szCs w:val="24"/>
        </w:rPr>
      </w:pPr>
      <w:r>
        <w:rPr>
          <w:rFonts w:ascii="宋体" w:hAnsi="宋体" w:eastAsia="宋体" w:cs="宋体"/>
          <w:spacing w:val="-3"/>
          <w:sz w:val="24"/>
          <w:szCs w:val="24"/>
        </w:rPr>
        <w:t>6.为保证本项目开评标工作顺利进行，供应商应确保相关设备能够顺利登录系统并进行操</w:t>
      </w:r>
      <w:r>
        <w:rPr>
          <w:rFonts w:ascii="宋体" w:hAnsi="宋体" w:eastAsia="宋体" w:cs="宋体"/>
          <w:spacing w:val="-6"/>
          <w:sz w:val="24"/>
          <w:szCs w:val="24"/>
        </w:rPr>
        <w:t>作。</w:t>
      </w:r>
    </w:p>
    <w:p w14:paraId="5C254DDB">
      <w:pPr>
        <w:spacing w:line="360" w:lineRule="auto"/>
        <w:ind w:left="12" w:right="67" w:firstLine="484"/>
        <w:jc w:val="distribute"/>
        <w:rPr>
          <w:rFonts w:ascii="宋体" w:hAnsi="宋体" w:eastAsia="宋体" w:cs="宋体"/>
          <w:sz w:val="24"/>
          <w:szCs w:val="24"/>
        </w:rPr>
      </w:pPr>
      <w:r>
        <w:rPr>
          <w:rFonts w:ascii="宋体" w:hAnsi="宋体" w:eastAsia="宋体" w:cs="宋体"/>
          <w:b/>
          <w:bCs/>
          <w:spacing w:val="-14"/>
          <w:sz w:val="24"/>
          <w:szCs w:val="24"/>
        </w:rPr>
        <w:t>7、磋商二次报价：</w:t>
      </w:r>
      <w:r>
        <w:rPr>
          <w:rFonts w:ascii="宋体" w:hAnsi="宋体" w:eastAsia="宋体" w:cs="宋体"/>
          <w:spacing w:val="-14"/>
          <w:sz w:val="24"/>
          <w:szCs w:val="24"/>
        </w:rPr>
        <w:t>供应商可登录全国公共资源交易平台（陕西省</w:t>
      </w:r>
      <w:r>
        <w:rPr>
          <w:rFonts w:ascii="宋体" w:hAnsi="宋体" w:eastAsia="宋体" w:cs="宋体"/>
          <w:spacing w:val="-27"/>
          <w:sz w:val="24"/>
          <w:szCs w:val="24"/>
        </w:rPr>
        <w:t xml:space="preserve"> </w:t>
      </w:r>
      <w:r>
        <w:rPr>
          <w:rFonts w:ascii="宋体" w:hAnsi="宋体" w:eastAsia="宋体" w:cs="宋体"/>
          <w:spacing w:val="-14"/>
          <w:sz w:val="24"/>
          <w:szCs w:val="24"/>
        </w:rPr>
        <w:t>·杨凌示范区）〖首页〉电</w:t>
      </w:r>
      <w:r>
        <w:rPr>
          <w:rFonts w:ascii="宋体" w:hAnsi="宋体" w:eastAsia="宋体" w:cs="宋体"/>
          <w:spacing w:val="-12"/>
          <w:sz w:val="24"/>
          <w:szCs w:val="24"/>
        </w:rPr>
        <w:t>子交易平台〉陕西政府采购交易系统〉企业端〗（网址：</w:t>
      </w:r>
    </w:p>
    <w:p w14:paraId="4597C491">
      <w:pPr>
        <w:spacing w:before="2" w:line="360" w:lineRule="auto"/>
        <w:ind w:left="12" w:right="124" w:hanging="4"/>
        <w:jc w:val="distribute"/>
        <w:rPr>
          <w:rFonts w:ascii="宋体" w:hAnsi="宋体" w:eastAsia="宋体" w:cs="宋体"/>
          <w:sz w:val="24"/>
          <w:szCs w:val="24"/>
        </w:rPr>
      </w:pPr>
      <w:r>
        <w:fldChar w:fldCharType="begin"/>
      </w:r>
      <w:r>
        <w:instrText xml:space="preserve"> HYPERLINK "http://yangl.sxggzyjy.cn/wblj/009001/jyxtlogin.html" </w:instrText>
      </w:r>
      <w:r>
        <w:fldChar w:fldCharType="separate"/>
      </w:r>
      <w:r>
        <w:rPr>
          <w:rFonts w:ascii="宋体" w:hAnsi="宋体" w:eastAsia="宋体" w:cs="宋体"/>
          <w:spacing w:val="-7"/>
          <w:sz w:val="24"/>
          <w:szCs w:val="24"/>
        </w:rPr>
        <w:t>http://yangl.sxggzyjy.cn/wblj/009001/</w:t>
      </w:r>
      <w:r>
        <w:rPr>
          <w:rFonts w:ascii="宋体" w:hAnsi="宋体" w:eastAsia="宋体" w:cs="宋体"/>
          <w:spacing w:val="-8"/>
          <w:sz w:val="24"/>
          <w:szCs w:val="24"/>
        </w:rPr>
        <w:t>jyxtlogin.html</w:t>
      </w:r>
      <w:r>
        <w:rPr>
          <w:rFonts w:ascii="宋体" w:hAnsi="宋体" w:eastAsia="宋体" w:cs="宋体"/>
          <w:spacing w:val="-8"/>
          <w:sz w:val="24"/>
          <w:szCs w:val="24"/>
        </w:rPr>
        <w:fldChar w:fldCharType="end"/>
      </w:r>
      <w:r>
        <w:rPr>
          <w:rFonts w:ascii="宋体" w:hAnsi="宋体" w:eastAsia="宋体" w:cs="宋体"/>
          <w:spacing w:val="-8"/>
          <w:sz w:val="24"/>
          <w:szCs w:val="24"/>
        </w:rPr>
        <w:t>）进行二次报价。详见《政府采购投标</w:t>
      </w:r>
      <w:r>
        <w:rPr>
          <w:rFonts w:ascii="宋体" w:hAnsi="宋体" w:eastAsia="宋体" w:cs="宋体"/>
          <w:spacing w:val="-7"/>
          <w:sz w:val="24"/>
          <w:szCs w:val="24"/>
        </w:rPr>
        <w:t>单位二次报价操作手册》（网址：</w:t>
      </w:r>
      <w:r>
        <w:fldChar w:fldCharType="begin"/>
      </w:r>
      <w:r>
        <w:instrText xml:space="preserve"> HYPERLINK "http://yangl.sxggzyjy.cn/fwzn/004003/subPage.html" </w:instrText>
      </w:r>
      <w:r>
        <w:fldChar w:fldCharType="separate"/>
      </w:r>
      <w:r>
        <w:rPr>
          <w:rFonts w:ascii="宋体" w:hAnsi="宋体" w:eastAsia="宋体" w:cs="宋体"/>
          <w:spacing w:val="-7"/>
          <w:sz w:val="24"/>
          <w:szCs w:val="24"/>
        </w:rPr>
        <w:t>http://yangl.sxggzyjy.cn/</w:t>
      </w:r>
      <w:r>
        <w:rPr>
          <w:rFonts w:ascii="宋体" w:hAnsi="宋体" w:eastAsia="宋体" w:cs="宋体"/>
          <w:spacing w:val="-8"/>
          <w:sz w:val="24"/>
          <w:szCs w:val="24"/>
        </w:rPr>
        <w:t>fwzn/004003/subPage.html</w:t>
      </w:r>
      <w:r>
        <w:rPr>
          <w:rFonts w:ascii="宋体" w:hAnsi="宋体" w:eastAsia="宋体" w:cs="宋体"/>
          <w:spacing w:val="-8"/>
          <w:sz w:val="24"/>
          <w:szCs w:val="24"/>
        </w:rPr>
        <w:fldChar w:fldCharType="end"/>
      </w:r>
      <w:r>
        <w:rPr>
          <w:rFonts w:ascii="宋体" w:hAnsi="宋体" w:eastAsia="宋体" w:cs="宋体"/>
          <w:spacing w:val="-8"/>
          <w:sz w:val="24"/>
          <w:szCs w:val="24"/>
        </w:rPr>
        <w:t>）。</w:t>
      </w:r>
    </w:p>
    <w:p w14:paraId="5606ACF6">
      <w:pPr>
        <w:spacing w:before="6" w:line="360" w:lineRule="auto"/>
        <w:ind w:left="43" w:right="79" w:firstLine="448"/>
        <w:rPr>
          <w:rFonts w:ascii="宋体" w:hAnsi="宋体" w:eastAsia="宋体" w:cs="宋体"/>
          <w:sz w:val="24"/>
          <w:szCs w:val="24"/>
        </w:rPr>
      </w:pPr>
      <w:r>
        <w:rPr>
          <w:rFonts w:ascii="宋体" w:hAnsi="宋体" w:eastAsia="宋体" w:cs="宋体"/>
          <w:b/>
          <w:bCs/>
          <w:spacing w:val="-2"/>
          <w:sz w:val="24"/>
          <w:szCs w:val="24"/>
        </w:rPr>
        <w:t>8、落实的其他政府采购政策要求</w:t>
      </w:r>
      <w:r>
        <w:rPr>
          <w:rFonts w:ascii="宋体" w:hAnsi="宋体" w:eastAsia="宋体" w:cs="宋体"/>
          <w:b/>
          <w:bCs/>
          <w:spacing w:val="-33"/>
          <w:sz w:val="24"/>
          <w:szCs w:val="24"/>
        </w:rPr>
        <w:t>：</w:t>
      </w:r>
      <w:r>
        <w:rPr>
          <w:rFonts w:ascii="宋体" w:hAnsi="宋体" w:eastAsia="宋体" w:cs="宋体"/>
          <w:spacing w:val="-33"/>
          <w:sz w:val="24"/>
          <w:szCs w:val="24"/>
        </w:rPr>
        <w:t>（</w:t>
      </w:r>
      <w:r>
        <w:rPr>
          <w:rFonts w:ascii="宋体" w:hAnsi="宋体" w:eastAsia="宋体" w:cs="宋体"/>
          <w:spacing w:val="-2"/>
          <w:sz w:val="24"/>
          <w:szCs w:val="24"/>
        </w:rPr>
        <w:t>1）《政府采购促进中小企业发展管理办法</w:t>
      </w:r>
      <w:r>
        <w:rPr>
          <w:rFonts w:ascii="宋体" w:hAnsi="宋体" w:eastAsia="宋体" w:cs="宋体"/>
          <w:spacing w:val="-3"/>
          <w:sz w:val="24"/>
          <w:szCs w:val="24"/>
        </w:rPr>
        <w:t>》（财库</w:t>
      </w:r>
      <w:r>
        <w:rPr>
          <w:rFonts w:ascii="宋体" w:hAnsi="宋体" w:eastAsia="宋体" w:cs="宋体"/>
          <w:spacing w:val="-5"/>
          <w:sz w:val="24"/>
          <w:szCs w:val="24"/>
        </w:rPr>
        <w:t>〔2020〕46</w:t>
      </w:r>
      <w:r>
        <w:rPr>
          <w:rFonts w:ascii="宋体" w:hAnsi="宋体" w:eastAsia="宋体" w:cs="宋体"/>
          <w:spacing w:val="-44"/>
          <w:sz w:val="24"/>
          <w:szCs w:val="24"/>
        </w:rPr>
        <w:t xml:space="preserve"> </w:t>
      </w:r>
      <w:r>
        <w:rPr>
          <w:rFonts w:ascii="宋体" w:hAnsi="宋体" w:eastAsia="宋体" w:cs="宋体"/>
          <w:spacing w:val="-5"/>
          <w:sz w:val="24"/>
          <w:szCs w:val="24"/>
        </w:rPr>
        <w:t>号</w:t>
      </w:r>
      <w:r>
        <w:rPr>
          <w:rFonts w:ascii="宋体" w:hAnsi="宋体" w:eastAsia="宋体" w:cs="宋体"/>
          <w:spacing w:val="-41"/>
          <w:sz w:val="24"/>
          <w:szCs w:val="24"/>
        </w:rPr>
        <w:t>）；（</w:t>
      </w:r>
      <w:r>
        <w:rPr>
          <w:rFonts w:ascii="宋体" w:hAnsi="宋体" w:eastAsia="宋体" w:cs="宋体"/>
          <w:spacing w:val="-5"/>
          <w:sz w:val="24"/>
          <w:szCs w:val="24"/>
        </w:rPr>
        <w:t>2）《财政部司法部关于政府采购支持监狱企业发展有关问题的通知》（财</w:t>
      </w:r>
    </w:p>
    <w:p w14:paraId="03149391">
      <w:pPr>
        <w:pStyle w:val="4"/>
        <w:spacing w:line="360" w:lineRule="auto"/>
      </w:pPr>
      <w:r>
        <w:rPr>
          <w:rFonts w:ascii="宋体" w:hAnsi="宋体" w:eastAsia="宋体" w:cs="宋体"/>
          <w:sz w:val="24"/>
          <w:szCs w:val="24"/>
        </w:rPr>
        <w:t>库〔2014〕68</w:t>
      </w:r>
      <w:r>
        <w:rPr>
          <w:rFonts w:ascii="宋体" w:hAnsi="宋体" w:eastAsia="宋体" w:cs="宋体"/>
          <w:spacing w:val="-43"/>
          <w:sz w:val="24"/>
          <w:szCs w:val="24"/>
        </w:rPr>
        <w:t xml:space="preserve"> </w:t>
      </w:r>
      <w:r>
        <w:rPr>
          <w:rFonts w:ascii="宋体" w:hAnsi="宋体" w:eastAsia="宋体" w:cs="宋体"/>
          <w:sz w:val="24"/>
          <w:szCs w:val="24"/>
        </w:rPr>
        <w:t>号</w:t>
      </w:r>
      <w:r>
        <w:rPr>
          <w:rFonts w:ascii="宋体" w:hAnsi="宋体" w:eastAsia="宋体" w:cs="宋体"/>
          <w:spacing w:val="-16"/>
          <w:sz w:val="24"/>
          <w:szCs w:val="24"/>
        </w:rPr>
        <w:t>）；（</w:t>
      </w:r>
      <w:r>
        <w:rPr>
          <w:rFonts w:ascii="宋体" w:hAnsi="宋体" w:eastAsia="宋体" w:cs="宋体"/>
          <w:sz w:val="24"/>
          <w:szCs w:val="24"/>
        </w:rPr>
        <w:t>3）《国务院办公厅关于建立政府强制</w:t>
      </w:r>
      <w:r>
        <w:rPr>
          <w:rFonts w:ascii="宋体" w:hAnsi="宋体" w:eastAsia="宋体" w:cs="宋体"/>
          <w:spacing w:val="-1"/>
          <w:sz w:val="24"/>
          <w:szCs w:val="24"/>
        </w:rPr>
        <w:t>采购节能产品制度的通知》（国</w:t>
      </w:r>
    </w:p>
    <w:p w14:paraId="61DA23EB">
      <w:pPr>
        <w:spacing w:before="78" w:line="360" w:lineRule="auto"/>
        <w:ind w:left="9" w:firstLine="4"/>
        <w:jc w:val="both"/>
        <w:rPr>
          <w:rFonts w:ascii="宋体" w:hAnsi="宋体" w:eastAsia="宋体" w:cs="宋体"/>
          <w:sz w:val="24"/>
          <w:szCs w:val="24"/>
        </w:rPr>
      </w:pPr>
      <w:r>
        <w:rPr>
          <w:rFonts w:ascii="宋体" w:hAnsi="宋体" w:eastAsia="宋体" w:cs="宋体"/>
          <w:sz w:val="24"/>
          <w:szCs w:val="24"/>
        </w:rPr>
        <w:t>办发〔2007〕51</w:t>
      </w:r>
      <w:r>
        <w:rPr>
          <w:rFonts w:ascii="宋体" w:hAnsi="宋体" w:eastAsia="宋体" w:cs="宋体"/>
          <w:spacing w:val="-44"/>
          <w:sz w:val="24"/>
          <w:szCs w:val="24"/>
        </w:rPr>
        <w:t xml:space="preserve"> </w:t>
      </w:r>
      <w:r>
        <w:rPr>
          <w:rFonts w:ascii="宋体" w:hAnsi="宋体" w:eastAsia="宋体" w:cs="宋体"/>
          <w:sz w:val="24"/>
          <w:szCs w:val="24"/>
        </w:rPr>
        <w:t>号</w:t>
      </w:r>
      <w:r>
        <w:rPr>
          <w:rFonts w:ascii="宋体" w:hAnsi="宋体" w:eastAsia="宋体" w:cs="宋体"/>
          <w:spacing w:val="-6"/>
          <w:sz w:val="24"/>
          <w:szCs w:val="24"/>
        </w:rPr>
        <w:t>）；（</w:t>
      </w:r>
      <w:r>
        <w:rPr>
          <w:rFonts w:ascii="宋体" w:hAnsi="宋体" w:eastAsia="宋体" w:cs="宋体"/>
          <w:sz w:val="24"/>
          <w:szCs w:val="24"/>
        </w:rPr>
        <w:t>4）《环境标志产品政府采购实施的意见》（</w:t>
      </w:r>
      <w:r>
        <w:rPr>
          <w:rFonts w:ascii="宋体" w:hAnsi="宋体" w:eastAsia="宋体" w:cs="宋体"/>
          <w:spacing w:val="-1"/>
          <w:sz w:val="24"/>
          <w:szCs w:val="24"/>
        </w:rPr>
        <w:t>财库〔2006〕90</w:t>
      </w:r>
      <w:r>
        <w:rPr>
          <w:rFonts w:ascii="宋体" w:hAnsi="宋体" w:eastAsia="宋体" w:cs="宋体"/>
          <w:spacing w:val="-45"/>
          <w:sz w:val="24"/>
          <w:szCs w:val="24"/>
        </w:rPr>
        <w:t xml:space="preserve"> </w:t>
      </w:r>
      <w:r>
        <w:rPr>
          <w:rFonts w:ascii="宋体" w:hAnsi="宋体" w:eastAsia="宋体" w:cs="宋体"/>
          <w:spacing w:val="-1"/>
          <w:sz w:val="24"/>
          <w:szCs w:val="24"/>
        </w:rPr>
        <w:t>号</w:t>
      </w:r>
      <w:r>
        <w:rPr>
          <w:rFonts w:ascii="宋体" w:hAnsi="宋体" w:eastAsia="宋体" w:cs="宋体"/>
          <w:spacing w:val="-6"/>
          <w:sz w:val="24"/>
          <w:szCs w:val="24"/>
        </w:rPr>
        <w:t>）；</w:t>
      </w:r>
      <w:r>
        <w:rPr>
          <w:rFonts w:ascii="宋体" w:hAnsi="宋体" w:eastAsia="宋体" w:cs="宋体"/>
          <w:sz w:val="24"/>
          <w:szCs w:val="24"/>
        </w:rPr>
        <w:t xml:space="preserve"> （5）《关于促进残疾人就业政府采购政策的通知》（</w:t>
      </w:r>
      <w:r>
        <w:rPr>
          <w:rFonts w:ascii="宋体" w:hAnsi="宋体" w:eastAsia="宋体" w:cs="宋体"/>
          <w:spacing w:val="-1"/>
          <w:sz w:val="24"/>
          <w:szCs w:val="24"/>
        </w:rPr>
        <w:t>财库〔2017〕141</w:t>
      </w:r>
      <w:r>
        <w:rPr>
          <w:rFonts w:ascii="宋体" w:hAnsi="宋体" w:eastAsia="宋体" w:cs="宋体"/>
          <w:spacing w:val="-44"/>
          <w:sz w:val="24"/>
          <w:szCs w:val="24"/>
        </w:rPr>
        <w:t xml:space="preserve"> </w:t>
      </w:r>
      <w:r>
        <w:rPr>
          <w:rFonts w:ascii="宋体" w:hAnsi="宋体" w:eastAsia="宋体" w:cs="宋体"/>
          <w:spacing w:val="-1"/>
          <w:sz w:val="24"/>
          <w:szCs w:val="24"/>
        </w:rPr>
        <w:t>号</w:t>
      </w:r>
      <w:r>
        <w:rPr>
          <w:rFonts w:ascii="宋体" w:hAnsi="宋体" w:eastAsia="宋体" w:cs="宋体"/>
          <w:spacing w:val="-15"/>
          <w:sz w:val="24"/>
          <w:szCs w:val="24"/>
        </w:rPr>
        <w:t>）；（</w:t>
      </w:r>
      <w:r>
        <w:rPr>
          <w:rFonts w:ascii="宋体" w:hAnsi="宋体" w:eastAsia="宋体" w:cs="宋体"/>
          <w:spacing w:val="-1"/>
          <w:sz w:val="24"/>
          <w:szCs w:val="24"/>
        </w:rPr>
        <w:t>6）财政部国</w:t>
      </w:r>
      <w:r>
        <w:rPr>
          <w:rFonts w:ascii="宋体" w:hAnsi="宋体" w:eastAsia="宋体" w:cs="宋体"/>
          <w:spacing w:val="-5"/>
          <w:sz w:val="24"/>
          <w:szCs w:val="24"/>
        </w:rPr>
        <w:t>家发展改革委关于印发〈节能产品政府采购实施意见〉的通知》（财库〔2004〕185</w:t>
      </w:r>
      <w:r>
        <w:rPr>
          <w:rFonts w:ascii="宋体" w:hAnsi="宋体" w:eastAsia="宋体" w:cs="宋体"/>
          <w:spacing w:val="-45"/>
          <w:sz w:val="24"/>
          <w:szCs w:val="24"/>
        </w:rPr>
        <w:t xml:space="preserve"> </w:t>
      </w:r>
      <w:r>
        <w:rPr>
          <w:rFonts w:ascii="宋体" w:hAnsi="宋体" w:eastAsia="宋体" w:cs="宋体"/>
          <w:spacing w:val="-5"/>
          <w:sz w:val="24"/>
          <w:szCs w:val="24"/>
        </w:rPr>
        <w:t>号</w:t>
      </w:r>
      <w:r>
        <w:rPr>
          <w:rFonts w:ascii="宋体" w:hAnsi="宋体" w:eastAsia="宋体" w:cs="宋体"/>
          <w:spacing w:val="-35"/>
          <w:sz w:val="24"/>
          <w:szCs w:val="24"/>
        </w:rPr>
        <w:t>）；（</w:t>
      </w:r>
      <w:r>
        <w:rPr>
          <w:rFonts w:ascii="宋体" w:hAnsi="宋体" w:eastAsia="宋体" w:cs="宋体"/>
          <w:spacing w:val="-5"/>
          <w:sz w:val="24"/>
          <w:szCs w:val="24"/>
        </w:rPr>
        <w:t>7）</w:t>
      </w:r>
      <w:r>
        <w:rPr>
          <w:rFonts w:ascii="宋体" w:hAnsi="宋体" w:eastAsia="宋体" w:cs="宋体"/>
          <w:sz w:val="24"/>
          <w:szCs w:val="24"/>
        </w:rPr>
        <w:t xml:space="preserve"> </w:t>
      </w:r>
      <w:r>
        <w:rPr>
          <w:rFonts w:ascii="宋体" w:hAnsi="宋体" w:eastAsia="宋体" w:cs="宋体"/>
          <w:spacing w:val="-2"/>
          <w:sz w:val="24"/>
          <w:szCs w:val="24"/>
        </w:rPr>
        <w:t>《财政部发展改革委生态环境部市场监管总</w:t>
      </w:r>
      <w:r>
        <w:rPr>
          <w:rFonts w:ascii="宋体" w:hAnsi="宋体" w:eastAsia="宋体" w:cs="宋体"/>
          <w:spacing w:val="-3"/>
          <w:sz w:val="24"/>
          <w:szCs w:val="24"/>
        </w:rPr>
        <w:t>局关于调整优化节能产品、环境标志产品政府采购</w:t>
      </w:r>
      <w:r>
        <w:rPr>
          <w:rFonts w:ascii="宋体" w:hAnsi="宋体" w:eastAsia="宋体" w:cs="宋体"/>
          <w:sz w:val="24"/>
          <w:szCs w:val="24"/>
        </w:rPr>
        <w:t>执行机制的通知》（财库〔2019〕9</w:t>
      </w:r>
      <w:r>
        <w:rPr>
          <w:rFonts w:ascii="宋体" w:hAnsi="宋体" w:eastAsia="宋体" w:cs="宋体"/>
          <w:spacing w:val="-44"/>
          <w:sz w:val="24"/>
          <w:szCs w:val="24"/>
        </w:rPr>
        <w:t xml:space="preserve"> </w:t>
      </w:r>
      <w:r>
        <w:rPr>
          <w:rFonts w:ascii="宋体" w:hAnsi="宋体" w:eastAsia="宋体" w:cs="宋体"/>
          <w:sz w:val="24"/>
          <w:szCs w:val="24"/>
        </w:rPr>
        <w:t>号</w:t>
      </w:r>
      <w:r>
        <w:rPr>
          <w:rFonts w:ascii="宋体" w:hAnsi="宋体" w:eastAsia="宋体" w:cs="宋体"/>
          <w:spacing w:val="-9"/>
          <w:sz w:val="24"/>
          <w:szCs w:val="24"/>
        </w:rPr>
        <w:t>）；（</w:t>
      </w:r>
      <w:r>
        <w:rPr>
          <w:rFonts w:ascii="宋体" w:hAnsi="宋体" w:eastAsia="宋体" w:cs="宋体"/>
          <w:sz w:val="24"/>
          <w:szCs w:val="24"/>
        </w:rPr>
        <w:t>8）《关于印发环境标志产品政府采购品目清单</w:t>
      </w:r>
      <w:r>
        <w:rPr>
          <w:rFonts w:ascii="宋体" w:hAnsi="宋体" w:eastAsia="宋体" w:cs="宋体"/>
          <w:spacing w:val="-2"/>
          <w:sz w:val="24"/>
          <w:szCs w:val="24"/>
        </w:rPr>
        <w:t>的通知》（财库〔2019〕18</w:t>
      </w:r>
      <w:r>
        <w:rPr>
          <w:rFonts w:ascii="宋体" w:hAnsi="宋体" w:eastAsia="宋体" w:cs="宋体"/>
          <w:spacing w:val="-44"/>
          <w:sz w:val="24"/>
          <w:szCs w:val="24"/>
        </w:rPr>
        <w:t xml:space="preserve"> </w:t>
      </w:r>
      <w:r>
        <w:rPr>
          <w:rFonts w:ascii="宋体" w:hAnsi="宋体" w:eastAsia="宋体" w:cs="宋体"/>
          <w:spacing w:val="-2"/>
          <w:sz w:val="24"/>
          <w:szCs w:val="24"/>
        </w:rPr>
        <w:t>号</w:t>
      </w:r>
      <w:r>
        <w:rPr>
          <w:rFonts w:ascii="宋体" w:hAnsi="宋体" w:eastAsia="宋体" w:cs="宋体"/>
          <w:spacing w:val="22"/>
          <w:sz w:val="24"/>
          <w:szCs w:val="24"/>
        </w:rPr>
        <w:t>）；</w:t>
      </w:r>
      <w:r>
        <w:rPr>
          <w:rFonts w:ascii="宋体" w:hAnsi="宋体" w:eastAsia="宋体" w:cs="宋体"/>
          <w:spacing w:val="-2"/>
          <w:sz w:val="24"/>
          <w:szCs w:val="24"/>
        </w:rPr>
        <w:t>(9)《关于印发节</w:t>
      </w:r>
      <w:r>
        <w:rPr>
          <w:rFonts w:ascii="宋体" w:hAnsi="宋体" w:eastAsia="宋体" w:cs="宋体"/>
          <w:spacing w:val="-3"/>
          <w:sz w:val="24"/>
          <w:szCs w:val="24"/>
        </w:rPr>
        <w:t>能产品政府采购品目清单的通知》（财库</w:t>
      </w:r>
      <w:r>
        <w:rPr>
          <w:rFonts w:ascii="宋体" w:hAnsi="宋体" w:eastAsia="宋体" w:cs="宋体"/>
          <w:spacing w:val="-1"/>
          <w:sz w:val="24"/>
          <w:szCs w:val="24"/>
        </w:rPr>
        <w:t>〔2019〕19</w:t>
      </w:r>
      <w:r>
        <w:rPr>
          <w:rFonts w:ascii="宋体" w:hAnsi="宋体" w:eastAsia="宋体" w:cs="宋体"/>
          <w:spacing w:val="-45"/>
          <w:sz w:val="24"/>
          <w:szCs w:val="24"/>
        </w:rPr>
        <w:t xml:space="preserve"> </w:t>
      </w:r>
      <w:r>
        <w:rPr>
          <w:rFonts w:ascii="宋体" w:hAnsi="宋体" w:eastAsia="宋体" w:cs="宋体"/>
          <w:spacing w:val="-1"/>
          <w:sz w:val="24"/>
          <w:szCs w:val="24"/>
        </w:rPr>
        <w:t>号</w:t>
      </w:r>
      <w:r>
        <w:rPr>
          <w:rFonts w:ascii="宋体" w:hAnsi="宋体" w:eastAsia="宋体" w:cs="宋体"/>
          <w:spacing w:val="-12"/>
          <w:sz w:val="24"/>
          <w:szCs w:val="24"/>
        </w:rPr>
        <w:t>）；（</w:t>
      </w:r>
      <w:r>
        <w:rPr>
          <w:rFonts w:ascii="宋体" w:hAnsi="宋体" w:eastAsia="宋体" w:cs="宋体"/>
          <w:spacing w:val="-1"/>
          <w:sz w:val="24"/>
          <w:szCs w:val="24"/>
        </w:rPr>
        <w:t>10）《关于运用政府采购政策支持乡村产业振兴的通知》（财库〔2021〕</w:t>
      </w:r>
      <w:r>
        <w:rPr>
          <w:rFonts w:ascii="宋体" w:hAnsi="宋体" w:eastAsia="宋体" w:cs="宋体"/>
          <w:sz w:val="24"/>
          <w:szCs w:val="24"/>
        </w:rPr>
        <w:t xml:space="preserve"> </w:t>
      </w:r>
      <w:r>
        <w:rPr>
          <w:rFonts w:ascii="宋体" w:hAnsi="宋体" w:eastAsia="宋体" w:cs="宋体"/>
          <w:spacing w:val="-4"/>
          <w:sz w:val="24"/>
          <w:szCs w:val="24"/>
        </w:rPr>
        <w:t>19</w:t>
      </w:r>
      <w:r>
        <w:rPr>
          <w:rFonts w:ascii="宋体" w:hAnsi="宋体" w:eastAsia="宋体" w:cs="宋体"/>
          <w:spacing w:val="-44"/>
          <w:sz w:val="24"/>
          <w:szCs w:val="24"/>
        </w:rPr>
        <w:t xml:space="preserve"> </w:t>
      </w:r>
      <w:r>
        <w:rPr>
          <w:rFonts w:ascii="宋体" w:hAnsi="宋体" w:eastAsia="宋体" w:cs="宋体"/>
          <w:spacing w:val="-4"/>
          <w:sz w:val="24"/>
          <w:szCs w:val="24"/>
        </w:rPr>
        <w:t>号</w:t>
      </w:r>
      <w:r>
        <w:rPr>
          <w:rFonts w:ascii="宋体" w:hAnsi="宋体" w:eastAsia="宋体" w:cs="宋体"/>
          <w:spacing w:val="-16"/>
          <w:sz w:val="24"/>
          <w:szCs w:val="24"/>
        </w:rPr>
        <w:t>）；（</w:t>
      </w:r>
      <w:r>
        <w:rPr>
          <w:rFonts w:ascii="宋体" w:hAnsi="宋体" w:eastAsia="宋体" w:cs="宋体"/>
          <w:spacing w:val="-4"/>
          <w:sz w:val="24"/>
          <w:szCs w:val="24"/>
        </w:rPr>
        <w:t>11）《陕西省中小企业政府采购信用融资办法》（陕财办采〔2018〕23</w:t>
      </w:r>
      <w:r>
        <w:rPr>
          <w:rFonts w:ascii="宋体" w:hAnsi="宋体" w:eastAsia="宋体" w:cs="宋体"/>
          <w:spacing w:val="-44"/>
          <w:sz w:val="24"/>
          <w:szCs w:val="24"/>
        </w:rPr>
        <w:t xml:space="preserve"> </w:t>
      </w:r>
      <w:r>
        <w:rPr>
          <w:rFonts w:ascii="宋体" w:hAnsi="宋体" w:eastAsia="宋体" w:cs="宋体"/>
          <w:spacing w:val="-4"/>
          <w:sz w:val="24"/>
          <w:szCs w:val="24"/>
        </w:rPr>
        <w:t>号</w:t>
      </w:r>
      <w:r>
        <w:rPr>
          <w:rFonts w:ascii="宋体" w:hAnsi="宋体" w:eastAsia="宋体" w:cs="宋体"/>
          <w:spacing w:val="-16"/>
          <w:sz w:val="24"/>
          <w:szCs w:val="24"/>
        </w:rPr>
        <w:t>）；</w:t>
      </w:r>
      <w:r>
        <w:rPr>
          <w:rFonts w:ascii="宋体" w:hAnsi="宋体" w:eastAsia="宋体" w:cs="宋体"/>
          <w:spacing w:val="-5"/>
          <w:sz w:val="24"/>
          <w:szCs w:val="24"/>
        </w:rPr>
        <w:t>(12)</w:t>
      </w:r>
      <w:r>
        <w:rPr>
          <w:rFonts w:ascii="宋体" w:hAnsi="宋体" w:eastAsia="宋体" w:cs="宋体"/>
          <w:sz w:val="24"/>
          <w:szCs w:val="24"/>
        </w:rPr>
        <w:t xml:space="preserve"> </w:t>
      </w:r>
      <w:r>
        <w:rPr>
          <w:rFonts w:ascii="宋体" w:hAnsi="宋体" w:eastAsia="宋体" w:cs="宋体"/>
          <w:spacing w:val="-5"/>
          <w:sz w:val="24"/>
          <w:szCs w:val="24"/>
        </w:rPr>
        <w:t>《陕西省财政厅关于加快推进我省中小企业</w:t>
      </w:r>
      <w:r>
        <w:rPr>
          <w:rFonts w:ascii="宋体" w:hAnsi="宋体" w:eastAsia="宋体" w:cs="宋体"/>
          <w:spacing w:val="-6"/>
          <w:sz w:val="24"/>
          <w:szCs w:val="24"/>
        </w:rPr>
        <w:t>政府采购信用融资工作的通知》（陕财办采〔2020〕</w:t>
      </w:r>
      <w:r>
        <w:rPr>
          <w:rFonts w:ascii="宋体" w:hAnsi="宋体" w:eastAsia="宋体" w:cs="宋体"/>
          <w:sz w:val="24"/>
          <w:szCs w:val="24"/>
        </w:rPr>
        <w:t xml:space="preserve"> 15</w:t>
      </w:r>
      <w:r>
        <w:rPr>
          <w:rFonts w:ascii="宋体" w:hAnsi="宋体" w:eastAsia="宋体" w:cs="宋体"/>
          <w:spacing w:val="-44"/>
          <w:sz w:val="24"/>
          <w:szCs w:val="24"/>
        </w:rPr>
        <w:t xml:space="preserve"> </w:t>
      </w:r>
      <w:r>
        <w:rPr>
          <w:rFonts w:ascii="宋体" w:hAnsi="宋体" w:eastAsia="宋体" w:cs="宋体"/>
          <w:sz w:val="24"/>
          <w:szCs w:val="24"/>
        </w:rPr>
        <w:t>号</w:t>
      </w:r>
      <w:r>
        <w:rPr>
          <w:rFonts w:ascii="宋体" w:hAnsi="宋体" w:eastAsia="宋体" w:cs="宋体"/>
          <w:spacing w:val="-9"/>
          <w:sz w:val="24"/>
          <w:szCs w:val="24"/>
        </w:rPr>
        <w:t>）；（</w:t>
      </w:r>
      <w:r>
        <w:rPr>
          <w:rFonts w:ascii="宋体" w:hAnsi="宋体" w:eastAsia="宋体" w:cs="宋体"/>
          <w:sz w:val="24"/>
          <w:szCs w:val="24"/>
        </w:rPr>
        <w:t>13）《财政部关于在政府采购活动中查询及使用信用记录有关问题的通知》（财</w:t>
      </w:r>
      <w:r>
        <w:rPr>
          <w:rFonts w:ascii="宋体" w:hAnsi="宋体" w:eastAsia="宋体" w:cs="宋体"/>
          <w:spacing w:val="-4"/>
          <w:sz w:val="24"/>
          <w:szCs w:val="24"/>
        </w:rPr>
        <w:t>库〔2016〕125</w:t>
      </w:r>
      <w:r>
        <w:rPr>
          <w:rFonts w:ascii="宋体" w:hAnsi="宋体" w:eastAsia="宋体" w:cs="宋体"/>
          <w:spacing w:val="-44"/>
          <w:sz w:val="24"/>
          <w:szCs w:val="24"/>
        </w:rPr>
        <w:t xml:space="preserve"> </w:t>
      </w:r>
      <w:r>
        <w:rPr>
          <w:rFonts w:ascii="宋体" w:hAnsi="宋体" w:eastAsia="宋体" w:cs="宋体"/>
          <w:spacing w:val="-4"/>
          <w:sz w:val="24"/>
          <w:szCs w:val="24"/>
        </w:rPr>
        <w:t>号</w:t>
      </w:r>
      <w:r>
        <w:rPr>
          <w:rFonts w:ascii="宋体" w:hAnsi="宋体" w:eastAsia="宋体" w:cs="宋体"/>
          <w:spacing w:val="-42"/>
          <w:sz w:val="24"/>
          <w:szCs w:val="24"/>
        </w:rPr>
        <w:t>）；（</w:t>
      </w:r>
      <w:r>
        <w:rPr>
          <w:rFonts w:ascii="宋体" w:hAnsi="宋体" w:eastAsia="宋体" w:cs="宋体"/>
          <w:spacing w:val="-4"/>
          <w:sz w:val="24"/>
          <w:szCs w:val="24"/>
        </w:rPr>
        <w:t>14）《财政部关于进一步加大政府采购支持中小企业力度的通知》</w:t>
      </w:r>
      <w:r>
        <w:rPr>
          <w:rFonts w:ascii="宋体" w:hAnsi="宋体" w:eastAsia="宋体" w:cs="宋体"/>
          <w:spacing w:val="-5"/>
          <w:sz w:val="24"/>
          <w:szCs w:val="24"/>
        </w:rPr>
        <w:t>（财</w:t>
      </w:r>
      <w:r>
        <w:rPr>
          <w:rFonts w:ascii="宋体" w:hAnsi="宋体" w:eastAsia="宋体" w:cs="宋体"/>
          <w:sz w:val="24"/>
          <w:szCs w:val="24"/>
        </w:rPr>
        <w:t>库〔2022〕19</w:t>
      </w:r>
      <w:r>
        <w:rPr>
          <w:rFonts w:ascii="宋体" w:hAnsi="宋体" w:eastAsia="宋体" w:cs="宋体"/>
          <w:spacing w:val="-44"/>
          <w:sz w:val="24"/>
          <w:szCs w:val="24"/>
        </w:rPr>
        <w:t xml:space="preserve"> </w:t>
      </w:r>
      <w:r>
        <w:rPr>
          <w:rFonts w:ascii="宋体" w:hAnsi="宋体" w:eastAsia="宋体" w:cs="宋体"/>
          <w:sz w:val="24"/>
          <w:szCs w:val="24"/>
        </w:rPr>
        <w:t>号</w:t>
      </w:r>
      <w:r>
        <w:rPr>
          <w:rFonts w:ascii="宋体" w:hAnsi="宋体" w:eastAsia="宋体" w:cs="宋体"/>
          <w:spacing w:val="-9"/>
          <w:sz w:val="24"/>
          <w:szCs w:val="24"/>
        </w:rPr>
        <w:t>）；（</w:t>
      </w:r>
      <w:r>
        <w:rPr>
          <w:rFonts w:ascii="宋体" w:hAnsi="宋体" w:eastAsia="宋体" w:cs="宋体"/>
          <w:sz w:val="24"/>
          <w:szCs w:val="24"/>
        </w:rPr>
        <w:t>15）其他落实的政府采购政策。若享受以上政策优惠的企业，需提供</w:t>
      </w:r>
      <w:r>
        <w:rPr>
          <w:rFonts w:ascii="宋体" w:hAnsi="宋体" w:eastAsia="宋体" w:cs="宋体"/>
          <w:spacing w:val="-1"/>
          <w:sz w:val="24"/>
          <w:szCs w:val="24"/>
        </w:rPr>
        <w:t>相应声明函或品目清单范围内产品的有效认证证书。</w:t>
      </w:r>
    </w:p>
    <w:p w14:paraId="43703B57">
      <w:pPr>
        <w:spacing w:line="360" w:lineRule="auto"/>
        <w:ind w:left="8"/>
        <w:outlineLvl w:val="1"/>
        <w:rPr>
          <w:rFonts w:ascii="宋体" w:hAnsi="宋体" w:eastAsia="宋体" w:cs="宋体"/>
          <w:sz w:val="24"/>
          <w:szCs w:val="24"/>
        </w:rPr>
      </w:pPr>
      <w:bookmarkStart w:id="15" w:name="_Toc28163"/>
      <w:r>
        <w:rPr>
          <w:rFonts w:ascii="宋体" w:hAnsi="宋体" w:eastAsia="宋体" w:cs="宋体"/>
          <w:b/>
          <w:bCs/>
          <w:spacing w:val="-2"/>
          <w:sz w:val="24"/>
          <w:szCs w:val="24"/>
        </w:rPr>
        <w:t>七、凡对本次招标提出询问，请按以下方式联</w:t>
      </w:r>
      <w:r>
        <w:rPr>
          <w:rFonts w:ascii="宋体" w:hAnsi="宋体" w:eastAsia="宋体" w:cs="宋体"/>
          <w:b/>
          <w:bCs/>
          <w:spacing w:val="-3"/>
          <w:sz w:val="24"/>
          <w:szCs w:val="24"/>
        </w:rPr>
        <w:t>系。</w:t>
      </w:r>
      <w:bookmarkEnd w:id="15"/>
    </w:p>
    <w:p w14:paraId="212DA25F">
      <w:pPr>
        <w:spacing w:before="116" w:line="360" w:lineRule="auto"/>
        <w:ind w:left="507"/>
        <w:outlineLvl w:val="2"/>
        <w:rPr>
          <w:rFonts w:ascii="宋体" w:hAnsi="宋体" w:eastAsia="宋体" w:cs="宋体"/>
          <w:sz w:val="24"/>
          <w:szCs w:val="24"/>
        </w:rPr>
      </w:pPr>
      <w:bookmarkStart w:id="16" w:name="_Toc8926"/>
      <w:r>
        <w:rPr>
          <w:rFonts w:ascii="宋体" w:hAnsi="宋体" w:eastAsia="宋体" w:cs="宋体"/>
          <w:b/>
          <w:bCs/>
          <w:spacing w:val="-6"/>
          <w:sz w:val="24"/>
          <w:szCs w:val="24"/>
        </w:rPr>
        <w:t>1.采购人信息</w:t>
      </w:r>
      <w:bookmarkEnd w:id="16"/>
    </w:p>
    <w:p w14:paraId="54C81C53">
      <w:pPr>
        <w:spacing w:before="114" w:line="360" w:lineRule="auto"/>
        <w:ind w:left="492"/>
        <w:rPr>
          <w:rFonts w:hint="eastAsia" w:ascii="宋体" w:hAnsi="宋体" w:eastAsia="宋体" w:cs="宋体"/>
          <w:sz w:val="24"/>
          <w:szCs w:val="24"/>
          <w:lang w:eastAsia="zh-CN"/>
        </w:rPr>
      </w:pPr>
      <w:r>
        <w:rPr>
          <w:rFonts w:ascii="宋体" w:hAnsi="宋体" w:eastAsia="宋体" w:cs="宋体"/>
          <w:spacing w:val="-1"/>
          <w:sz w:val="24"/>
          <w:szCs w:val="24"/>
        </w:rPr>
        <w:t>名称：</w:t>
      </w:r>
      <w:r>
        <w:rPr>
          <w:rFonts w:hint="eastAsia" w:ascii="宋体" w:hAnsi="宋体" w:eastAsia="宋体" w:cs="宋体"/>
          <w:spacing w:val="-1"/>
          <w:sz w:val="24"/>
          <w:szCs w:val="24"/>
          <w:lang w:eastAsia="zh-CN"/>
        </w:rPr>
        <w:t>杨凌示范区科技创新和转化推广局</w:t>
      </w:r>
    </w:p>
    <w:p w14:paraId="49939003">
      <w:pPr>
        <w:spacing w:before="116" w:line="360" w:lineRule="auto"/>
        <w:ind w:left="489"/>
        <w:rPr>
          <w:rFonts w:hint="eastAsia" w:ascii="宋体" w:hAnsi="宋体" w:eastAsia="宋体" w:cs="宋体"/>
          <w:sz w:val="24"/>
          <w:szCs w:val="24"/>
          <w:lang w:eastAsia="zh-CN"/>
        </w:rPr>
      </w:pPr>
      <w:r>
        <w:rPr>
          <w:rFonts w:ascii="宋体" w:hAnsi="宋体" w:eastAsia="宋体" w:cs="宋体"/>
          <w:spacing w:val="2"/>
          <w:sz w:val="24"/>
          <w:szCs w:val="24"/>
        </w:rPr>
        <w:t>地址：</w:t>
      </w:r>
      <w:r>
        <w:rPr>
          <w:rFonts w:hint="eastAsia" w:ascii="宋体" w:hAnsi="宋体" w:eastAsia="宋体" w:cs="宋体"/>
          <w:spacing w:val="2"/>
          <w:sz w:val="24"/>
          <w:szCs w:val="24"/>
          <w:lang w:eastAsia="zh-CN"/>
        </w:rPr>
        <w:t>杨凌示范区新桥路政务大厦438室</w:t>
      </w:r>
    </w:p>
    <w:p w14:paraId="6E7573EA">
      <w:pPr>
        <w:spacing w:before="115" w:line="360" w:lineRule="auto"/>
        <w:ind w:left="490"/>
        <w:rPr>
          <w:rFonts w:hint="eastAsia" w:ascii="宋体" w:hAnsi="宋体" w:eastAsia="宋体" w:cs="宋体"/>
          <w:sz w:val="24"/>
          <w:szCs w:val="24"/>
          <w:lang w:eastAsia="zh-CN"/>
        </w:rPr>
      </w:pPr>
      <w:r>
        <w:rPr>
          <w:rFonts w:ascii="宋体" w:hAnsi="宋体" w:eastAsia="宋体" w:cs="宋体"/>
          <w:spacing w:val="-1"/>
          <w:sz w:val="24"/>
          <w:szCs w:val="24"/>
        </w:rPr>
        <w:t>联系方式：</w:t>
      </w:r>
      <w:r>
        <w:rPr>
          <w:rFonts w:hint="eastAsia" w:ascii="宋体" w:hAnsi="宋体" w:eastAsia="宋体" w:cs="宋体"/>
          <w:spacing w:val="-1"/>
          <w:sz w:val="24"/>
          <w:szCs w:val="24"/>
          <w:lang w:eastAsia="zh-CN"/>
        </w:rPr>
        <w:t>029-87019511</w:t>
      </w:r>
    </w:p>
    <w:p w14:paraId="3FF0E8BB">
      <w:pPr>
        <w:spacing w:before="111" w:line="360" w:lineRule="auto"/>
        <w:ind w:left="492"/>
        <w:outlineLvl w:val="2"/>
        <w:rPr>
          <w:rFonts w:ascii="宋体" w:hAnsi="宋体" w:eastAsia="宋体" w:cs="宋体"/>
          <w:sz w:val="24"/>
          <w:szCs w:val="24"/>
        </w:rPr>
      </w:pPr>
      <w:bookmarkStart w:id="17" w:name="_Toc9929"/>
      <w:r>
        <w:rPr>
          <w:rFonts w:ascii="宋体" w:hAnsi="宋体" w:eastAsia="宋体" w:cs="宋体"/>
          <w:b/>
          <w:bCs/>
          <w:spacing w:val="-4"/>
          <w:sz w:val="24"/>
          <w:szCs w:val="24"/>
        </w:rPr>
        <w:t>2.采购代理机构信息</w:t>
      </w:r>
      <w:bookmarkEnd w:id="17"/>
    </w:p>
    <w:p w14:paraId="197C3F3A">
      <w:pPr>
        <w:spacing w:before="117" w:line="360" w:lineRule="auto"/>
        <w:ind w:left="492"/>
        <w:rPr>
          <w:rFonts w:hint="eastAsia" w:ascii="宋体" w:hAnsi="宋体" w:eastAsia="宋体" w:cs="宋体"/>
          <w:sz w:val="24"/>
          <w:szCs w:val="24"/>
          <w:lang w:eastAsia="zh-CN"/>
        </w:rPr>
      </w:pPr>
      <w:r>
        <w:rPr>
          <w:rFonts w:ascii="宋体" w:hAnsi="宋体" w:eastAsia="宋体" w:cs="宋体"/>
          <w:spacing w:val="-1"/>
          <w:sz w:val="24"/>
          <w:szCs w:val="24"/>
        </w:rPr>
        <w:t>名称：</w:t>
      </w:r>
      <w:r>
        <w:rPr>
          <w:rFonts w:hint="eastAsia" w:ascii="宋体" w:hAnsi="宋体" w:eastAsia="宋体" w:cs="宋体"/>
          <w:spacing w:val="-1"/>
          <w:sz w:val="24"/>
          <w:szCs w:val="24"/>
          <w:lang w:eastAsia="zh-CN"/>
        </w:rPr>
        <w:t>华春建设工程项目管理有限责任公司</w:t>
      </w:r>
    </w:p>
    <w:p w14:paraId="48451F4E">
      <w:pPr>
        <w:spacing w:before="115" w:line="360" w:lineRule="auto"/>
        <w:ind w:left="489"/>
        <w:rPr>
          <w:rFonts w:hint="eastAsia" w:ascii="宋体" w:hAnsi="宋体" w:eastAsia="宋体" w:cs="宋体"/>
          <w:sz w:val="24"/>
          <w:szCs w:val="24"/>
          <w:lang w:eastAsia="zh-CN"/>
        </w:rPr>
      </w:pPr>
      <w:r>
        <w:rPr>
          <w:rFonts w:ascii="宋体" w:hAnsi="宋体" w:eastAsia="宋体" w:cs="宋体"/>
          <w:spacing w:val="-2"/>
          <w:sz w:val="24"/>
          <w:szCs w:val="24"/>
        </w:rPr>
        <w:t>地址：</w:t>
      </w:r>
      <w:r>
        <w:rPr>
          <w:rFonts w:hint="eastAsia" w:ascii="宋体" w:hAnsi="宋体" w:eastAsia="宋体" w:cs="宋体"/>
          <w:spacing w:val="-2"/>
          <w:sz w:val="24"/>
          <w:szCs w:val="24"/>
          <w:lang w:eastAsia="zh-CN"/>
        </w:rPr>
        <w:t>西安市雁塔区南二环西段58号成长大厦8楼</w:t>
      </w:r>
    </w:p>
    <w:p w14:paraId="3227B3AB">
      <w:pPr>
        <w:spacing w:before="114" w:line="360" w:lineRule="auto"/>
        <w:ind w:left="490"/>
        <w:rPr>
          <w:rFonts w:hint="eastAsia" w:ascii="宋体" w:hAnsi="宋体" w:eastAsia="宋体" w:cs="宋体"/>
          <w:sz w:val="24"/>
          <w:szCs w:val="24"/>
          <w:lang w:eastAsia="zh-CN"/>
        </w:rPr>
      </w:pPr>
      <w:r>
        <w:rPr>
          <w:rFonts w:ascii="宋体" w:hAnsi="宋体" w:eastAsia="宋体" w:cs="宋体"/>
          <w:spacing w:val="-1"/>
          <w:sz w:val="24"/>
          <w:szCs w:val="24"/>
        </w:rPr>
        <w:t>联系方式：</w:t>
      </w:r>
      <w:r>
        <w:rPr>
          <w:rFonts w:hint="eastAsia" w:ascii="宋体" w:hAnsi="宋体" w:eastAsia="宋体" w:cs="宋体"/>
          <w:spacing w:val="-1"/>
          <w:sz w:val="24"/>
          <w:szCs w:val="24"/>
          <w:lang w:eastAsia="zh-CN"/>
        </w:rPr>
        <w:t>029-85205306、13991085600</w:t>
      </w:r>
    </w:p>
    <w:p w14:paraId="7EF10F35">
      <w:pPr>
        <w:spacing w:before="114" w:line="360" w:lineRule="auto"/>
        <w:ind w:left="494"/>
        <w:outlineLvl w:val="2"/>
        <w:rPr>
          <w:rFonts w:ascii="宋体" w:hAnsi="宋体" w:eastAsia="宋体" w:cs="宋体"/>
          <w:sz w:val="24"/>
          <w:szCs w:val="24"/>
        </w:rPr>
      </w:pPr>
      <w:bookmarkStart w:id="18" w:name="_Toc391"/>
      <w:r>
        <w:rPr>
          <w:rFonts w:ascii="宋体" w:hAnsi="宋体" w:eastAsia="宋体" w:cs="宋体"/>
          <w:b/>
          <w:bCs/>
          <w:spacing w:val="-4"/>
          <w:sz w:val="24"/>
          <w:szCs w:val="24"/>
        </w:rPr>
        <w:t>3.项目联系方式</w:t>
      </w:r>
      <w:bookmarkEnd w:id="18"/>
    </w:p>
    <w:p w14:paraId="526A556F">
      <w:pPr>
        <w:spacing w:before="115" w:line="360" w:lineRule="auto"/>
        <w:ind w:left="493"/>
        <w:rPr>
          <w:rFonts w:hint="eastAsia" w:ascii="宋体" w:hAnsi="宋体" w:eastAsia="宋体" w:cs="宋体"/>
          <w:sz w:val="24"/>
          <w:szCs w:val="24"/>
          <w:lang w:eastAsia="zh-CN"/>
        </w:rPr>
      </w:pPr>
      <w:r>
        <w:rPr>
          <w:rFonts w:ascii="宋体" w:hAnsi="宋体" w:eastAsia="宋体" w:cs="宋体"/>
          <w:spacing w:val="-1"/>
          <w:sz w:val="24"/>
          <w:szCs w:val="24"/>
        </w:rPr>
        <w:t>项目联系人：</w:t>
      </w:r>
      <w:r>
        <w:rPr>
          <w:rFonts w:hint="eastAsia" w:ascii="宋体" w:hAnsi="宋体" w:eastAsia="宋体" w:cs="宋体"/>
          <w:spacing w:val="-1"/>
          <w:sz w:val="24"/>
          <w:szCs w:val="24"/>
          <w:lang w:eastAsia="zh-CN"/>
        </w:rPr>
        <w:t>郭雄龙、张聪、李娜、张驰、</w:t>
      </w:r>
      <w:r>
        <w:rPr>
          <w:rFonts w:hint="eastAsia" w:ascii="宋体" w:hAnsi="宋体" w:eastAsia="宋体" w:cs="宋体"/>
          <w:spacing w:val="-1"/>
          <w:sz w:val="24"/>
          <w:szCs w:val="24"/>
          <w:lang w:val="en-US" w:eastAsia="zh-CN"/>
        </w:rPr>
        <w:t>冯建正</w:t>
      </w:r>
    </w:p>
    <w:p w14:paraId="33F1DED4">
      <w:pPr>
        <w:spacing w:before="114" w:line="360" w:lineRule="auto"/>
        <w:ind w:left="517"/>
        <w:rPr>
          <w:rFonts w:hint="eastAsia" w:ascii="宋体" w:hAnsi="宋体" w:eastAsia="宋体" w:cs="宋体"/>
          <w:sz w:val="24"/>
          <w:szCs w:val="24"/>
          <w:lang w:eastAsia="zh-CN"/>
        </w:rPr>
      </w:pPr>
      <w:r>
        <w:rPr>
          <w:rFonts w:ascii="宋体" w:hAnsi="宋体" w:eastAsia="宋体" w:cs="宋体"/>
          <w:spacing w:val="-3"/>
          <w:sz w:val="24"/>
          <w:szCs w:val="24"/>
        </w:rPr>
        <w:t>电话：</w:t>
      </w:r>
      <w:r>
        <w:rPr>
          <w:rFonts w:hint="eastAsia" w:ascii="宋体" w:hAnsi="宋体" w:eastAsia="宋体" w:cs="宋体"/>
          <w:spacing w:val="-3"/>
          <w:sz w:val="24"/>
          <w:szCs w:val="24"/>
          <w:lang w:eastAsia="zh-CN"/>
        </w:rPr>
        <w:t>029-85205306、13991085600</w:t>
      </w:r>
    </w:p>
    <w:p w14:paraId="116E022B">
      <w:pPr>
        <w:spacing w:before="113" w:line="360" w:lineRule="auto"/>
        <w:jc w:val="right"/>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华春建设工程项目管理有限责任公司</w:t>
      </w:r>
    </w:p>
    <w:p w14:paraId="68B1FBA6">
      <w:pPr>
        <w:spacing w:before="116" w:line="360" w:lineRule="auto"/>
        <w:ind w:left="6535"/>
        <w:rPr>
          <w:rFonts w:ascii="宋体" w:hAnsi="宋体" w:eastAsia="宋体" w:cs="宋体"/>
          <w:sz w:val="24"/>
          <w:szCs w:val="24"/>
        </w:rPr>
      </w:pPr>
      <w:r>
        <w:rPr>
          <w:rFonts w:ascii="宋体" w:hAnsi="宋体" w:eastAsia="宋体" w:cs="宋体"/>
          <w:spacing w:val="-6"/>
          <w:sz w:val="24"/>
          <w:szCs w:val="24"/>
        </w:rPr>
        <w:t>2026</w:t>
      </w:r>
      <w:r>
        <w:rPr>
          <w:rFonts w:ascii="宋体" w:hAnsi="宋体" w:eastAsia="宋体" w:cs="宋体"/>
          <w:spacing w:val="-47"/>
          <w:sz w:val="24"/>
          <w:szCs w:val="24"/>
        </w:rPr>
        <w:t xml:space="preserve"> </w:t>
      </w:r>
      <w:r>
        <w:rPr>
          <w:rFonts w:ascii="宋体" w:hAnsi="宋体" w:eastAsia="宋体" w:cs="宋体"/>
          <w:spacing w:val="-6"/>
          <w:sz w:val="24"/>
          <w:szCs w:val="24"/>
        </w:rPr>
        <w:t>年</w:t>
      </w:r>
      <w:r>
        <w:rPr>
          <w:rFonts w:ascii="宋体" w:hAnsi="宋体" w:eastAsia="宋体" w:cs="宋体"/>
          <w:spacing w:val="7"/>
          <w:sz w:val="24"/>
          <w:szCs w:val="24"/>
        </w:rPr>
        <w:t xml:space="preserve">  </w:t>
      </w:r>
      <w:r>
        <w:rPr>
          <w:rFonts w:ascii="宋体" w:hAnsi="宋体" w:eastAsia="宋体" w:cs="宋体"/>
          <w:spacing w:val="-6"/>
          <w:sz w:val="24"/>
          <w:szCs w:val="24"/>
        </w:rPr>
        <w:t>月</w:t>
      </w:r>
      <w:r>
        <w:rPr>
          <w:rFonts w:ascii="宋体" w:hAnsi="宋体" w:eastAsia="宋体" w:cs="宋体"/>
          <w:spacing w:val="26"/>
          <w:sz w:val="24"/>
          <w:szCs w:val="24"/>
        </w:rPr>
        <w:t xml:space="preserve">  </w:t>
      </w:r>
      <w:r>
        <w:rPr>
          <w:rFonts w:ascii="宋体" w:hAnsi="宋体" w:eastAsia="宋体" w:cs="宋体"/>
          <w:spacing w:val="-6"/>
          <w:sz w:val="24"/>
          <w:szCs w:val="24"/>
        </w:rPr>
        <w:t>日</w:t>
      </w:r>
    </w:p>
    <w:p w14:paraId="4B711095">
      <w:pPr>
        <w:spacing w:line="360" w:lineRule="auto"/>
        <w:rPr>
          <w:rFonts w:ascii="宋体" w:hAnsi="宋体" w:eastAsia="宋体" w:cs="宋体"/>
          <w:sz w:val="24"/>
          <w:szCs w:val="24"/>
        </w:rPr>
        <w:sectPr>
          <w:headerReference r:id="rId6" w:type="default"/>
          <w:footerReference r:id="rId7" w:type="default"/>
          <w:pgSz w:w="11906" w:h="16839"/>
          <w:pgMar w:top="1166" w:right="980" w:bottom="1408" w:left="1080" w:header="829" w:footer="1194" w:gutter="0"/>
          <w:cols w:space="720" w:num="1"/>
        </w:sectPr>
      </w:pPr>
    </w:p>
    <w:p w14:paraId="1A7DB7BA">
      <w:pPr>
        <w:spacing w:before="312" w:line="360" w:lineRule="auto"/>
        <w:ind w:left="3341"/>
        <w:outlineLvl w:val="0"/>
        <w:rPr>
          <w:rFonts w:ascii="宋体" w:hAnsi="宋体" w:eastAsia="宋体" w:cs="宋体"/>
          <w:sz w:val="28"/>
          <w:szCs w:val="28"/>
        </w:rPr>
      </w:pPr>
      <w:bookmarkStart w:id="19" w:name="_Toc5117"/>
      <w:r>
        <w:rPr>
          <w:rFonts w:ascii="宋体" w:hAnsi="宋体" w:eastAsia="宋体" w:cs="宋体"/>
          <w:b/>
          <w:bCs/>
          <w:spacing w:val="-3"/>
          <w:sz w:val="28"/>
          <w:szCs w:val="28"/>
        </w:rPr>
        <w:t>第二章</w:t>
      </w:r>
      <w:r>
        <w:rPr>
          <w:rFonts w:ascii="宋体" w:hAnsi="宋体" w:eastAsia="宋体" w:cs="宋体"/>
          <w:spacing w:val="-3"/>
          <w:sz w:val="28"/>
          <w:szCs w:val="28"/>
        </w:rPr>
        <w:t xml:space="preserve"> </w:t>
      </w:r>
      <w:r>
        <w:rPr>
          <w:rFonts w:ascii="宋体" w:hAnsi="宋体" w:eastAsia="宋体" w:cs="宋体"/>
          <w:b/>
          <w:bCs/>
          <w:spacing w:val="-3"/>
          <w:sz w:val="28"/>
          <w:szCs w:val="28"/>
        </w:rPr>
        <w:t>供应商须知前附表</w:t>
      </w:r>
      <w:bookmarkEnd w:id="19"/>
    </w:p>
    <w:tbl>
      <w:tblPr>
        <w:tblStyle w:val="12"/>
        <w:tblW w:w="987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3"/>
        <w:gridCol w:w="1786"/>
        <w:gridCol w:w="7308"/>
      </w:tblGrid>
      <w:tr w14:paraId="05FF3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783" w:type="dxa"/>
            <w:tcBorders>
              <w:top w:val="single" w:color="000000" w:sz="6" w:space="0"/>
              <w:left w:val="single" w:color="000000" w:sz="6" w:space="0"/>
            </w:tcBorders>
            <w:vAlign w:val="top"/>
          </w:tcPr>
          <w:p w14:paraId="0B5C8D18">
            <w:pPr>
              <w:pStyle w:val="13"/>
              <w:spacing w:before="150" w:line="360" w:lineRule="auto"/>
              <w:ind w:left="155"/>
            </w:pPr>
            <w:r>
              <w:rPr>
                <w:spacing w:val="-5"/>
              </w:rPr>
              <w:t>序号</w:t>
            </w:r>
          </w:p>
        </w:tc>
        <w:tc>
          <w:tcPr>
            <w:tcW w:w="1786" w:type="dxa"/>
            <w:tcBorders>
              <w:top w:val="single" w:color="000000" w:sz="6" w:space="0"/>
            </w:tcBorders>
            <w:vAlign w:val="top"/>
          </w:tcPr>
          <w:p w14:paraId="6AAB2FA9">
            <w:pPr>
              <w:pStyle w:val="13"/>
              <w:spacing w:before="151" w:line="360" w:lineRule="auto"/>
              <w:ind w:left="359"/>
            </w:pPr>
            <w:r>
              <w:rPr>
                <w:spacing w:val="-3"/>
              </w:rPr>
              <w:t>条款名称</w:t>
            </w:r>
          </w:p>
        </w:tc>
        <w:tc>
          <w:tcPr>
            <w:tcW w:w="7308" w:type="dxa"/>
            <w:tcBorders>
              <w:top w:val="single" w:color="000000" w:sz="6" w:space="0"/>
              <w:right w:val="single" w:color="000000" w:sz="6" w:space="0"/>
            </w:tcBorders>
            <w:vAlign w:val="top"/>
          </w:tcPr>
          <w:p w14:paraId="2E53516B">
            <w:pPr>
              <w:pStyle w:val="13"/>
              <w:spacing w:before="151" w:line="360" w:lineRule="auto"/>
              <w:ind w:left="3060"/>
            </w:pPr>
            <w:r>
              <w:rPr>
                <w:spacing w:val="-3"/>
              </w:rPr>
              <w:t>说明和要求</w:t>
            </w:r>
          </w:p>
        </w:tc>
      </w:tr>
      <w:tr w14:paraId="320E7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783" w:type="dxa"/>
            <w:tcBorders>
              <w:left w:val="single" w:color="000000" w:sz="6" w:space="0"/>
            </w:tcBorders>
            <w:vAlign w:val="top"/>
          </w:tcPr>
          <w:p w14:paraId="204AD48C">
            <w:pPr>
              <w:spacing w:line="360" w:lineRule="auto"/>
              <w:rPr>
                <w:rFonts w:ascii="Arial"/>
                <w:sz w:val="21"/>
              </w:rPr>
            </w:pPr>
          </w:p>
          <w:p w14:paraId="2AFB78E1">
            <w:pPr>
              <w:spacing w:line="360" w:lineRule="auto"/>
              <w:rPr>
                <w:rFonts w:ascii="Arial"/>
                <w:sz w:val="21"/>
              </w:rPr>
            </w:pPr>
          </w:p>
          <w:p w14:paraId="4062EF14">
            <w:pPr>
              <w:pStyle w:val="13"/>
              <w:spacing w:before="78" w:line="360" w:lineRule="auto"/>
              <w:ind w:left="349"/>
            </w:pPr>
            <w:r>
              <w:t>1</w:t>
            </w:r>
          </w:p>
        </w:tc>
        <w:tc>
          <w:tcPr>
            <w:tcW w:w="1786" w:type="dxa"/>
            <w:vAlign w:val="top"/>
          </w:tcPr>
          <w:p w14:paraId="0F183EE1">
            <w:pPr>
              <w:spacing w:line="360" w:lineRule="auto"/>
              <w:rPr>
                <w:rFonts w:ascii="Arial"/>
                <w:sz w:val="21"/>
              </w:rPr>
            </w:pPr>
          </w:p>
          <w:p w14:paraId="1B9E94F9">
            <w:pPr>
              <w:spacing w:line="360" w:lineRule="auto"/>
              <w:rPr>
                <w:rFonts w:ascii="Arial"/>
                <w:sz w:val="21"/>
              </w:rPr>
            </w:pPr>
          </w:p>
          <w:p w14:paraId="434A4E9D">
            <w:pPr>
              <w:pStyle w:val="13"/>
              <w:spacing w:before="78" w:line="360" w:lineRule="auto"/>
              <w:ind w:left="534"/>
            </w:pPr>
            <w:r>
              <w:rPr>
                <w:spacing w:val="-3"/>
              </w:rPr>
              <w:t>采购人</w:t>
            </w:r>
          </w:p>
        </w:tc>
        <w:tc>
          <w:tcPr>
            <w:tcW w:w="7308" w:type="dxa"/>
            <w:tcBorders>
              <w:right w:val="single" w:color="000000" w:sz="6" w:space="0"/>
            </w:tcBorders>
            <w:vAlign w:val="top"/>
          </w:tcPr>
          <w:p w14:paraId="5F160CBC">
            <w:pPr>
              <w:pStyle w:val="13"/>
              <w:spacing w:before="148" w:line="360" w:lineRule="auto"/>
              <w:ind w:left="115"/>
              <w:rPr>
                <w:rFonts w:hint="eastAsia" w:eastAsia="宋体"/>
                <w:lang w:eastAsia="zh-CN"/>
              </w:rPr>
            </w:pPr>
            <w:r>
              <w:rPr>
                <w:spacing w:val="-1"/>
              </w:rPr>
              <w:t>名  称：</w:t>
            </w:r>
            <w:r>
              <w:rPr>
                <w:rFonts w:hint="eastAsia"/>
                <w:spacing w:val="-1"/>
                <w:lang w:eastAsia="zh-CN"/>
              </w:rPr>
              <w:t>杨凌示范区科技创新和转化推广局</w:t>
            </w:r>
          </w:p>
          <w:p w14:paraId="092A1932">
            <w:pPr>
              <w:pStyle w:val="13"/>
              <w:spacing w:before="154" w:line="360" w:lineRule="auto"/>
              <w:ind w:left="112"/>
              <w:rPr>
                <w:rFonts w:hint="eastAsia" w:eastAsia="宋体"/>
                <w:lang w:eastAsia="zh-CN"/>
              </w:rPr>
            </w:pPr>
            <w:r>
              <w:rPr>
                <w:spacing w:val="2"/>
              </w:rPr>
              <w:t>地  址：</w:t>
            </w:r>
            <w:r>
              <w:rPr>
                <w:rFonts w:hint="eastAsia"/>
                <w:spacing w:val="2"/>
                <w:lang w:eastAsia="zh-CN"/>
              </w:rPr>
              <w:t>杨凌示范区新桥路政务大厦438室</w:t>
            </w:r>
          </w:p>
          <w:p w14:paraId="65A7F770">
            <w:pPr>
              <w:pStyle w:val="13"/>
              <w:spacing w:before="149" w:line="360" w:lineRule="auto"/>
              <w:ind w:left="140"/>
              <w:rPr>
                <w:rFonts w:hint="eastAsia" w:eastAsia="宋体"/>
                <w:lang w:eastAsia="zh-CN"/>
              </w:rPr>
            </w:pPr>
            <w:r>
              <w:rPr>
                <w:spacing w:val="-3"/>
              </w:rPr>
              <w:t>电  话：</w:t>
            </w:r>
            <w:r>
              <w:rPr>
                <w:rFonts w:hint="eastAsia"/>
                <w:spacing w:val="-3"/>
                <w:lang w:eastAsia="zh-CN"/>
              </w:rPr>
              <w:t>029-87019511</w:t>
            </w:r>
          </w:p>
        </w:tc>
      </w:tr>
      <w:tr w14:paraId="7A14F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3" w:hRule="atLeast"/>
        </w:trPr>
        <w:tc>
          <w:tcPr>
            <w:tcW w:w="783" w:type="dxa"/>
            <w:tcBorders>
              <w:left w:val="single" w:color="000000" w:sz="6" w:space="0"/>
            </w:tcBorders>
            <w:vAlign w:val="top"/>
          </w:tcPr>
          <w:p w14:paraId="58398E10">
            <w:pPr>
              <w:spacing w:line="360" w:lineRule="auto"/>
              <w:rPr>
                <w:rFonts w:ascii="Arial"/>
                <w:sz w:val="21"/>
              </w:rPr>
            </w:pPr>
          </w:p>
          <w:p w14:paraId="381308DD">
            <w:pPr>
              <w:spacing w:line="360" w:lineRule="auto"/>
              <w:rPr>
                <w:rFonts w:ascii="Arial"/>
                <w:sz w:val="21"/>
              </w:rPr>
            </w:pPr>
          </w:p>
          <w:p w14:paraId="1F79590B">
            <w:pPr>
              <w:spacing w:line="360" w:lineRule="auto"/>
              <w:rPr>
                <w:rFonts w:ascii="Arial"/>
                <w:sz w:val="21"/>
              </w:rPr>
            </w:pPr>
          </w:p>
          <w:p w14:paraId="479A38D6">
            <w:pPr>
              <w:pStyle w:val="13"/>
              <w:spacing w:before="78" w:line="360" w:lineRule="auto"/>
              <w:ind w:left="334"/>
            </w:pPr>
            <w:r>
              <w:t>2</w:t>
            </w:r>
          </w:p>
        </w:tc>
        <w:tc>
          <w:tcPr>
            <w:tcW w:w="1786" w:type="dxa"/>
            <w:vAlign w:val="top"/>
          </w:tcPr>
          <w:p w14:paraId="00B2FF43">
            <w:pPr>
              <w:spacing w:line="360" w:lineRule="auto"/>
              <w:rPr>
                <w:rFonts w:ascii="Arial"/>
                <w:sz w:val="21"/>
              </w:rPr>
            </w:pPr>
          </w:p>
          <w:p w14:paraId="7EF1DBFC">
            <w:pPr>
              <w:spacing w:line="360" w:lineRule="auto"/>
              <w:rPr>
                <w:rFonts w:ascii="Arial"/>
                <w:sz w:val="21"/>
              </w:rPr>
            </w:pPr>
          </w:p>
          <w:p w14:paraId="099B2E1C">
            <w:pPr>
              <w:spacing w:line="360" w:lineRule="auto"/>
              <w:rPr>
                <w:rFonts w:ascii="Arial"/>
                <w:sz w:val="21"/>
              </w:rPr>
            </w:pPr>
          </w:p>
          <w:p w14:paraId="5C19E8FA">
            <w:pPr>
              <w:pStyle w:val="13"/>
              <w:spacing w:before="78" w:line="360" w:lineRule="auto"/>
              <w:ind w:left="193"/>
            </w:pPr>
            <w:r>
              <w:rPr>
                <w:spacing w:val="-2"/>
              </w:rPr>
              <w:t>采购代理机构</w:t>
            </w:r>
          </w:p>
        </w:tc>
        <w:tc>
          <w:tcPr>
            <w:tcW w:w="7308" w:type="dxa"/>
            <w:tcBorders>
              <w:right w:val="single" w:color="000000" w:sz="6" w:space="0"/>
            </w:tcBorders>
            <w:vAlign w:val="top"/>
          </w:tcPr>
          <w:p w14:paraId="2EEBE63C">
            <w:pPr>
              <w:pStyle w:val="13"/>
              <w:spacing w:before="133" w:line="360" w:lineRule="auto"/>
              <w:ind w:left="115"/>
              <w:rPr>
                <w:rFonts w:hint="eastAsia" w:eastAsia="宋体"/>
                <w:lang w:eastAsia="zh-CN"/>
              </w:rPr>
            </w:pPr>
            <w:r>
              <w:rPr>
                <w:spacing w:val="-1"/>
              </w:rPr>
              <w:t>名  称：</w:t>
            </w:r>
            <w:r>
              <w:rPr>
                <w:rFonts w:hint="eastAsia"/>
                <w:spacing w:val="-1"/>
                <w:lang w:eastAsia="zh-CN"/>
              </w:rPr>
              <w:t>华春建设工程项目管理有限责任公司</w:t>
            </w:r>
          </w:p>
          <w:p w14:paraId="565C29BC">
            <w:pPr>
              <w:pStyle w:val="13"/>
              <w:spacing w:before="136" w:line="360" w:lineRule="auto"/>
              <w:ind w:left="111"/>
              <w:rPr>
                <w:rFonts w:hint="eastAsia" w:eastAsia="宋体"/>
                <w:lang w:eastAsia="zh-CN"/>
              </w:rPr>
            </w:pPr>
            <w:r>
              <w:rPr>
                <w:spacing w:val="6"/>
              </w:rPr>
              <w:t>地  址：</w:t>
            </w:r>
            <w:r>
              <w:rPr>
                <w:rFonts w:hint="eastAsia"/>
                <w:spacing w:val="6"/>
                <w:lang w:eastAsia="zh-CN"/>
              </w:rPr>
              <w:t>西安市雁塔区南二环西段58号成长大厦8楼</w:t>
            </w:r>
          </w:p>
          <w:p w14:paraId="54022676">
            <w:pPr>
              <w:pStyle w:val="13"/>
              <w:spacing w:before="135" w:line="360" w:lineRule="auto"/>
              <w:ind w:left="113"/>
              <w:rPr>
                <w:rFonts w:hint="default" w:eastAsia="宋体"/>
                <w:lang w:val="en-US" w:eastAsia="zh-CN"/>
              </w:rPr>
            </w:pPr>
            <w:r>
              <w:rPr>
                <w:spacing w:val="-2"/>
              </w:rPr>
              <w:t>联系人：</w:t>
            </w:r>
            <w:r>
              <w:rPr>
                <w:rFonts w:hint="eastAsia" w:ascii="宋体" w:hAnsi="宋体" w:eastAsia="宋体" w:cs="宋体"/>
                <w:spacing w:val="-1"/>
                <w:sz w:val="24"/>
                <w:szCs w:val="24"/>
                <w:lang w:eastAsia="zh-CN"/>
              </w:rPr>
              <w:t>郭雄龙、张聪、李娜、张驰、</w:t>
            </w:r>
            <w:r>
              <w:rPr>
                <w:rFonts w:hint="eastAsia" w:ascii="宋体" w:hAnsi="宋体" w:eastAsia="宋体" w:cs="宋体"/>
                <w:spacing w:val="-1"/>
                <w:sz w:val="24"/>
                <w:szCs w:val="24"/>
                <w:lang w:val="en-US" w:eastAsia="zh-CN"/>
              </w:rPr>
              <w:t>冯建正</w:t>
            </w:r>
          </w:p>
          <w:p w14:paraId="4CC9AFEC">
            <w:pPr>
              <w:pStyle w:val="13"/>
              <w:spacing w:before="135" w:line="360" w:lineRule="auto"/>
              <w:ind w:left="140"/>
              <w:rPr>
                <w:rFonts w:hint="eastAsia" w:eastAsia="宋体"/>
                <w:lang w:eastAsia="zh-CN"/>
              </w:rPr>
            </w:pPr>
            <w:r>
              <w:rPr>
                <w:spacing w:val="-3"/>
              </w:rPr>
              <w:t>电  话：</w:t>
            </w:r>
            <w:r>
              <w:rPr>
                <w:rFonts w:hint="eastAsia"/>
                <w:spacing w:val="-3"/>
                <w:lang w:eastAsia="zh-CN"/>
              </w:rPr>
              <w:t>029-85205306、13991085600</w:t>
            </w:r>
          </w:p>
        </w:tc>
      </w:tr>
      <w:tr w14:paraId="0D232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trPr>
        <w:tc>
          <w:tcPr>
            <w:tcW w:w="783" w:type="dxa"/>
            <w:tcBorders>
              <w:left w:val="single" w:color="000000" w:sz="6" w:space="0"/>
            </w:tcBorders>
            <w:vAlign w:val="top"/>
          </w:tcPr>
          <w:p w14:paraId="37A88C57">
            <w:pPr>
              <w:pStyle w:val="13"/>
              <w:spacing w:before="103" w:line="360" w:lineRule="auto"/>
              <w:ind w:left="336"/>
            </w:pPr>
            <w:r>
              <w:t>3</w:t>
            </w:r>
          </w:p>
        </w:tc>
        <w:tc>
          <w:tcPr>
            <w:tcW w:w="1786" w:type="dxa"/>
            <w:vAlign w:val="top"/>
          </w:tcPr>
          <w:p w14:paraId="0D7B45F0">
            <w:pPr>
              <w:pStyle w:val="13"/>
              <w:spacing w:before="151" w:line="360" w:lineRule="auto"/>
              <w:ind w:left="438"/>
            </w:pPr>
            <w:r>
              <w:rPr>
                <w:spacing w:val="-4"/>
              </w:rPr>
              <w:t>项目名称</w:t>
            </w:r>
          </w:p>
        </w:tc>
        <w:tc>
          <w:tcPr>
            <w:tcW w:w="7308" w:type="dxa"/>
            <w:tcBorders>
              <w:right w:val="single" w:color="000000" w:sz="6" w:space="0"/>
            </w:tcBorders>
            <w:vAlign w:val="top"/>
          </w:tcPr>
          <w:p w14:paraId="3922D36F">
            <w:pPr>
              <w:pStyle w:val="13"/>
              <w:spacing w:before="151" w:line="360" w:lineRule="auto"/>
              <w:ind w:left="114"/>
              <w:rPr>
                <w:rFonts w:hint="eastAsia" w:eastAsia="宋体"/>
                <w:lang w:eastAsia="zh-CN"/>
              </w:rPr>
            </w:pPr>
            <w:r>
              <w:rPr>
                <w:rFonts w:hint="eastAsia"/>
                <w:spacing w:val="-3"/>
                <w:lang w:eastAsia="zh-CN"/>
              </w:rPr>
              <w:t>杨凌农业科技成果转化综合信息服务平台项目软件测试服务及等保测评服务</w:t>
            </w:r>
            <w:r>
              <w:rPr>
                <w:rFonts w:hint="eastAsia"/>
                <w:spacing w:val="-3"/>
                <w:lang w:val="en-US" w:eastAsia="zh-CN"/>
              </w:rPr>
              <w:t xml:space="preserve"> </w:t>
            </w:r>
            <w:r>
              <w:rPr>
                <w:rFonts w:hint="eastAsia"/>
                <w:color w:val="auto"/>
                <w:spacing w:val="7"/>
                <w:highlight w:val="none"/>
                <w:lang w:eastAsia="zh-CN"/>
              </w:rPr>
              <w:t>合同包</w:t>
            </w:r>
            <w:r>
              <w:rPr>
                <w:rFonts w:hint="eastAsia"/>
                <w:color w:val="auto"/>
                <w:spacing w:val="7"/>
                <w:highlight w:val="none"/>
                <w:lang w:val="en-US" w:eastAsia="zh-CN"/>
              </w:rPr>
              <w:t>1（软件测试服务）</w:t>
            </w:r>
          </w:p>
        </w:tc>
      </w:tr>
      <w:tr w14:paraId="07BB6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783" w:type="dxa"/>
            <w:tcBorders>
              <w:left w:val="single" w:color="000000" w:sz="6" w:space="0"/>
            </w:tcBorders>
            <w:vAlign w:val="top"/>
          </w:tcPr>
          <w:p w14:paraId="1C32A94B">
            <w:pPr>
              <w:pStyle w:val="13"/>
              <w:spacing w:before="105" w:line="360" w:lineRule="auto"/>
              <w:ind w:left="330"/>
            </w:pPr>
            <w:r>
              <w:t>4</w:t>
            </w:r>
          </w:p>
        </w:tc>
        <w:tc>
          <w:tcPr>
            <w:tcW w:w="1786" w:type="dxa"/>
            <w:vAlign w:val="top"/>
          </w:tcPr>
          <w:p w14:paraId="2A355130">
            <w:pPr>
              <w:pStyle w:val="13"/>
              <w:spacing w:before="153" w:line="360" w:lineRule="auto"/>
              <w:ind w:left="438"/>
            </w:pPr>
            <w:r>
              <w:rPr>
                <w:spacing w:val="-4"/>
              </w:rPr>
              <w:t>项目编号</w:t>
            </w:r>
          </w:p>
        </w:tc>
        <w:tc>
          <w:tcPr>
            <w:tcW w:w="7308" w:type="dxa"/>
            <w:tcBorders>
              <w:right w:val="single" w:color="000000" w:sz="6" w:space="0"/>
            </w:tcBorders>
            <w:vAlign w:val="top"/>
          </w:tcPr>
          <w:p w14:paraId="43D0F20C">
            <w:pPr>
              <w:pStyle w:val="13"/>
              <w:spacing w:before="153" w:line="360" w:lineRule="auto"/>
              <w:ind w:left="113"/>
              <w:rPr>
                <w:rFonts w:hint="eastAsia" w:ascii="宋体" w:hAnsi="宋体" w:eastAsia="宋体" w:cs="宋体"/>
                <w:spacing w:val="-1"/>
                <w:lang w:eastAsia="zh-CN"/>
              </w:rPr>
            </w:pPr>
            <w:r>
              <w:rPr>
                <w:rFonts w:hint="eastAsia" w:ascii="宋体" w:hAnsi="宋体" w:eastAsia="宋体" w:cs="宋体"/>
                <w:spacing w:val="-1"/>
                <w:lang w:eastAsia="zh-CN"/>
              </w:rPr>
              <w:t>HCKPZY-ZB-2026010</w:t>
            </w:r>
          </w:p>
        </w:tc>
      </w:tr>
      <w:tr w14:paraId="09340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783" w:type="dxa"/>
            <w:tcBorders>
              <w:left w:val="single" w:color="000000" w:sz="6" w:space="0"/>
            </w:tcBorders>
            <w:vAlign w:val="center"/>
          </w:tcPr>
          <w:p w14:paraId="6B43B3CC">
            <w:pPr>
              <w:pStyle w:val="13"/>
              <w:spacing w:before="105" w:line="360" w:lineRule="auto"/>
              <w:ind w:left="330"/>
              <w:rPr>
                <w:rFonts w:ascii="宋体" w:hAnsi="宋体" w:eastAsia="宋体" w:cs="宋体"/>
              </w:rPr>
            </w:pPr>
            <w:r>
              <w:rPr>
                <w:rFonts w:ascii="宋体" w:hAnsi="宋体" w:eastAsia="宋体" w:cs="宋体"/>
              </w:rPr>
              <w:t>5</w:t>
            </w:r>
          </w:p>
        </w:tc>
        <w:tc>
          <w:tcPr>
            <w:tcW w:w="1786" w:type="dxa"/>
            <w:vAlign w:val="center"/>
          </w:tcPr>
          <w:p w14:paraId="60E82437">
            <w:pPr>
              <w:pStyle w:val="13"/>
              <w:spacing w:before="105" w:line="360" w:lineRule="auto"/>
              <w:ind w:left="330"/>
              <w:jc w:val="center"/>
              <w:rPr>
                <w:rFonts w:ascii="宋体" w:hAnsi="宋体" w:eastAsia="宋体" w:cs="宋体"/>
              </w:rPr>
            </w:pPr>
            <w:r>
              <w:rPr>
                <w:rFonts w:ascii="宋体" w:hAnsi="宋体" w:eastAsia="宋体" w:cs="宋体"/>
              </w:rPr>
              <w:t>采购内容</w:t>
            </w:r>
          </w:p>
        </w:tc>
        <w:tc>
          <w:tcPr>
            <w:tcW w:w="7308" w:type="dxa"/>
            <w:tcBorders>
              <w:right w:val="single" w:color="000000" w:sz="6" w:space="0"/>
            </w:tcBorders>
            <w:vAlign w:val="center"/>
          </w:tcPr>
          <w:p w14:paraId="47C9E3FD">
            <w:pPr>
              <w:pStyle w:val="13"/>
              <w:spacing w:before="153" w:line="360" w:lineRule="auto"/>
              <w:ind w:left="113"/>
              <w:rPr>
                <w:rFonts w:hint="eastAsia" w:ascii="宋体" w:hAnsi="宋体" w:eastAsia="宋体" w:cs="宋体"/>
                <w:spacing w:val="-1"/>
                <w:lang w:eastAsia="zh-CN"/>
              </w:rPr>
            </w:pPr>
            <w:r>
              <w:rPr>
                <w:rFonts w:hint="eastAsia" w:ascii="宋体" w:hAnsi="宋体" w:eastAsia="宋体" w:cs="宋体"/>
                <w:spacing w:val="-1"/>
                <w:lang w:val="en-US" w:eastAsia="zh-CN"/>
              </w:rPr>
              <w:t>详见竞争性磋商文件“</w:t>
            </w:r>
            <w:r>
              <w:rPr>
                <w:rFonts w:hint="eastAsia" w:ascii="宋体" w:hAnsi="宋体" w:eastAsia="宋体" w:cs="宋体"/>
                <w:spacing w:val="-1"/>
                <w:lang w:eastAsia="zh-CN"/>
              </w:rPr>
              <w:t>第五章 采购内容及要求</w:t>
            </w:r>
            <w:r>
              <w:rPr>
                <w:rFonts w:hint="eastAsia" w:ascii="宋体" w:hAnsi="宋体" w:eastAsia="宋体" w:cs="宋体"/>
                <w:spacing w:val="-1"/>
                <w:lang w:val="en-US" w:eastAsia="zh-CN"/>
              </w:rPr>
              <w:t>”</w:t>
            </w:r>
          </w:p>
        </w:tc>
      </w:tr>
      <w:tr w14:paraId="0B1B3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83" w:type="dxa"/>
            <w:vMerge w:val="restart"/>
            <w:tcBorders>
              <w:left w:val="single" w:color="000000" w:sz="6" w:space="0"/>
              <w:bottom w:val="nil"/>
            </w:tcBorders>
            <w:vAlign w:val="top"/>
          </w:tcPr>
          <w:p w14:paraId="504F9F61">
            <w:pPr>
              <w:pStyle w:val="13"/>
              <w:spacing w:before="105" w:line="360" w:lineRule="auto"/>
              <w:ind w:left="330"/>
              <w:rPr>
                <w:rFonts w:ascii="宋体" w:hAnsi="宋体" w:eastAsia="宋体" w:cs="宋体"/>
              </w:rPr>
            </w:pPr>
            <w:r>
              <w:rPr>
                <w:rFonts w:ascii="宋体" w:hAnsi="宋体" w:eastAsia="宋体" w:cs="宋体"/>
              </w:rPr>
              <w:t>6</w:t>
            </w:r>
          </w:p>
        </w:tc>
        <w:tc>
          <w:tcPr>
            <w:tcW w:w="1786" w:type="dxa"/>
            <w:vAlign w:val="top"/>
          </w:tcPr>
          <w:p w14:paraId="752521B0">
            <w:pPr>
              <w:pStyle w:val="13"/>
              <w:spacing w:before="155" w:line="360" w:lineRule="auto"/>
              <w:ind w:left="465"/>
            </w:pPr>
            <w:r>
              <w:rPr>
                <w:spacing w:val="-3"/>
              </w:rPr>
              <w:t>预算金额</w:t>
            </w:r>
          </w:p>
        </w:tc>
        <w:tc>
          <w:tcPr>
            <w:tcW w:w="7308" w:type="dxa"/>
            <w:tcBorders>
              <w:right w:val="single" w:color="000000" w:sz="6" w:space="0"/>
            </w:tcBorders>
            <w:vAlign w:val="top"/>
          </w:tcPr>
          <w:p w14:paraId="1F8D1EB8">
            <w:pPr>
              <w:pStyle w:val="13"/>
              <w:spacing w:before="153" w:line="360" w:lineRule="auto"/>
              <w:ind w:left="113"/>
              <w:rPr>
                <w:rFonts w:hint="eastAsia" w:ascii="宋体" w:hAnsi="宋体" w:eastAsia="宋体" w:cs="宋体"/>
                <w:spacing w:val="-1"/>
                <w:lang w:eastAsia="zh-CN"/>
              </w:rPr>
            </w:pPr>
            <w:r>
              <w:rPr>
                <w:rFonts w:hint="eastAsia" w:ascii="宋体" w:hAnsi="宋体" w:eastAsia="宋体" w:cs="宋体"/>
                <w:spacing w:val="-1"/>
                <w:lang w:eastAsia="zh-CN"/>
              </w:rPr>
              <w:t>合同包</w:t>
            </w:r>
            <w:r>
              <w:rPr>
                <w:rFonts w:hint="eastAsia" w:ascii="宋体" w:hAnsi="宋体" w:eastAsia="宋体" w:cs="宋体"/>
                <w:spacing w:val="-1"/>
                <w:lang w:val="en-US" w:eastAsia="zh-CN"/>
              </w:rPr>
              <w:t>1（软件测试服务）预算金额：13</w:t>
            </w:r>
            <w:r>
              <w:rPr>
                <w:rFonts w:hint="eastAsia" w:ascii="宋体" w:hAnsi="宋体" w:eastAsia="宋体" w:cs="宋体"/>
                <w:spacing w:val="-1"/>
                <w:lang w:eastAsia="zh-CN"/>
              </w:rPr>
              <w:t>9000.00元</w:t>
            </w:r>
          </w:p>
        </w:tc>
      </w:tr>
      <w:tr w14:paraId="744AC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83" w:type="dxa"/>
            <w:vMerge w:val="continue"/>
            <w:tcBorders>
              <w:top w:val="nil"/>
              <w:left w:val="single" w:color="000000" w:sz="6" w:space="0"/>
            </w:tcBorders>
            <w:vAlign w:val="top"/>
          </w:tcPr>
          <w:p w14:paraId="4BB58C92">
            <w:pPr>
              <w:spacing w:line="360" w:lineRule="auto"/>
              <w:rPr>
                <w:rFonts w:ascii="Arial"/>
                <w:sz w:val="21"/>
              </w:rPr>
            </w:pPr>
          </w:p>
        </w:tc>
        <w:tc>
          <w:tcPr>
            <w:tcW w:w="1786" w:type="dxa"/>
            <w:vAlign w:val="top"/>
          </w:tcPr>
          <w:p w14:paraId="2A0912E8">
            <w:pPr>
              <w:pStyle w:val="13"/>
              <w:spacing w:before="156" w:line="360" w:lineRule="auto"/>
              <w:ind w:left="466"/>
            </w:pPr>
            <w:r>
              <w:rPr>
                <w:spacing w:val="-4"/>
              </w:rPr>
              <w:t>最高限价</w:t>
            </w:r>
          </w:p>
        </w:tc>
        <w:tc>
          <w:tcPr>
            <w:tcW w:w="7308" w:type="dxa"/>
            <w:tcBorders>
              <w:right w:val="single" w:color="000000" w:sz="6" w:space="0"/>
            </w:tcBorders>
            <w:vAlign w:val="top"/>
          </w:tcPr>
          <w:p w14:paraId="591221B5">
            <w:pPr>
              <w:pStyle w:val="13"/>
              <w:spacing w:before="153" w:line="360" w:lineRule="auto"/>
              <w:ind w:left="113"/>
              <w:rPr>
                <w:rFonts w:hint="eastAsia" w:ascii="宋体" w:hAnsi="宋体" w:eastAsia="宋体" w:cs="宋体"/>
                <w:spacing w:val="-1"/>
                <w:lang w:eastAsia="zh-CN"/>
              </w:rPr>
            </w:pPr>
            <w:r>
              <w:rPr>
                <w:rFonts w:hint="eastAsia" w:ascii="宋体" w:hAnsi="宋体" w:eastAsia="宋体" w:cs="宋体"/>
                <w:spacing w:val="-1"/>
                <w:lang w:eastAsia="zh-CN"/>
              </w:rPr>
              <w:t>合同包</w:t>
            </w:r>
            <w:r>
              <w:rPr>
                <w:rFonts w:hint="eastAsia" w:ascii="宋体" w:hAnsi="宋体" w:eastAsia="宋体" w:cs="宋体"/>
                <w:spacing w:val="-1"/>
                <w:lang w:val="en-US" w:eastAsia="zh-CN"/>
              </w:rPr>
              <w:t>1（软件测试服务）最高限价：13</w:t>
            </w:r>
            <w:r>
              <w:rPr>
                <w:rFonts w:hint="eastAsia" w:ascii="宋体" w:hAnsi="宋体" w:eastAsia="宋体" w:cs="宋体"/>
                <w:spacing w:val="-1"/>
                <w:lang w:eastAsia="zh-CN"/>
              </w:rPr>
              <w:t>9000.00元</w:t>
            </w:r>
          </w:p>
        </w:tc>
      </w:tr>
      <w:tr w14:paraId="3B44C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783" w:type="dxa"/>
            <w:tcBorders>
              <w:left w:val="single" w:color="000000" w:sz="6" w:space="0"/>
            </w:tcBorders>
            <w:vAlign w:val="center"/>
          </w:tcPr>
          <w:p w14:paraId="6FCB09DD">
            <w:pPr>
              <w:pStyle w:val="13"/>
              <w:spacing w:before="78" w:line="360" w:lineRule="auto"/>
              <w:ind w:left="337"/>
              <w:jc w:val="center"/>
            </w:pPr>
            <w:r>
              <w:t>7</w:t>
            </w:r>
          </w:p>
        </w:tc>
        <w:tc>
          <w:tcPr>
            <w:tcW w:w="1786" w:type="dxa"/>
            <w:vAlign w:val="center"/>
          </w:tcPr>
          <w:p w14:paraId="69DF710A">
            <w:pPr>
              <w:pStyle w:val="13"/>
              <w:spacing w:before="58" w:line="360" w:lineRule="auto"/>
              <w:ind w:left="174"/>
              <w:jc w:val="center"/>
            </w:pPr>
            <w:r>
              <w:rPr>
                <w:spacing w:val="-2"/>
              </w:rPr>
              <w:t>政府采购信息</w:t>
            </w:r>
          </w:p>
          <w:p w14:paraId="47CE8BFA">
            <w:pPr>
              <w:pStyle w:val="13"/>
              <w:spacing w:before="38" w:line="360" w:lineRule="auto"/>
              <w:ind w:left="418"/>
              <w:jc w:val="center"/>
            </w:pPr>
            <w:r>
              <w:rPr>
                <w:spacing w:val="-4"/>
              </w:rPr>
              <w:t>发布媒体</w:t>
            </w:r>
          </w:p>
        </w:tc>
        <w:tc>
          <w:tcPr>
            <w:tcW w:w="7308" w:type="dxa"/>
            <w:tcBorders>
              <w:right w:val="single" w:color="000000" w:sz="6" w:space="0"/>
            </w:tcBorders>
            <w:vAlign w:val="center"/>
          </w:tcPr>
          <w:p w14:paraId="37B77E91">
            <w:pPr>
              <w:pStyle w:val="13"/>
              <w:spacing w:before="153" w:line="360" w:lineRule="auto"/>
              <w:ind w:left="113"/>
              <w:rPr>
                <w:rFonts w:hint="eastAsia" w:ascii="宋体" w:hAnsi="宋体" w:eastAsia="宋体" w:cs="宋体"/>
                <w:spacing w:val="-1"/>
                <w:lang w:eastAsia="zh-CN"/>
              </w:rPr>
            </w:pPr>
            <w:r>
              <w:rPr>
                <w:rFonts w:hint="eastAsia" w:ascii="宋体" w:hAnsi="宋体" w:eastAsia="宋体" w:cs="宋体"/>
                <w:spacing w:val="-1"/>
                <w:lang w:eastAsia="zh-CN"/>
              </w:rPr>
              <w:t>陕西省政府采购网、全国公共资源交易平台（陕西省 ·杨凌示范区）</w:t>
            </w:r>
          </w:p>
        </w:tc>
      </w:tr>
      <w:tr w14:paraId="1D04F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83" w:type="dxa"/>
            <w:tcBorders>
              <w:left w:val="single" w:color="000000" w:sz="6" w:space="0"/>
            </w:tcBorders>
            <w:vAlign w:val="center"/>
          </w:tcPr>
          <w:p w14:paraId="41E46E1E">
            <w:pPr>
              <w:pStyle w:val="13"/>
              <w:spacing w:before="109" w:line="360" w:lineRule="auto"/>
              <w:ind w:left="332"/>
              <w:jc w:val="center"/>
            </w:pPr>
            <w:r>
              <w:t>8</w:t>
            </w:r>
          </w:p>
        </w:tc>
        <w:tc>
          <w:tcPr>
            <w:tcW w:w="1786" w:type="dxa"/>
            <w:vAlign w:val="center"/>
          </w:tcPr>
          <w:p w14:paraId="285D3AEC">
            <w:pPr>
              <w:pStyle w:val="13"/>
              <w:spacing w:before="158" w:line="360" w:lineRule="auto"/>
              <w:ind w:left="583"/>
              <w:jc w:val="center"/>
            </w:pPr>
            <w:r>
              <w:rPr>
                <w:spacing w:val="-4"/>
              </w:rPr>
              <w:t>服务期</w:t>
            </w:r>
          </w:p>
        </w:tc>
        <w:tc>
          <w:tcPr>
            <w:tcW w:w="7308" w:type="dxa"/>
            <w:tcBorders>
              <w:right w:val="single" w:color="000000" w:sz="6" w:space="0"/>
            </w:tcBorders>
            <w:vAlign w:val="center"/>
          </w:tcPr>
          <w:p w14:paraId="2EA213AD">
            <w:pPr>
              <w:pStyle w:val="13"/>
              <w:spacing w:before="153" w:line="360" w:lineRule="auto"/>
              <w:ind w:left="113"/>
              <w:rPr>
                <w:rFonts w:hint="eastAsia" w:ascii="宋体" w:hAnsi="宋体" w:eastAsia="宋体" w:cs="宋体"/>
                <w:spacing w:val="-1"/>
                <w:lang w:eastAsia="zh-CN"/>
              </w:rPr>
            </w:pPr>
            <w:r>
              <w:rPr>
                <w:rFonts w:hint="eastAsia" w:ascii="宋体" w:hAnsi="宋体" w:eastAsia="宋体" w:cs="宋体"/>
                <w:spacing w:val="-1"/>
                <w:lang w:eastAsia="zh-CN"/>
              </w:rPr>
              <w:t>具备软件测试条件开始至测试完成并出具测试报告30个工作日。</w:t>
            </w:r>
          </w:p>
        </w:tc>
      </w:tr>
      <w:tr w14:paraId="53178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783" w:type="dxa"/>
            <w:tcBorders>
              <w:left w:val="single" w:color="000000" w:sz="6" w:space="0"/>
            </w:tcBorders>
            <w:vAlign w:val="top"/>
          </w:tcPr>
          <w:p w14:paraId="6881FAE6">
            <w:pPr>
              <w:pStyle w:val="13"/>
              <w:spacing w:before="109" w:line="360" w:lineRule="auto"/>
              <w:ind w:left="332"/>
              <w:jc w:val="center"/>
              <w:rPr>
                <w:rFonts w:ascii="宋体" w:hAnsi="宋体" w:eastAsia="宋体" w:cs="宋体"/>
              </w:rPr>
            </w:pPr>
            <w:r>
              <w:rPr>
                <w:rFonts w:ascii="宋体" w:hAnsi="宋体" w:eastAsia="宋体" w:cs="宋体"/>
              </w:rPr>
              <w:t>9</w:t>
            </w:r>
          </w:p>
        </w:tc>
        <w:tc>
          <w:tcPr>
            <w:tcW w:w="1786" w:type="dxa"/>
            <w:vAlign w:val="top"/>
          </w:tcPr>
          <w:p w14:paraId="2BB75807">
            <w:pPr>
              <w:pStyle w:val="13"/>
              <w:spacing w:before="109" w:line="360" w:lineRule="auto"/>
              <w:ind w:left="332"/>
              <w:jc w:val="center"/>
              <w:rPr>
                <w:rFonts w:hint="eastAsia" w:ascii="宋体" w:hAnsi="宋体" w:eastAsia="宋体" w:cs="宋体"/>
                <w:lang w:eastAsia="zh-CN"/>
              </w:rPr>
            </w:pPr>
            <w:r>
              <w:rPr>
                <w:rFonts w:ascii="宋体" w:hAnsi="宋体" w:eastAsia="宋体" w:cs="宋体"/>
              </w:rPr>
              <w:t>竞争性磋商文件</w:t>
            </w:r>
            <w:r>
              <w:rPr>
                <w:rFonts w:hint="eastAsia" w:ascii="宋体" w:hAnsi="宋体" w:eastAsia="宋体" w:cs="宋体"/>
                <w:lang w:val="en-US" w:eastAsia="zh-CN"/>
              </w:rPr>
              <w:t>获取</w:t>
            </w:r>
          </w:p>
        </w:tc>
        <w:tc>
          <w:tcPr>
            <w:tcW w:w="7308" w:type="dxa"/>
            <w:tcBorders>
              <w:right w:val="single" w:color="000000" w:sz="6" w:space="0"/>
            </w:tcBorders>
            <w:vAlign w:val="top"/>
          </w:tcPr>
          <w:p w14:paraId="36856D17">
            <w:pPr>
              <w:pStyle w:val="13"/>
              <w:spacing w:before="153" w:line="360" w:lineRule="auto"/>
              <w:ind w:left="113"/>
              <w:rPr>
                <w:rFonts w:hint="default" w:ascii="宋体" w:hAnsi="宋体" w:eastAsia="宋体" w:cs="宋体"/>
                <w:spacing w:val="-1"/>
                <w:lang w:val="en-US" w:eastAsia="zh-CN"/>
              </w:rPr>
            </w:pPr>
            <w:r>
              <w:rPr>
                <w:rFonts w:hint="eastAsia" w:ascii="宋体" w:hAnsi="宋体" w:eastAsia="宋体" w:cs="宋体"/>
                <w:spacing w:val="-1"/>
                <w:lang w:val="en-US" w:eastAsia="zh-CN"/>
              </w:rPr>
              <w:t>同竞争性磋商公告的获取时间。</w:t>
            </w:r>
          </w:p>
        </w:tc>
      </w:tr>
      <w:tr w14:paraId="4F3F0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783" w:type="dxa"/>
            <w:tcBorders>
              <w:left w:val="single" w:color="000000" w:sz="6" w:space="0"/>
            </w:tcBorders>
            <w:vAlign w:val="top"/>
          </w:tcPr>
          <w:p w14:paraId="0F15AA37">
            <w:pPr>
              <w:pStyle w:val="13"/>
              <w:spacing w:before="78" w:line="360" w:lineRule="auto"/>
              <w:ind w:left="289"/>
            </w:pPr>
            <w:r>
              <w:rPr>
                <w:spacing w:val="-14"/>
              </w:rPr>
              <w:t>10</w:t>
            </w:r>
          </w:p>
        </w:tc>
        <w:tc>
          <w:tcPr>
            <w:tcW w:w="1786" w:type="dxa"/>
            <w:vAlign w:val="top"/>
          </w:tcPr>
          <w:p w14:paraId="18917B67">
            <w:pPr>
              <w:pStyle w:val="13"/>
              <w:spacing w:before="158" w:line="360" w:lineRule="auto"/>
              <w:ind w:left="535" w:right="174" w:hanging="356"/>
            </w:pPr>
            <w:r>
              <w:rPr>
                <w:spacing w:val="-3"/>
              </w:rPr>
              <w:t>是否接受联合</w:t>
            </w:r>
            <w:r>
              <w:rPr>
                <w:spacing w:val="-4"/>
              </w:rPr>
              <w:t>体磋商</w:t>
            </w:r>
          </w:p>
        </w:tc>
        <w:tc>
          <w:tcPr>
            <w:tcW w:w="7308" w:type="dxa"/>
            <w:tcBorders>
              <w:right w:val="single" w:color="000000" w:sz="6" w:space="0"/>
            </w:tcBorders>
            <w:vAlign w:val="top"/>
          </w:tcPr>
          <w:p w14:paraId="3C76546C">
            <w:pPr>
              <w:pStyle w:val="13"/>
              <w:spacing w:before="78" w:line="360" w:lineRule="auto"/>
              <w:ind w:left="135"/>
            </w:pPr>
            <w:r>
              <w:rPr>
                <w:rFonts w:ascii="MS Gothic" w:hAnsi="MS Gothic" w:eastAsia="MS Gothic" w:cs="MS Gothic"/>
                <w:spacing w:val="-13"/>
              </w:rPr>
              <w:t>☐</w:t>
            </w:r>
            <w:r>
              <w:rPr>
                <w:spacing w:val="-13"/>
              </w:rPr>
              <w:t>是</w:t>
            </w:r>
            <w:r>
              <w:rPr>
                <w:spacing w:val="9"/>
              </w:rPr>
              <w:t xml:space="preserve">  </w:t>
            </w:r>
            <w:r>
              <w:rPr>
                <w:rFonts w:ascii="MS Gothic" w:hAnsi="MS Gothic" w:eastAsia="MS Gothic" w:cs="MS Gothic"/>
                <w:spacing w:val="-13"/>
              </w:rPr>
              <w:t>☑</w:t>
            </w:r>
            <w:r>
              <w:rPr>
                <w:spacing w:val="-13"/>
              </w:rPr>
              <w:t>否</w:t>
            </w:r>
          </w:p>
        </w:tc>
      </w:tr>
      <w:tr w14:paraId="6EB40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783" w:type="dxa"/>
            <w:tcBorders>
              <w:left w:val="single" w:color="000000" w:sz="6" w:space="0"/>
              <w:bottom w:val="single" w:color="000000" w:sz="6" w:space="0"/>
            </w:tcBorders>
            <w:vAlign w:val="top"/>
          </w:tcPr>
          <w:p w14:paraId="3C8250A3">
            <w:pPr>
              <w:pStyle w:val="13"/>
              <w:spacing w:before="78" w:line="360" w:lineRule="auto"/>
              <w:ind w:left="289"/>
            </w:pPr>
            <w:r>
              <w:rPr>
                <w:spacing w:val="-14"/>
              </w:rPr>
              <w:t>11</w:t>
            </w:r>
          </w:p>
        </w:tc>
        <w:tc>
          <w:tcPr>
            <w:tcW w:w="1786" w:type="dxa"/>
            <w:tcBorders>
              <w:bottom w:val="single" w:color="000000" w:sz="6" w:space="0"/>
            </w:tcBorders>
            <w:vAlign w:val="top"/>
          </w:tcPr>
          <w:p w14:paraId="5D0382DB">
            <w:pPr>
              <w:pStyle w:val="13"/>
              <w:spacing w:before="160" w:line="360" w:lineRule="auto"/>
              <w:ind w:left="535" w:right="107" w:hanging="427"/>
            </w:pPr>
            <w:r>
              <w:rPr>
                <w:spacing w:val="-17"/>
              </w:rPr>
              <w:t>考察现场、标前</w:t>
            </w:r>
            <w:r>
              <w:rPr>
                <w:spacing w:val="-4"/>
              </w:rPr>
              <w:t>答疑会</w:t>
            </w:r>
          </w:p>
        </w:tc>
        <w:tc>
          <w:tcPr>
            <w:tcW w:w="7308" w:type="dxa"/>
            <w:tcBorders>
              <w:bottom w:val="single" w:color="000000" w:sz="6" w:space="0"/>
              <w:right w:val="single" w:color="000000" w:sz="6" w:space="0"/>
            </w:tcBorders>
            <w:vAlign w:val="top"/>
          </w:tcPr>
          <w:p w14:paraId="5AAAAE2F">
            <w:pPr>
              <w:pStyle w:val="13"/>
              <w:spacing w:before="78" w:line="360" w:lineRule="auto"/>
              <w:ind w:left="116"/>
            </w:pPr>
            <w:r>
              <w:rPr>
                <w:spacing w:val="-5"/>
              </w:rPr>
              <w:t>不组织</w:t>
            </w:r>
          </w:p>
        </w:tc>
      </w:tr>
      <w:tr w14:paraId="309F4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783" w:type="dxa"/>
            <w:tcBorders>
              <w:left w:val="single" w:color="000000" w:sz="6" w:space="0"/>
            </w:tcBorders>
            <w:vAlign w:val="top"/>
          </w:tcPr>
          <w:p w14:paraId="041F4D5F">
            <w:pPr>
              <w:spacing w:line="360" w:lineRule="auto"/>
              <w:rPr>
                <w:rFonts w:ascii="Arial"/>
                <w:sz w:val="21"/>
              </w:rPr>
            </w:pPr>
          </w:p>
          <w:p w14:paraId="2E3F59D7">
            <w:pPr>
              <w:pStyle w:val="13"/>
              <w:spacing w:before="78" w:line="360" w:lineRule="auto"/>
              <w:ind w:left="289"/>
            </w:pPr>
            <w:r>
              <w:rPr>
                <w:spacing w:val="-14"/>
              </w:rPr>
              <w:t>12</w:t>
            </w:r>
          </w:p>
        </w:tc>
        <w:tc>
          <w:tcPr>
            <w:tcW w:w="1786" w:type="dxa"/>
            <w:vAlign w:val="top"/>
          </w:tcPr>
          <w:p w14:paraId="0AED2363">
            <w:pPr>
              <w:pStyle w:val="13"/>
              <w:spacing w:before="147" w:line="360" w:lineRule="auto"/>
              <w:ind w:left="204"/>
            </w:pPr>
            <w:r>
              <w:rPr>
                <w:spacing w:val="-3"/>
              </w:rPr>
              <w:t>构成竞争性磋商文件的其他</w:t>
            </w:r>
          </w:p>
          <w:p w14:paraId="7F7056ED">
            <w:pPr>
              <w:pStyle w:val="13"/>
              <w:spacing w:before="154" w:line="360" w:lineRule="auto"/>
              <w:ind w:left="683"/>
            </w:pPr>
            <w:r>
              <w:rPr>
                <w:spacing w:val="-6"/>
              </w:rPr>
              <w:t>文件</w:t>
            </w:r>
          </w:p>
        </w:tc>
        <w:tc>
          <w:tcPr>
            <w:tcW w:w="7308" w:type="dxa"/>
            <w:tcBorders>
              <w:right w:val="single" w:color="000000" w:sz="6" w:space="0"/>
            </w:tcBorders>
            <w:vAlign w:val="top"/>
          </w:tcPr>
          <w:p w14:paraId="7C6D74AB">
            <w:pPr>
              <w:pStyle w:val="13"/>
              <w:spacing w:before="153" w:line="360" w:lineRule="auto"/>
              <w:ind w:left="113"/>
              <w:rPr>
                <w:rFonts w:hint="eastAsia" w:ascii="宋体" w:hAnsi="宋体" w:eastAsia="宋体" w:cs="宋体"/>
                <w:spacing w:val="-1"/>
                <w:lang w:val="en-US" w:eastAsia="zh-CN"/>
              </w:rPr>
            </w:pPr>
            <w:r>
              <w:rPr>
                <w:rFonts w:hint="eastAsia" w:ascii="宋体" w:hAnsi="宋体" w:eastAsia="宋体" w:cs="宋体"/>
                <w:spacing w:val="-1"/>
                <w:lang w:val="en-US" w:eastAsia="zh-CN"/>
              </w:rPr>
              <w:t>竞争性磋商文件的澄清、修改书及有关补充通知为竞争性磋商文件的有效组成部分。</w:t>
            </w:r>
          </w:p>
        </w:tc>
      </w:tr>
      <w:tr w14:paraId="17698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6" w:hRule="atLeast"/>
        </w:trPr>
        <w:tc>
          <w:tcPr>
            <w:tcW w:w="783" w:type="dxa"/>
            <w:tcBorders>
              <w:left w:val="single" w:color="000000" w:sz="6" w:space="0"/>
            </w:tcBorders>
            <w:vAlign w:val="top"/>
          </w:tcPr>
          <w:p w14:paraId="773A5292">
            <w:pPr>
              <w:pStyle w:val="13"/>
              <w:spacing w:before="78" w:line="360" w:lineRule="auto"/>
              <w:ind w:left="289"/>
            </w:pPr>
            <w:r>
              <w:rPr>
                <w:spacing w:val="-14"/>
              </w:rPr>
              <w:t>13</w:t>
            </w:r>
          </w:p>
        </w:tc>
        <w:tc>
          <w:tcPr>
            <w:tcW w:w="1786" w:type="dxa"/>
            <w:vAlign w:val="top"/>
          </w:tcPr>
          <w:p w14:paraId="061718CF">
            <w:pPr>
              <w:pStyle w:val="13"/>
              <w:spacing w:before="78" w:line="360" w:lineRule="auto"/>
              <w:ind w:left="175" w:right="174" w:firstLine="2"/>
              <w:jc w:val="both"/>
            </w:pPr>
            <w:r>
              <w:rPr>
                <w:spacing w:val="-3"/>
              </w:rPr>
              <w:t>竞争性磋商响</w:t>
            </w:r>
            <w:r>
              <w:rPr>
                <w:spacing w:val="-2"/>
              </w:rPr>
              <w:t>应文件递交截止时间和地点</w:t>
            </w:r>
          </w:p>
        </w:tc>
        <w:tc>
          <w:tcPr>
            <w:tcW w:w="7308" w:type="dxa"/>
            <w:tcBorders>
              <w:right w:val="single" w:color="000000" w:sz="6" w:space="0"/>
            </w:tcBorders>
            <w:vAlign w:val="top"/>
          </w:tcPr>
          <w:p w14:paraId="2E5C4FB1">
            <w:pPr>
              <w:pStyle w:val="13"/>
              <w:spacing w:before="153" w:line="360" w:lineRule="auto"/>
              <w:ind w:left="113"/>
              <w:rPr>
                <w:rFonts w:hint="eastAsia" w:ascii="宋体" w:hAnsi="宋体" w:eastAsia="宋体" w:cs="宋体"/>
                <w:spacing w:val="-1"/>
                <w:lang w:val="en-US" w:eastAsia="zh-CN"/>
              </w:rPr>
            </w:pPr>
            <w:r>
              <w:rPr>
                <w:rFonts w:hint="eastAsia" w:ascii="宋体" w:hAnsi="宋体" w:eastAsia="宋体" w:cs="宋体"/>
                <w:spacing w:val="-1"/>
                <w:lang w:val="en-US" w:eastAsia="zh-CN"/>
              </w:rPr>
              <w:t>同竞争性磋商公告的响应文件递交截止时间和地点。</w:t>
            </w:r>
          </w:p>
        </w:tc>
      </w:tr>
      <w:tr w14:paraId="5984A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83" w:type="dxa"/>
            <w:tcBorders>
              <w:left w:val="single" w:color="000000" w:sz="6" w:space="0"/>
            </w:tcBorders>
            <w:vAlign w:val="top"/>
          </w:tcPr>
          <w:p w14:paraId="47A5D855">
            <w:pPr>
              <w:pStyle w:val="13"/>
              <w:spacing w:before="105" w:line="360" w:lineRule="auto"/>
              <w:ind w:left="289"/>
            </w:pPr>
            <w:r>
              <w:rPr>
                <w:spacing w:val="-14"/>
              </w:rPr>
              <w:t>14</w:t>
            </w:r>
          </w:p>
        </w:tc>
        <w:tc>
          <w:tcPr>
            <w:tcW w:w="1786" w:type="dxa"/>
            <w:vAlign w:val="top"/>
          </w:tcPr>
          <w:p w14:paraId="0CCB0AB8">
            <w:pPr>
              <w:pStyle w:val="13"/>
              <w:spacing w:before="151" w:line="360" w:lineRule="auto"/>
              <w:ind w:left="311"/>
            </w:pPr>
            <w:r>
              <w:rPr>
                <w:spacing w:val="-2"/>
              </w:rPr>
              <w:t>磋商有效期</w:t>
            </w:r>
          </w:p>
        </w:tc>
        <w:tc>
          <w:tcPr>
            <w:tcW w:w="7308" w:type="dxa"/>
            <w:tcBorders>
              <w:right w:val="single" w:color="000000" w:sz="6" w:space="0"/>
            </w:tcBorders>
            <w:vAlign w:val="top"/>
          </w:tcPr>
          <w:p w14:paraId="5A387BDB">
            <w:pPr>
              <w:pStyle w:val="13"/>
              <w:spacing w:before="151" w:line="360" w:lineRule="auto"/>
              <w:ind w:left="115"/>
            </w:pPr>
            <w:r>
              <w:rPr>
                <w:spacing w:val="-1"/>
              </w:rPr>
              <w:t>从投标截止日起90日历天。</w:t>
            </w:r>
          </w:p>
        </w:tc>
      </w:tr>
      <w:tr w14:paraId="244E6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783" w:type="dxa"/>
            <w:tcBorders>
              <w:left w:val="single" w:color="000000" w:sz="6" w:space="0"/>
            </w:tcBorders>
            <w:vAlign w:val="top"/>
          </w:tcPr>
          <w:p w14:paraId="6907EFB6">
            <w:pPr>
              <w:spacing w:line="360" w:lineRule="auto"/>
              <w:rPr>
                <w:rFonts w:ascii="Arial"/>
                <w:sz w:val="21"/>
              </w:rPr>
            </w:pPr>
          </w:p>
          <w:p w14:paraId="52C8B802">
            <w:pPr>
              <w:spacing w:line="360" w:lineRule="auto"/>
              <w:rPr>
                <w:rFonts w:ascii="Arial"/>
                <w:sz w:val="21"/>
              </w:rPr>
            </w:pPr>
          </w:p>
          <w:p w14:paraId="2C3B4EAA">
            <w:pPr>
              <w:pStyle w:val="13"/>
              <w:spacing w:before="78" w:line="360" w:lineRule="auto"/>
              <w:ind w:left="289"/>
            </w:pPr>
            <w:r>
              <w:rPr>
                <w:spacing w:val="-14"/>
              </w:rPr>
              <w:t>15</w:t>
            </w:r>
          </w:p>
        </w:tc>
        <w:tc>
          <w:tcPr>
            <w:tcW w:w="1786" w:type="dxa"/>
            <w:vAlign w:val="top"/>
          </w:tcPr>
          <w:p w14:paraId="5DAF4F95">
            <w:pPr>
              <w:spacing w:line="360" w:lineRule="auto"/>
              <w:rPr>
                <w:rFonts w:ascii="Arial"/>
                <w:sz w:val="21"/>
              </w:rPr>
            </w:pPr>
          </w:p>
          <w:p w14:paraId="50055B94">
            <w:pPr>
              <w:spacing w:line="360" w:lineRule="auto"/>
              <w:rPr>
                <w:rFonts w:ascii="Arial"/>
                <w:sz w:val="21"/>
              </w:rPr>
            </w:pPr>
          </w:p>
          <w:p w14:paraId="652DB506">
            <w:pPr>
              <w:pStyle w:val="13"/>
              <w:spacing w:before="78" w:line="360" w:lineRule="auto"/>
              <w:ind w:left="415"/>
            </w:pPr>
            <w:r>
              <w:rPr>
                <w:spacing w:val="-3"/>
              </w:rPr>
              <w:t>签字盖章</w:t>
            </w:r>
          </w:p>
        </w:tc>
        <w:tc>
          <w:tcPr>
            <w:tcW w:w="7308" w:type="dxa"/>
            <w:tcBorders>
              <w:right w:val="single" w:color="000000" w:sz="6" w:space="0"/>
            </w:tcBorders>
            <w:vAlign w:val="top"/>
          </w:tcPr>
          <w:p w14:paraId="3919BF52">
            <w:pPr>
              <w:pStyle w:val="13"/>
              <w:spacing w:before="136" w:line="360" w:lineRule="auto"/>
              <w:ind w:left="130"/>
            </w:pPr>
            <w:r>
              <w:rPr>
                <w:spacing w:val="-1"/>
              </w:rPr>
              <w:t>1.供应商必须按照磋商文件的规定和要求签字</w:t>
            </w:r>
            <w:r>
              <w:rPr>
                <w:spacing w:val="-2"/>
              </w:rPr>
              <w:t>、盖章。</w:t>
            </w:r>
          </w:p>
          <w:p w14:paraId="3C8381AA">
            <w:pPr>
              <w:pStyle w:val="13"/>
              <w:spacing w:before="153" w:line="360" w:lineRule="auto"/>
              <w:ind w:left="100" w:right="102" w:firstLine="14"/>
            </w:pPr>
            <w:r>
              <w:rPr>
                <w:spacing w:val="-4"/>
              </w:rPr>
              <w:t>2.电子响应文件制作过程中，需要法定代表人签字或盖章的地方，请</w:t>
            </w:r>
            <w:r>
              <w:rPr>
                <w:spacing w:val="-1"/>
              </w:rPr>
              <w:t>使用“法人</w:t>
            </w:r>
            <w:r>
              <w:rPr>
                <w:spacing w:val="-53"/>
              </w:rPr>
              <w:t xml:space="preserve"> </w:t>
            </w:r>
            <w:r>
              <w:rPr>
                <w:spacing w:val="-1"/>
              </w:rPr>
              <w:t>CA</w:t>
            </w:r>
            <w:r>
              <w:rPr>
                <w:spacing w:val="-50"/>
              </w:rPr>
              <w:t xml:space="preserve"> </w:t>
            </w:r>
            <w:r>
              <w:rPr>
                <w:spacing w:val="-1"/>
              </w:rPr>
              <w:t>锁</w:t>
            </w:r>
            <w:r>
              <w:rPr>
                <w:spacing w:val="-86"/>
              </w:rPr>
              <w:t xml:space="preserve"> </w:t>
            </w:r>
            <w:r>
              <w:rPr>
                <w:spacing w:val="-1"/>
              </w:rPr>
              <w:t>”进行签章；需要加盖供应商公</w:t>
            </w:r>
            <w:r>
              <w:rPr>
                <w:spacing w:val="-2"/>
              </w:rPr>
              <w:t>章的地方，请使用</w:t>
            </w:r>
            <w:r>
              <w:rPr>
                <w:spacing w:val="-4"/>
              </w:rPr>
              <w:t>“企业</w:t>
            </w:r>
            <w:r>
              <w:rPr>
                <w:spacing w:val="-52"/>
              </w:rPr>
              <w:t xml:space="preserve"> </w:t>
            </w:r>
            <w:r>
              <w:rPr>
                <w:spacing w:val="-4"/>
              </w:rPr>
              <w:t>CA</w:t>
            </w:r>
            <w:r>
              <w:rPr>
                <w:spacing w:val="-51"/>
              </w:rPr>
              <w:t xml:space="preserve"> </w:t>
            </w:r>
            <w:r>
              <w:rPr>
                <w:spacing w:val="-4"/>
              </w:rPr>
              <w:t>锁</w:t>
            </w:r>
            <w:r>
              <w:rPr>
                <w:spacing w:val="-88"/>
              </w:rPr>
              <w:t xml:space="preserve"> </w:t>
            </w:r>
            <w:r>
              <w:rPr>
                <w:spacing w:val="-4"/>
              </w:rPr>
              <w:t>”进行签章。</w:t>
            </w:r>
          </w:p>
        </w:tc>
      </w:tr>
      <w:tr w14:paraId="4A500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783" w:type="dxa"/>
            <w:tcBorders>
              <w:left w:val="single" w:color="000000" w:sz="6" w:space="0"/>
              <w:bottom w:val="single" w:color="000000" w:sz="6" w:space="0"/>
            </w:tcBorders>
            <w:vAlign w:val="top"/>
          </w:tcPr>
          <w:p w14:paraId="60812935">
            <w:pPr>
              <w:pStyle w:val="13"/>
              <w:spacing w:before="78" w:line="360" w:lineRule="auto"/>
              <w:ind w:left="289"/>
            </w:pPr>
            <w:r>
              <w:rPr>
                <w:spacing w:val="-14"/>
              </w:rPr>
              <w:t>16</w:t>
            </w:r>
          </w:p>
        </w:tc>
        <w:tc>
          <w:tcPr>
            <w:tcW w:w="1786" w:type="dxa"/>
            <w:tcBorders>
              <w:bottom w:val="single" w:color="000000" w:sz="6" w:space="0"/>
            </w:tcBorders>
            <w:vAlign w:val="top"/>
          </w:tcPr>
          <w:p w14:paraId="01FADED7">
            <w:pPr>
              <w:pStyle w:val="13"/>
              <w:spacing w:before="78" w:line="360" w:lineRule="auto"/>
              <w:ind w:left="776" w:right="174" w:hanging="601"/>
            </w:pPr>
            <w:r>
              <w:rPr>
                <w:spacing w:val="-2"/>
              </w:rPr>
              <w:t>供应商资格要</w:t>
            </w:r>
            <w:r>
              <w:t>求</w:t>
            </w:r>
          </w:p>
        </w:tc>
        <w:tc>
          <w:tcPr>
            <w:tcW w:w="7308" w:type="dxa"/>
            <w:tcBorders>
              <w:bottom w:val="single" w:color="000000" w:sz="6" w:space="0"/>
              <w:right w:val="single" w:color="000000" w:sz="6" w:space="0"/>
            </w:tcBorders>
            <w:vAlign w:val="top"/>
          </w:tcPr>
          <w:p w14:paraId="42745F95">
            <w:pPr>
              <w:pStyle w:val="13"/>
              <w:spacing w:line="360" w:lineRule="auto"/>
              <w:ind w:left="123" w:right="102" w:firstLine="1"/>
              <w:rPr>
                <w:rFonts w:hint="default"/>
                <w:lang w:val="en-US"/>
              </w:rPr>
            </w:pPr>
            <w:r>
              <w:rPr>
                <w:rFonts w:hint="eastAsia" w:ascii="宋体" w:hAnsi="宋体" w:eastAsia="宋体" w:cs="宋体"/>
                <w:spacing w:val="-1"/>
                <w:lang w:val="en-US" w:eastAsia="zh-CN"/>
              </w:rPr>
              <w:t>同竞争性磋商公告的资格要求。</w:t>
            </w:r>
          </w:p>
        </w:tc>
      </w:tr>
      <w:tr w14:paraId="12544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83" w:type="dxa"/>
            <w:tcBorders>
              <w:left w:val="single" w:color="000000" w:sz="6" w:space="0"/>
            </w:tcBorders>
            <w:vAlign w:val="top"/>
          </w:tcPr>
          <w:p w14:paraId="4EB0E5CD">
            <w:pPr>
              <w:pStyle w:val="13"/>
              <w:spacing w:before="112" w:line="360" w:lineRule="auto"/>
              <w:ind w:left="289"/>
            </w:pPr>
            <w:r>
              <w:rPr>
                <w:spacing w:val="-14"/>
              </w:rPr>
              <w:t>17</w:t>
            </w:r>
          </w:p>
        </w:tc>
        <w:tc>
          <w:tcPr>
            <w:tcW w:w="1786" w:type="dxa"/>
            <w:vAlign w:val="top"/>
          </w:tcPr>
          <w:p w14:paraId="6665FE2E">
            <w:pPr>
              <w:pStyle w:val="13"/>
              <w:spacing w:before="160" w:line="360" w:lineRule="auto"/>
              <w:ind w:left="294"/>
            </w:pPr>
            <w:r>
              <w:rPr>
                <w:spacing w:val="-2"/>
              </w:rPr>
              <w:t>磋商保证金</w:t>
            </w:r>
          </w:p>
        </w:tc>
        <w:tc>
          <w:tcPr>
            <w:tcW w:w="7308" w:type="dxa"/>
            <w:tcBorders>
              <w:right w:val="single" w:color="000000" w:sz="6" w:space="0"/>
            </w:tcBorders>
            <w:vAlign w:val="top"/>
          </w:tcPr>
          <w:p w14:paraId="16DA53AA">
            <w:pPr>
              <w:pStyle w:val="13"/>
              <w:spacing w:before="160" w:line="360" w:lineRule="auto"/>
              <w:ind w:left="113"/>
            </w:pPr>
            <w:r>
              <w:rPr>
                <w:spacing w:val="-2"/>
              </w:rPr>
              <w:t>本项目无磋商保证金</w:t>
            </w:r>
          </w:p>
        </w:tc>
      </w:tr>
      <w:tr w14:paraId="67275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783" w:type="dxa"/>
            <w:tcBorders>
              <w:left w:val="single" w:color="000000" w:sz="6" w:space="0"/>
              <w:bottom w:val="single" w:color="000000" w:sz="6" w:space="0"/>
            </w:tcBorders>
            <w:vAlign w:val="top"/>
          </w:tcPr>
          <w:p w14:paraId="70161856">
            <w:pPr>
              <w:pStyle w:val="13"/>
              <w:spacing w:before="114" w:line="360" w:lineRule="auto"/>
              <w:ind w:left="289"/>
            </w:pPr>
            <w:r>
              <w:rPr>
                <w:spacing w:val="-14"/>
              </w:rPr>
              <w:t>18</w:t>
            </w:r>
          </w:p>
        </w:tc>
        <w:tc>
          <w:tcPr>
            <w:tcW w:w="1786" w:type="dxa"/>
            <w:tcBorders>
              <w:bottom w:val="single" w:color="000000" w:sz="6" w:space="0"/>
            </w:tcBorders>
            <w:vAlign w:val="top"/>
          </w:tcPr>
          <w:p w14:paraId="76989B4C">
            <w:pPr>
              <w:pStyle w:val="13"/>
              <w:spacing w:before="160" w:line="360" w:lineRule="auto"/>
              <w:ind w:left="299"/>
            </w:pPr>
            <w:r>
              <w:rPr>
                <w:spacing w:val="-3"/>
              </w:rPr>
              <w:t>履约保证金</w:t>
            </w:r>
          </w:p>
        </w:tc>
        <w:tc>
          <w:tcPr>
            <w:tcW w:w="7308" w:type="dxa"/>
            <w:tcBorders>
              <w:bottom w:val="single" w:color="000000" w:sz="6" w:space="0"/>
              <w:right w:val="single" w:color="000000" w:sz="6" w:space="0"/>
            </w:tcBorders>
            <w:vAlign w:val="top"/>
          </w:tcPr>
          <w:p w14:paraId="42B3F85D">
            <w:pPr>
              <w:pStyle w:val="13"/>
              <w:spacing w:before="160" w:line="360" w:lineRule="auto"/>
              <w:ind w:left="113"/>
            </w:pPr>
            <w:r>
              <w:rPr>
                <w:spacing w:val="-2"/>
              </w:rPr>
              <w:t>本项目无履约保证金</w:t>
            </w:r>
          </w:p>
        </w:tc>
      </w:tr>
      <w:tr w14:paraId="22BBB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7" w:hRule="atLeast"/>
        </w:trPr>
        <w:tc>
          <w:tcPr>
            <w:tcW w:w="783" w:type="dxa"/>
            <w:tcBorders>
              <w:left w:val="single" w:color="000000" w:sz="6" w:space="0"/>
            </w:tcBorders>
            <w:vAlign w:val="top"/>
          </w:tcPr>
          <w:p w14:paraId="449DA068">
            <w:pPr>
              <w:pStyle w:val="13"/>
              <w:spacing w:before="114" w:line="360" w:lineRule="auto"/>
              <w:ind w:left="289"/>
              <w:rPr>
                <w:rFonts w:ascii="宋体" w:hAnsi="宋体" w:eastAsia="宋体" w:cs="宋体"/>
                <w:spacing w:val="-14"/>
              </w:rPr>
            </w:pPr>
            <w:r>
              <w:rPr>
                <w:rFonts w:ascii="宋体" w:hAnsi="宋体" w:eastAsia="宋体" w:cs="宋体"/>
                <w:spacing w:val="-14"/>
              </w:rPr>
              <w:t>19</w:t>
            </w:r>
          </w:p>
        </w:tc>
        <w:tc>
          <w:tcPr>
            <w:tcW w:w="1786" w:type="dxa"/>
            <w:vAlign w:val="top"/>
          </w:tcPr>
          <w:p w14:paraId="7DC98FAC">
            <w:pPr>
              <w:pStyle w:val="13"/>
              <w:spacing w:before="114" w:line="360" w:lineRule="auto"/>
              <w:ind w:left="289"/>
              <w:rPr>
                <w:rFonts w:ascii="宋体" w:hAnsi="宋体" w:eastAsia="宋体" w:cs="宋体"/>
                <w:spacing w:val="-14"/>
              </w:rPr>
            </w:pPr>
            <w:r>
              <w:rPr>
                <w:rFonts w:ascii="宋体" w:hAnsi="宋体" w:eastAsia="宋体" w:cs="宋体"/>
                <w:spacing w:val="-14"/>
              </w:rPr>
              <w:t>招标代理服务费</w:t>
            </w:r>
          </w:p>
        </w:tc>
        <w:tc>
          <w:tcPr>
            <w:tcW w:w="7308" w:type="dxa"/>
            <w:tcBorders>
              <w:right w:val="single" w:color="000000" w:sz="6" w:space="0"/>
            </w:tcBorders>
            <w:vAlign w:val="top"/>
          </w:tcPr>
          <w:p w14:paraId="7429937A">
            <w:pPr>
              <w:pStyle w:val="13"/>
              <w:spacing w:line="360" w:lineRule="auto"/>
              <w:ind w:left="113" w:right="102" w:hanging="5"/>
            </w:pPr>
            <w:r>
              <w:rPr>
                <w:rFonts w:hint="eastAsia"/>
                <w:color w:val="auto"/>
                <w:spacing w:val="7"/>
                <w:highlight w:val="none"/>
                <w:lang w:eastAsia="zh-CN"/>
              </w:rPr>
              <w:t>参照《招标代理服务收费管理暂行办法》计价格[2002]1980号文，以中标价为基数计取代理服务费，低于</w:t>
            </w:r>
            <w:r>
              <w:rPr>
                <w:rFonts w:hint="eastAsia"/>
                <w:color w:val="auto"/>
                <w:spacing w:val="7"/>
                <w:highlight w:val="none"/>
                <w:lang w:val="en-US" w:eastAsia="zh-CN"/>
              </w:rPr>
              <w:t>6千，按6千收取</w:t>
            </w:r>
            <w:r>
              <w:rPr>
                <w:rFonts w:hint="eastAsia"/>
                <w:color w:val="auto"/>
                <w:spacing w:val="7"/>
                <w:highlight w:val="none"/>
                <w:lang w:eastAsia="zh-CN"/>
              </w:rPr>
              <w:t>。代理服务费由中标单位领取中标通知书前以转账形式一次性付清。</w:t>
            </w:r>
          </w:p>
        </w:tc>
      </w:tr>
      <w:tr w14:paraId="771E0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3" w:hRule="atLeast"/>
        </w:trPr>
        <w:tc>
          <w:tcPr>
            <w:tcW w:w="783" w:type="dxa"/>
            <w:tcBorders>
              <w:left w:val="single" w:color="000000" w:sz="6" w:space="0"/>
            </w:tcBorders>
            <w:vAlign w:val="top"/>
          </w:tcPr>
          <w:p w14:paraId="4C49BC60">
            <w:pPr>
              <w:pStyle w:val="13"/>
              <w:spacing w:before="114" w:line="360" w:lineRule="auto"/>
              <w:ind w:left="289"/>
              <w:rPr>
                <w:rFonts w:ascii="宋体" w:hAnsi="宋体" w:eastAsia="宋体" w:cs="宋体"/>
                <w:spacing w:val="-14"/>
              </w:rPr>
            </w:pPr>
            <w:r>
              <w:rPr>
                <w:rFonts w:ascii="宋体" w:hAnsi="宋体" w:eastAsia="宋体" w:cs="宋体"/>
                <w:spacing w:val="-14"/>
              </w:rPr>
              <w:t>20</w:t>
            </w:r>
          </w:p>
        </w:tc>
        <w:tc>
          <w:tcPr>
            <w:tcW w:w="1786" w:type="dxa"/>
            <w:vAlign w:val="top"/>
          </w:tcPr>
          <w:p w14:paraId="1463823A">
            <w:pPr>
              <w:pStyle w:val="13"/>
              <w:spacing w:before="114" w:line="360" w:lineRule="auto"/>
              <w:ind w:left="289"/>
              <w:rPr>
                <w:rFonts w:ascii="宋体" w:hAnsi="宋体" w:eastAsia="宋体" w:cs="宋体"/>
                <w:spacing w:val="-14"/>
              </w:rPr>
            </w:pPr>
            <w:r>
              <w:rPr>
                <w:rFonts w:ascii="宋体" w:hAnsi="宋体" w:eastAsia="宋体" w:cs="宋体"/>
                <w:spacing w:val="-14"/>
              </w:rPr>
              <w:t>知识产权</w:t>
            </w:r>
          </w:p>
        </w:tc>
        <w:tc>
          <w:tcPr>
            <w:tcW w:w="7308" w:type="dxa"/>
            <w:tcBorders>
              <w:right w:val="single" w:color="000000" w:sz="6" w:space="0"/>
            </w:tcBorders>
            <w:vAlign w:val="top"/>
          </w:tcPr>
          <w:p w14:paraId="0774096C">
            <w:pPr>
              <w:pStyle w:val="13"/>
              <w:spacing w:before="136" w:line="360" w:lineRule="auto"/>
              <w:ind w:left="112" w:right="102"/>
              <w:jc w:val="both"/>
            </w:pPr>
            <w:r>
              <w:rPr>
                <w:spacing w:val="-4"/>
              </w:rPr>
              <w:t>供应商应对所供服务具有或已取得合法知识产权，供应商应保证所供服务不会出现因第三方提出侵犯其专利权、商标权或其它知识产权而引发法律或经济纠纷，否则由供应商负责解决并承担全部责任；如因此影响到采购人的正常使用，采购人有权单方解除本合同，供应商应</w:t>
            </w:r>
            <w:r>
              <w:rPr>
                <w:spacing w:val="-1"/>
              </w:rPr>
              <w:t>无条件向采购人退回已收取的全部合同价款。</w:t>
            </w:r>
          </w:p>
        </w:tc>
      </w:tr>
      <w:tr w14:paraId="58723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783" w:type="dxa"/>
            <w:tcBorders>
              <w:left w:val="single" w:color="000000" w:sz="6" w:space="0"/>
            </w:tcBorders>
            <w:vAlign w:val="top"/>
          </w:tcPr>
          <w:p w14:paraId="1BB55E06">
            <w:pPr>
              <w:pStyle w:val="13"/>
              <w:spacing w:before="95" w:line="360" w:lineRule="auto"/>
              <w:ind w:left="274"/>
            </w:pPr>
            <w:r>
              <w:rPr>
                <w:spacing w:val="-7"/>
              </w:rPr>
              <w:t>21</w:t>
            </w:r>
          </w:p>
        </w:tc>
        <w:tc>
          <w:tcPr>
            <w:tcW w:w="1786" w:type="dxa"/>
            <w:vAlign w:val="top"/>
          </w:tcPr>
          <w:p w14:paraId="31EE97F9">
            <w:pPr>
              <w:pStyle w:val="13"/>
              <w:spacing w:before="136" w:line="360" w:lineRule="auto"/>
              <w:ind w:left="414"/>
            </w:pPr>
            <w:r>
              <w:rPr>
                <w:spacing w:val="-3"/>
              </w:rPr>
              <w:t>评标方法</w:t>
            </w:r>
          </w:p>
        </w:tc>
        <w:tc>
          <w:tcPr>
            <w:tcW w:w="7308" w:type="dxa"/>
            <w:tcBorders>
              <w:right w:val="single" w:color="000000" w:sz="6" w:space="0"/>
            </w:tcBorders>
            <w:vAlign w:val="top"/>
          </w:tcPr>
          <w:p w14:paraId="233D8304">
            <w:pPr>
              <w:pStyle w:val="13"/>
              <w:spacing w:before="136" w:line="360" w:lineRule="auto"/>
              <w:ind w:left="115"/>
            </w:pPr>
            <w:r>
              <w:rPr>
                <w:spacing w:val="-2"/>
              </w:rPr>
              <w:t>综合评分法（详见第四章）</w:t>
            </w:r>
          </w:p>
        </w:tc>
      </w:tr>
      <w:tr w14:paraId="3A686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3" w:hRule="atLeast"/>
        </w:trPr>
        <w:tc>
          <w:tcPr>
            <w:tcW w:w="783" w:type="dxa"/>
            <w:tcBorders>
              <w:left w:val="single" w:color="000000" w:sz="6" w:space="0"/>
            </w:tcBorders>
            <w:vAlign w:val="top"/>
          </w:tcPr>
          <w:p w14:paraId="17C8BA55">
            <w:pPr>
              <w:spacing w:line="360" w:lineRule="auto"/>
              <w:rPr>
                <w:rFonts w:ascii="Arial"/>
                <w:sz w:val="21"/>
              </w:rPr>
            </w:pPr>
          </w:p>
          <w:p w14:paraId="4EEB88C6">
            <w:pPr>
              <w:spacing w:line="360" w:lineRule="auto"/>
              <w:rPr>
                <w:rFonts w:ascii="Arial"/>
                <w:sz w:val="21"/>
              </w:rPr>
            </w:pPr>
          </w:p>
          <w:p w14:paraId="6C911A69">
            <w:pPr>
              <w:pStyle w:val="13"/>
              <w:spacing w:before="78" w:line="360" w:lineRule="auto"/>
              <w:ind w:left="274"/>
            </w:pPr>
            <w:r>
              <w:rPr>
                <w:spacing w:val="-7"/>
              </w:rPr>
              <w:t>22</w:t>
            </w:r>
          </w:p>
        </w:tc>
        <w:tc>
          <w:tcPr>
            <w:tcW w:w="1786" w:type="dxa"/>
            <w:vAlign w:val="top"/>
          </w:tcPr>
          <w:p w14:paraId="116CDE02">
            <w:pPr>
              <w:spacing w:line="360" w:lineRule="auto"/>
              <w:rPr>
                <w:rFonts w:ascii="Arial"/>
                <w:sz w:val="21"/>
              </w:rPr>
            </w:pPr>
          </w:p>
          <w:p w14:paraId="3B1E0A95">
            <w:pPr>
              <w:spacing w:line="360" w:lineRule="auto"/>
              <w:rPr>
                <w:rFonts w:ascii="Arial"/>
                <w:sz w:val="21"/>
              </w:rPr>
            </w:pPr>
          </w:p>
          <w:p w14:paraId="4D246A37">
            <w:pPr>
              <w:pStyle w:val="13"/>
              <w:spacing w:before="78" w:line="360" w:lineRule="auto"/>
              <w:ind w:left="438"/>
            </w:pPr>
            <w:r>
              <w:rPr>
                <w:spacing w:val="-4"/>
              </w:rPr>
              <w:t>履约验收</w:t>
            </w:r>
          </w:p>
        </w:tc>
        <w:tc>
          <w:tcPr>
            <w:tcW w:w="7308" w:type="dxa"/>
            <w:tcBorders>
              <w:right w:val="single" w:color="000000" w:sz="6" w:space="0"/>
            </w:tcBorders>
            <w:vAlign w:val="top"/>
          </w:tcPr>
          <w:p w14:paraId="31BC290A">
            <w:pPr>
              <w:pStyle w:val="13"/>
              <w:spacing w:before="152" w:line="360" w:lineRule="auto"/>
              <w:ind w:left="157"/>
            </w:pPr>
            <w:r>
              <w:rPr>
                <w:spacing w:val="-1"/>
              </w:rPr>
              <w:t>是否委托采购代理机构组织履约验收：</w:t>
            </w:r>
          </w:p>
          <w:p w14:paraId="3AD452C8">
            <w:pPr>
              <w:pStyle w:val="13"/>
              <w:spacing w:before="154" w:line="360" w:lineRule="auto"/>
              <w:ind w:left="158" w:right="102" w:firstLine="19"/>
            </w:pPr>
            <w:r>
              <w:rPr>
                <w:spacing w:val="-2"/>
              </w:rPr>
              <w:t>□是，验收费用由采购人/中标供应商支付，费用标准按成</w:t>
            </w:r>
            <w:r>
              <w:rPr>
                <w:spacing w:val="-3"/>
              </w:rPr>
              <w:t>交金额的5‰计算，不足</w:t>
            </w:r>
            <w:r>
              <w:rPr>
                <w:spacing w:val="-43"/>
              </w:rPr>
              <w:t xml:space="preserve"> </w:t>
            </w:r>
            <w:r>
              <w:rPr>
                <w:spacing w:val="-3"/>
              </w:rPr>
              <w:t>5000</w:t>
            </w:r>
            <w:r>
              <w:rPr>
                <w:spacing w:val="-49"/>
              </w:rPr>
              <w:t xml:space="preserve"> </w:t>
            </w:r>
            <w:r>
              <w:rPr>
                <w:spacing w:val="-3"/>
              </w:rPr>
              <w:t>元的，按</w:t>
            </w:r>
            <w:r>
              <w:rPr>
                <w:spacing w:val="-46"/>
              </w:rPr>
              <w:t xml:space="preserve"> </w:t>
            </w:r>
            <w:r>
              <w:rPr>
                <w:spacing w:val="-3"/>
              </w:rPr>
              <w:t>5000</w:t>
            </w:r>
            <w:r>
              <w:rPr>
                <w:spacing w:val="-49"/>
              </w:rPr>
              <w:t xml:space="preserve"> </w:t>
            </w:r>
            <w:r>
              <w:rPr>
                <w:spacing w:val="-3"/>
              </w:rPr>
              <w:t>元收取。</w:t>
            </w:r>
          </w:p>
          <w:p w14:paraId="3FE7C205">
            <w:pPr>
              <w:pStyle w:val="13"/>
              <w:spacing w:line="360" w:lineRule="auto"/>
              <w:ind w:left="162"/>
            </w:pPr>
            <w:r>
              <w:rPr>
                <w:rFonts w:ascii="MS Gothic" w:hAnsi="MS Gothic" w:eastAsia="MS Gothic" w:cs="MS Gothic"/>
                <w:spacing w:val="-7"/>
              </w:rPr>
              <w:t>☑</w:t>
            </w:r>
            <w:r>
              <w:rPr>
                <w:spacing w:val="-7"/>
              </w:rPr>
              <w:t>否。</w:t>
            </w:r>
          </w:p>
        </w:tc>
      </w:tr>
      <w:tr w14:paraId="52694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2" w:hRule="atLeast"/>
        </w:trPr>
        <w:tc>
          <w:tcPr>
            <w:tcW w:w="783" w:type="dxa"/>
            <w:tcBorders>
              <w:left w:val="single" w:color="000000" w:sz="6" w:space="0"/>
            </w:tcBorders>
            <w:vAlign w:val="top"/>
          </w:tcPr>
          <w:p w14:paraId="4922B133">
            <w:pPr>
              <w:spacing w:line="360" w:lineRule="auto"/>
              <w:rPr>
                <w:rFonts w:ascii="Arial"/>
                <w:sz w:val="21"/>
              </w:rPr>
            </w:pPr>
          </w:p>
          <w:p w14:paraId="7DC57492">
            <w:pPr>
              <w:spacing w:line="360" w:lineRule="auto"/>
              <w:rPr>
                <w:rFonts w:ascii="Arial"/>
                <w:sz w:val="21"/>
              </w:rPr>
            </w:pPr>
          </w:p>
          <w:p w14:paraId="460824CB">
            <w:pPr>
              <w:spacing w:line="360" w:lineRule="auto"/>
              <w:rPr>
                <w:rFonts w:ascii="Arial"/>
                <w:sz w:val="21"/>
              </w:rPr>
            </w:pPr>
          </w:p>
          <w:p w14:paraId="45AFFB45">
            <w:pPr>
              <w:spacing w:line="360" w:lineRule="auto"/>
              <w:rPr>
                <w:rFonts w:ascii="Arial"/>
                <w:sz w:val="21"/>
              </w:rPr>
            </w:pPr>
          </w:p>
          <w:p w14:paraId="4429C393">
            <w:pPr>
              <w:spacing w:line="360" w:lineRule="auto"/>
              <w:rPr>
                <w:rFonts w:ascii="Arial"/>
                <w:sz w:val="21"/>
              </w:rPr>
            </w:pPr>
          </w:p>
          <w:p w14:paraId="3BF80C9B">
            <w:pPr>
              <w:pStyle w:val="13"/>
              <w:spacing w:before="78" w:line="360" w:lineRule="auto"/>
              <w:ind w:left="274"/>
            </w:pPr>
            <w:r>
              <w:rPr>
                <w:spacing w:val="-7"/>
              </w:rPr>
              <w:t>23</w:t>
            </w:r>
          </w:p>
        </w:tc>
        <w:tc>
          <w:tcPr>
            <w:tcW w:w="1786" w:type="dxa"/>
            <w:vAlign w:val="top"/>
          </w:tcPr>
          <w:p w14:paraId="7E87277F">
            <w:pPr>
              <w:spacing w:line="360" w:lineRule="auto"/>
              <w:rPr>
                <w:rFonts w:ascii="Arial"/>
                <w:sz w:val="21"/>
              </w:rPr>
            </w:pPr>
          </w:p>
          <w:p w14:paraId="46E1A625">
            <w:pPr>
              <w:spacing w:line="360" w:lineRule="auto"/>
              <w:rPr>
                <w:rFonts w:ascii="Arial"/>
                <w:sz w:val="21"/>
              </w:rPr>
            </w:pPr>
          </w:p>
          <w:p w14:paraId="043D7AA1">
            <w:pPr>
              <w:spacing w:line="360" w:lineRule="auto"/>
              <w:rPr>
                <w:rFonts w:ascii="Arial"/>
                <w:sz w:val="21"/>
              </w:rPr>
            </w:pPr>
          </w:p>
          <w:p w14:paraId="61E622B3">
            <w:pPr>
              <w:spacing w:line="360" w:lineRule="auto"/>
              <w:rPr>
                <w:rFonts w:ascii="Arial"/>
                <w:sz w:val="21"/>
              </w:rPr>
            </w:pPr>
          </w:p>
          <w:p w14:paraId="0498E864">
            <w:pPr>
              <w:pStyle w:val="13"/>
              <w:spacing w:before="78" w:line="360" w:lineRule="auto"/>
              <w:ind w:left="536" w:right="174" w:hanging="361"/>
            </w:pPr>
            <w:r>
              <w:rPr>
                <w:spacing w:val="-2"/>
              </w:rPr>
              <w:t>信用担保及信</w:t>
            </w:r>
            <w:r>
              <w:rPr>
                <w:spacing w:val="-4"/>
              </w:rPr>
              <w:t>用融资</w:t>
            </w:r>
          </w:p>
        </w:tc>
        <w:tc>
          <w:tcPr>
            <w:tcW w:w="7308" w:type="dxa"/>
            <w:tcBorders>
              <w:right w:val="single" w:color="000000" w:sz="6" w:space="0"/>
            </w:tcBorders>
            <w:vAlign w:val="top"/>
          </w:tcPr>
          <w:p w14:paraId="7CB66900">
            <w:pPr>
              <w:pStyle w:val="13"/>
              <w:spacing w:before="150" w:line="360" w:lineRule="auto"/>
              <w:ind w:left="111" w:right="41"/>
            </w:pPr>
            <w:r>
              <w:rPr>
                <w:spacing w:val="-1"/>
              </w:rPr>
              <w:t>根据陕西省财政厅关于印发《陕西省中小企业政府采购信用融资办法》（陕财办采〔2018〕23</w:t>
            </w:r>
            <w:r>
              <w:rPr>
                <w:spacing w:val="-38"/>
              </w:rPr>
              <w:t xml:space="preserve"> </w:t>
            </w:r>
            <w:r>
              <w:rPr>
                <w:spacing w:val="-1"/>
              </w:rPr>
              <w:t>号）和《陕西省财政厅关于加快推进我</w:t>
            </w:r>
            <w:r>
              <w:t>省中小企业政府采购信用融资工作的通知》（陕财</w:t>
            </w:r>
            <w:r>
              <w:rPr>
                <w:spacing w:val="-1"/>
              </w:rPr>
              <w:t>办采〔2020〕15</w:t>
            </w:r>
            <w:r>
              <w:rPr>
                <w:spacing w:val="-4"/>
              </w:rPr>
              <w:t>号）文件精神，有融资需求的供应商可根据自身情况，在陕西省政府</w:t>
            </w:r>
            <w:r>
              <w:rPr>
                <w:spacing w:val="-10"/>
              </w:rPr>
              <w:t>采购信用融资平台（含各市分平台）自主选择金融机构及其融资产品，</w:t>
            </w:r>
            <w:r>
              <w:rPr>
                <w:spacing w:val="-4"/>
              </w:rPr>
              <w:t>凭政府采购中标（成交）通知书或政府采购合同向金融机构提出融资</w:t>
            </w:r>
            <w:r>
              <w:rPr>
                <w:spacing w:val="-3"/>
              </w:rPr>
              <w:t>申请。</w:t>
            </w:r>
          </w:p>
        </w:tc>
      </w:tr>
      <w:tr w14:paraId="2BF53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8" w:hRule="atLeast"/>
        </w:trPr>
        <w:tc>
          <w:tcPr>
            <w:tcW w:w="783" w:type="dxa"/>
            <w:tcBorders>
              <w:left w:val="single" w:color="000000" w:sz="6" w:space="0"/>
            </w:tcBorders>
            <w:vAlign w:val="top"/>
          </w:tcPr>
          <w:p w14:paraId="16A4753D">
            <w:pPr>
              <w:pStyle w:val="13"/>
              <w:spacing w:before="78" w:line="360" w:lineRule="auto"/>
              <w:ind w:left="274"/>
            </w:pPr>
            <w:r>
              <w:rPr>
                <w:spacing w:val="-7"/>
              </w:rPr>
              <w:t>24</w:t>
            </w:r>
          </w:p>
        </w:tc>
        <w:tc>
          <w:tcPr>
            <w:tcW w:w="1786" w:type="dxa"/>
            <w:vAlign w:val="top"/>
          </w:tcPr>
          <w:p w14:paraId="6EB64A47">
            <w:pPr>
              <w:pStyle w:val="13"/>
              <w:spacing w:before="78" w:line="360" w:lineRule="auto"/>
              <w:ind w:left="179"/>
            </w:pPr>
            <w:r>
              <w:rPr>
                <w:rFonts w:hint="eastAsia"/>
                <w:spacing w:val="-3"/>
                <w:lang w:val="en-US" w:eastAsia="zh-CN"/>
              </w:rPr>
              <w:t>所属行业、</w:t>
            </w:r>
            <w:r>
              <w:rPr>
                <w:spacing w:val="-3"/>
              </w:rPr>
              <w:t>企业规模划分</w:t>
            </w:r>
            <w:r>
              <w:rPr>
                <w:spacing w:val="-2"/>
              </w:rPr>
              <w:t>标准</w:t>
            </w:r>
          </w:p>
        </w:tc>
        <w:tc>
          <w:tcPr>
            <w:tcW w:w="7308" w:type="dxa"/>
            <w:tcBorders>
              <w:right w:val="single" w:color="000000" w:sz="6" w:space="0"/>
            </w:tcBorders>
            <w:vAlign w:val="top"/>
          </w:tcPr>
          <w:p w14:paraId="3566E57B">
            <w:pPr>
              <w:pStyle w:val="13"/>
              <w:spacing w:before="139" w:line="360" w:lineRule="auto"/>
              <w:ind w:left="113" w:right="42" w:firstLine="16"/>
            </w:pPr>
            <w:r>
              <w:rPr>
                <w:rFonts w:hint="eastAsia"/>
                <w:spacing w:val="-1"/>
                <w:lang w:val="en-US" w:eastAsia="zh-CN"/>
              </w:rPr>
              <w:t>所属行业、</w:t>
            </w:r>
            <w:r>
              <w:rPr>
                <w:spacing w:val="-1"/>
              </w:rPr>
              <w:t>企业规模划分：企业规模划分标准参照“关于印发中小企业划型</w:t>
            </w:r>
            <w:r>
              <w:rPr>
                <w:spacing w:val="-14"/>
              </w:rPr>
              <w:t>标准规定的通知(工信部联企业(2011)300号)”中</w:t>
            </w:r>
            <w:r>
              <w:rPr>
                <w:b/>
                <w:bCs/>
                <w:spacing w:val="-14"/>
              </w:rPr>
              <w:t>“</w:t>
            </w:r>
            <w:r>
              <w:rPr>
                <w:rFonts w:hint="eastAsia"/>
                <w:color w:val="auto"/>
                <w:spacing w:val="7"/>
                <w:sz w:val="24"/>
                <w:szCs w:val="24"/>
                <w:highlight w:val="none"/>
                <w:lang w:eastAsia="zh-CN"/>
              </w:rPr>
              <w:t>软件和信息技术服务业</w:t>
            </w:r>
            <w:r>
              <w:rPr>
                <w:b/>
                <w:bCs/>
                <w:spacing w:val="-14"/>
              </w:rPr>
              <w:t>”</w:t>
            </w:r>
            <w:r>
              <w:rPr>
                <w:spacing w:val="-2"/>
              </w:rPr>
              <w:t>。</w:t>
            </w:r>
          </w:p>
        </w:tc>
      </w:tr>
      <w:tr w14:paraId="43494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83" w:type="dxa"/>
            <w:tcBorders>
              <w:left w:val="single" w:color="000000" w:sz="6" w:space="0"/>
              <w:bottom w:val="single" w:color="000000" w:sz="6" w:space="0"/>
            </w:tcBorders>
            <w:vAlign w:val="center"/>
          </w:tcPr>
          <w:p w14:paraId="46766DBF">
            <w:pPr>
              <w:pStyle w:val="13"/>
              <w:spacing w:before="78" w:line="360" w:lineRule="auto"/>
              <w:ind w:left="299"/>
              <w:jc w:val="center"/>
              <w:rPr>
                <w:rFonts w:ascii="宋体" w:hAnsi="宋体" w:eastAsia="宋体" w:cs="宋体"/>
                <w:spacing w:val="-3"/>
              </w:rPr>
            </w:pPr>
            <w:r>
              <w:rPr>
                <w:rFonts w:ascii="宋体" w:hAnsi="宋体" w:eastAsia="宋体" w:cs="宋体"/>
                <w:spacing w:val="-3"/>
              </w:rPr>
              <w:t>25</w:t>
            </w:r>
          </w:p>
        </w:tc>
        <w:tc>
          <w:tcPr>
            <w:tcW w:w="1786" w:type="dxa"/>
            <w:tcBorders>
              <w:bottom w:val="single" w:color="000000" w:sz="6" w:space="0"/>
            </w:tcBorders>
            <w:vAlign w:val="center"/>
          </w:tcPr>
          <w:p w14:paraId="656748C2">
            <w:pPr>
              <w:pStyle w:val="13"/>
              <w:spacing w:before="78" w:line="360" w:lineRule="auto"/>
              <w:ind w:left="299"/>
              <w:jc w:val="center"/>
              <w:rPr>
                <w:rFonts w:ascii="宋体" w:hAnsi="宋体" w:eastAsia="宋体" w:cs="宋体"/>
                <w:spacing w:val="-3"/>
              </w:rPr>
            </w:pPr>
            <w:r>
              <w:rPr>
                <w:rFonts w:ascii="宋体" w:hAnsi="宋体" w:eastAsia="宋体" w:cs="宋体"/>
                <w:spacing w:val="-3"/>
              </w:rPr>
              <w:t>不见面开标</w:t>
            </w:r>
          </w:p>
        </w:tc>
        <w:tc>
          <w:tcPr>
            <w:tcW w:w="7308" w:type="dxa"/>
            <w:tcBorders>
              <w:bottom w:val="single" w:color="000000" w:sz="6" w:space="0"/>
              <w:right w:val="single" w:color="000000" w:sz="6" w:space="0"/>
            </w:tcBorders>
            <w:vAlign w:val="top"/>
          </w:tcPr>
          <w:p w14:paraId="431D162E">
            <w:pPr>
              <w:pStyle w:val="13"/>
              <w:spacing w:before="132" w:line="360" w:lineRule="auto"/>
            </w:pPr>
            <w:r>
              <w:rPr>
                <w:spacing w:val="-11"/>
              </w:rPr>
              <w:t>为方便供应商并降低投标成本，该项目将采取“不见面”开标的形式，</w:t>
            </w:r>
            <w:r>
              <w:rPr>
                <w:spacing w:val="-4"/>
              </w:rPr>
              <w:t>供应商无须到达开标现场，即可在网上直接参与开标活动。相关注意</w:t>
            </w:r>
            <w:r>
              <w:rPr>
                <w:spacing w:val="-2"/>
              </w:rPr>
              <w:t>事项如下：</w:t>
            </w:r>
          </w:p>
          <w:p w14:paraId="79C42825">
            <w:pPr>
              <w:pStyle w:val="13"/>
              <w:spacing w:before="134" w:line="360" w:lineRule="auto"/>
              <w:ind w:left="113" w:right="41" w:firstLine="16"/>
            </w:pPr>
            <w:r>
              <w:rPr>
                <w:spacing w:val="-12"/>
              </w:rPr>
              <w:t>1、开标当日，请各供应商至少提前</w:t>
            </w:r>
            <w:r>
              <w:rPr>
                <w:spacing w:val="-35"/>
              </w:rPr>
              <w:t xml:space="preserve"> </w:t>
            </w:r>
            <w:r>
              <w:rPr>
                <w:spacing w:val="-12"/>
              </w:rPr>
              <w:t>30</w:t>
            </w:r>
            <w:r>
              <w:rPr>
                <w:spacing w:val="-48"/>
              </w:rPr>
              <w:t xml:space="preserve"> </w:t>
            </w:r>
            <w:r>
              <w:rPr>
                <w:spacing w:val="-12"/>
              </w:rPr>
              <w:t>分钟登录“不见面”开标大厅，</w:t>
            </w:r>
            <w:r>
              <w:rPr>
                <w:spacing w:val="-4"/>
              </w:rPr>
              <w:t>并按要求在开标前签到，并保持在线按照主持人指令进行响应文件解</w:t>
            </w:r>
            <w:r>
              <w:rPr>
                <w:spacing w:val="-1"/>
              </w:rPr>
              <w:t>密，直到主持人宣布开标结束后方可退出开标大厅。</w:t>
            </w:r>
          </w:p>
          <w:p w14:paraId="25EDFF9C">
            <w:pPr>
              <w:pStyle w:val="13"/>
              <w:spacing w:line="360" w:lineRule="auto"/>
              <w:ind w:left="111" w:right="102" w:firstLine="3"/>
            </w:pPr>
            <w:r>
              <w:rPr>
                <w:spacing w:val="-1"/>
              </w:rPr>
              <w:t>2、供应商无需提交纸质响应文件，待项目成交结果公布后，由成交</w:t>
            </w:r>
            <w:r>
              <w:t>供应商补交一正两副纸质竞争性磋商响应文件</w:t>
            </w:r>
            <w:r>
              <w:rPr>
                <w:spacing w:val="-1"/>
              </w:rPr>
              <w:t>和贰份电子版文件（U</w:t>
            </w:r>
            <w:r>
              <w:rPr>
                <w:spacing w:val="-4"/>
              </w:rPr>
              <w:t>盘）。成交供应商应确保响应文件纸质版内容与上传至全国公共资源</w:t>
            </w:r>
            <w:r>
              <w:rPr>
                <w:spacing w:val="-7"/>
              </w:rPr>
              <w:t>交易平台（陕西省·杨凌示范区）〖首页〉电子交易平台〉陕西政府</w:t>
            </w:r>
            <w:r>
              <w:rPr>
                <w:spacing w:val="-4"/>
              </w:rPr>
              <w:t>采购交易系统〉企业端〗的电子版内容完全一致，否则将承担一切法</w:t>
            </w:r>
            <w:r>
              <w:rPr>
                <w:spacing w:val="-3"/>
              </w:rPr>
              <w:t>律责任。</w:t>
            </w:r>
          </w:p>
          <w:p w14:paraId="68B47181">
            <w:pPr>
              <w:pStyle w:val="13"/>
              <w:spacing w:line="360" w:lineRule="auto"/>
              <w:ind w:left="112" w:right="102" w:firstLine="4"/>
            </w:pPr>
            <w:r>
              <w:rPr>
                <w:spacing w:val="-2"/>
              </w:rPr>
              <w:t>3、开标过程中，供应商在收到工作人员“开始解密”指令后，应在</w:t>
            </w:r>
            <w:r>
              <w:rPr>
                <w:spacing w:val="-1"/>
              </w:rPr>
              <w:t>30</w:t>
            </w:r>
            <w:r>
              <w:rPr>
                <w:spacing w:val="-36"/>
              </w:rPr>
              <w:t xml:space="preserve"> </w:t>
            </w:r>
            <w:r>
              <w:rPr>
                <w:spacing w:val="-1"/>
              </w:rPr>
              <w:t>分钟内使用CA</w:t>
            </w:r>
            <w:r>
              <w:rPr>
                <w:spacing w:val="-52"/>
              </w:rPr>
              <w:t xml:space="preserve"> </w:t>
            </w:r>
            <w:r>
              <w:rPr>
                <w:spacing w:val="-1"/>
              </w:rPr>
              <w:t>对电子响应文件进行解密，超时仍未解密视为无效</w:t>
            </w:r>
            <w:r>
              <w:rPr>
                <w:spacing w:val="1"/>
              </w:rPr>
              <w:t>响应文件，解密时所用</w:t>
            </w:r>
            <w:r>
              <w:t>CA</w:t>
            </w:r>
            <w:r>
              <w:rPr>
                <w:spacing w:val="-44"/>
              </w:rPr>
              <w:t xml:space="preserve"> </w:t>
            </w:r>
            <w:r>
              <w:rPr>
                <w:spacing w:val="1"/>
              </w:rPr>
              <w:t>应与加密竞争性磋商响应文件时所用</w:t>
            </w:r>
            <w:r>
              <w:rPr>
                <w:spacing w:val="-53"/>
              </w:rPr>
              <w:t xml:space="preserve"> </w:t>
            </w:r>
            <w:r>
              <w:t>CA</w:t>
            </w:r>
            <w:r>
              <w:rPr>
                <w:spacing w:val="-4"/>
              </w:rPr>
              <w:t>相同；评标过程中，评审小组可能会就某些问题要求供应商进行在线澄清。</w:t>
            </w:r>
          </w:p>
          <w:p w14:paraId="1747093A">
            <w:pPr>
              <w:pStyle w:val="13"/>
              <w:spacing w:line="360" w:lineRule="auto"/>
              <w:ind w:left="111"/>
            </w:pPr>
            <w:r>
              <w:rPr>
                <w:spacing w:val="-1"/>
              </w:rPr>
              <w:t>4、相关技术问题，请咨询软件开发商：</w:t>
            </w:r>
          </w:p>
          <w:p w14:paraId="4A4463E1">
            <w:pPr>
              <w:pStyle w:val="13"/>
              <w:spacing w:before="135" w:line="360" w:lineRule="auto"/>
              <w:ind w:left="113"/>
            </w:pPr>
            <w:r>
              <w:t>技术支持热线：400-998-0000/</w:t>
            </w:r>
            <w:r>
              <w:rPr>
                <w:spacing w:val="-1"/>
              </w:rPr>
              <w:t>400-928-0095</w:t>
            </w:r>
          </w:p>
          <w:p w14:paraId="11253972">
            <w:pPr>
              <w:pStyle w:val="13"/>
              <w:spacing w:before="143" w:line="360" w:lineRule="auto"/>
              <w:ind w:left="112" w:right="41" w:firstLine="2"/>
            </w:pPr>
            <w:r>
              <w:rPr>
                <w:spacing w:val="-1"/>
              </w:rPr>
              <w:t>5、供应商自行下载不见面开标供应商操作手册，并严格按照手册要</w:t>
            </w:r>
            <w:r>
              <w:rPr>
                <w:spacing w:val="-4"/>
              </w:rPr>
              <w:t>求进行系统配置。若未按要求配置造成无法签到、无法解密等情况导致投标失败的供应商自行承担后果。（下载路径：全国公共资源交易</w:t>
            </w:r>
            <w:r>
              <w:rPr>
                <w:spacing w:val="-3"/>
              </w:rPr>
              <w:t>平台（陕西省</w:t>
            </w:r>
            <w:r>
              <w:rPr>
                <w:spacing w:val="-28"/>
              </w:rPr>
              <w:t xml:space="preserve"> </w:t>
            </w:r>
            <w:r>
              <w:rPr>
                <w:spacing w:val="-3"/>
              </w:rPr>
              <w:t>·杨凌示范区）-服务指南-下载专</w:t>
            </w:r>
            <w:r>
              <w:rPr>
                <w:spacing w:val="-4"/>
              </w:rPr>
              <w:t>区-杨凌示范区公共</w:t>
            </w:r>
            <w:r>
              <w:rPr>
                <w:spacing w:val="-1"/>
              </w:rPr>
              <w:t>资源交易不见面开标大厅供应商操作手册）。</w:t>
            </w:r>
          </w:p>
        </w:tc>
      </w:tr>
      <w:tr w14:paraId="510B0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783" w:type="dxa"/>
            <w:tcBorders>
              <w:left w:val="single" w:color="000000" w:sz="6" w:space="0"/>
              <w:bottom w:val="single" w:color="000000" w:sz="6" w:space="0"/>
            </w:tcBorders>
            <w:vAlign w:val="top"/>
          </w:tcPr>
          <w:p w14:paraId="06E3F138">
            <w:pPr>
              <w:pStyle w:val="13"/>
              <w:spacing w:before="312" w:line="360" w:lineRule="auto"/>
              <w:ind w:left="274"/>
            </w:pPr>
            <w:r>
              <w:rPr>
                <w:spacing w:val="-7"/>
              </w:rPr>
              <w:t>26</w:t>
            </w:r>
          </w:p>
        </w:tc>
        <w:tc>
          <w:tcPr>
            <w:tcW w:w="1786" w:type="dxa"/>
            <w:tcBorders>
              <w:bottom w:val="single" w:color="000000" w:sz="6" w:space="0"/>
            </w:tcBorders>
            <w:vAlign w:val="top"/>
          </w:tcPr>
          <w:p w14:paraId="0407C0B8">
            <w:pPr>
              <w:spacing w:line="360" w:lineRule="auto"/>
              <w:rPr>
                <w:rFonts w:ascii="Arial"/>
                <w:sz w:val="21"/>
              </w:rPr>
            </w:pPr>
          </w:p>
          <w:p w14:paraId="5925C7AC">
            <w:pPr>
              <w:pStyle w:val="13"/>
              <w:spacing w:before="78" w:line="360" w:lineRule="auto"/>
              <w:ind w:left="415"/>
            </w:pPr>
            <w:r>
              <w:rPr>
                <w:spacing w:val="-3"/>
              </w:rPr>
              <w:t>注意事项</w:t>
            </w:r>
          </w:p>
        </w:tc>
        <w:tc>
          <w:tcPr>
            <w:tcW w:w="7308" w:type="dxa"/>
            <w:tcBorders>
              <w:bottom w:val="single" w:color="000000" w:sz="6" w:space="0"/>
              <w:right w:val="single" w:color="000000" w:sz="6" w:space="0"/>
            </w:tcBorders>
            <w:vAlign w:val="top"/>
          </w:tcPr>
          <w:p w14:paraId="10DF8038">
            <w:pPr>
              <w:pStyle w:val="13"/>
              <w:spacing w:before="145" w:line="360" w:lineRule="auto"/>
              <w:ind w:left="131" w:right="102" w:hanging="19"/>
            </w:pPr>
            <w:r>
              <w:rPr>
                <w:spacing w:val="-4"/>
              </w:rPr>
              <w:t>供应商应随时留意可能发布的变更公告，因供应商未及时关注所造或</w:t>
            </w:r>
            <w:r>
              <w:rPr>
                <w:spacing w:val="-3"/>
              </w:rPr>
              <w:t>的一切后果由供应商自行承担。</w:t>
            </w:r>
          </w:p>
        </w:tc>
      </w:tr>
    </w:tbl>
    <w:p w14:paraId="4B722CE3">
      <w:pPr>
        <w:pStyle w:val="4"/>
        <w:spacing w:line="360" w:lineRule="auto"/>
      </w:pPr>
    </w:p>
    <w:p w14:paraId="164DB519">
      <w:pPr>
        <w:spacing w:line="360" w:lineRule="auto"/>
        <w:sectPr>
          <w:headerReference r:id="rId8" w:type="default"/>
          <w:footerReference r:id="rId9" w:type="default"/>
          <w:pgSz w:w="11906" w:h="16839"/>
          <w:pgMar w:top="1166" w:right="1007" w:bottom="1408" w:left="1006" w:header="829" w:footer="1194" w:gutter="0"/>
          <w:cols w:space="720" w:num="1"/>
        </w:sectPr>
      </w:pPr>
    </w:p>
    <w:p w14:paraId="0234E89F">
      <w:pPr>
        <w:spacing w:before="313" w:line="360" w:lineRule="auto"/>
        <w:ind w:left="3687"/>
        <w:outlineLvl w:val="0"/>
        <w:rPr>
          <w:rFonts w:ascii="宋体" w:hAnsi="宋体" w:eastAsia="宋体" w:cs="宋体"/>
          <w:sz w:val="28"/>
          <w:szCs w:val="28"/>
        </w:rPr>
      </w:pPr>
      <w:bookmarkStart w:id="20" w:name="_Toc12794"/>
      <w:r>
        <w:rPr>
          <w:rFonts w:ascii="宋体" w:hAnsi="宋体" w:eastAsia="宋体" w:cs="宋体"/>
          <w:b/>
          <w:bCs/>
          <w:spacing w:val="-3"/>
          <w:sz w:val="28"/>
          <w:szCs w:val="28"/>
        </w:rPr>
        <w:t>第三章</w:t>
      </w:r>
      <w:r>
        <w:rPr>
          <w:rFonts w:ascii="宋体" w:hAnsi="宋体" w:eastAsia="宋体" w:cs="宋体"/>
          <w:spacing w:val="-3"/>
          <w:sz w:val="28"/>
          <w:szCs w:val="28"/>
        </w:rPr>
        <w:t xml:space="preserve"> </w:t>
      </w:r>
      <w:r>
        <w:rPr>
          <w:rFonts w:ascii="宋体" w:hAnsi="宋体" w:eastAsia="宋体" w:cs="宋体"/>
          <w:b/>
          <w:bCs/>
          <w:spacing w:val="-3"/>
          <w:sz w:val="28"/>
          <w:szCs w:val="28"/>
        </w:rPr>
        <w:t>供应商须知</w:t>
      </w:r>
      <w:bookmarkEnd w:id="20"/>
    </w:p>
    <w:p w14:paraId="5D1FD508">
      <w:pPr>
        <w:spacing w:before="101" w:line="360" w:lineRule="auto"/>
        <w:ind w:left="4611"/>
        <w:rPr>
          <w:rFonts w:ascii="宋体" w:hAnsi="宋体" w:eastAsia="宋体" w:cs="宋体"/>
          <w:sz w:val="28"/>
          <w:szCs w:val="28"/>
        </w:rPr>
      </w:pPr>
      <w:r>
        <w:rPr>
          <w:rFonts w:ascii="宋体" w:hAnsi="宋体" w:eastAsia="宋体" w:cs="宋体"/>
          <w:b/>
          <w:bCs/>
          <w:spacing w:val="-6"/>
          <w:sz w:val="28"/>
          <w:szCs w:val="28"/>
        </w:rPr>
        <w:t>一、总则</w:t>
      </w:r>
    </w:p>
    <w:p w14:paraId="5FE80B9F">
      <w:pPr>
        <w:spacing w:before="140" w:line="360" w:lineRule="auto"/>
        <w:ind w:left="507"/>
        <w:rPr>
          <w:rFonts w:ascii="宋体" w:hAnsi="宋体" w:eastAsia="宋体" w:cs="宋体"/>
          <w:sz w:val="24"/>
          <w:szCs w:val="24"/>
        </w:rPr>
      </w:pPr>
      <w:r>
        <w:rPr>
          <w:rFonts w:ascii="宋体" w:hAnsi="宋体" w:eastAsia="宋体" w:cs="宋体"/>
          <w:b/>
          <w:bCs/>
          <w:spacing w:val="-7"/>
          <w:sz w:val="24"/>
          <w:szCs w:val="24"/>
        </w:rPr>
        <w:t>1、资金来源</w:t>
      </w:r>
    </w:p>
    <w:p w14:paraId="16303A81">
      <w:pPr>
        <w:spacing w:before="155" w:line="360" w:lineRule="auto"/>
        <w:ind w:left="490"/>
        <w:rPr>
          <w:rFonts w:ascii="宋体" w:hAnsi="宋体" w:eastAsia="宋体" w:cs="宋体"/>
          <w:sz w:val="24"/>
          <w:szCs w:val="24"/>
        </w:rPr>
      </w:pPr>
      <w:r>
        <w:rPr>
          <w:rFonts w:ascii="宋体" w:hAnsi="宋体" w:eastAsia="宋体" w:cs="宋体"/>
          <w:spacing w:val="-1"/>
          <w:sz w:val="24"/>
          <w:szCs w:val="24"/>
        </w:rPr>
        <w:t>本次磋商所签合同使用财政资金支付，资金已落实到位。</w:t>
      </w:r>
    </w:p>
    <w:p w14:paraId="3AAFBBD6">
      <w:pPr>
        <w:spacing w:before="155" w:line="360" w:lineRule="auto"/>
        <w:ind w:left="492"/>
        <w:rPr>
          <w:rFonts w:ascii="宋体" w:hAnsi="宋体" w:eastAsia="宋体" w:cs="宋体"/>
          <w:sz w:val="24"/>
          <w:szCs w:val="24"/>
        </w:rPr>
      </w:pPr>
      <w:r>
        <w:rPr>
          <w:rFonts w:ascii="宋体" w:hAnsi="宋体" w:eastAsia="宋体" w:cs="宋体"/>
          <w:b/>
          <w:bCs/>
          <w:spacing w:val="-5"/>
          <w:sz w:val="24"/>
          <w:szCs w:val="24"/>
        </w:rPr>
        <w:t>2、名词解释</w:t>
      </w:r>
    </w:p>
    <w:p w14:paraId="4EA37380">
      <w:pPr>
        <w:spacing w:before="154" w:line="360" w:lineRule="auto"/>
        <w:ind w:left="492"/>
        <w:rPr>
          <w:rFonts w:hint="eastAsia" w:ascii="宋体" w:hAnsi="宋体" w:eastAsia="宋体" w:cs="宋体"/>
          <w:sz w:val="24"/>
          <w:szCs w:val="24"/>
          <w:lang w:eastAsia="zh-CN"/>
        </w:rPr>
      </w:pPr>
      <w:r>
        <w:rPr>
          <w:rFonts w:ascii="宋体" w:hAnsi="宋体" w:eastAsia="宋体" w:cs="宋体"/>
          <w:spacing w:val="-1"/>
          <w:sz w:val="24"/>
          <w:szCs w:val="24"/>
        </w:rPr>
        <w:t>2.1、采 购 人：</w:t>
      </w:r>
      <w:r>
        <w:rPr>
          <w:rFonts w:hint="eastAsia" w:ascii="宋体" w:hAnsi="宋体" w:eastAsia="宋体" w:cs="宋体"/>
          <w:spacing w:val="-1"/>
          <w:sz w:val="24"/>
          <w:szCs w:val="24"/>
          <w:lang w:eastAsia="zh-CN"/>
        </w:rPr>
        <w:t>杨凌示范区科技创新和转化推广局</w:t>
      </w:r>
    </w:p>
    <w:p w14:paraId="3C41A9F3">
      <w:pPr>
        <w:spacing w:before="157" w:line="360" w:lineRule="auto"/>
        <w:ind w:left="492"/>
        <w:rPr>
          <w:rFonts w:ascii="宋体" w:hAnsi="宋体" w:eastAsia="宋体" w:cs="宋体"/>
          <w:sz w:val="24"/>
          <w:szCs w:val="24"/>
        </w:rPr>
      </w:pPr>
      <w:r>
        <w:rPr>
          <w:rFonts w:ascii="宋体" w:hAnsi="宋体" w:eastAsia="宋体" w:cs="宋体"/>
          <w:spacing w:val="-1"/>
          <w:sz w:val="24"/>
          <w:szCs w:val="24"/>
        </w:rPr>
        <w:t>2.2、监督机构：杨凌示范区财政局</w:t>
      </w:r>
    </w:p>
    <w:p w14:paraId="4DE670A5">
      <w:pPr>
        <w:spacing w:before="154" w:line="360" w:lineRule="auto"/>
        <w:ind w:left="492"/>
        <w:rPr>
          <w:rFonts w:hint="eastAsia" w:ascii="宋体" w:hAnsi="宋体" w:eastAsia="宋体" w:cs="宋体"/>
          <w:sz w:val="24"/>
          <w:szCs w:val="24"/>
          <w:lang w:eastAsia="zh-CN"/>
        </w:rPr>
      </w:pPr>
      <w:r>
        <w:rPr>
          <w:rFonts w:ascii="宋体" w:hAnsi="宋体" w:eastAsia="宋体" w:cs="宋体"/>
          <w:spacing w:val="-1"/>
          <w:sz w:val="24"/>
          <w:szCs w:val="24"/>
        </w:rPr>
        <w:t>2.3、采购代理机构：</w:t>
      </w:r>
      <w:r>
        <w:rPr>
          <w:rFonts w:hint="eastAsia" w:ascii="宋体" w:hAnsi="宋体" w:eastAsia="宋体" w:cs="宋体"/>
          <w:spacing w:val="-1"/>
          <w:sz w:val="24"/>
          <w:szCs w:val="24"/>
          <w:lang w:eastAsia="zh-CN"/>
        </w:rPr>
        <w:t>华春建设工程项目管理有限责任公司</w:t>
      </w:r>
    </w:p>
    <w:p w14:paraId="7AAFAE0E">
      <w:pPr>
        <w:spacing w:before="155" w:line="360" w:lineRule="auto"/>
        <w:ind w:left="10" w:right="2" w:firstLine="481"/>
        <w:rPr>
          <w:rFonts w:ascii="宋体" w:hAnsi="宋体" w:eastAsia="宋体" w:cs="宋体"/>
          <w:sz w:val="24"/>
          <w:szCs w:val="24"/>
        </w:rPr>
      </w:pPr>
      <w:r>
        <w:rPr>
          <w:rFonts w:ascii="宋体" w:hAnsi="宋体" w:eastAsia="宋体" w:cs="宋体"/>
          <w:sz w:val="24"/>
          <w:szCs w:val="24"/>
        </w:rPr>
        <w:t>2.4、供应商：响应磋商并且符合竞争性磋商文件规定资格条件和参加磋商竞争的法人或</w:t>
      </w:r>
      <w:r>
        <w:rPr>
          <w:rFonts w:ascii="宋体" w:hAnsi="宋体" w:eastAsia="宋体" w:cs="宋体"/>
          <w:spacing w:val="-2"/>
          <w:sz w:val="24"/>
          <w:szCs w:val="24"/>
        </w:rPr>
        <w:t>其他组织或自然人。</w:t>
      </w:r>
    </w:p>
    <w:p w14:paraId="40F96F69">
      <w:pPr>
        <w:spacing w:before="2" w:line="360" w:lineRule="auto"/>
        <w:ind w:left="8" w:right="2" w:firstLine="483"/>
        <w:rPr>
          <w:rFonts w:ascii="宋体" w:hAnsi="宋体" w:eastAsia="宋体" w:cs="宋体"/>
          <w:sz w:val="24"/>
          <w:szCs w:val="24"/>
        </w:rPr>
      </w:pPr>
      <w:r>
        <w:rPr>
          <w:rFonts w:ascii="宋体" w:hAnsi="宋体" w:eastAsia="宋体" w:cs="宋体"/>
          <w:sz w:val="24"/>
          <w:szCs w:val="24"/>
        </w:rPr>
        <w:t>2.5、竞争性磋商文件：由采购人或采购代理机构发出的文本、文件，包括全部章节和附</w:t>
      </w:r>
      <w:r>
        <w:rPr>
          <w:rFonts w:ascii="宋体" w:hAnsi="宋体" w:eastAsia="宋体" w:cs="宋体"/>
          <w:spacing w:val="-1"/>
          <w:sz w:val="24"/>
          <w:szCs w:val="24"/>
        </w:rPr>
        <w:t>件及答疑会议纪要。</w:t>
      </w:r>
    </w:p>
    <w:p w14:paraId="560A057A">
      <w:pPr>
        <w:spacing w:line="360" w:lineRule="auto"/>
        <w:ind w:left="492"/>
        <w:rPr>
          <w:rFonts w:ascii="宋体" w:hAnsi="宋体" w:eastAsia="宋体" w:cs="宋体"/>
          <w:sz w:val="24"/>
          <w:szCs w:val="24"/>
        </w:rPr>
      </w:pPr>
      <w:r>
        <w:rPr>
          <w:rFonts w:ascii="宋体" w:hAnsi="宋体" w:eastAsia="宋体" w:cs="宋体"/>
          <w:sz w:val="24"/>
          <w:szCs w:val="24"/>
        </w:rPr>
        <w:t>2.6、竞争性磋商响应文件：供应商根据本竞争性磋商</w:t>
      </w:r>
      <w:r>
        <w:rPr>
          <w:rFonts w:ascii="宋体" w:hAnsi="宋体" w:eastAsia="宋体" w:cs="宋体"/>
          <w:spacing w:val="-1"/>
          <w:sz w:val="24"/>
          <w:szCs w:val="24"/>
        </w:rPr>
        <w:t>文件向采购人提交的全部文件。</w:t>
      </w:r>
    </w:p>
    <w:p w14:paraId="524E98F6">
      <w:pPr>
        <w:spacing w:before="155" w:line="360" w:lineRule="auto"/>
        <w:ind w:left="492"/>
        <w:rPr>
          <w:rFonts w:ascii="宋体" w:hAnsi="宋体" w:eastAsia="宋体" w:cs="宋体"/>
          <w:sz w:val="24"/>
          <w:szCs w:val="24"/>
        </w:rPr>
      </w:pPr>
      <w:r>
        <w:rPr>
          <w:rFonts w:ascii="宋体" w:hAnsi="宋体" w:eastAsia="宋体" w:cs="宋体"/>
          <w:sz w:val="24"/>
          <w:szCs w:val="24"/>
        </w:rPr>
        <w:t>2.7、书面形式：任何手写、打印或印刷的各种函件，</w:t>
      </w:r>
      <w:r>
        <w:rPr>
          <w:rFonts w:ascii="宋体" w:hAnsi="宋体" w:eastAsia="宋体" w:cs="宋体"/>
          <w:spacing w:val="-1"/>
          <w:sz w:val="24"/>
          <w:szCs w:val="24"/>
        </w:rPr>
        <w:t>包括电传、电报、电子邮件等。</w:t>
      </w:r>
    </w:p>
    <w:p w14:paraId="5F991BA3">
      <w:pPr>
        <w:spacing w:before="154" w:line="360" w:lineRule="auto"/>
        <w:ind w:left="27" w:firstLine="465"/>
        <w:rPr>
          <w:rFonts w:ascii="宋体" w:hAnsi="宋体" w:eastAsia="宋体" w:cs="宋体"/>
          <w:sz w:val="24"/>
          <w:szCs w:val="24"/>
        </w:rPr>
      </w:pPr>
      <w:r>
        <w:rPr>
          <w:rFonts w:ascii="宋体" w:hAnsi="宋体" w:eastAsia="宋体" w:cs="宋体"/>
          <w:spacing w:val="-5"/>
          <w:sz w:val="24"/>
          <w:szCs w:val="24"/>
        </w:rPr>
        <w:t>2.8、企业端：指【全国公共资源交易平台（陕西省</w:t>
      </w:r>
      <w:r>
        <w:rPr>
          <w:rFonts w:ascii="宋体" w:hAnsi="宋体" w:eastAsia="宋体" w:cs="宋体"/>
          <w:spacing w:val="-17"/>
          <w:sz w:val="24"/>
          <w:szCs w:val="24"/>
        </w:rPr>
        <w:t xml:space="preserve"> </w:t>
      </w:r>
      <w:r>
        <w:rPr>
          <w:rFonts w:ascii="宋体" w:hAnsi="宋体" w:eastAsia="宋体" w:cs="宋体"/>
          <w:spacing w:val="-5"/>
          <w:sz w:val="24"/>
          <w:szCs w:val="24"/>
        </w:rPr>
        <w:t>·杨凌示范区）-首页-电子交易平台-</w:t>
      </w:r>
      <w:r>
        <w:rPr>
          <w:rFonts w:ascii="宋体" w:hAnsi="宋体" w:eastAsia="宋体" w:cs="宋体"/>
          <w:spacing w:val="-3"/>
          <w:sz w:val="24"/>
          <w:szCs w:val="24"/>
        </w:rPr>
        <w:t>陕西政府采购交易系统-企业端】， 快捷登录网址</w:t>
      </w:r>
      <w:r>
        <w:fldChar w:fldCharType="begin"/>
      </w:r>
      <w:r>
        <w:instrText xml:space="preserve"> HYPERLINK "http://yangl.sxggzyjy.cn/" </w:instrText>
      </w:r>
      <w:r>
        <w:fldChar w:fldCharType="separate"/>
      </w:r>
      <w:r>
        <w:rPr>
          <w:rFonts w:ascii="宋体" w:hAnsi="宋体" w:eastAsia="宋体" w:cs="宋体"/>
          <w:spacing w:val="-3"/>
          <w:sz w:val="24"/>
          <w:szCs w:val="24"/>
        </w:rPr>
        <w:t>http://yangl.sxggzyjy.cn</w:t>
      </w:r>
      <w:r>
        <w:rPr>
          <w:rFonts w:ascii="宋体" w:hAnsi="宋体" w:eastAsia="宋体" w:cs="宋体"/>
          <w:spacing w:val="-4"/>
          <w:sz w:val="24"/>
          <w:szCs w:val="24"/>
        </w:rPr>
        <w:t>/</w:t>
      </w:r>
      <w:r>
        <w:rPr>
          <w:rFonts w:ascii="宋体" w:hAnsi="宋体" w:eastAsia="宋体" w:cs="宋体"/>
          <w:spacing w:val="-4"/>
          <w:sz w:val="24"/>
          <w:szCs w:val="24"/>
        </w:rPr>
        <w:fldChar w:fldCharType="end"/>
      </w:r>
      <w:r>
        <w:rPr>
          <w:rFonts w:ascii="宋体" w:hAnsi="宋体" w:eastAsia="宋体" w:cs="宋体"/>
          <w:spacing w:val="-4"/>
          <w:sz w:val="24"/>
          <w:szCs w:val="24"/>
        </w:rPr>
        <w:t>。</w:t>
      </w:r>
    </w:p>
    <w:p w14:paraId="53ED171C">
      <w:pPr>
        <w:spacing w:line="360" w:lineRule="auto"/>
        <w:ind w:left="494"/>
        <w:rPr>
          <w:rFonts w:ascii="宋体" w:hAnsi="宋体" w:eastAsia="宋体" w:cs="宋体"/>
          <w:sz w:val="24"/>
          <w:szCs w:val="24"/>
        </w:rPr>
      </w:pPr>
      <w:r>
        <w:rPr>
          <w:rFonts w:ascii="宋体" w:hAnsi="宋体" w:eastAsia="宋体" w:cs="宋体"/>
          <w:b/>
          <w:bCs/>
          <w:spacing w:val="-5"/>
          <w:sz w:val="24"/>
          <w:szCs w:val="24"/>
        </w:rPr>
        <w:t>3、磋商费用</w:t>
      </w:r>
    </w:p>
    <w:p w14:paraId="3A3803B9">
      <w:pPr>
        <w:spacing w:before="153" w:line="360" w:lineRule="auto"/>
        <w:ind w:left="491"/>
        <w:rPr>
          <w:rFonts w:ascii="宋体" w:hAnsi="宋体" w:eastAsia="宋体" w:cs="宋体"/>
          <w:sz w:val="24"/>
          <w:szCs w:val="24"/>
        </w:rPr>
      </w:pPr>
      <w:r>
        <w:rPr>
          <w:rFonts w:ascii="宋体" w:hAnsi="宋体" w:eastAsia="宋体" w:cs="宋体"/>
          <w:spacing w:val="-1"/>
          <w:sz w:val="24"/>
          <w:szCs w:val="24"/>
        </w:rPr>
        <w:t>无论磋商结果如何，供应商自行承担与参加磋商活动有关的全部费用。</w:t>
      </w:r>
    </w:p>
    <w:p w14:paraId="43895DC6">
      <w:pPr>
        <w:spacing w:before="157" w:line="360" w:lineRule="auto"/>
        <w:ind w:left="488"/>
        <w:rPr>
          <w:rFonts w:ascii="宋体" w:hAnsi="宋体" w:eastAsia="宋体" w:cs="宋体"/>
          <w:sz w:val="24"/>
          <w:szCs w:val="24"/>
        </w:rPr>
      </w:pPr>
      <w:r>
        <w:rPr>
          <w:rFonts w:ascii="宋体" w:hAnsi="宋体" w:eastAsia="宋体" w:cs="宋体"/>
          <w:b/>
          <w:bCs/>
          <w:spacing w:val="-3"/>
          <w:sz w:val="24"/>
          <w:szCs w:val="24"/>
        </w:rPr>
        <w:t>4、合格的供应商</w:t>
      </w:r>
    </w:p>
    <w:p w14:paraId="54D1442A">
      <w:pPr>
        <w:spacing w:before="154" w:line="360" w:lineRule="auto"/>
        <w:ind w:left="488"/>
        <w:rPr>
          <w:rFonts w:ascii="宋体" w:hAnsi="宋体" w:eastAsia="宋体" w:cs="宋体"/>
          <w:sz w:val="24"/>
          <w:szCs w:val="24"/>
        </w:rPr>
      </w:pPr>
      <w:r>
        <w:rPr>
          <w:rFonts w:ascii="宋体" w:hAnsi="宋体" w:eastAsia="宋体" w:cs="宋体"/>
          <w:sz w:val="24"/>
          <w:szCs w:val="24"/>
        </w:rPr>
        <w:t>4.1、《中华人民共和国政府采购法》第二十二条第一款规定的</w:t>
      </w:r>
      <w:r>
        <w:rPr>
          <w:rFonts w:ascii="宋体" w:hAnsi="宋体" w:eastAsia="宋体" w:cs="宋体"/>
          <w:spacing w:val="-1"/>
          <w:sz w:val="24"/>
          <w:szCs w:val="24"/>
        </w:rPr>
        <w:t>供应商基本资格条件：</w:t>
      </w:r>
    </w:p>
    <w:p w14:paraId="218939FA">
      <w:pPr>
        <w:spacing w:before="156" w:line="360" w:lineRule="auto"/>
        <w:ind w:left="500"/>
        <w:rPr>
          <w:rFonts w:ascii="宋体" w:hAnsi="宋体" w:eastAsia="宋体" w:cs="宋体"/>
          <w:sz w:val="24"/>
          <w:szCs w:val="24"/>
        </w:rPr>
      </w:pPr>
      <w:r>
        <w:rPr>
          <w:rFonts w:ascii="宋体" w:hAnsi="宋体" w:eastAsia="宋体" w:cs="宋体"/>
          <w:spacing w:val="-2"/>
          <w:sz w:val="24"/>
          <w:szCs w:val="24"/>
        </w:rPr>
        <w:t>（1）具有独立承担民事责任的能力；</w:t>
      </w:r>
    </w:p>
    <w:p w14:paraId="152AEEC6">
      <w:pPr>
        <w:spacing w:before="156" w:line="360" w:lineRule="auto"/>
        <w:ind w:left="500"/>
        <w:rPr>
          <w:rFonts w:ascii="宋体" w:hAnsi="宋体" w:eastAsia="宋体" w:cs="宋体"/>
          <w:sz w:val="24"/>
          <w:szCs w:val="24"/>
        </w:rPr>
      </w:pPr>
      <w:r>
        <w:rPr>
          <w:rFonts w:ascii="宋体" w:hAnsi="宋体" w:eastAsia="宋体" w:cs="宋体"/>
          <w:spacing w:val="-1"/>
          <w:sz w:val="24"/>
          <w:szCs w:val="24"/>
        </w:rPr>
        <w:t>（2）具有良好的商业信誉和健全的财务会计制度；</w:t>
      </w:r>
    </w:p>
    <w:p w14:paraId="51DEC589">
      <w:pPr>
        <w:spacing w:before="155" w:line="360" w:lineRule="auto"/>
        <w:ind w:left="500"/>
        <w:rPr>
          <w:rFonts w:ascii="宋体" w:hAnsi="宋体" w:eastAsia="宋体" w:cs="宋体"/>
          <w:sz w:val="24"/>
          <w:szCs w:val="24"/>
        </w:rPr>
      </w:pPr>
      <w:r>
        <w:rPr>
          <w:rFonts w:ascii="宋体" w:hAnsi="宋体" w:eastAsia="宋体" w:cs="宋体"/>
          <w:spacing w:val="-1"/>
          <w:sz w:val="24"/>
          <w:szCs w:val="24"/>
        </w:rPr>
        <w:t>（3）具有履行合同所必需的设备和专业技术能力；</w:t>
      </w:r>
    </w:p>
    <w:p w14:paraId="39EDDB19">
      <w:pPr>
        <w:spacing w:before="154" w:line="360" w:lineRule="auto"/>
        <w:ind w:left="500"/>
        <w:rPr>
          <w:rFonts w:ascii="宋体" w:hAnsi="宋体" w:eastAsia="宋体" w:cs="宋体"/>
          <w:sz w:val="24"/>
          <w:szCs w:val="24"/>
        </w:rPr>
      </w:pPr>
      <w:r>
        <w:rPr>
          <w:rFonts w:ascii="宋体" w:hAnsi="宋体" w:eastAsia="宋体" w:cs="宋体"/>
          <w:spacing w:val="-1"/>
          <w:sz w:val="24"/>
          <w:szCs w:val="24"/>
        </w:rPr>
        <w:t>（4）有依法缴纳税收和社会保障资金的良好记录；</w:t>
      </w:r>
    </w:p>
    <w:p w14:paraId="0C21746F">
      <w:pPr>
        <w:spacing w:before="157" w:line="360" w:lineRule="auto"/>
        <w:ind w:left="500"/>
        <w:rPr>
          <w:rFonts w:ascii="宋体" w:hAnsi="宋体" w:eastAsia="宋体" w:cs="宋体"/>
          <w:sz w:val="24"/>
          <w:szCs w:val="24"/>
        </w:rPr>
      </w:pPr>
      <w:r>
        <w:rPr>
          <w:rFonts w:ascii="宋体" w:hAnsi="宋体" w:eastAsia="宋体" w:cs="宋体"/>
          <w:spacing w:val="-1"/>
          <w:sz w:val="24"/>
          <w:szCs w:val="24"/>
        </w:rPr>
        <w:t>（5）参加政府采购活动前三年内，在经营活动中没有重大违法记录；</w:t>
      </w:r>
    </w:p>
    <w:p w14:paraId="312A997E">
      <w:pPr>
        <w:spacing w:before="155" w:line="360" w:lineRule="auto"/>
        <w:ind w:left="500"/>
        <w:rPr>
          <w:rFonts w:ascii="宋体" w:hAnsi="宋体" w:eastAsia="宋体" w:cs="宋体"/>
          <w:sz w:val="24"/>
          <w:szCs w:val="24"/>
        </w:rPr>
      </w:pPr>
      <w:r>
        <w:rPr>
          <w:rFonts w:ascii="宋体" w:hAnsi="宋体" w:eastAsia="宋体" w:cs="宋体"/>
          <w:spacing w:val="-2"/>
          <w:sz w:val="24"/>
          <w:szCs w:val="24"/>
        </w:rPr>
        <w:t>（6）法律、行政法规规定的其他条件。</w:t>
      </w:r>
    </w:p>
    <w:p w14:paraId="5933DC02">
      <w:pPr>
        <w:spacing w:before="154" w:line="360" w:lineRule="auto"/>
        <w:ind w:left="488"/>
        <w:rPr>
          <w:rFonts w:ascii="宋体" w:hAnsi="宋体" w:eastAsia="宋体" w:cs="宋体"/>
          <w:sz w:val="24"/>
          <w:szCs w:val="24"/>
        </w:rPr>
      </w:pPr>
      <w:r>
        <w:rPr>
          <w:rFonts w:ascii="宋体" w:hAnsi="宋体" w:eastAsia="宋体" w:cs="宋体"/>
          <w:sz w:val="24"/>
          <w:szCs w:val="24"/>
        </w:rPr>
        <w:t>4.2、根据本次采购项目的要求，规定的供应商特殊条件（见</w:t>
      </w:r>
      <w:r>
        <w:rPr>
          <w:rFonts w:ascii="宋体" w:hAnsi="宋体" w:eastAsia="宋体" w:cs="宋体"/>
          <w:spacing w:val="-1"/>
          <w:sz w:val="24"/>
          <w:szCs w:val="24"/>
        </w:rPr>
        <w:t>供应商须知前附表）。</w:t>
      </w:r>
    </w:p>
    <w:p w14:paraId="3F874A70">
      <w:pPr>
        <w:spacing w:before="156" w:line="360" w:lineRule="auto"/>
        <w:ind w:left="12" w:firstLine="476"/>
        <w:rPr>
          <w:rFonts w:ascii="宋体" w:hAnsi="宋体" w:eastAsia="宋体" w:cs="宋体"/>
          <w:sz w:val="24"/>
          <w:szCs w:val="24"/>
        </w:rPr>
      </w:pPr>
      <w:r>
        <w:rPr>
          <w:rFonts w:ascii="宋体" w:hAnsi="宋体" w:eastAsia="宋体" w:cs="宋体"/>
          <w:sz w:val="24"/>
          <w:szCs w:val="24"/>
        </w:rPr>
        <w:t>4.3、单位负责人为同一人或者存在直接控股、管理关系的不同供应商，不得参加同一合</w:t>
      </w:r>
      <w:r>
        <w:rPr>
          <w:rFonts w:ascii="宋体" w:hAnsi="宋体" w:eastAsia="宋体" w:cs="宋体"/>
          <w:spacing w:val="-3"/>
          <w:sz w:val="24"/>
          <w:szCs w:val="24"/>
        </w:rPr>
        <w:t>同项下的政府采购活动。除单一来源采购项目外，为采购项目提供整体设计、规范编制或者项目管理、监理、检测等服务的供应商，不得再参加该采购项目的其他采购活动，否则均为无效</w:t>
      </w:r>
      <w:r>
        <w:rPr>
          <w:rFonts w:ascii="宋体" w:hAnsi="宋体" w:eastAsia="宋体" w:cs="宋体"/>
          <w:spacing w:val="-5"/>
          <w:sz w:val="24"/>
          <w:szCs w:val="24"/>
        </w:rPr>
        <w:t>投标。</w:t>
      </w:r>
    </w:p>
    <w:p w14:paraId="121F7753">
      <w:pPr>
        <w:spacing w:before="78" w:line="360" w:lineRule="auto"/>
        <w:ind w:left="8" w:firstLine="480"/>
        <w:rPr>
          <w:rFonts w:ascii="宋体" w:hAnsi="宋体" w:eastAsia="宋体" w:cs="宋体"/>
          <w:sz w:val="24"/>
          <w:szCs w:val="24"/>
        </w:rPr>
      </w:pPr>
      <w:r>
        <w:rPr>
          <w:rFonts w:ascii="宋体" w:hAnsi="宋体" w:eastAsia="宋体" w:cs="宋体"/>
          <w:sz w:val="24"/>
          <w:szCs w:val="24"/>
        </w:rPr>
        <w:t>4.4、供应商不得直接或间接地与采购人或采购代理机构有任何关联，亦不得是采购人或</w:t>
      </w:r>
      <w:r>
        <w:rPr>
          <w:rFonts w:ascii="宋体" w:hAnsi="宋体" w:eastAsia="宋体" w:cs="宋体"/>
          <w:spacing w:val="-1"/>
          <w:sz w:val="24"/>
          <w:szCs w:val="24"/>
        </w:rPr>
        <w:t>采购代理机构的附属机构。如果供应商在投标中隐瞒了上述关系，一经证</w:t>
      </w:r>
      <w:r>
        <w:rPr>
          <w:rFonts w:ascii="宋体" w:hAnsi="宋体" w:eastAsia="宋体" w:cs="宋体"/>
          <w:spacing w:val="-2"/>
          <w:sz w:val="24"/>
          <w:szCs w:val="24"/>
        </w:rPr>
        <w:t>实，则该投标无效。</w:t>
      </w:r>
    </w:p>
    <w:p w14:paraId="7F1B9066">
      <w:pPr>
        <w:spacing w:before="2" w:line="360" w:lineRule="auto"/>
        <w:ind w:left="9" w:right="53" w:firstLine="479"/>
        <w:rPr>
          <w:rFonts w:ascii="宋体" w:hAnsi="宋体" w:eastAsia="宋体" w:cs="宋体"/>
          <w:sz w:val="24"/>
          <w:szCs w:val="24"/>
        </w:rPr>
      </w:pPr>
      <w:r>
        <w:rPr>
          <w:rFonts w:ascii="宋体" w:hAnsi="宋体" w:eastAsia="宋体" w:cs="宋体"/>
          <w:sz w:val="24"/>
          <w:szCs w:val="24"/>
        </w:rPr>
        <w:t>4.5、供应商必须在</w:t>
      </w:r>
      <w:r>
        <w:rPr>
          <w:rFonts w:hint="eastAsia" w:ascii="宋体" w:hAnsi="宋体" w:eastAsia="宋体" w:cs="宋体"/>
          <w:sz w:val="24"/>
          <w:szCs w:val="24"/>
          <w:lang w:val="en-US" w:eastAsia="zh-CN"/>
        </w:rPr>
        <w:t>交易平台</w:t>
      </w:r>
      <w:r>
        <w:rPr>
          <w:rFonts w:ascii="宋体" w:hAnsi="宋体" w:eastAsia="宋体" w:cs="宋体"/>
          <w:sz w:val="24"/>
          <w:szCs w:val="24"/>
        </w:rPr>
        <w:t>领取竞争性磋商文件，方可参</w:t>
      </w:r>
      <w:r>
        <w:rPr>
          <w:rFonts w:ascii="宋体" w:hAnsi="宋体" w:eastAsia="宋体" w:cs="宋体"/>
          <w:spacing w:val="-3"/>
          <w:sz w:val="24"/>
          <w:szCs w:val="24"/>
        </w:rPr>
        <w:t>加磋商。</w:t>
      </w:r>
    </w:p>
    <w:p w14:paraId="0A26EFEB">
      <w:pPr>
        <w:spacing w:line="360" w:lineRule="auto"/>
        <w:ind w:left="488"/>
        <w:rPr>
          <w:rFonts w:ascii="宋体" w:hAnsi="宋体" w:eastAsia="宋体" w:cs="宋体"/>
          <w:sz w:val="24"/>
          <w:szCs w:val="24"/>
        </w:rPr>
      </w:pPr>
      <w:r>
        <w:rPr>
          <w:rFonts w:ascii="宋体" w:hAnsi="宋体" w:eastAsia="宋体" w:cs="宋体"/>
          <w:spacing w:val="-1"/>
          <w:sz w:val="24"/>
          <w:szCs w:val="24"/>
        </w:rPr>
        <w:t>4.6、联合体磋商：不接受联合体磋商。</w:t>
      </w:r>
    </w:p>
    <w:p w14:paraId="7BC050D5">
      <w:pPr>
        <w:spacing w:before="153" w:line="360" w:lineRule="auto"/>
        <w:ind w:left="494"/>
        <w:rPr>
          <w:rFonts w:ascii="宋体" w:hAnsi="宋体" w:eastAsia="宋体" w:cs="宋体"/>
          <w:sz w:val="24"/>
          <w:szCs w:val="24"/>
        </w:rPr>
      </w:pPr>
      <w:r>
        <w:rPr>
          <w:rFonts w:ascii="宋体" w:hAnsi="宋体" w:eastAsia="宋体" w:cs="宋体"/>
          <w:b/>
          <w:bCs/>
          <w:spacing w:val="-4"/>
          <w:sz w:val="24"/>
          <w:szCs w:val="24"/>
        </w:rPr>
        <w:t>5、合格的服务</w:t>
      </w:r>
    </w:p>
    <w:p w14:paraId="19EB3063">
      <w:pPr>
        <w:spacing w:before="141" w:line="360" w:lineRule="auto"/>
        <w:ind w:left="9" w:right="53" w:firstLine="484"/>
        <w:jc w:val="both"/>
        <w:rPr>
          <w:rFonts w:ascii="宋体" w:hAnsi="宋体" w:eastAsia="宋体" w:cs="宋体"/>
          <w:sz w:val="24"/>
          <w:szCs w:val="24"/>
        </w:rPr>
      </w:pPr>
      <w:r>
        <w:rPr>
          <w:rFonts w:ascii="宋体" w:hAnsi="宋体" w:eastAsia="宋体" w:cs="宋体"/>
          <w:spacing w:val="-3"/>
          <w:sz w:val="24"/>
          <w:szCs w:val="24"/>
        </w:rPr>
        <w:t>凡具有法人资格，具有独立承担民事责任的能力；遵守国家法律、行政法规，具有良好的</w:t>
      </w:r>
      <w:r>
        <w:rPr>
          <w:rFonts w:ascii="宋体" w:hAnsi="宋体" w:eastAsia="宋体" w:cs="宋体"/>
          <w:spacing w:val="-2"/>
          <w:sz w:val="24"/>
          <w:szCs w:val="24"/>
        </w:rPr>
        <w:t>信誉及履行合同的能力和良好的履行合同记</w:t>
      </w:r>
      <w:r>
        <w:rPr>
          <w:rFonts w:ascii="宋体" w:hAnsi="宋体" w:eastAsia="宋体" w:cs="宋体"/>
          <w:spacing w:val="-3"/>
          <w:sz w:val="24"/>
          <w:szCs w:val="24"/>
        </w:rPr>
        <w:t>录，资金状况良好；具有履行合同所必需的服务和</w:t>
      </w:r>
      <w:r>
        <w:rPr>
          <w:rFonts w:ascii="宋体" w:hAnsi="宋体" w:eastAsia="宋体" w:cs="宋体"/>
          <w:spacing w:val="-2"/>
          <w:sz w:val="24"/>
          <w:szCs w:val="24"/>
        </w:rPr>
        <w:t>专业技术能力，有依法缴纳税收和社会保障</w:t>
      </w:r>
      <w:r>
        <w:rPr>
          <w:rFonts w:ascii="宋体" w:hAnsi="宋体" w:eastAsia="宋体" w:cs="宋体"/>
          <w:spacing w:val="-3"/>
          <w:sz w:val="24"/>
          <w:szCs w:val="24"/>
        </w:rPr>
        <w:t>资金的良好纪录；参加政府采购活动前三年内，在</w:t>
      </w:r>
      <w:r>
        <w:rPr>
          <w:rFonts w:ascii="宋体" w:hAnsi="宋体" w:eastAsia="宋体" w:cs="宋体"/>
          <w:spacing w:val="-1"/>
          <w:sz w:val="24"/>
          <w:szCs w:val="24"/>
        </w:rPr>
        <w:t>经营活动中没有重大违法纪录。</w:t>
      </w:r>
    </w:p>
    <w:p w14:paraId="1301E12D">
      <w:pPr>
        <w:spacing w:before="10" w:line="360" w:lineRule="auto"/>
        <w:ind w:left="491"/>
        <w:rPr>
          <w:rFonts w:ascii="宋体" w:hAnsi="宋体" w:eastAsia="宋体" w:cs="宋体"/>
          <w:sz w:val="24"/>
          <w:szCs w:val="24"/>
        </w:rPr>
      </w:pPr>
      <w:r>
        <w:rPr>
          <w:rFonts w:ascii="宋体" w:hAnsi="宋体" w:eastAsia="宋体" w:cs="宋体"/>
          <w:b/>
          <w:bCs/>
          <w:spacing w:val="-3"/>
          <w:sz w:val="24"/>
          <w:szCs w:val="24"/>
        </w:rPr>
        <w:t>6、竞争性磋商响应文件内容的真实性</w:t>
      </w:r>
    </w:p>
    <w:p w14:paraId="3210104B">
      <w:pPr>
        <w:spacing w:before="155" w:line="360" w:lineRule="auto"/>
        <w:ind w:left="9" w:right="53" w:firstLine="480"/>
        <w:jc w:val="both"/>
        <w:rPr>
          <w:rFonts w:ascii="宋体" w:hAnsi="宋体" w:eastAsia="宋体" w:cs="宋体"/>
          <w:sz w:val="24"/>
          <w:szCs w:val="24"/>
        </w:rPr>
      </w:pPr>
      <w:r>
        <w:rPr>
          <w:rFonts w:ascii="宋体" w:hAnsi="宋体" w:eastAsia="宋体" w:cs="宋体"/>
          <w:spacing w:val="-3"/>
          <w:sz w:val="24"/>
          <w:szCs w:val="24"/>
        </w:rPr>
        <w:t>供应商应保证其竞争性磋商响应文件中所提供的所有有关磋商的资料、信息是真实的、并</w:t>
      </w:r>
      <w:r>
        <w:rPr>
          <w:rFonts w:ascii="宋体" w:hAnsi="宋体" w:eastAsia="宋体" w:cs="宋体"/>
          <w:spacing w:val="-2"/>
          <w:sz w:val="24"/>
          <w:szCs w:val="24"/>
        </w:rPr>
        <w:t>且来源于合法的渠道。因竞争性磋商响应文</w:t>
      </w:r>
      <w:r>
        <w:rPr>
          <w:rFonts w:ascii="宋体" w:hAnsi="宋体" w:eastAsia="宋体" w:cs="宋体"/>
          <w:spacing w:val="-3"/>
          <w:sz w:val="24"/>
          <w:szCs w:val="24"/>
        </w:rPr>
        <w:t>件中所提供的有关磋商的资料、信息不真实、或者</w:t>
      </w:r>
      <w:r>
        <w:rPr>
          <w:rFonts w:ascii="宋体" w:hAnsi="宋体" w:eastAsia="宋体" w:cs="宋体"/>
          <w:spacing w:val="-1"/>
          <w:sz w:val="24"/>
          <w:szCs w:val="24"/>
        </w:rPr>
        <w:t>其来源不合法而导致的所有法律责任，由供应商自行承担。</w:t>
      </w:r>
    </w:p>
    <w:p w14:paraId="4763E0B0">
      <w:pPr>
        <w:spacing w:before="2" w:line="360" w:lineRule="auto"/>
        <w:ind w:left="3908"/>
        <w:rPr>
          <w:rFonts w:ascii="宋体" w:hAnsi="宋体" w:eastAsia="宋体" w:cs="宋体"/>
          <w:sz w:val="28"/>
          <w:szCs w:val="28"/>
        </w:rPr>
      </w:pPr>
      <w:r>
        <w:rPr>
          <w:rFonts w:ascii="宋体" w:hAnsi="宋体" w:eastAsia="宋体" w:cs="宋体"/>
          <w:b/>
          <w:bCs/>
          <w:spacing w:val="-4"/>
          <w:sz w:val="28"/>
          <w:szCs w:val="28"/>
        </w:rPr>
        <w:t>二、竞争性磋商文件</w:t>
      </w:r>
    </w:p>
    <w:p w14:paraId="5CFF18E2">
      <w:pPr>
        <w:spacing w:before="141" w:line="360" w:lineRule="auto"/>
        <w:ind w:left="507"/>
        <w:rPr>
          <w:rFonts w:ascii="宋体" w:hAnsi="宋体" w:eastAsia="宋体" w:cs="宋体"/>
          <w:sz w:val="24"/>
          <w:szCs w:val="24"/>
        </w:rPr>
      </w:pPr>
      <w:r>
        <w:rPr>
          <w:rFonts w:ascii="宋体" w:hAnsi="宋体" w:eastAsia="宋体" w:cs="宋体"/>
          <w:b/>
          <w:bCs/>
          <w:spacing w:val="-4"/>
          <w:sz w:val="24"/>
          <w:szCs w:val="24"/>
        </w:rPr>
        <w:t>1、竞争性磋商文件的解释权</w:t>
      </w:r>
    </w:p>
    <w:p w14:paraId="79892CBF">
      <w:pPr>
        <w:spacing w:before="156" w:line="360" w:lineRule="auto"/>
        <w:ind w:left="11" w:right="53" w:firstLine="479"/>
        <w:rPr>
          <w:rFonts w:ascii="宋体" w:hAnsi="宋体" w:eastAsia="宋体" w:cs="宋体"/>
          <w:sz w:val="24"/>
          <w:szCs w:val="24"/>
        </w:rPr>
      </w:pPr>
      <w:r>
        <w:rPr>
          <w:rFonts w:ascii="宋体" w:hAnsi="宋体" w:eastAsia="宋体" w:cs="宋体"/>
          <w:spacing w:val="-3"/>
          <w:sz w:val="24"/>
          <w:szCs w:val="24"/>
        </w:rPr>
        <w:t>本项目采购文件的解释权归采购代理机构，磋商小组成员应根据政府采购法律法规和磋商</w:t>
      </w:r>
      <w:r>
        <w:rPr>
          <w:rFonts w:ascii="宋体" w:hAnsi="宋体" w:eastAsia="宋体" w:cs="宋体"/>
          <w:spacing w:val="-1"/>
          <w:sz w:val="24"/>
          <w:szCs w:val="24"/>
        </w:rPr>
        <w:t>文件所载明的评审方法、标准进行评审。</w:t>
      </w:r>
    </w:p>
    <w:p w14:paraId="5F58F432">
      <w:pPr>
        <w:spacing w:line="360" w:lineRule="auto"/>
        <w:ind w:left="492"/>
        <w:rPr>
          <w:rFonts w:ascii="宋体" w:hAnsi="宋体" w:eastAsia="宋体" w:cs="宋体"/>
          <w:sz w:val="24"/>
          <w:szCs w:val="24"/>
        </w:rPr>
      </w:pPr>
      <w:r>
        <w:rPr>
          <w:rFonts w:ascii="宋体" w:hAnsi="宋体" w:eastAsia="宋体" w:cs="宋体"/>
          <w:b/>
          <w:bCs/>
          <w:spacing w:val="-3"/>
          <w:sz w:val="24"/>
          <w:szCs w:val="24"/>
        </w:rPr>
        <w:t>2、竞争性磋商文件的构成</w:t>
      </w:r>
    </w:p>
    <w:p w14:paraId="7700BD94">
      <w:pPr>
        <w:spacing w:before="156" w:line="360" w:lineRule="auto"/>
        <w:jc w:val="right"/>
        <w:rPr>
          <w:rFonts w:ascii="宋体" w:hAnsi="宋体" w:eastAsia="宋体" w:cs="宋体"/>
          <w:sz w:val="24"/>
          <w:szCs w:val="24"/>
        </w:rPr>
      </w:pPr>
      <w:r>
        <w:rPr>
          <w:rFonts w:ascii="宋体" w:hAnsi="宋体" w:eastAsia="宋体" w:cs="宋体"/>
          <w:spacing w:val="-2"/>
          <w:sz w:val="24"/>
          <w:szCs w:val="24"/>
        </w:rPr>
        <w:t>竞争性磋商文件组成：竞争性磋商文件是根据本项目的特点和需求编制，包括以下内容：</w:t>
      </w:r>
    </w:p>
    <w:p w14:paraId="049E8924">
      <w:pPr>
        <w:spacing w:before="156" w:line="360" w:lineRule="auto"/>
        <w:ind w:left="489"/>
        <w:rPr>
          <w:rFonts w:ascii="宋体" w:hAnsi="宋体" w:eastAsia="宋体" w:cs="宋体"/>
          <w:sz w:val="24"/>
          <w:szCs w:val="24"/>
        </w:rPr>
      </w:pPr>
      <w:r>
        <w:fldChar w:fldCharType="begin"/>
      </w:r>
      <w:r>
        <w:instrText xml:space="preserve"> HYPERLINK \l "bookmark1" </w:instrText>
      </w:r>
      <w:r>
        <w:fldChar w:fldCharType="separate"/>
      </w:r>
      <w:r>
        <w:rPr>
          <w:rFonts w:ascii="宋体" w:hAnsi="宋体" w:eastAsia="宋体" w:cs="宋体"/>
          <w:spacing w:val="-1"/>
          <w:sz w:val="24"/>
          <w:szCs w:val="24"/>
        </w:rPr>
        <w:t>第一章 竞争性磋商公告</w:t>
      </w:r>
      <w:r>
        <w:rPr>
          <w:rFonts w:ascii="宋体" w:hAnsi="宋体" w:eastAsia="宋体" w:cs="宋体"/>
          <w:spacing w:val="-1"/>
          <w:sz w:val="24"/>
          <w:szCs w:val="24"/>
        </w:rPr>
        <w:fldChar w:fldCharType="end"/>
      </w:r>
    </w:p>
    <w:p w14:paraId="2D7825E7">
      <w:pPr>
        <w:spacing w:before="200" w:line="360" w:lineRule="auto"/>
        <w:ind w:left="489"/>
        <w:rPr>
          <w:rFonts w:ascii="宋体" w:hAnsi="宋体" w:eastAsia="宋体" w:cs="宋体"/>
          <w:sz w:val="24"/>
          <w:szCs w:val="24"/>
        </w:rPr>
      </w:pPr>
      <w:r>
        <w:fldChar w:fldCharType="begin"/>
      </w:r>
      <w:r>
        <w:instrText xml:space="preserve"> HYPERLINK \l "bookmark2" </w:instrText>
      </w:r>
      <w:r>
        <w:fldChar w:fldCharType="separate"/>
      </w:r>
      <w:r>
        <w:rPr>
          <w:rFonts w:ascii="宋体" w:hAnsi="宋体" w:eastAsia="宋体" w:cs="宋体"/>
          <w:spacing w:val="-1"/>
          <w:sz w:val="24"/>
          <w:szCs w:val="24"/>
        </w:rPr>
        <w:t>第二章 供应商须知前附表</w:t>
      </w:r>
      <w:r>
        <w:rPr>
          <w:rFonts w:ascii="宋体" w:hAnsi="宋体" w:eastAsia="宋体" w:cs="宋体"/>
          <w:spacing w:val="-1"/>
          <w:sz w:val="24"/>
          <w:szCs w:val="24"/>
        </w:rPr>
        <w:fldChar w:fldCharType="end"/>
      </w:r>
    </w:p>
    <w:p w14:paraId="06E80BED">
      <w:pPr>
        <w:spacing w:before="202" w:line="360" w:lineRule="auto"/>
        <w:ind w:left="489"/>
        <w:rPr>
          <w:rFonts w:ascii="宋体" w:hAnsi="宋体" w:eastAsia="宋体" w:cs="宋体"/>
          <w:sz w:val="24"/>
          <w:szCs w:val="24"/>
        </w:rPr>
      </w:pPr>
      <w:r>
        <w:fldChar w:fldCharType="begin"/>
      </w:r>
      <w:r>
        <w:instrText xml:space="preserve"> HYPERLINK \l "bookmark3" </w:instrText>
      </w:r>
      <w:r>
        <w:fldChar w:fldCharType="separate"/>
      </w:r>
      <w:r>
        <w:rPr>
          <w:rFonts w:ascii="宋体" w:hAnsi="宋体" w:eastAsia="宋体" w:cs="宋体"/>
          <w:spacing w:val="-2"/>
          <w:sz w:val="24"/>
          <w:szCs w:val="24"/>
        </w:rPr>
        <w:t>第三章 供应商须知</w:t>
      </w:r>
      <w:r>
        <w:rPr>
          <w:rFonts w:ascii="宋体" w:hAnsi="宋体" w:eastAsia="宋体" w:cs="宋体"/>
          <w:spacing w:val="-2"/>
          <w:sz w:val="24"/>
          <w:szCs w:val="24"/>
        </w:rPr>
        <w:fldChar w:fldCharType="end"/>
      </w:r>
    </w:p>
    <w:p w14:paraId="3667C955">
      <w:pPr>
        <w:spacing w:before="200" w:line="360" w:lineRule="auto"/>
        <w:ind w:left="489"/>
        <w:rPr>
          <w:rFonts w:ascii="宋体" w:hAnsi="宋体" w:eastAsia="宋体" w:cs="宋体"/>
          <w:sz w:val="24"/>
          <w:szCs w:val="24"/>
        </w:rPr>
      </w:pPr>
      <w:r>
        <w:fldChar w:fldCharType="begin"/>
      </w:r>
      <w:r>
        <w:instrText xml:space="preserve"> HYPERLINK \l "bookmark10" </w:instrText>
      </w:r>
      <w:r>
        <w:fldChar w:fldCharType="separate"/>
      </w:r>
      <w:r>
        <w:rPr>
          <w:rFonts w:ascii="宋体" w:hAnsi="宋体" w:eastAsia="宋体" w:cs="宋体"/>
          <w:spacing w:val="-2"/>
          <w:sz w:val="24"/>
          <w:szCs w:val="24"/>
        </w:rPr>
        <w:t>第四章 评审办法</w:t>
      </w:r>
      <w:r>
        <w:rPr>
          <w:rFonts w:ascii="宋体" w:hAnsi="宋体" w:eastAsia="宋体" w:cs="宋体"/>
          <w:spacing w:val="-2"/>
          <w:sz w:val="24"/>
          <w:szCs w:val="24"/>
        </w:rPr>
        <w:fldChar w:fldCharType="end"/>
      </w:r>
    </w:p>
    <w:p w14:paraId="47DE9108">
      <w:pPr>
        <w:spacing w:before="200" w:line="360" w:lineRule="auto"/>
        <w:ind w:left="489"/>
        <w:rPr>
          <w:rFonts w:ascii="宋体" w:hAnsi="宋体" w:eastAsia="宋体" w:cs="宋体"/>
          <w:sz w:val="24"/>
          <w:szCs w:val="24"/>
        </w:rPr>
      </w:pPr>
      <w:r>
        <w:fldChar w:fldCharType="begin"/>
      </w:r>
      <w:r>
        <w:instrText xml:space="preserve"> HYPERLINK \l "bookmark11" </w:instrText>
      </w:r>
      <w:r>
        <w:fldChar w:fldCharType="separate"/>
      </w:r>
      <w:r>
        <w:rPr>
          <w:rFonts w:ascii="宋体" w:hAnsi="宋体" w:eastAsia="宋体" w:cs="宋体"/>
          <w:spacing w:val="-1"/>
          <w:sz w:val="24"/>
          <w:szCs w:val="24"/>
        </w:rPr>
        <w:t>第五章 采购内容及要求</w:t>
      </w:r>
      <w:r>
        <w:rPr>
          <w:rFonts w:ascii="宋体" w:hAnsi="宋体" w:eastAsia="宋体" w:cs="宋体"/>
          <w:spacing w:val="-1"/>
          <w:sz w:val="24"/>
          <w:szCs w:val="24"/>
        </w:rPr>
        <w:fldChar w:fldCharType="end"/>
      </w:r>
    </w:p>
    <w:p w14:paraId="3771A27B">
      <w:pPr>
        <w:spacing w:before="203" w:line="360" w:lineRule="auto"/>
        <w:ind w:left="489"/>
        <w:rPr>
          <w:rFonts w:ascii="宋体" w:hAnsi="宋体" w:eastAsia="宋体" w:cs="宋体"/>
          <w:sz w:val="24"/>
          <w:szCs w:val="24"/>
        </w:rPr>
      </w:pPr>
      <w:r>
        <w:fldChar w:fldCharType="begin"/>
      </w:r>
      <w:r>
        <w:instrText xml:space="preserve"> HYPERLINK \l "bookmark12" </w:instrText>
      </w:r>
      <w:r>
        <w:fldChar w:fldCharType="separate"/>
      </w:r>
      <w:r>
        <w:rPr>
          <w:rFonts w:ascii="宋体" w:hAnsi="宋体" w:eastAsia="宋体" w:cs="宋体"/>
          <w:spacing w:val="-2"/>
          <w:sz w:val="24"/>
          <w:szCs w:val="24"/>
        </w:rPr>
        <w:t>第六章 合同协议书</w:t>
      </w:r>
      <w:r>
        <w:rPr>
          <w:rFonts w:ascii="宋体" w:hAnsi="宋体" w:eastAsia="宋体" w:cs="宋体"/>
          <w:spacing w:val="-2"/>
          <w:sz w:val="24"/>
          <w:szCs w:val="24"/>
        </w:rPr>
        <w:fldChar w:fldCharType="end"/>
      </w:r>
    </w:p>
    <w:p w14:paraId="17E4D1AB">
      <w:pPr>
        <w:spacing w:before="199" w:line="360" w:lineRule="auto"/>
        <w:ind w:left="489"/>
        <w:rPr>
          <w:rFonts w:ascii="宋体" w:hAnsi="宋体" w:eastAsia="宋体" w:cs="宋体"/>
          <w:sz w:val="24"/>
          <w:szCs w:val="24"/>
        </w:rPr>
      </w:pPr>
      <w:r>
        <w:fldChar w:fldCharType="begin"/>
      </w:r>
      <w:r>
        <w:instrText xml:space="preserve"> HYPERLINK \l "bookmark13" </w:instrText>
      </w:r>
      <w:r>
        <w:fldChar w:fldCharType="separate"/>
      </w:r>
      <w:r>
        <w:rPr>
          <w:rFonts w:ascii="宋体" w:hAnsi="宋体" w:eastAsia="宋体" w:cs="宋体"/>
          <w:spacing w:val="-1"/>
          <w:sz w:val="24"/>
          <w:szCs w:val="24"/>
        </w:rPr>
        <w:t>第七章 竞争性磋商响应文件格式</w:t>
      </w:r>
      <w:r>
        <w:rPr>
          <w:rFonts w:ascii="宋体" w:hAnsi="宋体" w:eastAsia="宋体" w:cs="宋体"/>
          <w:spacing w:val="-1"/>
          <w:sz w:val="24"/>
          <w:szCs w:val="24"/>
        </w:rPr>
        <w:fldChar w:fldCharType="end"/>
      </w:r>
    </w:p>
    <w:p w14:paraId="6B6DDE5A">
      <w:pPr>
        <w:spacing w:before="155" w:line="360" w:lineRule="auto"/>
        <w:ind w:left="494"/>
        <w:rPr>
          <w:rFonts w:ascii="宋体" w:hAnsi="宋体" w:eastAsia="宋体" w:cs="宋体"/>
          <w:sz w:val="24"/>
          <w:szCs w:val="24"/>
        </w:rPr>
      </w:pPr>
      <w:r>
        <w:rPr>
          <w:rFonts w:ascii="宋体" w:hAnsi="宋体" w:eastAsia="宋体" w:cs="宋体"/>
          <w:b/>
          <w:bCs/>
          <w:spacing w:val="-3"/>
          <w:sz w:val="24"/>
          <w:szCs w:val="24"/>
        </w:rPr>
        <w:t>3、竞争性磋商文件的检查及阅读</w:t>
      </w:r>
    </w:p>
    <w:p w14:paraId="4D802F19">
      <w:pPr>
        <w:spacing w:before="154" w:line="360" w:lineRule="auto"/>
        <w:ind w:left="10" w:right="86" w:firstLine="482"/>
        <w:rPr>
          <w:rFonts w:ascii="宋体" w:hAnsi="宋体" w:eastAsia="宋体" w:cs="宋体"/>
          <w:spacing w:val="-3"/>
          <w:sz w:val="24"/>
          <w:szCs w:val="24"/>
        </w:rPr>
      </w:pPr>
      <w:r>
        <w:rPr>
          <w:rFonts w:ascii="宋体" w:hAnsi="宋体" w:eastAsia="宋体" w:cs="宋体"/>
          <w:spacing w:val="-3"/>
          <w:sz w:val="24"/>
          <w:szCs w:val="24"/>
        </w:rPr>
        <w:t>供应商应认真阅读和充分理解竞争性磋商文件中所有的事项、格式条款和规范要求，在竞争性磋商响应文件中对采购文件做出全面响应，并按采购文件的要求提交全部资料。如果供应商没有按照采购文件要求提交全部资料，或者竞争性磋商响应文件没有对采购文件在各方面都做出实质性响应，由此带来不利于供应商的磋商结果，其风险由供应商承担。</w:t>
      </w:r>
    </w:p>
    <w:p w14:paraId="14BAFD62">
      <w:pPr>
        <w:spacing w:before="154" w:line="360" w:lineRule="auto"/>
        <w:ind w:left="10" w:right="86" w:firstLine="482"/>
        <w:rPr>
          <w:rFonts w:ascii="宋体" w:hAnsi="宋体" w:eastAsia="宋体" w:cs="宋体"/>
          <w:sz w:val="24"/>
          <w:szCs w:val="24"/>
        </w:rPr>
      </w:pPr>
      <w:r>
        <w:rPr>
          <w:rFonts w:ascii="宋体" w:hAnsi="宋体" w:eastAsia="宋体" w:cs="宋体"/>
          <w:spacing w:val="-3"/>
          <w:sz w:val="24"/>
          <w:szCs w:val="24"/>
        </w:rPr>
        <w:t>项目废标后重新组织采购的，采购代理机构将重新编制、发布新版采购文件，供应商应按</w:t>
      </w:r>
      <w:r>
        <w:rPr>
          <w:rFonts w:ascii="宋体" w:hAnsi="宋体" w:eastAsia="宋体" w:cs="宋体"/>
          <w:sz w:val="24"/>
          <w:szCs w:val="24"/>
        </w:rPr>
        <w:t>新版采购文件重新编制竞争性磋商响应文件。原采购文件及</w:t>
      </w:r>
      <w:r>
        <w:rPr>
          <w:rFonts w:ascii="宋体" w:hAnsi="宋体" w:eastAsia="宋体" w:cs="宋体"/>
          <w:spacing w:val="-1"/>
          <w:sz w:val="24"/>
          <w:szCs w:val="24"/>
        </w:rPr>
        <w:t>竞争性磋商响应文件失效。</w:t>
      </w:r>
    </w:p>
    <w:p w14:paraId="306C73C6">
      <w:pPr>
        <w:spacing w:line="360" w:lineRule="auto"/>
        <w:ind w:left="488"/>
        <w:rPr>
          <w:rFonts w:ascii="宋体" w:hAnsi="宋体" w:eastAsia="宋体" w:cs="宋体"/>
          <w:sz w:val="24"/>
          <w:szCs w:val="24"/>
        </w:rPr>
      </w:pPr>
      <w:r>
        <w:rPr>
          <w:rFonts w:ascii="宋体" w:hAnsi="宋体" w:eastAsia="宋体" w:cs="宋体"/>
          <w:b/>
          <w:bCs/>
          <w:spacing w:val="-3"/>
          <w:sz w:val="24"/>
          <w:szCs w:val="24"/>
        </w:rPr>
        <w:t>4、竞争性磋商文件的澄清或修改</w:t>
      </w:r>
    </w:p>
    <w:p w14:paraId="0B580BE9">
      <w:pPr>
        <w:spacing w:before="155" w:line="360" w:lineRule="auto"/>
        <w:ind w:left="9" w:right="86" w:firstLine="479"/>
        <w:rPr>
          <w:rFonts w:ascii="宋体" w:hAnsi="宋体" w:eastAsia="宋体" w:cs="宋体"/>
          <w:sz w:val="24"/>
          <w:szCs w:val="24"/>
        </w:rPr>
      </w:pPr>
      <w:r>
        <w:rPr>
          <w:rFonts w:ascii="宋体" w:hAnsi="宋体" w:eastAsia="宋体" w:cs="宋体"/>
          <w:spacing w:val="-2"/>
          <w:sz w:val="24"/>
          <w:szCs w:val="24"/>
        </w:rPr>
        <w:t>4.1、在竞争性磋商响应文件截止时间3</w:t>
      </w:r>
      <w:r>
        <w:rPr>
          <w:rFonts w:ascii="宋体" w:hAnsi="宋体" w:eastAsia="宋体" w:cs="宋体"/>
          <w:spacing w:val="-3"/>
          <w:sz w:val="24"/>
          <w:szCs w:val="24"/>
        </w:rPr>
        <w:t>日前，采购代理机构可以视采购具体情况，延长竞</w:t>
      </w:r>
      <w:r>
        <w:rPr>
          <w:rFonts w:ascii="宋体" w:hAnsi="宋体" w:eastAsia="宋体" w:cs="宋体"/>
          <w:spacing w:val="-2"/>
          <w:sz w:val="24"/>
          <w:szCs w:val="24"/>
        </w:rPr>
        <w:t>争性磋商响应文件递交截止时间和磋商时间</w:t>
      </w:r>
      <w:r>
        <w:rPr>
          <w:rFonts w:ascii="宋体" w:hAnsi="宋体" w:eastAsia="宋体" w:cs="宋体"/>
          <w:spacing w:val="-3"/>
          <w:sz w:val="24"/>
          <w:szCs w:val="24"/>
        </w:rPr>
        <w:t>并在财政部门指定的媒体上发布变更公告，同时将</w:t>
      </w:r>
      <w:r>
        <w:rPr>
          <w:rFonts w:ascii="宋体" w:hAnsi="宋体" w:eastAsia="宋体" w:cs="宋体"/>
          <w:spacing w:val="-1"/>
          <w:sz w:val="24"/>
          <w:szCs w:val="24"/>
        </w:rPr>
        <w:t>变更时间书面通知所有获取竞争性磋商文件的供应商。</w:t>
      </w:r>
    </w:p>
    <w:p w14:paraId="5ED4EB61">
      <w:pPr>
        <w:spacing w:before="3" w:line="360" w:lineRule="auto"/>
        <w:ind w:left="8" w:right="86" w:firstLine="480"/>
        <w:rPr>
          <w:rFonts w:ascii="宋体" w:hAnsi="宋体" w:eastAsia="宋体" w:cs="宋体"/>
          <w:sz w:val="24"/>
          <w:szCs w:val="24"/>
        </w:rPr>
      </w:pPr>
      <w:r>
        <w:rPr>
          <w:rFonts w:ascii="宋体" w:hAnsi="宋体" w:eastAsia="宋体" w:cs="宋体"/>
          <w:sz w:val="24"/>
          <w:szCs w:val="24"/>
        </w:rPr>
        <w:t>4.2、提交竞争性磋商响应文件截止之间前，采购人或采购代理机构有权对已发出的竞争</w:t>
      </w:r>
      <w:r>
        <w:rPr>
          <w:rFonts w:ascii="宋体" w:hAnsi="宋体" w:eastAsia="宋体" w:cs="宋体"/>
          <w:spacing w:val="-2"/>
          <w:sz w:val="24"/>
          <w:szCs w:val="24"/>
        </w:rPr>
        <w:t>性磋商文件进行必要的澄清或修改，澄清或</w:t>
      </w:r>
      <w:r>
        <w:rPr>
          <w:rFonts w:ascii="宋体" w:hAnsi="宋体" w:eastAsia="宋体" w:cs="宋体"/>
          <w:spacing w:val="-3"/>
          <w:sz w:val="24"/>
          <w:szCs w:val="24"/>
        </w:rPr>
        <w:t>修改的内容作为竞争性磋商文件的组成部分。澄清</w:t>
      </w:r>
      <w:r>
        <w:rPr>
          <w:rFonts w:ascii="宋体" w:hAnsi="宋体" w:eastAsia="宋体" w:cs="宋体"/>
          <w:spacing w:val="-2"/>
          <w:sz w:val="24"/>
          <w:szCs w:val="24"/>
        </w:rPr>
        <w:t>或修改的内容可能影响竞争性磋商响应文件</w:t>
      </w:r>
      <w:r>
        <w:rPr>
          <w:rFonts w:ascii="宋体" w:hAnsi="宋体" w:eastAsia="宋体" w:cs="宋体"/>
          <w:spacing w:val="-3"/>
          <w:sz w:val="24"/>
          <w:szCs w:val="24"/>
        </w:rPr>
        <w:t>编制的，采购代理机构应在提交竞争性磋商响应文</w:t>
      </w:r>
      <w:r>
        <w:rPr>
          <w:rFonts w:ascii="宋体" w:hAnsi="宋体" w:eastAsia="宋体" w:cs="宋体"/>
          <w:spacing w:val="-2"/>
          <w:sz w:val="24"/>
          <w:szCs w:val="24"/>
        </w:rPr>
        <w:t>件截止时间至少5日前，以书面形式通知所有获得</w:t>
      </w:r>
      <w:r>
        <w:rPr>
          <w:rFonts w:ascii="宋体" w:hAnsi="宋体" w:eastAsia="宋体" w:cs="宋体"/>
          <w:spacing w:val="-3"/>
          <w:sz w:val="24"/>
          <w:szCs w:val="24"/>
        </w:rPr>
        <w:t>竞争性磋商文件的供应商；不足5日的，采购</w:t>
      </w:r>
      <w:r>
        <w:rPr>
          <w:rFonts w:ascii="宋体" w:hAnsi="宋体" w:eastAsia="宋体" w:cs="宋体"/>
          <w:spacing w:val="-1"/>
          <w:sz w:val="24"/>
          <w:szCs w:val="24"/>
        </w:rPr>
        <w:t>代理机构应当顺延提交竞争性磋商响应文件截止时间。</w:t>
      </w:r>
    </w:p>
    <w:p w14:paraId="33EDB85E">
      <w:pPr>
        <w:spacing w:before="1" w:line="360" w:lineRule="auto"/>
        <w:ind w:left="3" w:firstLine="485"/>
        <w:rPr>
          <w:rFonts w:ascii="宋体" w:hAnsi="宋体" w:eastAsia="宋体" w:cs="宋体"/>
          <w:sz w:val="24"/>
          <w:szCs w:val="24"/>
        </w:rPr>
      </w:pPr>
      <w:r>
        <w:rPr>
          <w:rFonts w:ascii="宋体" w:hAnsi="宋体" w:eastAsia="宋体" w:cs="宋体"/>
          <w:spacing w:val="-2"/>
          <w:sz w:val="24"/>
          <w:szCs w:val="24"/>
        </w:rPr>
        <w:t>4.3、采购代理机构将在发布变更公告的同时，提醒供应商下载</w:t>
      </w:r>
      <w:r>
        <w:rPr>
          <w:rFonts w:ascii="宋体" w:hAnsi="宋体" w:eastAsia="宋体" w:cs="宋体"/>
          <w:spacing w:val="-3"/>
          <w:sz w:val="24"/>
          <w:szCs w:val="24"/>
        </w:rPr>
        <w:t>答疑文件（*.SXSCF，即更</w:t>
      </w:r>
      <w:r>
        <w:rPr>
          <w:rFonts w:ascii="宋体" w:hAnsi="宋体" w:eastAsia="宋体" w:cs="宋体"/>
          <w:spacing w:val="-2"/>
          <w:sz w:val="24"/>
          <w:szCs w:val="24"/>
        </w:rPr>
        <w:t>新后的电子采购文件）。供应商应及时从【全</w:t>
      </w:r>
      <w:r>
        <w:rPr>
          <w:rFonts w:ascii="宋体" w:hAnsi="宋体" w:eastAsia="宋体" w:cs="宋体"/>
          <w:spacing w:val="-3"/>
          <w:sz w:val="24"/>
          <w:szCs w:val="24"/>
        </w:rPr>
        <w:t>国公共资源交易平台（陕西省</w:t>
      </w:r>
      <w:r>
        <w:rPr>
          <w:rFonts w:ascii="宋体" w:hAnsi="宋体" w:eastAsia="宋体" w:cs="宋体"/>
          <w:spacing w:val="-29"/>
          <w:sz w:val="24"/>
          <w:szCs w:val="24"/>
        </w:rPr>
        <w:t xml:space="preserve"> </w:t>
      </w:r>
      <w:r>
        <w:rPr>
          <w:rFonts w:ascii="宋体" w:hAnsi="宋体" w:eastAsia="宋体" w:cs="宋体"/>
          <w:spacing w:val="-3"/>
          <w:sz w:val="24"/>
          <w:szCs w:val="24"/>
        </w:rPr>
        <w:t>·杨凌示范区）】</w:t>
      </w:r>
      <w:r>
        <w:rPr>
          <w:rFonts w:ascii="宋体" w:hAnsi="宋体" w:eastAsia="宋体" w:cs="宋体"/>
          <w:sz w:val="24"/>
          <w:szCs w:val="24"/>
        </w:rPr>
        <w:t xml:space="preserve"> </w:t>
      </w:r>
      <w:r>
        <w:rPr>
          <w:rFonts w:ascii="宋体" w:hAnsi="宋体" w:eastAsia="宋体" w:cs="宋体"/>
          <w:spacing w:val="1"/>
          <w:sz w:val="24"/>
          <w:szCs w:val="24"/>
        </w:rPr>
        <w:t>【首页-电子交易平台-陕西政府采购交易</w:t>
      </w:r>
      <w:r>
        <w:rPr>
          <w:rFonts w:ascii="宋体" w:hAnsi="宋体" w:eastAsia="宋体" w:cs="宋体"/>
          <w:sz w:val="24"/>
          <w:szCs w:val="24"/>
        </w:rPr>
        <w:t>系统-企业端】登录，登录后切换到【我的项目】模块，从【项目流程-项目管理-答疑文件下载】获取更新后的电子采购文件（*.SXSCF</w:t>
      </w:r>
      <w:r>
        <w:rPr>
          <w:rFonts w:ascii="宋体" w:hAnsi="宋体" w:eastAsia="宋体" w:cs="宋体"/>
          <w:spacing w:val="11"/>
          <w:sz w:val="24"/>
          <w:szCs w:val="24"/>
        </w:rPr>
        <w:t>），</w:t>
      </w:r>
      <w:r>
        <w:rPr>
          <w:rFonts w:ascii="宋体" w:hAnsi="宋体" w:eastAsia="宋体" w:cs="宋体"/>
          <w:sz w:val="24"/>
          <w:szCs w:val="24"/>
        </w:rPr>
        <w:t>使用</w:t>
      </w:r>
      <w:r>
        <w:rPr>
          <w:rFonts w:ascii="宋体" w:hAnsi="宋体" w:eastAsia="宋体" w:cs="宋体"/>
          <w:spacing w:val="-1"/>
          <w:sz w:val="24"/>
          <w:szCs w:val="24"/>
        </w:rPr>
        <w:t>旧版电子采购文件制作的电子响应文件（*.SXSTF</w:t>
      </w:r>
      <w:r>
        <w:rPr>
          <w:rFonts w:ascii="宋体" w:hAnsi="宋体" w:eastAsia="宋体" w:cs="宋体"/>
          <w:spacing w:val="14"/>
          <w:sz w:val="24"/>
          <w:szCs w:val="24"/>
        </w:rPr>
        <w:t>），</w:t>
      </w:r>
      <w:r>
        <w:rPr>
          <w:rFonts w:ascii="宋体" w:hAnsi="宋体" w:eastAsia="宋体" w:cs="宋体"/>
          <w:spacing w:val="-1"/>
          <w:sz w:val="24"/>
          <w:szCs w:val="24"/>
        </w:rPr>
        <w:t>系统将拒绝接收。</w:t>
      </w:r>
    </w:p>
    <w:p w14:paraId="76554719">
      <w:pPr>
        <w:spacing w:before="3" w:line="360" w:lineRule="auto"/>
        <w:ind w:left="11" w:right="86" w:firstLine="477"/>
        <w:rPr>
          <w:rFonts w:ascii="宋体" w:hAnsi="宋体" w:eastAsia="宋体" w:cs="宋体"/>
          <w:sz w:val="24"/>
          <w:szCs w:val="24"/>
        </w:rPr>
      </w:pPr>
      <w:r>
        <w:rPr>
          <w:rFonts w:ascii="宋体" w:hAnsi="宋体" w:eastAsia="宋体" w:cs="宋体"/>
          <w:sz w:val="24"/>
          <w:szCs w:val="24"/>
        </w:rPr>
        <w:t>4.4、请各供应商在提交竞争性磋商响应文件截止时间之前，务必随时关注政府采购信息</w:t>
      </w:r>
      <w:r>
        <w:rPr>
          <w:rFonts w:ascii="宋体" w:hAnsi="宋体" w:eastAsia="宋体" w:cs="宋体"/>
          <w:spacing w:val="-3"/>
          <w:sz w:val="24"/>
          <w:szCs w:val="24"/>
        </w:rPr>
        <w:t>发布媒体上发布的变更公告，采购代理机构不再另行通知，因供应商未及时关注所造成的一切</w:t>
      </w:r>
      <w:r>
        <w:rPr>
          <w:rFonts w:ascii="宋体" w:hAnsi="宋体" w:eastAsia="宋体" w:cs="宋体"/>
          <w:spacing w:val="-2"/>
          <w:sz w:val="24"/>
          <w:szCs w:val="24"/>
        </w:rPr>
        <w:t>后果由供应商自行承担：</w:t>
      </w:r>
    </w:p>
    <w:p w14:paraId="58789A01">
      <w:pPr>
        <w:spacing w:before="1" w:line="360" w:lineRule="auto"/>
        <w:ind w:left="11" w:right="86" w:firstLine="489"/>
        <w:rPr>
          <w:rFonts w:ascii="宋体" w:hAnsi="宋体" w:eastAsia="宋体" w:cs="宋体"/>
          <w:sz w:val="24"/>
          <w:szCs w:val="24"/>
        </w:rPr>
      </w:pPr>
      <w:r>
        <w:rPr>
          <w:rFonts w:ascii="宋体" w:hAnsi="宋体" w:eastAsia="宋体" w:cs="宋体"/>
          <w:spacing w:val="-2"/>
          <w:sz w:val="24"/>
          <w:szCs w:val="24"/>
        </w:rPr>
        <w:t>（1）[陕西省政府采购网(</w:t>
      </w:r>
      <w:r>
        <w:fldChar w:fldCharType="begin"/>
      </w:r>
      <w:r>
        <w:instrText xml:space="preserve"> HYPERLINK "https://www.ccgp-shaanxi.gov.cn" </w:instrText>
      </w:r>
      <w:r>
        <w:fldChar w:fldCharType="separate"/>
      </w:r>
      <w:r>
        <w:rPr>
          <w:rFonts w:ascii="宋体" w:hAnsi="宋体" w:eastAsia="宋体" w:cs="宋体"/>
          <w:spacing w:val="-2"/>
          <w:sz w:val="24"/>
          <w:szCs w:val="24"/>
        </w:rPr>
        <w:t>www.ccgp-shaanxi.gov.cn</w:t>
      </w:r>
      <w:r>
        <w:rPr>
          <w:rFonts w:ascii="宋体" w:hAnsi="宋体" w:eastAsia="宋体" w:cs="宋体"/>
          <w:spacing w:val="-2"/>
          <w:sz w:val="24"/>
          <w:szCs w:val="24"/>
        </w:rPr>
        <w:fldChar w:fldCharType="end"/>
      </w:r>
      <w:r>
        <w:rPr>
          <w:rFonts w:ascii="宋体" w:hAnsi="宋体" w:eastAsia="宋体" w:cs="宋体"/>
          <w:spacing w:val="-2"/>
          <w:sz w:val="24"/>
          <w:szCs w:val="24"/>
        </w:rPr>
        <w:t>)]中的[首页-信息公告-</w:t>
      </w:r>
      <w:r>
        <w:rPr>
          <w:rFonts w:ascii="宋体" w:hAnsi="宋体" w:eastAsia="宋体" w:cs="宋体"/>
          <w:spacing w:val="-3"/>
          <w:sz w:val="24"/>
          <w:szCs w:val="24"/>
        </w:rPr>
        <w:t>陕西省本级-</w:t>
      </w:r>
      <w:r>
        <w:rPr>
          <w:rFonts w:ascii="宋体" w:hAnsi="宋体" w:eastAsia="宋体" w:cs="宋体"/>
          <w:spacing w:val="-2"/>
          <w:sz w:val="24"/>
          <w:szCs w:val="24"/>
        </w:rPr>
        <w:t>杨凌示范区]；</w:t>
      </w:r>
    </w:p>
    <w:p w14:paraId="7868D557">
      <w:pPr>
        <w:spacing w:before="2" w:line="360" w:lineRule="auto"/>
        <w:ind w:left="31" w:right="86" w:firstLine="468"/>
        <w:rPr>
          <w:rFonts w:ascii="宋体" w:hAnsi="宋体" w:eastAsia="宋体" w:cs="宋体"/>
          <w:sz w:val="24"/>
          <w:szCs w:val="24"/>
        </w:rPr>
      </w:pPr>
      <w:r>
        <w:rPr>
          <w:rFonts w:ascii="宋体" w:hAnsi="宋体" w:eastAsia="宋体" w:cs="宋体"/>
          <w:spacing w:val="-1"/>
          <w:sz w:val="24"/>
          <w:szCs w:val="24"/>
        </w:rPr>
        <w:t>（2）[全国公共资源交易平台（陕西省·杨凌示范区</w:t>
      </w:r>
      <w:r>
        <w:rPr>
          <w:rFonts w:ascii="宋体" w:hAnsi="宋体" w:eastAsia="宋体" w:cs="宋体"/>
          <w:spacing w:val="-33"/>
          <w:sz w:val="24"/>
          <w:szCs w:val="24"/>
        </w:rPr>
        <w:t>）（</w:t>
      </w:r>
      <w:r>
        <w:fldChar w:fldCharType="begin"/>
      </w:r>
      <w:r>
        <w:instrText xml:space="preserve"> HYPERLINK "http://yangl.sxggzyjy.cn/" </w:instrText>
      </w:r>
      <w:r>
        <w:fldChar w:fldCharType="separate"/>
      </w:r>
      <w:r>
        <w:rPr>
          <w:rFonts w:ascii="宋体" w:hAnsi="宋体" w:eastAsia="宋体" w:cs="宋体"/>
          <w:spacing w:val="-1"/>
          <w:sz w:val="24"/>
          <w:szCs w:val="24"/>
        </w:rPr>
        <w:t>http://yangl.sxggzyjy.cn/</w:t>
      </w:r>
      <w:r>
        <w:rPr>
          <w:rFonts w:ascii="宋体" w:hAnsi="宋体" w:eastAsia="宋体" w:cs="宋体"/>
          <w:spacing w:val="-1"/>
          <w:sz w:val="24"/>
          <w:szCs w:val="24"/>
        </w:rPr>
        <w:fldChar w:fldCharType="end"/>
      </w:r>
      <w:r>
        <w:rPr>
          <w:rFonts w:ascii="宋体" w:hAnsi="宋体" w:eastAsia="宋体" w:cs="宋体"/>
          <w:spacing w:val="-1"/>
          <w:sz w:val="24"/>
          <w:szCs w:val="24"/>
        </w:rPr>
        <w:t>）]</w:t>
      </w:r>
      <w:r>
        <w:rPr>
          <w:rFonts w:ascii="宋体" w:hAnsi="宋体" w:eastAsia="宋体" w:cs="宋体"/>
          <w:spacing w:val="-2"/>
          <w:sz w:val="24"/>
          <w:szCs w:val="24"/>
        </w:rPr>
        <w:t>中的[首页&gt;交易大厅&gt;政府采购]。</w:t>
      </w:r>
    </w:p>
    <w:p w14:paraId="5D00092A">
      <w:pPr>
        <w:spacing w:before="10" w:line="360" w:lineRule="auto"/>
        <w:ind w:left="494"/>
        <w:rPr>
          <w:rFonts w:ascii="宋体" w:hAnsi="宋体" w:eastAsia="宋体" w:cs="宋体"/>
          <w:sz w:val="24"/>
          <w:szCs w:val="24"/>
        </w:rPr>
      </w:pPr>
      <w:r>
        <w:rPr>
          <w:rFonts w:ascii="宋体" w:hAnsi="宋体" w:eastAsia="宋体" w:cs="宋体"/>
          <w:b/>
          <w:bCs/>
          <w:spacing w:val="-4"/>
          <w:sz w:val="24"/>
          <w:szCs w:val="24"/>
        </w:rPr>
        <w:t>5、备选磋商方案</w:t>
      </w:r>
    </w:p>
    <w:p w14:paraId="4B13E2E7">
      <w:pPr>
        <w:spacing w:before="155" w:line="360" w:lineRule="auto"/>
        <w:ind w:left="490"/>
        <w:rPr>
          <w:rFonts w:ascii="宋体" w:hAnsi="宋体" w:eastAsia="宋体" w:cs="宋体"/>
          <w:sz w:val="24"/>
          <w:szCs w:val="24"/>
        </w:rPr>
      </w:pPr>
      <w:r>
        <w:rPr>
          <w:rFonts w:ascii="宋体" w:hAnsi="宋体" w:eastAsia="宋体" w:cs="宋体"/>
          <w:spacing w:val="-1"/>
          <w:sz w:val="24"/>
          <w:szCs w:val="24"/>
        </w:rPr>
        <w:t>本项目不得提供备选方案。</w:t>
      </w:r>
    </w:p>
    <w:p w14:paraId="08010ACC">
      <w:pPr>
        <w:spacing w:before="120" w:line="360" w:lineRule="auto"/>
        <w:ind w:left="3622"/>
        <w:rPr>
          <w:rFonts w:ascii="宋体" w:hAnsi="宋体" w:eastAsia="宋体" w:cs="宋体"/>
          <w:sz w:val="28"/>
          <w:szCs w:val="28"/>
        </w:rPr>
      </w:pPr>
      <w:r>
        <w:rPr>
          <w:rFonts w:ascii="宋体" w:hAnsi="宋体" w:eastAsia="宋体" w:cs="宋体"/>
          <w:b/>
          <w:bCs/>
          <w:spacing w:val="-3"/>
          <w:sz w:val="28"/>
          <w:szCs w:val="28"/>
        </w:rPr>
        <w:t>三、竞争性磋商响应文件</w:t>
      </w:r>
    </w:p>
    <w:p w14:paraId="36D91D45">
      <w:pPr>
        <w:spacing w:before="141" w:line="360" w:lineRule="auto"/>
        <w:ind w:left="507"/>
        <w:rPr>
          <w:rFonts w:ascii="宋体" w:hAnsi="宋体" w:eastAsia="宋体" w:cs="宋体"/>
          <w:sz w:val="24"/>
          <w:szCs w:val="24"/>
        </w:rPr>
      </w:pPr>
      <w:r>
        <w:rPr>
          <w:rFonts w:ascii="宋体" w:hAnsi="宋体" w:eastAsia="宋体" w:cs="宋体"/>
          <w:b/>
          <w:bCs/>
          <w:spacing w:val="-4"/>
          <w:sz w:val="24"/>
          <w:szCs w:val="24"/>
        </w:rPr>
        <w:t>1、竞争性磋商响应文件编制的原则</w:t>
      </w:r>
    </w:p>
    <w:p w14:paraId="51EAF741">
      <w:pPr>
        <w:spacing w:before="140" w:line="360" w:lineRule="auto"/>
        <w:ind w:left="8" w:right="86" w:firstLine="492"/>
        <w:rPr>
          <w:rFonts w:ascii="宋体" w:hAnsi="宋体" w:eastAsia="宋体" w:cs="宋体"/>
          <w:spacing w:val="-1"/>
          <w:sz w:val="24"/>
          <w:szCs w:val="24"/>
        </w:rPr>
      </w:pPr>
      <w:r>
        <w:rPr>
          <w:rFonts w:ascii="宋体" w:hAnsi="宋体" w:eastAsia="宋体" w:cs="宋体"/>
          <w:sz w:val="24"/>
          <w:szCs w:val="24"/>
        </w:rPr>
        <w:t>（1）供应商应在认真阅读竞争性磋商文件所有内容的基础上，按照竞争性磋商文件的要</w:t>
      </w:r>
      <w:r>
        <w:rPr>
          <w:rFonts w:ascii="宋体" w:hAnsi="宋体" w:eastAsia="宋体" w:cs="宋体"/>
          <w:spacing w:val="-2"/>
          <w:sz w:val="24"/>
          <w:szCs w:val="24"/>
        </w:rPr>
        <w:t>求编制完整的竞争性磋商响应文件。竞争性</w:t>
      </w:r>
      <w:r>
        <w:rPr>
          <w:rFonts w:ascii="宋体" w:hAnsi="宋体" w:eastAsia="宋体" w:cs="宋体"/>
          <w:spacing w:val="-3"/>
          <w:sz w:val="24"/>
          <w:szCs w:val="24"/>
        </w:rPr>
        <w:t>磋商响应文件参考给定格式编制，对竞争性磋商文</w:t>
      </w:r>
      <w:r>
        <w:rPr>
          <w:rFonts w:ascii="宋体" w:hAnsi="宋体" w:eastAsia="宋体" w:cs="宋体"/>
          <w:sz w:val="24"/>
          <w:szCs w:val="24"/>
        </w:rPr>
        <w:t>件要求做出实质性响应。供应商可根据情况自行扩展，但不得随</w:t>
      </w:r>
      <w:r>
        <w:rPr>
          <w:rFonts w:ascii="宋体" w:hAnsi="宋体" w:eastAsia="宋体" w:cs="宋体"/>
          <w:spacing w:val="-1"/>
          <w:sz w:val="24"/>
          <w:szCs w:val="24"/>
        </w:rPr>
        <w:t>意删减格式要求内容。</w:t>
      </w:r>
    </w:p>
    <w:p w14:paraId="65B7F41D">
      <w:pPr>
        <w:spacing w:before="140" w:line="360" w:lineRule="auto"/>
        <w:ind w:left="8" w:right="86" w:firstLine="492"/>
        <w:rPr>
          <w:rFonts w:ascii="宋体" w:hAnsi="宋体" w:eastAsia="宋体" w:cs="宋体"/>
          <w:sz w:val="24"/>
          <w:szCs w:val="24"/>
        </w:rPr>
      </w:pPr>
      <w:r>
        <w:rPr>
          <w:rFonts w:ascii="宋体" w:hAnsi="宋体" w:eastAsia="宋体" w:cs="宋体"/>
          <w:sz w:val="24"/>
          <w:szCs w:val="24"/>
        </w:rPr>
        <w:t>（2）供应商必须保证竞争性磋商响应文件所提供的全部资料真实可靠，并接受对其中任</w:t>
      </w:r>
      <w:r>
        <w:rPr>
          <w:rFonts w:ascii="宋体" w:hAnsi="宋体" w:eastAsia="宋体" w:cs="宋体"/>
          <w:spacing w:val="-2"/>
          <w:sz w:val="24"/>
          <w:szCs w:val="24"/>
        </w:rPr>
        <w:t>何资料进一步审查的要求。</w:t>
      </w:r>
    </w:p>
    <w:p w14:paraId="321B1E8C">
      <w:pPr>
        <w:spacing w:before="135" w:line="360" w:lineRule="auto"/>
        <w:ind w:left="12" w:right="115" w:firstLine="490"/>
        <w:rPr>
          <w:rFonts w:ascii="宋体" w:hAnsi="宋体" w:eastAsia="宋体" w:cs="宋体"/>
          <w:sz w:val="24"/>
          <w:szCs w:val="24"/>
        </w:rPr>
      </w:pPr>
      <w:r>
        <w:rPr>
          <w:rFonts w:ascii="宋体" w:hAnsi="宋体" w:eastAsia="宋体" w:cs="宋体"/>
          <w:sz w:val="24"/>
          <w:szCs w:val="24"/>
        </w:rPr>
        <w:t>（3）竞争性磋商响应文件须对竞争性磋商文件中的内容做出实质性和完整的响应，否则</w:t>
      </w:r>
      <w:r>
        <w:rPr>
          <w:rFonts w:ascii="宋体" w:hAnsi="宋体" w:eastAsia="宋体" w:cs="宋体"/>
          <w:spacing w:val="-2"/>
          <w:sz w:val="24"/>
          <w:szCs w:val="24"/>
        </w:rPr>
        <w:t>其投标将被拒绝。</w:t>
      </w:r>
    </w:p>
    <w:p w14:paraId="664B78CE">
      <w:pPr>
        <w:spacing w:before="13" w:line="360" w:lineRule="auto"/>
        <w:ind w:left="12" w:right="115" w:firstLine="490"/>
        <w:rPr>
          <w:rFonts w:ascii="宋体" w:hAnsi="宋体" w:eastAsia="宋体" w:cs="宋体"/>
          <w:sz w:val="24"/>
          <w:szCs w:val="24"/>
        </w:rPr>
      </w:pPr>
      <w:r>
        <w:rPr>
          <w:rFonts w:ascii="宋体" w:hAnsi="宋体" w:eastAsia="宋体" w:cs="宋体"/>
          <w:sz w:val="24"/>
          <w:szCs w:val="24"/>
        </w:rPr>
        <w:t>（4）编制电子竞争性磋商响应文件时，应使用最新发布的电子竞争性磋商文件及专用制</w:t>
      </w:r>
      <w:r>
        <w:rPr>
          <w:rFonts w:ascii="宋体" w:hAnsi="宋体" w:eastAsia="宋体" w:cs="宋体"/>
          <w:spacing w:val="-2"/>
          <w:sz w:val="24"/>
          <w:szCs w:val="24"/>
        </w:rPr>
        <w:t>作工具进行编制。并使用CA（数字认证证书）</w:t>
      </w:r>
      <w:r>
        <w:rPr>
          <w:rFonts w:ascii="宋体" w:hAnsi="宋体" w:eastAsia="宋体" w:cs="宋体"/>
          <w:spacing w:val="-3"/>
          <w:sz w:val="24"/>
          <w:szCs w:val="24"/>
        </w:rPr>
        <w:t>对电子竞争性磋商响应文件进行签署、加密、递</w:t>
      </w:r>
      <w:r>
        <w:rPr>
          <w:rFonts w:ascii="宋体" w:hAnsi="宋体" w:eastAsia="宋体" w:cs="宋体"/>
          <w:spacing w:val="-1"/>
          <w:sz w:val="24"/>
          <w:szCs w:val="24"/>
        </w:rPr>
        <w:t>交及开标时解密等相关操作。</w:t>
      </w:r>
    </w:p>
    <w:p w14:paraId="395DD093">
      <w:pPr>
        <w:spacing w:line="360" w:lineRule="auto"/>
        <w:ind w:left="13" w:right="115" w:firstLine="489"/>
        <w:rPr>
          <w:rFonts w:ascii="宋体" w:hAnsi="宋体" w:eastAsia="宋体" w:cs="宋体"/>
          <w:sz w:val="24"/>
          <w:szCs w:val="24"/>
        </w:rPr>
      </w:pPr>
      <w:r>
        <w:rPr>
          <w:rFonts w:ascii="宋体" w:hAnsi="宋体" w:eastAsia="宋体" w:cs="宋体"/>
          <w:spacing w:val="-2"/>
          <w:sz w:val="24"/>
          <w:szCs w:val="24"/>
        </w:rPr>
        <w:t>（5）电子竞争性磋商文件获取方式：供应商登录【全国公共资源</w:t>
      </w:r>
      <w:r>
        <w:rPr>
          <w:rFonts w:ascii="宋体" w:hAnsi="宋体" w:eastAsia="宋体" w:cs="宋体"/>
          <w:spacing w:val="-3"/>
          <w:sz w:val="24"/>
          <w:szCs w:val="24"/>
        </w:rPr>
        <w:t>交易平台（陕西省</w:t>
      </w:r>
      <w:r>
        <w:rPr>
          <w:rFonts w:ascii="宋体" w:hAnsi="宋体" w:eastAsia="宋体" w:cs="宋体"/>
          <w:spacing w:val="-28"/>
          <w:sz w:val="24"/>
          <w:szCs w:val="24"/>
        </w:rPr>
        <w:t xml:space="preserve"> </w:t>
      </w:r>
      <w:r>
        <w:rPr>
          <w:rFonts w:ascii="宋体" w:hAnsi="宋体" w:eastAsia="宋体" w:cs="宋体"/>
          <w:spacing w:val="-3"/>
          <w:sz w:val="24"/>
          <w:szCs w:val="24"/>
        </w:rPr>
        <w:t>·杨</w:t>
      </w:r>
      <w:r>
        <w:rPr>
          <w:rFonts w:ascii="宋体" w:hAnsi="宋体" w:eastAsia="宋体" w:cs="宋体"/>
          <w:spacing w:val="-1"/>
          <w:sz w:val="24"/>
          <w:szCs w:val="24"/>
        </w:rPr>
        <w:t>凌示范区）】网站【首页“</w:t>
      </w:r>
      <w:r>
        <w:rPr>
          <w:rFonts w:ascii="宋体" w:hAnsi="宋体" w:eastAsia="宋体" w:cs="宋体"/>
          <w:spacing w:val="-83"/>
          <w:sz w:val="24"/>
          <w:szCs w:val="24"/>
        </w:rPr>
        <w:t xml:space="preserve"> </w:t>
      </w:r>
      <w:r>
        <w:rPr>
          <w:rFonts w:ascii="宋体" w:hAnsi="宋体" w:eastAsia="宋体" w:cs="宋体"/>
          <w:spacing w:val="-1"/>
          <w:sz w:val="24"/>
          <w:szCs w:val="24"/>
        </w:rPr>
        <w:t>电子交易平台</w:t>
      </w:r>
      <w:r>
        <w:rPr>
          <w:rFonts w:ascii="宋体" w:hAnsi="宋体" w:eastAsia="宋体" w:cs="宋体"/>
          <w:spacing w:val="-85"/>
          <w:sz w:val="24"/>
          <w:szCs w:val="24"/>
        </w:rPr>
        <w:t xml:space="preserve"> </w:t>
      </w:r>
      <w:r>
        <w:rPr>
          <w:rFonts w:ascii="宋体" w:hAnsi="宋体" w:eastAsia="宋体" w:cs="宋体"/>
          <w:spacing w:val="-1"/>
          <w:sz w:val="24"/>
          <w:szCs w:val="24"/>
        </w:rPr>
        <w:t>”企业端】后</w:t>
      </w:r>
      <w:r>
        <w:rPr>
          <w:rFonts w:ascii="宋体" w:hAnsi="宋体" w:eastAsia="宋体" w:cs="宋体"/>
          <w:spacing w:val="-2"/>
          <w:sz w:val="24"/>
          <w:szCs w:val="24"/>
        </w:rPr>
        <w:t>，在【招标公告/出让公告】模块中选</w:t>
      </w:r>
      <w:r>
        <w:rPr>
          <w:rFonts w:ascii="宋体" w:hAnsi="宋体" w:eastAsia="宋体" w:cs="宋体"/>
          <w:spacing w:val="-3"/>
          <w:sz w:val="24"/>
          <w:szCs w:val="24"/>
        </w:rPr>
        <w:t>择有意向的项目点击“我要投标</w:t>
      </w:r>
      <w:r>
        <w:rPr>
          <w:rFonts w:ascii="宋体" w:hAnsi="宋体" w:eastAsia="宋体" w:cs="宋体"/>
          <w:spacing w:val="-88"/>
          <w:sz w:val="24"/>
          <w:szCs w:val="24"/>
        </w:rPr>
        <w:t xml:space="preserve"> </w:t>
      </w:r>
      <w:r>
        <w:rPr>
          <w:rFonts w:ascii="宋体" w:hAnsi="宋体" w:eastAsia="宋体" w:cs="宋体"/>
          <w:spacing w:val="-3"/>
          <w:sz w:val="24"/>
          <w:szCs w:val="24"/>
        </w:rPr>
        <w:t>”，成功后即可在【</w:t>
      </w:r>
      <w:r>
        <w:rPr>
          <w:rFonts w:ascii="宋体" w:hAnsi="宋体" w:eastAsia="宋体" w:cs="宋体"/>
          <w:spacing w:val="-4"/>
          <w:sz w:val="24"/>
          <w:szCs w:val="24"/>
        </w:rPr>
        <w:t>我的项目】中点击“项目流程“交易文件</w:t>
      </w:r>
      <w:r>
        <w:rPr>
          <w:rFonts w:ascii="宋体" w:hAnsi="宋体" w:eastAsia="宋体" w:cs="宋体"/>
          <w:spacing w:val="-2"/>
          <w:sz w:val="24"/>
          <w:szCs w:val="24"/>
        </w:rPr>
        <w:t>下载</w:t>
      </w:r>
      <w:r>
        <w:rPr>
          <w:rFonts w:ascii="宋体" w:hAnsi="宋体" w:eastAsia="宋体" w:cs="宋体"/>
          <w:spacing w:val="-81"/>
          <w:sz w:val="24"/>
          <w:szCs w:val="24"/>
        </w:rPr>
        <w:t xml:space="preserve"> </w:t>
      </w:r>
      <w:r>
        <w:rPr>
          <w:rFonts w:ascii="宋体" w:hAnsi="宋体" w:eastAsia="宋体" w:cs="宋体"/>
          <w:spacing w:val="-2"/>
          <w:sz w:val="24"/>
          <w:szCs w:val="24"/>
        </w:rPr>
        <w:t>”免费下载电子竞争性磋商文件（*.SXSZF）。</w:t>
      </w:r>
    </w:p>
    <w:p w14:paraId="3BC5D5FB">
      <w:pPr>
        <w:spacing w:line="360" w:lineRule="auto"/>
        <w:ind w:left="12" w:right="115" w:firstLine="490"/>
        <w:rPr>
          <w:rFonts w:ascii="宋体" w:hAnsi="宋体" w:eastAsia="宋体" w:cs="宋体"/>
          <w:sz w:val="24"/>
          <w:szCs w:val="24"/>
        </w:rPr>
      </w:pPr>
      <w:r>
        <w:rPr>
          <w:rFonts w:ascii="宋体" w:hAnsi="宋体" w:eastAsia="宋体" w:cs="宋体"/>
          <w:spacing w:val="-2"/>
          <w:sz w:val="24"/>
          <w:szCs w:val="24"/>
        </w:rPr>
        <w:t>（6）制作电子竞争性磋商响应文件。投标人须在“全国公共资源</w:t>
      </w:r>
      <w:r>
        <w:rPr>
          <w:rFonts w:ascii="宋体" w:hAnsi="宋体" w:eastAsia="宋体" w:cs="宋体"/>
          <w:spacing w:val="-3"/>
          <w:sz w:val="24"/>
          <w:szCs w:val="24"/>
        </w:rPr>
        <w:t>交易平台（陕西省</w:t>
      </w:r>
      <w:r>
        <w:rPr>
          <w:rFonts w:ascii="宋体" w:hAnsi="宋体" w:eastAsia="宋体" w:cs="宋体"/>
          <w:spacing w:val="-28"/>
          <w:sz w:val="24"/>
          <w:szCs w:val="24"/>
        </w:rPr>
        <w:t xml:space="preserve"> </w:t>
      </w:r>
      <w:r>
        <w:rPr>
          <w:rFonts w:ascii="宋体" w:hAnsi="宋体" w:eastAsia="宋体" w:cs="宋体"/>
          <w:spacing w:val="-3"/>
          <w:sz w:val="24"/>
          <w:szCs w:val="24"/>
        </w:rPr>
        <w:t>·杨</w:t>
      </w:r>
      <w:r>
        <w:rPr>
          <w:rFonts w:ascii="宋体" w:hAnsi="宋体" w:eastAsia="宋体" w:cs="宋体"/>
          <w:sz w:val="24"/>
          <w:szCs w:val="24"/>
        </w:rPr>
        <w:t>凌示范区</w:t>
      </w:r>
      <w:r>
        <w:rPr>
          <w:rFonts w:ascii="宋体" w:hAnsi="宋体" w:eastAsia="宋体" w:cs="宋体"/>
          <w:spacing w:val="-10"/>
          <w:sz w:val="24"/>
          <w:szCs w:val="24"/>
        </w:rPr>
        <w:t>）（</w:t>
      </w:r>
      <w:r>
        <w:fldChar w:fldCharType="begin"/>
      </w:r>
      <w:r>
        <w:instrText xml:space="preserve"> HYPERLINK "http://yangl.sxggzyjy.cn/" </w:instrText>
      </w:r>
      <w:r>
        <w:fldChar w:fldCharType="separate"/>
      </w:r>
      <w:r>
        <w:rPr>
          <w:rFonts w:ascii="宋体" w:hAnsi="宋体" w:eastAsia="宋体" w:cs="宋体"/>
          <w:sz w:val="24"/>
          <w:szCs w:val="24"/>
        </w:rPr>
        <w:t>http://yangl.sxggzyjy.cn/</w:t>
      </w:r>
      <w:r>
        <w:rPr>
          <w:rFonts w:ascii="宋体" w:hAnsi="宋体" w:eastAsia="宋体" w:cs="宋体"/>
          <w:sz w:val="24"/>
          <w:szCs w:val="24"/>
        </w:rPr>
        <w:fldChar w:fldCharType="end"/>
      </w:r>
      <w:r>
        <w:rPr>
          <w:rFonts w:ascii="宋体" w:hAnsi="宋体" w:eastAsia="宋体" w:cs="宋体"/>
          <w:sz w:val="24"/>
          <w:szCs w:val="24"/>
        </w:rPr>
        <w:t>）</w:t>
      </w:r>
      <w:r>
        <w:rPr>
          <w:rFonts w:ascii="宋体" w:hAnsi="宋体" w:eastAsia="宋体" w:cs="宋体"/>
          <w:spacing w:val="-85"/>
          <w:sz w:val="24"/>
          <w:szCs w:val="24"/>
        </w:rPr>
        <w:t xml:space="preserve"> </w:t>
      </w:r>
      <w:r>
        <w:rPr>
          <w:rFonts w:ascii="宋体" w:hAnsi="宋体" w:eastAsia="宋体" w:cs="宋体"/>
          <w:sz w:val="24"/>
          <w:szCs w:val="24"/>
        </w:rPr>
        <w:t>”的“服务指南”栏目“下载专区”中，免费下</w:t>
      </w:r>
      <w:r>
        <w:rPr>
          <w:rFonts w:ascii="宋体" w:hAnsi="宋体" w:eastAsia="宋体" w:cs="宋体"/>
          <w:spacing w:val="-3"/>
          <w:sz w:val="24"/>
          <w:szCs w:val="24"/>
        </w:rPr>
        <w:t>载《政府采购项目</w:t>
      </w:r>
      <w:r>
        <w:rPr>
          <w:rFonts w:hint="eastAsia" w:ascii="宋体" w:hAnsi="宋体" w:eastAsia="宋体" w:cs="宋体"/>
          <w:spacing w:val="-3"/>
          <w:sz w:val="24"/>
          <w:szCs w:val="24"/>
          <w:lang w:eastAsia="zh-CN"/>
        </w:rPr>
        <w:t>响应文件</w:t>
      </w:r>
      <w:r>
        <w:rPr>
          <w:rFonts w:ascii="宋体" w:hAnsi="宋体" w:eastAsia="宋体" w:cs="宋体"/>
          <w:spacing w:val="-3"/>
          <w:sz w:val="24"/>
          <w:szCs w:val="24"/>
        </w:rPr>
        <w:t>制作软件及操作手册》，并升级至最新版本，使用该客户端制作电</w:t>
      </w:r>
      <w:r>
        <w:rPr>
          <w:rFonts w:ascii="宋体" w:hAnsi="宋体" w:eastAsia="宋体" w:cs="宋体"/>
          <w:spacing w:val="2"/>
          <w:sz w:val="24"/>
          <w:szCs w:val="24"/>
        </w:rPr>
        <w:t>子响应文件，制作扩展名为“.</w:t>
      </w:r>
      <w:r>
        <w:rPr>
          <w:rFonts w:ascii="宋体" w:hAnsi="宋体" w:eastAsia="宋体" w:cs="宋体"/>
          <w:sz w:val="24"/>
          <w:szCs w:val="24"/>
        </w:rPr>
        <w:t>SXSTF</w:t>
      </w:r>
      <w:r>
        <w:rPr>
          <w:rFonts w:ascii="宋体" w:hAnsi="宋体" w:eastAsia="宋体" w:cs="宋体"/>
          <w:spacing w:val="-88"/>
          <w:sz w:val="24"/>
          <w:szCs w:val="24"/>
        </w:rPr>
        <w:t xml:space="preserve"> </w:t>
      </w:r>
      <w:r>
        <w:rPr>
          <w:rFonts w:ascii="宋体" w:hAnsi="宋体" w:eastAsia="宋体" w:cs="宋体"/>
          <w:spacing w:val="2"/>
          <w:sz w:val="24"/>
          <w:szCs w:val="24"/>
        </w:rPr>
        <w:t>”的电子响应</w:t>
      </w:r>
      <w:r>
        <w:rPr>
          <w:rFonts w:ascii="宋体" w:hAnsi="宋体" w:eastAsia="宋体" w:cs="宋体"/>
          <w:spacing w:val="1"/>
          <w:sz w:val="24"/>
          <w:szCs w:val="24"/>
        </w:rPr>
        <w:t>文件。</w:t>
      </w:r>
      <w:r>
        <w:rPr>
          <w:rFonts w:ascii="宋体" w:hAnsi="宋体" w:eastAsia="宋体" w:cs="宋体"/>
          <w:spacing w:val="-88"/>
          <w:sz w:val="24"/>
          <w:szCs w:val="24"/>
        </w:rPr>
        <w:t xml:space="preserve"> </w:t>
      </w:r>
      <w:r>
        <w:rPr>
          <w:rFonts w:ascii="宋体" w:hAnsi="宋体" w:eastAsia="宋体" w:cs="宋体"/>
          <w:spacing w:val="1"/>
          <w:sz w:val="24"/>
          <w:szCs w:val="24"/>
        </w:rPr>
        <w:t>”</w:t>
      </w:r>
    </w:p>
    <w:p w14:paraId="42F930A7">
      <w:pPr>
        <w:spacing w:before="13" w:line="360" w:lineRule="auto"/>
        <w:ind w:right="115" w:firstLine="491"/>
        <w:jc w:val="both"/>
        <w:rPr>
          <w:rFonts w:ascii="宋体" w:hAnsi="宋体" w:eastAsia="宋体" w:cs="宋体"/>
          <w:sz w:val="24"/>
          <w:szCs w:val="24"/>
        </w:rPr>
      </w:pPr>
      <w:r>
        <w:rPr>
          <w:rFonts w:ascii="宋体" w:hAnsi="宋体" w:eastAsia="宋体" w:cs="宋体"/>
          <w:b/>
          <w:bCs/>
          <w:spacing w:val="-3"/>
          <w:sz w:val="24"/>
          <w:szCs w:val="24"/>
        </w:rPr>
        <w:t>注意：</w:t>
      </w:r>
      <w:r>
        <w:rPr>
          <w:rFonts w:ascii="宋体" w:hAnsi="宋体" w:eastAsia="宋体" w:cs="宋体"/>
          <w:spacing w:val="-3"/>
          <w:sz w:val="24"/>
          <w:szCs w:val="24"/>
        </w:rPr>
        <w:t>供应商应随时留意可能发布的变更公告，公告中如注明本项目有变更文件，则应从</w:t>
      </w:r>
      <w:r>
        <w:rPr>
          <w:rFonts w:ascii="宋体" w:hAnsi="宋体" w:eastAsia="宋体" w:cs="宋体"/>
          <w:spacing w:val="-1"/>
          <w:sz w:val="24"/>
          <w:szCs w:val="24"/>
        </w:rPr>
        <w:t>“项目流程</w:t>
      </w:r>
      <w:r>
        <w:rPr>
          <w:rFonts w:ascii="宋体" w:hAnsi="宋体" w:eastAsia="宋体" w:cs="宋体"/>
          <w:spacing w:val="-87"/>
          <w:sz w:val="24"/>
          <w:szCs w:val="24"/>
        </w:rPr>
        <w:t xml:space="preserve"> </w:t>
      </w:r>
      <w:r>
        <w:rPr>
          <w:rFonts w:ascii="宋体" w:hAnsi="宋体" w:eastAsia="宋体" w:cs="宋体"/>
          <w:spacing w:val="-1"/>
          <w:sz w:val="24"/>
          <w:szCs w:val="24"/>
        </w:rPr>
        <w:t>”“答疑文件下载</w:t>
      </w:r>
      <w:r>
        <w:rPr>
          <w:rFonts w:ascii="宋体" w:hAnsi="宋体" w:eastAsia="宋体" w:cs="宋体"/>
          <w:spacing w:val="-86"/>
          <w:sz w:val="24"/>
          <w:szCs w:val="24"/>
        </w:rPr>
        <w:t xml:space="preserve"> </w:t>
      </w:r>
      <w:r>
        <w:rPr>
          <w:rFonts w:ascii="宋体" w:hAnsi="宋体" w:eastAsia="宋体" w:cs="宋体"/>
          <w:spacing w:val="-1"/>
          <w:sz w:val="24"/>
          <w:szCs w:val="24"/>
        </w:rPr>
        <w:t>”下载更新后的电子竞争性磋商文件（*.</w:t>
      </w:r>
      <w:r>
        <w:rPr>
          <w:rFonts w:ascii="宋体" w:hAnsi="宋体" w:eastAsia="宋体" w:cs="宋体"/>
          <w:spacing w:val="-2"/>
          <w:sz w:val="24"/>
          <w:szCs w:val="24"/>
        </w:rPr>
        <w:t>SXSCF</w:t>
      </w:r>
      <w:r>
        <w:rPr>
          <w:rFonts w:ascii="宋体" w:hAnsi="宋体" w:eastAsia="宋体" w:cs="宋体"/>
          <w:spacing w:val="6"/>
          <w:sz w:val="24"/>
          <w:szCs w:val="24"/>
        </w:rPr>
        <w:t>），</w:t>
      </w:r>
      <w:r>
        <w:rPr>
          <w:rFonts w:ascii="宋体" w:hAnsi="宋体" w:eastAsia="宋体" w:cs="宋体"/>
          <w:spacing w:val="-2"/>
          <w:sz w:val="24"/>
          <w:szCs w:val="24"/>
        </w:rPr>
        <w:t>使用旧版电</w:t>
      </w:r>
      <w:r>
        <w:rPr>
          <w:rFonts w:ascii="宋体" w:hAnsi="宋体" w:eastAsia="宋体" w:cs="宋体"/>
          <w:sz w:val="24"/>
          <w:szCs w:val="24"/>
        </w:rPr>
        <w:t>子采购文件制作的电子竞争性磋商响应文件，系统将拒绝接收。</w:t>
      </w:r>
    </w:p>
    <w:p w14:paraId="1D74FF1B">
      <w:pPr>
        <w:spacing w:line="360" w:lineRule="auto"/>
        <w:ind w:left="17" w:right="115" w:firstLine="579"/>
        <w:rPr>
          <w:rFonts w:ascii="宋体" w:hAnsi="宋体" w:eastAsia="宋体" w:cs="宋体"/>
          <w:sz w:val="24"/>
          <w:szCs w:val="24"/>
        </w:rPr>
      </w:pPr>
      <w:r>
        <w:rPr>
          <w:rFonts w:ascii="宋体" w:hAnsi="宋体" w:eastAsia="宋体" w:cs="宋体"/>
          <w:spacing w:val="-2"/>
          <w:sz w:val="24"/>
          <w:szCs w:val="24"/>
        </w:rPr>
        <w:t>（7）电子竞争性磋商文件需要使用专用软件打开、浏览。软</w:t>
      </w:r>
      <w:r>
        <w:rPr>
          <w:rFonts w:ascii="宋体" w:hAnsi="宋体" w:eastAsia="宋体" w:cs="宋体"/>
          <w:spacing w:val="-3"/>
          <w:sz w:val="24"/>
          <w:szCs w:val="24"/>
        </w:rPr>
        <w:t>件下载地址及操作手册详见</w:t>
      </w:r>
      <w:r>
        <w:rPr>
          <w:rFonts w:ascii="宋体" w:hAnsi="宋体" w:eastAsia="宋体" w:cs="宋体"/>
          <w:spacing w:val="-1"/>
          <w:sz w:val="24"/>
          <w:szCs w:val="24"/>
        </w:rPr>
        <w:t>《政府采购项目</w:t>
      </w:r>
      <w:r>
        <w:rPr>
          <w:rFonts w:hint="eastAsia" w:ascii="宋体" w:hAnsi="宋体" w:eastAsia="宋体" w:cs="宋体"/>
          <w:spacing w:val="-1"/>
          <w:sz w:val="24"/>
          <w:szCs w:val="24"/>
          <w:lang w:eastAsia="zh-CN"/>
        </w:rPr>
        <w:t>响应文件</w:t>
      </w:r>
      <w:r>
        <w:rPr>
          <w:rFonts w:ascii="宋体" w:hAnsi="宋体" w:eastAsia="宋体" w:cs="宋体"/>
          <w:spacing w:val="-1"/>
          <w:sz w:val="24"/>
          <w:szCs w:val="24"/>
        </w:rPr>
        <w:t>制作软件及操作手册》。</w:t>
      </w:r>
    </w:p>
    <w:p w14:paraId="13FC7E9D">
      <w:pPr>
        <w:spacing w:before="6" w:line="360" w:lineRule="auto"/>
        <w:ind w:left="9" w:firstLine="493"/>
        <w:rPr>
          <w:rFonts w:ascii="宋体" w:hAnsi="宋体" w:eastAsia="宋体" w:cs="宋体"/>
          <w:sz w:val="24"/>
          <w:szCs w:val="24"/>
        </w:rPr>
      </w:pPr>
      <w:r>
        <w:rPr>
          <w:rFonts w:ascii="宋体" w:hAnsi="宋体" w:eastAsia="宋体" w:cs="宋体"/>
          <w:spacing w:val="2"/>
          <w:sz w:val="24"/>
          <w:szCs w:val="24"/>
        </w:rPr>
        <w:t>（8）电子竞争性磋商响应文件中需要法定代表人签字或盖章的地方，请使用“法人</w:t>
      </w:r>
      <w:r>
        <w:rPr>
          <w:rFonts w:ascii="宋体" w:hAnsi="宋体" w:eastAsia="宋体" w:cs="宋体"/>
          <w:sz w:val="24"/>
          <w:szCs w:val="24"/>
        </w:rPr>
        <w:t>CA</w:t>
      </w:r>
      <w:r>
        <w:rPr>
          <w:rFonts w:ascii="宋体" w:hAnsi="宋体" w:eastAsia="宋体" w:cs="宋体"/>
          <w:spacing w:val="-77"/>
          <w:sz w:val="24"/>
          <w:szCs w:val="24"/>
        </w:rPr>
        <w:t xml:space="preserve"> </w:t>
      </w:r>
      <w:r>
        <w:rPr>
          <w:rFonts w:ascii="宋体" w:hAnsi="宋体" w:eastAsia="宋体" w:cs="宋体"/>
          <w:spacing w:val="2"/>
          <w:sz w:val="24"/>
          <w:szCs w:val="24"/>
        </w:rPr>
        <w:t>”</w:t>
      </w:r>
      <w:r>
        <w:rPr>
          <w:rFonts w:ascii="宋体" w:hAnsi="宋体" w:eastAsia="宋体" w:cs="宋体"/>
          <w:spacing w:val="-3"/>
          <w:sz w:val="24"/>
          <w:szCs w:val="24"/>
        </w:rPr>
        <w:t>进行签章；需要加盖供应商公章的地方，请使用“企业CA</w:t>
      </w:r>
      <w:r>
        <w:rPr>
          <w:rFonts w:ascii="宋体" w:hAnsi="宋体" w:eastAsia="宋体" w:cs="宋体"/>
          <w:spacing w:val="-89"/>
          <w:sz w:val="24"/>
          <w:szCs w:val="24"/>
        </w:rPr>
        <w:t xml:space="preserve"> </w:t>
      </w:r>
      <w:r>
        <w:rPr>
          <w:rFonts w:ascii="宋体" w:hAnsi="宋体" w:eastAsia="宋体" w:cs="宋体"/>
          <w:spacing w:val="-3"/>
          <w:sz w:val="24"/>
          <w:szCs w:val="24"/>
        </w:rPr>
        <w:t>”进行盖章。加密</w:t>
      </w:r>
      <w:r>
        <w:rPr>
          <w:rFonts w:ascii="宋体" w:hAnsi="宋体" w:eastAsia="宋体" w:cs="宋体"/>
          <w:spacing w:val="-4"/>
          <w:sz w:val="24"/>
          <w:szCs w:val="24"/>
        </w:rPr>
        <w:t>和解密应当使用同</w:t>
      </w:r>
      <w:r>
        <w:rPr>
          <w:rFonts w:ascii="宋体" w:hAnsi="宋体" w:eastAsia="宋体" w:cs="宋体"/>
          <w:spacing w:val="-2"/>
          <w:sz w:val="24"/>
          <w:szCs w:val="24"/>
        </w:rPr>
        <w:t>一CA，否则将会导致解密失败。如因供应商自身原因（加</w:t>
      </w:r>
      <w:r>
        <w:rPr>
          <w:rFonts w:ascii="宋体" w:hAnsi="宋体" w:eastAsia="宋体" w:cs="宋体"/>
          <w:spacing w:val="-3"/>
          <w:sz w:val="24"/>
          <w:szCs w:val="24"/>
        </w:rPr>
        <w:t>密和解密使用的CA锁不一致、沿用旧</w:t>
      </w:r>
      <w:r>
        <w:rPr>
          <w:rFonts w:ascii="宋体" w:hAnsi="宋体" w:eastAsia="宋体" w:cs="宋体"/>
          <w:spacing w:val="-2"/>
          <w:sz w:val="24"/>
          <w:szCs w:val="24"/>
        </w:rPr>
        <w:t>版采购文件编制响应文件、供应商拒绝解密、</w:t>
      </w:r>
      <w:r>
        <w:rPr>
          <w:rFonts w:ascii="宋体" w:hAnsi="宋体" w:eastAsia="宋体" w:cs="宋体"/>
          <w:spacing w:val="-3"/>
          <w:sz w:val="24"/>
          <w:szCs w:val="24"/>
        </w:rPr>
        <w:t>逾期提交电子竞争性磋商响应文件等）造成无法</w:t>
      </w:r>
      <w:r>
        <w:rPr>
          <w:rFonts w:ascii="宋体" w:hAnsi="宋体" w:eastAsia="宋体" w:cs="宋体"/>
          <w:sz w:val="24"/>
          <w:szCs w:val="24"/>
        </w:rPr>
        <w:t>解密竞争性磋商响应文件的；电子竞争性磋商响应文件无法打开的</w:t>
      </w:r>
      <w:r>
        <w:rPr>
          <w:rFonts w:ascii="宋体" w:hAnsi="宋体" w:eastAsia="宋体" w:cs="宋体"/>
          <w:spacing w:val="-1"/>
          <w:sz w:val="24"/>
          <w:szCs w:val="24"/>
        </w:rPr>
        <w:t>均按无效投标对待。</w:t>
      </w:r>
    </w:p>
    <w:p w14:paraId="743EDB20">
      <w:pPr>
        <w:spacing w:before="13" w:line="360" w:lineRule="auto"/>
        <w:ind w:left="14" w:right="53" w:firstLine="488"/>
        <w:rPr>
          <w:rFonts w:ascii="宋体" w:hAnsi="宋体" w:eastAsia="宋体" w:cs="宋体"/>
          <w:sz w:val="24"/>
          <w:szCs w:val="24"/>
        </w:rPr>
      </w:pPr>
      <w:r>
        <w:rPr>
          <w:rFonts w:ascii="宋体" w:hAnsi="宋体" w:eastAsia="宋体" w:cs="宋体"/>
          <w:sz w:val="24"/>
          <w:szCs w:val="24"/>
        </w:rPr>
        <w:t>（9）电子竞争性磋商响应文件同样需要使用上述专用软件进行编制。若电子竞争性磋商响应文件签章后，导出的PDF文件里看不到签章，请尝试使用查看</w:t>
      </w:r>
      <w:r>
        <w:rPr>
          <w:rFonts w:hint="eastAsia" w:ascii="宋体" w:hAnsi="宋体" w:eastAsia="宋体" w:cs="宋体"/>
          <w:sz w:val="24"/>
          <w:szCs w:val="24"/>
          <w:lang w:eastAsia="zh-CN"/>
        </w:rPr>
        <w:t>响应文件</w:t>
      </w:r>
      <w:r>
        <w:rPr>
          <w:rFonts w:ascii="宋体" w:hAnsi="宋体" w:eastAsia="宋体" w:cs="宋体"/>
          <w:sz w:val="24"/>
          <w:szCs w:val="24"/>
        </w:rPr>
        <w:t>工具打开未加密的</w:t>
      </w:r>
      <w:r>
        <w:rPr>
          <w:rFonts w:ascii="宋体" w:hAnsi="宋体" w:eastAsia="宋体" w:cs="宋体"/>
          <w:spacing w:val="-7"/>
          <w:sz w:val="24"/>
          <w:szCs w:val="24"/>
        </w:rPr>
        <w:t>电子竞争性磋商响应文件重新导出。在编制过程中，如有其他技术性问题，请先翻阅操作手册，</w:t>
      </w:r>
      <w:r>
        <w:rPr>
          <w:rFonts w:ascii="宋体" w:hAnsi="宋体" w:eastAsia="宋体" w:cs="宋体"/>
          <w:spacing w:val="-1"/>
          <w:sz w:val="24"/>
          <w:szCs w:val="24"/>
        </w:rPr>
        <w:t>或致电软件开发商：技术支持热线400-998-0000。</w:t>
      </w:r>
    </w:p>
    <w:p w14:paraId="63D61417">
      <w:pPr>
        <w:spacing w:before="2" w:line="360" w:lineRule="auto"/>
        <w:ind w:left="14" w:right="115" w:firstLine="488"/>
      </w:pPr>
      <w:r>
        <w:rPr>
          <w:rFonts w:ascii="宋体" w:hAnsi="宋体" w:eastAsia="宋体" w:cs="宋体"/>
          <w:spacing w:val="-3"/>
          <w:sz w:val="24"/>
          <w:szCs w:val="24"/>
        </w:rPr>
        <w:t>（10）采用电子化评审系统的采购项目，其纸质响应文件应从政府采购项目</w:t>
      </w:r>
      <w:r>
        <w:rPr>
          <w:rFonts w:hint="eastAsia" w:ascii="宋体" w:hAnsi="宋体" w:eastAsia="宋体" w:cs="宋体"/>
          <w:spacing w:val="-3"/>
          <w:sz w:val="24"/>
          <w:szCs w:val="24"/>
          <w:lang w:eastAsia="zh-CN"/>
        </w:rPr>
        <w:t>响应文件</w:t>
      </w:r>
      <w:r>
        <w:rPr>
          <w:rFonts w:ascii="宋体" w:hAnsi="宋体" w:eastAsia="宋体" w:cs="宋体"/>
          <w:spacing w:val="-3"/>
          <w:sz w:val="24"/>
          <w:szCs w:val="24"/>
        </w:rPr>
        <w:t>制作软件中导出（因技术限制导出的页码可能不连贯，该问题不影响响应文件的有效性，响应文件的正本和全部的副本均须打印或用蓝（黑）色墨水书写。因字迹潦草或编排混乱导致的不利后</w:t>
      </w:r>
      <w:r>
        <w:rPr>
          <w:rFonts w:ascii="宋体" w:hAnsi="宋体" w:eastAsia="宋体" w:cs="宋体"/>
          <w:spacing w:val="-1"/>
          <w:sz w:val="24"/>
          <w:szCs w:val="24"/>
        </w:rPr>
        <w:t>果，由磋商供应商自行承担。</w:t>
      </w:r>
    </w:p>
    <w:p w14:paraId="5CB6CC76">
      <w:pPr>
        <w:spacing w:before="78" w:line="360" w:lineRule="auto"/>
        <w:ind w:left="492"/>
        <w:rPr>
          <w:rFonts w:ascii="宋体" w:hAnsi="宋体" w:eastAsia="宋体" w:cs="宋体"/>
          <w:sz w:val="24"/>
          <w:szCs w:val="24"/>
        </w:rPr>
      </w:pPr>
      <w:r>
        <w:rPr>
          <w:rFonts w:ascii="宋体" w:hAnsi="宋体" w:eastAsia="宋体" w:cs="宋体"/>
          <w:b/>
          <w:bCs/>
          <w:spacing w:val="-3"/>
          <w:sz w:val="24"/>
          <w:szCs w:val="24"/>
        </w:rPr>
        <w:t>2、竞争性磋商响应文件的式样</w:t>
      </w:r>
    </w:p>
    <w:p w14:paraId="4D1F2ED3">
      <w:pPr>
        <w:spacing w:before="153" w:line="360" w:lineRule="auto"/>
        <w:ind w:left="492"/>
        <w:rPr>
          <w:rFonts w:ascii="宋体" w:hAnsi="宋体" w:eastAsia="宋体" w:cs="宋体"/>
          <w:sz w:val="24"/>
          <w:szCs w:val="24"/>
        </w:rPr>
      </w:pPr>
      <w:r>
        <w:rPr>
          <w:rFonts w:ascii="宋体" w:hAnsi="宋体" w:eastAsia="宋体" w:cs="宋体"/>
          <w:spacing w:val="-3"/>
          <w:sz w:val="24"/>
          <w:szCs w:val="24"/>
        </w:rPr>
        <w:t>2.1、语言</w:t>
      </w:r>
    </w:p>
    <w:p w14:paraId="32CE2056">
      <w:pPr>
        <w:spacing w:before="151" w:line="360" w:lineRule="auto"/>
        <w:ind w:left="13" w:firstLine="475"/>
        <w:rPr>
          <w:rFonts w:ascii="宋体" w:hAnsi="宋体" w:eastAsia="宋体" w:cs="宋体"/>
          <w:sz w:val="24"/>
          <w:szCs w:val="24"/>
        </w:rPr>
      </w:pPr>
      <w:r>
        <w:rPr>
          <w:rFonts w:ascii="宋体" w:hAnsi="宋体" w:eastAsia="宋体" w:cs="宋体"/>
          <w:spacing w:val="-7"/>
          <w:sz w:val="24"/>
          <w:szCs w:val="24"/>
        </w:rPr>
        <w:t>磋商活动的所有文件、资料、函电文字均使用简体中文，确需提交用其他语言形成的资</w:t>
      </w:r>
      <w:r>
        <w:rPr>
          <w:rFonts w:ascii="宋体" w:hAnsi="宋体" w:eastAsia="宋体" w:cs="宋体"/>
          <w:spacing w:val="-8"/>
          <w:sz w:val="24"/>
          <w:szCs w:val="24"/>
        </w:rPr>
        <w:t>料，</w:t>
      </w:r>
      <w:r>
        <w:rPr>
          <w:rFonts w:ascii="宋体" w:hAnsi="宋体" w:eastAsia="宋体" w:cs="宋体"/>
          <w:spacing w:val="-1"/>
          <w:sz w:val="24"/>
          <w:szCs w:val="24"/>
        </w:rPr>
        <w:t>必须翻译成简体中文，如有差异，以简体中文为准。</w:t>
      </w:r>
    </w:p>
    <w:p w14:paraId="063679AE">
      <w:pPr>
        <w:spacing w:line="360" w:lineRule="auto"/>
        <w:ind w:left="492"/>
        <w:rPr>
          <w:rFonts w:ascii="宋体" w:hAnsi="宋体" w:eastAsia="宋体" w:cs="宋体"/>
          <w:sz w:val="24"/>
          <w:szCs w:val="24"/>
        </w:rPr>
      </w:pPr>
      <w:r>
        <w:rPr>
          <w:rFonts w:ascii="宋体" w:hAnsi="宋体" w:eastAsia="宋体" w:cs="宋体"/>
          <w:spacing w:val="-2"/>
          <w:sz w:val="24"/>
          <w:szCs w:val="24"/>
        </w:rPr>
        <w:t>2.2、计量单位</w:t>
      </w:r>
    </w:p>
    <w:p w14:paraId="5BECA654">
      <w:pPr>
        <w:spacing w:before="152" w:line="360" w:lineRule="auto"/>
        <w:ind w:left="10" w:right="61" w:firstLine="481"/>
        <w:rPr>
          <w:rFonts w:ascii="宋体" w:hAnsi="宋体" w:eastAsia="宋体" w:cs="宋体"/>
          <w:sz w:val="24"/>
          <w:szCs w:val="24"/>
        </w:rPr>
      </w:pPr>
      <w:r>
        <w:rPr>
          <w:rFonts w:ascii="宋体" w:hAnsi="宋体" w:eastAsia="宋体" w:cs="宋体"/>
          <w:spacing w:val="-3"/>
          <w:sz w:val="24"/>
          <w:szCs w:val="24"/>
        </w:rPr>
        <w:t>竞争性磋商文件的计量单位应使用中华人民共和国法定计量单位，但竞争性磋商文件另有</w:t>
      </w:r>
      <w:r>
        <w:rPr>
          <w:rFonts w:ascii="宋体" w:hAnsi="宋体" w:eastAsia="宋体" w:cs="宋体"/>
          <w:spacing w:val="-2"/>
          <w:sz w:val="24"/>
          <w:szCs w:val="24"/>
        </w:rPr>
        <w:t>规定的除外。</w:t>
      </w:r>
    </w:p>
    <w:p w14:paraId="5965CC2E">
      <w:pPr>
        <w:spacing w:line="360" w:lineRule="auto"/>
        <w:ind w:left="494"/>
        <w:rPr>
          <w:rFonts w:ascii="宋体" w:hAnsi="宋体" w:eastAsia="宋体" w:cs="宋体"/>
          <w:sz w:val="24"/>
          <w:szCs w:val="24"/>
        </w:rPr>
      </w:pPr>
      <w:r>
        <w:rPr>
          <w:rFonts w:ascii="宋体" w:hAnsi="宋体" w:eastAsia="宋体" w:cs="宋体"/>
          <w:b/>
          <w:bCs/>
          <w:spacing w:val="-3"/>
          <w:sz w:val="24"/>
          <w:szCs w:val="24"/>
        </w:rPr>
        <w:t>3、竞争性磋商响应文件的组成</w:t>
      </w:r>
    </w:p>
    <w:p w14:paraId="2558ABD9">
      <w:pPr>
        <w:spacing w:before="160" w:line="360" w:lineRule="auto"/>
        <w:ind w:left="13" w:right="61" w:firstLine="480"/>
        <w:jc w:val="both"/>
        <w:rPr>
          <w:rFonts w:ascii="宋体" w:hAnsi="宋体" w:eastAsia="宋体" w:cs="宋体"/>
          <w:sz w:val="24"/>
          <w:szCs w:val="24"/>
        </w:rPr>
      </w:pPr>
      <w:r>
        <w:rPr>
          <w:rFonts w:ascii="宋体" w:hAnsi="宋体" w:eastAsia="宋体" w:cs="宋体"/>
          <w:sz w:val="24"/>
          <w:szCs w:val="24"/>
        </w:rPr>
        <w:t>3.1、磋商供应商须依据磋商文件的内容要求编制磋商响应文件，明确表达其意愿，对磋</w:t>
      </w:r>
    </w:p>
    <w:p w14:paraId="3FCF1D81">
      <w:pPr>
        <w:spacing w:before="160" w:line="360" w:lineRule="auto"/>
        <w:ind w:left="13" w:right="61" w:firstLine="480"/>
        <w:jc w:val="both"/>
        <w:rPr>
          <w:rFonts w:ascii="宋体" w:hAnsi="宋体" w:eastAsia="宋体" w:cs="宋体"/>
          <w:sz w:val="24"/>
          <w:szCs w:val="24"/>
        </w:rPr>
      </w:pPr>
      <w:r>
        <w:rPr>
          <w:rFonts w:ascii="宋体" w:hAnsi="宋体" w:eastAsia="宋体" w:cs="宋体"/>
          <w:sz w:val="24"/>
          <w:szCs w:val="24"/>
        </w:rPr>
        <w:t>商文件作出实质性响应。主要包括：</w:t>
      </w:r>
    </w:p>
    <w:p w14:paraId="3170E456">
      <w:pPr>
        <w:spacing w:before="160" w:line="360" w:lineRule="auto"/>
        <w:ind w:left="13" w:right="61" w:firstLine="480"/>
        <w:jc w:val="both"/>
        <w:rPr>
          <w:rFonts w:ascii="宋体" w:hAnsi="宋体" w:eastAsia="宋体" w:cs="宋体"/>
          <w:sz w:val="24"/>
          <w:szCs w:val="24"/>
        </w:rPr>
      </w:pPr>
      <w:r>
        <w:rPr>
          <w:rFonts w:ascii="宋体" w:hAnsi="宋体" w:eastAsia="宋体" w:cs="宋体"/>
          <w:sz w:val="24"/>
          <w:szCs w:val="24"/>
        </w:rPr>
        <w:t>第</w:t>
      </w:r>
      <w:r>
        <w:rPr>
          <w:rFonts w:hint="eastAsia" w:ascii="宋体" w:hAnsi="宋体" w:eastAsia="宋体" w:cs="宋体"/>
          <w:sz w:val="24"/>
          <w:szCs w:val="24"/>
          <w:lang w:val="en-US" w:eastAsia="zh-CN"/>
        </w:rPr>
        <w:t>一</w:t>
      </w:r>
      <w:r>
        <w:rPr>
          <w:rFonts w:ascii="宋体" w:hAnsi="宋体" w:eastAsia="宋体" w:cs="宋体"/>
          <w:sz w:val="24"/>
          <w:szCs w:val="24"/>
        </w:rPr>
        <w:t>部分  响应函</w:t>
      </w:r>
    </w:p>
    <w:p w14:paraId="3C191528">
      <w:pPr>
        <w:spacing w:before="160" w:line="360" w:lineRule="auto"/>
        <w:ind w:left="13" w:right="61" w:firstLine="480"/>
        <w:jc w:val="both"/>
        <w:rPr>
          <w:rFonts w:ascii="宋体" w:hAnsi="宋体" w:eastAsia="宋体" w:cs="宋体"/>
          <w:sz w:val="24"/>
          <w:szCs w:val="24"/>
        </w:rPr>
      </w:pPr>
      <w:r>
        <w:rPr>
          <w:rFonts w:ascii="宋体" w:hAnsi="宋体" w:eastAsia="宋体" w:cs="宋体"/>
          <w:sz w:val="24"/>
          <w:szCs w:val="24"/>
        </w:rPr>
        <w:t>第二部分</w:t>
      </w:r>
      <w:r>
        <w:rPr>
          <w:rFonts w:hint="eastAsia" w:ascii="宋体" w:hAnsi="宋体" w:eastAsia="宋体" w:cs="宋体"/>
          <w:sz w:val="24"/>
          <w:szCs w:val="24"/>
          <w:lang w:val="en-US" w:eastAsia="zh-CN"/>
        </w:rPr>
        <w:t xml:space="preserve"> </w:t>
      </w:r>
      <w:r>
        <w:rPr>
          <w:rFonts w:ascii="宋体" w:hAnsi="宋体" w:eastAsia="宋体" w:cs="宋体"/>
          <w:sz w:val="24"/>
          <w:szCs w:val="24"/>
        </w:rPr>
        <w:t>第一次磋商报价表</w:t>
      </w:r>
    </w:p>
    <w:p w14:paraId="482F4EE5">
      <w:pPr>
        <w:spacing w:before="160" w:line="360" w:lineRule="auto"/>
        <w:ind w:left="13" w:right="61" w:firstLine="480"/>
        <w:jc w:val="both"/>
        <w:rPr>
          <w:rFonts w:ascii="宋体" w:hAnsi="宋体" w:eastAsia="宋体" w:cs="宋体"/>
          <w:sz w:val="24"/>
          <w:szCs w:val="24"/>
        </w:rPr>
      </w:pPr>
      <w:r>
        <w:rPr>
          <w:rFonts w:ascii="宋体" w:hAnsi="宋体" w:eastAsia="宋体" w:cs="宋体"/>
          <w:sz w:val="24"/>
          <w:szCs w:val="24"/>
        </w:rPr>
        <w:t>第三部分  分项报价表</w:t>
      </w:r>
    </w:p>
    <w:p w14:paraId="2ABC47F3">
      <w:pPr>
        <w:spacing w:before="160" w:line="360" w:lineRule="auto"/>
        <w:ind w:left="13" w:right="61" w:firstLine="480"/>
        <w:jc w:val="both"/>
        <w:rPr>
          <w:rFonts w:ascii="宋体" w:hAnsi="宋体" w:eastAsia="宋体" w:cs="宋体"/>
          <w:sz w:val="24"/>
          <w:szCs w:val="24"/>
        </w:rPr>
      </w:pPr>
      <w:r>
        <w:rPr>
          <w:rFonts w:ascii="宋体" w:hAnsi="宋体" w:eastAsia="宋体" w:cs="宋体"/>
          <w:sz w:val="24"/>
          <w:szCs w:val="24"/>
        </w:rPr>
        <w:t>第四部分  服务/商务条款偏差表</w:t>
      </w:r>
    </w:p>
    <w:p w14:paraId="0E7C4BA3">
      <w:pPr>
        <w:spacing w:before="160" w:line="360" w:lineRule="auto"/>
        <w:ind w:left="13" w:right="61" w:firstLine="480"/>
        <w:jc w:val="both"/>
        <w:rPr>
          <w:rFonts w:ascii="宋体" w:hAnsi="宋体" w:eastAsia="宋体" w:cs="宋体"/>
          <w:sz w:val="24"/>
          <w:szCs w:val="24"/>
        </w:rPr>
      </w:pPr>
      <w:r>
        <w:rPr>
          <w:rFonts w:ascii="宋体" w:hAnsi="宋体" w:eastAsia="宋体" w:cs="宋体"/>
          <w:sz w:val="24"/>
          <w:szCs w:val="24"/>
        </w:rPr>
        <w:t>第五部分  响应方案</w:t>
      </w:r>
    </w:p>
    <w:p w14:paraId="746D4A8A">
      <w:pPr>
        <w:spacing w:before="160" w:line="360" w:lineRule="auto"/>
        <w:ind w:left="13" w:right="61" w:firstLine="480"/>
        <w:jc w:val="both"/>
        <w:rPr>
          <w:rFonts w:ascii="宋体" w:hAnsi="宋体" w:eastAsia="宋体" w:cs="宋体"/>
          <w:sz w:val="24"/>
          <w:szCs w:val="24"/>
        </w:rPr>
      </w:pPr>
      <w:r>
        <w:rPr>
          <w:rFonts w:ascii="宋体" w:hAnsi="宋体" w:eastAsia="宋体" w:cs="宋体"/>
          <w:sz w:val="24"/>
          <w:szCs w:val="24"/>
        </w:rPr>
        <w:t>第六部分  供应商承诺书</w:t>
      </w:r>
    </w:p>
    <w:p w14:paraId="58379ABB">
      <w:pPr>
        <w:spacing w:before="160" w:line="360" w:lineRule="auto"/>
        <w:ind w:left="13" w:right="61" w:firstLine="480"/>
        <w:jc w:val="both"/>
        <w:rPr>
          <w:rFonts w:ascii="宋体" w:hAnsi="宋体" w:eastAsia="宋体" w:cs="宋体"/>
          <w:sz w:val="24"/>
          <w:szCs w:val="24"/>
        </w:rPr>
      </w:pPr>
      <w:r>
        <w:rPr>
          <w:rFonts w:ascii="宋体" w:hAnsi="宋体" w:eastAsia="宋体" w:cs="宋体"/>
          <w:sz w:val="24"/>
          <w:szCs w:val="24"/>
        </w:rPr>
        <w:t>第七部分  供应商资质证明文件</w:t>
      </w:r>
    </w:p>
    <w:p w14:paraId="5E135B6F">
      <w:pPr>
        <w:spacing w:before="160" w:line="360" w:lineRule="auto"/>
        <w:ind w:left="13" w:right="61" w:firstLine="480"/>
        <w:jc w:val="both"/>
        <w:rPr>
          <w:rFonts w:ascii="宋体" w:hAnsi="宋体" w:eastAsia="宋体" w:cs="宋体"/>
          <w:sz w:val="24"/>
          <w:szCs w:val="24"/>
        </w:rPr>
      </w:pPr>
      <w:r>
        <w:rPr>
          <w:rFonts w:ascii="宋体" w:hAnsi="宋体" w:eastAsia="宋体" w:cs="宋体"/>
          <w:sz w:val="24"/>
          <w:szCs w:val="24"/>
        </w:rPr>
        <w:t>第八部分  政府采购政策证明材料</w:t>
      </w:r>
    </w:p>
    <w:p w14:paraId="31B622F7">
      <w:pPr>
        <w:spacing w:before="160" w:line="360" w:lineRule="auto"/>
        <w:ind w:left="13" w:right="61" w:firstLine="480"/>
        <w:jc w:val="both"/>
        <w:rPr>
          <w:rFonts w:ascii="宋体" w:hAnsi="宋体" w:eastAsia="宋体" w:cs="宋体"/>
          <w:sz w:val="24"/>
          <w:szCs w:val="24"/>
        </w:rPr>
      </w:pPr>
      <w:r>
        <w:rPr>
          <w:rFonts w:ascii="宋体" w:hAnsi="宋体" w:eastAsia="宋体" w:cs="宋体"/>
          <w:sz w:val="24"/>
          <w:szCs w:val="24"/>
        </w:rPr>
        <w:t>第九部分  其他资料</w:t>
      </w:r>
    </w:p>
    <w:p w14:paraId="32A71661">
      <w:pPr>
        <w:spacing w:before="160" w:line="360" w:lineRule="auto"/>
        <w:ind w:left="13" w:right="61" w:firstLine="480"/>
        <w:jc w:val="both"/>
        <w:rPr>
          <w:rFonts w:ascii="宋体" w:hAnsi="宋体" w:eastAsia="宋体" w:cs="宋体"/>
          <w:sz w:val="24"/>
          <w:szCs w:val="24"/>
        </w:rPr>
      </w:pPr>
      <w:r>
        <w:rPr>
          <w:rFonts w:ascii="宋体" w:hAnsi="宋体" w:eastAsia="宋体" w:cs="宋体"/>
          <w:sz w:val="24"/>
          <w:szCs w:val="24"/>
        </w:rPr>
        <w:t>3 2、竞争性磋商响应文件中第一次磋商报价表内容与分项报价表内容不一致的，以第次磋商报价表为准。</w:t>
      </w:r>
    </w:p>
    <w:p w14:paraId="635C1B9B">
      <w:pPr>
        <w:spacing w:before="160" w:line="360" w:lineRule="auto"/>
        <w:ind w:left="13" w:right="61" w:firstLine="480"/>
        <w:jc w:val="both"/>
        <w:rPr>
          <w:rFonts w:ascii="宋体" w:hAnsi="宋体" w:eastAsia="宋体" w:cs="宋体"/>
          <w:sz w:val="24"/>
          <w:szCs w:val="24"/>
        </w:rPr>
      </w:pPr>
      <w:r>
        <w:rPr>
          <w:rFonts w:ascii="宋体" w:hAnsi="宋体" w:eastAsia="宋体" w:cs="宋体"/>
          <w:sz w:val="24"/>
          <w:szCs w:val="24"/>
        </w:rPr>
        <w:t>3.3、本次磋商的最小单元为“包号</w:t>
      </w:r>
      <w:r>
        <w:rPr>
          <w:rFonts w:ascii="宋体" w:hAnsi="宋体" w:eastAsia="宋体" w:cs="宋体"/>
          <w:spacing w:val="-88"/>
          <w:sz w:val="24"/>
          <w:szCs w:val="24"/>
        </w:rPr>
        <w:t xml:space="preserve"> </w:t>
      </w:r>
      <w:r>
        <w:rPr>
          <w:rFonts w:ascii="宋体" w:hAnsi="宋体" w:eastAsia="宋体" w:cs="宋体"/>
          <w:sz w:val="24"/>
          <w:szCs w:val="24"/>
        </w:rPr>
        <w:t>”，</w:t>
      </w:r>
      <w:r>
        <w:rPr>
          <w:rFonts w:ascii="宋体" w:hAnsi="宋体" w:eastAsia="宋体" w:cs="宋体"/>
          <w:spacing w:val="-1"/>
          <w:sz w:val="24"/>
          <w:szCs w:val="24"/>
        </w:rPr>
        <w:t>供应商可根据自身的资质情况和经营范围对本次</w:t>
      </w:r>
      <w:r>
        <w:rPr>
          <w:rFonts w:ascii="宋体" w:hAnsi="宋体" w:eastAsia="宋体" w:cs="宋体"/>
          <w:spacing w:val="-3"/>
          <w:sz w:val="24"/>
          <w:szCs w:val="24"/>
        </w:rPr>
        <w:t>项目进行磋商，不得将其子目再行分解或只对本次项目中的品目进行不完全磋商，任何不完全</w:t>
      </w:r>
      <w:r>
        <w:rPr>
          <w:rFonts w:ascii="宋体" w:hAnsi="宋体" w:eastAsia="宋体" w:cs="宋体"/>
          <w:spacing w:val="-2"/>
          <w:sz w:val="24"/>
          <w:szCs w:val="24"/>
        </w:rPr>
        <w:t>的响应将会被拒绝。</w:t>
      </w:r>
    </w:p>
    <w:p w14:paraId="35DCD17E">
      <w:pPr>
        <w:spacing w:line="360" w:lineRule="auto"/>
        <w:ind w:left="488"/>
        <w:rPr>
          <w:rFonts w:ascii="宋体" w:hAnsi="宋体" w:eastAsia="宋体" w:cs="宋体"/>
          <w:sz w:val="24"/>
          <w:szCs w:val="24"/>
        </w:rPr>
      </w:pPr>
      <w:r>
        <w:rPr>
          <w:rFonts w:ascii="宋体" w:hAnsi="宋体" w:eastAsia="宋体" w:cs="宋体"/>
          <w:b/>
          <w:bCs/>
          <w:spacing w:val="-4"/>
          <w:sz w:val="24"/>
          <w:szCs w:val="24"/>
        </w:rPr>
        <w:t>4、组成及格式</w:t>
      </w:r>
    </w:p>
    <w:p w14:paraId="3BA3FF1F">
      <w:pPr>
        <w:spacing w:before="154" w:line="360" w:lineRule="auto"/>
        <w:ind w:left="8" w:right="61" w:firstLine="480"/>
        <w:rPr>
          <w:rFonts w:ascii="宋体" w:hAnsi="宋体" w:eastAsia="宋体" w:cs="宋体"/>
          <w:sz w:val="24"/>
          <w:szCs w:val="24"/>
        </w:rPr>
      </w:pPr>
      <w:r>
        <w:rPr>
          <w:rFonts w:ascii="宋体" w:hAnsi="宋体" w:eastAsia="宋体" w:cs="宋体"/>
          <w:spacing w:val="-3"/>
          <w:sz w:val="24"/>
          <w:szCs w:val="24"/>
        </w:rPr>
        <w:t>供应商依照竞争性磋商文件第七章《竞争性磋商响应文件格式》给定形式进行编制竞争性</w:t>
      </w:r>
      <w:r>
        <w:rPr>
          <w:rFonts w:ascii="宋体" w:hAnsi="宋体" w:eastAsia="宋体" w:cs="宋体"/>
          <w:sz w:val="24"/>
          <w:szCs w:val="24"/>
        </w:rPr>
        <w:t>磋商响应文件，明确表达投标意愿，详细说明响</w:t>
      </w:r>
      <w:r>
        <w:rPr>
          <w:rFonts w:ascii="宋体" w:hAnsi="宋体" w:eastAsia="宋体" w:cs="宋体"/>
          <w:spacing w:val="-1"/>
          <w:sz w:val="24"/>
          <w:szCs w:val="24"/>
        </w:rPr>
        <w:t>应方案、承诺及价格。</w:t>
      </w:r>
    </w:p>
    <w:p w14:paraId="2E87E42A">
      <w:pPr>
        <w:spacing w:before="2" w:line="360" w:lineRule="auto"/>
        <w:ind w:left="9" w:right="61" w:firstLine="481"/>
        <w:rPr>
          <w:rFonts w:ascii="宋体" w:hAnsi="宋体" w:eastAsia="宋体" w:cs="宋体"/>
          <w:sz w:val="24"/>
          <w:szCs w:val="24"/>
        </w:rPr>
      </w:pPr>
      <w:r>
        <w:rPr>
          <w:rFonts w:ascii="宋体" w:hAnsi="宋体" w:eastAsia="宋体" w:cs="宋体"/>
          <w:sz w:val="24"/>
          <w:szCs w:val="24"/>
        </w:rPr>
        <w:t>按竞争性磋商文件第五章采购内容及要求和第七章竞争性</w:t>
      </w:r>
      <w:r>
        <w:rPr>
          <w:rFonts w:ascii="宋体" w:hAnsi="宋体" w:eastAsia="宋体" w:cs="宋体"/>
          <w:spacing w:val="-1"/>
          <w:sz w:val="24"/>
          <w:szCs w:val="24"/>
        </w:rPr>
        <w:t>磋商响应文件格式提供的格式</w:t>
      </w:r>
      <w:r>
        <w:rPr>
          <w:rFonts w:ascii="宋体" w:hAnsi="宋体" w:eastAsia="宋体" w:cs="宋体"/>
          <w:spacing w:val="-2"/>
          <w:sz w:val="24"/>
          <w:szCs w:val="24"/>
        </w:rPr>
        <w:t>和要求编写其竞争性磋商响应文件，供应商</w:t>
      </w:r>
      <w:r>
        <w:rPr>
          <w:rFonts w:ascii="宋体" w:hAnsi="宋体" w:eastAsia="宋体" w:cs="宋体"/>
          <w:spacing w:val="-3"/>
          <w:sz w:val="24"/>
          <w:szCs w:val="24"/>
        </w:rPr>
        <w:t>不得缺少或留空任何竞争性磋商文件要求填写的表</w:t>
      </w:r>
      <w:r>
        <w:rPr>
          <w:rFonts w:ascii="宋体" w:hAnsi="宋体" w:eastAsia="宋体" w:cs="宋体"/>
          <w:spacing w:val="-2"/>
          <w:sz w:val="24"/>
          <w:szCs w:val="24"/>
        </w:rPr>
        <w:t>格或提交的资料。</w:t>
      </w:r>
    </w:p>
    <w:p w14:paraId="6D6C6D9B">
      <w:pPr>
        <w:spacing w:before="1" w:line="360" w:lineRule="auto"/>
        <w:ind w:left="494"/>
      </w:pPr>
      <w:r>
        <w:rPr>
          <w:rFonts w:ascii="宋体" w:hAnsi="宋体" w:eastAsia="宋体" w:cs="宋体"/>
          <w:b/>
          <w:bCs/>
          <w:spacing w:val="-5"/>
          <w:sz w:val="24"/>
          <w:szCs w:val="24"/>
        </w:rPr>
        <w:t>5、磋商报价：</w:t>
      </w:r>
    </w:p>
    <w:p w14:paraId="4718EDBA">
      <w:pPr>
        <w:spacing w:before="78" w:line="360" w:lineRule="auto"/>
        <w:ind w:left="8" w:right="7" w:firstLine="485"/>
        <w:rPr>
          <w:rFonts w:ascii="宋体" w:hAnsi="宋体" w:eastAsia="宋体" w:cs="宋体"/>
          <w:sz w:val="24"/>
          <w:szCs w:val="24"/>
        </w:rPr>
      </w:pPr>
      <w:r>
        <w:rPr>
          <w:rFonts w:ascii="宋体" w:hAnsi="宋体" w:eastAsia="宋体" w:cs="宋体"/>
          <w:sz w:val="24"/>
          <w:szCs w:val="24"/>
        </w:rPr>
        <w:t>5.1、供应商依据竞争性磋商文件给定的资料及现行规范的相应规定，在充分考虑项目的</w:t>
      </w:r>
      <w:r>
        <w:rPr>
          <w:rFonts w:ascii="宋体" w:hAnsi="宋体" w:eastAsia="宋体" w:cs="宋体"/>
          <w:spacing w:val="-1"/>
          <w:sz w:val="24"/>
          <w:szCs w:val="24"/>
        </w:rPr>
        <w:t>实际工作内容、工作量、技术含量、难易程度、复杂性等因素的基础上以</w:t>
      </w:r>
      <w:r>
        <w:rPr>
          <w:rFonts w:ascii="宋体" w:hAnsi="宋体" w:eastAsia="宋体" w:cs="宋体"/>
          <w:spacing w:val="-2"/>
          <w:sz w:val="24"/>
          <w:szCs w:val="24"/>
        </w:rPr>
        <w:t>总价形式进行报价。任何错报、漏报由供应商自行负责。磋商报</w:t>
      </w:r>
      <w:r>
        <w:rPr>
          <w:rFonts w:ascii="宋体" w:hAnsi="宋体" w:eastAsia="宋体" w:cs="宋体"/>
          <w:spacing w:val="-3"/>
          <w:sz w:val="24"/>
          <w:szCs w:val="24"/>
        </w:rPr>
        <w:t>价表中标明本次服务价格，任何有选择的报价将不</w:t>
      </w:r>
      <w:r>
        <w:rPr>
          <w:rFonts w:ascii="宋体" w:hAnsi="宋体" w:eastAsia="宋体" w:cs="宋体"/>
          <w:spacing w:val="-1"/>
          <w:sz w:val="24"/>
          <w:szCs w:val="24"/>
        </w:rPr>
        <w:t>予接受，按无效磋商处理。</w:t>
      </w:r>
    </w:p>
    <w:p w14:paraId="40406A72">
      <w:pPr>
        <w:spacing w:before="1" w:line="360" w:lineRule="auto"/>
        <w:ind w:left="8" w:right="61" w:firstLine="485"/>
        <w:rPr>
          <w:rFonts w:ascii="宋体" w:hAnsi="宋体" w:eastAsia="宋体" w:cs="宋体"/>
          <w:sz w:val="24"/>
          <w:szCs w:val="24"/>
        </w:rPr>
      </w:pPr>
      <w:r>
        <w:rPr>
          <w:rFonts w:ascii="宋体" w:hAnsi="宋体" w:eastAsia="宋体" w:cs="宋体"/>
          <w:sz w:val="24"/>
          <w:szCs w:val="24"/>
        </w:rPr>
        <w:t>5.2、凡因供应商对竞争性磋商文件阅读不深、理解不透、误解、疏漏、或因市场行情了</w:t>
      </w:r>
      <w:r>
        <w:rPr>
          <w:rFonts w:ascii="宋体" w:hAnsi="宋体" w:eastAsia="宋体" w:cs="宋体"/>
          <w:spacing w:val="-1"/>
          <w:sz w:val="24"/>
          <w:szCs w:val="24"/>
        </w:rPr>
        <w:t>解不清造成的后果和风险均由供应商自负。</w:t>
      </w:r>
    </w:p>
    <w:p w14:paraId="67DE6B84">
      <w:pPr>
        <w:spacing w:line="360" w:lineRule="auto"/>
        <w:ind w:left="10" w:right="61" w:firstLine="483"/>
        <w:rPr>
          <w:rFonts w:ascii="宋体" w:hAnsi="宋体" w:eastAsia="宋体" w:cs="宋体"/>
          <w:sz w:val="24"/>
          <w:szCs w:val="24"/>
        </w:rPr>
      </w:pPr>
      <w:r>
        <w:rPr>
          <w:rFonts w:ascii="宋体" w:hAnsi="宋体" w:eastAsia="宋体" w:cs="宋体"/>
          <w:sz w:val="24"/>
          <w:szCs w:val="24"/>
        </w:rPr>
        <w:t>5.3、磋商报价不因市场因素、政府政策调整、费率调整和税收变化等而作任何调整，投</w:t>
      </w:r>
      <w:r>
        <w:rPr>
          <w:rFonts w:ascii="宋体" w:hAnsi="宋体" w:eastAsia="宋体" w:cs="宋体"/>
          <w:spacing w:val="-1"/>
          <w:sz w:val="24"/>
          <w:szCs w:val="24"/>
        </w:rPr>
        <w:t>标单位应充分考虑到各种风险因素。</w:t>
      </w:r>
    </w:p>
    <w:p w14:paraId="69812DAD">
      <w:pPr>
        <w:spacing w:before="1" w:line="360" w:lineRule="auto"/>
        <w:ind w:left="8" w:firstLine="485"/>
        <w:rPr>
          <w:rFonts w:ascii="宋体" w:hAnsi="宋体" w:eastAsia="宋体" w:cs="宋体"/>
          <w:sz w:val="24"/>
          <w:szCs w:val="24"/>
        </w:rPr>
      </w:pPr>
      <w:r>
        <w:rPr>
          <w:rFonts w:ascii="宋体" w:hAnsi="宋体" w:eastAsia="宋体" w:cs="宋体"/>
          <w:spacing w:val="-4"/>
          <w:sz w:val="24"/>
          <w:szCs w:val="24"/>
        </w:rPr>
        <w:t>5.4、凡竞争性磋商文件要求或允许磋商中进行报价的各项费用项目，若磋商报价</w:t>
      </w:r>
      <w:r>
        <w:rPr>
          <w:rFonts w:ascii="宋体" w:hAnsi="宋体" w:eastAsia="宋体" w:cs="宋体"/>
          <w:spacing w:val="-5"/>
          <w:sz w:val="24"/>
          <w:szCs w:val="24"/>
        </w:rPr>
        <w:t>时未报，</w:t>
      </w:r>
      <w:r>
        <w:rPr>
          <w:rFonts w:ascii="宋体" w:hAnsi="宋体" w:eastAsia="宋体" w:cs="宋体"/>
          <w:spacing w:val="-1"/>
          <w:sz w:val="24"/>
          <w:szCs w:val="24"/>
        </w:rPr>
        <w:t>采购人将按这些费用已包含在磋商报价中对待。</w:t>
      </w:r>
    </w:p>
    <w:p w14:paraId="16084061">
      <w:pPr>
        <w:spacing w:before="10" w:line="360" w:lineRule="auto"/>
        <w:ind w:left="494"/>
        <w:rPr>
          <w:rFonts w:ascii="宋体" w:hAnsi="宋体" w:eastAsia="宋体" w:cs="宋体"/>
          <w:sz w:val="24"/>
          <w:szCs w:val="24"/>
        </w:rPr>
      </w:pPr>
      <w:r>
        <w:rPr>
          <w:rFonts w:ascii="宋体" w:hAnsi="宋体" w:eastAsia="宋体" w:cs="宋体"/>
          <w:spacing w:val="-1"/>
          <w:sz w:val="24"/>
          <w:szCs w:val="24"/>
        </w:rPr>
        <w:t>5.5、最低报价不是确定成交供应商的唯一条件。</w:t>
      </w:r>
    </w:p>
    <w:p w14:paraId="0851CD41">
      <w:pPr>
        <w:spacing w:before="159" w:line="360" w:lineRule="auto"/>
        <w:ind w:left="494"/>
        <w:rPr>
          <w:rFonts w:ascii="宋体" w:hAnsi="宋体" w:eastAsia="宋体" w:cs="宋体"/>
          <w:sz w:val="24"/>
          <w:szCs w:val="24"/>
        </w:rPr>
      </w:pPr>
      <w:r>
        <w:rPr>
          <w:rFonts w:ascii="宋体" w:hAnsi="宋体" w:eastAsia="宋体" w:cs="宋体"/>
          <w:spacing w:val="-1"/>
          <w:sz w:val="24"/>
          <w:szCs w:val="24"/>
        </w:rPr>
        <w:t>5.6、磋商报价货币：人民币，单位:元。</w:t>
      </w:r>
    </w:p>
    <w:p w14:paraId="3F80DB7C">
      <w:pPr>
        <w:spacing w:before="157" w:line="360" w:lineRule="auto"/>
        <w:ind w:left="10" w:right="61" w:firstLine="483"/>
        <w:rPr>
          <w:rFonts w:ascii="宋体" w:hAnsi="宋体" w:eastAsia="宋体" w:cs="宋体"/>
          <w:sz w:val="24"/>
          <w:szCs w:val="24"/>
        </w:rPr>
      </w:pPr>
      <w:r>
        <w:rPr>
          <w:rFonts w:ascii="宋体" w:hAnsi="宋体" w:eastAsia="宋体" w:cs="宋体"/>
          <w:sz w:val="24"/>
          <w:szCs w:val="24"/>
        </w:rPr>
        <w:t>5.7、磋商后所确定的成交价格，在合同执行过程中，不得以任何理由变更。成交供应不</w:t>
      </w:r>
      <w:r>
        <w:rPr>
          <w:rFonts w:ascii="宋体" w:hAnsi="宋体" w:eastAsia="宋体" w:cs="宋体"/>
          <w:spacing w:val="-3"/>
          <w:sz w:val="24"/>
          <w:szCs w:val="24"/>
        </w:rPr>
        <w:t>得擅自改变服务内容、服务标准、服务期限和追加项目预算。任何有选择或可调整的报价将不</w:t>
      </w:r>
      <w:r>
        <w:rPr>
          <w:rFonts w:ascii="宋体" w:hAnsi="宋体" w:eastAsia="宋体" w:cs="宋体"/>
          <w:spacing w:val="-1"/>
          <w:sz w:val="24"/>
          <w:szCs w:val="24"/>
        </w:rPr>
        <w:t>予接受，并按无效磋商处理。</w:t>
      </w:r>
    </w:p>
    <w:p w14:paraId="38B1D573">
      <w:pPr>
        <w:spacing w:before="2" w:line="360" w:lineRule="auto"/>
        <w:ind w:left="10" w:right="61" w:firstLine="483"/>
        <w:rPr>
          <w:rFonts w:ascii="宋体" w:hAnsi="宋体" w:eastAsia="宋体" w:cs="宋体"/>
          <w:sz w:val="24"/>
          <w:szCs w:val="24"/>
        </w:rPr>
      </w:pPr>
      <w:r>
        <w:rPr>
          <w:rFonts w:ascii="宋体" w:hAnsi="宋体" w:eastAsia="宋体" w:cs="宋体"/>
          <w:sz w:val="24"/>
          <w:szCs w:val="24"/>
        </w:rPr>
        <w:t>5.8、供应商不得以低于成本的报价参加磋商。若磋商小组认为某个供应商的报价明显低</w:t>
      </w:r>
      <w:r>
        <w:rPr>
          <w:rFonts w:ascii="宋体" w:hAnsi="宋体" w:eastAsia="宋体" w:cs="宋体"/>
          <w:spacing w:val="-3"/>
          <w:sz w:val="24"/>
          <w:szCs w:val="24"/>
        </w:rPr>
        <w:t>于其他通过符合性审查的供应商的报价，有可能影响产品质量或者不能诚信履约的，应当要求其在磋商现场合理的时间内提供书面说明，必要时提交相关证明材料；供应商不能证明其报价</w:t>
      </w:r>
      <w:r>
        <w:rPr>
          <w:rFonts w:ascii="宋体" w:hAnsi="宋体" w:eastAsia="宋体" w:cs="宋体"/>
          <w:spacing w:val="-1"/>
          <w:sz w:val="24"/>
          <w:szCs w:val="24"/>
        </w:rPr>
        <w:t>合理性的，磋商小组应将其作为无效磋商处理。</w:t>
      </w:r>
    </w:p>
    <w:p w14:paraId="635F955B">
      <w:pPr>
        <w:spacing w:before="2" w:line="360" w:lineRule="auto"/>
        <w:ind w:left="8" w:right="61" w:firstLine="485"/>
        <w:rPr>
          <w:rFonts w:ascii="宋体" w:hAnsi="宋体" w:eastAsia="宋体" w:cs="宋体"/>
          <w:sz w:val="24"/>
          <w:szCs w:val="24"/>
        </w:rPr>
      </w:pPr>
      <w:r>
        <w:rPr>
          <w:rFonts w:ascii="宋体" w:hAnsi="宋体" w:eastAsia="宋体" w:cs="宋体"/>
          <w:sz w:val="24"/>
          <w:szCs w:val="24"/>
        </w:rPr>
        <w:t>5.9、本次磋商采取二次报价，即：竞争性磋商响应文件中的磋商总报价为第一次报价；</w:t>
      </w:r>
      <w:r>
        <w:rPr>
          <w:rFonts w:ascii="宋体" w:hAnsi="宋体" w:eastAsia="宋体" w:cs="宋体"/>
          <w:spacing w:val="-2"/>
          <w:sz w:val="24"/>
          <w:szCs w:val="24"/>
        </w:rPr>
        <w:t>在磋商供应商初审合格后，第一次报价为有</w:t>
      </w:r>
      <w:r>
        <w:rPr>
          <w:rFonts w:ascii="宋体" w:hAnsi="宋体" w:eastAsia="宋体" w:cs="宋体"/>
          <w:spacing w:val="-3"/>
          <w:sz w:val="24"/>
          <w:szCs w:val="24"/>
        </w:rPr>
        <w:t>效报价。通过初审的各供应商单位与磋商小组进行</w:t>
      </w:r>
      <w:r>
        <w:rPr>
          <w:rFonts w:ascii="宋体" w:hAnsi="宋体" w:eastAsia="宋体" w:cs="宋体"/>
          <w:sz w:val="24"/>
          <w:szCs w:val="24"/>
        </w:rPr>
        <w:t>背靠背磋商后，在规定时间内，提交第二次报价，第二</w:t>
      </w:r>
      <w:r>
        <w:rPr>
          <w:rFonts w:ascii="宋体" w:hAnsi="宋体" w:eastAsia="宋体" w:cs="宋体"/>
          <w:spacing w:val="-1"/>
          <w:sz w:val="24"/>
          <w:szCs w:val="24"/>
        </w:rPr>
        <w:t>次报价即为最终报价。</w:t>
      </w:r>
    </w:p>
    <w:p w14:paraId="4CD11859">
      <w:pPr>
        <w:spacing w:before="2" w:line="360" w:lineRule="auto"/>
        <w:ind w:left="9" w:right="61" w:firstLine="484"/>
        <w:rPr>
          <w:rFonts w:ascii="宋体" w:hAnsi="宋体" w:eastAsia="宋体" w:cs="宋体"/>
          <w:sz w:val="24"/>
          <w:szCs w:val="24"/>
        </w:rPr>
      </w:pPr>
      <w:r>
        <w:rPr>
          <w:rFonts w:ascii="宋体" w:hAnsi="宋体" w:eastAsia="宋体" w:cs="宋体"/>
          <w:spacing w:val="-3"/>
          <w:sz w:val="24"/>
          <w:szCs w:val="24"/>
        </w:rPr>
        <w:t>5.10、供应商在二次报价后，分项报价表中的各分项报价根据磋商二次总报价同进行同比例下浮。</w:t>
      </w:r>
    </w:p>
    <w:p w14:paraId="3B8D1F3F">
      <w:pPr>
        <w:spacing w:before="1" w:line="360" w:lineRule="auto"/>
        <w:ind w:left="494"/>
        <w:rPr>
          <w:rFonts w:ascii="宋体" w:hAnsi="宋体" w:eastAsia="宋体" w:cs="宋体"/>
          <w:sz w:val="24"/>
          <w:szCs w:val="24"/>
        </w:rPr>
      </w:pPr>
      <w:r>
        <w:rPr>
          <w:rFonts w:ascii="宋体" w:hAnsi="宋体" w:eastAsia="宋体" w:cs="宋体"/>
          <w:spacing w:val="-1"/>
          <w:sz w:val="24"/>
          <w:szCs w:val="24"/>
        </w:rPr>
        <w:t>5.11、报价超出采购预算的供应商不进入下一步投标程序。</w:t>
      </w:r>
    </w:p>
    <w:p w14:paraId="269E9C9B">
      <w:pPr>
        <w:spacing w:before="156" w:line="360" w:lineRule="auto"/>
        <w:ind w:left="494"/>
        <w:rPr>
          <w:rFonts w:ascii="宋体" w:hAnsi="宋体" w:eastAsia="宋体" w:cs="宋体"/>
          <w:sz w:val="24"/>
          <w:szCs w:val="24"/>
        </w:rPr>
      </w:pPr>
      <w:r>
        <w:rPr>
          <w:rFonts w:ascii="宋体" w:hAnsi="宋体" w:eastAsia="宋体" w:cs="宋体"/>
          <w:spacing w:val="-1"/>
          <w:sz w:val="24"/>
          <w:szCs w:val="24"/>
        </w:rPr>
        <w:t>5.12、本项目不公开任何一次报价。</w:t>
      </w:r>
    </w:p>
    <w:p w14:paraId="4A8988C0">
      <w:pPr>
        <w:spacing w:before="157" w:line="360" w:lineRule="auto"/>
        <w:ind w:left="491"/>
        <w:rPr>
          <w:rFonts w:ascii="宋体" w:hAnsi="宋体" w:eastAsia="宋体" w:cs="宋体"/>
          <w:sz w:val="24"/>
          <w:szCs w:val="24"/>
        </w:rPr>
      </w:pPr>
      <w:r>
        <w:rPr>
          <w:rFonts w:ascii="宋体" w:hAnsi="宋体" w:eastAsia="宋体" w:cs="宋体"/>
          <w:b/>
          <w:bCs/>
          <w:spacing w:val="-3"/>
          <w:sz w:val="24"/>
          <w:szCs w:val="24"/>
        </w:rPr>
        <w:t>6、证明供应商合格的资格证明文件</w:t>
      </w:r>
    </w:p>
    <w:p w14:paraId="0CEAB402">
      <w:pPr>
        <w:spacing w:before="157" w:line="360" w:lineRule="auto"/>
        <w:ind w:left="8" w:right="61" w:firstLine="480"/>
        <w:jc w:val="both"/>
        <w:rPr>
          <w:rFonts w:ascii="宋体" w:hAnsi="宋体" w:eastAsia="宋体" w:cs="宋体"/>
          <w:sz w:val="24"/>
          <w:szCs w:val="24"/>
        </w:rPr>
      </w:pPr>
      <w:r>
        <w:rPr>
          <w:rFonts w:ascii="宋体" w:hAnsi="宋体" w:eastAsia="宋体" w:cs="宋体"/>
          <w:spacing w:val="-3"/>
          <w:sz w:val="24"/>
          <w:szCs w:val="24"/>
        </w:rPr>
        <w:t>供应商应按照竞争性磋商文件供应商须知前附表的要求，在竞争性磋商响应文件中提交合</w:t>
      </w:r>
      <w:r>
        <w:rPr>
          <w:rFonts w:ascii="宋体" w:hAnsi="宋体" w:eastAsia="宋体" w:cs="宋体"/>
          <w:spacing w:val="-2"/>
          <w:sz w:val="24"/>
          <w:szCs w:val="24"/>
        </w:rPr>
        <w:t>格的资格证明文件。如果资格证明文件不全</w:t>
      </w:r>
      <w:r>
        <w:rPr>
          <w:rFonts w:ascii="宋体" w:hAnsi="宋体" w:eastAsia="宋体" w:cs="宋体"/>
          <w:spacing w:val="-3"/>
          <w:sz w:val="24"/>
          <w:szCs w:val="24"/>
        </w:rPr>
        <w:t>或不合格的，其竞争性磋商响应文件将被作无效文件处理。</w:t>
      </w:r>
    </w:p>
    <w:p w14:paraId="1EE7E3F3">
      <w:pPr>
        <w:spacing w:line="360" w:lineRule="auto"/>
        <w:ind w:left="495"/>
      </w:pPr>
      <w:r>
        <w:rPr>
          <w:rFonts w:ascii="宋体" w:hAnsi="宋体" w:eastAsia="宋体" w:cs="宋体"/>
          <w:b/>
          <w:bCs/>
          <w:spacing w:val="-6"/>
          <w:sz w:val="24"/>
          <w:szCs w:val="24"/>
        </w:rPr>
        <w:t>7、保证金</w:t>
      </w:r>
    </w:p>
    <w:p w14:paraId="601B623C">
      <w:pPr>
        <w:spacing w:before="78" w:line="360" w:lineRule="auto"/>
        <w:ind w:left="495"/>
        <w:rPr>
          <w:rFonts w:ascii="宋体" w:hAnsi="宋体" w:eastAsia="宋体" w:cs="宋体"/>
          <w:sz w:val="24"/>
          <w:szCs w:val="24"/>
        </w:rPr>
      </w:pPr>
      <w:r>
        <w:rPr>
          <w:rFonts w:ascii="宋体" w:hAnsi="宋体" w:eastAsia="宋体" w:cs="宋体"/>
          <w:spacing w:val="-1"/>
          <w:sz w:val="24"/>
          <w:szCs w:val="24"/>
        </w:rPr>
        <w:t>7.1、磋商保证金：本项目无磋商保证金；</w:t>
      </w:r>
    </w:p>
    <w:p w14:paraId="13B19A51">
      <w:pPr>
        <w:spacing w:before="154" w:line="360" w:lineRule="auto"/>
        <w:ind w:left="495"/>
        <w:rPr>
          <w:rFonts w:ascii="宋体" w:hAnsi="宋体" w:eastAsia="宋体" w:cs="宋体"/>
          <w:sz w:val="24"/>
          <w:szCs w:val="24"/>
        </w:rPr>
      </w:pPr>
      <w:r>
        <w:rPr>
          <w:rFonts w:ascii="宋体" w:hAnsi="宋体" w:eastAsia="宋体" w:cs="宋体"/>
          <w:spacing w:val="-1"/>
          <w:sz w:val="24"/>
          <w:szCs w:val="24"/>
        </w:rPr>
        <w:t>7.2、履约保证金：本项目无履约保证金；</w:t>
      </w:r>
    </w:p>
    <w:p w14:paraId="2035CA96">
      <w:pPr>
        <w:spacing w:before="155" w:line="360" w:lineRule="auto"/>
        <w:ind w:left="490"/>
        <w:rPr>
          <w:rFonts w:ascii="宋体" w:hAnsi="宋体" w:eastAsia="宋体" w:cs="宋体"/>
          <w:sz w:val="24"/>
          <w:szCs w:val="24"/>
        </w:rPr>
      </w:pPr>
      <w:r>
        <w:rPr>
          <w:rFonts w:ascii="宋体" w:hAnsi="宋体" w:eastAsia="宋体" w:cs="宋体"/>
          <w:b/>
          <w:bCs/>
          <w:spacing w:val="-4"/>
          <w:sz w:val="24"/>
          <w:szCs w:val="24"/>
        </w:rPr>
        <w:t>8、磋商有效期</w:t>
      </w:r>
    </w:p>
    <w:p w14:paraId="044D1ED3">
      <w:pPr>
        <w:spacing w:before="138" w:line="360" w:lineRule="auto"/>
        <w:ind w:left="14" w:right="80" w:firstLine="476"/>
        <w:rPr>
          <w:rFonts w:ascii="宋体" w:hAnsi="宋体" w:eastAsia="宋体" w:cs="宋体"/>
          <w:sz w:val="24"/>
          <w:szCs w:val="24"/>
        </w:rPr>
      </w:pPr>
      <w:r>
        <w:rPr>
          <w:rFonts w:ascii="宋体" w:hAnsi="宋体" w:eastAsia="宋体" w:cs="宋体"/>
          <w:sz w:val="24"/>
          <w:szCs w:val="24"/>
        </w:rPr>
        <w:t>8.1、磋商有效期见供应商须知前附表。磋商有效期短于此规定期限的磋商，将按无效磋</w:t>
      </w:r>
      <w:r>
        <w:rPr>
          <w:rFonts w:ascii="宋体" w:hAnsi="宋体" w:eastAsia="宋体" w:cs="宋体"/>
          <w:spacing w:val="-4"/>
          <w:sz w:val="24"/>
          <w:szCs w:val="24"/>
        </w:rPr>
        <w:t>商处理。</w:t>
      </w:r>
    </w:p>
    <w:p w14:paraId="6F7DF08A">
      <w:pPr>
        <w:spacing w:line="360" w:lineRule="auto"/>
        <w:ind w:left="10" w:firstLine="480"/>
        <w:rPr>
          <w:rFonts w:ascii="宋体" w:hAnsi="宋体" w:eastAsia="宋体" w:cs="宋体"/>
          <w:sz w:val="24"/>
          <w:szCs w:val="24"/>
        </w:rPr>
      </w:pPr>
      <w:r>
        <w:rPr>
          <w:rFonts w:ascii="宋体" w:hAnsi="宋体" w:eastAsia="宋体" w:cs="宋体"/>
          <w:sz w:val="24"/>
          <w:szCs w:val="24"/>
        </w:rPr>
        <w:t>8.2、在特殊情况下，在原磋商有效期期满之前，采购代理机构可向供应商提出延长磋商</w:t>
      </w:r>
      <w:r>
        <w:rPr>
          <w:rFonts w:ascii="宋体" w:hAnsi="宋体" w:eastAsia="宋体" w:cs="宋体"/>
          <w:spacing w:val="-6"/>
          <w:sz w:val="24"/>
          <w:szCs w:val="24"/>
        </w:rPr>
        <w:t>有效期的要求。这种要求与答复均应以书面的形式。供应商可以拒</w:t>
      </w:r>
      <w:r>
        <w:rPr>
          <w:rFonts w:ascii="宋体" w:hAnsi="宋体" w:eastAsia="宋体" w:cs="宋体"/>
          <w:spacing w:val="-7"/>
          <w:sz w:val="24"/>
          <w:szCs w:val="24"/>
        </w:rPr>
        <w:t>绝采购代理机构的这种要求。</w:t>
      </w:r>
      <w:r>
        <w:rPr>
          <w:rFonts w:ascii="宋体" w:hAnsi="宋体" w:eastAsia="宋体" w:cs="宋体"/>
          <w:spacing w:val="-1"/>
          <w:sz w:val="24"/>
          <w:szCs w:val="24"/>
        </w:rPr>
        <w:t>同意延长的供应商既不能要求也不允许修改其竞争性磋商响应文件。</w:t>
      </w:r>
    </w:p>
    <w:p w14:paraId="48366B2E">
      <w:pPr>
        <w:spacing w:before="12" w:line="360" w:lineRule="auto"/>
        <w:ind w:left="21" w:right="82" w:firstLine="468"/>
        <w:rPr>
          <w:rFonts w:ascii="宋体" w:hAnsi="宋体" w:eastAsia="宋体" w:cs="宋体"/>
          <w:sz w:val="24"/>
          <w:szCs w:val="24"/>
        </w:rPr>
      </w:pPr>
      <w:r>
        <w:rPr>
          <w:rFonts w:ascii="宋体" w:hAnsi="宋体" w:eastAsia="宋体" w:cs="宋体"/>
          <w:b/>
          <w:bCs/>
          <w:spacing w:val="-2"/>
          <w:sz w:val="24"/>
          <w:szCs w:val="24"/>
        </w:rPr>
        <w:t>8.3、竞争性磋商响应文件有效期为自投标截止日起90日历天，成交</w:t>
      </w:r>
      <w:r>
        <w:rPr>
          <w:rFonts w:ascii="宋体" w:hAnsi="宋体" w:eastAsia="宋体" w:cs="宋体"/>
          <w:b/>
          <w:bCs/>
          <w:spacing w:val="-3"/>
          <w:sz w:val="24"/>
          <w:szCs w:val="24"/>
        </w:rPr>
        <w:t>供应商的竞争性磋商响应文件有效期自动延长至合同执行完毕。</w:t>
      </w:r>
    </w:p>
    <w:p w14:paraId="594762D3">
      <w:pPr>
        <w:spacing w:before="1" w:line="360" w:lineRule="auto"/>
        <w:ind w:left="490"/>
        <w:rPr>
          <w:rFonts w:ascii="宋体" w:hAnsi="宋体" w:eastAsia="宋体" w:cs="宋体"/>
          <w:sz w:val="24"/>
          <w:szCs w:val="24"/>
        </w:rPr>
      </w:pPr>
      <w:r>
        <w:rPr>
          <w:rFonts w:ascii="宋体" w:hAnsi="宋体" w:eastAsia="宋体" w:cs="宋体"/>
          <w:b/>
          <w:bCs/>
          <w:spacing w:val="-3"/>
          <w:sz w:val="24"/>
          <w:szCs w:val="24"/>
        </w:rPr>
        <w:t>9、踏勘和磋商预备会</w:t>
      </w:r>
    </w:p>
    <w:p w14:paraId="0E017962">
      <w:pPr>
        <w:spacing w:before="157" w:line="360" w:lineRule="auto"/>
        <w:ind w:left="490"/>
        <w:rPr>
          <w:rFonts w:ascii="宋体" w:hAnsi="宋体" w:eastAsia="宋体" w:cs="宋体"/>
          <w:sz w:val="24"/>
          <w:szCs w:val="24"/>
        </w:rPr>
      </w:pPr>
      <w:r>
        <w:rPr>
          <w:rFonts w:ascii="宋体" w:hAnsi="宋体" w:eastAsia="宋体" w:cs="宋体"/>
          <w:spacing w:val="-1"/>
          <w:sz w:val="24"/>
          <w:szCs w:val="24"/>
        </w:rPr>
        <w:t>9.1、本项目不组织统一踏勘。</w:t>
      </w:r>
    </w:p>
    <w:p w14:paraId="062324A2">
      <w:pPr>
        <w:spacing w:before="155" w:line="360" w:lineRule="auto"/>
        <w:ind w:left="12" w:right="80" w:firstLine="478"/>
        <w:rPr>
          <w:rFonts w:ascii="宋体" w:hAnsi="宋体" w:eastAsia="宋体" w:cs="宋体"/>
          <w:sz w:val="24"/>
          <w:szCs w:val="24"/>
        </w:rPr>
      </w:pPr>
      <w:r>
        <w:rPr>
          <w:rFonts w:ascii="宋体" w:hAnsi="宋体" w:eastAsia="宋体" w:cs="宋体"/>
          <w:sz w:val="24"/>
          <w:szCs w:val="24"/>
        </w:rPr>
        <w:t>9.2、本项目不召开磋商预备会，供应商如有疑问，请以书面形式在规定时间内提交至代</w:t>
      </w:r>
      <w:r>
        <w:rPr>
          <w:rFonts w:ascii="宋体" w:hAnsi="宋体" w:eastAsia="宋体" w:cs="宋体"/>
          <w:spacing w:val="-4"/>
          <w:sz w:val="24"/>
          <w:szCs w:val="24"/>
        </w:rPr>
        <w:t>理机构。</w:t>
      </w:r>
    </w:p>
    <w:p w14:paraId="08F9DED1">
      <w:pPr>
        <w:spacing w:before="2" w:line="360" w:lineRule="auto"/>
        <w:ind w:left="3222"/>
        <w:outlineLvl w:val="1"/>
        <w:rPr>
          <w:rFonts w:ascii="宋体" w:hAnsi="宋体" w:eastAsia="宋体" w:cs="宋体"/>
          <w:sz w:val="28"/>
          <w:szCs w:val="28"/>
        </w:rPr>
      </w:pPr>
      <w:bookmarkStart w:id="21" w:name="_Toc24471"/>
      <w:r>
        <w:rPr>
          <w:rFonts w:ascii="宋体" w:hAnsi="宋体" w:eastAsia="宋体" w:cs="宋体"/>
          <w:b/>
          <w:bCs/>
          <w:spacing w:val="-5"/>
          <w:sz w:val="28"/>
          <w:szCs w:val="28"/>
        </w:rPr>
        <w:t>四、竞争性磋商响应文件的提交</w:t>
      </w:r>
      <w:bookmarkEnd w:id="21"/>
    </w:p>
    <w:p w14:paraId="00CFE980">
      <w:pPr>
        <w:spacing w:before="140" w:line="360" w:lineRule="auto"/>
        <w:ind w:left="600"/>
        <w:rPr>
          <w:rFonts w:ascii="宋体" w:hAnsi="宋体" w:eastAsia="宋体" w:cs="宋体"/>
          <w:sz w:val="24"/>
          <w:szCs w:val="24"/>
        </w:rPr>
      </w:pPr>
      <w:r>
        <w:rPr>
          <w:rFonts w:ascii="宋体" w:hAnsi="宋体" w:eastAsia="宋体" w:cs="宋体"/>
          <w:b/>
          <w:bCs/>
          <w:spacing w:val="-4"/>
          <w:sz w:val="24"/>
          <w:szCs w:val="24"/>
        </w:rPr>
        <w:t>1、竞争性磋商响应文件的制作和签章</w:t>
      </w:r>
    </w:p>
    <w:p w14:paraId="05D61BB3">
      <w:pPr>
        <w:spacing w:before="157" w:line="360" w:lineRule="auto"/>
        <w:ind w:left="8" w:right="80" w:firstLine="592"/>
        <w:jc w:val="both"/>
        <w:rPr>
          <w:rFonts w:ascii="宋体" w:hAnsi="宋体" w:eastAsia="宋体" w:cs="宋体"/>
          <w:sz w:val="24"/>
          <w:szCs w:val="24"/>
        </w:rPr>
      </w:pPr>
      <w:r>
        <w:rPr>
          <w:rFonts w:ascii="宋体" w:hAnsi="宋体" w:eastAsia="宋体" w:cs="宋体"/>
          <w:spacing w:val="1"/>
          <w:sz w:val="24"/>
          <w:szCs w:val="24"/>
        </w:rPr>
        <w:t>1.1、电子竞争性磋商响应文件（*.</w:t>
      </w:r>
      <w:r>
        <w:rPr>
          <w:rFonts w:ascii="宋体" w:hAnsi="宋体" w:eastAsia="宋体" w:cs="宋体"/>
          <w:sz w:val="24"/>
          <w:szCs w:val="24"/>
        </w:rPr>
        <w:t>SXSTF</w:t>
      </w:r>
      <w:r>
        <w:rPr>
          <w:rFonts w:ascii="宋体" w:hAnsi="宋体" w:eastAsia="宋体" w:cs="宋体"/>
          <w:spacing w:val="1"/>
          <w:sz w:val="24"/>
          <w:szCs w:val="24"/>
        </w:rPr>
        <w:t>）需要使</w:t>
      </w:r>
      <w:r>
        <w:rPr>
          <w:rFonts w:ascii="宋体" w:hAnsi="宋体" w:eastAsia="宋体" w:cs="宋体"/>
          <w:sz w:val="24"/>
          <w:szCs w:val="24"/>
        </w:rPr>
        <w:t>用专用制作软件——“新点</w:t>
      </w:r>
      <w:r>
        <w:rPr>
          <w:rFonts w:hint="eastAsia" w:ascii="宋体" w:hAnsi="宋体" w:eastAsia="宋体" w:cs="宋体"/>
          <w:sz w:val="24"/>
          <w:szCs w:val="24"/>
          <w:lang w:eastAsia="zh-CN"/>
        </w:rPr>
        <w:t>响应文件</w:t>
      </w:r>
      <w:r>
        <w:rPr>
          <w:rFonts w:ascii="宋体" w:hAnsi="宋体" w:eastAsia="宋体" w:cs="宋体"/>
          <w:spacing w:val="-2"/>
          <w:sz w:val="24"/>
          <w:szCs w:val="24"/>
        </w:rPr>
        <w:t>制作软件（陕西省公共资源）”进行编制。</w:t>
      </w:r>
      <w:r>
        <w:rPr>
          <w:rFonts w:ascii="宋体" w:hAnsi="宋体" w:eastAsia="宋体" w:cs="宋体"/>
          <w:spacing w:val="-3"/>
          <w:sz w:val="24"/>
          <w:szCs w:val="24"/>
        </w:rPr>
        <w:t>软件下载地址及操作手册：《政府采购项目</w:t>
      </w:r>
      <w:r>
        <w:rPr>
          <w:rFonts w:hint="eastAsia" w:ascii="宋体" w:hAnsi="宋体" w:eastAsia="宋体" w:cs="宋体"/>
          <w:spacing w:val="-3"/>
          <w:sz w:val="24"/>
          <w:szCs w:val="24"/>
          <w:lang w:eastAsia="zh-CN"/>
        </w:rPr>
        <w:t>响应文件</w:t>
      </w:r>
      <w:r>
        <w:rPr>
          <w:rFonts w:ascii="宋体" w:hAnsi="宋体" w:eastAsia="宋体" w:cs="宋体"/>
          <w:spacing w:val="-1"/>
          <w:sz w:val="24"/>
          <w:szCs w:val="24"/>
        </w:rPr>
        <w:t>制作软件及操作手册》。</w:t>
      </w:r>
    </w:p>
    <w:p w14:paraId="1D2C1E9D">
      <w:pPr>
        <w:spacing w:before="1" w:line="360" w:lineRule="auto"/>
        <w:ind w:left="581"/>
        <w:rPr>
          <w:rFonts w:ascii="宋体" w:hAnsi="宋体" w:eastAsia="宋体" w:cs="宋体"/>
          <w:sz w:val="24"/>
          <w:szCs w:val="24"/>
        </w:rPr>
      </w:pPr>
      <w:r>
        <w:rPr>
          <w:rFonts w:ascii="宋体" w:hAnsi="宋体" w:eastAsia="宋体" w:cs="宋体"/>
          <w:spacing w:val="-2"/>
          <w:sz w:val="24"/>
          <w:szCs w:val="24"/>
        </w:rPr>
        <w:t>链接地址：</w:t>
      </w:r>
    </w:p>
    <w:p w14:paraId="30BBA858">
      <w:pPr>
        <w:spacing w:before="154" w:line="360" w:lineRule="auto"/>
        <w:ind w:left="11" w:right="133" w:firstLine="568"/>
        <w:rPr>
          <w:rFonts w:ascii="宋体" w:hAnsi="宋体" w:eastAsia="宋体" w:cs="宋体"/>
          <w:sz w:val="24"/>
          <w:szCs w:val="24"/>
        </w:rPr>
      </w:pPr>
      <w:r>
        <w:fldChar w:fldCharType="begin"/>
      </w:r>
      <w:r>
        <w:instrText xml:space="preserve"> HYPERLINK "http://sxggzyjy.xa.gov.cn/fwzn/004003/20181115/4d59c184-e8f6-4d5a-a416-c2f6b0601e66.html" </w:instrText>
      </w:r>
      <w:r>
        <w:fldChar w:fldCharType="separate"/>
      </w:r>
      <w:r>
        <w:rPr>
          <w:rFonts w:ascii="宋体" w:hAnsi="宋体" w:eastAsia="宋体" w:cs="宋体"/>
          <w:sz w:val="24"/>
          <w:szCs w:val="24"/>
        </w:rPr>
        <w:t>http://sxggzy</w:t>
      </w:r>
      <w:r>
        <w:rPr>
          <w:rFonts w:ascii="宋体" w:hAnsi="宋体" w:eastAsia="宋体" w:cs="宋体"/>
          <w:spacing w:val="-101"/>
          <w:sz w:val="24"/>
          <w:szCs w:val="24"/>
        </w:rPr>
        <w:t xml:space="preserve"> </w:t>
      </w:r>
      <w:r>
        <w:rPr>
          <w:rFonts w:ascii="宋体" w:hAnsi="宋体" w:eastAsia="宋体" w:cs="宋体"/>
          <w:sz w:val="24"/>
          <w:szCs w:val="24"/>
        </w:rPr>
        <w:t>jy.xa.gov.cn/fwzn/004003/20181115/4d</w:t>
      </w:r>
      <w:r>
        <w:rPr>
          <w:rFonts w:ascii="宋体" w:hAnsi="宋体" w:eastAsia="宋体" w:cs="宋体"/>
          <w:spacing w:val="-1"/>
          <w:sz w:val="24"/>
          <w:szCs w:val="24"/>
        </w:rPr>
        <w:t>59c184-e8f6-4d5a-a416-c2f6b</w:t>
      </w:r>
      <w:r>
        <w:rPr>
          <w:rFonts w:ascii="宋体" w:hAnsi="宋体" w:eastAsia="宋体" w:cs="宋体"/>
          <w:spacing w:val="-1"/>
          <w:sz w:val="24"/>
          <w:szCs w:val="24"/>
        </w:rPr>
        <w:fldChar w:fldCharType="end"/>
      </w:r>
      <w:r>
        <w:rPr>
          <w:rFonts w:ascii="宋体" w:hAnsi="宋体" w:eastAsia="宋体" w:cs="宋体"/>
          <w:sz w:val="24"/>
          <w:szCs w:val="24"/>
        </w:rPr>
        <w:t xml:space="preserve"> </w:t>
      </w:r>
      <w:r>
        <w:fldChar w:fldCharType="begin"/>
      </w:r>
      <w:r>
        <w:instrText xml:space="preserve"> HYPERLINK "http://sxggzyjy.xa.gov.cn/fwzn/004003/20181115/4d59c184-e8f6-4d5a-a416-c2f6b0601e66.html" </w:instrText>
      </w:r>
      <w:r>
        <w:fldChar w:fldCharType="separate"/>
      </w:r>
      <w:r>
        <w:rPr>
          <w:rFonts w:ascii="宋体" w:hAnsi="宋体" w:eastAsia="宋体" w:cs="宋体"/>
          <w:spacing w:val="-1"/>
          <w:sz w:val="24"/>
          <w:szCs w:val="24"/>
        </w:rPr>
        <w:t>0601e66.html</w:t>
      </w:r>
      <w:r>
        <w:rPr>
          <w:rFonts w:ascii="宋体" w:hAnsi="宋体" w:eastAsia="宋体" w:cs="宋体"/>
          <w:spacing w:val="-1"/>
          <w:sz w:val="24"/>
          <w:szCs w:val="24"/>
        </w:rPr>
        <w:fldChar w:fldCharType="end"/>
      </w:r>
    </w:p>
    <w:p w14:paraId="3DBCA42D">
      <w:pPr>
        <w:spacing w:before="2" w:line="360" w:lineRule="auto"/>
        <w:ind w:left="11" w:right="80" w:firstLine="589"/>
        <w:jc w:val="both"/>
        <w:rPr>
          <w:rFonts w:ascii="宋体" w:hAnsi="宋体" w:eastAsia="宋体" w:cs="宋体"/>
          <w:sz w:val="24"/>
          <w:szCs w:val="24"/>
        </w:rPr>
      </w:pPr>
      <w:r>
        <w:rPr>
          <w:rFonts w:ascii="宋体" w:hAnsi="宋体" w:eastAsia="宋体" w:cs="宋体"/>
          <w:spacing w:val="-2"/>
          <w:sz w:val="24"/>
          <w:szCs w:val="24"/>
        </w:rPr>
        <w:t>1.2、编制电子竞争性磋商响应文件前，务必先做好</w:t>
      </w:r>
      <w:r>
        <w:rPr>
          <w:rFonts w:ascii="宋体" w:hAnsi="宋体" w:eastAsia="宋体" w:cs="宋体"/>
          <w:spacing w:val="-3"/>
          <w:sz w:val="24"/>
          <w:szCs w:val="24"/>
        </w:rPr>
        <w:t>电子竞争性磋商文件的备份工作。然</w:t>
      </w:r>
      <w:r>
        <w:rPr>
          <w:rFonts w:ascii="宋体" w:hAnsi="宋体" w:eastAsia="宋体" w:cs="宋体"/>
          <w:spacing w:val="-2"/>
          <w:sz w:val="24"/>
          <w:szCs w:val="24"/>
        </w:rPr>
        <w:t>后按操作手册中给出的方法将电子竞争性磋商文件（*.SXSZF）或答疑文件（*</w:t>
      </w:r>
      <w:r>
        <w:rPr>
          <w:rFonts w:ascii="宋体" w:hAnsi="宋体" w:eastAsia="宋体" w:cs="宋体"/>
          <w:spacing w:val="-3"/>
          <w:sz w:val="24"/>
          <w:szCs w:val="24"/>
        </w:rPr>
        <w:t>.SXSCF，即更新</w:t>
      </w:r>
      <w:r>
        <w:rPr>
          <w:rFonts w:ascii="宋体" w:hAnsi="宋体" w:eastAsia="宋体" w:cs="宋体"/>
          <w:sz w:val="24"/>
          <w:szCs w:val="24"/>
        </w:rPr>
        <w:t>后的电子竞争性磋商文件）导入制作软件，最后按照章节</w:t>
      </w:r>
      <w:r>
        <w:rPr>
          <w:rFonts w:ascii="宋体" w:hAnsi="宋体" w:eastAsia="宋体" w:cs="宋体"/>
          <w:spacing w:val="-1"/>
          <w:sz w:val="24"/>
          <w:szCs w:val="24"/>
        </w:rPr>
        <w:t>分别编制响应文件各个部分。</w:t>
      </w:r>
    </w:p>
    <w:p w14:paraId="75E5A656">
      <w:pPr>
        <w:spacing w:line="360" w:lineRule="auto"/>
        <w:ind w:left="585"/>
        <w:rPr>
          <w:rFonts w:ascii="宋体" w:hAnsi="宋体" w:eastAsia="宋体" w:cs="宋体"/>
          <w:sz w:val="24"/>
          <w:szCs w:val="24"/>
        </w:rPr>
      </w:pPr>
      <w:r>
        <w:rPr>
          <w:rFonts w:ascii="宋体" w:hAnsi="宋体" w:eastAsia="宋体" w:cs="宋体"/>
          <w:b/>
          <w:bCs/>
          <w:spacing w:val="-3"/>
          <w:sz w:val="24"/>
          <w:szCs w:val="24"/>
        </w:rPr>
        <w:t>2、竞争性磋商响应文件的加密和递交</w:t>
      </w:r>
    </w:p>
    <w:p w14:paraId="62F6D7A5">
      <w:pPr>
        <w:spacing w:before="157" w:line="360" w:lineRule="auto"/>
        <w:jc w:val="right"/>
        <w:rPr>
          <w:rFonts w:ascii="宋体" w:hAnsi="宋体" w:eastAsia="宋体" w:cs="宋体"/>
          <w:sz w:val="24"/>
          <w:szCs w:val="24"/>
        </w:rPr>
      </w:pPr>
      <w:r>
        <w:rPr>
          <w:rFonts w:ascii="宋体" w:hAnsi="宋体" w:eastAsia="宋体" w:cs="宋体"/>
          <w:spacing w:val="-6"/>
          <w:sz w:val="24"/>
          <w:szCs w:val="24"/>
        </w:rPr>
        <w:t>2.1、在生成电子竞争性磋商响应文件时，需要使用CA锁对竞争性磋商响应文件进行加密。</w:t>
      </w:r>
    </w:p>
    <w:p w14:paraId="69493AAA">
      <w:pPr>
        <w:spacing w:before="154" w:line="360" w:lineRule="auto"/>
        <w:ind w:left="14" w:right="80" w:firstLine="568"/>
        <w:rPr>
          <w:rFonts w:ascii="宋体" w:hAnsi="宋体" w:eastAsia="宋体" w:cs="宋体"/>
          <w:sz w:val="24"/>
          <w:szCs w:val="24"/>
        </w:rPr>
      </w:pPr>
      <w:r>
        <w:rPr>
          <w:rFonts w:ascii="宋体" w:hAnsi="宋体" w:eastAsia="宋体" w:cs="宋体"/>
          <w:spacing w:val="1"/>
          <w:sz w:val="24"/>
          <w:szCs w:val="24"/>
        </w:rPr>
        <w:t>注意：加密竞争性磋商响应文件和开标时解密竞争性磋商响应文件应当使用同一</w:t>
      </w:r>
      <w:r>
        <w:rPr>
          <w:rFonts w:ascii="宋体" w:hAnsi="宋体" w:eastAsia="宋体" w:cs="宋体"/>
          <w:sz w:val="24"/>
          <w:szCs w:val="24"/>
        </w:rPr>
        <w:t>CA</w:t>
      </w:r>
      <w:r>
        <w:rPr>
          <w:rFonts w:ascii="宋体" w:hAnsi="宋体" w:eastAsia="宋体" w:cs="宋体"/>
          <w:spacing w:val="1"/>
          <w:sz w:val="24"/>
          <w:szCs w:val="24"/>
        </w:rPr>
        <w:t>，否</w:t>
      </w:r>
      <w:r>
        <w:rPr>
          <w:rFonts w:ascii="宋体" w:hAnsi="宋体" w:eastAsia="宋体" w:cs="宋体"/>
          <w:spacing w:val="-2"/>
          <w:sz w:val="24"/>
          <w:szCs w:val="24"/>
        </w:rPr>
        <w:t>则将会导致解密失败。</w:t>
      </w:r>
    </w:p>
    <w:p w14:paraId="6D618DE6">
      <w:pPr>
        <w:spacing w:before="2" w:line="360" w:lineRule="auto"/>
        <w:ind w:left="9" w:right="80" w:firstLine="576"/>
        <w:rPr>
          <w:rFonts w:ascii="宋体" w:hAnsi="宋体" w:eastAsia="宋体" w:cs="宋体"/>
          <w:sz w:val="24"/>
          <w:szCs w:val="24"/>
        </w:rPr>
      </w:pPr>
      <w:r>
        <w:rPr>
          <w:rFonts w:ascii="宋体" w:hAnsi="宋体" w:eastAsia="宋体" w:cs="宋体"/>
          <w:spacing w:val="-2"/>
          <w:sz w:val="24"/>
          <w:szCs w:val="24"/>
        </w:rPr>
        <w:t>2.2、电子竞争性磋商响应文件可于提交竞争性磋商响应文件截止时间前任意时段，登录</w:t>
      </w:r>
      <w:r>
        <w:rPr>
          <w:rFonts w:ascii="宋体" w:hAnsi="宋体" w:eastAsia="宋体" w:cs="宋体"/>
          <w:spacing w:val="-5"/>
          <w:sz w:val="24"/>
          <w:szCs w:val="24"/>
        </w:rPr>
        <w:t>全国公共资源交易平台（陕西省</w:t>
      </w:r>
      <w:r>
        <w:rPr>
          <w:rFonts w:ascii="宋体" w:hAnsi="宋体" w:eastAsia="宋体" w:cs="宋体"/>
          <w:spacing w:val="-14"/>
          <w:sz w:val="24"/>
          <w:szCs w:val="24"/>
        </w:rPr>
        <w:t xml:space="preserve"> </w:t>
      </w:r>
      <w:r>
        <w:rPr>
          <w:rFonts w:ascii="宋体" w:hAnsi="宋体" w:eastAsia="宋体" w:cs="宋体"/>
          <w:spacing w:val="-5"/>
          <w:sz w:val="24"/>
          <w:szCs w:val="24"/>
        </w:rPr>
        <w:t>·杨凌示范区）【首页-电子交易平台-企业端】，登录后切换</w:t>
      </w:r>
    </w:p>
    <w:p w14:paraId="2230F8A2">
      <w:pPr>
        <w:spacing w:line="360" w:lineRule="auto"/>
        <w:rPr>
          <w:rFonts w:ascii="宋体" w:hAnsi="宋体" w:eastAsia="宋体" w:cs="宋体"/>
          <w:sz w:val="24"/>
          <w:szCs w:val="24"/>
        </w:rPr>
        <w:sectPr>
          <w:footerReference r:id="rId10" w:type="default"/>
          <w:pgSz w:w="11906" w:h="16839"/>
          <w:pgMar w:top="1166" w:right="999" w:bottom="1166" w:left="1080" w:header="829" w:footer="952" w:gutter="0"/>
          <w:cols w:space="720" w:num="1"/>
        </w:sectPr>
      </w:pPr>
    </w:p>
    <w:p w14:paraId="00F97D8A">
      <w:pPr>
        <w:pStyle w:val="4"/>
        <w:spacing w:line="360" w:lineRule="auto"/>
      </w:pPr>
    </w:p>
    <w:p w14:paraId="498D47D1">
      <w:pPr>
        <w:spacing w:before="78" w:line="360" w:lineRule="auto"/>
        <w:ind w:left="12" w:right="115" w:firstLine="3"/>
        <w:jc w:val="both"/>
        <w:rPr>
          <w:rFonts w:ascii="宋体" w:hAnsi="宋体" w:eastAsia="宋体" w:cs="宋体"/>
          <w:sz w:val="24"/>
          <w:szCs w:val="24"/>
        </w:rPr>
      </w:pPr>
      <w:r>
        <w:rPr>
          <w:rFonts w:ascii="宋体" w:hAnsi="宋体" w:eastAsia="宋体" w:cs="宋体"/>
          <w:spacing w:val="-3"/>
          <w:sz w:val="24"/>
          <w:szCs w:val="24"/>
        </w:rPr>
        <w:t>到【我的项目】模块下，依次点选【项目流程-项目管理-上传</w:t>
      </w:r>
      <w:r>
        <w:rPr>
          <w:rFonts w:hint="eastAsia" w:ascii="宋体" w:hAnsi="宋体" w:eastAsia="宋体" w:cs="宋体"/>
          <w:spacing w:val="-3"/>
          <w:sz w:val="24"/>
          <w:szCs w:val="24"/>
          <w:lang w:eastAsia="zh-CN"/>
        </w:rPr>
        <w:t>响应文件</w:t>
      </w:r>
      <w:r>
        <w:rPr>
          <w:rFonts w:ascii="宋体" w:hAnsi="宋体" w:eastAsia="宋体" w:cs="宋体"/>
          <w:spacing w:val="-3"/>
          <w:sz w:val="24"/>
          <w:szCs w:val="24"/>
        </w:rPr>
        <w:t>】，上传加密后的电子</w:t>
      </w:r>
      <w:r>
        <w:rPr>
          <w:rFonts w:ascii="宋体" w:hAnsi="宋体" w:eastAsia="宋体" w:cs="宋体"/>
          <w:spacing w:val="-2"/>
          <w:sz w:val="24"/>
          <w:szCs w:val="24"/>
        </w:rPr>
        <w:t>竞争性磋商响应文件（*.SXSTF）。上传成功后，全国公共资源交易平台（陕西省</w:t>
      </w:r>
      <w:r>
        <w:rPr>
          <w:rFonts w:ascii="宋体" w:hAnsi="宋体" w:eastAsia="宋体" w:cs="宋体"/>
          <w:spacing w:val="-19"/>
          <w:sz w:val="24"/>
          <w:szCs w:val="24"/>
        </w:rPr>
        <w:t xml:space="preserve"> </w:t>
      </w:r>
      <w:r>
        <w:rPr>
          <w:rFonts w:ascii="宋体" w:hAnsi="宋体" w:eastAsia="宋体" w:cs="宋体"/>
          <w:spacing w:val="-2"/>
          <w:sz w:val="24"/>
          <w:szCs w:val="24"/>
        </w:rPr>
        <w:t>·杨凌示范</w:t>
      </w:r>
      <w:r>
        <w:rPr>
          <w:rFonts w:ascii="宋体" w:hAnsi="宋体" w:eastAsia="宋体" w:cs="宋体"/>
          <w:spacing w:val="-1"/>
          <w:sz w:val="24"/>
          <w:szCs w:val="24"/>
        </w:rPr>
        <w:t>区）政府采购系统将予以记录。</w:t>
      </w:r>
    </w:p>
    <w:p w14:paraId="7DF479AF">
      <w:pPr>
        <w:spacing w:line="360" w:lineRule="auto"/>
        <w:jc w:val="right"/>
        <w:rPr>
          <w:rFonts w:ascii="宋体" w:hAnsi="宋体" w:eastAsia="宋体" w:cs="宋体"/>
          <w:sz w:val="24"/>
          <w:szCs w:val="24"/>
        </w:rPr>
      </w:pPr>
      <w:r>
        <w:rPr>
          <w:rFonts w:ascii="宋体" w:hAnsi="宋体" w:eastAsia="宋体" w:cs="宋体"/>
          <w:spacing w:val="-6"/>
          <w:sz w:val="24"/>
          <w:szCs w:val="24"/>
        </w:rPr>
        <w:t>2.3、上传文件有误或需要重新提交的，可先撤销已经上传的文件，然后重新上传新文件。</w:t>
      </w:r>
    </w:p>
    <w:p w14:paraId="03DCD8E6">
      <w:pPr>
        <w:spacing w:before="154" w:line="360" w:lineRule="auto"/>
        <w:ind w:left="15" w:right="115" w:firstLine="570"/>
        <w:rPr>
          <w:rFonts w:ascii="宋体" w:hAnsi="宋体" w:eastAsia="宋体" w:cs="宋体"/>
          <w:sz w:val="24"/>
          <w:szCs w:val="24"/>
        </w:rPr>
      </w:pPr>
      <w:r>
        <w:rPr>
          <w:rFonts w:ascii="宋体" w:hAnsi="宋体" w:eastAsia="宋体" w:cs="宋体"/>
          <w:spacing w:val="-4"/>
          <w:sz w:val="24"/>
          <w:szCs w:val="24"/>
        </w:rPr>
        <w:t>2.4、</w:t>
      </w:r>
      <w:r>
        <w:rPr>
          <w:rFonts w:ascii="宋体" w:hAnsi="宋体" w:eastAsia="宋体" w:cs="宋体"/>
          <w:b/>
          <w:bCs/>
          <w:spacing w:val="-4"/>
          <w:sz w:val="24"/>
          <w:szCs w:val="24"/>
        </w:rPr>
        <w:t>本项目采用不见面开标模式，供应商不需要提供纸质竞</w:t>
      </w:r>
      <w:r>
        <w:rPr>
          <w:rFonts w:ascii="宋体" w:hAnsi="宋体" w:eastAsia="宋体" w:cs="宋体"/>
          <w:b/>
          <w:bCs/>
          <w:spacing w:val="-5"/>
          <w:sz w:val="24"/>
          <w:szCs w:val="24"/>
        </w:rPr>
        <w:t>争性磋商响应文件，待采购</w:t>
      </w:r>
      <w:r>
        <w:rPr>
          <w:rFonts w:ascii="宋体" w:hAnsi="宋体" w:eastAsia="宋体" w:cs="宋体"/>
          <w:b/>
          <w:bCs/>
          <w:spacing w:val="-2"/>
          <w:sz w:val="24"/>
          <w:szCs w:val="24"/>
        </w:rPr>
        <w:t>结果公告后，由成交供应商补交一正两副纸质竞争性磋商响应文件</w:t>
      </w:r>
      <w:r>
        <w:rPr>
          <w:rFonts w:ascii="宋体" w:hAnsi="宋体" w:eastAsia="宋体" w:cs="宋体"/>
          <w:b/>
          <w:bCs/>
          <w:spacing w:val="-3"/>
          <w:sz w:val="24"/>
          <w:szCs w:val="24"/>
        </w:rPr>
        <w:t>（备案用）。</w:t>
      </w:r>
    </w:p>
    <w:p w14:paraId="35DA1624">
      <w:pPr>
        <w:spacing w:before="1" w:line="360" w:lineRule="auto"/>
        <w:ind w:left="13" w:firstLine="569"/>
        <w:jc w:val="both"/>
        <w:rPr>
          <w:rFonts w:ascii="宋体" w:hAnsi="宋体" w:eastAsia="宋体" w:cs="宋体"/>
          <w:sz w:val="24"/>
          <w:szCs w:val="24"/>
        </w:rPr>
      </w:pPr>
      <w:r>
        <w:rPr>
          <w:rFonts w:ascii="宋体" w:hAnsi="宋体" w:eastAsia="宋体" w:cs="宋体"/>
          <w:spacing w:val="39"/>
          <w:sz w:val="24"/>
          <w:szCs w:val="24"/>
        </w:rPr>
        <w:t>供应商应在投标截止时间登录竞争性磋商文件载明的</w:t>
      </w:r>
      <w:r>
        <w:rPr>
          <w:rFonts w:ascii="宋体" w:hAnsi="宋体" w:eastAsia="宋体" w:cs="宋体"/>
          <w:spacing w:val="-66"/>
          <w:sz w:val="24"/>
          <w:szCs w:val="24"/>
        </w:rPr>
        <w:t xml:space="preserve"> </w:t>
      </w:r>
      <w:r>
        <w:rPr>
          <w:rFonts w:ascii="宋体" w:hAnsi="宋体" w:eastAsia="宋体" w:cs="宋体"/>
          <w:spacing w:val="39"/>
          <w:sz w:val="24"/>
          <w:szCs w:val="24"/>
        </w:rPr>
        <w:t>“</w:t>
      </w:r>
      <w:r>
        <w:rPr>
          <w:rFonts w:ascii="宋体" w:hAnsi="宋体" w:eastAsia="宋体" w:cs="宋体"/>
          <w:spacing w:val="-66"/>
          <w:sz w:val="24"/>
          <w:szCs w:val="24"/>
        </w:rPr>
        <w:t xml:space="preserve"> </w:t>
      </w:r>
      <w:r>
        <w:rPr>
          <w:rFonts w:ascii="宋体" w:hAnsi="宋体" w:eastAsia="宋体" w:cs="宋体"/>
          <w:spacing w:val="39"/>
          <w:sz w:val="24"/>
          <w:szCs w:val="24"/>
        </w:rPr>
        <w:t>不见面开标大厅</w:t>
      </w:r>
      <w:r>
        <w:rPr>
          <w:rFonts w:ascii="宋体" w:hAnsi="宋体" w:eastAsia="宋体" w:cs="宋体"/>
          <w:sz w:val="24"/>
          <w:szCs w:val="24"/>
        </w:rPr>
        <w:t xml:space="preserve">  </w:t>
      </w:r>
      <w:r>
        <w:rPr>
          <w:rFonts w:ascii="宋体" w:hAnsi="宋体" w:eastAsia="宋体" w:cs="宋体"/>
          <w:spacing w:val="39"/>
          <w:sz w:val="24"/>
          <w:szCs w:val="24"/>
        </w:rPr>
        <w:t>”</w:t>
      </w:r>
      <w:r>
        <w:rPr>
          <w:rFonts w:ascii="宋体" w:hAnsi="宋体" w:eastAsia="宋体" w:cs="宋体"/>
          <w:spacing w:val="1"/>
          <w:sz w:val="24"/>
          <w:szCs w:val="24"/>
        </w:rPr>
        <w:t xml:space="preserve"> </w:t>
      </w:r>
      <w:r>
        <w:rPr>
          <w:rFonts w:ascii="宋体" w:hAnsi="宋体" w:eastAsia="宋体" w:cs="宋体"/>
          <w:sz w:val="24"/>
          <w:szCs w:val="24"/>
        </w:rPr>
        <w:t>（</w:t>
      </w:r>
      <w:r>
        <w:fldChar w:fldCharType="begin"/>
      </w:r>
      <w:r>
        <w:instrText xml:space="preserve"> HYPERLINK "http://61.150.65.231:43088/BidOpening/bidopeninghallaction/hall/login" </w:instrText>
      </w:r>
      <w:r>
        <w:fldChar w:fldCharType="separate"/>
      </w:r>
      <w:r>
        <w:rPr>
          <w:rFonts w:ascii="宋体" w:hAnsi="宋体" w:eastAsia="宋体" w:cs="宋体"/>
          <w:sz w:val="24"/>
          <w:szCs w:val="24"/>
        </w:rPr>
        <w:t>http://61.150.65.231:43088/BidOpening/bidopeninghallaction/hall/login</w:t>
      </w:r>
      <w:r>
        <w:rPr>
          <w:rFonts w:ascii="宋体" w:hAnsi="宋体" w:eastAsia="宋体" w:cs="宋体"/>
          <w:sz w:val="24"/>
          <w:szCs w:val="24"/>
        </w:rPr>
        <w:fldChar w:fldCharType="end"/>
      </w:r>
      <w:r>
        <w:rPr>
          <w:rFonts w:ascii="宋体" w:hAnsi="宋体" w:eastAsia="宋体" w:cs="宋体"/>
          <w:sz w:val="24"/>
          <w:szCs w:val="24"/>
        </w:rPr>
        <w:t>）网址，按</w:t>
      </w:r>
      <w:r>
        <w:rPr>
          <w:rFonts w:ascii="宋体" w:hAnsi="宋体" w:eastAsia="宋体" w:cs="宋体"/>
          <w:spacing w:val="-3"/>
          <w:sz w:val="24"/>
          <w:szCs w:val="24"/>
        </w:rPr>
        <w:t>系统提示完成开标流程。因供应商自身设施故障或自身原因导致无法完成开标的，由供应商自行承担后果。</w:t>
      </w:r>
    </w:p>
    <w:p w14:paraId="76AFEFE3">
      <w:pPr>
        <w:spacing w:before="2" w:line="360" w:lineRule="auto"/>
        <w:ind w:left="8" w:right="53" w:firstLine="577"/>
        <w:jc w:val="both"/>
        <w:rPr>
          <w:rFonts w:ascii="宋体" w:hAnsi="宋体" w:eastAsia="宋体" w:cs="宋体"/>
          <w:sz w:val="24"/>
          <w:szCs w:val="24"/>
        </w:rPr>
      </w:pPr>
      <w:r>
        <w:rPr>
          <w:rFonts w:ascii="宋体" w:hAnsi="宋体" w:eastAsia="宋体" w:cs="宋体"/>
          <w:spacing w:val="-10"/>
          <w:sz w:val="24"/>
          <w:szCs w:val="24"/>
        </w:rPr>
        <w:t>2.5、递交电子竞争性磋商响应文件。登录全国公共资源交</w:t>
      </w:r>
      <w:r>
        <w:rPr>
          <w:rFonts w:ascii="宋体" w:hAnsi="宋体" w:eastAsia="宋体" w:cs="宋体"/>
          <w:spacing w:val="-11"/>
          <w:sz w:val="24"/>
          <w:szCs w:val="24"/>
        </w:rPr>
        <w:t>易平台（陕西省</w:t>
      </w:r>
      <w:r>
        <w:rPr>
          <w:rFonts w:ascii="宋体" w:hAnsi="宋体" w:eastAsia="宋体" w:cs="宋体"/>
          <w:spacing w:val="-28"/>
          <w:sz w:val="24"/>
          <w:szCs w:val="24"/>
        </w:rPr>
        <w:t xml:space="preserve"> </w:t>
      </w:r>
      <w:r>
        <w:rPr>
          <w:rFonts w:ascii="宋体" w:hAnsi="宋体" w:eastAsia="宋体" w:cs="宋体"/>
          <w:spacing w:val="-11"/>
          <w:sz w:val="24"/>
          <w:szCs w:val="24"/>
        </w:rPr>
        <w:t>·杨凌示范区</w:t>
      </w:r>
      <w:r>
        <w:rPr>
          <w:rFonts w:ascii="宋体" w:hAnsi="宋体" w:eastAsia="宋体" w:cs="宋体"/>
          <w:spacing w:val="-53"/>
          <w:w w:val="85"/>
          <w:sz w:val="24"/>
          <w:szCs w:val="24"/>
        </w:rPr>
        <w:t>），</w:t>
      </w:r>
      <w:r>
        <w:rPr>
          <w:rFonts w:ascii="宋体" w:hAnsi="宋体" w:eastAsia="宋体" w:cs="宋体"/>
          <w:spacing w:val="-1"/>
          <w:sz w:val="24"/>
          <w:szCs w:val="24"/>
        </w:rPr>
        <w:t>选择“</w:t>
      </w:r>
      <w:r>
        <w:rPr>
          <w:rFonts w:ascii="宋体" w:hAnsi="宋体" w:eastAsia="宋体" w:cs="宋体"/>
          <w:spacing w:val="-64"/>
          <w:sz w:val="24"/>
          <w:szCs w:val="24"/>
        </w:rPr>
        <w:t xml:space="preserve"> </w:t>
      </w:r>
      <w:r>
        <w:rPr>
          <w:rFonts w:ascii="宋体" w:hAnsi="宋体" w:eastAsia="宋体" w:cs="宋体"/>
          <w:spacing w:val="-1"/>
          <w:sz w:val="24"/>
          <w:szCs w:val="24"/>
        </w:rPr>
        <w:t>电子交易平台-陕西政府采购交易系统-陕西省公共资源交易平台-投标人</w:t>
      </w:r>
      <w:r>
        <w:rPr>
          <w:rFonts w:ascii="宋体" w:hAnsi="宋体" w:eastAsia="宋体" w:cs="宋体"/>
          <w:spacing w:val="-88"/>
          <w:sz w:val="24"/>
          <w:szCs w:val="24"/>
        </w:rPr>
        <w:t xml:space="preserve"> </w:t>
      </w:r>
      <w:r>
        <w:rPr>
          <w:rFonts w:ascii="宋体" w:hAnsi="宋体" w:eastAsia="宋体" w:cs="宋体"/>
          <w:spacing w:val="-1"/>
          <w:sz w:val="24"/>
          <w:szCs w:val="24"/>
        </w:rPr>
        <w:t>”进行登录，</w:t>
      </w:r>
      <w:r>
        <w:rPr>
          <w:rFonts w:ascii="宋体" w:hAnsi="宋体" w:eastAsia="宋体" w:cs="宋体"/>
          <w:spacing w:val="-4"/>
          <w:sz w:val="24"/>
          <w:szCs w:val="24"/>
        </w:rPr>
        <w:t>登录后选择“交易乙方</w:t>
      </w:r>
      <w:r>
        <w:rPr>
          <w:rFonts w:ascii="宋体" w:hAnsi="宋体" w:eastAsia="宋体" w:cs="宋体"/>
          <w:spacing w:val="-88"/>
          <w:sz w:val="24"/>
          <w:szCs w:val="24"/>
        </w:rPr>
        <w:t xml:space="preserve"> </w:t>
      </w:r>
      <w:r>
        <w:rPr>
          <w:rFonts w:ascii="宋体" w:hAnsi="宋体" w:eastAsia="宋体" w:cs="宋体"/>
          <w:spacing w:val="-4"/>
          <w:sz w:val="24"/>
          <w:szCs w:val="24"/>
        </w:rPr>
        <w:t>”身份进入，选择“上传</w:t>
      </w:r>
      <w:r>
        <w:rPr>
          <w:rFonts w:hint="eastAsia" w:ascii="宋体" w:hAnsi="宋体" w:eastAsia="宋体" w:cs="宋体"/>
          <w:spacing w:val="-4"/>
          <w:sz w:val="24"/>
          <w:szCs w:val="24"/>
          <w:lang w:eastAsia="zh-CN"/>
        </w:rPr>
        <w:t>响应文件</w:t>
      </w:r>
      <w:r>
        <w:rPr>
          <w:rFonts w:ascii="宋体" w:hAnsi="宋体" w:eastAsia="宋体" w:cs="宋体"/>
          <w:spacing w:val="-89"/>
          <w:sz w:val="24"/>
          <w:szCs w:val="24"/>
        </w:rPr>
        <w:t xml:space="preserve"> </w:t>
      </w:r>
      <w:r>
        <w:rPr>
          <w:rFonts w:ascii="宋体" w:hAnsi="宋体" w:eastAsia="宋体" w:cs="宋体"/>
          <w:spacing w:val="-4"/>
          <w:sz w:val="24"/>
          <w:szCs w:val="24"/>
        </w:rPr>
        <w:t>”菜单页面，按要求上传加密</w:t>
      </w:r>
      <w:r>
        <w:rPr>
          <w:rFonts w:ascii="宋体" w:hAnsi="宋体" w:eastAsia="宋体" w:cs="宋体"/>
          <w:spacing w:val="-5"/>
          <w:sz w:val="24"/>
          <w:szCs w:val="24"/>
        </w:rPr>
        <w:t>的电子</w:t>
      </w:r>
      <w:r>
        <w:rPr>
          <w:rFonts w:hint="eastAsia" w:ascii="宋体" w:hAnsi="宋体" w:eastAsia="宋体" w:cs="宋体"/>
          <w:spacing w:val="-1"/>
          <w:sz w:val="24"/>
          <w:szCs w:val="24"/>
          <w:lang w:eastAsia="zh-CN"/>
        </w:rPr>
        <w:t>响应文件</w:t>
      </w:r>
      <w:r>
        <w:rPr>
          <w:rFonts w:ascii="宋体" w:hAnsi="宋体" w:eastAsia="宋体" w:cs="宋体"/>
          <w:spacing w:val="-1"/>
          <w:sz w:val="24"/>
          <w:szCs w:val="24"/>
        </w:rPr>
        <w:t>。上传成功后，电子化平台将予以记录。</w:t>
      </w:r>
    </w:p>
    <w:p w14:paraId="669D75E1">
      <w:pPr>
        <w:spacing w:before="1" w:line="360" w:lineRule="auto"/>
        <w:ind w:left="494"/>
        <w:rPr>
          <w:rFonts w:ascii="宋体" w:hAnsi="宋体" w:eastAsia="宋体" w:cs="宋体"/>
          <w:sz w:val="24"/>
          <w:szCs w:val="24"/>
        </w:rPr>
      </w:pPr>
      <w:r>
        <w:rPr>
          <w:rFonts w:ascii="宋体" w:hAnsi="宋体" w:eastAsia="宋体" w:cs="宋体"/>
          <w:b/>
          <w:bCs/>
          <w:spacing w:val="-3"/>
          <w:sz w:val="24"/>
          <w:szCs w:val="24"/>
        </w:rPr>
        <w:t>3、竞争性磋商响应文件递交截止时间</w:t>
      </w:r>
    </w:p>
    <w:p w14:paraId="5713A0E7">
      <w:pPr>
        <w:spacing w:before="135" w:line="360" w:lineRule="auto"/>
        <w:ind w:left="11" w:right="115" w:firstLine="482"/>
        <w:rPr>
          <w:rFonts w:ascii="宋体" w:hAnsi="宋体" w:eastAsia="宋体" w:cs="宋体"/>
          <w:sz w:val="24"/>
          <w:szCs w:val="24"/>
        </w:rPr>
      </w:pPr>
      <w:r>
        <w:rPr>
          <w:rFonts w:ascii="宋体" w:hAnsi="宋体" w:eastAsia="宋体" w:cs="宋体"/>
          <w:sz w:val="24"/>
          <w:szCs w:val="24"/>
        </w:rPr>
        <w:t>3.1、所有竞争性磋商响应文件都必须按</w:t>
      </w:r>
      <w:r>
        <w:rPr>
          <w:rFonts w:ascii="宋体" w:hAnsi="宋体" w:eastAsia="宋体" w:cs="宋体"/>
          <w:spacing w:val="-1"/>
          <w:sz w:val="24"/>
          <w:szCs w:val="24"/>
        </w:rPr>
        <w:t>“采购公告</w:t>
      </w:r>
      <w:r>
        <w:rPr>
          <w:rFonts w:ascii="宋体" w:hAnsi="宋体" w:eastAsia="宋体" w:cs="宋体"/>
          <w:spacing w:val="-88"/>
          <w:sz w:val="24"/>
          <w:szCs w:val="24"/>
        </w:rPr>
        <w:t xml:space="preserve"> </w:t>
      </w:r>
      <w:r>
        <w:rPr>
          <w:rFonts w:ascii="宋体" w:hAnsi="宋体" w:eastAsia="宋体" w:cs="宋体"/>
          <w:spacing w:val="-1"/>
          <w:sz w:val="24"/>
          <w:szCs w:val="24"/>
        </w:rPr>
        <w:t>”中规定的统一递交竞争性磋商响应</w:t>
      </w:r>
      <w:r>
        <w:rPr>
          <w:rFonts w:ascii="宋体" w:hAnsi="宋体" w:eastAsia="宋体" w:cs="宋体"/>
          <w:spacing w:val="-3"/>
          <w:sz w:val="24"/>
          <w:szCs w:val="24"/>
        </w:rPr>
        <w:t>文件时间送达“采购公告</w:t>
      </w:r>
      <w:r>
        <w:rPr>
          <w:rFonts w:ascii="宋体" w:hAnsi="宋体" w:eastAsia="宋体" w:cs="宋体"/>
          <w:spacing w:val="-70"/>
          <w:sz w:val="24"/>
          <w:szCs w:val="24"/>
        </w:rPr>
        <w:t xml:space="preserve"> </w:t>
      </w:r>
      <w:r>
        <w:rPr>
          <w:rFonts w:ascii="宋体" w:hAnsi="宋体" w:eastAsia="宋体" w:cs="宋体"/>
          <w:spacing w:val="-3"/>
          <w:sz w:val="24"/>
          <w:szCs w:val="24"/>
        </w:rPr>
        <w:t>”中规定的递交地址。</w:t>
      </w:r>
    </w:p>
    <w:p w14:paraId="68270353">
      <w:pPr>
        <w:spacing w:line="360" w:lineRule="auto"/>
        <w:ind w:left="9" w:right="115" w:firstLine="484"/>
        <w:rPr>
          <w:rFonts w:ascii="宋体" w:hAnsi="宋体" w:eastAsia="宋体" w:cs="宋体"/>
          <w:sz w:val="24"/>
          <w:szCs w:val="24"/>
        </w:rPr>
      </w:pPr>
      <w:r>
        <w:rPr>
          <w:rFonts w:ascii="宋体" w:hAnsi="宋体" w:eastAsia="宋体" w:cs="宋体"/>
          <w:sz w:val="24"/>
          <w:szCs w:val="24"/>
        </w:rPr>
        <w:t>3.2、出现因竞争性磋商文件的修改推迟竞争性磋商响应文件递交截止日期时，则按修改</w:t>
      </w:r>
      <w:r>
        <w:rPr>
          <w:rFonts w:ascii="宋体" w:hAnsi="宋体" w:eastAsia="宋体" w:cs="宋体"/>
          <w:spacing w:val="-1"/>
          <w:sz w:val="24"/>
          <w:szCs w:val="24"/>
        </w:rPr>
        <w:t>通知规定的时间递交。</w:t>
      </w:r>
    </w:p>
    <w:p w14:paraId="4A32190F">
      <w:pPr>
        <w:spacing w:before="1" w:line="360" w:lineRule="auto"/>
        <w:ind w:left="494"/>
        <w:rPr>
          <w:rFonts w:ascii="宋体" w:hAnsi="宋体" w:eastAsia="宋体" w:cs="宋体"/>
          <w:sz w:val="24"/>
          <w:szCs w:val="24"/>
        </w:rPr>
      </w:pPr>
      <w:r>
        <w:rPr>
          <w:rFonts w:ascii="宋体" w:hAnsi="宋体" w:eastAsia="宋体" w:cs="宋体"/>
          <w:sz w:val="24"/>
          <w:szCs w:val="24"/>
        </w:rPr>
        <w:t>3.3、在响应文件递交截止时间之后递交的</w:t>
      </w:r>
      <w:r>
        <w:rPr>
          <w:rFonts w:ascii="宋体" w:hAnsi="宋体" w:eastAsia="宋体" w:cs="宋体"/>
          <w:spacing w:val="-1"/>
          <w:sz w:val="24"/>
          <w:szCs w:val="24"/>
        </w:rPr>
        <w:t>任何响应文件及资料将被拒绝接收。</w:t>
      </w:r>
    </w:p>
    <w:p w14:paraId="46D5D7ED">
      <w:pPr>
        <w:spacing w:before="134" w:line="360" w:lineRule="auto"/>
        <w:ind w:left="494"/>
        <w:rPr>
          <w:rFonts w:ascii="宋体" w:hAnsi="宋体" w:eastAsia="宋体" w:cs="宋体"/>
          <w:sz w:val="24"/>
          <w:szCs w:val="24"/>
        </w:rPr>
      </w:pPr>
      <w:r>
        <w:rPr>
          <w:rFonts w:ascii="宋体" w:hAnsi="宋体" w:eastAsia="宋体" w:cs="宋体"/>
          <w:spacing w:val="-1"/>
          <w:sz w:val="24"/>
          <w:szCs w:val="24"/>
        </w:rPr>
        <w:t>3.4、拒绝接受以电报、电话、传真、电子邮件形式的投标。</w:t>
      </w:r>
    </w:p>
    <w:p w14:paraId="6AC55EAF">
      <w:pPr>
        <w:spacing w:before="151" w:line="360" w:lineRule="auto"/>
        <w:ind w:left="581"/>
        <w:rPr>
          <w:rFonts w:ascii="宋体" w:hAnsi="宋体" w:eastAsia="宋体" w:cs="宋体"/>
          <w:sz w:val="24"/>
          <w:szCs w:val="24"/>
        </w:rPr>
      </w:pPr>
      <w:r>
        <w:rPr>
          <w:rFonts w:ascii="宋体" w:hAnsi="宋体" w:eastAsia="宋体" w:cs="宋体"/>
          <w:b/>
          <w:bCs/>
          <w:spacing w:val="-3"/>
          <w:sz w:val="24"/>
          <w:szCs w:val="24"/>
        </w:rPr>
        <w:t>4、竞争性磋商响应文件的修改和撤回</w:t>
      </w:r>
    </w:p>
    <w:p w14:paraId="1634FB66">
      <w:pPr>
        <w:spacing w:before="158" w:line="360" w:lineRule="auto"/>
        <w:ind w:left="28" w:right="115" w:firstLine="553"/>
        <w:rPr>
          <w:rFonts w:ascii="宋体" w:hAnsi="宋体" w:eastAsia="宋体" w:cs="宋体"/>
          <w:sz w:val="24"/>
          <w:szCs w:val="24"/>
        </w:rPr>
      </w:pPr>
      <w:r>
        <w:rPr>
          <w:rFonts w:ascii="宋体" w:hAnsi="宋体" w:eastAsia="宋体" w:cs="宋体"/>
          <w:spacing w:val="-2"/>
          <w:sz w:val="24"/>
          <w:szCs w:val="24"/>
        </w:rPr>
        <w:t>4.1、对已提交的电子竞争性磋商响应文件进行补充、修改的，应先从电子交易平台上撤</w:t>
      </w:r>
      <w:r>
        <w:rPr>
          <w:rFonts w:ascii="宋体" w:hAnsi="宋体" w:eastAsia="宋体" w:cs="宋体"/>
          <w:spacing w:val="-3"/>
          <w:sz w:val="24"/>
          <w:szCs w:val="24"/>
        </w:rPr>
        <w:t>回旧文件，再重新提交新文件；成交后提交的纸质文件（备案用）应从专用制作软件中直接打</w:t>
      </w:r>
      <w:r>
        <w:rPr>
          <w:rFonts w:ascii="宋体" w:hAnsi="宋体" w:eastAsia="宋体" w:cs="宋体"/>
          <w:spacing w:val="-1"/>
          <w:sz w:val="24"/>
          <w:szCs w:val="24"/>
        </w:rPr>
        <w:t>印，与电子竞争性磋商响应文件保持一致，不允许补充和修</w:t>
      </w:r>
      <w:r>
        <w:rPr>
          <w:rFonts w:ascii="宋体" w:hAnsi="宋体" w:eastAsia="宋体" w:cs="宋体"/>
          <w:spacing w:val="-2"/>
          <w:sz w:val="24"/>
          <w:szCs w:val="24"/>
        </w:rPr>
        <w:t>改。</w:t>
      </w:r>
    </w:p>
    <w:p w14:paraId="43F7B21F">
      <w:pPr>
        <w:spacing w:before="2" w:line="360" w:lineRule="auto"/>
        <w:ind w:left="12" w:right="115" w:firstLine="569"/>
        <w:rPr>
          <w:rFonts w:ascii="宋体" w:hAnsi="宋体" w:eastAsia="宋体" w:cs="宋体"/>
          <w:sz w:val="24"/>
          <w:szCs w:val="24"/>
        </w:rPr>
      </w:pPr>
      <w:r>
        <w:rPr>
          <w:rFonts w:ascii="宋体" w:hAnsi="宋体" w:eastAsia="宋体" w:cs="宋体"/>
          <w:spacing w:val="-2"/>
          <w:sz w:val="24"/>
          <w:szCs w:val="24"/>
        </w:rPr>
        <w:t>4.2、在磋商截止时间之后，磋商供应商不得对其递交的竞争性磋商响应文件做任何修改</w:t>
      </w:r>
      <w:r>
        <w:rPr>
          <w:rFonts w:ascii="宋体" w:hAnsi="宋体" w:eastAsia="宋体" w:cs="宋体"/>
          <w:spacing w:val="-3"/>
          <w:sz w:val="24"/>
          <w:szCs w:val="24"/>
        </w:rPr>
        <w:t>或撤回投标。</w:t>
      </w:r>
    </w:p>
    <w:p w14:paraId="68403689">
      <w:pPr>
        <w:spacing w:line="360" w:lineRule="auto"/>
        <w:ind w:left="587"/>
        <w:rPr>
          <w:rFonts w:ascii="宋体" w:hAnsi="宋体" w:eastAsia="宋体" w:cs="宋体"/>
          <w:sz w:val="24"/>
          <w:szCs w:val="24"/>
        </w:rPr>
      </w:pPr>
      <w:r>
        <w:rPr>
          <w:rFonts w:ascii="宋体" w:hAnsi="宋体" w:eastAsia="宋体" w:cs="宋体"/>
          <w:b/>
          <w:bCs/>
          <w:spacing w:val="-3"/>
          <w:sz w:val="24"/>
          <w:szCs w:val="24"/>
        </w:rPr>
        <w:t>5、关于竞争性磋商响应文件的雷同性分析</w:t>
      </w:r>
    </w:p>
    <w:p w14:paraId="668AE8C2">
      <w:pPr>
        <w:spacing w:before="159" w:line="360" w:lineRule="auto"/>
        <w:ind w:left="12" w:right="115" w:firstLine="570"/>
        <w:jc w:val="both"/>
        <w:rPr>
          <w:rFonts w:ascii="宋体" w:hAnsi="宋体" w:eastAsia="宋体" w:cs="宋体"/>
          <w:spacing w:val="-1"/>
          <w:sz w:val="24"/>
          <w:szCs w:val="24"/>
        </w:rPr>
      </w:pPr>
      <w:r>
        <w:rPr>
          <w:rFonts w:ascii="宋体" w:hAnsi="宋体" w:eastAsia="宋体" w:cs="宋体"/>
          <w:spacing w:val="-2"/>
          <w:sz w:val="24"/>
          <w:szCs w:val="24"/>
        </w:rPr>
        <w:t>根据陕西省公共资源交易中心2021年7月22日印发的《关于在政府采购交易系统中开通标</w:t>
      </w:r>
      <w:r>
        <w:rPr>
          <w:rFonts w:ascii="宋体" w:hAnsi="宋体" w:eastAsia="宋体" w:cs="宋体"/>
          <w:spacing w:val="-3"/>
          <w:sz w:val="24"/>
          <w:szCs w:val="24"/>
        </w:rPr>
        <w:t>书雷同性分析功能的通知》，在符合性审查环节，将由磋商小组在评标系统中对供应商的电子</w:t>
      </w:r>
      <w:r>
        <w:rPr>
          <w:rFonts w:ascii="宋体" w:hAnsi="宋体" w:eastAsia="宋体" w:cs="宋体"/>
          <w:spacing w:val="-1"/>
          <w:sz w:val="24"/>
          <w:szCs w:val="24"/>
        </w:rPr>
        <w:t>竞争性磋商响应文件进行雷同性分析。</w:t>
      </w:r>
    </w:p>
    <w:p w14:paraId="13ABC2D9">
      <w:pPr>
        <w:spacing w:before="159" w:line="360" w:lineRule="auto"/>
        <w:ind w:left="12" w:right="115" w:firstLine="570"/>
        <w:jc w:val="both"/>
        <w:rPr>
          <w:rFonts w:ascii="宋体" w:hAnsi="宋体" w:eastAsia="宋体" w:cs="宋体"/>
          <w:sz w:val="24"/>
          <w:szCs w:val="24"/>
        </w:rPr>
      </w:pPr>
      <w:r>
        <w:rPr>
          <w:rFonts w:ascii="宋体" w:hAnsi="宋体" w:eastAsia="宋体" w:cs="宋体"/>
          <w:spacing w:val="-5"/>
          <w:sz w:val="24"/>
          <w:szCs w:val="24"/>
        </w:rPr>
        <w:t>雷同性分析由两项指标组成，分别是“文件制作机器码</w:t>
      </w:r>
      <w:r>
        <w:rPr>
          <w:rFonts w:ascii="宋体" w:hAnsi="宋体" w:eastAsia="宋体" w:cs="宋体"/>
          <w:spacing w:val="-88"/>
          <w:sz w:val="24"/>
          <w:szCs w:val="24"/>
        </w:rPr>
        <w:t xml:space="preserve"> </w:t>
      </w:r>
      <w:r>
        <w:rPr>
          <w:rFonts w:ascii="宋体" w:hAnsi="宋体" w:eastAsia="宋体" w:cs="宋体"/>
          <w:spacing w:val="-5"/>
          <w:sz w:val="24"/>
          <w:szCs w:val="24"/>
        </w:rPr>
        <w:t>”和“文件</w:t>
      </w:r>
      <w:r>
        <w:rPr>
          <w:rFonts w:ascii="宋体" w:hAnsi="宋体" w:eastAsia="宋体" w:cs="宋体"/>
          <w:spacing w:val="-6"/>
          <w:sz w:val="24"/>
          <w:szCs w:val="24"/>
        </w:rPr>
        <w:t>创建标识码</w:t>
      </w:r>
      <w:r>
        <w:rPr>
          <w:rFonts w:ascii="宋体" w:hAnsi="宋体" w:eastAsia="宋体" w:cs="宋体"/>
          <w:spacing w:val="-88"/>
          <w:sz w:val="24"/>
          <w:szCs w:val="24"/>
        </w:rPr>
        <w:t xml:space="preserve"> </w:t>
      </w:r>
      <w:r>
        <w:rPr>
          <w:rFonts w:ascii="宋体" w:hAnsi="宋体" w:eastAsia="宋体" w:cs="宋体"/>
          <w:spacing w:val="-6"/>
          <w:sz w:val="24"/>
          <w:szCs w:val="24"/>
        </w:rPr>
        <w:t>”。其中，</w:t>
      </w:r>
      <w:r>
        <w:rPr>
          <w:rFonts w:ascii="宋体" w:hAnsi="宋体" w:eastAsia="宋体" w:cs="宋体"/>
          <w:spacing w:val="3"/>
          <w:sz w:val="24"/>
          <w:szCs w:val="24"/>
        </w:rPr>
        <w:t>前者通过验证电子竞争性磋商响应文件制作设备的特征信息（如</w:t>
      </w:r>
      <w:r>
        <w:rPr>
          <w:rFonts w:ascii="宋体" w:hAnsi="宋体" w:eastAsia="宋体" w:cs="宋体"/>
          <w:sz w:val="24"/>
          <w:szCs w:val="24"/>
        </w:rPr>
        <w:t>MAC</w:t>
      </w:r>
      <w:r>
        <w:rPr>
          <w:rFonts w:ascii="宋体" w:hAnsi="宋体" w:eastAsia="宋体" w:cs="宋体"/>
          <w:spacing w:val="3"/>
          <w:sz w:val="24"/>
          <w:szCs w:val="24"/>
        </w:rPr>
        <w:t>地址、硬盘序列号、</w:t>
      </w:r>
      <w:r>
        <w:rPr>
          <w:rFonts w:ascii="宋体" w:hAnsi="宋体" w:eastAsia="宋体" w:cs="宋体"/>
          <w:sz w:val="24"/>
          <w:szCs w:val="24"/>
        </w:rPr>
        <w:t>CPU</w:t>
      </w:r>
      <w:r>
        <w:rPr>
          <w:rFonts w:ascii="宋体" w:hAnsi="宋体" w:eastAsia="宋体" w:cs="宋体"/>
          <w:spacing w:val="-1"/>
          <w:sz w:val="24"/>
          <w:szCs w:val="24"/>
        </w:rPr>
        <w:t>编号、主板号等</w:t>
      </w:r>
      <w:r>
        <w:rPr>
          <w:rFonts w:ascii="宋体" w:hAnsi="宋体" w:eastAsia="宋体" w:cs="宋体"/>
          <w:spacing w:val="8"/>
          <w:sz w:val="24"/>
          <w:szCs w:val="24"/>
        </w:rPr>
        <w:t>），</w:t>
      </w:r>
      <w:r>
        <w:rPr>
          <w:rFonts w:ascii="宋体" w:hAnsi="宋体" w:eastAsia="宋体" w:cs="宋体"/>
          <w:spacing w:val="-1"/>
          <w:sz w:val="24"/>
          <w:szCs w:val="24"/>
        </w:rPr>
        <w:t>判断电子竞争性磋商响应文件是否出自同一台设备。</w:t>
      </w:r>
    </w:p>
    <w:p w14:paraId="0FB61221">
      <w:pPr>
        <w:spacing w:before="1" w:line="360" w:lineRule="auto"/>
        <w:ind w:left="13" w:right="61" w:firstLine="570"/>
        <w:jc w:val="both"/>
        <w:rPr>
          <w:rFonts w:ascii="宋体" w:hAnsi="宋体" w:eastAsia="宋体" w:cs="宋体"/>
          <w:sz w:val="24"/>
          <w:szCs w:val="24"/>
        </w:rPr>
      </w:pPr>
      <w:r>
        <w:rPr>
          <w:rFonts w:ascii="宋体" w:hAnsi="宋体" w:eastAsia="宋体" w:cs="宋体"/>
          <w:sz w:val="24"/>
          <w:szCs w:val="24"/>
        </w:rPr>
        <w:t>若“文件制作机器码</w:t>
      </w:r>
      <w:r>
        <w:rPr>
          <w:rFonts w:ascii="宋体" w:hAnsi="宋体" w:eastAsia="宋体" w:cs="宋体"/>
          <w:spacing w:val="-79"/>
          <w:sz w:val="24"/>
          <w:szCs w:val="24"/>
        </w:rPr>
        <w:t xml:space="preserve"> </w:t>
      </w:r>
      <w:r>
        <w:rPr>
          <w:rFonts w:ascii="宋体" w:hAnsi="宋体" w:eastAsia="宋体" w:cs="宋体"/>
          <w:sz w:val="24"/>
          <w:szCs w:val="24"/>
        </w:rPr>
        <w:t>”一致，则表明不同磋商供应商的电子竞争性磋商响应文件出自同</w:t>
      </w:r>
      <w:r>
        <w:rPr>
          <w:rFonts w:ascii="宋体" w:hAnsi="宋体" w:eastAsia="宋体" w:cs="宋体"/>
          <w:spacing w:val="-2"/>
          <w:sz w:val="24"/>
          <w:szCs w:val="24"/>
        </w:rPr>
        <w:t>一台制作设备，根据《陕西省财政厅关于政府采</w:t>
      </w:r>
      <w:r>
        <w:rPr>
          <w:rFonts w:ascii="宋体" w:hAnsi="宋体" w:eastAsia="宋体" w:cs="宋体"/>
          <w:spacing w:val="-3"/>
          <w:sz w:val="24"/>
          <w:szCs w:val="24"/>
        </w:rPr>
        <w:t>购有关政策的复函》（陕财办采函〔2019〕18</w:t>
      </w:r>
      <w:r>
        <w:rPr>
          <w:rFonts w:ascii="宋体" w:hAnsi="宋体" w:eastAsia="宋体" w:cs="宋体"/>
          <w:spacing w:val="-1"/>
          <w:sz w:val="24"/>
          <w:szCs w:val="24"/>
        </w:rPr>
        <w:t>号</w:t>
      </w:r>
      <w:r>
        <w:rPr>
          <w:rFonts w:ascii="宋体" w:hAnsi="宋体" w:eastAsia="宋体" w:cs="宋体"/>
          <w:spacing w:val="6"/>
          <w:sz w:val="24"/>
          <w:szCs w:val="24"/>
        </w:rPr>
        <w:t>），</w:t>
      </w:r>
      <w:r>
        <w:rPr>
          <w:rFonts w:ascii="宋体" w:hAnsi="宋体" w:eastAsia="宋体" w:cs="宋体"/>
          <w:spacing w:val="-1"/>
          <w:sz w:val="24"/>
          <w:szCs w:val="24"/>
        </w:rPr>
        <w:t>该情形可以视为磋商供应商串通投标，其投</w:t>
      </w:r>
      <w:r>
        <w:rPr>
          <w:rFonts w:ascii="宋体" w:hAnsi="宋体" w:eastAsia="宋体" w:cs="宋体"/>
          <w:spacing w:val="-2"/>
          <w:sz w:val="24"/>
          <w:szCs w:val="24"/>
        </w:rPr>
        <w:t>标无效。</w:t>
      </w:r>
    </w:p>
    <w:p w14:paraId="65804540">
      <w:pPr>
        <w:spacing w:before="2" w:line="360" w:lineRule="auto"/>
        <w:ind w:left="10" w:right="122" w:firstLine="573"/>
        <w:rPr>
          <w:rFonts w:ascii="宋体" w:hAnsi="宋体" w:eastAsia="宋体" w:cs="宋体"/>
          <w:sz w:val="24"/>
          <w:szCs w:val="24"/>
        </w:rPr>
      </w:pPr>
      <w:r>
        <w:rPr>
          <w:rFonts w:ascii="宋体" w:hAnsi="宋体" w:eastAsia="宋体" w:cs="宋体"/>
          <w:spacing w:val="-1"/>
          <w:sz w:val="24"/>
          <w:szCs w:val="24"/>
        </w:rPr>
        <w:t>若“文件创建标识码</w:t>
      </w:r>
      <w:r>
        <w:rPr>
          <w:rFonts w:ascii="宋体" w:hAnsi="宋体" w:eastAsia="宋体" w:cs="宋体"/>
          <w:spacing w:val="-88"/>
          <w:sz w:val="24"/>
          <w:szCs w:val="24"/>
        </w:rPr>
        <w:t xml:space="preserve"> </w:t>
      </w:r>
      <w:r>
        <w:rPr>
          <w:rFonts w:ascii="宋体" w:hAnsi="宋体" w:eastAsia="宋体" w:cs="宋体"/>
          <w:spacing w:val="-1"/>
          <w:sz w:val="24"/>
          <w:szCs w:val="24"/>
        </w:rPr>
        <w:t>”一致，则表示不同磋商供应商使</w:t>
      </w:r>
      <w:r>
        <w:rPr>
          <w:rFonts w:ascii="宋体" w:hAnsi="宋体" w:eastAsia="宋体" w:cs="宋体"/>
          <w:spacing w:val="-2"/>
          <w:sz w:val="24"/>
          <w:szCs w:val="24"/>
        </w:rPr>
        <w:t>用竞争性磋商文件制作软件时，</w:t>
      </w:r>
      <w:r>
        <w:rPr>
          <w:rFonts w:ascii="宋体" w:hAnsi="宋体" w:eastAsia="宋体" w:cs="宋体"/>
          <w:sz w:val="24"/>
          <w:szCs w:val="24"/>
        </w:rPr>
        <w:t>使用同一源工程文件，该情形建议由磋商小</w:t>
      </w:r>
      <w:r>
        <w:rPr>
          <w:rFonts w:ascii="宋体" w:hAnsi="宋体" w:eastAsia="宋体" w:cs="宋体"/>
          <w:spacing w:val="-1"/>
          <w:sz w:val="24"/>
          <w:szCs w:val="24"/>
        </w:rPr>
        <w:t>组结合项目情况综合判定。</w:t>
      </w:r>
    </w:p>
    <w:p w14:paraId="542097F2">
      <w:pPr>
        <w:spacing w:line="360" w:lineRule="auto"/>
        <w:ind w:left="584"/>
        <w:rPr>
          <w:rFonts w:ascii="宋体" w:hAnsi="宋体" w:eastAsia="宋体" w:cs="宋体"/>
          <w:sz w:val="24"/>
          <w:szCs w:val="24"/>
        </w:rPr>
      </w:pPr>
      <w:r>
        <w:rPr>
          <w:rFonts w:ascii="宋体" w:hAnsi="宋体" w:eastAsia="宋体" w:cs="宋体"/>
          <w:b/>
          <w:bCs/>
          <w:spacing w:val="-5"/>
          <w:sz w:val="24"/>
          <w:szCs w:val="24"/>
        </w:rPr>
        <w:t>6、禁止行为</w:t>
      </w:r>
    </w:p>
    <w:p w14:paraId="2A5CA34C">
      <w:pPr>
        <w:spacing w:before="155" w:line="360" w:lineRule="auto"/>
        <w:ind w:left="8" w:right="61" w:firstLine="576"/>
        <w:rPr>
          <w:rFonts w:ascii="宋体" w:hAnsi="宋体" w:eastAsia="宋体" w:cs="宋体"/>
          <w:sz w:val="24"/>
          <w:szCs w:val="24"/>
        </w:rPr>
      </w:pPr>
      <w:r>
        <w:rPr>
          <w:rFonts w:ascii="宋体" w:hAnsi="宋体" w:eastAsia="宋体" w:cs="宋体"/>
          <w:spacing w:val="-2"/>
          <w:sz w:val="24"/>
          <w:szCs w:val="24"/>
        </w:rPr>
        <w:t>6.1、供应商不得与采购人、采购代理机构恶意串通；不得向采购人、采购代理机构或者磋商小组成员行贿或者提供其他不正当利益</w:t>
      </w:r>
      <w:r>
        <w:rPr>
          <w:rFonts w:ascii="宋体" w:hAnsi="宋体" w:eastAsia="宋体" w:cs="宋体"/>
          <w:spacing w:val="-3"/>
          <w:sz w:val="24"/>
          <w:szCs w:val="24"/>
        </w:rPr>
        <w:t>；不得提供虚假材料谋取成交；不得以任何方式干</w:t>
      </w:r>
      <w:r>
        <w:rPr>
          <w:rFonts w:ascii="宋体" w:hAnsi="宋体" w:eastAsia="宋体" w:cs="宋体"/>
          <w:sz w:val="24"/>
          <w:szCs w:val="24"/>
        </w:rPr>
        <w:t>扰、影响采购工作。供应商违反政府采购法律法规相关规定的</w:t>
      </w:r>
      <w:r>
        <w:rPr>
          <w:rFonts w:ascii="宋体" w:hAnsi="宋体" w:eastAsia="宋体" w:cs="宋体"/>
          <w:spacing w:val="-1"/>
          <w:sz w:val="24"/>
          <w:szCs w:val="24"/>
        </w:rPr>
        <w:t>，依法追究法律责任。</w:t>
      </w:r>
    </w:p>
    <w:p w14:paraId="2924FF38">
      <w:pPr>
        <w:spacing w:before="2" w:line="360" w:lineRule="auto"/>
        <w:ind w:left="13" w:firstLine="571"/>
        <w:rPr>
          <w:rFonts w:ascii="宋体" w:hAnsi="宋体" w:eastAsia="宋体" w:cs="宋体"/>
          <w:sz w:val="24"/>
          <w:szCs w:val="24"/>
        </w:rPr>
      </w:pPr>
      <w:r>
        <w:rPr>
          <w:rFonts w:ascii="宋体" w:hAnsi="宋体" w:eastAsia="宋体" w:cs="宋体"/>
          <w:spacing w:val="-6"/>
          <w:sz w:val="24"/>
          <w:szCs w:val="24"/>
        </w:rPr>
        <w:t>6.2、供应商应当遵循公平竞争的原则，不得恶意串通，不得</w:t>
      </w:r>
      <w:r>
        <w:rPr>
          <w:rFonts w:ascii="宋体" w:hAnsi="宋体" w:eastAsia="宋体" w:cs="宋体"/>
          <w:spacing w:val="-7"/>
          <w:sz w:val="24"/>
          <w:szCs w:val="24"/>
        </w:rPr>
        <w:t>妨碍其他供应商的竞争行为，</w:t>
      </w:r>
      <w:r>
        <w:rPr>
          <w:rFonts w:ascii="宋体" w:hAnsi="宋体" w:eastAsia="宋体" w:cs="宋体"/>
          <w:spacing w:val="-1"/>
          <w:sz w:val="24"/>
          <w:szCs w:val="24"/>
        </w:rPr>
        <w:t>不得损害采购人或者其他供应商的合法权益。</w:t>
      </w:r>
    </w:p>
    <w:p w14:paraId="20DBCC5E">
      <w:pPr>
        <w:spacing w:before="1" w:line="360" w:lineRule="auto"/>
        <w:ind w:left="583"/>
        <w:rPr>
          <w:rFonts w:ascii="宋体" w:hAnsi="宋体" w:eastAsia="宋体" w:cs="宋体"/>
          <w:sz w:val="24"/>
          <w:szCs w:val="24"/>
        </w:rPr>
      </w:pPr>
      <w:r>
        <w:rPr>
          <w:rFonts w:ascii="宋体" w:hAnsi="宋体" w:eastAsia="宋体" w:cs="宋体"/>
          <w:spacing w:val="-1"/>
          <w:sz w:val="24"/>
          <w:szCs w:val="24"/>
        </w:rPr>
        <w:t>有下列情形之一的，视为供应商串通投标，其投标无效：</w:t>
      </w:r>
    </w:p>
    <w:p w14:paraId="52F51ADB">
      <w:pPr>
        <w:spacing w:before="154" w:line="360" w:lineRule="auto"/>
        <w:ind w:left="594"/>
        <w:rPr>
          <w:rFonts w:ascii="宋体" w:hAnsi="宋体" w:eastAsia="宋体" w:cs="宋体"/>
          <w:sz w:val="24"/>
          <w:szCs w:val="24"/>
        </w:rPr>
      </w:pPr>
      <w:r>
        <w:rPr>
          <w:rFonts w:ascii="宋体" w:hAnsi="宋体" w:eastAsia="宋体" w:cs="宋体"/>
          <w:spacing w:val="-1"/>
          <w:sz w:val="24"/>
          <w:szCs w:val="24"/>
        </w:rPr>
        <w:t>（1）不同供应商的竞争性磋商响应文件由同一单位或者个人编制；</w:t>
      </w:r>
    </w:p>
    <w:p w14:paraId="44171E4B">
      <w:pPr>
        <w:spacing w:before="157" w:line="360" w:lineRule="auto"/>
        <w:ind w:left="594"/>
        <w:rPr>
          <w:rFonts w:ascii="宋体" w:hAnsi="宋体" w:eastAsia="宋体" w:cs="宋体"/>
          <w:sz w:val="24"/>
          <w:szCs w:val="24"/>
        </w:rPr>
      </w:pPr>
      <w:r>
        <w:rPr>
          <w:rFonts w:ascii="宋体" w:hAnsi="宋体" w:eastAsia="宋体" w:cs="宋体"/>
          <w:spacing w:val="-1"/>
          <w:sz w:val="24"/>
          <w:szCs w:val="24"/>
        </w:rPr>
        <w:t>（2）不同供应商委托同一单位或者个人办理投标事宜；</w:t>
      </w:r>
    </w:p>
    <w:p w14:paraId="11B9AAC5">
      <w:pPr>
        <w:spacing w:before="154" w:line="360" w:lineRule="auto"/>
        <w:ind w:left="594"/>
        <w:rPr>
          <w:rFonts w:ascii="宋体" w:hAnsi="宋体" w:eastAsia="宋体" w:cs="宋体"/>
          <w:sz w:val="24"/>
          <w:szCs w:val="24"/>
        </w:rPr>
      </w:pPr>
      <w:r>
        <w:rPr>
          <w:rFonts w:ascii="宋体" w:hAnsi="宋体" w:eastAsia="宋体" w:cs="宋体"/>
          <w:spacing w:val="-1"/>
          <w:sz w:val="24"/>
          <w:szCs w:val="24"/>
        </w:rPr>
        <w:t>（3）不同供应商的响应文载明的项目管理成员或者联系人员为同一人；</w:t>
      </w:r>
    </w:p>
    <w:p w14:paraId="4BB3E541">
      <w:pPr>
        <w:spacing w:before="155" w:line="360" w:lineRule="auto"/>
        <w:ind w:left="594"/>
        <w:rPr>
          <w:rFonts w:ascii="宋体" w:hAnsi="宋体" w:eastAsia="宋体" w:cs="宋体"/>
          <w:sz w:val="24"/>
          <w:szCs w:val="24"/>
        </w:rPr>
      </w:pPr>
      <w:r>
        <w:rPr>
          <w:rFonts w:ascii="宋体" w:hAnsi="宋体" w:eastAsia="宋体" w:cs="宋体"/>
          <w:spacing w:val="-1"/>
          <w:sz w:val="24"/>
          <w:szCs w:val="24"/>
        </w:rPr>
        <w:t>（4）不同供应商的响应文异常一致或者磋商报价呈规律性差异；</w:t>
      </w:r>
    </w:p>
    <w:p w14:paraId="16E7E0D3">
      <w:pPr>
        <w:spacing w:before="158" w:line="360" w:lineRule="auto"/>
        <w:ind w:left="594"/>
        <w:rPr>
          <w:rFonts w:ascii="宋体" w:hAnsi="宋体" w:eastAsia="宋体" w:cs="宋体"/>
          <w:sz w:val="24"/>
          <w:szCs w:val="24"/>
        </w:rPr>
      </w:pPr>
      <w:r>
        <w:rPr>
          <w:rFonts w:ascii="宋体" w:hAnsi="宋体" w:eastAsia="宋体" w:cs="宋体"/>
          <w:spacing w:val="-1"/>
          <w:sz w:val="24"/>
          <w:szCs w:val="24"/>
        </w:rPr>
        <w:t>（5）不同供应商的竞争性磋商响应文件相互混上传。</w:t>
      </w:r>
    </w:p>
    <w:p w14:paraId="567677DC">
      <w:pPr>
        <w:spacing w:before="120" w:line="360" w:lineRule="auto"/>
        <w:ind w:left="4184"/>
        <w:outlineLvl w:val="1"/>
        <w:rPr>
          <w:rFonts w:ascii="宋体" w:hAnsi="宋体" w:eastAsia="宋体" w:cs="宋体"/>
          <w:sz w:val="28"/>
          <w:szCs w:val="28"/>
        </w:rPr>
      </w:pPr>
      <w:bookmarkStart w:id="22" w:name="_Toc26864"/>
      <w:r>
        <w:rPr>
          <w:rFonts w:ascii="宋体" w:hAnsi="宋体" w:eastAsia="宋体" w:cs="宋体"/>
          <w:b/>
          <w:bCs/>
          <w:spacing w:val="-5"/>
          <w:sz w:val="28"/>
          <w:szCs w:val="28"/>
        </w:rPr>
        <w:t>五、磋商及评审</w:t>
      </w:r>
      <w:bookmarkEnd w:id="22"/>
    </w:p>
    <w:p w14:paraId="2C8E4C05">
      <w:pPr>
        <w:spacing w:before="139" w:line="360" w:lineRule="auto"/>
        <w:ind w:left="10" w:right="63" w:firstLine="571"/>
        <w:rPr>
          <w:rFonts w:ascii="宋体" w:hAnsi="宋体" w:eastAsia="宋体" w:cs="宋体"/>
          <w:sz w:val="24"/>
          <w:szCs w:val="24"/>
        </w:rPr>
      </w:pPr>
      <w:r>
        <w:rPr>
          <w:rFonts w:ascii="宋体" w:hAnsi="宋体" w:eastAsia="宋体" w:cs="宋体"/>
          <w:spacing w:val="1"/>
          <w:sz w:val="24"/>
          <w:szCs w:val="24"/>
        </w:rPr>
        <w:t>采购代理机构按竞争性磋商文件规定的时间在规定的时间和地点组织磋商活动。开标工</w:t>
      </w:r>
      <w:r>
        <w:rPr>
          <w:rFonts w:ascii="宋体" w:hAnsi="宋体" w:eastAsia="宋体" w:cs="宋体"/>
          <w:sz w:val="24"/>
          <w:szCs w:val="24"/>
        </w:rPr>
        <w:t>作由采购代理机构组织实施，整个过程受同级政府采</w:t>
      </w:r>
      <w:r>
        <w:rPr>
          <w:rFonts w:ascii="宋体" w:hAnsi="宋体" w:eastAsia="宋体" w:cs="宋体"/>
          <w:spacing w:val="-1"/>
          <w:sz w:val="24"/>
          <w:szCs w:val="24"/>
        </w:rPr>
        <w:t>购监管机构的监督、管理。</w:t>
      </w:r>
    </w:p>
    <w:p w14:paraId="699D4E40">
      <w:pPr>
        <w:spacing w:line="360" w:lineRule="auto"/>
        <w:ind w:left="600"/>
        <w:rPr>
          <w:rFonts w:ascii="宋体" w:hAnsi="宋体" w:eastAsia="宋体" w:cs="宋体"/>
          <w:sz w:val="24"/>
          <w:szCs w:val="24"/>
        </w:rPr>
      </w:pPr>
      <w:r>
        <w:rPr>
          <w:rFonts w:ascii="宋体" w:hAnsi="宋体" w:eastAsia="宋体" w:cs="宋体"/>
          <w:b/>
          <w:bCs/>
          <w:spacing w:val="-7"/>
          <w:sz w:val="24"/>
          <w:szCs w:val="24"/>
        </w:rPr>
        <w:t>1、“不见面开标</w:t>
      </w:r>
      <w:r>
        <w:rPr>
          <w:rFonts w:ascii="宋体" w:hAnsi="宋体" w:eastAsia="宋体" w:cs="宋体"/>
          <w:spacing w:val="-81"/>
          <w:sz w:val="24"/>
          <w:szCs w:val="24"/>
        </w:rPr>
        <w:t xml:space="preserve"> </w:t>
      </w:r>
      <w:r>
        <w:rPr>
          <w:rFonts w:ascii="宋体" w:hAnsi="宋体" w:eastAsia="宋体" w:cs="宋体"/>
          <w:b/>
          <w:bCs/>
          <w:spacing w:val="-7"/>
          <w:sz w:val="24"/>
          <w:szCs w:val="24"/>
        </w:rPr>
        <w:t>”基本流程</w:t>
      </w:r>
    </w:p>
    <w:p w14:paraId="288683D7">
      <w:pPr>
        <w:spacing w:before="155" w:line="360" w:lineRule="auto"/>
        <w:ind w:left="9" w:right="61" w:firstLine="561"/>
        <w:rPr>
          <w:rFonts w:ascii="宋体" w:hAnsi="宋体" w:eastAsia="宋体" w:cs="宋体"/>
          <w:sz w:val="24"/>
          <w:szCs w:val="24"/>
        </w:rPr>
      </w:pPr>
      <w:r>
        <w:rPr>
          <w:rFonts w:ascii="宋体" w:hAnsi="宋体" w:eastAsia="宋体" w:cs="宋体"/>
          <w:spacing w:val="1"/>
          <w:sz w:val="24"/>
          <w:szCs w:val="24"/>
        </w:rPr>
        <w:t>“不见面开标</w:t>
      </w:r>
      <w:r>
        <w:rPr>
          <w:rFonts w:ascii="宋体" w:hAnsi="宋体" w:eastAsia="宋体" w:cs="宋体"/>
          <w:spacing w:val="-85"/>
          <w:sz w:val="24"/>
          <w:szCs w:val="24"/>
        </w:rPr>
        <w:t xml:space="preserve"> </w:t>
      </w:r>
      <w:r>
        <w:rPr>
          <w:rFonts w:ascii="宋体" w:hAnsi="宋体" w:eastAsia="宋体" w:cs="宋体"/>
          <w:spacing w:val="1"/>
          <w:sz w:val="24"/>
          <w:szCs w:val="24"/>
        </w:rPr>
        <w:t>”是依托政府采购云平台实现</w:t>
      </w:r>
      <w:r>
        <w:rPr>
          <w:rFonts w:ascii="宋体" w:hAnsi="宋体" w:eastAsia="宋体" w:cs="宋体"/>
          <w:sz w:val="24"/>
          <w:szCs w:val="24"/>
        </w:rPr>
        <w:t>的供应商在线参与开标的一种组织形式。供</w:t>
      </w:r>
      <w:r>
        <w:rPr>
          <w:rFonts w:ascii="宋体" w:hAnsi="宋体" w:eastAsia="宋体" w:cs="宋体"/>
          <w:spacing w:val="-1"/>
          <w:sz w:val="24"/>
          <w:szCs w:val="24"/>
        </w:rPr>
        <w:t>应商无需抵达开标现场，即可在线实现开标、解密、澄清等操作。</w:t>
      </w:r>
    </w:p>
    <w:p w14:paraId="7CBE8CE1">
      <w:pPr>
        <w:spacing w:before="2" w:line="360" w:lineRule="auto"/>
        <w:ind w:left="15" w:right="61" w:firstLine="585"/>
        <w:rPr>
          <w:rFonts w:ascii="宋体" w:hAnsi="宋体" w:eastAsia="宋体" w:cs="宋体"/>
          <w:sz w:val="24"/>
          <w:szCs w:val="24"/>
        </w:rPr>
      </w:pPr>
      <w:r>
        <w:rPr>
          <w:rFonts w:ascii="宋体" w:hAnsi="宋体" w:eastAsia="宋体" w:cs="宋体"/>
          <w:spacing w:val="-2"/>
          <w:sz w:val="24"/>
          <w:szCs w:val="24"/>
        </w:rPr>
        <w:t>1.1、供应商登录：开标前，请各供应商至少提前半</w:t>
      </w:r>
      <w:r>
        <w:rPr>
          <w:rFonts w:ascii="宋体" w:hAnsi="宋体" w:eastAsia="宋体" w:cs="宋体"/>
          <w:spacing w:val="-3"/>
          <w:sz w:val="24"/>
          <w:szCs w:val="24"/>
        </w:rPr>
        <w:t>小时登录全国公共资源交易平台（陕</w:t>
      </w:r>
      <w:r>
        <w:rPr>
          <w:rFonts w:ascii="宋体" w:hAnsi="宋体" w:eastAsia="宋体" w:cs="宋体"/>
          <w:spacing w:val="-5"/>
          <w:sz w:val="24"/>
          <w:szCs w:val="24"/>
        </w:rPr>
        <w:t>西省</w:t>
      </w:r>
      <w:r>
        <w:rPr>
          <w:rFonts w:ascii="宋体" w:hAnsi="宋体" w:eastAsia="宋体" w:cs="宋体"/>
          <w:spacing w:val="-27"/>
          <w:sz w:val="24"/>
          <w:szCs w:val="24"/>
        </w:rPr>
        <w:t xml:space="preserve"> </w:t>
      </w:r>
      <w:r>
        <w:rPr>
          <w:rFonts w:ascii="宋体" w:hAnsi="宋体" w:eastAsia="宋体" w:cs="宋体"/>
          <w:spacing w:val="-5"/>
          <w:sz w:val="24"/>
          <w:szCs w:val="24"/>
        </w:rPr>
        <w:t>·杨凌示范区）【首页-不见面开标】系统。</w:t>
      </w:r>
    </w:p>
    <w:p w14:paraId="13E7EA65">
      <w:pPr>
        <w:spacing w:before="2" w:line="360" w:lineRule="auto"/>
        <w:ind w:left="14" w:right="61" w:firstLine="586"/>
        <w:rPr>
          <w:rFonts w:ascii="宋体" w:hAnsi="宋体" w:eastAsia="宋体" w:cs="宋体"/>
          <w:sz w:val="24"/>
          <w:szCs w:val="24"/>
        </w:rPr>
      </w:pPr>
      <w:r>
        <w:rPr>
          <w:rFonts w:ascii="宋体" w:hAnsi="宋体" w:eastAsia="宋体" w:cs="宋体"/>
          <w:spacing w:val="-2"/>
          <w:sz w:val="24"/>
          <w:szCs w:val="24"/>
        </w:rPr>
        <w:t>1.2、主持人宣布开标：提交竞争性磋商响应文件截</w:t>
      </w:r>
      <w:r>
        <w:rPr>
          <w:rFonts w:ascii="宋体" w:hAnsi="宋体" w:eastAsia="宋体" w:cs="宋体"/>
          <w:spacing w:val="-3"/>
          <w:sz w:val="24"/>
          <w:szCs w:val="24"/>
        </w:rPr>
        <w:t>止时间过后，系统将不再接收任何竞</w:t>
      </w:r>
      <w:r>
        <w:rPr>
          <w:rFonts w:ascii="宋体" w:hAnsi="宋体" w:eastAsia="宋体" w:cs="宋体"/>
          <w:spacing w:val="-2"/>
          <w:sz w:val="24"/>
          <w:szCs w:val="24"/>
        </w:rPr>
        <w:t>争性磋商响应文件。</w:t>
      </w:r>
    </w:p>
    <w:p w14:paraId="6342D77B">
      <w:pPr>
        <w:spacing w:before="2" w:line="360" w:lineRule="auto"/>
        <w:ind w:left="10" w:right="61" w:firstLine="590"/>
      </w:pPr>
      <w:r>
        <w:rPr>
          <w:rFonts w:ascii="宋体" w:hAnsi="宋体" w:eastAsia="宋体" w:cs="宋体"/>
          <w:spacing w:val="-3"/>
          <w:sz w:val="24"/>
          <w:szCs w:val="24"/>
        </w:rPr>
        <w:t>1.3、解密竞争性磋商响应文件：供应商在收到主持人“开始解密</w:t>
      </w:r>
      <w:r>
        <w:rPr>
          <w:rFonts w:ascii="宋体" w:hAnsi="宋体" w:eastAsia="宋体" w:cs="宋体"/>
          <w:spacing w:val="-88"/>
          <w:sz w:val="24"/>
          <w:szCs w:val="24"/>
        </w:rPr>
        <w:t xml:space="preserve"> </w:t>
      </w:r>
      <w:r>
        <w:rPr>
          <w:rFonts w:ascii="宋体" w:hAnsi="宋体" w:eastAsia="宋体" w:cs="宋体"/>
          <w:spacing w:val="-4"/>
          <w:sz w:val="24"/>
          <w:szCs w:val="24"/>
        </w:rPr>
        <w:t>”指令后，应使用“加</w:t>
      </w:r>
      <w:r>
        <w:rPr>
          <w:rFonts w:ascii="宋体" w:hAnsi="宋体" w:eastAsia="宋体" w:cs="宋体"/>
          <w:spacing w:val="-2"/>
          <w:sz w:val="24"/>
          <w:szCs w:val="24"/>
        </w:rPr>
        <w:t>密该竞争性磋商响应文件的CA锁（必须是同一</w:t>
      </w:r>
      <w:r>
        <w:rPr>
          <w:rFonts w:ascii="宋体" w:hAnsi="宋体" w:eastAsia="宋体" w:cs="宋体"/>
          <w:spacing w:val="-3"/>
          <w:sz w:val="24"/>
          <w:szCs w:val="24"/>
        </w:rPr>
        <w:t>把锁）”在线完成竞争性磋商响应文件解密。除</w:t>
      </w:r>
    </w:p>
    <w:p w14:paraId="1C4265BD">
      <w:pPr>
        <w:spacing w:before="78" w:line="360" w:lineRule="auto"/>
        <w:ind w:left="9" w:right="110" w:firstLine="18"/>
        <w:jc w:val="both"/>
        <w:rPr>
          <w:rFonts w:ascii="宋体" w:hAnsi="宋体" w:eastAsia="宋体" w:cs="宋体"/>
          <w:sz w:val="24"/>
          <w:szCs w:val="24"/>
        </w:rPr>
      </w:pPr>
      <w:r>
        <w:rPr>
          <w:rFonts w:ascii="宋体" w:hAnsi="宋体" w:eastAsia="宋体" w:cs="宋体"/>
          <w:spacing w:val="-5"/>
          <w:sz w:val="24"/>
          <w:szCs w:val="24"/>
        </w:rPr>
        <w:t>因【全国公共资源交易平台（陕西省</w:t>
      </w:r>
      <w:r>
        <w:rPr>
          <w:rFonts w:ascii="宋体" w:hAnsi="宋体" w:eastAsia="宋体" w:cs="宋体"/>
          <w:spacing w:val="-29"/>
          <w:sz w:val="24"/>
          <w:szCs w:val="24"/>
        </w:rPr>
        <w:t xml:space="preserve"> </w:t>
      </w:r>
      <w:r>
        <w:rPr>
          <w:rFonts w:ascii="宋体" w:hAnsi="宋体" w:eastAsia="宋体" w:cs="宋体"/>
          <w:spacing w:val="-5"/>
          <w:sz w:val="24"/>
          <w:szCs w:val="24"/>
        </w:rPr>
        <w:t>·杨凌示范区）】系统断电、</w:t>
      </w:r>
      <w:r>
        <w:rPr>
          <w:rFonts w:ascii="宋体" w:hAnsi="宋体" w:eastAsia="宋体" w:cs="宋体"/>
          <w:spacing w:val="-6"/>
          <w:sz w:val="24"/>
          <w:szCs w:val="24"/>
        </w:rPr>
        <w:t>断网、系统故障及其他不可</w:t>
      </w:r>
      <w:r>
        <w:rPr>
          <w:rFonts w:ascii="宋体" w:hAnsi="宋体" w:eastAsia="宋体" w:cs="宋体"/>
          <w:spacing w:val="-3"/>
          <w:sz w:val="24"/>
          <w:szCs w:val="24"/>
        </w:rPr>
        <w:t>抗力等因素，导致“不见面开标</w:t>
      </w:r>
      <w:r>
        <w:rPr>
          <w:rFonts w:ascii="宋体" w:hAnsi="宋体" w:eastAsia="宋体" w:cs="宋体"/>
          <w:spacing w:val="-88"/>
          <w:sz w:val="24"/>
          <w:szCs w:val="24"/>
        </w:rPr>
        <w:t xml:space="preserve"> </w:t>
      </w:r>
      <w:r>
        <w:rPr>
          <w:rFonts w:ascii="宋体" w:hAnsi="宋体" w:eastAsia="宋体" w:cs="宋体"/>
          <w:spacing w:val="-3"/>
          <w:sz w:val="24"/>
          <w:szCs w:val="24"/>
        </w:rPr>
        <w:t>”系统无法正常运行外，供应商</w:t>
      </w:r>
      <w:r>
        <w:rPr>
          <w:rFonts w:ascii="宋体" w:hAnsi="宋体" w:eastAsia="宋体" w:cs="宋体"/>
          <w:spacing w:val="-4"/>
          <w:sz w:val="24"/>
          <w:szCs w:val="24"/>
        </w:rPr>
        <w:t>应在规定的解密时间内完成解</w:t>
      </w:r>
      <w:r>
        <w:rPr>
          <w:rFonts w:ascii="宋体" w:hAnsi="宋体" w:eastAsia="宋体" w:cs="宋体"/>
          <w:spacing w:val="-5"/>
          <w:sz w:val="24"/>
          <w:szCs w:val="24"/>
        </w:rPr>
        <w:t>密。</w:t>
      </w:r>
    </w:p>
    <w:p w14:paraId="0FC2BEB2">
      <w:pPr>
        <w:spacing w:before="2" w:line="360" w:lineRule="auto"/>
        <w:ind w:left="14" w:right="110" w:firstLine="586"/>
        <w:rPr>
          <w:rFonts w:ascii="宋体" w:hAnsi="宋体" w:eastAsia="宋体" w:cs="宋体"/>
          <w:sz w:val="24"/>
          <w:szCs w:val="24"/>
        </w:rPr>
      </w:pPr>
      <w:r>
        <w:rPr>
          <w:rFonts w:ascii="宋体" w:hAnsi="宋体" w:eastAsia="宋体" w:cs="宋体"/>
          <w:spacing w:val="-2"/>
          <w:sz w:val="24"/>
          <w:szCs w:val="24"/>
        </w:rPr>
        <w:t>1.4、开标结束：进入评审环节。供应商请保持在线</w:t>
      </w:r>
      <w:r>
        <w:rPr>
          <w:rFonts w:ascii="宋体" w:hAnsi="宋体" w:eastAsia="宋体" w:cs="宋体"/>
          <w:spacing w:val="-3"/>
          <w:sz w:val="24"/>
          <w:szCs w:val="24"/>
        </w:rPr>
        <w:t>，评审期间磋商小组可能会要求供应</w:t>
      </w:r>
      <w:r>
        <w:rPr>
          <w:rFonts w:ascii="宋体" w:hAnsi="宋体" w:eastAsia="宋体" w:cs="宋体"/>
          <w:spacing w:val="-1"/>
          <w:sz w:val="24"/>
          <w:szCs w:val="24"/>
        </w:rPr>
        <w:t>商做相应的澄清。因供应商擅自离席造成的不利后果，由供应商自行承担。</w:t>
      </w:r>
    </w:p>
    <w:p w14:paraId="3704C5DF">
      <w:pPr>
        <w:spacing w:line="360" w:lineRule="auto"/>
        <w:ind w:left="9" w:firstLine="561"/>
        <w:jc w:val="both"/>
        <w:rPr>
          <w:rFonts w:ascii="宋体" w:hAnsi="宋体" w:eastAsia="宋体" w:cs="宋体"/>
          <w:sz w:val="24"/>
          <w:szCs w:val="24"/>
        </w:rPr>
      </w:pPr>
      <w:r>
        <w:rPr>
          <w:rFonts w:ascii="宋体" w:hAnsi="宋体" w:eastAsia="宋体" w:cs="宋体"/>
          <w:spacing w:val="-5"/>
          <w:sz w:val="24"/>
          <w:szCs w:val="24"/>
        </w:rPr>
        <w:t>“不见面开标</w:t>
      </w:r>
      <w:r>
        <w:rPr>
          <w:rFonts w:ascii="宋体" w:hAnsi="宋体" w:eastAsia="宋体" w:cs="宋体"/>
          <w:spacing w:val="-89"/>
          <w:sz w:val="24"/>
          <w:szCs w:val="24"/>
        </w:rPr>
        <w:t xml:space="preserve"> </w:t>
      </w:r>
      <w:r>
        <w:rPr>
          <w:rFonts w:ascii="宋体" w:hAnsi="宋体" w:eastAsia="宋体" w:cs="宋体"/>
          <w:spacing w:val="-5"/>
          <w:sz w:val="24"/>
          <w:szCs w:val="24"/>
        </w:rPr>
        <w:t>”系统操作说明：详见【全国公共资源交易平台（陕西省</w:t>
      </w:r>
      <w:r>
        <w:rPr>
          <w:rFonts w:ascii="宋体" w:hAnsi="宋体" w:eastAsia="宋体" w:cs="宋体"/>
          <w:spacing w:val="-28"/>
          <w:sz w:val="24"/>
          <w:szCs w:val="24"/>
        </w:rPr>
        <w:t xml:space="preserve"> </w:t>
      </w:r>
      <w:r>
        <w:rPr>
          <w:rFonts w:ascii="宋体" w:hAnsi="宋体" w:eastAsia="宋体" w:cs="宋体"/>
          <w:spacing w:val="-5"/>
          <w:sz w:val="24"/>
          <w:szCs w:val="24"/>
        </w:rPr>
        <w:t>·杨凌示</w:t>
      </w:r>
      <w:r>
        <w:rPr>
          <w:rFonts w:ascii="宋体" w:hAnsi="宋体" w:eastAsia="宋体" w:cs="宋体"/>
          <w:spacing w:val="-6"/>
          <w:sz w:val="24"/>
          <w:szCs w:val="24"/>
        </w:rPr>
        <w:t>范区）】</w:t>
      </w:r>
      <w:r>
        <w:rPr>
          <w:rFonts w:ascii="宋体" w:hAnsi="宋体" w:eastAsia="宋体" w:cs="宋体"/>
          <w:sz w:val="24"/>
          <w:szCs w:val="24"/>
        </w:rPr>
        <w:t xml:space="preserve"> （</w:t>
      </w:r>
      <w:r>
        <w:fldChar w:fldCharType="begin"/>
      </w:r>
      <w:r>
        <w:instrText xml:space="preserve"> HYPERLINK "http://yangl.sxggzyjy.cn/" </w:instrText>
      </w:r>
      <w:r>
        <w:fldChar w:fldCharType="separate"/>
      </w:r>
      <w:r>
        <w:rPr>
          <w:rFonts w:ascii="宋体" w:hAnsi="宋体" w:eastAsia="宋体" w:cs="宋体"/>
          <w:sz w:val="24"/>
          <w:szCs w:val="24"/>
        </w:rPr>
        <w:t>http://yangl.sxggzyjy.cn/</w:t>
      </w:r>
      <w:r>
        <w:rPr>
          <w:rFonts w:ascii="宋体" w:hAnsi="宋体" w:eastAsia="宋体" w:cs="宋体"/>
          <w:sz w:val="24"/>
          <w:szCs w:val="24"/>
        </w:rPr>
        <w:fldChar w:fldCharType="end"/>
      </w:r>
      <w:r>
        <w:rPr>
          <w:rFonts w:ascii="宋体" w:hAnsi="宋体" w:eastAsia="宋体" w:cs="宋体"/>
          <w:sz w:val="24"/>
          <w:szCs w:val="24"/>
        </w:rPr>
        <w:t>）【《首页》不见面开标】在线参与开评标过程，详见交易平</w:t>
      </w:r>
      <w:r>
        <w:rPr>
          <w:rFonts w:ascii="宋体" w:hAnsi="宋体" w:eastAsia="宋体" w:cs="宋体"/>
          <w:spacing w:val="-2"/>
          <w:sz w:val="24"/>
          <w:szCs w:val="24"/>
        </w:rPr>
        <w:t>台【首页〉服务指南〉下载专区】中的《杨</w:t>
      </w:r>
      <w:r>
        <w:rPr>
          <w:rFonts w:ascii="宋体" w:hAnsi="宋体" w:eastAsia="宋体" w:cs="宋体"/>
          <w:spacing w:val="-3"/>
          <w:sz w:val="24"/>
          <w:szCs w:val="24"/>
        </w:rPr>
        <w:t>凌示范区公共资源交易不见面开标大厅供应商操作</w:t>
      </w:r>
      <w:r>
        <w:rPr>
          <w:rFonts w:ascii="宋体" w:hAnsi="宋体" w:eastAsia="宋体" w:cs="宋体"/>
          <w:sz w:val="24"/>
          <w:szCs w:val="24"/>
        </w:rPr>
        <w:t>手册》（网址：</w:t>
      </w:r>
      <w:r>
        <w:fldChar w:fldCharType="begin"/>
      </w:r>
      <w:r>
        <w:instrText xml:space="preserve"> HYPERLINK "http://yangl.sxggzyjy.cn/fwzn/004003/subPage.html" </w:instrText>
      </w:r>
      <w:r>
        <w:fldChar w:fldCharType="separate"/>
      </w:r>
      <w:r>
        <w:rPr>
          <w:rFonts w:ascii="宋体" w:hAnsi="宋体" w:eastAsia="宋体" w:cs="宋体"/>
          <w:sz w:val="24"/>
          <w:szCs w:val="24"/>
        </w:rPr>
        <w:t>http://yangl.sxggzyjy.cn/fwzn/004003/sub</w:t>
      </w:r>
      <w:r>
        <w:rPr>
          <w:rFonts w:ascii="宋体" w:hAnsi="宋体" w:eastAsia="宋体" w:cs="宋体"/>
          <w:spacing w:val="-1"/>
          <w:sz w:val="24"/>
          <w:szCs w:val="24"/>
        </w:rPr>
        <w:t>Page.html</w:t>
      </w:r>
      <w:r>
        <w:rPr>
          <w:rFonts w:ascii="宋体" w:hAnsi="宋体" w:eastAsia="宋体" w:cs="宋体"/>
          <w:spacing w:val="-1"/>
          <w:sz w:val="24"/>
          <w:szCs w:val="24"/>
        </w:rPr>
        <w:fldChar w:fldCharType="end"/>
      </w:r>
      <w:r>
        <w:rPr>
          <w:rFonts w:ascii="宋体" w:hAnsi="宋体" w:eastAsia="宋体" w:cs="宋体"/>
          <w:spacing w:val="-1"/>
          <w:sz w:val="24"/>
          <w:szCs w:val="24"/>
        </w:rPr>
        <w:t>）。</w:t>
      </w:r>
    </w:p>
    <w:p w14:paraId="44FEB61E">
      <w:pPr>
        <w:spacing w:before="4" w:line="360" w:lineRule="auto"/>
        <w:ind w:left="585"/>
        <w:rPr>
          <w:rFonts w:ascii="宋体" w:hAnsi="宋体" w:eastAsia="宋体" w:cs="宋体"/>
          <w:sz w:val="24"/>
          <w:szCs w:val="24"/>
        </w:rPr>
      </w:pPr>
      <w:r>
        <w:rPr>
          <w:rFonts w:ascii="宋体" w:hAnsi="宋体" w:eastAsia="宋体" w:cs="宋体"/>
          <w:b/>
          <w:bCs/>
          <w:spacing w:val="-3"/>
          <w:sz w:val="24"/>
          <w:szCs w:val="24"/>
        </w:rPr>
        <w:t>2、开标环节竞争性磋商响应文件视为无效的情形</w:t>
      </w:r>
    </w:p>
    <w:p w14:paraId="19D41738">
      <w:pPr>
        <w:spacing w:before="153" w:line="360" w:lineRule="auto"/>
        <w:ind w:left="585"/>
        <w:rPr>
          <w:rFonts w:ascii="宋体" w:hAnsi="宋体" w:eastAsia="宋体" w:cs="宋体"/>
          <w:sz w:val="24"/>
          <w:szCs w:val="24"/>
        </w:rPr>
      </w:pPr>
      <w:r>
        <w:rPr>
          <w:rFonts w:ascii="宋体" w:hAnsi="宋体" w:eastAsia="宋体" w:cs="宋体"/>
          <w:spacing w:val="-1"/>
          <w:sz w:val="24"/>
          <w:szCs w:val="24"/>
        </w:rPr>
        <w:t>2.1、供应商放弃或拒绝对电子竞争性磋商响应文件进行解密的；</w:t>
      </w:r>
    </w:p>
    <w:p w14:paraId="33CF2700">
      <w:pPr>
        <w:spacing w:before="154" w:line="360" w:lineRule="auto"/>
        <w:ind w:left="29" w:right="78" w:firstLine="556"/>
        <w:rPr>
          <w:rFonts w:ascii="宋体" w:hAnsi="宋体" w:eastAsia="宋体" w:cs="宋体"/>
          <w:sz w:val="24"/>
          <w:szCs w:val="24"/>
        </w:rPr>
      </w:pPr>
      <w:r>
        <w:rPr>
          <w:rFonts w:ascii="宋体" w:hAnsi="宋体" w:eastAsia="宋体" w:cs="宋体"/>
          <w:spacing w:val="-2"/>
          <w:sz w:val="24"/>
          <w:szCs w:val="24"/>
        </w:rPr>
        <w:t>2.2、因供应商自身原因，导致未在规定的解密时限内完整解密的，如忘带CA锁、或携带的CA锁与加密文件的CA锁不同、或使用旧版竞争性磋商文件编制竞争性磋商响应</w:t>
      </w:r>
      <w:r>
        <w:rPr>
          <w:rFonts w:ascii="宋体" w:hAnsi="宋体" w:eastAsia="宋体" w:cs="宋体"/>
          <w:spacing w:val="-3"/>
          <w:sz w:val="24"/>
          <w:szCs w:val="24"/>
        </w:rPr>
        <w:t>文件等情形；</w:t>
      </w:r>
    </w:p>
    <w:p w14:paraId="4D0BE2E8">
      <w:pPr>
        <w:spacing w:line="360" w:lineRule="auto"/>
        <w:ind w:left="585"/>
        <w:rPr>
          <w:rFonts w:ascii="宋体" w:hAnsi="宋体" w:eastAsia="宋体" w:cs="宋体"/>
          <w:sz w:val="24"/>
          <w:szCs w:val="24"/>
        </w:rPr>
      </w:pPr>
      <w:r>
        <w:rPr>
          <w:rFonts w:ascii="宋体" w:hAnsi="宋体" w:eastAsia="宋体" w:cs="宋体"/>
          <w:spacing w:val="-1"/>
          <w:sz w:val="24"/>
          <w:szCs w:val="24"/>
        </w:rPr>
        <w:t>2.3、上传的电子竞争性磋商响应文件无法正常打开的；</w:t>
      </w:r>
    </w:p>
    <w:p w14:paraId="147AB88A">
      <w:pPr>
        <w:spacing w:before="155" w:line="360" w:lineRule="auto"/>
        <w:ind w:left="585"/>
        <w:rPr>
          <w:rFonts w:ascii="宋体" w:hAnsi="宋体" w:eastAsia="宋体" w:cs="宋体"/>
          <w:sz w:val="24"/>
          <w:szCs w:val="24"/>
        </w:rPr>
      </w:pPr>
      <w:r>
        <w:rPr>
          <w:rFonts w:ascii="宋体" w:hAnsi="宋体" w:eastAsia="宋体" w:cs="宋体"/>
          <w:spacing w:val="-1"/>
          <w:sz w:val="24"/>
          <w:szCs w:val="24"/>
        </w:rPr>
        <w:t>2.4、政府采购法律法规规定的其他无效情形。</w:t>
      </w:r>
    </w:p>
    <w:p w14:paraId="3DB2B7B0">
      <w:pPr>
        <w:spacing w:before="158" w:line="360" w:lineRule="auto"/>
        <w:ind w:left="587"/>
        <w:rPr>
          <w:rFonts w:ascii="宋体" w:hAnsi="宋体" w:eastAsia="宋体" w:cs="宋体"/>
          <w:sz w:val="24"/>
          <w:szCs w:val="24"/>
        </w:rPr>
      </w:pPr>
      <w:r>
        <w:rPr>
          <w:rFonts w:ascii="宋体" w:hAnsi="宋体" w:eastAsia="宋体" w:cs="宋体"/>
          <w:b/>
          <w:bCs/>
          <w:spacing w:val="-4"/>
          <w:sz w:val="24"/>
          <w:szCs w:val="24"/>
        </w:rPr>
        <w:t>3、突发状况的应急处置</w:t>
      </w:r>
    </w:p>
    <w:p w14:paraId="696EE5BB">
      <w:pPr>
        <w:spacing w:before="153" w:line="360" w:lineRule="auto"/>
        <w:ind w:left="10" w:right="110" w:firstLine="571"/>
        <w:rPr>
          <w:rFonts w:ascii="宋体" w:hAnsi="宋体" w:eastAsia="宋体" w:cs="宋体"/>
          <w:sz w:val="24"/>
          <w:szCs w:val="24"/>
        </w:rPr>
      </w:pPr>
      <w:r>
        <w:rPr>
          <w:rFonts w:ascii="宋体" w:hAnsi="宋体" w:eastAsia="宋体" w:cs="宋体"/>
          <w:spacing w:val="1"/>
          <w:sz w:val="24"/>
          <w:szCs w:val="24"/>
        </w:rPr>
        <w:t>在开评标过程中，如因停电、断网、电子化系统故障等特殊原因导致电子化磋商工作无</w:t>
      </w:r>
      <w:r>
        <w:rPr>
          <w:rFonts w:ascii="宋体" w:hAnsi="宋体" w:eastAsia="宋体" w:cs="宋体"/>
          <w:sz w:val="24"/>
          <w:szCs w:val="24"/>
        </w:rPr>
        <w:t>法正常进行时，采购代理机构将及时汇报政府采购监管部门</w:t>
      </w:r>
      <w:r>
        <w:rPr>
          <w:rFonts w:ascii="宋体" w:hAnsi="宋体" w:eastAsia="宋体" w:cs="宋体"/>
          <w:spacing w:val="-1"/>
          <w:sz w:val="24"/>
          <w:szCs w:val="24"/>
        </w:rPr>
        <w:t>，并等待或中止后续活动。</w:t>
      </w:r>
    </w:p>
    <w:p w14:paraId="3A75D05A">
      <w:pPr>
        <w:spacing w:line="360" w:lineRule="auto"/>
        <w:ind w:left="488"/>
        <w:rPr>
          <w:rFonts w:ascii="宋体" w:hAnsi="宋体" w:eastAsia="宋体" w:cs="宋体"/>
          <w:sz w:val="24"/>
          <w:szCs w:val="24"/>
        </w:rPr>
      </w:pPr>
      <w:r>
        <w:rPr>
          <w:rFonts w:ascii="宋体" w:hAnsi="宋体" w:eastAsia="宋体" w:cs="宋体"/>
          <w:b/>
          <w:bCs/>
          <w:spacing w:val="-3"/>
          <w:sz w:val="24"/>
          <w:szCs w:val="24"/>
        </w:rPr>
        <w:t>4、评审组织及评审原则</w:t>
      </w:r>
    </w:p>
    <w:p w14:paraId="45F29A79">
      <w:pPr>
        <w:spacing w:before="155" w:line="360" w:lineRule="auto"/>
        <w:ind w:left="7" w:right="110" w:firstLine="480"/>
        <w:rPr>
          <w:rFonts w:ascii="宋体" w:hAnsi="宋体" w:eastAsia="宋体" w:cs="宋体"/>
          <w:sz w:val="24"/>
          <w:szCs w:val="24"/>
        </w:rPr>
      </w:pPr>
      <w:r>
        <w:rPr>
          <w:rFonts w:ascii="宋体" w:hAnsi="宋体" w:eastAsia="宋体" w:cs="宋体"/>
          <w:sz w:val="24"/>
          <w:szCs w:val="24"/>
        </w:rPr>
        <w:t>4.1、按照《中华人民共和国政府采购法》及实施条例和关于印发《政府采购竞争性磋商采购方式管理暂行办法》的通知（财库【2014】214号</w:t>
      </w:r>
      <w:r>
        <w:rPr>
          <w:rFonts w:ascii="宋体" w:hAnsi="宋体" w:eastAsia="宋体" w:cs="宋体"/>
          <w:spacing w:val="8"/>
          <w:sz w:val="24"/>
          <w:szCs w:val="24"/>
        </w:rPr>
        <w:t>），</w:t>
      </w:r>
      <w:r>
        <w:rPr>
          <w:rFonts w:ascii="宋体" w:hAnsi="宋体" w:eastAsia="宋体" w:cs="宋体"/>
          <w:sz w:val="24"/>
          <w:szCs w:val="24"/>
        </w:rPr>
        <w:t>依法组建磋商小组。磋商小组由采购人代表和评审专家组成，成员人数应当为3人以上单数，其中采购人代表须持有授权书。磋商小组按照竞争性磋商文件规定的评审方法</w:t>
      </w:r>
      <w:r>
        <w:rPr>
          <w:rFonts w:ascii="宋体" w:hAnsi="宋体" w:eastAsia="宋体" w:cs="宋体"/>
          <w:spacing w:val="-1"/>
          <w:sz w:val="24"/>
          <w:szCs w:val="24"/>
        </w:rPr>
        <w:t>独立进行评审工作。</w:t>
      </w:r>
    </w:p>
    <w:p w14:paraId="01829209">
      <w:pPr>
        <w:spacing w:before="2" w:line="360" w:lineRule="auto"/>
        <w:ind w:left="8" w:right="110" w:firstLine="480"/>
        <w:rPr>
          <w:rFonts w:ascii="宋体" w:hAnsi="宋体" w:eastAsia="宋体" w:cs="宋体"/>
          <w:sz w:val="24"/>
          <w:szCs w:val="24"/>
        </w:rPr>
      </w:pPr>
      <w:r>
        <w:rPr>
          <w:rFonts w:ascii="宋体" w:hAnsi="宋体" w:eastAsia="宋体" w:cs="宋体"/>
          <w:sz w:val="24"/>
          <w:szCs w:val="24"/>
        </w:rPr>
        <w:t>4.2、竞争性磋商文件和竞争性磋商响应文件是评审的依据。在评审中，不得改变竞争性</w:t>
      </w:r>
      <w:r>
        <w:rPr>
          <w:rFonts w:ascii="宋体" w:hAnsi="宋体" w:eastAsia="宋体" w:cs="宋体"/>
          <w:spacing w:val="-2"/>
          <w:sz w:val="24"/>
          <w:szCs w:val="24"/>
        </w:rPr>
        <w:t>磋商文件中规定的评审标准、方法和成交条</w:t>
      </w:r>
      <w:r>
        <w:rPr>
          <w:rFonts w:ascii="宋体" w:hAnsi="宋体" w:eastAsia="宋体" w:cs="宋体"/>
          <w:spacing w:val="-3"/>
          <w:sz w:val="24"/>
          <w:szCs w:val="24"/>
        </w:rPr>
        <w:t>件。供应商不得在开标后使用任何方式对竞争性磋</w:t>
      </w:r>
      <w:r>
        <w:rPr>
          <w:rFonts w:ascii="宋体" w:hAnsi="宋体" w:eastAsia="宋体" w:cs="宋体"/>
          <w:spacing w:val="-1"/>
          <w:sz w:val="24"/>
          <w:szCs w:val="24"/>
        </w:rPr>
        <w:t>商响应文件的实质性内容做任何更改。</w:t>
      </w:r>
    </w:p>
    <w:p w14:paraId="2FE097F8">
      <w:pPr>
        <w:spacing w:before="4" w:line="360" w:lineRule="auto"/>
        <w:ind w:left="9" w:right="110" w:firstLine="479"/>
        <w:rPr>
          <w:rFonts w:ascii="宋体" w:hAnsi="宋体" w:eastAsia="宋体" w:cs="宋体"/>
          <w:sz w:val="24"/>
          <w:szCs w:val="24"/>
        </w:rPr>
      </w:pPr>
      <w:r>
        <w:rPr>
          <w:rFonts w:ascii="宋体" w:hAnsi="宋体" w:eastAsia="宋体" w:cs="宋体"/>
          <w:sz w:val="24"/>
          <w:szCs w:val="24"/>
        </w:rPr>
        <w:t>4.3、在评审期间，对竞争性磋商响应文件中含义不明确、同类问题表述不一致或者有明</w:t>
      </w:r>
      <w:r>
        <w:rPr>
          <w:rFonts w:ascii="宋体" w:hAnsi="宋体" w:eastAsia="宋体" w:cs="宋体"/>
          <w:spacing w:val="-2"/>
          <w:sz w:val="24"/>
          <w:szCs w:val="24"/>
        </w:rPr>
        <w:t>显文字和计算错误的内容，磋商小组可以书</w:t>
      </w:r>
      <w:r>
        <w:rPr>
          <w:rFonts w:ascii="宋体" w:hAnsi="宋体" w:eastAsia="宋体" w:cs="宋体"/>
          <w:spacing w:val="-3"/>
          <w:sz w:val="24"/>
          <w:szCs w:val="24"/>
        </w:rPr>
        <w:t>面形式（由磋商小组成员签字）要求供应商作出必</w:t>
      </w:r>
      <w:r>
        <w:rPr>
          <w:rFonts w:ascii="宋体" w:hAnsi="宋体" w:eastAsia="宋体" w:cs="宋体"/>
          <w:spacing w:val="-2"/>
          <w:sz w:val="24"/>
          <w:szCs w:val="24"/>
        </w:rPr>
        <w:t>要的澄清、说明或者纠正。供应商的澄清、</w:t>
      </w:r>
      <w:r>
        <w:rPr>
          <w:rFonts w:ascii="宋体" w:hAnsi="宋体" w:eastAsia="宋体" w:cs="宋体"/>
          <w:spacing w:val="-3"/>
          <w:sz w:val="24"/>
          <w:szCs w:val="24"/>
        </w:rPr>
        <w:t>说明或者补正应当采用书面形式，由其授权的代表</w:t>
      </w:r>
      <w:r>
        <w:rPr>
          <w:rFonts w:ascii="宋体" w:hAnsi="宋体" w:eastAsia="宋体" w:cs="宋体"/>
          <w:sz w:val="24"/>
          <w:szCs w:val="24"/>
        </w:rPr>
        <w:t>签字，并不得超出竞争性磋商响应文件的范围或者改变竞争性磋商</w:t>
      </w:r>
      <w:r>
        <w:rPr>
          <w:rFonts w:ascii="宋体" w:hAnsi="宋体" w:eastAsia="宋体" w:cs="宋体"/>
          <w:spacing w:val="-1"/>
          <w:sz w:val="24"/>
          <w:szCs w:val="24"/>
        </w:rPr>
        <w:t>响应文件的实质性内容。</w:t>
      </w:r>
    </w:p>
    <w:p w14:paraId="163DB554">
      <w:pPr>
        <w:spacing w:line="360" w:lineRule="auto"/>
        <w:ind w:left="488"/>
      </w:pPr>
      <w:r>
        <w:rPr>
          <w:rFonts w:ascii="宋体" w:hAnsi="宋体" w:eastAsia="宋体" w:cs="宋体"/>
          <w:spacing w:val="1"/>
          <w:sz w:val="24"/>
          <w:szCs w:val="24"/>
        </w:rPr>
        <w:t>4.4、如果供应商在澄清规定期限内，未能答复</w:t>
      </w:r>
      <w:r>
        <w:rPr>
          <w:rFonts w:ascii="宋体" w:hAnsi="宋体" w:eastAsia="宋体" w:cs="宋体"/>
          <w:sz w:val="24"/>
          <w:szCs w:val="24"/>
        </w:rPr>
        <w:t>或拒绝答复磋商小组提出的澄清要求，将</w:t>
      </w:r>
    </w:p>
    <w:p w14:paraId="26606723">
      <w:pPr>
        <w:spacing w:before="78" w:line="360" w:lineRule="auto"/>
        <w:ind w:left="38"/>
        <w:rPr>
          <w:rFonts w:ascii="宋体" w:hAnsi="宋体" w:eastAsia="宋体" w:cs="宋体"/>
          <w:sz w:val="24"/>
          <w:szCs w:val="24"/>
        </w:rPr>
      </w:pPr>
      <w:r>
        <w:rPr>
          <w:rFonts w:ascii="宋体" w:hAnsi="宋体" w:eastAsia="宋体" w:cs="宋体"/>
          <w:spacing w:val="-2"/>
          <w:sz w:val="24"/>
          <w:szCs w:val="24"/>
        </w:rPr>
        <w:t>由磋商小组根据其竞争性磋商响应文件按最大风险进行评审。</w:t>
      </w:r>
    </w:p>
    <w:p w14:paraId="3EA4525D">
      <w:pPr>
        <w:spacing w:before="154" w:line="360" w:lineRule="auto"/>
        <w:ind w:left="494"/>
        <w:rPr>
          <w:rFonts w:ascii="宋体" w:hAnsi="宋体" w:eastAsia="宋体" w:cs="宋体"/>
          <w:sz w:val="24"/>
          <w:szCs w:val="24"/>
        </w:rPr>
      </w:pPr>
      <w:r>
        <w:rPr>
          <w:rFonts w:ascii="宋体" w:hAnsi="宋体" w:eastAsia="宋体" w:cs="宋体"/>
          <w:b/>
          <w:bCs/>
          <w:spacing w:val="-3"/>
          <w:sz w:val="24"/>
          <w:szCs w:val="24"/>
        </w:rPr>
        <w:t>5、竞争性磋商响应文件的资格性审查</w:t>
      </w:r>
    </w:p>
    <w:p w14:paraId="4E3C4CD3">
      <w:pPr>
        <w:spacing w:before="153" w:line="360" w:lineRule="auto"/>
        <w:ind w:left="8" w:right="32" w:firstLine="492"/>
        <w:rPr>
          <w:rFonts w:ascii="宋体" w:hAnsi="宋体" w:eastAsia="宋体" w:cs="宋体"/>
          <w:sz w:val="24"/>
          <w:szCs w:val="24"/>
        </w:rPr>
      </w:pPr>
      <w:r>
        <w:rPr>
          <w:rFonts w:ascii="宋体" w:hAnsi="宋体" w:eastAsia="宋体" w:cs="宋体"/>
          <w:sz w:val="24"/>
          <w:szCs w:val="24"/>
        </w:rPr>
        <w:t>（1）开标结束后，采购人依据法律法规和竞争性磋商文件的规定，对竞争性磋商响应文件中的供应商资格证明文件进行审查，以确定供应</w:t>
      </w:r>
      <w:r>
        <w:rPr>
          <w:rFonts w:ascii="宋体" w:hAnsi="宋体" w:eastAsia="宋体" w:cs="宋体"/>
          <w:spacing w:val="-1"/>
          <w:sz w:val="24"/>
          <w:szCs w:val="24"/>
        </w:rPr>
        <w:t>商是否具备磋商资格。</w:t>
      </w:r>
    </w:p>
    <w:p w14:paraId="24D19297">
      <w:pPr>
        <w:spacing w:line="360" w:lineRule="auto"/>
        <w:ind w:left="510"/>
        <w:rPr>
          <w:rFonts w:ascii="宋体" w:hAnsi="宋体" w:eastAsia="宋体" w:cs="宋体"/>
          <w:sz w:val="24"/>
          <w:szCs w:val="24"/>
        </w:rPr>
      </w:pPr>
      <w:r>
        <w:rPr>
          <w:rFonts w:ascii="宋体" w:hAnsi="宋体" w:eastAsia="宋体" w:cs="宋体"/>
          <w:spacing w:val="-2"/>
          <w:sz w:val="24"/>
          <w:szCs w:val="24"/>
        </w:rPr>
        <w:t>出现下列情形的，竞争性磋商响应文件将被视为无效：</w:t>
      </w:r>
    </w:p>
    <w:p w14:paraId="051DD89E">
      <w:pPr>
        <w:spacing w:before="154" w:line="360" w:lineRule="auto"/>
        <w:ind w:left="507"/>
        <w:rPr>
          <w:rFonts w:ascii="宋体" w:hAnsi="宋体" w:eastAsia="宋体" w:cs="宋体"/>
          <w:sz w:val="24"/>
          <w:szCs w:val="24"/>
        </w:rPr>
      </w:pPr>
      <w:r>
        <w:rPr>
          <w:rFonts w:ascii="宋体" w:hAnsi="宋体" w:eastAsia="宋体" w:cs="宋体"/>
          <w:spacing w:val="-2"/>
          <w:sz w:val="24"/>
          <w:szCs w:val="24"/>
        </w:rPr>
        <w:t>1)不具备竞争性磋商文件中规定的资格要求的；</w:t>
      </w:r>
    </w:p>
    <w:p w14:paraId="4D3BC359">
      <w:pPr>
        <w:spacing w:before="155" w:line="360" w:lineRule="auto"/>
        <w:jc w:val="right"/>
        <w:rPr>
          <w:rFonts w:ascii="宋体" w:hAnsi="宋体" w:eastAsia="宋体" w:cs="宋体"/>
          <w:sz w:val="24"/>
          <w:szCs w:val="24"/>
        </w:rPr>
      </w:pPr>
      <w:r>
        <w:rPr>
          <w:rFonts w:ascii="宋体" w:hAnsi="宋体" w:eastAsia="宋体" w:cs="宋体"/>
          <w:spacing w:val="-2"/>
          <w:sz w:val="24"/>
          <w:szCs w:val="24"/>
        </w:rPr>
        <w:t>2)未按竞争性磋商文件要求提供资格证明文件，或未按竞争性磋商文件要求加盖公章的；</w:t>
      </w:r>
    </w:p>
    <w:p w14:paraId="7AE27140">
      <w:pPr>
        <w:spacing w:before="155" w:line="360" w:lineRule="auto"/>
        <w:ind w:left="18" w:right="32" w:firstLine="475"/>
        <w:rPr>
          <w:rFonts w:ascii="宋体" w:hAnsi="宋体" w:eastAsia="宋体" w:cs="宋体"/>
          <w:sz w:val="24"/>
          <w:szCs w:val="24"/>
        </w:rPr>
      </w:pPr>
      <w:r>
        <w:rPr>
          <w:rFonts w:ascii="宋体" w:hAnsi="宋体" w:eastAsia="宋体" w:cs="宋体"/>
          <w:spacing w:val="-3"/>
          <w:sz w:val="24"/>
          <w:szCs w:val="24"/>
        </w:rPr>
        <w:t>3)采购人认为供应商的资格证明文件存在疑点，需提供更清晰有效的证明文件，供应商不</w:t>
      </w:r>
      <w:r>
        <w:rPr>
          <w:rFonts w:ascii="宋体" w:hAnsi="宋体" w:eastAsia="宋体" w:cs="宋体"/>
          <w:spacing w:val="-1"/>
          <w:sz w:val="24"/>
          <w:szCs w:val="24"/>
        </w:rPr>
        <w:t>能在规定时限内提供符合竞争性磋商文件要求的证明文件的；</w:t>
      </w:r>
    </w:p>
    <w:p w14:paraId="4AC14E71">
      <w:pPr>
        <w:spacing w:line="360" w:lineRule="auto"/>
        <w:ind w:left="488"/>
        <w:rPr>
          <w:rFonts w:ascii="宋体" w:hAnsi="宋体" w:eastAsia="宋体" w:cs="宋体"/>
          <w:sz w:val="24"/>
          <w:szCs w:val="24"/>
        </w:rPr>
      </w:pPr>
      <w:r>
        <w:rPr>
          <w:rFonts w:ascii="宋体" w:hAnsi="宋体" w:eastAsia="宋体" w:cs="宋体"/>
          <w:spacing w:val="-1"/>
          <w:sz w:val="24"/>
          <w:szCs w:val="24"/>
        </w:rPr>
        <w:t>4）法律法规规定的其他无效情形。</w:t>
      </w:r>
    </w:p>
    <w:p w14:paraId="2FC81BCA">
      <w:pPr>
        <w:spacing w:before="154" w:line="360" w:lineRule="auto"/>
        <w:ind w:left="21" w:right="32" w:firstLine="479"/>
        <w:rPr>
          <w:rFonts w:ascii="宋体" w:hAnsi="宋体" w:eastAsia="宋体" w:cs="宋体"/>
          <w:sz w:val="24"/>
          <w:szCs w:val="24"/>
        </w:rPr>
      </w:pPr>
      <w:r>
        <w:rPr>
          <w:rFonts w:ascii="宋体" w:hAnsi="宋体" w:eastAsia="宋体" w:cs="宋体"/>
          <w:sz w:val="24"/>
          <w:szCs w:val="24"/>
        </w:rPr>
        <w:t>（2）资格审查结束后，监标人应当对审查结果进行签字确认，并告知有关供应商未通过</w:t>
      </w:r>
      <w:r>
        <w:rPr>
          <w:rFonts w:ascii="宋体" w:hAnsi="宋体" w:eastAsia="宋体" w:cs="宋体"/>
          <w:spacing w:val="-4"/>
          <w:sz w:val="24"/>
          <w:szCs w:val="24"/>
        </w:rPr>
        <w:t>审查的原因。</w:t>
      </w:r>
    </w:p>
    <w:p w14:paraId="49D61216">
      <w:pPr>
        <w:spacing w:line="360" w:lineRule="auto"/>
        <w:ind w:left="489"/>
        <w:rPr>
          <w:rFonts w:ascii="宋体" w:hAnsi="宋体" w:eastAsia="宋体" w:cs="宋体"/>
          <w:sz w:val="24"/>
          <w:szCs w:val="24"/>
        </w:rPr>
      </w:pPr>
      <w:r>
        <w:rPr>
          <w:rFonts w:ascii="宋体" w:hAnsi="宋体" w:eastAsia="宋体" w:cs="宋体"/>
          <w:spacing w:val="-1"/>
          <w:sz w:val="24"/>
          <w:szCs w:val="24"/>
        </w:rPr>
        <w:t>通过资格审查的供应商不足</w:t>
      </w:r>
      <w:r>
        <w:rPr>
          <w:rFonts w:ascii="宋体" w:hAnsi="宋体" w:eastAsia="宋体" w:cs="宋体"/>
          <w:spacing w:val="-46"/>
          <w:sz w:val="24"/>
          <w:szCs w:val="24"/>
        </w:rPr>
        <w:t xml:space="preserve"> </w:t>
      </w:r>
      <w:r>
        <w:rPr>
          <w:rFonts w:ascii="宋体" w:hAnsi="宋体" w:eastAsia="宋体" w:cs="宋体"/>
          <w:spacing w:val="-1"/>
          <w:sz w:val="24"/>
          <w:szCs w:val="24"/>
        </w:rPr>
        <w:t>3</w:t>
      </w:r>
      <w:r>
        <w:rPr>
          <w:rFonts w:ascii="宋体" w:hAnsi="宋体" w:eastAsia="宋体" w:cs="宋体"/>
          <w:spacing w:val="-49"/>
          <w:sz w:val="24"/>
          <w:szCs w:val="24"/>
        </w:rPr>
        <w:t xml:space="preserve"> </w:t>
      </w:r>
      <w:r>
        <w:rPr>
          <w:rFonts w:ascii="宋体" w:hAnsi="宋体" w:eastAsia="宋体" w:cs="宋体"/>
          <w:spacing w:val="-1"/>
          <w:sz w:val="24"/>
          <w:szCs w:val="24"/>
        </w:rPr>
        <w:t>家的，不得进行符合性审查，应予</w:t>
      </w:r>
      <w:r>
        <w:rPr>
          <w:rFonts w:ascii="宋体" w:hAnsi="宋体" w:eastAsia="宋体" w:cs="宋体"/>
          <w:spacing w:val="-2"/>
          <w:sz w:val="24"/>
          <w:szCs w:val="24"/>
        </w:rPr>
        <w:t>以废标。</w:t>
      </w:r>
    </w:p>
    <w:p w14:paraId="3996F4D9">
      <w:pPr>
        <w:spacing w:before="156" w:line="360" w:lineRule="auto"/>
        <w:ind w:left="491"/>
        <w:rPr>
          <w:rFonts w:ascii="宋体" w:hAnsi="宋体" w:eastAsia="宋体" w:cs="宋体"/>
          <w:sz w:val="24"/>
          <w:szCs w:val="24"/>
        </w:rPr>
      </w:pPr>
      <w:r>
        <w:rPr>
          <w:rFonts w:ascii="宋体" w:hAnsi="宋体" w:eastAsia="宋体" w:cs="宋体"/>
          <w:b/>
          <w:bCs/>
          <w:spacing w:val="-3"/>
          <w:sz w:val="24"/>
          <w:szCs w:val="24"/>
        </w:rPr>
        <w:t>6、关于信用记录的查询和使用</w:t>
      </w:r>
    </w:p>
    <w:p w14:paraId="091EBF8E">
      <w:pPr>
        <w:spacing w:before="155" w:line="360" w:lineRule="auto"/>
        <w:ind w:left="8" w:right="32" w:firstLine="492"/>
        <w:rPr>
          <w:rFonts w:ascii="宋体" w:hAnsi="宋体" w:eastAsia="宋体" w:cs="宋体"/>
          <w:sz w:val="24"/>
          <w:szCs w:val="24"/>
        </w:rPr>
      </w:pPr>
      <w:r>
        <w:rPr>
          <w:rFonts w:ascii="宋体" w:hAnsi="宋体" w:eastAsia="宋体" w:cs="宋体"/>
          <w:sz w:val="24"/>
          <w:szCs w:val="24"/>
        </w:rPr>
        <w:t>（1）供应商不得为列入信用中国(</w:t>
      </w:r>
      <w:r>
        <w:fldChar w:fldCharType="begin"/>
      </w:r>
      <w:r>
        <w:instrText xml:space="preserve"> HYPERLINK "https://www.creditchina.gov.cn" </w:instrText>
      </w:r>
      <w:r>
        <w:fldChar w:fldCharType="separate"/>
      </w:r>
      <w:r>
        <w:rPr>
          <w:rFonts w:ascii="宋体" w:hAnsi="宋体" w:eastAsia="宋体" w:cs="宋体"/>
          <w:sz w:val="24"/>
          <w:szCs w:val="24"/>
        </w:rPr>
        <w:t>www.creditchina.gov.cn</w:t>
      </w:r>
      <w:r>
        <w:rPr>
          <w:rFonts w:ascii="宋体" w:hAnsi="宋体" w:eastAsia="宋体" w:cs="宋体"/>
          <w:sz w:val="24"/>
          <w:szCs w:val="24"/>
        </w:rPr>
        <w:fldChar w:fldCharType="end"/>
      </w:r>
      <w:r>
        <w:rPr>
          <w:rFonts w:ascii="宋体" w:hAnsi="宋体" w:eastAsia="宋体" w:cs="宋体"/>
          <w:sz w:val="24"/>
          <w:szCs w:val="24"/>
        </w:rPr>
        <w:t>)重大税收违法失信主体名单</w:t>
      </w:r>
      <w:r>
        <w:rPr>
          <w:rFonts w:ascii="宋体" w:hAnsi="宋体" w:eastAsia="宋体" w:cs="宋体"/>
          <w:spacing w:val="-2"/>
          <w:sz w:val="24"/>
          <w:szCs w:val="24"/>
        </w:rPr>
        <w:t>或中国执行信息公开网（</w:t>
      </w:r>
      <w:r>
        <w:fldChar w:fldCharType="begin"/>
      </w:r>
      <w:r>
        <w:instrText xml:space="preserve"> HYPERLINK "http://zxgk.court.gov.cn/shixin/" </w:instrText>
      </w:r>
      <w:r>
        <w:fldChar w:fldCharType="separate"/>
      </w:r>
      <w:r>
        <w:rPr>
          <w:rFonts w:ascii="宋体" w:hAnsi="宋体" w:eastAsia="宋体" w:cs="宋体"/>
          <w:spacing w:val="-2"/>
          <w:sz w:val="24"/>
          <w:szCs w:val="24"/>
        </w:rPr>
        <w:t>http://zxgk.court.gov.cn/shixin/</w:t>
      </w:r>
      <w:r>
        <w:rPr>
          <w:rFonts w:ascii="宋体" w:hAnsi="宋体" w:eastAsia="宋体" w:cs="宋体"/>
          <w:spacing w:val="-2"/>
          <w:sz w:val="24"/>
          <w:szCs w:val="24"/>
        </w:rPr>
        <w:fldChar w:fldCharType="end"/>
      </w:r>
      <w:r>
        <w:rPr>
          <w:rFonts w:ascii="宋体" w:hAnsi="宋体" w:eastAsia="宋体" w:cs="宋体"/>
          <w:spacing w:val="-2"/>
          <w:sz w:val="24"/>
          <w:szCs w:val="24"/>
        </w:rPr>
        <w:t>）失信被执行人名单记录或中国</w:t>
      </w:r>
      <w:r>
        <w:rPr>
          <w:rFonts w:ascii="宋体" w:hAnsi="宋体" w:eastAsia="宋体" w:cs="宋体"/>
          <w:sz w:val="24"/>
          <w:szCs w:val="24"/>
        </w:rPr>
        <w:t>政府采购网(</w:t>
      </w:r>
      <w:r>
        <w:fldChar w:fldCharType="begin"/>
      </w:r>
      <w:r>
        <w:instrText xml:space="preserve"> HYPERLINK "https://www.ccgp.gov.cn" </w:instrText>
      </w:r>
      <w:r>
        <w:fldChar w:fldCharType="separate"/>
      </w:r>
      <w:r>
        <w:rPr>
          <w:rFonts w:ascii="宋体" w:hAnsi="宋体" w:eastAsia="宋体" w:cs="宋体"/>
          <w:sz w:val="24"/>
          <w:szCs w:val="24"/>
        </w:rPr>
        <w:t>www.ccgp.gov.cn</w:t>
      </w:r>
      <w:r>
        <w:rPr>
          <w:rFonts w:ascii="宋体" w:hAnsi="宋体" w:eastAsia="宋体" w:cs="宋体"/>
          <w:sz w:val="24"/>
          <w:szCs w:val="24"/>
        </w:rPr>
        <w:fldChar w:fldCharType="end"/>
      </w:r>
      <w:r>
        <w:rPr>
          <w:rFonts w:ascii="宋体" w:hAnsi="宋体" w:eastAsia="宋体" w:cs="宋体"/>
          <w:sz w:val="24"/>
          <w:szCs w:val="24"/>
        </w:rPr>
        <w:t>)的政府采购严重违</w:t>
      </w:r>
      <w:r>
        <w:rPr>
          <w:rFonts w:ascii="宋体" w:hAnsi="宋体" w:eastAsia="宋体" w:cs="宋体"/>
          <w:spacing w:val="-1"/>
          <w:sz w:val="24"/>
          <w:szCs w:val="24"/>
        </w:rPr>
        <w:t>法失信行为记录名单。</w:t>
      </w:r>
    </w:p>
    <w:p w14:paraId="1394F837">
      <w:pPr>
        <w:spacing w:line="360" w:lineRule="auto"/>
        <w:ind w:left="13" w:right="32" w:firstLine="487"/>
        <w:rPr>
          <w:rFonts w:ascii="宋体" w:hAnsi="宋体" w:eastAsia="宋体" w:cs="宋体"/>
          <w:sz w:val="24"/>
          <w:szCs w:val="24"/>
        </w:rPr>
      </w:pPr>
      <w:r>
        <w:rPr>
          <w:rFonts w:ascii="宋体" w:hAnsi="宋体" w:eastAsia="宋体" w:cs="宋体"/>
          <w:spacing w:val="-1"/>
          <w:sz w:val="24"/>
          <w:szCs w:val="24"/>
        </w:rPr>
        <w:t>（2）供应商在参加政府采购活动前</w:t>
      </w:r>
      <w:r>
        <w:rPr>
          <w:rFonts w:ascii="宋体" w:hAnsi="宋体" w:eastAsia="宋体" w:cs="宋体"/>
          <w:spacing w:val="-30"/>
          <w:sz w:val="24"/>
          <w:szCs w:val="24"/>
        </w:rPr>
        <w:t xml:space="preserve"> </w:t>
      </w:r>
      <w:r>
        <w:rPr>
          <w:rFonts w:ascii="宋体" w:hAnsi="宋体" w:eastAsia="宋体" w:cs="宋体"/>
          <w:spacing w:val="-1"/>
          <w:sz w:val="24"/>
          <w:szCs w:val="24"/>
        </w:rPr>
        <w:t>3</w:t>
      </w:r>
      <w:r>
        <w:rPr>
          <w:rFonts w:ascii="宋体" w:hAnsi="宋体" w:eastAsia="宋体" w:cs="宋体"/>
          <w:spacing w:val="-47"/>
          <w:sz w:val="24"/>
          <w:szCs w:val="24"/>
        </w:rPr>
        <w:t xml:space="preserve"> </w:t>
      </w:r>
      <w:r>
        <w:rPr>
          <w:rFonts w:ascii="宋体" w:hAnsi="宋体" w:eastAsia="宋体" w:cs="宋体"/>
          <w:spacing w:val="-1"/>
          <w:sz w:val="24"/>
          <w:szCs w:val="24"/>
        </w:rPr>
        <w:t>年内因违法经营被禁止在一定期限内参加政府采购</w:t>
      </w:r>
      <w:r>
        <w:rPr>
          <w:rFonts w:ascii="宋体" w:hAnsi="宋体" w:eastAsia="宋体" w:cs="宋体"/>
          <w:sz w:val="24"/>
          <w:szCs w:val="24"/>
        </w:rPr>
        <w:t>活动，期限届满的，可以参加政府采购活动的</w:t>
      </w:r>
      <w:r>
        <w:rPr>
          <w:rFonts w:ascii="宋体" w:hAnsi="宋体" w:eastAsia="宋体" w:cs="宋体"/>
          <w:spacing w:val="-1"/>
          <w:sz w:val="24"/>
          <w:szCs w:val="24"/>
        </w:rPr>
        <w:t>，但供应商应提供相关证明材料。</w:t>
      </w:r>
    </w:p>
    <w:p w14:paraId="2F4EB359">
      <w:pPr>
        <w:spacing w:before="2" w:line="360" w:lineRule="auto"/>
        <w:ind w:left="50" w:right="32" w:firstLine="450"/>
        <w:rPr>
          <w:rFonts w:ascii="宋体" w:hAnsi="宋体" w:eastAsia="宋体" w:cs="宋体"/>
          <w:sz w:val="24"/>
          <w:szCs w:val="24"/>
        </w:rPr>
      </w:pPr>
      <w:r>
        <w:rPr>
          <w:rFonts w:ascii="宋体" w:hAnsi="宋体" w:eastAsia="宋体" w:cs="宋体"/>
          <w:sz w:val="24"/>
          <w:szCs w:val="24"/>
        </w:rPr>
        <w:t>（3）供应商信用记录及企业基本信息查询的时间段为“竞争性磋商公告发布之日（含当</w:t>
      </w:r>
      <w:r>
        <w:rPr>
          <w:rFonts w:ascii="宋体" w:hAnsi="宋体" w:eastAsia="宋体" w:cs="宋体"/>
          <w:spacing w:val="-2"/>
          <w:sz w:val="24"/>
          <w:szCs w:val="24"/>
        </w:rPr>
        <w:t>日）至提交竞争性磋商响应文件截止之日（含当日）</w:t>
      </w:r>
      <w:r>
        <w:rPr>
          <w:rFonts w:ascii="宋体" w:hAnsi="宋体" w:eastAsia="宋体" w:cs="宋体"/>
          <w:spacing w:val="-89"/>
          <w:sz w:val="24"/>
          <w:szCs w:val="24"/>
        </w:rPr>
        <w:t xml:space="preserve"> </w:t>
      </w:r>
      <w:r>
        <w:rPr>
          <w:rFonts w:ascii="宋体" w:hAnsi="宋体" w:eastAsia="宋体" w:cs="宋体"/>
          <w:spacing w:val="-2"/>
          <w:sz w:val="24"/>
          <w:szCs w:val="24"/>
        </w:rPr>
        <w:t>”。</w:t>
      </w:r>
    </w:p>
    <w:p w14:paraId="050166A7">
      <w:pPr>
        <w:spacing w:before="2" w:line="360" w:lineRule="auto"/>
        <w:ind w:left="10" w:right="32" w:firstLine="490"/>
        <w:rPr>
          <w:rFonts w:ascii="宋体" w:hAnsi="宋体" w:eastAsia="宋体" w:cs="宋体"/>
          <w:sz w:val="24"/>
          <w:szCs w:val="24"/>
        </w:rPr>
      </w:pPr>
      <w:r>
        <w:rPr>
          <w:rFonts w:ascii="宋体" w:hAnsi="宋体" w:eastAsia="宋体" w:cs="宋体"/>
          <w:sz w:val="24"/>
          <w:szCs w:val="24"/>
        </w:rPr>
        <w:t>（4）两个以上的自然人、法人或者其他组织组成一个联合体，以一个供应商的身份共同</w:t>
      </w:r>
      <w:r>
        <w:rPr>
          <w:rFonts w:ascii="宋体" w:hAnsi="宋体" w:eastAsia="宋体" w:cs="宋体"/>
          <w:spacing w:val="-3"/>
          <w:sz w:val="24"/>
          <w:szCs w:val="24"/>
        </w:rPr>
        <w:t>参加政府采购活动的，应当对所有联合体成员进行信用记录查询，联合体成员存在不良信用记</w:t>
      </w:r>
      <w:r>
        <w:rPr>
          <w:rFonts w:ascii="宋体" w:hAnsi="宋体" w:eastAsia="宋体" w:cs="宋体"/>
          <w:spacing w:val="-1"/>
          <w:sz w:val="24"/>
          <w:szCs w:val="24"/>
        </w:rPr>
        <w:t>录的，视同联合体存在不良信用记录。</w:t>
      </w:r>
    </w:p>
    <w:p w14:paraId="2DB36C97">
      <w:pPr>
        <w:spacing w:before="2" w:line="360" w:lineRule="auto"/>
        <w:ind w:left="31" w:right="34" w:firstLine="457"/>
        <w:rPr>
          <w:rFonts w:ascii="宋体" w:hAnsi="宋体" w:eastAsia="宋体" w:cs="宋体"/>
          <w:sz w:val="24"/>
          <w:szCs w:val="24"/>
        </w:rPr>
      </w:pPr>
      <w:r>
        <w:rPr>
          <w:rFonts w:ascii="宋体" w:hAnsi="宋体" w:eastAsia="宋体" w:cs="宋体"/>
          <w:b/>
          <w:bCs/>
          <w:spacing w:val="1"/>
          <w:sz w:val="24"/>
          <w:szCs w:val="24"/>
        </w:rPr>
        <w:t>注：开标现场由代理机构查询，将查询结果截图并打印，若投标人在失信行为记录名单</w:t>
      </w:r>
      <w:r>
        <w:rPr>
          <w:rFonts w:ascii="宋体" w:hAnsi="宋体" w:eastAsia="宋体" w:cs="宋体"/>
          <w:b/>
          <w:bCs/>
          <w:spacing w:val="-5"/>
          <w:sz w:val="24"/>
          <w:szCs w:val="24"/>
        </w:rPr>
        <w:t>中，则其</w:t>
      </w:r>
      <w:r>
        <w:rPr>
          <w:rFonts w:hint="eastAsia" w:ascii="宋体" w:hAnsi="宋体" w:eastAsia="宋体" w:cs="宋体"/>
          <w:b/>
          <w:bCs/>
          <w:spacing w:val="-5"/>
          <w:sz w:val="24"/>
          <w:szCs w:val="24"/>
          <w:lang w:eastAsia="zh-CN"/>
        </w:rPr>
        <w:t>响应文件</w:t>
      </w:r>
      <w:r>
        <w:rPr>
          <w:rFonts w:ascii="宋体" w:hAnsi="宋体" w:eastAsia="宋体" w:cs="宋体"/>
          <w:b/>
          <w:bCs/>
          <w:spacing w:val="-5"/>
          <w:sz w:val="24"/>
          <w:szCs w:val="24"/>
        </w:rPr>
        <w:t>无效。</w:t>
      </w:r>
    </w:p>
    <w:p w14:paraId="4339FD74">
      <w:pPr>
        <w:spacing w:before="1" w:line="360" w:lineRule="auto"/>
        <w:ind w:left="495"/>
        <w:rPr>
          <w:rFonts w:ascii="宋体" w:hAnsi="宋体" w:eastAsia="宋体" w:cs="宋体"/>
          <w:sz w:val="24"/>
          <w:szCs w:val="24"/>
        </w:rPr>
      </w:pPr>
      <w:r>
        <w:rPr>
          <w:rFonts w:ascii="宋体" w:hAnsi="宋体" w:eastAsia="宋体" w:cs="宋体"/>
          <w:b/>
          <w:bCs/>
          <w:spacing w:val="-3"/>
          <w:sz w:val="24"/>
          <w:szCs w:val="24"/>
        </w:rPr>
        <w:t>7、竞争性磋商响应文件的符合性审查</w:t>
      </w:r>
    </w:p>
    <w:p w14:paraId="09DCE18F">
      <w:pPr>
        <w:spacing w:before="156" w:line="360" w:lineRule="auto"/>
        <w:ind w:left="8" w:right="32" w:firstLine="482"/>
        <w:rPr>
          <w:rFonts w:ascii="宋体" w:hAnsi="宋体" w:eastAsia="宋体" w:cs="宋体"/>
          <w:sz w:val="24"/>
          <w:szCs w:val="24"/>
        </w:rPr>
      </w:pPr>
      <w:r>
        <w:rPr>
          <w:rFonts w:ascii="宋体" w:hAnsi="宋体" w:eastAsia="宋体" w:cs="宋体"/>
          <w:spacing w:val="-3"/>
          <w:sz w:val="24"/>
          <w:szCs w:val="24"/>
        </w:rPr>
        <w:t>依据竞争性磋商文件的规定，对竞争性磋商响应文件的有效性、完整性和对竞争性磋商文</w:t>
      </w:r>
      <w:r>
        <w:rPr>
          <w:rFonts w:ascii="宋体" w:hAnsi="宋体" w:eastAsia="宋体" w:cs="宋体"/>
          <w:sz w:val="24"/>
          <w:szCs w:val="24"/>
        </w:rPr>
        <w:t>件的响应程度进行审查，以确定是否对竞争性磋商文件的全部</w:t>
      </w:r>
      <w:r>
        <w:rPr>
          <w:rFonts w:ascii="宋体" w:hAnsi="宋体" w:eastAsia="宋体" w:cs="宋体"/>
          <w:spacing w:val="-1"/>
          <w:sz w:val="24"/>
          <w:szCs w:val="24"/>
        </w:rPr>
        <w:t>实质性要求做出响应。</w:t>
      </w:r>
    </w:p>
    <w:p w14:paraId="1DBE043D">
      <w:pPr>
        <w:spacing w:line="360" w:lineRule="auto"/>
        <w:ind w:left="11" w:right="32" w:firstLine="477"/>
      </w:pPr>
      <w:r>
        <w:rPr>
          <w:rFonts w:ascii="宋体" w:hAnsi="宋体" w:eastAsia="宋体" w:cs="宋体"/>
          <w:spacing w:val="-3"/>
          <w:sz w:val="24"/>
          <w:szCs w:val="24"/>
        </w:rPr>
        <w:t>磋商小组要审查每份竞争性磋商响应文件是否实质上响应了竞争性磋商文件的要求。实质上没有响应竞争性磋商文件要求的竞争性磋商响应文件作无效响应处理，磋商小组应告知有关</w:t>
      </w:r>
    </w:p>
    <w:p w14:paraId="625BF7CD">
      <w:pPr>
        <w:spacing w:before="78" w:line="360" w:lineRule="auto"/>
        <w:ind w:left="9"/>
        <w:rPr>
          <w:rFonts w:ascii="宋体" w:hAnsi="宋体" w:eastAsia="宋体" w:cs="宋体"/>
          <w:sz w:val="24"/>
          <w:szCs w:val="24"/>
        </w:rPr>
      </w:pPr>
      <w:r>
        <w:rPr>
          <w:rFonts w:ascii="宋体" w:hAnsi="宋体" w:eastAsia="宋体" w:cs="宋体"/>
          <w:sz w:val="24"/>
          <w:szCs w:val="24"/>
        </w:rPr>
        <w:t>供应商未通过审查的原因。供应商不得通过修正或撤销不符之处</w:t>
      </w:r>
      <w:r>
        <w:rPr>
          <w:rFonts w:ascii="宋体" w:hAnsi="宋体" w:eastAsia="宋体" w:cs="宋体"/>
          <w:spacing w:val="-1"/>
          <w:sz w:val="24"/>
          <w:szCs w:val="24"/>
        </w:rPr>
        <w:t>而使其成为实质上响应。</w:t>
      </w:r>
    </w:p>
    <w:p w14:paraId="09F334BE">
      <w:pPr>
        <w:spacing w:before="155" w:line="360" w:lineRule="auto"/>
        <w:ind w:left="490"/>
        <w:rPr>
          <w:rFonts w:ascii="宋体" w:hAnsi="宋体" w:eastAsia="宋体" w:cs="宋体"/>
          <w:sz w:val="24"/>
          <w:szCs w:val="24"/>
        </w:rPr>
      </w:pPr>
      <w:r>
        <w:rPr>
          <w:rFonts w:ascii="宋体" w:hAnsi="宋体" w:eastAsia="宋体" w:cs="宋体"/>
          <w:b/>
          <w:bCs/>
          <w:spacing w:val="-2"/>
          <w:sz w:val="24"/>
          <w:szCs w:val="24"/>
        </w:rPr>
        <w:t>8、评审中，竞争性磋商响应文件出现下列情况，修正原则</w:t>
      </w:r>
      <w:r>
        <w:rPr>
          <w:rFonts w:ascii="宋体" w:hAnsi="宋体" w:eastAsia="宋体" w:cs="宋体"/>
          <w:b/>
          <w:bCs/>
          <w:spacing w:val="-3"/>
          <w:sz w:val="24"/>
          <w:szCs w:val="24"/>
        </w:rPr>
        <w:t>为：</w:t>
      </w:r>
    </w:p>
    <w:p w14:paraId="7DD34541">
      <w:pPr>
        <w:spacing w:before="153" w:line="360" w:lineRule="auto"/>
        <w:ind w:left="11" w:right="53" w:firstLine="489"/>
        <w:rPr>
          <w:rFonts w:ascii="宋体" w:hAnsi="宋体" w:eastAsia="宋体" w:cs="宋体"/>
          <w:sz w:val="24"/>
          <w:szCs w:val="24"/>
        </w:rPr>
      </w:pPr>
      <w:r>
        <w:rPr>
          <w:rFonts w:ascii="宋体" w:hAnsi="宋体" w:eastAsia="宋体" w:cs="宋体"/>
          <w:spacing w:val="-2"/>
          <w:sz w:val="24"/>
          <w:szCs w:val="24"/>
        </w:rPr>
        <w:t>（1）响应文件有关内容与“第一次磋商报价表</w:t>
      </w:r>
      <w:r>
        <w:rPr>
          <w:rFonts w:ascii="宋体" w:hAnsi="宋体" w:eastAsia="宋体" w:cs="宋体"/>
          <w:spacing w:val="-70"/>
          <w:sz w:val="24"/>
          <w:szCs w:val="24"/>
        </w:rPr>
        <w:t xml:space="preserve"> </w:t>
      </w:r>
      <w:r>
        <w:rPr>
          <w:rFonts w:ascii="宋体" w:hAnsi="宋体" w:eastAsia="宋体" w:cs="宋体"/>
          <w:spacing w:val="-2"/>
          <w:sz w:val="24"/>
          <w:szCs w:val="24"/>
        </w:rPr>
        <w:t>”不一致的，以“第一次磋商报价表</w:t>
      </w:r>
      <w:r>
        <w:rPr>
          <w:rFonts w:ascii="宋体" w:hAnsi="宋体" w:eastAsia="宋体" w:cs="宋体"/>
          <w:spacing w:val="-88"/>
          <w:sz w:val="24"/>
          <w:szCs w:val="24"/>
        </w:rPr>
        <w:t xml:space="preserve"> </w:t>
      </w:r>
      <w:r>
        <w:rPr>
          <w:rFonts w:ascii="宋体" w:hAnsi="宋体" w:eastAsia="宋体" w:cs="宋体"/>
          <w:spacing w:val="-2"/>
          <w:sz w:val="24"/>
          <w:szCs w:val="24"/>
        </w:rPr>
        <w:t>”为</w:t>
      </w:r>
      <w:r>
        <w:rPr>
          <w:rFonts w:ascii="宋体" w:hAnsi="宋体" w:eastAsia="宋体" w:cs="宋体"/>
          <w:spacing w:val="-6"/>
          <w:sz w:val="24"/>
          <w:szCs w:val="24"/>
        </w:rPr>
        <w:t>准；</w:t>
      </w:r>
    </w:p>
    <w:p w14:paraId="3633A090">
      <w:pPr>
        <w:spacing w:before="1" w:line="360" w:lineRule="auto"/>
        <w:ind w:left="500"/>
        <w:rPr>
          <w:rFonts w:ascii="宋体" w:hAnsi="宋体" w:eastAsia="宋体" w:cs="宋体"/>
          <w:sz w:val="24"/>
          <w:szCs w:val="24"/>
        </w:rPr>
      </w:pPr>
      <w:r>
        <w:rPr>
          <w:rFonts w:ascii="宋体" w:hAnsi="宋体" w:eastAsia="宋体" w:cs="宋体"/>
          <w:spacing w:val="-1"/>
          <w:sz w:val="24"/>
          <w:szCs w:val="24"/>
        </w:rPr>
        <w:t>（2）报价的大写金额和小写金额不一致的，以大写金额为准；</w:t>
      </w:r>
    </w:p>
    <w:p w14:paraId="5386ACB1">
      <w:pPr>
        <w:spacing w:before="155" w:line="360" w:lineRule="auto"/>
        <w:ind w:left="500"/>
        <w:rPr>
          <w:rFonts w:ascii="宋体" w:hAnsi="宋体" w:eastAsia="宋体" w:cs="宋体"/>
          <w:sz w:val="24"/>
          <w:szCs w:val="24"/>
        </w:rPr>
      </w:pPr>
      <w:r>
        <w:rPr>
          <w:rFonts w:ascii="宋体" w:hAnsi="宋体" w:eastAsia="宋体" w:cs="宋体"/>
          <w:spacing w:val="-1"/>
          <w:sz w:val="24"/>
          <w:szCs w:val="24"/>
        </w:rPr>
        <w:t>（3）总价金额与按单价汇总金额不一致的，以单价汇总金额为准；</w:t>
      </w:r>
    </w:p>
    <w:p w14:paraId="052C8CE0">
      <w:pPr>
        <w:spacing w:before="158" w:line="360" w:lineRule="auto"/>
        <w:ind w:left="500"/>
        <w:rPr>
          <w:rFonts w:ascii="宋体" w:hAnsi="宋体" w:eastAsia="宋体" w:cs="宋体"/>
          <w:sz w:val="24"/>
          <w:szCs w:val="24"/>
        </w:rPr>
      </w:pPr>
      <w:r>
        <w:rPr>
          <w:rFonts w:ascii="宋体" w:hAnsi="宋体" w:eastAsia="宋体" w:cs="宋体"/>
          <w:spacing w:val="-1"/>
          <w:sz w:val="24"/>
          <w:szCs w:val="24"/>
        </w:rPr>
        <w:t>（4）单价金额小数点有明显错位的，以总价为准，并修改单价；</w:t>
      </w:r>
    </w:p>
    <w:p w14:paraId="0B368A22">
      <w:pPr>
        <w:spacing w:before="156" w:line="360" w:lineRule="auto"/>
        <w:ind w:left="500"/>
        <w:rPr>
          <w:rFonts w:ascii="宋体" w:hAnsi="宋体" w:eastAsia="宋体" w:cs="宋体"/>
          <w:sz w:val="24"/>
          <w:szCs w:val="24"/>
        </w:rPr>
      </w:pPr>
      <w:r>
        <w:rPr>
          <w:rFonts w:ascii="宋体" w:hAnsi="宋体" w:eastAsia="宋体" w:cs="宋体"/>
          <w:spacing w:val="-1"/>
          <w:sz w:val="24"/>
          <w:szCs w:val="24"/>
        </w:rPr>
        <w:t>（5）多处内容交叉不符时，以磋商小组评审结果为准；</w:t>
      </w:r>
    </w:p>
    <w:p w14:paraId="06FC752C">
      <w:pPr>
        <w:spacing w:before="155" w:line="360" w:lineRule="auto"/>
        <w:ind w:left="500"/>
        <w:rPr>
          <w:rFonts w:ascii="宋体" w:hAnsi="宋体" w:eastAsia="宋体" w:cs="宋体"/>
          <w:sz w:val="24"/>
          <w:szCs w:val="24"/>
        </w:rPr>
      </w:pPr>
      <w:r>
        <w:rPr>
          <w:rFonts w:ascii="宋体" w:hAnsi="宋体" w:eastAsia="宋体" w:cs="宋体"/>
          <w:spacing w:val="-2"/>
          <w:sz w:val="24"/>
          <w:szCs w:val="24"/>
        </w:rPr>
        <w:t>（6）文字与图表不符时，以文字为准；</w:t>
      </w:r>
    </w:p>
    <w:p w14:paraId="204C1445">
      <w:pPr>
        <w:spacing w:before="156" w:line="360" w:lineRule="auto"/>
        <w:ind w:left="9" w:right="56" w:firstLine="480"/>
        <w:rPr>
          <w:rFonts w:ascii="宋体" w:hAnsi="宋体" w:eastAsia="宋体" w:cs="宋体"/>
          <w:sz w:val="24"/>
          <w:szCs w:val="24"/>
        </w:rPr>
      </w:pPr>
      <w:r>
        <w:rPr>
          <w:rFonts w:ascii="宋体" w:hAnsi="宋体" w:eastAsia="宋体" w:cs="宋体"/>
          <w:spacing w:val="-3"/>
          <w:sz w:val="24"/>
          <w:szCs w:val="24"/>
        </w:rPr>
        <w:t>供应商不同意以上修正，则其投标将被拒绝。供应商同意后，按上述规定修正后的报价对</w:t>
      </w:r>
      <w:r>
        <w:rPr>
          <w:rFonts w:ascii="宋体" w:hAnsi="宋体" w:eastAsia="宋体" w:cs="宋体"/>
          <w:spacing w:val="-2"/>
          <w:sz w:val="24"/>
          <w:szCs w:val="24"/>
        </w:rPr>
        <w:t>供应商起约束作用。</w:t>
      </w:r>
    </w:p>
    <w:p w14:paraId="3DD44EA6">
      <w:pPr>
        <w:spacing w:before="4" w:line="360" w:lineRule="auto"/>
        <w:ind w:left="8" w:firstLine="481"/>
        <w:rPr>
          <w:rFonts w:ascii="宋体" w:hAnsi="宋体" w:eastAsia="宋体" w:cs="宋体"/>
          <w:sz w:val="24"/>
          <w:szCs w:val="24"/>
        </w:rPr>
      </w:pPr>
      <w:r>
        <w:rPr>
          <w:rFonts w:ascii="宋体" w:hAnsi="宋体" w:eastAsia="宋体" w:cs="宋体"/>
          <w:b/>
          <w:bCs/>
          <w:sz w:val="24"/>
          <w:szCs w:val="24"/>
        </w:rPr>
        <w:t>9、</w:t>
      </w:r>
      <w:r>
        <w:rPr>
          <w:rFonts w:ascii="宋体" w:hAnsi="宋体" w:eastAsia="宋体" w:cs="宋体"/>
          <w:sz w:val="24"/>
          <w:szCs w:val="24"/>
        </w:rPr>
        <w:t>在详细评审之前，磋商小组要审查每份竞争性磋商响应文件是否实质上响应了竞争性</w:t>
      </w:r>
      <w:r>
        <w:rPr>
          <w:rFonts w:ascii="宋体" w:hAnsi="宋体" w:eastAsia="宋体" w:cs="宋体"/>
          <w:spacing w:val="-2"/>
          <w:sz w:val="24"/>
          <w:szCs w:val="24"/>
        </w:rPr>
        <w:t>磋商文件的要求。实质上响应的磋商应该是</w:t>
      </w:r>
      <w:r>
        <w:rPr>
          <w:rFonts w:ascii="宋体" w:hAnsi="宋体" w:eastAsia="宋体" w:cs="宋体"/>
          <w:spacing w:val="-3"/>
          <w:sz w:val="24"/>
          <w:szCs w:val="24"/>
        </w:rPr>
        <w:t>与竞争性磋商文件要求的全部条款、条件和规格参</w:t>
      </w:r>
      <w:r>
        <w:rPr>
          <w:rFonts w:ascii="宋体" w:hAnsi="宋体" w:eastAsia="宋体" w:cs="宋体"/>
          <w:spacing w:val="-1"/>
          <w:sz w:val="24"/>
          <w:szCs w:val="24"/>
        </w:rPr>
        <w:t>数相符，没有重大偏离的磋商。对于关键条文的偏离、保留或反对将被认</w:t>
      </w:r>
      <w:r>
        <w:rPr>
          <w:rFonts w:ascii="宋体" w:hAnsi="宋体" w:eastAsia="宋体" w:cs="宋体"/>
          <w:spacing w:val="-2"/>
          <w:sz w:val="24"/>
          <w:szCs w:val="24"/>
        </w:rPr>
        <w:t>为是实质上的偏离。</w:t>
      </w:r>
      <w:r>
        <w:rPr>
          <w:rFonts w:ascii="宋体" w:hAnsi="宋体" w:eastAsia="宋体" w:cs="宋体"/>
          <w:sz w:val="24"/>
          <w:szCs w:val="24"/>
        </w:rPr>
        <w:t>磋商小组决定磋商的响应性只根据竞争性磋商响应文件本身的内容，</w:t>
      </w:r>
      <w:r>
        <w:rPr>
          <w:rFonts w:ascii="宋体" w:hAnsi="宋体" w:eastAsia="宋体" w:cs="宋体"/>
          <w:spacing w:val="-1"/>
          <w:sz w:val="24"/>
          <w:szCs w:val="24"/>
        </w:rPr>
        <w:t>而不寻求外部的证据。</w:t>
      </w:r>
    </w:p>
    <w:p w14:paraId="78F9F645">
      <w:pPr>
        <w:spacing w:before="2" w:line="360" w:lineRule="auto"/>
        <w:ind w:left="10" w:right="53" w:firstLine="496"/>
        <w:rPr>
          <w:rFonts w:ascii="宋体" w:hAnsi="宋体" w:eastAsia="宋体" w:cs="宋体"/>
          <w:sz w:val="24"/>
          <w:szCs w:val="24"/>
        </w:rPr>
      </w:pPr>
      <w:r>
        <w:rPr>
          <w:rFonts w:ascii="宋体" w:hAnsi="宋体" w:eastAsia="宋体" w:cs="宋体"/>
          <w:b/>
          <w:bCs/>
          <w:spacing w:val="-3"/>
          <w:sz w:val="24"/>
          <w:szCs w:val="24"/>
        </w:rPr>
        <w:t>10、</w:t>
      </w:r>
      <w:r>
        <w:rPr>
          <w:rFonts w:ascii="宋体" w:hAnsi="宋体" w:eastAsia="宋体" w:cs="宋体"/>
          <w:spacing w:val="-3"/>
          <w:sz w:val="24"/>
          <w:szCs w:val="24"/>
        </w:rPr>
        <w:t>凡审查、澄清、评价和比较磋商的有关资料及被授标意见等内</w:t>
      </w:r>
      <w:r>
        <w:rPr>
          <w:rFonts w:ascii="宋体" w:hAnsi="宋体" w:eastAsia="宋体" w:cs="宋体"/>
          <w:spacing w:val="-4"/>
          <w:sz w:val="24"/>
          <w:szCs w:val="24"/>
        </w:rPr>
        <w:t>容，磋商小组成员均不</w:t>
      </w:r>
      <w:r>
        <w:rPr>
          <w:rFonts w:ascii="宋体" w:hAnsi="宋体" w:eastAsia="宋体" w:cs="宋体"/>
          <w:spacing w:val="-1"/>
          <w:sz w:val="24"/>
          <w:szCs w:val="24"/>
        </w:rPr>
        <w:t>得向供应商及与评审无关的其他人透露。</w:t>
      </w:r>
    </w:p>
    <w:p w14:paraId="47C22BE4">
      <w:pPr>
        <w:spacing w:line="360" w:lineRule="auto"/>
        <w:ind w:left="507"/>
        <w:rPr>
          <w:rFonts w:ascii="宋体" w:hAnsi="宋体" w:eastAsia="宋体" w:cs="宋体"/>
          <w:sz w:val="24"/>
          <w:szCs w:val="24"/>
        </w:rPr>
      </w:pPr>
      <w:r>
        <w:rPr>
          <w:rFonts w:ascii="宋体" w:hAnsi="宋体" w:eastAsia="宋体" w:cs="宋体"/>
          <w:b/>
          <w:bCs/>
          <w:spacing w:val="-4"/>
          <w:sz w:val="24"/>
          <w:szCs w:val="24"/>
        </w:rPr>
        <w:t>11、竞争性磋商响应文件的详细审查</w:t>
      </w:r>
    </w:p>
    <w:p w14:paraId="7A3AD9D0">
      <w:pPr>
        <w:spacing w:before="156" w:line="360" w:lineRule="auto"/>
        <w:ind w:left="10" w:right="53" w:firstLine="496"/>
        <w:rPr>
          <w:rFonts w:ascii="宋体" w:hAnsi="宋体" w:eastAsia="宋体" w:cs="宋体"/>
          <w:sz w:val="24"/>
          <w:szCs w:val="24"/>
        </w:rPr>
      </w:pPr>
      <w:r>
        <w:rPr>
          <w:rFonts w:ascii="宋体" w:hAnsi="宋体" w:eastAsia="宋体" w:cs="宋体"/>
          <w:spacing w:val="-3"/>
          <w:sz w:val="24"/>
          <w:szCs w:val="24"/>
        </w:rPr>
        <w:t>11.1、磋商小组采用综合评分法对通过符合性评审的供应商的竞争性磋商响应文件进行综合评分。</w:t>
      </w:r>
    </w:p>
    <w:p w14:paraId="6EA5C68B">
      <w:pPr>
        <w:spacing w:before="2" w:line="360" w:lineRule="auto"/>
        <w:ind w:left="10" w:right="53" w:firstLine="496"/>
        <w:rPr>
          <w:rFonts w:ascii="宋体" w:hAnsi="宋体" w:eastAsia="宋体" w:cs="宋体"/>
          <w:sz w:val="24"/>
          <w:szCs w:val="24"/>
        </w:rPr>
      </w:pPr>
      <w:r>
        <w:rPr>
          <w:rFonts w:ascii="宋体" w:hAnsi="宋体" w:eastAsia="宋体" w:cs="宋体"/>
          <w:spacing w:val="-3"/>
          <w:sz w:val="24"/>
          <w:szCs w:val="24"/>
        </w:rPr>
        <w:t>11.2、综合评分法是指竞争性磋商响应文件满足竞争性磋商文件全部实质性要求且按评审因素的量化指标评审得分最高的供应商为成交候选供应商的评审方法。竞争性磋商文件中没有</w:t>
      </w:r>
      <w:r>
        <w:rPr>
          <w:rFonts w:ascii="宋体" w:hAnsi="宋体" w:eastAsia="宋体" w:cs="宋体"/>
          <w:spacing w:val="-1"/>
          <w:sz w:val="24"/>
          <w:szCs w:val="24"/>
        </w:rPr>
        <w:t>规定的评审标准不得作为评审依据。</w:t>
      </w:r>
    </w:p>
    <w:p w14:paraId="16FEB401">
      <w:pPr>
        <w:spacing w:before="4" w:line="360" w:lineRule="auto"/>
        <w:ind w:left="8" w:right="53" w:firstLine="498"/>
        <w:rPr>
          <w:rFonts w:ascii="宋体" w:hAnsi="宋体" w:eastAsia="宋体" w:cs="宋体"/>
          <w:sz w:val="24"/>
          <w:szCs w:val="24"/>
        </w:rPr>
      </w:pPr>
      <w:r>
        <w:rPr>
          <w:rFonts w:ascii="宋体" w:hAnsi="宋体" w:eastAsia="宋体" w:cs="宋体"/>
          <w:spacing w:val="-3"/>
          <w:sz w:val="24"/>
          <w:szCs w:val="24"/>
        </w:rPr>
        <w:t>11.3、磋商小组各成员应独立对每个有效竞争性磋商响应文件进行评价、打分，然后汇总</w:t>
      </w:r>
      <w:r>
        <w:rPr>
          <w:rFonts w:ascii="宋体" w:hAnsi="宋体" w:eastAsia="宋体" w:cs="宋体"/>
          <w:spacing w:val="-2"/>
          <w:sz w:val="24"/>
          <w:szCs w:val="24"/>
        </w:rPr>
        <w:t>每个供应商每项评分因素的得分，并根据综</w:t>
      </w:r>
      <w:r>
        <w:rPr>
          <w:rFonts w:ascii="宋体" w:hAnsi="宋体" w:eastAsia="宋体" w:cs="宋体"/>
          <w:spacing w:val="-3"/>
          <w:sz w:val="24"/>
          <w:szCs w:val="24"/>
        </w:rPr>
        <w:t>合评分情况，按照评审得分由高到低顺序推荐成交</w:t>
      </w:r>
      <w:r>
        <w:rPr>
          <w:rFonts w:ascii="宋体" w:hAnsi="宋体" w:eastAsia="宋体" w:cs="宋体"/>
          <w:spacing w:val="-2"/>
          <w:sz w:val="24"/>
          <w:szCs w:val="24"/>
        </w:rPr>
        <w:t>候选供应商，并编写评审报告。磋商小组根</w:t>
      </w:r>
      <w:r>
        <w:rPr>
          <w:rFonts w:ascii="宋体" w:hAnsi="宋体" w:eastAsia="宋体" w:cs="宋体"/>
          <w:spacing w:val="-3"/>
          <w:sz w:val="24"/>
          <w:szCs w:val="24"/>
        </w:rPr>
        <w:t>据综合评分情况，综合得分由高到低顺序排列。综</w:t>
      </w:r>
      <w:r>
        <w:rPr>
          <w:rFonts w:ascii="宋体" w:hAnsi="宋体" w:eastAsia="宋体" w:cs="宋体"/>
          <w:spacing w:val="-2"/>
          <w:sz w:val="24"/>
          <w:szCs w:val="24"/>
        </w:rPr>
        <w:t>合得分相同的，按磋商报价由低到高顺序排</w:t>
      </w:r>
      <w:r>
        <w:rPr>
          <w:rFonts w:ascii="宋体" w:hAnsi="宋体" w:eastAsia="宋体" w:cs="宋体"/>
          <w:spacing w:val="-3"/>
          <w:sz w:val="24"/>
          <w:szCs w:val="24"/>
        </w:rPr>
        <w:t>列。综合得分且磋商报价相同，竞争性磋商响应文</w:t>
      </w:r>
      <w:r>
        <w:rPr>
          <w:rFonts w:ascii="宋体" w:hAnsi="宋体" w:eastAsia="宋体" w:cs="宋体"/>
          <w:spacing w:val="-2"/>
          <w:sz w:val="24"/>
          <w:szCs w:val="24"/>
        </w:rPr>
        <w:t>件满足竞争性磋商文件全部实质性要求，则</w:t>
      </w:r>
      <w:r>
        <w:rPr>
          <w:rFonts w:ascii="宋体" w:hAnsi="宋体" w:eastAsia="宋体" w:cs="宋体"/>
          <w:spacing w:val="-3"/>
          <w:sz w:val="24"/>
          <w:szCs w:val="24"/>
        </w:rPr>
        <w:t>按照评审因素的量化指标评审得分由高到低顺序排</w:t>
      </w:r>
      <w:r>
        <w:rPr>
          <w:rFonts w:ascii="宋体" w:hAnsi="宋体" w:eastAsia="宋体" w:cs="宋体"/>
          <w:spacing w:val="-1"/>
          <w:sz w:val="24"/>
          <w:szCs w:val="24"/>
        </w:rPr>
        <w:t>列，推荐前三名为成交候选人。</w:t>
      </w:r>
    </w:p>
    <w:p w14:paraId="035D5E58">
      <w:pPr>
        <w:spacing w:line="360" w:lineRule="auto"/>
        <w:ind w:left="9" w:right="18" w:firstLine="497"/>
      </w:pPr>
      <w:r>
        <w:rPr>
          <w:rFonts w:ascii="宋体" w:hAnsi="宋体" w:eastAsia="宋体" w:cs="宋体"/>
          <w:spacing w:val="-2"/>
          <w:sz w:val="24"/>
          <w:szCs w:val="24"/>
        </w:rPr>
        <w:t>11.4、评审报告应当由磋商小组全体人员签字认可。对评审报告有异议的磋商</w:t>
      </w:r>
      <w:r>
        <w:rPr>
          <w:rFonts w:ascii="宋体" w:hAnsi="宋体" w:eastAsia="宋体" w:cs="宋体"/>
          <w:spacing w:val="-3"/>
          <w:sz w:val="24"/>
          <w:szCs w:val="24"/>
        </w:rPr>
        <w:t>小组成员，</w:t>
      </w:r>
      <w:r>
        <w:rPr>
          <w:rFonts w:ascii="宋体" w:hAnsi="宋体" w:eastAsia="宋体" w:cs="宋体"/>
          <w:spacing w:val="-2"/>
          <w:sz w:val="24"/>
          <w:szCs w:val="24"/>
        </w:rPr>
        <w:t>应当在报告上签署不同意见并说明理由，由</w:t>
      </w:r>
      <w:r>
        <w:rPr>
          <w:rFonts w:ascii="宋体" w:hAnsi="宋体" w:eastAsia="宋体" w:cs="宋体"/>
          <w:spacing w:val="-3"/>
          <w:sz w:val="24"/>
          <w:szCs w:val="24"/>
        </w:rPr>
        <w:t>磋商小组书面记录相关情况。磋商小组成员拒绝在</w:t>
      </w:r>
    </w:p>
    <w:p w14:paraId="33911290">
      <w:pPr>
        <w:spacing w:before="78" w:line="360" w:lineRule="auto"/>
        <w:ind w:left="7"/>
        <w:rPr>
          <w:rFonts w:ascii="宋体" w:hAnsi="宋体" w:eastAsia="宋体" w:cs="宋体"/>
          <w:sz w:val="24"/>
          <w:szCs w:val="24"/>
        </w:rPr>
      </w:pPr>
      <w:r>
        <w:rPr>
          <w:rFonts w:ascii="宋体" w:hAnsi="宋体" w:eastAsia="宋体" w:cs="宋体"/>
          <w:sz w:val="24"/>
          <w:szCs w:val="24"/>
        </w:rPr>
        <w:t>报告上签字又不书面说明其不同意见和理由的，</w:t>
      </w:r>
      <w:r>
        <w:rPr>
          <w:rFonts w:ascii="宋体" w:hAnsi="宋体" w:eastAsia="宋体" w:cs="宋体"/>
          <w:spacing w:val="-1"/>
          <w:sz w:val="24"/>
          <w:szCs w:val="24"/>
        </w:rPr>
        <w:t>视为同意评审报告。</w:t>
      </w:r>
    </w:p>
    <w:p w14:paraId="38932082">
      <w:pPr>
        <w:spacing w:before="156" w:line="360" w:lineRule="auto"/>
        <w:ind w:left="507"/>
        <w:rPr>
          <w:rFonts w:ascii="宋体" w:hAnsi="宋体" w:eastAsia="宋体" w:cs="宋体"/>
          <w:sz w:val="24"/>
          <w:szCs w:val="24"/>
        </w:rPr>
      </w:pPr>
      <w:r>
        <w:rPr>
          <w:rFonts w:ascii="宋体" w:hAnsi="宋体" w:eastAsia="宋体" w:cs="宋体"/>
          <w:b/>
          <w:bCs/>
          <w:spacing w:val="-5"/>
          <w:sz w:val="24"/>
          <w:szCs w:val="24"/>
        </w:rPr>
        <w:t>12、评审过程的保密</w:t>
      </w:r>
    </w:p>
    <w:p w14:paraId="0B0C90DF">
      <w:pPr>
        <w:spacing w:before="152" w:line="360" w:lineRule="auto"/>
        <w:ind w:left="10" w:right="53" w:firstLine="478"/>
        <w:rPr>
          <w:rFonts w:ascii="宋体" w:hAnsi="宋体" w:eastAsia="宋体" w:cs="宋体"/>
          <w:sz w:val="24"/>
          <w:szCs w:val="24"/>
        </w:rPr>
      </w:pPr>
      <w:r>
        <w:rPr>
          <w:rFonts w:ascii="宋体" w:hAnsi="宋体" w:eastAsia="宋体" w:cs="宋体"/>
          <w:spacing w:val="4"/>
          <w:sz w:val="24"/>
          <w:szCs w:val="24"/>
        </w:rPr>
        <w:t>磋商小组成员和与评审活动有关的工作人员不得泄</w:t>
      </w:r>
      <w:r>
        <w:rPr>
          <w:rFonts w:ascii="宋体" w:hAnsi="宋体" w:eastAsia="宋体" w:cs="宋体"/>
          <w:spacing w:val="3"/>
          <w:sz w:val="24"/>
          <w:szCs w:val="24"/>
        </w:rPr>
        <w:t>露有关商竞争性磋商响应文件的评审</w:t>
      </w:r>
      <w:r>
        <w:rPr>
          <w:rFonts w:ascii="宋体" w:hAnsi="宋体" w:eastAsia="宋体" w:cs="宋体"/>
          <w:spacing w:val="-1"/>
          <w:sz w:val="24"/>
          <w:szCs w:val="24"/>
        </w:rPr>
        <w:t>和比较、成交候选人的推荐以及与评审有关的其他情况。</w:t>
      </w:r>
    </w:p>
    <w:p w14:paraId="30C2812F">
      <w:pPr>
        <w:spacing w:line="360" w:lineRule="auto"/>
        <w:ind w:left="507"/>
        <w:rPr>
          <w:rFonts w:ascii="宋体" w:hAnsi="宋体" w:eastAsia="宋体" w:cs="宋体"/>
          <w:sz w:val="24"/>
          <w:szCs w:val="24"/>
        </w:rPr>
      </w:pPr>
      <w:r>
        <w:rPr>
          <w:rFonts w:ascii="宋体" w:hAnsi="宋体" w:eastAsia="宋体" w:cs="宋体"/>
          <w:b/>
          <w:bCs/>
          <w:spacing w:val="-6"/>
          <w:sz w:val="24"/>
          <w:szCs w:val="24"/>
        </w:rPr>
        <w:t>13、评审方法</w:t>
      </w:r>
    </w:p>
    <w:p w14:paraId="6B98AF40">
      <w:pPr>
        <w:spacing w:before="151" w:line="360" w:lineRule="auto"/>
        <w:ind w:left="8" w:right="53" w:firstLine="482"/>
        <w:jc w:val="both"/>
        <w:rPr>
          <w:rFonts w:ascii="宋体" w:hAnsi="宋体" w:eastAsia="宋体" w:cs="宋体"/>
          <w:sz w:val="24"/>
          <w:szCs w:val="24"/>
        </w:rPr>
      </w:pPr>
      <w:r>
        <w:rPr>
          <w:rFonts w:ascii="宋体" w:hAnsi="宋体" w:eastAsia="宋体" w:cs="宋体"/>
          <w:spacing w:val="-3"/>
          <w:sz w:val="24"/>
          <w:szCs w:val="24"/>
        </w:rPr>
        <w:t>按照《中华人民共和国政府采购法》及实施条例和关于印发《政府采购竞争性磋商采购方</w:t>
      </w:r>
      <w:r>
        <w:rPr>
          <w:rFonts w:ascii="宋体" w:hAnsi="宋体" w:eastAsia="宋体" w:cs="宋体"/>
          <w:sz w:val="24"/>
          <w:szCs w:val="24"/>
        </w:rPr>
        <w:t>式管理暂行办法》的通知（财库【2014】214号</w:t>
      </w:r>
      <w:r>
        <w:rPr>
          <w:rFonts w:ascii="宋体" w:hAnsi="宋体" w:eastAsia="宋体" w:cs="宋体"/>
          <w:spacing w:val="7"/>
          <w:sz w:val="24"/>
          <w:szCs w:val="24"/>
        </w:rPr>
        <w:t>），</w:t>
      </w:r>
      <w:r>
        <w:rPr>
          <w:rFonts w:ascii="宋体" w:hAnsi="宋体" w:eastAsia="宋体" w:cs="宋体"/>
          <w:sz w:val="24"/>
          <w:szCs w:val="24"/>
        </w:rPr>
        <w:t>结合采购项目特点制定本评标办法。本次</w:t>
      </w:r>
      <w:r>
        <w:rPr>
          <w:rFonts w:ascii="宋体" w:hAnsi="宋体" w:eastAsia="宋体" w:cs="宋体"/>
          <w:spacing w:val="-2"/>
          <w:sz w:val="24"/>
          <w:szCs w:val="24"/>
        </w:rPr>
        <w:t>评审采用综合评分法，即在全部满足竞争性</w:t>
      </w:r>
      <w:r>
        <w:rPr>
          <w:rFonts w:ascii="宋体" w:hAnsi="宋体" w:eastAsia="宋体" w:cs="宋体"/>
          <w:spacing w:val="-3"/>
          <w:sz w:val="24"/>
          <w:szCs w:val="24"/>
        </w:rPr>
        <w:t>磋商文件实质性要求前提下，磋商小组应当根据综</w:t>
      </w:r>
      <w:r>
        <w:rPr>
          <w:rFonts w:ascii="宋体" w:hAnsi="宋体" w:eastAsia="宋体" w:cs="宋体"/>
          <w:spacing w:val="-1"/>
          <w:sz w:val="24"/>
          <w:szCs w:val="24"/>
        </w:rPr>
        <w:t>合评分情况，按照评审得分高低顺序推荐前三名为成交候选人</w:t>
      </w:r>
    </w:p>
    <w:p w14:paraId="35044716">
      <w:pPr>
        <w:spacing w:before="1" w:line="360" w:lineRule="auto"/>
        <w:ind w:left="21" w:right="53" w:firstLine="485"/>
        <w:rPr>
          <w:rFonts w:ascii="宋体" w:hAnsi="宋体" w:eastAsia="宋体" w:cs="宋体"/>
          <w:sz w:val="24"/>
          <w:szCs w:val="24"/>
        </w:rPr>
      </w:pPr>
      <w:r>
        <w:rPr>
          <w:rFonts w:ascii="宋体" w:hAnsi="宋体" w:eastAsia="宋体" w:cs="宋体"/>
          <w:spacing w:val="-3"/>
          <w:sz w:val="24"/>
          <w:szCs w:val="24"/>
        </w:rPr>
        <w:t>14.1、为确保磋商工作公开、公平、公正，依法成立磋商小组。磋商小组由采购人及和评</w:t>
      </w:r>
      <w:r>
        <w:rPr>
          <w:rFonts w:ascii="宋体" w:hAnsi="宋体" w:eastAsia="宋体" w:cs="宋体"/>
          <w:sz w:val="24"/>
          <w:szCs w:val="24"/>
        </w:rPr>
        <w:t>审专家共3人以上单数组成，其中评审专家人数不得不少于磋商小组成员总数的三分之二，评</w:t>
      </w:r>
      <w:r>
        <w:rPr>
          <w:rFonts w:ascii="宋体" w:hAnsi="宋体" w:eastAsia="宋体" w:cs="宋体"/>
          <w:spacing w:val="-1"/>
          <w:sz w:val="24"/>
          <w:szCs w:val="24"/>
        </w:rPr>
        <w:t>审专家在陕西省政府采购专家库中随机抽取产生。</w:t>
      </w:r>
    </w:p>
    <w:p w14:paraId="0AFF47AC">
      <w:pPr>
        <w:spacing w:before="1" w:line="360" w:lineRule="auto"/>
        <w:ind w:left="507"/>
        <w:rPr>
          <w:rFonts w:ascii="宋体" w:hAnsi="宋体" w:eastAsia="宋体" w:cs="宋体"/>
          <w:sz w:val="24"/>
          <w:szCs w:val="24"/>
        </w:rPr>
      </w:pPr>
      <w:r>
        <w:rPr>
          <w:rFonts w:ascii="宋体" w:hAnsi="宋体" w:eastAsia="宋体" w:cs="宋体"/>
          <w:spacing w:val="-1"/>
          <w:sz w:val="24"/>
          <w:szCs w:val="24"/>
        </w:rPr>
        <w:t>14.2、磋商小组负责具体评审事务，并独立履行下列职责：</w:t>
      </w:r>
    </w:p>
    <w:p w14:paraId="29BA7283">
      <w:pPr>
        <w:spacing w:before="153" w:line="360" w:lineRule="auto"/>
        <w:ind w:left="12" w:right="53" w:firstLine="488"/>
        <w:rPr>
          <w:rFonts w:ascii="宋体" w:hAnsi="宋体" w:eastAsia="宋体" w:cs="宋体"/>
          <w:sz w:val="24"/>
          <w:szCs w:val="24"/>
        </w:rPr>
      </w:pPr>
      <w:r>
        <w:rPr>
          <w:rFonts w:ascii="宋体" w:hAnsi="宋体" w:eastAsia="宋体" w:cs="宋体"/>
          <w:sz w:val="24"/>
          <w:szCs w:val="24"/>
        </w:rPr>
        <w:t>（1）遵纪守法，客观、公正、廉洁地履行职责，审查竞争性磋商响应文件是否符合竞争</w:t>
      </w:r>
      <w:r>
        <w:rPr>
          <w:rFonts w:ascii="宋体" w:hAnsi="宋体" w:eastAsia="宋体" w:cs="宋体"/>
          <w:spacing w:val="-1"/>
          <w:sz w:val="24"/>
          <w:szCs w:val="24"/>
        </w:rPr>
        <w:t>性磋商文件的要求，并做出评价；</w:t>
      </w:r>
    </w:p>
    <w:p w14:paraId="3ECA03A1">
      <w:pPr>
        <w:spacing w:before="1" w:line="360" w:lineRule="auto"/>
        <w:ind w:left="500"/>
        <w:rPr>
          <w:rFonts w:ascii="宋体" w:hAnsi="宋体" w:eastAsia="宋体" w:cs="宋体"/>
          <w:sz w:val="24"/>
          <w:szCs w:val="24"/>
        </w:rPr>
      </w:pPr>
      <w:r>
        <w:rPr>
          <w:rFonts w:ascii="宋体" w:hAnsi="宋体" w:eastAsia="宋体" w:cs="宋体"/>
          <w:spacing w:val="-1"/>
          <w:sz w:val="24"/>
          <w:szCs w:val="24"/>
        </w:rPr>
        <w:t>（2）要求供应商对竞争性磋商响应文件有关事项作出解释或者澄清；</w:t>
      </w:r>
    </w:p>
    <w:p w14:paraId="30212995">
      <w:pPr>
        <w:spacing w:before="154" w:line="360" w:lineRule="auto"/>
        <w:ind w:left="15" w:right="53" w:firstLine="485"/>
        <w:rPr>
          <w:rFonts w:ascii="宋体" w:hAnsi="宋体" w:eastAsia="宋体" w:cs="宋体"/>
          <w:sz w:val="24"/>
          <w:szCs w:val="24"/>
        </w:rPr>
      </w:pPr>
      <w:r>
        <w:rPr>
          <w:rFonts w:ascii="宋体" w:hAnsi="宋体" w:eastAsia="宋体" w:cs="宋体"/>
          <w:sz w:val="24"/>
          <w:szCs w:val="24"/>
        </w:rPr>
        <w:t>（3）按照竞争性磋商文件的要求和评审办法进行评审，推荐成交候选单位名单，对评审</w:t>
      </w:r>
      <w:r>
        <w:rPr>
          <w:rFonts w:ascii="宋体" w:hAnsi="宋体" w:eastAsia="宋体" w:cs="宋体"/>
          <w:spacing w:val="-2"/>
          <w:sz w:val="24"/>
          <w:szCs w:val="24"/>
        </w:rPr>
        <w:t>意见承担个人责任；</w:t>
      </w:r>
    </w:p>
    <w:p w14:paraId="40C4C9A1">
      <w:pPr>
        <w:spacing w:before="1" w:line="360" w:lineRule="auto"/>
        <w:ind w:left="500"/>
        <w:rPr>
          <w:rFonts w:ascii="宋体" w:hAnsi="宋体" w:eastAsia="宋体" w:cs="宋体"/>
          <w:sz w:val="24"/>
          <w:szCs w:val="24"/>
        </w:rPr>
      </w:pPr>
      <w:r>
        <w:rPr>
          <w:rFonts w:ascii="宋体" w:hAnsi="宋体" w:eastAsia="宋体" w:cs="宋体"/>
          <w:spacing w:val="-1"/>
          <w:sz w:val="24"/>
          <w:szCs w:val="24"/>
        </w:rPr>
        <w:t>（4）对评审过程和结果以及供应商的商业秘密保密；</w:t>
      </w:r>
    </w:p>
    <w:p w14:paraId="256762E3">
      <w:pPr>
        <w:spacing w:before="155" w:line="360" w:lineRule="auto"/>
        <w:ind w:left="500"/>
        <w:rPr>
          <w:rFonts w:ascii="宋体" w:hAnsi="宋体" w:eastAsia="宋体" w:cs="宋体"/>
          <w:sz w:val="24"/>
          <w:szCs w:val="24"/>
        </w:rPr>
      </w:pPr>
      <w:r>
        <w:rPr>
          <w:rFonts w:ascii="宋体" w:hAnsi="宋体" w:eastAsia="宋体" w:cs="宋体"/>
          <w:spacing w:val="-2"/>
          <w:sz w:val="24"/>
          <w:szCs w:val="24"/>
        </w:rPr>
        <w:t>（5）参与磋商结果报告的起草；</w:t>
      </w:r>
    </w:p>
    <w:p w14:paraId="32754139">
      <w:pPr>
        <w:spacing w:before="155" w:line="360" w:lineRule="auto"/>
        <w:ind w:left="500"/>
        <w:rPr>
          <w:rFonts w:ascii="宋体" w:hAnsi="宋体" w:eastAsia="宋体" w:cs="宋体"/>
          <w:sz w:val="24"/>
          <w:szCs w:val="24"/>
        </w:rPr>
      </w:pPr>
      <w:r>
        <w:rPr>
          <w:rFonts w:ascii="宋体" w:hAnsi="宋体" w:eastAsia="宋体" w:cs="宋体"/>
          <w:spacing w:val="-1"/>
          <w:sz w:val="24"/>
          <w:szCs w:val="24"/>
        </w:rPr>
        <w:t>（6）配合采购代理机构答复供应商提出的质疑；</w:t>
      </w:r>
    </w:p>
    <w:p w14:paraId="3270C5E7">
      <w:pPr>
        <w:spacing w:before="158" w:line="360" w:lineRule="auto"/>
        <w:ind w:left="500"/>
        <w:rPr>
          <w:rFonts w:ascii="宋体" w:hAnsi="宋体" w:eastAsia="宋体" w:cs="宋体"/>
          <w:sz w:val="24"/>
          <w:szCs w:val="24"/>
        </w:rPr>
      </w:pPr>
      <w:r>
        <w:rPr>
          <w:rFonts w:ascii="宋体" w:hAnsi="宋体" w:eastAsia="宋体" w:cs="宋体"/>
          <w:spacing w:val="-2"/>
          <w:sz w:val="24"/>
          <w:szCs w:val="24"/>
        </w:rPr>
        <w:t>（7）配合财政部门的投诉处理工作；</w:t>
      </w:r>
    </w:p>
    <w:p w14:paraId="25A60732">
      <w:pPr>
        <w:spacing w:before="154" w:line="360" w:lineRule="auto"/>
        <w:ind w:left="500"/>
        <w:rPr>
          <w:rFonts w:ascii="宋体" w:hAnsi="宋体" w:eastAsia="宋体" w:cs="宋体"/>
          <w:sz w:val="24"/>
          <w:szCs w:val="24"/>
        </w:rPr>
      </w:pPr>
      <w:r>
        <w:rPr>
          <w:rFonts w:ascii="宋体" w:hAnsi="宋体" w:eastAsia="宋体" w:cs="宋体"/>
          <w:spacing w:val="-1"/>
          <w:sz w:val="24"/>
          <w:szCs w:val="24"/>
        </w:rPr>
        <w:t>（8）依据政府采购法有关精神，有权对磋商过程中出现的一切问题做出处理决定。</w:t>
      </w:r>
    </w:p>
    <w:p w14:paraId="28A7C7F6">
      <w:pPr>
        <w:spacing w:before="154" w:line="360" w:lineRule="auto"/>
        <w:ind w:left="9" w:right="18" w:firstLine="497"/>
        <w:rPr>
          <w:rFonts w:ascii="宋体" w:hAnsi="宋体" w:eastAsia="宋体" w:cs="宋体"/>
          <w:sz w:val="24"/>
          <w:szCs w:val="24"/>
        </w:rPr>
      </w:pPr>
      <w:r>
        <w:rPr>
          <w:rFonts w:ascii="宋体" w:hAnsi="宋体" w:eastAsia="宋体" w:cs="宋体"/>
          <w:spacing w:val="-2"/>
          <w:sz w:val="24"/>
          <w:szCs w:val="24"/>
        </w:rPr>
        <w:t>14.3、磋商小组在评审过程中发现供应商有行贿、提供虚假材料或者串通等违</w:t>
      </w:r>
      <w:r>
        <w:rPr>
          <w:rFonts w:ascii="宋体" w:hAnsi="宋体" w:eastAsia="宋体" w:cs="宋体"/>
          <w:spacing w:val="-3"/>
          <w:sz w:val="24"/>
          <w:szCs w:val="24"/>
        </w:rPr>
        <w:t>法行为的，</w:t>
      </w:r>
      <w:r>
        <w:rPr>
          <w:rFonts w:ascii="宋体" w:hAnsi="宋体" w:eastAsia="宋体" w:cs="宋体"/>
          <w:spacing w:val="-1"/>
          <w:sz w:val="24"/>
          <w:szCs w:val="24"/>
        </w:rPr>
        <w:t>应当及时向财政部门报告。</w:t>
      </w:r>
    </w:p>
    <w:p w14:paraId="41594B67">
      <w:pPr>
        <w:spacing w:before="1" w:line="360" w:lineRule="auto"/>
        <w:ind w:left="507"/>
        <w:rPr>
          <w:rFonts w:ascii="宋体" w:hAnsi="宋体" w:eastAsia="宋体" w:cs="宋体"/>
          <w:sz w:val="24"/>
          <w:szCs w:val="24"/>
        </w:rPr>
      </w:pPr>
      <w:r>
        <w:rPr>
          <w:rFonts w:ascii="宋体" w:hAnsi="宋体" w:eastAsia="宋体" w:cs="宋体"/>
          <w:spacing w:val="-1"/>
          <w:sz w:val="24"/>
          <w:szCs w:val="24"/>
        </w:rPr>
        <w:t>14.4、磋商小组在评审过程中收到非法干涉的，应当及时向财政、监察等部门举报。</w:t>
      </w:r>
    </w:p>
    <w:p w14:paraId="564A4493">
      <w:pPr>
        <w:spacing w:before="154" w:line="360" w:lineRule="auto"/>
        <w:ind w:left="8" w:right="53" w:firstLine="498"/>
        <w:rPr>
          <w:rFonts w:ascii="宋体" w:hAnsi="宋体" w:eastAsia="宋体" w:cs="宋体"/>
          <w:sz w:val="24"/>
          <w:szCs w:val="24"/>
        </w:rPr>
      </w:pPr>
      <w:r>
        <w:rPr>
          <w:rFonts w:ascii="宋体" w:hAnsi="宋体" w:eastAsia="宋体" w:cs="宋体"/>
          <w:spacing w:val="-3"/>
          <w:sz w:val="24"/>
          <w:szCs w:val="24"/>
        </w:rPr>
        <w:t>14.5、磋商小组成员应当按照客观、公正、审慎的原则，根据竞争性磋商文件规定的评审</w:t>
      </w:r>
      <w:r>
        <w:rPr>
          <w:rFonts w:ascii="宋体" w:hAnsi="宋体" w:eastAsia="宋体" w:cs="宋体"/>
          <w:spacing w:val="-1"/>
          <w:sz w:val="24"/>
          <w:szCs w:val="24"/>
        </w:rPr>
        <w:t>程序、评审方法和评审标准进行独立评审。</w:t>
      </w:r>
    </w:p>
    <w:p w14:paraId="4085678F">
      <w:pPr>
        <w:spacing w:before="1" w:line="360" w:lineRule="auto"/>
        <w:ind w:left="507"/>
        <w:rPr>
          <w:rFonts w:ascii="宋体" w:hAnsi="宋体" w:eastAsia="宋体" w:cs="宋体"/>
          <w:sz w:val="24"/>
          <w:szCs w:val="24"/>
        </w:rPr>
      </w:pPr>
      <w:r>
        <w:rPr>
          <w:rFonts w:ascii="宋体" w:hAnsi="宋体" w:eastAsia="宋体" w:cs="宋体"/>
          <w:b/>
          <w:bCs/>
          <w:spacing w:val="-5"/>
          <w:sz w:val="24"/>
          <w:szCs w:val="24"/>
        </w:rPr>
        <w:t>15、磋商小组的职能：</w:t>
      </w:r>
    </w:p>
    <w:p w14:paraId="3EBAC69C">
      <w:pPr>
        <w:spacing w:before="152" w:line="360" w:lineRule="auto"/>
        <w:ind w:left="507"/>
        <w:rPr>
          <w:rFonts w:ascii="宋体" w:hAnsi="宋体" w:eastAsia="宋体" w:cs="宋体"/>
          <w:spacing w:val="-2"/>
          <w:sz w:val="24"/>
          <w:szCs w:val="24"/>
        </w:rPr>
      </w:pPr>
      <w:r>
        <w:rPr>
          <w:rFonts w:ascii="宋体" w:hAnsi="宋体" w:eastAsia="宋体" w:cs="宋体"/>
          <w:spacing w:val="-2"/>
          <w:sz w:val="24"/>
          <w:szCs w:val="24"/>
        </w:rPr>
        <w:t>15.1、对供应商进行符合性审查及详细评审；</w:t>
      </w:r>
    </w:p>
    <w:p w14:paraId="0772DF7D">
      <w:pPr>
        <w:spacing w:before="152" w:line="360" w:lineRule="auto"/>
        <w:ind w:left="507"/>
        <w:rPr>
          <w:rFonts w:ascii="宋体" w:hAnsi="宋体" w:eastAsia="宋体" w:cs="宋体"/>
          <w:sz w:val="24"/>
          <w:szCs w:val="24"/>
        </w:rPr>
      </w:pPr>
      <w:r>
        <w:rPr>
          <w:rFonts w:ascii="宋体" w:hAnsi="宋体" w:eastAsia="宋体" w:cs="宋体"/>
          <w:spacing w:val="-2"/>
          <w:sz w:val="24"/>
          <w:szCs w:val="24"/>
        </w:rPr>
        <w:t>15.2、与各供应商就竞争性磋商响应文件（含澄清、说明或补正的内容）中的服务要求、</w:t>
      </w:r>
      <w:r>
        <w:rPr>
          <w:rFonts w:ascii="宋体" w:hAnsi="宋体" w:eastAsia="宋体" w:cs="宋体"/>
          <w:spacing w:val="-1"/>
          <w:sz w:val="24"/>
          <w:szCs w:val="24"/>
        </w:rPr>
        <w:t>实施方案、磋商报价、同类业绩、商务响应等进行磋商；</w:t>
      </w:r>
    </w:p>
    <w:p w14:paraId="350F69AC">
      <w:pPr>
        <w:spacing w:before="155" w:line="360" w:lineRule="auto"/>
        <w:ind w:left="507"/>
        <w:rPr>
          <w:rFonts w:ascii="宋体" w:hAnsi="宋体" w:eastAsia="宋体" w:cs="宋体"/>
          <w:sz w:val="24"/>
          <w:szCs w:val="24"/>
        </w:rPr>
      </w:pPr>
      <w:r>
        <w:rPr>
          <w:rFonts w:ascii="宋体" w:hAnsi="宋体" w:eastAsia="宋体" w:cs="宋体"/>
          <w:spacing w:val="-1"/>
          <w:sz w:val="24"/>
          <w:szCs w:val="24"/>
        </w:rPr>
        <w:t>15.3、依据竞争性磋商文件，并视投标情况，确定进入最终评审的供应商；</w:t>
      </w:r>
    </w:p>
    <w:p w14:paraId="00559EF9">
      <w:pPr>
        <w:spacing w:before="154" w:line="360" w:lineRule="auto"/>
        <w:ind w:left="507"/>
        <w:rPr>
          <w:rFonts w:ascii="宋体" w:hAnsi="宋体" w:eastAsia="宋体" w:cs="宋体"/>
          <w:sz w:val="24"/>
          <w:szCs w:val="24"/>
        </w:rPr>
      </w:pPr>
      <w:r>
        <w:rPr>
          <w:rFonts w:ascii="宋体" w:hAnsi="宋体" w:eastAsia="宋体" w:cs="宋体"/>
          <w:spacing w:val="-2"/>
          <w:sz w:val="24"/>
          <w:szCs w:val="24"/>
        </w:rPr>
        <w:t>15.4、排序推荐侯选成交供应商；</w:t>
      </w:r>
    </w:p>
    <w:p w14:paraId="1AABC101">
      <w:pPr>
        <w:spacing w:before="157" w:line="360" w:lineRule="auto"/>
        <w:ind w:left="507"/>
        <w:rPr>
          <w:rFonts w:ascii="宋体" w:hAnsi="宋体" w:eastAsia="宋体" w:cs="宋体"/>
          <w:sz w:val="24"/>
          <w:szCs w:val="24"/>
        </w:rPr>
      </w:pPr>
      <w:r>
        <w:rPr>
          <w:rFonts w:ascii="宋体" w:hAnsi="宋体" w:eastAsia="宋体" w:cs="宋体"/>
          <w:spacing w:val="-1"/>
          <w:sz w:val="24"/>
          <w:szCs w:val="24"/>
        </w:rPr>
        <w:t>15.5、处理评审过程中出现的异议、澄清等其它相关问题，出具书面评标报告。</w:t>
      </w:r>
    </w:p>
    <w:p w14:paraId="395FA08E">
      <w:pPr>
        <w:spacing w:before="156" w:line="360" w:lineRule="auto"/>
        <w:ind w:left="507"/>
        <w:rPr>
          <w:rFonts w:ascii="宋体" w:hAnsi="宋体" w:eastAsia="宋体" w:cs="宋体"/>
          <w:sz w:val="24"/>
          <w:szCs w:val="24"/>
        </w:rPr>
      </w:pPr>
      <w:r>
        <w:rPr>
          <w:rFonts w:ascii="宋体" w:hAnsi="宋体" w:eastAsia="宋体" w:cs="宋体"/>
          <w:b/>
          <w:bCs/>
          <w:spacing w:val="-4"/>
          <w:sz w:val="24"/>
          <w:szCs w:val="24"/>
        </w:rPr>
        <w:t>16、磋商小组及其成员不得有下列行为：</w:t>
      </w:r>
    </w:p>
    <w:p w14:paraId="1147BDDE">
      <w:pPr>
        <w:spacing w:before="153" w:line="360" w:lineRule="auto"/>
        <w:ind w:left="507"/>
        <w:rPr>
          <w:rFonts w:ascii="宋体" w:hAnsi="宋体" w:eastAsia="宋体" w:cs="宋体"/>
          <w:sz w:val="24"/>
          <w:szCs w:val="24"/>
        </w:rPr>
      </w:pPr>
      <w:r>
        <w:rPr>
          <w:rFonts w:ascii="宋体" w:hAnsi="宋体" w:eastAsia="宋体" w:cs="宋体"/>
          <w:spacing w:val="-1"/>
          <w:sz w:val="24"/>
          <w:szCs w:val="24"/>
        </w:rPr>
        <w:t>16.1、确定参与评审至评审结束前私自接触</w:t>
      </w:r>
      <w:r>
        <w:rPr>
          <w:rFonts w:ascii="宋体" w:hAnsi="宋体" w:eastAsia="宋体" w:cs="宋体"/>
          <w:spacing w:val="-2"/>
          <w:sz w:val="24"/>
          <w:szCs w:val="24"/>
        </w:rPr>
        <w:t>供应商；</w:t>
      </w:r>
    </w:p>
    <w:p w14:paraId="24C86704">
      <w:pPr>
        <w:spacing w:before="157" w:line="360" w:lineRule="auto"/>
        <w:ind w:left="9" w:firstLine="497"/>
        <w:rPr>
          <w:rFonts w:ascii="宋体" w:hAnsi="宋体" w:eastAsia="宋体" w:cs="宋体"/>
          <w:sz w:val="24"/>
          <w:szCs w:val="24"/>
        </w:rPr>
      </w:pPr>
      <w:r>
        <w:rPr>
          <w:rFonts w:ascii="宋体" w:hAnsi="宋体" w:eastAsia="宋体" w:cs="宋体"/>
          <w:spacing w:val="-3"/>
          <w:sz w:val="24"/>
          <w:szCs w:val="24"/>
        </w:rPr>
        <w:t>16.2、接受供应商提出的与竞争性磋商响应文件不一致的澄清或者说明，财政部第87号令</w:t>
      </w:r>
      <w:r>
        <w:rPr>
          <w:rFonts w:ascii="宋体" w:hAnsi="宋体" w:eastAsia="宋体" w:cs="宋体"/>
          <w:spacing w:val="-1"/>
          <w:sz w:val="24"/>
          <w:szCs w:val="24"/>
        </w:rPr>
        <w:t>第五十一条规定的情形除外；</w:t>
      </w:r>
    </w:p>
    <w:p w14:paraId="7CEFFE29">
      <w:pPr>
        <w:spacing w:before="1" w:line="360" w:lineRule="auto"/>
        <w:ind w:left="507"/>
        <w:rPr>
          <w:rFonts w:ascii="宋体" w:hAnsi="宋体" w:eastAsia="宋体" w:cs="宋体"/>
          <w:sz w:val="24"/>
          <w:szCs w:val="24"/>
        </w:rPr>
      </w:pPr>
      <w:r>
        <w:rPr>
          <w:rFonts w:ascii="宋体" w:hAnsi="宋体" w:eastAsia="宋体" w:cs="宋体"/>
          <w:spacing w:val="-1"/>
          <w:sz w:val="24"/>
          <w:szCs w:val="24"/>
        </w:rPr>
        <w:t>16.3、违反评审纪律发表倾向性意见或者征询采购人的倾向性意见；</w:t>
      </w:r>
    </w:p>
    <w:p w14:paraId="4074D37B">
      <w:pPr>
        <w:spacing w:before="158" w:line="360" w:lineRule="auto"/>
        <w:ind w:left="507"/>
        <w:rPr>
          <w:rFonts w:ascii="宋体" w:hAnsi="宋体" w:eastAsia="宋体" w:cs="宋体"/>
          <w:sz w:val="24"/>
          <w:szCs w:val="24"/>
        </w:rPr>
      </w:pPr>
      <w:r>
        <w:rPr>
          <w:rFonts w:ascii="宋体" w:hAnsi="宋体" w:eastAsia="宋体" w:cs="宋体"/>
          <w:spacing w:val="-1"/>
          <w:sz w:val="24"/>
          <w:szCs w:val="24"/>
        </w:rPr>
        <w:t>16.4、对需要专业判断的主观评审因素</w:t>
      </w:r>
      <w:r>
        <w:rPr>
          <w:rFonts w:ascii="宋体" w:hAnsi="宋体" w:eastAsia="宋体" w:cs="宋体"/>
          <w:spacing w:val="-2"/>
          <w:sz w:val="24"/>
          <w:szCs w:val="24"/>
        </w:rPr>
        <w:t>协商评分；</w:t>
      </w:r>
    </w:p>
    <w:p w14:paraId="7A540CD3">
      <w:pPr>
        <w:spacing w:before="154" w:line="360" w:lineRule="auto"/>
        <w:ind w:left="507"/>
        <w:rPr>
          <w:rFonts w:ascii="宋体" w:hAnsi="宋体" w:eastAsia="宋体" w:cs="宋体"/>
          <w:sz w:val="24"/>
          <w:szCs w:val="24"/>
        </w:rPr>
      </w:pPr>
      <w:r>
        <w:rPr>
          <w:rFonts w:ascii="宋体" w:hAnsi="宋体" w:eastAsia="宋体" w:cs="宋体"/>
          <w:spacing w:val="-1"/>
          <w:sz w:val="24"/>
          <w:szCs w:val="24"/>
        </w:rPr>
        <w:t>16.5、在评审过程中擅离职守，影响评审程序正常进行的；</w:t>
      </w:r>
    </w:p>
    <w:p w14:paraId="2DE64784">
      <w:pPr>
        <w:spacing w:before="153" w:line="360" w:lineRule="auto"/>
        <w:ind w:left="507"/>
        <w:rPr>
          <w:rFonts w:ascii="宋体" w:hAnsi="宋体" w:eastAsia="宋体" w:cs="宋体"/>
          <w:sz w:val="24"/>
          <w:szCs w:val="24"/>
        </w:rPr>
      </w:pPr>
      <w:r>
        <w:rPr>
          <w:rFonts w:ascii="宋体" w:hAnsi="宋体" w:eastAsia="宋体" w:cs="宋体"/>
          <w:spacing w:val="-2"/>
          <w:sz w:val="24"/>
          <w:szCs w:val="24"/>
        </w:rPr>
        <w:t>16.6、记录、复制或者带走任何评审资料；</w:t>
      </w:r>
    </w:p>
    <w:p w14:paraId="0E32EA8F">
      <w:pPr>
        <w:spacing w:before="157" w:line="360" w:lineRule="auto"/>
        <w:ind w:left="507"/>
        <w:rPr>
          <w:rFonts w:ascii="宋体" w:hAnsi="宋体" w:eastAsia="宋体" w:cs="宋体"/>
          <w:sz w:val="24"/>
          <w:szCs w:val="24"/>
        </w:rPr>
      </w:pPr>
      <w:r>
        <w:rPr>
          <w:rFonts w:ascii="宋体" w:hAnsi="宋体" w:eastAsia="宋体" w:cs="宋体"/>
          <w:spacing w:val="-2"/>
          <w:sz w:val="24"/>
          <w:szCs w:val="24"/>
        </w:rPr>
        <w:t>16.7、其他不遵守评审纪律的行为。</w:t>
      </w:r>
    </w:p>
    <w:p w14:paraId="4BDC2602">
      <w:pPr>
        <w:spacing w:before="155" w:line="360" w:lineRule="auto"/>
        <w:ind w:left="9" w:firstLine="479"/>
        <w:rPr>
          <w:rFonts w:ascii="宋体" w:hAnsi="宋体" w:eastAsia="宋体" w:cs="宋体"/>
          <w:sz w:val="24"/>
          <w:szCs w:val="24"/>
        </w:rPr>
      </w:pPr>
      <w:r>
        <w:rPr>
          <w:rFonts w:ascii="宋体" w:hAnsi="宋体" w:eastAsia="宋体" w:cs="宋体"/>
          <w:spacing w:val="-3"/>
          <w:sz w:val="24"/>
          <w:szCs w:val="24"/>
        </w:rPr>
        <w:t>磋商小组成员有前七项行为之一的，其评审意见无效，并不得获取评审劳务报酬和报销异</w:t>
      </w:r>
      <w:r>
        <w:rPr>
          <w:rFonts w:ascii="宋体" w:hAnsi="宋体" w:eastAsia="宋体" w:cs="宋体"/>
          <w:spacing w:val="-2"/>
          <w:sz w:val="24"/>
          <w:szCs w:val="24"/>
        </w:rPr>
        <w:t>地评审差旅费。</w:t>
      </w:r>
    </w:p>
    <w:p w14:paraId="384A4B56">
      <w:pPr>
        <w:spacing w:before="1" w:line="360" w:lineRule="auto"/>
        <w:ind w:left="4321"/>
        <w:rPr>
          <w:rFonts w:ascii="宋体" w:hAnsi="宋体" w:eastAsia="宋体" w:cs="宋体"/>
          <w:sz w:val="28"/>
          <w:szCs w:val="28"/>
        </w:rPr>
      </w:pPr>
      <w:r>
        <w:rPr>
          <w:rFonts w:ascii="宋体" w:hAnsi="宋体" w:eastAsia="宋体" w:cs="宋体"/>
          <w:b/>
          <w:bCs/>
          <w:spacing w:val="-4"/>
          <w:sz w:val="28"/>
          <w:szCs w:val="28"/>
        </w:rPr>
        <w:t>六、确定中标</w:t>
      </w:r>
    </w:p>
    <w:p w14:paraId="06D23BE8">
      <w:pPr>
        <w:spacing w:before="140" w:line="360" w:lineRule="auto"/>
        <w:ind w:left="507"/>
        <w:rPr>
          <w:rFonts w:ascii="宋体" w:hAnsi="宋体" w:eastAsia="宋体" w:cs="宋体"/>
          <w:sz w:val="24"/>
          <w:szCs w:val="24"/>
        </w:rPr>
      </w:pPr>
      <w:r>
        <w:rPr>
          <w:rFonts w:ascii="宋体" w:hAnsi="宋体" w:eastAsia="宋体" w:cs="宋体"/>
          <w:b/>
          <w:bCs/>
          <w:spacing w:val="-7"/>
          <w:sz w:val="24"/>
          <w:szCs w:val="24"/>
        </w:rPr>
        <w:t>1、成交程序</w:t>
      </w:r>
    </w:p>
    <w:p w14:paraId="559EC918">
      <w:pPr>
        <w:spacing w:before="155" w:line="360" w:lineRule="auto"/>
        <w:ind w:left="12" w:firstLine="494"/>
        <w:rPr>
          <w:rFonts w:ascii="宋体" w:hAnsi="宋体" w:eastAsia="宋体" w:cs="宋体"/>
          <w:sz w:val="24"/>
          <w:szCs w:val="24"/>
        </w:rPr>
      </w:pPr>
      <w:r>
        <w:rPr>
          <w:rFonts w:ascii="宋体" w:hAnsi="宋体" w:eastAsia="宋体" w:cs="宋体"/>
          <w:sz w:val="24"/>
          <w:szCs w:val="24"/>
        </w:rPr>
        <w:t>1.1、磋商小组根据评审方法的规定对供应商进行评审排序，推荐前三名成交候选人</w:t>
      </w:r>
      <w:r>
        <w:rPr>
          <w:rFonts w:ascii="宋体" w:hAnsi="宋体" w:eastAsia="宋体" w:cs="宋体"/>
          <w:spacing w:val="-1"/>
          <w:sz w:val="24"/>
          <w:szCs w:val="24"/>
        </w:rPr>
        <w:t>，作</w:t>
      </w:r>
      <w:r>
        <w:rPr>
          <w:rFonts w:ascii="宋体" w:hAnsi="宋体" w:eastAsia="宋体" w:cs="宋体"/>
          <w:spacing w:val="-3"/>
          <w:sz w:val="24"/>
          <w:szCs w:val="24"/>
        </w:rPr>
        <w:t>为评审结果。采购人也可以授权磋商小组评审后直接确定成交供应商。评审结果由全体磋商小</w:t>
      </w:r>
      <w:r>
        <w:rPr>
          <w:rFonts w:ascii="宋体" w:hAnsi="宋体" w:eastAsia="宋体" w:cs="宋体"/>
          <w:spacing w:val="-2"/>
          <w:sz w:val="24"/>
          <w:szCs w:val="24"/>
        </w:rPr>
        <w:t>组成员签字确认。</w:t>
      </w:r>
    </w:p>
    <w:p w14:paraId="1BCAB98D">
      <w:pPr>
        <w:spacing w:before="1" w:line="360" w:lineRule="auto"/>
        <w:ind w:left="507"/>
        <w:rPr>
          <w:rFonts w:ascii="宋体" w:hAnsi="宋体" w:eastAsia="宋体" w:cs="宋体"/>
          <w:sz w:val="24"/>
          <w:szCs w:val="24"/>
        </w:rPr>
      </w:pPr>
      <w:r>
        <w:rPr>
          <w:rFonts w:ascii="宋体" w:hAnsi="宋体" w:eastAsia="宋体" w:cs="宋体"/>
          <w:spacing w:val="-1"/>
          <w:sz w:val="24"/>
          <w:szCs w:val="24"/>
        </w:rPr>
        <w:t>1.2、采购代理机构在磋商结束后2个工作日内磋商报告送采购人。</w:t>
      </w:r>
    </w:p>
    <w:p w14:paraId="6CEC3CDB">
      <w:pPr>
        <w:spacing w:before="158" w:line="360" w:lineRule="auto"/>
        <w:ind w:left="13" w:firstLine="493"/>
        <w:rPr>
          <w:rFonts w:ascii="宋体" w:hAnsi="宋体" w:eastAsia="宋体" w:cs="宋体"/>
          <w:sz w:val="24"/>
          <w:szCs w:val="24"/>
        </w:rPr>
      </w:pPr>
      <w:r>
        <w:rPr>
          <w:rFonts w:ascii="宋体" w:hAnsi="宋体" w:eastAsia="宋体" w:cs="宋体"/>
          <w:spacing w:val="-3"/>
          <w:sz w:val="24"/>
          <w:szCs w:val="24"/>
        </w:rPr>
        <w:t>1.3、采购人在收到磋商报告后5个工作日内，按照磋商报告中推荐的成交候选人顺序和有</w:t>
      </w:r>
      <w:r>
        <w:rPr>
          <w:rFonts w:ascii="宋体" w:hAnsi="宋体" w:eastAsia="宋体" w:cs="宋体"/>
          <w:spacing w:val="-1"/>
          <w:sz w:val="24"/>
          <w:szCs w:val="24"/>
        </w:rPr>
        <w:t>关规定确定成交供应商。同时，复函采购代理机构。</w:t>
      </w:r>
    </w:p>
    <w:p w14:paraId="17282609">
      <w:pPr>
        <w:spacing w:line="360" w:lineRule="auto"/>
        <w:ind w:left="8" w:firstLine="498"/>
        <w:rPr>
          <w:rFonts w:ascii="宋体" w:hAnsi="宋体" w:eastAsia="宋体" w:cs="宋体"/>
          <w:sz w:val="24"/>
          <w:szCs w:val="24"/>
        </w:rPr>
      </w:pPr>
      <w:r>
        <w:rPr>
          <w:rFonts w:ascii="宋体" w:hAnsi="宋体" w:eastAsia="宋体" w:cs="宋体"/>
          <w:spacing w:val="-4"/>
          <w:sz w:val="24"/>
          <w:szCs w:val="24"/>
        </w:rPr>
        <w:t>1.4、采购代理机构在接到采购人“成交复函”之日起2个工作日内，根据采购人确定的成</w:t>
      </w:r>
      <w:r>
        <w:rPr>
          <w:rFonts w:ascii="宋体" w:hAnsi="宋体" w:eastAsia="宋体" w:cs="宋体"/>
          <w:sz w:val="24"/>
          <w:szCs w:val="24"/>
        </w:rPr>
        <w:t>交供应商，在【</w:t>
      </w:r>
      <w:r>
        <w:fldChar w:fldCharType="begin"/>
      </w:r>
      <w:r>
        <w:instrText xml:space="preserve"> HYPERLINK "http://www.ccgp-shaanxi.gov.cn" </w:instrText>
      </w:r>
      <w:r>
        <w:fldChar w:fldCharType="separate"/>
      </w:r>
      <w:r>
        <w:rPr>
          <w:rFonts w:ascii="宋体" w:hAnsi="宋体" w:eastAsia="宋体" w:cs="宋体"/>
          <w:sz w:val="24"/>
          <w:szCs w:val="24"/>
        </w:rPr>
        <w:t>陕西省政府采购网</w:t>
      </w:r>
      <w:r>
        <w:rPr>
          <w:rFonts w:ascii="宋体" w:hAnsi="宋体" w:eastAsia="宋体" w:cs="宋体"/>
          <w:sz w:val="24"/>
          <w:szCs w:val="24"/>
        </w:rPr>
        <w:fldChar w:fldCharType="end"/>
      </w:r>
      <w:r>
        <w:rPr>
          <w:rFonts w:ascii="宋体" w:hAnsi="宋体" w:eastAsia="宋体" w:cs="宋体"/>
          <w:sz w:val="24"/>
          <w:szCs w:val="24"/>
        </w:rPr>
        <w:t>】（</w:t>
      </w:r>
      <w:r>
        <w:fldChar w:fldCharType="begin"/>
      </w:r>
      <w:r>
        <w:instrText xml:space="preserve"> HYPERLINK "http://www.ccgp-shaanxi.gov.cn/" </w:instrText>
      </w:r>
      <w:r>
        <w:fldChar w:fldCharType="separate"/>
      </w:r>
      <w:r>
        <w:rPr>
          <w:rFonts w:ascii="宋体" w:hAnsi="宋体" w:eastAsia="宋体" w:cs="宋体"/>
          <w:sz w:val="24"/>
          <w:szCs w:val="24"/>
        </w:rPr>
        <w:t>http://www.ccgp-shaanxi.gov.cn/</w:t>
      </w:r>
      <w:r>
        <w:rPr>
          <w:rFonts w:ascii="宋体" w:hAnsi="宋体" w:eastAsia="宋体" w:cs="宋体"/>
          <w:sz w:val="24"/>
          <w:szCs w:val="24"/>
        </w:rPr>
        <w:fldChar w:fldCharType="end"/>
      </w:r>
      <w:r>
        <w:rPr>
          <w:rFonts w:ascii="宋体" w:hAnsi="宋体" w:eastAsia="宋体" w:cs="宋体"/>
          <w:sz w:val="24"/>
          <w:szCs w:val="24"/>
        </w:rPr>
        <w:t>）和【全国公共资源交易平台（陕西省·杨凌示范区）】（</w:t>
      </w:r>
      <w:r>
        <w:fldChar w:fldCharType="begin"/>
      </w:r>
      <w:r>
        <w:instrText xml:space="preserve"> HYPERLINK "http://yangl.sxggzyjy.cn/" </w:instrText>
      </w:r>
      <w:r>
        <w:fldChar w:fldCharType="separate"/>
      </w:r>
      <w:r>
        <w:rPr>
          <w:rFonts w:ascii="宋体" w:hAnsi="宋体" w:eastAsia="宋体" w:cs="宋体"/>
          <w:sz w:val="24"/>
          <w:szCs w:val="24"/>
        </w:rPr>
        <w:t>http://yangl.sxggzyjy.cn/</w:t>
      </w:r>
      <w:r>
        <w:rPr>
          <w:rFonts w:ascii="宋体" w:hAnsi="宋体" w:eastAsia="宋体" w:cs="宋体"/>
          <w:sz w:val="24"/>
          <w:szCs w:val="24"/>
        </w:rPr>
        <w:fldChar w:fldCharType="end"/>
      </w:r>
      <w:r>
        <w:rPr>
          <w:rFonts w:ascii="宋体" w:hAnsi="宋体" w:eastAsia="宋体" w:cs="宋体"/>
          <w:sz w:val="24"/>
          <w:szCs w:val="24"/>
        </w:rPr>
        <w:t>）上公布成交结果。中</w:t>
      </w:r>
      <w:r>
        <w:rPr>
          <w:rFonts w:ascii="宋体" w:hAnsi="宋体" w:eastAsia="宋体" w:cs="宋体"/>
          <w:spacing w:val="-1"/>
          <w:sz w:val="24"/>
          <w:szCs w:val="24"/>
        </w:rPr>
        <w:t>标公告期限为1个工作日。</w:t>
      </w:r>
    </w:p>
    <w:p w14:paraId="7D7885B1">
      <w:pPr>
        <w:spacing w:before="94" w:line="360" w:lineRule="auto"/>
        <w:ind w:left="15" w:firstLine="492"/>
        <w:rPr>
          <w:rFonts w:ascii="宋体" w:hAnsi="宋体" w:eastAsia="宋体" w:cs="宋体"/>
          <w:spacing w:val="-1"/>
          <w:sz w:val="24"/>
          <w:szCs w:val="24"/>
        </w:rPr>
      </w:pPr>
      <w:r>
        <w:rPr>
          <w:rFonts w:ascii="宋体" w:hAnsi="宋体" w:eastAsia="宋体" w:cs="宋体"/>
          <w:spacing w:val="-2"/>
          <w:sz w:val="24"/>
          <w:szCs w:val="24"/>
        </w:rPr>
        <w:t>1.5、采用综合评分法评审的，供应商可登录【全</w:t>
      </w:r>
      <w:r>
        <w:rPr>
          <w:rFonts w:ascii="宋体" w:hAnsi="宋体" w:eastAsia="宋体" w:cs="宋体"/>
          <w:spacing w:val="-3"/>
          <w:sz w:val="24"/>
          <w:szCs w:val="24"/>
        </w:rPr>
        <w:t>国公共资源交易平台（陕西省</w:t>
      </w:r>
      <w:r>
        <w:rPr>
          <w:rFonts w:ascii="宋体" w:hAnsi="宋体" w:eastAsia="宋体" w:cs="宋体"/>
          <w:spacing w:val="-25"/>
          <w:sz w:val="24"/>
          <w:szCs w:val="24"/>
        </w:rPr>
        <w:t xml:space="preserve"> </w:t>
      </w:r>
      <w:r>
        <w:rPr>
          <w:rFonts w:ascii="宋体" w:hAnsi="宋体" w:eastAsia="宋体" w:cs="宋体"/>
          <w:spacing w:val="-3"/>
          <w:sz w:val="24"/>
          <w:szCs w:val="24"/>
        </w:rPr>
        <w:t>·杨凌示</w:t>
      </w:r>
      <w:r>
        <w:rPr>
          <w:rFonts w:ascii="宋体" w:hAnsi="宋体" w:eastAsia="宋体" w:cs="宋体"/>
          <w:spacing w:val="-8"/>
          <w:sz w:val="24"/>
          <w:szCs w:val="24"/>
        </w:rPr>
        <w:t>范区）】网站【首页-电子交易平台-企业端】，登录后切换到【我的项目】模块，</w:t>
      </w:r>
      <w:r>
        <w:rPr>
          <w:rFonts w:ascii="宋体" w:hAnsi="宋体" w:eastAsia="宋体" w:cs="宋体"/>
          <w:spacing w:val="-9"/>
          <w:sz w:val="24"/>
          <w:szCs w:val="24"/>
        </w:rPr>
        <w:t>依次点选【项</w:t>
      </w:r>
      <w:r>
        <w:rPr>
          <w:rFonts w:ascii="宋体" w:hAnsi="宋体" w:eastAsia="宋体" w:cs="宋体"/>
          <w:spacing w:val="-1"/>
          <w:sz w:val="24"/>
          <w:szCs w:val="24"/>
        </w:rPr>
        <w:t>目流程-项目管理-评标结果查看】，查看本单位的最终得分与排序。</w:t>
      </w:r>
    </w:p>
    <w:p w14:paraId="6A2C123A">
      <w:pPr>
        <w:spacing w:before="94" w:line="360" w:lineRule="auto"/>
        <w:ind w:left="15" w:firstLine="492"/>
        <w:rPr>
          <w:rFonts w:ascii="宋体" w:hAnsi="宋体" w:eastAsia="宋体" w:cs="宋体"/>
          <w:sz w:val="24"/>
          <w:szCs w:val="24"/>
        </w:rPr>
      </w:pPr>
      <w:r>
        <w:rPr>
          <w:rFonts w:ascii="宋体" w:hAnsi="宋体" w:eastAsia="宋体" w:cs="宋体"/>
          <w:sz w:val="24"/>
          <w:szCs w:val="24"/>
        </w:rPr>
        <w:t>1.6、排名第一的成交候选人放弃成交或在规定期限内未能签订合同或因不可抗力不</w:t>
      </w:r>
      <w:r>
        <w:rPr>
          <w:rFonts w:ascii="宋体" w:hAnsi="宋体" w:eastAsia="宋体" w:cs="宋体"/>
          <w:spacing w:val="-1"/>
          <w:sz w:val="24"/>
          <w:szCs w:val="24"/>
        </w:rPr>
        <w:t>能履</w:t>
      </w:r>
      <w:r>
        <w:rPr>
          <w:rFonts w:ascii="宋体" w:hAnsi="宋体" w:eastAsia="宋体" w:cs="宋体"/>
          <w:spacing w:val="-3"/>
          <w:sz w:val="24"/>
          <w:szCs w:val="24"/>
        </w:rPr>
        <w:t>行合同或被查实存在影响成交结果等违法行为等情形，不符合成交条件的，采购人可以按照磋商小组提出的成交候选人名单排序依次确定其他成交候选人为成交供应商，也可以重新组织磋</w:t>
      </w:r>
      <w:r>
        <w:rPr>
          <w:rFonts w:ascii="宋体" w:hAnsi="宋体" w:eastAsia="宋体" w:cs="宋体"/>
          <w:spacing w:val="-8"/>
          <w:sz w:val="24"/>
          <w:szCs w:val="24"/>
        </w:rPr>
        <w:t>商。</w:t>
      </w:r>
    </w:p>
    <w:p w14:paraId="07CBA373">
      <w:pPr>
        <w:spacing w:line="360" w:lineRule="auto"/>
        <w:ind w:left="507"/>
        <w:rPr>
          <w:rFonts w:ascii="宋体" w:hAnsi="宋体" w:eastAsia="宋体" w:cs="宋体"/>
          <w:sz w:val="24"/>
          <w:szCs w:val="24"/>
        </w:rPr>
      </w:pPr>
      <w:r>
        <w:rPr>
          <w:rFonts w:ascii="宋体" w:hAnsi="宋体" w:eastAsia="宋体" w:cs="宋体"/>
          <w:spacing w:val="-1"/>
          <w:sz w:val="24"/>
          <w:szCs w:val="24"/>
        </w:rPr>
        <w:t>1.7、供应商或者其他利害关系人对评审结果有异议的，应当在法律规定的时间内提出。</w:t>
      </w:r>
    </w:p>
    <w:p w14:paraId="19B5A433">
      <w:pPr>
        <w:spacing w:before="154" w:line="360" w:lineRule="auto"/>
        <w:ind w:left="492"/>
        <w:rPr>
          <w:rFonts w:ascii="宋体" w:hAnsi="宋体" w:eastAsia="宋体" w:cs="宋体"/>
          <w:sz w:val="24"/>
          <w:szCs w:val="24"/>
        </w:rPr>
      </w:pPr>
      <w:r>
        <w:rPr>
          <w:rFonts w:ascii="宋体" w:hAnsi="宋体" w:eastAsia="宋体" w:cs="宋体"/>
          <w:b/>
          <w:bCs/>
          <w:spacing w:val="-5"/>
          <w:sz w:val="24"/>
          <w:szCs w:val="24"/>
        </w:rPr>
        <w:t>2、成交通知</w:t>
      </w:r>
    </w:p>
    <w:p w14:paraId="1B6281CC">
      <w:pPr>
        <w:spacing w:before="151" w:line="360" w:lineRule="auto"/>
        <w:ind w:left="13" w:right="95" w:firstLine="479"/>
        <w:rPr>
          <w:rFonts w:ascii="宋体" w:hAnsi="宋体" w:eastAsia="宋体" w:cs="宋体"/>
          <w:sz w:val="24"/>
          <w:szCs w:val="24"/>
        </w:rPr>
      </w:pPr>
      <w:r>
        <w:rPr>
          <w:rFonts w:ascii="宋体" w:hAnsi="宋体" w:eastAsia="宋体" w:cs="宋体"/>
          <w:spacing w:val="-2"/>
          <w:sz w:val="24"/>
          <w:szCs w:val="24"/>
        </w:rPr>
        <w:t>2.1、采购代理机构向成交供应商发出《成交通知书》。</w:t>
      </w:r>
      <w:r>
        <w:rPr>
          <w:rFonts w:ascii="宋体" w:hAnsi="宋体" w:eastAsia="宋体" w:cs="宋体"/>
          <w:b/>
          <w:bCs/>
          <w:spacing w:val="-2"/>
          <w:sz w:val="24"/>
          <w:szCs w:val="24"/>
        </w:rPr>
        <w:t>成交供应商领取成交通</w:t>
      </w:r>
      <w:r>
        <w:rPr>
          <w:rFonts w:ascii="宋体" w:hAnsi="宋体" w:eastAsia="宋体" w:cs="宋体"/>
          <w:b/>
          <w:bCs/>
          <w:spacing w:val="-3"/>
          <w:sz w:val="24"/>
          <w:szCs w:val="24"/>
        </w:rPr>
        <w:t>知书时，</w:t>
      </w:r>
      <w:r>
        <w:rPr>
          <w:rFonts w:ascii="宋体" w:hAnsi="宋体" w:eastAsia="宋体" w:cs="宋体"/>
          <w:b/>
          <w:bCs/>
          <w:spacing w:val="-2"/>
          <w:sz w:val="24"/>
          <w:szCs w:val="24"/>
        </w:rPr>
        <w:t>须向采购代理机构提供第二章供应商须知前附表中要求的纸质版竞争性磋商响应文件。</w:t>
      </w:r>
    </w:p>
    <w:p w14:paraId="3FEEAD2A">
      <w:pPr>
        <w:spacing w:before="2" w:line="360" w:lineRule="auto"/>
        <w:ind w:left="11" w:right="35" w:firstLine="480"/>
        <w:rPr>
          <w:rFonts w:ascii="宋体" w:hAnsi="宋体" w:eastAsia="宋体" w:cs="宋体"/>
          <w:sz w:val="24"/>
          <w:szCs w:val="24"/>
        </w:rPr>
      </w:pPr>
      <w:r>
        <w:rPr>
          <w:rFonts w:ascii="宋体" w:hAnsi="宋体" w:eastAsia="宋体" w:cs="宋体"/>
          <w:sz w:val="24"/>
          <w:szCs w:val="24"/>
        </w:rPr>
        <w:t>2.2、成交通知书对采购人和成交供应商具有同等法律效力。成交通知书发出之后，采购人改变成交结果，或者成交供应商放弃成交</w:t>
      </w:r>
      <w:r>
        <w:rPr>
          <w:rFonts w:ascii="宋体" w:hAnsi="宋体" w:eastAsia="宋体" w:cs="宋体"/>
          <w:spacing w:val="-1"/>
          <w:sz w:val="24"/>
          <w:szCs w:val="24"/>
        </w:rPr>
        <w:t>，应当承担相应的法律责任。</w:t>
      </w:r>
    </w:p>
    <w:p w14:paraId="37A5BF9D">
      <w:pPr>
        <w:spacing w:line="360" w:lineRule="auto"/>
        <w:ind w:left="494"/>
        <w:rPr>
          <w:rFonts w:ascii="宋体" w:hAnsi="宋体" w:eastAsia="宋体" w:cs="宋体"/>
          <w:sz w:val="24"/>
          <w:szCs w:val="24"/>
        </w:rPr>
      </w:pPr>
      <w:r>
        <w:rPr>
          <w:rFonts w:ascii="宋体" w:hAnsi="宋体" w:eastAsia="宋体" w:cs="宋体"/>
          <w:b/>
          <w:bCs/>
          <w:spacing w:val="-3"/>
          <w:sz w:val="24"/>
          <w:szCs w:val="24"/>
        </w:rPr>
        <w:t>3、合同签订、履行及验收</w:t>
      </w:r>
    </w:p>
    <w:p w14:paraId="24568823">
      <w:pPr>
        <w:spacing w:before="154" w:line="360" w:lineRule="auto"/>
        <w:ind w:left="14" w:firstLine="478"/>
        <w:rPr>
          <w:rFonts w:ascii="宋体" w:hAnsi="宋体" w:eastAsia="宋体" w:cs="宋体"/>
          <w:sz w:val="24"/>
          <w:szCs w:val="24"/>
        </w:rPr>
      </w:pPr>
      <w:r>
        <w:rPr>
          <w:rFonts w:ascii="宋体" w:hAnsi="宋体" w:eastAsia="宋体" w:cs="宋体"/>
          <w:spacing w:val="-2"/>
          <w:sz w:val="24"/>
          <w:szCs w:val="24"/>
        </w:rPr>
        <w:t>竞争性磋商文件、竞争性磋商响应文件、澄清、补充合同等为政府采购合同的组成部分，具有同等法律效力。</w:t>
      </w:r>
    </w:p>
    <w:p w14:paraId="0979EF15">
      <w:pPr>
        <w:spacing w:before="1" w:line="360" w:lineRule="auto"/>
        <w:ind w:left="488"/>
        <w:rPr>
          <w:rFonts w:ascii="宋体" w:hAnsi="宋体" w:eastAsia="宋体" w:cs="宋体"/>
          <w:sz w:val="24"/>
          <w:szCs w:val="24"/>
        </w:rPr>
      </w:pPr>
      <w:r>
        <w:rPr>
          <w:rFonts w:ascii="宋体" w:hAnsi="宋体" w:eastAsia="宋体" w:cs="宋体"/>
          <w:b/>
          <w:bCs/>
          <w:spacing w:val="-3"/>
          <w:sz w:val="24"/>
          <w:szCs w:val="24"/>
        </w:rPr>
        <w:t>4、签订政府采购合同</w:t>
      </w:r>
    </w:p>
    <w:p w14:paraId="38727970">
      <w:pPr>
        <w:spacing w:before="154" w:line="360" w:lineRule="auto"/>
        <w:ind w:left="9" w:right="35" w:firstLine="479"/>
        <w:rPr>
          <w:rFonts w:ascii="宋体" w:hAnsi="宋体" w:eastAsia="宋体" w:cs="宋体"/>
          <w:sz w:val="24"/>
          <w:szCs w:val="24"/>
        </w:rPr>
      </w:pPr>
      <w:r>
        <w:rPr>
          <w:rFonts w:ascii="宋体" w:hAnsi="宋体" w:eastAsia="宋体" w:cs="宋体"/>
          <w:spacing w:val="-1"/>
          <w:sz w:val="24"/>
          <w:szCs w:val="24"/>
        </w:rPr>
        <w:t>4.1、</w:t>
      </w:r>
      <w:r>
        <w:rPr>
          <w:rFonts w:ascii="宋体" w:hAnsi="宋体" w:eastAsia="宋体" w:cs="宋体"/>
          <w:spacing w:val="-63"/>
          <w:sz w:val="24"/>
          <w:szCs w:val="24"/>
        </w:rPr>
        <w:t xml:space="preserve"> </w:t>
      </w:r>
      <w:r>
        <w:rPr>
          <w:rFonts w:ascii="宋体" w:hAnsi="宋体" w:eastAsia="宋体" w:cs="宋体"/>
          <w:spacing w:val="-1"/>
          <w:sz w:val="24"/>
          <w:szCs w:val="24"/>
        </w:rPr>
        <w:t>自成交通知书发出之日起30日内，采购人与成交供应商应按竞争性磋商文件和成交供应商竞争性磋商响应文件的约定，签订书面合同。</w:t>
      </w:r>
    </w:p>
    <w:p w14:paraId="3DF925C1">
      <w:pPr>
        <w:spacing w:before="2" w:line="360" w:lineRule="auto"/>
        <w:ind w:left="9" w:right="35" w:firstLine="479"/>
        <w:rPr>
          <w:rFonts w:ascii="宋体" w:hAnsi="宋体" w:eastAsia="宋体" w:cs="宋体"/>
          <w:sz w:val="24"/>
          <w:szCs w:val="24"/>
        </w:rPr>
      </w:pPr>
      <w:r>
        <w:rPr>
          <w:rFonts w:ascii="宋体" w:hAnsi="宋体" w:eastAsia="宋体" w:cs="宋体"/>
          <w:sz w:val="24"/>
          <w:szCs w:val="24"/>
        </w:rPr>
        <w:t>4.2、成交供应商拒绝与采购人签订合同的，采购人可以按照《政府采购法实施条例》第</w:t>
      </w:r>
      <w:r>
        <w:rPr>
          <w:rFonts w:ascii="宋体" w:hAnsi="宋体" w:eastAsia="宋体" w:cs="宋体"/>
          <w:spacing w:val="-2"/>
          <w:sz w:val="24"/>
          <w:szCs w:val="24"/>
        </w:rPr>
        <w:t>四十九条规定，确定下一候选人为成交供应</w:t>
      </w:r>
      <w:r>
        <w:rPr>
          <w:rFonts w:ascii="宋体" w:hAnsi="宋体" w:eastAsia="宋体" w:cs="宋体"/>
          <w:spacing w:val="-3"/>
          <w:sz w:val="24"/>
          <w:szCs w:val="24"/>
        </w:rPr>
        <w:t>商，也可以重新开展政府采购活动。给采购人造成</w:t>
      </w:r>
      <w:r>
        <w:rPr>
          <w:rFonts w:ascii="宋体" w:hAnsi="宋体" w:eastAsia="宋体" w:cs="宋体"/>
          <w:sz w:val="24"/>
          <w:szCs w:val="24"/>
        </w:rPr>
        <w:t>损失巨大的，供应商还应当对超过部分予以赔偿，并</w:t>
      </w:r>
      <w:r>
        <w:rPr>
          <w:rFonts w:ascii="宋体" w:hAnsi="宋体" w:eastAsia="宋体" w:cs="宋体"/>
          <w:spacing w:val="-1"/>
          <w:sz w:val="24"/>
          <w:szCs w:val="24"/>
        </w:rPr>
        <w:t>依法承担相应法律责任。</w:t>
      </w:r>
    </w:p>
    <w:p w14:paraId="02AC9C9A">
      <w:pPr>
        <w:spacing w:before="2" w:line="360" w:lineRule="auto"/>
        <w:ind w:left="14" w:right="35" w:firstLine="474"/>
        <w:rPr>
          <w:rFonts w:ascii="宋体" w:hAnsi="宋体" w:eastAsia="宋体" w:cs="宋体"/>
          <w:sz w:val="24"/>
          <w:szCs w:val="24"/>
        </w:rPr>
      </w:pPr>
      <w:r>
        <w:rPr>
          <w:rFonts w:ascii="宋体" w:hAnsi="宋体" w:eastAsia="宋体" w:cs="宋体"/>
          <w:sz w:val="24"/>
          <w:szCs w:val="24"/>
        </w:rPr>
        <w:t>4.3、采购人不得向成交供应商提出任何不合理的要求，作为签订合同的条件，不得与成</w:t>
      </w:r>
      <w:r>
        <w:rPr>
          <w:rFonts w:ascii="宋体" w:hAnsi="宋体" w:eastAsia="宋体" w:cs="宋体"/>
          <w:spacing w:val="-3"/>
          <w:sz w:val="24"/>
          <w:szCs w:val="24"/>
        </w:rPr>
        <w:t>交供应商私下订立背离合同实质性内容的任何协议，所签订的合同不得对竞争性磋商文件和成</w:t>
      </w:r>
      <w:r>
        <w:rPr>
          <w:rFonts w:ascii="宋体" w:hAnsi="宋体" w:eastAsia="宋体" w:cs="宋体"/>
          <w:spacing w:val="-1"/>
          <w:sz w:val="24"/>
          <w:szCs w:val="24"/>
        </w:rPr>
        <w:t>交供应商竞争性磋商响应文件作实质性修改。</w:t>
      </w:r>
    </w:p>
    <w:p w14:paraId="15ED0941">
      <w:pPr>
        <w:spacing w:before="2" w:line="360" w:lineRule="auto"/>
        <w:ind w:left="12" w:right="35" w:firstLine="476"/>
        <w:rPr>
          <w:rFonts w:ascii="宋体" w:hAnsi="宋体" w:eastAsia="宋体" w:cs="宋体"/>
          <w:sz w:val="24"/>
          <w:szCs w:val="24"/>
        </w:rPr>
      </w:pPr>
      <w:r>
        <w:rPr>
          <w:rFonts w:ascii="宋体" w:hAnsi="宋体" w:eastAsia="宋体" w:cs="宋体"/>
          <w:sz w:val="24"/>
          <w:szCs w:val="24"/>
        </w:rPr>
        <w:t>4.4、质疑或者投诉事项可能影响中标、成交结果的，采购人应当暂停签订合同，已经签</w:t>
      </w:r>
      <w:r>
        <w:rPr>
          <w:rFonts w:ascii="宋体" w:hAnsi="宋体" w:eastAsia="宋体" w:cs="宋体"/>
          <w:spacing w:val="-1"/>
          <w:sz w:val="24"/>
          <w:szCs w:val="24"/>
        </w:rPr>
        <w:t>订合同的，应当中止履行合同。</w:t>
      </w:r>
    </w:p>
    <w:p w14:paraId="4E39414A">
      <w:pPr>
        <w:spacing w:before="1" w:line="360" w:lineRule="auto"/>
        <w:ind w:left="494"/>
        <w:rPr>
          <w:rFonts w:ascii="宋体" w:hAnsi="宋体" w:eastAsia="宋体" w:cs="宋体"/>
          <w:sz w:val="24"/>
          <w:szCs w:val="24"/>
        </w:rPr>
      </w:pPr>
      <w:r>
        <w:rPr>
          <w:rFonts w:ascii="宋体" w:hAnsi="宋体" w:eastAsia="宋体" w:cs="宋体"/>
          <w:b/>
          <w:bCs/>
          <w:spacing w:val="-4"/>
          <w:sz w:val="24"/>
          <w:szCs w:val="24"/>
        </w:rPr>
        <w:t>5、合同公告及备案</w:t>
      </w:r>
    </w:p>
    <w:p w14:paraId="1074A2A6">
      <w:pPr>
        <w:spacing w:before="160" w:line="360" w:lineRule="auto"/>
        <w:ind w:left="8" w:right="35" w:firstLine="485"/>
        <w:rPr>
          <w:rFonts w:ascii="宋体" w:hAnsi="宋体" w:eastAsia="宋体" w:cs="宋体"/>
          <w:sz w:val="24"/>
          <w:szCs w:val="24"/>
        </w:rPr>
      </w:pPr>
      <w:r>
        <w:rPr>
          <w:rFonts w:ascii="宋体" w:hAnsi="宋体" w:eastAsia="宋体" w:cs="宋体"/>
          <w:spacing w:val="-3"/>
          <w:sz w:val="24"/>
          <w:szCs w:val="24"/>
        </w:rPr>
        <w:t>5.1、采购人应当自政府采购合同签订之日起2个工作日内，在陕西省政府采购网和全国公</w:t>
      </w:r>
      <w:r>
        <w:rPr>
          <w:rFonts w:ascii="宋体" w:hAnsi="宋体" w:eastAsia="宋体" w:cs="宋体"/>
          <w:spacing w:val="-5"/>
          <w:sz w:val="24"/>
          <w:szCs w:val="24"/>
        </w:rPr>
        <w:t>共资源交易平台（陕西省</w:t>
      </w:r>
      <w:r>
        <w:rPr>
          <w:rFonts w:ascii="宋体" w:hAnsi="宋体" w:eastAsia="宋体" w:cs="宋体"/>
          <w:spacing w:val="-19"/>
          <w:sz w:val="24"/>
          <w:szCs w:val="24"/>
        </w:rPr>
        <w:t xml:space="preserve"> </w:t>
      </w:r>
      <w:r>
        <w:rPr>
          <w:rFonts w:ascii="宋体" w:hAnsi="宋体" w:eastAsia="宋体" w:cs="宋体"/>
          <w:spacing w:val="-5"/>
          <w:sz w:val="24"/>
          <w:szCs w:val="24"/>
        </w:rPr>
        <w:t>·杨凌示范区）】对政府采购合同进行公示，但政府采购合同中涉及</w:t>
      </w:r>
      <w:r>
        <w:rPr>
          <w:rFonts w:ascii="宋体" w:hAnsi="宋体" w:eastAsia="宋体" w:cs="宋体"/>
          <w:spacing w:val="-1"/>
          <w:sz w:val="24"/>
          <w:szCs w:val="24"/>
        </w:rPr>
        <w:t>国家秘密、商业秘密的内容除外。</w:t>
      </w:r>
    </w:p>
    <w:p w14:paraId="61DAD5C0">
      <w:pPr>
        <w:spacing w:before="1" w:line="360" w:lineRule="auto"/>
        <w:ind w:left="494"/>
        <w:rPr>
          <w:rFonts w:ascii="宋体" w:hAnsi="宋体" w:eastAsia="宋体" w:cs="宋体"/>
          <w:sz w:val="24"/>
          <w:szCs w:val="24"/>
        </w:rPr>
      </w:pPr>
      <w:r>
        <w:rPr>
          <w:rFonts w:ascii="宋体" w:hAnsi="宋体" w:eastAsia="宋体" w:cs="宋体"/>
          <w:sz w:val="24"/>
          <w:szCs w:val="24"/>
        </w:rPr>
        <w:t>5.2、采购人应自合同签订之日起7个工作日内</w:t>
      </w:r>
      <w:r>
        <w:rPr>
          <w:rFonts w:ascii="宋体" w:hAnsi="宋体" w:eastAsia="宋体" w:cs="宋体"/>
          <w:spacing w:val="-1"/>
          <w:sz w:val="24"/>
          <w:szCs w:val="24"/>
        </w:rPr>
        <w:t>将政府采购合同报送监管机构备案。</w:t>
      </w:r>
    </w:p>
    <w:p w14:paraId="41BFD87F">
      <w:pPr>
        <w:spacing w:before="155" w:line="360" w:lineRule="auto"/>
        <w:ind w:left="491"/>
        <w:rPr>
          <w:rFonts w:ascii="宋体" w:hAnsi="宋体" w:eastAsia="宋体" w:cs="宋体"/>
          <w:sz w:val="24"/>
          <w:szCs w:val="24"/>
        </w:rPr>
      </w:pPr>
      <w:r>
        <w:rPr>
          <w:rFonts w:ascii="宋体" w:hAnsi="宋体" w:eastAsia="宋体" w:cs="宋体"/>
          <w:b/>
          <w:bCs/>
          <w:spacing w:val="-4"/>
          <w:sz w:val="24"/>
          <w:szCs w:val="24"/>
        </w:rPr>
        <w:t>6、履行合同</w:t>
      </w:r>
    </w:p>
    <w:p w14:paraId="3AB88AE0">
      <w:pPr>
        <w:spacing w:before="154" w:line="360" w:lineRule="auto"/>
        <w:ind w:left="491"/>
        <w:rPr>
          <w:rFonts w:ascii="宋体" w:hAnsi="宋体" w:eastAsia="宋体" w:cs="宋体"/>
          <w:sz w:val="24"/>
          <w:szCs w:val="24"/>
        </w:rPr>
      </w:pPr>
      <w:r>
        <w:rPr>
          <w:rFonts w:ascii="宋体" w:hAnsi="宋体" w:eastAsia="宋体" w:cs="宋体"/>
          <w:spacing w:val="-1"/>
          <w:sz w:val="24"/>
          <w:szCs w:val="24"/>
        </w:rPr>
        <w:t>6.1、合同一经签订，双方应严格履行合同规定的义务。</w:t>
      </w:r>
    </w:p>
    <w:p w14:paraId="0A0D0B98">
      <w:pPr>
        <w:spacing w:before="157" w:line="360" w:lineRule="auto"/>
        <w:ind w:right="37"/>
        <w:jc w:val="right"/>
      </w:pPr>
      <w:r>
        <w:rPr>
          <w:rFonts w:ascii="宋体" w:hAnsi="宋体" w:eastAsia="宋体" w:cs="宋体"/>
          <w:sz w:val="24"/>
          <w:szCs w:val="24"/>
        </w:rPr>
        <w:t>6.2、在合同履行过程中，如发生合同纠纷，合同双方应按照《中华人民共和国民法典》</w:t>
      </w:r>
    </w:p>
    <w:p w14:paraId="5CBF6F25">
      <w:pPr>
        <w:spacing w:before="78" w:line="360" w:lineRule="auto"/>
        <w:ind w:left="8"/>
        <w:rPr>
          <w:rFonts w:ascii="宋体" w:hAnsi="宋体" w:eastAsia="宋体" w:cs="宋体"/>
          <w:sz w:val="24"/>
          <w:szCs w:val="24"/>
        </w:rPr>
      </w:pPr>
      <w:r>
        <w:rPr>
          <w:rFonts w:ascii="宋体" w:hAnsi="宋体" w:eastAsia="宋体" w:cs="宋体"/>
          <w:spacing w:val="-1"/>
          <w:sz w:val="24"/>
          <w:szCs w:val="24"/>
        </w:rPr>
        <w:t>及合同条款的有关规定进行处理。</w:t>
      </w:r>
    </w:p>
    <w:p w14:paraId="5F711F9F">
      <w:pPr>
        <w:spacing w:before="154" w:line="360" w:lineRule="auto"/>
        <w:ind w:left="495"/>
        <w:rPr>
          <w:rFonts w:ascii="宋体" w:hAnsi="宋体" w:eastAsia="宋体" w:cs="宋体"/>
          <w:sz w:val="24"/>
          <w:szCs w:val="24"/>
        </w:rPr>
      </w:pPr>
      <w:r>
        <w:rPr>
          <w:rFonts w:ascii="宋体" w:hAnsi="宋体" w:eastAsia="宋体" w:cs="宋体"/>
          <w:b/>
          <w:bCs/>
          <w:spacing w:val="-4"/>
          <w:sz w:val="24"/>
          <w:szCs w:val="24"/>
        </w:rPr>
        <w:t>7、验收或考核</w:t>
      </w:r>
    </w:p>
    <w:p w14:paraId="00E505AA">
      <w:pPr>
        <w:spacing w:before="153" w:line="360" w:lineRule="auto"/>
        <w:jc w:val="right"/>
        <w:rPr>
          <w:rFonts w:ascii="宋体" w:hAnsi="宋体" w:eastAsia="宋体" w:cs="宋体"/>
          <w:sz w:val="24"/>
          <w:szCs w:val="24"/>
        </w:rPr>
      </w:pPr>
      <w:r>
        <w:rPr>
          <w:rFonts w:ascii="宋体" w:hAnsi="宋体" w:eastAsia="宋体" w:cs="宋体"/>
          <w:spacing w:val="-4"/>
          <w:sz w:val="24"/>
          <w:szCs w:val="24"/>
        </w:rPr>
        <w:t>7.1、采购人严格按照国家相关法律法规的要求及竞争性磋商文件的要求组织验收或考核。</w:t>
      </w:r>
    </w:p>
    <w:p w14:paraId="329EA08E">
      <w:pPr>
        <w:spacing w:before="159" w:line="360" w:lineRule="auto"/>
        <w:ind w:left="10" w:right="2" w:firstLine="484"/>
        <w:rPr>
          <w:rFonts w:ascii="宋体" w:hAnsi="宋体" w:eastAsia="宋体" w:cs="宋体"/>
          <w:sz w:val="24"/>
          <w:szCs w:val="24"/>
        </w:rPr>
      </w:pPr>
      <w:r>
        <w:rPr>
          <w:rFonts w:ascii="宋体" w:hAnsi="宋体" w:eastAsia="宋体" w:cs="宋体"/>
          <w:spacing w:val="-10"/>
          <w:sz w:val="24"/>
          <w:szCs w:val="24"/>
        </w:rPr>
        <w:t>7.2、采购人按《关于促进政府采购公平竞争优化营商环境</w:t>
      </w:r>
      <w:r>
        <w:rPr>
          <w:rFonts w:ascii="宋体" w:hAnsi="宋体" w:eastAsia="宋体" w:cs="宋体"/>
          <w:spacing w:val="-11"/>
          <w:sz w:val="24"/>
          <w:szCs w:val="24"/>
        </w:rPr>
        <w:t>的通知》（财库〔2019〕38</w:t>
      </w:r>
      <w:r>
        <w:rPr>
          <w:rFonts w:ascii="宋体" w:hAnsi="宋体" w:eastAsia="宋体" w:cs="宋体"/>
          <w:spacing w:val="-44"/>
          <w:sz w:val="24"/>
          <w:szCs w:val="24"/>
        </w:rPr>
        <w:t xml:space="preserve"> </w:t>
      </w:r>
      <w:r>
        <w:rPr>
          <w:rFonts w:ascii="宋体" w:hAnsi="宋体" w:eastAsia="宋体" w:cs="宋体"/>
          <w:spacing w:val="-11"/>
          <w:sz w:val="24"/>
          <w:szCs w:val="24"/>
        </w:rPr>
        <w:t>号）、</w:t>
      </w:r>
      <w:r>
        <w:rPr>
          <w:rFonts w:ascii="宋体" w:hAnsi="宋体" w:eastAsia="宋体" w:cs="宋体"/>
          <w:sz w:val="24"/>
          <w:szCs w:val="24"/>
        </w:rPr>
        <w:t xml:space="preserve"> </w:t>
      </w:r>
      <w:r>
        <w:rPr>
          <w:rFonts w:ascii="宋体" w:hAnsi="宋体" w:eastAsia="宋体" w:cs="宋体"/>
          <w:spacing w:val="-3"/>
          <w:sz w:val="24"/>
          <w:szCs w:val="24"/>
        </w:rPr>
        <w:t>《保障中小企业款项支付条例》（国务院令第</w:t>
      </w:r>
      <w:r>
        <w:rPr>
          <w:rFonts w:ascii="宋体" w:hAnsi="宋体" w:eastAsia="宋体" w:cs="宋体"/>
          <w:spacing w:val="-45"/>
          <w:sz w:val="24"/>
          <w:szCs w:val="24"/>
        </w:rPr>
        <w:t xml:space="preserve"> </w:t>
      </w:r>
      <w:r>
        <w:rPr>
          <w:rFonts w:ascii="宋体" w:hAnsi="宋体" w:eastAsia="宋体" w:cs="宋体"/>
          <w:spacing w:val="-3"/>
          <w:sz w:val="24"/>
          <w:szCs w:val="24"/>
        </w:rPr>
        <w:t>728</w:t>
      </w:r>
      <w:r>
        <w:rPr>
          <w:rFonts w:ascii="宋体" w:hAnsi="宋体" w:eastAsia="宋体" w:cs="宋体"/>
          <w:spacing w:val="-45"/>
          <w:sz w:val="24"/>
          <w:szCs w:val="24"/>
        </w:rPr>
        <w:t xml:space="preserve"> </w:t>
      </w:r>
      <w:r>
        <w:rPr>
          <w:rFonts w:ascii="宋体" w:hAnsi="宋体" w:eastAsia="宋体" w:cs="宋体"/>
          <w:spacing w:val="-3"/>
          <w:sz w:val="24"/>
          <w:szCs w:val="24"/>
        </w:rPr>
        <w:t>号）等规定及采</w:t>
      </w:r>
      <w:r>
        <w:rPr>
          <w:rFonts w:ascii="宋体" w:hAnsi="宋体" w:eastAsia="宋体" w:cs="宋体"/>
          <w:spacing w:val="-4"/>
          <w:sz w:val="24"/>
          <w:szCs w:val="24"/>
        </w:rPr>
        <w:t>购合同的约定进行支付合同款项。</w:t>
      </w:r>
    </w:p>
    <w:p w14:paraId="7B7DEE84">
      <w:pPr>
        <w:spacing w:before="1" w:line="360" w:lineRule="auto"/>
        <w:ind w:left="3897"/>
        <w:rPr>
          <w:rFonts w:ascii="宋体" w:hAnsi="宋体" w:eastAsia="宋体" w:cs="宋体"/>
          <w:sz w:val="28"/>
          <w:szCs w:val="28"/>
        </w:rPr>
      </w:pPr>
      <w:r>
        <w:rPr>
          <w:rFonts w:ascii="宋体" w:hAnsi="宋体" w:eastAsia="宋体" w:cs="宋体"/>
          <w:b/>
          <w:bCs/>
          <w:spacing w:val="-3"/>
          <w:sz w:val="28"/>
          <w:szCs w:val="28"/>
        </w:rPr>
        <w:t>七、招标代理服务费</w:t>
      </w:r>
    </w:p>
    <w:p w14:paraId="06615787">
      <w:pPr>
        <w:spacing w:before="141" w:line="360" w:lineRule="auto"/>
        <w:ind w:left="507"/>
        <w:rPr>
          <w:rFonts w:ascii="宋体" w:hAnsi="宋体" w:eastAsia="宋体" w:cs="宋体"/>
          <w:sz w:val="24"/>
          <w:szCs w:val="24"/>
        </w:rPr>
      </w:pPr>
      <w:r>
        <w:rPr>
          <w:rFonts w:ascii="宋体" w:hAnsi="宋体" w:eastAsia="宋体" w:cs="宋体"/>
          <w:b/>
          <w:bCs/>
          <w:spacing w:val="-5"/>
          <w:sz w:val="24"/>
          <w:szCs w:val="24"/>
        </w:rPr>
        <w:t>1、招标代理服务费</w:t>
      </w:r>
    </w:p>
    <w:p w14:paraId="6880E993">
      <w:pPr>
        <w:spacing w:before="159" w:line="360" w:lineRule="auto"/>
        <w:ind w:left="10" w:right="2" w:firstLine="484"/>
        <w:rPr>
          <w:rFonts w:ascii="宋体" w:hAnsi="宋体" w:eastAsia="宋体" w:cs="宋体"/>
          <w:spacing w:val="-10"/>
          <w:sz w:val="24"/>
          <w:szCs w:val="24"/>
          <w:lang w:eastAsia="zh-CN"/>
        </w:rPr>
      </w:pPr>
      <w:r>
        <w:rPr>
          <w:rFonts w:hint="eastAsia" w:ascii="宋体" w:hAnsi="宋体" w:eastAsia="宋体" w:cs="宋体"/>
          <w:spacing w:val="-10"/>
          <w:sz w:val="24"/>
          <w:szCs w:val="24"/>
          <w:lang w:eastAsia="zh-CN"/>
        </w:rPr>
        <w:t>中标供应商在领取《中标通知书》之前，向采购代理机构一次付清招标代理服务费。采购代理服务费的金额参照《招标代理服务收费管理暂行办法》计价格[2002]1980号文，以中标价为基数计取代理服务费，低于</w:t>
      </w:r>
      <w:r>
        <w:rPr>
          <w:rFonts w:hint="eastAsia" w:ascii="宋体" w:hAnsi="宋体" w:eastAsia="宋体" w:cs="宋体"/>
          <w:spacing w:val="-10"/>
          <w:sz w:val="24"/>
          <w:szCs w:val="24"/>
          <w:lang w:val="en-US" w:eastAsia="zh-CN"/>
        </w:rPr>
        <w:t>6千，按6千收取</w:t>
      </w:r>
      <w:r>
        <w:rPr>
          <w:rFonts w:hint="eastAsia" w:ascii="宋体" w:hAnsi="宋体" w:eastAsia="宋体" w:cs="宋体"/>
          <w:spacing w:val="-10"/>
          <w:sz w:val="24"/>
          <w:szCs w:val="24"/>
          <w:lang w:eastAsia="zh-CN"/>
        </w:rPr>
        <w:t>。代理服务费由中标单位领取中标通知书前以转账形式一次性付清。</w:t>
      </w:r>
    </w:p>
    <w:p w14:paraId="348D8B0A">
      <w:pPr>
        <w:spacing w:before="159" w:line="360" w:lineRule="auto"/>
        <w:ind w:left="10" w:right="2" w:firstLine="484"/>
        <w:rPr>
          <w:rFonts w:ascii="宋体" w:hAnsi="宋体" w:eastAsia="宋体" w:cs="宋体"/>
          <w:spacing w:val="-10"/>
          <w:sz w:val="24"/>
          <w:szCs w:val="24"/>
          <w:lang w:eastAsia="zh-CN"/>
        </w:rPr>
      </w:pPr>
      <w:r>
        <w:rPr>
          <w:rFonts w:hint="eastAsia" w:ascii="宋体" w:hAnsi="宋体" w:eastAsia="宋体" w:cs="宋体"/>
          <w:spacing w:val="-10"/>
          <w:sz w:val="24"/>
          <w:szCs w:val="24"/>
          <w:lang w:eastAsia="zh-CN"/>
        </w:rPr>
        <w:t>缴纳账户信息：</w:t>
      </w:r>
    </w:p>
    <w:p w14:paraId="351BC1EB">
      <w:pPr>
        <w:spacing w:before="159" w:line="360" w:lineRule="auto"/>
        <w:ind w:left="10" w:right="2" w:firstLine="484"/>
        <w:rPr>
          <w:rFonts w:ascii="宋体" w:hAnsi="宋体" w:eastAsia="宋体" w:cs="宋体"/>
          <w:spacing w:val="-10"/>
          <w:sz w:val="24"/>
          <w:szCs w:val="24"/>
          <w:lang w:eastAsia="zh-CN"/>
        </w:rPr>
      </w:pPr>
      <w:r>
        <w:rPr>
          <w:rFonts w:hint="eastAsia" w:ascii="宋体" w:hAnsi="宋体" w:eastAsia="宋体" w:cs="宋体"/>
          <w:spacing w:val="-10"/>
          <w:sz w:val="24"/>
          <w:szCs w:val="24"/>
          <w:lang w:eastAsia="zh-CN"/>
        </w:rPr>
        <w:t>开户行：中国银行西安南二环支行</w:t>
      </w:r>
    </w:p>
    <w:p w14:paraId="04EB328F">
      <w:pPr>
        <w:spacing w:before="159" w:line="360" w:lineRule="auto"/>
        <w:ind w:left="10" w:right="2" w:firstLine="484"/>
        <w:rPr>
          <w:rFonts w:ascii="宋体" w:hAnsi="宋体" w:eastAsia="宋体" w:cs="宋体"/>
          <w:spacing w:val="-10"/>
          <w:sz w:val="24"/>
          <w:szCs w:val="24"/>
          <w:lang w:eastAsia="zh-CN"/>
        </w:rPr>
      </w:pPr>
      <w:r>
        <w:rPr>
          <w:rFonts w:hint="eastAsia" w:ascii="宋体" w:hAnsi="宋体" w:eastAsia="宋体" w:cs="宋体"/>
          <w:spacing w:val="-10"/>
          <w:sz w:val="24"/>
          <w:szCs w:val="24"/>
          <w:lang w:eastAsia="zh-CN"/>
        </w:rPr>
        <w:t>帐号：102807336850</w:t>
      </w:r>
    </w:p>
    <w:p w14:paraId="4DFF57CA">
      <w:pPr>
        <w:spacing w:before="159" w:line="360" w:lineRule="auto"/>
        <w:ind w:left="10" w:right="2" w:firstLine="484"/>
        <w:rPr>
          <w:rFonts w:ascii="宋体" w:hAnsi="宋体" w:eastAsia="宋体" w:cs="宋体"/>
          <w:spacing w:val="-10"/>
          <w:sz w:val="24"/>
          <w:szCs w:val="24"/>
          <w:lang w:eastAsia="zh-CN"/>
        </w:rPr>
      </w:pPr>
      <w:r>
        <w:rPr>
          <w:rFonts w:hint="eastAsia" w:ascii="宋体" w:hAnsi="宋体" w:eastAsia="宋体" w:cs="宋体"/>
          <w:spacing w:val="-10"/>
          <w:sz w:val="24"/>
          <w:szCs w:val="24"/>
          <w:lang w:eastAsia="zh-CN"/>
        </w:rPr>
        <w:t>接收人：华春建设工程项目管理有限责任公司</w:t>
      </w:r>
    </w:p>
    <w:p w14:paraId="1A9E9EED">
      <w:pPr>
        <w:spacing w:before="159" w:line="360" w:lineRule="auto"/>
        <w:ind w:left="10" w:right="2" w:firstLine="484"/>
        <w:rPr>
          <w:rFonts w:ascii="宋体" w:hAnsi="宋体" w:eastAsia="宋体" w:cs="宋体"/>
          <w:spacing w:val="-10"/>
          <w:sz w:val="24"/>
          <w:szCs w:val="24"/>
        </w:rPr>
      </w:pPr>
      <w:r>
        <w:rPr>
          <w:rFonts w:hint="eastAsia" w:ascii="宋体" w:hAnsi="宋体" w:eastAsia="宋体" w:cs="宋体"/>
          <w:spacing w:val="-10"/>
          <w:sz w:val="24"/>
          <w:szCs w:val="24"/>
          <w:lang w:eastAsia="zh-CN"/>
        </w:rPr>
        <w:t>注明转账事宜：杨凌农业科技成果转化综合服务平台项目软件测试服务代理服务费</w:t>
      </w:r>
    </w:p>
    <w:p w14:paraId="651E5034">
      <w:pPr>
        <w:spacing w:before="119" w:line="360" w:lineRule="auto"/>
        <w:ind w:left="4606"/>
        <w:rPr>
          <w:rFonts w:ascii="宋体" w:hAnsi="宋体" w:eastAsia="宋体" w:cs="宋体"/>
          <w:sz w:val="28"/>
          <w:szCs w:val="28"/>
        </w:rPr>
      </w:pPr>
      <w:r>
        <w:rPr>
          <w:rFonts w:ascii="宋体" w:hAnsi="宋体" w:eastAsia="宋体" w:cs="宋体"/>
          <w:b/>
          <w:bCs/>
          <w:spacing w:val="-6"/>
          <w:sz w:val="28"/>
          <w:szCs w:val="28"/>
        </w:rPr>
        <w:t>八、其它</w:t>
      </w:r>
    </w:p>
    <w:p w14:paraId="4A74A22F">
      <w:pPr>
        <w:spacing w:before="141" w:line="360" w:lineRule="auto"/>
        <w:ind w:left="9" w:right="82" w:firstLine="646"/>
        <w:rPr>
          <w:rFonts w:ascii="宋体" w:hAnsi="宋体" w:eastAsia="宋体" w:cs="宋体"/>
          <w:sz w:val="24"/>
          <w:szCs w:val="24"/>
        </w:rPr>
      </w:pPr>
      <w:r>
        <w:rPr>
          <w:rFonts w:ascii="宋体" w:hAnsi="宋体" w:eastAsia="宋体" w:cs="宋体"/>
          <w:b/>
          <w:bCs/>
          <w:sz w:val="24"/>
          <w:szCs w:val="24"/>
        </w:rPr>
        <w:t>1、磋商开始后，出现下列情形之一的，采购代理机构将终止竞争</w:t>
      </w:r>
      <w:r>
        <w:rPr>
          <w:rFonts w:ascii="宋体" w:hAnsi="宋体" w:eastAsia="宋体" w:cs="宋体"/>
          <w:b/>
          <w:bCs/>
          <w:spacing w:val="-1"/>
          <w:sz w:val="24"/>
          <w:szCs w:val="24"/>
        </w:rPr>
        <w:t>性磋商采购活动，发</w:t>
      </w:r>
      <w:r>
        <w:rPr>
          <w:rFonts w:ascii="宋体" w:hAnsi="宋体" w:eastAsia="宋体" w:cs="宋体"/>
          <w:b/>
          <w:bCs/>
          <w:spacing w:val="-2"/>
          <w:sz w:val="24"/>
          <w:szCs w:val="24"/>
        </w:rPr>
        <w:t>布项目终止公告并说明原因，重新开展采购</w:t>
      </w:r>
      <w:r>
        <w:rPr>
          <w:rFonts w:ascii="宋体" w:hAnsi="宋体" w:eastAsia="宋体" w:cs="宋体"/>
          <w:b/>
          <w:bCs/>
          <w:spacing w:val="-3"/>
          <w:sz w:val="24"/>
          <w:szCs w:val="24"/>
        </w:rPr>
        <w:t>活动：</w:t>
      </w:r>
    </w:p>
    <w:p w14:paraId="3EDDB20D">
      <w:pPr>
        <w:spacing w:before="1" w:line="360" w:lineRule="auto"/>
        <w:ind w:left="655"/>
        <w:rPr>
          <w:rFonts w:ascii="宋体" w:hAnsi="宋体" w:eastAsia="宋体" w:cs="宋体"/>
          <w:sz w:val="24"/>
          <w:szCs w:val="24"/>
        </w:rPr>
      </w:pPr>
      <w:r>
        <w:rPr>
          <w:rFonts w:ascii="宋体" w:hAnsi="宋体" w:eastAsia="宋体" w:cs="宋体"/>
          <w:spacing w:val="-1"/>
          <w:sz w:val="24"/>
          <w:szCs w:val="24"/>
        </w:rPr>
        <w:t>1.1、因情况变化，不再符合规定的竞争性磋商采购方式适用情形的；</w:t>
      </w:r>
    </w:p>
    <w:p w14:paraId="467628E2">
      <w:pPr>
        <w:spacing w:before="157" w:line="360" w:lineRule="auto"/>
        <w:ind w:left="655"/>
        <w:rPr>
          <w:rFonts w:ascii="宋体" w:hAnsi="宋体" w:eastAsia="宋体" w:cs="宋体"/>
          <w:sz w:val="24"/>
          <w:szCs w:val="24"/>
        </w:rPr>
      </w:pPr>
      <w:r>
        <w:rPr>
          <w:rFonts w:ascii="宋体" w:hAnsi="宋体" w:eastAsia="宋体" w:cs="宋体"/>
          <w:spacing w:val="-2"/>
          <w:sz w:val="24"/>
          <w:szCs w:val="24"/>
        </w:rPr>
        <w:t>1.2、出现影响采购公正的违法、违规行为的；</w:t>
      </w:r>
    </w:p>
    <w:p w14:paraId="05A5EEEB">
      <w:pPr>
        <w:spacing w:before="155" w:line="360" w:lineRule="auto"/>
        <w:ind w:left="655"/>
        <w:rPr>
          <w:rFonts w:ascii="宋体" w:hAnsi="宋体" w:eastAsia="宋体" w:cs="宋体"/>
          <w:sz w:val="24"/>
          <w:szCs w:val="24"/>
        </w:rPr>
      </w:pPr>
      <w:r>
        <w:rPr>
          <w:rFonts w:ascii="宋体" w:hAnsi="宋体" w:eastAsia="宋体" w:cs="宋体"/>
          <w:spacing w:val="-1"/>
          <w:sz w:val="24"/>
          <w:szCs w:val="24"/>
        </w:rPr>
        <w:t>1.3、在采购过程中符合要求的供应商不</w:t>
      </w:r>
      <w:r>
        <w:rPr>
          <w:rFonts w:ascii="宋体" w:hAnsi="宋体" w:eastAsia="宋体" w:cs="宋体"/>
          <w:spacing w:val="-2"/>
          <w:sz w:val="24"/>
          <w:szCs w:val="24"/>
        </w:rPr>
        <w:t>足3家的；</w:t>
      </w:r>
    </w:p>
    <w:p w14:paraId="52C65B5B">
      <w:pPr>
        <w:spacing w:before="154" w:line="360" w:lineRule="auto"/>
        <w:ind w:left="655"/>
        <w:rPr>
          <w:rFonts w:ascii="宋体" w:hAnsi="宋体" w:eastAsia="宋体" w:cs="宋体"/>
          <w:sz w:val="24"/>
          <w:szCs w:val="24"/>
        </w:rPr>
      </w:pPr>
      <w:r>
        <w:rPr>
          <w:rFonts w:ascii="宋体" w:hAnsi="宋体" w:eastAsia="宋体" w:cs="宋体"/>
          <w:spacing w:val="-2"/>
          <w:sz w:val="24"/>
          <w:szCs w:val="24"/>
        </w:rPr>
        <w:t>1.4、报价未超过采购预算的供应商不足3家的。</w:t>
      </w:r>
    </w:p>
    <w:p w14:paraId="7E4E2BB4">
      <w:pPr>
        <w:spacing w:before="159" w:line="360" w:lineRule="auto"/>
        <w:ind w:left="637"/>
        <w:rPr>
          <w:rFonts w:ascii="宋体" w:hAnsi="宋体" w:eastAsia="宋体" w:cs="宋体"/>
          <w:sz w:val="24"/>
          <w:szCs w:val="24"/>
        </w:rPr>
      </w:pPr>
      <w:r>
        <w:rPr>
          <w:rFonts w:ascii="宋体" w:hAnsi="宋体" w:eastAsia="宋体" w:cs="宋体"/>
          <w:sz w:val="24"/>
          <w:szCs w:val="24"/>
        </w:rPr>
        <w:t>废标后，采购代理机构应在财政部门指定采购网上公告，并</w:t>
      </w:r>
      <w:r>
        <w:rPr>
          <w:rFonts w:ascii="宋体" w:hAnsi="宋体" w:eastAsia="宋体" w:cs="宋体"/>
          <w:spacing w:val="-1"/>
          <w:sz w:val="24"/>
          <w:szCs w:val="24"/>
        </w:rPr>
        <w:t>公告废标的详细理由。</w:t>
      </w:r>
    </w:p>
    <w:p w14:paraId="3240937A">
      <w:pPr>
        <w:spacing w:before="139" w:line="360" w:lineRule="auto"/>
        <w:ind w:left="8" w:right="82" w:firstLine="483"/>
        <w:rPr>
          <w:rFonts w:ascii="宋体" w:hAnsi="宋体" w:eastAsia="宋体" w:cs="宋体"/>
          <w:sz w:val="24"/>
          <w:szCs w:val="24"/>
        </w:rPr>
      </w:pPr>
      <w:r>
        <w:rPr>
          <w:rFonts w:ascii="宋体" w:hAnsi="宋体" w:eastAsia="宋体" w:cs="宋体"/>
          <w:b/>
          <w:bCs/>
          <w:spacing w:val="-2"/>
          <w:sz w:val="24"/>
          <w:szCs w:val="24"/>
        </w:rPr>
        <w:t>2、投标截止后供应商不足三家或者通过资格审查或符合性审查的</w:t>
      </w:r>
      <w:r>
        <w:rPr>
          <w:rFonts w:ascii="宋体" w:hAnsi="宋体" w:eastAsia="宋体" w:cs="宋体"/>
          <w:b/>
          <w:bCs/>
          <w:spacing w:val="-3"/>
          <w:sz w:val="24"/>
          <w:szCs w:val="24"/>
        </w:rPr>
        <w:t>供应商不足三家的，除采购任务取消情形外，按照以下方式处理：</w:t>
      </w:r>
    </w:p>
    <w:p w14:paraId="47EBDA2C">
      <w:pPr>
        <w:spacing w:line="360" w:lineRule="auto"/>
        <w:ind w:left="12" w:right="80" w:firstLine="480"/>
        <w:rPr>
          <w:rFonts w:ascii="宋体" w:hAnsi="宋体" w:eastAsia="宋体" w:cs="宋体"/>
          <w:sz w:val="24"/>
          <w:szCs w:val="24"/>
        </w:rPr>
      </w:pPr>
      <w:r>
        <w:rPr>
          <w:rFonts w:ascii="宋体" w:hAnsi="宋体" w:eastAsia="宋体" w:cs="宋体"/>
          <w:sz w:val="24"/>
          <w:szCs w:val="24"/>
        </w:rPr>
        <w:t>2.1、竞争性磋商文件存在不合理条款或者采购程序不符合规定的，采购人、采购代理机</w:t>
      </w:r>
      <w:r>
        <w:rPr>
          <w:rFonts w:ascii="宋体" w:hAnsi="宋体" w:eastAsia="宋体" w:cs="宋体"/>
          <w:spacing w:val="-2"/>
          <w:sz w:val="24"/>
          <w:szCs w:val="24"/>
        </w:rPr>
        <w:t>构改正后依法重新招标；</w:t>
      </w:r>
    </w:p>
    <w:p w14:paraId="2929431D">
      <w:pPr>
        <w:spacing w:line="360" w:lineRule="auto"/>
        <w:ind w:left="29" w:right="80" w:firstLine="463"/>
        <w:rPr>
          <w:rFonts w:ascii="宋体" w:hAnsi="宋体" w:eastAsia="宋体" w:cs="宋体"/>
          <w:sz w:val="24"/>
          <w:szCs w:val="24"/>
        </w:rPr>
      </w:pPr>
      <w:r>
        <w:rPr>
          <w:rFonts w:ascii="宋体" w:hAnsi="宋体" w:eastAsia="宋体" w:cs="宋体"/>
          <w:sz w:val="24"/>
          <w:szCs w:val="24"/>
        </w:rPr>
        <w:t>2.2、竞争性磋商文件没有不合理条款、磋商程序符合规定，需要采用其他采购方式采购</w:t>
      </w:r>
      <w:r>
        <w:rPr>
          <w:rFonts w:ascii="宋体" w:hAnsi="宋体" w:eastAsia="宋体" w:cs="宋体"/>
          <w:spacing w:val="-2"/>
          <w:sz w:val="24"/>
          <w:szCs w:val="24"/>
        </w:rPr>
        <w:t>的，采购人应当依法报财政部门批准。</w:t>
      </w:r>
    </w:p>
    <w:p w14:paraId="2B7FB24D">
      <w:pPr>
        <w:spacing w:before="2" w:line="360" w:lineRule="auto"/>
        <w:ind w:left="492"/>
      </w:pPr>
      <w:r>
        <w:rPr>
          <w:rFonts w:ascii="宋体" w:hAnsi="宋体" w:eastAsia="宋体" w:cs="宋体"/>
          <w:sz w:val="24"/>
          <w:szCs w:val="24"/>
        </w:rPr>
        <w:t>2.3、成交供应商拒绝与采购人签订合同的，采购人可以按照评标结果报告推荐的成交候</w:t>
      </w:r>
    </w:p>
    <w:p w14:paraId="28BBF9AB">
      <w:pPr>
        <w:spacing w:before="78" w:line="360" w:lineRule="auto"/>
        <w:ind w:left="8"/>
        <w:rPr>
          <w:rFonts w:ascii="宋体" w:hAnsi="宋体" w:eastAsia="宋体" w:cs="宋体"/>
          <w:sz w:val="24"/>
          <w:szCs w:val="24"/>
        </w:rPr>
      </w:pPr>
      <w:r>
        <w:rPr>
          <w:rFonts w:ascii="宋体" w:hAnsi="宋体" w:eastAsia="宋体" w:cs="宋体"/>
          <w:sz w:val="24"/>
          <w:szCs w:val="24"/>
        </w:rPr>
        <w:t>选人名单排序，确定下一候选人为成交供应商，也可以重</w:t>
      </w:r>
      <w:r>
        <w:rPr>
          <w:rFonts w:ascii="宋体" w:hAnsi="宋体" w:eastAsia="宋体" w:cs="宋体"/>
          <w:spacing w:val="-1"/>
          <w:sz w:val="24"/>
          <w:szCs w:val="24"/>
        </w:rPr>
        <w:t>新开展政府采购活动。</w:t>
      </w:r>
    </w:p>
    <w:p w14:paraId="6D2864D4">
      <w:pPr>
        <w:spacing w:before="136" w:line="360" w:lineRule="auto"/>
        <w:ind w:left="494"/>
        <w:rPr>
          <w:rFonts w:ascii="宋体" w:hAnsi="宋体" w:eastAsia="宋体" w:cs="宋体"/>
          <w:sz w:val="24"/>
          <w:szCs w:val="24"/>
        </w:rPr>
      </w:pPr>
      <w:r>
        <w:rPr>
          <w:rFonts w:ascii="宋体" w:hAnsi="宋体" w:eastAsia="宋体" w:cs="宋体"/>
          <w:b/>
          <w:bCs/>
          <w:spacing w:val="-3"/>
          <w:sz w:val="24"/>
          <w:szCs w:val="24"/>
        </w:rPr>
        <w:t>3、评标现场人员的保密责任</w:t>
      </w:r>
    </w:p>
    <w:p w14:paraId="42608C88">
      <w:pPr>
        <w:spacing w:before="135" w:line="360" w:lineRule="auto"/>
        <w:ind w:left="11" w:right="79" w:firstLine="482"/>
        <w:rPr>
          <w:rFonts w:ascii="宋体" w:hAnsi="宋体" w:eastAsia="宋体" w:cs="宋体"/>
          <w:sz w:val="24"/>
          <w:szCs w:val="24"/>
        </w:rPr>
      </w:pPr>
      <w:r>
        <w:rPr>
          <w:rFonts w:ascii="宋体" w:hAnsi="宋体" w:eastAsia="宋体" w:cs="宋体"/>
          <w:sz w:val="24"/>
          <w:szCs w:val="24"/>
        </w:rPr>
        <w:t>3.1、在采购结果确定前，采购人、采购代理机构对磋商小组名单负有保密责任。磋商小</w:t>
      </w:r>
      <w:r>
        <w:rPr>
          <w:rFonts w:ascii="宋体" w:hAnsi="宋体" w:eastAsia="宋体" w:cs="宋体"/>
          <w:spacing w:val="-3"/>
          <w:sz w:val="24"/>
          <w:szCs w:val="24"/>
        </w:rPr>
        <w:t>组成员、采购人和采购代理机构工作人员、相关监督人员等与评审工作有关的人员，对评审情</w:t>
      </w:r>
      <w:r>
        <w:rPr>
          <w:rFonts w:ascii="宋体" w:hAnsi="宋体" w:eastAsia="宋体" w:cs="宋体"/>
          <w:spacing w:val="-1"/>
          <w:sz w:val="24"/>
          <w:szCs w:val="24"/>
        </w:rPr>
        <w:t>况以及在评审过程中获悉的国家秘密、商业秘密负有保密责任。</w:t>
      </w:r>
    </w:p>
    <w:p w14:paraId="7F096CF3">
      <w:pPr>
        <w:spacing w:line="360" w:lineRule="auto"/>
        <w:ind w:left="8" w:firstLine="485"/>
        <w:rPr>
          <w:rFonts w:ascii="宋体" w:hAnsi="宋体" w:eastAsia="宋体" w:cs="宋体"/>
          <w:sz w:val="24"/>
          <w:szCs w:val="24"/>
        </w:rPr>
      </w:pPr>
      <w:r>
        <w:rPr>
          <w:rFonts w:ascii="宋体" w:hAnsi="宋体" w:eastAsia="宋体" w:cs="宋体"/>
          <w:spacing w:val="-4"/>
          <w:sz w:val="24"/>
          <w:szCs w:val="24"/>
        </w:rPr>
        <w:t>3.2、评标开始到成交供应商确定前，磋商小组、采购人及有关人员要严格遵循保密原则，</w:t>
      </w:r>
      <w:r>
        <w:rPr>
          <w:rFonts w:ascii="宋体" w:hAnsi="宋体" w:eastAsia="宋体" w:cs="宋体"/>
          <w:spacing w:val="-2"/>
          <w:sz w:val="24"/>
          <w:szCs w:val="24"/>
        </w:rPr>
        <w:t>任何一方不得向与评审无关的单位和人员透</w:t>
      </w:r>
      <w:r>
        <w:rPr>
          <w:rFonts w:ascii="宋体" w:hAnsi="宋体" w:eastAsia="宋体" w:cs="宋体"/>
          <w:spacing w:val="-3"/>
          <w:sz w:val="24"/>
          <w:szCs w:val="24"/>
        </w:rPr>
        <w:t>露与投标有关的其它供应商的技术资料、价格及其</w:t>
      </w:r>
      <w:r>
        <w:rPr>
          <w:rFonts w:ascii="宋体" w:hAnsi="宋体" w:eastAsia="宋体" w:cs="宋体"/>
          <w:spacing w:val="-1"/>
          <w:sz w:val="24"/>
          <w:szCs w:val="24"/>
        </w:rPr>
        <w:t>它信息。否则，按《中华人民共和国政府采购法》、《中华人民共和国政府采购法实施条例》及有关法律、法规的法律规定进行相应的处罚。</w:t>
      </w:r>
    </w:p>
    <w:p w14:paraId="2D5294CE">
      <w:pPr>
        <w:spacing w:line="360" w:lineRule="auto"/>
        <w:ind w:left="488"/>
        <w:rPr>
          <w:rFonts w:ascii="宋体" w:hAnsi="宋体" w:eastAsia="宋体" w:cs="宋体"/>
          <w:sz w:val="24"/>
          <w:szCs w:val="24"/>
        </w:rPr>
      </w:pPr>
      <w:r>
        <w:rPr>
          <w:rFonts w:ascii="宋体" w:hAnsi="宋体" w:eastAsia="宋体" w:cs="宋体"/>
          <w:b/>
          <w:bCs/>
          <w:spacing w:val="-4"/>
          <w:sz w:val="24"/>
          <w:szCs w:val="24"/>
        </w:rPr>
        <w:t>4、履约验收</w:t>
      </w:r>
    </w:p>
    <w:p w14:paraId="6752B09A">
      <w:pPr>
        <w:spacing w:before="135" w:line="360" w:lineRule="auto"/>
        <w:ind w:left="8" w:right="25" w:firstLine="480"/>
        <w:rPr>
          <w:rFonts w:ascii="宋体" w:hAnsi="宋体" w:eastAsia="宋体" w:cs="宋体"/>
          <w:sz w:val="24"/>
          <w:szCs w:val="24"/>
        </w:rPr>
      </w:pPr>
      <w:r>
        <w:rPr>
          <w:rFonts w:ascii="宋体" w:hAnsi="宋体" w:eastAsia="宋体" w:cs="宋体"/>
          <w:sz w:val="24"/>
          <w:szCs w:val="24"/>
        </w:rPr>
        <w:t>4.1、政府采购合同的履行、违约责任和解决争议的方法等适用《民法典》。采购人按照</w:t>
      </w:r>
      <w:r>
        <w:rPr>
          <w:rFonts w:ascii="宋体" w:hAnsi="宋体" w:eastAsia="宋体" w:cs="宋体"/>
          <w:spacing w:val="-1"/>
          <w:sz w:val="24"/>
          <w:szCs w:val="24"/>
        </w:rPr>
        <w:t>政府采购合同规定的技术、服务、安全标准组织对供应商履约情况进行验</w:t>
      </w:r>
      <w:r>
        <w:rPr>
          <w:rFonts w:ascii="宋体" w:hAnsi="宋体" w:eastAsia="宋体" w:cs="宋体"/>
          <w:spacing w:val="-2"/>
          <w:sz w:val="24"/>
          <w:szCs w:val="24"/>
        </w:rPr>
        <w:t>收，并出具验收书。</w:t>
      </w:r>
    </w:p>
    <w:p w14:paraId="699DCB5F">
      <w:pPr>
        <w:spacing w:line="360" w:lineRule="auto"/>
        <w:ind w:left="488"/>
        <w:rPr>
          <w:rFonts w:ascii="宋体" w:hAnsi="宋体" w:eastAsia="宋体" w:cs="宋体"/>
          <w:sz w:val="24"/>
          <w:szCs w:val="24"/>
        </w:rPr>
      </w:pPr>
      <w:r>
        <w:rPr>
          <w:rFonts w:ascii="宋体" w:hAnsi="宋体" w:eastAsia="宋体" w:cs="宋体"/>
          <w:spacing w:val="-1"/>
          <w:sz w:val="24"/>
          <w:szCs w:val="24"/>
        </w:rPr>
        <w:t>4.2、履约验收的费用及要求详见“供应商须知前附表</w:t>
      </w:r>
      <w:r>
        <w:rPr>
          <w:rFonts w:ascii="宋体" w:hAnsi="宋体" w:eastAsia="宋体" w:cs="宋体"/>
          <w:spacing w:val="-70"/>
          <w:sz w:val="24"/>
          <w:szCs w:val="24"/>
        </w:rPr>
        <w:t xml:space="preserve"> </w:t>
      </w:r>
      <w:r>
        <w:rPr>
          <w:rFonts w:ascii="宋体" w:hAnsi="宋体" w:eastAsia="宋体" w:cs="宋体"/>
          <w:spacing w:val="-1"/>
          <w:sz w:val="24"/>
          <w:szCs w:val="24"/>
        </w:rPr>
        <w:t>”。</w:t>
      </w:r>
    </w:p>
    <w:p w14:paraId="280A1710">
      <w:pPr>
        <w:spacing w:before="153" w:line="360" w:lineRule="auto"/>
        <w:ind w:left="494"/>
        <w:rPr>
          <w:rFonts w:ascii="宋体" w:hAnsi="宋体" w:eastAsia="宋体" w:cs="宋体"/>
          <w:sz w:val="24"/>
          <w:szCs w:val="24"/>
        </w:rPr>
      </w:pPr>
      <w:r>
        <w:rPr>
          <w:rFonts w:ascii="宋体" w:hAnsi="宋体" w:eastAsia="宋体" w:cs="宋体"/>
          <w:b/>
          <w:bCs/>
          <w:spacing w:val="-3"/>
          <w:sz w:val="24"/>
          <w:szCs w:val="24"/>
        </w:rPr>
        <w:t>5、关于询问、质疑和投诉</w:t>
      </w:r>
    </w:p>
    <w:p w14:paraId="11D5F845">
      <w:pPr>
        <w:spacing w:before="153" w:line="360" w:lineRule="auto"/>
        <w:ind w:left="484"/>
        <w:rPr>
          <w:rFonts w:ascii="宋体" w:hAnsi="宋体" w:eastAsia="宋体" w:cs="宋体"/>
          <w:sz w:val="24"/>
          <w:szCs w:val="24"/>
        </w:rPr>
      </w:pPr>
      <w:r>
        <w:rPr>
          <w:rFonts w:ascii="宋体" w:hAnsi="宋体" w:eastAsia="宋体" w:cs="宋体"/>
          <w:b/>
          <w:bCs/>
          <w:spacing w:val="-5"/>
          <w:sz w:val="24"/>
          <w:szCs w:val="24"/>
        </w:rPr>
        <w:t>5.1、询问</w:t>
      </w:r>
    </w:p>
    <w:p w14:paraId="4C0946E1">
      <w:pPr>
        <w:spacing w:before="151" w:line="360" w:lineRule="auto"/>
        <w:ind w:left="8" w:right="79" w:firstLine="471"/>
        <w:rPr>
          <w:rFonts w:ascii="宋体" w:hAnsi="宋体" w:eastAsia="宋体" w:cs="宋体"/>
          <w:sz w:val="24"/>
          <w:szCs w:val="24"/>
        </w:rPr>
      </w:pPr>
      <w:r>
        <w:rPr>
          <w:rFonts w:ascii="宋体" w:hAnsi="宋体" w:eastAsia="宋体" w:cs="宋体"/>
          <w:spacing w:val="-2"/>
          <w:sz w:val="24"/>
          <w:szCs w:val="24"/>
        </w:rPr>
        <w:t>供应商对政府采购活动事项有疑问的，可以向采购</w:t>
      </w:r>
      <w:r>
        <w:rPr>
          <w:rFonts w:ascii="宋体" w:hAnsi="宋体" w:eastAsia="宋体" w:cs="宋体"/>
          <w:spacing w:val="-3"/>
          <w:sz w:val="24"/>
          <w:szCs w:val="24"/>
        </w:rPr>
        <w:t>人或采购代理机构提出询问。采购人或</w:t>
      </w:r>
      <w:r>
        <w:rPr>
          <w:rFonts w:ascii="宋体" w:hAnsi="宋体" w:eastAsia="宋体" w:cs="宋体"/>
          <w:sz w:val="24"/>
          <w:szCs w:val="24"/>
        </w:rPr>
        <w:t>采购代理机构将在3个工作日内对供应商依法</w:t>
      </w:r>
      <w:r>
        <w:rPr>
          <w:rFonts w:ascii="宋体" w:hAnsi="宋体" w:eastAsia="宋体" w:cs="宋体"/>
          <w:spacing w:val="-1"/>
          <w:sz w:val="24"/>
          <w:szCs w:val="24"/>
        </w:rPr>
        <w:t>提出的询问作出答复。</w:t>
      </w:r>
    </w:p>
    <w:p w14:paraId="5247F3FB">
      <w:pPr>
        <w:spacing w:before="2" w:line="360" w:lineRule="auto"/>
        <w:ind w:left="9" w:right="79" w:firstLine="470"/>
        <w:jc w:val="both"/>
        <w:rPr>
          <w:rFonts w:ascii="宋体" w:hAnsi="宋体" w:eastAsia="宋体" w:cs="宋体"/>
          <w:sz w:val="24"/>
          <w:szCs w:val="24"/>
        </w:rPr>
      </w:pPr>
      <w:r>
        <w:rPr>
          <w:rFonts w:ascii="宋体" w:hAnsi="宋体" w:eastAsia="宋体" w:cs="宋体"/>
          <w:spacing w:val="-2"/>
          <w:sz w:val="24"/>
          <w:szCs w:val="24"/>
        </w:rPr>
        <w:t>根据采购人和采购代理机构签订的《政府采购委托</w:t>
      </w:r>
      <w:r>
        <w:rPr>
          <w:rFonts w:ascii="宋体" w:hAnsi="宋体" w:eastAsia="宋体" w:cs="宋体"/>
          <w:spacing w:val="-3"/>
          <w:sz w:val="24"/>
          <w:szCs w:val="24"/>
        </w:rPr>
        <w:t>代理协议》，针对采购需求（包括采购</w:t>
      </w:r>
      <w:r>
        <w:rPr>
          <w:rFonts w:ascii="宋体" w:hAnsi="宋体" w:eastAsia="宋体" w:cs="宋体"/>
          <w:spacing w:val="-2"/>
          <w:sz w:val="24"/>
          <w:szCs w:val="24"/>
        </w:rPr>
        <w:t>内容、技术或服务要求、商务要求、合同条</w:t>
      </w:r>
      <w:r>
        <w:rPr>
          <w:rFonts w:ascii="宋体" w:hAnsi="宋体" w:eastAsia="宋体" w:cs="宋体"/>
          <w:spacing w:val="-3"/>
          <w:sz w:val="24"/>
          <w:szCs w:val="24"/>
        </w:rPr>
        <w:t>款、供应商资格条件、评审要素及分值一览表）的</w:t>
      </w:r>
      <w:r>
        <w:rPr>
          <w:rFonts w:ascii="宋体" w:hAnsi="宋体" w:eastAsia="宋体" w:cs="宋体"/>
          <w:spacing w:val="-1"/>
          <w:sz w:val="24"/>
          <w:szCs w:val="24"/>
        </w:rPr>
        <w:t>询问请向采购人提出。</w:t>
      </w:r>
    </w:p>
    <w:p w14:paraId="15F5E625">
      <w:pPr>
        <w:spacing w:line="360" w:lineRule="auto"/>
        <w:ind w:left="484"/>
        <w:rPr>
          <w:rFonts w:ascii="宋体" w:hAnsi="宋体" w:eastAsia="宋体" w:cs="宋体"/>
          <w:sz w:val="24"/>
          <w:szCs w:val="24"/>
        </w:rPr>
      </w:pPr>
      <w:r>
        <w:rPr>
          <w:rFonts w:ascii="宋体" w:hAnsi="宋体" w:eastAsia="宋体" w:cs="宋体"/>
          <w:b/>
          <w:bCs/>
          <w:spacing w:val="-5"/>
          <w:sz w:val="24"/>
          <w:szCs w:val="24"/>
        </w:rPr>
        <w:t>5.2、质疑</w:t>
      </w:r>
    </w:p>
    <w:p w14:paraId="738DC6BF">
      <w:pPr>
        <w:spacing w:before="152" w:line="360" w:lineRule="auto"/>
        <w:ind w:left="12" w:right="81" w:firstLine="478"/>
        <w:rPr>
          <w:rFonts w:ascii="宋体" w:hAnsi="宋体" w:eastAsia="宋体" w:cs="宋体"/>
          <w:sz w:val="24"/>
          <w:szCs w:val="24"/>
        </w:rPr>
      </w:pPr>
      <w:r>
        <w:rPr>
          <w:rFonts w:ascii="宋体" w:hAnsi="宋体" w:eastAsia="宋体" w:cs="宋体"/>
          <w:sz w:val="24"/>
          <w:szCs w:val="24"/>
        </w:rPr>
        <w:t>（1）供应商认为采购文件、采购过程、成交结果使自己的权益受到损害的，可以在知道或应知其权益受到损害之日起7个工作日内以书面形式</w:t>
      </w:r>
      <w:r>
        <w:rPr>
          <w:rFonts w:ascii="宋体" w:hAnsi="宋体" w:eastAsia="宋体" w:cs="宋体"/>
          <w:spacing w:val="-1"/>
          <w:sz w:val="24"/>
          <w:szCs w:val="24"/>
        </w:rPr>
        <w:t>向采购人、采购代理机构提出。</w:t>
      </w:r>
    </w:p>
    <w:p w14:paraId="24DD05C3">
      <w:pPr>
        <w:spacing w:before="1" w:line="360" w:lineRule="auto"/>
        <w:ind w:left="491"/>
        <w:rPr>
          <w:rFonts w:ascii="宋体" w:hAnsi="宋体" w:eastAsia="宋体" w:cs="宋体"/>
          <w:sz w:val="24"/>
          <w:szCs w:val="24"/>
        </w:rPr>
      </w:pPr>
      <w:r>
        <w:rPr>
          <w:rFonts w:ascii="宋体" w:hAnsi="宋体" w:eastAsia="宋体" w:cs="宋体"/>
          <w:spacing w:val="-3"/>
          <w:sz w:val="24"/>
          <w:szCs w:val="24"/>
        </w:rPr>
        <w:t>（2）质疑方式：</w:t>
      </w:r>
    </w:p>
    <w:p w14:paraId="45AC33FD">
      <w:pPr>
        <w:spacing w:before="153" w:line="360" w:lineRule="auto"/>
        <w:ind w:left="497"/>
        <w:rPr>
          <w:rFonts w:ascii="宋体" w:hAnsi="宋体" w:eastAsia="宋体" w:cs="宋体"/>
          <w:sz w:val="24"/>
          <w:szCs w:val="24"/>
        </w:rPr>
      </w:pPr>
      <w:r>
        <w:rPr>
          <w:rFonts w:ascii="宋体" w:hAnsi="宋体" w:eastAsia="宋体" w:cs="宋体"/>
          <w:spacing w:val="-4"/>
          <w:sz w:val="24"/>
          <w:szCs w:val="24"/>
        </w:rPr>
        <w:t>1)在线质疑：</w:t>
      </w:r>
    </w:p>
    <w:p w14:paraId="3DFB506B">
      <w:pPr>
        <w:spacing w:before="155" w:line="360" w:lineRule="auto"/>
        <w:ind w:left="10" w:right="79" w:firstLine="474"/>
        <w:rPr>
          <w:rFonts w:ascii="宋体" w:hAnsi="宋体" w:eastAsia="宋体" w:cs="宋体"/>
          <w:sz w:val="24"/>
          <w:szCs w:val="24"/>
        </w:rPr>
      </w:pPr>
      <w:r>
        <w:rPr>
          <w:rFonts w:ascii="宋体" w:hAnsi="宋体" w:eastAsia="宋体" w:cs="宋体"/>
          <w:spacing w:val="-5"/>
          <w:sz w:val="24"/>
          <w:szCs w:val="24"/>
        </w:rPr>
        <w:t>登录【全国公共资源交易平台（陕西省</w:t>
      </w:r>
      <w:r>
        <w:rPr>
          <w:rFonts w:ascii="宋体" w:hAnsi="宋体" w:eastAsia="宋体" w:cs="宋体"/>
          <w:spacing w:val="-25"/>
          <w:sz w:val="24"/>
          <w:szCs w:val="24"/>
        </w:rPr>
        <w:t xml:space="preserve"> </w:t>
      </w:r>
      <w:r>
        <w:rPr>
          <w:rFonts w:ascii="宋体" w:hAnsi="宋体" w:eastAsia="宋体" w:cs="宋体"/>
          <w:spacing w:val="-5"/>
          <w:sz w:val="24"/>
          <w:szCs w:val="24"/>
        </w:rPr>
        <w:t>·杨凌示范区）】，在【我的项目】中点击“项目</w:t>
      </w:r>
      <w:r>
        <w:rPr>
          <w:rFonts w:ascii="宋体" w:hAnsi="宋体" w:eastAsia="宋体" w:cs="宋体"/>
          <w:spacing w:val="-3"/>
          <w:sz w:val="24"/>
          <w:szCs w:val="24"/>
        </w:rPr>
        <w:t>流程-提出质疑</w:t>
      </w:r>
      <w:r>
        <w:rPr>
          <w:rFonts w:ascii="宋体" w:hAnsi="宋体" w:eastAsia="宋体" w:cs="宋体"/>
          <w:spacing w:val="-75"/>
          <w:sz w:val="24"/>
          <w:szCs w:val="24"/>
        </w:rPr>
        <w:t xml:space="preserve"> </w:t>
      </w:r>
      <w:r>
        <w:rPr>
          <w:rFonts w:ascii="宋体" w:hAnsi="宋体" w:eastAsia="宋体" w:cs="宋体"/>
          <w:spacing w:val="-3"/>
          <w:sz w:val="24"/>
          <w:szCs w:val="24"/>
        </w:rPr>
        <w:t>”，填写表单并提交质疑。</w:t>
      </w:r>
    </w:p>
    <w:p w14:paraId="7FC0BE07">
      <w:pPr>
        <w:spacing w:before="1" w:line="360" w:lineRule="auto"/>
        <w:ind w:left="482"/>
        <w:rPr>
          <w:rFonts w:ascii="宋体" w:hAnsi="宋体" w:eastAsia="宋体" w:cs="宋体"/>
          <w:sz w:val="24"/>
          <w:szCs w:val="24"/>
        </w:rPr>
      </w:pPr>
      <w:r>
        <w:rPr>
          <w:rFonts w:ascii="宋体" w:hAnsi="宋体" w:eastAsia="宋体" w:cs="宋体"/>
          <w:spacing w:val="-2"/>
          <w:sz w:val="24"/>
          <w:szCs w:val="24"/>
        </w:rPr>
        <w:t>2)书面质疑：</w:t>
      </w:r>
    </w:p>
    <w:p w14:paraId="22E0D84D">
      <w:pPr>
        <w:spacing w:before="156" w:line="360" w:lineRule="auto"/>
        <w:ind w:left="13" w:right="79" w:firstLine="471"/>
        <w:rPr>
          <w:rFonts w:ascii="宋体" w:hAnsi="宋体" w:eastAsia="宋体" w:cs="宋体"/>
          <w:sz w:val="24"/>
          <w:szCs w:val="24"/>
        </w:rPr>
      </w:pPr>
      <w:r>
        <w:rPr>
          <w:rFonts w:ascii="宋体" w:hAnsi="宋体" w:eastAsia="宋体" w:cs="宋体"/>
          <w:spacing w:val="-3"/>
          <w:sz w:val="24"/>
          <w:szCs w:val="24"/>
        </w:rPr>
        <w:t>书面质疑函应按照财政部国库司制定的《政府采购供应商质疑函范本》（见下方链接）进</w:t>
      </w:r>
      <w:r>
        <w:rPr>
          <w:rFonts w:ascii="宋体" w:hAnsi="宋体" w:eastAsia="宋体" w:cs="宋体"/>
          <w:spacing w:val="-1"/>
          <w:sz w:val="24"/>
          <w:szCs w:val="24"/>
        </w:rPr>
        <w:t>行填写，签字、盖章后提交至采购人、采购代理机构。</w:t>
      </w:r>
    </w:p>
    <w:p w14:paraId="5EF309A8">
      <w:pPr>
        <w:spacing w:line="360" w:lineRule="auto"/>
        <w:ind w:left="480"/>
        <w:rPr>
          <w:rFonts w:ascii="宋体" w:hAnsi="宋体" w:eastAsia="宋体" w:cs="宋体"/>
          <w:sz w:val="24"/>
          <w:szCs w:val="24"/>
        </w:rPr>
      </w:pPr>
      <w:r>
        <w:rPr>
          <w:rFonts w:ascii="宋体" w:hAnsi="宋体" w:eastAsia="宋体" w:cs="宋体"/>
          <w:spacing w:val="-1"/>
          <w:position w:val="5"/>
          <w:sz w:val="24"/>
          <w:szCs w:val="24"/>
        </w:rPr>
        <w:t>质疑函范本地址：</w:t>
      </w:r>
      <w:r>
        <w:fldChar w:fldCharType="begin"/>
      </w:r>
      <w:r>
        <w:instrText xml:space="preserve"> HYPERLINK "http://download.ccgp.gov.cn/2018/zhiyihanfanben.zip" </w:instrText>
      </w:r>
      <w:r>
        <w:fldChar w:fldCharType="separate"/>
      </w:r>
      <w:r>
        <w:rPr>
          <w:rFonts w:ascii="宋体" w:hAnsi="宋体" w:eastAsia="宋体" w:cs="宋体"/>
          <w:spacing w:val="-1"/>
          <w:position w:val="5"/>
          <w:sz w:val="24"/>
          <w:szCs w:val="24"/>
        </w:rPr>
        <w:t>http://down</w:t>
      </w:r>
      <w:r>
        <w:rPr>
          <w:rFonts w:ascii="宋体" w:hAnsi="宋体" w:eastAsia="宋体" w:cs="宋体"/>
          <w:spacing w:val="-96"/>
          <w:position w:val="5"/>
          <w:sz w:val="24"/>
          <w:szCs w:val="24"/>
        </w:rPr>
        <w:t xml:space="preserve"> </w:t>
      </w:r>
      <w:r>
        <w:rPr>
          <w:rFonts w:ascii="宋体" w:hAnsi="宋体" w:eastAsia="宋体" w:cs="宋体"/>
          <w:spacing w:val="-1"/>
          <w:position w:val="5"/>
          <w:sz w:val="24"/>
          <w:szCs w:val="24"/>
        </w:rPr>
        <w:t>load.ccgp.gov.cn/2018/zhiy</w:t>
      </w:r>
      <w:r>
        <w:rPr>
          <w:rFonts w:ascii="宋体" w:hAnsi="宋体" w:eastAsia="宋体" w:cs="宋体"/>
          <w:spacing w:val="-95"/>
          <w:position w:val="5"/>
          <w:sz w:val="24"/>
          <w:szCs w:val="24"/>
        </w:rPr>
        <w:t xml:space="preserve"> </w:t>
      </w:r>
      <w:r>
        <w:rPr>
          <w:rFonts w:ascii="宋体" w:hAnsi="宋体" w:eastAsia="宋体" w:cs="宋体"/>
          <w:spacing w:val="-1"/>
          <w:position w:val="5"/>
          <w:sz w:val="24"/>
          <w:szCs w:val="24"/>
        </w:rPr>
        <w:t>ihanfanben.z</w:t>
      </w:r>
      <w:r>
        <w:rPr>
          <w:rFonts w:ascii="宋体" w:hAnsi="宋体" w:eastAsia="宋体" w:cs="宋体"/>
          <w:spacing w:val="-2"/>
          <w:position w:val="5"/>
          <w:sz w:val="24"/>
          <w:szCs w:val="24"/>
        </w:rPr>
        <w:t>ip</w:t>
      </w:r>
      <w:r>
        <w:rPr>
          <w:rFonts w:ascii="宋体" w:hAnsi="宋体" w:eastAsia="宋体" w:cs="宋体"/>
          <w:spacing w:val="-2"/>
          <w:position w:val="5"/>
          <w:sz w:val="24"/>
          <w:szCs w:val="24"/>
        </w:rPr>
        <w:fldChar w:fldCharType="end"/>
      </w:r>
    </w:p>
    <w:p w14:paraId="4DF5B6EB">
      <w:pPr>
        <w:spacing w:before="147" w:line="360" w:lineRule="auto"/>
        <w:ind w:left="491"/>
      </w:pPr>
      <w:r>
        <w:rPr>
          <w:rFonts w:ascii="宋体" w:hAnsi="宋体" w:eastAsia="宋体" w:cs="宋体"/>
          <w:sz w:val="24"/>
          <w:szCs w:val="24"/>
        </w:rPr>
        <w:t>（3）供应商为自然人的，应当由本人签字；供应商为法人或者其他组织的，应当由法定</w:t>
      </w:r>
    </w:p>
    <w:p w14:paraId="237D2680">
      <w:pPr>
        <w:spacing w:before="78" w:line="360" w:lineRule="auto"/>
        <w:ind w:left="9" w:right="105" w:hanging="1"/>
        <w:rPr>
          <w:rFonts w:ascii="宋体" w:hAnsi="宋体" w:eastAsia="宋体" w:cs="宋体"/>
          <w:sz w:val="24"/>
          <w:szCs w:val="24"/>
        </w:rPr>
      </w:pPr>
      <w:r>
        <w:rPr>
          <w:rFonts w:ascii="宋体" w:hAnsi="宋体" w:eastAsia="宋体" w:cs="宋体"/>
          <w:spacing w:val="-2"/>
          <w:sz w:val="24"/>
          <w:szCs w:val="24"/>
        </w:rPr>
        <w:t>代表人、主要负责人，或者其授权代表签字</w:t>
      </w:r>
      <w:r>
        <w:rPr>
          <w:rFonts w:ascii="宋体" w:hAnsi="宋体" w:eastAsia="宋体" w:cs="宋体"/>
          <w:spacing w:val="-3"/>
          <w:sz w:val="24"/>
          <w:szCs w:val="24"/>
        </w:rPr>
        <w:t>或者盖章，并加盖单位公章，公章不得以合同章或</w:t>
      </w:r>
      <w:r>
        <w:rPr>
          <w:rFonts w:ascii="宋体" w:hAnsi="宋体" w:eastAsia="宋体" w:cs="宋体"/>
          <w:sz w:val="24"/>
          <w:szCs w:val="24"/>
        </w:rPr>
        <w:t>其他印章代替。供应商委托代理人提出质疑的，应当同时提交</w:t>
      </w:r>
      <w:r>
        <w:rPr>
          <w:rFonts w:ascii="宋体" w:hAnsi="宋体" w:eastAsia="宋体" w:cs="宋体"/>
          <w:spacing w:val="-1"/>
          <w:sz w:val="24"/>
          <w:szCs w:val="24"/>
        </w:rPr>
        <w:t>供应商签署的授权委托书。</w:t>
      </w:r>
    </w:p>
    <w:p w14:paraId="43825C73">
      <w:pPr>
        <w:spacing w:before="1" w:line="360" w:lineRule="auto"/>
        <w:ind w:left="12" w:right="108" w:firstLine="478"/>
        <w:rPr>
          <w:rFonts w:ascii="宋体" w:hAnsi="宋体" w:eastAsia="宋体" w:cs="宋体"/>
          <w:sz w:val="24"/>
          <w:szCs w:val="24"/>
        </w:rPr>
      </w:pPr>
      <w:r>
        <w:rPr>
          <w:rFonts w:ascii="宋体" w:hAnsi="宋体" w:eastAsia="宋体" w:cs="宋体"/>
          <w:sz w:val="24"/>
          <w:szCs w:val="24"/>
        </w:rPr>
        <w:t>（4）在法定质疑期内，针对同一采购程序环节的质疑应当一次性提出。采购人、采购代理机构将在收到书面质疑后7个工作日内做出答复，并以书面形式通知质疑人和其他有关供应</w:t>
      </w:r>
      <w:r>
        <w:rPr>
          <w:rFonts w:ascii="宋体" w:hAnsi="宋体" w:eastAsia="宋体" w:cs="宋体"/>
          <w:spacing w:val="-7"/>
          <w:sz w:val="24"/>
          <w:szCs w:val="24"/>
        </w:rPr>
        <w:t>商。</w:t>
      </w:r>
    </w:p>
    <w:p w14:paraId="4E8D0327">
      <w:pPr>
        <w:spacing w:line="360" w:lineRule="auto"/>
        <w:ind w:left="491"/>
        <w:rPr>
          <w:rFonts w:ascii="宋体" w:hAnsi="宋体" w:eastAsia="宋体" w:cs="宋体"/>
          <w:sz w:val="24"/>
          <w:szCs w:val="24"/>
        </w:rPr>
      </w:pPr>
      <w:r>
        <w:rPr>
          <w:rFonts w:ascii="宋体" w:hAnsi="宋体" w:eastAsia="宋体" w:cs="宋体"/>
          <w:spacing w:val="-2"/>
          <w:sz w:val="24"/>
          <w:szCs w:val="24"/>
        </w:rPr>
        <w:t>（5）有下列情形之一的，属于无效质疑：</w:t>
      </w:r>
    </w:p>
    <w:p w14:paraId="7EF3ACF6">
      <w:pPr>
        <w:spacing w:before="156" w:line="360" w:lineRule="auto"/>
        <w:ind w:left="15" w:right="105" w:firstLine="482"/>
        <w:rPr>
          <w:rFonts w:ascii="宋体" w:hAnsi="宋体" w:eastAsia="宋体" w:cs="宋体"/>
          <w:sz w:val="24"/>
          <w:szCs w:val="24"/>
        </w:rPr>
      </w:pPr>
      <w:r>
        <w:rPr>
          <w:rFonts w:ascii="宋体" w:hAnsi="宋体" w:eastAsia="宋体" w:cs="宋体"/>
          <w:spacing w:val="-3"/>
          <w:sz w:val="24"/>
          <w:szCs w:val="24"/>
        </w:rPr>
        <w:t>1)对采购文件提出质疑的质疑人不是依法获取采购文件的潜在供应商；对采购过程、中标</w:t>
      </w:r>
      <w:r>
        <w:rPr>
          <w:rFonts w:ascii="宋体" w:hAnsi="宋体" w:eastAsia="宋体" w:cs="宋体"/>
          <w:spacing w:val="-1"/>
          <w:sz w:val="24"/>
          <w:szCs w:val="24"/>
        </w:rPr>
        <w:t>结果提出质疑的质疑人不是参与本次政府采购项目的供应商；</w:t>
      </w:r>
    </w:p>
    <w:p w14:paraId="14C5AFB4">
      <w:pPr>
        <w:spacing w:line="360" w:lineRule="auto"/>
        <w:ind w:left="492"/>
        <w:rPr>
          <w:rFonts w:ascii="宋体" w:hAnsi="宋体" w:eastAsia="宋体" w:cs="宋体"/>
          <w:sz w:val="24"/>
          <w:szCs w:val="24"/>
        </w:rPr>
      </w:pPr>
      <w:r>
        <w:rPr>
          <w:rFonts w:ascii="宋体" w:hAnsi="宋体" w:eastAsia="宋体" w:cs="宋体"/>
          <w:spacing w:val="-1"/>
          <w:sz w:val="24"/>
          <w:szCs w:val="24"/>
        </w:rPr>
        <w:t>2）质疑人与质疑事项不存在利害关系的；</w:t>
      </w:r>
    </w:p>
    <w:p w14:paraId="262B516D">
      <w:pPr>
        <w:spacing w:before="135" w:line="360" w:lineRule="auto"/>
        <w:ind w:left="494"/>
        <w:rPr>
          <w:rFonts w:ascii="宋体" w:hAnsi="宋体" w:eastAsia="宋体" w:cs="宋体"/>
          <w:sz w:val="24"/>
          <w:szCs w:val="24"/>
        </w:rPr>
      </w:pPr>
      <w:r>
        <w:rPr>
          <w:rFonts w:ascii="宋体" w:hAnsi="宋体" w:eastAsia="宋体" w:cs="宋体"/>
          <w:spacing w:val="-1"/>
          <w:sz w:val="24"/>
          <w:szCs w:val="24"/>
        </w:rPr>
        <w:t>3）未在法定期限内提出质疑的；</w:t>
      </w:r>
    </w:p>
    <w:p w14:paraId="7F722562">
      <w:pPr>
        <w:spacing w:before="135" w:line="360" w:lineRule="auto"/>
        <w:ind w:left="9" w:right="108" w:firstLine="479"/>
        <w:rPr>
          <w:rFonts w:ascii="宋体" w:hAnsi="宋体" w:eastAsia="宋体" w:cs="宋体"/>
          <w:sz w:val="24"/>
          <w:szCs w:val="24"/>
        </w:rPr>
      </w:pPr>
      <w:r>
        <w:rPr>
          <w:rFonts w:ascii="宋体" w:hAnsi="宋体" w:eastAsia="宋体" w:cs="宋体"/>
          <w:sz w:val="24"/>
          <w:szCs w:val="24"/>
        </w:rPr>
        <w:t>4）质疑未以书面形式提出，或质疑函主要内容构成不完整的，或缺乏必要的证明材料及</w:t>
      </w:r>
      <w:r>
        <w:rPr>
          <w:rFonts w:ascii="宋体" w:hAnsi="宋体" w:eastAsia="宋体" w:cs="宋体"/>
          <w:spacing w:val="-2"/>
          <w:sz w:val="24"/>
          <w:szCs w:val="24"/>
        </w:rPr>
        <w:t>证明材料不完整的；</w:t>
      </w:r>
    </w:p>
    <w:p w14:paraId="7CB93552">
      <w:pPr>
        <w:spacing w:line="360" w:lineRule="auto"/>
        <w:ind w:left="494"/>
        <w:rPr>
          <w:rFonts w:ascii="宋体" w:hAnsi="宋体" w:eastAsia="宋体" w:cs="宋体"/>
          <w:sz w:val="24"/>
          <w:szCs w:val="24"/>
        </w:rPr>
      </w:pPr>
      <w:r>
        <w:rPr>
          <w:rFonts w:ascii="宋体" w:hAnsi="宋体" w:eastAsia="宋体" w:cs="宋体"/>
          <w:spacing w:val="-1"/>
          <w:sz w:val="24"/>
          <w:szCs w:val="24"/>
        </w:rPr>
        <w:t>5）质疑函没有合法有效的签字、盖章或授权的；</w:t>
      </w:r>
    </w:p>
    <w:p w14:paraId="2CE1F30F">
      <w:pPr>
        <w:spacing w:before="136" w:line="360" w:lineRule="auto"/>
        <w:ind w:left="491"/>
        <w:rPr>
          <w:rFonts w:ascii="宋体" w:hAnsi="宋体" w:eastAsia="宋体" w:cs="宋体"/>
          <w:sz w:val="24"/>
          <w:szCs w:val="24"/>
        </w:rPr>
      </w:pPr>
      <w:r>
        <w:rPr>
          <w:rFonts w:ascii="宋体" w:hAnsi="宋体" w:eastAsia="宋体" w:cs="宋体"/>
          <w:spacing w:val="-1"/>
          <w:sz w:val="24"/>
          <w:szCs w:val="24"/>
        </w:rPr>
        <w:t>6）以非法手段取得证据、材料的；</w:t>
      </w:r>
    </w:p>
    <w:p w14:paraId="201FFEDC">
      <w:pPr>
        <w:spacing w:before="136" w:line="360" w:lineRule="auto"/>
        <w:ind w:left="495"/>
        <w:rPr>
          <w:rFonts w:ascii="宋体" w:hAnsi="宋体" w:eastAsia="宋体" w:cs="宋体"/>
          <w:sz w:val="24"/>
          <w:szCs w:val="24"/>
        </w:rPr>
      </w:pPr>
      <w:r>
        <w:rPr>
          <w:rFonts w:ascii="宋体" w:hAnsi="宋体" w:eastAsia="宋体" w:cs="宋体"/>
          <w:spacing w:val="-1"/>
          <w:sz w:val="24"/>
          <w:szCs w:val="24"/>
        </w:rPr>
        <w:t>7）质疑答复后，同一质疑人就同一事项再次提出质疑的；</w:t>
      </w:r>
    </w:p>
    <w:p w14:paraId="5E70A532">
      <w:pPr>
        <w:spacing w:before="134" w:line="360" w:lineRule="auto"/>
        <w:ind w:left="490"/>
        <w:rPr>
          <w:rFonts w:ascii="宋体" w:hAnsi="宋体" w:eastAsia="宋体" w:cs="宋体"/>
          <w:sz w:val="24"/>
          <w:szCs w:val="24"/>
        </w:rPr>
      </w:pPr>
      <w:r>
        <w:rPr>
          <w:rFonts w:ascii="宋体" w:hAnsi="宋体" w:eastAsia="宋体" w:cs="宋体"/>
          <w:spacing w:val="-1"/>
          <w:sz w:val="24"/>
          <w:szCs w:val="24"/>
        </w:rPr>
        <w:t>8）不符合法律、法规、规章和监管机构规定的其他条件的。</w:t>
      </w:r>
    </w:p>
    <w:p w14:paraId="3144E38B">
      <w:pPr>
        <w:spacing w:before="136" w:line="360" w:lineRule="auto"/>
        <w:ind w:left="12" w:right="105" w:firstLine="488"/>
        <w:rPr>
          <w:rFonts w:ascii="宋体" w:hAnsi="宋体" w:eastAsia="宋体" w:cs="宋体"/>
          <w:sz w:val="24"/>
          <w:szCs w:val="24"/>
        </w:rPr>
      </w:pPr>
      <w:r>
        <w:rPr>
          <w:rFonts w:ascii="宋体" w:hAnsi="宋体" w:eastAsia="宋体" w:cs="宋体"/>
          <w:spacing w:val="-3"/>
          <w:sz w:val="24"/>
          <w:szCs w:val="24"/>
        </w:rPr>
        <w:t>（6）代理机构或采购人将在收到书面质疑后7个工作日内做出答复，并以书面形式通知质</w:t>
      </w:r>
      <w:r>
        <w:rPr>
          <w:rFonts w:ascii="宋体" w:hAnsi="宋体" w:eastAsia="宋体" w:cs="宋体"/>
          <w:spacing w:val="-2"/>
          <w:sz w:val="24"/>
          <w:szCs w:val="24"/>
        </w:rPr>
        <w:t>疑人和其他有关供应商。</w:t>
      </w:r>
    </w:p>
    <w:p w14:paraId="22509594">
      <w:pPr>
        <w:spacing w:before="10" w:line="360" w:lineRule="auto"/>
        <w:ind w:left="484"/>
        <w:rPr>
          <w:rFonts w:ascii="宋体" w:hAnsi="宋体" w:eastAsia="宋体" w:cs="宋体"/>
          <w:sz w:val="24"/>
          <w:szCs w:val="24"/>
        </w:rPr>
      </w:pPr>
      <w:r>
        <w:rPr>
          <w:rFonts w:ascii="宋体" w:hAnsi="宋体" w:eastAsia="宋体" w:cs="宋体"/>
          <w:b/>
          <w:bCs/>
          <w:spacing w:val="-5"/>
          <w:sz w:val="24"/>
          <w:szCs w:val="24"/>
        </w:rPr>
        <w:t>5.3、投诉</w:t>
      </w:r>
    </w:p>
    <w:p w14:paraId="3F4C9B0F">
      <w:pPr>
        <w:spacing w:before="157" w:line="360" w:lineRule="auto"/>
        <w:ind w:left="8" w:firstLine="482"/>
        <w:rPr>
          <w:rFonts w:ascii="宋体" w:hAnsi="宋体" w:eastAsia="宋体" w:cs="宋体"/>
          <w:sz w:val="24"/>
          <w:szCs w:val="24"/>
        </w:rPr>
      </w:pPr>
      <w:r>
        <w:rPr>
          <w:rFonts w:ascii="宋体" w:hAnsi="宋体" w:eastAsia="宋体" w:cs="宋体"/>
          <w:sz w:val="24"/>
          <w:szCs w:val="24"/>
        </w:rPr>
        <w:t>（1）质疑供应商对采购人、采购代理机构的答复不满意，或者采购人、采购代理机构未</w:t>
      </w:r>
      <w:r>
        <w:rPr>
          <w:rFonts w:ascii="宋体" w:hAnsi="宋体" w:eastAsia="宋体" w:cs="宋体"/>
          <w:spacing w:val="-5"/>
          <w:sz w:val="24"/>
          <w:szCs w:val="24"/>
        </w:rPr>
        <w:t>在规定的时间内做出答复的，可以在答复期满</w:t>
      </w:r>
      <w:r>
        <w:rPr>
          <w:rFonts w:ascii="宋体" w:hAnsi="宋体" w:eastAsia="宋体" w:cs="宋体"/>
          <w:spacing w:val="-6"/>
          <w:sz w:val="24"/>
          <w:szCs w:val="24"/>
        </w:rPr>
        <w:t>后15个工作日内按照《政府采购质疑和投诉办法》</w:t>
      </w:r>
      <w:r>
        <w:rPr>
          <w:rFonts w:ascii="宋体" w:hAnsi="宋体" w:eastAsia="宋体" w:cs="宋体"/>
          <w:sz w:val="24"/>
          <w:szCs w:val="24"/>
        </w:rPr>
        <w:t xml:space="preserve"> </w:t>
      </w:r>
      <w:r>
        <w:rPr>
          <w:rFonts w:ascii="宋体" w:hAnsi="宋体" w:eastAsia="宋体" w:cs="宋体"/>
          <w:spacing w:val="-1"/>
          <w:sz w:val="24"/>
          <w:szCs w:val="24"/>
        </w:rPr>
        <w:t>（财政部94号令）相关规定向监管部门提出投诉。</w:t>
      </w:r>
    </w:p>
    <w:p w14:paraId="605E9987">
      <w:pPr>
        <w:spacing w:before="2" w:line="360" w:lineRule="auto"/>
        <w:ind w:left="14" w:right="108" w:firstLine="477"/>
        <w:rPr>
          <w:rFonts w:ascii="宋体" w:hAnsi="宋体" w:eastAsia="宋体" w:cs="宋体"/>
          <w:sz w:val="24"/>
          <w:szCs w:val="24"/>
        </w:rPr>
      </w:pPr>
      <w:r>
        <w:rPr>
          <w:rFonts w:ascii="宋体" w:hAnsi="宋体" w:eastAsia="宋体" w:cs="宋体"/>
          <w:sz w:val="24"/>
          <w:szCs w:val="24"/>
        </w:rPr>
        <w:t>（2）供应商投诉的事项不得超出已质疑事项的范围。供应商提出投诉时，应当提交投诉</w:t>
      </w:r>
      <w:r>
        <w:rPr>
          <w:rFonts w:ascii="宋体" w:hAnsi="宋体" w:eastAsia="宋体" w:cs="宋体"/>
          <w:spacing w:val="-1"/>
          <w:sz w:val="24"/>
          <w:szCs w:val="24"/>
        </w:rPr>
        <w:t>书和必要的证明材料，并按财政部《投诉书范本》给定的格式进行填写。</w:t>
      </w:r>
    </w:p>
    <w:p w14:paraId="0142A68F">
      <w:pPr>
        <w:spacing w:line="360" w:lineRule="auto"/>
        <w:ind w:left="482"/>
        <w:rPr>
          <w:rFonts w:ascii="宋体" w:hAnsi="宋体" w:eastAsia="宋体" w:cs="宋体"/>
          <w:sz w:val="24"/>
          <w:szCs w:val="24"/>
        </w:rPr>
      </w:pPr>
      <w:r>
        <w:rPr>
          <w:rFonts w:ascii="宋体" w:hAnsi="宋体" w:eastAsia="宋体" w:cs="宋体"/>
          <w:spacing w:val="-1"/>
          <w:position w:val="5"/>
          <w:sz w:val="24"/>
          <w:szCs w:val="24"/>
        </w:rPr>
        <w:t>投诉书范本地址：</w:t>
      </w:r>
      <w:r>
        <w:fldChar w:fldCharType="begin"/>
      </w:r>
      <w:r>
        <w:instrText xml:space="preserve"> HYPERLINK "http://download.ccgp.gov.cn/2018/tousushufanben.zip" </w:instrText>
      </w:r>
      <w:r>
        <w:fldChar w:fldCharType="separate"/>
      </w:r>
      <w:r>
        <w:rPr>
          <w:rFonts w:ascii="宋体" w:hAnsi="宋体" w:eastAsia="宋体" w:cs="宋体"/>
          <w:spacing w:val="-1"/>
          <w:position w:val="5"/>
          <w:sz w:val="24"/>
          <w:szCs w:val="24"/>
        </w:rPr>
        <w:t>http://down</w:t>
      </w:r>
      <w:r>
        <w:rPr>
          <w:rFonts w:ascii="宋体" w:hAnsi="宋体" w:eastAsia="宋体" w:cs="宋体"/>
          <w:spacing w:val="-96"/>
          <w:position w:val="5"/>
          <w:sz w:val="24"/>
          <w:szCs w:val="24"/>
        </w:rPr>
        <w:t xml:space="preserve"> </w:t>
      </w:r>
      <w:r>
        <w:rPr>
          <w:rFonts w:ascii="宋体" w:hAnsi="宋体" w:eastAsia="宋体" w:cs="宋体"/>
          <w:spacing w:val="-1"/>
          <w:position w:val="5"/>
          <w:sz w:val="24"/>
          <w:szCs w:val="24"/>
        </w:rPr>
        <w:t>load.ccgp.gov.cn/2018/</w:t>
      </w:r>
      <w:r>
        <w:rPr>
          <w:rFonts w:ascii="宋体" w:hAnsi="宋体" w:eastAsia="宋体" w:cs="宋体"/>
          <w:spacing w:val="-2"/>
          <w:position w:val="5"/>
          <w:sz w:val="24"/>
          <w:szCs w:val="24"/>
        </w:rPr>
        <w:t>tou</w:t>
      </w:r>
      <w:r>
        <w:rPr>
          <w:rFonts w:ascii="宋体" w:hAnsi="宋体" w:eastAsia="宋体" w:cs="宋体"/>
          <w:spacing w:val="-100"/>
          <w:position w:val="5"/>
          <w:sz w:val="24"/>
          <w:szCs w:val="24"/>
        </w:rPr>
        <w:t xml:space="preserve"> </w:t>
      </w:r>
      <w:r>
        <w:rPr>
          <w:rFonts w:ascii="宋体" w:hAnsi="宋体" w:eastAsia="宋体" w:cs="宋体"/>
          <w:spacing w:val="-2"/>
          <w:position w:val="5"/>
          <w:sz w:val="24"/>
          <w:szCs w:val="24"/>
        </w:rPr>
        <w:t>su</w:t>
      </w:r>
      <w:r>
        <w:rPr>
          <w:rFonts w:ascii="宋体" w:hAnsi="宋体" w:eastAsia="宋体" w:cs="宋体"/>
          <w:spacing w:val="-101"/>
          <w:position w:val="5"/>
          <w:sz w:val="24"/>
          <w:szCs w:val="24"/>
        </w:rPr>
        <w:t xml:space="preserve"> </w:t>
      </w:r>
      <w:r>
        <w:rPr>
          <w:rFonts w:ascii="宋体" w:hAnsi="宋体" w:eastAsia="宋体" w:cs="宋体"/>
          <w:spacing w:val="-2"/>
          <w:position w:val="5"/>
          <w:sz w:val="24"/>
          <w:szCs w:val="24"/>
        </w:rPr>
        <w:t>shufanben.zip</w:t>
      </w:r>
      <w:r>
        <w:rPr>
          <w:rFonts w:ascii="宋体" w:hAnsi="宋体" w:eastAsia="宋体" w:cs="宋体"/>
          <w:spacing w:val="-2"/>
          <w:position w:val="5"/>
          <w:sz w:val="24"/>
          <w:szCs w:val="24"/>
        </w:rPr>
        <w:fldChar w:fldCharType="end"/>
      </w:r>
    </w:p>
    <w:p w14:paraId="277162A3">
      <w:pPr>
        <w:spacing w:before="148" w:line="360" w:lineRule="auto"/>
        <w:ind w:left="484"/>
        <w:rPr>
          <w:rFonts w:ascii="宋体" w:hAnsi="宋体" w:eastAsia="宋体" w:cs="宋体"/>
          <w:sz w:val="24"/>
          <w:szCs w:val="24"/>
        </w:rPr>
      </w:pPr>
      <w:r>
        <w:rPr>
          <w:rFonts w:ascii="宋体" w:hAnsi="宋体" w:eastAsia="宋体" w:cs="宋体"/>
          <w:b/>
          <w:bCs/>
          <w:spacing w:val="-3"/>
          <w:sz w:val="24"/>
          <w:szCs w:val="24"/>
        </w:rPr>
        <w:t>5.4、恶意质疑、投诉的法律后果</w:t>
      </w:r>
    </w:p>
    <w:p w14:paraId="7AEDD20A">
      <w:pPr>
        <w:spacing w:before="153" w:line="360" w:lineRule="auto"/>
        <w:ind w:left="491"/>
        <w:rPr>
          <w:rFonts w:ascii="宋体" w:hAnsi="宋体" w:eastAsia="宋体" w:cs="宋体"/>
          <w:sz w:val="24"/>
          <w:szCs w:val="24"/>
        </w:rPr>
      </w:pPr>
      <w:r>
        <w:rPr>
          <w:rFonts w:ascii="宋体" w:hAnsi="宋体" w:eastAsia="宋体" w:cs="宋体"/>
          <w:spacing w:val="-1"/>
          <w:sz w:val="24"/>
          <w:szCs w:val="24"/>
        </w:rPr>
        <w:t>（1）对捏造事实、提供虚假材料进行质疑、投诉的行为予以严肃处理：</w:t>
      </w:r>
    </w:p>
    <w:p w14:paraId="220E3435">
      <w:pPr>
        <w:spacing w:before="158" w:line="360" w:lineRule="auto"/>
        <w:ind w:left="10" w:right="25" w:firstLine="475"/>
      </w:pPr>
      <w:r>
        <w:rPr>
          <w:rFonts w:ascii="宋体" w:hAnsi="宋体" w:eastAsia="宋体" w:cs="宋体"/>
          <w:spacing w:val="-2"/>
          <w:sz w:val="24"/>
          <w:szCs w:val="24"/>
        </w:rPr>
        <w:t>《政府采购质疑和投诉办法》（财政部94</w:t>
      </w:r>
      <w:r>
        <w:rPr>
          <w:rFonts w:ascii="宋体" w:hAnsi="宋体" w:eastAsia="宋体" w:cs="宋体"/>
          <w:spacing w:val="-3"/>
          <w:sz w:val="24"/>
          <w:szCs w:val="24"/>
        </w:rPr>
        <w:t>号令）规定，投诉人在全国范围内十二个月内三</w:t>
      </w:r>
      <w:r>
        <w:rPr>
          <w:rFonts w:ascii="宋体" w:hAnsi="宋体" w:eastAsia="宋体" w:cs="宋体"/>
          <w:spacing w:val="-6"/>
          <w:sz w:val="24"/>
          <w:szCs w:val="24"/>
        </w:rPr>
        <w:t>次以上投诉查无实据的，由财政部门列入不良行为记录名单。对于</w:t>
      </w:r>
      <w:r>
        <w:rPr>
          <w:rFonts w:ascii="宋体" w:hAnsi="宋体" w:eastAsia="宋体" w:cs="宋体"/>
          <w:spacing w:val="-7"/>
          <w:sz w:val="24"/>
          <w:szCs w:val="24"/>
        </w:rPr>
        <w:t>捏造事实、或提供虚假材料、</w:t>
      </w:r>
      <w:r>
        <w:rPr>
          <w:rFonts w:ascii="宋体" w:hAnsi="宋体" w:eastAsia="宋体" w:cs="宋体"/>
          <w:spacing w:val="-3"/>
          <w:sz w:val="24"/>
          <w:szCs w:val="24"/>
        </w:rPr>
        <w:t>或以非法手段取得证明材料（证据来源的合法性存在明显疑问，投诉人无法证明其取得方式合法的，视为以非法手段取得证明材料）进行投诉的，属于虚假、恶意投诉，由财政部门列入不</w:t>
      </w:r>
      <w:r>
        <w:rPr>
          <w:rFonts w:ascii="宋体" w:hAnsi="宋体" w:eastAsia="宋体" w:cs="宋体"/>
          <w:spacing w:val="-1"/>
          <w:sz w:val="24"/>
          <w:szCs w:val="24"/>
        </w:rPr>
        <w:t>良行为记录名单，并禁止其一至三年内参加政府采购活动。</w:t>
      </w:r>
    </w:p>
    <w:p w14:paraId="157DF680">
      <w:pPr>
        <w:spacing w:before="78" w:line="360" w:lineRule="auto"/>
        <w:ind w:left="491"/>
        <w:rPr>
          <w:rFonts w:ascii="宋体" w:hAnsi="宋体" w:eastAsia="宋体" w:cs="宋体"/>
          <w:sz w:val="24"/>
          <w:szCs w:val="24"/>
        </w:rPr>
      </w:pPr>
      <w:r>
        <w:rPr>
          <w:rFonts w:ascii="宋体" w:hAnsi="宋体" w:eastAsia="宋体" w:cs="宋体"/>
          <w:spacing w:val="-1"/>
          <w:sz w:val="24"/>
          <w:szCs w:val="24"/>
        </w:rPr>
        <w:t>（2）对捏造事实诬告陷害他人、诽谤他人的法律适用：</w:t>
      </w:r>
    </w:p>
    <w:p w14:paraId="66F08650">
      <w:pPr>
        <w:spacing w:before="157" w:line="360" w:lineRule="auto"/>
        <w:ind w:left="10" w:right="53" w:firstLine="475"/>
        <w:rPr>
          <w:rFonts w:ascii="宋体" w:hAnsi="宋体" w:eastAsia="宋体" w:cs="宋体"/>
          <w:sz w:val="24"/>
          <w:szCs w:val="24"/>
        </w:rPr>
      </w:pPr>
      <w:r>
        <w:rPr>
          <w:rFonts w:ascii="宋体" w:hAnsi="宋体" w:eastAsia="宋体" w:cs="宋体"/>
          <w:spacing w:val="1"/>
          <w:sz w:val="24"/>
          <w:szCs w:val="24"/>
        </w:rPr>
        <w:t>《中华人民共和国刑法》第243条【诬告</w:t>
      </w:r>
      <w:r>
        <w:rPr>
          <w:rFonts w:ascii="宋体" w:hAnsi="宋体" w:eastAsia="宋体" w:cs="宋体"/>
          <w:sz w:val="24"/>
          <w:szCs w:val="24"/>
        </w:rPr>
        <w:t>陷害罪】捏造事实诬告陷害他人，意图使他人受</w:t>
      </w:r>
      <w:r>
        <w:rPr>
          <w:rFonts w:ascii="宋体" w:hAnsi="宋体" w:eastAsia="宋体" w:cs="宋体"/>
          <w:spacing w:val="-3"/>
          <w:sz w:val="24"/>
          <w:szCs w:val="24"/>
        </w:rPr>
        <w:t>刑事追究，情节严重的，处三年以下有期徒刑、拘役或者管制；造成严重后果的，处三年以上</w:t>
      </w:r>
      <w:r>
        <w:rPr>
          <w:rFonts w:ascii="宋体" w:hAnsi="宋体" w:eastAsia="宋体" w:cs="宋体"/>
          <w:spacing w:val="-2"/>
          <w:sz w:val="24"/>
          <w:szCs w:val="24"/>
        </w:rPr>
        <w:t>十年以下有期徒刑。</w:t>
      </w:r>
    </w:p>
    <w:p w14:paraId="5DB23DF2">
      <w:pPr>
        <w:spacing w:before="1" w:line="360" w:lineRule="auto"/>
        <w:ind w:left="12" w:firstLine="473"/>
        <w:rPr>
          <w:rFonts w:ascii="宋体" w:hAnsi="宋体" w:eastAsia="宋体" w:cs="宋体"/>
          <w:sz w:val="24"/>
          <w:szCs w:val="24"/>
        </w:rPr>
      </w:pPr>
      <w:r>
        <w:rPr>
          <w:rFonts w:ascii="宋体" w:hAnsi="宋体" w:eastAsia="宋体" w:cs="宋体"/>
          <w:spacing w:val="1"/>
          <w:sz w:val="24"/>
          <w:szCs w:val="24"/>
        </w:rPr>
        <w:t>《中华人民共和国刑法》第246条【侮辱</w:t>
      </w:r>
      <w:r>
        <w:rPr>
          <w:rFonts w:ascii="宋体" w:hAnsi="宋体" w:eastAsia="宋体" w:cs="宋体"/>
          <w:sz w:val="24"/>
          <w:szCs w:val="24"/>
        </w:rPr>
        <w:t>罪、诽谤罪】以暴力或者其他方法公然侮辱他人</w:t>
      </w:r>
      <w:r>
        <w:rPr>
          <w:rFonts w:ascii="宋体" w:hAnsi="宋体" w:eastAsia="宋体" w:cs="宋体"/>
          <w:spacing w:val="-1"/>
          <w:sz w:val="24"/>
          <w:szCs w:val="24"/>
        </w:rPr>
        <w:t>或者捏造事实诽谤他人，情节严重的，处三年以下有期徒刑、拘</w:t>
      </w:r>
      <w:r>
        <w:rPr>
          <w:rFonts w:ascii="宋体" w:hAnsi="宋体" w:eastAsia="宋体" w:cs="宋体"/>
          <w:spacing w:val="-2"/>
          <w:sz w:val="24"/>
          <w:szCs w:val="24"/>
        </w:rPr>
        <w:t>役、管制或者剥夺政治权利。</w:t>
      </w:r>
    </w:p>
    <w:p w14:paraId="4BA32C78">
      <w:pPr>
        <w:spacing w:line="360" w:lineRule="auto"/>
        <w:ind w:left="481"/>
        <w:rPr>
          <w:rFonts w:ascii="宋体" w:hAnsi="宋体" w:eastAsia="宋体" w:cs="宋体"/>
          <w:sz w:val="24"/>
          <w:szCs w:val="24"/>
        </w:rPr>
      </w:pPr>
      <w:r>
        <w:rPr>
          <w:rFonts w:ascii="宋体" w:hAnsi="宋体" w:eastAsia="宋体" w:cs="宋体"/>
          <w:b/>
          <w:bCs/>
          <w:spacing w:val="-3"/>
          <w:sz w:val="24"/>
          <w:szCs w:val="24"/>
        </w:rPr>
        <w:t>6、陕西省政府采购信用担保及信用融资</w:t>
      </w:r>
    </w:p>
    <w:p w14:paraId="1B0AE9AD">
      <w:pPr>
        <w:spacing w:before="139" w:line="360" w:lineRule="auto"/>
        <w:ind w:left="8" w:right="53" w:firstLine="483"/>
        <w:jc w:val="both"/>
        <w:rPr>
          <w:rFonts w:ascii="宋体" w:hAnsi="宋体" w:eastAsia="宋体" w:cs="宋体"/>
          <w:sz w:val="24"/>
          <w:szCs w:val="24"/>
        </w:rPr>
      </w:pPr>
      <w:r>
        <w:rPr>
          <w:rFonts w:ascii="宋体" w:hAnsi="宋体" w:eastAsia="宋体" w:cs="宋体"/>
          <w:spacing w:val="-3"/>
          <w:sz w:val="24"/>
          <w:szCs w:val="24"/>
        </w:rPr>
        <w:t>为支持和促进中小企业发展，进一步发挥政府采购政策功能作用，根据《财政部关于开展</w:t>
      </w:r>
      <w:r>
        <w:rPr>
          <w:rFonts w:ascii="宋体" w:hAnsi="宋体" w:eastAsia="宋体" w:cs="宋体"/>
          <w:spacing w:val="-2"/>
          <w:sz w:val="24"/>
          <w:szCs w:val="24"/>
        </w:rPr>
        <w:t>政府采购信用担保试点工作的通知》（财库（2011）124号</w:t>
      </w:r>
      <w:r>
        <w:rPr>
          <w:rFonts w:ascii="宋体" w:hAnsi="宋体" w:eastAsia="宋体" w:cs="宋体"/>
          <w:spacing w:val="-3"/>
          <w:sz w:val="24"/>
          <w:szCs w:val="24"/>
        </w:rPr>
        <w:t>）、《陕西省财政厅关于印发&lt;陕西</w:t>
      </w:r>
      <w:r>
        <w:rPr>
          <w:rFonts w:ascii="宋体" w:hAnsi="宋体" w:eastAsia="宋体" w:cs="宋体"/>
          <w:sz w:val="24"/>
          <w:szCs w:val="24"/>
        </w:rPr>
        <w:t>省中小企业政府采购信用融资办法&gt;的通知》（陕财办采〔2018〕23号）、《陕西省财政厅关</w:t>
      </w:r>
      <w:r>
        <w:rPr>
          <w:rFonts w:ascii="宋体" w:hAnsi="宋体" w:eastAsia="宋体" w:cs="宋体"/>
          <w:spacing w:val="-2"/>
          <w:sz w:val="24"/>
          <w:szCs w:val="24"/>
        </w:rPr>
        <w:t>于加快推进我省中小企业政府采购信用融资工作的通知》（陕财办采[</w:t>
      </w:r>
      <w:r>
        <w:fldChar w:fldCharType="begin"/>
      </w:r>
      <w:r>
        <w:instrText xml:space="preserve"> HYPERLINK \l "bookmark16" </w:instrText>
      </w:r>
      <w:r>
        <w:fldChar w:fldCharType="separate"/>
      </w:r>
      <w:r>
        <w:rPr>
          <w:rFonts w:ascii="宋体" w:hAnsi="宋体" w:eastAsia="宋体" w:cs="宋体"/>
          <w:spacing w:val="-3"/>
          <w:sz w:val="24"/>
          <w:szCs w:val="24"/>
        </w:rPr>
        <w:t>2020</w:t>
      </w:r>
      <w:r>
        <w:rPr>
          <w:rFonts w:ascii="宋体" w:hAnsi="宋体" w:eastAsia="宋体" w:cs="宋体"/>
          <w:spacing w:val="-3"/>
          <w:sz w:val="24"/>
          <w:szCs w:val="24"/>
        </w:rPr>
        <w:fldChar w:fldCharType="end"/>
      </w:r>
      <w:r>
        <w:rPr>
          <w:rFonts w:ascii="宋体" w:hAnsi="宋体" w:eastAsia="宋体" w:cs="宋体"/>
          <w:spacing w:val="-3"/>
          <w:sz w:val="24"/>
          <w:szCs w:val="24"/>
        </w:rPr>
        <w:t>]15号）及各级财政</w:t>
      </w:r>
      <w:r>
        <w:rPr>
          <w:rFonts w:ascii="宋体" w:hAnsi="宋体" w:eastAsia="宋体" w:cs="宋体"/>
          <w:spacing w:val="-2"/>
          <w:sz w:val="24"/>
          <w:szCs w:val="24"/>
        </w:rPr>
        <w:t>部门关于政府采购信用融资工作的规定，为</w:t>
      </w:r>
      <w:r>
        <w:rPr>
          <w:rFonts w:ascii="宋体" w:hAnsi="宋体" w:eastAsia="宋体" w:cs="宋体"/>
          <w:spacing w:val="-3"/>
          <w:sz w:val="24"/>
          <w:szCs w:val="24"/>
        </w:rPr>
        <w:t>参与陕西省政府采购项目的供应商提供政府采购信</w:t>
      </w:r>
      <w:r>
        <w:rPr>
          <w:rFonts w:ascii="宋体" w:hAnsi="宋体" w:eastAsia="宋体" w:cs="宋体"/>
          <w:sz w:val="24"/>
          <w:szCs w:val="24"/>
        </w:rPr>
        <w:t>用担保和融资服务，并按照程序确定了合作的</w:t>
      </w:r>
      <w:r>
        <w:rPr>
          <w:rFonts w:ascii="宋体" w:hAnsi="宋体" w:eastAsia="宋体" w:cs="宋体"/>
          <w:spacing w:val="-1"/>
          <w:sz w:val="24"/>
          <w:szCs w:val="24"/>
        </w:rPr>
        <w:t>担保机构和商业银行。</w:t>
      </w:r>
    </w:p>
    <w:p w14:paraId="0F4AC3B7">
      <w:pPr>
        <w:spacing w:before="2" w:line="360" w:lineRule="auto"/>
        <w:ind w:left="11" w:right="53" w:firstLine="480"/>
        <w:jc w:val="both"/>
        <w:rPr>
          <w:rFonts w:ascii="宋体" w:hAnsi="宋体" w:eastAsia="宋体" w:cs="宋体"/>
          <w:sz w:val="24"/>
          <w:szCs w:val="24"/>
        </w:rPr>
      </w:pPr>
      <w:r>
        <w:rPr>
          <w:rFonts w:ascii="宋体" w:hAnsi="宋体" w:eastAsia="宋体" w:cs="宋体"/>
          <w:spacing w:val="-3"/>
          <w:sz w:val="24"/>
          <w:szCs w:val="24"/>
        </w:rPr>
        <w:t>成交人如果需要融资贷款服务需求的，可凭成交通知书、政府采购合同等相关资料，按照</w:t>
      </w:r>
      <w:r>
        <w:rPr>
          <w:rFonts w:ascii="宋体" w:hAnsi="宋体" w:eastAsia="宋体" w:cs="宋体"/>
          <w:spacing w:val="10"/>
          <w:sz w:val="24"/>
          <w:szCs w:val="24"/>
        </w:rPr>
        <w:t>文件规定的相关政策、业务流程申请办理，具体规</w:t>
      </w:r>
      <w:r>
        <w:rPr>
          <w:rFonts w:ascii="宋体" w:hAnsi="宋体" w:eastAsia="宋体" w:cs="宋体"/>
          <w:spacing w:val="9"/>
          <w:sz w:val="24"/>
          <w:szCs w:val="24"/>
        </w:rPr>
        <w:t>定可登陆陕西省政府采购信用融资平台</w:t>
      </w:r>
      <w:r>
        <w:rPr>
          <w:rFonts w:ascii="宋体" w:hAnsi="宋体" w:eastAsia="宋体" w:cs="宋体"/>
          <w:sz w:val="24"/>
          <w:szCs w:val="24"/>
        </w:rPr>
        <w:t>（</w:t>
      </w:r>
      <w:r>
        <w:fldChar w:fldCharType="begin"/>
      </w:r>
      <w:r>
        <w:instrText xml:space="preserve"> HYPERLINK "http://www.ccgp-shaanxi.gov.cn/zcdservice/zcd/shanxi/" </w:instrText>
      </w:r>
      <w:r>
        <w:fldChar w:fldCharType="separate"/>
      </w:r>
      <w:r>
        <w:rPr>
          <w:rFonts w:ascii="宋体" w:hAnsi="宋体" w:eastAsia="宋体" w:cs="宋体"/>
          <w:sz w:val="24"/>
          <w:szCs w:val="24"/>
        </w:rPr>
        <w:t>http://www.ccgp-shaanxi.gov.cn/zcdservice/zcd/</w:t>
      </w:r>
      <w:r>
        <w:rPr>
          <w:rFonts w:ascii="宋体" w:hAnsi="宋体" w:eastAsia="宋体" w:cs="宋体"/>
          <w:spacing w:val="-1"/>
          <w:sz w:val="24"/>
          <w:szCs w:val="24"/>
        </w:rPr>
        <w:t>shanxi/</w:t>
      </w:r>
      <w:r>
        <w:rPr>
          <w:rFonts w:ascii="宋体" w:hAnsi="宋体" w:eastAsia="宋体" w:cs="宋体"/>
          <w:spacing w:val="-1"/>
          <w:sz w:val="24"/>
          <w:szCs w:val="24"/>
        </w:rPr>
        <w:fldChar w:fldCharType="end"/>
      </w:r>
      <w:r>
        <w:rPr>
          <w:rFonts w:ascii="宋体" w:hAnsi="宋体" w:eastAsia="宋体" w:cs="宋体"/>
          <w:spacing w:val="-1"/>
          <w:sz w:val="24"/>
          <w:szCs w:val="24"/>
        </w:rPr>
        <w:t>）查询了解。</w:t>
      </w:r>
    </w:p>
    <w:p w14:paraId="50E97CE4">
      <w:pPr>
        <w:spacing w:line="360" w:lineRule="auto"/>
        <w:rPr>
          <w:rFonts w:ascii="宋体" w:hAnsi="宋体" w:eastAsia="宋体" w:cs="宋体"/>
          <w:sz w:val="24"/>
          <w:szCs w:val="24"/>
        </w:rPr>
        <w:sectPr>
          <w:headerReference r:id="rId11" w:type="default"/>
          <w:footerReference r:id="rId12" w:type="default"/>
          <w:pgSz w:w="11906" w:h="16839"/>
          <w:pgMar w:top="1166" w:right="1025" w:bottom="1166" w:left="1080" w:header="829" w:footer="952" w:gutter="0"/>
          <w:cols w:space="720" w:num="1"/>
        </w:sectPr>
      </w:pPr>
    </w:p>
    <w:p w14:paraId="1636666B">
      <w:pPr>
        <w:pStyle w:val="4"/>
        <w:spacing w:line="360" w:lineRule="auto"/>
      </w:pPr>
    </w:p>
    <w:p w14:paraId="5FF3C754">
      <w:pPr>
        <w:spacing w:before="91" w:line="360" w:lineRule="auto"/>
        <w:ind w:left="4110"/>
        <w:outlineLvl w:val="0"/>
        <w:rPr>
          <w:rFonts w:ascii="宋体" w:hAnsi="宋体" w:eastAsia="宋体" w:cs="宋体"/>
          <w:sz w:val="28"/>
          <w:szCs w:val="28"/>
        </w:rPr>
      </w:pPr>
      <w:bookmarkStart w:id="23" w:name="bookmark10"/>
      <w:bookmarkEnd w:id="23"/>
      <w:bookmarkStart w:id="24" w:name="_Toc23430"/>
      <w:r>
        <w:rPr>
          <w:rFonts w:ascii="宋体" w:hAnsi="宋体" w:eastAsia="宋体" w:cs="宋体"/>
          <w:b/>
          <w:bCs/>
          <w:spacing w:val="-4"/>
          <w:sz w:val="28"/>
          <w:szCs w:val="28"/>
        </w:rPr>
        <w:t>第四章</w:t>
      </w:r>
      <w:r>
        <w:rPr>
          <w:rFonts w:ascii="宋体" w:hAnsi="宋体" w:eastAsia="宋体" w:cs="宋体"/>
          <w:spacing w:val="-4"/>
          <w:sz w:val="28"/>
          <w:szCs w:val="28"/>
        </w:rPr>
        <w:t xml:space="preserve"> </w:t>
      </w:r>
      <w:r>
        <w:rPr>
          <w:rFonts w:hint="eastAsia" w:ascii="宋体" w:hAnsi="宋体" w:eastAsia="宋体" w:cs="宋体"/>
          <w:b/>
          <w:bCs/>
          <w:spacing w:val="-4"/>
          <w:sz w:val="28"/>
          <w:szCs w:val="28"/>
          <w:lang w:val="en-US" w:eastAsia="zh-CN"/>
        </w:rPr>
        <w:t>磋商评审</w:t>
      </w:r>
      <w:r>
        <w:rPr>
          <w:rFonts w:ascii="宋体" w:hAnsi="宋体" w:eastAsia="宋体" w:cs="宋体"/>
          <w:b/>
          <w:bCs/>
          <w:spacing w:val="-4"/>
          <w:sz w:val="28"/>
          <w:szCs w:val="28"/>
        </w:rPr>
        <w:t>办法</w:t>
      </w:r>
      <w:bookmarkEnd w:id="24"/>
    </w:p>
    <w:p w14:paraId="49566F17">
      <w:pPr>
        <w:spacing w:before="141" w:line="360" w:lineRule="auto"/>
        <w:ind w:left="507"/>
        <w:rPr>
          <w:rFonts w:ascii="宋体" w:hAnsi="宋体" w:eastAsia="宋体" w:cs="宋体"/>
          <w:sz w:val="24"/>
          <w:szCs w:val="24"/>
        </w:rPr>
      </w:pPr>
      <w:r>
        <w:rPr>
          <w:rFonts w:ascii="宋体" w:hAnsi="宋体" w:eastAsia="宋体" w:cs="宋体"/>
          <w:b/>
          <w:bCs/>
          <w:spacing w:val="-6"/>
          <w:sz w:val="24"/>
          <w:szCs w:val="24"/>
        </w:rPr>
        <w:t>1、评审方法：</w:t>
      </w:r>
    </w:p>
    <w:p w14:paraId="27E4E04B">
      <w:pPr>
        <w:spacing w:before="150" w:line="360" w:lineRule="auto"/>
        <w:ind w:left="9" w:firstLine="481"/>
        <w:jc w:val="both"/>
        <w:rPr>
          <w:rFonts w:ascii="宋体" w:hAnsi="宋体" w:eastAsia="宋体" w:cs="宋体"/>
          <w:sz w:val="24"/>
          <w:szCs w:val="24"/>
        </w:rPr>
      </w:pPr>
      <w:r>
        <w:rPr>
          <w:rFonts w:ascii="宋体" w:hAnsi="宋体" w:eastAsia="宋体" w:cs="宋体"/>
          <w:spacing w:val="-3"/>
          <w:sz w:val="24"/>
          <w:szCs w:val="24"/>
        </w:rPr>
        <w:t>按照《中华人民共和国政府采购法》及实施条例和关于印发《政府采购竞争性磋商采购方</w:t>
      </w:r>
      <w:r>
        <w:rPr>
          <w:rFonts w:ascii="宋体" w:hAnsi="宋体" w:eastAsia="宋体" w:cs="宋体"/>
          <w:spacing w:val="-1"/>
          <w:sz w:val="24"/>
          <w:szCs w:val="24"/>
        </w:rPr>
        <w:t>式管理暂行办法》的通知（财库【2014】214</w:t>
      </w:r>
      <w:r>
        <w:rPr>
          <w:rFonts w:ascii="宋体" w:hAnsi="宋体" w:eastAsia="宋体" w:cs="宋体"/>
          <w:spacing w:val="-44"/>
          <w:sz w:val="24"/>
          <w:szCs w:val="24"/>
        </w:rPr>
        <w:t xml:space="preserve"> </w:t>
      </w:r>
      <w:r>
        <w:rPr>
          <w:rFonts w:ascii="宋体" w:hAnsi="宋体" w:eastAsia="宋体" w:cs="宋体"/>
          <w:spacing w:val="-1"/>
          <w:sz w:val="24"/>
          <w:szCs w:val="24"/>
        </w:rPr>
        <w:t>号）的规定</w:t>
      </w:r>
      <w:r>
        <w:rPr>
          <w:rFonts w:ascii="宋体" w:hAnsi="宋体" w:eastAsia="宋体" w:cs="宋体"/>
          <w:spacing w:val="-2"/>
          <w:sz w:val="24"/>
          <w:szCs w:val="24"/>
        </w:rPr>
        <w:t>，本次评标采用综合评分法，即在最大限度地满足竞争性磋商文件实质性要求前</w:t>
      </w:r>
      <w:r>
        <w:rPr>
          <w:rFonts w:ascii="宋体" w:hAnsi="宋体" w:eastAsia="宋体" w:cs="宋体"/>
          <w:spacing w:val="-3"/>
          <w:sz w:val="24"/>
          <w:szCs w:val="24"/>
        </w:rPr>
        <w:t>提下，按照竞争性磋商文件中规定的各项因素和相</w:t>
      </w:r>
      <w:r>
        <w:rPr>
          <w:rFonts w:ascii="宋体" w:hAnsi="宋体" w:eastAsia="宋体" w:cs="宋体"/>
          <w:spacing w:val="-2"/>
          <w:sz w:val="24"/>
          <w:szCs w:val="24"/>
        </w:rPr>
        <w:t>应的权重分值进行综合评审后，以总得分最</w:t>
      </w:r>
      <w:r>
        <w:rPr>
          <w:rFonts w:ascii="宋体" w:hAnsi="宋体" w:eastAsia="宋体" w:cs="宋体"/>
          <w:spacing w:val="-3"/>
          <w:sz w:val="24"/>
          <w:szCs w:val="24"/>
        </w:rPr>
        <w:t>高的供应商作为成交候选人并依次排序（最低报价</w:t>
      </w:r>
      <w:r>
        <w:rPr>
          <w:rFonts w:ascii="宋体" w:hAnsi="宋体" w:eastAsia="宋体" w:cs="宋体"/>
          <w:spacing w:val="-1"/>
          <w:sz w:val="24"/>
          <w:szCs w:val="24"/>
        </w:rPr>
        <w:t>不是成交的唯一标准）。</w:t>
      </w:r>
    </w:p>
    <w:p w14:paraId="2EACB9C1">
      <w:pPr>
        <w:spacing w:line="360" w:lineRule="auto"/>
        <w:ind w:left="492"/>
        <w:rPr>
          <w:rFonts w:ascii="宋体" w:hAnsi="宋体" w:eastAsia="宋体" w:cs="宋体"/>
          <w:sz w:val="24"/>
          <w:szCs w:val="24"/>
        </w:rPr>
      </w:pPr>
      <w:r>
        <w:rPr>
          <w:rFonts w:ascii="宋体" w:hAnsi="宋体" w:eastAsia="宋体" w:cs="宋体"/>
          <w:b/>
          <w:bCs/>
          <w:spacing w:val="-4"/>
          <w:sz w:val="24"/>
          <w:szCs w:val="24"/>
        </w:rPr>
        <w:t>2、评审标准</w:t>
      </w:r>
    </w:p>
    <w:p w14:paraId="572E97BB">
      <w:pPr>
        <w:spacing w:before="153" w:line="360" w:lineRule="auto"/>
        <w:ind w:left="492"/>
        <w:rPr>
          <w:rFonts w:ascii="宋体" w:hAnsi="宋体" w:eastAsia="宋体" w:cs="宋体"/>
          <w:sz w:val="24"/>
          <w:szCs w:val="24"/>
        </w:rPr>
      </w:pPr>
      <w:r>
        <w:rPr>
          <w:rFonts w:ascii="宋体" w:hAnsi="宋体" w:eastAsia="宋体" w:cs="宋体"/>
          <w:b/>
          <w:bCs/>
          <w:spacing w:val="-4"/>
          <w:sz w:val="24"/>
          <w:szCs w:val="24"/>
        </w:rPr>
        <w:t>2.1、初步评审标准</w:t>
      </w:r>
    </w:p>
    <w:p w14:paraId="65EF51D3">
      <w:pPr>
        <w:spacing w:before="156" w:line="360" w:lineRule="auto"/>
        <w:ind w:left="500"/>
        <w:rPr>
          <w:rFonts w:ascii="宋体" w:hAnsi="宋体" w:eastAsia="宋体" w:cs="宋体"/>
          <w:sz w:val="20"/>
          <w:szCs w:val="20"/>
        </w:rPr>
      </w:pPr>
      <w:r>
        <w:rPr>
          <w:rFonts w:ascii="宋体" w:hAnsi="宋体" w:eastAsia="宋体" w:cs="宋体"/>
          <w:spacing w:val="-2"/>
          <w:sz w:val="24"/>
          <w:szCs w:val="24"/>
        </w:rPr>
        <w:t>（1）资格性审查标准：见附件</w:t>
      </w:r>
      <w:r>
        <w:rPr>
          <w:rFonts w:ascii="宋体" w:hAnsi="宋体" w:eastAsia="宋体" w:cs="宋体"/>
          <w:spacing w:val="-25"/>
          <w:sz w:val="24"/>
          <w:szCs w:val="24"/>
        </w:rPr>
        <w:t xml:space="preserve"> </w:t>
      </w:r>
      <w:r>
        <w:rPr>
          <w:rFonts w:ascii="宋体" w:hAnsi="宋体" w:eastAsia="宋体" w:cs="宋体"/>
          <w:spacing w:val="-2"/>
          <w:sz w:val="24"/>
          <w:szCs w:val="24"/>
        </w:rPr>
        <w:t>1</w:t>
      </w:r>
      <w:r>
        <w:rPr>
          <w:rFonts w:ascii="宋体" w:hAnsi="宋体" w:eastAsia="宋体" w:cs="宋体"/>
          <w:spacing w:val="-2"/>
          <w:sz w:val="20"/>
          <w:szCs w:val="20"/>
        </w:rPr>
        <w:t>【</w:t>
      </w:r>
      <w:r>
        <w:rPr>
          <w:rFonts w:ascii="宋体" w:hAnsi="宋体" w:eastAsia="宋体" w:cs="宋体"/>
          <w:spacing w:val="-2"/>
          <w:sz w:val="24"/>
          <w:szCs w:val="24"/>
        </w:rPr>
        <w:t>资格性审查表</w:t>
      </w:r>
      <w:r>
        <w:rPr>
          <w:rFonts w:ascii="宋体" w:hAnsi="宋体" w:eastAsia="宋体" w:cs="宋体"/>
          <w:spacing w:val="-2"/>
          <w:sz w:val="20"/>
          <w:szCs w:val="20"/>
        </w:rPr>
        <w:t>】</w:t>
      </w:r>
    </w:p>
    <w:p w14:paraId="66B381CC">
      <w:pPr>
        <w:spacing w:before="154" w:line="360" w:lineRule="auto"/>
        <w:ind w:left="500"/>
        <w:rPr>
          <w:rFonts w:ascii="宋体" w:hAnsi="宋体" w:eastAsia="宋体" w:cs="宋体"/>
          <w:sz w:val="20"/>
          <w:szCs w:val="20"/>
        </w:rPr>
      </w:pPr>
      <w:r>
        <w:rPr>
          <w:rFonts w:ascii="宋体" w:hAnsi="宋体" w:eastAsia="宋体" w:cs="宋体"/>
          <w:spacing w:val="-1"/>
          <w:sz w:val="24"/>
          <w:szCs w:val="24"/>
        </w:rPr>
        <w:t>（2）符合性审查标准：见附件</w:t>
      </w:r>
      <w:r>
        <w:rPr>
          <w:rFonts w:ascii="宋体" w:hAnsi="宋体" w:eastAsia="宋体" w:cs="宋体"/>
          <w:spacing w:val="-48"/>
          <w:sz w:val="24"/>
          <w:szCs w:val="24"/>
        </w:rPr>
        <w:t xml:space="preserve"> </w:t>
      </w:r>
      <w:r>
        <w:rPr>
          <w:rFonts w:ascii="宋体" w:hAnsi="宋体" w:eastAsia="宋体" w:cs="宋体"/>
          <w:spacing w:val="-1"/>
          <w:sz w:val="24"/>
          <w:szCs w:val="24"/>
        </w:rPr>
        <w:t>2</w:t>
      </w:r>
      <w:r>
        <w:rPr>
          <w:rFonts w:ascii="宋体" w:hAnsi="宋体" w:eastAsia="宋体" w:cs="宋体"/>
          <w:spacing w:val="-1"/>
          <w:sz w:val="20"/>
          <w:szCs w:val="20"/>
        </w:rPr>
        <w:t>【</w:t>
      </w:r>
      <w:r>
        <w:rPr>
          <w:rFonts w:ascii="宋体" w:hAnsi="宋体" w:eastAsia="宋体" w:cs="宋体"/>
          <w:spacing w:val="-1"/>
          <w:sz w:val="24"/>
          <w:szCs w:val="24"/>
        </w:rPr>
        <w:t>符合性审查表</w:t>
      </w:r>
      <w:r>
        <w:rPr>
          <w:rFonts w:ascii="宋体" w:hAnsi="宋体" w:eastAsia="宋体" w:cs="宋体"/>
          <w:spacing w:val="-1"/>
          <w:sz w:val="20"/>
          <w:szCs w:val="20"/>
        </w:rPr>
        <w:t>】</w:t>
      </w:r>
    </w:p>
    <w:p w14:paraId="6398B4EC">
      <w:pPr>
        <w:spacing w:before="155" w:line="360" w:lineRule="auto"/>
        <w:ind w:left="492"/>
        <w:rPr>
          <w:rFonts w:ascii="宋体" w:hAnsi="宋体" w:eastAsia="宋体" w:cs="宋体"/>
          <w:sz w:val="24"/>
          <w:szCs w:val="24"/>
        </w:rPr>
      </w:pPr>
      <w:r>
        <w:rPr>
          <w:rFonts w:ascii="宋体" w:hAnsi="宋体" w:eastAsia="宋体" w:cs="宋体"/>
          <w:b/>
          <w:bCs/>
          <w:spacing w:val="-3"/>
          <w:sz w:val="24"/>
          <w:szCs w:val="24"/>
        </w:rPr>
        <w:t>2.2、分值构成与评分标准</w:t>
      </w:r>
    </w:p>
    <w:p w14:paraId="020B1515">
      <w:pPr>
        <w:spacing w:before="157" w:line="360" w:lineRule="auto"/>
        <w:ind w:left="500"/>
        <w:rPr>
          <w:rFonts w:ascii="宋体" w:hAnsi="宋体" w:eastAsia="宋体" w:cs="宋体"/>
          <w:sz w:val="20"/>
          <w:szCs w:val="20"/>
        </w:rPr>
      </w:pPr>
      <w:r>
        <w:rPr>
          <w:rFonts w:ascii="宋体" w:hAnsi="宋体" w:eastAsia="宋体" w:cs="宋体"/>
          <w:spacing w:val="-1"/>
          <w:sz w:val="24"/>
          <w:szCs w:val="24"/>
        </w:rPr>
        <w:t>（1）磋商价格：见附件</w:t>
      </w:r>
      <w:r>
        <w:rPr>
          <w:rFonts w:ascii="宋体" w:hAnsi="宋体" w:eastAsia="宋体" w:cs="宋体"/>
          <w:spacing w:val="-46"/>
          <w:sz w:val="24"/>
          <w:szCs w:val="24"/>
        </w:rPr>
        <w:t xml:space="preserve"> </w:t>
      </w:r>
      <w:r>
        <w:rPr>
          <w:rFonts w:ascii="宋体" w:hAnsi="宋体" w:eastAsia="宋体" w:cs="宋体"/>
          <w:spacing w:val="-1"/>
          <w:sz w:val="24"/>
          <w:szCs w:val="24"/>
        </w:rPr>
        <w:t>3</w:t>
      </w:r>
      <w:r>
        <w:rPr>
          <w:rFonts w:ascii="宋体" w:hAnsi="宋体" w:eastAsia="宋体" w:cs="宋体"/>
          <w:spacing w:val="-1"/>
          <w:sz w:val="20"/>
          <w:szCs w:val="20"/>
        </w:rPr>
        <w:t>【</w:t>
      </w:r>
      <w:r>
        <w:rPr>
          <w:rFonts w:ascii="宋体" w:hAnsi="宋体" w:eastAsia="宋体" w:cs="宋体"/>
          <w:spacing w:val="-1"/>
          <w:sz w:val="24"/>
          <w:szCs w:val="24"/>
        </w:rPr>
        <w:t>评审要素及分值一览表</w:t>
      </w:r>
      <w:r>
        <w:rPr>
          <w:rFonts w:ascii="宋体" w:hAnsi="宋体" w:eastAsia="宋体" w:cs="宋体"/>
          <w:spacing w:val="-1"/>
          <w:sz w:val="20"/>
          <w:szCs w:val="20"/>
        </w:rPr>
        <w:t>】</w:t>
      </w:r>
    </w:p>
    <w:p w14:paraId="521AA7FE">
      <w:pPr>
        <w:spacing w:before="155" w:line="360" w:lineRule="auto"/>
        <w:ind w:left="500"/>
        <w:rPr>
          <w:rFonts w:ascii="宋体" w:hAnsi="宋体" w:eastAsia="宋体" w:cs="宋体"/>
          <w:sz w:val="20"/>
          <w:szCs w:val="20"/>
        </w:rPr>
      </w:pPr>
      <w:r>
        <w:rPr>
          <w:rFonts w:ascii="宋体" w:hAnsi="宋体" w:eastAsia="宋体" w:cs="宋体"/>
          <w:spacing w:val="-1"/>
          <w:sz w:val="24"/>
          <w:szCs w:val="24"/>
        </w:rPr>
        <w:t>（2）服务方案：见附件</w:t>
      </w:r>
      <w:r>
        <w:rPr>
          <w:rFonts w:ascii="宋体" w:hAnsi="宋体" w:eastAsia="宋体" w:cs="宋体"/>
          <w:spacing w:val="-46"/>
          <w:sz w:val="24"/>
          <w:szCs w:val="24"/>
        </w:rPr>
        <w:t xml:space="preserve"> </w:t>
      </w:r>
      <w:r>
        <w:rPr>
          <w:rFonts w:ascii="宋体" w:hAnsi="宋体" w:eastAsia="宋体" w:cs="宋体"/>
          <w:spacing w:val="-1"/>
          <w:sz w:val="24"/>
          <w:szCs w:val="24"/>
        </w:rPr>
        <w:t>3</w:t>
      </w:r>
      <w:r>
        <w:rPr>
          <w:rFonts w:ascii="宋体" w:hAnsi="宋体" w:eastAsia="宋体" w:cs="宋体"/>
          <w:spacing w:val="-1"/>
          <w:sz w:val="20"/>
          <w:szCs w:val="20"/>
        </w:rPr>
        <w:t>【</w:t>
      </w:r>
      <w:r>
        <w:rPr>
          <w:rFonts w:ascii="宋体" w:hAnsi="宋体" w:eastAsia="宋体" w:cs="宋体"/>
          <w:spacing w:val="-1"/>
          <w:sz w:val="24"/>
          <w:szCs w:val="24"/>
        </w:rPr>
        <w:t>评审要素及分值一览表</w:t>
      </w:r>
      <w:r>
        <w:rPr>
          <w:rFonts w:ascii="宋体" w:hAnsi="宋体" w:eastAsia="宋体" w:cs="宋体"/>
          <w:spacing w:val="-1"/>
          <w:sz w:val="20"/>
          <w:szCs w:val="20"/>
        </w:rPr>
        <w:t>】</w:t>
      </w:r>
    </w:p>
    <w:p w14:paraId="025BB885">
      <w:pPr>
        <w:spacing w:before="155" w:line="360" w:lineRule="auto"/>
        <w:ind w:left="500"/>
        <w:rPr>
          <w:rFonts w:ascii="宋体" w:hAnsi="宋体" w:eastAsia="宋体" w:cs="宋体"/>
          <w:sz w:val="20"/>
          <w:szCs w:val="20"/>
        </w:rPr>
      </w:pPr>
      <w:r>
        <w:rPr>
          <w:rFonts w:ascii="宋体" w:hAnsi="宋体" w:eastAsia="宋体" w:cs="宋体"/>
          <w:spacing w:val="-1"/>
          <w:sz w:val="24"/>
          <w:szCs w:val="24"/>
        </w:rPr>
        <w:t>（3）业    绩：见附件</w:t>
      </w:r>
      <w:r>
        <w:rPr>
          <w:rFonts w:ascii="宋体" w:hAnsi="宋体" w:eastAsia="宋体" w:cs="宋体"/>
          <w:spacing w:val="-45"/>
          <w:sz w:val="24"/>
          <w:szCs w:val="24"/>
        </w:rPr>
        <w:t xml:space="preserve"> </w:t>
      </w:r>
      <w:r>
        <w:rPr>
          <w:rFonts w:ascii="宋体" w:hAnsi="宋体" w:eastAsia="宋体" w:cs="宋体"/>
          <w:spacing w:val="-1"/>
          <w:sz w:val="24"/>
          <w:szCs w:val="24"/>
        </w:rPr>
        <w:t>3</w:t>
      </w:r>
      <w:r>
        <w:rPr>
          <w:rFonts w:ascii="宋体" w:hAnsi="宋体" w:eastAsia="宋体" w:cs="宋体"/>
          <w:spacing w:val="-1"/>
          <w:sz w:val="20"/>
          <w:szCs w:val="20"/>
        </w:rPr>
        <w:t>【</w:t>
      </w:r>
      <w:r>
        <w:rPr>
          <w:rFonts w:ascii="宋体" w:hAnsi="宋体" w:eastAsia="宋体" w:cs="宋体"/>
          <w:spacing w:val="-1"/>
          <w:sz w:val="24"/>
          <w:szCs w:val="24"/>
        </w:rPr>
        <w:t>评审要素及分值一览表</w:t>
      </w:r>
      <w:r>
        <w:rPr>
          <w:rFonts w:ascii="宋体" w:hAnsi="宋体" w:eastAsia="宋体" w:cs="宋体"/>
          <w:spacing w:val="-1"/>
          <w:sz w:val="20"/>
          <w:szCs w:val="20"/>
        </w:rPr>
        <w:t>】</w:t>
      </w:r>
    </w:p>
    <w:p w14:paraId="05B44314">
      <w:pPr>
        <w:spacing w:before="157" w:line="360" w:lineRule="auto"/>
        <w:ind w:left="494"/>
        <w:rPr>
          <w:rFonts w:ascii="宋体" w:hAnsi="宋体" w:eastAsia="宋体" w:cs="宋体"/>
          <w:sz w:val="24"/>
          <w:szCs w:val="24"/>
        </w:rPr>
      </w:pPr>
      <w:r>
        <w:rPr>
          <w:rFonts w:ascii="宋体" w:hAnsi="宋体" w:eastAsia="宋体" w:cs="宋体"/>
          <w:b/>
          <w:bCs/>
          <w:spacing w:val="-4"/>
          <w:sz w:val="24"/>
          <w:szCs w:val="24"/>
        </w:rPr>
        <w:t>3、评审程序：</w:t>
      </w:r>
    </w:p>
    <w:p w14:paraId="6217FDE2">
      <w:pPr>
        <w:spacing w:before="153" w:line="360" w:lineRule="auto"/>
        <w:ind w:left="12" w:firstLine="479"/>
        <w:rPr>
          <w:rFonts w:ascii="宋体" w:hAnsi="宋体" w:eastAsia="宋体" w:cs="宋体"/>
          <w:sz w:val="24"/>
          <w:szCs w:val="24"/>
        </w:rPr>
      </w:pPr>
      <w:r>
        <w:rPr>
          <w:rFonts w:ascii="宋体" w:hAnsi="宋体" w:eastAsia="宋体" w:cs="宋体"/>
          <w:spacing w:val="-3"/>
          <w:sz w:val="24"/>
          <w:szCs w:val="24"/>
        </w:rPr>
        <w:t>按照竞争性磋商响应文件初审、澄清有关问题、分别磋商、比较与评审、推荐成交候选人</w:t>
      </w:r>
      <w:r>
        <w:rPr>
          <w:rFonts w:ascii="宋体" w:hAnsi="宋体" w:eastAsia="宋体" w:cs="宋体"/>
          <w:spacing w:val="-1"/>
          <w:sz w:val="24"/>
          <w:szCs w:val="24"/>
        </w:rPr>
        <w:t>名单。在上一步评审中被认定为无效投标者，不进入下一步的评审。</w:t>
      </w:r>
    </w:p>
    <w:p w14:paraId="6CCD4803">
      <w:pPr>
        <w:spacing w:line="360" w:lineRule="auto"/>
        <w:ind w:left="510"/>
        <w:rPr>
          <w:rFonts w:ascii="宋体" w:hAnsi="宋体" w:eastAsia="宋体" w:cs="宋体"/>
          <w:sz w:val="24"/>
          <w:szCs w:val="24"/>
        </w:rPr>
      </w:pPr>
      <w:r>
        <w:rPr>
          <w:rFonts w:ascii="宋体" w:hAnsi="宋体" w:eastAsia="宋体" w:cs="宋体"/>
          <w:b/>
          <w:bCs/>
          <w:spacing w:val="4"/>
          <w:sz w:val="24"/>
          <w:szCs w:val="24"/>
        </w:rPr>
        <w:t>3.1、对竞争性磋商响应文件的初审</w:t>
      </w:r>
    </w:p>
    <w:p w14:paraId="28B301C8">
      <w:pPr>
        <w:spacing w:before="156" w:line="360" w:lineRule="auto"/>
        <w:ind w:left="8" w:firstLine="492"/>
        <w:rPr>
          <w:rFonts w:ascii="宋体" w:hAnsi="宋体" w:eastAsia="宋体" w:cs="宋体"/>
          <w:sz w:val="24"/>
          <w:szCs w:val="24"/>
        </w:rPr>
      </w:pPr>
      <w:r>
        <w:rPr>
          <w:rFonts w:ascii="宋体" w:hAnsi="宋体" w:eastAsia="宋体" w:cs="宋体"/>
          <w:sz w:val="24"/>
          <w:szCs w:val="24"/>
        </w:rPr>
        <w:t>（1）资格性审查：开标结束后，由采购人根据本章规定的评审标准对竞争性磋商响应文</w:t>
      </w:r>
      <w:r>
        <w:rPr>
          <w:rFonts w:ascii="宋体" w:hAnsi="宋体" w:eastAsia="宋体" w:cs="宋体"/>
          <w:spacing w:val="-2"/>
          <w:sz w:val="24"/>
          <w:szCs w:val="24"/>
        </w:rPr>
        <w:t>件进行资格性审查。有一项不符合评审标准</w:t>
      </w:r>
      <w:r>
        <w:rPr>
          <w:rFonts w:ascii="宋体" w:hAnsi="宋体" w:eastAsia="宋体" w:cs="宋体"/>
          <w:spacing w:val="-3"/>
          <w:sz w:val="24"/>
          <w:szCs w:val="24"/>
        </w:rPr>
        <w:t>的，将被视为未实质性响应竞争性磋商文件，其竞</w:t>
      </w:r>
      <w:r>
        <w:rPr>
          <w:rFonts w:ascii="宋体" w:hAnsi="宋体" w:eastAsia="宋体" w:cs="宋体"/>
          <w:spacing w:val="-1"/>
          <w:sz w:val="24"/>
          <w:szCs w:val="24"/>
        </w:rPr>
        <w:t>争性磋商响应文件将按无效文件处理。</w:t>
      </w:r>
    </w:p>
    <w:p w14:paraId="518B9067">
      <w:pPr>
        <w:spacing w:before="2" w:line="360" w:lineRule="auto"/>
        <w:ind w:left="8" w:firstLine="492"/>
        <w:rPr>
          <w:rFonts w:ascii="宋体" w:hAnsi="宋体" w:eastAsia="宋体" w:cs="宋体"/>
          <w:sz w:val="24"/>
          <w:szCs w:val="24"/>
        </w:rPr>
      </w:pPr>
      <w:r>
        <w:rPr>
          <w:rFonts w:ascii="宋体" w:hAnsi="宋体" w:eastAsia="宋体" w:cs="宋体"/>
          <w:sz w:val="24"/>
          <w:szCs w:val="24"/>
        </w:rPr>
        <w:t>（2）符合性审查：磋商小组根据本章规定的评审标准对竞争性磋商响应文件进行符合性</w:t>
      </w:r>
      <w:r>
        <w:rPr>
          <w:rFonts w:ascii="宋体" w:hAnsi="宋体" w:eastAsia="宋体" w:cs="宋体"/>
          <w:spacing w:val="-2"/>
          <w:sz w:val="24"/>
          <w:szCs w:val="24"/>
        </w:rPr>
        <w:t>评审。有一项不符合评审标准的，将被视为</w:t>
      </w:r>
      <w:r>
        <w:rPr>
          <w:rFonts w:ascii="宋体" w:hAnsi="宋体" w:eastAsia="宋体" w:cs="宋体"/>
          <w:spacing w:val="-3"/>
          <w:sz w:val="24"/>
          <w:szCs w:val="24"/>
        </w:rPr>
        <w:t>未实质性响应竞争性磋商文件，其竞争性磋商响应</w:t>
      </w:r>
      <w:r>
        <w:rPr>
          <w:rFonts w:ascii="宋体" w:hAnsi="宋体" w:eastAsia="宋体" w:cs="宋体"/>
          <w:spacing w:val="-1"/>
          <w:sz w:val="24"/>
          <w:szCs w:val="24"/>
        </w:rPr>
        <w:t>文件将按无效文件处理。</w:t>
      </w:r>
    </w:p>
    <w:p w14:paraId="055FD1C2">
      <w:pPr>
        <w:spacing w:before="1" w:line="360" w:lineRule="auto"/>
        <w:ind w:left="10" w:firstLine="478"/>
        <w:rPr>
          <w:rFonts w:ascii="宋体" w:hAnsi="宋体" w:eastAsia="宋体" w:cs="宋体"/>
          <w:sz w:val="24"/>
          <w:szCs w:val="24"/>
        </w:rPr>
      </w:pPr>
      <w:r>
        <w:rPr>
          <w:rFonts w:ascii="宋体" w:hAnsi="宋体" w:eastAsia="宋体" w:cs="宋体"/>
          <w:spacing w:val="-3"/>
          <w:sz w:val="24"/>
          <w:szCs w:val="24"/>
        </w:rPr>
        <w:t>在资格性审查阶段，不符合磋商文件要求的，不得进入符合性审查，在符合性审查时未通</w:t>
      </w:r>
      <w:r>
        <w:rPr>
          <w:rFonts w:ascii="宋体" w:hAnsi="宋体" w:eastAsia="宋体" w:cs="宋体"/>
          <w:spacing w:val="-1"/>
          <w:sz w:val="24"/>
          <w:szCs w:val="24"/>
        </w:rPr>
        <w:t>过的，不得进入后续评标环节。</w:t>
      </w:r>
    </w:p>
    <w:p w14:paraId="0FE61B93">
      <w:pPr>
        <w:spacing w:line="360" w:lineRule="auto"/>
        <w:ind w:left="494"/>
        <w:rPr>
          <w:rFonts w:ascii="宋体" w:hAnsi="宋体" w:eastAsia="宋体" w:cs="宋体"/>
          <w:sz w:val="24"/>
          <w:szCs w:val="24"/>
        </w:rPr>
      </w:pPr>
      <w:r>
        <w:rPr>
          <w:rFonts w:ascii="宋体" w:hAnsi="宋体" w:eastAsia="宋体" w:cs="宋体"/>
          <w:b/>
          <w:bCs/>
          <w:spacing w:val="-3"/>
          <w:sz w:val="24"/>
          <w:szCs w:val="24"/>
        </w:rPr>
        <w:t>3.2、竞争性磋商响应文件的澄清</w:t>
      </w:r>
    </w:p>
    <w:p w14:paraId="4C6E2A58">
      <w:pPr>
        <w:spacing w:before="137" w:line="360" w:lineRule="auto"/>
        <w:ind w:left="10" w:firstLine="490"/>
        <w:jc w:val="both"/>
      </w:pPr>
      <w:r>
        <w:rPr>
          <w:rFonts w:ascii="宋体" w:hAnsi="宋体" w:eastAsia="宋体" w:cs="宋体"/>
          <w:sz w:val="24"/>
          <w:szCs w:val="24"/>
        </w:rPr>
        <w:t>（1）为有助于竞争性磋商响应文件的审查、比较和评价，磋商小组可要求供应商对其竞</w:t>
      </w:r>
      <w:r>
        <w:rPr>
          <w:rFonts w:ascii="宋体" w:hAnsi="宋体" w:eastAsia="宋体" w:cs="宋体"/>
          <w:spacing w:val="-3"/>
          <w:sz w:val="24"/>
          <w:szCs w:val="24"/>
        </w:rPr>
        <w:t>争性磋商响应文件中非实质性（竞争性磋商响应文件中含义不明确、同类问题表述不一致或者有明显文字和计算错误的内容）的有关问题进行澄清、说明或者补正。有关澄清、说明或者补</w:t>
      </w:r>
    </w:p>
    <w:p w14:paraId="297800B3">
      <w:pPr>
        <w:spacing w:before="78" w:line="360" w:lineRule="auto"/>
        <w:ind w:left="12" w:right="53" w:firstLine="1"/>
        <w:jc w:val="both"/>
        <w:rPr>
          <w:rFonts w:ascii="宋体" w:hAnsi="宋体" w:eastAsia="宋体" w:cs="宋体"/>
          <w:sz w:val="24"/>
          <w:szCs w:val="24"/>
        </w:rPr>
      </w:pPr>
      <w:r>
        <w:rPr>
          <w:rFonts w:ascii="宋体" w:hAnsi="宋体" w:eastAsia="宋体" w:cs="宋体"/>
          <w:spacing w:val="-3"/>
          <w:sz w:val="24"/>
          <w:szCs w:val="24"/>
        </w:rPr>
        <w:t>正的要求和答复应以书面形式提交，并由其法定代表人或被授权人签字。供应商的澄清、说明或者补正不得超出竞争性磋商响应文件的范围或者改变竞争性磋商响应文件的实质性内容。磋</w:t>
      </w:r>
      <w:r>
        <w:rPr>
          <w:rFonts w:ascii="宋体" w:hAnsi="宋体" w:eastAsia="宋体" w:cs="宋体"/>
          <w:spacing w:val="-1"/>
          <w:sz w:val="24"/>
          <w:szCs w:val="24"/>
        </w:rPr>
        <w:t>商小组不接受供应商主动提出的澄清、说明。</w:t>
      </w:r>
    </w:p>
    <w:p w14:paraId="7988886A">
      <w:pPr>
        <w:spacing w:line="360" w:lineRule="auto"/>
        <w:ind w:left="29" w:right="56" w:firstLine="471"/>
        <w:rPr>
          <w:rFonts w:ascii="宋体" w:hAnsi="宋体" w:eastAsia="宋体" w:cs="宋体"/>
          <w:sz w:val="24"/>
          <w:szCs w:val="24"/>
        </w:rPr>
      </w:pPr>
      <w:r>
        <w:rPr>
          <w:rFonts w:ascii="宋体" w:hAnsi="宋体" w:eastAsia="宋体" w:cs="宋体"/>
          <w:sz w:val="24"/>
          <w:szCs w:val="24"/>
        </w:rPr>
        <w:t>（2）依照民法中的过失责任原则，澄清、说明或补正前磋商小组会将按最不利于供应商</w:t>
      </w:r>
      <w:r>
        <w:rPr>
          <w:rFonts w:ascii="宋体" w:hAnsi="宋体" w:eastAsia="宋体" w:cs="宋体"/>
          <w:spacing w:val="-3"/>
          <w:sz w:val="24"/>
          <w:szCs w:val="24"/>
        </w:rPr>
        <w:t>的原则对响应文件做出评判。</w:t>
      </w:r>
    </w:p>
    <w:p w14:paraId="1CD26A9D">
      <w:pPr>
        <w:spacing w:line="360" w:lineRule="auto"/>
        <w:ind w:left="38" w:right="56" w:firstLine="462"/>
        <w:rPr>
          <w:rFonts w:ascii="宋体" w:hAnsi="宋体" w:eastAsia="宋体" w:cs="宋体"/>
          <w:sz w:val="24"/>
          <w:szCs w:val="24"/>
        </w:rPr>
      </w:pPr>
      <w:r>
        <w:rPr>
          <w:rFonts w:ascii="宋体" w:hAnsi="宋体" w:eastAsia="宋体" w:cs="宋体"/>
          <w:sz w:val="24"/>
          <w:szCs w:val="24"/>
        </w:rPr>
        <w:t>（3）供应商的澄清、说明或者补正不得超出响应文件的范围或者改变响应文件的实质性</w:t>
      </w:r>
      <w:r>
        <w:rPr>
          <w:rFonts w:ascii="宋体" w:hAnsi="宋体" w:eastAsia="宋体" w:cs="宋体"/>
          <w:spacing w:val="-2"/>
          <w:sz w:val="24"/>
          <w:szCs w:val="24"/>
        </w:rPr>
        <w:t>内容。澄清、说明或者补正的内容将作为合同履行的重要依据。</w:t>
      </w:r>
    </w:p>
    <w:p w14:paraId="0B47525F">
      <w:pPr>
        <w:spacing w:line="360" w:lineRule="auto"/>
        <w:ind w:left="10" w:firstLine="490"/>
        <w:rPr>
          <w:rFonts w:ascii="宋体" w:hAnsi="宋体" w:eastAsia="宋体" w:cs="宋体"/>
          <w:sz w:val="24"/>
          <w:szCs w:val="24"/>
        </w:rPr>
      </w:pPr>
      <w:r>
        <w:rPr>
          <w:rFonts w:ascii="宋体" w:hAnsi="宋体" w:eastAsia="宋体" w:cs="宋体"/>
          <w:sz w:val="24"/>
          <w:szCs w:val="24"/>
        </w:rPr>
        <w:t>（4）磋商小组认为供应商的报价明显低于其他通过符合性审查供应商的报价，有可能影</w:t>
      </w:r>
      <w:r>
        <w:rPr>
          <w:rFonts w:ascii="宋体" w:hAnsi="宋体" w:eastAsia="宋体" w:cs="宋体"/>
          <w:spacing w:val="-3"/>
          <w:sz w:val="24"/>
          <w:szCs w:val="24"/>
        </w:rPr>
        <w:t>响产品质量或者不能诚信履约的，应当要求其在评标现场合理的时间内提供书面说明，必要时</w:t>
      </w:r>
      <w:r>
        <w:rPr>
          <w:rFonts w:ascii="宋体" w:hAnsi="宋体" w:eastAsia="宋体" w:cs="宋体"/>
          <w:spacing w:val="-1"/>
          <w:sz w:val="24"/>
          <w:szCs w:val="24"/>
        </w:rPr>
        <w:t>提交相关证明材料；供应商不能证明其报价合理性的，磋商小组应当</w:t>
      </w:r>
      <w:r>
        <w:rPr>
          <w:rFonts w:ascii="宋体" w:hAnsi="宋体" w:eastAsia="宋体" w:cs="宋体"/>
          <w:spacing w:val="-2"/>
          <w:sz w:val="24"/>
          <w:szCs w:val="24"/>
        </w:rPr>
        <w:t>将其作为无效投标处理。</w:t>
      </w:r>
    </w:p>
    <w:p w14:paraId="76D1A5C2">
      <w:pPr>
        <w:spacing w:line="360" w:lineRule="auto"/>
        <w:ind w:left="8" w:right="53" w:firstLine="492"/>
        <w:rPr>
          <w:rFonts w:ascii="宋体" w:hAnsi="宋体" w:eastAsia="宋体" w:cs="宋体"/>
          <w:sz w:val="24"/>
          <w:szCs w:val="24"/>
        </w:rPr>
      </w:pPr>
      <w:r>
        <w:rPr>
          <w:rFonts w:ascii="宋体" w:hAnsi="宋体" w:eastAsia="宋体" w:cs="宋体"/>
          <w:sz w:val="24"/>
          <w:szCs w:val="24"/>
        </w:rPr>
        <w:t>（5）有效的书面澄清材料，是竞争性磋商响应文件的补充材料，成为竞争性磋商响应文</w:t>
      </w:r>
      <w:r>
        <w:rPr>
          <w:rFonts w:ascii="宋体" w:hAnsi="宋体" w:eastAsia="宋体" w:cs="宋体"/>
          <w:spacing w:val="-2"/>
          <w:sz w:val="24"/>
          <w:szCs w:val="24"/>
        </w:rPr>
        <w:t>件的组成部分。</w:t>
      </w:r>
    </w:p>
    <w:p w14:paraId="0C53639E">
      <w:pPr>
        <w:spacing w:line="360" w:lineRule="auto"/>
        <w:ind w:left="494"/>
        <w:rPr>
          <w:rFonts w:ascii="宋体" w:hAnsi="宋体" w:eastAsia="宋体" w:cs="宋体"/>
          <w:sz w:val="24"/>
          <w:szCs w:val="24"/>
        </w:rPr>
      </w:pPr>
      <w:r>
        <w:rPr>
          <w:rFonts w:ascii="宋体" w:hAnsi="宋体" w:eastAsia="宋体" w:cs="宋体"/>
          <w:b/>
          <w:bCs/>
          <w:spacing w:val="-3"/>
          <w:sz w:val="24"/>
          <w:szCs w:val="24"/>
        </w:rPr>
        <w:t>3.3、出现下列情况之一者（但不限于</w:t>
      </w:r>
      <w:r>
        <w:rPr>
          <w:rFonts w:ascii="宋体" w:hAnsi="宋体" w:eastAsia="宋体" w:cs="宋体"/>
          <w:b/>
          <w:bCs/>
          <w:spacing w:val="9"/>
          <w:sz w:val="24"/>
          <w:szCs w:val="24"/>
        </w:rPr>
        <w:t>），</w:t>
      </w:r>
      <w:r>
        <w:rPr>
          <w:rFonts w:ascii="宋体" w:hAnsi="宋体" w:eastAsia="宋体" w:cs="宋体"/>
          <w:b/>
          <w:bCs/>
          <w:spacing w:val="-3"/>
          <w:sz w:val="24"/>
          <w:szCs w:val="24"/>
        </w:rPr>
        <w:t>按无效响应文件处理：</w:t>
      </w:r>
    </w:p>
    <w:p w14:paraId="531F72A9">
      <w:pPr>
        <w:spacing w:before="135" w:line="360" w:lineRule="auto"/>
        <w:ind w:left="9" w:right="53" w:firstLine="491"/>
        <w:rPr>
          <w:rFonts w:ascii="宋体" w:hAnsi="宋体" w:eastAsia="宋体" w:cs="宋体"/>
          <w:sz w:val="24"/>
          <w:szCs w:val="24"/>
        </w:rPr>
      </w:pPr>
      <w:r>
        <w:rPr>
          <w:rFonts w:ascii="宋体" w:hAnsi="宋体" w:eastAsia="宋体" w:cs="宋体"/>
          <w:sz w:val="24"/>
          <w:szCs w:val="24"/>
        </w:rPr>
        <w:t>（1）供应商没有经过正常渠道获取磋商文件，或供应商的名称与报名时登记的供应商单</w:t>
      </w:r>
      <w:r>
        <w:rPr>
          <w:rFonts w:ascii="宋体" w:hAnsi="宋体" w:eastAsia="宋体" w:cs="宋体"/>
          <w:spacing w:val="-2"/>
          <w:sz w:val="24"/>
          <w:szCs w:val="24"/>
        </w:rPr>
        <w:t>位名称不符；</w:t>
      </w:r>
    </w:p>
    <w:p w14:paraId="09AEAF6A">
      <w:pPr>
        <w:spacing w:line="360" w:lineRule="auto"/>
        <w:ind w:left="500"/>
        <w:rPr>
          <w:rFonts w:ascii="宋体" w:hAnsi="宋体" w:eastAsia="宋体" w:cs="宋体"/>
          <w:sz w:val="24"/>
          <w:szCs w:val="24"/>
        </w:rPr>
      </w:pPr>
      <w:r>
        <w:rPr>
          <w:rFonts w:ascii="宋体" w:hAnsi="宋体" w:eastAsia="宋体" w:cs="宋体"/>
          <w:spacing w:val="-1"/>
          <w:sz w:val="24"/>
          <w:szCs w:val="24"/>
        </w:rPr>
        <w:t>（2）投标供应商的有效性和符合性不符合要求的；</w:t>
      </w:r>
    </w:p>
    <w:p w14:paraId="5D5D13E4">
      <w:pPr>
        <w:spacing w:before="136" w:line="360" w:lineRule="auto"/>
        <w:ind w:left="11" w:right="53" w:firstLine="489"/>
        <w:rPr>
          <w:rFonts w:ascii="宋体" w:hAnsi="宋体" w:eastAsia="宋体" w:cs="宋体"/>
          <w:sz w:val="24"/>
          <w:szCs w:val="24"/>
        </w:rPr>
      </w:pPr>
      <w:r>
        <w:rPr>
          <w:rFonts w:ascii="宋体" w:hAnsi="宋体" w:eastAsia="宋体" w:cs="宋体"/>
          <w:sz w:val="24"/>
          <w:szCs w:val="24"/>
        </w:rPr>
        <w:t>（3）投标供应商有串通投标、弄虚作假（包括但不限于虚假资质、虚假证明、虚假应答</w:t>
      </w:r>
      <w:r>
        <w:rPr>
          <w:rFonts w:ascii="宋体" w:hAnsi="宋体" w:eastAsia="宋体" w:cs="宋体"/>
          <w:spacing w:val="-1"/>
          <w:sz w:val="24"/>
          <w:szCs w:val="24"/>
        </w:rPr>
        <w:t>等）、行贿等违法行为的；</w:t>
      </w:r>
    </w:p>
    <w:p w14:paraId="7F087315">
      <w:pPr>
        <w:spacing w:before="1" w:line="360" w:lineRule="auto"/>
        <w:ind w:left="500"/>
        <w:rPr>
          <w:rFonts w:ascii="宋体" w:hAnsi="宋体" w:eastAsia="宋体" w:cs="宋体"/>
          <w:sz w:val="24"/>
          <w:szCs w:val="24"/>
        </w:rPr>
      </w:pPr>
      <w:r>
        <w:rPr>
          <w:rFonts w:ascii="宋体" w:hAnsi="宋体" w:eastAsia="宋体" w:cs="宋体"/>
          <w:spacing w:val="-1"/>
          <w:sz w:val="24"/>
          <w:szCs w:val="24"/>
        </w:rPr>
        <w:t>（4）竞争性磋商响应文件附加了采购人难以接受的条件或条款的；</w:t>
      </w:r>
    </w:p>
    <w:p w14:paraId="133C701E">
      <w:pPr>
        <w:spacing w:before="135" w:line="360" w:lineRule="auto"/>
        <w:ind w:left="500"/>
        <w:rPr>
          <w:rFonts w:ascii="宋体" w:hAnsi="宋体" w:eastAsia="宋体" w:cs="宋体"/>
          <w:sz w:val="24"/>
          <w:szCs w:val="24"/>
        </w:rPr>
      </w:pPr>
      <w:r>
        <w:rPr>
          <w:rFonts w:ascii="宋体" w:hAnsi="宋体" w:eastAsia="宋体" w:cs="宋体"/>
          <w:spacing w:val="-1"/>
          <w:sz w:val="24"/>
          <w:szCs w:val="24"/>
        </w:rPr>
        <w:t>（5）在政府采购或其他重大项目履约过程中有不良记录，未能按期履约的；</w:t>
      </w:r>
    </w:p>
    <w:p w14:paraId="457A4E89">
      <w:pPr>
        <w:spacing w:before="136" w:line="360" w:lineRule="auto"/>
        <w:ind w:left="500"/>
        <w:rPr>
          <w:rFonts w:ascii="宋体" w:hAnsi="宋体" w:eastAsia="宋体" w:cs="宋体"/>
          <w:sz w:val="24"/>
          <w:szCs w:val="24"/>
        </w:rPr>
      </w:pPr>
      <w:r>
        <w:rPr>
          <w:rFonts w:ascii="宋体" w:hAnsi="宋体" w:eastAsia="宋体" w:cs="宋体"/>
          <w:spacing w:val="-1"/>
          <w:sz w:val="24"/>
          <w:szCs w:val="24"/>
        </w:rPr>
        <w:t>（6）投标报价与市场价格偏离较大、低于成本、形成不正当竞争的；</w:t>
      </w:r>
    </w:p>
    <w:p w14:paraId="55F70691">
      <w:pPr>
        <w:spacing w:before="136" w:line="360" w:lineRule="auto"/>
        <w:ind w:left="500"/>
        <w:rPr>
          <w:rFonts w:ascii="宋体" w:hAnsi="宋体" w:eastAsia="宋体" w:cs="宋体"/>
          <w:sz w:val="24"/>
          <w:szCs w:val="24"/>
        </w:rPr>
      </w:pPr>
      <w:r>
        <w:rPr>
          <w:rFonts w:ascii="宋体" w:hAnsi="宋体" w:eastAsia="宋体" w:cs="宋体"/>
          <w:spacing w:val="-1"/>
          <w:sz w:val="24"/>
          <w:szCs w:val="24"/>
        </w:rPr>
        <w:t>（7）投标报价子目出现漏项或报价数量与要求不符的；</w:t>
      </w:r>
    </w:p>
    <w:p w14:paraId="52D31716">
      <w:pPr>
        <w:spacing w:before="137" w:line="360" w:lineRule="auto"/>
        <w:ind w:left="32" w:right="53" w:firstLine="467"/>
        <w:rPr>
          <w:rFonts w:ascii="宋体" w:hAnsi="宋体" w:eastAsia="宋体" w:cs="宋体"/>
          <w:sz w:val="24"/>
          <w:szCs w:val="24"/>
        </w:rPr>
      </w:pPr>
      <w:r>
        <w:rPr>
          <w:rFonts w:ascii="宋体" w:hAnsi="宋体" w:eastAsia="宋体" w:cs="宋体"/>
          <w:sz w:val="24"/>
          <w:szCs w:val="24"/>
        </w:rPr>
        <w:t>（8）单位负责人为同一人或者存在直接控股、管理关系的不同供应商，不得参加同一合</w:t>
      </w:r>
      <w:r>
        <w:rPr>
          <w:rFonts w:ascii="宋体" w:hAnsi="宋体" w:eastAsia="宋体" w:cs="宋体"/>
          <w:spacing w:val="-3"/>
          <w:sz w:val="24"/>
          <w:szCs w:val="24"/>
        </w:rPr>
        <w:t>同项下的政府采购活动；</w:t>
      </w:r>
    </w:p>
    <w:p w14:paraId="19A81EB2">
      <w:pPr>
        <w:spacing w:before="1" w:line="360" w:lineRule="auto"/>
        <w:ind w:left="500"/>
        <w:rPr>
          <w:rFonts w:ascii="宋体" w:hAnsi="宋体" w:eastAsia="宋体" w:cs="宋体"/>
          <w:sz w:val="24"/>
          <w:szCs w:val="24"/>
        </w:rPr>
      </w:pPr>
      <w:r>
        <w:rPr>
          <w:rFonts w:ascii="宋体" w:hAnsi="宋体" w:eastAsia="宋体" w:cs="宋体"/>
          <w:spacing w:val="-2"/>
          <w:sz w:val="24"/>
          <w:szCs w:val="24"/>
        </w:rPr>
        <w:t>（9）提供虚假技术性能指标的。</w:t>
      </w:r>
    </w:p>
    <w:p w14:paraId="4972AC00">
      <w:pPr>
        <w:spacing w:before="135" w:line="360" w:lineRule="auto"/>
        <w:ind w:left="494"/>
        <w:rPr>
          <w:rFonts w:ascii="宋体" w:hAnsi="宋体" w:eastAsia="宋体" w:cs="宋体"/>
          <w:sz w:val="24"/>
          <w:szCs w:val="24"/>
        </w:rPr>
      </w:pPr>
      <w:r>
        <w:rPr>
          <w:rFonts w:ascii="宋体" w:hAnsi="宋体" w:eastAsia="宋体" w:cs="宋体"/>
          <w:b/>
          <w:bCs/>
          <w:spacing w:val="-2"/>
          <w:sz w:val="24"/>
          <w:szCs w:val="24"/>
        </w:rPr>
        <w:t>3.4、有下列情形之一的，视为供应商串通投标，磋商小组应当认定其投</w:t>
      </w:r>
      <w:r>
        <w:rPr>
          <w:rFonts w:ascii="宋体" w:hAnsi="宋体" w:eastAsia="宋体" w:cs="宋体"/>
          <w:b/>
          <w:bCs/>
          <w:spacing w:val="-3"/>
          <w:sz w:val="24"/>
          <w:szCs w:val="24"/>
        </w:rPr>
        <w:t>标无效：</w:t>
      </w:r>
    </w:p>
    <w:p w14:paraId="76F6398A">
      <w:pPr>
        <w:spacing w:before="136" w:line="360" w:lineRule="auto"/>
        <w:ind w:left="500"/>
        <w:rPr>
          <w:rFonts w:ascii="宋体" w:hAnsi="宋体" w:eastAsia="宋体" w:cs="宋体"/>
          <w:sz w:val="24"/>
          <w:szCs w:val="24"/>
        </w:rPr>
      </w:pPr>
      <w:r>
        <w:rPr>
          <w:rFonts w:ascii="宋体" w:hAnsi="宋体" w:eastAsia="宋体" w:cs="宋体"/>
          <w:spacing w:val="-1"/>
          <w:sz w:val="24"/>
          <w:szCs w:val="24"/>
        </w:rPr>
        <w:t>（1）不同供应商的竞争性磋商响应文件由同一单位或者个人编制；</w:t>
      </w:r>
    </w:p>
    <w:p w14:paraId="48284C04">
      <w:pPr>
        <w:spacing w:before="135" w:line="360" w:lineRule="auto"/>
        <w:ind w:left="500"/>
        <w:rPr>
          <w:rFonts w:ascii="宋体" w:hAnsi="宋体" w:eastAsia="宋体" w:cs="宋体"/>
          <w:sz w:val="24"/>
          <w:szCs w:val="24"/>
        </w:rPr>
      </w:pPr>
      <w:r>
        <w:rPr>
          <w:rFonts w:ascii="宋体" w:hAnsi="宋体" w:eastAsia="宋体" w:cs="宋体"/>
          <w:spacing w:val="-1"/>
          <w:sz w:val="24"/>
          <w:szCs w:val="24"/>
        </w:rPr>
        <w:t>（2）不同供应商委托同一单位或者个人办理投标事宜；</w:t>
      </w:r>
    </w:p>
    <w:p w14:paraId="6B0CD0C6">
      <w:pPr>
        <w:spacing w:before="135" w:line="360" w:lineRule="auto"/>
        <w:ind w:left="500"/>
        <w:rPr>
          <w:rFonts w:ascii="宋体" w:hAnsi="宋体" w:eastAsia="宋体" w:cs="宋体"/>
          <w:sz w:val="24"/>
          <w:szCs w:val="24"/>
        </w:rPr>
      </w:pPr>
      <w:r>
        <w:rPr>
          <w:rFonts w:ascii="宋体" w:hAnsi="宋体" w:eastAsia="宋体" w:cs="宋体"/>
          <w:spacing w:val="-1"/>
          <w:sz w:val="24"/>
          <w:szCs w:val="24"/>
        </w:rPr>
        <w:t>（3）不同供应商的竞争性磋商响应文件载明的项目管理成员或者联系人员为同一人；</w:t>
      </w:r>
    </w:p>
    <w:p w14:paraId="3804FEC9">
      <w:pPr>
        <w:spacing w:before="136" w:line="360" w:lineRule="auto"/>
        <w:ind w:left="500"/>
        <w:rPr>
          <w:rFonts w:ascii="宋体" w:hAnsi="宋体" w:eastAsia="宋体" w:cs="宋体"/>
          <w:sz w:val="24"/>
          <w:szCs w:val="24"/>
        </w:rPr>
      </w:pPr>
      <w:r>
        <w:rPr>
          <w:rFonts w:ascii="宋体" w:hAnsi="宋体" w:eastAsia="宋体" w:cs="宋体"/>
          <w:spacing w:val="-1"/>
          <w:sz w:val="24"/>
          <w:szCs w:val="24"/>
        </w:rPr>
        <w:t>（4）不同供应商的竞争性磋商响应文件异常一致或者投标报价呈规律性差异；</w:t>
      </w:r>
    </w:p>
    <w:p w14:paraId="48A0494A">
      <w:pPr>
        <w:spacing w:before="136" w:line="360" w:lineRule="auto"/>
        <w:ind w:left="500"/>
        <w:rPr>
          <w:rFonts w:ascii="宋体" w:hAnsi="宋体" w:eastAsia="宋体" w:cs="宋体"/>
          <w:sz w:val="24"/>
          <w:szCs w:val="24"/>
        </w:rPr>
      </w:pPr>
      <w:r>
        <w:rPr>
          <w:rFonts w:ascii="宋体" w:hAnsi="宋体" w:eastAsia="宋体" w:cs="宋体"/>
          <w:spacing w:val="-1"/>
          <w:sz w:val="24"/>
          <w:szCs w:val="24"/>
        </w:rPr>
        <w:t>（5）不同供应商的竞争性磋商响应文件相互混装。</w:t>
      </w:r>
    </w:p>
    <w:p w14:paraId="526521F8">
      <w:pPr>
        <w:spacing w:before="136" w:line="360" w:lineRule="auto"/>
        <w:ind w:left="494"/>
        <w:rPr>
          <w:rFonts w:ascii="宋体" w:hAnsi="宋体" w:eastAsia="宋体" w:cs="宋体"/>
          <w:sz w:val="24"/>
          <w:szCs w:val="24"/>
        </w:rPr>
      </w:pPr>
      <w:r>
        <w:rPr>
          <w:rFonts w:ascii="宋体" w:hAnsi="宋体" w:eastAsia="宋体" w:cs="宋体"/>
          <w:b/>
          <w:bCs/>
          <w:spacing w:val="-4"/>
          <w:sz w:val="24"/>
          <w:szCs w:val="24"/>
        </w:rPr>
        <w:t>3.5、禁止行为</w:t>
      </w:r>
    </w:p>
    <w:p w14:paraId="4C4A2E1F">
      <w:pPr>
        <w:spacing w:before="135" w:line="360" w:lineRule="auto"/>
        <w:ind w:left="500"/>
      </w:pPr>
      <w:r>
        <w:rPr>
          <w:rFonts w:ascii="宋体" w:hAnsi="宋体" w:eastAsia="宋体" w:cs="宋体"/>
          <w:sz w:val="24"/>
          <w:szCs w:val="24"/>
        </w:rPr>
        <w:t>（1）供应商不得与采购人、采购代理机构恶意串通；不得向采购人、采购代理机构或者</w:t>
      </w:r>
    </w:p>
    <w:p w14:paraId="593DF0C1">
      <w:pPr>
        <w:spacing w:before="78" w:line="360" w:lineRule="auto"/>
        <w:ind w:left="8" w:right="80"/>
        <w:rPr>
          <w:rFonts w:ascii="宋体" w:hAnsi="宋体" w:eastAsia="宋体" w:cs="宋体"/>
          <w:sz w:val="24"/>
          <w:szCs w:val="24"/>
        </w:rPr>
      </w:pPr>
      <w:r>
        <w:rPr>
          <w:rFonts w:ascii="宋体" w:hAnsi="宋体" w:eastAsia="宋体" w:cs="宋体"/>
          <w:spacing w:val="-2"/>
          <w:sz w:val="24"/>
          <w:szCs w:val="24"/>
        </w:rPr>
        <w:t>磋商小组成员行贿或者提供其他不正当利益</w:t>
      </w:r>
      <w:r>
        <w:rPr>
          <w:rFonts w:ascii="宋体" w:hAnsi="宋体" w:eastAsia="宋体" w:cs="宋体"/>
          <w:spacing w:val="-3"/>
          <w:sz w:val="24"/>
          <w:szCs w:val="24"/>
        </w:rPr>
        <w:t>；不得提供虚假材料谋取中标；不得以任何方式干</w:t>
      </w:r>
      <w:r>
        <w:rPr>
          <w:rFonts w:ascii="宋体" w:hAnsi="宋体" w:eastAsia="宋体" w:cs="宋体"/>
          <w:sz w:val="24"/>
          <w:szCs w:val="24"/>
        </w:rPr>
        <w:t>扰、影响采购工作。供应商违反政府采购法律法规相关规定</w:t>
      </w:r>
      <w:r>
        <w:rPr>
          <w:rFonts w:ascii="宋体" w:hAnsi="宋体" w:eastAsia="宋体" w:cs="宋体"/>
          <w:spacing w:val="-1"/>
          <w:sz w:val="24"/>
          <w:szCs w:val="24"/>
        </w:rPr>
        <w:t>的，依法追究法律责任。</w:t>
      </w:r>
    </w:p>
    <w:p w14:paraId="1BEF254D">
      <w:pPr>
        <w:spacing w:before="2" w:line="360" w:lineRule="auto"/>
        <w:ind w:left="13" w:right="18" w:firstLine="487"/>
        <w:rPr>
          <w:rFonts w:ascii="宋体" w:hAnsi="宋体" w:eastAsia="宋体" w:cs="宋体"/>
          <w:sz w:val="24"/>
          <w:szCs w:val="24"/>
        </w:rPr>
      </w:pPr>
      <w:r>
        <w:rPr>
          <w:rFonts w:ascii="宋体" w:hAnsi="宋体" w:eastAsia="宋体" w:cs="宋体"/>
          <w:spacing w:val="-4"/>
          <w:sz w:val="24"/>
          <w:szCs w:val="24"/>
        </w:rPr>
        <w:t>（2）供应商应当遵循公平竞争的原则，不得恶意串通，不</w:t>
      </w:r>
      <w:r>
        <w:rPr>
          <w:rFonts w:ascii="宋体" w:hAnsi="宋体" w:eastAsia="宋体" w:cs="宋体"/>
          <w:spacing w:val="-5"/>
          <w:sz w:val="24"/>
          <w:szCs w:val="24"/>
        </w:rPr>
        <w:t>得妨碍其他供应商的竞争行为，</w:t>
      </w:r>
      <w:r>
        <w:rPr>
          <w:rFonts w:ascii="宋体" w:hAnsi="宋体" w:eastAsia="宋体" w:cs="宋体"/>
          <w:spacing w:val="-1"/>
          <w:sz w:val="24"/>
          <w:szCs w:val="24"/>
        </w:rPr>
        <w:t>不得损害采购人或者其他供应商的合法权益。</w:t>
      </w:r>
    </w:p>
    <w:p w14:paraId="253D4636">
      <w:pPr>
        <w:spacing w:before="12" w:line="360" w:lineRule="auto"/>
        <w:ind w:left="428"/>
        <w:rPr>
          <w:rFonts w:ascii="宋体" w:hAnsi="宋体" w:eastAsia="宋体" w:cs="宋体"/>
          <w:sz w:val="24"/>
          <w:szCs w:val="24"/>
        </w:rPr>
      </w:pPr>
      <w:r>
        <w:rPr>
          <w:rFonts w:ascii="宋体" w:hAnsi="宋体" w:eastAsia="宋体" w:cs="宋体"/>
          <w:b/>
          <w:bCs/>
          <w:spacing w:val="-5"/>
          <w:sz w:val="24"/>
          <w:szCs w:val="24"/>
        </w:rPr>
        <w:t>4、磋商：</w:t>
      </w:r>
    </w:p>
    <w:p w14:paraId="2C423935">
      <w:pPr>
        <w:spacing w:before="154" w:line="360" w:lineRule="auto"/>
        <w:ind w:left="10" w:right="80" w:firstLine="478"/>
        <w:rPr>
          <w:rFonts w:ascii="宋体" w:hAnsi="宋体" w:eastAsia="宋体" w:cs="宋体"/>
          <w:sz w:val="24"/>
          <w:szCs w:val="24"/>
        </w:rPr>
      </w:pPr>
      <w:r>
        <w:rPr>
          <w:rFonts w:ascii="宋体" w:hAnsi="宋体" w:eastAsia="宋体" w:cs="宋体"/>
          <w:sz w:val="24"/>
          <w:szCs w:val="24"/>
        </w:rPr>
        <w:t>4.1、磋商小组所有成员集中与单一供应商分别进行磋商，并要求供应商在规定的时间内</w:t>
      </w:r>
      <w:r>
        <w:rPr>
          <w:rFonts w:ascii="宋体" w:hAnsi="宋体" w:eastAsia="宋体" w:cs="宋体"/>
          <w:spacing w:val="-3"/>
          <w:sz w:val="24"/>
          <w:szCs w:val="24"/>
        </w:rPr>
        <w:t>提交最后报价。在磋商过程中，磋商小组可以根据竞争性磋商文件和磋商情况实质性变动采购需求中的技术、服务要求以及合同草案条款，但不得变动竞争性磋商文件中的其它内容。实质</w:t>
      </w:r>
      <w:r>
        <w:rPr>
          <w:rFonts w:ascii="宋体" w:hAnsi="宋体" w:eastAsia="宋体" w:cs="宋体"/>
          <w:spacing w:val="-1"/>
          <w:sz w:val="24"/>
          <w:szCs w:val="24"/>
        </w:rPr>
        <w:t>性变动得内容，需经采购人代表确认。</w:t>
      </w:r>
    </w:p>
    <w:p w14:paraId="7F2A1991">
      <w:pPr>
        <w:spacing w:before="1" w:line="360" w:lineRule="auto"/>
        <w:ind w:left="488"/>
        <w:rPr>
          <w:rFonts w:ascii="宋体" w:hAnsi="宋体" w:eastAsia="宋体" w:cs="宋体"/>
          <w:sz w:val="24"/>
          <w:szCs w:val="24"/>
        </w:rPr>
      </w:pPr>
      <w:r>
        <w:rPr>
          <w:rFonts w:ascii="宋体" w:hAnsi="宋体" w:eastAsia="宋体" w:cs="宋体"/>
          <w:spacing w:val="-3"/>
          <w:sz w:val="24"/>
          <w:szCs w:val="24"/>
        </w:rPr>
        <w:t>4.2</w:t>
      </w:r>
      <w:r>
        <w:rPr>
          <w:rFonts w:ascii="宋体" w:hAnsi="宋体" w:eastAsia="宋体" w:cs="宋体"/>
          <w:spacing w:val="-48"/>
          <w:sz w:val="24"/>
          <w:szCs w:val="24"/>
        </w:rPr>
        <w:t xml:space="preserve"> </w:t>
      </w:r>
      <w:r>
        <w:rPr>
          <w:rFonts w:ascii="宋体" w:hAnsi="宋体" w:eastAsia="宋体" w:cs="宋体"/>
          <w:spacing w:val="-3"/>
          <w:sz w:val="24"/>
          <w:szCs w:val="24"/>
        </w:rPr>
        <w:t>最后报价</w:t>
      </w:r>
    </w:p>
    <w:p w14:paraId="0A59814B">
      <w:pPr>
        <w:spacing w:before="158" w:line="360" w:lineRule="auto"/>
        <w:ind w:left="499"/>
        <w:rPr>
          <w:rFonts w:ascii="宋体" w:hAnsi="宋体" w:eastAsia="宋体" w:cs="宋体"/>
          <w:sz w:val="24"/>
          <w:szCs w:val="24"/>
        </w:rPr>
      </w:pPr>
      <w:r>
        <w:rPr>
          <w:rFonts w:ascii="宋体" w:hAnsi="宋体" w:eastAsia="宋体" w:cs="宋体"/>
          <w:spacing w:val="-1"/>
          <w:sz w:val="24"/>
          <w:szCs w:val="24"/>
        </w:rPr>
        <w:t>资格性审查和符合性审查通过的供应商进入最后报价阶段。</w:t>
      </w:r>
    </w:p>
    <w:p w14:paraId="2E9EFA1C">
      <w:pPr>
        <w:spacing w:before="157" w:line="360" w:lineRule="auto"/>
        <w:ind w:left="15" w:right="80" w:firstLine="485"/>
        <w:rPr>
          <w:rFonts w:ascii="宋体" w:hAnsi="宋体" w:eastAsia="宋体" w:cs="宋体"/>
          <w:sz w:val="24"/>
          <w:szCs w:val="24"/>
        </w:rPr>
      </w:pPr>
      <w:r>
        <w:rPr>
          <w:rFonts w:ascii="宋体" w:hAnsi="宋体" w:eastAsia="宋体" w:cs="宋体"/>
          <w:spacing w:val="-2"/>
          <w:sz w:val="24"/>
          <w:szCs w:val="24"/>
        </w:rPr>
        <w:t>（1）供应商须登录全国公共资源交易平台（陕西省</w:t>
      </w:r>
      <w:r>
        <w:rPr>
          <w:rFonts w:ascii="宋体" w:hAnsi="宋体" w:eastAsia="宋体" w:cs="宋体"/>
          <w:spacing w:val="-28"/>
          <w:sz w:val="24"/>
          <w:szCs w:val="24"/>
        </w:rPr>
        <w:t xml:space="preserve"> </w:t>
      </w:r>
      <w:r>
        <w:rPr>
          <w:rFonts w:ascii="宋体" w:hAnsi="宋体" w:eastAsia="宋体" w:cs="宋体"/>
          <w:spacing w:val="-2"/>
          <w:sz w:val="24"/>
          <w:szCs w:val="24"/>
        </w:rPr>
        <w:t>·杨凌示范区)</w:t>
      </w:r>
      <w:r>
        <w:rPr>
          <w:rFonts w:ascii="宋体" w:hAnsi="宋体" w:eastAsia="宋体" w:cs="宋体"/>
          <w:spacing w:val="-3"/>
          <w:sz w:val="24"/>
          <w:szCs w:val="24"/>
        </w:rPr>
        <w:t>-陕西政府采购交易系</w:t>
      </w:r>
      <w:r>
        <w:rPr>
          <w:rFonts w:ascii="宋体" w:hAnsi="宋体" w:eastAsia="宋体" w:cs="宋体"/>
          <w:spacing w:val="-1"/>
          <w:sz w:val="24"/>
          <w:szCs w:val="24"/>
        </w:rPr>
        <w:t>统.企业端（网址：</w:t>
      </w:r>
      <w:r>
        <w:fldChar w:fldCharType="begin"/>
      </w:r>
      <w:r>
        <w:instrText xml:space="preserve"> HYPERLINK "http://yangl.sxggzyjy.cn/wblj/009001/jyxtlogin.html" </w:instrText>
      </w:r>
      <w:r>
        <w:fldChar w:fldCharType="separate"/>
      </w:r>
      <w:r>
        <w:rPr>
          <w:rFonts w:ascii="宋体" w:hAnsi="宋体" w:eastAsia="宋体" w:cs="宋体"/>
          <w:spacing w:val="-1"/>
          <w:sz w:val="24"/>
          <w:szCs w:val="24"/>
        </w:rPr>
        <w:t>http://yangl.sx</w:t>
      </w:r>
      <w:r>
        <w:rPr>
          <w:rFonts w:ascii="宋体" w:hAnsi="宋体" w:eastAsia="宋体" w:cs="宋体"/>
          <w:spacing w:val="-2"/>
          <w:sz w:val="24"/>
          <w:szCs w:val="24"/>
        </w:rPr>
        <w:t>ggzyjy.cn/wblj/009001/jyxtlogin.html</w:t>
      </w:r>
      <w:r>
        <w:rPr>
          <w:rFonts w:ascii="宋体" w:hAnsi="宋体" w:eastAsia="宋体" w:cs="宋体"/>
          <w:spacing w:val="-2"/>
          <w:sz w:val="24"/>
          <w:szCs w:val="24"/>
        </w:rPr>
        <w:fldChar w:fldCharType="end"/>
      </w:r>
      <w:r>
        <w:rPr>
          <w:rFonts w:ascii="宋体" w:hAnsi="宋体" w:eastAsia="宋体" w:cs="宋体"/>
          <w:spacing w:val="-2"/>
          <w:sz w:val="24"/>
          <w:szCs w:val="24"/>
        </w:rPr>
        <w:t>）提交最后报价</w:t>
      </w:r>
      <w:r>
        <w:rPr>
          <w:rFonts w:ascii="宋体" w:hAnsi="宋体" w:eastAsia="宋体" w:cs="宋体"/>
          <w:spacing w:val="-1"/>
          <w:sz w:val="24"/>
          <w:szCs w:val="24"/>
        </w:rPr>
        <w:t>（各合格供应商的最后报价将作为综合评分法中价格分的计算依据）。</w:t>
      </w:r>
    </w:p>
    <w:p w14:paraId="0BB77BF3">
      <w:pPr>
        <w:spacing w:before="2" w:line="360" w:lineRule="auto"/>
        <w:ind w:left="9" w:right="80" w:firstLine="491"/>
        <w:rPr>
          <w:rFonts w:ascii="宋体" w:hAnsi="宋体" w:eastAsia="宋体" w:cs="宋体"/>
          <w:sz w:val="24"/>
          <w:szCs w:val="24"/>
        </w:rPr>
      </w:pPr>
      <w:r>
        <w:rPr>
          <w:rFonts w:ascii="宋体" w:hAnsi="宋体" w:eastAsia="宋体" w:cs="宋体"/>
          <w:sz w:val="24"/>
          <w:szCs w:val="24"/>
        </w:rPr>
        <w:t>（2）在对所有供应商的竞争性磋商响应文件进行符合性审查时，通过必要的澄清，从质</w:t>
      </w:r>
      <w:r>
        <w:rPr>
          <w:rFonts w:ascii="宋体" w:hAnsi="宋体" w:eastAsia="宋体" w:cs="宋体"/>
          <w:spacing w:val="-2"/>
          <w:sz w:val="24"/>
          <w:szCs w:val="24"/>
        </w:rPr>
        <w:t>量和技术、服务均能满足竞争性磋商文件实</w:t>
      </w:r>
      <w:r>
        <w:rPr>
          <w:rFonts w:ascii="宋体" w:hAnsi="宋体" w:eastAsia="宋体" w:cs="宋体"/>
          <w:spacing w:val="-3"/>
          <w:sz w:val="24"/>
          <w:szCs w:val="24"/>
        </w:rPr>
        <w:t>质性响应要求的基础上，筛选出合格供应商。不合</w:t>
      </w:r>
      <w:r>
        <w:rPr>
          <w:rFonts w:ascii="宋体" w:hAnsi="宋体" w:eastAsia="宋体" w:cs="宋体"/>
          <w:sz w:val="24"/>
          <w:szCs w:val="24"/>
        </w:rPr>
        <w:t>格供应商的竞争性磋商响应文件按无效处理，磋商</w:t>
      </w:r>
      <w:r>
        <w:rPr>
          <w:rFonts w:ascii="宋体" w:hAnsi="宋体" w:eastAsia="宋体" w:cs="宋体"/>
          <w:spacing w:val="-1"/>
          <w:sz w:val="24"/>
          <w:szCs w:val="24"/>
        </w:rPr>
        <w:t>小组要告知有关供应商。</w:t>
      </w:r>
    </w:p>
    <w:p w14:paraId="59261DEC">
      <w:pPr>
        <w:spacing w:before="1" w:line="360" w:lineRule="auto"/>
        <w:ind w:left="8" w:right="18" w:firstLine="485"/>
        <w:rPr>
          <w:rFonts w:ascii="宋体" w:hAnsi="宋体" w:eastAsia="宋体" w:cs="宋体"/>
          <w:sz w:val="24"/>
          <w:szCs w:val="24"/>
        </w:rPr>
      </w:pPr>
      <w:r>
        <w:rPr>
          <w:rFonts w:ascii="宋体" w:hAnsi="宋体" w:eastAsia="宋体" w:cs="宋体"/>
          <w:b/>
          <w:bCs/>
          <w:sz w:val="24"/>
          <w:szCs w:val="24"/>
        </w:rPr>
        <w:t>5、综合评审：</w:t>
      </w:r>
      <w:r>
        <w:rPr>
          <w:rFonts w:ascii="宋体" w:hAnsi="宋体" w:eastAsia="宋体" w:cs="宋体"/>
          <w:sz w:val="24"/>
          <w:szCs w:val="24"/>
        </w:rPr>
        <w:t>对于经初审合格的所有供应商，由磋商小组各成员依</w:t>
      </w:r>
      <w:r>
        <w:rPr>
          <w:rFonts w:ascii="宋体" w:hAnsi="宋体" w:eastAsia="宋体" w:cs="宋体"/>
          <w:spacing w:val="-1"/>
          <w:sz w:val="24"/>
          <w:szCs w:val="24"/>
        </w:rPr>
        <w:t>据竞争性磋商响应文</w:t>
      </w:r>
      <w:r>
        <w:rPr>
          <w:rFonts w:ascii="宋体" w:hAnsi="宋体" w:eastAsia="宋体" w:cs="宋体"/>
          <w:spacing w:val="-7"/>
          <w:sz w:val="24"/>
          <w:szCs w:val="24"/>
        </w:rPr>
        <w:t>件和最终报价，按照下列《评审要素及分值一览表》规定的内容独立进行综合评价、比较打分，</w:t>
      </w:r>
      <w:r>
        <w:rPr>
          <w:rFonts w:ascii="宋体" w:hAnsi="宋体" w:eastAsia="宋体" w:cs="宋体"/>
          <w:sz w:val="24"/>
          <w:szCs w:val="24"/>
        </w:rPr>
        <w:t>然后汇总每个供应商的得分，从高到低依次排</w:t>
      </w:r>
      <w:r>
        <w:rPr>
          <w:rFonts w:ascii="宋体" w:hAnsi="宋体" w:eastAsia="宋体" w:cs="宋体"/>
          <w:spacing w:val="-1"/>
          <w:sz w:val="24"/>
          <w:szCs w:val="24"/>
        </w:rPr>
        <w:t>序，推荐成交候选人。</w:t>
      </w:r>
    </w:p>
    <w:p w14:paraId="548A2360">
      <w:pPr>
        <w:spacing w:before="1" w:line="360" w:lineRule="auto"/>
        <w:ind w:left="491"/>
        <w:rPr>
          <w:rFonts w:ascii="宋体" w:hAnsi="宋体" w:eastAsia="宋体" w:cs="宋体"/>
          <w:sz w:val="24"/>
          <w:szCs w:val="24"/>
        </w:rPr>
      </w:pPr>
      <w:r>
        <w:rPr>
          <w:rFonts w:ascii="宋体" w:hAnsi="宋体" w:eastAsia="宋体" w:cs="宋体"/>
          <w:b/>
          <w:bCs/>
          <w:spacing w:val="-3"/>
          <w:sz w:val="24"/>
          <w:szCs w:val="24"/>
        </w:rPr>
        <w:t>6、评审内容、原则及标准（满分100分）</w:t>
      </w:r>
    </w:p>
    <w:p w14:paraId="3ABD14D9">
      <w:pPr>
        <w:spacing w:before="140" w:line="360" w:lineRule="auto"/>
        <w:ind w:left="11" w:right="80" w:firstLine="480"/>
        <w:rPr>
          <w:rFonts w:ascii="宋体" w:hAnsi="宋体" w:eastAsia="宋体" w:cs="宋体"/>
          <w:sz w:val="24"/>
          <w:szCs w:val="24"/>
        </w:rPr>
      </w:pPr>
      <w:r>
        <w:rPr>
          <w:rFonts w:ascii="宋体" w:hAnsi="宋体" w:eastAsia="宋体" w:cs="宋体"/>
          <w:sz w:val="24"/>
          <w:szCs w:val="24"/>
        </w:rPr>
        <w:t>6.1、磋商小组将遵循公开、公平、公正和择优的原则，对所有供应商的竞争性磋商响应</w:t>
      </w:r>
      <w:r>
        <w:rPr>
          <w:rFonts w:ascii="宋体" w:hAnsi="宋体" w:eastAsia="宋体" w:cs="宋体"/>
          <w:spacing w:val="-1"/>
          <w:sz w:val="24"/>
          <w:szCs w:val="24"/>
        </w:rPr>
        <w:t>文件评审，都采用相同的程序和标准。</w:t>
      </w:r>
    </w:p>
    <w:p w14:paraId="7FE4D416">
      <w:pPr>
        <w:spacing w:line="360" w:lineRule="auto"/>
        <w:ind w:left="16" w:firstLine="474"/>
        <w:rPr>
          <w:rFonts w:ascii="宋体" w:hAnsi="宋体" w:eastAsia="宋体" w:cs="宋体"/>
          <w:sz w:val="24"/>
          <w:szCs w:val="24"/>
        </w:rPr>
      </w:pPr>
      <w:r>
        <w:rPr>
          <w:rFonts w:ascii="宋体" w:hAnsi="宋体" w:eastAsia="宋体" w:cs="宋体"/>
          <w:sz w:val="24"/>
          <w:szCs w:val="24"/>
        </w:rPr>
        <w:t>6.2、评审过程的保密：在竞争性磋商响应文件的评审、比较、成交候选单位推荐以及授</w:t>
      </w:r>
      <w:r>
        <w:rPr>
          <w:rFonts w:ascii="宋体" w:hAnsi="宋体" w:eastAsia="宋体" w:cs="宋体"/>
          <w:spacing w:val="-6"/>
          <w:sz w:val="24"/>
          <w:szCs w:val="24"/>
        </w:rPr>
        <w:t>予合同的过程中，供应商向采购人和磋商小组施加</w:t>
      </w:r>
      <w:r>
        <w:rPr>
          <w:rFonts w:ascii="宋体" w:hAnsi="宋体" w:eastAsia="宋体" w:cs="宋体"/>
          <w:spacing w:val="-7"/>
          <w:sz w:val="24"/>
          <w:szCs w:val="24"/>
        </w:rPr>
        <w:t>影响的任何行为，都将会导致其报价被拒绝。</w:t>
      </w:r>
    </w:p>
    <w:p w14:paraId="6E664E1D">
      <w:pPr>
        <w:spacing w:line="360" w:lineRule="auto"/>
        <w:ind w:left="491"/>
        <w:rPr>
          <w:rFonts w:ascii="宋体" w:hAnsi="宋体" w:eastAsia="宋体" w:cs="宋体"/>
          <w:sz w:val="24"/>
          <w:szCs w:val="24"/>
        </w:rPr>
      </w:pPr>
      <w:r>
        <w:rPr>
          <w:rFonts w:ascii="宋体" w:hAnsi="宋体" w:eastAsia="宋体" w:cs="宋体"/>
          <w:spacing w:val="-1"/>
          <w:sz w:val="24"/>
          <w:szCs w:val="24"/>
        </w:rPr>
        <w:t>6.3、评审原则和办法：</w:t>
      </w:r>
    </w:p>
    <w:p w14:paraId="464C02D6">
      <w:pPr>
        <w:spacing w:before="135" w:line="360" w:lineRule="auto"/>
        <w:ind w:left="8" w:right="80" w:firstLine="492"/>
        <w:rPr>
          <w:rFonts w:ascii="宋体" w:hAnsi="宋体" w:eastAsia="宋体" w:cs="宋体"/>
          <w:sz w:val="24"/>
          <w:szCs w:val="24"/>
        </w:rPr>
      </w:pPr>
      <w:r>
        <w:rPr>
          <w:rFonts w:ascii="宋体" w:hAnsi="宋体" w:eastAsia="宋体" w:cs="宋体"/>
          <w:sz w:val="24"/>
          <w:szCs w:val="24"/>
        </w:rPr>
        <w:t>（1）综合评分法：即在最大限度地满足竞争性磋商文件实质性要求前提下，按照竞争性磋商文件中规定的各项因素进行综合评审后，以评审总得分由高到低</w:t>
      </w:r>
      <w:r>
        <w:rPr>
          <w:rFonts w:ascii="宋体" w:hAnsi="宋体" w:eastAsia="宋体" w:cs="宋体"/>
          <w:spacing w:val="-1"/>
          <w:sz w:val="24"/>
          <w:szCs w:val="24"/>
        </w:rPr>
        <w:t>顺序推荐成交候选人。</w:t>
      </w:r>
    </w:p>
    <w:p w14:paraId="50ED718D">
      <w:pPr>
        <w:spacing w:before="7" w:line="360" w:lineRule="auto"/>
        <w:ind w:left="9" w:right="80" w:firstLine="491"/>
      </w:pPr>
      <w:r>
        <w:rPr>
          <w:rFonts w:ascii="宋体" w:hAnsi="宋体" w:eastAsia="宋体" w:cs="宋体"/>
          <w:sz w:val="24"/>
          <w:szCs w:val="24"/>
        </w:rPr>
        <w:t>（2）磋商小组各专家独立评分，磋商结果按综合得分由高到低顺序排列。综合得分相同</w:t>
      </w:r>
      <w:r>
        <w:rPr>
          <w:rFonts w:ascii="宋体" w:hAnsi="宋体" w:eastAsia="宋体" w:cs="宋体"/>
          <w:spacing w:val="-2"/>
          <w:sz w:val="24"/>
          <w:szCs w:val="24"/>
        </w:rPr>
        <w:t>的，按磋商报价由低到高顺序排列。综合得</w:t>
      </w:r>
      <w:r>
        <w:rPr>
          <w:rFonts w:ascii="宋体" w:hAnsi="宋体" w:eastAsia="宋体" w:cs="宋体"/>
          <w:spacing w:val="-3"/>
          <w:sz w:val="24"/>
          <w:szCs w:val="24"/>
        </w:rPr>
        <w:t>分且磋商报价相同，竞争性磋商响应文件满足竞争</w:t>
      </w:r>
      <w:r>
        <w:rPr>
          <w:rFonts w:ascii="宋体" w:hAnsi="宋体" w:eastAsia="宋体" w:cs="宋体"/>
          <w:spacing w:val="-2"/>
          <w:sz w:val="24"/>
          <w:szCs w:val="24"/>
        </w:rPr>
        <w:t>性磋商文件全部实质性要求，则按照评审因</w:t>
      </w:r>
      <w:r>
        <w:rPr>
          <w:rFonts w:ascii="宋体" w:hAnsi="宋体" w:eastAsia="宋体" w:cs="宋体"/>
          <w:spacing w:val="-3"/>
          <w:sz w:val="24"/>
          <w:szCs w:val="24"/>
        </w:rPr>
        <w:t>素的量化指标评审得分由高到低顺序排列，推荐前</w:t>
      </w:r>
      <w:r>
        <w:rPr>
          <w:rFonts w:ascii="宋体" w:hAnsi="宋体" w:eastAsia="宋体" w:cs="宋体"/>
          <w:spacing w:val="-2"/>
          <w:sz w:val="24"/>
          <w:szCs w:val="24"/>
        </w:rPr>
        <w:t>三名为成交候选人。</w:t>
      </w:r>
    </w:p>
    <w:p w14:paraId="060F7F5D">
      <w:pPr>
        <w:spacing w:before="78" w:line="360" w:lineRule="auto"/>
        <w:ind w:left="10" w:right="80" w:firstLine="490"/>
        <w:jc w:val="both"/>
        <w:rPr>
          <w:rFonts w:ascii="宋体" w:hAnsi="宋体" w:eastAsia="宋体" w:cs="宋体"/>
          <w:sz w:val="24"/>
          <w:szCs w:val="24"/>
        </w:rPr>
      </w:pPr>
      <w:r>
        <w:rPr>
          <w:rFonts w:ascii="宋体" w:hAnsi="宋体" w:eastAsia="宋体" w:cs="宋体"/>
          <w:sz w:val="24"/>
          <w:szCs w:val="24"/>
        </w:rPr>
        <w:t>（3）专家评分超过得分界限或未按照本办法规定时，该专家的该项评分作废，不计入汇</w:t>
      </w:r>
      <w:r>
        <w:rPr>
          <w:rFonts w:ascii="宋体" w:hAnsi="宋体" w:eastAsia="宋体" w:cs="宋体"/>
          <w:spacing w:val="-4"/>
          <w:sz w:val="24"/>
          <w:szCs w:val="24"/>
        </w:rPr>
        <w:t>总；计算采用插入法，数字均保留二位小数，第三位“</w:t>
      </w:r>
      <w:r>
        <w:rPr>
          <w:rFonts w:ascii="宋体" w:hAnsi="宋体" w:eastAsia="宋体" w:cs="宋体"/>
          <w:spacing w:val="-88"/>
          <w:sz w:val="24"/>
          <w:szCs w:val="24"/>
        </w:rPr>
        <w:t xml:space="preserve"> </w:t>
      </w:r>
      <w:r>
        <w:rPr>
          <w:rFonts w:ascii="宋体" w:hAnsi="宋体" w:eastAsia="宋体" w:cs="宋体"/>
          <w:spacing w:val="-4"/>
          <w:sz w:val="24"/>
          <w:szCs w:val="24"/>
        </w:rPr>
        <w:t>四舍五入</w:t>
      </w:r>
      <w:r>
        <w:rPr>
          <w:rFonts w:ascii="宋体" w:hAnsi="宋体" w:eastAsia="宋体" w:cs="宋体"/>
          <w:spacing w:val="-88"/>
          <w:sz w:val="24"/>
          <w:szCs w:val="24"/>
        </w:rPr>
        <w:t xml:space="preserve"> </w:t>
      </w:r>
      <w:r>
        <w:rPr>
          <w:rFonts w:ascii="宋体" w:hAnsi="宋体" w:eastAsia="宋体" w:cs="宋体"/>
          <w:spacing w:val="-4"/>
          <w:sz w:val="24"/>
          <w:szCs w:val="24"/>
        </w:rPr>
        <w:t>”；评审过</w:t>
      </w:r>
      <w:r>
        <w:rPr>
          <w:rFonts w:ascii="宋体" w:hAnsi="宋体" w:eastAsia="宋体" w:cs="宋体"/>
          <w:spacing w:val="-5"/>
          <w:sz w:val="24"/>
          <w:szCs w:val="24"/>
        </w:rPr>
        <w:t>程中，若出现本办</w:t>
      </w:r>
      <w:r>
        <w:rPr>
          <w:rFonts w:ascii="宋体" w:hAnsi="宋体" w:eastAsia="宋体" w:cs="宋体"/>
          <w:sz w:val="24"/>
          <w:szCs w:val="24"/>
        </w:rPr>
        <w:t>法以外的特殊情况时，将暂停评审，有关情况待磋</w:t>
      </w:r>
      <w:r>
        <w:rPr>
          <w:rFonts w:ascii="宋体" w:hAnsi="宋体" w:eastAsia="宋体" w:cs="宋体"/>
          <w:spacing w:val="-1"/>
          <w:sz w:val="24"/>
          <w:szCs w:val="24"/>
        </w:rPr>
        <w:t>商小组确定后，再行评定。</w:t>
      </w:r>
    </w:p>
    <w:p w14:paraId="0F14D457">
      <w:pPr>
        <w:spacing w:before="10" w:line="360" w:lineRule="auto"/>
        <w:ind w:left="495"/>
        <w:rPr>
          <w:rFonts w:ascii="宋体" w:hAnsi="宋体" w:eastAsia="宋体" w:cs="宋体"/>
          <w:sz w:val="24"/>
          <w:szCs w:val="24"/>
        </w:rPr>
      </w:pPr>
      <w:r>
        <w:rPr>
          <w:rFonts w:ascii="宋体" w:hAnsi="宋体" w:eastAsia="宋体" w:cs="宋体"/>
          <w:b/>
          <w:bCs/>
          <w:spacing w:val="-4"/>
          <w:sz w:val="24"/>
          <w:szCs w:val="24"/>
        </w:rPr>
        <w:t>7、关于政府采购政策</w:t>
      </w:r>
    </w:p>
    <w:p w14:paraId="31D6519A">
      <w:pPr>
        <w:spacing w:before="154" w:line="360" w:lineRule="auto"/>
        <w:ind w:left="495"/>
        <w:rPr>
          <w:rFonts w:ascii="宋体" w:hAnsi="宋体" w:eastAsia="宋体" w:cs="宋体"/>
          <w:sz w:val="24"/>
          <w:szCs w:val="24"/>
        </w:rPr>
      </w:pPr>
      <w:r>
        <w:rPr>
          <w:rFonts w:ascii="宋体" w:hAnsi="宋体" w:eastAsia="宋体" w:cs="宋体"/>
          <w:b/>
          <w:bCs/>
          <w:spacing w:val="-2"/>
          <w:sz w:val="24"/>
          <w:szCs w:val="24"/>
        </w:rPr>
        <w:t>7.1、关于印发《政府采购促进中小企业发展管理办法》的通知--财库〔2020〕46</w:t>
      </w:r>
      <w:r>
        <w:rPr>
          <w:rFonts w:ascii="宋体" w:hAnsi="宋体" w:eastAsia="宋体" w:cs="宋体"/>
          <w:spacing w:val="-45"/>
          <w:sz w:val="24"/>
          <w:szCs w:val="24"/>
        </w:rPr>
        <w:t xml:space="preserve"> </w:t>
      </w:r>
      <w:r>
        <w:rPr>
          <w:rFonts w:ascii="宋体" w:hAnsi="宋体" w:eastAsia="宋体" w:cs="宋体"/>
          <w:b/>
          <w:bCs/>
          <w:spacing w:val="-2"/>
          <w:sz w:val="24"/>
          <w:szCs w:val="24"/>
        </w:rPr>
        <w:t>号</w:t>
      </w:r>
    </w:p>
    <w:p w14:paraId="049D3531">
      <w:pPr>
        <w:spacing w:before="152" w:line="360" w:lineRule="auto"/>
        <w:ind w:left="9" w:right="80" w:firstLine="480"/>
        <w:jc w:val="both"/>
        <w:rPr>
          <w:rFonts w:ascii="宋体" w:hAnsi="宋体" w:eastAsia="宋体" w:cs="宋体"/>
          <w:sz w:val="24"/>
          <w:szCs w:val="24"/>
        </w:rPr>
      </w:pPr>
      <w:r>
        <w:rPr>
          <w:rFonts w:ascii="宋体" w:hAnsi="宋体" w:eastAsia="宋体" w:cs="宋体"/>
          <w:sz w:val="24"/>
          <w:szCs w:val="24"/>
        </w:rPr>
        <w:t>根据《政府采购促进中小企业发展管理办法》（财库〔2020〕46 号）的有关规定，在货</w:t>
      </w:r>
      <w:r>
        <w:rPr>
          <w:rFonts w:ascii="宋体" w:hAnsi="宋体" w:eastAsia="宋体" w:cs="宋体"/>
          <w:spacing w:val="-2"/>
          <w:sz w:val="24"/>
          <w:szCs w:val="24"/>
        </w:rPr>
        <w:t>物采购项目中，货物由中小企业制造，即货</w:t>
      </w:r>
      <w:r>
        <w:rPr>
          <w:rFonts w:ascii="宋体" w:hAnsi="宋体" w:eastAsia="宋体" w:cs="宋体"/>
          <w:spacing w:val="-3"/>
          <w:sz w:val="24"/>
          <w:szCs w:val="24"/>
        </w:rPr>
        <w:t>物由中小企业生产且使用该中小企业商号或者注册</w:t>
      </w:r>
      <w:r>
        <w:rPr>
          <w:rFonts w:ascii="宋体" w:hAnsi="宋体" w:eastAsia="宋体" w:cs="宋体"/>
          <w:spacing w:val="-2"/>
          <w:sz w:val="24"/>
          <w:szCs w:val="24"/>
        </w:rPr>
        <w:t>商标；在工程采购项目中，工程由中小企业</w:t>
      </w:r>
      <w:r>
        <w:rPr>
          <w:rFonts w:ascii="宋体" w:hAnsi="宋体" w:eastAsia="宋体" w:cs="宋体"/>
          <w:spacing w:val="-3"/>
          <w:sz w:val="24"/>
          <w:szCs w:val="24"/>
        </w:rPr>
        <w:t>承建，即工程施工单位为中小企业；在服务采购项</w:t>
      </w:r>
      <w:r>
        <w:rPr>
          <w:rFonts w:ascii="宋体" w:hAnsi="宋体" w:eastAsia="宋体" w:cs="宋体"/>
          <w:spacing w:val="-2"/>
          <w:sz w:val="24"/>
          <w:szCs w:val="24"/>
        </w:rPr>
        <w:t>目中，服务由中小企业承接，即提供服务的</w:t>
      </w:r>
      <w:r>
        <w:rPr>
          <w:rFonts w:ascii="宋体" w:hAnsi="宋体" w:eastAsia="宋体" w:cs="宋体"/>
          <w:spacing w:val="-3"/>
          <w:sz w:val="24"/>
          <w:szCs w:val="24"/>
        </w:rPr>
        <w:t>人员为中小企业依照《中华人民共和国民法典》订</w:t>
      </w:r>
      <w:r>
        <w:rPr>
          <w:rFonts w:ascii="宋体" w:hAnsi="宋体" w:eastAsia="宋体" w:cs="宋体"/>
          <w:spacing w:val="-1"/>
          <w:sz w:val="24"/>
          <w:szCs w:val="24"/>
        </w:rPr>
        <w:t>立劳动合同的从业人员。</w:t>
      </w:r>
    </w:p>
    <w:p w14:paraId="637C8F78">
      <w:pPr>
        <w:spacing w:before="2" w:line="360" w:lineRule="auto"/>
        <w:ind w:left="13" w:right="18" w:firstLine="475"/>
        <w:rPr>
          <w:rFonts w:ascii="宋体" w:hAnsi="宋体" w:eastAsia="宋体" w:cs="宋体"/>
          <w:sz w:val="24"/>
          <w:szCs w:val="24"/>
        </w:rPr>
      </w:pPr>
      <w:r>
        <w:rPr>
          <w:rFonts w:ascii="宋体" w:hAnsi="宋体" w:eastAsia="宋体" w:cs="宋体"/>
          <w:spacing w:val="-7"/>
          <w:sz w:val="24"/>
          <w:szCs w:val="24"/>
        </w:rPr>
        <w:t>在货物采购项目中，供应商提供的货物既有中小企业制造货物，也有大型企业制造货物</w:t>
      </w:r>
      <w:r>
        <w:rPr>
          <w:rFonts w:ascii="宋体" w:hAnsi="宋体" w:eastAsia="宋体" w:cs="宋体"/>
          <w:spacing w:val="-8"/>
          <w:sz w:val="24"/>
          <w:szCs w:val="24"/>
        </w:rPr>
        <w:t>的，</w:t>
      </w:r>
      <w:r>
        <w:rPr>
          <w:rFonts w:ascii="宋体" w:hAnsi="宋体" w:eastAsia="宋体" w:cs="宋体"/>
          <w:spacing w:val="-1"/>
          <w:sz w:val="24"/>
          <w:szCs w:val="24"/>
        </w:rPr>
        <w:t>不享受本办法规定的中小企业扶持政策。</w:t>
      </w:r>
    </w:p>
    <w:p w14:paraId="73F0C3B2">
      <w:pPr>
        <w:spacing w:before="2" w:line="360" w:lineRule="auto"/>
        <w:ind w:left="31" w:right="80" w:firstLine="484"/>
        <w:rPr>
          <w:rFonts w:ascii="宋体" w:hAnsi="宋体" w:eastAsia="宋体" w:cs="宋体"/>
          <w:sz w:val="24"/>
          <w:szCs w:val="24"/>
        </w:rPr>
      </w:pPr>
      <w:r>
        <w:rPr>
          <w:rFonts w:ascii="宋体" w:hAnsi="宋体" w:eastAsia="宋体" w:cs="宋体"/>
          <w:spacing w:val="-3"/>
          <w:sz w:val="24"/>
          <w:szCs w:val="24"/>
        </w:rPr>
        <w:t>以联合体形式参加政府采购活动，联合体各方均为中小</w:t>
      </w:r>
      <w:r>
        <w:rPr>
          <w:rFonts w:ascii="宋体" w:hAnsi="宋体" w:eastAsia="宋体" w:cs="宋体"/>
          <w:spacing w:val="-4"/>
          <w:sz w:val="24"/>
          <w:szCs w:val="24"/>
        </w:rPr>
        <w:t>企业的，联合体视同中小企业。其</w:t>
      </w:r>
      <w:r>
        <w:rPr>
          <w:rFonts w:ascii="宋体" w:hAnsi="宋体" w:eastAsia="宋体" w:cs="宋体"/>
          <w:spacing w:val="-2"/>
          <w:sz w:val="24"/>
          <w:szCs w:val="24"/>
        </w:rPr>
        <w:t>中，联合体各方均为小微企业的，联合体视同小微企业。</w:t>
      </w:r>
    </w:p>
    <w:p w14:paraId="26D22DBC">
      <w:pPr>
        <w:spacing w:before="1" w:line="360" w:lineRule="auto"/>
        <w:ind w:left="8" w:right="82" w:firstLine="482"/>
        <w:rPr>
          <w:rFonts w:ascii="宋体" w:hAnsi="宋体" w:eastAsia="宋体" w:cs="宋体"/>
          <w:sz w:val="24"/>
          <w:szCs w:val="24"/>
        </w:rPr>
      </w:pPr>
      <w:r>
        <w:rPr>
          <w:rFonts w:ascii="宋体" w:hAnsi="宋体" w:eastAsia="宋体" w:cs="宋体"/>
          <w:spacing w:val="-3"/>
          <w:sz w:val="24"/>
          <w:szCs w:val="24"/>
        </w:rPr>
        <w:t>参加政府采购活动的中小企业应提供《中小企业声明函》原件。否则不得享受相关中小企</w:t>
      </w:r>
      <w:r>
        <w:rPr>
          <w:rFonts w:ascii="宋体" w:hAnsi="宋体" w:eastAsia="宋体" w:cs="宋体"/>
          <w:spacing w:val="-2"/>
          <w:sz w:val="24"/>
          <w:szCs w:val="24"/>
        </w:rPr>
        <w:t>业扶持政策。</w:t>
      </w:r>
    </w:p>
    <w:p w14:paraId="4F04EC84">
      <w:pPr>
        <w:spacing w:line="360" w:lineRule="auto"/>
        <w:ind w:left="15" w:right="82" w:firstLine="479"/>
        <w:rPr>
          <w:rFonts w:ascii="宋体" w:hAnsi="宋体" w:eastAsia="宋体" w:cs="宋体"/>
          <w:sz w:val="24"/>
          <w:szCs w:val="24"/>
        </w:rPr>
      </w:pPr>
      <w:r>
        <w:rPr>
          <w:rFonts w:ascii="宋体" w:hAnsi="宋体" w:eastAsia="宋体" w:cs="宋体"/>
          <w:b/>
          <w:bCs/>
          <w:spacing w:val="-2"/>
          <w:sz w:val="24"/>
          <w:szCs w:val="24"/>
        </w:rPr>
        <w:t>7.2、财政部司法部关于政府采购支持监狱企业发展有关问题的</w:t>
      </w:r>
      <w:r>
        <w:rPr>
          <w:rFonts w:ascii="宋体" w:hAnsi="宋体" w:eastAsia="宋体" w:cs="宋体"/>
          <w:b/>
          <w:bCs/>
          <w:spacing w:val="-3"/>
          <w:sz w:val="24"/>
          <w:szCs w:val="24"/>
        </w:rPr>
        <w:t>通知--（财库〔2014〕68</w:t>
      </w:r>
      <w:r>
        <w:rPr>
          <w:rFonts w:ascii="宋体" w:hAnsi="宋体" w:eastAsia="宋体" w:cs="宋体"/>
          <w:b/>
          <w:bCs/>
          <w:spacing w:val="-11"/>
          <w:sz w:val="24"/>
          <w:szCs w:val="24"/>
        </w:rPr>
        <w:t>号）</w:t>
      </w:r>
    </w:p>
    <w:p w14:paraId="59BE5967">
      <w:pPr>
        <w:spacing w:line="360" w:lineRule="auto"/>
        <w:ind w:left="7" w:right="80" w:firstLine="481"/>
        <w:jc w:val="both"/>
        <w:rPr>
          <w:rFonts w:ascii="宋体" w:hAnsi="宋体" w:eastAsia="宋体" w:cs="宋体"/>
          <w:sz w:val="24"/>
          <w:szCs w:val="24"/>
        </w:rPr>
      </w:pPr>
      <w:r>
        <w:rPr>
          <w:rFonts w:ascii="宋体" w:hAnsi="宋体" w:eastAsia="宋体" w:cs="宋体"/>
          <w:spacing w:val="1"/>
          <w:sz w:val="24"/>
          <w:szCs w:val="24"/>
        </w:rPr>
        <w:t>根据《关于政府采购支持监狱企业发展有关问题的通知》（财库（2014）68</w:t>
      </w:r>
      <w:r>
        <w:rPr>
          <w:rFonts w:ascii="宋体" w:hAnsi="宋体" w:eastAsia="宋体" w:cs="宋体"/>
          <w:spacing w:val="-25"/>
          <w:sz w:val="24"/>
          <w:szCs w:val="24"/>
        </w:rPr>
        <w:t xml:space="preserve"> </w:t>
      </w:r>
      <w:r>
        <w:rPr>
          <w:rFonts w:ascii="宋体" w:hAnsi="宋体" w:eastAsia="宋体" w:cs="宋体"/>
          <w:spacing w:val="1"/>
          <w:sz w:val="24"/>
          <w:szCs w:val="24"/>
        </w:rPr>
        <w:t>号）规定，</w:t>
      </w:r>
      <w:r>
        <w:rPr>
          <w:rFonts w:ascii="宋体" w:hAnsi="宋体" w:eastAsia="宋体" w:cs="宋体"/>
          <w:spacing w:val="-2"/>
          <w:sz w:val="24"/>
          <w:szCs w:val="24"/>
        </w:rPr>
        <w:t>在政府采购活动中，监狱企业视同小型、微型</w:t>
      </w:r>
      <w:r>
        <w:rPr>
          <w:rFonts w:ascii="宋体" w:hAnsi="宋体" w:eastAsia="宋体" w:cs="宋体"/>
          <w:spacing w:val="-3"/>
          <w:sz w:val="24"/>
          <w:szCs w:val="24"/>
        </w:rPr>
        <w:t>企业，享受政府采购促进中小企业发展的政府采</w:t>
      </w:r>
      <w:r>
        <w:rPr>
          <w:rFonts w:ascii="宋体" w:hAnsi="宋体" w:eastAsia="宋体" w:cs="宋体"/>
          <w:spacing w:val="-2"/>
          <w:sz w:val="24"/>
          <w:szCs w:val="24"/>
        </w:rPr>
        <w:t>购政策。监狱企业参加政府采购活动时，应当</w:t>
      </w:r>
      <w:r>
        <w:rPr>
          <w:rFonts w:ascii="宋体" w:hAnsi="宋体" w:eastAsia="宋体" w:cs="宋体"/>
          <w:spacing w:val="-3"/>
          <w:sz w:val="24"/>
          <w:szCs w:val="24"/>
        </w:rPr>
        <w:t>提供由省级以上监狱管理局、戒毒管理局（含新</w:t>
      </w:r>
      <w:r>
        <w:rPr>
          <w:rFonts w:ascii="宋体" w:hAnsi="宋体" w:eastAsia="宋体" w:cs="宋体"/>
          <w:spacing w:val="-1"/>
          <w:sz w:val="24"/>
          <w:szCs w:val="24"/>
        </w:rPr>
        <w:t>疆生产建设兵团）出具的属于监狱企业的证明文件。</w:t>
      </w:r>
    </w:p>
    <w:p w14:paraId="3933A876">
      <w:pPr>
        <w:spacing w:before="1" w:line="360" w:lineRule="auto"/>
        <w:ind w:left="495"/>
        <w:rPr>
          <w:rFonts w:ascii="宋体" w:hAnsi="宋体" w:eastAsia="宋体" w:cs="宋体"/>
          <w:sz w:val="24"/>
          <w:szCs w:val="24"/>
        </w:rPr>
      </w:pPr>
      <w:r>
        <w:rPr>
          <w:rFonts w:ascii="宋体" w:hAnsi="宋体" w:eastAsia="宋体" w:cs="宋体"/>
          <w:b/>
          <w:bCs/>
          <w:spacing w:val="-2"/>
          <w:sz w:val="24"/>
          <w:szCs w:val="24"/>
        </w:rPr>
        <w:t>7.3、《关于促进残疾人就业政府采购政策的通知》（财库〔2017〕141</w:t>
      </w:r>
      <w:r>
        <w:rPr>
          <w:rFonts w:ascii="宋体" w:hAnsi="宋体" w:eastAsia="宋体" w:cs="宋体"/>
          <w:spacing w:val="-2"/>
          <w:sz w:val="24"/>
          <w:szCs w:val="24"/>
        </w:rPr>
        <w:t xml:space="preserve"> </w:t>
      </w:r>
      <w:r>
        <w:rPr>
          <w:rFonts w:ascii="宋体" w:hAnsi="宋体" w:eastAsia="宋体" w:cs="宋体"/>
          <w:b/>
          <w:bCs/>
          <w:spacing w:val="-2"/>
          <w:sz w:val="24"/>
          <w:szCs w:val="24"/>
        </w:rPr>
        <w:t>号）</w:t>
      </w:r>
    </w:p>
    <w:p w14:paraId="0ABE7D80">
      <w:pPr>
        <w:spacing w:before="137" w:line="360" w:lineRule="auto"/>
        <w:ind w:left="8" w:right="26" w:firstLine="480"/>
        <w:jc w:val="both"/>
        <w:rPr>
          <w:rFonts w:ascii="宋体" w:hAnsi="宋体" w:eastAsia="宋体" w:cs="宋体"/>
          <w:sz w:val="24"/>
          <w:szCs w:val="24"/>
        </w:rPr>
      </w:pPr>
      <w:r>
        <w:rPr>
          <w:rFonts w:ascii="宋体" w:hAnsi="宋体" w:eastAsia="宋体" w:cs="宋体"/>
          <w:spacing w:val="-3"/>
          <w:sz w:val="24"/>
          <w:szCs w:val="24"/>
        </w:rPr>
        <w:t>根据财政部、民政部、中国残疾人联合会下发的《关于促进残疾人就业政府采购政策的通</w:t>
      </w:r>
      <w:r>
        <w:rPr>
          <w:rFonts w:ascii="宋体" w:hAnsi="宋体" w:eastAsia="宋体" w:cs="宋体"/>
          <w:spacing w:val="-1"/>
          <w:sz w:val="24"/>
          <w:szCs w:val="24"/>
        </w:rPr>
        <w:t>知》（财库〔2017〕141</w:t>
      </w:r>
      <w:r>
        <w:rPr>
          <w:rFonts w:ascii="宋体" w:hAnsi="宋体" w:eastAsia="宋体" w:cs="宋体"/>
          <w:spacing w:val="-45"/>
          <w:sz w:val="24"/>
          <w:szCs w:val="24"/>
        </w:rPr>
        <w:t xml:space="preserve"> </w:t>
      </w:r>
      <w:r>
        <w:rPr>
          <w:rFonts w:ascii="宋体" w:hAnsi="宋体" w:eastAsia="宋体" w:cs="宋体"/>
          <w:spacing w:val="-1"/>
          <w:sz w:val="24"/>
          <w:szCs w:val="24"/>
        </w:rPr>
        <w:t>号）的规定，残疾人福利性单位提</w:t>
      </w:r>
      <w:r>
        <w:rPr>
          <w:rFonts w:ascii="宋体" w:hAnsi="宋体" w:eastAsia="宋体" w:cs="宋体"/>
          <w:spacing w:val="-2"/>
          <w:sz w:val="24"/>
          <w:szCs w:val="24"/>
        </w:rPr>
        <w:t>供本单位制造的货物、承担的服务或者服务（以下简称产品</w:t>
      </w:r>
      <w:r>
        <w:rPr>
          <w:rFonts w:ascii="宋体" w:hAnsi="宋体" w:eastAsia="宋体" w:cs="宋体"/>
          <w:spacing w:val="-13"/>
          <w:sz w:val="24"/>
          <w:szCs w:val="24"/>
        </w:rPr>
        <w:t>），</w:t>
      </w:r>
      <w:r>
        <w:rPr>
          <w:rFonts w:ascii="宋体" w:hAnsi="宋体" w:eastAsia="宋体" w:cs="宋体"/>
          <w:spacing w:val="-2"/>
          <w:sz w:val="24"/>
          <w:szCs w:val="24"/>
        </w:rPr>
        <w:t>或者提供其他残疾人福利性单位制造的货物（不包括使用非残疾</w:t>
      </w:r>
      <w:r>
        <w:rPr>
          <w:rFonts w:ascii="宋体" w:hAnsi="宋体" w:eastAsia="宋体" w:cs="宋体"/>
          <w:spacing w:val="-1"/>
          <w:sz w:val="24"/>
          <w:szCs w:val="24"/>
        </w:rPr>
        <w:t>人福利性单位注册商标的货物）参与政府采购活动时，视同小型、微型企</w:t>
      </w:r>
      <w:r>
        <w:rPr>
          <w:rFonts w:ascii="宋体" w:hAnsi="宋体" w:eastAsia="宋体" w:cs="宋体"/>
          <w:spacing w:val="-2"/>
          <w:sz w:val="24"/>
          <w:szCs w:val="24"/>
        </w:rPr>
        <w:t>业，享受预留份额、评审中价格扣除等促进中小企业发展的政府</w:t>
      </w:r>
      <w:r>
        <w:rPr>
          <w:rFonts w:ascii="宋体" w:hAnsi="宋体" w:eastAsia="宋体" w:cs="宋体"/>
          <w:spacing w:val="-3"/>
          <w:sz w:val="24"/>
          <w:szCs w:val="24"/>
        </w:rPr>
        <w:t>采购政策。残疾人福利性单位属于小型、微型企业</w:t>
      </w:r>
      <w:r>
        <w:rPr>
          <w:rFonts w:ascii="宋体" w:hAnsi="宋体" w:eastAsia="宋体" w:cs="宋体"/>
          <w:spacing w:val="-1"/>
          <w:sz w:val="24"/>
          <w:szCs w:val="24"/>
        </w:rPr>
        <w:t>的，不重复享受政策。</w:t>
      </w:r>
    </w:p>
    <w:p w14:paraId="49FD251D">
      <w:pPr>
        <w:spacing w:line="360" w:lineRule="auto"/>
        <w:ind w:left="31" w:firstLine="459"/>
        <w:rPr>
          <w:rFonts w:ascii="宋体" w:hAnsi="宋体" w:eastAsia="宋体" w:cs="宋体"/>
          <w:sz w:val="24"/>
          <w:szCs w:val="24"/>
        </w:rPr>
      </w:pPr>
      <w:r>
        <w:rPr>
          <w:rFonts w:ascii="宋体" w:hAnsi="宋体" w:eastAsia="宋体" w:cs="宋体"/>
          <w:spacing w:val="-3"/>
          <w:sz w:val="24"/>
          <w:szCs w:val="24"/>
        </w:rPr>
        <w:t>参加政府采购活动的残疾人单位应提供《残疾人福利性单位声明函》原件。未提供上述声</w:t>
      </w:r>
      <w:r>
        <w:rPr>
          <w:rFonts w:ascii="宋体" w:hAnsi="宋体" w:eastAsia="宋体" w:cs="宋体"/>
          <w:spacing w:val="-7"/>
          <w:sz w:val="24"/>
          <w:szCs w:val="24"/>
        </w:rPr>
        <w:t>明函原件，不能享受竞争性磋商文件规定的价格扣除，但不影响竞争性磋商响应文件的有效性。</w:t>
      </w:r>
    </w:p>
    <w:p w14:paraId="2377019A">
      <w:pPr>
        <w:spacing w:before="1" w:line="360" w:lineRule="auto"/>
        <w:ind w:left="495"/>
      </w:pPr>
      <w:r>
        <w:rPr>
          <w:rFonts w:ascii="宋体" w:hAnsi="宋体" w:eastAsia="宋体" w:cs="宋体"/>
          <w:b/>
          <w:bCs/>
          <w:spacing w:val="-2"/>
          <w:sz w:val="24"/>
          <w:szCs w:val="24"/>
        </w:rPr>
        <w:t>7.4、《国务院办公厅关于建立政府强制采购节能产品制度的通知》--（国办发〔2007〕</w:t>
      </w:r>
    </w:p>
    <w:p w14:paraId="7FC5CC75">
      <w:pPr>
        <w:spacing w:before="78" w:line="360" w:lineRule="auto"/>
        <w:ind w:left="14"/>
        <w:rPr>
          <w:rFonts w:ascii="宋体" w:hAnsi="宋体" w:eastAsia="宋体" w:cs="宋体"/>
          <w:sz w:val="24"/>
          <w:szCs w:val="24"/>
        </w:rPr>
      </w:pPr>
      <w:r>
        <w:rPr>
          <w:rFonts w:ascii="宋体" w:hAnsi="宋体" w:eastAsia="宋体" w:cs="宋体"/>
          <w:b/>
          <w:bCs/>
          <w:spacing w:val="-10"/>
          <w:sz w:val="24"/>
          <w:szCs w:val="24"/>
        </w:rPr>
        <w:t>51</w:t>
      </w:r>
      <w:r>
        <w:rPr>
          <w:rFonts w:ascii="宋体" w:hAnsi="宋体" w:eastAsia="宋体" w:cs="宋体"/>
          <w:spacing w:val="-46"/>
          <w:sz w:val="24"/>
          <w:szCs w:val="24"/>
        </w:rPr>
        <w:t xml:space="preserve"> </w:t>
      </w:r>
      <w:r>
        <w:rPr>
          <w:rFonts w:ascii="宋体" w:hAnsi="宋体" w:eastAsia="宋体" w:cs="宋体"/>
          <w:b/>
          <w:bCs/>
          <w:spacing w:val="-10"/>
          <w:sz w:val="24"/>
          <w:szCs w:val="24"/>
        </w:rPr>
        <w:t>号）</w:t>
      </w:r>
    </w:p>
    <w:p w14:paraId="1CAEE4CD">
      <w:pPr>
        <w:spacing w:before="133" w:line="360" w:lineRule="auto"/>
        <w:ind w:left="13" w:right="80" w:firstLine="479"/>
        <w:rPr>
          <w:rFonts w:ascii="宋体" w:hAnsi="宋体" w:eastAsia="宋体" w:cs="宋体"/>
          <w:sz w:val="24"/>
          <w:szCs w:val="24"/>
        </w:rPr>
      </w:pPr>
      <w:r>
        <w:rPr>
          <w:rFonts w:ascii="宋体" w:hAnsi="宋体" w:eastAsia="宋体" w:cs="宋体"/>
          <w:spacing w:val="-3"/>
          <w:sz w:val="24"/>
          <w:szCs w:val="24"/>
        </w:rPr>
        <w:t>各级政府机构使用财政性资金进行政府采购活动时，在技术、服务等指标满足采购需求的</w:t>
      </w:r>
      <w:r>
        <w:rPr>
          <w:rFonts w:ascii="宋体" w:hAnsi="宋体" w:eastAsia="宋体" w:cs="宋体"/>
          <w:sz w:val="24"/>
          <w:szCs w:val="24"/>
        </w:rPr>
        <w:t>前提下，要优先采购节能产品，对部分节能效果、性能等</w:t>
      </w:r>
      <w:r>
        <w:rPr>
          <w:rFonts w:ascii="宋体" w:hAnsi="宋体" w:eastAsia="宋体" w:cs="宋体"/>
          <w:spacing w:val="-1"/>
          <w:sz w:val="24"/>
          <w:szCs w:val="24"/>
        </w:rPr>
        <w:t>达到要求的产品，实行强制采购。</w:t>
      </w:r>
    </w:p>
    <w:p w14:paraId="62D00636">
      <w:pPr>
        <w:spacing w:line="360" w:lineRule="auto"/>
        <w:ind w:left="495"/>
        <w:rPr>
          <w:rFonts w:ascii="宋体" w:hAnsi="宋体" w:eastAsia="宋体" w:cs="宋体"/>
          <w:sz w:val="24"/>
          <w:szCs w:val="24"/>
        </w:rPr>
      </w:pPr>
      <w:r>
        <w:rPr>
          <w:rFonts w:ascii="宋体" w:hAnsi="宋体" w:eastAsia="宋体" w:cs="宋体"/>
          <w:b/>
          <w:bCs/>
          <w:spacing w:val="-3"/>
          <w:sz w:val="24"/>
          <w:szCs w:val="24"/>
        </w:rPr>
        <w:t>7.5、《节能产品政府采购实施意见》--（财库[</w:t>
      </w:r>
      <w:r>
        <w:fldChar w:fldCharType="begin"/>
      </w:r>
      <w:r>
        <w:instrText xml:space="preserve"> HYPERLINK \l "bookmark17" </w:instrText>
      </w:r>
      <w:r>
        <w:fldChar w:fldCharType="separate"/>
      </w:r>
      <w:r>
        <w:rPr>
          <w:rFonts w:ascii="宋体" w:hAnsi="宋体" w:eastAsia="宋体" w:cs="宋体"/>
          <w:b/>
          <w:bCs/>
          <w:spacing w:val="-3"/>
          <w:sz w:val="24"/>
          <w:szCs w:val="24"/>
        </w:rPr>
        <w:t>2004</w:t>
      </w:r>
      <w:r>
        <w:rPr>
          <w:rFonts w:ascii="宋体" w:hAnsi="宋体" w:eastAsia="宋体" w:cs="宋体"/>
          <w:b/>
          <w:bCs/>
          <w:spacing w:val="-3"/>
          <w:sz w:val="24"/>
          <w:szCs w:val="24"/>
        </w:rPr>
        <w:fldChar w:fldCharType="end"/>
      </w:r>
      <w:r>
        <w:rPr>
          <w:rFonts w:ascii="宋体" w:hAnsi="宋体" w:eastAsia="宋体" w:cs="宋体"/>
          <w:b/>
          <w:bCs/>
          <w:spacing w:val="-3"/>
          <w:sz w:val="24"/>
          <w:szCs w:val="24"/>
        </w:rPr>
        <w:t>]185</w:t>
      </w:r>
      <w:r>
        <w:rPr>
          <w:rFonts w:ascii="宋体" w:hAnsi="宋体" w:eastAsia="宋体" w:cs="宋体"/>
          <w:spacing w:val="-31"/>
          <w:sz w:val="24"/>
          <w:szCs w:val="24"/>
        </w:rPr>
        <w:t xml:space="preserve"> </w:t>
      </w:r>
      <w:r>
        <w:rPr>
          <w:rFonts w:ascii="宋体" w:hAnsi="宋体" w:eastAsia="宋体" w:cs="宋体"/>
          <w:b/>
          <w:bCs/>
          <w:spacing w:val="-3"/>
          <w:sz w:val="24"/>
          <w:szCs w:val="24"/>
        </w:rPr>
        <w:t>号）</w:t>
      </w:r>
    </w:p>
    <w:p w14:paraId="12D5D83D">
      <w:pPr>
        <w:spacing w:before="136" w:line="360" w:lineRule="auto"/>
        <w:ind w:left="29" w:right="80" w:firstLine="460"/>
        <w:jc w:val="both"/>
        <w:rPr>
          <w:rFonts w:ascii="宋体" w:hAnsi="宋体" w:eastAsia="宋体" w:cs="宋体"/>
          <w:sz w:val="24"/>
          <w:szCs w:val="24"/>
        </w:rPr>
      </w:pPr>
      <w:r>
        <w:rPr>
          <w:rFonts w:ascii="宋体" w:hAnsi="宋体" w:eastAsia="宋体" w:cs="宋体"/>
          <w:spacing w:val="-1"/>
          <w:sz w:val="24"/>
          <w:szCs w:val="24"/>
        </w:rPr>
        <w:t>根据《节能产品政府采购实施意见》--（财库[</w:t>
      </w:r>
      <w:r>
        <w:fldChar w:fldCharType="begin"/>
      </w:r>
      <w:r>
        <w:instrText xml:space="preserve"> HYPERLINK \l "bookmark18" </w:instrText>
      </w:r>
      <w:r>
        <w:fldChar w:fldCharType="separate"/>
      </w:r>
      <w:r>
        <w:rPr>
          <w:rFonts w:ascii="宋体" w:hAnsi="宋体" w:eastAsia="宋体" w:cs="宋体"/>
          <w:spacing w:val="-1"/>
          <w:sz w:val="24"/>
          <w:szCs w:val="24"/>
        </w:rPr>
        <w:t>2004</w:t>
      </w:r>
      <w:r>
        <w:rPr>
          <w:rFonts w:ascii="宋体" w:hAnsi="宋体" w:eastAsia="宋体" w:cs="宋体"/>
          <w:spacing w:val="-1"/>
          <w:sz w:val="24"/>
          <w:szCs w:val="24"/>
        </w:rPr>
        <w:fldChar w:fldCharType="end"/>
      </w:r>
      <w:r>
        <w:rPr>
          <w:rFonts w:ascii="宋体" w:hAnsi="宋体" w:eastAsia="宋体" w:cs="宋体"/>
          <w:spacing w:val="-1"/>
          <w:sz w:val="24"/>
          <w:szCs w:val="24"/>
        </w:rPr>
        <w:t>]1</w:t>
      </w:r>
      <w:r>
        <w:rPr>
          <w:rFonts w:ascii="宋体" w:hAnsi="宋体" w:eastAsia="宋体" w:cs="宋体"/>
          <w:spacing w:val="-2"/>
          <w:sz w:val="24"/>
          <w:szCs w:val="24"/>
        </w:rPr>
        <w:t>85</w:t>
      </w:r>
      <w:r>
        <w:rPr>
          <w:rFonts w:ascii="宋体" w:hAnsi="宋体" w:eastAsia="宋体" w:cs="宋体"/>
          <w:spacing w:val="-44"/>
          <w:sz w:val="24"/>
          <w:szCs w:val="24"/>
        </w:rPr>
        <w:t xml:space="preserve"> </w:t>
      </w:r>
      <w:r>
        <w:rPr>
          <w:rFonts w:ascii="宋体" w:hAnsi="宋体" w:eastAsia="宋体" w:cs="宋体"/>
          <w:spacing w:val="-2"/>
          <w:sz w:val="24"/>
          <w:szCs w:val="24"/>
        </w:rPr>
        <w:t>号）规定，采购人采购的产品在</w:t>
      </w:r>
      <w:r>
        <w:rPr>
          <w:rFonts w:ascii="宋体" w:hAnsi="宋体" w:eastAsia="宋体" w:cs="宋体"/>
          <w:spacing w:val="-3"/>
          <w:sz w:val="24"/>
          <w:szCs w:val="24"/>
        </w:rPr>
        <w:t>品目清单中并具有认证证书的，在技术、服务等指标同等条件下，应当优先采购节能</w:t>
      </w:r>
      <w:r>
        <w:rPr>
          <w:rFonts w:ascii="宋体" w:hAnsi="宋体" w:eastAsia="宋体" w:cs="宋体"/>
          <w:spacing w:val="-4"/>
          <w:sz w:val="24"/>
          <w:szCs w:val="24"/>
        </w:rPr>
        <w:t>清单所列</w:t>
      </w:r>
      <w:r>
        <w:rPr>
          <w:rFonts w:ascii="宋体" w:hAnsi="宋体" w:eastAsia="宋体" w:cs="宋体"/>
          <w:spacing w:val="-5"/>
          <w:sz w:val="24"/>
          <w:szCs w:val="24"/>
        </w:rPr>
        <w:t>的节能产品。</w:t>
      </w:r>
    </w:p>
    <w:p w14:paraId="1E4118D4">
      <w:pPr>
        <w:spacing w:line="360" w:lineRule="auto"/>
        <w:ind w:left="14" w:right="26" w:firstLine="475"/>
        <w:jc w:val="both"/>
        <w:rPr>
          <w:rFonts w:ascii="宋体" w:hAnsi="宋体" w:eastAsia="宋体" w:cs="宋体"/>
          <w:sz w:val="24"/>
          <w:szCs w:val="24"/>
        </w:rPr>
      </w:pPr>
      <w:r>
        <w:rPr>
          <w:rFonts w:ascii="宋体" w:hAnsi="宋体" w:eastAsia="宋体" w:cs="宋体"/>
          <w:spacing w:val="-1"/>
          <w:sz w:val="24"/>
          <w:szCs w:val="24"/>
        </w:rPr>
        <w:t>产品属于品目清单范围中实施政府强制采购的，需提供依据国</w:t>
      </w:r>
      <w:r>
        <w:rPr>
          <w:rFonts w:ascii="宋体" w:hAnsi="宋体" w:eastAsia="宋体" w:cs="宋体"/>
          <w:spacing w:val="-2"/>
          <w:sz w:val="24"/>
          <w:szCs w:val="24"/>
        </w:rPr>
        <w:t>家确定的认证机构出具的、</w:t>
      </w:r>
      <w:r>
        <w:rPr>
          <w:rFonts w:ascii="宋体" w:hAnsi="宋体" w:eastAsia="宋体" w:cs="宋体"/>
          <w:spacing w:val="-3"/>
          <w:sz w:val="24"/>
          <w:szCs w:val="24"/>
        </w:rPr>
        <w:t>处于有效期之内的节能产品认证证书，属于品目清单范围中实施政府优先采购的，依据提供的</w:t>
      </w:r>
      <w:r>
        <w:rPr>
          <w:rFonts w:ascii="宋体" w:hAnsi="宋体" w:eastAsia="宋体" w:cs="宋体"/>
          <w:spacing w:val="-1"/>
          <w:sz w:val="24"/>
          <w:szCs w:val="24"/>
        </w:rPr>
        <w:t>品目清单和认证证书实施政府优先采购。</w:t>
      </w:r>
    </w:p>
    <w:p w14:paraId="7E5CAFCC">
      <w:pPr>
        <w:spacing w:line="360" w:lineRule="auto"/>
        <w:ind w:left="495"/>
        <w:rPr>
          <w:rFonts w:ascii="宋体" w:hAnsi="宋体" w:eastAsia="宋体" w:cs="宋体"/>
          <w:sz w:val="24"/>
          <w:szCs w:val="24"/>
        </w:rPr>
      </w:pPr>
      <w:r>
        <w:rPr>
          <w:rFonts w:ascii="宋体" w:hAnsi="宋体" w:eastAsia="宋体" w:cs="宋体"/>
          <w:b/>
          <w:bCs/>
          <w:spacing w:val="-3"/>
          <w:sz w:val="24"/>
          <w:szCs w:val="24"/>
        </w:rPr>
        <w:t>7.6、《环境标志产品政府采购实施的意见》--（财库[</w:t>
      </w:r>
      <w:r>
        <w:fldChar w:fldCharType="begin"/>
      </w:r>
      <w:r>
        <w:instrText xml:space="preserve"> HYPERLINK \l "bookmark19" </w:instrText>
      </w:r>
      <w:r>
        <w:fldChar w:fldCharType="separate"/>
      </w:r>
      <w:r>
        <w:rPr>
          <w:rFonts w:ascii="宋体" w:hAnsi="宋体" w:eastAsia="宋体" w:cs="宋体"/>
          <w:b/>
          <w:bCs/>
          <w:spacing w:val="-3"/>
          <w:sz w:val="24"/>
          <w:szCs w:val="24"/>
        </w:rPr>
        <w:t>2006</w:t>
      </w:r>
      <w:r>
        <w:rPr>
          <w:rFonts w:ascii="宋体" w:hAnsi="宋体" w:eastAsia="宋体" w:cs="宋体"/>
          <w:b/>
          <w:bCs/>
          <w:spacing w:val="-3"/>
          <w:sz w:val="24"/>
          <w:szCs w:val="24"/>
        </w:rPr>
        <w:fldChar w:fldCharType="end"/>
      </w:r>
      <w:r>
        <w:rPr>
          <w:rFonts w:ascii="宋体" w:hAnsi="宋体" w:eastAsia="宋体" w:cs="宋体"/>
          <w:b/>
          <w:bCs/>
          <w:spacing w:val="-3"/>
          <w:sz w:val="24"/>
          <w:szCs w:val="24"/>
        </w:rPr>
        <w:t>]90</w:t>
      </w:r>
      <w:r>
        <w:rPr>
          <w:rFonts w:ascii="宋体" w:hAnsi="宋体" w:eastAsia="宋体" w:cs="宋体"/>
          <w:spacing w:val="-28"/>
          <w:sz w:val="24"/>
          <w:szCs w:val="24"/>
        </w:rPr>
        <w:t xml:space="preserve"> </w:t>
      </w:r>
      <w:r>
        <w:rPr>
          <w:rFonts w:ascii="宋体" w:hAnsi="宋体" w:eastAsia="宋体" w:cs="宋体"/>
          <w:b/>
          <w:bCs/>
          <w:spacing w:val="-3"/>
          <w:sz w:val="24"/>
          <w:szCs w:val="24"/>
        </w:rPr>
        <w:t>号）</w:t>
      </w:r>
    </w:p>
    <w:p w14:paraId="7C556A3A">
      <w:pPr>
        <w:spacing w:before="136" w:line="360" w:lineRule="auto"/>
        <w:ind w:left="9" w:right="80" w:firstLine="480"/>
        <w:jc w:val="both"/>
        <w:rPr>
          <w:rFonts w:ascii="宋体" w:hAnsi="宋体" w:eastAsia="宋体" w:cs="宋体"/>
          <w:sz w:val="24"/>
          <w:szCs w:val="24"/>
        </w:rPr>
      </w:pPr>
      <w:r>
        <w:rPr>
          <w:rFonts w:ascii="宋体" w:hAnsi="宋体" w:eastAsia="宋体" w:cs="宋体"/>
          <w:spacing w:val="1"/>
          <w:sz w:val="24"/>
          <w:szCs w:val="24"/>
        </w:rPr>
        <w:t>根据《环境标志产品政府采购实施的意见》--（财库[</w:t>
      </w:r>
      <w:r>
        <w:fldChar w:fldCharType="begin"/>
      </w:r>
      <w:r>
        <w:instrText xml:space="preserve"> HYPERLINK \l "bookmark20" </w:instrText>
      </w:r>
      <w:r>
        <w:fldChar w:fldCharType="separate"/>
      </w:r>
      <w:r>
        <w:rPr>
          <w:rFonts w:ascii="宋体" w:hAnsi="宋体" w:eastAsia="宋体" w:cs="宋体"/>
          <w:spacing w:val="1"/>
          <w:sz w:val="24"/>
          <w:szCs w:val="24"/>
        </w:rPr>
        <w:t>2006</w:t>
      </w:r>
      <w:r>
        <w:rPr>
          <w:rFonts w:ascii="宋体" w:hAnsi="宋体" w:eastAsia="宋体" w:cs="宋体"/>
          <w:spacing w:val="1"/>
          <w:sz w:val="24"/>
          <w:szCs w:val="24"/>
        </w:rPr>
        <w:fldChar w:fldCharType="end"/>
      </w:r>
      <w:r>
        <w:rPr>
          <w:rFonts w:ascii="宋体" w:hAnsi="宋体" w:eastAsia="宋体" w:cs="宋体"/>
          <w:spacing w:val="1"/>
          <w:sz w:val="24"/>
          <w:szCs w:val="24"/>
        </w:rPr>
        <w:t>]90</w:t>
      </w:r>
      <w:r>
        <w:rPr>
          <w:rFonts w:ascii="宋体" w:hAnsi="宋体" w:eastAsia="宋体" w:cs="宋体"/>
          <w:spacing w:val="-30"/>
          <w:sz w:val="24"/>
          <w:szCs w:val="24"/>
        </w:rPr>
        <w:t xml:space="preserve"> </w:t>
      </w:r>
      <w:r>
        <w:rPr>
          <w:rFonts w:ascii="宋体" w:hAnsi="宋体" w:eastAsia="宋体" w:cs="宋体"/>
          <w:spacing w:val="1"/>
          <w:sz w:val="24"/>
          <w:szCs w:val="24"/>
        </w:rPr>
        <w:t>号）规定，采购人采购的</w:t>
      </w:r>
      <w:r>
        <w:rPr>
          <w:rFonts w:ascii="宋体" w:hAnsi="宋体" w:eastAsia="宋体" w:cs="宋体"/>
          <w:spacing w:val="-2"/>
          <w:sz w:val="24"/>
          <w:szCs w:val="24"/>
        </w:rPr>
        <w:t>产品在品目清单中并具有认证证书的，在性</w:t>
      </w:r>
      <w:r>
        <w:rPr>
          <w:rFonts w:ascii="宋体" w:hAnsi="宋体" w:eastAsia="宋体" w:cs="宋体"/>
          <w:spacing w:val="-3"/>
          <w:sz w:val="24"/>
          <w:szCs w:val="24"/>
        </w:rPr>
        <w:t>能、技术、服务等指标同等条件下，应当优先采购</w:t>
      </w:r>
      <w:r>
        <w:rPr>
          <w:rFonts w:ascii="宋体" w:hAnsi="宋体" w:eastAsia="宋体" w:cs="宋体"/>
          <w:spacing w:val="-2"/>
          <w:sz w:val="24"/>
          <w:szCs w:val="24"/>
        </w:rPr>
        <w:t>清单中的产品。</w:t>
      </w:r>
    </w:p>
    <w:p w14:paraId="79213B8D">
      <w:pPr>
        <w:spacing w:before="1" w:line="360" w:lineRule="auto"/>
        <w:ind w:left="9" w:right="26" w:firstLine="480"/>
        <w:jc w:val="both"/>
        <w:rPr>
          <w:rFonts w:ascii="宋体" w:hAnsi="宋体" w:eastAsia="宋体" w:cs="宋体"/>
          <w:sz w:val="24"/>
          <w:szCs w:val="24"/>
        </w:rPr>
      </w:pPr>
      <w:r>
        <w:rPr>
          <w:rFonts w:ascii="宋体" w:hAnsi="宋体" w:eastAsia="宋体" w:cs="宋体"/>
          <w:spacing w:val="-1"/>
          <w:sz w:val="24"/>
          <w:szCs w:val="24"/>
        </w:rPr>
        <w:t>产品属于品目清单范围中实施政府强制采购的，需提供依据国</w:t>
      </w:r>
      <w:r>
        <w:rPr>
          <w:rFonts w:ascii="宋体" w:hAnsi="宋体" w:eastAsia="宋体" w:cs="宋体"/>
          <w:spacing w:val="-2"/>
          <w:sz w:val="24"/>
          <w:szCs w:val="24"/>
        </w:rPr>
        <w:t>家确定的认证机构出具的、处于有效期之内的环境标志产品认证证书，</w:t>
      </w:r>
      <w:r>
        <w:rPr>
          <w:rFonts w:ascii="宋体" w:hAnsi="宋体" w:eastAsia="宋体" w:cs="宋体"/>
          <w:spacing w:val="-3"/>
          <w:sz w:val="24"/>
          <w:szCs w:val="24"/>
        </w:rPr>
        <w:t>属于品目清单范围中实施政府优先采购的，依据提</w:t>
      </w:r>
      <w:r>
        <w:rPr>
          <w:rFonts w:ascii="宋体" w:hAnsi="宋体" w:eastAsia="宋体" w:cs="宋体"/>
          <w:spacing w:val="-1"/>
          <w:sz w:val="24"/>
          <w:szCs w:val="24"/>
        </w:rPr>
        <w:t>供的品目清单和认证证书实施政府优先采购。</w:t>
      </w:r>
    </w:p>
    <w:p w14:paraId="5215EDC5">
      <w:pPr>
        <w:spacing w:line="360" w:lineRule="auto"/>
        <w:ind w:left="10" w:right="6" w:firstLine="484"/>
        <w:rPr>
          <w:rFonts w:ascii="宋体" w:hAnsi="宋体" w:eastAsia="宋体" w:cs="宋体"/>
          <w:sz w:val="24"/>
          <w:szCs w:val="24"/>
        </w:rPr>
      </w:pPr>
      <w:r>
        <w:rPr>
          <w:rFonts w:ascii="宋体" w:hAnsi="宋体" w:eastAsia="宋体" w:cs="宋体"/>
          <w:b/>
          <w:bCs/>
          <w:spacing w:val="-6"/>
          <w:sz w:val="24"/>
          <w:szCs w:val="24"/>
        </w:rPr>
        <w:t>7.7、《关于调整优化节能产品、环境标志产品政府采购执行机制的通知》（财</w:t>
      </w:r>
      <w:r>
        <w:rPr>
          <w:rFonts w:ascii="宋体" w:hAnsi="宋体" w:eastAsia="宋体" w:cs="宋体"/>
          <w:b/>
          <w:bCs/>
          <w:spacing w:val="-7"/>
          <w:sz w:val="24"/>
          <w:szCs w:val="24"/>
        </w:rPr>
        <w:t>库〔2019〕</w:t>
      </w:r>
      <w:r>
        <w:rPr>
          <w:rFonts w:ascii="宋体" w:hAnsi="宋体" w:eastAsia="宋体" w:cs="宋体"/>
          <w:sz w:val="24"/>
          <w:szCs w:val="24"/>
        </w:rPr>
        <w:t xml:space="preserve"> </w:t>
      </w:r>
      <w:r>
        <w:rPr>
          <w:rFonts w:ascii="宋体" w:hAnsi="宋体" w:eastAsia="宋体" w:cs="宋体"/>
          <w:b/>
          <w:bCs/>
          <w:spacing w:val="-11"/>
          <w:sz w:val="24"/>
          <w:szCs w:val="24"/>
        </w:rPr>
        <w:t>9</w:t>
      </w:r>
      <w:r>
        <w:rPr>
          <w:rFonts w:ascii="宋体" w:hAnsi="宋体" w:eastAsia="宋体" w:cs="宋体"/>
          <w:spacing w:val="-45"/>
          <w:sz w:val="24"/>
          <w:szCs w:val="24"/>
        </w:rPr>
        <w:t xml:space="preserve"> </w:t>
      </w:r>
      <w:r>
        <w:rPr>
          <w:rFonts w:ascii="宋体" w:hAnsi="宋体" w:eastAsia="宋体" w:cs="宋体"/>
          <w:b/>
          <w:bCs/>
          <w:spacing w:val="-11"/>
          <w:sz w:val="24"/>
          <w:szCs w:val="24"/>
        </w:rPr>
        <w:t>号）</w:t>
      </w:r>
    </w:p>
    <w:p w14:paraId="5C06F8EC">
      <w:pPr>
        <w:spacing w:line="360" w:lineRule="auto"/>
        <w:ind w:left="7" w:firstLine="481"/>
        <w:jc w:val="both"/>
        <w:rPr>
          <w:rFonts w:ascii="宋体" w:hAnsi="宋体" w:eastAsia="宋体" w:cs="宋体"/>
          <w:sz w:val="24"/>
          <w:szCs w:val="24"/>
        </w:rPr>
      </w:pPr>
      <w:r>
        <w:rPr>
          <w:rFonts w:ascii="宋体" w:hAnsi="宋体" w:eastAsia="宋体" w:cs="宋体"/>
          <w:spacing w:val="-7"/>
          <w:sz w:val="24"/>
          <w:szCs w:val="24"/>
        </w:rPr>
        <w:t>根据财政部、国家发改委、生态环境部、市场监管总局联合印发《关于调整优化节能产品、</w:t>
      </w:r>
      <w:r>
        <w:rPr>
          <w:rFonts w:ascii="宋体" w:hAnsi="宋体" w:eastAsia="宋体" w:cs="宋体"/>
          <w:spacing w:val="-2"/>
          <w:sz w:val="24"/>
          <w:szCs w:val="24"/>
        </w:rPr>
        <w:t xml:space="preserve">环境标志产品政府采购执行机制的通知》（财库〔2019〕9 </w:t>
      </w:r>
      <w:r>
        <w:rPr>
          <w:rFonts w:ascii="宋体" w:hAnsi="宋体" w:eastAsia="宋体" w:cs="宋体"/>
          <w:spacing w:val="-3"/>
          <w:sz w:val="24"/>
          <w:szCs w:val="24"/>
        </w:rPr>
        <w:t>号）有关要求，采购人拟采购的产</w:t>
      </w:r>
      <w:r>
        <w:rPr>
          <w:rFonts w:ascii="宋体" w:hAnsi="宋体" w:eastAsia="宋体" w:cs="宋体"/>
          <w:spacing w:val="3"/>
          <w:sz w:val="24"/>
          <w:szCs w:val="24"/>
        </w:rPr>
        <w:t>品属于品目清单范围的，采购人及其委托的采购代理机构应当依据国家确定的认证机构出具</w:t>
      </w:r>
      <w:r>
        <w:rPr>
          <w:rFonts w:ascii="宋体" w:hAnsi="宋体" w:eastAsia="宋体" w:cs="宋体"/>
          <w:spacing w:val="-3"/>
          <w:sz w:val="24"/>
          <w:szCs w:val="24"/>
        </w:rPr>
        <w:t>的、处于有效期之内的节能产品、环境标志产品认证证书，对获得证书的产品实施政府优先采</w:t>
      </w:r>
      <w:r>
        <w:rPr>
          <w:rFonts w:ascii="宋体" w:hAnsi="宋体" w:eastAsia="宋体" w:cs="宋体"/>
          <w:spacing w:val="-2"/>
          <w:sz w:val="24"/>
          <w:szCs w:val="24"/>
        </w:rPr>
        <w:t>购或强制采购。</w:t>
      </w:r>
    </w:p>
    <w:p w14:paraId="3424E949">
      <w:pPr>
        <w:spacing w:before="1" w:line="360" w:lineRule="auto"/>
        <w:ind w:left="495"/>
        <w:rPr>
          <w:rFonts w:ascii="宋体" w:hAnsi="宋体" w:eastAsia="宋体" w:cs="宋体"/>
          <w:sz w:val="24"/>
          <w:szCs w:val="24"/>
        </w:rPr>
      </w:pPr>
      <w:r>
        <w:rPr>
          <w:rFonts w:ascii="宋体" w:hAnsi="宋体" w:eastAsia="宋体" w:cs="宋体"/>
          <w:b/>
          <w:bCs/>
          <w:spacing w:val="-2"/>
          <w:sz w:val="24"/>
          <w:szCs w:val="24"/>
        </w:rPr>
        <w:t>7.8、《关于印发环境标志产品政府采购品目清单</w:t>
      </w:r>
      <w:r>
        <w:rPr>
          <w:rFonts w:ascii="宋体" w:hAnsi="宋体" w:eastAsia="宋体" w:cs="宋体"/>
          <w:b/>
          <w:bCs/>
          <w:spacing w:val="-3"/>
          <w:sz w:val="24"/>
          <w:szCs w:val="24"/>
        </w:rPr>
        <w:t>的通知》（财库〔2019〕18</w:t>
      </w:r>
      <w:r>
        <w:rPr>
          <w:rFonts w:ascii="宋体" w:hAnsi="宋体" w:eastAsia="宋体" w:cs="宋体"/>
          <w:spacing w:val="-44"/>
          <w:sz w:val="24"/>
          <w:szCs w:val="24"/>
        </w:rPr>
        <w:t xml:space="preserve"> </w:t>
      </w:r>
      <w:r>
        <w:rPr>
          <w:rFonts w:ascii="宋体" w:hAnsi="宋体" w:eastAsia="宋体" w:cs="宋体"/>
          <w:b/>
          <w:bCs/>
          <w:spacing w:val="-3"/>
          <w:sz w:val="24"/>
          <w:szCs w:val="24"/>
        </w:rPr>
        <w:t>号）</w:t>
      </w:r>
    </w:p>
    <w:p w14:paraId="34C49FA4">
      <w:pPr>
        <w:spacing w:before="135" w:line="360" w:lineRule="auto"/>
        <w:ind w:left="495"/>
        <w:rPr>
          <w:rFonts w:ascii="宋体" w:hAnsi="宋体" w:eastAsia="宋体" w:cs="宋体"/>
          <w:sz w:val="24"/>
          <w:szCs w:val="24"/>
        </w:rPr>
      </w:pPr>
      <w:r>
        <w:rPr>
          <w:rFonts w:ascii="宋体" w:hAnsi="宋体" w:eastAsia="宋体" w:cs="宋体"/>
          <w:b/>
          <w:bCs/>
          <w:spacing w:val="-2"/>
          <w:sz w:val="24"/>
          <w:szCs w:val="24"/>
        </w:rPr>
        <w:t>7.9、《关于印发节能产品政府采购品目清</w:t>
      </w:r>
      <w:r>
        <w:rPr>
          <w:rFonts w:ascii="宋体" w:hAnsi="宋体" w:eastAsia="宋体" w:cs="宋体"/>
          <w:b/>
          <w:bCs/>
          <w:spacing w:val="-3"/>
          <w:sz w:val="24"/>
          <w:szCs w:val="24"/>
        </w:rPr>
        <w:t>单的通知》（财库〔2019〕19</w:t>
      </w:r>
      <w:r>
        <w:rPr>
          <w:rFonts w:ascii="宋体" w:hAnsi="宋体" w:eastAsia="宋体" w:cs="宋体"/>
          <w:spacing w:val="-45"/>
          <w:sz w:val="24"/>
          <w:szCs w:val="24"/>
        </w:rPr>
        <w:t xml:space="preserve"> </w:t>
      </w:r>
      <w:r>
        <w:rPr>
          <w:rFonts w:ascii="宋体" w:hAnsi="宋体" w:eastAsia="宋体" w:cs="宋体"/>
          <w:b/>
          <w:bCs/>
          <w:spacing w:val="-3"/>
          <w:sz w:val="24"/>
          <w:szCs w:val="24"/>
        </w:rPr>
        <w:t>号）</w:t>
      </w:r>
    </w:p>
    <w:p w14:paraId="5469CBAB">
      <w:pPr>
        <w:spacing w:before="136" w:line="360" w:lineRule="auto"/>
        <w:ind w:left="495"/>
        <w:rPr>
          <w:rFonts w:ascii="宋体" w:hAnsi="宋体" w:eastAsia="宋体" w:cs="宋体"/>
          <w:sz w:val="24"/>
          <w:szCs w:val="24"/>
        </w:rPr>
      </w:pPr>
      <w:r>
        <w:rPr>
          <w:rFonts w:ascii="宋体" w:hAnsi="宋体" w:eastAsia="宋体" w:cs="宋体"/>
          <w:b/>
          <w:bCs/>
          <w:spacing w:val="-2"/>
          <w:sz w:val="24"/>
          <w:szCs w:val="24"/>
        </w:rPr>
        <w:t>7.10、《关于运用政府采购政策支持乡村产业振兴</w:t>
      </w:r>
      <w:r>
        <w:rPr>
          <w:rFonts w:ascii="宋体" w:hAnsi="宋体" w:eastAsia="宋体" w:cs="宋体"/>
          <w:b/>
          <w:bCs/>
          <w:spacing w:val="-3"/>
          <w:sz w:val="24"/>
          <w:szCs w:val="24"/>
        </w:rPr>
        <w:t>的通知》（财库〔2021〕19</w:t>
      </w:r>
      <w:r>
        <w:rPr>
          <w:rFonts w:ascii="宋体" w:hAnsi="宋体" w:eastAsia="宋体" w:cs="宋体"/>
          <w:spacing w:val="-45"/>
          <w:sz w:val="24"/>
          <w:szCs w:val="24"/>
        </w:rPr>
        <w:t xml:space="preserve"> </w:t>
      </w:r>
      <w:r>
        <w:rPr>
          <w:rFonts w:ascii="宋体" w:hAnsi="宋体" w:eastAsia="宋体" w:cs="宋体"/>
          <w:b/>
          <w:bCs/>
          <w:spacing w:val="-3"/>
          <w:sz w:val="24"/>
          <w:szCs w:val="24"/>
        </w:rPr>
        <w:t>号）</w:t>
      </w:r>
    </w:p>
    <w:p w14:paraId="25B9C1BA">
      <w:pPr>
        <w:spacing w:before="135" w:line="360" w:lineRule="auto"/>
        <w:ind w:left="495"/>
        <w:rPr>
          <w:rFonts w:ascii="宋体" w:hAnsi="宋体" w:eastAsia="宋体" w:cs="宋体"/>
          <w:sz w:val="24"/>
          <w:szCs w:val="24"/>
        </w:rPr>
      </w:pPr>
      <w:r>
        <w:rPr>
          <w:rFonts w:ascii="宋体" w:hAnsi="宋体" w:eastAsia="宋体" w:cs="宋体"/>
          <w:b/>
          <w:bCs/>
          <w:spacing w:val="-2"/>
          <w:sz w:val="24"/>
          <w:szCs w:val="24"/>
        </w:rPr>
        <w:t>7.11、《陕西省中小企业政府采购信用融资</w:t>
      </w:r>
      <w:r>
        <w:rPr>
          <w:rFonts w:ascii="宋体" w:hAnsi="宋体" w:eastAsia="宋体" w:cs="宋体"/>
          <w:b/>
          <w:bCs/>
          <w:spacing w:val="-3"/>
          <w:sz w:val="24"/>
          <w:szCs w:val="24"/>
        </w:rPr>
        <w:t>办法》（陕财办采〔2018〕23</w:t>
      </w:r>
      <w:r>
        <w:rPr>
          <w:rFonts w:ascii="宋体" w:hAnsi="宋体" w:eastAsia="宋体" w:cs="宋体"/>
          <w:spacing w:val="-45"/>
          <w:sz w:val="24"/>
          <w:szCs w:val="24"/>
        </w:rPr>
        <w:t xml:space="preserve"> </w:t>
      </w:r>
      <w:r>
        <w:rPr>
          <w:rFonts w:ascii="宋体" w:hAnsi="宋体" w:eastAsia="宋体" w:cs="宋体"/>
          <w:b/>
          <w:bCs/>
          <w:spacing w:val="-3"/>
          <w:sz w:val="24"/>
          <w:szCs w:val="24"/>
        </w:rPr>
        <w:t>号）</w:t>
      </w:r>
    </w:p>
    <w:p w14:paraId="14EF4D5E">
      <w:pPr>
        <w:spacing w:before="136" w:line="360" w:lineRule="auto"/>
        <w:ind w:left="10" w:right="85" w:firstLine="484"/>
        <w:rPr>
          <w:rFonts w:ascii="宋体" w:hAnsi="宋体" w:eastAsia="宋体" w:cs="宋体"/>
          <w:sz w:val="24"/>
          <w:szCs w:val="24"/>
        </w:rPr>
      </w:pPr>
      <w:r>
        <w:rPr>
          <w:rFonts w:ascii="宋体" w:hAnsi="宋体" w:eastAsia="宋体" w:cs="宋体"/>
          <w:b/>
          <w:bCs/>
          <w:spacing w:val="1"/>
          <w:sz w:val="24"/>
          <w:szCs w:val="24"/>
        </w:rPr>
        <w:t>7.12、《陕西省财政厅关于加快推进我省中小企业</w:t>
      </w:r>
      <w:r>
        <w:rPr>
          <w:rFonts w:ascii="宋体" w:hAnsi="宋体" w:eastAsia="宋体" w:cs="宋体"/>
          <w:b/>
          <w:bCs/>
          <w:sz w:val="24"/>
          <w:szCs w:val="24"/>
        </w:rPr>
        <w:t>政府采购信用融资工作的通知》（陕</w:t>
      </w:r>
      <w:r>
        <w:rPr>
          <w:rFonts w:ascii="宋体" w:hAnsi="宋体" w:eastAsia="宋体" w:cs="宋体"/>
          <w:b/>
          <w:bCs/>
          <w:spacing w:val="-4"/>
          <w:sz w:val="24"/>
          <w:szCs w:val="24"/>
        </w:rPr>
        <w:t>财办采〔2020〕15</w:t>
      </w:r>
      <w:r>
        <w:rPr>
          <w:rFonts w:ascii="宋体" w:hAnsi="宋体" w:eastAsia="宋体" w:cs="宋体"/>
          <w:spacing w:val="-43"/>
          <w:sz w:val="24"/>
          <w:szCs w:val="24"/>
        </w:rPr>
        <w:t xml:space="preserve"> </w:t>
      </w:r>
      <w:r>
        <w:rPr>
          <w:rFonts w:ascii="宋体" w:hAnsi="宋体" w:eastAsia="宋体" w:cs="宋体"/>
          <w:b/>
          <w:bCs/>
          <w:spacing w:val="-4"/>
          <w:sz w:val="24"/>
          <w:szCs w:val="24"/>
        </w:rPr>
        <w:t>号）</w:t>
      </w:r>
    </w:p>
    <w:p w14:paraId="5EDA1CF6">
      <w:pPr>
        <w:spacing w:line="360" w:lineRule="auto"/>
        <w:ind w:left="27" w:right="6" w:firstLine="467"/>
        <w:rPr>
          <w:rFonts w:ascii="宋体" w:hAnsi="宋体" w:eastAsia="宋体" w:cs="宋体"/>
          <w:sz w:val="24"/>
          <w:szCs w:val="24"/>
        </w:rPr>
      </w:pPr>
      <w:r>
        <w:rPr>
          <w:rFonts w:ascii="宋体" w:hAnsi="宋体" w:eastAsia="宋体" w:cs="宋体"/>
          <w:b/>
          <w:bCs/>
          <w:spacing w:val="-14"/>
          <w:sz w:val="24"/>
          <w:szCs w:val="24"/>
        </w:rPr>
        <w:t>7.13、《财政部关于在政府采购活动中查询及使用信用记录有关问题的通知》（财库〔2016〕</w:t>
      </w:r>
      <w:r>
        <w:rPr>
          <w:rFonts w:ascii="宋体" w:hAnsi="宋体" w:eastAsia="宋体" w:cs="宋体"/>
          <w:sz w:val="24"/>
          <w:szCs w:val="24"/>
        </w:rPr>
        <w:t xml:space="preserve"> </w:t>
      </w:r>
      <w:r>
        <w:rPr>
          <w:rFonts w:ascii="宋体" w:hAnsi="宋体" w:eastAsia="宋体" w:cs="宋体"/>
          <w:b/>
          <w:bCs/>
          <w:spacing w:val="-11"/>
          <w:sz w:val="24"/>
          <w:szCs w:val="24"/>
        </w:rPr>
        <w:t>125</w:t>
      </w:r>
      <w:r>
        <w:rPr>
          <w:rFonts w:ascii="宋体" w:hAnsi="宋体" w:eastAsia="宋体" w:cs="宋体"/>
          <w:spacing w:val="-44"/>
          <w:sz w:val="24"/>
          <w:szCs w:val="24"/>
        </w:rPr>
        <w:t xml:space="preserve"> </w:t>
      </w:r>
      <w:r>
        <w:rPr>
          <w:rFonts w:ascii="宋体" w:hAnsi="宋体" w:eastAsia="宋体" w:cs="宋体"/>
          <w:b/>
          <w:bCs/>
          <w:spacing w:val="-11"/>
          <w:sz w:val="24"/>
          <w:szCs w:val="24"/>
        </w:rPr>
        <w:t>号）</w:t>
      </w:r>
    </w:p>
    <w:p w14:paraId="3ACD3C31">
      <w:pPr>
        <w:spacing w:before="1" w:line="360" w:lineRule="auto"/>
        <w:ind w:left="495"/>
        <w:rPr>
          <w:rFonts w:ascii="宋体" w:hAnsi="宋体" w:eastAsia="宋体" w:cs="宋体"/>
          <w:sz w:val="24"/>
          <w:szCs w:val="24"/>
        </w:rPr>
      </w:pPr>
      <w:r>
        <w:rPr>
          <w:rFonts w:ascii="宋体" w:hAnsi="宋体" w:eastAsia="宋体" w:cs="宋体"/>
          <w:b/>
          <w:bCs/>
          <w:spacing w:val="1"/>
          <w:sz w:val="24"/>
          <w:szCs w:val="24"/>
        </w:rPr>
        <w:t>7.14、《财政部关于进一步加大政府采</w:t>
      </w:r>
      <w:r>
        <w:rPr>
          <w:rFonts w:ascii="宋体" w:hAnsi="宋体" w:eastAsia="宋体" w:cs="宋体"/>
          <w:b/>
          <w:bCs/>
          <w:sz w:val="24"/>
          <w:szCs w:val="24"/>
        </w:rPr>
        <w:t>购支持中小企业力度的通知》（财库〔2022〕19</w:t>
      </w:r>
    </w:p>
    <w:p w14:paraId="3D4DD73D">
      <w:pPr>
        <w:spacing w:line="360" w:lineRule="auto"/>
        <w:rPr>
          <w:rFonts w:ascii="宋体" w:hAnsi="宋体" w:eastAsia="宋体" w:cs="宋体"/>
          <w:sz w:val="24"/>
          <w:szCs w:val="24"/>
        </w:rPr>
        <w:sectPr>
          <w:headerReference r:id="rId13" w:type="default"/>
          <w:footerReference r:id="rId14" w:type="default"/>
          <w:pgSz w:w="11906" w:h="16839"/>
          <w:pgMar w:top="1166" w:right="999" w:bottom="1166" w:left="1080" w:header="829" w:footer="952" w:gutter="0"/>
          <w:cols w:space="720" w:num="1"/>
        </w:sectPr>
      </w:pPr>
    </w:p>
    <w:p w14:paraId="1A5F54A0">
      <w:pPr>
        <w:pStyle w:val="4"/>
        <w:spacing w:line="360" w:lineRule="auto"/>
      </w:pPr>
    </w:p>
    <w:p w14:paraId="6022F5CA">
      <w:pPr>
        <w:spacing w:before="78" w:line="360" w:lineRule="auto"/>
        <w:ind w:left="15"/>
        <w:rPr>
          <w:rFonts w:ascii="宋体" w:hAnsi="宋体" w:eastAsia="宋体" w:cs="宋体"/>
          <w:sz w:val="24"/>
          <w:szCs w:val="24"/>
        </w:rPr>
      </w:pPr>
      <w:r>
        <w:rPr>
          <w:rFonts w:ascii="宋体" w:hAnsi="宋体" w:eastAsia="宋体" w:cs="宋体"/>
          <w:b/>
          <w:bCs/>
          <w:spacing w:val="-18"/>
          <w:sz w:val="24"/>
          <w:szCs w:val="24"/>
        </w:rPr>
        <w:t>号</w:t>
      </w:r>
      <w:r>
        <w:rPr>
          <w:rFonts w:ascii="宋体" w:hAnsi="宋体" w:eastAsia="宋体" w:cs="宋体"/>
          <w:b/>
          <w:bCs/>
          <w:spacing w:val="-3"/>
          <w:sz w:val="24"/>
          <w:szCs w:val="24"/>
        </w:rPr>
        <w:t>）；</w:t>
      </w:r>
    </w:p>
    <w:p w14:paraId="2DEC6F75">
      <w:pPr>
        <w:spacing w:before="133" w:line="360" w:lineRule="auto"/>
        <w:ind w:left="490"/>
        <w:rPr>
          <w:rFonts w:ascii="宋体" w:hAnsi="宋体" w:eastAsia="宋体" w:cs="宋体"/>
          <w:sz w:val="24"/>
          <w:szCs w:val="24"/>
        </w:rPr>
      </w:pPr>
      <w:r>
        <w:rPr>
          <w:rFonts w:ascii="宋体" w:hAnsi="宋体" w:eastAsia="宋体" w:cs="宋体"/>
          <w:b/>
          <w:bCs/>
          <w:spacing w:val="-4"/>
          <w:sz w:val="24"/>
          <w:szCs w:val="24"/>
        </w:rPr>
        <w:t>8、政策性扣减</w:t>
      </w:r>
    </w:p>
    <w:p w14:paraId="151260E8">
      <w:pPr>
        <w:spacing w:before="134" w:line="360" w:lineRule="auto"/>
        <w:ind w:left="490"/>
        <w:rPr>
          <w:rFonts w:ascii="宋体" w:hAnsi="宋体" w:eastAsia="宋体" w:cs="宋体"/>
          <w:sz w:val="24"/>
          <w:szCs w:val="24"/>
        </w:rPr>
      </w:pPr>
      <w:r>
        <w:rPr>
          <w:rFonts w:ascii="宋体" w:hAnsi="宋体" w:eastAsia="宋体" w:cs="宋体"/>
          <w:b/>
          <w:bCs/>
          <w:spacing w:val="-3"/>
          <w:sz w:val="24"/>
          <w:szCs w:val="24"/>
        </w:rPr>
        <w:t>8.1、小微企业</w:t>
      </w:r>
    </w:p>
    <w:p w14:paraId="2F3A4860">
      <w:pPr>
        <w:spacing w:before="135" w:line="360" w:lineRule="auto"/>
        <w:ind w:left="15" w:right="21" w:firstLine="476"/>
        <w:jc w:val="both"/>
        <w:rPr>
          <w:rFonts w:ascii="宋体" w:hAnsi="宋体" w:eastAsia="宋体" w:cs="宋体"/>
          <w:sz w:val="24"/>
          <w:szCs w:val="24"/>
        </w:rPr>
      </w:pPr>
      <w:r>
        <w:rPr>
          <w:rFonts w:ascii="宋体" w:hAnsi="宋体" w:eastAsia="宋体" w:cs="宋体"/>
          <w:spacing w:val="-3"/>
          <w:sz w:val="24"/>
          <w:szCs w:val="24"/>
        </w:rPr>
        <w:t>依照&lt;关于印发《政府采购促进中小企业发展管理办法》（财库〔2020〕46</w:t>
      </w:r>
      <w:r>
        <w:rPr>
          <w:rFonts w:ascii="宋体" w:hAnsi="宋体" w:eastAsia="宋体" w:cs="宋体"/>
          <w:spacing w:val="-38"/>
          <w:sz w:val="24"/>
          <w:szCs w:val="24"/>
        </w:rPr>
        <w:t xml:space="preserve"> </w:t>
      </w:r>
      <w:r>
        <w:rPr>
          <w:rFonts w:ascii="宋体" w:hAnsi="宋体" w:eastAsia="宋体" w:cs="宋体"/>
          <w:spacing w:val="-3"/>
          <w:sz w:val="24"/>
          <w:szCs w:val="24"/>
        </w:rPr>
        <w:t>号）&gt;的规定，中小企业参加政府采购活动，应当出具本办法规定的《中小企业声明函》，否则，按照有关规定予以处理。任何单位和个人不得要求供应商提供《中小企业声明函》之外的中小企业身份证</w:t>
      </w:r>
      <w:r>
        <w:rPr>
          <w:rFonts w:ascii="宋体" w:hAnsi="宋体" w:eastAsia="宋体" w:cs="宋体"/>
          <w:spacing w:val="-1"/>
          <w:sz w:val="24"/>
          <w:szCs w:val="24"/>
        </w:rPr>
        <w:t>明文件。供应商提供的《中小企业声明函》资料必须真实。</w:t>
      </w:r>
    </w:p>
    <w:p w14:paraId="04493210">
      <w:pPr>
        <w:spacing w:line="360" w:lineRule="auto"/>
        <w:ind w:left="490"/>
        <w:rPr>
          <w:rFonts w:ascii="宋体" w:hAnsi="宋体" w:eastAsia="宋体" w:cs="宋体"/>
          <w:sz w:val="24"/>
          <w:szCs w:val="24"/>
        </w:rPr>
      </w:pPr>
      <w:r>
        <w:rPr>
          <w:rFonts w:ascii="宋体" w:hAnsi="宋体" w:eastAsia="宋体" w:cs="宋体"/>
          <w:spacing w:val="-1"/>
          <w:sz w:val="24"/>
          <w:szCs w:val="24"/>
        </w:rPr>
        <w:t>专门面向中小企业采购项目不享受优惠政策；</w:t>
      </w:r>
    </w:p>
    <w:p w14:paraId="60A017D1">
      <w:pPr>
        <w:spacing w:before="136" w:line="360" w:lineRule="auto"/>
        <w:ind w:left="23" w:firstLine="469"/>
        <w:rPr>
          <w:rFonts w:ascii="宋体" w:hAnsi="宋体" w:eastAsia="宋体" w:cs="宋体"/>
          <w:sz w:val="24"/>
          <w:szCs w:val="24"/>
        </w:rPr>
      </w:pPr>
      <w:r>
        <w:rPr>
          <w:rFonts w:ascii="宋体" w:hAnsi="宋体" w:eastAsia="宋体" w:cs="宋体"/>
          <w:spacing w:val="1"/>
          <w:sz w:val="24"/>
          <w:szCs w:val="24"/>
        </w:rPr>
        <w:t>非专门面向中小企业采购项目(价格扣除)：对小型和微型企业的价格给予</w:t>
      </w:r>
      <w:r>
        <w:rPr>
          <w:rFonts w:ascii="宋体" w:hAnsi="宋体" w:eastAsia="宋体" w:cs="宋体"/>
          <w:spacing w:val="-30"/>
          <w:sz w:val="24"/>
          <w:szCs w:val="24"/>
        </w:rPr>
        <w:t xml:space="preserve"> </w:t>
      </w:r>
      <w:r>
        <w:rPr>
          <w:rFonts w:ascii="宋体" w:hAnsi="宋体" w:eastAsia="宋体" w:cs="宋体"/>
          <w:spacing w:val="1"/>
          <w:sz w:val="24"/>
          <w:szCs w:val="24"/>
        </w:rPr>
        <w:t>10%～20%的扣</w:t>
      </w:r>
      <w:r>
        <w:rPr>
          <w:rFonts w:ascii="宋体" w:hAnsi="宋体" w:eastAsia="宋体" w:cs="宋体"/>
          <w:spacing w:val="-5"/>
          <w:sz w:val="24"/>
          <w:szCs w:val="24"/>
        </w:rPr>
        <w:t>除，用扣除后的价格参与评标。本项目的扣除比例为：小型企业扣除</w:t>
      </w:r>
      <w:r>
        <w:rPr>
          <w:rFonts w:ascii="宋体" w:hAnsi="宋体" w:eastAsia="宋体" w:cs="宋体"/>
          <w:spacing w:val="-53"/>
          <w:sz w:val="24"/>
          <w:szCs w:val="24"/>
        </w:rPr>
        <w:t xml:space="preserve"> </w:t>
      </w:r>
      <w:r>
        <w:rPr>
          <w:rFonts w:ascii="宋体" w:hAnsi="宋体" w:eastAsia="宋体" w:cs="宋体"/>
          <w:spacing w:val="-93"/>
          <w:sz w:val="24"/>
          <w:szCs w:val="24"/>
          <w:u w:val="single" w:color="auto"/>
        </w:rPr>
        <w:t xml:space="preserve"> </w:t>
      </w:r>
      <w:r>
        <w:rPr>
          <w:rFonts w:ascii="宋体" w:hAnsi="宋体" w:eastAsia="宋体" w:cs="宋体"/>
          <w:spacing w:val="-5"/>
          <w:sz w:val="24"/>
          <w:szCs w:val="24"/>
          <w:u w:val="single" w:color="auto"/>
        </w:rPr>
        <w:t>10</w:t>
      </w:r>
      <w:r>
        <w:rPr>
          <w:rFonts w:ascii="宋体" w:hAnsi="宋体" w:eastAsia="宋体" w:cs="宋体"/>
          <w:spacing w:val="-5"/>
          <w:sz w:val="24"/>
          <w:szCs w:val="24"/>
        </w:rPr>
        <w:t>%，微型企业扣除</w:t>
      </w:r>
      <w:r>
        <w:rPr>
          <w:rFonts w:ascii="宋体" w:hAnsi="宋体" w:eastAsia="宋体" w:cs="宋体"/>
          <w:spacing w:val="-60"/>
          <w:sz w:val="24"/>
          <w:szCs w:val="24"/>
        </w:rPr>
        <w:t xml:space="preserve"> </w:t>
      </w:r>
      <w:r>
        <w:rPr>
          <w:rFonts w:ascii="宋体" w:hAnsi="宋体" w:eastAsia="宋体" w:cs="宋体"/>
          <w:spacing w:val="-92"/>
          <w:sz w:val="24"/>
          <w:szCs w:val="24"/>
          <w:u w:val="single" w:color="auto"/>
        </w:rPr>
        <w:t xml:space="preserve"> </w:t>
      </w:r>
      <w:r>
        <w:rPr>
          <w:rFonts w:ascii="宋体" w:hAnsi="宋体" w:eastAsia="宋体" w:cs="宋体"/>
          <w:spacing w:val="-5"/>
          <w:sz w:val="24"/>
          <w:szCs w:val="24"/>
          <w:u w:val="single" w:color="auto"/>
        </w:rPr>
        <w:t>10</w:t>
      </w:r>
      <w:r>
        <w:rPr>
          <w:rFonts w:ascii="宋体" w:hAnsi="宋体" w:eastAsia="宋体" w:cs="宋体"/>
          <w:spacing w:val="-5"/>
          <w:sz w:val="24"/>
          <w:szCs w:val="24"/>
        </w:rPr>
        <w:t>%。</w:t>
      </w:r>
    </w:p>
    <w:p w14:paraId="49D8BABB">
      <w:pPr>
        <w:spacing w:line="360" w:lineRule="auto"/>
        <w:ind w:left="490"/>
        <w:rPr>
          <w:rFonts w:ascii="宋体" w:hAnsi="宋体" w:eastAsia="宋体" w:cs="宋体"/>
          <w:sz w:val="24"/>
          <w:szCs w:val="24"/>
        </w:rPr>
      </w:pPr>
      <w:r>
        <w:rPr>
          <w:rFonts w:ascii="宋体" w:hAnsi="宋体" w:eastAsia="宋体" w:cs="宋体"/>
          <w:b/>
          <w:bCs/>
          <w:spacing w:val="-3"/>
          <w:sz w:val="24"/>
          <w:szCs w:val="24"/>
        </w:rPr>
        <w:t>8.2、支持监狱企业</w:t>
      </w:r>
    </w:p>
    <w:p w14:paraId="480FDB12">
      <w:pPr>
        <w:spacing w:before="135" w:line="360" w:lineRule="auto"/>
        <w:ind w:left="12" w:right="99" w:firstLine="480"/>
        <w:rPr>
          <w:rFonts w:ascii="宋体" w:hAnsi="宋体" w:eastAsia="宋体" w:cs="宋体"/>
          <w:sz w:val="24"/>
          <w:szCs w:val="24"/>
        </w:rPr>
      </w:pPr>
      <w:r>
        <w:rPr>
          <w:rFonts w:ascii="宋体" w:hAnsi="宋体" w:eastAsia="宋体" w:cs="宋体"/>
          <w:spacing w:val="1"/>
          <w:sz w:val="24"/>
          <w:szCs w:val="24"/>
        </w:rPr>
        <w:t>非专门面向监狱采购项目(价格扣除)：监狱企业可视同</w:t>
      </w:r>
      <w:r>
        <w:rPr>
          <w:rFonts w:ascii="宋体" w:hAnsi="宋体" w:eastAsia="宋体" w:cs="宋体"/>
          <w:sz w:val="24"/>
          <w:szCs w:val="24"/>
        </w:rPr>
        <w:t>小微企业在价格评审时给予</w:t>
      </w:r>
      <w:r>
        <w:rPr>
          <w:rFonts w:ascii="宋体" w:hAnsi="宋体" w:eastAsia="宋体" w:cs="宋体"/>
          <w:spacing w:val="-33"/>
          <w:sz w:val="24"/>
          <w:szCs w:val="24"/>
        </w:rPr>
        <w:t xml:space="preserve"> </w:t>
      </w:r>
      <w:r>
        <w:rPr>
          <w:rFonts w:ascii="宋体" w:hAnsi="宋体" w:eastAsia="宋体" w:cs="宋体"/>
          <w:sz w:val="24"/>
          <w:szCs w:val="24"/>
        </w:rPr>
        <w:t xml:space="preserve">10%~ </w:t>
      </w:r>
      <w:r>
        <w:rPr>
          <w:rFonts w:ascii="宋体" w:hAnsi="宋体" w:eastAsia="宋体" w:cs="宋体"/>
          <w:spacing w:val="-1"/>
          <w:sz w:val="24"/>
          <w:szCs w:val="24"/>
        </w:rPr>
        <w:t>20%的扣除，用扣除后的价格参与评标。本项目的扣除比例为：</w:t>
      </w:r>
      <w:r>
        <w:rPr>
          <w:rFonts w:ascii="宋体" w:hAnsi="宋体" w:eastAsia="宋体" w:cs="宋体"/>
          <w:spacing w:val="-2"/>
          <w:sz w:val="24"/>
          <w:szCs w:val="24"/>
        </w:rPr>
        <w:t>扣除</w:t>
      </w:r>
      <w:r>
        <w:rPr>
          <w:rFonts w:ascii="宋体" w:hAnsi="宋体" w:eastAsia="宋体" w:cs="宋体"/>
          <w:spacing w:val="-60"/>
          <w:sz w:val="24"/>
          <w:szCs w:val="24"/>
        </w:rPr>
        <w:t xml:space="preserve"> </w:t>
      </w:r>
      <w:r>
        <w:rPr>
          <w:rFonts w:ascii="宋体" w:hAnsi="宋体" w:eastAsia="宋体" w:cs="宋体"/>
          <w:spacing w:val="-93"/>
          <w:sz w:val="24"/>
          <w:szCs w:val="24"/>
          <w:u w:val="single" w:color="auto"/>
        </w:rPr>
        <w:t xml:space="preserve"> </w:t>
      </w:r>
      <w:r>
        <w:rPr>
          <w:rFonts w:ascii="宋体" w:hAnsi="宋体" w:eastAsia="宋体" w:cs="宋体"/>
          <w:spacing w:val="-2"/>
          <w:sz w:val="24"/>
          <w:szCs w:val="24"/>
          <w:u w:val="single" w:color="auto"/>
        </w:rPr>
        <w:t>10</w:t>
      </w:r>
      <w:r>
        <w:rPr>
          <w:rFonts w:ascii="宋体" w:hAnsi="宋体" w:eastAsia="宋体" w:cs="宋体"/>
          <w:spacing w:val="-2"/>
          <w:sz w:val="24"/>
          <w:szCs w:val="24"/>
        </w:rPr>
        <w:t>%。</w:t>
      </w:r>
    </w:p>
    <w:p w14:paraId="24DF8059">
      <w:pPr>
        <w:spacing w:before="1" w:line="360" w:lineRule="auto"/>
        <w:ind w:left="490"/>
        <w:rPr>
          <w:rFonts w:ascii="宋体" w:hAnsi="宋体" w:eastAsia="宋体" w:cs="宋体"/>
          <w:sz w:val="24"/>
          <w:szCs w:val="24"/>
        </w:rPr>
      </w:pPr>
      <w:r>
        <w:rPr>
          <w:rFonts w:ascii="宋体" w:hAnsi="宋体" w:eastAsia="宋体" w:cs="宋体"/>
          <w:b/>
          <w:bCs/>
          <w:spacing w:val="-3"/>
          <w:sz w:val="24"/>
          <w:szCs w:val="24"/>
        </w:rPr>
        <w:t>8.3、其他法律法规强制性规定或扶持政策</w:t>
      </w:r>
    </w:p>
    <w:p w14:paraId="7D503707">
      <w:pPr>
        <w:spacing w:before="135" w:line="360" w:lineRule="auto"/>
        <w:ind w:left="11" w:right="80" w:firstLine="478"/>
        <w:rPr>
          <w:rFonts w:ascii="宋体" w:hAnsi="宋体" w:eastAsia="宋体" w:cs="宋体"/>
          <w:sz w:val="24"/>
          <w:szCs w:val="24"/>
        </w:rPr>
      </w:pPr>
      <w:r>
        <w:rPr>
          <w:rFonts w:ascii="宋体" w:hAnsi="宋体" w:eastAsia="宋体" w:cs="宋体"/>
          <w:spacing w:val="1"/>
          <w:sz w:val="24"/>
          <w:szCs w:val="24"/>
        </w:rPr>
        <w:t>残疾人福利性单位可视同小微企业在价格评审时给予</w:t>
      </w:r>
      <w:r>
        <w:rPr>
          <w:rFonts w:ascii="宋体" w:hAnsi="宋体" w:eastAsia="宋体" w:cs="宋体"/>
          <w:spacing w:val="-26"/>
          <w:sz w:val="24"/>
          <w:szCs w:val="24"/>
        </w:rPr>
        <w:t xml:space="preserve"> </w:t>
      </w:r>
      <w:r>
        <w:rPr>
          <w:rFonts w:ascii="宋体" w:hAnsi="宋体" w:eastAsia="宋体" w:cs="宋体"/>
          <w:spacing w:val="1"/>
          <w:sz w:val="24"/>
          <w:szCs w:val="24"/>
        </w:rPr>
        <w:t>10%～20%的扣除，用扣除后的价格</w:t>
      </w:r>
      <w:r>
        <w:rPr>
          <w:rFonts w:ascii="宋体" w:hAnsi="宋体" w:eastAsia="宋体" w:cs="宋体"/>
          <w:spacing w:val="-3"/>
          <w:sz w:val="24"/>
          <w:szCs w:val="24"/>
        </w:rPr>
        <w:t>参与评审。</w:t>
      </w:r>
    </w:p>
    <w:p w14:paraId="79BE7525">
      <w:pPr>
        <w:spacing w:line="360" w:lineRule="auto"/>
        <w:ind w:left="490"/>
        <w:rPr>
          <w:rFonts w:ascii="宋体" w:hAnsi="宋体" w:eastAsia="宋体" w:cs="宋体"/>
          <w:sz w:val="24"/>
          <w:szCs w:val="24"/>
        </w:rPr>
      </w:pPr>
      <w:r>
        <w:rPr>
          <w:rFonts w:ascii="宋体" w:hAnsi="宋体" w:eastAsia="宋体" w:cs="宋体"/>
          <w:spacing w:val="-2"/>
          <w:sz w:val="24"/>
          <w:szCs w:val="24"/>
        </w:rPr>
        <w:t>本项目的扣除比例为：扣除</w:t>
      </w:r>
      <w:r>
        <w:rPr>
          <w:rFonts w:ascii="宋体" w:hAnsi="宋体" w:eastAsia="宋体" w:cs="宋体"/>
          <w:spacing w:val="-49"/>
          <w:sz w:val="24"/>
          <w:szCs w:val="24"/>
        </w:rPr>
        <w:t xml:space="preserve"> </w:t>
      </w:r>
      <w:r>
        <w:rPr>
          <w:rFonts w:ascii="宋体" w:hAnsi="宋体" w:eastAsia="宋体" w:cs="宋体"/>
          <w:spacing w:val="-93"/>
          <w:sz w:val="24"/>
          <w:szCs w:val="24"/>
          <w:u w:val="single" w:color="auto"/>
        </w:rPr>
        <w:t xml:space="preserve"> </w:t>
      </w:r>
      <w:r>
        <w:rPr>
          <w:rFonts w:ascii="宋体" w:hAnsi="宋体" w:eastAsia="宋体" w:cs="宋体"/>
          <w:spacing w:val="-2"/>
          <w:sz w:val="24"/>
          <w:szCs w:val="24"/>
          <w:u w:val="single" w:color="auto"/>
        </w:rPr>
        <w:t>10</w:t>
      </w:r>
      <w:r>
        <w:rPr>
          <w:rFonts w:ascii="宋体" w:hAnsi="宋体" w:eastAsia="宋体" w:cs="宋体"/>
          <w:spacing w:val="-2"/>
          <w:sz w:val="24"/>
          <w:szCs w:val="24"/>
        </w:rPr>
        <w:t>%；但应满足下列条件：</w:t>
      </w:r>
    </w:p>
    <w:p w14:paraId="7CEE8E6D">
      <w:pPr>
        <w:spacing w:before="136" w:line="360" w:lineRule="auto"/>
        <w:ind w:left="8" w:right="18" w:firstLine="492"/>
        <w:rPr>
          <w:rFonts w:ascii="宋体" w:hAnsi="宋体" w:eastAsia="宋体" w:cs="宋体"/>
          <w:sz w:val="24"/>
          <w:szCs w:val="24"/>
        </w:rPr>
      </w:pPr>
      <w:r>
        <w:rPr>
          <w:rFonts w:ascii="宋体" w:hAnsi="宋体" w:eastAsia="宋体" w:cs="宋体"/>
          <w:sz w:val="24"/>
          <w:szCs w:val="24"/>
        </w:rPr>
        <w:t>（1）残疾人福利性单位应符合《财政部、民政部、中国残疾人联合会关于促进残疾人就</w:t>
      </w:r>
      <w:r>
        <w:rPr>
          <w:rFonts w:ascii="宋体" w:hAnsi="宋体" w:eastAsia="宋体" w:cs="宋体"/>
          <w:spacing w:val="-10"/>
          <w:sz w:val="24"/>
          <w:szCs w:val="24"/>
        </w:rPr>
        <w:t>业政府采购政策的通知》（财库[</w:t>
      </w:r>
      <w:r>
        <w:fldChar w:fldCharType="begin"/>
      </w:r>
      <w:r>
        <w:instrText xml:space="preserve"> HYPERLINK \l "bookmark21" </w:instrText>
      </w:r>
      <w:r>
        <w:fldChar w:fldCharType="separate"/>
      </w:r>
      <w:r>
        <w:rPr>
          <w:rFonts w:ascii="宋体" w:hAnsi="宋体" w:eastAsia="宋体" w:cs="宋体"/>
          <w:spacing w:val="-10"/>
          <w:sz w:val="24"/>
          <w:szCs w:val="24"/>
        </w:rPr>
        <w:t>2017</w:t>
      </w:r>
      <w:r>
        <w:rPr>
          <w:rFonts w:ascii="宋体" w:hAnsi="宋体" w:eastAsia="宋体" w:cs="宋体"/>
          <w:spacing w:val="-10"/>
          <w:sz w:val="24"/>
          <w:szCs w:val="24"/>
        </w:rPr>
        <w:fldChar w:fldCharType="end"/>
      </w:r>
      <w:r>
        <w:rPr>
          <w:rFonts w:ascii="宋体" w:hAnsi="宋体" w:eastAsia="宋体" w:cs="宋体"/>
          <w:spacing w:val="-10"/>
          <w:sz w:val="24"/>
          <w:szCs w:val="24"/>
        </w:rPr>
        <w:t>]141</w:t>
      </w:r>
      <w:r>
        <w:rPr>
          <w:rFonts w:ascii="宋体" w:hAnsi="宋体" w:eastAsia="宋体" w:cs="宋体"/>
          <w:spacing w:val="-45"/>
          <w:sz w:val="24"/>
          <w:szCs w:val="24"/>
        </w:rPr>
        <w:t xml:space="preserve"> </w:t>
      </w:r>
      <w:r>
        <w:rPr>
          <w:rFonts w:ascii="宋体" w:hAnsi="宋体" w:eastAsia="宋体" w:cs="宋体"/>
          <w:spacing w:val="-10"/>
          <w:sz w:val="24"/>
          <w:szCs w:val="24"/>
        </w:rPr>
        <w:t>号）文件规定，并提供《残疾人福利性</w:t>
      </w:r>
      <w:r>
        <w:rPr>
          <w:rFonts w:ascii="宋体" w:hAnsi="宋体" w:eastAsia="宋体" w:cs="宋体"/>
          <w:spacing w:val="-11"/>
          <w:sz w:val="24"/>
          <w:szCs w:val="24"/>
        </w:rPr>
        <w:t>单位声明函》，</w:t>
      </w:r>
      <w:r>
        <w:rPr>
          <w:rFonts w:ascii="宋体" w:hAnsi="宋体" w:eastAsia="宋体" w:cs="宋体"/>
          <w:spacing w:val="-1"/>
          <w:sz w:val="24"/>
          <w:szCs w:val="24"/>
        </w:rPr>
        <w:t>并对声明的真实性负责。</w:t>
      </w:r>
    </w:p>
    <w:p w14:paraId="527C39ED">
      <w:pPr>
        <w:spacing w:before="1" w:line="360" w:lineRule="auto"/>
        <w:ind w:left="500"/>
        <w:rPr>
          <w:rFonts w:ascii="宋体" w:hAnsi="宋体" w:eastAsia="宋体" w:cs="宋体"/>
          <w:sz w:val="24"/>
          <w:szCs w:val="24"/>
        </w:rPr>
      </w:pPr>
      <w:r>
        <w:rPr>
          <w:rFonts w:ascii="宋体" w:hAnsi="宋体" w:eastAsia="宋体" w:cs="宋体"/>
          <w:spacing w:val="-1"/>
          <w:sz w:val="24"/>
          <w:szCs w:val="24"/>
        </w:rPr>
        <w:t>（2）残疾人福利性单位属于小型、微型企业的，不重复享受政策。</w:t>
      </w:r>
    </w:p>
    <w:p w14:paraId="7CF6CAA0">
      <w:pPr>
        <w:spacing w:before="135" w:line="360" w:lineRule="auto"/>
        <w:ind w:left="8" w:right="26" w:firstLine="481"/>
        <w:rPr>
          <w:rFonts w:ascii="宋体" w:hAnsi="宋体" w:eastAsia="宋体" w:cs="宋体"/>
          <w:sz w:val="24"/>
          <w:szCs w:val="24"/>
        </w:rPr>
      </w:pPr>
      <w:r>
        <w:rPr>
          <w:rFonts w:ascii="宋体" w:hAnsi="宋体" w:eastAsia="宋体" w:cs="宋体"/>
          <w:b/>
          <w:bCs/>
          <w:sz w:val="24"/>
          <w:szCs w:val="24"/>
        </w:rPr>
        <w:t>8.4、</w:t>
      </w:r>
      <w:r>
        <w:rPr>
          <w:rFonts w:ascii="宋体" w:hAnsi="宋体" w:eastAsia="宋体" w:cs="宋体"/>
          <w:sz w:val="24"/>
          <w:szCs w:val="24"/>
        </w:rPr>
        <w:t>接受大中型企业与小微企业组成联合体或者允许大中型企业向一家或者多家小微企</w:t>
      </w:r>
      <w:r>
        <w:rPr>
          <w:rFonts w:ascii="宋体" w:hAnsi="宋体" w:eastAsia="宋体" w:cs="宋体"/>
          <w:spacing w:val="-2"/>
          <w:sz w:val="24"/>
          <w:szCs w:val="24"/>
        </w:rPr>
        <w:t>业分包的采购项目，对于联合协议或者分包意</w:t>
      </w:r>
      <w:r>
        <w:rPr>
          <w:rFonts w:ascii="宋体" w:hAnsi="宋体" w:eastAsia="宋体" w:cs="宋体"/>
          <w:spacing w:val="-3"/>
          <w:sz w:val="24"/>
          <w:szCs w:val="24"/>
        </w:rPr>
        <w:t>向协议约定小微企业的合同份额占到合同总金额</w:t>
      </w:r>
      <w:r>
        <w:rPr>
          <w:rFonts w:ascii="宋体" w:hAnsi="宋体" w:eastAsia="宋体" w:cs="宋体"/>
          <w:spacing w:val="-1"/>
          <w:sz w:val="24"/>
          <w:szCs w:val="24"/>
        </w:rPr>
        <w:t>30%以上的，对联合体或者大中型企业的报价给予</w:t>
      </w:r>
      <w:r>
        <w:rPr>
          <w:rFonts w:ascii="宋体" w:hAnsi="宋体" w:eastAsia="宋体" w:cs="宋体"/>
          <w:spacing w:val="-52"/>
          <w:sz w:val="24"/>
          <w:szCs w:val="24"/>
        </w:rPr>
        <w:t xml:space="preserve"> </w:t>
      </w:r>
      <w:r>
        <w:rPr>
          <w:rFonts w:ascii="宋体" w:hAnsi="宋体" w:eastAsia="宋体" w:cs="宋体"/>
          <w:spacing w:val="-1"/>
          <w:sz w:val="24"/>
          <w:szCs w:val="24"/>
        </w:rPr>
        <w:t>4%～6%的扣除，本项目的</w:t>
      </w:r>
      <w:r>
        <w:rPr>
          <w:rFonts w:ascii="宋体" w:hAnsi="宋体" w:eastAsia="宋体" w:cs="宋体"/>
          <w:spacing w:val="-2"/>
          <w:sz w:val="24"/>
          <w:szCs w:val="24"/>
        </w:rPr>
        <w:t>扣除比例为：扣除</w:t>
      </w:r>
      <w:r>
        <w:rPr>
          <w:rFonts w:ascii="宋体" w:hAnsi="宋体" w:eastAsia="宋体" w:cs="宋体"/>
          <w:spacing w:val="-1"/>
          <w:sz w:val="24"/>
          <w:szCs w:val="24"/>
        </w:rPr>
        <w:t>4%；组成联合体或者接受分包的小微企业与联合体内其他企业、分包企业之</w:t>
      </w:r>
      <w:r>
        <w:rPr>
          <w:rFonts w:ascii="宋体" w:hAnsi="宋体" w:eastAsia="宋体" w:cs="宋体"/>
          <w:spacing w:val="-2"/>
          <w:sz w:val="24"/>
          <w:szCs w:val="24"/>
        </w:rPr>
        <w:t>间存在直接控股、管理关系的，不享受价格扣除优惠政策。享</w:t>
      </w:r>
      <w:r>
        <w:rPr>
          <w:rFonts w:ascii="宋体" w:hAnsi="宋体" w:eastAsia="宋体" w:cs="宋体"/>
          <w:spacing w:val="-3"/>
          <w:sz w:val="24"/>
          <w:szCs w:val="24"/>
        </w:rPr>
        <w:t>受扶持政策获得政府采购合同的，小微企业不得将</w:t>
      </w:r>
      <w:r>
        <w:rPr>
          <w:rFonts w:ascii="宋体" w:hAnsi="宋体" w:eastAsia="宋体" w:cs="宋体"/>
          <w:spacing w:val="-1"/>
          <w:sz w:val="24"/>
          <w:szCs w:val="24"/>
        </w:rPr>
        <w:t>合同分包给大中型企业，中型企业不得将合同分包给大型企业。</w:t>
      </w:r>
    </w:p>
    <w:p w14:paraId="28A613E9">
      <w:pPr>
        <w:spacing w:before="1" w:line="360" w:lineRule="auto"/>
        <w:ind w:left="9" w:right="120" w:firstLine="480"/>
        <w:rPr>
          <w:rFonts w:ascii="宋体" w:hAnsi="宋体" w:eastAsia="宋体" w:cs="宋体"/>
          <w:sz w:val="24"/>
          <w:szCs w:val="24"/>
        </w:rPr>
      </w:pPr>
      <w:r>
        <w:rPr>
          <w:rFonts w:ascii="宋体" w:hAnsi="宋体" w:eastAsia="宋体" w:cs="宋体"/>
          <w:b/>
          <w:bCs/>
          <w:spacing w:val="-1"/>
          <w:sz w:val="24"/>
          <w:szCs w:val="24"/>
        </w:rPr>
        <w:t>8.5、</w:t>
      </w:r>
      <w:r>
        <w:rPr>
          <w:rFonts w:ascii="宋体" w:hAnsi="宋体" w:eastAsia="宋体" w:cs="宋体"/>
          <w:spacing w:val="-1"/>
          <w:sz w:val="24"/>
          <w:szCs w:val="24"/>
        </w:rPr>
        <w:t>采购人拟采购产品属于优先采购节能、环境标志产品范围的，应当优先采购节能、</w:t>
      </w:r>
      <w:r>
        <w:rPr>
          <w:rFonts w:ascii="宋体" w:hAnsi="宋体" w:eastAsia="宋体" w:cs="宋体"/>
          <w:sz w:val="24"/>
          <w:szCs w:val="24"/>
        </w:rPr>
        <w:t>环境标志产品；拟采购产品符合政府采购强制采购</w:t>
      </w:r>
      <w:r>
        <w:rPr>
          <w:rFonts w:ascii="宋体" w:hAnsi="宋体" w:eastAsia="宋体" w:cs="宋体"/>
          <w:spacing w:val="-1"/>
          <w:sz w:val="24"/>
          <w:szCs w:val="24"/>
        </w:rPr>
        <w:t>政策的，实行强制采购。</w:t>
      </w:r>
    </w:p>
    <w:p w14:paraId="290C4F0B">
      <w:pPr>
        <w:spacing w:line="360" w:lineRule="auto"/>
        <w:ind w:left="8" w:right="82" w:firstLine="492"/>
        <w:rPr>
          <w:rFonts w:ascii="宋体" w:hAnsi="宋体" w:eastAsia="宋体" w:cs="宋体"/>
          <w:sz w:val="24"/>
          <w:szCs w:val="24"/>
        </w:rPr>
      </w:pPr>
      <w:r>
        <w:rPr>
          <w:rFonts w:ascii="宋体" w:hAnsi="宋体" w:eastAsia="宋体" w:cs="宋体"/>
          <w:sz w:val="24"/>
          <w:szCs w:val="24"/>
        </w:rPr>
        <w:t>（1）采购人依据节能产品、环境标志产品品目清单和节能、环境标志产品认证证书实施</w:t>
      </w:r>
      <w:r>
        <w:rPr>
          <w:rFonts w:ascii="宋体" w:hAnsi="宋体" w:eastAsia="宋体" w:cs="宋体"/>
          <w:spacing w:val="-1"/>
          <w:sz w:val="24"/>
          <w:szCs w:val="24"/>
        </w:rPr>
        <w:t>政府优先采购和强制采购。</w:t>
      </w:r>
    </w:p>
    <w:p w14:paraId="4ACD6853">
      <w:pPr>
        <w:spacing w:before="2" w:line="360" w:lineRule="auto"/>
        <w:ind w:left="32" w:right="80" w:firstLine="467"/>
        <w:rPr>
          <w:rFonts w:ascii="宋体" w:hAnsi="宋体" w:eastAsia="宋体" w:cs="宋体"/>
          <w:sz w:val="24"/>
          <w:szCs w:val="24"/>
        </w:rPr>
      </w:pPr>
      <w:r>
        <w:rPr>
          <w:rFonts w:ascii="宋体" w:hAnsi="宋体" w:eastAsia="宋体" w:cs="宋体"/>
          <w:sz w:val="24"/>
          <w:szCs w:val="24"/>
        </w:rPr>
        <w:t>（2）采购人拟采购的产品属于品目清单范围的，采购人及其委托的采购代理机构将依据</w:t>
      </w:r>
      <w:r>
        <w:rPr>
          <w:rFonts w:ascii="宋体" w:hAnsi="宋体" w:eastAsia="宋体" w:cs="宋体"/>
          <w:spacing w:val="-3"/>
          <w:sz w:val="24"/>
          <w:szCs w:val="24"/>
        </w:rPr>
        <w:t>国家确定的认证机构出具的、处于有效期之内的节能、环境标志产品认证证书，对</w:t>
      </w:r>
      <w:r>
        <w:rPr>
          <w:rFonts w:ascii="宋体" w:hAnsi="宋体" w:eastAsia="宋体" w:cs="宋体"/>
          <w:spacing w:val="-4"/>
          <w:sz w:val="24"/>
          <w:szCs w:val="24"/>
        </w:rPr>
        <w:t>获得证书的</w:t>
      </w:r>
      <w:r>
        <w:rPr>
          <w:rFonts w:ascii="宋体" w:hAnsi="宋体" w:eastAsia="宋体" w:cs="宋体"/>
          <w:spacing w:val="-1"/>
          <w:sz w:val="24"/>
          <w:szCs w:val="24"/>
        </w:rPr>
        <w:t>产品实施政府优先采购或强制采购。</w:t>
      </w:r>
    </w:p>
    <w:p w14:paraId="3CAABA26">
      <w:pPr>
        <w:spacing w:before="135" w:line="360" w:lineRule="auto"/>
        <w:ind w:left="14" w:firstLine="476"/>
        <w:rPr>
          <w:rFonts w:ascii="宋体" w:hAnsi="宋体" w:eastAsia="宋体" w:cs="宋体"/>
          <w:sz w:val="24"/>
          <w:szCs w:val="24"/>
        </w:rPr>
      </w:pPr>
      <w:r>
        <w:rPr>
          <w:rFonts w:ascii="宋体" w:hAnsi="宋体" w:eastAsia="宋体" w:cs="宋体"/>
          <w:b/>
          <w:bCs/>
          <w:sz w:val="24"/>
          <w:szCs w:val="24"/>
        </w:rPr>
        <w:t>8.6、</w:t>
      </w:r>
      <w:r>
        <w:rPr>
          <w:rFonts w:ascii="宋体" w:hAnsi="宋体" w:eastAsia="宋体" w:cs="宋体"/>
          <w:sz w:val="24"/>
          <w:szCs w:val="24"/>
        </w:rPr>
        <w:t>供应商享受支持中小型企业发展政策优惠的，可以同时享受节能、环境标志产品优</w:t>
      </w:r>
      <w:r>
        <w:rPr>
          <w:rFonts w:ascii="宋体" w:hAnsi="宋体" w:eastAsia="宋体" w:cs="宋体"/>
          <w:spacing w:val="-3"/>
          <w:sz w:val="24"/>
          <w:szCs w:val="24"/>
        </w:rPr>
        <w:t>先采购政策。</w:t>
      </w:r>
    </w:p>
    <w:p w14:paraId="4B9B0777">
      <w:pPr>
        <w:spacing w:line="360" w:lineRule="auto"/>
        <w:rPr>
          <w:rFonts w:ascii="宋体" w:hAnsi="宋体" w:eastAsia="宋体" w:cs="宋体"/>
          <w:sz w:val="24"/>
          <w:szCs w:val="24"/>
        </w:rPr>
        <w:sectPr>
          <w:headerReference r:id="rId15" w:type="default"/>
          <w:footerReference r:id="rId16" w:type="default"/>
          <w:pgSz w:w="11906" w:h="16839"/>
          <w:pgMar w:top="1166" w:right="1079" w:bottom="1166" w:left="1080" w:header="829" w:footer="952" w:gutter="0"/>
          <w:cols w:space="720" w:num="1"/>
        </w:sectPr>
      </w:pPr>
    </w:p>
    <w:p w14:paraId="1ABF8E0A">
      <w:pPr>
        <w:pStyle w:val="4"/>
        <w:spacing w:line="360" w:lineRule="auto"/>
      </w:pPr>
    </w:p>
    <w:p w14:paraId="23744F26">
      <w:pPr>
        <w:spacing w:before="78" w:line="360" w:lineRule="auto"/>
        <w:ind w:left="109"/>
        <w:rPr>
          <w:rFonts w:ascii="宋体" w:hAnsi="宋体" w:eastAsia="宋体" w:cs="宋体"/>
          <w:sz w:val="24"/>
          <w:szCs w:val="24"/>
        </w:rPr>
      </w:pPr>
      <w:r>
        <w:rPr>
          <w:rFonts w:ascii="宋体" w:hAnsi="宋体" w:eastAsia="宋体" w:cs="宋体"/>
          <w:b/>
          <w:bCs/>
          <w:spacing w:val="-17"/>
          <w:sz w:val="24"/>
          <w:szCs w:val="24"/>
        </w:rPr>
        <w:t>附件</w:t>
      </w:r>
      <w:r>
        <w:rPr>
          <w:rFonts w:ascii="宋体" w:hAnsi="宋体" w:eastAsia="宋体" w:cs="宋体"/>
          <w:spacing w:val="-32"/>
          <w:sz w:val="24"/>
          <w:szCs w:val="24"/>
        </w:rPr>
        <w:t xml:space="preserve"> </w:t>
      </w:r>
      <w:r>
        <w:rPr>
          <w:rFonts w:ascii="宋体" w:hAnsi="宋体" w:eastAsia="宋体" w:cs="宋体"/>
          <w:b/>
          <w:bCs/>
          <w:spacing w:val="-17"/>
          <w:sz w:val="24"/>
          <w:szCs w:val="24"/>
        </w:rPr>
        <w:t>1：</w:t>
      </w:r>
    </w:p>
    <w:p w14:paraId="477ECCBC">
      <w:pPr>
        <w:spacing w:before="176" w:line="360" w:lineRule="auto"/>
        <w:ind w:left="4356"/>
        <w:rPr>
          <w:rFonts w:ascii="宋体" w:hAnsi="宋体" w:eastAsia="宋体" w:cs="宋体"/>
          <w:color w:val="auto"/>
          <w:sz w:val="32"/>
          <w:szCs w:val="32"/>
          <w:highlight w:val="none"/>
        </w:rPr>
      </w:pPr>
      <w:r>
        <w:rPr>
          <w:rFonts w:ascii="宋体" w:hAnsi="宋体" w:eastAsia="宋体" w:cs="宋体"/>
          <w:b/>
          <w:bCs/>
          <w:color w:val="auto"/>
          <w:spacing w:val="8"/>
          <w:sz w:val="32"/>
          <w:szCs w:val="32"/>
          <w:highlight w:val="none"/>
        </w:rPr>
        <w:t>资格审查表</w:t>
      </w:r>
    </w:p>
    <w:tbl>
      <w:tblPr>
        <w:tblStyle w:val="12"/>
        <w:tblW w:w="943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8"/>
        <w:gridCol w:w="8341"/>
      </w:tblGrid>
      <w:tr w14:paraId="1182A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098" w:type="dxa"/>
          </w:tcPr>
          <w:p w14:paraId="6681214F">
            <w:pPr>
              <w:pStyle w:val="13"/>
              <w:spacing w:before="225" w:line="360" w:lineRule="auto"/>
              <w:ind w:left="386"/>
              <w:rPr>
                <w:b/>
                <w:bCs/>
                <w:color w:val="auto"/>
                <w:highlight w:val="none"/>
              </w:rPr>
            </w:pPr>
            <w:r>
              <w:rPr>
                <w:b/>
                <w:bCs/>
                <w:color w:val="auto"/>
                <w:spacing w:val="8"/>
                <w:highlight w:val="none"/>
              </w:rPr>
              <w:t>序号</w:t>
            </w:r>
          </w:p>
        </w:tc>
        <w:tc>
          <w:tcPr>
            <w:tcW w:w="8341" w:type="dxa"/>
          </w:tcPr>
          <w:p w14:paraId="02E7CBD0">
            <w:pPr>
              <w:pStyle w:val="13"/>
              <w:spacing w:before="223" w:line="360" w:lineRule="auto"/>
              <w:ind w:left="4074"/>
              <w:rPr>
                <w:b/>
                <w:bCs/>
                <w:color w:val="auto"/>
                <w:highlight w:val="none"/>
              </w:rPr>
            </w:pPr>
            <w:r>
              <w:rPr>
                <w:b/>
                <w:bCs/>
                <w:color w:val="auto"/>
                <w:spacing w:val="8"/>
                <w:highlight w:val="none"/>
              </w:rPr>
              <w:t>审查内容</w:t>
            </w:r>
          </w:p>
        </w:tc>
      </w:tr>
      <w:tr w14:paraId="15D1D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4" w:hRule="atLeast"/>
          <w:jc w:val="center"/>
        </w:trPr>
        <w:tc>
          <w:tcPr>
            <w:tcW w:w="1098" w:type="dxa"/>
            <w:vAlign w:val="center"/>
          </w:tcPr>
          <w:p w14:paraId="5BEFCC0E">
            <w:pPr>
              <w:pStyle w:val="13"/>
              <w:spacing w:before="231" w:line="360" w:lineRule="auto"/>
              <w:jc w:val="center"/>
              <w:rPr>
                <w:color w:val="auto"/>
                <w:position w:val="1"/>
                <w:highlight w:val="none"/>
              </w:rPr>
            </w:pPr>
            <w:r>
              <w:rPr>
                <w:color w:val="auto"/>
                <w:position w:val="1"/>
                <w:highlight w:val="none"/>
              </w:rPr>
              <w:t>1</w:t>
            </w:r>
          </w:p>
        </w:tc>
        <w:tc>
          <w:tcPr>
            <w:tcW w:w="8341" w:type="dxa"/>
          </w:tcPr>
          <w:p w14:paraId="19741838">
            <w:pPr>
              <w:pStyle w:val="13"/>
              <w:spacing w:before="231" w:line="360" w:lineRule="auto"/>
              <w:rPr>
                <w:color w:val="auto"/>
                <w:position w:val="1"/>
                <w:highlight w:val="none"/>
                <w:lang w:eastAsia="zh-CN"/>
              </w:rPr>
            </w:pPr>
            <w:r>
              <w:rPr>
                <w:rFonts w:hint="eastAsia"/>
                <w:color w:val="auto"/>
                <w:position w:val="1"/>
                <w:highlight w:val="none"/>
                <w:lang w:eastAsia="zh-CN"/>
              </w:rPr>
              <w:t>供应商为具有独立承担民事责任能力的法人、其他组织或自然人并出具合法有效的营业执照或事业单位法人证书等国家规定的相关证明，自然人参与的提供其身份证明。</w:t>
            </w:r>
          </w:p>
        </w:tc>
      </w:tr>
      <w:tr w14:paraId="5C1E2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5" w:hRule="atLeast"/>
          <w:jc w:val="center"/>
        </w:trPr>
        <w:tc>
          <w:tcPr>
            <w:tcW w:w="1098" w:type="dxa"/>
            <w:vAlign w:val="center"/>
          </w:tcPr>
          <w:p w14:paraId="2EE78866">
            <w:pPr>
              <w:pStyle w:val="13"/>
              <w:spacing w:before="231" w:line="360" w:lineRule="auto"/>
              <w:jc w:val="center"/>
              <w:rPr>
                <w:color w:val="auto"/>
                <w:position w:val="1"/>
                <w:highlight w:val="none"/>
              </w:rPr>
            </w:pPr>
            <w:r>
              <w:rPr>
                <w:color w:val="auto"/>
                <w:position w:val="1"/>
                <w:highlight w:val="none"/>
              </w:rPr>
              <w:t>2</w:t>
            </w:r>
          </w:p>
        </w:tc>
        <w:tc>
          <w:tcPr>
            <w:tcW w:w="8341" w:type="dxa"/>
          </w:tcPr>
          <w:p w14:paraId="03688760">
            <w:pPr>
              <w:pStyle w:val="13"/>
              <w:spacing w:before="231" w:line="360" w:lineRule="auto"/>
              <w:rPr>
                <w:color w:val="auto"/>
                <w:position w:val="1"/>
                <w:highlight w:val="none"/>
                <w:lang w:eastAsia="zh-CN"/>
              </w:rPr>
            </w:pPr>
            <w:r>
              <w:rPr>
                <w:rFonts w:hint="eastAsia"/>
                <w:color w:val="auto"/>
                <w:position w:val="1"/>
                <w:highlight w:val="none"/>
                <w:lang w:eastAsia="zh-CN"/>
              </w:rPr>
              <w:t>财务状况报告：提供2024年财务审计报告（成立时间至开标时间不足一年的可提供成立后任意时段的资产负债表），或提供基本存款账户信息及开标日期前三个月内其基本存款账户开户银行出具的资信证明，或财政部门认可的政府采购专业担保机构出具的投标担保函。</w:t>
            </w:r>
          </w:p>
        </w:tc>
      </w:tr>
      <w:tr w14:paraId="08284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0" w:hRule="atLeast"/>
          <w:jc w:val="center"/>
        </w:trPr>
        <w:tc>
          <w:tcPr>
            <w:tcW w:w="1098" w:type="dxa"/>
            <w:vAlign w:val="center"/>
          </w:tcPr>
          <w:p w14:paraId="0C623AD1">
            <w:pPr>
              <w:pStyle w:val="13"/>
              <w:spacing w:before="231" w:line="360" w:lineRule="auto"/>
              <w:jc w:val="center"/>
              <w:rPr>
                <w:color w:val="auto"/>
                <w:position w:val="1"/>
                <w:highlight w:val="none"/>
              </w:rPr>
            </w:pPr>
            <w:r>
              <w:rPr>
                <w:color w:val="auto"/>
                <w:position w:val="1"/>
                <w:highlight w:val="none"/>
              </w:rPr>
              <w:t>3</w:t>
            </w:r>
          </w:p>
        </w:tc>
        <w:tc>
          <w:tcPr>
            <w:tcW w:w="8341" w:type="dxa"/>
          </w:tcPr>
          <w:p w14:paraId="2F77208B">
            <w:pPr>
              <w:pStyle w:val="13"/>
              <w:spacing w:before="231" w:line="360" w:lineRule="auto"/>
              <w:rPr>
                <w:color w:val="auto"/>
                <w:position w:val="1"/>
                <w:highlight w:val="none"/>
                <w:lang w:eastAsia="zh-CN"/>
              </w:rPr>
            </w:pPr>
            <w:r>
              <w:rPr>
                <w:rFonts w:hint="eastAsia"/>
                <w:color w:val="auto"/>
                <w:position w:val="1"/>
                <w:highlight w:val="none"/>
                <w:lang w:eastAsia="zh-CN"/>
              </w:rPr>
              <w:t>税收缴纳证明：提供响应文件截止时间一年内至少一个月的依法缴纳税收的相关凭据（时间以税款所属日期为准、税种须至少包含增值税或企业所得税）。依法免税或无须缴纳税收的投标人，应提供相应证明文件。</w:t>
            </w:r>
          </w:p>
        </w:tc>
      </w:tr>
      <w:tr w14:paraId="3BFF7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9" w:hRule="atLeast"/>
          <w:jc w:val="center"/>
        </w:trPr>
        <w:tc>
          <w:tcPr>
            <w:tcW w:w="1098" w:type="dxa"/>
            <w:vAlign w:val="center"/>
          </w:tcPr>
          <w:p w14:paraId="0D046E69">
            <w:pPr>
              <w:pStyle w:val="13"/>
              <w:spacing w:before="231" w:line="360" w:lineRule="auto"/>
              <w:jc w:val="center"/>
              <w:rPr>
                <w:color w:val="auto"/>
                <w:position w:val="1"/>
                <w:highlight w:val="none"/>
              </w:rPr>
            </w:pPr>
            <w:r>
              <w:rPr>
                <w:color w:val="auto"/>
                <w:position w:val="1"/>
                <w:highlight w:val="none"/>
              </w:rPr>
              <w:t>4</w:t>
            </w:r>
          </w:p>
        </w:tc>
        <w:tc>
          <w:tcPr>
            <w:tcW w:w="8341" w:type="dxa"/>
          </w:tcPr>
          <w:p w14:paraId="7E0C6159">
            <w:pPr>
              <w:pStyle w:val="13"/>
              <w:spacing w:before="231" w:line="360" w:lineRule="auto"/>
              <w:rPr>
                <w:color w:val="auto"/>
                <w:position w:val="1"/>
                <w:highlight w:val="none"/>
                <w:lang w:eastAsia="zh-CN"/>
              </w:rPr>
            </w:pPr>
            <w:r>
              <w:rPr>
                <w:rFonts w:hint="eastAsia"/>
                <w:color w:val="auto"/>
                <w:position w:val="1"/>
                <w:highlight w:val="none"/>
                <w:lang w:eastAsia="zh-CN"/>
              </w:rPr>
              <w:t>社会保障资金缴纳证明：提供响应文件截止时间一年内至少一个月的社会保障资金缴存单据或社保机构开具的社会保险参保缴费情况证明。依法不需要缴纳社会保障资金的投标供应商，应提供相关证明。</w:t>
            </w:r>
          </w:p>
        </w:tc>
      </w:tr>
      <w:tr w14:paraId="652CB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1098" w:type="dxa"/>
            <w:vAlign w:val="center"/>
          </w:tcPr>
          <w:p w14:paraId="538A2605">
            <w:pPr>
              <w:pStyle w:val="13"/>
              <w:spacing w:before="231" w:line="360" w:lineRule="auto"/>
              <w:jc w:val="center"/>
              <w:rPr>
                <w:color w:val="auto"/>
                <w:position w:val="1"/>
                <w:highlight w:val="none"/>
              </w:rPr>
            </w:pPr>
            <w:r>
              <w:rPr>
                <w:color w:val="auto"/>
                <w:position w:val="1"/>
                <w:highlight w:val="none"/>
              </w:rPr>
              <w:t>5</w:t>
            </w:r>
          </w:p>
        </w:tc>
        <w:tc>
          <w:tcPr>
            <w:tcW w:w="8341" w:type="dxa"/>
          </w:tcPr>
          <w:p w14:paraId="75E17404">
            <w:pPr>
              <w:pStyle w:val="13"/>
              <w:spacing w:before="231" w:line="360" w:lineRule="auto"/>
              <w:rPr>
                <w:color w:val="auto"/>
                <w:position w:val="1"/>
                <w:highlight w:val="none"/>
                <w:lang w:eastAsia="zh-CN"/>
              </w:rPr>
            </w:pPr>
            <w:r>
              <w:rPr>
                <w:rFonts w:hint="eastAsia"/>
                <w:color w:val="auto"/>
                <w:position w:val="1"/>
                <w:highlight w:val="none"/>
                <w:lang w:eastAsia="zh-CN"/>
              </w:rPr>
              <w:t>提供具有履行本合同所必需的设备和专业技术能力的声明。</w:t>
            </w:r>
          </w:p>
        </w:tc>
      </w:tr>
      <w:tr w14:paraId="4AFFC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1098" w:type="dxa"/>
            <w:vAlign w:val="center"/>
          </w:tcPr>
          <w:p w14:paraId="7F1037D0">
            <w:pPr>
              <w:pStyle w:val="13"/>
              <w:spacing w:before="231" w:line="360" w:lineRule="auto"/>
              <w:jc w:val="center"/>
              <w:rPr>
                <w:color w:val="auto"/>
                <w:position w:val="1"/>
                <w:highlight w:val="none"/>
              </w:rPr>
            </w:pPr>
            <w:r>
              <w:rPr>
                <w:color w:val="auto"/>
                <w:position w:val="1"/>
                <w:highlight w:val="none"/>
              </w:rPr>
              <w:t>6</w:t>
            </w:r>
          </w:p>
        </w:tc>
        <w:tc>
          <w:tcPr>
            <w:tcW w:w="8341" w:type="dxa"/>
          </w:tcPr>
          <w:p w14:paraId="2C3A1336">
            <w:pPr>
              <w:pStyle w:val="13"/>
              <w:spacing w:before="231" w:line="360" w:lineRule="auto"/>
              <w:rPr>
                <w:color w:val="auto"/>
                <w:position w:val="1"/>
                <w:highlight w:val="none"/>
                <w:lang w:eastAsia="zh-CN"/>
              </w:rPr>
            </w:pPr>
            <w:r>
              <w:rPr>
                <w:rFonts w:hint="eastAsia"/>
                <w:color w:val="auto"/>
                <w:position w:val="1"/>
                <w:highlight w:val="none"/>
                <w:lang w:eastAsia="zh-CN"/>
              </w:rPr>
              <w:t>法定代表人授权书及被授权人身份证(法定代表人直接参加投标，须提交其身份证复印件及法定代表人身份证明)，非法人单位参照执行。</w:t>
            </w:r>
          </w:p>
        </w:tc>
      </w:tr>
      <w:tr w14:paraId="0083D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 w:hRule="atLeast"/>
          <w:jc w:val="center"/>
        </w:trPr>
        <w:tc>
          <w:tcPr>
            <w:tcW w:w="1098" w:type="dxa"/>
            <w:vAlign w:val="center"/>
          </w:tcPr>
          <w:p w14:paraId="50937B0B">
            <w:pPr>
              <w:pStyle w:val="13"/>
              <w:spacing w:before="231" w:line="360" w:lineRule="auto"/>
              <w:jc w:val="center"/>
              <w:rPr>
                <w:color w:val="auto"/>
                <w:position w:val="1"/>
                <w:highlight w:val="none"/>
              </w:rPr>
            </w:pPr>
            <w:r>
              <w:rPr>
                <w:color w:val="auto"/>
                <w:position w:val="1"/>
                <w:highlight w:val="none"/>
              </w:rPr>
              <w:t>7</w:t>
            </w:r>
          </w:p>
        </w:tc>
        <w:tc>
          <w:tcPr>
            <w:tcW w:w="8341" w:type="dxa"/>
          </w:tcPr>
          <w:p w14:paraId="44E42C4A">
            <w:pPr>
              <w:pStyle w:val="13"/>
              <w:spacing w:before="231" w:line="360" w:lineRule="auto"/>
              <w:rPr>
                <w:color w:val="auto"/>
                <w:position w:val="1"/>
                <w:highlight w:val="none"/>
                <w:lang w:eastAsia="zh-CN"/>
              </w:rPr>
            </w:pPr>
            <w:r>
              <w:rPr>
                <w:rFonts w:hint="eastAsia"/>
                <w:color w:val="auto"/>
                <w:position w:val="1"/>
                <w:highlight w:val="none"/>
                <w:lang w:eastAsia="zh-CN"/>
              </w:rPr>
              <w:t>提供参加本次政府采购活动前三年内在经营活动中没有重大违法记录的书面声明（提供声明书）。</w:t>
            </w:r>
          </w:p>
        </w:tc>
      </w:tr>
      <w:tr w14:paraId="21DA1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jc w:val="center"/>
        </w:trPr>
        <w:tc>
          <w:tcPr>
            <w:tcW w:w="1098" w:type="dxa"/>
            <w:vAlign w:val="center"/>
          </w:tcPr>
          <w:p w14:paraId="5DE1409D">
            <w:pPr>
              <w:pStyle w:val="13"/>
              <w:spacing w:before="231" w:line="360" w:lineRule="auto"/>
              <w:jc w:val="center"/>
              <w:rPr>
                <w:color w:val="auto"/>
                <w:position w:val="1"/>
                <w:highlight w:val="none"/>
                <w:lang w:eastAsia="zh-CN"/>
              </w:rPr>
            </w:pPr>
            <w:r>
              <w:rPr>
                <w:rFonts w:hint="eastAsia"/>
                <w:color w:val="auto"/>
                <w:position w:val="1"/>
                <w:highlight w:val="none"/>
                <w:lang w:eastAsia="zh-CN"/>
              </w:rPr>
              <w:t>8</w:t>
            </w:r>
          </w:p>
        </w:tc>
        <w:tc>
          <w:tcPr>
            <w:tcW w:w="8341" w:type="dxa"/>
          </w:tcPr>
          <w:p w14:paraId="2578AEE4">
            <w:pPr>
              <w:pStyle w:val="13"/>
              <w:spacing w:before="231" w:line="360" w:lineRule="auto"/>
              <w:rPr>
                <w:color w:val="auto"/>
                <w:position w:val="1"/>
                <w:highlight w:val="none"/>
                <w:lang w:eastAsia="zh-CN"/>
              </w:rPr>
            </w:pPr>
            <w:r>
              <w:rPr>
                <w:rFonts w:hint="eastAsia"/>
                <w:color w:val="auto"/>
                <w:position w:val="1"/>
                <w:highlight w:val="none"/>
                <w:lang w:eastAsia="zh-CN"/>
              </w:rPr>
              <w:t>信用查询：未被“信用中国” 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rFonts w:hint="eastAsia"/>
                <w:color w:val="auto"/>
                <w:position w:val="1"/>
                <w:highlight w:val="none"/>
                <w:lang w:eastAsia="zh-CN"/>
              </w:rPr>
              <w:t>www.creditchina.gov.cn</w:t>
            </w:r>
            <w:r>
              <w:rPr>
                <w:rFonts w:hint="eastAsia"/>
                <w:color w:val="auto"/>
                <w:position w:val="1"/>
                <w:highlight w:val="none"/>
                <w:lang w:eastAsia="zh-CN"/>
              </w:rPr>
              <w:fldChar w:fldCharType="end"/>
            </w:r>
            <w:r>
              <w:rPr>
                <w:rFonts w:hint="eastAsia"/>
                <w:color w:val="auto"/>
                <w:position w:val="1"/>
                <w:highlight w:val="none"/>
                <w:lang w:eastAsia="zh-CN"/>
              </w:rPr>
              <w:t>）列入重大税收违法失信主体；不得被“中国执行信息公开网”（zxgk.court.gov.cn）列入失信被执行人名单；不得被“中国政府采购网”（</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rFonts w:hint="eastAsia"/>
                <w:color w:val="auto"/>
                <w:position w:val="1"/>
                <w:highlight w:val="none"/>
                <w:lang w:eastAsia="zh-CN"/>
              </w:rPr>
              <w:t>www.ccgp.gov.cn</w:t>
            </w:r>
            <w:r>
              <w:rPr>
                <w:rFonts w:hint="eastAsia"/>
                <w:color w:val="auto"/>
                <w:position w:val="1"/>
                <w:highlight w:val="none"/>
                <w:lang w:eastAsia="zh-CN"/>
              </w:rPr>
              <w:fldChar w:fldCharType="end"/>
            </w:r>
            <w:r>
              <w:rPr>
                <w:rFonts w:hint="eastAsia"/>
                <w:color w:val="auto"/>
                <w:position w:val="1"/>
                <w:highlight w:val="none"/>
                <w:lang w:eastAsia="zh-CN"/>
              </w:rPr>
              <w:t>）列入政府采购严重违法失信行为记录名单（采购代理机构查询，采购代理机构查询时限为响应文件递交截止之日）。</w:t>
            </w:r>
          </w:p>
        </w:tc>
      </w:tr>
      <w:tr w14:paraId="2DAE2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jc w:val="center"/>
        </w:trPr>
        <w:tc>
          <w:tcPr>
            <w:tcW w:w="1098" w:type="dxa"/>
          </w:tcPr>
          <w:p w14:paraId="5884B953">
            <w:pPr>
              <w:pStyle w:val="13"/>
              <w:spacing w:before="231" w:line="360" w:lineRule="auto"/>
              <w:jc w:val="center"/>
              <w:rPr>
                <w:rFonts w:hint="default"/>
                <w:color w:val="auto"/>
                <w:position w:val="1"/>
                <w:highlight w:val="none"/>
                <w:lang w:val="en-US" w:eastAsia="zh-CN"/>
              </w:rPr>
            </w:pPr>
            <w:r>
              <w:rPr>
                <w:rFonts w:hint="eastAsia"/>
                <w:color w:val="auto"/>
                <w:position w:val="1"/>
                <w:highlight w:val="none"/>
                <w:lang w:val="en-US" w:eastAsia="zh-CN"/>
              </w:rPr>
              <w:t>9</w:t>
            </w:r>
          </w:p>
        </w:tc>
        <w:tc>
          <w:tcPr>
            <w:tcW w:w="8341" w:type="dxa"/>
          </w:tcPr>
          <w:p w14:paraId="1B8289EE">
            <w:pPr>
              <w:pStyle w:val="13"/>
              <w:spacing w:before="231" w:line="360" w:lineRule="auto"/>
              <w:rPr>
                <w:rFonts w:hint="eastAsia"/>
                <w:color w:val="auto"/>
                <w:position w:val="1"/>
                <w:highlight w:val="none"/>
                <w:lang w:eastAsia="zh-CN"/>
              </w:rPr>
            </w:pPr>
            <w:r>
              <w:rPr>
                <w:rFonts w:hint="eastAsia" w:cs="宋体"/>
                <w:color w:val="auto"/>
                <w:position w:val="1"/>
                <w:sz w:val="24"/>
                <w:szCs w:val="24"/>
                <w:highlight w:val="yellow"/>
                <w:lang w:eastAsia="zh-CN"/>
              </w:rPr>
              <w:t>供应商应具备检验检测机构资质认定证书（CMA证书）</w:t>
            </w:r>
            <w:r>
              <w:rPr>
                <w:rFonts w:hint="eastAsia" w:ascii="宋体" w:hAnsi="宋体" w:eastAsia="宋体" w:cs="宋体"/>
                <w:color w:val="auto"/>
                <w:position w:val="1"/>
                <w:sz w:val="24"/>
                <w:szCs w:val="24"/>
                <w:highlight w:val="yellow"/>
                <w:lang w:eastAsia="zh-CN"/>
              </w:rPr>
              <w:t>。</w:t>
            </w:r>
          </w:p>
        </w:tc>
      </w:tr>
      <w:tr w14:paraId="1CA30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jc w:val="center"/>
        </w:trPr>
        <w:tc>
          <w:tcPr>
            <w:tcW w:w="1098" w:type="dxa"/>
          </w:tcPr>
          <w:p w14:paraId="46976284">
            <w:pPr>
              <w:pStyle w:val="13"/>
              <w:spacing w:before="231" w:line="360" w:lineRule="auto"/>
              <w:jc w:val="center"/>
              <w:rPr>
                <w:rFonts w:hint="default"/>
                <w:color w:val="auto"/>
                <w:position w:val="1"/>
                <w:highlight w:val="none"/>
                <w:lang w:val="en-US" w:eastAsia="zh-CN"/>
              </w:rPr>
            </w:pPr>
            <w:r>
              <w:rPr>
                <w:rFonts w:hint="eastAsia"/>
                <w:color w:val="auto"/>
                <w:position w:val="1"/>
                <w:highlight w:val="none"/>
                <w:lang w:val="en-US" w:eastAsia="zh-CN"/>
              </w:rPr>
              <w:t>10</w:t>
            </w:r>
          </w:p>
        </w:tc>
        <w:tc>
          <w:tcPr>
            <w:tcW w:w="8341" w:type="dxa"/>
          </w:tcPr>
          <w:p w14:paraId="38AB3F2A">
            <w:pPr>
              <w:pStyle w:val="13"/>
              <w:spacing w:before="231" w:line="360" w:lineRule="auto"/>
              <w:rPr>
                <w:color w:val="auto"/>
                <w:position w:val="1"/>
                <w:highlight w:val="none"/>
                <w:lang w:eastAsia="zh-CN"/>
              </w:rPr>
            </w:pPr>
            <w:r>
              <w:rPr>
                <w:rFonts w:hint="eastAsia"/>
                <w:color w:val="auto"/>
                <w:position w:val="1"/>
                <w:highlight w:val="none"/>
                <w:lang w:eastAsia="zh-CN"/>
              </w:rPr>
              <w:t>本项目不接受联合体投标。</w:t>
            </w:r>
          </w:p>
        </w:tc>
      </w:tr>
      <w:tr w14:paraId="4C3D9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4" w:hRule="atLeast"/>
          <w:jc w:val="center"/>
        </w:trPr>
        <w:tc>
          <w:tcPr>
            <w:tcW w:w="9439" w:type="dxa"/>
            <w:gridSpan w:val="2"/>
          </w:tcPr>
          <w:p w14:paraId="3540FB57">
            <w:pPr>
              <w:pStyle w:val="13"/>
              <w:spacing w:before="169" w:line="360" w:lineRule="auto"/>
              <w:ind w:left="224"/>
              <w:rPr>
                <w:color w:val="auto"/>
                <w:highlight w:val="none"/>
                <w:lang w:eastAsia="zh-CN"/>
              </w:rPr>
            </w:pPr>
            <w:r>
              <w:rPr>
                <w:b/>
                <w:bCs/>
                <w:color w:val="auto"/>
                <w:spacing w:val="9"/>
                <w:highlight w:val="none"/>
                <w:lang w:eastAsia="zh-CN"/>
              </w:rPr>
              <w:t>注意事项</w:t>
            </w:r>
            <w:r>
              <w:rPr>
                <w:color w:val="auto"/>
                <w:spacing w:val="-47"/>
                <w:highlight w:val="none"/>
                <w:lang w:eastAsia="zh-CN"/>
              </w:rPr>
              <w:t xml:space="preserve"> </w:t>
            </w:r>
            <w:r>
              <w:rPr>
                <w:b/>
                <w:bCs/>
                <w:color w:val="auto"/>
                <w:spacing w:val="9"/>
                <w:highlight w:val="none"/>
                <w:lang w:eastAsia="zh-CN"/>
              </w:rPr>
              <w:t>:</w:t>
            </w:r>
          </w:p>
          <w:p w14:paraId="18F717B1">
            <w:pPr>
              <w:pStyle w:val="13"/>
              <w:spacing w:before="131" w:line="360" w:lineRule="auto"/>
              <w:ind w:left="123" w:right="119" w:firstLine="29"/>
              <w:rPr>
                <w:color w:val="auto"/>
                <w:highlight w:val="none"/>
                <w:lang w:eastAsia="zh-CN"/>
              </w:rPr>
            </w:pPr>
            <w:r>
              <w:rPr>
                <w:color w:val="auto"/>
                <w:spacing w:val="14"/>
                <w:highlight w:val="none"/>
                <w:lang w:eastAsia="zh-CN"/>
              </w:rPr>
              <w:t>1．除银行、保险、石油石化、电力、电信行业外，其他行业分支机构在参与投标时，须同时提供分支机构</w:t>
            </w:r>
            <w:r>
              <w:rPr>
                <w:color w:val="auto"/>
                <w:spacing w:val="17"/>
                <w:highlight w:val="none"/>
                <w:lang w:eastAsia="zh-CN"/>
              </w:rPr>
              <w:t>主体资格证明文件和总公司（总所）出具的授权书，总公司（总所）只能授权一家分支机构。经总公司（总</w:t>
            </w:r>
            <w:r>
              <w:rPr>
                <w:color w:val="auto"/>
                <w:spacing w:val="18"/>
                <w:highlight w:val="none"/>
                <w:lang w:eastAsia="zh-CN"/>
              </w:rPr>
              <w:t>所）授权后，总公司（总所）取得的相关资质证书对分支机构</w:t>
            </w:r>
            <w:r>
              <w:rPr>
                <w:color w:val="auto"/>
                <w:spacing w:val="17"/>
                <w:highlight w:val="none"/>
                <w:lang w:eastAsia="zh-CN"/>
              </w:rPr>
              <w:t>有效（法律法规或行业另有规定的除外）。</w:t>
            </w:r>
          </w:p>
          <w:p w14:paraId="5A54A808">
            <w:pPr>
              <w:pStyle w:val="13"/>
              <w:spacing w:before="144" w:line="360" w:lineRule="auto"/>
              <w:ind w:left="120" w:right="119" w:firstLine="8"/>
              <w:rPr>
                <w:color w:val="auto"/>
                <w:highlight w:val="none"/>
                <w:lang w:eastAsia="zh-CN"/>
              </w:rPr>
            </w:pPr>
            <w:r>
              <w:rPr>
                <w:color w:val="auto"/>
                <w:spacing w:val="17"/>
                <w:highlight w:val="none"/>
                <w:lang w:eastAsia="zh-CN"/>
              </w:rPr>
              <w:t>2．事业单位参与投标时，可不提供财务状况报告、社会保障资金和税收缴纳证明；依法免税或不需要缴纳社会保障资金的供应商，应提供相应证明文件，证明其依法免税或不需要缴纳社会保障资金；自然人（仅限中国公民）参与投标时，只须提供身份证复印件。</w:t>
            </w:r>
          </w:p>
          <w:p w14:paraId="7CBF26BA">
            <w:pPr>
              <w:pStyle w:val="13"/>
              <w:spacing w:before="140" w:line="360" w:lineRule="auto"/>
              <w:ind w:left="120" w:right="62" w:firstLine="9"/>
              <w:rPr>
                <w:color w:val="auto"/>
                <w:highlight w:val="none"/>
                <w:lang w:eastAsia="zh-CN"/>
              </w:rPr>
            </w:pPr>
            <w:r>
              <w:rPr>
                <w:color w:val="auto"/>
                <w:spacing w:val="13"/>
                <w:highlight w:val="none"/>
                <w:lang w:eastAsia="zh-CN"/>
              </w:rPr>
              <w:t>3.按照财政部《关于在政府采购活动中查询及使用信用记录有关问题的通知》（财库〔2016〕125</w:t>
            </w:r>
            <w:r>
              <w:rPr>
                <w:color w:val="auto"/>
                <w:spacing w:val="12"/>
                <w:highlight w:val="none"/>
                <w:lang w:eastAsia="zh-CN"/>
              </w:rPr>
              <w:t>号）要求，</w:t>
            </w:r>
            <w:r>
              <w:rPr>
                <w:color w:val="auto"/>
                <w:spacing w:val="20"/>
                <w:highlight w:val="none"/>
                <w:lang w:eastAsia="zh-CN"/>
              </w:rPr>
              <w:t>在资格审查阶段，采购人将对投标供应商的信用记录进行核查，出现招标文件第二章中“关于信用记录的查</w:t>
            </w:r>
            <w:r>
              <w:rPr>
                <w:color w:val="auto"/>
                <w:spacing w:val="15"/>
                <w:highlight w:val="none"/>
                <w:lang w:eastAsia="zh-CN"/>
              </w:rPr>
              <w:t>询和使用”所列失信行为的，将拒绝其参与政府采购活动。</w:t>
            </w:r>
          </w:p>
        </w:tc>
      </w:tr>
    </w:tbl>
    <w:p w14:paraId="09BCEEFB">
      <w:pPr>
        <w:pStyle w:val="4"/>
        <w:spacing w:line="360" w:lineRule="auto"/>
      </w:pPr>
    </w:p>
    <w:p w14:paraId="355C91F2">
      <w:pPr>
        <w:spacing w:line="360" w:lineRule="auto"/>
        <w:sectPr>
          <w:headerReference r:id="rId17" w:type="default"/>
          <w:footerReference r:id="rId18" w:type="default"/>
          <w:pgSz w:w="11906" w:h="16839"/>
          <w:pgMar w:top="1166" w:right="999" w:bottom="1166" w:left="998" w:header="829" w:footer="952" w:gutter="0"/>
          <w:cols w:space="720" w:num="1"/>
        </w:sectPr>
      </w:pPr>
    </w:p>
    <w:p w14:paraId="5410A2A2">
      <w:pPr>
        <w:pStyle w:val="4"/>
        <w:spacing w:line="360" w:lineRule="auto"/>
      </w:pPr>
    </w:p>
    <w:p w14:paraId="2DA8EF8E">
      <w:pPr>
        <w:spacing w:before="78" w:line="360" w:lineRule="auto"/>
        <w:ind w:left="28"/>
        <w:rPr>
          <w:rFonts w:ascii="宋体" w:hAnsi="宋体" w:eastAsia="宋体" w:cs="宋体"/>
          <w:sz w:val="24"/>
          <w:szCs w:val="24"/>
        </w:rPr>
      </w:pPr>
      <w:r>
        <w:rPr>
          <w:rFonts w:ascii="宋体" w:hAnsi="宋体" w:eastAsia="宋体" w:cs="宋体"/>
          <w:b/>
          <w:bCs/>
          <w:spacing w:val="-13"/>
          <w:sz w:val="24"/>
          <w:szCs w:val="24"/>
        </w:rPr>
        <w:t>附件</w:t>
      </w:r>
      <w:r>
        <w:rPr>
          <w:rFonts w:ascii="宋体" w:hAnsi="宋体" w:eastAsia="宋体" w:cs="宋体"/>
          <w:spacing w:val="-48"/>
          <w:sz w:val="24"/>
          <w:szCs w:val="24"/>
        </w:rPr>
        <w:t xml:space="preserve"> </w:t>
      </w:r>
      <w:r>
        <w:rPr>
          <w:rFonts w:ascii="宋体" w:hAnsi="宋体" w:eastAsia="宋体" w:cs="宋体"/>
          <w:b/>
          <w:bCs/>
          <w:spacing w:val="-13"/>
          <w:sz w:val="24"/>
          <w:szCs w:val="24"/>
        </w:rPr>
        <w:t>2：</w:t>
      </w:r>
    </w:p>
    <w:p w14:paraId="4BE5C290">
      <w:pPr>
        <w:spacing w:before="44" w:line="360" w:lineRule="auto"/>
        <w:ind w:left="3912"/>
        <w:rPr>
          <w:rFonts w:ascii="宋体" w:hAnsi="宋体" w:eastAsia="宋体" w:cs="宋体"/>
          <w:sz w:val="24"/>
          <w:szCs w:val="24"/>
        </w:rPr>
      </w:pPr>
      <w:r>
        <w:rPr>
          <w:rFonts w:ascii="宋体" w:hAnsi="宋体" w:eastAsia="宋体" w:cs="宋体"/>
          <w:b/>
          <w:bCs/>
          <w:spacing w:val="-3"/>
          <w:sz w:val="24"/>
          <w:szCs w:val="24"/>
        </w:rPr>
        <w:t>【符合性审查表】</w:t>
      </w:r>
    </w:p>
    <w:tbl>
      <w:tblPr>
        <w:tblStyle w:val="12"/>
        <w:tblW w:w="9242" w:type="dxa"/>
        <w:tblInd w:w="25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1"/>
        <w:gridCol w:w="1903"/>
        <w:gridCol w:w="6598"/>
      </w:tblGrid>
      <w:tr w14:paraId="4A61C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41" w:type="dxa"/>
            <w:tcBorders>
              <w:top w:val="single" w:color="000000" w:sz="10" w:space="0"/>
              <w:left w:val="single" w:color="000000" w:sz="10" w:space="0"/>
            </w:tcBorders>
            <w:vAlign w:val="top"/>
          </w:tcPr>
          <w:p w14:paraId="24A1F0A6">
            <w:pPr>
              <w:pStyle w:val="13"/>
              <w:spacing w:before="150" w:line="360" w:lineRule="auto"/>
              <w:ind w:left="121"/>
            </w:pPr>
            <w:r>
              <w:rPr>
                <w:b/>
                <w:bCs/>
                <w:spacing w:val="-7"/>
              </w:rPr>
              <w:t>序号</w:t>
            </w:r>
          </w:p>
        </w:tc>
        <w:tc>
          <w:tcPr>
            <w:tcW w:w="1903" w:type="dxa"/>
            <w:tcBorders>
              <w:top w:val="single" w:color="000000" w:sz="10" w:space="0"/>
            </w:tcBorders>
            <w:vAlign w:val="top"/>
          </w:tcPr>
          <w:p w14:paraId="24B6431F">
            <w:pPr>
              <w:pStyle w:val="13"/>
              <w:spacing w:before="152" w:line="360" w:lineRule="auto"/>
              <w:ind w:left="228"/>
            </w:pPr>
            <w:r>
              <w:rPr>
                <w:b/>
                <w:bCs/>
                <w:spacing w:val="-4"/>
              </w:rPr>
              <w:t>符合性审查项</w:t>
            </w:r>
          </w:p>
        </w:tc>
        <w:tc>
          <w:tcPr>
            <w:tcW w:w="6598" w:type="dxa"/>
            <w:tcBorders>
              <w:top w:val="single" w:color="000000" w:sz="10" w:space="0"/>
              <w:right w:val="single" w:color="000000" w:sz="10" w:space="0"/>
            </w:tcBorders>
            <w:vAlign w:val="top"/>
          </w:tcPr>
          <w:p w14:paraId="10C32C4A">
            <w:pPr>
              <w:pStyle w:val="13"/>
              <w:spacing w:before="152" w:line="360" w:lineRule="auto"/>
              <w:ind w:left="2821"/>
            </w:pPr>
            <w:r>
              <w:rPr>
                <w:b/>
                <w:bCs/>
                <w:spacing w:val="-5"/>
              </w:rPr>
              <w:t>通过条件</w:t>
            </w:r>
          </w:p>
        </w:tc>
      </w:tr>
      <w:tr w14:paraId="22BC2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741" w:type="dxa"/>
            <w:tcBorders>
              <w:left w:val="single" w:color="000000" w:sz="10" w:space="0"/>
            </w:tcBorders>
            <w:vAlign w:val="top"/>
          </w:tcPr>
          <w:p w14:paraId="34E2BC98">
            <w:pPr>
              <w:spacing w:line="360" w:lineRule="auto"/>
              <w:rPr>
                <w:rFonts w:ascii="Arial"/>
                <w:sz w:val="21"/>
              </w:rPr>
            </w:pPr>
          </w:p>
          <w:p w14:paraId="0289788A">
            <w:pPr>
              <w:pStyle w:val="13"/>
              <w:spacing w:before="78" w:line="360" w:lineRule="auto"/>
              <w:ind w:left="303"/>
            </w:pPr>
            <w:r>
              <w:t>1</w:t>
            </w:r>
          </w:p>
        </w:tc>
        <w:tc>
          <w:tcPr>
            <w:tcW w:w="1903" w:type="dxa"/>
            <w:vAlign w:val="top"/>
          </w:tcPr>
          <w:p w14:paraId="652CD438">
            <w:pPr>
              <w:pStyle w:val="13"/>
              <w:spacing w:before="318" w:line="360" w:lineRule="auto"/>
              <w:ind w:left="116"/>
            </w:pPr>
            <w:r>
              <w:rPr>
                <w:spacing w:val="-3"/>
              </w:rPr>
              <w:t>与项目的一致性</w:t>
            </w:r>
          </w:p>
        </w:tc>
        <w:tc>
          <w:tcPr>
            <w:tcW w:w="6598" w:type="dxa"/>
            <w:tcBorders>
              <w:right w:val="single" w:color="000000" w:sz="10" w:space="0"/>
            </w:tcBorders>
            <w:vAlign w:val="top"/>
          </w:tcPr>
          <w:p w14:paraId="6DE78658">
            <w:pPr>
              <w:pStyle w:val="13"/>
              <w:spacing w:before="318" w:line="360" w:lineRule="auto"/>
              <w:ind w:left="109"/>
            </w:pPr>
            <w:r>
              <w:rPr>
                <w:spacing w:val="-1"/>
              </w:rPr>
              <w:t>供应商名称是否与营业执照、资质证书一致</w:t>
            </w:r>
          </w:p>
        </w:tc>
      </w:tr>
      <w:tr w14:paraId="6F472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1" w:hRule="atLeast"/>
        </w:trPr>
        <w:tc>
          <w:tcPr>
            <w:tcW w:w="741" w:type="dxa"/>
            <w:tcBorders>
              <w:left w:val="single" w:color="000000" w:sz="10" w:space="0"/>
            </w:tcBorders>
            <w:vAlign w:val="top"/>
          </w:tcPr>
          <w:p w14:paraId="60F5BD0F">
            <w:pPr>
              <w:spacing w:line="360" w:lineRule="auto"/>
              <w:rPr>
                <w:rFonts w:ascii="Arial"/>
                <w:sz w:val="21"/>
              </w:rPr>
            </w:pPr>
          </w:p>
          <w:p w14:paraId="628AB58A">
            <w:pPr>
              <w:spacing w:line="360" w:lineRule="auto"/>
              <w:rPr>
                <w:rFonts w:ascii="Arial"/>
                <w:sz w:val="21"/>
              </w:rPr>
            </w:pPr>
          </w:p>
          <w:p w14:paraId="1BA73AF8">
            <w:pPr>
              <w:spacing w:line="360" w:lineRule="auto"/>
              <w:rPr>
                <w:rFonts w:ascii="Arial"/>
                <w:sz w:val="21"/>
              </w:rPr>
            </w:pPr>
          </w:p>
          <w:p w14:paraId="3840EE82">
            <w:pPr>
              <w:spacing w:line="360" w:lineRule="auto"/>
              <w:rPr>
                <w:rFonts w:ascii="Arial"/>
                <w:sz w:val="21"/>
              </w:rPr>
            </w:pPr>
          </w:p>
          <w:p w14:paraId="6AB19504">
            <w:pPr>
              <w:spacing w:line="360" w:lineRule="auto"/>
              <w:rPr>
                <w:rFonts w:ascii="Arial"/>
                <w:sz w:val="21"/>
              </w:rPr>
            </w:pPr>
          </w:p>
          <w:p w14:paraId="1FC44BCB">
            <w:pPr>
              <w:spacing w:line="360" w:lineRule="auto"/>
              <w:rPr>
                <w:rFonts w:ascii="Arial"/>
                <w:sz w:val="21"/>
              </w:rPr>
            </w:pPr>
          </w:p>
          <w:p w14:paraId="49A8BCF6">
            <w:pPr>
              <w:spacing w:line="360" w:lineRule="auto"/>
              <w:rPr>
                <w:rFonts w:ascii="Arial"/>
                <w:sz w:val="21"/>
              </w:rPr>
            </w:pPr>
          </w:p>
          <w:p w14:paraId="37741D02">
            <w:pPr>
              <w:spacing w:line="360" w:lineRule="auto"/>
              <w:rPr>
                <w:rFonts w:ascii="Arial"/>
                <w:sz w:val="21"/>
              </w:rPr>
            </w:pPr>
          </w:p>
          <w:p w14:paraId="3892316D">
            <w:pPr>
              <w:pStyle w:val="13"/>
              <w:spacing w:before="78" w:line="360" w:lineRule="auto"/>
              <w:ind w:left="288"/>
            </w:pPr>
            <w:r>
              <w:t>2</w:t>
            </w:r>
          </w:p>
        </w:tc>
        <w:tc>
          <w:tcPr>
            <w:tcW w:w="1903" w:type="dxa"/>
            <w:vAlign w:val="top"/>
          </w:tcPr>
          <w:p w14:paraId="65B316E1">
            <w:pPr>
              <w:spacing w:line="360" w:lineRule="auto"/>
              <w:rPr>
                <w:rFonts w:ascii="Arial"/>
                <w:sz w:val="21"/>
              </w:rPr>
            </w:pPr>
          </w:p>
          <w:p w14:paraId="4B01B724">
            <w:pPr>
              <w:spacing w:line="360" w:lineRule="auto"/>
              <w:rPr>
                <w:rFonts w:ascii="Arial"/>
                <w:sz w:val="21"/>
              </w:rPr>
            </w:pPr>
          </w:p>
          <w:p w14:paraId="76DD031D">
            <w:pPr>
              <w:spacing w:line="360" w:lineRule="auto"/>
              <w:rPr>
                <w:rFonts w:ascii="Arial"/>
                <w:sz w:val="21"/>
              </w:rPr>
            </w:pPr>
          </w:p>
          <w:p w14:paraId="7F037BEC">
            <w:pPr>
              <w:spacing w:line="360" w:lineRule="auto"/>
              <w:rPr>
                <w:rFonts w:ascii="Arial"/>
                <w:sz w:val="21"/>
              </w:rPr>
            </w:pPr>
          </w:p>
          <w:p w14:paraId="4F820146">
            <w:pPr>
              <w:spacing w:line="360" w:lineRule="auto"/>
              <w:rPr>
                <w:rFonts w:ascii="Arial"/>
                <w:sz w:val="21"/>
              </w:rPr>
            </w:pPr>
          </w:p>
          <w:p w14:paraId="577578B0">
            <w:pPr>
              <w:spacing w:line="360" w:lineRule="auto"/>
              <w:rPr>
                <w:rFonts w:ascii="Arial"/>
                <w:sz w:val="21"/>
              </w:rPr>
            </w:pPr>
          </w:p>
          <w:p w14:paraId="37334C2C">
            <w:pPr>
              <w:spacing w:line="360" w:lineRule="auto"/>
              <w:rPr>
                <w:rFonts w:ascii="Arial"/>
                <w:sz w:val="21"/>
              </w:rPr>
            </w:pPr>
          </w:p>
          <w:p w14:paraId="25DFCDC0">
            <w:pPr>
              <w:pStyle w:val="13"/>
              <w:spacing w:before="78" w:line="360" w:lineRule="auto"/>
              <w:ind w:left="473" w:right="115" w:hanging="359"/>
            </w:pPr>
            <w:r>
              <w:rPr>
                <w:spacing w:val="-2"/>
              </w:rPr>
              <w:t>竞争性磋商响应</w:t>
            </w:r>
            <w:r>
              <w:rPr>
                <w:spacing w:val="-3"/>
              </w:rPr>
              <w:t>文件组成</w:t>
            </w:r>
          </w:p>
        </w:tc>
        <w:tc>
          <w:tcPr>
            <w:tcW w:w="6598" w:type="dxa"/>
            <w:tcBorders>
              <w:right w:val="single" w:color="000000" w:sz="10" w:space="0"/>
            </w:tcBorders>
            <w:vAlign w:val="top"/>
          </w:tcPr>
          <w:p w14:paraId="28261A0F">
            <w:pPr>
              <w:pStyle w:val="13"/>
              <w:spacing w:before="146" w:line="360" w:lineRule="auto"/>
              <w:ind w:left="112"/>
            </w:pPr>
            <w:r>
              <w:rPr>
                <w:spacing w:val="-1"/>
              </w:rPr>
              <w:t>竞争性磋商响应文件应包含以下部分：</w:t>
            </w:r>
          </w:p>
          <w:p w14:paraId="1E8E749C">
            <w:pPr>
              <w:pStyle w:val="13"/>
              <w:spacing w:before="156" w:line="360" w:lineRule="auto"/>
              <w:ind w:left="109"/>
            </w:pPr>
            <w:r>
              <w:rPr>
                <w:spacing w:val="-5"/>
              </w:rPr>
              <w:t>第一部分</w:t>
            </w:r>
            <w:r>
              <w:rPr>
                <w:spacing w:val="12"/>
              </w:rPr>
              <w:t xml:space="preserve">  </w:t>
            </w:r>
            <w:r>
              <w:rPr>
                <w:spacing w:val="-5"/>
              </w:rPr>
              <w:t>响应函</w:t>
            </w:r>
          </w:p>
          <w:p w14:paraId="50736452">
            <w:pPr>
              <w:pStyle w:val="13"/>
              <w:spacing w:before="153" w:line="360" w:lineRule="auto"/>
              <w:ind w:left="109"/>
            </w:pPr>
            <w:r>
              <w:rPr>
                <w:spacing w:val="-1"/>
              </w:rPr>
              <w:t>第二部分  第一次磋商报价表</w:t>
            </w:r>
          </w:p>
          <w:p w14:paraId="6EF6FB7F">
            <w:pPr>
              <w:pStyle w:val="13"/>
              <w:spacing w:before="155" w:line="360" w:lineRule="auto"/>
              <w:ind w:left="109"/>
            </w:pPr>
            <w:r>
              <w:rPr>
                <w:spacing w:val="-1"/>
              </w:rPr>
              <w:t>第三部分  分项报价表</w:t>
            </w:r>
          </w:p>
          <w:p w14:paraId="25368170">
            <w:pPr>
              <w:pStyle w:val="13"/>
              <w:spacing w:before="159" w:line="360" w:lineRule="auto"/>
              <w:ind w:left="109"/>
            </w:pPr>
            <w:r>
              <w:rPr>
                <w:spacing w:val="-2"/>
              </w:rPr>
              <w:t>第四部分  偏离表</w:t>
            </w:r>
          </w:p>
          <w:p w14:paraId="12E996B5">
            <w:pPr>
              <w:pStyle w:val="13"/>
              <w:spacing w:before="154" w:line="360" w:lineRule="auto"/>
              <w:ind w:left="109"/>
            </w:pPr>
            <w:r>
              <w:rPr>
                <w:spacing w:val="-1"/>
              </w:rPr>
              <w:t>第五部分  磋商方案</w:t>
            </w:r>
          </w:p>
          <w:p w14:paraId="6BD8B60D">
            <w:pPr>
              <w:pStyle w:val="13"/>
              <w:spacing w:before="154" w:line="360" w:lineRule="auto"/>
              <w:ind w:left="109"/>
            </w:pPr>
            <w:r>
              <w:rPr>
                <w:spacing w:val="-1"/>
              </w:rPr>
              <w:t>第六部分  供应商承诺书</w:t>
            </w:r>
          </w:p>
          <w:p w14:paraId="5DCCE748">
            <w:pPr>
              <w:pStyle w:val="13"/>
              <w:spacing w:before="157" w:line="360" w:lineRule="auto"/>
              <w:ind w:left="109"/>
            </w:pPr>
            <w:r>
              <w:rPr>
                <w:spacing w:val="-1"/>
              </w:rPr>
              <w:t>第七部分  供应商资质证明文件</w:t>
            </w:r>
          </w:p>
          <w:p w14:paraId="2A4DF2A0">
            <w:pPr>
              <w:pStyle w:val="13"/>
              <w:spacing w:before="154" w:line="360" w:lineRule="auto"/>
              <w:ind w:left="109"/>
            </w:pPr>
            <w:r>
              <w:rPr>
                <w:spacing w:val="-1"/>
              </w:rPr>
              <w:t>第八部分  政府采购政策证明材料</w:t>
            </w:r>
          </w:p>
          <w:p w14:paraId="0205C299">
            <w:pPr>
              <w:pStyle w:val="13"/>
              <w:spacing w:before="155" w:line="360" w:lineRule="auto"/>
              <w:ind w:left="109"/>
            </w:pPr>
            <w:r>
              <w:rPr>
                <w:spacing w:val="-1"/>
              </w:rPr>
              <w:t>第九部分  其他资料</w:t>
            </w:r>
          </w:p>
        </w:tc>
      </w:tr>
      <w:tr w14:paraId="1EEF8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741" w:type="dxa"/>
            <w:tcBorders>
              <w:left w:val="single" w:color="000000" w:sz="10" w:space="0"/>
            </w:tcBorders>
            <w:vAlign w:val="top"/>
          </w:tcPr>
          <w:p w14:paraId="1B9EBDD4">
            <w:pPr>
              <w:pStyle w:val="13"/>
              <w:spacing w:before="156" w:line="360" w:lineRule="auto"/>
              <w:ind w:left="290"/>
            </w:pPr>
            <w:r>
              <w:t>3</w:t>
            </w:r>
          </w:p>
        </w:tc>
        <w:tc>
          <w:tcPr>
            <w:tcW w:w="1903" w:type="dxa"/>
            <w:vAlign w:val="top"/>
          </w:tcPr>
          <w:p w14:paraId="51D045C4">
            <w:pPr>
              <w:pStyle w:val="13"/>
              <w:spacing w:before="156" w:line="360" w:lineRule="auto"/>
              <w:ind w:left="123"/>
            </w:pPr>
            <w:r>
              <w:rPr>
                <w:spacing w:val="-4"/>
              </w:rPr>
              <w:t>响应签字、盖章</w:t>
            </w:r>
          </w:p>
        </w:tc>
        <w:tc>
          <w:tcPr>
            <w:tcW w:w="6598" w:type="dxa"/>
            <w:tcBorders>
              <w:right w:val="single" w:color="000000" w:sz="10" w:space="0"/>
            </w:tcBorders>
            <w:vAlign w:val="top"/>
          </w:tcPr>
          <w:p w14:paraId="58879625">
            <w:pPr>
              <w:pStyle w:val="13"/>
              <w:spacing w:before="156" w:line="360" w:lineRule="auto"/>
              <w:ind w:left="109"/>
            </w:pPr>
            <w:r>
              <w:rPr>
                <w:spacing w:val="-1"/>
              </w:rPr>
              <w:t>签字、盖章均符合竞争性磋商文件要求，且无遗漏。</w:t>
            </w:r>
          </w:p>
        </w:tc>
      </w:tr>
      <w:tr w14:paraId="5FC9A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741" w:type="dxa"/>
            <w:tcBorders>
              <w:left w:val="single" w:color="000000" w:sz="10" w:space="0"/>
            </w:tcBorders>
            <w:vAlign w:val="top"/>
          </w:tcPr>
          <w:p w14:paraId="0549F41F">
            <w:pPr>
              <w:pStyle w:val="13"/>
              <w:spacing w:before="156" w:line="360" w:lineRule="auto"/>
              <w:ind w:left="284"/>
            </w:pPr>
            <w:r>
              <w:t>4</w:t>
            </w:r>
          </w:p>
        </w:tc>
        <w:tc>
          <w:tcPr>
            <w:tcW w:w="1903" w:type="dxa"/>
            <w:vAlign w:val="top"/>
          </w:tcPr>
          <w:p w14:paraId="39FC9A20">
            <w:pPr>
              <w:pStyle w:val="13"/>
              <w:spacing w:before="156" w:line="360" w:lineRule="auto"/>
              <w:ind w:left="111"/>
            </w:pPr>
            <w:r>
              <w:rPr>
                <w:spacing w:val="-2"/>
              </w:rPr>
              <w:t>语言和计量单位</w:t>
            </w:r>
          </w:p>
        </w:tc>
        <w:tc>
          <w:tcPr>
            <w:tcW w:w="6598" w:type="dxa"/>
            <w:tcBorders>
              <w:right w:val="single" w:color="000000" w:sz="10" w:space="0"/>
            </w:tcBorders>
            <w:vAlign w:val="top"/>
          </w:tcPr>
          <w:p w14:paraId="3E19E645">
            <w:pPr>
              <w:pStyle w:val="13"/>
              <w:spacing w:before="156" w:line="360" w:lineRule="auto"/>
              <w:ind w:left="111"/>
            </w:pPr>
            <w:r>
              <w:rPr>
                <w:spacing w:val="-1"/>
              </w:rPr>
              <w:t>符合竞争性磋商文件的要求</w:t>
            </w:r>
          </w:p>
        </w:tc>
      </w:tr>
      <w:tr w14:paraId="3C781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741" w:type="dxa"/>
            <w:tcBorders>
              <w:left w:val="single" w:color="000000" w:sz="10" w:space="0"/>
            </w:tcBorders>
            <w:vAlign w:val="top"/>
          </w:tcPr>
          <w:p w14:paraId="3BE5F255">
            <w:pPr>
              <w:spacing w:line="360" w:lineRule="auto"/>
              <w:rPr>
                <w:rFonts w:ascii="Arial"/>
                <w:sz w:val="21"/>
              </w:rPr>
            </w:pPr>
          </w:p>
          <w:p w14:paraId="39DED187">
            <w:pPr>
              <w:pStyle w:val="13"/>
              <w:spacing w:before="78" w:line="360" w:lineRule="auto"/>
              <w:ind w:left="290"/>
            </w:pPr>
            <w:r>
              <w:t>5</w:t>
            </w:r>
          </w:p>
        </w:tc>
        <w:tc>
          <w:tcPr>
            <w:tcW w:w="1903" w:type="dxa"/>
            <w:vAlign w:val="top"/>
          </w:tcPr>
          <w:p w14:paraId="0512E39F">
            <w:pPr>
              <w:pStyle w:val="13"/>
              <w:spacing w:before="158" w:line="360" w:lineRule="auto"/>
              <w:ind w:left="353" w:right="115" w:hanging="239"/>
            </w:pPr>
            <w:r>
              <w:rPr>
                <w:spacing w:val="-2"/>
              </w:rPr>
              <w:t>竞争性磋商响应</w:t>
            </w:r>
            <w:r>
              <w:rPr>
                <w:spacing w:val="-3"/>
              </w:rPr>
              <w:t>文件有效期</w:t>
            </w:r>
          </w:p>
        </w:tc>
        <w:tc>
          <w:tcPr>
            <w:tcW w:w="6598" w:type="dxa"/>
            <w:tcBorders>
              <w:right w:val="single" w:color="000000" w:sz="10" w:space="0"/>
            </w:tcBorders>
            <w:vAlign w:val="top"/>
          </w:tcPr>
          <w:p w14:paraId="5A6E9514">
            <w:pPr>
              <w:spacing w:line="360" w:lineRule="auto"/>
              <w:rPr>
                <w:rFonts w:ascii="Arial"/>
                <w:sz w:val="21"/>
              </w:rPr>
            </w:pPr>
          </w:p>
          <w:p w14:paraId="116DDC35">
            <w:pPr>
              <w:pStyle w:val="13"/>
              <w:spacing w:before="78" w:line="360" w:lineRule="auto"/>
              <w:ind w:left="111"/>
            </w:pPr>
            <w:r>
              <w:rPr>
                <w:spacing w:val="-1"/>
              </w:rPr>
              <w:t>符合竞争性磋商文件的要求</w:t>
            </w:r>
          </w:p>
        </w:tc>
      </w:tr>
      <w:tr w14:paraId="27DD2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741" w:type="dxa"/>
            <w:tcBorders>
              <w:left w:val="single" w:color="000000" w:sz="10" w:space="0"/>
            </w:tcBorders>
            <w:vAlign w:val="top"/>
          </w:tcPr>
          <w:p w14:paraId="1B1F985A">
            <w:pPr>
              <w:spacing w:line="360" w:lineRule="auto"/>
              <w:rPr>
                <w:rFonts w:ascii="Arial"/>
                <w:sz w:val="21"/>
              </w:rPr>
            </w:pPr>
          </w:p>
          <w:p w14:paraId="73EC6115">
            <w:pPr>
              <w:spacing w:line="360" w:lineRule="auto"/>
              <w:rPr>
                <w:rFonts w:ascii="Arial"/>
                <w:sz w:val="21"/>
              </w:rPr>
            </w:pPr>
          </w:p>
          <w:p w14:paraId="009F2BF2">
            <w:pPr>
              <w:spacing w:line="360" w:lineRule="auto"/>
              <w:rPr>
                <w:rFonts w:ascii="Arial"/>
                <w:sz w:val="21"/>
              </w:rPr>
            </w:pPr>
          </w:p>
          <w:p w14:paraId="0819EF29">
            <w:pPr>
              <w:pStyle w:val="13"/>
              <w:spacing w:before="78" w:line="360" w:lineRule="auto"/>
              <w:ind w:left="287"/>
            </w:pPr>
            <w:r>
              <w:t>6</w:t>
            </w:r>
          </w:p>
        </w:tc>
        <w:tc>
          <w:tcPr>
            <w:tcW w:w="1903" w:type="dxa"/>
            <w:vAlign w:val="top"/>
          </w:tcPr>
          <w:p w14:paraId="4C359442">
            <w:pPr>
              <w:spacing w:line="360" w:lineRule="auto"/>
              <w:rPr>
                <w:rFonts w:ascii="Arial"/>
                <w:sz w:val="21"/>
              </w:rPr>
            </w:pPr>
          </w:p>
          <w:p w14:paraId="02A8C57F">
            <w:pPr>
              <w:spacing w:line="360" w:lineRule="auto"/>
              <w:rPr>
                <w:rFonts w:ascii="Arial"/>
                <w:sz w:val="21"/>
              </w:rPr>
            </w:pPr>
          </w:p>
          <w:p w14:paraId="02CFB97E">
            <w:pPr>
              <w:spacing w:line="360" w:lineRule="auto"/>
              <w:rPr>
                <w:rFonts w:ascii="Arial"/>
                <w:sz w:val="21"/>
              </w:rPr>
            </w:pPr>
          </w:p>
          <w:p w14:paraId="2BD07CEA">
            <w:pPr>
              <w:pStyle w:val="13"/>
              <w:spacing w:before="78" w:line="360" w:lineRule="auto"/>
              <w:ind w:left="470"/>
            </w:pPr>
            <w:r>
              <w:rPr>
                <w:spacing w:val="-3"/>
              </w:rPr>
              <w:t>磋商报价</w:t>
            </w:r>
          </w:p>
        </w:tc>
        <w:tc>
          <w:tcPr>
            <w:tcW w:w="6598" w:type="dxa"/>
            <w:tcBorders>
              <w:right w:val="single" w:color="000000" w:sz="10" w:space="0"/>
            </w:tcBorders>
            <w:vAlign w:val="top"/>
          </w:tcPr>
          <w:p w14:paraId="4E510EF7">
            <w:pPr>
              <w:pStyle w:val="13"/>
              <w:spacing w:before="159" w:line="360" w:lineRule="auto"/>
              <w:ind w:left="132"/>
            </w:pPr>
            <w:r>
              <w:rPr>
                <w:spacing w:val="-4"/>
              </w:rPr>
              <w:t>同时满足以下条款：</w:t>
            </w:r>
          </w:p>
          <w:p w14:paraId="62B702D3">
            <w:pPr>
              <w:pStyle w:val="13"/>
              <w:spacing w:before="155" w:line="360" w:lineRule="auto"/>
              <w:ind w:left="120"/>
            </w:pPr>
            <w:r>
              <w:rPr>
                <w:spacing w:val="-2"/>
              </w:rPr>
              <w:t>（1）货币单位符合竞争性磋商文件要求</w:t>
            </w:r>
          </w:p>
          <w:p w14:paraId="2DB3CB4B">
            <w:pPr>
              <w:pStyle w:val="13"/>
              <w:spacing w:before="154" w:line="360" w:lineRule="auto"/>
              <w:ind w:left="120"/>
            </w:pPr>
            <w:r>
              <w:rPr>
                <w:spacing w:val="-2"/>
              </w:rPr>
              <w:t>（2）报价符合唯一性要求</w:t>
            </w:r>
          </w:p>
          <w:p w14:paraId="0CAEED2E">
            <w:pPr>
              <w:pStyle w:val="13"/>
              <w:spacing w:before="155" w:line="360" w:lineRule="auto"/>
              <w:ind w:left="120"/>
            </w:pPr>
            <w:r>
              <w:rPr>
                <w:spacing w:val="-2"/>
              </w:rPr>
              <w:t>（3）未超出采购预算或最高限价</w:t>
            </w:r>
          </w:p>
          <w:p w14:paraId="1E9C42CA">
            <w:pPr>
              <w:pStyle w:val="13"/>
              <w:spacing w:before="159" w:line="360" w:lineRule="auto"/>
              <w:ind w:left="120"/>
            </w:pPr>
            <w:r>
              <w:rPr>
                <w:spacing w:val="-2"/>
              </w:rPr>
              <w:t>（4）符合《第一次磋商报价表》的填报要求</w:t>
            </w:r>
          </w:p>
        </w:tc>
      </w:tr>
      <w:tr w14:paraId="1345B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741" w:type="dxa"/>
            <w:tcBorders>
              <w:left w:val="single" w:color="000000" w:sz="10" w:space="0"/>
            </w:tcBorders>
            <w:vAlign w:val="top"/>
          </w:tcPr>
          <w:p w14:paraId="6DB3E1B3">
            <w:pPr>
              <w:spacing w:line="360" w:lineRule="auto"/>
              <w:rPr>
                <w:rFonts w:ascii="Arial"/>
                <w:sz w:val="21"/>
              </w:rPr>
            </w:pPr>
          </w:p>
          <w:p w14:paraId="7E22E54E">
            <w:pPr>
              <w:pStyle w:val="13"/>
              <w:spacing w:before="78" w:line="360" w:lineRule="auto"/>
              <w:ind w:left="291"/>
            </w:pPr>
            <w:r>
              <w:t>7</w:t>
            </w:r>
          </w:p>
        </w:tc>
        <w:tc>
          <w:tcPr>
            <w:tcW w:w="1903" w:type="dxa"/>
            <w:vAlign w:val="top"/>
          </w:tcPr>
          <w:p w14:paraId="69C8C6A3">
            <w:pPr>
              <w:pStyle w:val="13"/>
              <w:spacing w:before="67" w:line="360" w:lineRule="auto"/>
              <w:ind w:left="139"/>
            </w:pPr>
            <w:r>
              <w:rPr>
                <w:spacing w:val="-6"/>
              </w:rPr>
              <w:t>电子竞争性磋商</w:t>
            </w:r>
          </w:p>
          <w:p w14:paraId="01FA5CF9">
            <w:pPr>
              <w:pStyle w:val="13"/>
              <w:spacing w:before="36" w:line="360" w:lineRule="auto"/>
              <w:ind w:left="123"/>
            </w:pPr>
            <w:r>
              <w:rPr>
                <w:spacing w:val="-4"/>
              </w:rPr>
              <w:t>响应文件雷同性</w:t>
            </w:r>
          </w:p>
          <w:p w14:paraId="7669E184">
            <w:pPr>
              <w:pStyle w:val="13"/>
              <w:spacing w:before="33" w:line="360" w:lineRule="auto"/>
              <w:ind w:left="714"/>
            </w:pPr>
            <w:r>
              <w:rPr>
                <w:spacing w:val="-7"/>
              </w:rPr>
              <w:t>分析</w:t>
            </w:r>
          </w:p>
        </w:tc>
        <w:tc>
          <w:tcPr>
            <w:tcW w:w="6598" w:type="dxa"/>
            <w:tcBorders>
              <w:right w:val="single" w:color="000000" w:sz="10" w:space="0"/>
            </w:tcBorders>
            <w:vAlign w:val="top"/>
          </w:tcPr>
          <w:p w14:paraId="6BFEB649">
            <w:pPr>
              <w:pStyle w:val="13"/>
              <w:spacing w:before="227" w:line="360" w:lineRule="auto"/>
              <w:ind w:left="110" w:right="96" w:firstLine="27"/>
            </w:pPr>
            <w:r>
              <w:rPr>
                <w:spacing w:val="-6"/>
              </w:rPr>
              <w:t>电子竞争性磋商响应文件的“文件制作机器码</w:t>
            </w:r>
            <w:r>
              <w:rPr>
                <w:spacing w:val="-89"/>
              </w:rPr>
              <w:t xml:space="preserve"> </w:t>
            </w:r>
            <w:r>
              <w:rPr>
                <w:spacing w:val="-6"/>
              </w:rPr>
              <w:t>”和“文件</w:t>
            </w:r>
            <w:r>
              <w:rPr>
                <w:spacing w:val="-7"/>
              </w:rPr>
              <w:t>创建</w:t>
            </w:r>
            <w:r>
              <w:rPr>
                <w:spacing w:val="-3"/>
              </w:rPr>
              <w:t>标识码</w:t>
            </w:r>
            <w:r>
              <w:rPr>
                <w:spacing w:val="-81"/>
              </w:rPr>
              <w:t xml:space="preserve"> </w:t>
            </w:r>
            <w:r>
              <w:rPr>
                <w:spacing w:val="-3"/>
              </w:rPr>
              <w:t>”通过评标系统的雷同性分析。</w:t>
            </w:r>
          </w:p>
        </w:tc>
      </w:tr>
      <w:tr w14:paraId="5D4B6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741" w:type="dxa"/>
            <w:tcBorders>
              <w:left w:val="single" w:color="000000" w:sz="10" w:space="0"/>
            </w:tcBorders>
            <w:vAlign w:val="top"/>
          </w:tcPr>
          <w:p w14:paraId="69B53750">
            <w:pPr>
              <w:pStyle w:val="13"/>
              <w:spacing w:before="165" w:line="360" w:lineRule="auto"/>
              <w:ind w:left="286"/>
            </w:pPr>
            <w:r>
              <w:t>8</w:t>
            </w:r>
          </w:p>
        </w:tc>
        <w:tc>
          <w:tcPr>
            <w:tcW w:w="1903" w:type="dxa"/>
            <w:vAlign w:val="top"/>
          </w:tcPr>
          <w:p w14:paraId="5659D44C">
            <w:pPr>
              <w:pStyle w:val="13"/>
              <w:spacing w:before="159" w:line="360" w:lineRule="auto"/>
              <w:ind w:left="591"/>
            </w:pPr>
            <w:r>
              <w:rPr>
                <w:spacing w:val="-4"/>
              </w:rPr>
              <w:t>服务期</w:t>
            </w:r>
          </w:p>
        </w:tc>
        <w:tc>
          <w:tcPr>
            <w:tcW w:w="6598" w:type="dxa"/>
            <w:tcBorders>
              <w:right w:val="single" w:color="000000" w:sz="10" w:space="0"/>
            </w:tcBorders>
            <w:vAlign w:val="top"/>
          </w:tcPr>
          <w:p w14:paraId="45C1741B">
            <w:pPr>
              <w:pStyle w:val="13"/>
              <w:spacing w:before="159" w:line="360" w:lineRule="auto"/>
              <w:ind w:left="109"/>
            </w:pPr>
            <w:r>
              <w:rPr>
                <w:spacing w:val="-1"/>
              </w:rPr>
              <w:t>应满足竞争性磋商文件中要求的服务期。</w:t>
            </w:r>
          </w:p>
        </w:tc>
      </w:tr>
      <w:tr w14:paraId="58B57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741" w:type="dxa"/>
            <w:tcBorders>
              <w:left w:val="single" w:color="000000" w:sz="10" w:space="0"/>
            </w:tcBorders>
            <w:vAlign w:val="top"/>
          </w:tcPr>
          <w:p w14:paraId="11514AA8">
            <w:pPr>
              <w:pStyle w:val="13"/>
              <w:spacing w:before="186" w:line="360" w:lineRule="auto"/>
              <w:ind w:left="286"/>
            </w:pPr>
            <w:r>
              <w:t>9</w:t>
            </w:r>
          </w:p>
        </w:tc>
        <w:tc>
          <w:tcPr>
            <w:tcW w:w="1903" w:type="dxa"/>
            <w:vAlign w:val="top"/>
          </w:tcPr>
          <w:p w14:paraId="275B00CB">
            <w:pPr>
              <w:pStyle w:val="13"/>
              <w:spacing w:before="186" w:line="360" w:lineRule="auto"/>
              <w:ind w:left="481"/>
            </w:pPr>
            <w:r>
              <w:rPr>
                <w:spacing w:val="-5"/>
              </w:rPr>
              <w:t>响应程度</w:t>
            </w:r>
          </w:p>
        </w:tc>
        <w:tc>
          <w:tcPr>
            <w:tcW w:w="6598" w:type="dxa"/>
            <w:tcBorders>
              <w:right w:val="single" w:color="000000" w:sz="10" w:space="0"/>
            </w:tcBorders>
            <w:vAlign w:val="top"/>
          </w:tcPr>
          <w:p w14:paraId="1D030B04">
            <w:pPr>
              <w:pStyle w:val="13"/>
              <w:spacing w:before="186" w:line="360" w:lineRule="auto"/>
              <w:ind w:left="115"/>
            </w:pPr>
            <w:r>
              <w:rPr>
                <w:spacing w:val="-1"/>
              </w:rPr>
              <w:t>《第五章 采购内容及要求》中内容均不允许负偏离。</w:t>
            </w:r>
          </w:p>
        </w:tc>
      </w:tr>
      <w:tr w14:paraId="4938D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4" w:hRule="atLeast"/>
        </w:trPr>
        <w:tc>
          <w:tcPr>
            <w:tcW w:w="741" w:type="dxa"/>
            <w:tcBorders>
              <w:left w:val="single" w:color="000000" w:sz="10" w:space="0"/>
              <w:bottom w:val="single" w:color="000000" w:sz="10" w:space="0"/>
            </w:tcBorders>
            <w:vAlign w:val="top"/>
          </w:tcPr>
          <w:p w14:paraId="416473CB">
            <w:pPr>
              <w:spacing w:line="360" w:lineRule="auto"/>
              <w:rPr>
                <w:rFonts w:ascii="Arial"/>
                <w:sz w:val="21"/>
              </w:rPr>
            </w:pPr>
          </w:p>
          <w:p w14:paraId="1E318034">
            <w:pPr>
              <w:spacing w:line="360" w:lineRule="auto"/>
              <w:rPr>
                <w:rFonts w:ascii="Arial"/>
                <w:sz w:val="21"/>
              </w:rPr>
            </w:pPr>
          </w:p>
          <w:p w14:paraId="2889E16F">
            <w:pPr>
              <w:pStyle w:val="13"/>
              <w:spacing w:before="78" w:line="360" w:lineRule="auto"/>
              <w:ind w:left="334"/>
            </w:pPr>
            <w:r>
              <w:rPr>
                <w:spacing w:val="-14"/>
              </w:rPr>
              <w:t>10</w:t>
            </w:r>
          </w:p>
        </w:tc>
        <w:tc>
          <w:tcPr>
            <w:tcW w:w="1903" w:type="dxa"/>
            <w:tcBorders>
              <w:bottom w:val="single" w:color="000000" w:sz="10" w:space="0"/>
            </w:tcBorders>
            <w:vAlign w:val="top"/>
          </w:tcPr>
          <w:p w14:paraId="7B4ECF70">
            <w:pPr>
              <w:spacing w:line="360" w:lineRule="auto"/>
              <w:rPr>
                <w:rFonts w:ascii="Arial"/>
                <w:sz w:val="21"/>
              </w:rPr>
            </w:pPr>
          </w:p>
          <w:p w14:paraId="3191CA2E">
            <w:pPr>
              <w:spacing w:line="360" w:lineRule="auto"/>
              <w:rPr>
                <w:rFonts w:ascii="Arial"/>
                <w:sz w:val="21"/>
              </w:rPr>
            </w:pPr>
          </w:p>
          <w:p w14:paraId="5C8471DC">
            <w:pPr>
              <w:pStyle w:val="13"/>
              <w:spacing w:before="78" w:line="360" w:lineRule="auto"/>
              <w:ind w:left="712"/>
            </w:pPr>
            <w:r>
              <w:rPr>
                <w:spacing w:val="-6"/>
              </w:rPr>
              <w:t>其他</w:t>
            </w:r>
          </w:p>
        </w:tc>
        <w:tc>
          <w:tcPr>
            <w:tcW w:w="6598" w:type="dxa"/>
            <w:tcBorders>
              <w:bottom w:val="single" w:color="000000" w:sz="10" w:space="0"/>
              <w:right w:val="single" w:color="000000" w:sz="10" w:space="0"/>
            </w:tcBorders>
            <w:vAlign w:val="top"/>
          </w:tcPr>
          <w:p w14:paraId="6E507A26">
            <w:pPr>
              <w:pStyle w:val="13"/>
              <w:spacing w:before="167" w:line="360" w:lineRule="auto"/>
              <w:ind w:left="113" w:right="96" w:hanging="2"/>
              <w:jc w:val="both"/>
            </w:pPr>
            <w:r>
              <w:rPr>
                <w:spacing w:val="5"/>
              </w:rPr>
              <w:t>完全理解并接受法律法规和竞争性磋商文件对供应商合法经</w:t>
            </w:r>
            <w:r>
              <w:rPr>
                <w:spacing w:val="-4"/>
              </w:rPr>
              <w:t>营的各类规约和责任义务要求，没有出现法律法规或竞争性磋</w:t>
            </w:r>
            <w:r>
              <w:rPr>
                <w:spacing w:val="-2"/>
              </w:rPr>
              <w:t>商文件规定的其他无效情形。</w:t>
            </w:r>
          </w:p>
        </w:tc>
      </w:tr>
    </w:tbl>
    <w:p w14:paraId="4A6DD447">
      <w:pPr>
        <w:pStyle w:val="4"/>
        <w:spacing w:line="360" w:lineRule="auto"/>
      </w:pPr>
    </w:p>
    <w:p w14:paraId="162960F1">
      <w:pPr>
        <w:spacing w:line="360" w:lineRule="auto"/>
        <w:sectPr>
          <w:headerReference r:id="rId19" w:type="default"/>
          <w:footerReference r:id="rId20" w:type="default"/>
          <w:pgSz w:w="11906" w:h="16839"/>
          <w:pgMar w:top="1166" w:right="1080" w:bottom="1166" w:left="1080" w:header="829" w:footer="952" w:gutter="0"/>
          <w:cols w:space="720" w:num="1"/>
        </w:sectPr>
      </w:pPr>
    </w:p>
    <w:p w14:paraId="45E2C7C9">
      <w:pPr>
        <w:pStyle w:val="4"/>
        <w:spacing w:line="360" w:lineRule="auto"/>
      </w:pPr>
    </w:p>
    <w:p w14:paraId="5D323B93">
      <w:pPr>
        <w:spacing w:before="78" w:line="360" w:lineRule="auto"/>
        <w:ind w:left="323"/>
        <w:rPr>
          <w:rFonts w:ascii="宋体" w:hAnsi="宋体" w:eastAsia="宋体" w:cs="宋体"/>
          <w:sz w:val="24"/>
          <w:szCs w:val="24"/>
        </w:rPr>
      </w:pPr>
      <w:r>
        <w:rPr>
          <w:rFonts w:ascii="宋体" w:hAnsi="宋体" w:eastAsia="宋体" w:cs="宋体"/>
          <w:b/>
          <w:bCs/>
          <w:spacing w:val="-14"/>
          <w:sz w:val="24"/>
          <w:szCs w:val="24"/>
        </w:rPr>
        <w:t>附件</w:t>
      </w:r>
      <w:r>
        <w:rPr>
          <w:rFonts w:ascii="宋体" w:hAnsi="宋体" w:eastAsia="宋体" w:cs="宋体"/>
          <w:spacing w:val="-44"/>
          <w:sz w:val="24"/>
          <w:szCs w:val="24"/>
        </w:rPr>
        <w:t xml:space="preserve"> </w:t>
      </w:r>
      <w:r>
        <w:rPr>
          <w:rFonts w:ascii="宋体" w:hAnsi="宋体" w:eastAsia="宋体" w:cs="宋体"/>
          <w:b/>
          <w:bCs/>
          <w:spacing w:val="-14"/>
          <w:sz w:val="24"/>
          <w:szCs w:val="24"/>
        </w:rPr>
        <w:t>3：</w:t>
      </w:r>
    </w:p>
    <w:p w14:paraId="468E4D07">
      <w:pPr>
        <w:spacing w:before="21" w:line="360" w:lineRule="auto"/>
        <w:jc w:val="center"/>
        <w:rPr>
          <w:rFonts w:ascii="宋体" w:hAnsi="宋体" w:eastAsia="宋体" w:cs="宋体"/>
          <w:color w:val="auto"/>
          <w:sz w:val="32"/>
          <w:szCs w:val="32"/>
          <w:highlight w:val="none"/>
        </w:rPr>
      </w:pPr>
      <w:r>
        <w:rPr>
          <w:rFonts w:ascii="宋体" w:hAnsi="宋体" w:eastAsia="宋体" w:cs="宋体"/>
          <w:b/>
          <w:bCs/>
          <w:color w:val="auto"/>
          <w:spacing w:val="7"/>
          <w:sz w:val="32"/>
          <w:szCs w:val="32"/>
          <w:highlight w:val="none"/>
        </w:rPr>
        <w:t>评审要素一览表</w:t>
      </w:r>
    </w:p>
    <w:tbl>
      <w:tblPr>
        <w:tblStyle w:val="10"/>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812"/>
        <w:gridCol w:w="7750"/>
      </w:tblGrid>
      <w:tr w14:paraId="51EC2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97" w:type="dxa"/>
            <w:vAlign w:val="center"/>
          </w:tcPr>
          <w:p w14:paraId="086AAD8C">
            <w:pPr>
              <w:spacing w:line="360" w:lineRule="auto"/>
              <w:jc w:val="center"/>
              <w:rPr>
                <w:rFonts w:hint="eastAsia" w:ascii="宋体" w:hAnsi="宋体" w:eastAsia="宋体" w:cs="宋体"/>
                <w:b/>
                <w:sz w:val="22"/>
              </w:rPr>
            </w:pPr>
            <w:r>
              <w:rPr>
                <w:rFonts w:hint="eastAsia" w:ascii="宋体" w:hAnsi="宋体" w:eastAsia="宋体" w:cs="宋体"/>
                <w:b/>
                <w:sz w:val="22"/>
              </w:rPr>
              <w:t>类别</w:t>
            </w:r>
          </w:p>
        </w:tc>
        <w:tc>
          <w:tcPr>
            <w:tcW w:w="812" w:type="dxa"/>
            <w:vAlign w:val="center"/>
          </w:tcPr>
          <w:p w14:paraId="2D878C0A">
            <w:pPr>
              <w:spacing w:line="360" w:lineRule="auto"/>
              <w:jc w:val="center"/>
              <w:rPr>
                <w:rFonts w:hint="eastAsia" w:ascii="宋体" w:hAnsi="宋体" w:eastAsia="宋体" w:cs="宋体"/>
                <w:b/>
                <w:sz w:val="22"/>
              </w:rPr>
            </w:pPr>
            <w:r>
              <w:rPr>
                <w:rFonts w:hint="eastAsia" w:ascii="宋体" w:hAnsi="宋体" w:eastAsia="宋体" w:cs="宋体"/>
                <w:b/>
                <w:sz w:val="22"/>
              </w:rPr>
              <w:t>分值</w:t>
            </w:r>
          </w:p>
        </w:tc>
        <w:tc>
          <w:tcPr>
            <w:tcW w:w="7750" w:type="dxa"/>
            <w:vAlign w:val="center"/>
          </w:tcPr>
          <w:p w14:paraId="74973DD0">
            <w:pPr>
              <w:spacing w:line="360" w:lineRule="auto"/>
              <w:jc w:val="center"/>
              <w:rPr>
                <w:rFonts w:hint="eastAsia" w:ascii="宋体" w:hAnsi="宋体" w:eastAsia="宋体" w:cs="宋体"/>
                <w:b/>
                <w:sz w:val="22"/>
              </w:rPr>
            </w:pPr>
            <w:r>
              <w:rPr>
                <w:rFonts w:hint="eastAsia" w:ascii="宋体" w:hAnsi="宋体" w:eastAsia="宋体" w:cs="宋体"/>
                <w:b/>
                <w:sz w:val="22"/>
              </w:rPr>
              <w:t>评审因素</w:t>
            </w:r>
          </w:p>
        </w:tc>
      </w:tr>
      <w:tr w14:paraId="68206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97" w:type="dxa"/>
            <w:vAlign w:val="center"/>
          </w:tcPr>
          <w:p w14:paraId="50A48242">
            <w:pPr>
              <w:keepNext w:val="0"/>
              <w:keepLines w:val="0"/>
              <w:pageBreakBefore w:val="0"/>
              <w:widowControl w:val="0"/>
              <w:kinsoku/>
              <w:wordWrap/>
              <w:overflowPunct/>
              <w:topLinePunct w:val="0"/>
              <w:autoSpaceDE/>
              <w:autoSpaceDN/>
              <w:bidi w:val="0"/>
              <w:adjustRightInd/>
              <w:snapToGrid/>
              <w:spacing w:line="360" w:lineRule="auto"/>
              <w:ind w:left="-105" w:leftChars="-50" w:right="-105" w:rightChars="-50"/>
              <w:jc w:val="center"/>
              <w:textAlignment w:val="auto"/>
              <w:rPr>
                <w:rFonts w:hint="eastAsia" w:ascii="宋体" w:hAnsi="宋体" w:eastAsia="宋体" w:cs="宋体"/>
                <w:b/>
                <w:sz w:val="22"/>
              </w:rPr>
            </w:pPr>
            <w:r>
              <w:rPr>
                <w:rFonts w:hint="eastAsia" w:ascii="宋体" w:hAnsi="宋体" w:eastAsia="宋体" w:cs="宋体"/>
                <w:b/>
                <w:sz w:val="22"/>
                <w:lang w:eastAsia="zh-CN"/>
              </w:rPr>
              <w:t>投标</w:t>
            </w:r>
            <w:r>
              <w:rPr>
                <w:rFonts w:hint="eastAsia" w:ascii="宋体" w:hAnsi="宋体" w:eastAsia="宋体" w:cs="宋体"/>
                <w:b/>
                <w:sz w:val="22"/>
              </w:rPr>
              <w:t>报价</w:t>
            </w:r>
          </w:p>
          <w:p w14:paraId="5EE03CB5">
            <w:pPr>
              <w:keepNext w:val="0"/>
              <w:keepLines w:val="0"/>
              <w:pageBreakBefore w:val="0"/>
              <w:widowControl w:val="0"/>
              <w:kinsoku/>
              <w:wordWrap/>
              <w:overflowPunct/>
              <w:topLinePunct w:val="0"/>
              <w:autoSpaceDE/>
              <w:autoSpaceDN/>
              <w:bidi w:val="0"/>
              <w:adjustRightInd/>
              <w:snapToGrid/>
              <w:spacing w:line="360" w:lineRule="auto"/>
              <w:ind w:left="-105" w:leftChars="-50" w:right="-105" w:rightChars="-50"/>
              <w:jc w:val="center"/>
              <w:textAlignment w:val="auto"/>
              <w:rPr>
                <w:rFonts w:hint="eastAsia" w:ascii="宋体" w:hAnsi="宋体" w:eastAsia="宋体" w:cs="宋体"/>
                <w:b/>
                <w:sz w:val="22"/>
              </w:rPr>
            </w:pPr>
            <w:r>
              <w:rPr>
                <w:rFonts w:hint="eastAsia" w:ascii="宋体" w:hAnsi="宋体" w:eastAsia="宋体" w:cs="宋体"/>
                <w:b/>
                <w:sz w:val="22"/>
              </w:rPr>
              <w:t>10分</w:t>
            </w:r>
          </w:p>
        </w:tc>
        <w:tc>
          <w:tcPr>
            <w:tcW w:w="812" w:type="dxa"/>
            <w:vAlign w:val="center"/>
          </w:tcPr>
          <w:p w14:paraId="42335AF6">
            <w:pPr>
              <w:overflowPunct w:val="0"/>
              <w:topLinePunct/>
              <w:spacing w:line="360" w:lineRule="auto"/>
              <w:jc w:val="center"/>
              <w:rPr>
                <w:rFonts w:hint="eastAsia" w:ascii="宋体" w:hAnsi="宋体" w:eastAsia="宋体" w:cs="宋体"/>
                <w:sz w:val="22"/>
              </w:rPr>
            </w:pPr>
            <w:r>
              <w:rPr>
                <w:rFonts w:hint="eastAsia" w:ascii="宋体" w:hAnsi="宋体" w:eastAsia="宋体" w:cs="宋体"/>
                <w:sz w:val="22"/>
              </w:rPr>
              <w:t>10</w:t>
            </w:r>
          </w:p>
        </w:tc>
        <w:tc>
          <w:tcPr>
            <w:tcW w:w="7750" w:type="dxa"/>
            <w:vAlign w:val="center"/>
          </w:tcPr>
          <w:p w14:paraId="3EF7E01E">
            <w:pPr>
              <w:spacing w:line="360" w:lineRule="auto"/>
              <w:jc w:val="left"/>
              <w:rPr>
                <w:rFonts w:hint="eastAsia" w:ascii="宋体" w:hAnsi="宋体" w:eastAsia="宋体" w:cs="宋体"/>
                <w:sz w:val="22"/>
                <w:szCs w:val="22"/>
              </w:rPr>
            </w:pPr>
            <w:r>
              <w:rPr>
                <w:rFonts w:hint="eastAsia" w:ascii="宋体" w:hAnsi="宋体" w:eastAsia="宋体" w:cs="宋体"/>
                <w:sz w:val="22"/>
                <w:szCs w:val="22"/>
              </w:rPr>
              <w:t>价格分统一采用低价优先法计算，即满足</w:t>
            </w:r>
            <w:r>
              <w:rPr>
                <w:rFonts w:hint="eastAsia" w:ascii="宋体" w:hAnsi="宋体" w:eastAsia="宋体" w:cs="宋体"/>
                <w:sz w:val="22"/>
                <w:szCs w:val="22"/>
                <w:lang w:eastAsia="zh-CN"/>
              </w:rPr>
              <w:t>招标</w:t>
            </w:r>
            <w:r>
              <w:rPr>
                <w:rFonts w:hint="eastAsia" w:ascii="宋体" w:hAnsi="宋体" w:eastAsia="宋体" w:cs="宋体"/>
                <w:sz w:val="22"/>
                <w:szCs w:val="22"/>
              </w:rPr>
              <w:t>文件要求且最后报价最低的供应商的价格为基准价，其价格分为满分。其他供应商的价格分统一按照下列公式计算：</w:t>
            </w:r>
            <w:r>
              <w:rPr>
                <w:rFonts w:hint="eastAsia" w:ascii="宋体" w:hAnsi="宋体" w:eastAsia="宋体" w:cs="宋体"/>
                <w:sz w:val="22"/>
                <w:szCs w:val="22"/>
                <w:lang w:eastAsia="zh-CN"/>
              </w:rPr>
              <w:t>投标</w:t>
            </w:r>
            <w:r>
              <w:rPr>
                <w:rFonts w:hint="eastAsia" w:ascii="宋体" w:hAnsi="宋体" w:eastAsia="宋体" w:cs="宋体"/>
                <w:sz w:val="22"/>
                <w:szCs w:val="22"/>
              </w:rPr>
              <w:t>报价得分=10×（基准价/最后</w:t>
            </w:r>
            <w:r>
              <w:rPr>
                <w:rFonts w:hint="eastAsia" w:ascii="宋体" w:hAnsi="宋体" w:eastAsia="宋体" w:cs="宋体"/>
                <w:sz w:val="22"/>
                <w:szCs w:val="22"/>
                <w:lang w:eastAsia="zh-CN"/>
              </w:rPr>
              <w:t>投标</w:t>
            </w:r>
            <w:r>
              <w:rPr>
                <w:rFonts w:hint="eastAsia" w:ascii="宋体" w:hAnsi="宋体" w:eastAsia="宋体" w:cs="宋体"/>
                <w:sz w:val="22"/>
                <w:szCs w:val="22"/>
              </w:rPr>
              <w:t>报价）</w:t>
            </w:r>
          </w:p>
          <w:p w14:paraId="1F1D0E1B">
            <w:pPr>
              <w:overflowPunct w:val="0"/>
              <w:topLinePunct/>
              <w:spacing w:line="360" w:lineRule="auto"/>
              <w:jc w:val="left"/>
              <w:rPr>
                <w:rFonts w:hint="eastAsia" w:ascii="宋体" w:hAnsi="宋体" w:eastAsia="宋体" w:cs="宋体"/>
                <w:sz w:val="22"/>
              </w:rPr>
            </w:pPr>
            <w:r>
              <w:rPr>
                <w:rFonts w:hint="eastAsia" w:ascii="宋体" w:hAnsi="宋体" w:eastAsia="宋体" w:cs="宋体"/>
                <w:sz w:val="22"/>
              </w:rPr>
              <w:t>价格分计算四舍五入，保留两位小数。</w:t>
            </w:r>
          </w:p>
        </w:tc>
      </w:tr>
      <w:tr w14:paraId="506F8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97" w:type="dxa"/>
            <w:vMerge w:val="restart"/>
            <w:vAlign w:val="center"/>
          </w:tcPr>
          <w:p w14:paraId="11B569E3">
            <w:pPr>
              <w:keepNext w:val="0"/>
              <w:keepLines w:val="0"/>
              <w:pageBreakBefore w:val="0"/>
              <w:widowControl w:val="0"/>
              <w:kinsoku/>
              <w:wordWrap/>
              <w:overflowPunct/>
              <w:topLinePunct w:val="0"/>
              <w:autoSpaceDE/>
              <w:autoSpaceDN/>
              <w:bidi w:val="0"/>
              <w:adjustRightInd/>
              <w:snapToGrid/>
              <w:spacing w:line="360" w:lineRule="auto"/>
              <w:ind w:left="-105" w:leftChars="-50" w:right="-105" w:rightChars="-50"/>
              <w:jc w:val="center"/>
              <w:textAlignment w:val="auto"/>
              <w:rPr>
                <w:rFonts w:hint="eastAsia" w:ascii="宋体" w:hAnsi="宋体" w:eastAsia="宋体" w:cs="宋体"/>
                <w:b/>
                <w:sz w:val="22"/>
              </w:rPr>
            </w:pPr>
            <w:r>
              <w:rPr>
                <w:rFonts w:hint="eastAsia" w:ascii="宋体" w:hAnsi="宋体" w:eastAsia="宋体" w:cs="宋体"/>
                <w:b/>
                <w:sz w:val="22"/>
              </w:rPr>
              <w:t>服务方案90分</w:t>
            </w:r>
          </w:p>
        </w:tc>
        <w:tc>
          <w:tcPr>
            <w:tcW w:w="812" w:type="dxa"/>
            <w:vAlign w:val="center"/>
          </w:tcPr>
          <w:p w14:paraId="142405C1">
            <w:pPr>
              <w:overflowPunct w:val="0"/>
              <w:topLinePunct/>
              <w:spacing w:line="360" w:lineRule="auto"/>
              <w:jc w:val="center"/>
              <w:rPr>
                <w:rFonts w:hint="default" w:ascii="宋体" w:hAnsi="宋体" w:eastAsia="宋体" w:cs="宋体"/>
                <w:sz w:val="22"/>
                <w:lang w:val="en-US" w:eastAsia="zh-CN"/>
              </w:rPr>
            </w:pPr>
            <w:r>
              <w:rPr>
                <w:rFonts w:hint="eastAsia" w:ascii="宋体" w:hAnsi="宋体" w:eastAsia="宋体" w:cs="宋体"/>
                <w:sz w:val="22"/>
                <w:lang w:val="en-US" w:eastAsia="zh-CN"/>
              </w:rPr>
              <w:t>30</w:t>
            </w:r>
          </w:p>
        </w:tc>
        <w:tc>
          <w:tcPr>
            <w:tcW w:w="7750" w:type="dxa"/>
            <w:vAlign w:val="center"/>
          </w:tcPr>
          <w:p w14:paraId="055DB9B3">
            <w:pPr>
              <w:spacing w:line="360" w:lineRule="auto"/>
              <w:jc w:val="left"/>
              <w:rPr>
                <w:rFonts w:hint="eastAsia" w:ascii="宋体" w:hAnsi="宋体" w:eastAsia="宋体" w:cs="宋体"/>
                <w:b/>
                <w:bCs/>
                <w:sz w:val="22"/>
                <w:szCs w:val="22"/>
              </w:rPr>
            </w:pPr>
            <w:r>
              <w:rPr>
                <w:rFonts w:hint="eastAsia" w:ascii="宋体" w:hAnsi="宋体" w:eastAsia="宋体" w:cs="宋体"/>
                <w:b/>
                <w:bCs/>
                <w:sz w:val="22"/>
                <w:szCs w:val="22"/>
                <w:lang w:eastAsia="zh-CN"/>
              </w:rPr>
              <w:t>软件</w:t>
            </w:r>
            <w:r>
              <w:rPr>
                <w:rFonts w:hint="eastAsia" w:ascii="宋体" w:hAnsi="宋体" w:eastAsia="宋体" w:cs="宋体"/>
                <w:b/>
                <w:bCs/>
                <w:sz w:val="22"/>
                <w:szCs w:val="22"/>
              </w:rPr>
              <w:t>测评方案：</w:t>
            </w:r>
          </w:p>
          <w:p w14:paraId="2E79EB61">
            <w:pPr>
              <w:spacing w:line="360" w:lineRule="auto"/>
              <w:jc w:val="left"/>
              <w:rPr>
                <w:rFonts w:hint="eastAsia" w:ascii="宋体" w:hAnsi="宋体" w:eastAsia="宋体" w:cs="宋体"/>
                <w:sz w:val="22"/>
                <w:szCs w:val="22"/>
              </w:rPr>
            </w:pPr>
            <w:r>
              <w:rPr>
                <w:rFonts w:hint="eastAsia" w:ascii="宋体" w:hAnsi="宋体" w:eastAsia="宋体" w:cs="宋体"/>
                <w:sz w:val="22"/>
                <w:szCs w:val="22"/>
              </w:rPr>
              <w:t>根据供应商提供的</w:t>
            </w:r>
            <w:r>
              <w:rPr>
                <w:rFonts w:hint="eastAsia" w:ascii="宋体" w:hAnsi="宋体" w:eastAsia="宋体" w:cs="宋体"/>
                <w:sz w:val="22"/>
                <w:szCs w:val="22"/>
                <w:lang w:eastAsia="zh-CN"/>
              </w:rPr>
              <w:t>软件</w:t>
            </w:r>
            <w:r>
              <w:rPr>
                <w:rFonts w:hint="eastAsia" w:ascii="宋体" w:hAnsi="宋体" w:eastAsia="宋体" w:cs="宋体"/>
                <w:sz w:val="22"/>
                <w:szCs w:val="22"/>
              </w:rPr>
              <w:t>测评实施方案综合评审，方案内容包含但不限于：</w:t>
            </w:r>
            <w:r>
              <w:rPr>
                <w:rFonts w:hint="eastAsia" w:ascii="宋体" w:hAnsi="宋体" w:eastAsia="宋体" w:cs="宋体"/>
                <w:b w:val="0"/>
                <w:bCs w:val="0"/>
                <w:sz w:val="22"/>
                <w:szCs w:val="22"/>
              </w:rPr>
              <w:t>①</w:t>
            </w:r>
            <w:r>
              <w:rPr>
                <w:rFonts w:hint="eastAsia" w:ascii="宋体" w:hAnsi="宋体" w:eastAsia="宋体" w:cs="宋体"/>
                <w:b w:val="0"/>
                <w:bCs w:val="0"/>
                <w:color w:val="auto"/>
                <w:sz w:val="22"/>
                <w:szCs w:val="22"/>
                <w:highlight w:val="yellow"/>
                <w:lang w:val="en-US" w:eastAsia="zh-CN"/>
              </w:rPr>
              <w:t>功能测试</w:t>
            </w:r>
            <w:r>
              <w:rPr>
                <w:rFonts w:hint="eastAsia" w:ascii="宋体" w:hAnsi="宋体" w:eastAsia="宋体" w:cs="宋体"/>
                <w:b w:val="0"/>
                <w:bCs w:val="0"/>
                <w:sz w:val="22"/>
                <w:szCs w:val="22"/>
              </w:rPr>
              <w:t>②</w:t>
            </w:r>
            <w:r>
              <w:rPr>
                <w:rFonts w:hint="eastAsia" w:ascii="宋体" w:hAnsi="宋体" w:eastAsia="宋体" w:cs="宋体"/>
                <w:b w:val="0"/>
                <w:bCs w:val="0"/>
                <w:color w:val="auto"/>
                <w:sz w:val="22"/>
                <w:szCs w:val="22"/>
                <w:highlight w:val="yellow"/>
                <w:lang w:val="en-US" w:eastAsia="zh-CN"/>
              </w:rPr>
              <w:t>性能效率测试</w:t>
            </w:r>
            <w:r>
              <w:rPr>
                <w:rFonts w:hint="eastAsia" w:ascii="宋体" w:hAnsi="宋体" w:eastAsia="宋体" w:cs="宋体"/>
                <w:b w:val="0"/>
                <w:bCs w:val="0"/>
                <w:sz w:val="22"/>
                <w:szCs w:val="22"/>
              </w:rPr>
              <w:t>③</w:t>
            </w:r>
            <w:r>
              <w:rPr>
                <w:rFonts w:hint="eastAsia" w:ascii="宋体" w:hAnsi="宋体" w:eastAsia="宋体" w:cs="宋体"/>
                <w:b w:val="0"/>
                <w:bCs w:val="0"/>
                <w:color w:val="auto"/>
                <w:sz w:val="22"/>
                <w:szCs w:val="22"/>
                <w:highlight w:val="yellow"/>
                <w:lang w:val="en-US" w:eastAsia="zh-CN"/>
              </w:rPr>
              <w:t>可靠性测试</w:t>
            </w:r>
            <w:r>
              <w:rPr>
                <w:rFonts w:hint="eastAsia" w:ascii="宋体" w:hAnsi="宋体" w:eastAsia="宋体" w:cs="宋体"/>
                <w:b w:val="0"/>
                <w:bCs w:val="0"/>
                <w:sz w:val="22"/>
                <w:szCs w:val="22"/>
              </w:rPr>
              <w:t>④</w:t>
            </w:r>
            <w:r>
              <w:rPr>
                <w:rFonts w:hint="eastAsia" w:ascii="宋体" w:hAnsi="宋体" w:eastAsia="宋体" w:cs="宋体"/>
                <w:b w:val="0"/>
                <w:bCs w:val="0"/>
                <w:color w:val="auto"/>
                <w:sz w:val="22"/>
                <w:szCs w:val="22"/>
                <w:highlight w:val="yellow"/>
                <w:lang w:val="en-US" w:eastAsia="zh-CN"/>
              </w:rPr>
              <w:t>安全性测试</w:t>
            </w:r>
            <w:r>
              <w:rPr>
                <w:rFonts w:hint="eastAsia" w:ascii="宋体" w:hAnsi="宋体" w:eastAsia="宋体" w:cs="宋体"/>
                <w:b w:val="0"/>
                <w:bCs w:val="0"/>
                <w:sz w:val="22"/>
                <w:szCs w:val="22"/>
              </w:rPr>
              <w:t>⑤</w:t>
            </w:r>
            <w:r>
              <w:rPr>
                <w:rFonts w:hint="eastAsia" w:ascii="宋体" w:hAnsi="宋体" w:eastAsia="宋体" w:cs="宋体"/>
                <w:b w:val="0"/>
                <w:bCs w:val="0"/>
                <w:color w:val="auto"/>
                <w:sz w:val="22"/>
                <w:szCs w:val="22"/>
                <w:highlight w:val="yellow"/>
                <w:lang w:val="en-US" w:eastAsia="zh-CN"/>
              </w:rPr>
              <w:t>接口测试</w:t>
            </w:r>
            <w:r>
              <w:rPr>
                <w:rFonts w:hint="eastAsia" w:ascii="宋体" w:hAnsi="宋体" w:eastAsia="宋体" w:cs="宋体"/>
                <w:b w:val="0"/>
                <w:bCs w:val="0"/>
                <w:sz w:val="22"/>
                <w:szCs w:val="22"/>
              </w:rPr>
              <w:t>⑥</w:t>
            </w:r>
            <w:r>
              <w:rPr>
                <w:rFonts w:hint="eastAsia" w:ascii="宋体" w:hAnsi="宋体" w:eastAsia="宋体" w:cs="宋体"/>
                <w:b w:val="0"/>
                <w:bCs w:val="0"/>
                <w:color w:val="auto"/>
                <w:sz w:val="22"/>
                <w:szCs w:val="22"/>
                <w:highlight w:val="yellow"/>
                <w:lang w:val="en-US" w:eastAsia="zh-CN"/>
              </w:rPr>
              <w:t>源代码审计</w:t>
            </w:r>
            <w:r>
              <w:rPr>
                <w:rFonts w:hint="eastAsia" w:ascii="宋体" w:hAnsi="宋体" w:eastAsia="宋体" w:cs="宋体"/>
                <w:b w:val="0"/>
                <w:bCs w:val="0"/>
                <w:sz w:val="22"/>
                <w:szCs w:val="22"/>
              </w:rPr>
              <w:t>。</w:t>
            </w:r>
          </w:p>
          <w:p w14:paraId="36A83E12">
            <w:pPr>
              <w:spacing w:line="360" w:lineRule="auto"/>
              <w:jc w:val="left"/>
              <w:rPr>
                <w:rFonts w:hint="eastAsia" w:ascii="宋体" w:hAnsi="宋体" w:eastAsia="宋体" w:cs="宋体"/>
                <w:sz w:val="22"/>
                <w:szCs w:val="22"/>
              </w:rPr>
            </w:pPr>
            <w:r>
              <w:rPr>
                <w:rFonts w:hint="eastAsia" w:ascii="宋体" w:hAnsi="宋体" w:eastAsia="宋体" w:cs="宋体"/>
                <w:sz w:val="22"/>
                <w:szCs w:val="22"/>
              </w:rPr>
              <w:t>方案各部分内容全面详细、阐述条理清晰详尽、符合本项目采购需求得</w:t>
            </w:r>
            <w:r>
              <w:rPr>
                <w:rFonts w:hint="eastAsia" w:ascii="宋体" w:hAnsi="宋体" w:eastAsia="宋体" w:cs="宋体"/>
                <w:sz w:val="22"/>
                <w:szCs w:val="22"/>
                <w:lang w:val="en-US" w:eastAsia="zh-CN"/>
              </w:rPr>
              <w:t>30</w:t>
            </w:r>
            <w:r>
              <w:rPr>
                <w:rFonts w:hint="eastAsia" w:ascii="宋体" w:hAnsi="宋体" w:eastAsia="宋体" w:cs="宋体"/>
                <w:sz w:val="22"/>
                <w:szCs w:val="22"/>
              </w:rPr>
              <w:t>分;方案内容每缺一项扣</w:t>
            </w:r>
            <w:r>
              <w:rPr>
                <w:rFonts w:hint="eastAsia" w:ascii="宋体" w:hAnsi="宋体" w:eastAsia="宋体" w:cs="宋体"/>
                <w:sz w:val="22"/>
                <w:szCs w:val="22"/>
                <w:lang w:val="en-US" w:eastAsia="zh-CN"/>
              </w:rPr>
              <w:t>5</w:t>
            </w:r>
            <w:r>
              <w:rPr>
                <w:rFonts w:hint="eastAsia" w:ascii="宋体" w:hAnsi="宋体" w:eastAsia="宋体" w:cs="宋体"/>
                <w:sz w:val="22"/>
                <w:szCs w:val="22"/>
              </w:rPr>
              <w:t>分，扣完为止；方案某一项内容中有缺陷的(缺陷是指以下情形:①内容描述过于简单②条理不清晰③与项目内容不匹配④凭空编造⑤出现常识性错误⑥不可能实现的夸大情形⑦存在不适用项目实际情况的情形等)，该项方案内容中每出现一种前述情形的缺陷扣1分，扣完为止。</w:t>
            </w:r>
          </w:p>
        </w:tc>
      </w:tr>
      <w:tr w14:paraId="4D4D5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97" w:type="dxa"/>
            <w:vMerge w:val="continue"/>
            <w:vAlign w:val="center"/>
          </w:tcPr>
          <w:p w14:paraId="7809D156">
            <w:pPr>
              <w:overflowPunct w:val="0"/>
              <w:topLinePunct/>
              <w:spacing w:line="360" w:lineRule="auto"/>
              <w:jc w:val="center"/>
              <w:rPr>
                <w:rFonts w:hint="eastAsia" w:ascii="宋体" w:hAnsi="宋体" w:eastAsia="宋体" w:cs="宋体"/>
                <w:sz w:val="22"/>
              </w:rPr>
            </w:pPr>
          </w:p>
        </w:tc>
        <w:tc>
          <w:tcPr>
            <w:tcW w:w="812" w:type="dxa"/>
            <w:vAlign w:val="center"/>
          </w:tcPr>
          <w:p w14:paraId="394198C1">
            <w:pPr>
              <w:overflowPunct w:val="0"/>
              <w:topLinePunct/>
              <w:spacing w:line="360" w:lineRule="auto"/>
              <w:jc w:val="center"/>
              <w:rPr>
                <w:rFonts w:hint="eastAsia" w:ascii="宋体" w:hAnsi="宋体" w:eastAsia="宋体" w:cs="宋体"/>
                <w:sz w:val="22"/>
                <w:lang w:eastAsia="zh-CN"/>
              </w:rPr>
            </w:pPr>
            <w:r>
              <w:rPr>
                <w:rFonts w:hint="eastAsia" w:ascii="宋体" w:hAnsi="宋体" w:eastAsia="宋体" w:cs="宋体"/>
                <w:sz w:val="22"/>
              </w:rPr>
              <w:t>1</w:t>
            </w:r>
            <w:r>
              <w:rPr>
                <w:rFonts w:hint="eastAsia" w:ascii="宋体" w:hAnsi="宋体" w:eastAsia="宋体" w:cs="宋体"/>
                <w:sz w:val="22"/>
                <w:lang w:eastAsia="zh-CN"/>
              </w:rPr>
              <w:t>8</w:t>
            </w:r>
          </w:p>
        </w:tc>
        <w:tc>
          <w:tcPr>
            <w:tcW w:w="7750" w:type="dxa"/>
            <w:vAlign w:val="center"/>
          </w:tcPr>
          <w:p w14:paraId="30BBB303">
            <w:pPr>
              <w:pStyle w:val="15"/>
              <w:spacing w:before="1" w:line="360" w:lineRule="auto"/>
              <w:ind w:right="87" w:firstLine="0" w:firstLineChars="0"/>
              <w:jc w:val="both"/>
              <w:rPr>
                <w:rFonts w:hint="eastAsia" w:ascii="宋体" w:hAnsi="宋体" w:eastAsia="宋体" w:cs="宋体"/>
                <w:b w:val="0"/>
                <w:bCs w:val="0"/>
                <w:sz w:val="22"/>
                <w:szCs w:val="22"/>
              </w:rPr>
            </w:pPr>
            <w:r>
              <w:rPr>
                <w:rFonts w:hint="eastAsia" w:ascii="宋体" w:hAnsi="宋体" w:eastAsia="宋体" w:cs="宋体"/>
                <w:b w:val="0"/>
                <w:bCs w:val="0"/>
                <w:sz w:val="22"/>
                <w:szCs w:val="22"/>
              </w:rPr>
              <w:t>服务团队：</w:t>
            </w:r>
          </w:p>
          <w:p w14:paraId="338D7B42">
            <w:pPr>
              <w:pStyle w:val="15"/>
              <w:numPr>
                <w:ilvl w:val="-1"/>
                <w:numId w:val="0"/>
              </w:numPr>
              <w:spacing w:before="1" w:line="360" w:lineRule="auto"/>
              <w:ind w:right="87" w:firstLine="0" w:firstLineChars="0"/>
              <w:jc w:val="both"/>
              <w:rPr>
                <w:rFonts w:hint="eastAsia" w:ascii="宋体" w:hAnsi="宋体" w:eastAsia="宋体" w:cs="宋体"/>
                <w:spacing w:val="0"/>
                <w:sz w:val="22"/>
                <w:szCs w:val="22"/>
                <w:lang w:val="en-US" w:eastAsia="en-US"/>
              </w:rPr>
            </w:pPr>
            <w:r>
              <w:rPr>
                <w:rFonts w:hint="eastAsia" w:ascii="宋体" w:hAnsi="宋体" w:eastAsia="宋体" w:cs="宋体"/>
                <w:spacing w:val="0"/>
                <w:sz w:val="22"/>
                <w:szCs w:val="22"/>
                <w:lang w:val="en-US" w:eastAsia="en-US"/>
              </w:rPr>
              <w:t>一、软件测评：</w:t>
            </w:r>
          </w:p>
          <w:p w14:paraId="00707519">
            <w:pPr>
              <w:pStyle w:val="15"/>
              <w:numPr>
                <w:ilvl w:val="0"/>
                <w:numId w:val="4"/>
              </w:numPr>
              <w:spacing w:before="1" w:line="360" w:lineRule="auto"/>
              <w:ind w:right="87" w:firstLine="0" w:firstLineChars="0"/>
              <w:jc w:val="both"/>
              <w:rPr>
                <w:rFonts w:hint="eastAsia" w:ascii="宋体" w:hAnsi="宋体" w:cs="宋体"/>
                <w:sz w:val="22"/>
                <w:szCs w:val="22"/>
              </w:rPr>
            </w:pPr>
            <w:r>
              <w:rPr>
                <w:rFonts w:hint="eastAsia" w:ascii="宋体" w:hAnsi="宋体" w:eastAsia="宋体" w:cs="宋体"/>
                <w:sz w:val="22"/>
                <w:szCs w:val="22"/>
                <w:lang w:eastAsia="en-US"/>
              </w:rPr>
              <w:t>测评负责人</w:t>
            </w:r>
            <w:r>
              <w:rPr>
                <w:rFonts w:hint="eastAsia" w:ascii="宋体" w:hAnsi="宋体" w:cs="宋体"/>
                <w:sz w:val="22"/>
                <w:szCs w:val="22"/>
              </w:rPr>
              <w:t>：具有人社部和工信部颁发的信息系统项目管理师证书、软件评测师证书和信息安全工程师证书的得</w:t>
            </w:r>
            <w:r>
              <w:rPr>
                <w:rFonts w:hint="eastAsia" w:cs="宋体"/>
                <w:sz w:val="22"/>
                <w:szCs w:val="22"/>
                <w:lang w:val="en-US" w:eastAsia="zh-CN"/>
              </w:rPr>
              <w:t>6</w:t>
            </w:r>
            <w:r>
              <w:rPr>
                <w:rFonts w:hint="eastAsia" w:ascii="宋体" w:hAnsi="宋体" w:cs="宋体"/>
                <w:sz w:val="22"/>
                <w:szCs w:val="22"/>
              </w:rPr>
              <w:t>分；</w:t>
            </w:r>
          </w:p>
          <w:p w14:paraId="62325629">
            <w:pPr>
              <w:pStyle w:val="15"/>
              <w:numPr>
                <w:ilvl w:val="0"/>
                <w:numId w:val="4"/>
              </w:numPr>
              <w:spacing w:before="1" w:line="360" w:lineRule="auto"/>
              <w:ind w:right="87" w:firstLine="0" w:firstLineChars="0"/>
              <w:jc w:val="both"/>
              <w:rPr>
                <w:rFonts w:hint="eastAsia" w:ascii="宋体" w:hAnsi="宋体" w:cs="宋体"/>
                <w:sz w:val="22"/>
                <w:szCs w:val="22"/>
                <w:lang w:eastAsia="en-US"/>
              </w:rPr>
            </w:pPr>
            <w:r>
              <w:rPr>
                <w:rFonts w:hint="eastAsia" w:ascii="宋体" w:hAnsi="宋体" w:cs="宋体"/>
                <w:sz w:val="22"/>
                <w:szCs w:val="22"/>
              </w:rPr>
              <w:t>现场测试人：现场测试具有软件评测师</w:t>
            </w:r>
            <w:r>
              <w:rPr>
                <w:rFonts w:hint="eastAsia" w:cs="宋体"/>
                <w:sz w:val="22"/>
                <w:szCs w:val="22"/>
                <w:lang w:eastAsia="zh-CN"/>
              </w:rPr>
              <w:t>，或</w:t>
            </w:r>
            <w:r>
              <w:rPr>
                <w:rFonts w:hint="eastAsia" w:ascii="宋体" w:hAnsi="宋体" w:cs="宋体"/>
                <w:sz w:val="22"/>
                <w:szCs w:val="22"/>
              </w:rPr>
              <w:t>信息安全保障人员认证证书</w:t>
            </w:r>
            <w:r>
              <w:rPr>
                <w:rFonts w:hint="eastAsia" w:cs="宋体"/>
                <w:sz w:val="22"/>
                <w:szCs w:val="22"/>
                <w:lang w:eastAsia="zh-CN"/>
              </w:rPr>
              <w:t>，或</w:t>
            </w:r>
            <w:r>
              <w:rPr>
                <w:rFonts w:hint="eastAsia" w:ascii="宋体" w:hAnsi="宋体" w:cs="宋体"/>
                <w:sz w:val="22"/>
                <w:szCs w:val="22"/>
              </w:rPr>
              <w:t>软件代码审计师，每提供一种上述证书的得</w:t>
            </w:r>
            <w:r>
              <w:rPr>
                <w:rFonts w:hint="eastAsia" w:cs="宋体"/>
                <w:sz w:val="22"/>
                <w:szCs w:val="22"/>
                <w:lang w:val="en-US" w:eastAsia="zh-CN"/>
              </w:rPr>
              <w:t>2</w:t>
            </w:r>
            <w:r>
              <w:rPr>
                <w:rFonts w:hint="eastAsia" w:ascii="宋体" w:hAnsi="宋体" w:cs="宋体"/>
                <w:sz w:val="22"/>
                <w:szCs w:val="22"/>
              </w:rPr>
              <w:t>分，最高得</w:t>
            </w:r>
            <w:r>
              <w:rPr>
                <w:rFonts w:hint="eastAsia" w:cs="宋体"/>
                <w:sz w:val="22"/>
                <w:szCs w:val="22"/>
                <w:lang w:val="en-US" w:eastAsia="zh-CN"/>
              </w:rPr>
              <w:t>6</w:t>
            </w:r>
            <w:r>
              <w:rPr>
                <w:rFonts w:hint="eastAsia" w:ascii="宋体" w:hAnsi="宋体" w:cs="宋体"/>
                <w:sz w:val="22"/>
                <w:szCs w:val="22"/>
              </w:rPr>
              <w:t>分</w:t>
            </w:r>
            <w:r>
              <w:rPr>
                <w:rFonts w:hint="eastAsia"/>
                <w:sz w:val="22"/>
                <w:szCs w:val="22"/>
                <w:lang w:eastAsia="en-US"/>
              </w:rPr>
              <w:t>；</w:t>
            </w:r>
          </w:p>
          <w:p w14:paraId="0BD8F871">
            <w:pPr>
              <w:pStyle w:val="15"/>
              <w:numPr>
                <w:ilvl w:val="-1"/>
                <w:numId w:val="0"/>
              </w:numPr>
              <w:spacing w:before="1" w:line="360" w:lineRule="auto"/>
              <w:ind w:right="87" w:firstLine="0" w:firstLineChars="0"/>
              <w:jc w:val="both"/>
              <w:rPr>
                <w:rFonts w:hint="eastAsia" w:ascii="宋体" w:hAnsi="宋体" w:cs="宋体"/>
                <w:sz w:val="22"/>
                <w:szCs w:val="22"/>
                <w:lang w:eastAsia="en-US"/>
              </w:rPr>
            </w:pPr>
            <w:r>
              <w:rPr>
                <w:rFonts w:hint="eastAsia" w:cs="宋体"/>
                <w:sz w:val="22"/>
                <w:szCs w:val="22"/>
                <w:lang w:eastAsia="zh-CN"/>
              </w:rPr>
              <w:t>（</w:t>
            </w:r>
            <w:r>
              <w:rPr>
                <w:rFonts w:hint="eastAsia" w:cs="宋体"/>
                <w:sz w:val="22"/>
                <w:szCs w:val="22"/>
                <w:lang w:val="en-US" w:eastAsia="zh-CN"/>
              </w:rPr>
              <w:t>3</w:t>
            </w:r>
            <w:r>
              <w:rPr>
                <w:rFonts w:hint="eastAsia" w:cs="宋体"/>
                <w:sz w:val="22"/>
                <w:szCs w:val="22"/>
                <w:lang w:eastAsia="zh-CN"/>
              </w:rPr>
              <w:t>）</w:t>
            </w:r>
            <w:r>
              <w:rPr>
                <w:rFonts w:hint="eastAsia" w:ascii="宋体" w:hAnsi="宋体" w:cs="宋体"/>
                <w:sz w:val="22"/>
                <w:szCs w:val="22"/>
                <w:lang w:eastAsia="zh-CN"/>
              </w:rPr>
              <w:t>授权签字人：检验检测机构资质认定证书附表中的授权签字人具有信息系统项目管理师证书、信息安全测评师、软件质量检测师证书</w:t>
            </w:r>
            <w:r>
              <w:rPr>
                <w:rFonts w:hint="eastAsia" w:cs="宋体"/>
                <w:sz w:val="22"/>
                <w:szCs w:val="22"/>
                <w:lang w:eastAsia="zh-CN"/>
              </w:rPr>
              <w:t>，每提供一种上述证书</w:t>
            </w:r>
            <w:r>
              <w:rPr>
                <w:rFonts w:hint="eastAsia" w:cs="宋体"/>
                <w:sz w:val="22"/>
                <w:szCs w:val="22"/>
                <w:lang w:val="en-US" w:eastAsia="zh-CN"/>
              </w:rPr>
              <w:t>2分，最高</w:t>
            </w:r>
            <w:r>
              <w:rPr>
                <w:rFonts w:hint="eastAsia" w:ascii="宋体" w:hAnsi="宋体" w:cs="宋体"/>
                <w:sz w:val="22"/>
                <w:szCs w:val="22"/>
                <w:lang w:eastAsia="zh-CN"/>
              </w:rPr>
              <w:t>得</w:t>
            </w:r>
            <w:r>
              <w:rPr>
                <w:rFonts w:hint="eastAsia" w:cs="宋体"/>
                <w:sz w:val="22"/>
                <w:szCs w:val="22"/>
                <w:lang w:val="en-US" w:eastAsia="zh-CN"/>
              </w:rPr>
              <w:t>6</w:t>
            </w:r>
            <w:r>
              <w:rPr>
                <w:rFonts w:hint="eastAsia" w:ascii="宋体" w:hAnsi="宋体" w:cs="宋体"/>
                <w:sz w:val="22"/>
                <w:szCs w:val="22"/>
                <w:lang w:eastAsia="zh-CN"/>
              </w:rPr>
              <w:t>分</w:t>
            </w:r>
            <w:r>
              <w:rPr>
                <w:rFonts w:hint="eastAsia" w:ascii="宋体" w:hAnsi="宋体" w:cs="宋体"/>
                <w:sz w:val="22"/>
                <w:szCs w:val="22"/>
                <w:lang w:eastAsia="en-US"/>
              </w:rPr>
              <w:t>。</w:t>
            </w:r>
          </w:p>
          <w:p w14:paraId="3E61393F">
            <w:pPr>
              <w:pStyle w:val="15"/>
              <w:spacing w:before="1" w:line="360" w:lineRule="auto"/>
              <w:ind w:right="87" w:firstLine="0" w:firstLineChars="0"/>
              <w:jc w:val="both"/>
              <w:rPr>
                <w:rFonts w:hint="eastAsia" w:ascii="宋体" w:hAnsi="宋体" w:eastAsia="宋体" w:cs="宋体"/>
                <w:sz w:val="22"/>
                <w:szCs w:val="22"/>
              </w:rPr>
            </w:pPr>
            <w:r>
              <w:rPr>
                <w:rFonts w:hint="eastAsia" w:ascii="宋体" w:hAnsi="宋体" w:eastAsia="宋体" w:cs="宋体"/>
                <w:sz w:val="22"/>
                <w:szCs w:val="22"/>
                <w:lang w:eastAsia="zh-CN"/>
              </w:rPr>
              <w:t>注：以上人员证书不重复计算，同一人所具有证书亦不重复计算，需提供相关证明材料（身份证；专业证书；职称证书；</w:t>
            </w:r>
            <w:r>
              <w:rPr>
                <w:rFonts w:hint="eastAsia" w:cs="宋体"/>
                <w:sz w:val="22"/>
                <w:szCs w:val="22"/>
                <w:lang w:eastAsia="zh-CN"/>
              </w:rPr>
              <w:t>开标前六个月内任意一个月的</w:t>
            </w:r>
            <w:r>
              <w:rPr>
                <w:rFonts w:hint="eastAsia" w:ascii="宋体" w:hAnsi="宋体" w:eastAsia="宋体" w:cs="宋体"/>
                <w:sz w:val="22"/>
                <w:szCs w:val="22"/>
                <w:lang w:eastAsia="zh-CN"/>
              </w:rPr>
              <w:t>社保</w:t>
            </w:r>
            <w:r>
              <w:rPr>
                <w:rFonts w:hint="eastAsia" w:cs="宋体"/>
                <w:sz w:val="22"/>
                <w:szCs w:val="22"/>
                <w:lang w:eastAsia="zh-CN"/>
              </w:rPr>
              <w:t>证明</w:t>
            </w:r>
            <w:r>
              <w:rPr>
                <w:rFonts w:hint="eastAsia" w:ascii="宋体" w:hAnsi="宋体" w:eastAsia="宋体" w:cs="宋体"/>
                <w:sz w:val="22"/>
                <w:szCs w:val="22"/>
                <w:lang w:eastAsia="zh-CN"/>
              </w:rPr>
              <w:t>）。</w:t>
            </w:r>
          </w:p>
        </w:tc>
      </w:tr>
      <w:tr w14:paraId="1D341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97" w:type="dxa"/>
            <w:vMerge w:val="continue"/>
            <w:vAlign w:val="center"/>
          </w:tcPr>
          <w:p w14:paraId="3F2A36C6">
            <w:pPr>
              <w:overflowPunct w:val="0"/>
              <w:topLinePunct/>
              <w:spacing w:line="360" w:lineRule="auto"/>
              <w:jc w:val="center"/>
              <w:rPr>
                <w:rFonts w:hint="eastAsia" w:ascii="宋体" w:hAnsi="宋体" w:eastAsia="宋体" w:cs="宋体"/>
                <w:sz w:val="22"/>
              </w:rPr>
            </w:pPr>
          </w:p>
        </w:tc>
        <w:tc>
          <w:tcPr>
            <w:tcW w:w="812" w:type="dxa"/>
            <w:vAlign w:val="center"/>
          </w:tcPr>
          <w:p w14:paraId="2B9E9BF8">
            <w:pPr>
              <w:overflowPunct w:val="0"/>
              <w:topLinePunct/>
              <w:spacing w:line="360" w:lineRule="auto"/>
              <w:jc w:val="center"/>
              <w:rPr>
                <w:rFonts w:hint="eastAsia" w:ascii="宋体" w:hAnsi="宋体" w:eastAsia="宋体" w:cs="宋体"/>
                <w:sz w:val="22"/>
                <w:lang w:val="en-US" w:eastAsia="zh-CN"/>
              </w:rPr>
            </w:pPr>
            <w:r>
              <w:rPr>
                <w:rFonts w:hint="eastAsia" w:ascii="宋体" w:hAnsi="宋体" w:eastAsia="宋体" w:cs="宋体"/>
                <w:sz w:val="22"/>
                <w:lang w:val="en-US" w:eastAsia="zh-CN"/>
              </w:rPr>
              <w:t>15</w:t>
            </w:r>
          </w:p>
        </w:tc>
        <w:tc>
          <w:tcPr>
            <w:tcW w:w="7750" w:type="dxa"/>
            <w:vAlign w:val="center"/>
          </w:tcPr>
          <w:p w14:paraId="14537BF2">
            <w:pPr>
              <w:spacing w:line="360" w:lineRule="auto"/>
              <w:jc w:val="left"/>
              <w:rPr>
                <w:rFonts w:hint="eastAsia" w:ascii="宋体" w:hAnsi="宋体" w:eastAsia="宋体" w:cs="宋体"/>
                <w:b/>
                <w:bCs/>
                <w:sz w:val="22"/>
                <w:szCs w:val="22"/>
              </w:rPr>
            </w:pPr>
            <w:r>
              <w:rPr>
                <w:rFonts w:hint="eastAsia" w:ascii="宋体" w:hAnsi="宋体" w:eastAsia="宋体" w:cs="宋体"/>
                <w:b/>
                <w:bCs/>
                <w:sz w:val="22"/>
                <w:szCs w:val="22"/>
              </w:rPr>
              <w:t>质量与进度保障方案：</w:t>
            </w:r>
          </w:p>
          <w:p w14:paraId="6B5A935D">
            <w:pPr>
              <w:spacing w:line="360" w:lineRule="auto"/>
              <w:jc w:val="left"/>
              <w:rPr>
                <w:rFonts w:hint="eastAsia" w:ascii="宋体" w:hAnsi="宋体" w:eastAsia="宋体" w:cs="宋体"/>
                <w:sz w:val="22"/>
                <w:szCs w:val="22"/>
              </w:rPr>
            </w:pPr>
            <w:r>
              <w:rPr>
                <w:rFonts w:hint="eastAsia" w:ascii="宋体" w:hAnsi="宋体" w:eastAsia="宋体" w:cs="宋体"/>
                <w:sz w:val="22"/>
                <w:szCs w:val="22"/>
              </w:rPr>
              <w:t>根据供应商提供的质量与进度保障方案综合评审，方案内容包含但不限于：①项目质量控制②项目风险分析③项目质量处置④应急响应及应急处理⑤详细的项目进度计划安排。</w:t>
            </w:r>
          </w:p>
          <w:p w14:paraId="5B74F901">
            <w:pPr>
              <w:pStyle w:val="6"/>
              <w:spacing w:line="360" w:lineRule="auto"/>
              <w:rPr>
                <w:rFonts w:hint="eastAsia" w:ascii="宋体" w:hAnsi="宋体" w:eastAsia="宋体" w:cs="宋体"/>
                <w:kern w:val="2"/>
                <w:sz w:val="22"/>
                <w:szCs w:val="22"/>
              </w:rPr>
            </w:pPr>
            <w:r>
              <w:rPr>
                <w:rFonts w:hint="eastAsia" w:ascii="宋体" w:hAnsi="宋体" w:eastAsia="宋体" w:cs="宋体"/>
                <w:sz w:val="22"/>
                <w:szCs w:val="22"/>
              </w:rPr>
              <w:t>方案各部分内容全面详细、阐述条理清晰详尽、符合本项目采购需求得</w:t>
            </w:r>
            <w:r>
              <w:rPr>
                <w:rFonts w:hint="eastAsia" w:ascii="宋体" w:hAnsi="宋体" w:eastAsia="宋体" w:cs="宋体"/>
                <w:sz w:val="22"/>
                <w:szCs w:val="22"/>
                <w:lang w:val="en-US" w:eastAsia="zh-CN"/>
              </w:rPr>
              <w:t>15</w:t>
            </w:r>
            <w:r>
              <w:rPr>
                <w:rFonts w:hint="eastAsia" w:ascii="宋体" w:hAnsi="宋体" w:eastAsia="宋体" w:cs="宋体"/>
                <w:sz w:val="22"/>
                <w:szCs w:val="22"/>
              </w:rPr>
              <w:t>分;方案内容每缺一项扣</w:t>
            </w:r>
            <w:r>
              <w:rPr>
                <w:rFonts w:hint="eastAsia" w:ascii="宋体" w:hAnsi="宋体" w:eastAsia="宋体" w:cs="宋体"/>
                <w:sz w:val="22"/>
                <w:szCs w:val="22"/>
                <w:lang w:val="en-US" w:eastAsia="zh-CN"/>
              </w:rPr>
              <w:t>3</w:t>
            </w:r>
            <w:r>
              <w:rPr>
                <w:rFonts w:hint="eastAsia" w:ascii="宋体" w:hAnsi="宋体" w:eastAsia="宋体" w:cs="宋体"/>
                <w:sz w:val="22"/>
                <w:szCs w:val="22"/>
              </w:rPr>
              <w:t>分，扣完为止；方案某一项内容中有缺陷的(缺陷是指以下情形:①内容描述过于简单②条理不清晰③与项目内容不匹配④凭空编造⑤出现常识性错误⑥不可能实现的夸大情形⑦存在不适用项目实际情况的情形等)，该项方案内容中每出现一种前述情形的缺陷扣1分，扣完为止。</w:t>
            </w:r>
          </w:p>
        </w:tc>
      </w:tr>
      <w:tr w14:paraId="6C22E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97" w:type="dxa"/>
            <w:vMerge w:val="continue"/>
            <w:vAlign w:val="center"/>
          </w:tcPr>
          <w:p w14:paraId="04254DAE">
            <w:pPr>
              <w:spacing w:line="360" w:lineRule="auto"/>
              <w:jc w:val="center"/>
              <w:rPr>
                <w:rFonts w:hint="eastAsia" w:ascii="宋体" w:hAnsi="宋体" w:eastAsia="宋体" w:cs="宋体"/>
                <w:b/>
                <w:sz w:val="22"/>
              </w:rPr>
            </w:pPr>
          </w:p>
        </w:tc>
        <w:tc>
          <w:tcPr>
            <w:tcW w:w="812" w:type="dxa"/>
            <w:vAlign w:val="center"/>
          </w:tcPr>
          <w:p w14:paraId="6507FC41">
            <w:pPr>
              <w:spacing w:line="360" w:lineRule="auto"/>
              <w:jc w:val="center"/>
              <w:rPr>
                <w:rFonts w:hint="default" w:ascii="宋体" w:hAnsi="宋体" w:eastAsia="宋体" w:cs="宋体"/>
                <w:sz w:val="22"/>
                <w:lang w:val="en-US" w:eastAsia="zh-CN"/>
              </w:rPr>
            </w:pPr>
            <w:r>
              <w:rPr>
                <w:rFonts w:hint="eastAsia" w:ascii="宋体" w:hAnsi="宋体" w:eastAsia="宋体" w:cs="宋体"/>
                <w:sz w:val="22"/>
                <w:lang w:val="en-US" w:eastAsia="zh-CN"/>
              </w:rPr>
              <w:t>12</w:t>
            </w:r>
          </w:p>
        </w:tc>
        <w:tc>
          <w:tcPr>
            <w:tcW w:w="7750" w:type="dxa"/>
            <w:vAlign w:val="center"/>
          </w:tcPr>
          <w:p w14:paraId="21FAACF5">
            <w:pPr>
              <w:spacing w:line="360" w:lineRule="auto"/>
              <w:jc w:val="left"/>
              <w:rPr>
                <w:rFonts w:hint="eastAsia" w:ascii="宋体" w:hAnsi="宋体" w:eastAsia="宋体" w:cs="宋体"/>
                <w:b/>
                <w:bCs/>
                <w:sz w:val="22"/>
                <w:szCs w:val="22"/>
              </w:rPr>
            </w:pPr>
            <w:r>
              <w:rPr>
                <w:rFonts w:hint="eastAsia" w:ascii="宋体" w:hAnsi="宋体" w:eastAsia="宋体" w:cs="宋体"/>
                <w:b/>
                <w:bCs/>
                <w:sz w:val="22"/>
                <w:szCs w:val="22"/>
              </w:rPr>
              <w:t>售后服务方案：</w:t>
            </w:r>
          </w:p>
          <w:p w14:paraId="2C6C278F">
            <w:pPr>
              <w:spacing w:line="360" w:lineRule="auto"/>
              <w:jc w:val="left"/>
              <w:rPr>
                <w:rFonts w:hint="eastAsia" w:ascii="宋体" w:hAnsi="宋体" w:eastAsia="宋体" w:cs="宋体"/>
                <w:sz w:val="22"/>
                <w:szCs w:val="22"/>
              </w:rPr>
            </w:pPr>
            <w:r>
              <w:rPr>
                <w:rFonts w:hint="eastAsia" w:ascii="宋体" w:hAnsi="宋体" w:eastAsia="宋体" w:cs="宋体"/>
                <w:sz w:val="22"/>
                <w:szCs w:val="22"/>
              </w:rPr>
              <w:t>投标人针对本项目提出具体的售后服务方案，方案内容包含:</w:t>
            </w:r>
            <w:r>
              <w:rPr>
                <w:rFonts w:hint="eastAsia" w:ascii="宋体" w:hAnsi="宋体" w:eastAsia="宋体" w:cs="宋体"/>
                <w:b w:val="0"/>
                <w:bCs w:val="0"/>
                <w:sz w:val="22"/>
                <w:szCs w:val="22"/>
                <w:highlight w:val="yellow"/>
              </w:rPr>
              <w:t>①应急响应</w:t>
            </w:r>
            <w:r>
              <w:rPr>
                <w:rFonts w:hint="eastAsia" w:ascii="宋体" w:hAnsi="宋体" w:eastAsia="宋体" w:cs="宋体"/>
                <w:b w:val="0"/>
                <w:bCs w:val="0"/>
                <w:sz w:val="22"/>
                <w:szCs w:val="22"/>
                <w:highlight w:val="yellow"/>
                <w:lang w:eastAsia="zh-CN"/>
              </w:rPr>
              <w:t>及保障</w:t>
            </w:r>
            <w:r>
              <w:rPr>
                <w:rFonts w:hint="eastAsia" w:ascii="宋体" w:hAnsi="宋体" w:eastAsia="宋体" w:cs="宋体"/>
                <w:b w:val="0"/>
                <w:bCs w:val="0"/>
                <w:sz w:val="22"/>
                <w:szCs w:val="22"/>
                <w:highlight w:val="yellow"/>
              </w:rPr>
              <w:t>服务②电话支持③售后服务承诺</w:t>
            </w:r>
            <w:r>
              <w:rPr>
                <w:rFonts w:hint="eastAsia" w:ascii="宋体" w:hAnsi="宋体" w:eastAsia="宋体" w:cs="宋体"/>
                <w:b w:val="0"/>
                <w:bCs w:val="0"/>
                <w:sz w:val="22"/>
                <w:szCs w:val="22"/>
                <w:highlight w:val="yellow"/>
                <w:lang w:eastAsia="zh-CN"/>
              </w:rPr>
              <w:t>（含</w:t>
            </w:r>
            <w:r>
              <w:rPr>
                <w:rFonts w:hint="eastAsia" w:ascii="宋体" w:hAnsi="宋体" w:eastAsia="宋体" w:cs="宋体"/>
                <w:b w:val="0"/>
                <w:bCs w:val="0"/>
                <w:sz w:val="22"/>
                <w:szCs w:val="22"/>
                <w:highlight w:val="yellow"/>
              </w:rPr>
              <w:t>赔偿承诺与措施</w:t>
            </w:r>
            <w:r>
              <w:rPr>
                <w:rFonts w:hint="eastAsia" w:ascii="宋体" w:hAnsi="宋体" w:eastAsia="宋体" w:cs="宋体"/>
                <w:b w:val="0"/>
                <w:bCs w:val="0"/>
                <w:sz w:val="22"/>
                <w:szCs w:val="22"/>
                <w:highlight w:val="yellow"/>
                <w:lang w:eastAsia="zh-CN"/>
              </w:rPr>
              <w:t>）</w:t>
            </w:r>
            <w:r>
              <w:rPr>
                <w:rFonts w:hint="eastAsia" w:ascii="宋体" w:hAnsi="宋体" w:eastAsia="宋体" w:cs="宋体"/>
                <w:b w:val="0"/>
                <w:bCs w:val="0"/>
                <w:sz w:val="22"/>
                <w:szCs w:val="22"/>
                <w:highlight w:val="yellow"/>
              </w:rPr>
              <w:t>。</w:t>
            </w:r>
          </w:p>
          <w:p w14:paraId="5A36A09A">
            <w:pPr>
              <w:spacing w:line="360" w:lineRule="auto"/>
              <w:jc w:val="left"/>
              <w:rPr>
                <w:rFonts w:hint="eastAsia" w:ascii="宋体" w:hAnsi="宋体" w:eastAsia="宋体" w:cs="宋体"/>
                <w:sz w:val="22"/>
                <w:szCs w:val="22"/>
              </w:rPr>
            </w:pPr>
            <w:r>
              <w:rPr>
                <w:rFonts w:hint="eastAsia" w:ascii="宋体" w:hAnsi="宋体" w:eastAsia="宋体" w:cs="宋体"/>
                <w:sz w:val="22"/>
                <w:szCs w:val="22"/>
              </w:rPr>
              <w:t>方案各部分内容全面详细、阐述条理清晰详尽、符合本项目采购需求得</w:t>
            </w:r>
            <w:r>
              <w:rPr>
                <w:rFonts w:hint="eastAsia" w:ascii="宋体" w:hAnsi="宋体" w:eastAsia="宋体" w:cs="宋体"/>
                <w:sz w:val="22"/>
                <w:szCs w:val="22"/>
                <w:lang w:val="en-US" w:eastAsia="zh-CN"/>
              </w:rPr>
              <w:t>12</w:t>
            </w:r>
            <w:r>
              <w:rPr>
                <w:rFonts w:hint="eastAsia" w:ascii="宋体" w:hAnsi="宋体" w:eastAsia="宋体" w:cs="宋体"/>
                <w:sz w:val="22"/>
                <w:szCs w:val="22"/>
              </w:rPr>
              <w:t>分;方案内容每缺一项扣</w:t>
            </w:r>
            <w:r>
              <w:rPr>
                <w:rFonts w:hint="eastAsia" w:ascii="宋体" w:hAnsi="宋体" w:eastAsia="宋体" w:cs="宋体"/>
                <w:sz w:val="22"/>
                <w:szCs w:val="22"/>
                <w:lang w:val="en-US" w:eastAsia="zh-CN"/>
              </w:rPr>
              <w:t>4</w:t>
            </w:r>
            <w:r>
              <w:rPr>
                <w:rFonts w:hint="eastAsia" w:ascii="宋体" w:hAnsi="宋体" w:eastAsia="宋体" w:cs="宋体"/>
                <w:sz w:val="22"/>
                <w:szCs w:val="22"/>
              </w:rPr>
              <w:t>分，扣完为止；方案某一项内容中有缺陷的(缺陷是指以下情形:①内容描述过于简单②条理不清晰③与项目内容不匹配④凭空编造⑤出现常识性错误⑥不可能实现的夸大情形⑦存在不适用项目实际情况的情形等)，该项方案内容中每出现一种前述情形的缺陷扣</w:t>
            </w:r>
            <w:r>
              <w:rPr>
                <w:rFonts w:hint="eastAsia" w:ascii="宋体" w:hAnsi="宋体" w:eastAsia="宋体" w:cs="宋体"/>
                <w:sz w:val="22"/>
                <w:szCs w:val="22"/>
                <w:lang w:val="en-US" w:eastAsia="zh-CN"/>
              </w:rPr>
              <w:t>1</w:t>
            </w:r>
            <w:r>
              <w:rPr>
                <w:rFonts w:hint="eastAsia" w:ascii="宋体" w:hAnsi="宋体" w:eastAsia="宋体" w:cs="宋体"/>
                <w:sz w:val="22"/>
                <w:szCs w:val="22"/>
              </w:rPr>
              <w:t>分，扣完为止。</w:t>
            </w:r>
          </w:p>
        </w:tc>
      </w:tr>
      <w:tr w14:paraId="76C61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97" w:type="dxa"/>
            <w:vMerge w:val="continue"/>
            <w:vAlign w:val="center"/>
          </w:tcPr>
          <w:p w14:paraId="2DB91BBE">
            <w:pPr>
              <w:spacing w:line="360" w:lineRule="auto"/>
              <w:jc w:val="center"/>
              <w:rPr>
                <w:rFonts w:hint="eastAsia" w:ascii="宋体" w:hAnsi="宋体" w:eastAsia="宋体" w:cs="宋体"/>
                <w:b/>
                <w:sz w:val="22"/>
              </w:rPr>
            </w:pPr>
          </w:p>
        </w:tc>
        <w:tc>
          <w:tcPr>
            <w:tcW w:w="812" w:type="dxa"/>
            <w:vAlign w:val="center"/>
          </w:tcPr>
          <w:p w14:paraId="69753BAE">
            <w:pPr>
              <w:spacing w:line="360" w:lineRule="auto"/>
              <w:jc w:val="center"/>
              <w:rPr>
                <w:rFonts w:hint="eastAsia" w:ascii="宋体" w:hAnsi="宋体" w:eastAsia="宋体" w:cs="宋体"/>
                <w:sz w:val="22"/>
                <w:lang w:val="en-US" w:eastAsia="zh-CN"/>
              </w:rPr>
            </w:pPr>
            <w:r>
              <w:rPr>
                <w:rFonts w:hint="eastAsia" w:ascii="宋体" w:hAnsi="宋体" w:eastAsia="宋体" w:cs="宋体"/>
                <w:sz w:val="22"/>
                <w:lang w:val="en-US" w:eastAsia="zh-CN"/>
              </w:rPr>
              <w:t>10</w:t>
            </w:r>
          </w:p>
        </w:tc>
        <w:tc>
          <w:tcPr>
            <w:tcW w:w="7750" w:type="dxa"/>
            <w:vAlign w:val="center"/>
          </w:tcPr>
          <w:p w14:paraId="34BA0AAB">
            <w:pPr>
              <w:spacing w:line="360" w:lineRule="auto"/>
              <w:jc w:val="left"/>
              <w:rPr>
                <w:rFonts w:hint="eastAsia" w:ascii="宋体" w:hAnsi="宋体" w:eastAsia="宋体" w:cs="宋体"/>
                <w:b/>
                <w:bCs/>
                <w:sz w:val="22"/>
                <w:szCs w:val="22"/>
              </w:rPr>
            </w:pPr>
            <w:r>
              <w:rPr>
                <w:rFonts w:hint="eastAsia" w:ascii="宋体" w:hAnsi="宋体" w:eastAsia="宋体" w:cs="宋体"/>
                <w:b/>
                <w:bCs/>
                <w:sz w:val="22"/>
                <w:szCs w:val="22"/>
                <w:lang w:eastAsia="zh-CN"/>
              </w:rPr>
              <w:t>保密</w:t>
            </w:r>
            <w:r>
              <w:rPr>
                <w:rFonts w:hint="eastAsia" w:ascii="宋体" w:hAnsi="宋体" w:eastAsia="宋体" w:cs="宋体"/>
                <w:b/>
                <w:bCs/>
                <w:sz w:val="22"/>
                <w:szCs w:val="22"/>
              </w:rPr>
              <w:t>服务方案：</w:t>
            </w:r>
          </w:p>
          <w:p w14:paraId="17A30F1E">
            <w:pPr>
              <w:spacing w:line="360" w:lineRule="auto"/>
              <w:jc w:val="left"/>
              <w:rPr>
                <w:rFonts w:hint="eastAsia" w:ascii="宋体" w:hAnsi="宋体" w:eastAsia="宋体" w:cs="宋体"/>
                <w:sz w:val="22"/>
                <w:szCs w:val="22"/>
              </w:rPr>
            </w:pPr>
            <w:r>
              <w:rPr>
                <w:rFonts w:hint="eastAsia" w:ascii="宋体" w:hAnsi="宋体" w:eastAsia="宋体" w:cs="宋体"/>
                <w:sz w:val="22"/>
                <w:szCs w:val="22"/>
              </w:rPr>
              <w:t>投标人针对本项目提出具体的</w:t>
            </w:r>
            <w:r>
              <w:rPr>
                <w:rFonts w:hint="eastAsia" w:ascii="宋体" w:hAnsi="宋体" w:eastAsia="宋体" w:cs="宋体"/>
                <w:sz w:val="22"/>
                <w:szCs w:val="22"/>
                <w:lang w:eastAsia="zh-CN"/>
              </w:rPr>
              <w:t>保密</w:t>
            </w:r>
            <w:r>
              <w:rPr>
                <w:rFonts w:hint="eastAsia" w:ascii="宋体" w:hAnsi="宋体" w:eastAsia="宋体" w:cs="宋体"/>
                <w:sz w:val="22"/>
                <w:szCs w:val="22"/>
              </w:rPr>
              <w:t>服务方案，方案内容包含:</w:t>
            </w:r>
            <w:r>
              <w:rPr>
                <w:rFonts w:hint="eastAsia" w:ascii="宋体" w:hAnsi="宋体" w:eastAsia="宋体" w:cs="宋体"/>
                <w:b w:val="0"/>
                <w:bCs w:val="0"/>
                <w:sz w:val="22"/>
                <w:szCs w:val="22"/>
                <w:highlight w:val="yellow"/>
              </w:rPr>
              <w:t>①</w:t>
            </w:r>
            <w:r>
              <w:rPr>
                <w:rFonts w:hint="eastAsia" w:ascii="宋体" w:hAnsi="宋体" w:eastAsia="宋体" w:cs="宋体"/>
                <w:b w:val="0"/>
                <w:bCs w:val="0"/>
                <w:sz w:val="22"/>
                <w:szCs w:val="22"/>
                <w:highlight w:val="yellow"/>
                <w:lang w:eastAsia="zh-CN"/>
              </w:rPr>
              <w:t>针对本项目</w:t>
            </w:r>
            <w:r>
              <w:rPr>
                <w:rFonts w:hint="eastAsia" w:ascii="宋体" w:hAnsi="宋体" w:eastAsia="宋体" w:cs="宋体"/>
                <w:b w:val="0"/>
                <w:bCs w:val="0"/>
                <w:color w:val="auto"/>
                <w:sz w:val="22"/>
                <w:szCs w:val="22"/>
                <w:highlight w:val="yellow"/>
                <w:lang w:val="en-US" w:eastAsia="zh-CN"/>
              </w:rPr>
              <w:t>保密服务措施</w:t>
            </w:r>
            <w:r>
              <w:rPr>
                <w:rFonts w:hint="eastAsia" w:ascii="宋体" w:hAnsi="宋体" w:eastAsia="宋体" w:cs="宋体"/>
                <w:b w:val="0"/>
                <w:bCs w:val="0"/>
                <w:sz w:val="22"/>
                <w:szCs w:val="22"/>
                <w:highlight w:val="yellow"/>
              </w:rPr>
              <w:t>②保密责任与赔偿承诺。</w:t>
            </w:r>
          </w:p>
          <w:p w14:paraId="3631B4E2">
            <w:pPr>
              <w:spacing w:line="360" w:lineRule="auto"/>
              <w:jc w:val="left"/>
              <w:rPr>
                <w:rFonts w:hint="eastAsia" w:ascii="宋体" w:hAnsi="宋体" w:eastAsia="宋体" w:cs="宋体"/>
                <w:sz w:val="22"/>
                <w:szCs w:val="22"/>
              </w:rPr>
            </w:pPr>
            <w:r>
              <w:rPr>
                <w:rFonts w:hint="eastAsia" w:ascii="宋体" w:hAnsi="宋体" w:eastAsia="宋体" w:cs="宋体"/>
                <w:sz w:val="22"/>
                <w:szCs w:val="22"/>
              </w:rPr>
              <w:t>方案各部分内容全面详细、阐述条理清晰详尽、符合本项目采购需求得</w:t>
            </w:r>
            <w:r>
              <w:rPr>
                <w:rFonts w:hint="eastAsia" w:ascii="宋体" w:hAnsi="宋体" w:eastAsia="宋体" w:cs="宋体"/>
                <w:sz w:val="22"/>
                <w:szCs w:val="22"/>
                <w:lang w:val="en-US" w:eastAsia="zh-CN"/>
              </w:rPr>
              <w:t>10</w:t>
            </w:r>
            <w:r>
              <w:rPr>
                <w:rFonts w:hint="eastAsia" w:ascii="宋体" w:hAnsi="宋体" w:eastAsia="宋体" w:cs="宋体"/>
                <w:sz w:val="22"/>
                <w:szCs w:val="22"/>
              </w:rPr>
              <w:t>分;方案内容每缺一项扣</w:t>
            </w:r>
            <w:r>
              <w:rPr>
                <w:rFonts w:hint="eastAsia" w:ascii="宋体" w:hAnsi="宋体" w:eastAsia="宋体" w:cs="宋体"/>
                <w:sz w:val="22"/>
                <w:szCs w:val="22"/>
                <w:lang w:val="en-US" w:eastAsia="zh-CN"/>
              </w:rPr>
              <w:t>5</w:t>
            </w:r>
            <w:r>
              <w:rPr>
                <w:rFonts w:hint="eastAsia" w:ascii="宋体" w:hAnsi="宋体" w:eastAsia="宋体" w:cs="宋体"/>
                <w:sz w:val="22"/>
                <w:szCs w:val="22"/>
              </w:rPr>
              <w:t>分，扣完为止；方案某一项内容中有缺陷的(缺陷是指以下情形:①内容描述过于简单②条理不清晰③与项目内容不匹配④凭空编造⑤出现常识性错误⑥不可能实现的夸大情形⑦存在不适用项目实际情况的情形等)，该项方案内容中每出现一种前述情形的缺陷扣</w:t>
            </w:r>
            <w:r>
              <w:rPr>
                <w:rFonts w:hint="eastAsia" w:ascii="宋体" w:hAnsi="宋体" w:eastAsia="宋体" w:cs="宋体"/>
                <w:sz w:val="22"/>
                <w:szCs w:val="22"/>
                <w:lang w:val="en-US" w:eastAsia="zh-CN"/>
              </w:rPr>
              <w:t>1</w:t>
            </w:r>
            <w:r>
              <w:rPr>
                <w:rFonts w:hint="eastAsia" w:ascii="宋体" w:hAnsi="宋体" w:eastAsia="宋体" w:cs="宋体"/>
                <w:sz w:val="22"/>
                <w:szCs w:val="22"/>
              </w:rPr>
              <w:t>分，扣完为止。</w:t>
            </w:r>
          </w:p>
        </w:tc>
      </w:tr>
      <w:tr w14:paraId="0856E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97" w:type="dxa"/>
            <w:vMerge w:val="continue"/>
            <w:vAlign w:val="center"/>
          </w:tcPr>
          <w:p w14:paraId="0AAAEF0D">
            <w:pPr>
              <w:overflowPunct w:val="0"/>
              <w:topLinePunct/>
              <w:spacing w:line="360" w:lineRule="auto"/>
              <w:jc w:val="center"/>
              <w:rPr>
                <w:rFonts w:hint="eastAsia" w:ascii="宋体" w:hAnsi="宋体" w:eastAsia="宋体" w:cs="宋体"/>
                <w:sz w:val="22"/>
              </w:rPr>
            </w:pPr>
          </w:p>
        </w:tc>
        <w:tc>
          <w:tcPr>
            <w:tcW w:w="812" w:type="dxa"/>
            <w:vAlign w:val="center"/>
          </w:tcPr>
          <w:p w14:paraId="5D39DECF">
            <w:pPr>
              <w:spacing w:line="360" w:lineRule="auto"/>
              <w:jc w:val="center"/>
              <w:rPr>
                <w:rFonts w:hint="eastAsia" w:ascii="宋体" w:hAnsi="宋体" w:eastAsia="宋体" w:cs="宋体"/>
                <w:sz w:val="22"/>
              </w:rPr>
            </w:pPr>
            <w:r>
              <w:rPr>
                <w:rFonts w:hint="eastAsia" w:ascii="宋体" w:hAnsi="宋体" w:eastAsia="宋体" w:cs="宋体"/>
                <w:sz w:val="22"/>
              </w:rPr>
              <w:t>5</w:t>
            </w:r>
          </w:p>
        </w:tc>
        <w:tc>
          <w:tcPr>
            <w:tcW w:w="7750" w:type="dxa"/>
            <w:vAlign w:val="center"/>
          </w:tcPr>
          <w:p w14:paraId="64815ED6">
            <w:pPr>
              <w:spacing w:line="360" w:lineRule="auto"/>
              <w:jc w:val="left"/>
              <w:rPr>
                <w:rFonts w:hint="eastAsia" w:ascii="宋体" w:hAnsi="宋体" w:eastAsia="宋体" w:cs="宋体"/>
                <w:b/>
                <w:bCs/>
                <w:sz w:val="22"/>
                <w:szCs w:val="22"/>
                <w:lang w:val="zh-CN"/>
              </w:rPr>
            </w:pPr>
            <w:r>
              <w:rPr>
                <w:rFonts w:hint="eastAsia" w:ascii="宋体" w:hAnsi="宋体" w:eastAsia="宋体" w:cs="宋体"/>
                <w:b/>
                <w:bCs/>
                <w:sz w:val="22"/>
                <w:szCs w:val="22"/>
                <w:lang w:val="zh-CN"/>
              </w:rPr>
              <w:t>业绩：</w:t>
            </w:r>
          </w:p>
          <w:p w14:paraId="0EFE61C1">
            <w:pPr>
              <w:spacing w:line="360" w:lineRule="auto"/>
              <w:jc w:val="left"/>
              <w:rPr>
                <w:rFonts w:hint="eastAsia" w:ascii="宋体" w:hAnsi="宋体" w:eastAsia="宋体" w:cs="宋体"/>
                <w:sz w:val="22"/>
                <w:szCs w:val="22"/>
              </w:rPr>
            </w:pPr>
            <w:r>
              <w:rPr>
                <w:rFonts w:hint="eastAsia" w:ascii="宋体" w:hAnsi="宋体" w:eastAsia="宋体" w:cs="宋体"/>
                <w:sz w:val="22"/>
                <w:szCs w:val="22"/>
              </w:rPr>
              <w:t>提供202</w:t>
            </w:r>
            <w:r>
              <w:rPr>
                <w:rFonts w:hint="eastAsia" w:ascii="宋体" w:hAnsi="宋体" w:eastAsia="宋体" w:cs="宋体"/>
                <w:sz w:val="22"/>
                <w:szCs w:val="22"/>
                <w:lang w:val="en-US" w:eastAsia="zh-CN"/>
              </w:rPr>
              <w:t>3</w:t>
            </w:r>
            <w:r>
              <w:rPr>
                <w:rFonts w:hint="eastAsia" w:ascii="宋体" w:hAnsi="宋体" w:eastAsia="宋体" w:cs="宋体"/>
                <w:sz w:val="22"/>
                <w:szCs w:val="22"/>
              </w:rPr>
              <w:t>年1月1日起至今类似业绩合同</w:t>
            </w:r>
            <w:r>
              <w:rPr>
                <w:rFonts w:hint="eastAsia" w:ascii="宋体" w:hAnsi="宋体" w:eastAsia="宋体" w:cs="宋体"/>
                <w:sz w:val="22"/>
                <w:szCs w:val="22"/>
                <w:lang w:eastAsia="zh-CN"/>
              </w:rPr>
              <w:t>（软件测试类）</w:t>
            </w:r>
            <w:r>
              <w:rPr>
                <w:rFonts w:hint="eastAsia" w:ascii="宋体" w:hAnsi="宋体" w:eastAsia="宋体" w:cs="宋体"/>
                <w:sz w:val="22"/>
                <w:szCs w:val="22"/>
              </w:rPr>
              <w:t>，以加盖公章的复印件为准，每提供一份计1分，最多计</w:t>
            </w:r>
            <w:r>
              <w:rPr>
                <w:rFonts w:hint="eastAsia" w:ascii="宋体" w:hAnsi="宋体" w:eastAsia="宋体" w:cs="宋体"/>
                <w:sz w:val="22"/>
                <w:szCs w:val="22"/>
                <w:lang w:eastAsia="zh-CN"/>
              </w:rPr>
              <w:t>5</w:t>
            </w:r>
            <w:r>
              <w:rPr>
                <w:rFonts w:hint="eastAsia" w:ascii="宋体" w:hAnsi="宋体" w:eastAsia="宋体" w:cs="宋体"/>
                <w:sz w:val="22"/>
                <w:szCs w:val="22"/>
              </w:rPr>
              <w:t>分。</w:t>
            </w:r>
          </w:p>
        </w:tc>
      </w:tr>
      <w:tr w14:paraId="794B8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59" w:type="dxa"/>
            <w:gridSpan w:val="3"/>
            <w:vAlign w:val="center"/>
          </w:tcPr>
          <w:p w14:paraId="76126291">
            <w:pPr>
              <w:pStyle w:val="16"/>
              <w:widowControl/>
              <w:spacing w:line="360" w:lineRule="auto"/>
              <w:rPr>
                <w:rFonts w:hint="eastAsia" w:ascii="宋体" w:hAnsi="宋体" w:eastAsia="宋体" w:cs="宋体"/>
                <w:sz w:val="22"/>
              </w:rPr>
            </w:pPr>
            <w:r>
              <w:rPr>
                <w:rFonts w:hint="eastAsia" w:ascii="宋体" w:hAnsi="宋体" w:eastAsia="宋体" w:cs="宋体"/>
                <w:sz w:val="22"/>
                <w:szCs w:val="22"/>
              </w:rPr>
              <w:t>注：证明材料以复印件装订于</w:t>
            </w:r>
            <w:r>
              <w:rPr>
                <w:rFonts w:hint="eastAsia" w:ascii="宋体" w:hAnsi="宋体" w:eastAsia="宋体" w:cs="宋体"/>
                <w:sz w:val="22"/>
                <w:szCs w:val="22"/>
                <w:lang w:eastAsia="zh-CN"/>
              </w:rPr>
              <w:t>响应文件</w:t>
            </w:r>
            <w:r>
              <w:rPr>
                <w:rFonts w:hint="eastAsia" w:ascii="宋体" w:hAnsi="宋体" w:eastAsia="宋体" w:cs="宋体"/>
                <w:sz w:val="22"/>
                <w:szCs w:val="22"/>
              </w:rPr>
              <w:t>中，无证明材料或材料不清晰引起的无效不计分等，责任由供应商自行承担；</w:t>
            </w:r>
            <w:r>
              <w:rPr>
                <w:rFonts w:hint="eastAsia" w:ascii="宋体" w:hAnsi="宋体" w:eastAsia="宋体" w:cs="宋体"/>
                <w:sz w:val="22"/>
                <w:szCs w:val="22"/>
                <w:lang w:eastAsia="zh-CN"/>
              </w:rPr>
              <w:t>评标委员会</w:t>
            </w:r>
            <w:r>
              <w:rPr>
                <w:rFonts w:hint="eastAsia" w:ascii="宋体" w:hAnsi="宋体" w:eastAsia="宋体" w:cs="宋体"/>
                <w:sz w:val="22"/>
                <w:szCs w:val="22"/>
              </w:rPr>
              <w:t>将根据</w:t>
            </w:r>
            <w:r>
              <w:rPr>
                <w:rFonts w:hint="eastAsia" w:ascii="宋体" w:hAnsi="宋体" w:eastAsia="宋体" w:cs="宋体"/>
                <w:sz w:val="22"/>
                <w:szCs w:val="22"/>
                <w:lang w:eastAsia="zh-CN"/>
              </w:rPr>
              <w:t>响应文件</w:t>
            </w:r>
            <w:r>
              <w:rPr>
                <w:rFonts w:hint="eastAsia" w:ascii="宋体" w:hAnsi="宋体" w:eastAsia="宋体" w:cs="宋体"/>
                <w:sz w:val="22"/>
                <w:szCs w:val="22"/>
              </w:rPr>
              <w:t>的响应程度按差别独立计分；本评分要素一览表满分100分。</w:t>
            </w:r>
          </w:p>
        </w:tc>
      </w:tr>
    </w:tbl>
    <w:p w14:paraId="28E1862F">
      <w:pPr>
        <w:pStyle w:val="4"/>
        <w:spacing w:line="360" w:lineRule="auto"/>
      </w:pPr>
    </w:p>
    <w:p w14:paraId="2B25FEF5">
      <w:pPr>
        <w:spacing w:line="360" w:lineRule="auto"/>
        <w:sectPr>
          <w:headerReference r:id="rId21" w:type="default"/>
          <w:footerReference r:id="rId22" w:type="default"/>
          <w:pgSz w:w="11906" w:h="16839"/>
          <w:pgMar w:top="1166" w:right="784" w:bottom="1166" w:left="784" w:header="829" w:footer="952" w:gutter="0"/>
          <w:cols w:space="720" w:num="1"/>
        </w:sectPr>
      </w:pPr>
    </w:p>
    <w:p w14:paraId="5E8E6355">
      <w:pPr>
        <w:pStyle w:val="4"/>
        <w:spacing w:line="360" w:lineRule="auto"/>
      </w:pPr>
    </w:p>
    <w:p w14:paraId="52DCA878">
      <w:pPr>
        <w:spacing w:before="91" w:line="360" w:lineRule="auto"/>
        <w:ind w:left="3409"/>
        <w:outlineLvl w:val="0"/>
        <w:rPr>
          <w:rFonts w:ascii="宋体" w:hAnsi="宋体" w:eastAsia="宋体" w:cs="宋体"/>
          <w:sz w:val="28"/>
          <w:szCs w:val="28"/>
        </w:rPr>
      </w:pPr>
      <w:bookmarkStart w:id="25" w:name="bookmark11"/>
      <w:bookmarkEnd w:id="25"/>
      <w:bookmarkStart w:id="26" w:name="_Toc18512"/>
      <w:r>
        <w:rPr>
          <w:rFonts w:ascii="宋体" w:hAnsi="宋体" w:eastAsia="宋体" w:cs="宋体"/>
          <w:b/>
          <w:bCs/>
          <w:spacing w:val="-3"/>
          <w:sz w:val="28"/>
          <w:szCs w:val="28"/>
        </w:rPr>
        <w:t>第五章</w:t>
      </w:r>
      <w:r>
        <w:rPr>
          <w:rFonts w:ascii="宋体" w:hAnsi="宋体" w:eastAsia="宋体" w:cs="宋体"/>
          <w:spacing w:val="-3"/>
          <w:sz w:val="28"/>
          <w:szCs w:val="28"/>
        </w:rPr>
        <w:t xml:space="preserve"> </w:t>
      </w:r>
      <w:r>
        <w:rPr>
          <w:rFonts w:ascii="宋体" w:hAnsi="宋体" w:eastAsia="宋体" w:cs="宋体"/>
          <w:b/>
          <w:bCs/>
          <w:spacing w:val="-3"/>
          <w:sz w:val="28"/>
          <w:szCs w:val="28"/>
        </w:rPr>
        <w:t>采购内容及要求</w:t>
      </w:r>
      <w:bookmarkEnd w:id="26"/>
    </w:p>
    <w:p w14:paraId="50523E57">
      <w:pPr>
        <w:spacing w:line="360" w:lineRule="auto"/>
        <w:jc w:val="center"/>
        <w:rPr>
          <w:rFonts w:hint="eastAsia" w:ascii="宋体" w:hAnsi="宋体" w:eastAsia="宋体" w:cs="宋体"/>
          <w:sz w:val="24"/>
          <w:szCs w:val="24"/>
          <w:lang w:val="en-US" w:eastAsia="zh-CN"/>
        </w:rPr>
      </w:pPr>
      <w:r>
        <w:rPr>
          <w:rFonts w:hint="eastAsia" w:ascii="宋体" w:hAnsi="宋体" w:eastAsia="宋体" w:cs="宋体"/>
          <w:b/>
          <w:bCs/>
          <w:color w:val="auto"/>
          <w:sz w:val="36"/>
          <w:szCs w:val="36"/>
          <w:highlight w:val="none"/>
          <w:lang w:val="en-US" w:eastAsia="zh-CN"/>
        </w:rPr>
        <w:t>一、软件测试服务</w:t>
      </w:r>
    </w:p>
    <w:p w14:paraId="1F800E8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1.项目目标</w:t>
      </w:r>
    </w:p>
    <w:p w14:paraId="6E8A59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1.1按照国家或行业相关要求、技术合同以及</w:t>
      </w:r>
      <w:r>
        <w:rPr>
          <w:rFonts w:hint="eastAsia" w:ascii="宋体" w:hAnsi="宋体" w:eastAsia="宋体" w:cs="宋体"/>
          <w:b/>
          <w:bCs/>
          <w:color w:val="auto"/>
          <w:sz w:val="24"/>
          <w:szCs w:val="24"/>
          <w:highlight w:val="none"/>
          <w:lang w:val="en-US" w:eastAsia="zh-CN"/>
        </w:rPr>
        <w:t>杨凌农业科技成果转化综合信息服务平台项目</w:t>
      </w:r>
      <w:r>
        <w:rPr>
          <w:rFonts w:hint="eastAsia" w:ascii="宋体" w:hAnsi="宋体" w:eastAsia="宋体" w:cs="宋体"/>
          <w:b w:val="0"/>
          <w:bCs w:val="0"/>
          <w:color w:val="auto"/>
          <w:sz w:val="24"/>
          <w:szCs w:val="24"/>
          <w:highlight w:val="none"/>
          <w:lang w:val="en-US" w:eastAsia="zh-CN"/>
        </w:rPr>
        <w:t>采购文件、承建方提供的投标文件、项目设计文档等资料中的技术要求进行检测。</w:t>
      </w:r>
    </w:p>
    <w:p w14:paraId="15311C2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1.2成交供应商所有检测服务完成后，出具具有法律效力的第三方检测报告，报告的内容根据相关标准结合开发实施项目的招投标文件和合同书，对各项指标合格与否作出评判。</w:t>
      </w:r>
    </w:p>
    <w:p w14:paraId="0C9F55FE">
      <w:pPr>
        <w:pStyle w:val="13"/>
        <w:keepNext w:val="0"/>
        <w:keepLines w:val="0"/>
        <w:pageBreakBefore w:val="0"/>
        <w:numPr>
          <w:ilvl w:val="0"/>
          <w:numId w:val="0"/>
        </w:numPr>
        <w:kinsoku/>
        <w:wordWrap/>
        <w:overflowPunct/>
        <w:topLinePunct w:val="0"/>
        <w:autoSpaceDE/>
        <w:autoSpaceDN/>
        <w:bidi w:val="0"/>
        <w:adjustRightInd/>
        <w:snapToGrid/>
        <w:spacing w:before="89" w:line="360" w:lineRule="auto"/>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2"/>
          <w:sz w:val="24"/>
          <w:szCs w:val="24"/>
          <w:lang w:val="en-US" w:eastAsia="zh-CN" w:bidi="ar-SA"/>
        </w:rPr>
        <w:t>1.3</w:t>
      </w:r>
      <w:r>
        <w:rPr>
          <w:rFonts w:hint="eastAsia" w:ascii="宋体" w:hAnsi="宋体" w:eastAsia="宋体" w:cs="宋体"/>
          <w:b w:val="0"/>
          <w:bCs w:val="0"/>
          <w:color w:val="auto"/>
          <w:sz w:val="24"/>
          <w:szCs w:val="24"/>
          <w:highlight w:val="none"/>
          <w:lang w:val="en-US" w:eastAsia="zh-CN"/>
        </w:rPr>
        <w:t>成交供应商对所出具的检验报告真实性及有效性负责。如因该报告失实或无效造成采购人损失，成交供应商承担违约责任并赔偿相应损失。</w:t>
      </w:r>
    </w:p>
    <w:p w14:paraId="314A653E">
      <w:pPr>
        <w:pStyle w:val="2"/>
        <w:spacing w:before="120" w:after="120" w:line="360" w:lineRule="auto"/>
        <w:ind w:firstLine="482" w:firstLineChars="200"/>
        <w:rPr>
          <w:rFonts w:hint="eastAsia" w:ascii="宋体" w:hAnsi="宋体" w:eastAsia="宋体" w:cstheme="minorBidi"/>
          <w:b/>
          <w:bCs/>
          <w:color w:val="auto"/>
          <w:sz w:val="24"/>
          <w:szCs w:val="24"/>
        </w:rPr>
      </w:pPr>
      <w:bookmarkStart w:id="27" w:name="_Toc8958"/>
      <w:r>
        <w:rPr>
          <w:rFonts w:hint="eastAsia" w:ascii="宋体" w:hAnsi="宋体" w:eastAsia="宋体" w:cstheme="minorBidi"/>
          <w:b/>
          <w:bCs/>
          <w:color w:val="auto"/>
          <w:sz w:val="24"/>
          <w:szCs w:val="24"/>
          <w:lang w:val="en-US" w:eastAsia="zh-CN"/>
        </w:rPr>
        <w:t>2.</w:t>
      </w:r>
      <w:r>
        <w:rPr>
          <w:rFonts w:hint="eastAsia" w:ascii="宋体" w:hAnsi="宋体" w:eastAsia="宋体" w:cstheme="minorBidi"/>
          <w:b/>
          <w:bCs/>
          <w:color w:val="auto"/>
          <w:sz w:val="24"/>
          <w:szCs w:val="24"/>
        </w:rPr>
        <w:t>技术要求</w:t>
      </w:r>
      <w:bookmarkEnd w:id="27"/>
    </w:p>
    <w:p w14:paraId="43496B9F">
      <w:pPr>
        <w:pStyle w:val="3"/>
        <w:numPr>
          <w:ilvl w:val="-1"/>
          <w:numId w:val="0"/>
        </w:numPr>
        <w:spacing w:line="360" w:lineRule="auto"/>
        <w:ind w:firstLine="482" w:firstLineChars="200"/>
        <w:rPr>
          <w:rFonts w:hint="eastAsia" w:ascii="宋体" w:hAnsi="宋体" w:eastAsia="宋体" w:cstheme="minorBidi"/>
          <w:b/>
          <w:bCs/>
          <w:color w:val="auto"/>
          <w:sz w:val="24"/>
          <w:szCs w:val="24"/>
        </w:rPr>
      </w:pPr>
      <w:bookmarkStart w:id="28" w:name="_Toc9151"/>
      <w:r>
        <w:rPr>
          <w:rFonts w:hint="eastAsia" w:ascii="宋体" w:hAnsi="宋体" w:eastAsia="宋体" w:cstheme="minorBidi"/>
          <w:b/>
          <w:bCs/>
          <w:color w:val="auto"/>
          <w:sz w:val="24"/>
          <w:szCs w:val="24"/>
          <w:lang w:eastAsia="zh-CN"/>
        </w:rPr>
        <w:t>（</w:t>
      </w:r>
      <w:r>
        <w:rPr>
          <w:rFonts w:hint="eastAsia" w:ascii="宋体" w:hAnsi="宋体" w:eastAsia="宋体" w:cstheme="minorBidi"/>
          <w:b/>
          <w:bCs/>
          <w:color w:val="auto"/>
          <w:sz w:val="24"/>
          <w:szCs w:val="24"/>
          <w:lang w:val="en-US" w:eastAsia="zh-CN"/>
        </w:rPr>
        <w:t>1</w:t>
      </w:r>
      <w:r>
        <w:rPr>
          <w:rFonts w:hint="eastAsia" w:ascii="宋体" w:hAnsi="宋体" w:eastAsia="宋体" w:cstheme="minorBidi"/>
          <w:b/>
          <w:bCs/>
          <w:color w:val="auto"/>
          <w:sz w:val="24"/>
          <w:szCs w:val="24"/>
          <w:lang w:eastAsia="zh-CN"/>
        </w:rPr>
        <w:t>）</w:t>
      </w:r>
      <w:r>
        <w:rPr>
          <w:rFonts w:hint="eastAsia" w:ascii="宋体" w:hAnsi="宋体" w:eastAsia="宋体" w:cstheme="minorBidi"/>
          <w:b/>
          <w:bCs/>
          <w:color w:val="auto"/>
          <w:sz w:val="24"/>
          <w:szCs w:val="24"/>
        </w:rPr>
        <w:t>测试原则</w:t>
      </w:r>
      <w:bookmarkEnd w:id="28"/>
    </w:p>
    <w:p w14:paraId="71C5604B">
      <w:pPr>
        <w:spacing w:line="360" w:lineRule="auto"/>
        <w:ind w:firstLine="480" w:firstLineChars="200"/>
        <w:rPr>
          <w:rFonts w:hint="eastAsia" w:ascii="宋体" w:hAnsi="宋体" w:eastAsia="宋体"/>
          <w:sz w:val="24"/>
        </w:rPr>
      </w:pPr>
      <w:r>
        <w:rPr>
          <w:rFonts w:hint="eastAsia" w:ascii="宋体" w:hAnsi="宋体" w:eastAsia="宋体"/>
          <w:sz w:val="24"/>
        </w:rPr>
        <w:t>为保证项目目标的顺利实现，测试实施过程中必须遵循以下原则：</w:t>
      </w:r>
    </w:p>
    <w:p w14:paraId="3238C7E5">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1.1客观公正性原则</w:t>
      </w:r>
    </w:p>
    <w:p w14:paraId="16751EC9">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实施方应遵循“面向应用、保证质量、客观公正、诚信守诺”的原则开展软件评测工作。供应商测试过程中，测试人员应无偏见，无个人情感开展测试工作，避免不利于客观公正因素的影响，在最小主观判断情形下，按照测评双方相互认可的测试方案，基于明确定义的测评方式和解释，实施测评活动。</w:t>
      </w:r>
    </w:p>
    <w:p w14:paraId="21EE7CA1">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1.2标准性原则</w:t>
      </w:r>
    </w:p>
    <w:p w14:paraId="13EC91C2">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实施方应依据相关国家标准、行业标准开展评测工作。本评测要求所使用的标准和规范供应商如与实施方所执行的标准不一致时，按较高标准执行。</w:t>
      </w:r>
    </w:p>
    <w:p w14:paraId="33D0B624">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1.3效益性原则</w:t>
      </w:r>
    </w:p>
    <w:p w14:paraId="4FE29993">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符合成本效益原则，投资收益最大化，充分利用设备、人力和技术等资源满足测试要求。</w:t>
      </w:r>
    </w:p>
    <w:p w14:paraId="19819F40">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1.4优质服务原则</w:t>
      </w:r>
    </w:p>
    <w:p w14:paraId="46C9F136">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本评测要求实施方提供的是最低限度的要求，实施方应保证提供符合本评测要求和有关供应商标准的优质服务，并确保评测报告符合项目验收的所有要求。</w:t>
      </w:r>
    </w:p>
    <w:p w14:paraId="54018DA2">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1.5保密原则</w:t>
      </w:r>
    </w:p>
    <w:p w14:paraId="57C6FE24">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对评测服务过程中接触到的各种信息，不得泄漏给任何单位和个人，未经允许不得利用供应商这些信息从事与服务无关的活动。所有直接或间接参与系统测试的人员必须配合签署符合供应商购人内部管理需要的保密协议。</w:t>
      </w:r>
    </w:p>
    <w:p w14:paraId="23CAC71B">
      <w:pPr>
        <w:pStyle w:val="3"/>
        <w:numPr>
          <w:ilvl w:val="-1"/>
          <w:numId w:val="0"/>
        </w:numPr>
        <w:spacing w:line="360" w:lineRule="auto"/>
        <w:ind w:firstLine="482" w:firstLineChars="200"/>
        <w:rPr>
          <w:rFonts w:hint="eastAsia" w:ascii="宋体" w:hAnsi="宋体" w:eastAsia="宋体" w:cstheme="minorBidi"/>
          <w:b/>
          <w:bCs/>
          <w:color w:val="auto"/>
          <w:sz w:val="24"/>
          <w:szCs w:val="24"/>
        </w:rPr>
      </w:pPr>
      <w:bookmarkStart w:id="29" w:name="_Toc21324"/>
      <w:r>
        <w:rPr>
          <w:rFonts w:hint="eastAsia" w:ascii="宋体" w:hAnsi="宋体" w:eastAsia="宋体" w:cstheme="minorBidi"/>
          <w:b/>
          <w:bCs/>
          <w:color w:val="auto"/>
          <w:sz w:val="24"/>
          <w:szCs w:val="24"/>
          <w:lang w:eastAsia="zh-CN"/>
        </w:rPr>
        <w:t>（</w:t>
      </w:r>
      <w:r>
        <w:rPr>
          <w:rFonts w:hint="eastAsia" w:ascii="宋体" w:hAnsi="宋体" w:eastAsia="宋体" w:cstheme="minorBidi"/>
          <w:b/>
          <w:bCs/>
          <w:color w:val="auto"/>
          <w:sz w:val="24"/>
          <w:szCs w:val="24"/>
          <w:lang w:val="en-US" w:eastAsia="zh-CN"/>
        </w:rPr>
        <w:t>2</w:t>
      </w:r>
      <w:r>
        <w:rPr>
          <w:rFonts w:hint="eastAsia" w:ascii="宋体" w:hAnsi="宋体" w:eastAsia="宋体" w:cstheme="minorBidi"/>
          <w:b/>
          <w:bCs/>
          <w:color w:val="auto"/>
          <w:sz w:val="24"/>
          <w:szCs w:val="24"/>
          <w:lang w:eastAsia="zh-CN"/>
        </w:rPr>
        <w:t>）</w:t>
      </w:r>
      <w:r>
        <w:rPr>
          <w:rFonts w:hint="eastAsia" w:ascii="宋体" w:hAnsi="宋体" w:eastAsia="宋体" w:cstheme="minorBidi"/>
          <w:b/>
          <w:bCs/>
          <w:color w:val="auto"/>
          <w:sz w:val="24"/>
          <w:szCs w:val="24"/>
        </w:rPr>
        <w:t>服务内容及质量要求</w:t>
      </w:r>
      <w:bookmarkEnd w:id="29"/>
    </w:p>
    <w:p w14:paraId="1C72D5BD">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 xml:space="preserve"> 依据国家标准及系统需求规格说明书的要求检查系统，对系统功能、性能、安全等方面进行专业的测试，全面保障信息化工程质量，为工程完工质量评定提供重要依据。</w:t>
      </w:r>
    </w:p>
    <w:p w14:paraId="181EB45D">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lang w:val="en-US" w:eastAsia="zh-CN"/>
        </w:rPr>
        <w:t>2.</w:t>
      </w:r>
      <w:r>
        <w:rPr>
          <w:rFonts w:hint="eastAsia" w:ascii="宋体" w:hAnsi="宋体" w:eastAsia="宋体"/>
          <w:sz w:val="24"/>
        </w:rPr>
        <w:t>1、标准依据</w:t>
      </w:r>
    </w:p>
    <w:p w14:paraId="512BBAB7">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 xml:space="preserve">软件测试服务的实施流程和技术方法必须严格执行国家相关标准规范，包括但不限于以下： </w:t>
      </w:r>
    </w:p>
    <w:p w14:paraId="0E77F462">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（1）《系统与软件工程软件测试》系列标准（GB/T 38634-2020）</w:t>
      </w:r>
    </w:p>
    <w:p w14:paraId="068AF977">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（2）《系统与软件工程系统与软件质量要求和评价》（GB/T 25000.10-2016）</w:t>
      </w:r>
    </w:p>
    <w:p w14:paraId="7710BFB3">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（3）《信息技术软件工程术语》（GB/T 11457-2006）</w:t>
      </w:r>
    </w:p>
    <w:p w14:paraId="24E72ACB">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（4）《信息安全技术信息安全风险评估规范》（GB/T 20984-2007）</w:t>
      </w:r>
    </w:p>
    <w:p w14:paraId="4A473DD4">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 xml:space="preserve">（5）《软件需求规格说明书》 </w:t>
      </w:r>
    </w:p>
    <w:p w14:paraId="3B034FF0">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 xml:space="preserve">（6）《系统详细设计文档》 </w:t>
      </w:r>
    </w:p>
    <w:p w14:paraId="67744945">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（7）采购人出具的相关行业标准及其他具体意见和要求</w:t>
      </w:r>
    </w:p>
    <w:p w14:paraId="4CD5384A">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lang w:val="en-US" w:eastAsia="zh-CN"/>
        </w:rPr>
        <w:t>2.</w:t>
      </w:r>
      <w:r>
        <w:rPr>
          <w:rFonts w:hint="eastAsia" w:ascii="宋体" w:hAnsi="宋体" w:eastAsia="宋体"/>
          <w:sz w:val="24"/>
        </w:rPr>
        <w:t xml:space="preserve">2、软件测试总体要求和工作原则 </w:t>
      </w:r>
    </w:p>
    <w:p w14:paraId="7E9C6278">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供应商应遵循信息化项目建设软件测试服务的有关文件及规范，做好项目软件质量测试工作，对项目质量负责。供应商应通过测试工作找出存在不足和缺失的地方，为系统建设提供安全保障。</w:t>
      </w:r>
    </w:p>
    <w:p w14:paraId="50C65A17">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 xml:space="preserve"> 软件测试总体要求如下： </w:t>
      </w:r>
    </w:p>
    <w:p w14:paraId="69EADCC4">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 xml:space="preserve">（1）规范各系统文档资料，协调测试计划时间安排，组织实施测试工作。根据测试结果，编写并提交测试报告。 </w:t>
      </w:r>
    </w:p>
    <w:p w14:paraId="3D434A90">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 xml:space="preserve">（2）严格管理项目参加人员，把控方案、计划、实施工作，合理安排软件测试计划，确保测试工作按时保质完成。 </w:t>
      </w:r>
    </w:p>
    <w:p w14:paraId="194C1093">
      <w:pPr>
        <w:spacing w:before="156" w:beforeLines="50" w:after="156" w:afterLines="50" w:line="360" w:lineRule="auto"/>
        <w:ind w:firstLine="480" w:firstLineChars="200"/>
        <w:rPr>
          <w:rFonts w:ascii="宋体" w:hAnsi="宋体" w:eastAsia="宋体"/>
          <w:sz w:val="24"/>
        </w:rPr>
      </w:pPr>
      <w:r>
        <w:rPr>
          <w:rFonts w:hint="eastAsia" w:ascii="宋体" w:hAnsi="宋体" w:eastAsia="宋体"/>
          <w:sz w:val="24"/>
        </w:rPr>
        <w:t>（3）根据信息系统需求、系统设计编写测试用例、测试报告等相关文档，确保文档质量。</w:t>
      </w:r>
    </w:p>
    <w:p w14:paraId="11BF94A8">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（4）在测试过程中报告发现的缺陷并实时提出优化建议，在系统承建方完成整改后进行一轮回归测试，验证缺陷和优化建议已得到正确处理且未引入新的缺陷。</w:t>
      </w:r>
    </w:p>
    <w:p w14:paraId="60693466">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 xml:space="preserve">（4）通过实施软件测试，发现和找出系统开发阶段未满足项目设计要求并且影响上线使用的开发设计缺陷。 </w:t>
      </w:r>
    </w:p>
    <w:p w14:paraId="03F2E34D">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 xml:space="preserve">软件测试工作原则如下： </w:t>
      </w:r>
    </w:p>
    <w:p w14:paraId="1B988D49">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 xml:space="preserve">（1）公平原则：供应商应遵循“面向应用、保证质量、客观公正、诚信守诺”的原则开展软件测试工作。 </w:t>
      </w:r>
    </w:p>
    <w:p w14:paraId="65D45749">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（2）标准性原则：供应商应依据相关国家标准、行业标准开展测试工作。本测试要求所使用的标准和规范如与供应商所执行的标准不一致时，按较高标准执行。</w:t>
      </w:r>
    </w:p>
    <w:p w14:paraId="427C4AF5">
      <w:pPr>
        <w:spacing w:before="156" w:beforeLines="50" w:after="156" w:afterLines="50" w:line="360" w:lineRule="auto"/>
        <w:ind w:firstLine="480" w:firstLineChars="200"/>
        <w:rPr>
          <w:rFonts w:ascii="宋体" w:hAnsi="宋体" w:eastAsia="宋体"/>
          <w:sz w:val="24"/>
        </w:rPr>
      </w:pPr>
      <w:r>
        <w:rPr>
          <w:rFonts w:hint="eastAsia" w:ascii="宋体" w:hAnsi="宋体" w:eastAsia="宋体"/>
          <w:sz w:val="24"/>
        </w:rPr>
        <w:t>（3）优质服务原则：供应商应保证提供符合本项目软件测试要求和有关标准的优质服务。</w:t>
      </w:r>
    </w:p>
    <w:p w14:paraId="0630CFE1">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（4）保密原则：对测试服务过程中接触到的各种信息，不得泄漏给任何单位和个人，未经允许不得利用这些信息从事与服务无关的活动。</w:t>
      </w:r>
    </w:p>
    <w:p w14:paraId="1D36DEFA">
      <w:pPr>
        <w:pStyle w:val="3"/>
        <w:numPr>
          <w:ilvl w:val="-1"/>
          <w:numId w:val="0"/>
        </w:numPr>
        <w:spacing w:line="360" w:lineRule="auto"/>
        <w:ind w:firstLine="482" w:firstLineChars="200"/>
        <w:rPr>
          <w:rFonts w:hint="eastAsia" w:ascii="宋体" w:hAnsi="宋体" w:eastAsia="宋体" w:cstheme="minorBidi"/>
          <w:b/>
          <w:bCs/>
          <w:color w:val="auto"/>
          <w:sz w:val="24"/>
          <w:szCs w:val="24"/>
        </w:rPr>
      </w:pPr>
      <w:bookmarkStart w:id="30" w:name="_Toc17068"/>
      <w:r>
        <w:rPr>
          <w:rFonts w:hint="eastAsia" w:ascii="宋体" w:hAnsi="宋体" w:eastAsia="宋体" w:cstheme="minorBidi"/>
          <w:b/>
          <w:bCs/>
          <w:color w:val="auto"/>
          <w:sz w:val="24"/>
          <w:szCs w:val="24"/>
          <w:lang w:eastAsia="zh-CN"/>
        </w:rPr>
        <w:t>（</w:t>
      </w:r>
      <w:r>
        <w:rPr>
          <w:rFonts w:hint="eastAsia" w:ascii="宋体" w:hAnsi="宋体" w:eastAsia="宋体" w:cstheme="minorBidi"/>
          <w:b/>
          <w:bCs/>
          <w:color w:val="auto"/>
          <w:sz w:val="24"/>
          <w:szCs w:val="24"/>
          <w:lang w:val="en-US" w:eastAsia="zh-CN"/>
        </w:rPr>
        <w:t>3</w:t>
      </w:r>
      <w:r>
        <w:rPr>
          <w:rFonts w:hint="eastAsia" w:ascii="宋体" w:hAnsi="宋体" w:eastAsia="宋体" w:cstheme="minorBidi"/>
          <w:b/>
          <w:bCs/>
          <w:color w:val="auto"/>
          <w:sz w:val="24"/>
          <w:szCs w:val="24"/>
          <w:lang w:eastAsia="zh-CN"/>
        </w:rPr>
        <w:t>）</w:t>
      </w:r>
      <w:r>
        <w:rPr>
          <w:rFonts w:hint="eastAsia" w:ascii="宋体" w:hAnsi="宋体" w:eastAsia="宋体" w:cstheme="minorBidi"/>
          <w:b/>
          <w:bCs/>
          <w:color w:val="auto"/>
          <w:sz w:val="24"/>
          <w:szCs w:val="24"/>
        </w:rPr>
        <w:t>测试内容</w:t>
      </w:r>
      <w:bookmarkEnd w:id="30"/>
      <w:r>
        <w:rPr>
          <w:rFonts w:hint="eastAsia" w:ascii="宋体" w:hAnsi="宋体" w:eastAsia="宋体" w:cstheme="minorBidi"/>
          <w:b/>
          <w:bCs/>
          <w:color w:val="auto"/>
          <w:sz w:val="24"/>
          <w:szCs w:val="24"/>
        </w:rPr>
        <w:t xml:space="preserve"> </w:t>
      </w:r>
    </w:p>
    <w:p w14:paraId="7402E6D9">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lang w:val="en-US" w:eastAsia="zh-CN"/>
        </w:rPr>
        <w:t>3.1、</w:t>
      </w:r>
      <w:r>
        <w:rPr>
          <w:rFonts w:hint="eastAsia" w:ascii="宋体" w:hAnsi="宋体" w:eastAsia="宋体"/>
          <w:sz w:val="24"/>
        </w:rPr>
        <w:t>功能测试</w:t>
      </w:r>
    </w:p>
    <w:p w14:paraId="3BD2C676">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 xml:space="preserve"> 功能测试的目的是通过设计测试用例、执行用例、获取结果，对系统的功能、可靠性、易用性、业务流程等分别进行测试，保证系统功能符合用户的业务需求。</w:t>
      </w:r>
    </w:p>
    <w:p w14:paraId="4E8D4485">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1）分析被测信息系统功能需求，依据《需求规格说明书》《系统详细设计文档》和软件产品质量要求验证系统实现了全部需求和设计，测试覆盖所有功能点，确保各项功能正确执行。</w:t>
      </w:r>
    </w:p>
    <w:p w14:paraId="40593250">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 xml:space="preserve">2）根据系统《需求规格说明书》《系统详细设计文档》，分析各功能点测试的优先级别。用户经常使用、关系到系统核心功能、优先级别较高的功能点应予以重点关注，尤其在回归测试时应优先执行。 </w:t>
      </w:r>
    </w:p>
    <w:p w14:paraId="67195B3D">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3）分析信息系统数据处理需求，对系统业务数据进行严格的正确性测试（包括数据是否超出正常的值范围、报表数据准确性等），确保系统即时数据和历史数据准确无误。</w:t>
      </w:r>
    </w:p>
    <w:p w14:paraId="722E6436">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 xml:space="preserve">4）信息系统遵循可维护性原则，具备监控运行状态和故障诊断的能力，能够通过维护向导或监控指标快速判断故障发生点，系统故障易分析性、易定位、易修复性和可测试性，并能够出具证实可验证的依据。 </w:t>
      </w:r>
    </w:p>
    <w:p w14:paraId="221B7C7D">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 xml:space="preserve">5）依据用户视觉感受和使用习惯，信息系统人机交互友好，界面风格一致，简洁美观，有关系统执行过程中的各种中断操作的问题、提示消息和操作结果都有相应的提示信息，并且信息内容易理解。 </w:t>
      </w:r>
    </w:p>
    <w:p w14:paraId="3FB81C01">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lang w:val="en-US" w:eastAsia="zh-CN"/>
        </w:rPr>
        <w:t>3.2、</w:t>
      </w:r>
      <w:r>
        <w:rPr>
          <w:rFonts w:hint="eastAsia" w:ascii="宋体" w:hAnsi="宋体" w:eastAsia="宋体"/>
          <w:sz w:val="24"/>
        </w:rPr>
        <w:t xml:space="preserve">性能测试 </w:t>
      </w:r>
    </w:p>
    <w:p w14:paraId="611FC238">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依据《需求规格说明书》中对信息系统效率的描述，考查信息系统关键业务在正常工作量、预期的峰值工作量下的效率情况，主要考虑系统容量特性、时间特性及资源利用状况等效率指标是否符合用户需求，并据此对系统的性能做出全面的评价：</w:t>
      </w:r>
    </w:p>
    <w:p w14:paraId="3B4E25A6">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1）性能测试要求 使用先进的性能测试工具，对系统进行压力负载、疲劳强度、大数据量等测试，验证系统的性能是否满足用户的业务需求；各信息系统的数据存储能力、存储周期、并发访问量、性能指标根据《需求规格说明书》和《系统详细设计文档》确定。</w:t>
      </w:r>
    </w:p>
    <w:p w14:paraId="3609EDA9">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 xml:space="preserve">2）时间特性和资源利用特性 分析系统用户行为，依据性能需求验证分级部署的信息系统支持高并发处理业务的能力；系统的关键业务，诸如数据采集、数据同步、数据统计等，具备快速响应能力；系统数据容量响应时间满足用户性能需求；系统资源利用在合理的数值范围，不超过资源指标的预警值；测试在大用户量、大并发、大数据量和长时间连续运行等条件下，系统的响应时间和稳定运行情况；确认信息系统软件与相关的各种硬件设备、操作系统、相关支撑软件以及其他相关信息系统的兼容性。 </w:t>
      </w:r>
    </w:p>
    <w:p w14:paraId="535F4D94">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lang w:val="en-US" w:eastAsia="zh-CN"/>
        </w:rPr>
        <w:t>3.3、</w:t>
      </w:r>
      <w:r>
        <w:rPr>
          <w:rFonts w:hint="eastAsia" w:ascii="宋体" w:hAnsi="宋体" w:eastAsia="宋体"/>
          <w:sz w:val="24"/>
        </w:rPr>
        <w:t>安全性测试</w:t>
      </w:r>
    </w:p>
    <w:p w14:paraId="757EA7A3">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 xml:space="preserve"> 从应用系统、环境等多个方面进行测试，验证系统是否满足用户安全方面的需求。包括但不限于安全软件功能验证、访问权限测试、加密测试、审计测试，漏洞扫描；SQL注入、跨站脚本攻击、DDoS 攻击等模拟渗透测试。 </w:t>
      </w:r>
    </w:p>
    <w:p w14:paraId="44C5C98D">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lang w:val="en-US" w:eastAsia="zh-CN"/>
        </w:rPr>
        <w:t>3.4、</w:t>
      </w:r>
      <w:r>
        <w:rPr>
          <w:rFonts w:hint="eastAsia" w:ascii="宋体" w:hAnsi="宋体" w:eastAsia="宋体"/>
          <w:sz w:val="24"/>
        </w:rPr>
        <w:t>兼容性测试</w:t>
      </w:r>
    </w:p>
    <w:p w14:paraId="3312AAB0">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 xml:space="preserve">审查产品、系统或组件与国产化信创环境的系统或组件交换信息、执行所需功能的适应能力、获取信息的程度。 </w:t>
      </w:r>
    </w:p>
    <w:p w14:paraId="1BCE0464">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lang w:val="en-US" w:eastAsia="zh-CN"/>
        </w:rPr>
        <w:t>3.5、</w:t>
      </w:r>
      <w:r>
        <w:rPr>
          <w:rFonts w:hint="eastAsia" w:ascii="宋体" w:hAnsi="宋体" w:eastAsia="宋体"/>
          <w:sz w:val="24"/>
        </w:rPr>
        <w:t>易用性测试</w:t>
      </w:r>
    </w:p>
    <w:p w14:paraId="675280B7">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1）系统所有的业务功能界面风格和操作流程一致；</w:t>
      </w:r>
    </w:p>
    <w:p w14:paraId="53D1D729">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 xml:space="preserve">2）业务表单尽量做到所见即所得； </w:t>
      </w:r>
    </w:p>
    <w:p w14:paraId="169FFDE2">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3）信息录入能够完全通过键盘完成；</w:t>
      </w:r>
    </w:p>
    <w:p w14:paraId="7BF80540">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4）界面美观、简洁、高效；界面各部件的布局应该保持合理性和一致性；</w:t>
      </w:r>
    </w:p>
    <w:p w14:paraId="56C15A4E">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5）常用操作有快捷键支持，大部分操作能够在小键盘内完成；</w:t>
      </w:r>
    </w:p>
    <w:p w14:paraId="692F680C">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 xml:space="preserve">6）在前端还应提供一些智能化的校验功能，提供友好联机的帮助信息，对各种状态和操作结果进行及时的反馈和提示。 </w:t>
      </w:r>
    </w:p>
    <w:p w14:paraId="3D1152DF">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lang w:val="en-US" w:eastAsia="zh-CN"/>
        </w:rPr>
        <w:t>3.6、</w:t>
      </w:r>
      <w:r>
        <w:rPr>
          <w:rFonts w:hint="eastAsia" w:ascii="宋体" w:hAnsi="宋体" w:eastAsia="宋体"/>
          <w:sz w:val="24"/>
        </w:rPr>
        <w:t xml:space="preserve">可靠性测试 </w:t>
      </w:r>
    </w:p>
    <w:p w14:paraId="650F4CE3">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系统应保证在正常情况下和极端情况下业务逻辑的正确性。无单点故障：系统应不受任何单点故障的影响。 故障恢复：系统应能够从故障中恢复的能力。 灾难恢复：测试当灾难被发布后，核心系统的恢复能力。</w:t>
      </w:r>
    </w:p>
    <w:p w14:paraId="535D4278">
      <w:pPr>
        <w:spacing w:before="156" w:beforeLines="50" w:after="156" w:afterLines="50" w:line="360" w:lineRule="auto"/>
        <w:ind w:firstLine="480" w:firstLineChars="200"/>
        <w:rPr>
          <w:rFonts w:hint="default" w:ascii="宋体" w:hAnsi="宋体" w:eastAsia="宋体"/>
          <w:sz w:val="24"/>
          <w:lang w:val="en-US" w:eastAsia="zh-CN"/>
        </w:rPr>
      </w:pPr>
      <w:r>
        <w:rPr>
          <w:rFonts w:hint="eastAsia" w:ascii="宋体" w:hAnsi="宋体" w:eastAsia="宋体"/>
          <w:sz w:val="24"/>
          <w:lang w:val="en-US" w:eastAsia="zh-CN"/>
        </w:rPr>
        <w:t>3.7用户文档集</w:t>
      </w:r>
    </w:p>
    <w:p w14:paraId="4177B349">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‌用户手册‌：详细描述软件的功能、操作步骤和用户界面，帮助用户理解和使用软件。</w:t>
      </w:r>
    </w:p>
    <w:p w14:paraId="430DD035">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‌操作手册‌：提供具体的操作指导和步骤，帮助用户完成特定的任务或操作。</w:t>
      </w:r>
    </w:p>
    <w:p w14:paraId="358A2305">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‌帮助文件‌：包括在线帮助、FAQ、视频教程等，解答用户在使用过程中遇到的问题。</w:t>
      </w:r>
    </w:p>
    <w:p w14:paraId="168CB785">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‌样例和模板‌：提供具体的示例和模板，帮助用户更好地理解和使用软件。</w:t>
      </w:r>
    </w:p>
    <w:p w14:paraId="4A271437">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‌授权/注册登记表‌：说明软件的授权和使用权限，确保用户合法使用软件。</w:t>
      </w:r>
    </w:p>
    <w:p w14:paraId="39C4A57D">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‌最终用户许可协议‌：详细说明软件的使用条款和条件，保护软件开发商和用户的权益。</w:t>
      </w:r>
    </w:p>
    <w:p w14:paraId="3646AAEC">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‌反馈机制‌：提供用户反馈的渠道和方式，收集用户的意见和建议，以便改进软件。</w:t>
      </w:r>
    </w:p>
    <w:p w14:paraId="105A7431">
      <w:pPr>
        <w:spacing w:before="156" w:beforeLines="50" w:after="156" w:afterLines="50" w:line="360" w:lineRule="auto"/>
        <w:ind w:firstLine="480" w:firstLineChars="200"/>
        <w:rPr>
          <w:rFonts w:hint="eastAsia" w:ascii="宋体" w:hAnsi="宋体" w:eastAsia="宋体"/>
          <w:sz w:val="24"/>
          <w:lang w:eastAsia="zh-CN"/>
        </w:rPr>
      </w:pPr>
      <w:r>
        <w:rPr>
          <w:rFonts w:hint="eastAsia" w:ascii="宋体" w:hAnsi="宋体" w:eastAsia="宋体"/>
          <w:sz w:val="24"/>
          <w:lang w:val="en-US" w:eastAsia="zh-CN"/>
        </w:rPr>
        <w:t>3.8 数据可移植性</w:t>
      </w:r>
    </w:p>
    <w:p w14:paraId="41A2ED70">
      <w:pPr>
        <w:spacing w:before="156" w:beforeLines="50" w:after="156" w:afterLines="50" w:line="360" w:lineRule="auto"/>
        <w:ind w:firstLine="480" w:firstLineChars="200"/>
        <w:rPr>
          <w:rFonts w:hint="eastAsia" w:ascii="宋体" w:hAnsi="宋体" w:eastAsia="宋体"/>
          <w:sz w:val="24"/>
          <w:lang w:eastAsia="zh-CN"/>
        </w:rPr>
      </w:pPr>
      <w:r>
        <w:rPr>
          <w:rFonts w:hint="eastAsia" w:ascii="宋体" w:hAnsi="宋体" w:eastAsia="宋体"/>
          <w:sz w:val="24"/>
          <w:lang w:val="en-US" w:eastAsia="zh-CN"/>
        </w:rPr>
        <w:t>依据GB/T 25000.51-2016《软件产品质量要求和测试细则》要求对</w:t>
      </w:r>
      <w:r>
        <w:rPr>
          <w:rFonts w:hint="eastAsia" w:ascii="宋体" w:hAnsi="宋体" w:eastAsia="宋体"/>
          <w:sz w:val="24"/>
          <w:lang w:eastAsia="zh-CN"/>
        </w:rPr>
        <w:t>系统、组件能够从一种硬件、软件或者其他运行（或使用）环境迁移到另一种环境的有效性。主要包含四个方面：适应性、易安装性、易替换性、依从性。</w:t>
      </w:r>
    </w:p>
    <w:p w14:paraId="1C5D82EE">
      <w:pPr>
        <w:pStyle w:val="3"/>
        <w:numPr>
          <w:ilvl w:val="-1"/>
          <w:numId w:val="0"/>
        </w:numPr>
        <w:spacing w:line="360" w:lineRule="auto"/>
        <w:ind w:firstLine="482" w:firstLineChars="200"/>
        <w:rPr>
          <w:rFonts w:hint="eastAsia" w:ascii="宋体" w:hAnsi="宋体" w:eastAsia="宋体" w:cstheme="minorBidi"/>
          <w:b/>
          <w:bCs/>
          <w:color w:val="auto"/>
          <w:sz w:val="24"/>
          <w:szCs w:val="24"/>
        </w:rPr>
      </w:pPr>
      <w:bookmarkStart w:id="31" w:name="_Toc42"/>
      <w:r>
        <w:rPr>
          <w:rFonts w:hint="eastAsia" w:ascii="宋体" w:hAnsi="宋体" w:eastAsia="宋体" w:cstheme="minorBidi"/>
          <w:b/>
          <w:bCs/>
          <w:color w:val="auto"/>
          <w:sz w:val="24"/>
          <w:szCs w:val="24"/>
          <w:lang w:eastAsia="zh-CN"/>
        </w:rPr>
        <w:t>（</w:t>
      </w:r>
      <w:r>
        <w:rPr>
          <w:rFonts w:hint="eastAsia" w:ascii="宋体" w:hAnsi="宋体" w:eastAsia="宋体" w:cstheme="minorBidi"/>
          <w:b/>
          <w:bCs/>
          <w:color w:val="auto"/>
          <w:sz w:val="24"/>
          <w:szCs w:val="24"/>
          <w:lang w:val="en-US" w:eastAsia="zh-CN"/>
        </w:rPr>
        <w:t>4</w:t>
      </w:r>
      <w:r>
        <w:rPr>
          <w:rFonts w:hint="eastAsia" w:ascii="宋体" w:hAnsi="宋体" w:eastAsia="宋体" w:cstheme="minorBidi"/>
          <w:b/>
          <w:bCs/>
          <w:color w:val="auto"/>
          <w:sz w:val="24"/>
          <w:szCs w:val="24"/>
          <w:lang w:eastAsia="zh-CN"/>
        </w:rPr>
        <w:t>）</w:t>
      </w:r>
      <w:r>
        <w:rPr>
          <w:rFonts w:hint="eastAsia" w:ascii="宋体" w:hAnsi="宋体" w:eastAsia="宋体" w:cstheme="minorBidi"/>
          <w:b/>
          <w:bCs/>
          <w:color w:val="auto"/>
          <w:sz w:val="24"/>
          <w:szCs w:val="24"/>
        </w:rPr>
        <w:t>测试环境与工具要求</w:t>
      </w:r>
      <w:bookmarkEnd w:id="31"/>
    </w:p>
    <w:p w14:paraId="0BF26FF4">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 xml:space="preserve"> 供应商应根据项目需求和测试工作内容在技术方案中提出明确的测试环境建议和要求，并承诺在测试过程中所使用的测试工具和测试管理工具应具备通用性和一定的先进性。供应商应详细说明用于本次测试的具体测试环境要求、测试场地、各种硬件设备、测试工具及其使用计划。</w:t>
      </w:r>
    </w:p>
    <w:p w14:paraId="3C3BB9A6">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 xml:space="preserve"> 供应商应使用业界主流的软件测试工具，并保证所使用的测试工具具有合法的版权和使用权，如在项目使用过程中出现版权或使用权纠纷，应由供应商负责，采购人不承担责任，给采购人造成损失的，供应商需全额赔偿。</w:t>
      </w:r>
    </w:p>
    <w:p w14:paraId="1DDE31AB">
      <w:pPr>
        <w:pStyle w:val="3"/>
        <w:numPr>
          <w:ilvl w:val="-1"/>
          <w:numId w:val="0"/>
        </w:numPr>
        <w:spacing w:line="360" w:lineRule="auto"/>
        <w:ind w:firstLine="482" w:firstLineChars="200"/>
        <w:rPr>
          <w:rFonts w:hint="eastAsia" w:ascii="宋体" w:hAnsi="宋体" w:eastAsia="宋体" w:cstheme="minorBidi"/>
          <w:b/>
          <w:bCs/>
          <w:color w:val="auto"/>
          <w:sz w:val="24"/>
          <w:szCs w:val="24"/>
        </w:rPr>
      </w:pPr>
      <w:bookmarkStart w:id="32" w:name="_Toc21441"/>
      <w:r>
        <w:rPr>
          <w:rFonts w:hint="eastAsia" w:ascii="宋体" w:hAnsi="宋体" w:eastAsia="宋体" w:cstheme="minorBidi"/>
          <w:b/>
          <w:bCs/>
          <w:color w:val="auto"/>
          <w:sz w:val="24"/>
          <w:szCs w:val="24"/>
          <w:lang w:eastAsia="zh-CN"/>
        </w:rPr>
        <w:t>（</w:t>
      </w:r>
      <w:r>
        <w:rPr>
          <w:rFonts w:hint="eastAsia" w:ascii="宋体" w:hAnsi="宋体" w:eastAsia="宋体" w:cstheme="minorBidi"/>
          <w:b/>
          <w:bCs/>
          <w:color w:val="auto"/>
          <w:sz w:val="24"/>
          <w:szCs w:val="24"/>
          <w:lang w:val="en-US" w:eastAsia="zh-CN"/>
        </w:rPr>
        <w:t>5</w:t>
      </w:r>
      <w:r>
        <w:rPr>
          <w:rFonts w:hint="eastAsia" w:ascii="宋体" w:hAnsi="宋体" w:eastAsia="宋体" w:cstheme="minorBidi"/>
          <w:b/>
          <w:bCs/>
          <w:color w:val="auto"/>
          <w:sz w:val="24"/>
          <w:szCs w:val="24"/>
          <w:lang w:eastAsia="zh-CN"/>
        </w:rPr>
        <w:t>）</w:t>
      </w:r>
      <w:r>
        <w:rPr>
          <w:rFonts w:hint="eastAsia" w:ascii="宋体" w:hAnsi="宋体" w:eastAsia="宋体" w:cstheme="minorBidi"/>
          <w:b/>
          <w:bCs/>
          <w:color w:val="auto"/>
          <w:sz w:val="24"/>
          <w:szCs w:val="24"/>
        </w:rPr>
        <w:t>测试报告要求</w:t>
      </w:r>
      <w:bookmarkEnd w:id="32"/>
    </w:p>
    <w:p w14:paraId="6ACFEC7C">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 xml:space="preserve"> 测试报告和测试结果应按照服务阶段进行提供，包括过程测试报告及最终测试报告，其中测试报告包含但不局限于测试结果描述。 </w:t>
      </w:r>
    </w:p>
    <w:p w14:paraId="2CE560EA">
      <w:pPr>
        <w:pStyle w:val="3"/>
        <w:numPr>
          <w:ilvl w:val="-1"/>
          <w:numId w:val="0"/>
        </w:numPr>
        <w:spacing w:line="360" w:lineRule="auto"/>
        <w:ind w:firstLine="482" w:firstLineChars="200"/>
        <w:rPr>
          <w:rFonts w:hint="eastAsia" w:ascii="宋体" w:hAnsi="宋体" w:eastAsia="宋体" w:cstheme="minorBidi"/>
          <w:b/>
          <w:bCs/>
          <w:color w:val="auto"/>
          <w:sz w:val="24"/>
          <w:szCs w:val="24"/>
        </w:rPr>
      </w:pPr>
      <w:bookmarkStart w:id="33" w:name="_Toc26613"/>
      <w:r>
        <w:rPr>
          <w:rFonts w:hint="eastAsia" w:ascii="宋体" w:hAnsi="宋体" w:eastAsia="宋体" w:cstheme="minorBidi"/>
          <w:b/>
          <w:bCs/>
          <w:color w:val="auto"/>
          <w:sz w:val="24"/>
          <w:szCs w:val="24"/>
          <w:lang w:eastAsia="zh-CN"/>
        </w:rPr>
        <w:t>（</w:t>
      </w:r>
      <w:r>
        <w:rPr>
          <w:rFonts w:hint="eastAsia" w:ascii="宋体" w:hAnsi="宋体" w:eastAsia="宋体" w:cstheme="minorBidi"/>
          <w:b/>
          <w:bCs/>
          <w:color w:val="auto"/>
          <w:sz w:val="24"/>
          <w:szCs w:val="24"/>
          <w:lang w:val="en-US" w:eastAsia="zh-CN"/>
        </w:rPr>
        <w:t>6</w:t>
      </w:r>
      <w:r>
        <w:rPr>
          <w:rFonts w:hint="eastAsia" w:ascii="宋体" w:hAnsi="宋体" w:eastAsia="宋体" w:cstheme="minorBidi"/>
          <w:b/>
          <w:bCs/>
          <w:color w:val="auto"/>
          <w:sz w:val="24"/>
          <w:szCs w:val="24"/>
          <w:lang w:eastAsia="zh-CN"/>
        </w:rPr>
        <w:t>）</w:t>
      </w:r>
      <w:r>
        <w:rPr>
          <w:rFonts w:hint="eastAsia" w:ascii="宋体" w:hAnsi="宋体" w:eastAsia="宋体" w:cstheme="minorBidi"/>
          <w:b/>
          <w:bCs/>
          <w:color w:val="auto"/>
          <w:sz w:val="24"/>
          <w:szCs w:val="24"/>
        </w:rPr>
        <w:t>通过测试的要求</w:t>
      </w:r>
      <w:bookmarkEnd w:id="33"/>
      <w:r>
        <w:rPr>
          <w:rFonts w:hint="eastAsia" w:ascii="宋体" w:hAnsi="宋体" w:eastAsia="宋体" w:cstheme="minorBidi"/>
          <w:b/>
          <w:bCs/>
          <w:color w:val="auto"/>
          <w:sz w:val="24"/>
          <w:szCs w:val="24"/>
        </w:rPr>
        <w:t xml:space="preserve"> </w:t>
      </w:r>
    </w:p>
    <w:p w14:paraId="7215C39E">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（1）为保证保障系统测试质量，被测信息系统应满足以下要求，方可认定通过测试：</w:t>
      </w:r>
    </w:p>
    <w:p w14:paraId="4435E0C3">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 xml:space="preserve">（2）设计足够的测试用例确保满足软件功能、性能、安全以及易用性等方面的需求，要求测试用例执行覆盖率达100%。 </w:t>
      </w:r>
    </w:p>
    <w:p w14:paraId="28B1F4F1">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回归测试时，测试用例通过率超过90%、且无严重技术缺陷和错误。</w:t>
      </w:r>
    </w:p>
    <w:p w14:paraId="41A19697">
      <w:pPr>
        <w:pStyle w:val="3"/>
        <w:numPr>
          <w:ilvl w:val="-1"/>
          <w:numId w:val="0"/>
        </w:numPr>
        <w:spacing w:line="360" w:lineRule="auto"/>
        <w:ind w:firstLine="482" w:firstLineChars="200"/>
        <w:rPr>
          <w:rFonts w:hint="eastAsia" w:ascii="宋体" w:hAnsi="宋体" w:eastAsia="宋体" w:cstheme="minorBidi"/>
          <w:b/>
          <w:bCs/>
          <w:color w:val="auto"/>
          <w:sz w:val="24"/>
          <w:szCs w:val="24"/>
        </w:rPr>
      </w:pPr>
      <w:bookmarkStart w:id="34" w:name="_Toc9444"/>
      <w:r>
        <w:rPr>
          <w:rFonts w:hint="eastAsia" w:ascii="宋体" w:hAnsi="宋体" w:eastAsia="宋体" w:cstheme="minorBidi"/>
          <w:b/>
          <w:bCs/>
          <w:color w:val="auto"/>
          <w:sz w:val="24"/>
          <w:szCs w:val="24"/>
          <w:lang w:eastAsia="zh-CN"/>
        </w:rPr>
        <w:t>（</w:t>
      </w:r>
      <w:r>
        <w:rPr>
          <w:rFonts w:hint="eastAsia" w:ascii="宋体" w:hAnsi="宋体" w:eastAsia="宋体" w:cstheme="minorBidi"/>
          <w:b/>
          <w:bCs/>
          <w:color w:val="auto"/>
          <w:sz w:val="24"/>
          <w:szCs w:val="24"/>
          <w:lang w:val="en-US" w:eastAsia="zh-CN"/>
        </w:rPr>
        <w:t>7</w:t>
      </w:r>
      <w:r>
        <w:rPr>
          <w:rFonts w:hint="eastAsia" w:ascii="宋体" w:hAnsi="宋体" w:eastAsia="宋体" w:cstheme="minorBidi"/>
          <w:b/>
          <w:bCs/>
          <w:color w:val="auto"/>
          <w:sz w:val="24"/>
          <w:szCs w:val="24"/>
          <w:lang w:eastAsia="zh-CN"/>
        </w:rPr>
        <w:t>）</w:t>
      </w:r>
      <w:r>
        <w:rPr>
          <w:rFonts w:hint="eastAsia" w:ascii="宋体" w:hAnsi="宋体" w:eastAsia="宋体" w:cstheme="minorBidi"/>
          <w:b/>
          <w:bCs/>
          <w:color w:val="auto"/>
          <w:sz w:val="24"/>
          <w:szCs w:val="24"/>
        </w:rPr>
        <w:t>其他要求</w:t>
      </w:r>
      <w:bookmarkEnd w:id="34"/>
    </w:p>
    <w:p w14:paraId="3A226688">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 xml:space="preserve">1、测试团队要求 </w:t>
      </w:r>
    </w:p>
    <w:p w14:paraId="0898065C">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（1）项目团队要求 供应商须为本项目配置测试负责人和项目实施人员在内的服务团队，并严格按照磋商文件所列拟派遣的项目组人员清单配置，未经采购人同意，不得随意更换。</w:t>
      </w:r>
    </w:p>
    <w:p w14:paraId="2DD3B5BE">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 xml:space="preserve">团队人员应具备软件测试经验，具有信息技术软件检测基础理论专业知识，能够快速充分理解各应用系统建设需求，熟练掌握软件测试环境、测试流程、以及熟练运用相关软件测试工具。 </w:t>
      </w:r>
    </w:p>
    <w:p w14:paraId="4811B880">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 xml:space="preserve">（2）人员配置要求 </w:t>
      </w:r>
    </w:p>
    <w:p w14:paraId="0B44D0F6">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 xml:space="preserve">1）项目经理需具有较强的软件测试规划能力、风险控制能力；具有较强的组织能力、管理能力和沟通能力，统筹软件测试全过程管理工作。 </w:t>
      </w:r>
    </w:p>
    <w:p w14:paraId="6B448AFF">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2）测试负责人需熟练掌握软件工程中典型的测试的技术及方法，熟练运用相关软件测试工具，具备丰富的软件测试实施经验，能独立编制软件测试工作方案和技术方案，能带领团队较好完成工作任务。</w:t>
      </w:r>
    </w:p>
    <w:p w14:paraId="1E20AD3C">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 xml:space="preserve">3）服务团队人员需具备计算机操作系统、网络、数据库的基本知识和实际软件测试能力，熟练掌握系统和接口测试的技术及方法，具有项目工程实施、应急处理、故障处理、质量检验等方面工作经验。 </w:t>
      </w:r>
    </w:p>
    <w:p w14:paraId="16D78C3E">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4）项目经理应指定团队人员，根据采购人要求，参加项目建设各类有关会议。</w:t>
      </w:r>
    </w:p>
    <w:p w14:paraId="2873483D">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 xml:space="preserve">（3）项目管理要求 </w:t>
      </w:r>
    </w:p>
    <w:p w14:paraId="288CE59D">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 xml:space="preserve">供应商应提供项目管理制度，并严格按照项目管理制度保障测试工作按质按量按时实施，包括测试项目管理与测试资产管理。 </w:t>
      </w:r>
    </w:p>
    <w:p w14:paraId="633A8433">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 xml:space="preserve">测试项目管理：完成测试项目的进度计划管理、人力资源管理、测试问题管理、项目会议管理等。 </w:t>
      </w:r>
    </w:p>
    <w:p w14:paraId="132FB2B3">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 xml:space="preserve">测试资产管理：实现对测试资产（包括测试缺陷和各种测试文档等）的管理，项目开展过程中产生的所有测试资产应进行妥善保密。 </w:t>
      </w:r>
    </w:p>
    <w:p w14:paraId="72B5F0E1">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 xml:space="preserve">供应商委派的服务人员应遵守相应的工作制度，包括会议制度、文件制度、记录制度、工作报告制度等，保证测试工作协调有序地进行。 </w:t>
      </w:r>
    </w:p>
    <w:p w14:paraId="255C13F0">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 xml:space="preserve">供应商委派的服务人员应服从采购人统一指挥和安排，遵守采购人单位的管理规定，按时保质保量地完成任务。严格遵循诚实信用的原则，不得损害国家利益、社会公共利益和他人的合法权益。 供应商委派的服务人员由于工作过失或蓄意破坏服务单位造成经济和信誉损失的，其损失应由供应商承担全部经济和法律责任。 </w:t>
      </w:r>
    </w:p>
    <w:p w14:paraId="038283BF">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 xml:space="preserve">2、服务准则 </w:t>
      </w:r>
    </w:p>
    <w:p w14:paraId="5B7E71B9">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 xml:space="preserve">以“守法、诚信、公正、科学”的准则执业，维护建设方与承建方的合法权益。具体应做到： </w:t>
      </w:r>
    </w:p>
    <w:p w14:paraId="0BE50676">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认真履行合同所承诺的义务和承担约定的责任。</w:t>
      </w:r>
    </w:p>
    <w:p w14:paraId="272A7455">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 xml:space="preserve">执行有关项目建设的法律、法规、规范、标准和制度，履行合同规定的义务和职责。      </w:t>
      </w:r>
    </w:p>
    <w:p w14:paraId="10B60CFE">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 xml:space="preserve">（3）不收受被其他单位的任何礼金。 </w:t>
      </w:r>
    </w:p>
    <w:p w14:paraId="664B672E">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 xml:space="preserve">（4）不泄漏项目需保密的事项。 </w:t>
      </w:r>
    </w:p>
    <w:p w14:paraId="7F2FBF4E">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（5）遵守国家的法律和政府的有关条例、规定和办法等。 大同经开区智慧园区建设项目软件开发第三方软件测试项目</w:t>
      </w:r>
    </w:p>
    <w:p w14:paraId="01CFA7CB">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（6）坚持公正的立场，独立、公正地处理有关各方的争议。</w:t>
      </w:r>
    </w:p>
    <w:p w14:paraId="42616A61">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 xml:space="preserve">（7）坚持科学的态度和实事求是的原则。 </w:t>
      </w:r>
    </w:p>
    <w:p w14:paraId="4444A149">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（8）在坚持按照合同规定向采购人和建设单位提供技术服务的同时，帮助被测试方完成担负的建设任务。</w:t>
      </w:r>
    </w:p>
    <w:p w14:paraId="29768C8C">
      <w:pPr>
        <w:spacing w:before="156" w:beforeLines="50" w:after="156" w:afterLines="50" w:line="360" w:lineRule="auto"/>
        <w:ind w:firstLine="480" w:firstLineChars="200"/>
        <w:rPr>
          <w:rFonts w:ascii="宋体" w:hAnsi="宋体" w:eastAsia="宋体"/>
          <w:sz w:val="24"/>
        </w:rPr>
      </w:pPr>
      <w:r>
        <w:rPr>
          <w:rFonts w:hint="eastAsia" w:ascii="宋体" w:hAnsi="宋体" w:eastAsia="宋体"/>
          <w:sz w:val="24"/>
        </w:rPr>
        <w:t xml:space="preserve"> 3、保密要求：所有参与服务项目的人员应签订正式保密协议，并在工作中坚持保密原则，供应商严格规范执行各项保密制度，对在项目招标、建设、质保各阶段取得的采购人各类信息进行保密管理，杜绝任何泄密事件的发生。在结束采购人委托的工作时，要销毁工作期间使用的相关纸质文件和电子文档，不能保存相关文件。</w:t>
      </w:r>
    </w:p>
    <w:p w14:paraId="1807B26D">
      <w:pPr>
        <w:spacing w:before="156" w:beforeLines="50" w:after="156" w:afterLines="50" w:line="360" w:lineRule="auto"/>
        <w:ind w:firstLine="480" w:firstLineChars="200"/>
        <w:rPr>
          <w:rFonts w:hint="eastAsia" w:ascii="宋体" w:hAnsi="宋体" w:eastAsia="宋体"/>
          <w:sz w:val="24"/>
        </w:rPr>
      </w:pPr>
      <w:r>
        <w:rPr>
          <w:rFonts w:hint="eastAsia" w:ascii="宋体" w:hAnsi="宋体" w:eastAsia="宋体"/>
          <w:sz w:val="24"/>
        </w:rPr>
        <w:t>4、知识产权：本项目中产生的所有文档，知识产权属于采购人。项目结束时，所有文档（包括文字资料和电子文件）必须全部提交给采购人，供应商不得在其他场合、项目中使用。所有产出文档供应商向采购人提交电子文档一套。</w:t>
      </w:r>
    </w:p>
    <w:p w14:paraId="25DC2294">
      <w:pPr>
        <w:spacing w:before="156" w:beforeLines="50" w:after="156" w:afterLines="50" w:line="360" w:lineRule="auto"/>
        <w:ind w:firstLine="480" w:firstLineChars="200"/>
        <w:rPr>
          <w:rFonts w:hint="eastAsia" w:ascii="宋体" w:hAnsi="宋体" w:eastAsia="宋体"/>
          <w:sz w:val="24"/>
        </w:rPr>
      </w:pPr>
    </w:p>
    <w:p w14:paraId="491D0CD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b w:val="0"/>
          <w:bCs w:val="0"/>
          <w:sz w:val="24"/>
          <w:szCs w:val="24"/>
        </w:rPr>
      </w:pPr>
      <w:r>
        <w:rPr>
          <w:rFonts w:hint="eastAsia" w:ascii="宋体" w:hAnsi="宋体" w:eastAsia="宋体"/>
          <w:b w:val="0"/>
          <w:bCs w:val="0"/>
          <w:sz w:val="24"/>
          <w:szCs w:val="24"/>
        </w:rPr>
        <w:t>未经允许不得利用这些信息从事与服务无关的活动。</w:t>
      </w:r>
    </w:p>
    <w:p w14:paraId="4851A4B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b w:val="0"/>
          <w:bCs w:val="0"/>
          <w:sz w:val="24"/>
          <w:szCs w:val="24"/>
        </w:rPr>
      </w:pPr>
      <w:r>
        <w:rPr>
          <w:rFonts w:hint="eastAsia" w:ascii="宋体" w:hAnsi="宋体" w:eastAsia="宋体"/>
          <w:b w:val="0"/>
          <w:bCs w:val="0"/>
          <w:sz w:val="24"/>
          <w:szCs w:val="24"/>
          <w:lang w:val="en-US" w:eastAsia="zh-CN"/>
        </w:rPr>
        <w:t>3</w:t>
      </w:r>
      <w:r>
        <w:rPr>
          <w:rFonts w:hint="eastAsia" w:ascii="宋体" w:hAnsi="宋体" w:eastAsia="宋体"/>
          <w:b w:val="0"/>
          <w:bCs w:val="0"/>
          <w:sz w:val="24"/>
          <w:szCs w:val="24"/>
        </w:rPr>
        <w:t>、服务要求</w:t>
      </w:r>
    </w:p>
    <w:p w14:paraId="378D41F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b w:val="0"/>
          <w:bCs w:val="0"/>
          <w:sz w:val="24"/>
          <w:szCs w:val="24"/>
        </w:rPr>
      </w:pPr>
      <w:r>
        <w:rPr>
          <w:rFonts w:hint="eastAsia" w:ascii="宋体" w:hAnsi="宋体" w:eastAsia="宋体"/>
          <w:b w:val="0"/>
          <w:bCs w:val="0"/>
          <w:sz w:val="24"/>
          <w:szCs w:val="24"/>
          <w:lang w:eastAsia="zh-CN"/>
        </w:rPr>
        <w:t>（</w:t>
      </w:r>
      <w:r>
        <w:rPr>
          <w:rFonts w:hint="eastAsia" w:ascii="宋体" w:hAnsi="宋体" w:eastAsia="宋体"/>
          <w:b w:val="0"/>
          <w:bCs w:val="0"/>
          <w:sz w:val="24"/>
          <w:szCs w:val="24"/>
          <w:lang w:val="en-US" w:eastAsia="zh-CN"/>
        </w:rPr>
        <w:t>1</w:t>
      </w:r>
      <w:r>
        <w:rPr>
          <w:rFonts w:hint="eastAsia" w:ascii="宋体" w:hAnsi="宋体" w:eastAsia="宋体"/>
          <w:b w:val="0"/>
          <w:bCs w:val="0"/>
          <w:sz w:val="24"/>
          <w:szCs w:val="24"/>
          <w:lang w:eastAsia="zh-CN"/>
        </w:rPr>
        <w:t>）</w:t>
      </w:r>
      <w:r>
        <w:rPr>
          <w:rFonts w:hint="eastAsia" w:ascii="宋体" w:hAnsi="宋体" w:eastAsia="宋体"/>
          <w:b w:val="0"/>
          <w:bCs w:val="0"/>
          <w:sz w:val="24"/>
          <w:szCs w:val="24"/>
        </w:rPr>
        <w:t>规范各系统文档资料，协调测试计划时间安排，组织完成测试业务需求分析，编写测试方案计划，并组织实施测试。根据测试结果，编写并提交测试报告，保证测试内容与测试方案一致。</w:t>
      </w:r>
    </w:p>
    <w:p w14:paraId="1FD807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b w:val="0"/>
          <w:bCs w:val="0"/>
          <w:sz w:val="24"/>
          <w:szCs w:val="24"/>
        </w:rPr>
      </w:pPr>
      <w:r>
        <w:rPr>
          <w:rFonts w:hint="eastAsia" w:ascii="宋体" w:hAnsi="宋体" w:eastAsia="宋体"/>
          <w:b w:val="0"/>
          <w:bCs w:val="0"/>
          <w:sz w:val="24"/>
          <w:szCs w:val="24"/>
          <w:lang w:eastAsia="zh-CN"/>
        </w:rPr>
        <w:t>（</w:t>
      </w:r>
      <w:r>
        <w:rPr>
          <w:rFonts w:hint="eastAsia" w:ascii="宋体" w:hAnsi="宋体" w:eastAsia="宋体"/>
          <w:b w:val="0"/>
          <w:bCs w:val="0"/>
          <w:sz w:val="24"/>
          <w:szCs w:val="24"/>
          <w:lang w:val="en-US" w:eastAsia="zh-CN"/>
        </w:rPr>
        <w:t>2</w:t>
      </w:r>
      <w:r>
        <w:rPr>
          <w:rFonts w:hint="eastAsia" w:ascii="宋体" w:hAnsi="宋体" w:eastAsia="宋体"/>
          <w:b w:val="0"/>
          <w:bCs w:val="0"/>
          <w:sz w:val="24"/>
          <w:szCs w:val="24"/>
          <w:lang w:eastAsia="zh-CN"/>
        </w:rPr>
        <w:t>）</w:t>
      </w:r>
      <w:r>
        <w:rPr>
          <w:rFonts w:hint="eastAsia" w:ascii="宋体" w:hAnsi="宋体" w:eastAsia="宋体"/>
          <w:b w:val="0"/>
          <w:bCs w:val="0"/>
          <w:sz w:val="24"/>
          <w:szCs w:val="24"/>
        </w:rPr>
        <w:t>严格管理项目参加人员，把控方案、计划、实施工作，确保测试工作按时保质完成；根据信息系统上线和部署要求，合理安排软件测试计划。</w:t>
      </w:r>
    </w:p>
    <w:p w14:paraId="4592272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b w:val="0"/>
          <w:bCs w:val="0"/>
          <w:sz w:val="24"/>
          <w:szCs w:val="24"/>
        </w:rPr>
      </w:pPr>
      <w:r>
        <w:rPr>
          <w:rFonts w:hint="eastAsia" w:ascii="宋体" w:hAnsi="宋体" w:eastAsia="宋体"/>
          <w:b w:val="0"/>
          <w:bCs w:val="0"/>
          <w:sz w:val="24"/>
          <w:szCs w:val="24"/>
          <w:lang w:eastAsia="zh-CN"/>
        </w:rPr>
        <w:t>（</w:t>
      </w:r>
      <w:r>
        <w:rPr>
          <w:rFonts w:hint="eastAsia" w:ascii="宋体" w:hAnsi="宋体" w:eastAsia="宋体"/>
          <w:b w:val="0"/>
          <w:bCs w:val="0"/>
          <w:sz w:val="24"/>
          <w:szCs w:val="24"/>
          <w:lang w:val="en-US" w:eastAsia="zh-CN"/>
        </w:rPr>
        <w:t>3</w:t>
      </w:r>
      <w:r>
        <w:rPr>
          <w:rFonts w:hint="eastAsia" w:ascii="宋体" w:hAnsi="宋体" w:eastAsia="宋体"/>
          <w:b w:val="0"/>
          <w:bCs w:val="0"/>
          <w:sz w:val="24"/>
          <w:szCs w:val="24"/>
          <w:lang w:eastAsia="zh-CN"/>
        </w:rPr>
        <w:t>）</w:t>
      </w:r>
      <w:r>
        <w:rPr>
          <w:rFonts w:hint="eastAsia" w:ascii="宋体" w:hAnsi="宋体" w:eastAsia="宋体"/>
          <w:b w:val="0"/>
          <w:bCs w:val="0"/>
          <w:sz w:val="24"/>
          <w:szCs w:val="24"/>
        </w:rPr>
        <w:t>根据信息系统需求、系统设计编写测试方案、测试计划、测试用例、测试报告等相关文档，确保文档质量。</w:t>
      </w:r>
    </w:p>
    <w:p w14:paraId="18B2109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b w:val="0"/>
          <w:bCs w:val="0"/>
          <w:sz w:val="24"/>
          <w:szCs w:val="24"/>
        </w:rPr>
      </w:pPr>
      <w:r>
        <w:rPr>
          <w:rFonts w:hint="eastAsia" w:ascii="宋体" w:hAnsi="宋体" w:eastAsia="宋体"/>
          <w:b w:val="0"/>
          <w:bCs w:val="0"/>
          <w:sz w:val="24"/>
          <w:szCs w:val="24"/>
          <w:lang w:eastAsia="zh-CN"/>
        </w:rPr>
        <w:t>（</w:t>
      </w:r>
      <w:r>
        <w:rPr>
          <w:rFonts w:hint="eastAsia" w:ascii="宋体" w:hAnsi="宋体" w:eastAsia="宋体"/>
          <w:b w:val="0"/>
          <w:bCs w:val="0"/>
          <w:sz w:val="24"/>
          <w:szCs w:val="24"/>
          <w:lang w:val="en-US" w:eastAsia="zh-CN"/>
        </w:rPr>
        <w:t>4</w:t>
      </w:r>
      <w:r>
        <w:rPr>
          <w:rFonts w:hint="eastAsia" w:ascii="宋体" w:hAnsi="宋体" w:eastAsia="宋体"/>
          <w:b w:val="0"/>
          <w:bCs w:val="0"/>
          <w:sz w:val="24"/>
          <w:szCs w:val="24"/>
          <w:lang w:eastAsia="zh-CN"/>
        </w:rPr>
        <w:t>）</w:t>
      </w:r>
      <w:r>
        <w:rPr>
          <w:rFonts w:hint="eastAsia" w:ascii="宋体" w:hAnsi="宋体" w:eastAsia="宋体"/>
          <w:b w:val="0"/>
          <w:bCs w:val="0"/>
          <w:sz w:val="24"/>
          <w:szCs w:val="24"/>
        </w:rPr>
        <w:t>在测试过程中报告发现的缺陷并实时提出优化建议；在承建方完成整改后进行回归测试，验证缺陷和优化建议已得到正确处理且未引入新的缺陷；要求每次测试至少含一轮回归测试；为提高测试效率,应提供现场测试服务。</w:t>
      </w:r>
    </w:p>
    <w:p w14:paraId="779459A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b w:val="0"/>
          <w:bCs w:val="0"/>
          <w:sz w:val="24"/>
          <w:szCs w:val="24"/>
        </w:rPr>
      </w:pPr>
      <w:r>
        <w:rPr>
          <w:rFonts w:hint="eastAsia" w:ascii="宋体" w:hAnsi="宋体" w:eastAsia="宋体"/>
          <w:b w:val="0"/>
          <w:bCs w:val="0"/>
          <w:sz w:val="24"/>
          <w:szCs w:val="24"/>
          <w:lang w:eastAsia="zh-CN"/>
        </w:rPr>
        <w:t>（</w:t>
      </w:r>
      <w:r>
        <w:rPr>
          <w:rFonts w:hint="eastAsia" w:ascii="宋体" w:hAnsi="宋体" w:eastAsia="宋体"/>
          <w:b w:val="0"/>
          <w:bCs w:val="0"/>
          <w:sz w:val="24"/>
          <w:szCs w:val="24"/>
          <w:lang w:val="en-US" w:eastAsia="zh-CN"/>
        </w:rPr>
        <w:t>5</w:t>
      </w:r>
      <w:r>
        <w:rPr>
          <w:rFonts w:hint="eastAsia" w:ascii="宋体" w:hAnsi="宋体" w:eastAsia="宋体"/>
          <w:b w:val="0"/>
          <w:bCs w:val="0"/>
          <w:sz w:val="24"/>
          <w:szCs w:val="24"/>
          <w:lang w:eastAsia="zh-CN"/>
        </w:rPr>
        <w:t>）</w:t>
      </w:r>
      <w:r>
        <w:rPr>
          <w:rFonts w:hint="eastAsia" w:ascii="宋体" w:hAnsi="宋体" w:eastAsia="宋体"/>
          <w:b w:val="0"/>
          <w:bCs w:val="0"/>
          <w:sz w:val="24"/>
          <w:szCs w:val="24"/>
        </w:rPr>
        <w:t>通过实施系统测试，发现和找出系统开发阶段未满足项目设计要求并且影响上线使用的开发设计缺陷，对被测试系统进行评估，为系统上线并最后总体验收使用提供质量保证。</w:t>
      </w:r>
    </w:p>
    <w:p w14:paraId="5F9C1D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b w:val="0"/>
          <w:bCs w:val="0"/>
          <w:sz w:val="24"/>
          <w:szCs w:val="24"/>
        </w:rPr>
      </w:pPr>
      <w:r>
        <w:rPr>
          <w:rFonts w:hint="eastAsia" w:ascii="宋体" w:hAnsi="宋体" w:eastAsia="宋体"/>
          <w:b w:val="0"/>
          <w:bCs w:val="0"/>
          <w:sz w:val="24"/>
          <w:szCs w:val="24"/>
          <w:lang w:eastAsia="zh-CN"/>
        </w:rPr>
        <w:t>（</w:t>
      </w:r>
      <w:r>
        <w:rPr>
          <w:rFonts w:hint="eastAsia" w:ascii="宋体" w:hAnsi="宋体" w:eastAsia="宋体"/>
          <w:b w:val="0"/>
          <w:bCs w:val="0"/>
          <w:sz w:val="24"/>
          <w:szCs w:val="24"/>
          <w:lang w:val="en-US" w:eastAsia="zh-CN"/>
        </w:rPr>
        <w:t>6</w:t>
      </w:r>
      <w:r>
        <w:rPr>
          <w:rFonts w:hint="eastAsia" w:ascii="宋体" w:hAnsi="宋体" w:eastAsia="宋体"/>
          <w:b w:val="0"/>
          <w:bCs w:val="0"/>
          <w:sz w:val="24"/>
          <w:szCs w:val="24"/>
          <w:lang w:eastAsia="zh-CN"/>
        </w:rPr>
        <w:t>）</w:t>
      </w:r>
      <w:r>
        <w:rPr>
          <w:rFonts w:hint="eastAsia" w:ascii="宋体" w:hAnsi="宋体" w:eastAsia="宋体"/>
          <w:b w:val="0"/>
          <w:bCs w:val="0"/>
          <w:sz w:val="24"/>
          <w:szCs w:val="24"/>
        </w:rPr>
        <w:t>根据项目各系统建设情况和系统测试目标，注重性能测试在整个测试过程中的重要性，需将项目设计文档、建设单位能够出具的相关行业标准和其他具体要求列为测试依据，避免漏测部分功能。</w:t>
      </w:r>
    </w:p>
    <w:p w14:paraId="48A3054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b w:val="0"/>
          <w:bCs w:val="0"/>
          <w:sz w:val="24"/>
          <w:szCs w:val="24"/>
        </w:rPr>
      </w:pPr>
      <w:r>
        <w:rPr>
          <w:rFonts w:hint="eastAsia" w:ascii="宋体" w:hAnsi="宋体" w:eastAsia="宋体"/>
          <w:b w:val="0"/>
          <w:bCs w:val="0"/>
          <w:sz w:val="24"/>
          <w:szCs w:val="24"/>
          <w:lang w:eastAsia="zh-CN"/>
        </w:rPr>
        <w:t>（</w:t>
      </w:r>
      <w:r>
        <w:rPr>
          <w:rFonts w:hint="eastAsia" w:ascii="宋体" w:hAnsi="宋体" w:eastAsia="宋体"/>
          <w:b w:val="0"/>
          <w:bCs w:val="0"/>
          <w:sz w:val="24"/>
          <w:szCs w:val="24"/>
          <w:lang w:val="en-US" w:eastAsia="zh-CN"/>
        </w:rPr>
        <w:t>7</w:t>
      </w:r>
      <w:r>
        <w:rPr>
          <w:rFonts w:hint="eastAsia" w:ascii="宋体" w:hAnsi="宋体" w:eastAsia="宋体"/>
          <w:b w:val="0"/>
          <w:bCs w:val="0"/>
          <w:sz w:val="24"/>
          <w:szCs w:val="24"/>
          <w:lang w:eastAsia="zh-CN"/>
        </w:rPr>
        <w:t>）</w:t>
      </w:r>
      <w:r>
        <w:rPr>
          <w:rFonts w:hint="eastAsia" w:ascii="宋体" w:hAnsi="宋体" w:eastAsia="宋体"/>
          <w:b w:val="0"/>
          <w:bCs w:val="0"/>
          <w:sz w:val="24"/>
          <w:szCs w:val="24"/>
        </w:rPr>
        <w:t>测评服务团队人数应不少于</w:t>
      </w:r>
      <w:r>
        <w:rPr>
          <w:rFonts w:hint="eastAsia" w:ascii="宋体" w:hAnsi="宋体" w:eastAsia="宋体"/>
          <w:b w:val="0"/>
          <w:bCs w:val="0"/>
          <w:sz w:val="24"/>
          <w:szCs w:val="24"/>
          <w:lang w:val="en-US" w:eastAsia="zh-CN"/>
        </w:rPr>
        <w:t>4</w:t>
      </w:r>
      <w:r>
        <w:rPr>
          <w:rFonts w:hint="eastAsia" w:ascii="宋体" w:hAnsi="宋体" w:eastAsia="宋体"/>
          <w:b w:val="0"/>
          <w:bCs w:val="0"/>
          <w:sz w:val="24"/>
          <w:szCs w:val="24"/>
        </w:rPr>
        <w:t>人。</w:t>
      </w:r>
    </w:p>
    <w:p w14:paraId="10FD2A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b w:val="0"/>
          <w:bCs w:val="0"/>
          <w:sz w:val="24"/>
          <w:szCs w:val="24"/>
        </w:rPr>
      </w:pPr>
      <w:r>
        <w:rPr>
          <w:rFonts w:hint="eastAsia" w:ascii="宋体" w:hAnsi="宋体" w:eastAsia="宋体"/>
          <w:b w:val="0"/>
          <w:bCs w:val="0"/>
          <w:sz w:val="24"/>
          <w:szCs w:val="24"/>
          <w:lang w:val="en-US" w:eastAsia="zh-CN"/>
        </w:rPr>
        <w:t>4</w:t>
      </w:r>
      <w:r>
        <w:rPr>
          <w:rFonts w:hint="eastAsia" w:ascii="宋体" w:hAnsi="宋体" w:eastAsia="宋体"/>
          <w:b w:val="0"/>
          <w:bCs w:val="0"/>
          <w:sz w:val="24"/>
          <w:szCs w:val="24"/>
        </w:rPr>
        <w:t>、服务内容</w:t>
      </w:r>
    </w:p>
    <w:p w14:paraId="6423E0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b w:val="0"/>
          <w:bCs w:val="0"/>
          <w:sz w:val="24"/>
          <w:szCs w:val="24"/>
        </w:rPr>
      </w:pPr>
      <w:r>
        <w:rPr>
          <w:rFonts w:hint="eastAsia" w:ascii="宋体" w:hAnsi="宋体" w:eastAsia="宋体"/>
          <w:b w:val="0"/>
          <w:bCs w:val="0"/>
          <w:sz w:val="24"/>
          <w:szCs w:val="24"/>
        </w:rPr>
        <w:t>依据国家标准及系统设计文档等要求，检验系统是否满足用户需求，保证信息系统工程质量、维护用户和项目承建方双方利益。通过评估系统的需求符合性，对系统功能、性能效率等方面进行专业的测试，为项目验收提供重要依据。为了保证软件质量，投标人应从应用系统的功能、性能效率等质量特性方面开展软件测试，测试内容及描述具体如下：</w:t>
      </w:r>
    </w:p>
    <w:p w14:paraId="760BED4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b w:val="0"/>
          <w:bCs w:val="0"/>
          <w:sz w:val="24"/>
          <w:szCs w:val="24"/>
        </w:rPr>
      </w:pPr>
      <w:r>
        <w:rPr>
          <w:rFonts w:hint="eastAsia" w:ascii="宋体" w:hAnsi="宋体" w:eastAsia="宋体"/>
          <w:b w:val="0"/>
          <w:bCs w:val="0"/>
          <w:sz w:val="24"/>
          <w:szCs w:val="24"/>
        </w:rPr>
        <w:t>（一）功能测试</w:t>
      </w:r>
    </w:p>
    <w:p w14:paraId="18FFEDF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b w:val="0"/>
          <w:bCs w:val="0"/>
          <w:sz w:val="24"/>
          <w:szCs w:val="24"/>
        </w:rPr>
      </w:pPr>
      <w:r>
        <w:rPr>
          <w:rFonts w:hint="eastAsia" w:ascii="宋体" w:hAnsi="宋体" w:eastAsia="宋体"/>
          <w:b w:val="0"/>
          <w:bCs w:val="0"/>
          <w:sz w:val="24"/>
          <w:szCs w:val="24"/>
        </w:rPr>
        <w:t>通过设计测试用例、执行用例等获取结果，对系统的功能、业务流程等分别进行测试，保证系统功能正常使用。</w:t>
      </w:r>
    </w:p>
    <w:p w14:paraId="3A99944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b w:val="0"/>
          <w:bCs w:val="0"/>
          <w:sz w:val="24"/>
          <w:szCs w:val="24"/>
        </w:rPr>
      </w:pPr>
      <w:r>
        <w:rPr>
          <w:rFonts w:hint="eastAsia" w:ascii="宋体" w:hAnsi="宋体" w:eastAsia="宋体"/>
          <w:b w:val="0"/>
          <w:bCs w:val="0"/>
          <w:sz w:val="24"/>
          <w:szCs w:val="24"/>
        </w:rPr>
        <w:t>（二）性能效率测试</w:t>
      </w:r>
    </w:p>
    <w:p w14:paraId="367E969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b w:val="0"/>
          <w:bCs w:val="0"/>
          <w:sz w:val="24"/>
          <w:szCs w:val="24"/>
        </w:rPr>
      </w:pPr>
      <w:r>
        <w:rPr>
          <w:rFonts w:hint="eastAsia" w:ascii="宋体" w:hAnsi="宋体" w:eastAsia="宋体"/>
          <w:b w:val="0"/>
          <w:bCs w:val="0"/>
          <w:sz w:val="24"/>
          <w:szCs w:val="24"/>
        </w:rPr>
        <w:t>依据招标文件中对相关平台性能要求的描述，考察信息系统关键业务在正常工作量、预期的峰值工作量下的效率情况，主要考虑系统容量特性、时间特性及资源利用状况等效率指标是否符合用户需求，并据此对系统的性能做出全面评价。</w:t>
      </w:r>
    </w:p>
    <w:p w14:paraId="4A3894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b w:val="0"/>
          <w:bCs w:val="0"/>
          <w:sz w:val="24"/>
          <w:szCs w:val="24"/>
        </w:rPr>
      </w:pPr>
      <w:r>
        <w:rPr>
          <w:rFonts w:hint="eastAsia" w:ascii="宋体" w:hAnsi="宋体" w:eastAsia="宋体"/>
          <w:b w:val="0"/>
          <w:bCs w:val="0"/>
          <w:sz w:val="24"/>
          <w:szCs w:val="24"/>
          <w:lang w:eastAsia="zh-CN"/>
        </w:rPr>
        <w:t>（</w:t>
      </w:r>
      <w:r>
        <w:rPr>
          <w:rFonts w:hint="eastAsia" w:ascii="宋体" w:hAnsi="宋体" w:eastAsia="宋体"/>
          <w:b w:val="0"/>
          <w:bCs w:val="0"/>
          <w:sz w:val="24"/>
          <w:szCs w:val="24"/>
          <w:lang w:val="en-US" w:eastAsia="zh-CN"/>
        </w:rPr>
        <w:t>1</w:t>
      </w:r>
      <w:r>
        <w:rPr>
          <w:rFonts w:hint="eastAsia" w:ascii="宋体" w:hAnsi="宋体" w:eastAsia="宋体"/>
          <w:b w:val="0"/>
          <w:bCs w:val="0"/>
          <w:sz w:val="24"/>
          <w:szCs w:val="24"/>
          <w:lang w:eastAsia="zh-CN"/>
        </w:rPr>
        <w:t>）</w:t>
      </w:r>
      <w:r>
        <w:rPr>
          <w:rFonts w:hint="eastAsia" w:ascii="宋体" w:hAnsi="宋体" w:eastAsia="宋体"/>
          <w:b w:val="0"/>
          <w:bCs w:val="0"/>
          <w:sz w:val="24"/>
          <w:szCs w:val="24"/>
        </w:rPr>
        <w:t>分析系统用户行为，依据性能需求验证分级部署的信息系统支持高并发处理业务的能力。</w:t>
      </w:r>
    </w:p>
    <w:p w14:paraId="3B799FD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b w:val="0"/>
          <w:bCs w:val="0"/>
          <w:sz w:val="24"/>
          <w:szCs w:val="24"/>
        </w:rPr>
      </w:pPr>
      <w:r>
        <w:rPr>
          <w:rFonts w:hint="eastAsia" w:ascii="宋体" w:hAnsi="宋体" w:eastAsia="宋体"/>
          <w:b w:val="0"/>
          <w:bCs w:val="0"/>
          <w:sz w:val="24"/>
          <w:szCs w:val="24"/>
          <w:lang w:eastAsia="zh-CN"/>
        </w:rPr>
        <w:t>（</w:t>
      </w:r>
      <w:r>
        <w:rPr>
          <w:rFonts w:hint="eastAsia" w:ascii="宋体" w:hAnsi="宋体" w:eastAsia="宋体"/>
          <w:b w:val="0"/>
          <w:bCs w:val="0"/>
          <w:sz w:val="24"/>
          <w:szCs w:val="24"/>
          <w:lang w:val="en-US" w:eastAsia="zh-CN"/>
        </w:rPr>
        <w:t>2</w:t>
      </w:r>
      <w:r>
        <w:rPr>
          <w:rFonts w:hint="eastAsia" w:ascii="宋体" w:hAnsi="宋体" w:eastAsia="宋体"/>
          <w:b w:val="0"/>
          <w:bCs w:val="0"/>
          <w:sz w:val="24"/>
          <w:szCs w:val="24"/>
          <w:lang w:eastAsia="zh-CN"/>
        </w:rPr>
        <w:t>）</w:t>
      </w:r>
      <w:r>
        <w:rPr>
          <w:rFonts w:hint="eastAsia" w:ascii="宋体" w:hAnsi="宋体" w:eastAsia="宋体"/>
          <w:b w:val="0"/>
          <w:bCs w:val="0"/>
          <w:sz w:val="24"/>
          <w:szCs w:val="24"/>
        </w:rPr>
        <w:t>系统的关键业务，诸如数据采集、数据同步、数据统计等，具备快速响应能力。</w:t>
      </w:r>
    </w:p>
    <w:p w14:paraId="4B062D2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b w:val="0"/>
          <w:bCs w:val="0"/>
          <w:sz w:val="24"/>
          <w:szCs w:val="24"/>
        </w:rPr>
      </w:pPr>
      <w:r>
        <w:rPr>
          <w:rFonts w:hint="eastAsia" w:ascii="宋体" w:hAnsi="宋体" w:eastAsia="宋体"/>
          <w:b w:val="0"/>
          <w:bCs w:val="0"/>
          <w:sz w:val="24"/>
          <w:szCs w:val="24"/>
          <w:lang w:eastAsia="zh-CN"/>
        </w:rPr>
        <w:t>（</w:t>
      </w:r>
      <w:r>
        <w:rPr>
          <w:rFonts w:hint="eastAsia" w:ascii="宋体" w:hAnsi="宋体" w:eastAsia="宋体"/>
          <w:b w:val="0"/>
          <w:bCs w:val="0"/>
          <w:sz w:val="24"/>
          <w:szCs w:val="24"/>
          <w:lang w:val="en-US" w:eastAsia="zh-CN"/>
        </w:rPr>
        <w:t>3</w:t>
      </w:r>
      <w:r>
        <w:rPr>
          <w:rFonts w:hint="eastAsia" w:ascii="宋体" w:hAnsi="宋体" w:eastAsia="宋体"/>
          <w:b w:val="0"/>
          <w:bCs w:val="0"/>
          <w:sz w:val="24"/>
          <w:szCs w:val="24"/>
          <w:lang w:eastAsia="zh-CN"/>
        </w:rPr>
        <w:t>）</w:t>
      </w:r>
      <w:r>
        <w:rPr>
          <w:rFonts w:hint="eastAsia" w:ascii="宋体" w:hAnsi="宋体" w:eastAsia="宋体"/>
          <w:b w:val="0"/>
          <w:bCs w:val="0"/>
          <w:sz w:val="24"/>
          <w:szCs w:val="24"/>
        </w:rPr>
        <w:t>系统资源利用在合理的数值范围，不超过资源指标的预警值。</w:t>
      </w:r>
    </w:p>
    <w:p w14:paraId="5C9F2AD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b w:val="0"/>
          <w:bCs w:val="0"/>
          <w:sz w:val="24"/>
          <w:szCs w:val="24"/>
        </w:rPr>
      </w:pPr>
      <w:r>
        <w:rPr>
          <w:rFonts w:hint="eastAsia" w:ascii="宋体" w:hAnsi="宋体" w:eastAsia="宋体"/>
          <w:b w:val="0"/>
          <w:bCs w:val="0"/>
          <w:sz w:val="24"/>
          <w:szCs w:val="24"/>
          <w:lang w:eastAsia="zh-CN"/>
        </w:rPr>
        <w:t>（</w:t>
      </w:r>
      <w:r>
        <w:rPr>
          <w:rFonts w:hint="eastAsia" w:ascii="宋体" w:hAnsi="宋体" w:eastAsia="宋体"/>
          <w:b w:val="0"/>
          <w:bCs w:val="0"/>
          <w:sz w:val="24"/>
          <w:szCs w:val="24"/>
          <w:lang w:val="en-US" w:eastAsia="zh-CN"/>
        </w:rPr>
        <w:t>4</w:t>
      </w:r>
      <w:r>
        <w:rPr>
          <w:rFonts w:hint="eastAsia" w:ascii="宋体" w:hAnsi="宋体" w:eastAsia="宋体"/>
          <w:b w:val="0"/>
          <w:bCs w:val="0"/>
          <w:sz w:val="24"/>
          <w:szCs w:val="24"/>
          <w:lang w:eastAsia="zh-CN"/>
        </w:rPr>
        <w:t>）</w:t>
      </w:r>
      <w:r>
        <w:rPr>
          <w:rFonts w:hint="eastAsia" w:ascii="宋体" w:hAnsi="宋体" w:eastAsia="宋体"/>
          <w:b w:val="0"/>
          <w:bCs w:val="0"/>
          <w:sz w:val="24"/>
          <w:szCs w:val="24"/>
        </w:rPr>
        <w:t>测试在大用户量、大并发、大数据量和长时间连续运行等条件下，系统的响应时间和稳定运行情况。</w:t>
      </w:r>
    </w:p>
    <w:p w14:paraId="499AD75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b w:val="0"/>
          <w:bCs w:val="0"/>
          <w:sz w:val="24"/>
          <w:szCs w:val="24"/>
        </w:rPr>
      </w:pPr>
      <w:r>
        <w:rPr>
          <w:rFonts w:hint="eastAsia" w:ascii="宋体" w:hAnsi="宋体" w:eastAsia="宋体"/>
          <w:b w:val="0"/>
          <w:bCs w:val="0"/>
          <w:sz w:val="24"/>
          <w:szCs w:val="24"/>
          <w:lang w:val="en-US" w:eastAsia="zh-CN"/>
        </w:rPr>
        <w:t>5</w:t>
      </w:r>
      <w:r>
        <w:rPr>
          <w:rFonts w:hint="eastAsia" w:ascii="宋体" w:hAnsi="宋体" w:eastAsia="宋体"/>
          <w:b w:val="0"/>
          <w:bCs w:val="0"/>
          <w:sz w:val="24"/>
          <w:szCs w:val="24"/>
        </w:rPr>
        <w:t>、售后服务</w:t>
      </w:r>
    </w:p>
    <w:p w14:paraId="476BF4D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b w:val="0"/>
          <w:bCs w:val="0"/>
          <w:sz w:val="24"/>
          <w:szCs w:val="24"/>
        </w:rPr>
      </w:pPr>
      <w:r>
        <w:rPr>
          <w:rFonts w:hint="eastAsia" w:ascii="宋体" w:hAnsi="宋体" w:eastAsia="宋体"/>
          <w:b w:val="0"/>
          <w:bCs w:val="0"/>
          <w:sz w:val="24"/>
          <w:szCs w:val="24"/>
        </w:rPr>
        <w:t>为期一年的售后服务工作中，投标人将向</w:t>
      </w:r>
      <w:r>
        <w:rPr>
          <w:rFonts w:hint="eastAsia" w:ascii="宋体" w:hAnsi="宋体" w:eastAsia="宋体"/>
          <w:b w:val="0"/>
          <w:bCs w:val="0"/>
          <w:sz w:val="24"/>
          <w:szCs w:val="24"/>
          <w:lang w:val="en-US" w:eastAsia="zh-CN"/>
        </w:rPr>
        <w:t>用户</w:t>
      </w:r>
      <w:r>
        <w:rPr>
          <w:rFonts w:hint="eastAsia" w:ascii="宋体" w:hAnsi="宋体" w:eastAsia="宋体"/>
          <w:b w:val="0"/>
          <w:bCs w:val="0"/>
          <w:sz w:val="24"/>
          <w:szCs w:val="24"/>
        </w:rPr>
        <w:t>提供包括应急响应、安全监测、配合检查、电话支持、安全咨询等服务在内的安全维保服务。具体服务内容如下：</w:t>
      </w:r>
    </w:p>
    <w:p w14:paraId="152B476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b w:val="0"/>
          <w:bCs w:val="0"/>
          <w:sz w:val="24"/>
          <w:szCs w:val="24"/>
        </w:rPr>
      </w:pPr>
      <w:r>
        <w:rPr>
          <w:rFonts w:hint="eastAsia" w:ascii="宋体" w:hAnsi="宋体" w:eastAsia="宋体"/>
          <w:b w:val="0"/>
          <w:bCs w:val="0"/>
          <w:sz w:val="24"/>
          <w:szCs w:val="24"/>
        </w:rPr>
        <w:t>（1）应急响应服务</w:t>
      </w:r>
    </w:p>
    <w:p w14:paraId="6ED46DC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b w:val="0"/>
          <w:bCs w:val="0"/>
          <w:sz w:val="24"/>
          <w:szCs w:val="24"/>
        </w:rPr>
      </w:pPr>
      <w:r>
        <w:rPr>
          <w:rFonts w:hint="eastAsia" w:ascii="宋体" w:hAnsi="宋体" w:eastAsia="宋体"/>
          <w:b w:val="0"/>
          <w:bCs w:val="0"/>
          <w:sz w:val="24"/>
          <w:szCs w:val="24"/>
        </w:rPr>
        <w:t>针对本次项目，投标人提供7*24小时的常规应急响应及灾难恢复专家服务。在接到用户故障报修电话10分钟内响应。对客户信息网络应用系统突发的信息安全事件进行响应、处理、恢复、取证、跟踪、事后分析的方法及过程。</w:t>
      </w:r>
    </w:p>
    <w:p w14:paraId="27A7FB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b w:val="0"/>
          <w:bCs w:val="0"/>
          <w:sz w:val="24"/>
          <w:szCs w:val="24"/>
        </w:rPr>
      </w:pPr>
      <w:r>
        <w:rPr>
          <w:rFonts w:hint="eastAsia" w:ascii="宋体" w:hAnsi="宋体" w:eastAsia="宋体"/>
          <w:b w:val="0"/>
          <w:bCs w:val="0"/>
          <w:sz w:val="24"/>
          <w:szCs w:val="24"/>
        </w:rPr>
        <w:t>（2）配合检查服务</w:t>
      </w:r>
    </w:p>
    <w:p w14:paraId="24D49B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b w:val="0"/>
          <w:bCs w:val="0"/>
          <w:sz w:val="24"/>
          <w:szCs w:val="24"/>
        </w:rPr>
      </w:pPr>
      <w:r>
        <w:rPr>
          <w:rFonts w:hint="eastAsia" w:ascii="宋体" w:hAnsi="宋体" w:eastAsia="宋体"/>
          <w:b w:val="0"/>
          <w:bCs w:val="0"/>
          <w:sz w:val="24"/>
          <w:szCs w:val="24"/>
        </w:rPr>
        <w:t>服务内容包括协助省</w:t>
      </w:r>
      <w:r>
        <w:rPr>
          <w:rFonts w:hint="eastAsia" w:ascii="宋体" w:hAnsi="宋体" w:eastAsia="宋体"/>
          <w:b w:val="0"/>
          <w:bCs w:val="0"/>
          <w:sz w:val="24"/>
          <w:szCs w:val="24"/>
          <w:lang w:val="en-US" w:eastAsia="zh-CN"/>
        </w:rPr>
        <w:t>用户</w:t>
      </w:r>
      <w:r>
        <w:rPr>
          <w:rFonts w:hint="eastAsia" w:ascii="宋体" w:hAnsi="宋体" w:eastAsia="宋体"/>
          <w:b w:val="0"/>
          <w:bCs w:val="0"/>
          <w:sz w:val="24"/>
          <w:szCs w:val="24"/>
        </w:rPr>
        <w:t>准备、完善各类资料文档，配合检查过程中的答疑及技术支持及其他现场检查的响应。</w:t>
      </w:r>
    </w:p>
    <w:p w14:paraId="6B884FC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b w:val="0"/>
          <w:bCs w:val="0"/>
          <w:sz w:val="24"/>
          <w:szCs w:val="24"/>
        </w:rPr>
      </w:pPr>
      <w:r>
        <w:rPr>
          <w:rFonts w:hint="eastAsia" w:ascii="宋体" w:hAnsi="宋体" w:eastAsia="宋体"/>
          <w:b w:val="0"/>
          <w:bCs w:val="0"/>
          <w:sz w:val="24"/>
          <w:szCs w:val="24"/>
        </w:rPr>
        <w:t>（3）电话支持服务</w:t>
      </w:r>
    </w:p>
    <w:p w14:paraId="4D99D47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b w:val="0"/>
          <w:bCs w:val="0"/>
          <w:sz w:val="24"/>
          <w:szCs w:val="24"/>
        </w:rPr>
      </w:pPr>
      <w:r>
        <w:rPr>
          <w:rFonts w:hint="eastAsia" w:ascii="宋体" w:hAnsi="宋体" w:eastAsia="宋体"/>
          <w:b w:val="0"/>
          <w:bCs w:val="0"/>
          <w:sz w:val="24"/>
          <w:szCs w:val="24"/>
        </w:rPr>
        <w:t>每周7*24小时不间断的电话支持服务，解答</w:t>
      </w:r>
      <w:r>
        <w:rPr>
          <w:rFonts w:hint="eastAsia" w:ascii="宋体" w:hAnsi="宋体" w:eastAsia="宋体"/>
          <w:b w:val="0"/>
          <w:bCs w:val="0"/>
          <w:sz w:val="24"/>
          <w:szCs w:val="24"/>
          <w:lang w:val="en-US" w:eastAsia="zh-CN"/>
        </w:rPr>
        <w:t>用户</w:t>
      </w:r>
      <w:r>
        <w:rPr>
          <w:rFonts w:hint="eastAsia" w:ascii="宋体" w:hAnsi="宋体" w:eastAsia="宋体"/>
          <w:b w:val="0"/>
          <w:bCs w:val="0"/>
          <w:sz w:val="24"/>
          <w:szCs w:val="24"/>
        </w:rPr>
        <w:t>在使用过程中遇到的问题，及时提出解决问题的建议和操作方法。电话响应时间不超过10分钟，到达现场时间不超过2小时，解决问题不超过24小时。</w:t>
      </w:r>
    </w:p>
    <w:p w14:paraId="2CA9AA1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b w:val="0"/>
          <w:bCs w:val="0"/>
          <w:sz w:val="24"/>
          <w:szCs w:val="24"/>
        </w:rPr>
      </w:pPr>
      <w:r>
        <w:rPr>
          <w:rFonts w:hint="eastAsia" w:ascii="宋体" w:hAnsi="宋体" w:eastAsia="宋体"/>
          <w:b w:val="0"/>
          <w:bCs w:val="0"/>
          <w:sz w:val="24"/>
          <w:szCs w:val="24"/>
        </w:rPr>
        <w:t>（4）咨询服务</w:t>
      </w:r>
    </w:p>
    <w:p w14:paraId="5386E409">
      <w:pPr>
        <w:spacing w:before="154" w:line="360" w:lineRule="auto"/>
        <w:ind w:left="492"/>
        <w:rPr>
          <w:rFonts w:ascii="宋体" w:hAnsi="宋体" w:eastAsia="宋体" w:cs="宋体"/>
          <w:sz w:val="24"/>
          <w:szCs w:val="24"/>
        </w:rPr>
      </w:pPr>
      <w:r>
        <w:rPr>
          <w:rFonts w:hint="eastAsia" w:ascii="宋体" w:hAnsi="宋体" w:eastAsia="宋体"/>
          <w:b w:val="0"/>
          <w:bCs w:val="0"/>
          <w:sz w:val="24"/>
          <w:szCs w:val="24"/>
        </w:rPr>
        <w:t>投标人提供一年技术咨询服务，包括信息系统整改建设咨询服务以及其他相关咨询服务，一旦接到用户的服务请求，技术服务工程师将立即开始提供服务，帮助客户解决软件测试相关技术问题，全面配合</w:t>
      </w:r>
      <w:r>
        <w:rPr>
          <w:rFonts w:hint="eastAsia" w:ascii="宋体" w:hAnsi="宋体" w:eastAsia="宋体"/>
          <w:b w:val="0"/>
          <w:bCs w:val="0"/>
          <w:sz w:val="24"/>
          <w:szCs w:val="24"/>
          <w:lang w:val="en-US" w:eastAsia="zh-CN"/>
        </w:rPr>
        <w:t>用户</w:t>
      </w:r>
      <w:r>
        <w:rPr>
          <w:rFonts w:hint="eastAsia" w:ascii="宋体" w:hAnsi="宋体" w:eastAsia="宋体"/>
          <w:b w:val="0"/>
          <w:bCs w:val="0"/>
          <w:sz w:val="24"/>
          <w:szCs w:val="24"/>
        </w:rPr>
        <w:t>做好业务系统安全保障工作。</w:t>
      </w:r>
    </w:p>
    <w:p w14:paraId="06D1CAD2">
      <w:pPr>
        <w:spacing w:line="360" w:lineRule="auto"/>
        <w:rPr>
          <w:rFonts w:ascii="宋体" w:hAnsi="宋体" w:eastAsia="宋体" w:cs="宋体"/>
          <w:sz w:val="24"/>
          <w:szCs w:val="24"/>
        </w:rPr>
        <w:sectPr>
          <w:headerReference r:id="rId23" w:type="default"/>
          <w:footerReference r:id="rId24" w:type="default"/>
          <w:pgSz w:w="11906" w:h="16839"/>
          <w:pgMar w:top="1166" w:right="1080" w:bottom="1166" w:left="1080" w:header="829" w:footer="952" w:gutter="0"/>
          <w:cols w:space="720" w:num="1"/>
        </w:sectPr>
      </w:pPr>
    </w:p>
    <w:p w14:paraId="4A203567">
      <w:pPr>
        <w:pStyle w:val="4"/>
        <w:spacing w:line="360" w:lineRule="auto"/>
      </w:pPr>
    </w:p>
    <w:p w14:paraId="6FBA9EA5">
      <w:pPr>
        <w:spacing w:before="91" w:line="360" w:lineRule="auto"/>
        <w:ind w:left="3687"/>
        <w:outlineLvl w:val="0"/>
        <w:rPr>
          <w:rFonts w:ascii="宋体" w:hAnsi="宋体" w:eastAsia="宋体" w:cs="宋体"/>
          <w:sz w:val="28"/>
          <w:szCs w:val="28"/>
        </w:rPr>
      </w:pPr>
      <w:bookmarkStart w:id="35" w:name="bookmark12"/>
      <w:bookmarkEnd w:id="35"/>
      <w:bookmarkStart w:id="36" w:name="_Toc20005"/>
      <w:r>
        <w:rPr>
          <w:rFonts w:ascii="宋体" w:hAnsi="宋体" w:eastAsia="宋体" w:cs="宋体"/>
          <w:b/>
          <w:bCs/>
          <w:spacing w:val="-3"/>
          <w:sz w:val="28"/>
          <w:szCs w:val="28"/>
        </w:rPr>
        <w:t>第六章</w:t>
      </w:r>
      <w:r>
        <w:rPr>
          <w:rFonts w:ascii="宋体" w:hAnsi="宋体" w:eastAsia="宋体" w:cs="宋体"/>
          <w:spacing w:val="-3"/>
          <w:sz w:val="28"/>
          <w:szCs w:val="28"/>
        </w:rPr>
        <w:t xml:space="preserve"> </w:t>
      </w:r>
      <w:r>
        <w:rPr>
          <w:rFonts w:ascii="宋体" w:hAnsi="宋体" w:eastAsia="宋体" w:cs="宋体"/>
          <w:b/>
          <w:bCs/>
          <w:spacing w:val="-3"/>
          <w:sz w:val="28"/>
          <w:szCs w:val="28"/>
        </w:rPr>
        <w:t>合同协议书</w:t>
      </w:r>
      <w:bookmarkEnd w:id="36"/>
    </w:p>
    <w:p w14:paraId="572B467B">
      <w:pPr>
        <w:spacing w:before="141" w:line="360" w:lineRule="auto"/>
        <w:ind w:left="2243"/>
        <w:rPr>
          <w:rFonts w:ascii="宋体" w:hAnsi="宋体" w:eastAsia="宋体" w:cs="宋体"/>
          <w:sz w:val="24"/>
          <w:szCs w:val="24"/>
        </w:rPr>
      </w:pPr>
      <w:r>
        <w:rPr>
          <w:rFonts w:ascii="宋体" w:hAnsi="宋体" w:eastAsia="宋体" w:cs="宋体"/>
          <w:b/>
          <w:bCs/>
          <w:spacing w:val="-3"/>
          <w:sz w:val="24"/>
          <w:szCs w:val="24"/>
        </w:rPr>
        <w:t>（合同模板仅供参考，具体以实际签订合同为准）</w:t>
      </w:r>
    </w:p>
    <w:p w14:paraId="0FC31DA0">
      <w:pPr>
        <w:spacing w:before="480" w:after="480" w:line="288" w:lineRule="auto"/>
        <w:ind w:left="0"/>
        <w:jc w:val="center"/>
        <w:rPr>
          <w:rFonts w:hint="eastAsia" w:ascii="宋体" w:hAnsi="宋体" w:eastAsia="宋体" w:cs="宋体"/>
          <w:sz w:val="24"/>
          <w:szCs w:val="24"/>
        </w:rPr>
      </w:pPr>
      <w:r>
        <w:rPr>
          <w:rFonts w:hint="eastAsia" w:ascii="宋体" w:hAnsi="宋体" w:eastAsia="宋体" w:cs="宋体"/>
          <w:b/>
          <w:sz w:val="24"/>
          <w:szCs w:val="24"/>
        </w:rPr>
        <w:t>杨凌农业科技成果转化综合信息服务平台软件测试服务合同</w:t>
      </w:r>
    </w:p>
    <w:p w14:paraId="0CB68374">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合同编号：__________</w:t>
      </w:r>
    </w:p>
    <w:p w14:paraId="6DA3C5ED">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甲方（采购人）：杨凌示范区科技创新和转化推广局</w:t>
      </w:r>
    </w:p>
    <w:p w14:paraId="57C53CC4">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法定代表人/负责人：__________</w:t>
      </w:r>
    </w:p>
    <w:p w14:paraId="595DA054">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地址：__________</w:t>
      </w:r>
    </w:p>
    <w:p w14:paraId="1A8D5FB9">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联系电话：__________</w:t>
      </w:r>
    </w:p>
    <w:p w14:paraId="1102E3B6">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乙方（服务商）：__________</w:t>
      </w:r>
    </w:p>
    <w:p w14:paraId="04960569">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统一社会信用代码：__________</w:t>
      </w:r>
    </w:p>
    <w:p w14:paraId="25F4A657">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法定代表人/负责人：__________</w:t>
      </w:r>
    </w:p>
    <w:p w14:paraId="3D7E1D75">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地址：__________</w:t>
      </w:r>
    </w:p>
    <w:p w14:paraId="17227BC0">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联系电话：__________</w:t>
      </w:r>
    </w:p>
    <w:p w14:paraId="05E0E826">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开户银行：__________</w:t>
      </w:r>
    </w:p>
    <w:p w14:paraId="2773D198">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银行账号：__________</w:t>
      </w:r>
    </w:p>
    <w:p w14:paraId="5E7D14DB">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依据《中华人民共和国民法典》《中华人民共和国政府采购法》等相关法律法规，甲乙双方本着平等自愿、协商一致、诚实信用的原则，就乙方为甲方</w:t>
      </w:r>
      <w:r>
        <w:rPr>
          <w:rFonts w:hint="eastAsia" w:ascii="宋体" w:hAnsi="宋体" w:eastAsia="宋体" w:cs="宋体"/>
          <w:b/>
          <w:sz w:val="24"/>
          <w:szCs w:val="24"/>
        </w:rPr>
        <w:t>杨凌农业科技成果转化综合信息服务平台</w:t>
      </w:r>
      <w:r>
        <w:rPr>
          <w:rFonts w:hint="eastAsia" w:ascii="宋体" w:hAnsi="宋体" w:eastAsia="宋体" w:cs="宋体"/>
          <w:sz w:val="24"/>
          <w:szCs w:val="24"/>
        </w:rPr>
        <w:t>提供软件测试服务事宜，订立本合同，以资共同信守。</w:t>
      </w:r>
    </w:p>
    <w:p w14:paraId="7B8C7317">
      <w:pPr>
        <w:spacing w:before="320" w:after="120" w:line="288" w:lineRule="auto"/>
        <w:ind w:left="0"/>
        <w:jc w:val="left"/>
        <w:outlineLvl w:val="1"/>
        <w:rPr>
          <w:rFonts w:hint="eastAsia" w:ascii="宋体" w:hAnsi="宋体" w:eastAsia="宋体" w:cs="宋体"/>
          <w:sz w:val="24"/>
          <w:szCs w:val="24"/>
        </w:rPr>
      </w:pPr>
      <w:bookmarkStart w:id="37" w:name="heading_0"/>
      <w:bookmarkStart w:id="38" w:name="_Toc3112"/>
      <w:r>
        <w:rPr>
          <w:rFonts w:hint="eastAsia" w:ascii="宋体" w:hAnsi="宋体" w:eastAsia="宋体" w:cs="宋体"/>
          <w:b/>
          <w:sz w:val="24"/>
          <w:szCs w:val="24"/>
        </w:rPr>
        <w:t>第一条 服务内容与范围</w:t>
      </w:r>
      <w:bookmarkEnd w:id="37"/>
      <w:bookmarkEnd w:id="38"/>
    </w:p>
    <w:p w14:paraId="7C8BA520">
      <w:pPr>
        <w:spacing w:before="300" w:after="120" w:line="288" w:lineRule="auto"/>
        <w:ind w:left="0"/>
        <w:jc w:val="left"/>
        <w:outlineLvl w:val="2"/>
        <w:rPr>
          <w:rFonts w:hint="eastAsia" w:ascii="宋体" w:hAnsi="宋体" w:eastAsia="宋体" w:cs="宋体"/>
          <w:sz w:val="24"/>
          <w:szCs w:val="24"/>
        </w:rPr>
      </w:pPr>
      <w:bookmarkStart w:id="39" w:name="heading_1"/>
      <w:bookmarkStart w:id="40" w:name="_Toc22267"/>
      <w:r>
        <w:rPr>
          <w:rFonts w:hint="eastAsia" w:ascii="宋体" w:hAnsi="宋体" w:eastAsia="宋体" w:cs="宋体"/>
          <w:b/>
          <w:sz w:val="24"/>
          <w:szCs w:val="24"/>
        </w:rPr>
        <w:t>（一）软件测试服务</w:t>
      </w:r>
      <w:bookmarkEnd w:id="39"/>
      <w:bookmarkEnd w:id="40"/>
    </w:p>
    <w:p w14:paraId="7E77DBA7">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乙方按照国家、行业相关标准及本合同约定，对杨凌农业科技成果转化综合信息服务平台开展全面软件测试，包括但不限于</w:t>
      </w:r>
      <w:r>
        <w:rPr>
          <w:rFonts w:hint="eastAsia" w:ascii="宋体" w:hAnsi="宋体" w:eastAsia="宋体" w:cs="宋体"/>
          <w:b/>
          <w:sz w:val="24"/>
          <w:szCs w:val="24"/>
        </w:rPr>
        <w:t>功能测试、性能效率测试、可靠性测试、安全性测试、接口测试、源代码审计</w:t>
      </w:r>
      <w:r>
        <w:rPr>
          <w:rFonts w:hint="eastAsia" w:ascii="宋体" w:hAnsi="宋体" w:eastAsia="宋体" w:cs="宋体"/>
          <w:sz w:val="24"/>
          <w:szCs w:val="24"/>
        </w:rPr>
        <w:t>等内容，严格遵循测试准备、首测、复测、总结交流的测试流程，出具合法有效、符合项目验收要求的第三方检测报告，并按要求提交全套测试文档及交付物。</w:t>
      </w:r>
    </w:p>
    <w:p w14:paraId="0A0E87AC">
      <w:pPr>
        <w:spacing w:before="300" w:after="120" w:line="288" w:lineRule="auto"/>
        <w:ind w:left="0"/>
        <w:jc w:val="left"/>
        <w:outlineLvl w:val="2"/>
        <w:rPr>
          <w:rFonts w:hint="eastAsia" w:ascii="宋体" w:hAnsi="宋体" w:eastAsia="宋体" w:cs="宋体"/>
          <w:sz w:val="24"/>
          <w:szCs w:val="24"/>
        </w:rPr>
      </w:pPr>
      <w:bookmarkStart w:id="41" w:name="heading_2"/>
      <w:bookmarkStart w:id="42" w:name="_Toc4447"/>
      <w:r>
        <w:rPr>
          <w:rFonts w:hint="eastAsia" w:ascii="宋体" w:hAnsi="宋体" w:eastAsia="宋体" w:cs="宋体"/>
          <w:b/>
          <w:sz w:val="24"/>
          <w:szCs w:val="24"/>
        </w:rPr>
        <w:t>（二）</w:t>
      </w:r>
      <w:bookmarkEnd w:id="41"/>
      <w:bookmarkStart w:id="43" w:name="heading_3"/>
      <w:r>
        <w:rPr>
          <w:rFonts w:hint="eastAsia" w:ascii="宋体" w:hAnsi="宋体" w:eastAsia="宋体" w:cs="宋体"/>
          <w:b/>
          <w:sz w:val="24"/>
          <w:szCs w:val="24"/>
        </w:rPr>
        <w:t>服务依据</w:t>
      </w:r>
      <w:bookmarkEnd w:id="42"/>
      <w:bookmarkEnd w:id="43"/>
    </w:p>
    <w:p w14:paraId="2183867F">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本项目服务执行的国家/行业标准，按</w:t>
      </w:r>
      <w:r>
        <w:rPr>
          <w:rFonts w:hint="eastAsia" w:ascii="宋体" w:hAnsi="宋体" w:eastAsia="宋体" w:cs="宋体"/>
          <w:b/>
          <w:sz w:val="24"/>
          <w:szCs w:val="24"/>
        </w:rPr>
        <w:t>较高标准</w:t>
      </w:r>
      <w:r>
        <w:rPr>
          <w:rFonts w:hint="eastAsia" w:ascii="宋体" w:hAnsi="宋体" w:eastAsia="宋体" w:cs="宋体"/>
          <w:sz w:val="24"/>
          <w:szCs w:val="24"/>
        </w:rPr>
        <w:t>执行。</w:t>
      </w:r>
    </w:p>
    <w:p w14:paraId="75953E2B">
      <w:pPr>
        <w:spacing w:before="320" w:after="120" w:line="288" w:lineRule="auto"/>
        <w:ind w:left="0"/>
        <w:jc w:val="left"/>
        <w:outlineLvl w:val="1"/>
        <w:rPr>
          <w:rFonts w:hint="eastAsia" w:ascii="宋体" w:hAnsi="宋体" w:eastAsia="宋体" w:cs="宋体"/>
          <w:sz w:val="24"/>
          <w:szCs w:val="24"/>
        </w:rPr>
      </w:pPr>
      <w:bookmarkStart w:id="44" w:name="heading_4"/>
      <w:bookmarkStart w:id="45" w:name="_Toc21834"/>
      <w:r>
        <w:rPr>
          <w:rFonts w:hint="eastAsia" w:ascii="宋体" w:hAnsi="宋体" w:eastAsia="宋体" w:cs="宋体"/>
          <w:b/>
          <w:sz w:val="24"/>
          <w:szCs w:val="24"/>
        </w:rPr>
        <w:t>第二条 服务期限</w:t>
      </w:r>
      <w:bookmarkEnd w:id="44"/>
      <w:bookmarkEnd w:id="45"/>
    </w:p>
    <w:p w14:paraId="4327E47F">
      <w:pPr>
        <w:numPr>
          <w:ilvl w:val="0"/>
          <w:numId w:val="5"/>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本合同服务总期限自</w:t>
      </w:r>
      <w:r>
        <w:rPr>
          <w:rFonts w:hint="eastAsia" w:ascii="宋体" w:hAnsi="宋体" w:eastAsia="宋体"/>
          <w:sz w:val="24"/>
        </w:rPr>
        <w:t>具备软件测试条件开始至测试完成并出具测试报告30个工作日</w:t>
      </w:r>
      <w:r>
        <w:rPr>
          <w:rFonts w:hint="eastAsia" w:ascii="宋体" w:hAnsi="宋体" w:eastAsia="宋体" w:cs="宋体"/>
          <w:sz w:val="24"/>
          <w:szCs w:val="24"/>
        </w:rPr>
        <w:t>；</w:t>
      </w:r>
    </w:p>
    <w:p w14:paraId="36F41C18">
      <w:pPr>
        <w:numPr>
          <w:ilvl w:val="0"/>
          <w:numId w:val="6"/>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售后服务期限为</w:t>
      </w:r>
      <w:r>
        <w:rPr>
          <w:rFonts w:hint="eastAsia" w:ascii="宋体" w:hAnsi="宋体" w:eastAsia="宋体" w:cs="宋体"/>
          <w:b/>
          <w:sz w:val="24"/>
          <w:szCs w:val="24"/>
        </w:rPr>
        <w:t>项目终验合格之日起两年</w:t>
      </w:r>
      <w:r>
        <w:rPr>
          <w:rFonts w:hint="eastAsia" w:ascii="宋体" w:hAnsi="宋体" w:eastAsia="宋体" w:cs="宋体"/>
          <w:sz w:val="24"/>
          <w:szCs w:val="24"/>
        </w:rPr>
        <w:t>，乙方按约定提供免费技术支持及咨询服务；</w:t>
      </w:r>
    </w:p>
    <w:p w14:paraId="61A282DF">
      <w:pPr>
        <w:numPr>
          <w:ilvl w:val="0"/>
          <w:numId w:val="7"/>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乙方应在甲方软件开发初验完成后启动测试工作，在平台正式终验上线前完成所有软件测试工作，具体时间节点双方另行书面确认。</w:t>
      </w:r>
    </w:p>
    <w:p w14:paraId="47A9A312">
      <w:pPr>
        <w:spacing w:before="320" w:after="120" w:line="288" w:lineRule="auto"/>
        <w:ind w:left="0"/>
        <w:jc w:val="left"/>
        <w:outlineLvl w:val="1"/>
        <w:rPr>
          <w:rFonts w:hint="eastAsia" w:ascii="宋体" w:hAnsi="宋体" w:eastAsia="宋体" w:cs="宋体"/>
          <w:sz w:val="24"/>
          <w:szCs w:val="24"/>
        </w:rPr>
      </w:pPr>
      <w:bookmarkStart w:id="46" w:name="heading_5"/>
      <w:bookmarkStart w:id="47" w:name="_Toc9520"/>
      <w:r>
        <w:rPr>
          <w:rFonts w:hint="eastAsia" w:ascii="宋体" w:hAnsi="宋体" w:eastAsia="宋体" w:cs="宋体"/>
          <w:b/>
          <w:sz w:val="24"/>
          <w:szCs w:val="24"/>
        </w:rPr>
        <w:t>第三条 服务费用及支付方式</w:t>
      </w:r>
      <w:bookmarkEnd w:id="46"/>
      <w:bookmarkEnd w:id="47"/>
    </w:p>
    <w:p w14:paraId="0AE76064">
      <w:pPr>
        <w:spacing w:before="300" w:after="120" w:line="288" w:lineRule="auto"/>
        <w:ind w:left="0"/>
        <w:jc w:val="left"/>
        <w:outlineLvl w:val="2"/>
        <w:rPr>
          <w:rFonts w:hint="eastAsia" w:ascii="宋体" w:hAnsi="宋体" w:eastAsia="宋体" w:cs="宋体"/>
          <w:sz w:val="24"/>
          <w:szCs w:val="24"/>
        </w:rPr>
      </w:pPr>
      <w:bookmarkStart w:id="48" w:name="heading_6"/>
      <w:bookmarkStart w:id="49" w:name="_Toc17338"/>
      <w:r>
        <w:rPr>
          <w:rFonts w:hint="eastAsia" w:ascii="宋体" w:hAnsi="宋体" w:eastAsia="宋体" w:cs="宋体"/>
          <w:b/>
          <w:sz w:val="24"/>
          <w:szCs w:val="24"/>
        </w:rPr>
        <w:t>（一）合同总价款</w:t>
      </w:r>
      <w:bookmarkEnd w:id="48"/>
      <w:bookmarkEnd w:id="49"/>
    </w:p>
    <w:p w14:paraId="0B1B108B">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本项目合同总价款为人民币</w:t>
      </w:r>
      <w:r>
        <w:rPr>
          <w:rFonts w:hint="eastAsia" w:ascii="宋体" w:hAnsi="宋体" w:eastAsia="宋体" w:cs="宋体"/>
          <w:b/>
          <w:sz w:val="24"/>
          <w:szCs w:val="24"/>
        </w:rPr>
        <w:t>大写：__________元整（¥：__________元）</w:t>
      </w:r>
      <w:r>
        <w:rPr>
          <w:rFonts w:hint="eastAsia" w:ascii="宋体" w:hAnsi="宋体" w:eastAsia="宋体" w:cs="宋体"/>
          <w:sz w:val="24"/>
          <w:szCs w:val="24"/>
        </w:rPr>
        <w:t>，该价款为固定总价，包含乙方完成本合同全部服务内容的人工、设备、工具、检测、报告编制、技术支持、税费等所有费用，甲方无需另行支付其他费用。最终结算金额以结算审计的审定金额为准，且不得超过本合同成交金额。</w:t>
      </w:r>
    </w:p>
    <w:p w14:paraId="3CB63311">
      <w:pPr>
        <w:spacing w:before="300" w:after="120" w:line="288" w:lineRule="auto"/>
        <w:ind w:left="0"/>
        <w:jc w:val="left"/>
        <w:outlineLvl w:val="2"/>
        <w:rPr>
          <w:rFonts w:hint="eastAsia" w:ascii="宋体" w:hAnsi="宋体" w:eastAsia="宋体" w:cs="宋体"/>
          <w:sz w:val="24"/>
          <w:szCs w:val="24"/>
        </w:rPr>
      </w:pPr>
      <w:bookmarkStart w:id="50" w:name="heading_7"/>
      <w:bookmarkStart w:id="51" w:name="_Toc23000"/>
      <w:r>
        <w:rPr>
          <w:rFonts w:hint="eastAsia" w:ascii="宋体" w:hAnsi="宋体" w:eastAsia="宋体" w:cs="宋体"/>
          <w:b/>
          <w:sz w:val="24"/>
          <w:szCs w:val="24"/>
        </w:rPr>
        <w:t>（二）付款方式</w:t>
      </w:r>
      <w:bookmarkEnd w:id="50"/>
      <w:bookmarkEnd w:id="51"/>
    </w:p>
    <w:p w14:paraId="748E5DC4">
      <w:pPr>
        <w:numPr>
          <w:ilvl w:val="0"/>
          <w:numId w:val="8"/>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b/>
          <w:sz w:val="24"/>
          <w:szCs w:val="24"/>
        </w:rPr>
        <w:t>第一次付款（合同总价50%）</w:t>
      </w:r>
      <w:r>
        <w:rPr>
          <w:rFonts w:hint="eastAsia" w:ascii="宋体" w:hAnsi="宋体" w:eastAsia="宋体" w:cs="宋体"/>
          <w:sz w:val="24"/>
          <w:szCs w:val="24"/>
        </w:rPr>
        <w:t>：合同生效起7个工作日内，乙方先向甲方支付合同总价款5%的履约保证金，并按甲方提供的开票信息开具合同总价款的合法有效技术服务费发票（含增项，如有），甲方在收到履约保证金及合规发票后7个工作日内，通过银行转账方式支付合同总价款的50%。</w:t>
      </w:r>
    </w:p>
    <w:p w14:paraId="2564BF65">
      <w:pPr>
        <w:numPr>
          <w:ilvl w:val="0"/>
          <w:numId w:val="9"/>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b/>
          <w:sz w:val="24"/>
          <w:szCs w:val="24"/>
        </w:rPr>
        <w:t>第二次付款（合同总价50%）</w:t>
      </w:r>
      <w:r>
        <w:rPr>
          <w:rFonts w:hint="eastAsia" w:ascii="宋体" w:hAnsi="宋体" w:eastAsia="宋体" w:cs="宋体"/>
          <w:sz w:val="24"/>
          <w:szCs w:val="24"/>
        </w:rPr>
        <w:t>：乙方完成全部服务内容，交付所有</w:t>
      </w:r>
      <w:r>
        <w:rPr>
          <w:rFonts w:hint="eastAsia" w:ascii="宋体" w:hAnsi="宋体" w:eastAsia="宋体" w:cs="宋体"/>
          <w:sz w:val="24"/>
          <w:szCs w:val="24"/>
          <w:lang w:eastAsia="zh-CN"/>
        </w:rPr>
        <w:t>软件测试</w:t>
      </w:r>
      <w:r>
        <w:rPr>
          <w:rFonts w:hint="eastAsia" w:ascii="宋体" w:hAnsi="宋体" w:eastAsia="宋体" w:cs="宋体"/>
          <w:sz w:val="24"/>
          <w:szCs w:val="24"/>
        </w:rPr>
        <w:t>成果文件，且项目经甲方组织验收合格后，甲方无息支付剩余合同总价款的50%。</w:t>
      </w:r>
    </w:p>
    <w:p w14:paraId="2DCD04F8">
      <w:pPr>
        <w:numPr>
          <w:ilvl w:val="0"/>
          <w:numId w:val="10"/>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乙方应在甲方每次付款前提供合规发票，否则甲方有权顺延付款期限，且不承担违约责任，乙方不得以此为由拒绝履行合同义务。</w:t>
      </w:r>
    </w:p>
    <w:p w14:paraId="0DC0DC76">
      <w:pPr>
        <w:spacing w:before="300" w:after="120" w:line="288" w:lineRule="auto"/>
        <w:ind w:left="0"/>
        <w:jc w:val="left"/>
        <w:outlineLvl w:val="2"/>
        <w:rPr>
          <w:rFonts w:hint="eastAsia" w:ascii="宋体" w:hAnsi="宋体" w:eastAsia="宋体" w:cs="宋体"/>
          <w:sz w:val="24"/>
          <w:szCs w:val="24"/>
        </w:rPr>
      </w:pPr>
      <w:bookmarkStart w:id="52" w:name="heading_8"/>
      <w:bookmarkStart w:id="53" w:name="_Toc11516"/>
      <w:r>
        <w:rPr>
          <w:rFonts w:hint="eastAsia" w:ascii="宋体" w:hAnsi="宋体" w:eastAsia="宋体" w:cs="宋体"/>
          <w:b/>
          <w:sz w:val="24"/>
          <w:szCs w:val="24"/>
        </w:rPr>
        <w:t>（三）结算方式</w:t>
      </w:r>
      <w:bookmarkEnd w:id="52"/>
      <w:bookmarkEnd w:id="53"/>
    </w:p>
    <w:p w14:paraId="4A020865">
      <w:pPr>
        <w:numPr>
          <w:ilvl w:val="0"/>
          <w:numId w:val="11"/>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本项目结算以结算审计为必要条件，由甲方负责办理结算手续，乙方开具合同总价全额发票交甲方；</w:t>
      </w:r>
    </w:p>
    <w:p w14:paraId="7484489D">
      <w:pPr>
        <w:numPr>
          <w:ilvl w:val="0"/>
          <w:numId w:val="12"/>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付款方式为</w:t>
      </w:r>
      <w:r>
        <w:rPr>
          <w:rFonts w:hint="eastAsia" w:ascii="宋体" w:hAnsi="宋体" w:eastAsia="宋体" w:cs="宋体"/>
          <w:b/>
          <w:sz w:val="24"/>
          <w:szCs w:val="24"/>
        </w:rPr>
        <w:t>银行转账</w:t>
      </w:r>
      <w:r>
        <w:rPr>
          <w:rFonts w:hint="eastAsia" w:ascii="宋体" w:hAnsi="宋体" w:eastAsia="宋体" w:cs="宋体"/>
          <w:sz w:val="24"/>
          <w:szCs w:val="24"/>
        </w:rPr>
        <w:t>，甲方将款项支付至乙方本合同约定的银行账户，乙方账户信息变更的，应提前15个工作日书面通知甲方，否则由此产生的付款失败、迟延等后果由乙方承担。</w:t>
      </w:r>
    </w:p>
    <w:p w14:paraId="360DC790">
      <w:pPr>
        <w:spacing w:before="300" w:after="120" w:line="288" w:lineRule="auto"/>
        <w:ind w:left="0"/>
        <w:jc w:val="left"/>
        <w:outlineLvl w:val="2"/>
        <w:rPr>
          <w:rFonts w:hint="eastAsia" w:ascii="宋体" w:hAnsi="宋体" w:eastAsia="宋体" w:cs="宋体"/>
          <w:sz w:val="24"/>
          <w:szCs w:val="24"/>
        </w:rPr>
      </w:pPr>
      <w:bookmarkStart w:id="54" w:name="heading_9"/>
      <w:bookmarkStart w:id="55" w:name="_Toc29443"/>
      <w:r>
        <w:rPr>
          <w:rFonts w:hint="eastAsia" w:ascii="宋体" w:hAnsi="宋体" w:eastAsia="宋体" w:cs="宋体"/>
          <w:b/>
          <w:sz w:val="24"/>
          <w:szCs w:val="24"/>
        </w:rPr>
        <w:t>（四）履约保证金</w:t>
      </w:r>
      <w:bookmarkEnd w:id="54"/>
      <w:bookmarkEnd w:id="55"/>
    </w:p>
    <w:p w14:paraId="6888C12A">
      <w:pPr>
        <w:numPr>
          <w:ilvl w:val="0"/>
          <w:numId w:val="13"/>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乙方应在本合同签订后7日内，向甲方支付合同总价款</w:t>
      </w:r>
      <w:r>
        <w:rPr>
          <w:rFonts w:hint="eastAsia" w:ascii="宋体" w:hAnsi="宋体" w:eastAsia="宋体" w:cs="宋体"/>
          <w:b/>
          <w:sz w:val="24"/>
          <w:szCs w:val="24"/>
        </w:rPr>
        <w:t>5%</w:t>
      </w:r>
      <w:r>
        <w:rPr>
          <w:rFonts w:hint="eastAsia" w:ascii="宋体" w:hAnsi="宋体" w:eastAsia="宋体" w:cs="宋体"/>
          <w:sz w:val="24"/>
          <w:szCs w:val="24"/>
        </w:rPr>
        <w:t xml:space="preserve"> 的履约保证金，保证金形式为银行转账/银行保函（双方协商确定）；</w:t>
      </w:r>
    </w:p>
    <w:p w14:paraId="6EA96FFA">
      <w:pPr>
        <w:numPr>
          <w:ilvl w:val="0"/>
          <w:numId w:val="14"/>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自项目终验结束之日起至售后服务期满后，若无索赔争议，且乙方提供的成果文件、服务质量均符合本合同约定，甲方在乙方提出申请后15个工作日内，为乙方办理履约保证金无息退还手续。</w:t>
      </w:r>
    </w:p>
    <w:p w14:paraId="061BA5E0">
      <w:pPr>
        <w:spacing w:before="320" w:after="120" w:line="288" w:lineRule="auto"/>
        <w:ind w:left="0"/>
        <w:jc w:val="left"/>
        <w:outlineLvl w:val="1"/>
        <w:rPr>
          <w:rFonts w:hint="eastAsia" w:ascii="宋体" w:hAnsi="宋体" w:eastAsia="宋体" w:cs="宋体"/>
          <w:sz w:val="24"/>
          <w:szCs w:val="24"/>
        </w:rPr>
      </w:pPr>
      <w:bookmarkStart w:id="56" w:name="heading_10"/>
      <w:bookmarkStart w:id="57" w:name="_Toc8903"/>
      <w:r>
        <w:rPr>
          <w:rFonts w:hint="eastAsia" w:ascii="宋体" w:hAnsi="宋体" w:eastAsia="宋体" w:cs="宋体"/>
          <w:b/>
          <w:sz w:val="24"/>
          <w:szCs w:val="24"/>
        </w:rPr>
        <w:t>第四条 双方权利与义务</w:t>
      </w:r>
      <w:bookmarkEnd w:id="56"/>
      <w:bookmarkEnd w:id="57"/>
    </w:p>
    <w:p w14:paraId="301E2947">
      <w:pPr>
        <w:spacing w:before="300" w:after="120" w:line="288" w:lineRule="auto"/>
        <w:ind w:left="0"/>
        <w:jc w:val="left"/>
        <w:outlineLvl w:val="2"/>
        <w:rPr>
          <w:rFonts w:hint="eastAsia" w:ascii="宋体" w:hAnsi="宋体" w:eastAsia="宋体" w:cs="宋体"/>
          <w:sz w:val="24"/>
          <w:szCs w:val="24"/>
        </w:rPr>
      </w:pPr>
      <w:bookmarkStart w:id="58" w:name="heading_11"/>
      <w:bookmarkStart w:id="59" w:name="_Toc3424"/>
      <w:r>
        <w:rPr>
          <w:rFonts w:hint="eastAsia" w:ascii="宋体" w:hAnsi="宋体" w:eastAsia="宋体" w:cs="宋体"/>
          <w:b/>
          <w:sz w:val="24"/>
          <w:szCs w:val="24"/>
        </w:rPr>
        <w:t>（一）甲方权利与义务</w:t>
      </w:r>
      <w:bookmarkEnd w:id="58"/>
      <w:bookmarkEnd w:id="59"/>
    </w:p>
    <w:p w14:paraId="7E93100F">
      <w:pPr>
        <w:numPr>
          <w:ilvl w:val="0"/>
          <w:numId w:val="15"/>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有权对乙方的服务过程、服务质量进行监督、检查和提出整改要求，对乙方提交的成果文件进行审核、验收；</w:t>
      </w:r>
    </w:p>
    <w:p w14:paraId="4137AE84">
      <w:pPr>
        <w:numPr>
          <w:ilvl w:val="0"/>
          <w:numId w:val="16"/>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若乙方服务质量不符合合同约定或未按要求整改，甲方有权拒绝验收，并依据本合同约定追究乙方违约责任；</w:t>
      </w:r>
    </w:p>
    <w:p w14:paraId="5FBCDBF4">
      <w:pPr>
        <w:numPr>
          <w:ilvl w:val="0"/>
          <w:numId w:val="17"/>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及时向乙方提供本项目所需的项目设计文档、需求规格说明、系统相关资料等，并保证所提供资料的真实性、完整性和有效性；</w:t>
      </w:r>
    </w:p>
    <w:p w14:paraId="5206410A">
      <w:pPr>
        <w:numPr>
          <w:ilvl w:val="0"/>
          <w:numId w:val="18"/>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为乙方开展现场测评、测试工作提供必要的现场条件、配合支持（包括系统相关人员协助、现场场地、设备接入等）；</w:t>
      </w:r>
    </w:p>
    <w:p w14:paraId="52CCF417">
      <w:pPr>
        <w:numPr>
          <w:ilvl w:val="0"/>
          <w:numId w:val="19"/>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按本合同约定及时支付服务费用，若因国家相关政策或甲方财务程序等原因导致付款迟延，不构成甲方违约，乙方应予以谅解；</w:t>
      </w:r>
    </w:p>
    <w:p w14:paraId="772DCB72">
      <w:pPr>
        <w:numPr>
          <w:ilvl w:val="0"/>
          <w:numId w:val="20"/>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对乙方在服务过程中提交的需甲方保密的资料、信息予以保密。</w:t>
      </w:r>
    </w:p>
    <w:p w14:paraId="42F1098B">
      <w:pPr>
        <w:spacing w:before="300" w:after="120" w:line="288" w:lineRule="auto"/>
        <w:ind w:left="0"/>
        <w:jc w:val="left"/>
        <w:outlineLvl w:val="2"/>
        <w:rPr>
          <w:rFonts w:hint="eastAsia" w:ascii="宋体" w:hAnsi="宋体" w:eastAsia="宋体" w:cs="宋体"/>
          <w:sz w:val="24"/>
          <w:szCs w:val="24"/>
        </w:rPr>
      </w:pPr>
      <w:bookmarkStart w:id="60" w:name="heading_12"/>
      <w:bookmarkStart w:id="61" w:name="_Toc8600"/>
      <w:r>
        <w:rPr>
          <w:rFonts w:hint="eastAsia" w:ascii="宋体" w:hAnsi="宋体" w:eastAsia="宋体" w:cs="宋体"/>
          <w:b/>
          <w:sz w:val="24"/>
          <w:szCs w:val="24"/>
        </w:rPr>
        <w:t>（二）乙方权利与义务</w:t>
      </w:r>
      <w:bookmarkEnd w:id="60"/>
      <w:bookmarkEnd w:id="61"/>
    </w:p>
    <w:p w14:paraId="74FA2FCC">
      <w:pPr>
        <w:numPr>
          <w:ilvl w:val="0"/>
          <w:numId w:val="21"/>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有权按本合同约定收取服务费用；</w:t>
      </w:r>
    </w:p>
    <w:p w14:paraId="6F962F6D">
      <w:pPr>
        <w:numPr>
          <w:ilvl w:val="0"/>
          <w:numId w:val="22"/>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成立专门的项目服务小组，配备符合本合同要求的专业人员（项目经理、质量负责人具备相应资质认证，测评人员具有1年及以上测评工作经验），且项目人员稳定，如需更换，必须经甲方书面同意；</w:t>
      </w:r>
    </w:p>
    <w:p w14:paraId="3D4D281C">
      <w:pPr>
        <w:numPr>
          <w:ilvl w:val="0"/>
          <w:numId w:val="23"/>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严格按照本合同及国家相关标准开展服务工作，保证服务过程合法、规范，测试/测评结果真实、客观、有效，对出具的所有报告、成果文件的真实性、合法性、有效性负责；</w:t>
      </w:r>
    </w:p>
    <w:p w14:paraId="17CCE731">
      <w:pPr>
        <w:numPr>
          <w:ilvl w:val="0"/>
          <w:numId w:val="24"/>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按本合同约定的时间、内容提交全套成果文件及交付物，确保交付物符合甲方项目验收要求；</w:t>
      </w:r>
    </w:p>
    <w:p w14:paraId="53A05EF2">
      <w:pPr>
        <w:numPr>
          <w:ilvl w:val="0"/>
          <w:numId w:val="25"/>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严格遵守保密约定，与甲方签订保密协议，项目组所有人员签订保密承诺书，对服务过程中接触到的甲方各类信息（包括但不限于被测系统信息、数据、网络拓扑、IP地址等）承担保密义务，不得泄露给任何第三方，不得用于与本服务无关的活动；合同执行完毕后，立即返还甲方提供的所有资料，或按甲方要求彻底销毁；</w:t>
      </w:r>
    </w:p>
    <w:p w14:paraId="14F865D2">
      <w:pPr>
        <w:numPr>
          <w:ilvl w:val="0"/>
          <w:numId w:val="26"/>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开展测试/测评工作时，采取有效措施保证甲方系统正常运行，不得因乙方操作导致甲方系统故障、数据丢失等损失；若因乙方原因造成甲方损失的，乙方应承担全部赔偿责任；</w:t>
      </w:r>
    </w:p>
    <w:p w14:paraId="6673AFAC">
      <w:pPr>
        <w:numPr>
          <w:ilvl w:val="0"/>
          <w:numId w:val="27"/>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对服务过程中发现的系统问题，及时向甲方反馈，并提供科学、合理的整改建议及技术支持；</w:t>
      </w:r>
    </w:p>
    <w:p w14:paraId="732B417D">
      <w:pPr>
        <w:numPr>
          <w:ilvl w:val="0"/>
          <w:numId w:val="28"/>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按本合同约定提供售后服务，保证7×24小时电话支持、应急响应，接到甲方报修后10分钟内响应，现场到达时间不超过6小时，问题解决时间不超过24小时；</w:t>
      </w:r>
    </w:p>
    <w:p w14:paraId="0959424C">
      <w:pPr>
        <w:numPr>
          <w:ilvl w:val="0"/>
          <w:numId w:val="29"/>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配合甲方完成项目验收、结算审计，以及公安机关等相关部门的检查工作，协助甲方准备、完善相关资料文档。</w:t>
      </w:r>
    </w:p>
    <w:p w14:paraId="6463A22E">
      <w:pPr>
        <w:spacing w:before="320" w:after="120" w:line="288" w:lineRule="auto"/>
        <w:ind w:left="0"/>
        <w:jc w:val="left"/>
        <w:outlineLvl w:val="1"/>
        <w:rPr>
          <w:rFonts w:hint="eastAsia" w:ascii="宋体" w:hAnsi="宋体" w:eastAsia="宋体" w:cs="宋体"/>
          <w:sz w:val="24"/>
          <w:szCs w:val="24"/>
        </w:rPr>
      </w:pPr>
      <w:bookmarkStart w:id="62" w:name="heading_13"/>
      <w:bookmarkStart w:id="63" w:name="_Toc25562"/>
      <w:r>
        <w:rPr>
          <w:rFonts w:hint="eastAsia" w:ascii="宋体" w:hAnsi="宋体" w:eastAsia="宋体" w:cs="宋体"/>
          <w:b/>
          <w:sz w:val="24"/>
          <w:szCs w:val="24"/>
        </w:rPr>
        <w:t>第五条 交付物要求</w:t>
      </w:r>
      <w:bookmarkEnd w:id="62"/>
      <w:bookmarkEnd w:id="63"/>
    </w:p>
    <w:p w14:paraId="64435C3D">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乙方应按本合同约定向甲方提交以下交付物，所有交付物均需提供</w:t>
      </w:r>
      <w:r>
        <w:rPr>
          <w:rFonts w:hint="eastAsia" w:ascii="宋体" w:hAnsi="宋体" w:eastAsia="宋体" w:cs="宋体"/>
          <w:b/>
          <w:sz w:val="24"/>
          <w:szCs w:val="24"/>
        </w:rPr>
        <w:t>电子版（U盘/指定云盘）</w:t>
      </w:r>
      <w:r>
        <w:rPr>
          <w:rFonts w:hint="eastAsia" w:ascii="宋体" w:hAnsi="宋体" w:eastAsia="宋体" w:cs="宋体"/>
          <w:sz w:val="24"/>
          <w:szCs w:val="24"/>
        </w:rPr>
        <w:t xml:space="preserve"> 和</w:t>
      </w:r>
      <w:r>
        <w:rPr>
          <w:rFonts w:hint="eastAsia" w:ascii="宋体" w:hAnsi="宋体" w:eastAsia="宋体" w:cs="宋体"/>
          <w:b/>
          <w:sz w:val="24"/>
          <w:szCs w:val="24"/>
        </w:rPr>
        <w:t>纸质版（一式肆份，甲方执叁份，乙方执壹份）</w:t>
      </w:r>
      <w:r>
        <w:rPr>
          <w:rFonts w:hint="eastAsia" w:ascii="宋体" w:hAnsi="宋体" w:eastAsia="宋体" w:cs="宋体"/>
          <w:sz w:val="24"/>
          <w:szCs w:val="24"/>
        </w:rPr>
        <w:t>，纸质版需加盖乙方公章，电子版需为可编辑/可查看的合法格式，内容完整、准确、无矛盾：</w:t>
      </w:r>
    </w:p>
    <w:p w14:paraId="07D87BC0">
      <w:pPr>
        <w:spacing w:before="300" w:after="120" w:line="288" w:lineRule="auto"/>
        <w:ind w:left="0"/>
        <w:jc w:val="left"/>
        <w:outlineLvl w:val="2"/>
        <w:rPr>
          <w:rFonts w:hint="eastAsia" w:ascii="宋体" w:hAnsi="宋体" w:eastAsia="宋体" w:cs="宋体"/>
          <w:sz w:val="24"/>
          <w:szCs w:val="24"/>
        </w:rPr>
      </w:pPr>
      <w:bookmarkStart w:id="64" w:name="heading_14"/>
      <w:bookmarkStart w:id="65" w:name="_Toc28548"/>
      <w:r>
        <w:rPr>
          <w:rFonts w:hint="eastAsia" w:ascii="宋体" w:hAnsi="宋体" w:eastAsia="宋体" w:cs="宋体"/>
          <w:b/>
          <w:sz w:val="24"/>
          <w:szCs w:val="24"/>
        </w:rPr>
        <w:t>（一）软件测试服务交付物</w:t>
      </w:r>
      <w:bookmarkEnd w:id="64"/>
      <w:bookmarkEnd w:id="65"/>
    </w:p>
    <w:p w14:paraId="5BA1A85F">
      <w:pPr>
        <w:numPr>
          <w:ilvl w:val="0"/>
          <w:numId w:val="30"/>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《软件测试计划》；</w:t>
      </w:r>
    </w:p>
    <w:p w14:paraId="56B8395A">
      <w:pPr>
        <w:numPr>
          <w:ilvl w:val="0"/>
          <w:numId w:val="31"/>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《软件测试过程文件》（含测试记录、测试用例等全部过程资料）；</w:t>
      </w:r>
    </w:p>
    <w:p w14:paraId="158B2F4D">
      <w:pPr>
        <w:numPr>
          <w:ilvl w:val="0"/>
          <w:numId w:val="32"/>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《软件测试报告》（含首测报告、复测报告）；</w:t>
      </w:r>
    </w:p>
    <w:p w14:paraId="019593DA">
      <w:pPr>
        <w:numPr>
          <w:ilvl w:val="0"/>
          <w:numId w:val="33"/>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全套软件测试文档集（含测试说明、结果解释准则等）。</w:t>
      </w:r>
    </w:p>
    <w:p w14:paraId="4E3B0F1D">
      <w:pPr>
        <w:spacing w:before="320" w:after="120" w:line="288" w:lineRule="auto"/>
        <w:ind w:left="0"/>
        <w:jc w:val="left"/>
        <w:outlineLvl w:val="1"/>
        <w:rPr>
          <w:rFonts w:hint="eastAsia" w:ascii="宋体" w:hAnsi="宋体" w:eastAsia="宋体" w:cs="宋体"/>
          <w:sz w:val="24"/>
          <w:szCs w:val="24"/>
        </w:rPr>
      </w:pPr>
      <w:bookmarkStart w:id="66" w:name="heading_16"/>
      <w:bookmarkStart w:id="67" w:name="_Toc10146"/>
      <w:r>
        <w:rPr>
          <w:rFonts w:hint="eastAsia" w:ascii="宋体" w:hAnsi="宋体" w:eastAsia="宋体" w:cs="宋体"/>
          <w:b/>
          <w:sz w:val="24"/>
          <w:szCs w:val="24"/>
        </w:rPr>
        <w:t>第六条 验收标准与流程</w:t>
      </w:r>
      <w:bookmarkEnd w:id="66"/>
      <w:bookmarkEnd w:id="67"/>
    </w:p>
    <w:p w14:paraId="7AAA68E8">
      <w:pPr>
        <w:spacing w:before="300" w:after="120" w:line="288" w:lineRule="auto"/>
        <w:ind w:left="0"/>
        <w:jc w:val="left"/>
        <w:outlineLvl w:val="2"/>
        <w:rPr>
          <w:rFonts w:hint="eastAsia" w:ascii="宋体" w:hAnsi="宋体" w:eastAsia="宋体" w:cs="宋体"/>
          <w:sz w:val="24"/>
          <w:szCs w:val="24"/>
        </w:rPr>
      </w:pPr>
      <w:bookmarkStart w:id="68" w:name="heading_17"/>
      <w:bookmarkStart w:id="69" w:name="_Toc13991"/>
      <w:r>
        <w:rPr>
          <w:rFonts w:hint="eastAsia" w:ascii="宋体" w:hAnsi="宋体" w:eastAsia="宋体" w:cs="宋体"/>
          <w:b/>
          <w:sz w:val="24"/>
          <w:szCs w:val="24"/>
        </w:rPr>
        <w:t>（一）验收标准</w:t>
      </w:r>
      <w:bookmarkEnd w:id="68"/>
      <w:bookmarkEnd w:id="69"/>
    </w:p>
    <w:p w14:paraId="2D651084">
      <w:pPr>
        <w:numPr>
          <w:ilvl w:val="0"/>
          <w:numId w:val="34"/>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乙方完成本合同约定的全部服务内容，提交的所有成果文件符合国家、行业相关标准及本合同约定；</w:t>
      </w:r>
    </w:p>
    <w:p w14:paraId="336BFBD6">
      <w:pPr>
        <w:numPr>
          <w:ilvl w:val="0"/>
          <w:numId w:val="35"/>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软件测试报告等核心成果文件真实、有效，能够作为甲方项目验收的合法依据；</w:t>
      </w:r>
    </w:p>
    <w:p w14:paraId="51908DA5">
      <w:pPr>
        <w:numPr>
          <w:ilvl w:val="0"/>
          <w:numId w:val="36"/>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甲方系统经乙方测试后，软件功能、性能、可靠性、安全性等指标符合项目设计要求，等保测评达到</w:t>
      </w:r>
      <w:r>
        <w:rPr>
          <w:rFonts w:hint="eastAsia" w:ascii="宋体" w:hAnsi="宋体" w:eastAsia="宋体" w:cs="宋体"/>
          <w:sz w:val="24"/>
          <w:szCs w:val="24"/>
          <w:lang w:eastAsia="zh-CN"/>
        </w:rPr>
        <w:t>交付</w:t>
      </w:r>
      <w:r>
        <w:rPr>
          <w:rFonts w:hint="eastAsia" w:ascii="宋体" w:hAnsi="宋体" w:eastAsia="宋体" w:cs="宋体"/>
          <w:sz w:val="24"/>
          <w:szCs w:val="24"/>
        </w:rPr>
        <w:t>标准；</w:t>
      </w:r>
    </w:p>
    <w:p w14:paraId="4D5CF4AA">
      <w:pPr>
        <w:numPr>
          <w:ilvl w:val="0"/>
          <w:numId w:val="37"/>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乙方按约定提交全套交付物，交付物内容完整、格式规范、无遗漏、无矛盾。</w:t>
      </w:r>
    </w:p>
    <w:p w14:paraId="75D888D8">
      <w:pPr>
        <w:spacing w:before="300" w:after="120" w:line="288" w:lineRule="auto"/>
        <w:ind w:left="0"/>
        <w:jc w:val="left"/>
        <w:outlineLvl w:val="2"/>
        <w:rPr>
          <w:rFonts w:hint="eastAsia" w:ascii="宋体" w:hAnsi="宋体" w:eastAsia="宋体" w:cs="宋体"/>
          <w:sz w:val="24"/>
          <w:szCs w:val="24"/>
        </w:rPr>
      </w:pPr>
      <w:bookmarkStart w:id="70" w:name="heading_18"/>
      <w:bookmarkStart w:id="71" w:name="_Toc18790"/>
      <w:r>
        <w:rPr>
          <w:rFonts w:hint="eastAsia" w:ascii="宋体" w:hAnsi="宋体" w:eastAsia="宋体" w:cs="宋体"/>
          <w:b/>
          <w:sz w:val="24"/>
          <w:szCs w:val="24"/>
        </w:rPr>
        <w:t>（二）验收流程</w:t>
      </w:r>
      <w:bookmarkEnd w:id="70"/>
      <w:bookmarkEnd w:id="71"/>
    </w:p>
    <w:p w14:paraId="61F2AB8A">
      <w:pPr>
        <w:numPr>
          <w:ilvl w:val="0"/>
          <w:numId w:val="38"/>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乙方完成全部服务内容并提交所有交付物后，向甲方提出书面验收申请，并附验收资料清单；</w:t>
      </w:r>
    </w:p>
    <w:p w14:paraId="341F4C80">
      <w:pPr>
        <w:numPr>
          <w:ilvl w:val="0"/>
          <w:numId w:val="39"/>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甲方在收到验收申请后15个工作日内，组织相关人员组成验收小组进行验收；</w:t>
      </w:r>
    </w:p>
    <w:p w14:paraId="18F5E3A5">
      <w:pPr>
        <w:numPr>
          <w:ilvl w:val="0"/>
          <w:numId w:val="40"/>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验收合格的，验收小组出具《项目验收合格报告》，甲乙双方签字盖章确认；验收不合格的，甲方书面告知乙方不合格原因及整改要求，乙方应在甲方要求的期限内完成整改，整改后重新申请验收，整改费用由乙方自行承担；若乙方多次整改仍不符合验收要求，甲方有权单方解除合同，并追究乙方违约责任。</w:t>
      </w:r>
    </w:p>
    <w:p w14:paraId="52391EC6">
      <w:pPr>
        <w:spacing w:before="320" w:after="120" w:line="288" w:lineRule="auto"/>
        <w:ind w:left="0"/>
        <w:jc w:val="left"/>
        <w:outlineLvl w:val="1"/>
        <w:rPr>
          <w:rFonts w:hint="eastAsia" w:ascii="宋体" w:hAnsi="宋体" w:eastAsia="宋体" w:cs="宋体"/>
          <w:sz w:val="24"/>
          <w:szCs w:val="24"/>
        </w:rPr>
      </w:pPr>
      <w:bookmarkStart w:id="72" w:name="heading_19"/>
      <w:bookmarkStart w:id="73" w:name="_Toc24561"/>
      <w:r>
        <w:rPr>
          <w:rFonts w:hint="eastAsia" w:ascii="宋体" w:hAnsi="宋体" w:eastAsia="宋体" w:cs="宋体"/>
          <w:b/>
          <w:sz w:val="24"/>
          <w:szCs w:val="24"/>
        </w:rPr>
        <w:t>第七条 保密条款</w:t>
      </w:r>
      <w:bookmarkEnd w:id="72"/>
      <w:bookmarkEnd w:id="73"/>
    </w:p>
    <w:p w14:paraId="5219A6E3">
      <w:pPr>
        <w:numPr>
          <w:ilvl w:val="0"/>
          <w:numId w:val="41"/>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甲乙双方均应对本合同内容及在合作过程中获知的对方商业秘密、技术信息、项目资料等未公开信息承担保密义务，未经对方书面同意，不得向任何第三方泄露，也不得用于与本合同无关的活动；</w:t>
      </w:r>
    </w:p>
    <w:p w14:paraId="0D3E8BA8">
      <w:pPr>
        <w:numPr>
          <w:ilvl w:val="0"/>
          <w:numId w:val="42"/>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乙方对服务过程中接触到的甲方被测系统信息、数据、网络拓扑、IP地址、业务流程等敏感信息承担永久保密义务，即使本合同终止，该保密义务依然有效；</w:t>
      </w:r>
    </w:p>
    <w:p w14:paraId="6CB7F07A">
      <w:pPr>
        <w:numPr>
          <w:ilvl w:val="0"/>
          <w:numId w:val="43"/>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若一方违反保密约定，泄露对方保密信息，给对方造成经济损失、名誉损害的，违约方应承担全部赔偿责任，赔偿金额包括但不限于对方的直接损失、间接损失、维权产生的律师费、诉讼费等；</w:t>
      </w:r>
    </w:p>
    <w:p w14:paraId="34A4B30A">
      <w:pPr>
        <w:numPr>
          <w:ilvl w:val="0"/>
          <w:numId w:val="44"/>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本条款为独立条款，不因本合同的终止、解除而失效。</w:t>
      </w:r>
    </w:p>
    <w:p w14:paraId="75B14B50">
      <w:pPr>
        <w:spacing w:before="320" w:after="120" w:line="288" w:lineRule="auto"/>
        <w:ind w:left="0"/>
        <w:jc w:val="left"/>
        <w:outlineLvl w:val="1"/>
        <w:rPr>
          <w:rFonts w:hint="eastAsia" w:ascii="宋体" w:hAnsi="宋体" w:eastAsia="宋体" w:cs="宋体"/>
          <w:sz w:val="24"/>
          <w:szCs w:val="24"/>
        </w:rPr>
      </w:pPr>
      <w:bookmarkStart w:id="74" w:name="heading_20"/>
      <w:bookmarkStart w:id="75" w:name="_Toc17771"/>
      <w:r>
        <w:rPr>
          <w:rFonts w:hint="eastAsia" w:ascii="宋体" w:hAnsi="宋体" w:eastAsia="宋体" w:cs="宋体"/>
          <w:b/>
          <w:sz w:val="24"/>
          <w:szCs w:val="24"/>
        </w:rPr>
        <w:t>第八条 违约责任</w:t>
      </w:r>
      <w:bookmarkEnd w:id="74"/>
      <w:bookmarkEnd w:id="75"/>
    </w:p>
    <w:p w14:paraId="24A3AE29">
      <w:pPr>
        <w:numPr>
          <w:ilvl w:val="0"/>
          <w:numId w:val="45"/>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本合同未尽事宜，按《中华人民共和国民法典》相关条款执行；</w:t>
      </w:r>
    </w:p>
    <w:p w14:paraId="426A3CEA">
      <w:pPr>
        <w:numPr>
          <w:ilvl w:val="0"/>
          <w:numId w:val="46"/>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乙方未按本合同约定提供任意服务，或服务质量不符合合同要求，且在甲方规定时间内未采取整改措施或整改后仍未使甲方满意的，甲方有权在支付款项中扣除违约金，或单方解除合同；合同解除后，乙方应按合同总价的</w:t>
      </w:r>
      <w:r>
        <w:rPr>
          <w:rFonts w:hint="eastAsia" w:ascii="宋体" w:hAnsi="宋体" w:eastAsia="宋体" w:cs="宋体"/>
          <w:b/>
          <w:sz w:val="24"/>
          <w:szCs w:val="24"/>
        </w:rPr>
        <w:t>10%</w:t>
      </w:r>
      <w:r>
        <w:rPr>
          <w:rFonts w:hint="eastAsia" w:ascii="宋体" w:hAnsi="宋体" w:eastAsia="宋体" w:cs="宋体"/>
          <w:sz w:val="24"/>
          <w:szCs w:val="24"/>
        </w:rPr>
        <w:t xml:space="preserve"> 向甲方支付违约金，若违约金不足以弥补甲方损失的，乙方应另行赔偿，且甲方有权将乙方违约情况上报同级监管部门；</w:t>
      </w:r>
    </w:p>
    <w:p w14:paraId="1EAE7597">
      <w:pPr>
        <w:numPr>
          <w:ilvl w:val="0"/>
          <w:numId w:val="47"/>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乙方未按本合同约定的时限提交任意成果文件的，每逾期一天，按合同总价的</w:t>
      </w:r>
      <w:r>
        <w:rPr>
          <w:rFonts w:hint="eastAsia" w:ascii="宋体" w:hAnsi="宋体" w:eastAsia="宋体" w:cs="宋体"/>
          <w:b/>
          <w:sz w:val="24"/>
          <w:szCs w:val="24"/>
        </w:rPr>
        <w:t>0.1%</w:t>
      </w:r>
      <w:r>
        <w:rPr>
          <w:rFonts w:hint="eastAsia" w:ascii="宋体" w:hAnsi="宋体" w:eastAsia="宋体" w:cs="宋体"/>
          <w:sz w:val="24"/>
          <w:szCs w:val="24"/>
        </w:rPr>
        <w:t xml:space="preserve"> 向甲方支付违约金；逾期超过30天的，视为乙方根本违约，甲方有权单方解除合同，乙方应按合同总价的10%支付违约金，同时赔偿甲方全部损失；</w:t>
      </w:r>
    </w:p>
    <w:p w14:paraId="6669DD5F">
      <w:pPr>
        <w:numPr>
          <w:ilvl w:val="0"/>
          <w:numId w:val="48"/>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乙方出具的测试/测评报告失实、无效，或因乙方原因导致甲方系统故障、数据丢失、信息泄露等损失的，乙方应承担全部违约责任，赔偿甲方的直接和间接损失，甲方有权扣除履约保证金，情节严重的，甲方有权解除合同；</w:t>
      </w:r>
    </w:p>
    <w:p w14:paraId="5DF444ED">
      <w:pPr>
        <w:numPr>
          <w:ilvl w:val="0"/>
          <w:numId w:val="49"/>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乙方保证其提供的服务、使用的工具/软件无任何知识产权纠纷，若因第三方提出专利权、商标权、著作权等知识产权主张引发法律或经济纠纷的，由乙方承担全部责任，包括但不限于赔偿第三方损失、承担诉讼费、律师费等，若因此给甲方造成损失的，乙方应全额赔偿；</w:t>
      </w:r>
    </w:p>
    <w:p w14:paraId="037DEFE1">
      <w:pPr>
        <w:numPr>
          <w:ilvl w:val="0"/>
          <w:numId w:val="50"/>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甲方未按本合同约定（非政策、财务程序原因）迟延支付服务费用的，每逾期一天，按逾期付款金额的0.05%向乙方支付违约金；</w:t>
      </w:r>
    </w:p>
    <w:p w14:paraId="0DE02099">
      <w:pPr>
        <w:numPr>
          <w:ilvl w:val="0"/>
          <w:numId w:val="51"/>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任何一方单方解除本合同，应提前30日书面通知对方，经双方协商一致后方可解除；若一方无故单方解除合同，应按合同总价的10%向对方支付违约金，赔偿对方损失。</w:t>
      </w:r>
    </w:p>
    <w:p w14:paraId="4F1F5CD9">
      <w:pPr>
        <w:spacing w:before="320" w:after="120" w:line="288" w:lineRule="auto"/>
        <w:ind w:left="0"/>
        <w:jc w:val="left"/>
        <w:outlineLvl w:val="1"/>
        <w:rPr>
          <w:rFonts w:hint="eastAsia" w:ascii="宋体" w:hAnsi="宋体" w:eastAsia="宋体" w:cs="宋体"/>
          <w:sz w:val="24"/>
          <w:szCs w:val="24"/>
        </w:rPr>
      </w:pPr>
      <w:bookmarkStart w:id="76" w:name="heading_21"/>
      <w:bookmarkStart w:id="77" w:name="_Toc6489"/>
      <w:r>
        <w:rPr>
          <w:rFonts w:hint="eastAsia" w:ascii="宋体" w:hAnsi="宋体" w:eastAsia="宋体" w:cs="宋体"/>
          <w:b/>
          <w:sz w:val="24"/>
          <w:szCs w:val="24"/>
        </w:rPr>
        <w:t>第九条 不可抗力</w:t>
      </w:r>
      <w:bookmarkEnd w:id="76"/>
      <w:bookmarkEnd w:id="77"/>
    </w:p>
    <w:p w14:paraId="011146A5">
      <w:pPr>
        <w:numPr>
          <w:ilvl w:val="0"/>
          <w:numId w:val="52"/>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本合同所称不可抗力，是指不能预见、不能避免并不能克服的客观情况，包括但不限于自然灾害、战争、政府行为、疫情等；</w:t>
      </w:r>
    </w:p>
    <w:p w14:paraId="5A3F3CE7">
      <w:pPr>
        <w:numPr>
          <w:ilvl w:val="0"/>
          <w:numId w:val="53"/>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因不可抗力导致本合同无法履行或迟延履行的，遭遇不可抗力一方应立即通知对方，并在不可抗力发生后15日内提供有效证明文件，双方可根据不可抗力的影响，协商决定部分履行、延期履行或解除本合同，互不承担违约责任；</w:t>
      </w:r>
    </w:p>
    <w:p w14:paraId="340C1C1A">
      <w:pPr>
        <w:numPr>
          <w:ilvl w:val="0"/>
          <w:numId w:val="54"/>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因不可抗力导致合同履行迟延的，迟延的期限与不可抗力持续的期限相同，合同剩余期限相应顺延；若不可抗力影响持续超过30天，双方应另行协商合同履行事宜。</w:t>
      </w:r>
    </w:p>
    <w:p w14:paraId="1D950CA3">
      <w:pPr>
        <w:spacing w:before="320" w:after="120" w:line="288" w:lineRule="auto"/>
        <w:ind w:left="0"/>
        <w:jc w:val="left"/>
        <w:outlineLvl w:val="1"/>
        <w:rPr>
          <w:rFonts w:hint="eastAsia" w:ascii="宋体" w:hAnsi="宋体" w:eastAsia="宋体" w:cs="宋体"/>
          <w:sz w:val="24"/>
          <w:szCs w:val="24"/>
        </w:rPr>
      </w:pPr>
      <w:bookmarkStart w:id="78" w:name="heading_22"/>
      <w:bookmarkStart w:id="79" w:name="_Toc20846"/>
      <w:r>
        <w:rPr>
          <w:rFonts w:hint="eastAsia" w:ascii="宋体" w:hAnsi="宋体" w:eastAsia="宋体" w:cs="宋体"/>
          <w:b/>
          <w:sz w:val="24"/>
          <w:szCs w:val="24"/>
        </w:rPr>
        <w:t>第十条 售后服务</w:t>
      </w:r>
      <w:bookmarkEnd w:id="78"/>
      <w:bookmarkEnd w:id="79"/>
    </w:p>
    <w:p w14:paraId="36F5E79A">
      <w:pPr>
        <w:numPr>
          <w:ilvl w:val="0"/>
          <w:numId w:val="55"/>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售后服务期限为项目终验合格之日起两年，乙方按本合同约定提供免费信息安全技术支持及咨询服务；</w:t>
      </w:r>
    </w:p>
    <w:p w14:paraId="23A989E3">
      <w:pPr>
        <w:numPr>
          <w:ilvl w:val="0"/>
          <w:numId w:val="56"/>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应急响应服务：乙方提供7×24小时应急响应及灾难恢复专家服务，接到甲方故障报修后10分钟内响应，负责对甲方系统突发安全事件进行处理、恢复、取证、跟踪，并提供事后分析报告；</w:t>
      </w:r>
    </w:p>
    <w:p w14:paraId="35AF0CB1">
      <w:pPr>
        <w:numPr>
          <w:ilvl w:val="0"/>
          <w:numId w:val="57"/>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配合检查服务：乙方免费协助甲方应对公安机关、内部及第三方机构的等保工作检查，包括协助准备资料、现场答疑、技术支持等；</w:t>
      </w:r>
    </w:p>
    <w:p w14:paraId="37621469">
      <w:pPr>
        <w:numPr>
          <w:ilvl w:val="0"/>
          <w:numId w:val="58"/>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电话支持服务：7×24小时不间断电话支持，解答甲方问题，提供解决建议和操作方法，现场到达时间不超过6小时，问题解决时间不超过24小时；</w:t>
      </w:r>
    </w:p>
    <w:p w14:paraId="0DDDA505">
      <w:pPr>
        <w:numPr>
          <w:ilvl w:val="0"/>
          <w:numId w:val="59"/>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安全咨询服务：免费为甲方提供信息系统整改建设、安全防护等相关技术咨询，及时响应甲方服务请求，配合甲方做好系统安全保障工作；</w:t>
      </w:r>
    </w:p>
    <w:p w14:paraId="0FBCD3C2">
      <w:pPr>
        <w:numPr>
          <w:ilvl w:val="0"/>
          <w:numId w:val="60"/>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若因乙方责任，未能在承诺时间内恢复甲方业务运行的，甲方有权委托第三方处理，由此产生的一切费用由乙方承担。</w:t>
      </w:r>
    </w:p>
    <w:p w14:paraId="0DCC7DF3">
      <w:pPr>
        <w:spacing w:before="320" w:after="120" w:line="288" w:lineRule="auto"/>
        <w:ind w:left="0"/>
        <w:jc w:val="left"/>
        <w:outlineLvl w:val="1"/>
        <w:rPr>
          <w:rFonts w:hint="eastAsia" w:ascii="宋体" w:hAnsi="宋体" w:eastAsia="宋体" w:cs="宋体"/>
          <w:sz w:val="24"/>
          <w:szCs w:val="24"/>
        </w:rPr>
      </w:pPr>
      <w:bookmarkStart w:id="80" w:name="heading_23"/>
      <w:bookmarkStart w:id="81" w:name="_Toc2757"/>
      <w:r>
        <w:rPr>
          <w:rFonts w:hint="eastAsia" w:ascii="宋体" w:hAnsi="宋体" w:eastAsia="宋体" w:cs="宋体"/>
          <w:b/>
          <w:sz w:val="24"/>
          <w:szCs w:val="24"/>
        </w:rPr>
        <w:t>第十一条 争议解决</w:t>
      </w:r>
      <w:bookmarkEnd w:id="80"/>
      <w:bookmarkEnd w:id="81"/>
    </w:p>
    <w:p w14:paraId="3573F61A">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本合同在履行过程中发生的争议，由双方当事人协商解决；协商不成的，任何一方均有权向</w:t>
      </w:r>
      <w:r>
        <w:rPr>
          <w:rFonts w:hint="eastAsia" w:ascii="宋体" w:hAnsi="宋体" w:eastAsia="宋体" w:cs="宋体"/>
          <w:b/>
          <w:sz w:val="24"/>
          <w:szCs w:val="24"/>
        </w:rPr>
        <w:t>甲方所在地有管辖权的人民法院提起诉讼</w:t>
      </w:r>
      <w:r>
        <w:rPr>
          <w:rFonts w:hint="eastAsia" w:ascii="宋体" w:hAnsi="宋体" w:eastAsia="宋体" w:cs="宋体"/>
          <w:sz w:val="24"/>
          <w:szCs w:val="24"/>
        </w:rPr>
        <w:t>。</w:t>
      </w:r>
    </w:p>
    <w:p w14:paraId="11DFF0AE">
      <w:pPr>
        <w:spacing w:before="320" w:after="120" w:line="288" w:lineRule="auto"/>
        <w:ind w:left="0"/>
        <w:jc w:val="left"/>
        <w:outlineLvl w:val="1"/>
        <w:rPr>
          <w:rFonts w:hint="eastAsia" w:ascii="宋体" w:hAnsi="宋体" w:eastAsia="宋体" w:cs="宋体"/>
          <w:sz w:val="24"/>
          <w:szCs w:val="24"/>
        </w:rPr>
      </w:pPr>
      <w:bookmarkStart w:id="82" w:name="heading_24"/>
      <w:bookmarkStart w:id="83" w:name="_Toc618"/>
      <w:r>
        <w:rPr>
          <w:rFonts w:hint="eastAsia" w:ascii="宋体" w:hAnsi="宋体" w:eastAsia="宋体" w:cs="宋体"/>
          <w:b/>
          <w:sz w:val="24"/>
          <w:szCs w:val="24"/>
        </w:rPr>
        <w:t>第十二条 其他条款</w:t>
      </w:r>
      <w:bookmarkEnd w:id="82"/>
      <w:bookmarkEnd w:id="83"/>
    </w:p>
    <w:p w14:paraId="12FA12AF">
      <w:pPr>
        <w:numPr>
          <w:ilvl w:val="0"/>
          <w:numId w:val="61"/>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本合同自甲乙双方法定代表人/负责人签字并加盖单位公章（或合同专用章）之日起生效；</w:t>
      </w:r>
    </w:p>
    <w:p w14:paraId="38D001B0">
      <w:pPr>
        <w:numPr>
          <w:ilvl w:val="0"/>
          <w:numId w:val="62"/>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本合同未尽事宜，双方可另行签订补充协议，补充协议与本合同具有同等法律效力，补充协议内容与本合同不一致的，以补充协议为准；</w:t>
      </w:r>
    </w:p>
    <w:p w14:paraId="1F087E92">
      <w:pPr>
        <w:numPr>
          <w:ilvl w:val="0"/>
          <w:numId w:val="63"/>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本合同一式</w:t>
      </w:r>
      <w:r>
        <w:rPr>
          <w:rFonts w:hint="eastAsia" w:ascii="宋体" w:hAnsi="宋体" w:eastAsia="宋体" w:cs="宋体"/>
          <w:b/>
          <w:sz w:val="24"/>
          <w:szCs w:val="24"/>
        </w:rPr>
        <w:t>陆份</w:t>
      </w:r>
      <w:r>
        <w:rPr>
          <w:rFonts w:hint="eastAsia" w:ascii="宋体" w:hAnsi="宋体" w:eastAsia="宋体" w:cs="宋体"/>
          <w:sz w:val="24"/>
          <w:szCs w:val="24"/>
        </w:rPr>
        <w:t>，甲方执</w:t>
      </w:r>
      <w:r>
        <w:rPr>
          <w:rFonts w:hint="eastAsia" w:ascii="宋体" w:hAnsi="宋体" w:eastAsia="宋体" w:cs="宋体"/>
          <w:b/>
          <w:sz w:val="24"/>
          <w:szCs w:val="24"/>
        </w:rPr>
        <w:t>肆份</w:t>
      </w:r>
      <w:r>
        <w:rPr>
          <w:rFonts w:hint="eastAsia" w:ascii="宋体" w:hAnsi="宋体" w:eastAsia="宋体" w:cs="宋体"/>
          <w:sz w:val="24"/>
          <w:szCs w:val="24"/>
        </w:rPr>
        <w:t>，乙方执</w:t>
      </w:r>
      <w:r>
        <w:rPr>
          <w:rFonts w:hint="eastAsia" w:ascii="宋体" w:hAnsi="宋体" w:eastAsia="宋体" w:cs="宋体"/>
          <w:b/>
          <w:sz w:val="24"/>
          <w:szCs w:val="24"/>
        </w:rPr>
        <w:t>贰份</w:t>
      </w:r>
      <w:r>
        <w:rPr>
          <w:rFonts w:hint="eastAsia" w:ascii="宋体" w:hAnsi="宋体" w:eastAsia="宋体" w:cs="宋体"/>
          <w:sz w:val="24"/>
          <w:szCs w:val="24"/>
        </w:rPr>
        <w:t>，每份具有同等法律效力；</w:t>
      </w:r>
    </w:p>
    <w:p w14:paraId="0F2A9EDB">
      <w:pPr>
        <w:numPr>
          <w:ilvl w:val="0"/>
          <w:numId w:val="64"/>
        </w:num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双方之间的任何通知、函件均应按本合同约定的地址、联系方式送达，通过邮寄方式的，以邮件签收之日为送达之日；通过电子方式的，以发送成功之日为送达之日。</w:t>
      </w:r>
    </w:p>
    <w:p w14:paraId="23D5AF51">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（以下无正文，为合同签字盖章页）</w:t>
      </w:r>
    </w:p>
    <w:p w14:paraId="7DA6308B">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甲方（盖章）：杨凌示范区科技创新和转化推广局</w:t>
      </w:r>
    </w:p>
    <w:p w14:paraId="2DADA1F4">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法定代表人/负责人（签字）：__________</w:t>
      </w:r>
    </w:p>
    <w:p w14:paraId="489AE818">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签订日期：______年____月____日</w:t>
      </w:r>
    </w:p>
    <w:p w14:paraId="5671B1B6">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乙方（盖章）：__________</w:t>
      </w:r>
    </w:p>
    <w:p w14:paraId="2517A108">
      <w:pPr>
        <w:spacing w:before="120" w:after="120" w:line="288" w:lineRule="auto"/>
        <w:ind w:left="0"/>
        <w:jc w:val="left"/>
        <w:rPr>
          <w:rFonts w:hint="eastAsia" w:ascii="宋体" w:hAnsi="宋体" w:eastAsia="宋体" w:cs="宋体"/>
          <w:sz w:val="24"/>
          <w:szCs w:val="24"/>
        </w:rPr>
      </w:pPr>
      <w:r>
        <w:rPr>
          <w:rFonts w:hint="eastAsia" w:ascii="宋体" w:hAnsi="宋体" w:eastAsia="宋体" w:cs="宋体"/>
          <w:sz w:val="24"/>
          <w:szCs w:val="24"/>
        </w:rPr>
        <w:t>法定代表人/负责人（签字）：__________</w:t>
      </w:r>
    </w:p>
    <w:p w14:paraId="7B721CEA">
      <w:pPr>
        <w:spacing w:before="154" w:line="360" w:lineRule="auto"/>
        <w:rPr>
          <w:rFonts w:ascii="宋体" w:hAnsi="宋体" w:eastAsia="宋体" w:cs="宋体"/>
          <w:sz w:val="24"/>
          <w:szCs w:val="24"/>
        </w:rPr>
      </w:pPr>
      <w:r>
        <w:rPr>
          <w:rFonts w:hint="eastAsia" w:ascii="宋体" w:hAnsi="宋体" w:eastAsia="宋体" w:cs="宋体"/>
          <w:sz w:val="24"/>
          <w:szCs w:val="24"/>
        </w:rPr>
        <w:t>签订日期：______年____月____日</w:t>
      </w:r>
    </w:p>
    <w:p w14:paraId="1CE4FE25">
      <w:pPr>
        <w:spacing w:line="360" w:lineRule="auto"/>
        <w:rPr>
          <w:rFonts w:ascii="宋体" w:hAnsi="宋体" w:eastAsia="宋体" w:cs="宋体"/>
          <w:sz w:val="24"/>
          <w:szCs w:val="24"/>
        </w:rPr>
        <w:sectPr>
          <w:headerReference r:id="rId25" w:type="default"/>
          <w:footerReference r:id="rId26" w:type="default"/>
          <w:pgSz w:w="11906" w:h="16839"/>
          <w:pgMar w:top="1166" w:right="1025" w:bottom="1166" w:left="1080" w:header="829" w:footer="952" w:gutter="0"/>
          <w:cols w:space="720" w:num="1"/>
        </w:sectPr>
      </w:pPr>
    </w:p>
    <w:p w14:paraId="4D422B32">
      <w:pPr>
        <w:spacing w:before="321" w:line="360" w:lineRule="auto"/>
        <w:ind w:left="2556"/>
        <w:outlineLvl w:val="0"/>
        <w:rPr>
          <w:rFonts w:ascii="宋体" w:hAnsi="宋体" w:eastAsia="宋体" w:cs="宋体"/>
          <w:sz w:val="31"/>
          <w:szCs w:val="31"/>
        </w:rPr>
      </w:pPr>
      <w:bookmarkStart w:id="84" w:name="bookmark13"/>
      <w:bookmarkEnd w:id="84"/>
      <w:bookmarkStart w:id="85" w:name="_Toc5935"/>
      <w:r>
        <w:rPr>
          <w:rFonts w:ascii="宋体" w:hAnsi="宋体" w:eastAsia="宋体" w:cs="宋体"/>
          <w:b/>
          <w:bCs/>
          <w:spacing w:val="6"/>
          <w:sz w:val="31"/>
          <w:szCs w:val="31"/>
        </w:rPr>
        <w:t>第七章</w:t>
      </w:r>
      <w:r>
        <w:rPr>
          <w:rFonts w:ascii="宋体" w:hAnsi="宋体" w:eastAsia="宋体" w:cs="宋体"/>
          <w:spacing w:val="6"/>
          <w:sz w:val="31"/>
          <w:szCs w:val="31"/>
        </w:rPr>
        <w:t xml:space="preserve"> </w:t>
      </w:r>
      <w:r>
        <w:rPr>
          <w:rFonts w:ascii="宋体" w:hAnsi="宋体" w:eastAsia="宋体" w:cs="宋体"/>
          <w:b/>
          <w:bCs/>
          <w:spacing w:val="6"/>
          <w:sz w:val="31"/>
          <w:szCs w:val="31"/>
        </w:rPr>
        <w:t>竞争性磋商响应文件格式</w:t>
      </w:r>
      <w:bookmarkEnd w:id="85"/>
    </w:p>
    <w:p w14:paraId="48749026">
      <w:pPr>
        <w:pStyle w:val="4"/>
        <w:spacing w:line="360" w:lineRule="auto"/>
      </w:pPr>
    </w:p>
    <w:p w14:paraId="48C9304F">
      <w:pPr>
        <w:pStyle w:val="4"/>
        <w:spacing w:line="360" w:lineRule="auto"/>
      </w:pPr>
    </w:p>
    <w:p w14:paraId="2B271807">
      <w:pPr>
        <w:spacing w:before="78" w:line="360" w:lineRule="auto"/>
        <w:ind w:left="11" w:firstLine="471"/>
        <w:jc w:val="both"/>
        <w:rPr>
          <w:rFonts w:ascii="宋体" w:hAnsi="宋体" w:eastAsia="宋体" w:cs="宋体"/>
          <w:sz w:val="24"/>
          <w:szCs w:val="24"/>
        </w:rPr>
      </w:pPr>
      <w:r>
        <w:rPr>
          <w:rFonts w:ascii="宋体" w:hAnsi="宋体" w:eastAsia="宋体" w:cs="宋体"/>
          <w:spacing w:val="-2"/>
          <w:sz w:val="24"/>
          <w:szCs w:val="24"/>
        </w:rPr>
        <w:t>竞争性磋商响应文件格式是供应商的部分竞</w:t>
      </w:r>
      <w:r>
        <w:rPr>
          <w:rFonts w:ascii="宋体" w:hAnsi="宋体" w:eastAsia="宋体" w:cs="宋体"/>
          <w:spacing w:val="-3"/>
          <w:sz w:val="24"/>
          <w:szCs w:val="24"/>
        </w:rPr>
        <w:t>争性磋商响应文件格式，供应商应按照这些格式编制竞争性磋商响应文件。编制竞争性磋商响应文件前，请详细阅读竞争性磋商文件，理解</w:t>
      </w:r>
      <w:r>
        <w:rPr>
          <w:rFonts w:ascii="宋体" w:hAnsi="宋体" w:eastAsia="宋体" w:cs="宋体"/>
          <w:sz w:val="24"/>
          <w:szCs w:val="24"/>
        </w:rPr>
        <w:t>文件中的每一项要求，逐一做出实质性响应，</w:t>
      </w:r>
      <w:r>
        <w:rPr>
          <w:rFonts w:ascii="宋体" w:hAnsi="宋体" w:eastAsia="宋体" w:cs="宋体"/>
          <w:spacing w:val="-1"/>
          <w:sz w:val="24"/>
          <w:szCs w:val="24"/>
        </w:rPr>
        <w:t>认为有必要，可做补充说明。</w:t>
      </w:r>
    </w:p>
    <w:p w14:paraId="79961543">
      <w:pPr>
        <w:pStyle w:val="4"/>
        <w:spacing w:line="360" w:lineRule="auto"/>
      </w:pPr>
    </w:p>
    <w:p w14:paraId="51EA7EDF">
      <w:pPr>
        <w:pStyle w:val="4"/>
        <w:spacing w:line="360" w:lineRule="auto"/>
      </w:pPr>
    </w:p>
    <w:p w14:paraId="3C7BFE38">
      <w:pPr>
        <w:pStyle w:val="4"/>
        <w:spacing w:line="360" w:lineRule="auto"/>
      </w:pPr>
    </w:p>
    <w:p w14:paraId="19A4647A">
      <w:pPr>
        <w:spacing w:before="78" w:line="360" w:lineRule="auto"/>
        <w:ind w:left="10" w:right="2" w:firstLine="469"/>
        <w:rPr>
          <w:rFonts w:ascii="宋体" w:hAnsi="宋体" w:eastAsia="宋体" w:cs="宋体"/>
          <w:sz w:val="24"/>
          <w:szCs w:val="24"/>
        </w:rPr>
      </w:pPr>
      <w:r>
        <w:rPr>
          <w:rFonts w:ascii="宋体" w:hAnsi="宋体" w:eastAsia="宋体" w:cs="宋体"/>
          <w:b/>
          <w:bCs/>
          <w:spacing w:val="-2"/>
          <w:sz w:val="24"/>
          <w:szCs w:val="24"/>
        </w:rPr>
        <w:t>注:非独立企业法人参与本次投标的，竞争性磋商响应文件内涉及到法人签字盖章的部分均可由负责人签字盖章，授权书格式参照法人代表</w:t>
      </w:r>
      <w:r>
        <w:rPr>
          <w:rFonts w:ascii="宋体" w:hAnsi="宋体" w:eastAsia="宋体" w:cs="宋体"/>
          <w:b/>
          <w:bCs/>
          <w:spacing w:val="-3"/>
          <w:sz w:val="24"/>
          <w:szCs w:val="24"/>
        </w:rPr>
        <w:t>授权书。</w:t>
      </w:r>
    </w:p>
    <w:p w14:paraId="538EF836">
      <w:pPr>
        <w:spacing w:line="360" w:lineRule="auto"/>
        <w:rPr>
          <w:rFonts w:ascii="宋体" w:hAnsi="宋体" w:eastAsia="宋体" w:cs="宋体"/>
          <w:sz w:val="24"/>
          <w:szCs w:val="24"/>
        </w:rPr>
        <w:sectPr>
          <w:footerReference r:id="rId27" w:type="default"/>
          <w:pgSz w:w="11906" w:h="16839"/>
          <w:pgMar w:top="1166" w:right="1079" w:bottom="1166" w:left="1080" w:header="829" w:footer="952" w:gutter="0"/>
          <w:cols w:space="720" w:num="1"/>
        </w:sectPr>
      </w:pPr>
    </w:p>
    <w:p w14:paraId="64A77956">
      <w:pPr>
        <w:spacing w:before="300" w:line="360" w:lineRule="auto"/>
        <w:jc w:val="right"/>
        <w:rPr>
          <w:rFonts w:ascii="宋体" w:hAnsi="宋体" w:eastAsia="宋体" w:cs="宋体"/>
          <w:sz w:val="35"/>
          <w:szCs w:val="35"/>
        </w:rPr>
      </w:pPr>
      <w:r>
        <w:rPr>
          <w:rFonts w:ascii="宋体" w:hAnsi="宋体" w:eastAsia="宋体" w:cs="宋体"/>
          <w:b/>
          <w:bCs/>
          <w:spacing w:val="2"/>
          <w:sz w:val="35"/>
          <w:szCs w:val="35"/>
        </w:rPr>
        <w:t>正本/副本</w:t>
      </w:r>
    </w:p>
    <w:p w14:paraId="2EA48860">
      <w:pPr>
        <w:spacing w:before="100" w:line="360" w:lineRule="auto"/>
        <w:ind w:left="11"/>
        <w:rPr>
          <w:rFonts w:ascii="宋体" w:hAnsi="宋体" w:eastAsia="宋体" w:cs="宋体"/>
          <w:sz w:val="31"/>
          <w:szCs w:val="31"/>
        </w:rPr>
      </w:pPr>
      <w:r>
        <w:rPr>
          <w:rFonts w:ascii="宋体" w:hAnsi="宋体" w:eastAsia="宋体" w:cs="宋体"/>
          <w:b/>
          <w:bCs/>
          <w:spacing w:val="5"/>
          <w:sz w:val="31"/>
          <w:szCs w:val="31"/>
        </w:rPr>
        <w:t>政府采购项目</w:t>
      </w:r>
    </w:p>
    <w:p w14:paraId="2E804333">
      <w:pPr>
        <w:pStyle w:val="4"/>
        <w:spacing w:line="360" w:lineRule="auto"/>
      </w:pPr>
    </w:p>
    <w:p w14:paraId="1EF65498">
      <w:pPr>
        <w:spacing w:before="91" w:line="360" w:lineRule="auto"/>
        <w:ind w:left="15"/>
        <w:rPr>
          <w:rFonts w:hint="eastAsia" w:ascii="宋体" w:hAnsi="宋体" w:eastAsia="宋体" w:cs="宋体"/>
          <w:sz w:val="28"/>
          <w:szCs w:val="28"/>
          <w:lang w:eastAsia="zh-CN"/>
        </w:rPr>
      </w:pPr>
      <w:r>
        <w:rPr>
          <w:rFonts w:ascii="宋体" w:hAnsi="宋体" w:eastAsia="宋体" w:cs="宋体"/>
          <w:b/>
          <w:bCs/>
          <w:spacing w:val="-3"/>
          <w:sz w:val="28"/>
          <w:szCs w:val="28"/>
        </w:rPr>
        <w:t>项目编号：</w:t>
      </w:r>
      <w:r>
        <w:rPr>
          <w:rFonts w:hint="eastAsia" w:ascii="宋体" w:hAnsi="宋体" w:eastAsia="宋体" w:cs="宋体"/>
          <w:b/>
          <w:bCs/>
          <w:spacing w:val="-3"/>
          <w:sz w:val="28"/>
          <w:szCs w:val="28"/>
          <w:lang w:eastAsia="zh-CN"/>
        </w:rPr>
        <w:t>HCKPZY-ZB-2026010</w:t>
      </w:r>
    </w:p>
    <w:p w14:paraId="1533F2DD">
      <w:pPr>
        <w:pStyle w:val="4"/>
        <w:spacing w:line="360" w:lineRule="auto"/>
      </w:pPr>
    </w:p>
    <w:p w14:paraId="744A0CFA">
      <w:pPr>
        <w:pStyle w:val="4"/>
        <w:spacing w:line="360" w:lineRule="auto"/>
      </w:pPr>
    </w:p>
    <w:p w14:paraId="486282DD">
      <w:pPr>
        <w:pStyle w:val="4"/>
        <w:spacing w:line="360" w:lineRule="auto"/>
      </w:pPr>
    </w:p>
    <w:p w14:paraId="0533D380">
      <w:pPr>
        <w:pStyle w:val="4"/>
        <w:spacing w:line="360" w:lineRule="auto"/>
      </w:pPr>
    </w:p>
    <w:p w14:paraId="14A72737">
      <w:pPr>
        <w:spacing w:before="153" w:line="360" w:lineRule="auto"/>
        <w:jc w:val="center"/>
        <w:rPr>
          <w:rFonts w:hint="eastAsia" w:ascii="宋体" w:hAnsi="宋体" w:eastAsia="宋体" w:cs="宋体"/>
          <w:sz w:val="47"/>
          <w:szCs w:val="47"/>
          <w:lang w:eastAsia="zh-CN"/>
        </w:rPr>
      </w:pPr>
      <w:r>
        <w:rPr>
          <w:rFonts w:hint="eastAsia" w:ascii="宋体" w:hAnsi="宋体" w:eastAsia="宋体" w:cs="宋体"/>
          <w:b/>
          <w:bCs/>
          <w:spacing w:val="1"/>
          <w:sz w:val="47"/>
          <w:szCs w:val="47"/>
          <w:lang w:eastAsia="zh-CN"/>
        </w:rPr>
        <w:t>杨凌农业科技成果转化综合信息服务平台项目软件测试服务及等保测评服务</w:t>
      </w:r>
    </w:p>
    <w:p w14:paraId="2495E03B">
      <w:pPr>
        <w:pStyle w:val="4"/>
        <w:spacing w:line="360" w:lineRule="auto"/>
        <w:jc w:val="center"/>
        <w:rPr>
          <w:rFonts w:hint="eastAsia" w:ascii="仿宋" w:hAnsi="仿宋" w:eastAsia="仿宋" w:cs="仿宋"/>
          <w:b/>
          <w:bCs/>
          <w:color w:val="auto"/>
          <w:sz w:val="32"/>
          <w:szCs w:val="32"/>
          <w:highlight w:val="none"/>
          <w:shd w:val="clear" w:color="auto" w:fill="FFFFFF"/>
          <w:lang w:eastAsia="zh-CN"/>
        </w:rPr>
      </w:pPr>
      <w:r>
        <w:rPr>
          <w:rFonts w:hint="eastAsia" w:ascii="仿宋" w:hAnsi="仿宋" w:eastAsia="仿宋" w:cs="仿宋"/>
          <w:b/>
          <w:bCs/>
          <w:color w:val="auto"/>
          <w:sz w:val="32"/>
          <w:szCs w:val="32"/>
          <w:highlight w:val="none"/>
          <w:shd w:val="clear" w:color="auto" w:fill="FFFFFF"/>
          <w:lang w:eastAsia="zh-CN"/>
        </w:rPr>
        <w:t>合同包1(软件测试服务)</w:t>
      </w:r>
    </w:p>
    <w:p w14:paraId="658FFE50">
      <w:pPr>
        <w:pStyle w:val="4"/>
        <w:spacing w:line="360" w:lineRule="auto"/>
      </w:pPr>
    </w:p>
    <w:p w14:paraId="0023E5FC">
      <w:pPr>
        <w:pStyle w:val="4"/>
        <w:spacing w:line="360" w:lineRule="auto"/>
      </w:pPr>
    </w:p>
    <w:p w14:paraId="12F49F09">
      <w:pPr>
        <w:pStyle w:val="4"/>
        <w:spacing w:line="360" w:lineRule="auto"/>
      </w:pPr>
    </w:p>
    <w:p w14:paraId="69C1B3F4"/>
    <w:p w14:paraId="5BCA2742">
      <w:pPr>
        <w:spacing w:before="231" w:line="360" w:lineRule="auto"/>
        <w:ind w:left="1656"/>
        <w:rPr>
          <w:rFonts w:ascii="宋体" w:hAnsi="宋体" w:eastAsia="宋体" w:cs="宋体"/>
          <w:sz w:val="71"/>
          <w:szCs w:val="71"/>
        </w:rPr>
      </w:pPr>
      <w:r>
        <w:rPr>
          <w:rFonts w:ascii="宋体" w:hAnsi="宋体" w:eastAsia="宋体" w:cs="宋体"/>
          <w:b/>
          <w:bCs/>
          <w:sz w:val="71"/>
          <w:szCs w:val="71"/>
        </w:rPr>
        <w:t>竞争性磋商响应文件</w:t>
      </w:r>
    </w:p>
    <w:p w14:paraId="0ECC3278">
      <w:pPr>
        <w:pStyle w:val="4"/>
        <w:spacing w:line="360" w:lineRule="auto"/>
      </w:pPr>
    </w:p>
    <w:p w14:paraId="21DE3604">
      <w:pPr>
        <w:pStyle w:val="4"/>
        <w:spacing w:line="360" w:lineRule="auto"/>
      </w:pPr>
    </w:p>
    <w:p w14:paraId="56321E02">
      <w:pPr>
        <w:pStyle w:val="4"/>
        <w:spacing w:line="360" w:lineRule="auto"/>
      </w:pPr>
    </w:p>
    <w:p w14:paraId="26CAFB83">
      <w:pPr>
        <w:pStyle w:val="4"/>
        <w:spacing w:line="360" w:lineRule="auto"/>
      </w:pPr>
    </w:p>
    <w:p w14:paraId="53A7D569">
      <w:pPr>
        <w:pStyle w:val="4"/>
        <w:spacing w:line="360" w:lineRule="auto"/>
      </w:pPr>
    </w:p>
    <w:p w14:paraId="5C207091">
      <w:pPr>
        <w:pStyle w:val="4"/>
        <w:spacing w:line="360" w:lineRule="auto"/>
      </w:pPr>
    </w:p>
    <w:p w14:paraId="62D98E5D">
      <w:pPr>
        <w:pStyle w:val="4"/>
        <w:spacing w:line="360" w:lineRule="auto"/>
      </w:pPr>
    </w:p>
    <w:p w14:paraId="6EF87FC8">
      <w:pPr>
        <w:spacing w:before="92" w:line="360" w:lineRule="auto"/>
        <w:ind w:left="874"/>
        <w:rPr>
          <w:rFonts w:ascii="宋体" w:hAnsi="宋体" w:eastAsia="宋体" w:cs="宋体"/>
          <w:sz w:val="28"/>
          <w:szCs w:val="28"/>
        </w:rPr>
      </w:pPr>
      <w:r>
        <w:rPr>
          <w:rFonts w:ascii="宋体" w:hAnsi="宋体" w:eastAsia="宋体" w:cs="宋体"/>
          <w:b/>
          <w:bCs/>
          <w:spacing w:val="1"/>
          <w:sz w:val="28"/>
          <w:szCs w:val="28"/>
        </w:rPr>
        <w:t>供应商</w:t>
      </w:r>
      <w:r>
        <w:rPr>
          <w:rFonts w:ascii="宋体" w:hAnsi="宋体" w:eastAsia="宋体" w:cs="宋体"/>
          <w:b/>
          <w:bCs/>
          <w:spacing w:val="-20"/>
          <w:sz w:val="28"/>
          <w:szCs w:val="28"/>
        </w:rPr>
        <w:t>：</w:t>
      </w:r>
      <w:r>
        <w:rPr>
          <w:rFonts w:ascii="宋体" w:hAnsi="宋体" w:eastAsia="宋体" w:cs="宋体"/>
          <w:sz w:val="28"/>
          <w:szCs w:val="28"/>
          <w:u w:val="single" w:color="auto"/>
        </w:rPr>
        <w:t xml:space="preserve">                         </w:t>
      </w:r>
      <w:r>
        <w:rPr>
          <w:rFonts w:ascii="宋体" w:hAnsi="宋体" w:eastAsia="宋体" w:cs="宋体"/>
          <w:b/>
          <w:bCs/>
          <w:spacing w:val="-20"/>
          <w:sz w:val="28"/>
          <w:szCs w:val="28"/>
        </w:rPr>
        <w:t>（</w:t>
      </w:r>
      <w:r>
        <w:rPr>
          <w:rFonts w:ascii="宋体" w:hAnsi="宋体" w:eastAsia="宋体" w:cs="宋体"/>
          <w:b/>
          <w:bCs/>
          <w:spacing w:val="1"/>
          <w:sz w:val="28"/>
          <w:szCs w:val="28"/>
        </w:rPr>
        <w:t>单位盖章）</w:t>
      </w:r>
    </w:p>
    <w:p w14:paraId="0737D62D">
      <w:pPr>
        <w:spacing w:before="212" w:line="360" w:lineRule="auto"/>
        <w:ind w:left="876"/>
        <w:rPr>
          <w:rFonts w:ascii="宋体" w:hAnsi="宋体" w:eastAsia="宋体" w:cs="宋体"/>
          <w:sz w:val="28"/>
          <w:szCs w:val="28"/>
        </w:rPr>
      </w:pPr>
      <w:r>
        <w:rPr>
          <w:rFonts w:ascii="宋体" w:hAnsi="宋体" w:eastAsia="宋体" w:cs="宋体"/>
          <w:b/>
          <w:bCs/>
          <w:spacing w:val="-1"/>
          <w:sz w:val="28"/>
          <w:szCs w:val="28"/>
        </w:rPr>
        <w:t>法定代表人或其授权代表</w:t>
      </w:r>
      <w:r>
        <w:rPr>
          <w:rFonts w:ascii="宋体" w:hAnsi="宋体" w:eastAsia="宋体" w:cs="宋体"/>
          <w:b/>
          <w:bCs/>
          <w:spacing w:val="-16"/>
          <w:sz w:val="28"/>
          <w:szCs w:val="28"/>
        </w:rPr>
        <w:t>：</w:t>
      </w:r>
      <w:r>
        <w:rPr>
          <w:rFonts w:ascii="宋体" w:hAnsi="宋体" w:eastAsia="宋体" w:cs="宋体"/>
          <w:sz w:val="28"/>
          <w:szCs w:val="28"/>
          <w:u w:val="single" w:color="auto"/>
        </w:rPr>
        <w:t xml:space="preserve">           </w:t>
      </w:r>
      <w:r>
        <w:rPr>
          <w:rFonts w:ascii="宋体" w:hAnsi="宋体" w:eastAsia="宋体" w:cs="宋体"/>
          <w:b/>
          <w:bCs/>
          <w:spacing w:val="-16"/>
          <w:sz w:val="28"/>
          <w:szCs w:val="28"/>
        </w:rPr>
        <w:t>（</w:t>
      </w:r>
      <w:r>
        <w:rPr>
          <w:rFonts w:ascii="宋体" w:hAnsi="宋体" w:eastAsia="宋体" w:cs="宋体"/>
          <w:b/>
          <w:bCs/>
          <w:spacing w:val="-1"/>
          <w:sz w:val="28"/>
          <w:szCs w:val="28"/>
        </w:rPr>
        <w:t>签字或盖章）</w:t>
      </w:r>
    </w:p>
    <w:p w14:paraId="54F70CCA">
      <w:pPr>
        <w:spacing w:before="213" w:line="360" w:lineRule="auto"/>
        <w:ind w:left="888"/>
        <w:rPr>
          <w:rFonts w:ascii="宋体" w:hAnsi="宋体" w:eastAsia="宋体" w:cs="宋体"/>
          <w:sz w:val="28"/>
          <w:szCs w:val="28"/>
        </w:rPr>
      </w:pPr>
      <w:r>
        <w:rPr>
          <w:rFonts w:ascii="宋体" w:hAnsi="宋体" w:eastAsia="宋体" w:cs="宋体"/>
          <w:b/>
          <w:bCs/>
          <w:spacing w:val="-33"/>
          <w:sz w:val="28"/>
          <w:szCs w:val="28"/>
        </w:rPr>
        <w:t>时</w:t>
      </w:r>
      <w:r>
        <w:rPr>
          <w:rFonts w:ascii="宋体" w:hAnsi="宋体" w:eastAsia="宋体" w:cs="宋体"/>
          <w:spacing w:val="17"/>
          <w:sz w:val="28"/>
          <w:szCs w:val="28"/>
        </w:rPr>
        <w:t xml:space="preserve">  </w:t>
      </w:r>
      <w:r>
        <w:rPr>
          <w:rFonts w:ascii="宋体" w:hAnsi="宋体" w:eastAsia="宋体" w:cs="宋体"/>
          <w:b/>
          <w:bCs/>
          <w:spacing w:val="-33"/>
          <w:sz w:val="28"/>
          <w:szCs w:val="28"/>
        </w:rPr>
        <w:t>间</w:t>
      </w:r>
      <w:r>
        <w:rPr>
          <w:rFonts w:ascii="宋体" w:hAnsi="宋体" w:eastAsia="宋体" w:cs="宋体"/>
          <w:spacing w:val="-104"/>
          <w:sz w:val="28"/>
          <w:szCs w:val="28"/>
        </w:rPr>
        <w:t xml:space="preserve"> </w:t>
      </w:r>
      <w:r>
        <w:rPr>
          <w:rFonts w:ascii="宋体" w:hAnsi="宋体" w:eastAsia="宋体" w:cs="宋体"/>
          <w:b/>
          <w:bCs/>
          <w:spacing w:val="-33"/>
          <w:sz w:val="28"/>
          <w:szCs w:val="28"/>
        </w:rPr>
        <w:t>：</w:t>
      </w:r>
      <w:r>
        <w:rPr>
          <w:rFonts w:ascii="宋体" w:hAnsi="宋体" w:eastAsia="宋体" w:cs="宋体"/>
          <w:sz w:val="28"/>
          <w:szCs w:val="28"/>
          <w:u w:val="single" w:color="auto"/>
        </w:rPr>
        <w:t xml:space="preserve">                            </w:t>
      </w:r>
    </w:p>
    <w:p w14:paraId="7073564D">
      <w:pPr>
        <w:spacing w:line="360" w:lineRule="auto"/>
        <w:rPr>
          <w:rFonts w:ascii="宋体" w:hAnsi="宋体" w:eastAsia="宋体" w:cs="宋体"/>
          <w:sz w:val="28"/>
          <w:szCs w:val="28"/>
        </w:rPr>
        <w:sectPr>
          <w:headerReference r:id="rId28" w:type="default"/>
          <w:footerReference r:id="rId29" w:type="default"/>
          <w:pgSz w:w="11906" w:h="16839"/>
          <w:pgMar w:top="1166" w:right="1079" w:bottom="1166" w:left="1080" w:header="829" w:footer="952" w:gutter="0"/>
          <w:cols w:space="720" w:num="1"/>
        </w:sectPr>
      </w:pPr>
    </w:p>
    <w:p w14:paraId="6987AB90">
      <w:pPr>
        <w:pStyle w:val="4"/>
        <w:spacing w:line="360" w:lineRule="auto"/>
      </w:pPr>
    </w:p>
    <w:p w14:paraId="676883E7">
      <w:pPr>
        <w:spacing w:before="114" w:line="360" w:lineRule="auto"/>
        <w:ind w:left="4323"/>
        <w:rPr>
          <w:rFonts w:ascii="宋体" w:hAnsi="宋体" w:eastAsia="宋体" w:cs="宋体"/>
          <w:sz w:val="35"/>
          <w:szCs w:val="35"/>
        </w:rPr>
      </w:pPr>
      <w:r>
        <w:rPr>
          <w:rFonts w:ascii="宋体" w:hAnsi="宋体" w:eastAsia="宋体" w:cs="宋体"/>
          <w:b/>
          <w:bCs/>
          <w:spacing w:val="-41"/>
          <w:sz w:val="35"/>
          <w:szCs w:val="35"/>
        </w:rPr>
        <w:t>目</w:t>
      </w:r>
      <w:r>
        <w:rPr>
          <w:rFonts w:ascii="宋体" w:hAnsi="宋体" w:eastAsia="宋体" w:cs="宋体"/>
          <w:spacing w:val="11"/>
          <w:sz w:val="35"/>
          <w:szCs w:val="35"/>
        </w:rPr>
        <w:t xml:space="preserve">   </w:t>
      </w:r>
      <w:r>
        <w:rPr>
          <w:rFonts w:ascii="宋体" w:hAnsi="宋体" w:eastAsia="宋体" w:cs="宋体"/>
          <w:b/>
          <w:bCs/>
          <w:spacing w:val="-41"/>
          <w:sz w:val="35"/>
          <w:szCs w:val="35"/>
        </w:rPr>
        <w:t>录</w:t>
      </w:r>
    </w:p>
    <w:p w14:paraId="01EAA0CA">
      <w:pPr>
        <w:spacing w:before="78" w:line="360" w:lineRule="auto"/>
        <w:ind w:left="9"/>
        <w:rPr>
          <w:rFonts w:ascii="宋体" w:hAnsi="宋体" w:eastAsia="宋体" w:cs="宋体"/>
          <w:sz w:val="24"/>
          <w:szCs w:val="24"/>
        </w:rPr>
      </w:pPr>
      <w:r>
        <w:rPr>
          <w:rFonts w:ascii="宋体" w:hAnsi="宋体" w:eastAsia="宋体" w:cs="宋体"/>
          <w:spacing w:val="-5"/>
          <w:sz w:val="24"/>
          <w:szCs w:val="24"/>
        </w:rPr>
        <w:t>第一部分</w:t>
      </w:r>
      <w:r>
        <w:rPr>
          <w:rFonts w:ascii="宋体" w:hAnsi="宋体" w:eastAsia="宋体" w:cs="宋体"/>
          <w:spacing w:val="12"/>
          <w:sz w:val="24"/>
          <w:szCs w:val="24"/>
        </w:rPr>
        <w:t xml:space="preserve">  </w:t>
      </w:r>
      <w:r>
        <w:rPr>
          <w:rFonts w:ascii="宋体" w:hAnsi="宋体" w:eastAsia="宋体" w:cs="宋体"/>
          <w:spacing w:val="-5"/>
          <w:sz w:val="24"/>
          <w:szCs w:val="24"/>
        </w:rPr>
        <w:t>响应函</w:t>
      </w:r>
    </w:p>
    <w:p w14:paraId="60B8ACE3">
      <w:pPr>
        <w:spacing w:before="134" w:line="360" w:lineRule="auto"/>
        <w:ind w:left="9"/>
        <w:rPr>
          <w:rFonts w:ascii="宋体" w:hAnsi="宋体" w:eastAsia="宋体" w:cs="宋体"/>
          <w:sz w:val="24"/>
          <w:szCs w:val="24"/>
        </w:rPr>
      </w:pPr>
      <w:r>
        <w:rPr>
          <w:rFonts w:ascii="宋体" w:hAnsi="宋体" w:eastAsia="宋体" w:cs="宋体"/>
          <w:spacing w:val="-1"/>
          <w:sz w:val="24"/>
          <w:szCs w:val="24"/>
        </w:rPr>
        <w:t>第二部分  第一次磋商报价表</w:t>
      </w:r>
    </w:p>
    <w:sdt>
      <w:sdtPr>
        <w:rPr>
          <w:rFonts w:ascii="宋体" w:hAnsi="宋体" w:eastAsia="宋体" w:cs="宋体"/>
          <w:sz w:val="24"/>
          <w:szCs w:val="24"/>
        </w:rPr>
        <w:id w:val="147478784"/>
        <w:docPartObj>
          <w:docPartGallery w:val="Table of Contents"/>
          <w:docPartUnique/>
        </w:docPartObj>
      </w:sdtPr>
      <w:sdtEndPr>
        <w:rPr>
          <w:rFonts w:ascii="宋体" w:hAnsi="宋体" w:eastAsia="宋体" w:cs="宋体"/>
          <w:sz w:val="24"/>
          <w:szCs w:val="24"/>
        </w:rPr>
      </w:sdtEndPr>
      <w:sdtContent>
        <w:p w14:paraId="6701E79A">
          <w:pPr>
            <w:spacing w:before="136" w:line="360" w:lineRule="auto"/>
            <w:ind w:left="9"/>
            <w:rPr>
              <w:rFonts w:ascii="宋体" w:hAnsi="宋体" w:eastAsia="宋体" w:cs="宋体"/>
              <w:sz w:val="24"/>
              <w:szCs w:val="24"/>
            </w:rPr>
          </w:pPr>
          <w:r>
            <w:rPr>
              <w:rFonts w:ascii="宋体" w:hAnsi="宋体" w:eastAsia="宋体" w:cs="宋体"/>
              <w:spacing w:val="-1"/>
              <w:sz w:val="24"/>
              <w:szCs w:val="24"/>
            </w:rPr>
            <w:t>第三部分  分项报价表</w:t>
          </w:r>
        </w:p>
        <w:p w14:paraId="044A5DD7">
          <w:pPr>
            <w:spacing w:before="137" w:line="360" w:lineRule="auto"/>
            <w:ind w:left="9"/>
            <w:rPr>
              <w:rFonts w:ascii="宋体" w:hAnsi="宋体" w:eastAsia="宋体" w:cs="宋体"/>
              <w:sz w:val="24"/>
              <w:szCs w:val="24"/>
            </w:rPr>
          </w:pPr>
          <w:r>
            <w:rPr>
              <w:rFonts w:ascii="宋体" w:hAnsi="宋体" w:eastAsia="宋体" w:cs="宋体"/>
              <w:spacing w:val="-2"/>
              <w:sz w:val="24"/>
              <w:szCs w:val="24"/>
            </w:rPr>
            <w:t>第四部分  偏离表</w:t>
          </w:r>
        </w:p>
        <w:p w14:paraId="7B3B1735">
          <w:pPr>
            <w:spacing w:before="135" w:line="360" w:lineRule="auto"/>
            <w:ind w:left="9"/>
            <w:rPr>
              <w:rFonts w:ascii="宋体" w:hAnsi="宋体" w:eastAsia="宋体" w:cs="宋体"/>
              <w:sz w:val="24"/>
              <w:szCs w:val="24"/>
            </w:rPr>
          </w:pPr>
          <w:r>
            <w:rPr>
              <w:rFonts w:ascii="宋体" w:hAnsi="宋体" w:eastAsia="宋体" w:cs="宋体"/>
              <w:spacing w:val="-1"/>
              <w:sz w:val="24"/>
              <w:szCs w:val="24"/>
            </w:rPr>
            <w:t>第五部分  磋商方案</w:t>
          </w:r>
        </w:p>
        <w:p w14:paraId="764D6738">
          <w:pPr>
            <w:spacing w:before="135" w:line="360" w:lineRule="auto"/>
            <w:ind w:left="9"/>
            <w:rPr>
              <w:rFonts w:ascii="宋体" w:hAnsi="宋体" w:eastAsia="宋体" w:cs="宋体"/>
              <w:sz w:val="24"/>
              <w:szCs w:val="24"/>
            </w:rPr>
          </w:pPr>
          <w:r>
            <w:rPr>
              <w:rFonts w:ascii="宋体" w:hAnsi="宋体" w:eastAsia="宋体" w:cs="宋体"/>
              <w:spacing w:val="-1"/>
              <w:sz w:val="24"/>
              <w:szCs w:val="24"/>
            </w:rPr>
            <w:t>第六部分  供应商承诺书</w:t>
          </w:r>
        </w:p>
      </w:sdtContent>
    </w:sdt>
    <w:p w14:paraId="4C845CFF">
      <w:pPr>
        <w:spacing w:before="135" w:line="360" w:lineRule="auto"/>
        <w:ind w:left="9"/>
        <w:rPr>
          <w:rFonts w:ascii="宋体" w:hAnsi="宋体" w:eastAsia="宋体" w:cs="宋体"/>
          <w:sz w:val="24"/>
          <w:szCs w:val="24"/>
        </w:rPr>
      </w:pPr>
      <w:r>
        <w:rPr>
          <w:rFonts w:ascii="宋体" w:hAnsi="宋体" w:eastAsia="宋体" w:cs="宋体"/>
          <w:spacing w:val="-1"/>
          <w:sz w:val="24"/>
          <w:szCs w:val="24"/>
        </w:rPr>
        <w:t>第七部分  供应商资质证明文件</w:t>
      </w:r>
    </w:p>
    <w:p w14:paraId="37172365">
      <w:pPr>
        <w:spacing w:before="135" w:line="360" w:lineRule="auto"/>
        <w:ind w:left="9"/>
        <w:rPr>
          <w:rFonts w:ascii="宋体" w:hAnsi="宋体" w:eastAsia="宋体" w:cs="宋体"/>
          <w:sz w:val="24"/>
          <w:szCs w:val="24"/>
        </w:rPr>
      </w:pPr>
      <w:r>
        <w:rPr>
          <w:rFonts w:ascii="宋体" w:hAnsi="宋体" w:eastAsia="宋体" w:cs="宋体"/>
          <w:spacing w:val="-1"/>
          <w:sz w:val="24"/>
          <w:szCs w:val="24"/>
        </w:rPr>
        <w:t>第八部分  政府采购政策证明材料</w:t>
      </w:r>
    </w:p>
    <w:p w14:paraId="0791017E">
      <w:pPr>
        <w:spacing w:before="136" w:line="360" w:lineRule="auto"/>
        <w:ind w:left="9"/>
        <w:rPr>
          <w:rFonts w:ascii="宋体" w:hAnsi="宋体" w:eastAsia="宋体" w:cs="宋体"/>
          <w:sz w:val="24"/>
          <w:szCs w:val="24"/>
        </w:rPr>
      </w:pPr>
      <w:r>
        <w:rPr>
          <w:rFonts w:ascii="宋体" w:hAnsi="宋体" w:eastAsia="宋体" w:cs="宋体"/>
          <w:spacing w:val="-1"/>
          <w:sz w:val="24"/>
          <w:szCs w:val="24"/>
        </w:rPr>
        <w:t>第九部分  其他资料</w:t>
      </w:r>
    </w:p>
    <w:p w14:paraId="5080ED63">
      <w:pPr>
        <w:spacing w:line="360" w:lineRule="auto"/>
        <w:rPr>
          <w:rFonts w:ascii="宋体" w:hAnsi="宋体" w:eastAsia="宋体" w:cs="宋体"/>
          <w:sz w:val="24"/>
          <w:szCs w:val="24"/>
        </w:rPr>
        <w:sectPr>
          <w:headerReference r:id="rId30" w:type="default"/>
          <w:footerReference r:id="rId31" w:type="default"/>
          <w:pgSz w:w="11906" w:h="16839"/>
          <w:pgMar w:top="1166" w:right="1080" w:bottom="1166" w:left="1080" w:header="829" w:footer="952" w:gutter="0"/>
          <w:cols w:space="720" w:num="1"/>
        </w:sectPr>
      </w:pPr>
    </w:p>
    <w:p w14:paraId="6BAD439A">
      <w:pPr>
        <w:pStyle w:val="4"/>
        <w:spacing w:line="360" w:lineRule="auto"/>
      </w:pPr>
    </w:p>
    <w:p w14:paraId="5CBCD2EB">
      <w:pPr>
        <w:spacing w:before="91" w:line="360" w:lineRule="auto"/>
        <w:ind w:left="3759"/>
        <w:rPr>
          <w:rFonts w:ascii="宋体" w:hAnsi="宋体" w:eastAsia="宋体" w:cs="宋体"/>
          <w:sz w:val="28"/>
          <w:szCs w:val="28"/>
        </w:rPr>
      </w:pPr>
      <w:r>
        <w:rPr>
          <w:rFonts w:ascii="宋体" w:hAnsi="宋体" w:eastAsia="宋体" w:cs="宋体"/>
          <w:b/>
          <w:bCs/>
          <w:spacing w:val="-8"/>
          <w:sz w:val="28"/>
          <w:szCs w:val="28"/>
        </w:rPr>
        <w:t>第一部分</w:t>
      </w:r>
      <w:r>
        <w:rPr>
          <w:rFonts w:ascii="宋体" w:hAnsi="宋体" w:eastAsia="宋体" w:cs="宋体"/>
          <w:spacing w:val="15"/>
          <w:sz w:val="28"/>
          <w:szCs w:val="28"/>
        </w:rPr>
        <w:t xml:space="preserve">  </w:t>
      </w:r>
      <w:r>
        <w:rPr>
          <w:rFonts w:ascii="宋体" w:hAnsi="宋体" w:eastAsia="宋体" w:cs="宋体"/>
          <w:b/>
          <w:bCs/>
          <w:spacing w:val="-8"/>
          <w:sz w:val="28"/>
          <w:szCs w:val="28"/>
        </w:rPr>
        <w:t>响应函</w:t>
      </w:r>
    </w:p>
    <w:tbl>
      <w:tblPr>
        <w:tblStyle w:val="12"/>
        <w:tblW w:w="9644" w:type="dxa"/>
        <w:tblInd w:w="5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0"/>
        <w:gridCol w:w="431"/>
        <w:gridCol w:w="180"/>
        <w:gridCol w:w="1555"/>
        <w:gridCol w:w="153"/>
        <w:gridCol w:w="2271"/>
        <w:gridCol w:w="382"/>
        <w:gridCol w:w="186"/>
        <w:gridCol w:w="412"/>
        <w:gridCol w:w="785"/>
        <w:gridCol w:w="2459"/>
      </w:tblGrid>
      <w:tr w14:paraId="0153B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644" w:type="dxa"/>
            <w:gridSpan w:val="11"/>
            <w:vAlign w:val="top"/>
          </w:tcPr>
          <w:p w14:paraId="440CB792">
            <w:pPr>
              <w:pStyle w:val="13"/>
              <w:spacing w:before="171" w:line="360" w:lineRule="auto"/>
              <w:ind w:left="251"/>
              <w:rPr>
                <w:rFonts w:hint="eastAsia" w:eastAsia="宋体"/>
                <w:lang w:eastAsia="zh-CN"/>
              </w:rPr>
            </w:pPr>
            <w:r>
              <w:rPr>
                <w:spacing w:val="-1"/>
              </w:rPr>
              <w:t>致：</w:t>
            </w:r>
            <w:r>
              <w:rPr>
                <w:rFonts w:hint="eastAsia"/>
                <w:spacing w:val="-1"/>
                <w:lang w:eastAsia="zh-CN"/>
              </w:rPr>
              <w:t>华春建设工程项目管理有限责任公司</w:t>
            </w:r>
          </w:p>
        </w:tc>
      </w:tr>
      <w:tr w14:paraId="12B4E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30" w:type="dxa"/>
            <w:vMerge w:val="restart"/>
            <w:tcBorders>
              <w:bottom w:val="nil"/>
            </w:tcBorders>
            <w:vAlign w:val="top"/>
          </w:tcPr>
          <w:p w14:paraId="2A1FD38E">
            <w:pPr>
              <w:spacing w:line="360" w:lineRule="auto"/>
              <w:rPr>
                <w:rFonts w:ascii="Arial"/>
                <w:sz w:val="21"/>
              </w:rPr>
            </w:pPr>
          </w:p>
          <w:p w14:paraId="5AF42766">
            <w:pPr>
              <w:pStyle w:val="13"/>
              <w:spacing w:before="78" w:line="360" w:lineRule="auto"/>
              <w:ind w:left="182" w:right="172" w:firstLine="2"/>
            </w:pPr>
            <w:r>
              <w:rPr>
                <w:spacing w:val="-7"/>
              </w:rPr>
              <w:t>企业</w:t>
            </w:r>
            <w:r>
              <w:rPr>
                <w:spacing w:val="-6"/>
              </w:rPr>
              <w:t>法人</w:t>
            </w:r>
          </w:p>
        </w:tc>
        <w:tc>
          <w:tcPr>
            <w:tcW w:w="2319" w:type="dxa"/>
            <w:gridSpan w:val="4"/>
            <w:vAlign w:val="top"/>
          </w:tcPr>
          <w:p w14:paraId="039C214A">
            <w:pPr>
              <w:pStyle w:val="13"/>
              <w:spacing w:before="162" w:line="360" w:lineRule="auto"/>
              <w:ind w:left="690"/>
            </w:pPr>
            <w:r>
              <w:rPr>
                <w:spacing w:val="-4"/>
              </w:rPr>
              <w:t>企业名称</w:t>
            </w:r>
          </w:p>
        </w:tc>
        <w:tc>
          <w:tcPr>
            <w:tcW w:w="6495" w:type="dxa"/>
            <w:gridSpan w:val="6"/>
            <w:vAlign w:val="top"/>
          </w:tcPr>
          <w:p w14:paraId="405A41DF">
            <w:pPr>
              <w:spacing w:line="360" w:lineRule="auto"/>
              <w:rPr>
                <w:rFonts w:ascii="Arial"/>
                <w:sz w:val="21"/>
              </w:rPr>
            </w:pPr>
          </w:p>
        </w:tc>
      </w:tr>
      <w:tr w14:paraId="7800A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830" w:type="dxa"/>
            <w:vMerge w:val="continue"/>
            <w:tcBorders>
              <w:top w:val="nil"/>
              <w:bottom w:val="nil"/>
            </w:tcBorders>
            <w:vAlign w:val="top"/>
          </w:tcPr>
          <w:p w14:paraId="7E1AC9A9">
            <w:pPr>
              <w:spacing w:line="360" w:lineRule="auto"/>
              <w:rPr>
                <w:rFonts w:ascii="Arial"/>
                <w:sz w:val="21"/>
              </w:rPr>
            </w:pPr>
          </w:p>
        </w:tc>
        <w:tc>
          <w:tcPr>
            <w:tcW w:w="2319" w:type="dxa"/>
            <w:gridSpan w:val="4"/>
            <w:vAlign w:val="top"/>
          </w:tcPr>
          <w:p w14:paraId="0158D17D">
            <w:pPr>
              <w:pStyle w:val="13"/>
              <w:spacing w:before="188" w:line="360" w:lineRule="auto"/>
              <w:ind w:left="687"/>
            </w:pPr>
            <w:r>
              <w:rPr>
                <w:spacing w:val="-3"/>
              </w:rPr>
              <w:t>法定地址</w:t>
            </w:r>
          </w:p>
        </w:tc>
        <w:tc>
          <w:tcPr>
            <w:tcW w:w="6495" w:type="dxa"/>
            <w:gridSpan w:val="6"/>
            <w:vAlign w:val="top"/>
          </w:tcPr>
          <w:p w14:paraId="6A8A51B2">
            <w:pPr>
              <w:spacing w:line="360" w:lineRule="auto"/>
              <w:rPr>
                <w:rFonts w:ascii="Arial"/>
                <w:sz w:val="21"/>
              </w:rPr>
            </w:pPr>
          </w:p>
        </w:tc>
      </w:tr>
      <w:tr w14:paraId="57B6C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830" w:type="dxa"/>
            <w:vMerge w:val="continue"/>
            <w:tcBorders>
              <w:top w:val="nil"/>
            </w:tcBorders>
            <w:vAlign w:val="top"/>
          </w:tcPr>
          <w:p w14:paraId="179729B8">
            <w:pPr>
              <w:spacing w:line="360" w:lineRule="auto"/>
              <w:rPr>
                <w:rFonts w:ascii="Arial"/>
                <w:sz w:val="21"/>
              </w:rPr>
            </w:pPr>
          </w:p>
        </w:tc>
        <w:tc>
          <w:tcPr>
            <w:tcW w:w="2319" w:type="dxa"/>
            <w:gridSpan w:val="4"/>
            <w:vAlign w:val="top"/>
          </w:tcPr>
          <w:p w14:paraId="550B2CD0">
            <w:pPr>
              <w:pStyle w:val="13"/>
              <w:spacing w:before="176" w:line="360" w:lineRule="auto"/>
              <w:ind w:left="567"/>
            </w:pPr>
            <w:r>
              <w:rPr>
                <w:spacing w:val="-3"/>
              </w:rPr>
              <w:t>法定代表人</w:t>
            </w:r>
          </w:p>
        </w:tc>
        <w:tc>
          <w:tcPr>
            <w:tcW w:w="2271" w:type="dxa"/>
            <w:vAlign w:val="top"/>
          </w:tcPr>
          <w:p w14:paraId="66B613A8">
            <w:pPr>
              <w:spacing w:line="360" w:lineRule="auto"/>
              <w:rPr>
                <w:rFonts w:ascii="Arial"/>
                <w:sz w:val="21"/>
              </w:rPr>
            </w:pPr>
          </w:p>
        </w:tc>
        <w:tc>
          <w:tcPr>
            <w:tcW w:w="980" w:type="dxa"/>
            <w:gridSpan w:val="3"/>
            <w:vAlign w:val="top"/>
          </w:tcPr>
          <w:p w14:paraId="71198E5C">
            <w:pPr>
              <w:pStyle w:val="13"/>
              <w:spacing w:before="176" w:line="360" w:lineRule="auto"/>
              <w:ind w:left="117"/>
            </w:pPr>
            <w:r>
              <w:rPr>
                <w:spacing w:val="-6"/>
              </w:rPr>
              <w:t>职</w:t>
            </w:r>
            <w:r>
              <w:rPr>
                <w:spacing w:val="11"/>
              </w:rPr>
              <w:t xml:space="preserve"> </w:t>
            </w:r>
            <w:r>
              <w:rPr>
                <w:spacing w:val="-6"/>
              </w:rPr>
              <w:t>务</w:t>
            </w:r>
          </w:p>
        </w:tc>
        <w:tc>
          <w:tcPr>
            <w:tcW w:w="3244" w:type="dxa"/>
            <w:gridSpan w:val="2"/>
            <w:vAlign w:val="top"/>
          </w:tcPr>
          <w:p w14:paraId="7AE4F1AD">
            <w:pPr>
              <w:spacing w:line="360" w:lineRule="auto"/>
              <w:rPr>
                <w:rFonts w:ascii="Arial"/>
                <w:sz w:val="21"/>
              </w:rPr>
            </w:pPr>
          </w:p>
        </w:tc>
      </w:tr>
      <w:tr w14:paraId="0353B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30" w:type="dxa"/>
            <w:vMerge w:val="restart"/>
            <w:tcBorders>
              <w:bottom w:val="nil"/>
            </w:tcBorders>
            <w:textDirection w:val="tbRlV"/>
            <w:vAlign w:val="top"/>
          </w:tcPr>
          <w:p w14:paraId="27347BE0">
            <w:pPr>
              <w:pStyle w:val="13"/>
              <w:spacing w:before="292" w:line="360" w:lineRule="auto"/>
              <w:ind w:left="2912"/>
            </w:pPr>
            <w:r>
              <w:rPr>
                <w:spacing w:val="-1"/>
              </w:rPr>
              <w:t>投</w:t>
            </w:r>
            <w:r>
              <w:rPr>
                <w:spacing w:val="82"/>
              </w:rPr>
              <w:t xml:space="preserve"> </w:t>
            </w:r>
            <w:r>
              <w:rPr>
                <w:spacing w:val="-1"/>
              </w:rPr>
              <w:t>标</w:t>
            </w:r>
            <w:r>
              <w:rPr>
                <w:spacing w:val="82"/>
              </w:rPr>
              <w:t xml:space="preserve"> </w:t>
            </w:r>
            <w:r>
              <w:rPr>
                <w:spacing w:val="-1"/>
              </w:rPr>
              <w:t>与</w:t>
            </w:r>
            <w:r>
              <w:rPr>
                <w:spacing w:val="79"/>
              </w:rPr>
              <w:t xml:space="preserve"> </w:t>
            </w:r>
            <w:r>
              <w:rPr>
                <w:spacing w:val="-1"/>
              </w:rPr>
              <w:t>声</w:t>
            </w:r>
            <w:r>
              <w:rPr>
                <w:spacing w:val="80"/>
              </w:rPr>
              <w:t xml:space="preserve"> </w:t>
            </w:r>
            <w:r>
              <w:rPr>
                <w:spacing w:val="-1"/>
              </w:rPr>
              <w:t>明</w:t>
            </w:r>
          </w:p>
        </w:tc>
        <w:tc>
          <w:tcPr>
            <w:tcW w:w="2319" w:type="dxa"/>
            <w:gridSpan w:val="4"/>
            <w:vAlign w:val="top"/>
          </w:tcPr>
          <w:p w14:paraId="0FE9BB5A">
            <w:pPr>
              <w:pStyle w:val="13"/>
              <w:spacing w:before="147" w:line="360" w:lineRule="auto"/>
              <w:ind w:left="690"/>
            </w:pPr>
            <w:r>
              <w:rPr>
                <w:spacing w:val="-4"/>
              </w:rPr>
              <w:t>项目名称</w:t>
            </w:r>
          </w:p>
        </w:tc>
        <w:tc>
          <w:tcPr>
            <w:tcW w:w="6495" w:type="dxa"/>
            <w:gridSpan w:val="6"/>
            <w:vAlign w:val="top"/>
          </w:tcPr>
          <w:p w14:paraId="774EA9F6">
            <w:pPr>
              <w:spacing w:line="360" w:lineRule="auto"/>
              <w:rPr>
                <w:rFonts w:ascii="Arial"/>
                <w:sz w:val="21"/>
              </w:rPr>
            </w:pPr>
          </w:p>
        </w:tc>
      </w:tr>
      <w:tr w14:paraId="0C71D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30" w:type="dxa"/>
            <w:vMerge w:val="continue"/>
            <w:tcBorders>
              <w:top w:val="nil"/>
              <w:bottom w:val="nil"/>
            </w:tcBorders>
            <w:textDirection w:val="tbRlV"/>
            <w:vAlign w:val="top"/>
          </w:tcPr>
          <w:p w14:paraId="14FAD586">
            <w:pPr>
              <w:spacing w:line="360" w:lineRule="auto"/>
              <w:rPr>
                <w:rFonts w:ascii="Arial"/>
                <w:sz w:val="21"/>
              </w:rPr>
            </w:pPr>
          </w:p>
        </w:tc>
        <w:tc>
          <w:tcPr>
            <w:tcW w:w="2319" w:type="dxa"/>
            <w:gridSpan w:val="4"/>
            <w:vAlign w:val="top"/>
          </w:tcPr>
          <w:p w14:paraId="4CC9472C">
            <w:pPr>
              <w:pStyle w:val="13"/>
              <w:spacing w:before="148" w:line="360" w:lineRule="auto"/>
              <w:ind w:left="688"/>
            </w:pPr>
            <w:r>
              <w:rPr>
                <w:spacing w:val="-3"/>
              </w:rPr>
              <w:t>文件编号</w:t>
            </w:r>
          </w:p>
        </w:tc>
        <w:tc>
          <w:tcPr>
            <w:tcW w:w="6495" w:type="dxa"/>
            <w:gridSpan w:val="6"/>
            <w:vAlign w:val="top"/>
          </w:tcPr>
          <w:p w14:paraId="01383FE9">
            <w:pPr>
              <w:spacing w:line="360" w:lineRule="auto"/>
              <w:rPr>
                <w:rFonts w:ascii="Arial"/>
                <w:sz w:val="21"/>
              </w:rPr>
            </w:pPr>
          </w:p>
        </w:tc>
      </w:tr>
      <w:tr w14:paraId="1DB17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30" w:type="dxa"/>
            <w:vMerge w:val="continue"/>
            <w:tcBorders>
              <w:top w:val="nil"/>
              <w:bottom w:val="nil"/>
            </w:tcBorders>
            <w:textDirection w:val="tbRlV"/>
            <w:vAlign w:val="top"/>
          </w:tcPr>
          <w:p w14:paraId="02F57ACE">
            <w:pPr>
              <w:spacing w:line="360" w:lineRule="auto"/>
              <w:rPr>
                <w:rFonts w:ascii="Arial"/>
                <w:sz w:val="21"/>
              </w:rPr>
            </w:pPr>
          </w:p>
        </w:tc>
        <w:tc>
          <w:tcPr>
            <w:tcW w:w="2319" w:type="dxa"/>
            <w:gridSpan w:val="4"/>
            <w:vAlign w:val="top"/>
          </w:tcPr>
          <w:p w14:paraId="20F2690A">
            <w:pPr>
              <w:pStyle w:val="13"/>
              <w:spacing w:before="148" w:line="360" w:lineRule="auto"/>
              <w:ind w:left="686"/>
            </w:pPr>
            <w:r>
              <w:rPr>
                <w:spacing w:val="-3"/>
              </w:rPr>
              <w:t>被授权人</w:t>
            </w:r>
          </w:p>
        </w:tc>
        <w:tc>
          <w:tcPr>
            <w:tcW w:w="2271" w:type="dxa"/>
            <w:vAlign w:val="top"/>
          </w:tcPr>
          <w:p w14:paraId="2B20049E">
            <w:pPr>
              <w:spacing w:line="360" w:lineRule="auto"/>
              <w:rPr>
                <w:rFonts w:ascii="Arial"/>
                <w:sz w:val="21"/>
              </w:rPr>
            </w:pPr>
          </w:p>
        </w:tc>
        <w:tc>
          <w:tcPr>
            <w:tcW w:w="980" w:type="dxa"/>
            <w:gridSpan w:val="3"/>
            <w:vAlign w:val="top"/>
          </w:tcPr>
          <w:p w14:paraId="68DBED4D">
            <w:pPr>
              <w:pStyle w:val="13"/>
              <w:spacing w:before="160" w:line="360" w:lineRule="auto"/>
              <w:ind w:left="117"/>
            </w:pPr>
            <w:r>
              <w:rPr>
                <w:spacing w:val="-6"/>
              </w:rPr>
              <w:t>职</w:t>
            </w:r>
            <w:r>
              <w:rPr>
                <w:spacing w:val="11"/>
              </w:rPr>
              <w:t xml:space="preserve"> </w:t>
            </w:r>
            <w:r>
              <w:rPr>
                <w:spacing w:val="-6"/>
              </w:rPr>
              <w:t>务</w:t>
            </w:r>
          </w:p>
        </w:tc>
        <w:tc>
          <w:tcPr>
            <w:tcW w:w="3244" w:type="dxa"/>
            <w:gridSpan w:val="2"/>
            <w:vAlign w:val="top"/>
          </w:tcPr>
          <w:p w14:paraId="24989B97">
            <w:pPr>
              <w:spacing w:line="360" w:lineRule="auto"/>
              <w:rPr>
                <w:rFonts w:ascii="Arial"/>
                <w:sz w:val="21"/>
              </w:rPr>
            </w:pPr>
          </w:p>
        </w:tc>
      </w:tr>
      <w:tr w14:paraId="7C00F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830" w:type="dxa"/>
            <w:vMerge w:val="continue"/>
            <w:tcBorders>
              <w:top w:val="nil"/>
              <w:bottom w:val="nil"/>
            </w:tcBorders>
            <w:textDirection w:val="tbRlV"/>
            <w:vAlign w:val="top"/>
          </w:tcPr>
          <w:p w14:paraId="618D9BB1">
            <w:pPr>
              <w:spacing w:line="360" w:lineRule="auto"/>
              <w:rPr>
                <w:rFonts w:ascii="Arial"/>
                <w:sz w:val="21"/>
              </w:rPr>
            </w:pPr>
          </w:p>
        </w:tc>
        <w:tc>
          <w:tcPr>
            <w:tcW w:w="2319" w:type="dxa"/>
            <w:gridSpan w:val="4"/>
            <w:vAlign w:val="top"/>
          </w:tcPr>
          <w:p w14:paraId="75F265D7">
            <w:pPr>
              <w:pStyle w:val="13"/>
              <w:spacing w:before="146" w:line="360" w:lineRule="auto"/>
              <w:ind w:left="806" w:right="197" w:hanging="599"/>
            </w:pPr>
            <w:r>
              <w:rPr>
                <w:spacing w:val="-2"/>
              </w:rPr>
              <w:t>递交竞争性磋商响</w:t>
            </w:r>
            <w:r>
              <w:rPr>
                <w:spacing w:val="-4"/>
              </w:rPr>
              <w:t>应文件</w:t>
            </w:r>
          </w:p>
        </w:tc>
        <w:tc>
          <w:tcPr>
            <w:tcW w:w="6495" w:type="dxa"/>
            <w:gridSpan w:val="6"/>
            <w:vAlign w:val="top"/>
          </w:tcPr>
          <w:p w14:paraId="766501DA">
            <w:pPr>
              <w:spacing w:line="360" w:lineRule="auto"/>
              <w:rPr>
                <w:rFonts w:ascii="Arial"/>
                <w:sz w:val="21"/>
              </w:rPr>
            </w:pPr>
          </w:p>
          <w:p w14:paraId="32A008AE">
            <w:pPr>
              <w:pStyle w:val="13"/>
              <w:spacing w:before="78" w:line="360" w:lineRule="auto"/>
              <w:ind w:left="142"/>
            </w:pPr>
            <w:r>
              <w:rPr>
                <w:spacing w:val="-3"/>
              </w:rPr>
              <w:t>电子竞争性磋商响应文件</w:t>
            </w:r>
            <w:r>
              <w:rPr>
                <w:spacing w:val="-3"/>
                <w:u w:val="single" w:color="auto"/>
              </w:rPr>
              <w:t xml:space="preserve">      </w:t>
            </w:r>
            <w:r>
              <w:rPr>
                <w:spacing w:val="-96"/>
              </w:rPr>
              <w:t xml:space="preserve"> </w:t>
            </w:r>
            <w:r>
              <w:rPr>
                <w:spacing w:val="-3"/>
              </w:rPr>
              <w:t>份</w:t>
            </w:r>
          </w:p>
        </w:tc>
      </w:tr>
      <w:tr w14:paraId="0AA4F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830" w:type="dxa"/>
            <w:vMerge w:val="continue"/>
            <w:tcBorders>
              <w:top w:val="nil"/>
              <w:bottom w:val="nil"/>
            </w:tcBorders>
            <w:textDirection w:val="tbRlV"/>
            <w:vAlign w:val="top"/>
          </w:tcPr>
          <w:p w14:paraId="01C3C370">
            <w:pPr>
              <w:spacing w:line="360" w:lineRule="auto"/>
              <w:rPr>
                <w:rFonts w:ascii="Arial"/>
                <w:sz w:val="21"/>
              </w:rPr>
            </w:pPr>
          </w:p>
        </w:tc>
        <w:tc>
          <w:tcPr>
            <w:tcW w:w="8814" w:type="dxa"/>
            <w:gridSpan w:val="10"/>
            <w:vAlign w:val="top"/>
          </w:tcPr>
          <w:p w14:paraId="4880DA36">
            <w:pPr>
              <w:pStyle w:val="13"/>
              <w:spacing w:before="260" w:line="360" w:lineRule="auto"/>
              <w:ind w:left="113"/>
            </w:pPr>
            <w:r>
              <w:rPr>
                <w:spacing w:val="-1"/>
              </w:rPr>
              <w:t>作为磋商供应商郑重声明</w:t>
            </w:r>
          </w:p>
        </w:tc>
      </w:tr>
      <w:tr w14:paraId="3F09E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trPr>
        <w:tc>
          <w:tcPr>
            <w:tcW w:w="830" w:type="dxa"/>
            <w:vMerge w:val="continue"/>
            <w:tcBorders>
              <w:top w:val="nil"/>
              <w:bottom w:val="nil"/>
            </w:tcBorders>
            <w:textDirection w:val="tbRlV"/>
            <w:vAlign w:val="top"/>
          </w:tcPr>
          <w:p w14:paraId="6F57858E">
            <w:pPr>
              <w:spacing w:line="360" w:lineRule="auto"/>
              <w:rPr>
                <w:rFonts w:ascii="Arial"/>
                <w:sz w:val="21"/>
              </w:rPr>
            </w:pPr>
          </w:p>
        </w:tc>
        <w:tc>
          <w:tcPr>
            <w:tcW w:w="431" w:type="dxa"/>
            <w:vAlign w:val="top"/>
          </w:tcPr>
          <w:p w14:paraId="3A9F73AD">
            <w:pPr>
              <w:spacing w:line="360" w:lineRule="auto"/>
              <w:rPr>
                <w:rFonts w:ascii="Arial"/>
                <w:sz w:val="21"/>
              </w:rPr>
            </w:pPr>
          </w:p>
          <w:p w14:paraId="32E951F2">
            <w:pPr>
              <w:pStyle w:val="13"/>
              <w:spacing w:before="78" w:line="360" w:lineRule="auto"/>
              <w:ind w:left="153"/>
            </w:pPr>
            <w:r>
              <w:t>A</w:t>
            </w:r>
          </w:p>
        </w:tc>
        <w:tc>
          <w:tcPr>
            <w:tcW w:w="8383" w:type="dxa"/>
            <w:gridSpan w:val="9"/>
            <w:vAlign w:val="top"/>
          </w:tcPr>
          <w:p w14:paraId="382C2E8E">
            <w:pPr>
              <w:pStyle w:val="13"/>
              <w:spacing w:before="169" w:line="360" w:lineRule="auto"/>
              <w:ind w:left="115" w:right="109"/>
            </w:pPr>
            <w:r>
              <w:t>依据竞争性磋商文件的内容要求，提供完全满足采购需求的</w:t>
            </w:r>
            <w:r>
              <w:rPr>
                <w:spacing w:val="-1"/>
              </w:rPr>
              <w:t>合格产品和全面技</w:t>
            </w:r>
            <w:r>
              <w:rPr>
                <w:spacing w:val="-2"/>
              </w:rPr>
              <w:t>术、售后服务保障。</w:t>
            </w:r>
          </w:p>
        </w:tc>
      </w:tr>
      <w:tr w14:paraId="04529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trPr>
        <w:tc>
          <w:tcPr>
            <w:tcW w:w="830" w:type="dxa"/>
            <w:vMerge w:val="continue"/>
            <w:tcBorders>
              <w:top w:val="nil"/>
              <w:bottom w:val="nil"/>
            </w:tcBorders>
            <w:textDirection w:val="tbRlV"/>
            <w:vAlign w:val="top"/>
          </w:tcPr>
          <w:p w14:paraId="53A61F17">
            <w:pPr>
              <w:spacing w:line="360" w:lineRule="auto"/>
              <w:rPr>
                <w:rFonts w:ascii="Arial"/>
                <w:sz w:val="21"/>
              </w:rPr>
            </w:pPr>
          </w:p>
        </w:tc>
        <w:tc>
          <w:tcPr>
            <w:tcW w:w="431" w:type="dxa"/>
            <w:vAlign w:val="top"/>
          </w:tcPr>
          <w:p w14:paraId="472410F1">
            <w:pPr>
              <w:spacing w:line="360" w:lineRule="auto"/>
              <w:rPr>
                <w:rFonts w:ascii="Arial"/>
                <w:sz w:val="21"/>
              </w:rPr>
            </w:pPr>
          </w:p>
          <w:p w14:paraId="1D3BF18C">
            <w:pPr>
              <w:pStyle w:val="13"/>
              <w:spacing w:before="78" w:line="360" w:lineRule="auto"/>
              <w:ind w:left="155"/>
            </w:pPr>
            <w:r>
              <w:t>B</w:t>
            </w:r>
          </w:p>
        </w:tc>
        <w:tc>
          <w:tcPr>
            <w:tcW w:w="8383" w:type="dxa"/>
            <w:gridSpan w:val="9"/>
            <w:vAlign w:val="top"/>
          </w:tcPr>
          <w:p w14:paraId="2A60880E">
            <w:pPr>
              <w:pStyle w:val="13"/>
              <w:spacing w:before="171" w:line="360" w:lineRule="auto"/>
              <w:ind w:left="113" w:right="109" w:firstLine="26"/>
            </w:pPr>
            <w:r>
              <w:rPr>
                <w:spacing w:val="3"/>
              </w:rPr>
              <w:t>已详细阅读和核实全部竞争性磋商文件内容,</w:t>
            </w:r>
            <w:r>
              <w:rPr>
                <w:spacing w:val="2"/>
              </w:rPr>
              <w:t>完全清楚和知道必须放弃提出含</w:t>
            </w:r>
            <w:r>
              <w:rPr>
                <w:spacing w:val="-1"/>
              </w:rPr>
              <w:t>糊不清或误解问题的所有权利。</w:t>
            </w:r>
          </w:p>
        </w:tc>
      </w:tr>
      <w:tr w14:paraId="11857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30" w:type="dxa"/>
            <w:vMerge w:val="continue"/>
            <w:tcBorders>
              <w:top w:val="nil"/>
              <w:bottom w:val="nil"/>
            </w:tcBorders>
            <w:textDirection w:val="tbRlV"/>
            <w:vAlign w:val="top"/>
          </w:tcPr>
          <w:p w14:paraId="006F8507">
            <w:pPr>
              <w:spacing w:line="360" w:lineRule="auto"/>
              <w:rPr>
                <w:rFonts w:ascii="Arial"/>
                <w:sz w:val="21"/>
              </w:rPr>
            </w:pPr>
          </w:p>
        </w:tc>
        <w:tc>
          <w:tcPr>
            <w:tcW w:w="431" w:type="dxa"/>
            <w:vAlign w:val="top"/>
          </w:tcPr>
          <w:p w14:paraId="6D0FFA52">
            <w:pPr>
              <w:pStyle w:val="13"/>
              <w:spacing w:before="239" w:line="360" w:lineRule="auto"/>
              <w:ind w:left="158"/>
            </w:pPr>
            <w:r>
              <w:t>C</w:t>
            </w:r>
          </w:p>
        </w:tc>
        <w:tc>
          <w:tcPr>
            <w:tcW w:w="8383" w:type="dxa"/>
            <w:gridSpan w:val="9"/>
            <w:vAlign w:val="top"/>
          </w:tcPr>
          <w:p w14:paraId="3D0ADDA9">
            <w:pPr>
              <w:pStyle w:val="13"/>
              <w:spacing w:before="201" w:line="360" w:lineRule="auto"/>
              <w:ind w:left="137"/>
            </w:pPr>
            <w:r>
              <w:rPr>
                <w:spacing w:val="-2"/>
              </w:rPr>
              <w:t>同意提供与本次磋商采购活动相关的其他任何证据和资料</w:t>
            </w:r>
          </w:p>
        </w:tc>
      </w:tr>
      <w:tr w14:paraId="64F36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830" w:type="dxa"/>
            <w:vMerge w:val="continue"/>
            <w:tcBorders>
              <w:top w:val="nil"/>
              <w:bottom w:val="nil"/>
            </w:tcBorders>
            <w:textDirection w:val="tbRlV"/>
            <w:vAlign w:val="top"/>
          </w:tcPr>
          <w:p w14:paraId="6D5570DB">
            <w:pPr>
              <w:spacing w:line="360" w:lineRule="auto"/>
              <w:rPr>
                <w:rFonts w:ascii="Arial"/>
                <w:sz w:val="21"/>
              </w:rPr>
            </w:pPr>
          </w:p>
        </w:tc>
        <w:tc>
          <w:tcPr>
            <w:tcW w:w="431" w:type="dxa"/>
            <w:vAlign w:val="top"/>
          </w:tcPr>
          <w:p w14:paraId="04A39E78">
            <w:pPr>
              <w:spacing w:line="360" w:lineRule="auto"/>
              <w:rPr>
                <w:rFonts w:ascii="Arial"/>
                <w:sz w:val="21"/>
              </w:rPr>
            </w:pPr>
          </w:p>
          <w:p w14:paraId="22434666">
            <w:pPr>
              <w:pStyle w:val="13"/>
              <w:spacing w:before="78" w:line="360" w:lineRule="auto"/>
              <w:ind w:left="155"/>
            </w:pPr>
            <w:r>
              <w:t>D</w:t>
            </w:r>
          </w:p>
        </w:tc>
        <w:tc>
          <w:tcPr>
            <w:tcW w:w="8383" w:type="dxa"/>
            <w:gridSpan w:val="9"/>
            <w:vAlign w:val="top"/>
          </w:tcPr>
          <w:p w14:paraId="4E0A51BA">
            <w:pPr>
              <w:pStyle w:val="13"/>
              <w:spacing w:before="152" w:line="360" w:lineRule="auto"/>
              <w:ind w:left="117" w:right="106" w:hanging="2"/>
            </w:pPr>
            <w:r>
              <w:t>完全理解最低磋商报价不作为中标（成交）的唯一条件，且尊重</w:t>
            </w:r>
            <w:r>
              <w:rPr>
                <w:spacing w:val="-1"/>
              </w:rPr>
              <w:t>磋商小组的磋</w:t>
            </w:r>
            <w:r>
              <w:rPr>
                <w:spacing w:val="-2"/>
              </w:rPr>
              <w:t>商结论及中标（成交）结果。</w:t>
            </w:r>
          </w:p>
        </w:tc>
      </w:tr>
      <w:tr w14:paraId="35EE5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trPr>
        <w:tc>
          <w:tcPr>
            <w:tcW w:w="830" w:type="dxa"/>
            <w:vMerge w:val="continue"/>
            <w:tcBorders>
              <w:top w:val="nil"/>
              <w:bottom w:val="nil"/>
            </w:tcBorders>
            <w:textDirection w:val="tbRlV"/>
            <w:vAlign w:val="top"/>
          </w:tcPr>
          <w:p w14:paraId="473304F1">
            <w:pPr>
              <w:spacing w:line="360" w:lineRule="auto"/>
              <w:rPr>
                <w:rFonts w:ascii="Arial"/>
                <w:sz w:val="21"/>
              </w:rPr>
            </w:pPr>
          </w:p>
        </w:tc>
        <w:tc>
          <w:tcPr>
            <w:tcW w:w="431" w:type="dxa"/>
            <w:vAlign w:val="top"/>
          </w:tcPr>
          <w:p w14:paraId="28937836">
            <w:pPr>
              <w:spacing w:line="360" w:lineRule="auto"/>
              <w:rPr>
                <w:rFonts w:ascii="Arial"/>
                <w:sz w:val="21"/>
              </w:rPr>
            </w:pPr>
          </w:p>
          <w:p w14:paraId="34F71E28">
            <w:pPr>
              <w:pStyle w:val="13"/>
              <w:spacing w:before="78" w:line="360" w:lineRule="auto"/>
              <w:ind w:left="157"/>
            </w:pPr>
            <w:r>
              <w:t>E</w:t>
            </w:r>
          </w:p>
        </w:tc>
        <w:tc>
          <w:tcPr>
            <w:tcW w:w="8383" w:type="dxa"/>
            <w:gridSpan w:val="9"/>
            <w:vAlign w:val="top"/>
          </w:tcPr>
          <w:p w14:paraId="6BF9B011">
            <w:pPr>
              <w:pStyle w:val="13"/>
              <w:spacing w:before="174" w:line="360" w:lineRule="auto"/>
              <w:ind w:left="112" w:right="109" w:firstLine="4"/>
            </w:pPr>
            <w:r>
              <w:t>如若成交，将根据竞争性磋商文件的要求、磋商竞争性</w:t>
            </w:r>
            <w:r>
              <w:rPr>
                <w:spacing w:val="-1"/>
              </w:rPr>
              <w:t>磋商响应文件及承诺条件，全面签约并履行约定书规定的责任和义务。</w:t>
            </w:r>
          </w:p>
        </w:tc>
      </w:tr>
      <w:tr w14:paraId="21A5F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830" w:type="dxa"/>
            <w:vMerge w:val="continue"/>
            <w:tcBorders>
              <w:top w:val="nil"/>
            </w:tcBorders>
            <w:textDirection w:val="tbRlV"/>
            <w:vAlign w:val="top"/>
          </w:tcPr>
          <w:p w14:paraId="36529D94">
            <w:pPr>
              <w:spacing w:line="360" w:lineRule="auto"/>
              <w:rPr>
                <w:rFonts w:ascii="Arial"/>
                <w:sz w:val="21"/>
              </w:rPr>
            </w:pPr>
          </w:p>
        </w:tc>
        <w:tc>
          <w:tcPr>
            <w:tcW w:w="431" w:type="dxa"/>
            <w:vAlign w:val="top"/>
          </w:tcPr>
          <w:p w14:paraId="2DF83BA3">
            <w:pPr>
              <w:pStyle w:val="13"/>
              <w:spacing w:before="215" w:line="360" w:lineRule="auto"/>
              <w:ind w:left="156"/>
            </w:pPr>
            <w:r>
              <w:t>F</w:t>
            </w:r>
          </w:p>
        </w:tc>
        <w:tc>
          <w:tcPr>
            <w:tcW w:w="8383" w:type="dxa"/>
            <w:gridSpan w:val="9"/>
            <w:vAlign w:val="top"/>
          </w:tcPr>
          <w:p w14:paraId="629EED41">
            <w:pPr>
              <w:pStyle w:val="13"/>
              <w:spacing w:before="176" w:line="360" w:lineRule="auto"/>
              <w:ind w:left="114"/>
            </w:pPr>
            <w:r>
              <w:rPr>
                <w:b/>
                <w:bCs/>
                <w:spacing w:val="-1"/>
              </w:rPr>
              <w:t>本磋商竞争性磋商响应文件自磋商大会之日计算有效期为90</w:t>
            </w:r>
            <w:r>
              <w:rPr>
                <w:spacing w:val="-29"/>
              </w:rPr>
              <w:t xml:space="preserve"> </w:t>
            </w:r>
            <w:r>
              <w:rPr>
                <w:b/>
                <w:bCs/>
                <w:spacing w:val="-1"/>
              </w:rPr>
              <w:t>天</w:t>
            </w:r>
            <w:r>
              <w:rPr>
                <w:spacing w:val="-1"/>
              </w:rPr>
              <w:t>。</w:t>
            </w:r>
          </w:p>
        </w:tc>
      </w:tr>
      <w:tr w14:paraId="32BC8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9644" w:type="dxa"/>
            <w:gridSpan w:val="11"/>
            <w:vAlign w:val="top"/>
          </w:tcPr>
          <w:p w14:paraId="64F73CC2">
            <w:pPr>
              <w:pStyle w:val="13"/>
              <w:spacing w:before="163" w:line="360" w:lineRule="auto"/>
              <w:ind w:left="117"/>
            </w:pPr>
            <w:r>
              <w:rPr>
                <w:spacing w:val="-1"/>
              </w:rPr>
              <w:t>有关本次磋商的所有联络函电，请按下列方式联系：</w:t>
            </w:r>
          </w:p>
        </w:tc>
      </w:tr>
      <w:tr w14:paraId="431FE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41" w:type="dxa"/>
            <w:gridSpan w:val="3"/>
            <w:vAlign w:val="top"/>
          </w:tcPr>
          <w:p w14:paraId="1A9D7CB0">
            <w:pPr>
              <w:pStyle w:val="13"/>
              <w:spacing w:before="164" w:line="360" w:lineRule="auto"/>
              <w:ind w:left="246"/>
            </w:pPr>
            <w:r>
              <w:rPr>
                <w:spacing w:val="-5"/>
              </w:rPr>
              <w:t>地</w:t>
            </w:r>
            <w:r>
              <w:rPr>
                <w:spacing w:val="2"/>
              </w:rPr>
              <w:t xml:space="preserve">    </w:t>
            </w:r>
            <w:r>
              <w:rPr>
                <w:spacing w:val="-5"/>
              </w:rPr>
              <w:t>址</w:t>
            </w:r>
          </w:p>
        </w:tc>
        <w:tc>
          <w:tcPr>
            <w:tcW w:w="4361" w:type="dxa"/>
            <w:gridSpan w:val="4"/>
            <w:vAlign w:val="top"/>
          </w:tcPr>
          <w:p w14:paraId="1014C8DA">
            <w:pPr>
              <w:spacing w:line="360" w:lineRule="auto"/>
              <w:rPr>
                <w:rFonts w:ascii="Arial"/>
                <w:sz w:val="21"/>
              </w:rPr>
            </w:pPr>
          </w:p>
        </w:tc>
        <w:tc>
          <w:tcPr>
            <w:tcW w:w="1383" w:type="dxa"/>
            <w:gridSpan w:val="3"/>
            <w:vAlign w:val="top"/>
          </w:tcPr>
          <w:p w14:paraId="39294D46">
            <w:pPr>
              <w:pStyle w:val="13"/>
              <w:spacing w:before="164" w:line="360" w:lineRule="auto"/>
              <w:ind w:left="236"/>
            </w:pPr>
            <w:r>
              <w:rPr>
                <w:spacing w:val="-7"/>
              </w:rPr>
              <w:t>邮政编码</w:t>
            </w:r>
          </w:p>
        </w:tc>
        <w:tc>
          <w:tcPr>
            <w:tcW w:w="2459" w:type="dxa"/>
            <w:vAlign w:val="top"/>
          </w:tcPr>
          <w:p w14:paraId="052CE2CB">
            <w:pPr>
              <w:spacing w:line="360" w:lineRule="auto"/>
              <w:rPr>
                <w:rFonts w:ascii="Arial"/>
                <w:sz w:val="21"/>
              </w:rPr>
            </w:pPr>
          </w:p>
        </w:tc>
      </w:tr>
      <w:tr w14:paraId="33404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41" w:type="dxa"/>
            <w:gridSpan w:val="3"/>
            <w:vAlign w:val="top"/>
          </w:tcPr>
          <w:p w14:paraId="700FCD80">
            <w:pPr>
              <w:pStyle w:val="13"/>
              <w:spacing w:before="164" w:line="360" w:lineRule="auto"/>
              <w:ind w:left="214"/>
            </w:pPr>
            <w:r>
              <w:rPr>
                <w:spacing w:val="-8"/>
              </w:rPr>
              <w:t>电话/传真</w:t>
            </w:r>
          </w:p>
        </w:tc>
        <w:tc>
          <w:tcPr>
            <w:tcW w:w="4361" w:type="dxa"/>
            <w:gridSpan w:val="4"/>
            <w:vAlign w:val="top"/>
          </w:tcPr>
          <w:p w14:paraId="5A415E9C">
            <w:pPr>
              <w:spacing w:line="360" w:lineRule="auto"/>
              <w:rPr>
                <w:rFonts w:ascii="Arial"/>
                <w:sz w:val="21"/>
              </w:rPr>
            </w:pPr>
          </w:p>
        </w:tc>
        <w:tc>
          <w:tcPr>
            <w:tcW w:w="1383" w:type="dxa"/>
            <w:gridSpan w:val="3"/>
            <w:vAlign w:val="top"/>
          </w:tcPr>
          <w:p w14:paraId="399787BD">
            <w:pPr>
              <w:pStyle w:val="13"/>
              <w:spacing w:before="165" w:line="360" w:lineRule="auto"/>
              <w:ind w:left="219"/>
            </w:pPr>
            <w:r>
              <w:rPr>
                <w:spacing w:val="-9"/>
              </w:rPr>
              <w:t>联</w:t>
            </w:r>
            <w:r>
              <w:rPr>
                <w:spacing w:val="15"/>
              </w:rPr>
              <w:t xml:space="preserve"> </w:t>
            </w:r>
            <w:r>
              <w:rPr>
                <w:spacing w:val="-9"/>
              </w:rPr>
              <w:t>系</w:t>
            </w:r>
            <w:r>
              <w:rPr>
                <w:spacing w:val="11"/>
              </w:rPr>
              <w:t xml:space="preserve"> </w:t>
            </w:r>
            <w:r>
              <w:rPr>
                <w:spacing w:val="-9"/>
              </w:rPr>
              <w:t>人</w:t>
            </w:r>
          </w:p>
        </w:tc>
        <w:tc>
          <w:tcPr>
            <w:tcW w:w="2459" w:type="dxa"/>
            <w:vAlign w:val="top"/>
          </w:tcPr>
          <w:p w14:paraId="68D1A7E8">
            <w:pPr>
              <w:spacing w:line="360" w:lineRule="auto"/>
              <w:rPr>
                <w:rFonts w:ascii="Arial"/>
                <w:sz w:val="21"/>
              </w:rPr>
            </w:pPr>
          </w:p>
        </w:tc>
      </w:tr>
      <w:tr w14:paraId="207BC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41" w:type="dxa"/>
            <w:gridSpan w:val="3"/>
            <w:vAlign w:val="top"/>
          </w:tcPr>
          <w:p w14:paraId="5C88DAB1">
            <w:pPr>
              <w:pStyle w:val="13"/>
              <w:spacing w:before="165" w:line="360" w:lineRule="auto"/>
              <w:ind w:left="265"/>
            </w:pPr>
            <w:r>
              <w:rPr>
                <w:spacing w:val="-15"/>
              </w:rPr>
              <w:t>网</w:t>
            </w:r>
            <w:r>
              <w:rPr>
                <w:spacing w:val="2"/>
              </w:rPr>
              <w:t xml:space="preserve">    </w:t>
            </w:r>
            <w:r>
              <w:rPr>
                <w:spacing w:val="-15"/>
              </w:rPr>
              <w:t>址</w:t>
            </w:r>
          </w:p>
        </w:tc>
        <w:tc>
          <w:tcPr>
            <w:tcW w:w="4361" w:type="dxa"/>
            <w:gridSpan w:val="4"/>
            <w:vAlign w:val="top"/>
          </w:tcPr>
          <w:p w14:paraId="3FCE3E09">
            <w:pPr>
              <w:spacing w:line="360" w:lineRule="auto"/>
              <w:rPr>
                <w:rFonts w:ascii="Arial"/>
                <w:sz w:val="21"/>
              </w:rPr>
            </w:pPr>
          </w:p>
        </w:tc>
        <w:tc>
          <w:tcPr>
            <w:tcW w:w="1383" w:type="dxa"/>
            <w:gridSpan w:val="3"/>
            <w:vAlign w:val="top"/>
          </w:tcPr>
          <w:p w14:paraId="57C83B23">
            <w:pPr>
              <w:pStyle w:val="13"/>
              <w:spacing w:before="164" w:line="360" w:lineRule="auto"/>
              <w:ind w:left="218"/>
            </w:pPr>
            <w:r>
              <w:rPr>
                <w:spacing w:val="-3"/>
              </w:rPr>
              <w:t>手机号码</w:t>
            </w:r>
          </w:p>
        </w:tc>
        <w:tc>
          <w:tcPr>
            <w:tcW w:w="2459" w:type="dxa"/>
            <w:vAlign w:val="top"/>
          </w:tcPr>
          <w:p w14:paraId="2B1DB741">
            <w:pPr>
              <w:spacing w:line="360" w:lineRule="auto"/>
              <w:rPr>
                <w:rFonts w:ascii="Arial"/>
                <w:sz w:val="21"/>
              </w:rPr>
            </w:pPr>
          </w:p>
        </w:tc>
      </w:tr>
      <w:tr w14:paraId="16B73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996" w:type="dxa"/>
            <w:gridSpan w:val="4"/>
            <w:vAlign w:val="top"/>
          </w:tcPr>
          <w:p w14:paraId="314703D2">
            <w:pPr>
              <w:pStyle w:val="13"/>
              <w:spacing w:before="162" w:line="360" w:lineRule="auto"/>
              <w:ind w:left="903"/>
            </w:pPr>
            <w:r>
              <w:rPr>
                <w:spacing w:val="-2"/>
              </w:rPr>
              <w:t>磋商供应商</w:t>
            </w:r>
          </w:p>
        </w:tc>
        <w:tc>
          <w:tcPr>
            <w:tcW w:w="2992" w:type="dxa"/>
            <w:gridSpan w:val="4"/>
            <w:vAlign w:val="top"/>
          </w:tcPr>
          <w:p w14:paraId="3434D650">
            <w:pPr>
              <w:pStyle w:val="13"/>
              <w:spacing w:before="163" w:line="360" w:lineRule="auto"/>
              <w:ind w:left="301"/>
            </w:pPr>
            <w:r>
              <w:rPr>
                <w:spacing w:val="-2"/>
              </w:rPr>
              <w:t>法定代表人或被授权人</w:t>
            </w:r>
          </w:p>
        </w:tc>
        <w:tc>
          <w:tcPr>
            <w:tcW w:w="3656" w:type="dxa"/>
            <w:gridSpan w:val="3"/>
            <w:vAlign w:val="top"/>
          </w:tcPr>
          <w:p w14:paraId="39C5DA64">
            <w:pPr>
              <w:pStyle w:val="13"/>
              <w:spacing w:before="162" w:line="360" w:lineRule="auto"/>
              <w:ind w:left="1352"/>
            </w:pPr>
            <w:r>
              <w:rPr>
                <w:spacing w:val="-3"/>
              </w:rPr>
              <w:t>签署日期</w:t>
            </w:r>
          </w:p>
        </w:tc>
      </w:tr>
      <w:tr w14:paraId="0A2A6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0" w:hRule="atLeast"/>
        </w:trPr>
        <w:tc>
          <w:tcPr>
            <w:tcW w:w="2996" w:type="dxa"/>
            <w:gridSpan w:val="4"/>
            <w:vAlign w:val="top"/>
          </w:tcPr>
          <w:p w14:paraId="53CF7797">
            <w:pPr>
              <w:spacing w:line="360" w:lineRule="auto"/>
              <w:rPr>
                <w:rFonts w:ascii="Arial"/>
                <w:sz w:val="21"/>
              </w:rPr>
            </w:pPr>
          </w:p>
          <w:p w14:paraId="2F3F9AFB">
            <w:pPr>
              <w:spacing w:line="360" w:lineRule="auto"/>
              <w:rPr>
                <w:rFonts w:ascii="Arial"/>
                <w:sz w:val="21"/>
              </w:rPr>
            </w:pPr>
          </w:p>
          <w:p w14:paraId="667D592D">
            <w:pPr>
              <w:pStyle w:val="13"/>
              <w:spacing w:before="78" w:line="360" w:lineRule="auto"/>
              <w:ind w:left="1035"/>
            </w:pPr>
            <w:r>
              <w:rPr>
                <w:spacing w:val="-6"/>
              </w:rPr>
              <w:t>（公章）</w:t>
            </w:r>
          </w:p>
        </w:tc>
        <w:tc>
          <w:tcPr>
            <w:tcW w:w="2992" w:type="dxa"/>
            <w:gridSpan w:val="4"/>
            <w:vAlign w:val="top"/>
          </w:tcPr>
          <w:p w14:paraId="38012D39">
            <w:pPr>
              <w:spacing w:line="360" w:lineRule="auto"/>
              <w:rPr>
                <w:rFonts w:ascii="Arial"/>
                <w:sz w:val="21"/>
              </w:rPr>
            </w:pPr>
          </w:p>
          <w:p w14:paraId="13FEC785">
            <w:pPr>
              <w:spacing w:line="360" w:lineRule="auto"/>
              <w:rPr>
                <w:rFonts w:ascii="Arial"/>
                <w:sz w:val="21"/>
              </w:rPr>
            </w:pPr>
          </w:p>
          <w:p w14:paraId="21EE8717">
            <w:pPr>
              <w:pStyle w:val="13"/>
              <w:spacing w:before="78" w:line="360" w:lineRule="auto"/>
              <w:ind w:left="672"/>
            </w:pPr>
            <w:r>
              <w:rPr>
                <w:spacing w:val="-3"/>
              </w:rPr>
              <w:t>（签字或盖章）</w:t>
            </w:r>
          </w:p>
        </w:tc>
        <w:tc>
          <w:tcPr>
            <w:tcW w:w="3656" w:type="dxa"/>
            <w:gridSpan w:val="3"/>
            <w:vAlign w:val="top"/>
          </w:tcPr>
          <w:p w14:paraId="4DF0A841">
            <w:pPr>
              <w:spacing w:line="360" w:lineRule="auto"/>
              <w:rPr>
                <w:rFonts w:ascii="Arial"/>
                <w:sz w:val="21"/>
              </w:rPr>
            </w:pPr>
          </w:p>
          <w:p w14:paraId="1B6BF1F5">
            <w:pPr>
              <w:spacing w:line="360" w:lineRule="auto"/>
              <w:rPr>
                <w:rFonts w:ascii="Arial"/>
                <w:sz w:val="21"/>
              </w:rPr>
            </w:pPr>
          </w:p>
          <w:p w14:paraId="24B81E9B">
            <w:pPr>
              <w:pStyle w:val="13"/>
              <w:spacing w:before="78" w:line="360" w:lineRule="auto"/>
              <w:ind w:left="1353"/>
            </w:pPr>
            <w:r>
              <w:rPr>
                <w:spacing w:val="-9"/>
              </w:rPr>
              <w:t>年</w:t>
            </w:r>
            <w:r>
              <w:rPr>
                <w:spacing w:val="5"/>
              </w:rPr>
              <w:t xml:space="preserve">   </w:t>
            </w:r>
            <w:r>
              <w:rPr>
                <w:spacing w:val="-9"/>
              </w:rPr>
              <w:t>月</w:t>
            </w:r>
            <w:r>
              <w:rPr>
                <w:spacing w:val="17"/>
              </w:rPr>
              <w:t xml:space="preserve">   </w:t>
            </w:r>
            <w:r>
              <w:rPr>
                <w:spacing w:val="-9"/>
              </w:rPr>
              <w:t>日</w:t>
            </w:r>
          </w:p>
        </w:tc>
      </w:tr>
    </w:tbl>
    <w:p w14:paraId="41BB3C8E">
      <w:pPr>
        <w:pStyle w:val="4"/>
        <w:spacing w:line="360" w:lineRule="auto"/>
      </w:pPr>
    </w:p>
    <w:p w14:paraId="195BF858">
      <w:pPr>
        <w:spacing w:line="360" w:lineRule="auto"/>
        <w:sectPr>
          <w:footerReference r:id="rId32" w:type="default"/>
          <w:pgSz w:w="11906" w:h="16839"/>
          <w:pgMar w:top="1166" w:right="1080" w:bottom="1166" w:left="1080" w:header="829" w:footer="952" w:gutter="0"/>
          <w:cols w:space="720" w:num="1"/>
        </w:sectPr>
      </w:pPr>
    </w:p>
    <w:p w14:paraId="3BEC1579">
      <w:pPr>
        <w:spacing w:before="71" w:line="360" w:lineRule="auto"/>
      </w:pPr>
    </w:p>
    <w:p w14:paraId="0E259B66">
      <w:pPr>
        <w:spacing w:line="360" w:lineRule="auto"/>
        <w:sectPr>
          <w:headerReference r:id="rId33" w:type="default"/>
          <w:footerReference r:id="rId34" w:type="default"/>
          <w:pgSz w:w="11906" w:h="16839"/>
          <w:pgMar w:top="1166" w:right="1080" w:bottom="1166" w:left="967" w:header="829" w:footer="952" w:gutter="0"/>
          <w:cols w:equalWidth="0" w:num="1">
            <w:col w:w="9859"/>
          </w:cols>
        </w:sectPr>
      </w:pPr>
    </w:p>
    <w:p w14:paraId="7678242F">
      <w:pPr>
        <w:spacing w:before="56" w:line="360" w:lineRule="auto"/>
        <w:ind w:left="3169"/>
        <w:rPr>
          <w:rFonts w:ascii="宋体" w:hAnsi="宋体" w:eastAsia="宋体" w:cs="宋体"/>
          <w:sz w:val="28"/>
          <w:szCs w:val="28"/>
        </w:rPr>
      </w:pPr>
      <w:r>
        <w:rPr>
          <w:rFonts w:ascii="宋体" w:hAnsi="宋体" w:eastAsia="宋体" w:cs="宋体"/>
          <w:b/>
          <w:bCs/>
          <w:spacing w:val="-5"/>
          <w:sz w:val="28"/>
          <w:szCs w:val="28"/>
        </w:rPr>
        <w:t>第二部分</w:t>
      </w:r>
    </w:p>
    <w:p w14:paraId="0112710B">
      <w:pPr>
        <w:spacing w:line="360" w:lineRule="auto"/>
        <w:rPr>
          <w:rFonts w:ascii="Arial"/>
          <w:sz w:val="2"/>
        </w:rPr>
      </w:pPr>
    </w:p>
    <w:p w14:paraId="5E4151A0">
      <w:pPr>
        <w:pStyle w:val="4"/>
        <w:spacing w:line="360" w:lineRule="auto"/>
        <w:rPr>
          <w:sz w:val="2"/>
        </w:rPr>
      </w:pPr>
      <w:r>
        <w:rPr>
          <w:sz w:val="2"/>
          <w:szCs w:val="2"/>
        </w:rPr>
        <w:br w:type="column"/>
      </w:r>
    </w:p>
    <w:p w14:paraId="7A927C13">
      <w:pPr>
        <w:spacing w:before="54" w:line="360" w:lineRule="auto"/>
        <w:rPr>
          <w:rFonts w:ascii="宋体" w:hAnsi="宋体" w:eastAsia="宋体" w:cs="宋体"/>
          <w:sz w:val="28"/>
          <w:szCs w:val="28"/>
        </w:rPr>
      </w:pPr>
      <w:r>
        <w:rPr>
          <w:rFonts w:ascii="宋体" w:hAnsi="宋体" w:eastAsia="宋体" w:cs="宋体"/>
          <w:b/>
          <w:bCs/>
          <w:spacing w:val="-4"/>
          <w:sz w:val="28"/>
          <w:szCs w:val="28"/>
        </w:rPr>
        <w:t>第一次磋商报价表</w:t>
      </w:r>
    </w:p>
    <w:p w14:paraId="0F1C21C1">
      <w:pPr>
        <w:spacing w:line="360" w:lineRule="auto"/>
        <w:rPr>
          <w:rFonts w:ascii="宋体" w:hAnsi="宋体" w:eastAsia="宋体" w:cs="宋体"/>
          <w:sz w:val="28"/>
          <w:szCs w:val="28"/>
        </w:rPr>
        <w:sectPr>
          <w:type w:val="continuous"/>
          <w:pgSz w:w="11906" w:h="16839"/>
          <w:pgMar w:top="1166" w:right="1080" w:bottom="1166" w:left="967" w:header="829" w:footer="952" w:gutter="0"/>
          <w:cols w:equalWidth="0" w:num="2">
            <w:col w:w="4476" w:space="100"/>
            <w:col w:w="5284"/>
          </w:cols>
        </w:sectPr>
      </w:pPr>
    </w:p>
    <w:p w14:paraId="65681BFB">
      <w:pPr>
        <w:pStyle w:val="4"/>
        <w:spacing w:line="360" w:lineRule="auto"/>
      </w:pPr>
    </w:p>
    <w:p w14:paraId="1E34C463">
      <w:pPr>
        <w:spacing w:before="78" w:line="360" w:lineRule="auto"/>
        <w:ind w:left="5524"/>
        <w:rPr>
          <w:rFonts w:ascii="宋体" w:hAnsi="宋体" w:eastAsia="宋体" w:cs="宋体"/>
          <w:sz w:val="24"/>
          <w:szCs w:val="24"/>
        </w:rPr>
      </w:pPr>
      <w:r>
        <w:rPr>
          <w:rFonts w:ascii="宋体" w:hAnsi="宋体" w:eastAsia="宋体" w:cs="宋体"/>
          <w:spacing w:val="-1"/>
          <w:sz w:val="24"/>
          <w:szCs w:val="24"/>
        </w:rPr>
        <w:t>单位:元（精确到小数点后两位）</w:t>
      </w:r>
    </w:p>
    <w:p w14:paraId="08BBDADA">
      <w:pPr>
        <w:spacing w:line="360" w:lineRule="auto"/>
        <w:rPr>
          <w:rFonts w:ascii="Arial"/>
          <w:sz w:val="2"/>
        </w:rPr>
      </w:pPr>
    </w:p>
    <w:tbl>
      <w:tblPr>
        <w:tblStyle w:val="12"/>
        <w:tblW w:w="96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60"/>
        <w:gridCol w:w="1274"/>
        <w:gridCol w:w="1010"/>
        <w:gridCol w:w="1499"/>
        <w:gridCol w:w="1009"/>
        <w:gridCol w:w="2149"/>
      </w:tblGrid>
      <w:tr w14:paraId="271AE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660" w:type="dxa"/>
            <w:vMerge w:val="restart"/>
            <w:tcBorders>
              <w:bottom w:val="nil"/>
              <w:tl2br w:val="single" w:color="000000" w:sz="4" w:space="0"/>
            </w:tcBorders>
            <w:vAlign w:val="top"/>
          </w:tcPr>
          <w:p w14:paraId="3E6137B6">
            <w:pPr>
              <w:pStyle w:val="13"/>
              <w:spacing w:before="151" w:line="360" w:lineRule="auto"/>
              <w:ind w:left="1116"/>
            </w:pPr>
            <w:r>
              <w:rPr>
                <w:b/>
                <w:bCs/>
                <w:spacing w:val="-4"/>
              </w:rPr>
              <w:t>报价内容</w:t>
            </w:r>
          </w:p>
          <w:p w14:paraId="634DDEC0">
            <w:pPr>
              <w:spacing w:line="360" w:lineRule="auto"/>
              <w:rPr>
                <w:rFonts w:ascii="Arial"/>
                <w:sz w:val="21"/>
              </w:rPr>
            </w:pPr>
          </w:p>
          <w:p w14:paraId="0E4FE01B">
            <w:pPr>
              <w:spacing w:line="360" w:lineRule="auto"/>
              <w:rPr>
                <w:rFonts w:ascii="Arial"/>
                <w:sz w:val="21"/>
              </w:rPr>
            </w:pPr>
          </w:p>
          <w:p w14:paraId="416D13F7">
            <w:pPr>
              <w:pStyle w:val="13"/>
              <w:spacing w:before="78" w:line="360" w:lineRule="auto"/>
              <w:ind w:left="121"/>
            </w:pPr>
            <w:r>
              <w:rPr>
                <w:b/>
                <w:bCs/>
                <w:spacing w:val="-6"/>
              </w:rPr>
              <w:t>项目名称</w:t>
            </w:r>
          </w:p>
        </w:tc>
        <w:tc>
          <w:tcPr>
            <w:tcW w:w="1274" w:type="dxa"/>
            <w:vAlign w:val="top"/>
          </w:tcPr>
          <w:p w14:paraId="5FBD322B">
            <w:pPr>
              <w:pStyle w:val="13"/>
              <w:spacing w:before="188" w:line="360" w:lineRule="auto"/>
              <w:ind w:left="437"/>
            </w:pPr>
            <w:r>
              <w:rPr>
                <w:b/>
                <w:bCs/>
                <w:spacing w:val="-3"/>
              </w:rPr>
              <w:t>A</w:t>
            </w:r>
          </w:p>
        </w:tc>
        <w:tc>
          <w:tcPr>
            <w:tcW w:w="1010" w:type="dxa"/>
            <w:vAlign w:val="top"/>
          </w:tcPr>
          <w:p w14:paraId="3DCE58C4">
            <w:pPr>
              <w:pStyle w:val="13"/>
              <w:spacing w:before="190" w:line="360" w:lineRule="auto"/>
              <w:ind w:left="308"/>
            </w:pPr>
            <w:r>
              <w:rPr>
                <w:b/>
                <w:bCs/>
                <w:spacing w:val="-3"/>
              </w:rPr>
              <w:t>B</w:t>
            </w:r>
          </w:p>
        </w:tc>
        <w:tc>
          <w:tcPr>
            <w:tcW w:w="1499" w:type="dxa"/>
            <w:vAlign w:val="top"/>
          </w:tcPr>
          <w:p w14:paraId="0F72BDB3">
            <w:pPr>
              <w:pStyle w:val="13"/>
              <w:spacing w:before="189" w:line="360" w:lineRule="auto"/>
              <w:ind w:left="556"/>
            </w:pPr>
            <w:r>
              <w:rPr>
                <w:b/>
                <w:bCs/>
                <w:spacing w:val="-3"/>
              </w:rPr>
              <w:t>C</w:t>
            </w:r>
          </w:p>
        </w:tc>
        <w:tc>
          <w:tcPr>
            <w:tcW w:w="1009" w:type="dxa"/>
            <w:vAlign w:val="top"/>
          </w:tcPr>
          <w:p w14:paraId="22DA357F">
            <w:pPr>
              <w:pStyle w:val="13"/>
              <w:spacing w:before="190" w:line="360" w:lineRule="auto"/>
              <w:ind w:left="310"/>
            </w:pPr>
            <w:r>
              <w:rPr>
                <w:b/>
                <w:bCs/>
                <w:spacing w:val="-3"/>
              </w:rPr>
              <w:t>D</w:t>
            </w:r>
          </w:p>
        </w:tc>
        <w:tc>
          <w:tcPr>
            <w:tcW w:w="2149" w:type="dxa"/>
            <w:vAlign w:val="top"/>
          </w:tcPr>
          <w:p w14:paraId="070731AD">
            <w:pPr>
              <w:pStyle w:val="13"/>
              <w:spacing w:before="190" w:line="360" w:lineRule="auto"/>
              <w:ind w:left="879"/>
            </w:pPr>
            <w:r>
              <w:rPr>
                <w:b/>
                <w:bCs/>
                <w:spacing w:val="-3"/>
              </w:rPr>
              <w:t>E</w:t>
            </w:r>
          </w:p>
        </w:tc>
      </w:tr>
      <w:tr w14:paraId="2B333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7" w:hRule="atLeast"/>
        </w:trPr>
        <w:tc>
          <w:tcPr>
            <w:tcW w:w="2660" w:type="dxa"/>
            <w:vMerge w:val="continue"/>
            <w:tcBorders>
              <w:top w:val="nil"/>
              <w:tl2br w:val="single" w:color="000000" w:sz="4" w:space="0"/>
            </w:tcBorders>
            <w:vAlign w:val="top"/>
          </w:tcPr>
          <w:p w14:paraId="799F7EE0">
            <w:pPr>
              <w:spacing w:line="360" w:lineRule="auto"/>
              <w:rPr>
                <w:rFonts w:ascii="Arial"/>
                <w:sz w:val="21"/>
              </w:rPr>
            </w:pPr>
          </w:p>
        </w:tc>
        <w:tc>
          <w:tcPr>
            <w:tcW w:w="1274" w:type="dxa"/>
            <w:vAlign w:val="top"/>
          </w:tcPr>
          <w:p w14:paraId="63DEE6F7">
            <w:pPr>
              <w:spacing w:line="360" w:lineRule="auto"/>
              <w:rPr>
                <w:rFonts w:ascii="Arial"/>
                <w:sz w:val="21"/>
              </w:rPr>
            </w:pPr>
          </w:p>
          <w:p w14:paraId="30E8B1D7">
            <w:pPr>
              <w:pStyle w:val="13"/>
              <w:spacing w:before="78" w:line="360" w:lineRule="auto"/>
              <w:ind w:left="281"/>
            </w:pPr>
            <w:r>
              <w:rPr>
                <w:b/>
                <w:bCs/>
                <w:spacing w:val="-5"/>
              </w:rPr>
              <w:t>服务费</w:t>
            </w:r>
          </w:p>
        </w:tc>
        <w:tc>
          <w:tcPr>
            <w:tcW w:w="1010" w:type="dxa"/>
            <w:vAlign w:val="top"/>
          </w:tcPr>
          <w:p w14:paraId="49022DB9">
            <w:pPr>
              <w:spacing w:line="360" w:lineRule="auto"/>
              <w:rPr>
                <w:rFonts w:ascii="Arial"/>
                <w:sz w:val="21"/>
              </w:rPr>
            </w:pPr>
          </w:p>
          <w:p w14:paraId="37A681D9">
            <w:pPr>
              <w:pStyle w:val="13"/>
              <w:spacing w:before="78" w:line="360" w:lineRule="auto"/>
              <w:ind w:left="269"/>
            </w:pPr>
            <w:r>
              <w:rPr>
                <w:b/>
                <w:bCs/>
                <w:spacing w:val="-7"/>
              </w:rPr>
              <w:t>税费</w:t>
            </w:r>
          </w:p>
        </w:tc>
        <w:tc>
          <w:tcPr>
            <w:tcW w:w="1499" w:type="dxa"/>
            <w:vAlign w:val="top"/>
          </w:tcPr>
          <w:p w14:paraId="03D90EE8">
            <w:pPr>
              <w:spacing w:line="360" w:lineRule="auto"/>
              <w:rPr>
                <w:rFonts w:ascii="Arial"/>
                <w:sz w:val="21"/>
              </w:rPr>
            </w:pPr>
          </w:p>
          <w:p w14:paraId="3709468B">
            <w:pPr>
              <w:pStyle w:val="13"/>
              <w:spacing w:before="78" w:line="360" w:lineRule="auto"/>
              <w:ind w:left="276"/>
            </w:pPr>
            <w:r>
              <w:rPr>
                <w:b/>
                <w:bCs/>
                <w:spacing w:val="-5"/>
              </w:rPr>
              <w:t>其他费用</w:t>
            </w:r>
          </w:p>
        </w:tc>
        <w:tc>
          <w:tcPr>
            <w:tcW w:w="1009" w:type="dxa"/>
            <w:vAlign w:val="top"/>
          </w:tcPr>
          <w:p w14:paraId="6771076B">
            <w:pPr>
              <w:spacing w:line="360" w:lineRule="auto"/>
              <w:rPr>
                <w:rFonts w:ascii="Arial"/>
                <w:sz w:val="21"/>
              </w:rPr>
            </w:pPr>
          </w:p>
          <w:p w14:paraId="7933FC3B">
            <w:pPr>
              <w:pStyle w:val="13"/>
              <w:spacing w:before="78" w:line="360" w:lineRule="auto"/>
              <w:ind w:left="272"/>
            </w:pPr>
            <w:r>
              <w:rPr>
                <w:b/>
                <w:bCs/>
                <w:spacing w:val="-8"/>
              </w:rPr>
              <w:t>合计</w:t>
            </w:r>
          </w:p>
        </w:tc>
        <w:tc>
          <w:tcPr>
            <w:tcW w:w="2149" w:type="dxa"/>
            <w:vAlign w:val="top"/>
          </w:tcPr>
          <w:p w14:paraId="3AD44400">
            <w:pPr>
              <w:spacing w:line="360" w:lineRule="auto"/>
              <w:rPr>
                <w:rFonts w:ascii="Arial"/>
                <w:sz w:val="21"/>
              </w:rPr>
            </w:pPr>
          </w:p>
          <w:p w14:paraId="579D1B16">
            <w:pPr>
              <w:pStyle w:val="13"/>
              <w:spacing w:before="78" w:line="360" w:lineRule="auto"/>
              <w:ind w:left="719"/>
            </w:pPr>
            <w:r>
              <w:rPr>
                <w:b/>
                <w:bCs/>
                <w:spacing w:val="-5"/>
              </w:rPr>
              <w:t>服务期</w:t>
            </w:r>
          </w:p>
        </w:tc>
      </w:tr>
      <w:tr w14:paraId="25EA9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5" w:hRule="atLeast"/>
        </w:trPr>
        <w:tc>
          <w:tcPr>
            <w:tcW w:w="2660" w:type="dxa"/>
            <w:vAlign w:val="top"/>
          </w:tcPr>
          <w:p w14:paraId="5C56D815">
            <w:pPr>
              <w:pStyle w:val="13"/>
              <w:spacing w:before="78" w:line="360" w:lineRule="auto"/>
              <w:ind w:left="237" w:right="149" w:hanging="118"/>
              <w:rPr>
                <w:rFonts w:hint="default" w:eastAsia="宋体"/>
                <w:lang w:val="en-US" w:eastAsia="zh-CN"/>
              </w:rPr>
            </w:pPr>
            <w:r>
              <w:rPr>
                <w:rFonts w:hint="eastAsia"/>
                <w:spacing w:val="-5"/>
                <w:lang w:eastAsia="zh-CN"/>
              </w:rPr>
              <w:t>杨凌农业科技成果转化综合信息服务平台项目软件测试服务及等保测评服务</w:t>
            </w:r>
            <w:r>
              <w:rPr>
                <w:rFonts w:hint="eastAsia"/>
                <w:spacing w:val="-5"/>
                <w:lang w:val="en-US" w:eastAsia="zh-CN"/>
              </w:rPr>
              <w:t xml:space="preserve"> </w:t>
            </w:r>
            <w:r>
              <w:rPr>
                <w:rFonts w:asciiTheme="minorEastAsia" w:hAnsiTheme="minorEastAsia" w:eastAsiaTheme="minorEastAsia" w:cstheme="minorEastAsia"/>
                <w:sz w:val="24"/>
                <w:szCs w:val="24"/>
              </w:rPr>
              <w:t>合同包1(</w:t>
            </w:r>
            <w:r>
              <w:rPr>
                <w:rFonts w:hint="eastAsia" w:asciiTheme="minorEastAsia" w:hAnsiTheme="minorEastAsia" w:cstheme="minorEastAsia"/>
                <w:sz w:val="24"/>
                <w:szCs w:val="24"/>
                <w:lang w:eastAsia="zh-CN"/>
              </w:rPr>
              <w:t>软件测试服务</w:t>
            </w:r>
            <w:r>
              <w:rPr>
                <w:rFonts w:asciiTheme="minorEastAsia" w:hAnsiTheme="minorEastAsia" w:eastAsiaTheme="minorEastAsia" w:cstheme="minorEastAsia"/>
                <w:sz w:val="24"/>
                <w:szCs w:val="24"/>
              </w:rPr>
              <w:t>)</w:t>
            </w:r>
          </w:p>
        </w:tc>
        <w:tc>
          <w:tcPr>
            <w:tcW w:w="1274" w:type="dxa"/>
            <w:vAlign w:val="top"/>
          </w:tcPr>
          <w:p w14:paraId="240AF7DE">
            <w:pPr>
              <w:spacing w:line="360" w:lineRule="auto"/>
              <w:rPr>
                <w:rFonts w:ascii="Arial"/>
                <w:sz w:val="21"/>
              </w:rPr>
            </w:pPr>
          </w:p>
        </w:tc>
        <w:tc>
          <w:tcPr>
            <w:tcW w:w="1010" w:type="dxa"/>
            <w:vAlign w:val="top"/>
          </w:tcPr>
          <w:p w14:paraId="5905BAF4">
            <w:pPr>
              <w:spacing w:line="360" w:lineRule="auto"/>
              <w:rPr>
                <w:rFonts w:ascii="Arial"/>
                <w:sz w:val="21"/>
              </w:rPr>
            </w:pPr>
          </w:p>
        </w:tc>
        <w:tc>
          <w:tcPr>
            <w:tcW w:w="1499" w:type="dxa"/>
            <w:vAlign w:val="top"/>
          </w:tcPr>
          <w:p w14:paraId="6BFDD645">
            <w:pPr>
              <w:spacing w:line="360" w:lineRule="auto"/>
              <w:rPr>
                <w:rFonts w:ascii="Arial"/>
                <w:sz w:val="21"/>
              </w:rPr>
            </w:pPr>
          </w:p>
        </w:tc>
        <w:tc>
          <w:tcPr>
            <w:tcW w:w="1009" w:type="dxa"/>
            <w:vAlign w:val="top"/>
          </w:tcPr>
          <w:p w14:paraId="2325F40B">
            <w:pPr>
              <w:spacing w:line="360" w:lineRule="auto"/>
              <w:rPr>
                <w:rFonts w:ascii="Arial"/>
                <w:sz w:val="21"/>
              </w:rPr>
            </w:pPr>
          </w:p>
        </w:tc>
        <w:tc>
          <w:tcPr>
            <w:tcW w:w="2149" w:type="dxa"/>
            <w:vAlign w:val="top"/>
          </w:tcPr>
          <w:p w14:paraId="68E47A5A">
            <w:pPr>
              <w:spacing w:line="360" w:lineRule="auto"/>
              <w:rPr>
                <w:rFonts w:ascii="Arial"/>
                <w:sz w:val="21"/>
              </w:rPr>
            </w:pPr>
          </w:p>
        </w:tc>
      </w:tr>
      <w:tr w14:paraId="78FAD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2660" w:type="dxa"/>
            <w:vAlign w:val="top"/>
          </w:tcPr>
          <w:p w14:paraId="4BB8ECF5">
            <w:pPr>
              <w:pStyle w:val="13"/>
              <w:spacing w:before="150" w:line="360" w:lineRule="auto"/>
              <w:ind w:left="478"/>
            </w:pPr>
            <w:r>
              <w:rPr>
                <w:spacing w:val="-2"/>
              </w:rPr>
              <w:t>合计（大写）</w:t>
            </w:r>
          </w:p>
        </w:tc>
        <w:tc>
          <w:tcPr>
            <w:tcW w:w="6941" w:type="dxa"/>
            <w:gridSpan w:val="5"/>
            <w:vAlign w:val="top"/>
          </w:tcPr>
          <w:p w14:paraId="22BDA8A9">
            <w:pPr>
              <w:spacing w:line="360" w:lineRule="auto"/>
              <w:rPr>
                <w:rFonts w:ascii="Arial"/>
                <w:sz w:val="21"/>
              </w:rPr>
            </w:pPr>
          </w:p>
        </w:tc>
      </w:tr>
    </w:tbl>
    <w:p w14:paraId="2CD75872">
      <w:pPr>
        <w:spacing w:before="145" w:line="360" w:lineRule="auto"/>
        <w:ind w:left="122"/>
        <w:rPr>
          <w:rFonts w:ascii="宋体" w:hAnsi="宋体" w:eastAsia="宋体" w:cs="宋体"/>
          <w:sz w:val="24"/>
          <w:szCs w:val="24"/>
        </w:rPr>
      </w:pPr>
      <w:r>
        <w:rPr>
          <w:rFonts w:ascii="宋体" w:hAnsi="宋体" w:eastAsia="宋体" w:cs="宋体"/>
          <w:sz w:val="24"/>
          <w:szCs w:val="24"/>
        </w:rPr>
        <w:t>注：1、A、B、C、D 栏须填写阿拉伯数字</w:t>
      </w:r>
      <w:r>
        <w:rPr>
          <w:rFonts w:ascii="宋体" w:hAnsi="宋体" w:eastAsia="宋体" w:cs="宋体"/>
          <w:spacing w:val="-1"/>
          <w:sz w:val="24"/>
          <w:szCs w:val="24"/>
        </w:rPr>
        <w:t>，E 栏须填写服务期；</w:t>
      </w:r>
    </w:p>
    <w:p w14:paraId="62F6CC25">
      <w:pPr>
        <w:spacing w:before="157" w:line="360" w:lineRule="auto"/>
        <w:ind w:left="605"/>
        <w:rPr>
          <w:rFonts w:ascii="宋体" w:hAnsi="宋体" w:eastAsia="宋体" w:cs="宋体"/>
          <w:sz w:val="24"/>
          <w:szCs w:val="24"/>
        </w:rPr>
      </w:pPr>
      <w:r>
        <w:rPr>
          <w:rFonts w:ascii="宋体" w:hAnsi="宋体" w:eastAsia="宋体" w:cs="宋体"/>
          <w:spacing w:val="-3"/>
          <w:sz w:val="24"/>
          <w:szCs w:val="24"/>
        </w:rPr>
        <w:t>2、“合计（大写）</w:t>
      </w:r>
      <w:r>
        <w:rPr>
          <w:rFonts w:ascii="宋体" w:hAnsi="宋体" w:eastAsia="宋体" w:cs="宋体"/>
          <w:spacing w:val="-71"/>
          <w:sz w:val="24"/>
          <w:szCs w:val="24"/>
        </w:rPr>
        <w:t xml:space="preserve"> </w:t>
      </w:r>
      <w:r>
        <w:rPr>
          <w:rFonts w:ascii="宋体" w:hAnsi="宋体" w:eastAsia="宋体" w:cs="宋体"/>
          <w:spacing w:val="-3"/>
          <w:sz w:val="24"/>
          <w:szCs w:val="24"/>
        </w:rPr>
        <w:t>”栏须填写大写报价金额。</w:t>
      </w:r>
    </w:p>
    <w:p w14:paraId="2B653F69">
      <w:pPr>
        <w:pStyle w:val="4"/>
        <w:spacing w:line="360" w:lineRule="auto"/>
      </w:pPr>
    </w:p>
    <w:p w14:paraId="3A0023E3">
      <w:pPr>
        <w:pStyle w:val="4"/>
        <w:spacing w:line="360" w:lineRule="auto"/>
      </w:pPr>
    </w:p>
    <w:p w14:paraId="24330F4B">
      <w:pPr>
        <w:pStyle w:val="4"/>
        <w:spacing w:line="360" w:lineRule="auto"/>
      </w:pPr>
    </w:p>
    <w:p w14:paraId="4E19FF29">
      <w:pPr>
        <w:pStyle w:val="4"/>
        <w:spacing w:line="360" w:lineRule="auto"/>
      </w:pPr>
    </w:p>
    <w:p w14:paraId="40C038AF">
      <w:pPr>
        <w:pStyle w:val="4"/>
        <w:spacing w:line="360" w:lineRule="auto"/>
      </w:pPr>
    </w:p>
    <w:p w14:paraId="3623F493">
      <w:pPr>
        <w:spacing w:before="78" w:line="360" w:lineRule="auto"/>
        <w:ind w:left="602"/>
        <w:rPr>
          <w:rFonts w:ascii="宋体" w:hAnsi="宋体" w:eastAsia="宋体" w:cs="宋体"/>
          <w:sz w:val="24"/>
          <w:szCs w:val="24"/>
        </w:rPr>
      </w:pPr>
      <w:r>
        <w:rPr>
          <w:rFonts w:ascii="宋体" w:hAnsi="宋体" w:eastAsia="宋体" w:cs="宋体"/>
          <w:spacing w:val="3"/>
          <w:sz w:val="24"/>
          <w:szCs w:val="24"/>
        </w:rPr>
        <w:t>供应商名称</w:t>
      </w:r>
      <w:r>
        <w:rPr>
          <w:rFonts w:ascii="宋体" w:hAnsi="宋体" w:eastAsia="宋体" w:cs="宋体"/>
          <w:spacing w:val="-18"/>
          <w:sz w:val="24"/>
          <w:szCs w:val="24"/>
        </w:rPr>
        <w:t>：（</w:t>
      </w:r>
      <w:r>
        <w:rPr>
          <w:rFonts w:ascii="宋体" w:hAnsi="宋体" w:eastAsia="宋体" w:cs="宋体"/>
          <w:spacing w:val="3"/>
          <w:sz w:val="24"/>
          <w:szCs w:val="24"/>
        </w:rPr>
        <w:t>盖章）</w:t>
      </w:r>
    </w:p>
    <w:p w14:paraId="16764E92">
      <w:pPr>
        <w:pStyle w:val="4"/>
        <w:spacing w:line="360" w:lineRule="auto"/>
      </w:pPr>
    </w:p>
    <w:p w14:paraId="4A3AEC08">
      <w:pPr>
        <w:spacing w:before="78" w:line="360" w:lineRule="auto"/>
        <w:ind w:left="603"/>
        <w:rPr>
          <w:rFonts w:ascii="宋体" w:hAnsi="宋体" w:eastAsia="宋体" w:cs="宋体"/>
          <w:sz w:val="24"/>
          <w:szCs w:val="24"/>
        </w:rPr>
      </w:pPr>
      <w:r>
        <w:rPr>
          <w:rFonts w:ascii="宋体" w:hAnsi="宋体" w:eastAsia="宋体" w:cs="宋体"/>
          <w:spacing w:val="-4"/>
          <w:sz w:val="24"/>
          <w:szCs w:val="24"/>
        </w:rPr>
        <w:t>法定代表人或其授权代表（签名或盖章</w:t>
      </w:r>
      <w:r>
        <w:rPr>
          <w:rFonts w:ascii="宋体" w:hAnsi="宋体" w:eastAsia="宋体" w:cs="宋体"/>
          <w:spacing w:val="9"/>
          <w:sz w:val="24"/>
          <w:szCs w:val="24"/>
        </w:rPr>
        <w:t>）：</w:t>
      </w:r>
      <w:r>
        <w:rPr>
          <w:rFonts w:ascii="宋体" w:hAnsi="宋体" w:eastAsia="宋体" w:cs="宋体"/>
          <w:spacing w:val="5"/>
          <w:sz w:val="24"/>
          <w:szCs w:val="24"/>
        </w:rPr>
        <w:t xml:space="preserve">         </w:t>
      </w:r>
      <w:r>
        <w:rPr>
          <w:rFonts w:ascii="宋体" w:hAnsi="宋体" w:eastAsia="宋体" w:cs="宋体"/>
          <w:spacing w:val="-4"/>
          <w:sz w:val="24"/>
          <w:szCs w:val="24"/>
        </w:rPr>
        <w:t>日期：</w:t>
      </w:r>
    </w:p>
    <w:p w14:paraId="16CC72AE">
      <w:pPr>
        <w:spacing w:line="360" w:lineRule="auto"/>
        <w:rPr>
          <w:rFonts w:ascii="宋体" w:hAnsi="宋体" w:eastAsia="宋体" w:cs="宋体"/>
          <w:sz w:val="24"/>
          <w:szCs w:val="24"/>
        </w:rPr>
        <w:sectPr>
          <w:type w:val="continuous"/>
          <w:pgSz w:w="11906" w:h="16839"/>
          <w:pgMar w:top="1166" w:right="1080" w:bottom="1166" w:left="967" w:header="829" w:footer="952" w:gutter="0"/>
          <w:cols w:equalWidth="0" w:num="1">
            <w:col w:w="9859"/>
          </w:cols>
        </w:sectPr>
      </w:pPr>
    </w:p>
    <w:p w14:paraId="1377F309">
      <w:pPr>
        <w:pStyle w:val="4"/>
        <w:spacing w:line="360" w:lineRule="auto"/>
      </w:pPr>
    </w:p>
    <w:p w14:paraId="2BB376D1">
      <w:pPr>
        <w:spacing w:before="91" w:line="360" w:lineRule="auto"/>
        <w:ind w:left="3478"/>
        <w:rPr>
          <w:rFonts w:ascii="宋体" w:hAnsi="宋体" w:eastAsia="宋体" w:cs="宋体"/>
          <w:sz w:val="28"/>
          <w:szCs w:val="28"/>
        </w:rPr>
      </w:pPr>
      <w:r>
        <w:rPr>
          <w:rFonts w:ascii="宋体" w:hAnsi="宋体" w:eastAsia="宋体" w:cs="宋体"/>
          <w:b/>
          <w:bCs/>
          <w:spacing w:val="-3"/>
          <w:sz w:val="28"/>
          <w:szCs w:val="28"/>
        </w:rPr>
        <w:t>第三部分</w:t>
      </w:r>
      <w:r>
        <w:rPr>
          <w:rFonts w:ascii="宋体" w:hAnsi="宋体" w:eastAsia="宋体" w:cs="宋体"/>
          <w:spacing w:val="-3"/>
          <w:sz w:val="28"/>
          <w:szCs w:val="28"/>
        </w:rPr>
        <w:t xml:space="preserve">  </w:t>
      </w:r>
      <w:r>
        <w:rPr>
          <w:rFonts w:ascii="宋体" w:hAnsi="宋体" w:eastAsia="宋体" w:cs="宋体"/>
          <w:b/>
          <w:bCs/>
          <w:spacing w:val="-3"/>
          <w:sz w:val="28"/>
          <w:szCs w:val="28"/>
        </w:rPr>
        <w:t>分项报价表</w:t>
      </w:r>
    </w:p>
    <w:tbl>
      <w:tblPr>
        <w:tblStyle w:val="12"/>
        <w:tblW w:w="9193" w:type="dxa"/>
        <w:tblInd w:w="27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1360"/>
        <w:gridCol w:w="1700"/>
        <w:gridCol w:w="1134"/>
        <w:gridCol w:w="1700"/>
        <w:gridCol w:w="1722"/>
        <w:gridCol w:w="779"/>
      </w:tblGrid>
      <w:tr w14:paraId="4E105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798" w:type="dxa"/>
            <w:vAlign w:val="top"/>
          </w:tcPr>
          <w:p w14:paraId="78BCFDD7">
            <w:pPr>
              <w:pStyle w:val="13"/>
              <w:spacing w:before="246" w:line="360" w:lineRule="auto"/>
              <w:ind w:left="338"/>
            </w:pPr>
            <w:r>
              <w:rPr>
                <w:b/>
                <w:bCs/>
                <w:spacing w:val="-3"/>
              </w:rPr>
              <w:t>A</w:t>
            </w:r>
          </w:p>
        </w:tc>
        <w:tc>
          <w:tcPr>
            <w:tcW w:w="1360" w:type="dxa"/>
            <w:vAlign w:val="top"/>
          </w:tcPr>
          <w:p w14:paraId="436A4391">
            <w:pPr>
              <w:pStyle w:val="13"/>
              <w:spacing w:before="261" w:line="360" w:lineRule="auto"/>
              <w:ind w:left="619"/>
            </w:pPr>
            <w:r>
              <w:rPr>
                <w:b/>
                <w:bCs/>
                <w:spacing w:val="-3"/>
              </w:rPr>
              <w:t>B</w:t>
            </w:r>
          </w:p>
        </w:tc>
        <w:tc>
          <w:tcPr>
            <w:tcW w:w="1700" w:type="dxa"/>
            <w:vAlign w:val="top"/>
          </w:tcPr>
          <w:p w14:paraId="1C223405">
            <w:pPr>
              <w:pStyle w:val="13"/>
              <w:spacing w:before="247" w:line="360" w:lineRule="auto"/>
              <w:ind w:left="756"/>
            </w:pPr>
            <w:r>
              <w:rPr>
                <w:b/>
                <w:bCs/>
                <w:spacing w:val="-3"/>
              </w:rPr>
              <w:t>C</w:t>
            </w:r>
          </w:p>
        </w:tc>
        <w:tc>
          <w:tcPr>
            <w:tcW w:w="1134" w:type="dxa"/>
            <w:vAlign w:val="top"/>
          </w:tcPr>
          <w:p w14:paraId="60AD0D7B">
            <w:pPr>
              <w:pStyle w:val="13"/>
              <w:spacing w:before="237" w:line="360" w:lineRule="auto"/>
              <w:ind w:left="507"/>
            </w:pPr>
            <w:r>
              <w:rPr>
                <w:b/>
                <w:bCs/>
                <w:spacing w:val="-3"/>
              </w:rPr>
              <w:t>D</w:t>
            </w:r>
          </w:p>
        </w:tc>
        <w:tc>
          <w:tcPr>
            <w:tcW w:w="1700" w:type="dxa"/>
            <w:vAlign w:val="top"/>
          </w:tcPr>
          <w:p w14:paraId="77BB0D41">
            <w:pPr>
              <w:pStyle w:val="13"/>
              <w:spacing w:before="237" w:line="360" w:lineRule="auto"/>
              <w:ind w:left="793"/>
            </w:pPr>
            <w:r>
              <w:rPr>
                <w:b/>
                <w:bCs/>
                <w:spacing w:val="-3"/>
              </w:rPr>
              <w:t>E</w:t>
            </w:r>
          </w:p>
        </w:tc>
        <w:tc>
          <w:tcPr>
            <w:tcW w:w="1722" w:type="dxa"/>
            <w:vAlign w:val="top"/>
          </w:tcPr>
          <w:p w14:paraId="6E2B9B73">
            <w:pPr>
              <w:pStyle w:val="13"/>
              <w:spacing w:before="237" w:line="360" w:lineRule="auto"/>
              <w:ind w:left="804"/>
            </w:pPr>
            <w:r>
              <w:rPr>
                <w:b/>
                <w:bCs/>
                <w:spacing w:val="-3"/>
              </w:rPr>
              <w:t>F</w:t>
            </w:r>
          </w:p>
        </w:tc>
        <w:tc>
          <w:tcPr>
            <w:tcW w:w="779" w:type="dxa"/>
            <w:vAlign w:val="top"/>
          </w:tcPr>
          <w:p w14:paraId="2CA28D40">
            <w:pPr>
              <w:pStyle w:val="13"/>
              <w:spacing w:before="235" w:line="360" w:lineRule="auto"/>
              <w:ind w:left="333"/>
            </w:pPr>
            <w:r>
              <w:rPr>
                <w:b/>
                <w:bCs/>
                <w:spacing w:val="-3"/>
              </w:rPr>
              <w:t>G</w:t>
            </w:r>
          </w:p>
        </w:tc>
      </w:tr>
      <w:tr w14:paraId="561AA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798" w:type="dxa"/>
            <w:vAlign w:val="top"/>
          </w:tcPr>
          <w:p w14:paraId="60FB7916">
            <w:pPr>
              <w:pStyle w:val="13"/>
              <w:spacing w:before="172" w:line="360" w:lineRule="auto"/>
              <w:ind w:left="164"/>
            </w:pPr>
            <w:r>
              <w:rPr>
                <w:b/>
                <w:bCs/>
                <w:spacing w:val="-7"/>
              </w:rPr>
              <w:t>序号</w:t>
            </w:r>
          </w:p>
        </w:tc>
        <w:tc>
          <w:tcPr>
            <w:tcW w:w="1360" w:type="dxa"/>
            <w:vAlign w:val="top"/>
          </w:tcPr>
          <w:p w14:paraId="2BBF06D5">
            <w:pPr>
              <w:pStyle w:val="13"/>
              <w:spacing w:before="173" w:line="360" w:lineRule="auto"/>
              <w:ind w:left="202"/>
            </w:pPr>
            <w:r>
              <w:rPr>
                <w:b/>
                <w:bCs/>
                <w:spacing w:val="-5"/>
              </w:rPr>
              <w:t>服务项目</w:t>
            </w:r>
          </w:p>
        </w:tc>
        <w:tc>
          <w:tcPr>
            <w:tcW w:w="1700" w:type="dxa"/>
            <w:vAlign w:val="top"/>
          </w:tcPr>
          <w:p w14:paraId="7DAA9E88">
            <w:pPr>
              <w:pStyle w:val="13"/>
              <w:spacing w:before="172" w:line="360" w:lineRule="auto"/>
              <w:ind w:left="577"/>
            </w:pPr>
            <w:r>
              <w:rPr>
                <w:b/>
                <w:bCs/>
                <w:spacing w:val="-9"/>
              </w:rPr>
              <w:t>单价</w:t>
            </w:r>
          </w:p>
        </w:tc>
        <w:tc>
          <w:tcPr>
            <w:tcW w:w="1134" w:type="dxa"/>
            <w:vAlign w:val="top"/>
          </w:tcPr>
          <w:p w14:paraId="7073F783">
            <w:pPr>
              <w:pStyle w:val="13"/>
              <w:spacing w:before="173" w:line="360" w:lineRule="auto"/>
              <w:ind w:left="334"/>
            </w:pPr>
            <w:r>
              <w:rPr>
                <w:b/>
                <w:bCs/>
                <w:spacing w:val="-9"/>
              </w:rPr>
              <w:t>数量</w:t>
            </w:r>
          </w:p>
        </w:tc>
        <w:tc>
          <w:tcPr>
            <w:tcW w:w="1700" w:type="dxa"/>
            <w:vAlign w:val="top"/>
          </w:tcPr>
          <w:p w14:paraId="30383CAB">
            <w:pPr>
              <w:pStyle w:val="13"/>
              <w:spacing w:before="172" w:line="360" w:lineRule="auto"/>
              <w:ind w:left="623"/>
            </w:pPr>
            <w:r>
              <w:rPr>
                <w:b/>
                <w:bCs/>
                <w:spacing w:val="-11"/>
              </w:rPr>
              <w:t>小计</w:t>
            </w:r>
          </w:p>
        </w:tc>
        <w:tc>
          <w:tcPr>
            <w:tcW w:w="1722" w:type="dxa"/>
            <w:vAlign w:val="top"/>
          </w:tcPr>
          <w:p w14:paraId="12998393">
            <w:pPr>
              <w:pStyle w:val="13"/>
              <w:spacing w:before="173" w:line="360" w:lineRule="auto"/>
              <w:ind w:left="149"/>
            </w:pPr>
            <w:r>
              <w:rPr>
                <w:b/>
                <w:bCs/>
                <w:spacing w:val="-4"/>
              </w:rPr>
              <w:t>是否小微企业</w:t>
            </w:r>
          </w:p>
        </w:tc>
        <w:tc>
          <w:tcPr>
            <w:tcW w:w="779" w:type="dxa"/>
            <w:vAlign w:val="top"/>
          </w:tcPr>
          <w:p w14:paraId="507B05FD">
            <w:pPr>
              <w:pStyle w:val="13"/>
              <w:spacing w:before="172" w:line="360" w:lineRule="auto"/>
              <w:ind w:left="156"/>
            </w:pPr>
            <w:r>
              <w:rPr>
                <w:b/>
                <w:bCs/>
                <w:spacing w:val="-9"/>
              </w:rPr>
              <w:t>备注</w:t>
            </w:r>
          </w:p>
        </w:tc>
      </w:tr>
      <w:tr w14:paraId="68271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798" w:type="dxa"/>
            <w:vAlign w:val="top"/>
          </w:tcPr>
          <w:p w14:paraId="3E1EDD70">
            <w:pPr>
              <w:spacing w:line="360" w:lineRule="auto"/>
              <w:rPr>
                <w:rFonts w:ascii="Arial"/>
                <w:sz w:val="21"/>
              </w:rPr>
            </w:pPr>
          </w:p>
        </w:tc>
        <w:tc>
          <w:tcPr>
            <w:tcW w:w="1360" w:type="dxa"/>
            <w:vAlign w:val="top"/>
          </w:tcPr>
          <w:p w14:paraId="390252B0">
            <w:pPr>
              <w:spacing w:line="360" w:lineRule="auto"/>
              <w:rPr>
                <w:rFonts w:ascii="Arial"/>
                <w:sz w:val="21"/>
              </w:rPr>
            </w:pPr>
          </w:p>
        </w:tc>
        <w:tc>
          <w:tcPr>
            <w:tcW w:w="1700" w:type="dxa"/>
            <w:vAlign w:val="top"/>
          </w:tcPr>
          <w:p w14:paraId="1AC27890">
            <w:pPr>
              <w:spacing w:line="360" w:lineRule="auto"/>
              <w:rPr>
                <w:rFonts w:ascii="Arial"/>
                <w:sz w:val="21"/>
              </w:rPr>
            </w:pPr>
          </w:p>
        </w:tc>
        <w:tc>
          <w:tcPr>
            <w:tcW w:w="1134" w:type="dxa"/>
            <w:vAlign w:val="top"/>
          </w:tcPr>
          <w:p w14:paraId="2236C168">
            <w:pPr>
              <w:spacing w:line="360" w:lineRule="auto"/>
              <w:rPr>
                <w:rFonts w:ascii="Arial"/>
                <w:sz w:val="21"/>
              </w:rPr>
            </w:pPr>
          </w:p>
        </w:tc>
        <w:tc>
          <w:tcPr>
            <w:tcW w:w="1700" w:type="dxa"/>
            <w:vAlign w:val="top"/>
          </w:tcPr>
          <w:p w14:paraId="7B32BFCD">
            <w:pPr>
              <w:spacing w:line="360" w:lineRule="auto"/>
              <w:rPr>
                <w:rFonts w:ascii="Arial"/>
                <w:sz w:val="21"/>
              </w:rPr>
            </w:pPr>
          </w:p>
        </w:tc>
        <w:tc>
          <w:tcPr>
            <w:tcW w:w="1722" w:type="dxa"/>
            <w:vAlign w:val="top"/>
          </w:tcPr>
          <w:p w14:paraId="270FA58E">
            <w:pPr>
              <w:spacing w:line="360" w:lineRule="auto"/>
              <w:rPr>
                <w:rFonts w:ascii="Arial"/>
                <w:sz w:val="21"/>
              </w:rPr>
            </w:pPr>
          </w:p>
        </w:tc>
        <w:tc>
          <w:tcPr>
            <w:tcW w:w="779" w:type="dxa"/>
            <w:vAlign w:val="top"/>
          </w:tcPr>
          <w:p w14:paraId="5A095F93">
            <w:pPr>
              <w:spacing w:line="360" w:lineRule="auto"/>
              <w:rPr>
                <w:rFonts w:ascii="Arial"/>
                <w:sz w:val="21"/>
              </w:rPr>
            </w:pPr>
          </w:p>
        </w:tc>
      </w:tr>
      <w:tr w14:paraId="1345E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798" w:type="dxa"/>
            <w:vAlign w:val="top"/>
          </w:tcPr>
          <w:p w14:paraId="45CCB7EB">
            <w:pPr>
              <w:spacing w:line="360" w:lineRule="auto"/>
              <w:rPr>
                <w:rFonts w:ascii="Arial"/>
                <w:sz w:val="21"/>
              </w:rPr>
            </w:pPr>
          </w:p>
        </w:tc>
        <w:tc>
          <w:tcPr>
            <w:tcW w:w="1360" w:type="dxa"/>
            <w:vAlign w:val="top"/>
          </w:tcPr>
          <w:p w14:paraId="3FD2F78E">
            <w:pPr>
              <w:spacing w:line="360" w:lineRule="auto"/>
              <w:rPr>
                <w:rFonts w:ascii="Arial"/>
                <w:sz w:val="21"/>
              </w:rPr>
            </w:pPr>
          </w:p>
        </w:tc>
        <w:tc>
          <w:tcPr>
            <w:tcW w:w="1700" w:type="dxa"/>
            <w:vAlign w:val="top"/>
          </w:tcPr>
          <w:p w14:paraId="6E5CF1E7">
            <w:pPr>
              <w:spacing w:line="360" w:lineRule="auto"/>
              <w:rPr>
                <w:rFonts w:ascii="Arial"/>
                <w:sz w:val="21"/>
              </w:rPr>
            </w:pPr>
          </w:p>
        </w:tc>
        <w:tc>
          <w:tcPr>
            <w:tcW w:w="1134" w:type="dxa"/>
            <w:vAlign w:val="top"/>
          </w:tcPr>
          <w:p w14:paraId="18A8E351">
            <w:pPr>
              <w:spacing w:line="360" w:lineRule="auto"/>
              <w:rPr>
                <w:rFonts w:ascii="Arial"/>
                <w:sz w:val="21"/>
              </w:rPr>
            </w:pPr>
          </w:p>
        </w:tc>
        <w:tc>
          <w:tcPr>
            <w:tcW w:w="1700" w:type="dxa"/>
            <w:vAlign w:val="top"/>
          </w:tcPr>
          <w:p w14:paraId="266B0864">
            <w:pPr>
              <w:spacing w:line="360" w:lineRule="auto"/>
              <w:rPr>
                <w:rFonts w:ascii="Arial"/>
                <w:sz w:val="21"/>
              </w:rPr>
            </w:pPr>
          </w:p>
        </w:tc>
        <w:tc>
          <w:tcPr>
            <w:tcW w:w="1722" w:type="dxa"/>
            <w:vAlign w:val="top"/>
          </w:tcPr>
          <w:p w14:paraId="51A1AD77">
            <w:pPr>
              <w:spacing w:line="360" w:lineRule="auto"/>
              <w:rPr>
                <w:rFonts w:ascii="Arial"/>
                <w:sz w:val="21"/>
              </w:rPr>
            </w:pPr>
          </w:p>
        </w:tc>
        <w:tc>
          <w:tcPr>
            <w:tcW w:w="779" w:type="dxa"/>
            <w:vAlign w:val="top"/>
          </w:tcPr>
          <w:p w14:paraId="543AA114">
            <w:pPr>
              <w:spacing w:line="360" w:lineRule="auto"/>
              <w:rPr>
                <w:rFonts w:ascii="Arial"/>
                <w:sz w:val="21"/>
              </w:rPr>
            </w:pPr>
          </w:p>
        </w:tc>
      </w:tr>
      <w:tr w14:paraId="4DE9E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798" w:type="dxa"/>
            <w:vAlign w:val="top"/>
          </w:tcPr>
          <w:p w14:paraId="20BB8226">
            <w:pPr>
              <w:spacing w:line="360" w:lineRule="auto"/>
              <w:rPr>
                <w:rFonts w:ascii="Arial"/>
                <w:sz w:val="21"/>
              </w:rPr>
            </w:pPr>
          </w:p>
        </w:tc>
        <w:tc>
          <w:tcPr>
            <w:tcW w:w="1360" w:type="dxa"/>
            <w:vAlign w:val="top"/>
          </w:tcPr>
          <w:p w14:paraId="0580F300">
            <w:pPr>
              <w:spacing w:line="360" w:lineRule="auto"/>
              <w:rPr>
                <w:rFonts w:ascii="Arial"/>
                <w:sz w:val="21"/>
              </w:rPr>
            </w:pPr>
          </w:p>
        </w:tc>
        <w:tc>
          <w:tcPr>
            <w:tcW w:w="1700" w:type="dxa"/>
            <w:vAlign w:val="top"/>
          </w:tcPr>
          <w:p w14:paraId="1582B4C1">
            <w:pPr>
              <w:spacing w:line="360" w:lineRule="auto"/>
              <w:rPr>
                <w:rFonts w:ascii="Arial"/>
                <w:sz w:val="21"/>
              </w:rPr>
            </w:pPr>
          </w:p>
        </w:tc>
        <w:tc>
          <w:tcPr>
            <w:tcW w:w="1134" w:type="dxa"/>
            <w:vAlign w:val="top"/>
          </w:tcPr>
          <w:p w14:paraId="60780719">
            <w:pPr>
              <w:spacing w:line="360" w:lineRule="auto"/>
              <w:rPr>
                <w:rFonts w:ascii="Arial"/>
                <w:sz w:val="21"/>
              </w:rPr>
            </w:pPr>
          </w:p>
        </w:tc>
        <w:tc>
          <w:tcPr>
            <w:tcW w:w="1700" w:type="dxa"/>
            <w:vAlign w:val="top"/>
          </w:tcPr>
          <w:p w14:paraId="73053054">
            <w:pPr>
              <w:spacing w:line="360" w:lineRule="auto"/>
              <w:rPr>
                <w:rFonts w:ascii="Arial"/>
                <w:sz w:val="21"/>
              </w:rPr>
            </w:pPr>
          </w:p>
        </w:tc>
        <w:tc>
          <w:tcPr>
            <w:tcW w:w="1722" w:type="dxa"/>
            <w:vAlign w:val="top"/>
          </w:tcPr>
          <w:p w14:paraId="44CF84E0">
            <w:pPr>
              <w:spacing w:line="360" w:lineRule="auto"/>
              <w:rPr>
                <w:rFonts w:ascii="Arial"/>
                <w:sz w:val="21"/>
              </w:rPr>
            </w:pPr>
          </w:p>
        </w:tc>
        <w:tc>
          <w:tcPr>
            <w:tcW w:w="779" w:type="dxa"/>
            <w:vAlign w:val="top"/>
          </w:tcPr>
          <w:p w14:paraId="425D8331">
            <w:pPr>
              <w:spacing w:line="360" w:lineRule="auto"/>
              <w:rPr>
                <w:rFonts w:ascii="Arial"/>
                <w:sz w:val="21"/>
              </w:rPr>
            </w:pPr>
          </w:p>
        </w:tc>
      </w:tr>
      <w:tr w14:paraId="7B5D9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798" w:type="dxa"/>
            <w:vAlign w:val="top"/>
          </w:tcPr>
          <w:p w14:paraId="2D15ADDA">
            <w:pPr>
              <w:spacing w:line="360" w:lineRule="auto"/>
              <w:rPr>
                <w:rFonts w:ascii="Arial"/>
                <w:sz w:val="21"/>
              </w:rPr>
            </w:pPr>
          </w:p>
        </w:tc>
        <w:tc>
          <w:tcPr>
            <w:tcW w:w="1360" w:type="dxa"/>
            <w:vAlign w:val="top"/>
          </w:tcPr>
          <w:p w14:paraId="19C3B452">
            <w:pPr>
              <w:spacing w:line="360" w:lineRule="auto"/>
              <w:rPr>
                <w:rFonts w:ascii="Arial"/>
                <w:sz w:val="21"/>
              </w:rPr>
            </w:pPr>
          </w:p>
        </w:tc>
        <w:tc>
          <w:tcPr>
            <w:tcW w:w="1700" w:type="dxa"/>
            <w:vAlign w:val="top"/>
          </w:tcPr>
          <w:p w14:paraId="73B57A79">
            <w:pPr>
              <w:spacing w:line="360" w:lineRule="auto"/>
              <w:rPr>
                <w:rFonts w:ascii="Arial"/>
                <w:sz w:val="21"/>
              </w:rPr>
            </w:pPr>
          </w:p>
        </w:tc>
        <w:tc>
          <w:tcPr>
            <w:tcW w:w="1134" w:type="dxa"/>
            <w:vAlign w:val="top"/>
          </w:tcPr>
          <w:p w14:paraId="3C82FB32">
            <w:pPr>
              <w:spacing w:line="360" w:lineRule="auto"/>
              <w:rPr>
                <w:rFonts w:ascii="Arial"/>
                <w:sz w:val="21"/>
              </w:rPr>
            </w:pPr>
          </w:p>
        </w:tc>
        <w:tc>
          <w:tcPr>
            <w:tcW w:w="1700" w:type="dxa"/>
            <w:vAlign w:val="top"/>
          </w:tcPr>
          <w:p w14:paraId="4430D2A7">
            <w:pPr>
              <w:spacing w:line="360" w:lineRule="auto"/>
              <w:rPr>
                <w:rFonts w:ascii="Arial"/>
                <w:sz w:val="21"/>
              </w:rPr>
            </w:pPr>
          </w:p>
        </w:tc>
        <w:tc>
          <w:tcPr>
            <w:tcW w:w="1722" w:type="dxa"/>
            <w:vAlign w:val="top"/>
          </w:tcPr>
          <w:p w14:paraId="4063BCD9">
            <w:pPr>
              <w:spacing w:line="360" w:lineRule="auto"/>
              <w:rPr>
                <w:rFonts w:ascii="Arial"/>
                <w:sz w:val="21"/>
              </w:rPr>
            </w:pPr>
          </w:p>
        </w:tc>
        <w:tc>
          <w:tcPr>
            <w:tcW w:w="779" w:type="dxa"/>
            <w:vAlign w:val="top"/>
          </w:tcPr>
          <w:p w14:paraId="74DBB6EF">
            <w:pPr>
              <w:spacing w:line="360" w:lineRule="auto"/>
              <w:rPr>
                <w:rFonts w:ascii="Arial"/>
                <w:sz w:val="21"/>
              </w:rPr>
            </w:pPr>
          </w:p>
        </w:tc>
      </w:tr>
      <w:tr w14:paraId="6692C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798" w:type="dxa"/>
            <w:vAlign w:val="top"/>
          </w:tcPr>
          <w:p w14:paraId="48F831B4">
            <w:pPr>
              <w:spacing w:line="360" w:lineRule="auto"/>
              <w:rPr>
                <w:rFonts w:ascii="Arial"/>
                <w:sz w:val="21"/>
              </w:rPr>
            </w:pPr>
          </w:p>
        </w:tc>
        <w:tc>
          <w:tcPr>
            <w:tcW w:w="1360" w:type="dxa"/>
            <w:vAlign w:val="top"/>
          </w:tcPr>
          <w:p w14:paraId="46A78E18">
            <w:pPr>
              <w:spacing w:line="360" w:lineRule="auto"/>
              <w:rPr>
                <w:rFonts w:ascii="Arial"/>
                <w:sz w:val="21"/>
              </w:rPr>
            </w:pPr>
          </w:p>
        </w:tc>
        <w:tc>
          <w:tcPr>
            <w:tcW w:w="1700" w:type="dxa"/>
            <w:vAlign w:val="top"/>
          </w:tcPr>
          <w:p w14:paraId="69C2FD78">
            <w:pPr>
              <w:spacing w:line="360" w:lineRule="auto"/>
              <w:rPr>
                <w:rFonts w:ascii="Arial"/>
                <w:sz w:val="21"/>
              </w:rPr>
            </w:pPr>
          </w:p>
        </w:tc>
        <w:tc>
          <w:tcPr>
            <w:tcW w:w="1134" w:type="dxa"/>
            <w:vAlign w:val="top"/>
          </w:tcPr>
          <w:p w14:paraId="6EE450E8">
            <w:pPr>
              <w:spacing w:line="360" w:lineRule="auto"/>
              <w:rPr>
                <w:rFonts w:ascii="Arial"/>
                <w:sz w:val="21"/>
              </w:rPr>
            </w:pPr>
          </w:p>
        </w:tc>
        <w:tc>
          <w:tcPr>
            <w:tcW w:w="1700" w:type="dxa"/>
            <w:vAlign w:val="top"/>
          </w:tcPr>
          <w:p w14:paraId="1951CA33">
            <w:pPr>
              <w:spacing w:line="360" w:lineRule="auto"/>
              <w:rPr>
                <w:rFonts w:ascii="Arial"/>
                <w:sz w:val="21"/>
              </w:rPr>
            </w:pPr>
          </w:p>
        </w:tc>
        <w:tc>
          <w:tcPr>
            <w:tcW w:w="1722" w:type="dxa"/>
            <w:vAlign w:val="top"/>
          </w:tcPr>
          <w:p w14:paraId="408744E1">
            <w:pPr>
              <w:spacing w:line="360" w:lineRule="auto"/>
              <w:rPr>
                <w:rFonts w:ascii="Arial"/>
                <w:sz w:val="21"/>
              </w:rPr>
            </w:pPr>
          </w:p>
        </w:tc>
        <w:tc>
          <w:tcPr>
            <w:tcW w:w="779" w:type="dxa"/>
            <w:vAlign w:val="top"/>
          </w:tcPr>
          <w:p w14:paraId="56AEC875">
            <w:pPr>
              <w:spacing w:line="360" w:lineRule="auto"/>
              <w:rPr>
                <w:rFonts w:ascii="Arial"/>
                <w:sz w:val="21"/>
              </w:rPr>
            </w:pPr>
          </w:p>
        </w:tc>
      </w:tr>
      <w:tr w14:paraId="51A45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798" w:type="dxa"/>
            <w:vAlign w:val="top"/>
          </w:tcPr>
          <w:p w14:paraId="5E2898FF">
            <w:pPr>
              <w:spacing w:line="360" w:lineRule="auto"/>
              <w:rPr>
                <w:rFonts w:ascii="Arial"/>
                <w:sz w:val="21"/>
              </w:rPr>
            </w:pPr>
          </w:p>
        </w:tc>
        <w:tc>
          <w:tcPr>
            <w:tcW w:w="1360" w:type="dxa"/>
            <w:vAlign w:val="top"/>
          </w:tcPr>
          <w:p w14:paraId="7E348469">
            <w:pPr>
              <w:spacing w:line="360" w:lineRule="auto"/>
              <w:rPr>
                <w:rFonts w:ascii="Arial"/>
                <w:sz w:val="21"/>
              </w:rPr>
            </w:pPr>
          </w:p>
        </w:tc>
        <w:tc>
          <w:tcPr>
            <w:tcW w:w="1700" w:type="dxa"/>
            <w:vAlign w:val="top"/>
          </w:tcPr>
          <w:p w14:paraId="67D4ED05">
            <w:pPr>
              <w:spacing w:line="360" w:lineRule="auto"/>
              <w:rPr>
                <w:rFonts w:ascii="Arial"/>
                <w:sz w:val="21"/>
              </w:rPr>
            </w:pPr>
          </w:p>
        </w:tc>
        <w:tc>
          <w:tcPr>
            <w:tcW w:w="1134" w:type="dxa"/>
            <w:vAlign w:val="top"/>
          </w:tcPr>
          <w:p w14:paraId="4D0CFFBA">
            <w:pPr>
              <w:spacing w:line="360" w:lineRule="auto"/>
              <w:rPr>
                <w:rFonts w:ascii="Arial"/>
                <w:sz w:val="21"/>
              </w:rPr>
            </w:pPr>
          </w:p>
        </w:tc>
        <w:tc>
          <w:tcPr>
            <w:tcW w:w="1700" w:type="dxa"/>
            <w:vAlign w:val="top"/>
          </w:tcPr>
          <w:p w14:paraId="4522C91F">
            <w:pPr>
              <w:spacing w:line="360" w:lineRule="auto"/>
              <w:rPr>
                <w:rFonts w:ascii="Arial"/>
                <w:sz w:val="21"/>
              </w:rPr>
            </w:pPr>
          </w:p>
        </w:tc>
        <w:tc>
          <w:tcPr>
            <w:tcW w:w="1722" w:type="dxa"/>
            <w:vAlign w:val="top"/>
          </w:tcPr>
          <w:p w14:paraId="45AC83DC">
            <w:pPr>
              <w:spacing w:line="360" w:lineRule="auto"/>
              <w:rPr>
                <w:rFonts w:ascii="Arial"/>
                <w:sz w:val="21"/>
              </w:rPr>
            </w:pPr>
          </w:p>
        </w:tc>
        <w:tc>
          <w:tcPr>
            <w:tcW w:w="779" w:type="dxa"/>
            <w:vAlign w:val="top"/>
          </w:tcPr>
          <w:p w14:paraId="5E04441D">
            <w:pPr>
              <w:spacing w:line="360" w:lineRule="auto"/>
              <w:rPr>
                <w:rFonts w:ascii="Arial"/>
                <w:sz w:val="21"/>
              </w:rPr>
            </w:pPr>
          </w:p>
        </w:tc>
      </w:tr>
      <w:tr w14:paraId="4542D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798" w:type="dxa"/>
            <w:vAlign w:val="top"/>
          </w:tcPr>
          <w:p w14:paraId="75933EFE">
            <w:pPr>
              <w:spacing w:line="360" w:lineRule="auto"/>
              <w:rPr>
                <w:rFonts w:ascii="Arial"/>
                <w:sz w:val="21"/>
              </w:rPr>
            </w:pPr>
          </w:p>
        </w:tc>
        <w:tc>
          <w:tcPr>
            <w:tcW w:w="1360" w:type="dxa"/>
            <w:vAlign w:val="top"/>
          </w:tcPr>
          <w:p w14:paraId="6B75764D">
            <w:pPr>
              <w:spacing w:line="360" w:lineRule="auto"/>
              <w:rPr>
                <w:rFonts w:ascii="Arial"/>
                <w:sz w:val="21"/>
              </w:rPr>
            </w:pPr>
          </w:p>
        </w:tc>
        <w:tc>
          <w:tcPr>
            <w:tcW w:w="1700" w:type="dxa"/>
            <w:vAlign w:val="top"/>
          </w:tcPr>
          <w:p w14:paraId="5D28B6FE">
            <w:pPr>
              <w:spacing w:line="360" w:lineRule="auto"/>
              <w:rPr>
                <w:rFonts w:ascii="Arial"/>
                <w:sz w:val="21"/>
              </w:rPr>
            </w:pPr>
          </w:p>
        </w:tc>
        <w:tc>
          <w:tcPr>
            <w:tcW w:w="1134" w:type="dxa"/>
            <w:vAlign w:val="top"/>
          </w:tcPr>
          <w:p w14:paraId="7C09D883">
            <w:pPr>
              <w:spacing w:line="360" w:lineRule="auto"/>
              <w:rPr>
                <w:rFonts w:ascii="Arial"/>
                <w:sz w:val="21"/>
              </w:rPr>
            </w:pPr>
          </w:p>
        </w:tc>
        <w:tc>
          <w:tcPr>
            <w:tcW w:w="1700" w:type="dxa"/>
            <w:vAlign w:val="top"/>
          </w:tcPr>
          <w:p w14:paraId="014BDD90">
            <w:pPr>
              <w:spacing w:line="360" w:lineRule="auto"/>
              <w:rPr>
                <w:rFonts w:ascii="Arial"/>
                <w:sz w:val="21"/>
              </w:rPr>
            </w:pPr>
          </w:p>
        </w:tc>
        <w:tc>
          <w:tcPr>
            <w:tcW w:w="1722" w:type="dxa"/>
            <w:vAlign w:val="top"/>
          </w:tcPr>
          <w:p w14:paraId="7A500D21">
            <w:pPr>
              <w:spacing w:line="360" w:lineRule="auto"/>
              <w:rPr>
                <w:rFonts w:ascii="Arial"/>
                <w:sz w:val="21"/>
              </w:rPr>
            </w:pPr>
          </w:p>
        </w:tc>
        <w:tc>
          <w:tcPr>
            <w:tcW w:w="779" w:type="dxa"/>
            <w:vAlign w:val="top"/>
          </w:tcPr>
          <w:p w14:paraId="3769FDD1">
            <w:pPr>
              <w:spacing w:line="360" w:lineRule="auto"/>
              <w:rPr>
                <w:rFonts w:ascii="Arial"/>
                <w:sz w:val="21"/>
              </w:rPr>
            </w:pPr>
          </w:p>
        </w:tc>
      </w:tr>
      <w:tr w14:paraId="4F299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798" w:type="dxa"/>
            <w:vAlign w:val="top"/>
          </w:tcPr>
          <w:p w14:paraId="72FE886D">
            <w:pPr>
              <w:spacing w:line="360" w:lineRule="auto"/>
              <w:rPr>
                <w:rFonts w:ascii="Arial"/>
                <w:sz w:val="21"/>
              </w:rPr>
            </w:pPr>
          </w:p>
        </w:tc>
        <w:tc>
          <w:tcPr>
            <w:tcW w:w="1360" w:type="dxa"/>
            <w:vAlign w:val="top"/>
          </w:tcPr>
          <w:p w14:paraId="0C8D2151">
            <w:pPr>
              <w:spacing w:line="360" w:lineRule="auto"/>
              <w:rPr>
                <w:rFonts w:ascii="Arial"/>
                <w:sz w:val="21"/>
              </w:rPr>
            </w:pPr>
          </w:p>
        </w:tc>
        <w:tc>
          <w:tcPr>
            <w:tcW w:w="1700" w:type="dxa"/>
            <w:vAlign w:val="top"/>
          </w:tcPr>
          <w:p w14:paraId="1DA47102">
            <w:pPr>
              <w:spacing w:line="360" w:lineRule="auto"/>
              <w:rPr>
                <w:rFonts w:ascii="Arial"/>
                <w:sz w:val="21"/>
              </w:rPr>
            </w:pPr>
          </w:p>
        </w:tc>
        <w:tc>
          <w:tcPr>
            <w:tcW w:w="1134" w:type="dxa"/>
            <w:vAlign w:val="top"/>
          </w:tcPr>
          <w:p w14:paraId="3B939346">
            <w:pPr>
              <w:spacing w:line="360" w:lineRule="auto"/>
              <w:rPr>
                <w:rFonts w:ascii="Arial"/>
                <w:sz w:val="21"/>
              </w:rPr>
            </w:pPr>
          </w:p>
        </w:tc>
        <w:tc>
          <w:tcPr>
            <w:tcW w:w="1700" w:type="dxa"/>
            <w:vAlign w:val="top"/>
          </w:tcPr>
          <w:p w14:paraId="29FC555D">
            <w:pPr>
              <w:spacing w:line="360" w:lineRule="auto"/>
              <w:rPr>
                <w:rFonts w:ascii="Arial"/>
                <w:sz w:val="21"/>
              </w:rPr>
            </w:pPr>
          </w:p>
        </w:tc>
        <w:tc>
          <w:tcPr>
            <w:tcW w:w="1722" w:type="dxa"/>
            <w:vAlign w:val="top"/>
          </w:tcPr>
          <w:p w14:paraId="1D9A2AB8">
            <w:pPr>
              <w:spacing w:line="360" w:lineRule="auto"/>
              <w:rPr>
                <w:rFonts w:ascii="Arial"/>
                <w:sz w:val="21"/>
              </w:rPr>
            </w:pPr>
          </w:p>
        </w:tc>
        <w:tc>
          <w:tcPr>
            <w:tcW w:w="779" w:type="dxa"/>
            <w:vAlign w:val="top"/>
          </w:tcPr>
          <w:p w14:paraId="45A58682">
            <w:pPr>
              <w:spacing w:line="360" w:lineRule="auto"/>
              <w:rPr>
                <w:rFonts w:ascii="Arial"/>
                <w:sz w:val="21"/>
              </w:rPr>
            </w:pPr>
          </w:p>
        </w:tc>
      </w:tr>
      <w:tr w14:paraId="2A9A8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4992" w:type="dxa"/>
            <w:gridSpan w:val="4"/>
            <w:vAlign w:val="top"/>
          </w:tcPr>
          <w:p w14:paraId="6583EF55">
            <w:pPr>
              <w:pStyle w:val="13"/>
              <w:spacing w:before="152" w:line="360" w:lineRule="auto"/>
              <w:ind w:left="124"/>
            </w:pPr>
            <w:r>
              <w:rPr>
                <w:spacing w:val="-8"/>
              </w:rPr>
              <w:t>总计</w:t>
            </w:r>
          </w:p>
        </w:tc>
        <w:tc>
          <w:tcPr>
            <w:tcW w:w="4201" w:type="dxa"/>
            <w:gridSpan w:val="3"/>
            <w:vAlign w:val="top"/>
          </w:tcPr>
          <w:p w14:paraId="3781DD0F">
            <w:pPr>
              <w:spacing w:line="360" w:lineRule="auto"/>
              <w:rPr>
                <w:rFonts w:ascii="Arial"/>
                <w:sz w:val="21"/>
              </w:rPr>
            </w:pPr>
          </w:p>
        </w:tc>
      </w:tr>
    </w:tbl>
    <w:p w14:paraId="2E719091">
      <w:pPr>
        <w:spacing w:before="156" w:line="360" w:lineRule="auto"/>
        <w:ind w:left="428"/>
        <w:rPr>
          <w:rFonts w:ascii="宋体" w:hAnsi="宋体" w:eastAsia="宋体" w:cs="宋体"/>
          <w:sz w:val="20"/>
          <w:szCs w:val="20"/>
        </w:rPr>
      </w:pPr>
      <w:r>
        <w:rPr>
          <w:rFonts w:ascii="宋体" w:hAnsi="宋体" w:eastAsia="宋体" w:cs="宋体"/>
          <w:spacing w:val="9"/>
          <w:sz w:val="20"/>
          <w:szCs w:val="20"/>
        </w:rPr>
        <w:t>注：1、监狱企业、残疾人福利性单位视同小微企</w:t>
      </w:r>
      <w:r>
        <w:rPr>
          <w:rFonts w:ascii="宋体" w:hAnsi="宋体" w:eastAsia="宋体" w:cs="宋体"/>
          <w:spacing w:val="8"/>
          <w:sz w:val="20"/>
          <w:szCs w:val="20"/>
        </w:rPr>
        <w:t>业。</w:t>
      </w:r>
    </w:p>
    <w:p w14:paraId="244A84B4">
      <w:pPr>
        <w:spacing w:before="173" w:line="360" w:lineRule="auto"/>
        <w:ind w:left="850"/>
        <w:rPr>
          <w:rFonts w:ascii="宋体" w:hAnsi="宋体" w:eastAsia="宋体" w:cs="宋体"/>
          <w:sz w:val="20"/>
          <w:szCs w:val="20"/>
        </w:rPr>
      </w:pPr>
      <w:r>
        <w:rPr>
          <w:rFonts w:ascii="宋体" w:hAnsi="宋体" w:eastAsia="宋体" w:cs="宋体"/>
          <w:spacing w:val="8"/>
          <w:sz w:val="20"/>
          <w:szCs w:val="20"/>
        </w:rPr>
        <w:t>2、“是否小微企业产品</w:t>
      </w:r>
      <w:r>
        <w:rPr>
          <w:rFonts w:ascii="宋体" w:hAnsi="宋体" w:eastAsia="宋体" w:cs="宋体"/>
          <w:spacing w:val="-63"/>
          <w:sz w:val="20"/>
          <w:szCs w:val="20"/>
        </w:rPr>
        <w:t xml:space="preserve"> </w:t>
      </w:r>
      <w:r>
        <w:rPr>
          <w:rFonts w:ascii="宋体" w:hAnsi="宋体" w:eastAsia="宋体" w:cs="宋体"/>
          <w:spacing w:val="8"/>
          <w:sz w:val="20"/>
          <w:szCs w:val="20"/>
        </w:rPr>
        <w:t>”一栏若有漏报，将被视为“非小微企业产品</w:t>
      </w:r>
      <w:r>
        <w:rPr>
          <w:rFonts w:ascii="宋体" w:hAnsi="宋体" w:eastAsia="宋体" w:cs="宋体"/>
          <w:spacing w:val="-70"/>
          <w:sz w:val="20"/>
          <w:szCs w:val="20"/>
        </w:rPr>
        <w:t xml:space="preserve"> </w:t>
      </w:r>
      <w:r>
        <w:rPr>
          <w:rFonts w:ascii="宋体" w:hAnsi="宋体" w:eastAsia="宋体" w:cs="宋体"/>
          <w:spacing w:val="8"/>
          <w:sz w:val="20"/>
          <w:szCs w:val="20"/>
        </w:rPr>
        <w:t>”。</w:t>
      </w:r>
    </w:p>
    <w:p w14:paraId="6EDA1CE0">
      <w:pPr>
        <w:spacing w:before="173" w:line="360" w:lineRule="auto"/>
        <w:ind w:left="852"/>
        <w:rPr>
          <w:rFonts w:ascii="宋体" w:hAnsi="宋体" w:eastAsia="宋体" w:cs="宋体"/>
          <w:sz w:val="20"/>
          <w:szCs w:val="20"/>
        </w:rPr>
      </w:pPr>
      <w:r>
        <w:rPr>
          <w:rFonts w:ascii="宋体" w:hAnsi="宋体" w:eastAsia="宋体" w:cs="宋体"/>
          <w:spacing w:val="8"/>
          <w:sz w:val="20"/>
          <w:szCs w:val="20"/>
        </w:rPr>
        <w:t>3、表格空间不足时，可自行扩展。</w:t>
      </w:r>
    </w:p>
    <w:p w14:paraId="5379DB73">
      <w:pPr>
        <w:pStyle w:val="4"/>
        <w:spacing w:line="360" w:lineRule="auto"/>
      </w:pPr>
    </w:p>
    <w:p w14:paraId="6ED1BDB8">
      <w:pPr>
        <w:pStyle w:val="4"/>
        <w:spacing w:line="360" w:lineRule="auto"/>
      </w:pPr>
    </w:p>
    <w:p w14:paraId="05A1E1E6">
      <w:pPr>
        <w:pStyle w:val="4"/>
        <w:spacing w:line="360" w:lineRule="auto"/>
      </w:pPr>
    </w:p>
    <w:p w14:paraId="0991644F">
      <w:pPr>
        <w:pStyle w:val="4"/>
        <w:spacing w:line="360" w:lineRule="auto"/>
      </w:pPr>
    </w:p>
    <w:p w14:paraId="01C3D05C">
      <w:pPr>
        <w:pStyle w:val="4"/>
        <w:spacing w:line="360" w:lineRule="auto"/>
      </w:pPr>
    </w:p>
    <w:p w14:paraId="192E6388">
      <w:pPr>
        <w:spacing w:before="78" w:line="360" w:lineRule="auto"/>
        <w:ind w:left="489"/>
        <w:rPr>
          <w:rFonts w:ascii="宋体" w:hAnsi="宋体" w:eastAsia="宋体" w:cs="宋体"/>
          <w:sz w:val="24"/>
          <w:szCs w:val="24"/>
        </w:rPr>
      </w:pPr>
      <w:r>
        <w:rPr>
          <w:rFonts w:ascii="宋体" w:hAnsi="宋体" w:eastAsia="宋体" w:cs="宋体"/>
          <w:spacing w:val="3"/>
          <w:sz w:val="24"/>
          <w:szCs w:val="24"/>
        </w:rPr>
        <w:t>供应商名称</w:t>
      </w:r>
      <w:r>
        <w:rPr>
          <w:rFonts w:ascii="宋体" w:hAnsi="宋体" w:eastAsia="宋体" w:cs="宋体"/>
          <w:spacing w:val="-18"/>
          <w:sz w:val="24"/>
          <w:szCs w:val="24"/>
        </w:rPr>
        <w:t>：（</w:t>
      </w:r>
      <w:r>
        <w:rPr>
          <w:rFonts w:ascii="宋体" w:hAnsi="宋体" w:eastAsia="宋体" w:cs="宋体"/>
          <w:spacing w:val="3"/>
          <w:sz w:val="24"/>
          <w:szCs w:val="24"/>
        </w:rPr>
        <w:t>盖章）</w:t>
      </w:r>
    </w:p>
    <w:p w14:paraId="10984DAE">
      <w:pPr>
        <w:pStyle w:val="4"/>
        <w:spacing w:line="360" w:lineRule="auto"/>
      </w:pPr>
    </w:p>
    <w:p w14:paraId="2038C616">
      <w:pPr>
        <w:spacing w:before="78" w:line="360" w:lineRule="auto"/>
        <w:ind w:left="490"/>
        <w:rPr>
          <w:rFonts w:ascii="宋体" w:hAnsi="宋体" w:eastAsia="宋体" w:cs="宋体"/>
          <w:sz w:val="24"/>
          <w:szCs w:val="24"/>
        </w:rPr>
      </w:pPr>
      <w:r>
        <w:rPr>
          <w:rFonts w:ascii="宋体" w:hAnsi="宋体" w:eastAsia="宋体" w:cs="宋体"/>
          <w:spacing w:val="-4"/>
          <w:sz w:val="24"/>
          <w:szCs w:val="24"/>
        </w:rPr>
        <w:t>法定代表人或其授权代表（签名或盖章</w:t>
      </w:r>
      <w:r>
        <w:rPr>
          <w:rFonts w:ascii="宋体" w:hAnsi="宋体" w:eastAsia="宋体" w:cs="宋体"/>
          <w:spacing w:val="9"/>
          <w:sz w:val="24"/>
          <w:szCs w:val="24"/>
        </w:rPr>
        <w:t>）：</w:t>
      </w:r>
      <w:r>
        <w:rPr>
          <w:rFonts w:ascii="宋体" w:hAnsi="宋体" w:eastAsia="宋体" w:cs="宋体"/>
          <w:spacing w:val="5"/>
          <w:sz w:val="24"/>
          <w:szCs w:val="24"/>
        </w:rPr>
        <w:t xml:space="preserve">         </w:t>
      </w:r>
      <w:r>
        <w:rPr>
          <w:rFonts w:ascii="宋体" w:hAnsi="宋体" w:eastAsia="宋体" w:cs="宋体"/>
          <w:spacing w:val="-4"/>
          <w:sz w:val="24"/>
          <w:szCs w:val="24"/>
        </w:rPr>
        <w:t>日期：</w:t>
      </w:r>
    </w:p>
    <w:p w14:paraId="073DFF0B">
      <w:pPr>
        <w:spacing w:line="360" w:lineRule="auto"/>
        <w:rPr>
          <w:rFonts w:ascii="宋体" w:hAnsi="宋体" w:eastAsia="宋体" w:cs="宋体"/>
          <w:sz w:val="24"/>
          <w:szCs w:val="24"/>
        </w:rPr>
        <w:sectPr>
          <w:headerReference r:id="rId35" w:type="default"/>
          <w:footerReference r:id="rId36" w:type="default"/>
          <w:pgSz w:w="11906" w:h="16839"/>
          <w:pgMar w:top="1166" w:right="1080" w:bottom="1166" w:left="1080" w:header="829" w:footer="952" w:gutter="0"/>
          <w:cols w:space="720" w:num="1"/>
        </w:sectPr>
      </w:pPr>
    </w:p>
    <w:p w14:paraId="02ACBD23">
      <w:pPr>
        <w:spacing w:before="313" w:line="360" w:lineRule="auto"/>
        <w:ind w:left="3759"/>
        <w:rPr>
          <w:rFonts w:ascii="宋体" w:hAnsi="宋体" w:eastAsia="宋体" w:cs="宋体"/>
          <w:sz w:val="28"/>
          <w:szCs w:val="28"/>
        </w:rPr>
      </w:pPr>
      <w:r>
        <w:rPr>
          <w:rFonts w:ascii="宋体" w:hAnsi="宋体" w:eastAsia="宋体" w:cs="宋体"/>
          <w:b/>
          <w:bCs/>
          <w:spacing w:val="-3"/>
          <w:sz w:val="28"/>
          <w:szCs w:val="28"/>
        </w:rPr>
        <w:t>第四部分</w:t>
      </w:r>
      <w:r>
        <w:rPr>
          <w:rFonts w:ascii="宋体" w:hAnsi="宋体" w:eastAsia="宋体" w:cs="宋体"/>
          <w:spacing w:val="-3"/>
          <w:sz w:val="28"/>
          <w:szCs w:val="28"/>
        </w:rPr>
        <w:t xml:space="preserve">  </w:t>
      </w:r>
      <w:r>
        <w:rPr>
          <w:rFonts w:ascii="宋体" w:hAnsi="宋体" w:eastAsia="宋体" w:cs="宋体"/>
          <w:b/>
          <w:bCs/>
          <w:spacing w:val="-3"/>
          <w:sz w:val="28"/>
          <w:szCs w:val="28"/>
        </w:rPr>
        <w:t>偏离表</w:t>
      </w:r>
    </w:p>
    <w:p w14:paraId="3D61CF4E">
      <w:pPr>
        <w:spacing w:before="301" w:line="360" w:lineRule="auto"/>
        <w:ind w:left="3930"/>
        <w:rPr>
          <w:rFonts w:ascii="宋体" w:hAnsi="宋体" w:eastAsia="宋体" w:cs="宋体"/>
          <w:sz w:val="24"/>
          <w:szCs w:val="24"/>
        </w:rPr>
      </w:pPr>
      <w:r>
        <w:rPr>
          <w:rFonts w:ascii="宋体" w:hAnsi="宋体" w:eastAsia="宋体" w:cs="宋体"/>
          <w:b/>
          <w:bCs/>
          <w:spacing w:val="-5"/>
          <w:sz w:val="24"/>
          <w:szCs w:val="24"/>
        </w:rPr>
        <w:t>（一）商务偏离表</w:t>
      </w:r>
    </w:p>
    <w:p w14:paraId="3017FE02">
      <w:pPr>
        <w:spacing w:line="360" w:lineRule="auto"/>
        <w:rPr>
          <w:rFonts w:ascii="Arial"/>
          <w:sz w:val="2"/>
        </w:rPr>
      </w:pPr>
    </w:p>
    <w:tbl>
      <w:tblPr>
        <w:tblStyle w:val="12"/>
        <w:tblW w:w="9249" w:type="dxa"/>
        <w:tblInd w:w="2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5"/>
        <w:gridCol w:w="2946"/>
        <w:gridCol w:w="3481"/>
        <w:gridCol w:w="1787"/>
      </w:tblGrid>
      <w:tr w14:paraId="2F7BD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1035" w:type="dxa"/>
            <w:vAlign w:val="top"/>
          </w:tcPr>
          <w:p w14:paraId="1A8D850D">
            <w:pPr>
              <w:pStyle w:val="13"/>
              <w:spacing w:before="178" w:line="360" w:lineRule="auto"/>
              <w:ind w:left="283"/>
            </w:pPr>
            <w:r>
              <w:rPr>
                <w:spacing w:val="-5"/>
              </w:rPr>
              <w:t>序号</w:t>
            </w:r>
          </w:p>
        </w:tc>
        <w:tc>
          <w:tcPr>
            <w:tcW w:w="2946" w:type="dxa"/>
            <w:vAlign w:val="top"/>
          </w:tcPr>
          <w:p w14:paraId="61C7372B">
            <w:pPr>
              <w:pStyle w:val="13"/>
              <w:spacing w:before="178" w:line="360" w:lineRule="auto"/>
              <w:ind w:left="162"/>
            </w:pPr>
            <w:r>
              <w:rPr>
                <w:spacing w:val="-2"/>
              </w:rPr>
              <w:t>竞争性磋商文件商务要求</w:t>
            </w:r>
          </w:p>
        </w:tc>
        <w:tc>
          <w:tcPr>
            <w:tcW w:w="3481" w:type="dxa"/>
            <w:vAlign w:val="top"/>
          </w:tcPr>
          <w:p w14:paraId="1E8165C2">
            <w:pPr>
              <w:pStyle w:val="13"/>
              <w:spacing w:before="178" w:line="360" w:lineRule="auto"/>
              <w:ind w:left="189"/>
            </w:pPr>
            <w:r>
              <w:rPr>
                <w:spacing w:val="-1"/>
              </w:rPr>
              <w:t>竞争性磋商响应文件商务响应</w:t>
            </w:r>
          </w:p>
        </w:tc>
        <w:tc>
          <w:tcPr>
            <w:tcW w:w="1787" w:type="dxa"/>
            <w:vAlign w:val="top"/>
          </w:tcPr>
          <w:p w14:paraId="67FF8869">
            <w:pPr>
              <w:pStyle w:val="13"/>
              <w:spacing w:before="178" w:line="360" w:lineRule="auto"/>
              <w:ind w:left="181"/>
            </w:pPr>
            <w:r>
              <w:rPr>
                <w:spacing w:val="-2"/>
              </w:rPr>
              <w:t>偏离及其影响</w:t>
            </w:r>
          </w:p>
        </w:tc>
      </w:tr>
      <w:tr w14:paraId="247D8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035" w:type="dxa"/>
            <w:vAlign w:val="top"/>
          </w:tcPr>
          <w:p w14:paraId="5BA5ABBB">
            <w:pPr>
              <w:spacing w:line="360" w:lineRule="auto"/>
              <w:rPr>
                <w:rFonts w:ascii="Arial"/>
                <w:sz w:val="21"/>
              </w:rPr>
            </w:pPr>
          </w:p>
        </w:tc>
        <w:tc>
          <w:tcPr>
            <w:tcW w:w="2946" w:type="dxa"/>
            <w:vAlign w:val="top"/>
          </w:tcPr>
          <w:p w14:paraId="575DB23B">
            <w:pPr>
              <w:spacing w:line="360" w:lineRule="auto"/>
              <w:rPr>
                <w:rFonts w:ascii="Arial"/>
                <w:sz w:val="21"/>
              </w:rPr>
            </w:pPr>
          </w:p>
        </w:tc>
        <w:tc>
          <w:tcPr>
            <w:tcW w:w="3481" w:type="dxa"/>
            <w:vAlign w:val="top"/>
          </w:tcPr>
          <w:p w14:paraId="6242F5E3">
            <w:pPr>
              <w:spacing w:line="360" w:lineRule="auto"/>
              <w:rPr>
                <w:rFonts w:ascii="Arial"/>
                <w:sz w:val="21"/>
              </w:rPr>
            </w:pPr>
          </w:p>
        </w:tc>
        <w:tc>
          <w:tcPr>
            <w:tcW w:w="1787" w:type="dxa"/>
            <w:vAlign w:val="top"/>
          </w:tcPr>
          <w:p w14:paraId="23984072">
            <w:pPr>
              <w:spacing w:line="360" w:lineRule="auto"/>
              <w:rPr>
                <w:rFonts w:ascii="Arial"/>
                <w:sz w:val="21"/>
              </w:rPr>
            </w:pPr>
          </w:p>
        </w:tc>
      </w:tr>
      <w:tr w14:paraId="03940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035" w:type="dxa"/>
            <w:vAlign w:val="top"/>
          </w:tcPr>
          <w:p w14:paraId="1F6EACA0">
            <w:pPr>
              <w:spacing w:line="360" w:lineRule="auto"/>
              <w:rPr>
                <w:rFonts w:ascii="Arial"/>
                <w:sz w:val="21"/>
              </w:rPr>
            </w:pPr>
          </w:p>
        </w:tc>
        <w:tc>
          <w:tcPr>
            <w:tcW w:w="2946" w:type="dxa"/>
            <w:vAlign w:val="top"/>
          </w:tcPr>
          <w:p w14:paraId="53F5FC0D">
            <w:pPr>
              <w:spacing w:line="360" w:lineRule="auto"/>
              <w:rPr>
                <w:rFonts w:ascii="Arial"/>
                <w:sz w:val="21"/>
              </w:rPr>
            </w:pPr>
          </w:p>
        </w:tc>
        <w:tc>
          <w:tcPr>
            <w:tcW w:w="3481" w:type="dxa"/>
            <w:vAlign w:val="top"/>
          </w:tcPr>
          <w:p w14:paraId="4334FC89">
            <w:pPr>
              <w:spacing w:line="360" w:lineRule="auto"/>
              <w:rPr>
                <w:rFonts w:ascii="Arial"/>
                <w:sz w:val="21"/>
              </w:rPr>
            </w:pPr>
          </w:p>
        </w:tc>
        <w:tc>
          <w:tcPr>
            <w:tcW w:w="1787" w:type="dxa"/>
            <w:vAlign w:val="top"/>
          </w:tcPr>
          <w:p w14:paraId="162E22AE">
            <w:pPr>
              <w:spacing w:line="360" w:lineRule="auto"/>
              <w:rPr>
                <w:rFonts w:ascii="Arial"/>
                <w:sz w:val="21"/>
              </w:rPr>
            </w:pPr>
          </w:p>
        </w:tc>
      </w:tr>
      <w:tr w14:paraId="6B13B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035" w:type="dxa"/>
            <w:vAlign w:val="top"/>
          </w:tcPr>
          <w:p w14:paraId="7258D6C4">
            <w:pPr>
              <w:spacing w:line="360" w:lineRule="auto"/>
              <w:rPr>
                <w:rFonts w:ascii="Arial"/>
                <w:sz w:val="21"/>
              </w:rPr>
            </w:pPr>
          </w:p>
        </w:tc>
        <w:tc>
          <w:tcPr>
            <w:tcW w:w="2946" w:type="dxa"/>
            <w:vAlign w:val="top"/>
          </w:tcPr>
          <w:p w14:paraId="0F22B615">
            <w:pPr>
              <w:spacing w:line="360" w:lineRule="auto"/>
              <w:rPr>
                <w:rFonts w:ascii="Arial"/>
                <w:sz w:val="21"/>
              </w:rPr>
            </w:pPr>
          </w:p>
        </w:tc>
        <w:tc>
          <w:tcPr>
            <w:tcW w:w="3481" w:type="dxa"/>
            <w:vAlign w:val="top"/>
          </w:tcPr>
          <w:p w14:paraId="77B6B81B">
            <w:pPr>
              <w:spacing w:line="360" w:lineRule="auto"/>
              <w:rPr>
                <w:rFonts w:ascii="Arial"/>
                <w:sz w:val="21"/>
              </w:rPr>
            </w:pPr>
          </w:p>
        </w:tc>
        <w:tc>
          <w:tcPr>
            <w:tcW w:w="1787" w:type="dxa"/>
            <w:vAlign w:val="top"/>
          </w:tcPr>
          <w:p w14:paraId="0FD4C06B">
            <w:pPr>
              <w:spacing w:line="360" w:lineRule="auto"/>
              <w:rPr>
                <w:rFonts w:ascii="Arial"/>
                <w:sz w:val="21"/>
              </w:rPr>
            </w:pPr>
          </w:p>
        </w:tc>
      </w:tr>
      <w:tr w14:paraId="4A3F2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035" w:type="dxa"/>
            <w:vAlign w:val="top"/>
          </w:tcPr>
          <w:p w14:paraId="6E7BE383">
            <w:pPr>
              <w:spacing w:line="360" w:lineRule="auto"/>
              <w:rPr>
                <w:rFonts w:ascii="Arial"/>
                <w:sz w:val="21"/>
              </w:rPr>
            </w:pPr>
          </w:p>
        </w:tc>
        <w:tc>
          <w:tcPr>
            <w:tcW w:w="2946" w:type="dxa"/>
            <w:vAlign w:val="top"/>
          </w:tcPr>
          <w:p w14:paraId="092E5221">
            <w:pPr>
              <w:spacing w:line="360" w:lineRule="auto"/>
              <w:rPr>
                <w:rFonts w:ascii="Arial"/>
                <w:sz w:val="21"/>
              </w:rPr>
            </w:pPr>
          </w:p>
        </w:tc>
        <w:tc>
          <w:tcPr>
            <w:tcW w:w="3481" w:type="dxa"/>
            <w:vAlign w:val="top"/>
          </w:tcPr>
          <w:p w14:paraId="0E24F076">
            <w:pPr>
              <w:spacing w:line="360" w:lineRule="auto"/>
              <w:rPr>
                <w:rFonts w:ascii="Arial"/>
                <w:sz w:val="21"/>
              </w:rPr>
            </w:pPr>
          </w:p>
        </w:tc>
        <w:tc>
          <w:tcPr>
            <w:tcW w:w="1787" w:type="dxa"/>
            <w:vAlign w:val="top"/>
          </w:tcPr>
          <w:p w14:paraId="6F918C77">
            <w:pPr>
              <w:spacing w:line="360" w:lineRule="auto"/>
              <w:rPr>
                <w:rFonts w:ascii="Arial"/>
                <w:sz w:val="21"/>
              </w:rPr>
            </w:pPr>
          </w:p>
        </w:tc>
      </w:tr>
      <w:tr w14:paraId="3AAD5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035" w:type="dxa"/>
            <w:vAlign w:val="top"/>
          </w:tcPr>
          <w:p w14:paraId="40A7605A">
            <w:pPr>
              <w:spacing w:line="360" w:lineRule="auto"/>
              <w:rPr>
                <w:rFonts w:ascii="Arial"/>
                <w:sz w:val="21"/>
              </w:rPr>
            </w:pPr>
          </w:p>
        </w:tc>
        <w:tc>
          <w:tcPr>
            <w:tcW w:w="2946" w:type="dxa"/>
            <w:vAlign w:val="top"/>
          </w:tcPr>
          <w:p w14:paraId="368882EF">
            <w:pPr>
              <w:spacing w:line="360" w:lineRule="auto"/>
              <w:rPr>
                <w:rFonts w:ascii="Arial"/>
                <w:sz w:val="21"/>
              </w:rPr>
            </w:pPr>
          </w:p>
        </w:tc>
        <w:tc>
          <w:tcPr>
            <w:tcW w:w="3481" w:type="dxa"/>
            <w:vAlign w:val="top"/>
          </w:tcPr>
          <w:p w14:paraId="67F3ACBC">
            <w:pPr>
              <w:spacing w:line="360" w:lineRule="auto"/>
              <w:rPr>
                <w:rFonts w:ascii="Arial"/>
                <w:sz w:val="21"/>
              </w:rPr>
            </w:pPr>
          </w:p>
        </w:tc>
        <w:tc>
          <w:tcPr>
            <w:tcW w:w="1787" w:type="dxa"/>
            <w:vAlign w:val="top"/>
          </w:tcPr>
          <w:p w14:paraId="22FAAE66">
            <w:pPr>
              <w:spacing w:line="360" w:lineRule="auto"/>
              <w:rPr>
                <w:rFonts w:ascii="Arial"/>
                <w:sz w:val="21"/>
              </w:rPr>
            </w:pPr>
          </w:p>
        </w:tc>
      </w:tr>
      <w:tr w14:paraId="243AF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035" w:type="dxa"/>
            <w:vAlign w:val="top"/>
          </w:tcPr>
          <w:p w14:paraId="0E672C8E">
            <w:pPr>
              <w:spacing w:line="360" w:lineRule="auto"/>
              <w:rPr>
                <w:rFonts w:ascii="Arial"/>
                <w:sz w:val="21"/>
              </w:rPr>
            </w:pPr>
          </w:p>
        </w:tc>
        <w:tc>
          <w:tcPr>
            <w:tcW w:w="2946" w:type="dxa"/>
            <w:vAlign w:val="top"/>
          </w:tcPr>
          <w:p w14:paraId="295B8E25">
            <w:pPr>
              <w:spacing w:line="360" w:lineRule="auto"/>
              <w:rPr>
                <w:rFonts w:ascii="Arial"/>
                <w:sz w:val="21"/>
              </w:rPr>
            </w:pPr>
          </w:p>
        </w:tc>
        <w:tc>
          <w:tcPr>
            <w:tcW w:w="3481" w:type="dxa"/>
            <w:vAlign w:val="top"/>
          </w:tcPr>
          <w:p w14:paraId="7705F1A8">
            <w:pPr>
              <w:spacing w:line="360" w:lineRule="auto"/>
              <w:rPr>
                <w:rFonts w:ascii="Arial"/>
                <w:sz w:val="21"/>
              </w:rPr>
            </w:pPr>
          </w:p>
        </w:tc>
        <w:tc>
          <w:tcPr>
            <w:tcW w:w="1787" w:type="dxa"/>
            <w:vAlign w:val="top"/>
          </w:tcPr>
          <w:p w14:paraId="18ACD650">
            <w:pPr>
              <w:spacing w:line="360" w:lineRule="auto"/>
              <w:rPr>
                <w:rFonts w:ascii="Arial"/>
                <w:sz w:val="21"/>
              </w:rPr>
            </w:pPr>
          </w:p>
        </w:tc>
      </w:tr>
      <w:tr w14:paraId="073B1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035" w:type="dxa"/>
            <w:vAlign w:val="top"/>
          </w:tcPr>
          <w:p w14:paraId="172D0590">
            <w:pPr>
              <w:spacing w:line="360" w:lineRule="auto"/>
              <w:rPr>
                <w:rFonts w:ascii="Arial"/>
                <w:sz w:val="21"/>
              </w:rPr>
            </w:pPr>
          </w:p>
        </w:tc>
        <w:tc>
          <w:tcPr>
            <w:tcW w:w="2946" w:type="dxa"/>
            <w:vAlign w:val="top"/>
          </w:tcPr>
          <w:p w14:paraId="331EAA95">
            <w:pPr>
              <w:spacing w:line="360" w:lineRule="auto"/>
              <w:rPr>
                <w:rFonts w:ascii="Arial"/>
                <w:sz w:val="21"/>
              </w:rPr>
            </w:pPr>
          </w:p>
        </w:tc>
        <w:tc>
          <w:tcPr>
            <w:tcW w:w="3481" w:type="dxa"/>
            <w:vAlign w:val="top"/>
          </w:tcPr>
          <w:p w14:paraId="1A018834">
            <w:pPr>
              <w:spacing w:line="360" w:lineRule="auto"/>
              <w:rPr>
                <w:rFonts w:ascii="Arial"/>
                <w:sz w:val="21"/>
              </w:rPr>
            </w:pPr>
          </w:p>
        </w:tc>
        <w:tc>
          <w:tcPr>
            <w:tcW w:w="1787" w:type="dxa"/>
            <w:vAlign w:val="top"/>
          </w:tcPr>
          <w:p w14:paraId="4A796DE7">
            <w:pPr>
              <w:spacing w:line="360" w:lineRule="auto"/>
              <w:rPr>
                <w:rFonts w:ascii="Arial"/>
                <w:sz w:val="21"/>
              </w:rPr>
            </w:pPr>
          </w:p>
        </w:tc>
      </w:tr>
      <w:tr w14:paraId="04FDE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035" w:type="dxa"/>
            <w:vAlign w:val="top"/>
          </w:tcPr>
          <w:p w14:paraId="0398F110">
            <w:pPr>
              <w:spacing w:line="360" w:lineRule="auto"/>
              <w:rPr>
                <w:rFonts w:ascii="Arial"/>
                <w:sz w:val="21"/>
              </w:rPr>
            </w:pPr>
          </w:p>
        </w:tc>
        <w:tc>
          <w:tcPr>
            <w:tcW w:w="2946" w:type="dxa"/>
            <w:vAlign w:val="top"/>
          </w:tcPr>
          <w:p w14:paraId="57A15577">
            <w:pPr>
              <w:spacing w:line="360" w:lineRule="auto"/>
              <w:rPr>
                <w:rFonts w:ascii="Arial"/>
                <w:sz w:val="21"/>
              </w:rPr>
            </w:pPr>
          </w:p>
        </w:tc>
        <w:tc>
          <w:tcPr>
            <w:tcW w:w="3481" w:type="dxa"/>
            <w:vAlign w:val="top"/>
          </w:tcPr>
          <w:p w14:paraId="00B3058A">
            <w:pPr>
              <w:spacing w:line="360" w:lineRule="auto"/>
              <w:rPr>
                <w:rFonts w:ascii="Arial"/>
                <w:sz w:val="21"/>
              </w:rPr>
            </w:pPr>
          </w:p>
        </w:tc>
        <w:tc>
          <w:tcPr>
            <w:tcW w:w="1787" w:type="dxa"/>
            <w:vAlign w:val="top"/>
          </w:tcPr>
          <w:p w14:paraId="490EC144">
            <w:pPr>
              <w:spacing w:line="360" w:lineRule="auto"/>
              <w:rPr>
                <w:rFonts w:ascii="Arial"/>
                <w:sz w:val="21"/>
              </w:rPr>
            </w:pPr>
          </w:p>
        </w:tc>
      </w:tr>
      <w:tr w14:paraId="2C100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035" w:type="dxa"/>
            <w:vAlign w:val="top"/>
          </w:tcPr>
          <w:p w14:paraId="763E33F1">
            <w:pPr>
              <w:spacing w:line="360" w:lineRule="auto"/>
              <w:rPr>
                <w:rFonts w:ascii="Arial"/>
                <w:sz w:val="21"/>
              </w:rPr>
            </w:pPr>
          </w:p>
        </w:tc>
        <w:tc>
          <w:tcPr>
            <w:tcW w:w="2946" w:type="dxa"/>
            <w:vAlign w:val="top"/>
          </w:tcPr>
          <w:p w14:paraId="262C8541">
            <w:pPr>
              <w:spacing w:line="360" w:lineRule="auto"/>
              <w:rPr>
                <w:rFonts w:ascii="Arial"/>
                <w:sz w:val="21"/>
              </w:rPr>
            </w:pPr>
          </w:p>
        </w:tc>
        <w:tc>
          <w:tcPr>
            <w:tcW w:w="3481" w:type="dxa"/>
            <w:vAlign w:val="top"/>
          </w:tcPr>
          <w:p w14:paraId="6832CF31">
            <w:pPr>
              <w:spacing w:line="360" w:lineRule="auto"/>
              <w:rPr>
                <w:rFonts w:ascii="Arial"/>
                <w:sz w:val="21"/>
              </w:rPr>
            </w:pPr>
          </w:p>
        </w:tc>
        <w:tc>
          <w:tcPr>
            <w:tcW w:w="1787" w:type="dxa"/>
            <w:vAlign w:val="top"/>
          </w:tcPr>
          <w:p w14:paraId="5D64985D">
            <w:pPr>
              <w:spacing w:line="360" w:lineRule="auto"/>
              <w:rPr>
                <w:rFonts w:ascii="Arial"/>
                <w:sz w:val="21"/>
              </w:rPr>
            </w:pPr>
          </w:p>
        </w:tc>
      </w:tr>
    </w:tbl>
    <w:p w14:paraId="42D2EE27">
      <w:pPr>
        <w:spacing w:before="156" w:line="360" w:lineRule="auto"/>
        <w:ind w:left="322"/>
        <w:rPr>
          <w:rFonts w:ascii="宋体" w:hAnsi="宋体" w:eastAsia="宋体" w:cs="宋体"/>
          <w:sz w:val="20"/>
          <w:szCs w:val="20"/>
        </w:rPr>
      </w:pPr>
      <w:r>
        <w:rPr>
          <w:rFonts w:ascii="宋体" w:hAnsi="宋体" w:eastAsia="宋体" w:cs="宋体"/>
          <w:sz w:val="20"/>
          <w:szCs w:val="20"/>
        </w:rPr>
        <w:t>注：</w:t>
      </w:r>
    </w:p>
    <w:p w14:paraId="4C701708">
      <w:pPr>
        <w:spacing w:before="167" w:line="360" w:lineRule="auto"/>
        <w:ind w:left="9" w:firstLine="328"/>
        <w:rPr>
          <w:rFonts w:ascii="宋体" w:hAnsi="宋体" w:eastAsia="宋体" w:cs="宋体"/>
          <w:sz w:val="20"/>
          <w:szCs w:val="20"/>
        </w:rPr>
      </w:pPr>
      <w:r>
        <w:rPr>
          <w:rFonts w:ascii="宋体" w:hAnsi="宋体" w:eastAsia="宋体" w:cs="宋体"/>
          <w:spacing w:val="10"/>
          <w:sz w:val="20"/>
          <w:szCs w:val="20"/>
        </w:rPr>
        <w:t>1.本表应严格按照“第五章采购内容及要求</w:t>
      </w:r>
      <w:r>
        <w:rPr>
          <w:rFonts w:ascii="宋体" w:hAnsi="宋体" w:eastAsia="宋体" w:cs="宋体"/>
          <w:spacing w:val="-70"/>
          <w:sz w:val="20"/>
          <w:szCs w:val="20"/>
        </w:rPr>
        <w:t xml:space="preserve"> </w:t>
      </w:r>
      <w:r>
        <w:rPr>
          <w:rFonts w:ascii="宋体" w:hAnsi="宋体" w:eastAsia="宋体" w:cs="宋体"/>
          <w:spacing w:val="10"/>
          <w:sz w:val="20"/>
          <w:szCs w:val="20"/>
        </w:rPr>
        <w:t>”中所包含的商务条款</w:t>
      </w:r>
      <w:r>
        <w:rPr>
          <w:rFonts w:ascii="宋体" w:hAnsi="宋体" w:eastAsia="宋体" w:cs="宋体"/>
          <w:spacing w:val="9"/>
          <w:sz w:val="20"/>
          <w:szCs w:val="20"/>
        </w:rPr>
        <w:t>填写；</w:t>
      </w:r>
      <w:r>
        <w:rPr>
          <w:rFonts w:ascii="宋体" w:hAnsi="宋体" w:eastAsia="宋体" w:cs="宋体"/>
          <w:spacing w:val="-80"/>
          <w:sz w:val="20"/>
          <w:szCs w:val="20"/>
        </w:rPr>
        <w:t xml:space="preserve"> </w:t>
      </w:r>
      <w:r>
        <w:rPr>
          <w:rFonts w:ascii="宋体" w:hAnsi="宋体" w:eastAsia="宋体" w:cs="宋体"/>
          <w:spacing w:val="9"/>
          <w:sz w:val="20"/>
          <w:szCs w:val="20"/>
        </w:rPr>
        <w:t>“竞争性磋商文件商务要求</w:t>
      </w:r>
      <w:r>
        <w:rPr>
          <w:rFonts w:ascii="宋体" w:hAnsi="宋体" w:eastAsia="宋体" w:cs="宋体"/>
          <w:spacing w:val="-70"/>
          <w:sz w:val="20"/>
          <w:szCs w:val="20"/>
        </w:rPr>
        <w:t xml:space="preserve"> </w:t>
      </w:r>
      <w:r>
        <w:rPr>
          <w:rFonts w:ascii="宋体" w:hAnsi="宋体" w:eastAsia="宋体" w:cs="宋体"/>
          <w:spacing w:val="9"/>
          <w:sz w:val="20"/>
          <w:szCs w:val="20"/>
        </w:rPr>
        <w:t>”</w:t>
      </w:r>
      <w:r>
        <w:rPr>
          <w:rFonts w:ascii="宋体" w:hAnsi="宋体" w:eastAsia="宋体" w:cs="宋体"/>
          <w:spacing w:val="11"/>
          <w:sz w:val="20"/>
          <w:szCs w:val="20"/>
        </w:rPr>
        <w:t>须按竞争性磋商文件商务要求的商务条款填写</w:t>
      </w:r>
      <w:r>
        <w:rPr>
          <w:rFonts w:ascii="宋体" w:hAnsi="宋体" w:eastAsia="宋体" w:cs="宋体"/>
          <w:spacing w:val="10"/>
          <w:sz w:val="20"/>
          <w:szCs w:val="20"/>
        </w:rPr>
        <w:t>；</w:t>
      </w:r>
      <w:r>
        <w:rPr>
          <w:rFonts w:ascii="宋体" w:hAnsi="宋体" w:eastAsia="宋体" w:cs="宋体"/>
          <w:spacing w:val="-77"/>
          <w:sz w:val="20"/>
          <w:szCs w:val="20"/>
        </w:rPr>
        <w:t xml:space="preserve"> </w:t>
      </w:r>
      <w:r>
        <w:rPr>
          <w:rFonts w:ascii="宋体" w:hAnsi="宋体" w:eastAsia="宋体" w:cs="宋体"/>
          <w:spacing w:val="10"/>
          <w:sz w:val="20"/>
          <w:szCs w:val="20"/>
        </w:rPr>
        <w:t>“竞争性磋商响应文件商务响应</w:t>
      </w:r>
      <w:r>
        <w:rPr>
          <w:rFonts w:ascii="宋体" w:hAnsi="宋体" w:eastAsia="宋体" w:cs="宋体"/>
          <w:spacing w:val="-70"/>
          <w:sz w:val="20"/>
          <w:szCs w:val="20"/>
        </w:rPr>
        <w:t xml:space="preserve"> </w:t>
      </w:r>
      <w:r>
        <w:rPr>
          <w:rFonts w:ascii="宋体" w:hAnsi="宋体" w:eastAsia="宋体" w:cs="宋体"/>
          <w:spacing w:val="10"/>
          <w:sz w:val="20"/>
          <w:szCs w:val="20"/>
        </w:rPr>
        <w:t>”为供应商所响应的商务</w:t>
      </w:r>
      <w:r>
        <w:rPr>
          <w:rFonts w:ascii="宋体" w:hAnsi="宋体" w:eastAsia="宋体" w:cs="宋体"/>
          <w:spacing w:val="7"/>
          <w:sz w:val="20"/>
          <w:szCs w:val="20"/>
        </w:rPr>
        <w:t>条款；</w:t>
      </w:r>
      <w:r>
        <w:rPr>
          <w:rFonts w:ascii="宋体" w:hAnsi="宋体" w:eastAsia="宋体" w:cs="宋体"/>
          <w:spacing w:val="-74"/>
          <w:sz w:val="20"/>
          <w:szCs w:val="20"/>
        </w:rPr>
        <w:t xml:space="preserve"> </w:t>
      </w:r>
      <w:r>
        <w:rPr>
          <w:rFonts w:ascii="宋体" w:hAnsi="宋体" w:eastAsia="宋体" w:cs="宋体"/>
          <w:spacing w:val="7"/>
          <w:sz w:val="20"/>
          <w:szCs w:val="20"/>
        </w:rPr>
        <w:t>“偏离及其影响</w:t>
      </w:r>
      <w:r>
        <w:rPr>
          <w:rFonts w:ascii="宋体" w:hAnsi="宋体" w:eastAsia="宋体" w:cs="宋体"/>
          <w:spacing w:val="-70"/>
          <w:sz w:val="20"/>
          <w:szCs w:val="20"/>
        </w:rPr>
        <w:t xml:space="preserve"> </w:t>
      </w:r>
      <w:r>
        <w:rPr>
          <w:rFonts w:ascii="宋体" w:hAnsi="宋体" w:eastAsia="宋体" w:cs="宋体"/>
          <w:spacing w:val="7"/>
          <w:sz w:val="20"/>
          <w:szCs w:val="20"/>
        </w:rPr>
        <w:t>”填写：正偏离、无偏离或负偏离。</w:t>
      </w:r>
    </w:p>
    <w:p w14:paraId="08B5E904">
      <w:pPr>
        <w:spacing w:before="1" w:line="360" w:lineRule="auto"/>
        <w:ind w:left="325"/>
        <w:rPr>
          <w:rFonts w:ascii="宋体" w:hAnsi="宋体" w:eastAsia="宋体" w:cs="宋体"/>
          <w:sz w:val="20"/>
          <w:szCs w:val="20"/>
        </w:rPr>
      </w:pPr>
      <w:r>
        <w:rPr>
          <w:rFonts w:ascii="宋体" w:hAnsi="宋体" w:eastAsia="宋体" w:cs="宋体"/>
          <w:spacing w:val="9"/>
          <w:sz w:val="20"/>
          <w:szCs w:val="20"/>
        </w:rPr>
        <w:t>2.供应商必须据实填写，不得虚假响应，否则将取消其投标或成交资格，并按有关规定进行处罚。</w:t>
      </w:r>
    </w:p>
    <w:p w14:paraId="7141FDC0">
      <w:pPr>
        <w:pStyle w:val="4"/>
        <w:spacing w:line="360" w:lineRule="auto"/>
      </w:pPr>
    </w:p>
    <w:p w14:paraId="09069F10">
      <w:pPr>
        <w:pStyle w:val="4"/>
        <w:spacing w:line="360" w:lineRule="auto"/>
      </w:pPr>
    </w:p>
    <w:p w14:paraId="56F12333">
      <w:pPr>
        <w:spacing w:before="78" w:line="360" w:lineRule="auto"/>
        <w:ind w:left="249"/>
        <w:rPr>
          <w:rFonts w:ascii="宋体" w:hAnsi="宋体" w:eastAsia="宋体" w:cs="宋体"/>
          <w:sz w:val="24"/>
          <w:szCs w:val="24"/>
        </w:rPr>
      </w:pPr>
      <w:r>
        <w:rPr>
          <w:rFonts w:ascii="宋体" w:hAnsi="宋体" w:eastAsia="宋体" w:cs="宋体"/>
          <w:spacing w:val="3"/>
          <w:sz w:val="24"/>
          <w:szCs w:val="24"/>
        </w:rPr>
        <w:t>供应商名称</w:t>
      </w:r>
      <w:r>
        <w:rPr>
          <w:rFonts w:ascii="宋体" w:hAnsi="宋体" w:eastAsia="宋体" w:cs="宋体"/>
          <w:spacing w:val="-18"/>
          <w:sz w:val="24"/>
          <w:szCs w:val="24"/>
        </w:rPr>
        <w:t>：（</w:t>
      </w:r>
      <w:r>
        <w:rPr>
          <w:rFonts w:ascii="宋体" w:hAnsi="宋体" w:eastAsia="宋体" w:cs="宋体"/>
          <w:spacing w:val="3"/>
          <w:sz w:val="24"/>
          <w:szCs w:val="24"/>
        </w:rPr>
        <w:t>盖章）</w:t>
      </w:r>
    </w:p>
    <w:p w14:paraId="4BA7C6FC">
      <w:pPr>
        <w:pStyle w:val="4"/>
        <w:spacing w:line="360" w:lineRule="auto"/>
      </w:pPr>
    </w:p>
    <w:p w14:paraId="5BFD313F">
      <w:pPr>
        <w:spacing w:before="78" w:line="360" w:lineRule="auto"/>
        <w:ind w:left="250"/>
        <w:rPr>
          <w:rFonts w:ascii="宋体" w:hAnsi="宋体" w:eastAsia="宋体" w:cs="宋体"/>
          <w:sz w:val="24"/>
          <w:szCs w:val="24"/>
        </w:rPr>
      </w:pPr>
      <w:r>
        <w:rPr>
          <w:rFonts w:ascii="宋体" w:hAnsi="宋体" w:eastAsia="宋体" w:cs="宋体"/>
          <w:spacing w:val="-4"/>
          <w:sz w:val="24"/>
          <w:szCs w:val="24"/>
        </w:rPr>
        <w:t>法定代表人或其授权代表（签名或盖章</w:t>
      </w:r>
      <w:r>
        <w:rPr>
          <w:rFonts w:ascii="宋体" w:hAnsi="宋体" w:eastAsia="宋体" w:cs="宋体"/>
          <w:spacing w:val="9"/>
          <w:sz w:val="24"/>
          <w:szCs w:val="24"/>
        </w:rPr>
        <w:t>）：</w:t>
      </w:r>
      <w:r>
        <w:rPr>
          <w:rFonts w:ascii="宋体" w:hAnsi="宋体" w:eastAsia="宋体" w:cs="宋体"/>
          <w:spacing w:val="5"/>
          <w:sz w:val="24"/>
          <w:szCs w:val="24"/>
        </w:rPr>
        <w:t xml:space="preserve">         </w:t>
      </w:r>
      <w:r>
        <w:rPr>
          <w:rFonts w:ascii="宋体" w:hAnsi="宋体" w:eastAsia="宋体" w:cs="宋体"/>
          <w:spacing w:val="-4"/>
          <w:sz w:val="24"/>
          <w:szCs w:val="24"/>
        </w:rPr>
        <w:t>日期：</w:t>
      </w:r>
    </w:p>
    <w:p w14:paraId="061B436A">
      <w:pPr>
        <w:spacing w:line="360" w:lineRule="auto"/>
        <w:rPr>
          <w:rFonts w:ascii="宋体" w:hAnsi="宋体" w:eastAsia="宋体" w:cs="宋体"/>
          <w:sz w:val="24"/>
          <w:szCs w:val="24"/>
        </w:rPr>
        <w:sectPr>
          <w:headerReference r:id="rId37" w:type="default"/>
          <w:footerReference r:id="rId38" w:type="default"/>
          <w:pgSz w:w="11906" w:h="16839"/>
          <w:pgMar w:top="1166" w:right="962" w:bottom="1166" w:left="1080" w:header="829" w:footer="952" w:gutter="0"/>
          <w:cols w:space="720" w:num="1"/>
        </w:sectPr>
      </w:pPr>
    </w:p>
    <w:p w14:paraId="5C8C7ED2">
      <w:pPr>
        <w:pStyle w:val="4"/>
        <w:spacing w:line="360" w:lineRule="auto"/>
      </w:pPr>
    </w:p>
    <w:p w14:paraId="347A017F">
      <w:pPr>
        <w:spacing w:before="78" w:line="360" w:lineRule="auto"/>
        <w:ind w:left="3688"/>
        <w:rPr>
          <w:rFonts w:ascii="宋体" w:hAnsi="宋体" w:eastAsia="宋体" w:cs="宋体"/>
          <w:sz w:val="24"/>
          <w:szCs w:val="24"/>
        </w:rPr>
      </w:pPr>
      <w:r>
        <w:rPr>
          <w:rFonts w:ascii="宋体" w:hAnsi="宋体" w:eastAsia="宋体" w:cs="宋体"/>
          <w:b/>
          <w:bCs/>
          <w:spacing w:val="-4"/>
          <w:sz w:val="24"/>
          <w:szCs w:val="24"/>
        </w:rPr>
        <w:t>（二）服务内容偏离表</w:t>
      </w:r>
    </w:p>
    <w:p w14:paraId="03FC3E80">
      <w:pPr>
        <w:spacing w:line="360" w:lineRule="auto"/>
        <w:rPr>
          <w:rFonts w:ascii="Arial"/>
          <w:sz w:val="2"/>
        </w:rPr>
      </w:pPr>
    </w:p>
    <w:tbl>
      <w:tblPr>
        <w:tblStyle w:val="12"/>
        <w:tblW w:w="9249" w:type="dxa"/>
        <w:tblInd w:w="2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5"/>
        <w:gridCol w:w="2946"/>
        <w:gridCol w:w="3481"/>
        <w:gridCol w:w="1787"/>
      </w:tblGrid>
      <w:tr w14:paraId="538FF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1035" w:type="dxa"/>
            <w:vAlign w:val="top"/>
          </w:tcPr>
          <w:p w14:paraId="6B462D2C">
            <w:pPr>
              <w:spacing w:line="360" w:lineRule="auto"/>
              <w:rPr>
                <w:rFonts w:ascii="Arial"/>
                <w:sz w:val="21"/>
              </w:rPr>
            </w:pPr>
          </w:p>
          <w:p w14:paraId="020FC3B6">
            <w:pPr>
              <w:pStyle w:val="13"/>
              <w:spacing w:before="78" w:line="360" w:lineRule="auto"/>
              <w:ind w:left="283"/>
            </w:pPr>
            <w:r>
              <w:rPr>
                <w:spacing w:val="-5"/>
              </w:rPr>
              <w:t>序号</w:t>
            </w:r>
          </w:p>
        </w:tc>
        <w:tc>
          <w:tcPr>
            <w:tcW w:w="2946" w:type="dxa"/>
            <w:vAlign w:val="top"/>
          </w:tcPr>
          <w:p w14:paraId="111563EF">
            <w:pPr>
              <w:pStyle w:val="13"/>
              <w:spacing w:before="134" w:line="360" w:lineRule="auto"/>
              <w:ind w:left="759" w:right="631" w:hanging="117"/>
            </w:pPr>
            <w:r>
              <w:rPr>
                <w:spacing w:val="-2"/>
              </w:rPr>
              <w:t>竞争性磋商文件服务内容要求</w:t>
            </w:r>
          </w:p>
        </w:tc>
        <w:tc>
          <w:tcPr>
            <w:tcW w:w="3481" w:type="dxa"/>
            <w:vAlign w:val="top"/>
          </w:tcPr>
          <w:p w14:paraId="42A27557">
            <w:pPr>
              <w:pStyle w:val="13"/>
              <w:spacing w:before="134" w:line="360" w:lineRule="auto"/>
              <w:ind w:left="1026" w:right="658" w:hanging="357"/>
            </w:pPr>
            <w:r>
              <w:rPr>
                <w:spacing w:val="-2"/>
              </w:rPr>
              <w:t>竞争性磋商响应文件服务内容响应</w:t>
            </w:r>
          </w:p>
        </w:tc>
        <w:tc>
          <w:tcPr>
            <w:tcW w:w="1787" w:type="dxa"/>
            <w:vAlign w:val="top"/>
          </w:tcPr>
          <w:p w14:paraId="4A4D91FC">
            <w:pPr>
              <w:spacing w:line="360" w:lineRule="auto"/>
              <w:rPr>
                <w:rFonts w:ascii="Arial"/>
                <w:sz w:val="21"/>
              </w:rPr>
            </w:pPr>
          </w:p>
          <w:p w14:paraId="53C0B405">
            <w:pPr>
              <w:pStyle w:val="13"/>
              <w:spacing w:before="78" w:line="360" w:lineRule="auto"/>
              <w:ind w:left="181"/>
            </w:pPr>
            <w:r>
              <w:rPr>
                <w:spacing w:val="-2"/>
              </w:rPr>
              <w:t>偏离及其影响</w:t>
            </w:r>
          </w:p>
        </w:tc>
      </w:tr>
      <w:tr w14:paraId="1AC3E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035" w:type="dxa"/>
            <w:vAlign w:val="top"/>
          </w:tcPr>
          <w:p w14:paraId="7582CEF4">
            <w:pPr>
              <w:spacing w:line="360" w:lineRule="auto"/>
              <w:rPr>
                <w:rFonts w:ascii="Arial"/>
                <w:sz w:val="21"/>
              </w:rPr>
            </w:pPr>
          </w:p>
        </w:tc>
        <w:tc>
          <w:tcPr>
            <w:tcW w:w="2946" w:type="dxa"/>
            <w:vAlign w:val="top"/>
          </w:tcPr>
          <w:p w14:paraId="73575152">
            <w:pPr>
              <w:spacing w:line="360" w:lineRule="auto"/>
              <w:rPr>
                <w:rFonts w:ascii="Arial"/>
                <w:sz w:val="21"/>
              </w:rPr>
            </w:pPr>
          </w:p>
        </w:tc>
        <w:tc>
          <w:tcPr>
            <w:tcW w:w="3481" w:type="dxa"/>
            <w:vAlign w:val="top"/>
          </w:tcPr>
          <w:p w14:paraId="20BA175D">
            <w:pPr>
              <w:spacing w:line="360" w:lineRule="auto"/>
              <w:rPr>
                <w:rFonts w:ascii="Arial"/>
                <w:sz w:val="21"/>
              </w:rPr>
            </w:pPr>
          </w:p>
        </w:tc>
        <w:tc>
          <w:tcPr>
            <w:tcW w:w="1787" w:type="dxa"/>
            <w:vAlign w:val="top"/>
          </w:tcPr>
          <w:p w14:paraId="4723823D">
            <w:pPr>
              <w:spacing w:line="360" w:lineRule="auto"/>
              <w:rPr>
                <w:rFonts w:ascii="Arial"/>
                <w:sz w:val="21"/>
              </w:rPr>
            </w:pPr>
          </w:p>
        </w:tc>
      </w:tr>
      <w:tr w14:paraId="30796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035" w:type="dxa"/>
            <w:vAlign w:val="top"/>
          </w:tcPr>
          <w:p w14:paraId="459241F9">
            <w:pPr>
              <w:spacing w:line="360" w:lineRule="auto"/>
              <w:rPr>
                <w:rFonts w:ascii="Arial"/>
                <w:sz w:val="21"/>
              </w:rPr>
            </w:pPr>
          </w:p>
        </w:tc>
        <w:tc>
          <w:tcPr>
            <w:tcW w:w="2946" w:type="dxa"/>
            <w:vAlign w:val="top"/>
          </w:tcPr>
          <w:p w14:paraId="1ABAE14F">
            <w:pPr>
              <w:spacing w:line="360" w:lineRule="auto"/>
              <w:rPr>
                <w:rFonts w:ascii="Arial"/>
                <w:sz w:val="21"/>
              </w:rPr>
            </w:pPr>
          </w:p>
        </w:tc>
        <w:tc>
          <w:tcPr>
            <w:tcW w:w="3481" w:type="dxa"/>
            <w:vAlign w:val="top"/>
          </w:tcPr>
          <w:p w14:paraId="49E3E0A5">
            <w:pPr>
              <w:spacing w:line="360" w:lineRule="auto"/>
              <w:rPr>
                <w:rFonts w:ascii="Arial"/>
                <w:sz w:val="21"/>
              </w:rPr>
            </w:pPr>
          </w:p>
        </w:tc>
        <w:tc>
          <w:tcPr>
            <w:tcW w:w="1787" w:type="dxa"/>
            <w:vAlign w:val="top"/>
          </w:tcPr>
          <w:p w14:paraId="19268E64">
            <w:pPr>
              <w:spacing w:line="360" w:lineRule="auto"/>
              <w:rPr>
                <w:rFonts w:ascii="Arial"/>
                <w:sz w:val="21"/>
              </w:rPr>
            </w:pPr>
          </w:p>
        </w:tc>
      </w:tr>
      <w:tr w14:paraId="70FA4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035" w:type="dxa"/>
            <w:vAlign w:val="top"/>
          </w:tcPr>
          <w:p w14:paraId="107EB5E2">
            <w:pPr>
              <w:spacing w:line="360" w:lineRule="auto"/>
              <w:rPr>
                <w:rFonts w:ascii="Arial"/>
                <w:sz w:val="21"/>
              </w:rPr>
            </w:pPr>
          </w:p>
        </w:tc>
        <w:tc>
          <w:tcPr>
            <w:tcW w:w="2946" w:type="dxa"/>
            <w:vAlign w:val="top"/>
          </w:tcPr>
          <w:p w14:paraId="31659E34">
            <w:pPr>
              <w:spacing w:line="360" w:lineRule="auto"/>
              <w:rPr>
                <w:rFonts w:ascii="Arial"/>
                <w:sz w:val="21"/>
              </w:rPr>
            </w:pPr>
          </w:p>
        </w:tc>
        <w:tc>
          <w:tcPr>
            <w:tcW w:w="3481" w:type="dxa"/>
            <w:vAlign w:val="top"/>
          </w:tcPr>
          <w:p w14:paraId="26F493AC">
            <w:pPr>
              <w:spacing w:line="360" w:lineRule="auto"/>
              <w:rPr>
                <w:rFonts w:ascii="Arial"/>
                <w:sz w:val="21"/>
              </w:rPr>
            </w:pPr>
          </w:p>
        </w:tc>
        <w:tc>
          <w:tcPr>
            <w:tcW w:w="1787" w:type="dxa"/>
            <w:vAlign w:val="top"/>
          </w:tcPr>
          <w:p w14:paraId="01E5C220">
            <w:pPr>
              <w:spacing w:line="360" w:lineRule="auto"/>
              <w:rPr>
                <w:rFonts w:ascii="Arial"/>
                <w:sz w:val="21"/>
              </w:rPr>
            </w:pPr>
          </w:p>
        </w:tc>
      </w:tr>
      <w:tr w14:paraId="4AE52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035" w:type="dxa"/>
            <w:vAlign w:val="top"/>
          </w:tcPr>
          <w:p w14:paraId="4D82E346">
            <w:pPr>
              <w:spacing w:line="360" w:lineRule="auto"/>
              <w:rPr>
                <w:rFonts w:ascii="Arial"/>
                <w:sz w:val="21"/>
              </w:rPr>
            </w:pPr>
          </w:p>
        </w:tc>
        <w:tc>
          <w:tcPr>
            <w:tcW w:w="2946" w:type="dxa"/>
            <w:vAlign w:val="top"/>
          </w:tcPr>
          <w:p w14:paraId="2136F62C">
            <w:pPr>
              <w:spacing w:line="360" w:lineRule="auto"/>
              <w:rPr>
                <w:rFonts w:ascii="Arial"/>
                <w:sz w:val="21"/>
              </w:rPr>
            </w:pPr>
          </w:p>
        </w:tc>
        <w:tc>
          <w:tcPr>
            <w:tcW w:w="3481" w:type="dxa"/>
            <w:vAlign w:val="top"/>
          </w:tcPr>
          <w:p w14:paraId="024866A2">
            <w:pPr>
              <w:spacing w:line="360" w:lineRule="auto"/>
              <w:rPr>
                <w:rFonts w:ascii="Arial"/>
                <w:sz w:val="21"/>
              </w:rPr>
            </w:pPr>
          </w:p>
        </w:tc>
        <w:tc>
          <w:tcPr>
            <w:tcW w:w="1787" w:type="dxa"/>
            <w:vAlign w:val="top"/>
          </w:tcPr>
          <w:p w14:paraId="06761232">
            <w:pPr>
              <w:spacing w:line="360" w:lineRule="auto"/>
              <w:rPr>
                <w:rFonts w:ascii="Arial"/>
                <w:sz w:val="21"/>
              </w:rPr>
            </w:pPr>
          </w:p>
        </w:tc>
      </w:tr>
      <w:tr w14:paraId="0FF85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035" w:type="dxa"/>
            <w:vAlign w:val="top"/>
          </w:tcPr>
          <w:p w14:paraId="647EAB43">
            <w:pPr>
              <w:spacing w:line="360" w:lineRule="auto"/>
              <w:rPr>
                <w:rFonts w:ascii="Arial"/>
                <w:sz w:val="21"/>
              </w:rPr>
            </w:pPr>
          </w:p>
        </w:tc>
        <w:tc>
          <w:tcPr>
            <w:tcW w:w="2946" w:type="dxa"/>
            <w:vAlign w:val="top"/>
          </w:tcPr>
          <w:p w14:paraId="72A86177">
            <w:pPr>
              <w:spacing w:line="360" w:lineRule="auto"/>
              <w:rPr>
                <w:rFonts w:ascii="Arial"/>
                <w:sz w:val="21"/>
              </w:rPr>
            </w:pPr>
          </w:p>
        </w:tc>
        <w:tc>
          <w:tcPr>
            <w:tcW w:w="3481" w:type="dxa"/>
            <w:vAlign w:val="top"/>
          </w:tcPr>
          <w:p w14:paraId="246AA480">
            <w:pPr>
              <w:spacing w:line="360" w:lineRule="auto"/>
              <w:rPr>
                <w:rFonts w:ascii="Arial"/>
                <w:sz w:val="21"/>
              </w:rPr>
            </w:pPr>
          </w:p>
        </w:tc>
        <w:tc>
          <w:tcPr>
            <w:tcW w:w="1787" w:type="dxa"/>
            <w:vAlign w:val="top"/>
          </w:tcPr>
          <w:p w14:paraId="2F1941AF">
            <w:pPr>
              <w:spacing w:line="360" w:lineRule="auto"/>
              <w:rPr>
                <w:rFonts w:ascii="Arial"/>
                <w:sz w:val="21"/>
              </w:rPr>
            </w:pPr>
          </w:p>
        </w:tc>
      </w:tr>
      <w:tr w14:paraId="7927B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035" w:type="dxa"/>
            <w:vAlign w:val="top"/>
          </w:tcPr>
          <w:p w14:paraId="42FB8415">
            <w:pPr>
              <w:spacing w:line="360" w:lineRule="auto"/>
              <w:rPr>
                <w:rFonts w:ascii="Arial"/>
                <w:sz w:val="21"/>
              </w:rPr>
            </w:pPr>
          </w:p>
        </w:tc>
        <w:tc>
          <w:tcPr>
            <w:tcW w:w="2946" w:type="dxa"/>
            <w:vAlign w:val="top"/>
          </w:tcPr>
          <w:p w14:paraId="50AF5FA8">
            <w:pPr>
              <w:spacing w:line="360" w:lineRule="auto"/>
              <w:rPr>
                <w:rFonts w:ascii="Arial"/>
                <w:sz w:val="21"/>
              </w:rPr>
            </w:pPr>
          </w:p>
        </w:tc>
        <w:tc>
          <w:tcPr>
            <w:tcW w:w="3481" w:type="dxa"/>
            <w:vAlign w:val="top"/>
          </w:tcPr>
          <w:p w14:paraId="36AC63B9">
            <w:pPr>
              <w:spacing w:line="360" w:lineRule="auto"/>
              <w:rPr>
                <w:rFonts w:ascii="Arial"/>
                <w:sz w:val="21"/>
              </w:rPr>
            </w:pPr>
          </w:p>
        </w:tc>
        <w:tc>
          <w:tcPr>
            <w:tcW w:w="1787" w:type="dxa"/>
            <w:vAlign w:val="top"/>
          </w:tcPr>
          <w:p w14:paraId="07570A98">
            <w:pPr>
              <w:spacing w:line="360" w:lineRule="auto"/>
              <w:rPr>
                <w:rFonts w:ascii="Arial"/>
                <w:sz w:val="21"/>
              </w:rPr>
            </w:pPr>
          </w:p>
        </w:tc>
      </w:tr>
      <w:tr w14:paraId="4638F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035" w:type="dxa"/>
            <w:vAlign w:val="top"/>
          </w:tcPr>
          <w:p w14:paraId="4E582138">
            <w:pPr>
              <w:spacing w:line="360" w:lineRule="auto"/>
              <w:rPr>
                <w:rFonts w:ascii="Arial"/>
                <w:sz w:val="21"/>
              </w:rPr>
            </w:pPr>
          </w:p>
        </w:tc>
        <w:tc>
          <w:tcPr>
            <w:tcW w:w="2946" w:type="dxa"/>
            <w:vAlign w:val="top"/>
          </w:tcPr>
          <w:p w14:paraId="07550D19">
            <w:pPr>
              <w:spacing w:line="360" w:lineRule="auto"/>
              <w:rPr>
                <w:rFonts w:ascii="Arial"/>
                <w:sz w:val="21"/>
              </w:rPr>
            </w:pPr>
          </w:p>
        </w:tc>
        <w:tc>
          <w:tcPr>
            <w:tcW w:w="3481" w:type="dxa"/>
            <w:vAlign w:val="top"/>
          </w:tcPr>
          <w:p w14:paraId="028BF0FA">
            <w:pPr>
              <w:spacing w:line="360" w:lineRule="auto"/>
              <w:rPr>
                <w:rFonts w:ascii="Arial"/>
                <w:sz w:val="21"/>
              </w:rPr>
            </w:pPr>
          </w:p>
        </w:tc>
        <w:tc>
          <w:tcPr>
            <w:tcW w:w="1787" w:type="dxa"/>
            <w:vAlign w:val="top"/>
          </w:tcPr>
          <w:p w14:paraId="7B309F03">
            <w:pPr>
              <w:spacing w:line="360" w:lineRule="auto"/>
              <w:rPr>
                <w:rFonts w:ascii="Arial"/>
                <w:sz w:val="21"/>
              </w:rPr>
            </w:pPr>
          </w:p>
        </w:tc>
      </w:tr>
      <w:tr w14:paraId="51907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035" w:type="dxa"/>
            <w:vAlign w:val="top"/>
          </w:tcPr>
          <w:p w14:paraId="686C1352">
            <w:pPr>
              <w:spacing w:line="360" w:lineRule="auto"/>
              <w:rPr>
                <w:rFonts w:ascii="Arial"/>
                <w:sz w:val="21"/>
              </w:rPr>
            </w:pPr>
          </w:p>
        </w:tc>
        <w:tc>
          <w:tcPr>
            <w:tcW w:w="2946" w:type="dxa"/>
            <w:vAlign w:val="top"/>
          </w:tcPr>
          <w:p w14:paraId="14C062C7">
            <w:pPr>
              <w:spacing w:line="360" w:lineRule="auto"/>
              <w:rPr>
                <w:rFonts w:ascii="Arial"/>
                <w:sz w:val="21"/>
              </w:rPr>
            </w:pPr>
          </w:p>
        </w:tc>
        <w:tc>
          <w:tcPr>
            <w:tcW w:w="3481" w:type="dxa"/>
            <w:vAlign w:val="top"/>
          </w:tcPr>
          <w:p w14:paraId="1506CF6E">
            <w:pPr>
              <w:spacing w:line="360" w:lineRule="auto"/>
              <w:rPr>
                <w:rFonts w:ascii="Arial"/>
                <w:sz w:val="21"/>
              </w:rPr>
            </w:pPr>
          </w:p>
        </w:tc>
        <w:tc>
          <w:tcPr>
            <w:tcW w:w="1787" w:type="dxa"/>
            <w:vAlign w:val="top"/>
          </w:tcPr>
          <w:p w14:paraId="751B83B2">
            <w:pPr>
              <w:spacing w:line="360" w:lineRule="auto"/>
              <w:rPr>
                <w:rFonts w:ascii="Arial"/>
                <w:sz w:val="21"/>
              </w:rPr>
            </w:pPr>
          </w:p>
        </w:tc>
      </w:tr>
      <w:tr w14:paraId="0AF99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035" w:type="dxa"/>
            <w:vAlign w:val="top"/>
          </w:tcPr>
          <w:p w14:paraId="2EBF61E9">
            <w:pPr>
              <w:spacing w:line="360" w:lineRule="auto"/>
              <w:rPr>
                <w:rFonts w:ascii="Arial"/>
                <w:sz w:val="21"/>
              </w:rPr>
            </w:pPr>
          </w:p>
        </w:tc>
        <w:tc>
          <w:tcPr>
            <w:tcW w:w="2946" w:type="dxa"/>
            <w:vAlign w:val="top"/>
          </w:tcPr>
          <w:p w14:paraId="62CBD0CD">
            <w:pPr>
              <w:spacing w:line="360" w:lineRule="auto"/>
              <w:rPr>
                <w:rFonts w:ascii="Arial"/>
                <w:sz w:val="21"/>
              </w:rPr>
            </w:pPr>
          </w:p>
        </w:tc>
        <w:tc>
          <w:tcPr>
            <w:tcW w:w="3481" w:type="dxa"/>
            <w:vAlign w:val="top"/>
          </w:tcPr>
          <w:p w14:paraId="51BCD1BC">
            <w:pPr>
              <w:spacing w:line="360" w:lineRule="auto"/>
              <w:rPr>
                <w:rFonts w:ascii="Arial"/>
                <w:sz w:val="21"/>
              </w:rPr>
            </w:pPr>
          </w:p>
        </w:tc>
        <w:tc>
          <w:tcPr>
            <w:tcW w:w="1787" w:type="dxa"/>
            <w:vAlign w:val="top"/>
          </w:tcPr>
          <w:p w14:paraId="1570C187">
            <w:pPr>
              <w:spacing w:line="360" w:lineRule="auto"/>
              <w:rPr>
                <w:rFonts w:ascii="Arial"/>
                <w:sz w:val="21"/>
              </w:rPr>
            </w:pPr>
          </w:p>
        </w:tc>
      </w:tr>
    </w:tbl>
    <w:p w14:paraId="393B942D">
      <w:pPr>
        <w:spacing w:before="156" w:line="360" w:lineRule="auto"/>
        <w:ind w:left="322"/>
        <w:rPr>
          <w:rFonts w:ascii="宋体" w:hAnsi="宋体" w:eastAsia="宋体" w:cs="宋体"/>
          <w:sz w:val="20"/>
          <w:szCs w:val="20"/>
        </w:rPr>
      </w:pPr>
      <w:r>
        <w:rPr>
          <w:rFonts w:ascii="宋体" w:hAnsi="宋体" w:eastAsia="宋体" w:cs="宋体"/>
          <w:sz w:val="20"/>
          <w:szCs w:val="20"/>
        </w:rPr>
        <w:t>注：</w:t>
      </w:r>
    </w:p>
    <w:p w14:paraId="1FC5272C">
      <w:pPr>
        <w:spacing w:before="167" w:line="360" w:lineRule="auto"/>
        <w:ind w:left="10" w:right="1" w:firstLine="327"/>
        <w:rPr>
          <w:rFonts w:ascii="宋体" w:hAnsi="宋体" w:eastAsia="宋体" w:cs="宋体"/>
          <w:sz w:val="20"/>
          <w:szCs w:val="20"/>
        </w:rPr>
      </w:pPr>
      <w:r>
        <w:rPr>
          <w:rFonts w:ascii="宋体" w:hAnsi="宋体" w:eastAsia="宋体" w:cs="宋体"/>
          <w:spacing w:val="8"/>
          <w:sz w:val="20"/>
          <w:szCs w:val="20"/>
        </w:rPr>
        <w:t>1.本表应严格按照“第五章采购内容及要求</w:t>
      </w:r>
      <w:r>
        <w:rPr>
          <w:rFonts w:ascii="宋体" w:hAnsi="宋体" w:eastAsia="宋体" w:cs="宋体"/>
          <w:spacing w:val="-63"/>
          <w:sz w:val="20"/>
          <w:szCs w:val="20"/>
        </w:rPr>
        <w:t xml:space="preserve"> </w:t>
      </w:r>
      <w:r>
        <w:rPr>
          <w:rFonts w:ascii="宋体" w:hAnsi="宋体" w:eastAsia="宋体" w:cs="宋体"/>
          <w:spacing w:val="8"/>
          <w:sz w:val="20"/>
          <w:szCs w:val="20"/>
        </w:rPr>
        <w:t>”中所包含的服务内容要求填写；“竞争性磋商文件服务内</w:t>
      </w:r>
      <w:r>
        <w:rPr>
          <w:rFonts w:ascii="宋体" w:hAnsi="宋体" w:eastAsia="宋体" w:cs="宋体"/>
          <w:spacing w:val="10"/>
          <w:sz w:val="20"/>
          <w:szCs w:val="20"/>
        </w:rPr>
        <w:t>容要求</w:t>
      </w:r>
      <w:r>
        <w:rPr>
          <w:rFonts w:ascii="宋体" w:hAnsi="宋体" w:eastAsia="宋体" w:cs="宋体"/>
          <w:spacing w:val="-70"/>
          <w:sz w:val="20"/>
          <w:szCs w:val="20"/>
        </w:rPr>
        <w:t xml:space="preserve"> </w:t>
      </w:r>
      <w:r>
        <w:rPr>
          <w:rFonts w:ascii="宋体" w:hAnsi="宋体" w:eastAsia="宋体" w:cs="宋体"/>
          <w:spacing w:val="10"/>
          <w:sz w:val="20"/>
          <w:szCs w:val="20"/>
        </w:rPr>
        <w:t>”须按竞争性磋商文件服务内容要求填写；</w:t>
      </w:r>
      <w:r>
        <w:rPr>
          <w:rFonts w:ascii="宋体" w:hAnsi="宋体" w:eastAsia="宋体" w:cs="宋体"/>
          <w:spacing w:val="-78"/>
          <w:sz w:val="20"/>
          <w:szCs w:val="20"/>
        </w:rPr>
        <w:t xml:space="preserve"> </w:t>
      </w:r>
      <w:r>
        <w:rPr>
          <w:rFonts w:ascii="宋体" w:hAnsi="宋体" w:eastAsia="宋体" w:cs="宋体"/>
          <w:spacing w:val="10"/>
          <w:sz w:val="20"/>
          <w:szCs w:val="20"/>
        </w:rPr>
        <w:t>“竞争性磋商响应文件服</w:t>
      </w:r>
      <w:r>
        <w:rPr>
          <w:rFonts w:ascii="宋体" w:hAnsi="宋体" w:eastAsia="宋体" w:cs="宋体"/>
          <w:spacing w:val="9"/>
          <w:sz w:val="20"/>
          <w:szCs w:val="20"/>
        </w:rPr>
        <w:t>务内容响应</w:t>
      </w:r>
      <w:r>
        <w:rPr>
          <w:rFonts w:ascii="宋体" w:hAnsi="宋体" w:eastAsia="宋体" w:cs="宋体"/>
          <w:spacing w:val="-67"/>
          <w:sz w:val="20"/>
          <w:szCs w:val="20"/>
        </w:rPr>
        <w:t xml:space="preserve"> </w:t>
      </w:r>
      <w:r>
        <w:rPr>
          <w:rFonts w:ascii="宋体" w:hAnsi="宋体" w:eastAsia="宋体" w:cs="宋体"/>
          <w:spacing w:val="9"/>
          <w:sz w:val="20"/>
          <w:szCs w:val="20"/>
        </w:rPr>
        <w:t>”为供应商所响应</w:t>
      </w:r>
      <w:r>
        <w:rPr>
          <w:rFonts w:ascii="宋体" w:hAnsi="宋体" w:eastAsia="宋体" w:cs="宋体"/>
          <w:spacing w:val="7"/>
          <w:sz w:val="20"/>
          <w:szCs w:val="20"/>
        </w:rPr>
        <w:t>的服务内容；</w:t>
      </w:r>
      <w:r>
        <w:rPr>
          <w:rFonts w:ascii="宋体" w:hAnsi="宋体" w:eastAsia="宋体" w:cs="宋体"/>
          <w:spacing w:val="-67"/>
          <w:sz w:val="20"/>
          <w:szCs w:val="20"/>
        </w:rPr>
        <w:t xml:space="preserve"> </w:t>
      </w:r>
      <w:r>
        <w:rPr>
          <w:rFonts w:ascii="宋体" w:hAnsi="宋体" w:eastAsia="宋体" w:cs="宋体"/>
          <w:spacing w:val="7"/>
          <w:sz w:val="20"/>
          <w:szCs w:val="20"/>
        </w:rPr>
        <w:t>“偏离及其影响</w:t>
      </w:r>
      <w:r>
        <w:rPr>
          <w:rFonts w:ascii="宋体" w:hAnsi="宋体" w:eastAsia="宋体" w:cs="宋体"/>
          <w:spacing w:val="-70"/>
          <w:sz w:val="20"/>
          <w:szCs w:val="20"/>
        </w:rPr>
        <w:t xml:space="preserve"> </w:t>
      </w:r>
      <w:r>
        <w:rPr>
          <w:rFonts w:ascii="宋体" w:hAnsi="宋体" w:eastAsia="宋体" w:cs="宋体"/>
          <w:spacing w:val="7"/>
          <w:sz w:val="20"/>
          <w:szCs w:val="20"/>
        </w:rPr>
        <w:t>”填写：正偏离、无偏离或负偏离。</w:t>
      </w:r>
    </w:p>
    <w:p w14:paraId="5481032A">
      <w:pPr>
        <w:spacing w:line="360" w:lineRule="auto"/>
        <w:ind w:left="325"/>
        <w:rPr>
          <w:rFonts w:ascii="宋体" w:hAnsi="宋体" w:eastAsia="宋体" w:cs="宋体"/>
          <w:sz w:val="20"/>
          <w:szCs w:val="20"/>
        </w:rPr>
      </w:pPr>
      <w:r>
        <w:rPr>
          <w:rFonts w:ascii="宋体" w:hAnsi="宋体" w:eastAsia="宋体" w:cs="宋体"/>
          <w:spacing w:val="9"/>
          <w:sz w:val="20"/>
          <w:szCs w:val="20"/>
        </w:rPr>
        <w:t>2.供应商必须据实填写，不得虚假响应，否则将取消其投标或成交资格，并按有关规定进行处罚。</w:t>
      </w:r>
    </w:p>
    <w:p w14:paraId="5026E747">
      <w:pPr>
        <w:pStyle w:val="4"/>
        <w:spacing w:line="360" w:lineRule="auto"/>
      </w:pPr>
    </w:p>
    <w:p w14:paraId="10DCB1C5">
      <w:pPr>
        <w:pStyle w:val="4"/>
        <w:spacing w:line="360" w:lineRule="auto"/>
      </w:pPr>
    </w:p>
    <w:p w14:paraId="1E8D921F">
      <w:pPr>
        <w:spacing w:before="78" w:line="360" w:lineRule="auto"/>
        <w:ind w:left="729"/>
        <w:rPr>
          <w:rFonts w:ascii="宋体" w:hAnsi="宋体" w:eastAsia="宋体" w:cs="宋体"/>
          <w:sz w:val="24"/>
          <w:szCs w:val="24"/>
        </w:rPr>
      </w:pPr>
      <w:r>
        <w:rPr>
          <w:rFonts w:ascii="宋体" w:hAnsi="宋体" w:eastAsia="宋体" w:cs="宋体"/>
          <w:spacing w:val="3"/>
          <w:sz w:val="24"/>
          <w:szCs w:val="24"/>
        </w:rPr>
        <w:t>供应商名称</w:t>
      </w:r>
      <w:r>
        <w:rPr>
          <w:rFonts w:ascii="宋体" w:hAnsi="宋体" w:eastAsia="宋体" w:cs="宋体"/>
          <w:spacing w:val="-18"/>
          <w:sz w:val="24"/>
          <w:szCs w:val="24"/>
        </w:rPr>
        <w:t>：（</w:t>
      </w:r>
      <w:r>
        <w:rPr>
          <w:rFonts w:ascii="宋体" w:hAnsi="宋体" w:eastAsia="宋体" w:cs="宋体"/>
          <w:spacing w:val="3"/>
          <w:sz w:val="24"/>
          <w:szCs w:val="24"/>
        </w:rPr>
        <w:t>盖章）</w:t>
      </w:r>
    </w:p>
    <w:p w14:paraId="77BDD3AE">
      <w:pPr>
        <w:pStyle w:val="4"/>
        <w:spacing w:line="360" w:lineRule="auto"/>
      </w:pPr>
    </w:p>
    <w:p w14:paraId="3CE98DA8">
      <w:pPr>
        <w:pStyle w:val="4"/>
        <w:spacing w:line="360" w:lineRule="auto"/>
      </w:pPr>
    </w:p>
    <w:p w14:paraId="613ACB26">
      <w:pPr>
        <w:spacing w:before="79" w:line="360" w:lineRule="auto"/>
        <w:ind w:left="730"/>
        <w:rPr>
          <w:rFonts w:ascii="宋体" w:hAnsi="宋体" w:eastAsia="宋体" w:cs="宋体"/>
          <w:sz w:val="24"/>
          <w:szCs w:val="24"/>
        </w:rPr>
      </w:pPr>
      <w:r>
        <w:rPr>
          <w:rFonts w:ascii="宋体" w:hAnsi="宋体" w:eastAsia="宋体" w:cs="宋体"/>
          <w:spacing w:val="-4"/>
          <w:sz w:val="24"/>
          <w:szCs w:val="24"/>
        </w:rPr>
        <w:t>法定代表人或其授权代表（签名或盖章</w:t>
      </w:r>
      <w:r>
        <w:rPr>
          <w:rFonts w:ascii="宋体" w:hAnsi="宋体" w:eastAsia="宋体" w:cs="宋体"/>
          <w:spacing w:val="9"/>
          <w:sz w:val="24"/>
          <w:szCs w:val="24"/>
        </w:rPr>
        <w:t>）：</w:t>
      </w:r>
      <w:r>
        <w:rPr>
          <w:rFonts w:ascii="宋体" w:hAnsi="宋体" w:eastAsia="宋体" w:cs="宋体"/>
          <w:spacing w:val="5"/>
          <w:sz w:val="24"/>
          <w:szCs w:val="24"/>
        </w:rPr>
        <w:t xml:space="preserve">         </w:t>
      </w:r>
      <w:r>
        <w:rPr>
          <w:rFonts w:ascii="宋体" w:hAnsi="宋体" w:eastAsia="宋体" w:cs="宋体"/>
          <w:spacing w:val="-4"/>
          <w:sz w:val="24"/>
          <w:szCs w:val="24"/>
        </w:rPr>
        <w:t>日期：</w:t>
      </w:r>
    </w:p>
    <w:p w14:paraId="79FF0DCD">
      <w:pPr>
        <w:spacing w:line="360" w:lineRule="auto"/>
        <w:rPr>
          <w:rFonts w:ascii="宋体" w:hAnsi="宋体" w:eastAsia="宋体" w:cs="宋体"/>
          <w:sz w:val="24"/>
          <w:szCs w:val="24"/>
        </w:rPr>
        <w:sectPr>
          <w:headerReference r:id="rId39" w:type="default"/>
          <w:footerReference r:id="rId40" w:type="default"/>
          <w:pgSz w:w="11906" w:h="16839"/>
          <w:pgMar w:top="1166" w:right="1080" w:bottom="1166" w:left="1080" w:header="829" w:footer="952" w:gutter="0"/>
          <w:cols w:space="720" w:num="1"/>
        </w:sectPr>
      </w:pPr>
    </w:p>
    <w:p w14:paraId="700F753E">
      <w:pPr>
        <w:pStyle w:val="4"/>
        <w:spacing w:line="360" w:lineRule="auto"/>
      </w:pPr>
    </w:p>
    <w:p w14:paraId="111CA328">
      <w:pPr>
        <w:spacing w:before="91" w:line="360" w:lineRule="auto"/>
        <w:ind w:left="3618"/>
        <w:rPr>
          <w:rFonts w:ascii="宋体" w:hAnsi="宋体" w:eastAsia="宋体" w:cs="宋体"/>
          <w:sz w:val="28"/>
          <w:szCs w:val="28"/>
        </w:rPr>
      </w:pPr>
      <w:r>
        <w:rPr>
          <w:rFonts w:ascii="宋体" w:hAnsi="宋体" w:eastAsia="宋体" w:cs="宋体"/>
          <w:b/>
          <w:bCs/>
          <w:spacing w:val="-3"/>
          <w:sz w:val="28"/>
          <w:szCs w:val="28"/>
        </w:rPr>
        <w:t>第五部分</w:t>
      </w:r>
      <w:r>
        <w:rPr>
          <w:rFonts w:ascii="宋体" w:hAnsi="宋体" w:eastAsia="宋体" w:cs="宋体"/>
          <w:spacing w:val="-3"/>
          <w:sz w:val="28"/>
          <w:szCs w:val="28"/>
        </w:rPr>
        <w:t xml:space="preserve">  </w:t>
      </w:r>
      <w:r>
        <w:rPr>
          <w:rFonts w:ascii="宋体" w:hAnsi="宋体" w:eastAsia="宋体" w:cs="宋体"/>
          <w:b/>
          <w:bCs/>
          <w:spacing w:val="-3"/>
          <w:sz w:val="28"/>
          <w:szCs w:val="28"/>
        </w:rPr>
        <w:t>磋商方案</w:t>
      </w:r>
    </w:p>
    <w:p w14:paraId="4BFA9BC6">
      <w:pPr>
        <w:pStyle w:val="4"/>
        <w:spacing w:line="360" w:lineRule="auto"/>
      </w:pPr>
    </w:p>
    <w:p w14:paraId="3F6260AE">
      <w:pPr>
        <w:spacing w:before="78" w:line="360" w:lineRule="auto"/>
        <w:ind w:left="21" w:right="1" w:firstLine="546"/>
        <w:rPr>
          <w:rFonts w:ascii="宋体" w:hAnsi="宋体" w:eastAsia="宋体" w:cs="宋体"/>
          <w:sz w:val="24"/>
          <w:szCs w:val="24"/>
        </w:rPr>
      </w:pPr>
      <w:r>
        <w:rPr>
          <w:rFonts w:ascii="宋体" w:hAnsi="宋体" w:eastAsia="宋体" w:cs="宋体"/>
          <w:b/>
          <w:bCs/>
          <w:spacing w:val="-10"/>
          <w:sz w:val="24"/>
          <w:szCs w:val="24"/>
        </w:rPr>
        <w:t>注意：响应方案是磋商小组对响应文件进行评分的重要依据，请依照磋商文件“第</w:t>
      </w:r>
      <w:r>
        <w:rPr>
          <w:rFonts w:ascii="宋体" w:hAnsi="宋体" w:eastAsia="宋体" w:cs="宋体"/>
          <w:b/>
          <w:bCs/>
          <w:spacing w:val="-11"/>
          <w:sz w:val="24"/>
          <w:szCs w:val="24"/>
        </w:rPr>
        <w:t>四章</w:t>
      </w:r>
      <w:r>
        <w:rPr>
          <w:rFonts w:ascii="宋体" w:hAnsi="宋体" w:eastAsia="宋体" w:cs="宋体"/>
          <w:spacing w:val="-11"/>
          <w:sz w:val="24"/>
          <w:szCs w:val="24"/>
        </w:rPr>
        <w:t xml:space="preserve"> </w:t>
      </w:r>
      <w:r>
        <w:rPr>
          <w:rFonts w:ascii="宋体" w:hAnsi="宋体" w:eastAsia="宋体" w:cs="宋体"/>
          <w:b/>
          <w:bCs/>
          <w:spacing w:val="-11"/>
          <w:sz w:val="24"/>
          <w:szCs w:val="24"/>
        </w:rPr>
        <w:t>评</w:t>
      </w:r>
      <w:r>
        <w:rPr>
          <w:rFonts w:ascii="宋体" w:hAnsi="宋体" w:eastAsia="宋体" w:cs="宋体"/>
          <w:b/>
          <w:bCs/>
          <w:spacing w:val="-4"/>
          <w:sz w:val="24"/>
          <w:szCs w:val="24"/>
        </w:rPr>
        <w:t>审办法</w:t>
      </w:r>
      <w:r>
        <w:rPr>
          <w:rFonts w:ascii="宋体" w:hAnsi="宋体" w:eastAsia="宋体" w:cs="宋体"/>
          <w:spacing w:val="-86"/>
          <w:sz w:val="24"/>
          <w:szCs w:val="24"/>
        </w:rPr>
        <w:t xml:space="preserve"> </w:t>
      </w:r>
      <w:r>
        <w:rPr>
          <w:rFonts w:ascii="宋体" w:hAnsi="宋体" w:eastAsia="宋体" w:cs="宋体"/>
          <w:b/>
          <w:bCs/>
          <w:spacing w:val="-4"/>
          <w:sz w:val="24"/>
          <w:szCs w:val="24"/>
        </w:rPr>
        <w:t>”及“第五章</w:t>
      </w:r>
      <w:r>
        <w:rPr>
          <w:rFonts w:ascii="宋体" w:hAnsi="宋体" w:eastAsia="宋体" w:cs="宋体"/>
          <w:spacing w:val="-4"/>
          <w:sz w:val="24"/>
          <w:szCs w:val="24"/>
        </w:rPr>
        <w:t xml:space="preserve"> </w:t>
      </w:r>
      <w:r>
        <w:rPr>
          <w:rFonts w:ascii="宋体" w:hAnsi="宋体" w:eastAsia="宋体" w:cs="宋体"/>
          <w:b/>
          <w:bCs/>
          <w:spacing w:val="-4"/>
          <w:sz w:val="24"/>
          <w:szCs w:val="24"/>
        </w:rPr>
        <w:t>采购内容及要求</w:t>
      </w:r>
      <w:r>
        <w:rPr>
          <w:rFonts w:ascii="宋体" w:hAnsi="宋体" w:eastAsia="宋体" w:cs="宋体"/>
          <w:spacing w:val="-85"/>
          <w:sz w:val="24"/>
          <w:szCs w:val="24"/>
        </w:rPr>
        <w:t xml:space="preserve"> </w:t>
      </w:r>
      <w:r>
        <w:rPr>
          <w:rFonts w:ascii="宋体" w:hAnsi="宋体" w:eastAsia="宋体" w:cs="宋体"/>
          <w:b/>
          <w:bCs/>
          <w:spacing w:val="-4"/>
          <w:sz w:val="24"/>
          <w:szCs w:val="24"/>
        </w:rPr>
        <w:t>”要求编制进行</w:t>
      </w:r>
      <w:r>
        <w:rPr>
          <w:rFonts w:ascii="宋体" w:hAnsi="宋体" w:eastAsia="宋体" w:cs="宋体"/>
          <w:b/>
          <w:bCs/>
          <w:spacing w:val="-5"/>
          <w:sz w:val="24"/>
          <w:szCs w:val="24"/>
        </w:rPr>
        <w:t>认真编制，格式自拟。</w:t>
      </w:r>
    </w:p>
    <w:p w14:paraId="1717290A">
      <w:pPr>
        <w:spacing w:line="360" w:lineRule="auto"/>
        <w:rPr>
          <w:rFonts w:ascii="宋体" w:hAnsi="宋体" w:eastAsia="宋体" w:cs="宋体"/>
          <w:sz w:val="24"/>
          <w:szCs w:val="24"/>
        </w:rPr>
        <w:sectPr>
          <w:footerReference r:id="rId41" w:type="default"/>
          <w:pgSz w:w="11906" w:h="16839"/>
          <w:pgMar w:top="1166" w:right="1080" w:bottom="1166" w:left="1080" w:header="829" w:footer="952" w:gutter="0"/>
          <w:cols w:space="720" w:num="1"/>
        </w:sectPr>
      </w:pPr>
    </w:p>
    <w:p w14:paraId="37548569">
      <w:pPr>
        <w:pStyle w:val="4"/>
        <w:spacing w:line="360" w:lineRule="auto"/>
      </w:pPr>
    </w:p>
    <w:p w14:paraId="43093915">
      <w:pPr>
        <w:pStyle w:val="4"/>
        <w:spacing w:line="360" w:lineRule="auto"/>
      </w:pPr>
    </w:p>
    <w:p w14:paraId="2D2691E9">
      <w:pPr>
        <w:spacing w:before="91" w:line="360" w:lineRule="auto"/>
        <w:ind w:left="32"/>
        <w:outlineLvl w:val="1"/>
        <w:rPr>
          <w:rFonts w:ascii="宋体" w:hAnsi="宋体" w:eastAsia="宋体" w:cs="宋体"/>
          <w:sz w:val="28"/>
          <w:szCs w:val="28"/>
        </w:rPr>
      </w:pPr>
      <w:bookmarkStart w:id="86" w:name="_Toc29113"/>
      <w:r>
        <w:rPr>
          <w:rFonts w:ascii="宋体" w:hAnsi="宋体" w:eastAsia="宋体" w:cs="宋体"/>
          <w:b/>
          <w:bCs/>
          <w:spacing w:val="-19"/>
          <w:sz w:val="28"/>
          <w:szCs w:val="28"/>
        </w:rPr>
        <w:t>附表</w:t>
      </w:r>
      <w:r>
        <w:rPr>
          <w:rFonts w:ascii="宋体" w:hAnsi="宋体" w:eastAsia="宋体" w:cs="宋体"/>
          <w:spacing w:val="-38"/>
          <w:sz w:val="28"/>
          <w:szCs w:val="28"/>
        </w:rPr>
        <w:t xml:space="preserve"> </w:t>
      </w:r>
      <w:r>
        <w:rPr>
          <w:rFonts w:ascii="宋体" w:hAnsi="宋体" w:eastAsia="宋体" w:cs="宋体"/>
          <w:b/>
          <w:bCs/>
          <w:spacing w:val="-19"/>
          <w:sz w:val="28"/>
          <w:szCs w:val="28"/>
        </w:rPr>
        <w:t>1：</w:t>
      </w:r>
      <w:bookmarkEnd w:id="86"/>
    </w:p>
    <w:p w14:paraId="587626BD">
      <w:pPr>
        <w:spacing w:before="87" w:line="360" w:lineRule="auto"/>
        <w:ind w:left="2775"/>
        <w:outlineLvl w:val="1"/>
        <w:rPr>
          <w:rFonts w:ascii="宋体" w:hAnsi="宋体" w:eastAsia="宋体" w:cs="宋体"/>
          <w:sz w:val="28"/>
          <w:szCs w:val="28"/>
        </w:rPr>
      </w:pPr>
      <w:bookmarkStart w:id="87" w:name="_Toc13246"/>
      <w:r>
        <w:rPr>
          <w:rFonts w:ascii="宋体" w:hAnsi="宋体" w:eastAsia="宋体" w:cs="宋体"/>
          <w:b/>
          <w:bCs/>
          <w:spacing w:val="-3"/>
          <w:sz w:val="28"/>
          <w:szCs w:val="28"/>
        </w:rPr>
        <w:t>供应商近三年类似项目业绩一览表</w:t>
      </w:r>
      <w:bookmarkEnd w:id="87"/>
    </w:p>
    <w:p w14:paraId="44AADEA0">
      <w:pPr>
        <w:spacing w:before="122" w:line="360" w:lineRule="auto"/>
        <w:ind w:left="7811"/>
        <w:rPr>
          <w:rFonts w:ascii="宋体" w:hAnsi="宋体" w:eastAsia="宋体" w:cs="宋体"/>
          <w:sz w:val="24"/>
          <w:szCs w:val="24"/>
        </w:rPr>
      </w:pPr>
      <w:r>
        <w:rPr>
          <w:rFonts w:ascii="宋体" w:hAnsi="宋体" w:eastAsia="宋体" w:cs="宋体"/>
          <w:spacing w:val="-3"/>
          <w:sz w:val="24"/>
          <w:szCs w:val="24"/>
        </w:rPr>
        <w:t>单位：万元</w:t>
      </w:r>
    </w:p>
    <w:p w14:paraId="6698F712">
      <w:pPr>
        <w:spacing w:line="360" w:lineRule="auto"/>
        <w:rPr>
          <w:rFonts w:ascii="Arial"/>
          <w:sz w:val="2"/>
        </w:rPr>
      </w:pPr>
    </w:p>
    <w:tbl>
      <w:tblPr>
        <w:tblStyle w:val="12"/>
        <w:tblW w:w="9090" w:type="dxa"/>
        <w:tblInd w:w="32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5"/>
        <w:gridCol w:w="1837"/>
        <w:gridCol w:w="1837"/>
        <w:gridCol w:w="1979"/>
        <w:gridCol w:w="1555"/>
        <w:gridCol w:w="877"/>
      </w:tblGrid>
      <w:tr w14:paraId="15C64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05" w:type="dxa"/>
            <w:tcBorders>
              <w:top w:val="single" w:color="000000" w:sz="10" w:space="0"/>
              <w:left w:val="single" w:color="000000" w:sz="10" w:space="0"/>
            </w:tcBorders>
            <w:vAlign w:val="top"/>
          </w:tcPr>
          <w:p w14:paraId="57148620">
            <w:pPr>
              <w:pStyle w:val="13"/>
              <w:spacing w:before="278" w:line="360" w:lineRule="auto"/>
              <w:ind w:left="256"/>
            </w:pPr>
            <w:r>
              <w:rPr>
                <w:b/>
                <w:bCs/>
                <w:spacing w:val="-8"/>
              </w:rPr>
              <w:t>年份</w:t>
            </w:r>
          </w:p>
        </w:tc>
        <w:tc>
          <w:tcPr>
            <w:tcW w:w="1837" w:type="dxa"/>
            <w:tcBorders>
              <w:top w:val="single" w:color="000000" w:sz="10" w:space="0"/>
            </w:tcBorders>
            <w:vAlign w:val="top"/>
          </w:tcPr>
          <w:p w14:paraId="2FF5B59B">
            <w:pPr>
              <w:pStyle w:val="13"/>
              <w:spacing w:before="277" w:line="360" w:lineRule="auto"/>
              <w:ind w:left="438"/>
            </w:pPr>
            <w:r>
              <w:rPr>
                <w:b/>
                <w:bCs/>
                <w:spacing w:val="-5"/>
              </w:rPr>
              <w:t>用户名称</w:t>
            </w:r>
          </w:p>
        </w:tc>
        <w:tc>
          <w:tcPr>
            <w:tcW w:w="1837" w:type="dxa"/>
            <w:tcBorders>
              <w:top w:val="single" w:color="000000" w:sz="10" w:space="0"/>
            </w:tcBorders>
            <w:vAlign w:val="top"/>
          </w:tcPr>
          <w:p w14:paraId="234FE2C3">
            <w:pPr>
              <w:pStyle w:val="13"/>
              <w:spacing w:before="277" w:line="360" w:lineRule="auto"/>
              <w:ind w:left="446"/>
            </w:pPr>
            <w:r>
              <w:rPr>
                <w:b/>
                <w:bCs/>
                <w:spacing w:val="-6"/>
              </w:rPr>
              <w:t>项目名称</w:t>
            </w:r>
          </w:p>
        </w:tc>
        <w:tc>
          <w:tcPr>
            <w:tcW w:w="1979" w:type="dxa"/>
            <w:tcBorders>
              <w:top w:val="single" w:color="000000" w:sz="10" w:space="0"/>
            </w:tcBorders>
            <w:vAlign w:val="top"/>
          </w:tcPr>
          <w:p w14:paraId="66888142">
            <w:pPr>
              <w:pStyle w:val="13"/>
              <w:spacing w:before="278" w:line="360" w:lineRule="auto"/>
              <w:ind w:left="519"/>
            </w:pPr>
            <w:r>
              <w:rPr>
                <w:b/>
                <w:bCs/>
                <w:spacing w:val="-5"/>
              </w:rPr>
              <w:t>合同金额</w:t>
            </w:r>
          </w:p>
        </w:tc>
        <w:tc>
          <w:tcPr>
            <w:tcW w:w="1555" w:type="dxa"/>
            <w:tcBorders>
              <w:top w:val="single" w:color="000000" w:sz="10" w:space="0"/>
            </w:tcBorders>
            <w:vAlign w:val="top"/>
          </w:tcPr>
          <w:p w14:paraId="032A0D8F">
            <w:pPr>
              <w:pStyle w:val="13"/>
              <w:spacing w:before="278" w:line="360" w:lineRule="auto"/>
              <w:ind w:left="312"/>
            </w:pPr>
            <w:r>
              <w:rPr>
                <w:b/>
                <w:bCs/>
                <w:spacing w:val="-5"/>
              </w:rPr>
              <w:t>完成质量</w:t>
            </w:r>
          </w:p>
        </w:tc>
        <w:tc>
          <w:tcPr>
            <w:tcW w:w="877" w:type="dxa"/>
            <w:tcBorders>
              <w:top w:val="single" w:color="000000" w:sz="10" w:space="0"/>
              <w:right w:val="single" w:color="000000" w:sz="10" w:space="0"/>
            </w:tcBorders>
            <w:vAlign w:val="top"/>
          </w:tcPr>
          <w:p w14:paraId="75F3910F">
            <w:pPr>
              <w:pStyle w:val="13"/>
              <w:spacing w:before="277" w:line="360" w:lineRule="auto"/>
              <w:ind w:left="210"/>
            </w:pPr>
            <w:r>
              <w:rPr>
                <w:b/>
                <w:bCs/>
                <w:spacing w:val="-9"/>
              </w:rPr>
              <w:t>备注</w:t>
            </w:r>
          </w:p>
        </w:tc>
      </w:tr>
      <w:tr w14:paraId="06577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005" w:type="dxa"/>
            <w:tcBorders>
              <w:left w:val="single" w:color="000000" w:sz="10" w:space="0"/>
            </w:tcBorders>
            <w:vAlign w:val="top"/>
          </w:tcPr>
          <w:p w14:paraId="721F5175">
            <w:pPr>
              <w:spacing w:line="360" w:lineRule="auto"/>
              <w:rPr>
                <w:rFonts w:ascii="Arial"/>
                <w:sz w:val="21"/>
              </w:rPr>
            </w:pPr>
          </w:p>
        </w:tc>
        <w:tc>
          <w:tcPr>
            <w:tcW w:w="1837" w:type="dxa"/>
            <w:vAlign w:val="top"/>
          </w:tcPr>
          <w:p w14:paraId="05A24290">
            <w:pPr>
              <w:spacing w:line="360" w:lineRule="auto"/>
              <w:rPr>
                <w:rFonts w:ascii="Arial"/>
                <w:sz w:val="21"/>
              </w:rPr>
            </w:pPr>
          </w:p>
        </w:tc>
        <w:tc>
          <w:tcPr>
            <w:tcW w:w="1837" w:type="dxa"/>
            <w:vAlign w:val="top"/>
          </w:tcPr>
          <w:p w14:paraId="3E8034C7">
            <w:pPr>
              <w:spacing w:line="360" w:lineRule="auto"/>
              <w:rPr>
                <w:rFonts w:ascii="Arial"/>
                <w:sz w:val="21"/>
              </w:rPr>
            </w:pPr>
          </w:p>
        </w:tc>
        <w:tc>
          <w:tcPr>
            <w:tcW w:w="1979" w:type="dxa"/>
            <w:vAlign w:val="top"/>
          </w:tcPr>
          <w:p w14:paraId="5D6EFC09">
            <w:pPr>
              <w:spacing w:line="360" w:lineRule="auto"/>
              <w:rPr>
                <w:rFonts w:ascii="Arial"/>
                <w:sz w:val="21"/>
              </w:rPr>
            </w:pPr>
          </w:p>
        </w:tc>
        <w:tc>
          <w:tcPr>
            <w:tcW w:w="1555" w:type="dxa"/>
            <w:vAlign w:val="top"/>
          </w:tcPr>
          <w:p w14:paraId="2B9E9E93">
            <w:pPr>
              <w:spacing w:line="360" w:lineRule="auto"/>
              <w:rPr>
                <w:rFonts w:ascii="Arial"/>
                <w:sz w:val="21"/>
              </w:rPr>
            </w:pPr>
          </w:p>
        </w:tc>
        <w:tc>
          <w:tcPr>
            <w:tcW w:w="877" w:type="dxa"/>
            <w:tcBorders>
              <w:right w:val="single" w:color="000000" w:sz="10" w:space="0"/>
            </w:tcBorders>
            <w:vAlign w:val="top"/>
          </w:tcPr>
          <w:p w14:paraId="7B9C6942">
            <w:pPr>
              <w:spacing w:line="360" w:lineRule="auto"/>
              <w:rPr>
                <w:rFonts w:ascii="Arial"/>
                <w:sz w:val="21"/>
              </w:rPr>
            </w:pPr>
          </w:p>
        </w:tc>
      </w:tr>
      <w:tr w14:paraId="35137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005" w:type="dxa"/>
            <w:tcBorders>
              <w:left w:val="single" w:color="000000" w:sz="10" w:space="0"/>
            </w:tcBorders>
            <w:vAlign w:val="top"/>
          </w:tcPr>
          <w:p w14:paraId="2E9662EC">
            <w:pPr>
              <w:spacing w:line="360" w:lineRule="auto"/>
              <w:rPr>
                <w:rFonts w:ascii="Arial"/>
                <w:sz w:val="21"/>
              </w:rPr>
            </w:pPr>
          </w:p>
        </w:tc>
        <w:tc>
          <w:tcPr>
            <w:tcW w:w="1837" w:type="dxa"/>
            <w:vAlign w:val="top"/>
          </w:tcPr>
          <w:p w14:paraId="10C4E98D">
            <w:pPr>
              <w:spacing w:line="360" w:lineRule="auto"/>
              <w:rPr>
                <w:rFonts w:ascii="Arial"/>
                <w:sz w:val="21"/>
              </w:rPr>
            </w:pPr>
          </w:p>
        </w:tc>
        <w:tc>
          <w:tcPr>
            <w:tcW w:w="1837" w:type="dxa"/>
            <w:vAlign w:val="top"/>
          </w:tcPr>
          <w:p w14:paraId="0E049793">
            <w:pPr>
              <w:spacing w:line="360" w:lineRule="auto"/>
              <w:rPr>
                <w:rFonts w:ascii="Arial"/>
                <w:sz w:val="21"/>
              </w:rPr>
            </w:pPr>
          </w:p>
        </w:tc>
        <w:tc>
          <w:tcPr>
            <w:tcW w:w="1979" w:type="dxa"/>
            <w:vAlign w:val="top"/>
          </w:tcPr>
          <w:p w14:paraId="48FBCF22">
            <w:pPr>
              <w:spacing w:line="360" w:lineRule="auto"/>
              <w:rPr>
                <w:rFonts w:ascii="Arial"/>
                <w:sz w:val="21"/>
              </w:rPr>
            </w:pPr>
          </w:p>
        </w:tc>
        <w:tc>
          <w:tcPr>
            <w:tcW w:w="1555" w:type="dxa"/>
            <w:vAlign w:val="top"/>
          </w:tcPr>
          <w:p w14:paraId="51ED1314">
            <w:pPr>
              <w:spacing w:line="360" w:lineRule="auto"/>
              <w:rPr>
                <w:rFonts w:ascii="Arial"/>
                <w:sz w:val="21"/>
              </w:rPr>
            </w:pPr>
          </w:p>
        </w:tc>
        <w:tc>
          <w:tcPr>
            <w:tcW w:w="877" w:type="dxa"/>
            <w:tcBorders>
              <w:right w:val="single" w:color="000000" w:sz="10" w:space="0"/>
            </w:tcBorders>
            <w:vAlign w:val="top"/>
          </w:tcPr>
          <w:p w14:paraId="5E475071">
            <w:pPr>
              <w:spacing w:line="360" w:lineRule="auto"/>
              <w:rPr>
                <w:rFonts w:ascii="Arial"/>
                <w:sz w:val="21"/>
              </w:rPr>
            </w:pPr>
          </w:p>
        </w:tc>
      </w:tr>
      <w:tr w14:paraId="7FBA2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005" w:type="dxa"/>
            <w:tcBorders>
              <w:left w:val="single" w:color="000000" w:sz="10" w:space="0"/>
            </w:tcBorders>
            <w:vAlign w:val="top"/>
          </w:tcPr>
          <w:p w14:paraId="556472B5">
            <w:pPr>
              <w:spacing w:line="360" w:lineRule="auto"/>
              <w:rPr>
                <w:rFonts w:ascii="Arial"/>
                <w:sz w:val="21"/>
              </w:rPr>
            </w:pPr>
          </w:p>
        </w:tc>
        <w:tc>
          <w:tcPr>
            <w:tcW w:w="1837" w:type="dxa"/>
            <w:vAlign w:val="top"/>
          </w:tcPr>
          <w:p w14:paraId="19960A4B">
            <w:pPr>
              <w:spacing w:line="360" w:lineRule="auto"/>
              <w:rPr>
                <w:rFonts w:ascii="Arial"/>
                <w:sz w:val="21"/>
              </w:rPr>
            </w:pPr>
          </w:p>
        </w:tc>
        <w:tc>
          <w:tcPr>
            <w:tcW w:w="1837" w:type="dxa"/>
            <w:vAlign w:val="top"/>
          </w:tcPr>
          <w:p w14:paraId="3352F221">
            <w:pPr>
              <w:spacing w:line="360" w:lineRule="auto"/>
              <w:rPr>
                <w:rFonts w:ascii="Arial"/>
                <w:sz w:val="21"/>
              </w:rPr>
            </w:pPr>
          </w:p>
        </w:tc>
        <w:tc>
          <w:tcPr>
            <w:tcW w:w="1979" w:type="dxa"/>
            <w:vAlign w:val="top"/>
          </w:tcPr>
          <w:p w14:paraId="1253869A">
            <w:pPr>
              <w:spacing w:line="360" w:lineRule="auto"/>
              <w:rPr>
                <w:rFonts w:ascii="Arial"/>
                <w:sz w:val="21"/>
              </w:rPr>
            </w:pPr>
          </w:p>
        </w:tc>
        <w:tc>
          <w:tcPr>
            <w:tcW w:w="1555" w:type="dxa"/>
            <w:vAlign w:val="top"/>
          </w:tcPr>
          <w:p w14:paraId="29CDAF24">
            <w:pPr>
              <w:spacing w:line="360" w:lineRule="auto"/>
              <w:rPr>
                <w:rFonts w:ascii="Arial"/>
                <w:sz w:val="21"/>
              </w:rPr>
            </w:pPr>
          </w:p>
        </w:tc>
        <w:tc>
          <w:tcPr>
            <w:tcW w:w="877" w:type="dxa"/>
            <w:tcBorders>
              <w:right w:val="single" w:color="000000" w:sz="10" w:space="0"/>
            </w:tcBorders>
            <w:vAlign w:val="top"/>
          </w:tcPr>
          <w:p w14:paraId="79D8F3E0">
            <w:pPr>
              <w:spacing w:line="360" w:lineRule="auto"/>
              <w:rPr>
                <w:rFonts w:ascii="Arial"/>
                <w:sz w:val="21"/>
              </w:rPr>
            </w:pPr>
          </w:p>
        </w:tc>
      </w:tr>
      <w:tr w14:paraId="5FF82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005" w:type="dxa"/>
            <w:tcBorders>
              <w:left w:val="single" w:color="000000" w:sz="10" w:space="0"/>
            </w:tcBorders>
            <w:vAlign w:val="top"/>
          </w:tcPr>
          <w:p w14:paraId="099B48EE">
            <w:pPr>
              <w:spacing w:line="360" w:lineRule="auto"/>
              <w:rPr>
                <w:rFonts w:ascii="Arial"/>
                <w:sz w:val="21"/>
              </w:rPr>
            </w:pPr>
          </w:p>
        </w:tc>
        <w:tc>
          <w:tcPr>
            <w:tcW w:w="1837" w:type="dxa"/>
            <w:vAlign w:val="top"/>
          </w:tcPr>
          <w:p w14:paraId="77B2BDE3">
            <w:pPr>
              <w:spacing w:line="360" w:lineRule="auto"/>
              <w:rPr>
                <w:rFonts w:ascii="Arial"/>
                <w:sz w:val="21"/>
              </w:rPr>
            </w:pPr>
          </w:p>
        </w:tc>
        <w:tc>
          <w:tcPr>
            <w:tcW w:w="1837" w:type="dxa"/>
            <w:vAlign w:val="top"/>
          </w:tcPr>
          <w:p w14:paraId="10AB546F">
            <w:pPr>
              <w:spacing w:line="360" w:lineRule="auto"/>
              <w:rPr>
                <w:rFonts w:ascii="Arial"/>
                <w:sz w:val="21"/>
              </w:rPr>
            </w:pPr>
          </w:p>
        </w:tc>
        <w:tc>
          <w:tcPr>
            <w:tcW w:w="1979" w:type="dxa"/>
            <w:vAlign w:val="top"/>
          </w:tcPr>
          <w:p w14:paraId="1BD9D974">
            <w:pPr>
              <w:spacing w:line="360" w:lineRule="auto"/>
              <w:rPr>
                <w:rFonts w:ascii="Arial"/>
                <w:sz w:val="21"/>
              </w:rPr>
            </w:pPr>
          </w:p>
        </w:tc>
        <w:tc>
          <w:tcPr>
            <w:tcW w:w="1555" w:type="dxa"/>
            <w:vAlign w:val="top"/>
          </w:tcPr>
          <w:p w14:paraId="5E777714">
            <w:pPr>
              <w:spacing w:line="360" w:lineRule="auto"/>
              <w:rPr>
                <w:rFonts w:ascii="Arial"/>
                <w:sz w:val="21"/>
              </w:rPr>
            </w:pPr>
          </w:p>
        </w:tc>
        <w:tc>
          <w:tcPr>
            <w:tcW w:w="877" w:type="dxa"/>
            <w:tcBorders>
              <w:right w:val="single" w:color="000000" w:sz="10" w:space="0"/>
            </w:tcBorders>
            <w:vAlign w:val="top"/>
          </w:tcPr>
          <w:p w14:paraId="2A5F0439">
            <w:pPr>
              <w:spacing w:line="360" w:lineRule="auto"/>
              <w:rPr>
                <w:rFonts w:ascii="Arial"/>
                <w:sz w:val="21"/>
              </w:rPr>
            </w:pPr>
          </w:p>
        </w:tc>
      </w:tr>
      <w:tr w14:paraId="01ABE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005" w:type="dxa"/>
            <w:tcBorders>
              <w:left w:val="single" w:color="000000" w:sz="10" w:space="0"/>
            </w:tcBorders>
            <w:vAlign w:val="top"/>
          </w:tcPr>
          <w:p w14:paraId="14DA968A">
            <w:pPr>
              <w:spacing w:line="360" w:lineRule="auto"/>
              <w:rPr>
                <w:rFonts w:ascii="Arial"/>
                <w:sz w:val="21"/>
              </w:rPr>
            </w:pPr>
          </w:p>
        </w:tc>
        <w:tc>
          <w:tcPr>
            <w:tcW w:w="1837" w:type="dxa"/>
            <w:vAlign w:val="top"/>
          </w:tcPr>
          <w:p w14:paraId="4A49B679">
            <w:pPr>
              <w:spacing w:line="360" w:lineRule="auto"/>
              <w:rPr>
                <w:rFonts w:ascii="Arial"/>
                <w:sz w:val="21"/>
              </w:rPr>
            </w:pPr>
          </w:p>
        </w:tc>
        <w:tc>
          <w:tcPr>
            <w:tcW w:w="1837" w:type="dxa"/>
            <w:vAlign w:val="top"/>
          </w:tcPr>
          <w:p w14:paraId="11AE1185">
            <w:pPr>
              <w:spacing w:line="360" w:lineRule="auto"/>
              <w:rPr>
                <w:rFonts w:ascii="Arial"/>
                <w:sz w:val="21"/>
              </w:rPr>
            </w:pPr>
          </w:p>
        </w:tc>
        <w:tc>
          <w:tcPr>
            <w:tcW w:w="1979" w:type="dxa"/>
            <w:vAlign w:val="top"/>
          </w:tcPr>
          <w:p w14:paraId="2090439E">
            <w:pPr>
              <w:spacing w:line="360" w:lineRule="auto"/>
              <w:rPr>
                <w:rFonts w:ascii="Arial"/>
                <w:sz w:val="21"/>
              </w:rPr>
            </w:pPr>
          </w:p>
        </w:tc>
        <w:tc>
          <w:tcPr>
            <w:tcW w:w="1555" w:type="dxa"/>
            <w:vAlign w:val="top"/>
          </w:tcPr>
          <w:p w14:paraId="356AE94C">
            <w:pPr>
              <w:spacing w:line="360" w:lineRule="auto"/>
              <w:rPr>
                <w:rFonts w:ascii="Arial"/>
                <w:sz w:val="21"/>
              </w:rPr>
            </w:pPr>
          </w:p>
        </w:tc>
        <w:tc>
          <w:tcPr>
            <w:tcW w:w="877" w:type="dxa"/>
            <w:tcBorders>
              <w:right w:val="single" w:color="000000" w:sz="10" w:space="0"/>
            </w:tcBorders>
            <w:vAlign w:val="top"/>
          </w:tcPr>
          <w:p w14:paraId="752FCCD4">
            <w:pPr>
              <w:spacing w:line="360" w:lineRule="auto"/>
              <w:rPr>
                <w:rFonts w:ascii="Arial"/>
                <w:sz w:val="21"/>
              </w:rPr>
            </w:pPr>
          </w:p>
        </w:tc>
      </w:tr>
      <w:tr w14:paraId="00A85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005" w:type="dxa"/>
            <w:tcBorders>
              <w:left w:val="single" w:color="000000" w:sz="10" w:space="0"/>
            </w:tcBorders>
            <w:vAlign w:val="top"/>
          </w:tcPr>
          <w:p w14:paraId="41C0683A">
            <w:pPr>
              <w:spacing w:line="360" w:lineRule="auto"/>
              <w:rPr>
                <w:rFonts w:ascii="Arial"/>
                <w:sz w:val="21"/>
              </w:rPr>
            </w:pPr>
          </w:p>
        </w:tc>
        <w:tc>
          <w:tcPr>
            <w:tcW w:w="1837" w:type="dxa"/>
            <w:vAlign w:val="top"/>
          </w:tcPr>
          <w:p w14:paraId="644D08D8">
            <w:pPr>
              <w:spacing w:line="360" w:lineRule="auto"/>
              <w:rPr>
                <w:rFonts w:ascii="Arial"/>
                <w:sz w:val="21"/>
              </w:rPr>
            </w:pPr>
          </w:p>
        </w:tc>
        <w:tc>
          <w:tcPr>
            <w:tcW w:w="1837" w:type="dxa"/>
            <w:vAlign w:val="top"/>
          </w:tcPr>
          <w:p w14:paraId="7303B22F">
            <w:pPr>
              <w:spacing w:line="360" w:lineRule="auto"/>
              <w:rPr>
                <w:rFonts w:ascii="Arial"/>
                <w:sz w:val="21"/>
              </w:rPr>
            </w:pPr>
          </w:p>
        </w:tc>
        <w:tc>
          <w:tcPr>
            <w:tcW w:w="1979" w:type="dxa"/>
            <w:vAlign w:val="top"/>
          </w:tcPr>
          <w:p w14:paraId="73E1E0B1">
            <w:pPr>
              <w:spacing w:line="360" w:lineRule="auto"/>
              <w:rPr>
                <w:rFonts w:ascii="Arial"/>
                <w:sz w:val="21"/>
              </w:rPr>
            </w:pPr>
          </w:p>
        </w:tc>
        <w:tc>
          <w:tcPr>
            <w:tcW w:w="1555" w:type="dxa"/>
            <w:vAlign w:val="top"/>
          </w:tcPr>
          <w:p w14:paraId="1E0E2EFC">
            <w:pPr>
              <w:spacing w:line="360" w:lineRule="auto"/>
              <w:rPr>
                <w:rFonts w:ascii="Arial"/>
                <w:sz w:val="21"/>
              </w:rPr>
            </w:pPr>
          </w:p>
        </w:tc>
        <w:tc>
          <w:tcPr>
            <w:tcW w:w="877" w:type="dxa"/>
            <w:tcBorders>
              <w:right w:val="single" w:color="000000" w:sz="10" w:space="0"/>
            </w:tcBorders>
            <w:vAlign w:val="top"/>
          </w:tcPr>
          <w:p w14:paraId="4C878CF4">
            <w:pPr>
              <w:spacing w:line="360" w:lineRule="auto"/>
              <w:rPr>
                <w:rFonts w:ascii="Arial"/>
                <w:sz w:val="21"/>
              </w:rPr>
            </w:pPr>
          </w:p>
        </w:tc>
      </w:tr>
      <w:tr w14:paraId="7C8E5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1005" w:type="dxa"/>
            <w:tcBorders>
              <w:left w:val="single" w:color="000000" w:sz="10" w:space="0"/>
            </w:tcBorders>
            <w:vAlign w:val="top"/>
          </w:tcPr>
          <w:p w14:paraId="4D30F410">
            <w:pPr>
              <w:spacing w:line="360" w:lineRule="auto"/>
              <w:rPr>
                <w:rFonts w:ascii="Arial"/>
                <w:sz w:val="21"/>
              </w:rPr>
            </w:pPr>
          </w:p>
        </w:tc>
        <w:tc>
          <w:tcPr>
            <w:tcW w:w="1837" w:type="dxa"/>
            <w:vAlign w:val="top"/>
          </w:tcPr>
          <w:p w14:paraId="37A8943D">
            <w:pPr>
              <w:spacing w:line="360" w:lineRule="auto"/>
              <w:rPr>
                <w:rFonts w:ascii="Arial"/>
                <w:sz w:val="21"/>
              </w:rPr>
            </w:pPr>
          </w:p>
        </w:tc>
        <w:tc>
          <w:tcPr>
            <w:tcW w:w="1837" w:type="dxa"/>
            <w:vAlign w:val="top"/>
          </w:tcPr>
          <w:p w14:paraId="7176E5C8">
            <w:pPr>
              <w:spacing w:line="360" w:lineRule="auto"/>
              <w:rPr>
                <w:rFonts w:ascii="Arial"/>
                <w:sz w:val="21"/>
              </w:rPr>
            </w:pPr>
          </w:p>
        </w:tc>
        <w:tc>
          <w:tcPr>
            <w:tcW w:w="1979" w:type="dxa"/>
            <w:vAlign w:val="top"/>
          </w:tcPr>
          <w:p w14:paraId="31F06003">
            <w:pPr>
              <w:spacing w:line="360" w:lineRule="auto"/>
              <w:rPr>
                <w:rFonts w:ascii="Arial"/>
                <w:sz w:val="21"/>
              </w:rPr>
            </w:pPr>
          </w:p>
        </w:tc>
        <w:tc>
          <w:tcPr>
            <w:tcW w:w="1555" w:type="dxa"/>
            <w:vAlign w:val="top"/>
          </w:tcPr>
          <w:p w14:paraId="34CB9307">
            <w:pPr>
              <w:spacing w:line="360" w:lineRule="auto"/>
              <w:rPr>
                <w:rFonts w:ascii="Arial"/>
                <w:sz w:val="21"/>
              </w:rPr>
            </w:pPr>
          </w:p>
        </w:tc>
        <w:tc>
          <w:tcPr>
            <w:tcW w:w="877" w:type="dxa"/>
            <w:tcBorders>
              <w:right w:val="single" w:color="000000" w:sz="10" w:space="0"/>
            </w:tcBorders>
            <w:vAlign w:val="top"/>
          </w:tcPr>
          <w:p w14:paraId="67E5E0DE">
            <w:pPr>
              <w:spacing w:line="360" w:lineRule="auto"/>
              <w:rPr>
                <w:rFonts w:ascii="Arial"/>
                <w:sz w:val="21"/>
              </w:rPr>
            </w:pPr>
          </w:p>
        </w:tc>
      </w:tr>
      <w:tr w14:paraId="432EE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005" w:type="dxa"/>
            <w:tcBorders>
              <w:left w:val="single" w:color="000000" w:sz="10" w:space="0"/>
            </w:tcBorders>
            <w:vAlign w:val="top"/>
          </w:tcPr>
          <w:p w14:paraId="4AD1813C">
            <w:pPr>
              <w:spacing w:line="360" w:lineRule="auto"/>
              <w:rPr>
                <w:rFonts w:ascii="Arial"/>
                <w:sz w:val="21"/>
              </w:rPr>
            </w:pPr>
          </w:p>
        </w:tc>
        <w:tc>
          <w:tcPr>
            <w:tcW w:w="1837" w:type="dxa"/>
            <w:vAlign w:val="top"/>
          </w:tcPr>
          <w:p w14:paraId="51C8771E">
            <w:pPr>
              <w:spacing w:line="360" w:lineRule="auto"/>
              <w:rPr>
                <w:rFonts w:ascii="Arial"/>
                <w:sz w:val="21"/>
              </w:rPr>
            </w:pPr>
          </w:p>
        </w:tc>
        <w:tc>
          <w:tcPr>
            <w:tcW w:w="1837" w:type="dxa"/>
            <w:vAlign w:val="top"/>
          </w:tcPr>
          <w:p w14:paraId="0DA32B07">
            <w:pPr>
              <w:spacing w:line="360" w:lineRule="auto"/>
              <w:rPr>
                <w:rFonts w:ascii="Arial"/>
                <w:sz w:val="21"/>
              </w:rPr>
            </w:pPr>
          </w:p>
        </w:tc>
        <w:tc>
          <w:tcPr>
            <w:tcW w:w="1979" w:type="dxa"/>
            <w:vAlign w:val="top"/>
          </w:tcPr>
          <w:p w14:paraId="093C5029">
            <w:pPr>
              <w:spacing w:line="360" w:lineRule="auto"/>
              <w:rPr>
                <w:rFonts w:ascii="Arial"/>
                <w:sz w:val="21"/>
              </w:rPr>
            </w:pPr>
          </w:p>
        </w:tc>
        <w:tc>
          <w:tcPr>
            <w:tcW w:w="1555" w:type="dxa"/>
            <w:vAlign w:val="top"/>
          </w:tcPr>
          <w:p w14:paraId="2FA3FD11">
            <w:pPr>
              <w:spacing w:line="360" w:lineRule="auto"/>
              <w:rPr>
                <w:rFonts w:ascii="Arial"/>
                <w:sz w:val="21"/>
              </w:rPr>
            </w:pPr>
          </w:p>
        </w:tc>
        <w:tc>
          <w:tcPr>
            <w:tcW w:w="877" w:type="dxa"/>
            <w:tcBorders>
              <w:right w:val="single" w:color="000000" w:sz="10" w:space="0"/>
            </w:tcBorders>
            <w:vAlign w:val="top"/>
          </w:tcPr>
          <w:p w14:paraId="3C4815A1">
            <w:pPr>
              <w:spacing w:line="360" w:lineRule="auto"/>
              <w:rPr>
                <w:rFonts w:ascii="Arial"/>
                <w:sz w:val="21"/>
              </w:rPr>
            </w:pPr>
          </w:p>
        </w:tc>
      </w:tr>
      <w:tr w14:paraId="0C5EA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005" w:type="dxa"/>
            <w:tcBorders>
              <w:left w:val="single" w:color="000000" w:sz="10" w:space="0"/>
            </w:tcBorders>
            <w:vAlign w:val="top"/>
          </w:tcPr>
          <w:p w14:paraId="195D8FB5">
            <w:pPr>
              <w:spacing w:line="360" w:lineRule="auto"/>
              <w:rPr>
                <w:rFonts w:ascii="Arial"/>
                <w:sz w:val="21"/>
              </w:rPr>
            </w:pPr>
          </w:p>
        </w:tc>
        <w:tc>
          <w:tcPr>
            <w:tcW w:w="1837" w:type="dxa"/>
            <w:vAlign w:val="top"/>
          </w:tcPr>
          <w:p w14:paraId="35BE23D9">
            <w:pPr>
              <w:spacing w:line="360" w:lineRule="auto"/>
              <w:rPr>
                <w:rFonts w:ascii="Arial"/>
                <w:sz w:val="21"/>
              </w:rPr>
            </w:pPr>
          </w:p>
        </w:tc>
        <w:tc>
          <w:tcPr>
            <w:tcW w:w="1837" w:type="dxa"/>
            <w:vAlign w:val="top"/>
          </w:tcPr>
          <w:p w14:paraId="743A13A2">
            <w:pPr>
              <w:spacing w:line="360" w:lineRule="auto"/>
              <w:rPr>
                <w:rFonts w:ascii="Arial"/>
                <w:sz w:val="21"/>
              </w:rPr>
            </w:pPr>
          </w:p>
        </w:tc>
        <w:tc>
          <w:tcPr>
            <w:tcW w:w="1979" w:type="dxa"/>
            <w:vAlign w:val="top"/>
          </w:tcPr>
          <w:p w14:paraId="06290FDB">
            <w:pPr>
              <w:spacing w:line="360" w:lineRule="auto"/>
              <w:rPr>
                <w:rFonts w:ascii="Arial"/>
                <w:sz w:val="21"/>
              </w:rPr>
            </w:pPr>
          </w:p>
        </w:tc>
        <w:tc>
          <w:tcPr>
            <w:tcW w:w="1555" w:type="dxa"/>
            <w:vAlign w:val="top"/>
          </w:tcPr>
          <w:p w14:paraId="2331ABDA">
            <w:pPr>
              <w:spacing w:line="360" w:lineRule="auto"/>
              <w:rPr>
                <w:rFonts w:ascii="Arial"/>
                <w:sz w:val="21"/>
              </w:rPr>
            </w:pPr>
          </w:p>
        </w:tc>
        <w:tc>
          <w:tcPr>
            <w:tcW w:w="877" w:type="dxa"/>
            <w:tcBorders>
              <w:right w:val="single" w:color="000000" w:sz="10" w:space="0"/>
            </w:tcBorders>
            <w:vAlign w:val="top"/>
          </w:tcPr>
          <w:p w14:paraId="04AB1B2D">
            <w:pPr>
              <w:spacing w:line="360" w:lineRule="auto"/>
              <w:rPr>
                <w:rFonts w:ascii="Arial"/>
                <w:sz w:val="21"/>
              </w:rPr>
            </w:pPr>
          </w:p>
        </w:tc>
      </w:tr>
      <w:tr w14:paraId="2E98C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005" w:type="dxa"/>
            <w:tcBorders>
              <w:left w:val="single" w:color="000000" w:sz="10" w:space="0"/>
            </w:tcBorders>
            <w:vAlign w:val="top"/>
          </w:tcPr>
          <w:p w14:paraId="5F557C67">
            <w:pPr>
              <w:spacing w:line="360" w:lineRule="auto"/>
              <w:rPr>
                <w:rFonts w:ascii="Arial"/>
                <w:sz w:val="21"/>
              </w:rPr>
            </w:pPr>
          </w:p>
        </w:tc>
        <w:tc>
          <w:tcPr>
            <w:tcW w:w="1837" w:type="dxa"/>
            <w:vAlign w:val="top"/>
          </w:tcPr>
          <w:p w14:paraId="26847038">
            <w:pPr>
              <w:spacing w:line="360" w:lineRule="auto"/>
              <w:rPr>
                <w:rFonts w:ascii="Arial"/>
                <w:sz w:val="21"/>
              </w:rPr>
            </w:pPr>
          </w:p>
        </w:tc>
        <w:tc>
          <w:tcPr>
            <w:tcW w:w="1837" w:type="dxa"/>
            <w:vAlign w:val="top"/>
          </w:tcPr>
          <w:p w14:paraId="468B5A91">
            <w:pPr>
              <w:spacing w:line="360" w:lineRule="auto"/>
              <w:rPr>
                <w:rFonts w:ascii="Arial"/>
                <w:sz w:val="21"/>
              </w:rPr>
            </w:pPr>
          </w:p>
        </w:tc>
        <w:tc>
          <w:tcPr>
            <w:tcW w:w="1979" w:type="dxa"/>
            <w:vAlign w:val="top"/>
          </w:tcPr>
          <w:p w14:paraId="72F7DA6D">
            <w:pPr>
              <w:spacing w:line="360" w:lineRule="auto"/>
              <w:rPr>
                <w:rFonts w:ascii="Arial"/>
                <w:sz w:val="21"/>
              </w:rPr>
            </w:pPr>
          </w:p>
        </w:tc>
        <w:tc>
          <w:tcPr>
            <w:tcW w:w="1555" w:type="dxa"/>
            <w:vAlign w:val="top"/>
          </w:tcPr>
          <w:p w14:paraId="0C2B9CB3">
            <w:pPr>
              <w:spacing w:line="360" w:lineRule="auto"/>
              <w:rPr>
                <w:rFonts w:ascii="Arial"/>
                <w:sz w:val="21"/>
              </w:rPr>
            </w:pPr>
          </w:p>
        </w:tc>
        <w:tc>
          <w:tcPr>
            <w:tcW w:w="877" w:type="dxa"/>
            <w:tcBorders>
              <w:right w:val="single" w:color="000000" w:sz="10" w:space="0"/>
            </w:tcBorders>
            <w:vAlign w:val="top"/>
          </w:tcPr>
          <w:p w14:paraId="293AF557">
            <w:pPr>
              <w:spacing w:line="360" w:lineRule="auto"/>
              <w:rPr>
                <w:rFonts w:ascii="Arial"/>
                <w:sz w:val="21"/>
              </w:rPr>
            </w:pPr>
          </w:p>
        </w:tc>
      </w:tr>
      <w:tr w14:paraId="376EF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005" w:type="dxa"/>
            <w:tcBorders>
              <w:left w:val="single" w:color="000000" w:sz="10" w:space="0"/>
            </w:tcBorders>
            <w:vAlign w:val="top"/>
          </w:tcPr>
          <w:p w14:paraId="6564268D">
            <w:pPr>
              <w:spacing w:line="360" w:lineRule="auto"/>
              <w:rPr>
                <w:rFonts w:ascii="Arial"/>
                <w:sz w:val="21"/>
              </w:rPr>
            </w:pPr>
          </w:p>
        </w:tc>
        <w:tc>
          <w:tcPr>
            <w:tcW w:w="1837" w:type="dxa"/>
            <w:vAlign w:val="top"/>
          </w:tcPr>
          <w:p w14:paraId="4DF44F7A">
            <w:pPr>
              <w:spacing w:line="360" w:lineRule="auto"/>
              <w:rPr>
                <w:rFonts w:ascii="Arial"/>
                <w:sz w:val="21"/>
              </w:rPr>
            </w:pPr>
          </w:p>
        </w:tc>
        <w:tc>
          <w:tcPr>
            <w:tcW w:w="1837" w:type="dxa"/>
            <w:vAlign w:val="top"/>
          </w:tcPr>
          <w:p w14:paraId="12BF70E8">
            <w:pPr>
              <w:spacing w:line="360" w:lineRule="auto"/>
              <w:rPr>
                <w:rFonts w:ascii="Arial"/>
                <w:sz w:val="21"/>
              </w:rPr>
            </w:pPr>
          </w:p>
        </w:tc>
        <w:tc>
          <w:tcPr>
            <w:tcW w:w="1979" w:type="dxa"/>
            <w:vAlign w:val="top"/>
          </w:tcPr>
          <w:p w14:paraId="1E49B212">
            <w:pPr>
              <w:spacing w:line="360" w:lineRule="auto"/>
              <w:rPr>
                <w:rFonts w:ascii="Arial"/>
                <w:sz w:val="21"/>
              </w:rPr>
            </w:pPr>
          </w:p>
        </w:tc>
        <w:tc>
          <w:tcPr>
            <w:tcW w:w="1555" w:type="dxa"/>
            <w:vAlign w:val="top"/>
          </w:tcPr>
          <w:p w14:paraId="0A749B9A">
            <w:pPr>
              <w:spacing w:line="360" w:lineRule="auto"/>
              <w:rPr>
                <w:rFonts w:ascii="Arial"/>
                <w:sz w:val="21"/>
              </w:rPr>
            </w:pPr>
          </w:p>
        </w:tc>
        <w:tc>
          <w:tcPr>
            <w:tcW w:w="877" w:type="dxa"/>
            <w:tcBorders>
              <w:right w:val="single" w:color="000000" w:sz="10" w:space="0"/>
            </w:tcBorders>
            <w:vAlign w:val="top"/>
          </w:tcPr>
          <w:p w14:paraId="602EC8D1">
            <w:pPr>
              <w:spacing w:line="360" w:lineRule="auto"/>
              <w:rPr>
                <w:rFonts w:ascii="Arial"/>
                <w:sz w:val="21"/>
              </w:rPr>
            </w:pPr>
          </w:p>
        </w:tc>
      </w:tr>
      <w:tr w14:paraId="30194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005" w:type="dxa"/>
            <w:tcBorders>
              <w:left w:val="single" w:color="000000" w:sz="10" w:space="0"/>
            </w:tcBorders>
            <w:vAlign w:val="top"/>
          </w:tcPr>
          <w:p w14:paraId="7A1F7F76">
            <w:pPr>
              <w:spacing w:line="360" w:lineRule="auto"/>
              <w:rPr>
                <w:rFonts w:ascii="Arial"/>
                <w:sz w:val="21"/>
              </w:rPr>
            </w:pPr>
          </w:p>
        </w:tc>
        <w:tc>
          <w:tcPr>
            <w:tcW w:w="1837" w:type="dxa"/>
            <w:vAlign w:val="top"/>
          </w:tcPr>
          <w:p w14:paraId="1527FB86">
            <w:pPr>
              <w:spacing w:line="360" w:lineRule="auto"/>
              <w:rPr>
                <w:rFonts w:ascii="Arial"/>
                <w:sz w:val="21"/>
              </w:rPr>
            </w:pPr>
          </w:p>
        </w:tc>
        <w:tc>
          <w:tcPr>
            <w:tcW w:w="1837" w:type="dxa"/>
            <w:vAlign w:val="top"/>
          </w:tcPr>
          <w:p w14:paraId="6AB829E8">
            <w:pPr>
              <w:spacing w:line="360" w:lineRule="auto"/>
              <w:rPr>
                <w:rFonts w:ascii="Arial"/>
                <w:sz w:val="21"/>
              </w:rPr>
            </w:pPr>
          </w:p>
        </w:tc>
        <w:tc>
          <w:tcPr>
            <w:tcW w:w="1979" w:type="dxa"/>
            <w:vAlign w:val="top"/>
          </w:tcPr>
          <w:p w14:paraId="16381D30">
            <w:pPr>
              <w:spacing w:line="360" w:lineRule="auto"/>
              <w:rPr>
                <w:rFonts w:ascii="Arial"/>
                <w:sz w:val="21"/>
              </w:rPr>
            </w:pPr>
          </w:p>
        </w:tc>
        <w:tc>
          <w:tcPr>
            <w:tcW w:w="1555" w:type="dxa"/>
            <w:vAlign w:val="top"/>
          </w:tcPr>
          <w:p w14:paraId="088BD1D8">
            <w:pPr>
              <w:spacing w:line="360" w:lineRule="auto"/>
              <w:rPr>
                <w:rFonts w:ascii="Arial"/>
                <w:sz w:val="21"/>
              </w:rPr>
            </w:pPr>
          </w:p>
        </w:tc>
        <w:tc>
          <w:tcPr>
            <w:tcW w:w="877" w:type="dxa"/>
            <w:tcBorders>
              <w:right w:val="single" w:color="000000" w:sz="10" w:space="0"/>
            </w:tcBorders>
            <w:vAlign w:val="top"/>
          </w:tcPr>
          <w:p w14:paraId="74A047A3">
            <w:pPr>
              <w:spacing w:line="360" w:lineRule="auto"/>
              <w:rPr>
                <w:rFonts w:ascii="Arial"/>
                <w:sz w:val="21"/>
              </w:rPr>
            </w:pPr>
          </w:p>
        </w:tc>
      </w:tr>
      <w:tr w14:paraId="2128A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005" w:type="dxa"/>
            <w:tcBorders>
              <w:left w:val="single" w:color="000000" w:sz="10" w:space="0"/>
              <w:bottom w:val="single" w:color="000000" w:sz="10" w:space="0"/>
            </w:tcBorders>
            <w:vAlign w:val="top"/>
          </w:tcPr>
          <w:p w14:paraId="05F8601A">
            <w:pPr>
              <w:spacing w:line="360" w:lineRule="auto"/>
              <w:rPr>
                <w:rFonts w:ascii="Arial"/>
                <w:sz w:val="21"/>
              </w:rPr>
            </w:pPr>
          </w:p>
        </w:tc>
        <w:tc>
          <w:tcPr>
            <w:tcW w:w="1837" w:type="dxa"/>
            <w:tcBorders>
              <w:bottom w:val="single" w:color="000000" w:sz="10" w:space="0"/>
            </w:tcBorders>
            <w:vAlign w:val="top"/>
          </w:tcPr>
          <w:p w14:paraId="76F50ECB">
            <w:pPr>
              <w:spacing w:line="360" w:lineRule="auto"/>
              <w:rPr>
                <w:rFonts w:ascii="Arial"/>
                <w:sz w:val="21"/>
              </w:rPr>
            </w:pPr>
          </w:p>
        </w:tc>
        <w:tc>
          <w:tcPr>
            <w:tcW w:w="1837" w:type="dxa"/>
            <w:tcBorders>
              <w:bottom w:val="single" w:color="000000" w:sz="10" w:space="0"/>
            </w:tcBorders>
            <w:vAlign w:val="top"/>
          </w:tcPr>
          <w:p w14:paraId="420B0EF3">
            <w:pPr>
              <w:spacing w:line="360" w:lineRule="auto"/>
              <w:rPr>
                <w:rFonts w:ascii="Arial"/>
                <w:sz w:val="21"/>
              </w:rPr>
            </w:pPr>
          </w:p>
        </w:tc>
        <w:tc>
          <w:tcPr>
            <w:tcW w:w="1979" w:type="dxa"/>
            <w:tcBorders>
              <w:bottom w:val="single" w:color="000000" w:sz="10" w:space="0"/>
            </w:tcBorders>
            <w:vAlign w:val="top"/>
          </w:tcPr>
          <w:p w14:paraId="1BAC956E">
            <w:pPr>
              <w:spacing w:line="360" w:lineRule="auto"/>
              <w:rPr>
                <w:rFonts w:ascii="Arial"/>
                <w:sz w:val="21"/>
              </w:rPr>
            </w:pPr>
          </w:p>
        </w:tc>
        <w:tc>
          <w:tcPr>
            <w:tcW w:w="1555" w:type="dxa"/>
            <w:tcBorders>
              <w:bottom w:val="single" w:color="000000" w:sz="10" w:space="0"/>
            </w:tcBorders>
            <w:vAlign w:val="top"/>
          </w:tcPr>
          <w:p w14:paraId="50292AB1">
            <w:pPr>
              <w:spacing w:line="360" w:lineRule="auto"/>
              <w:rPr>
                <w:rFonts w:ascii="Arial"/>
                <w:sz w:val="21"/>
              </w:rPr>
            </w:pPr>
          </w:p>
        </w:tc>
        <w:tc>
          <w:tcPr>
            <w:tcW w:w="877" w:type="dxa"/>
            <w:tcBorders>
              <w:bottom w:val="single" w:color="000000" w:sz="10" w:space="0"/>
              <w:right w:val="single" w:color="000000" w:sz="10" w:space="0"/>
            </w:tcBorders>
            <w:vAlign w:val="top"/>
          </w:tcPr>
          <w:p w14:paraId="006AB3D8">
            <w:pPr>
              <w:spacing w:line="360" w:lineRule="auto"/>
              <w:rPr>
                <w:rFonts w:ascii="Arial"/>
                <w:sz w:val="21"/>
              </w:rPr>
            </w:pPr>
          </w:p>
        </w:tc>
      </w:tr>
    </w:tbl>
    <w:p w14:paraId="43A751F8">
      <w:pPr>
        <w:pStyle w:val="4"/>
        <w:spacing w:line="360" w:lineRule="auto"/>
      </w:pPr>
    </w:p>
    <w:p w14:paraId="4AFE52C8">
      <w:pPr>
        <w:pStyle w:val="4"/>
        <w:spacing w:line="360" w:lineRule="auto"/>
      </w:pPr>
    </w:p>
    <w:p w14:paraId="2C5BE0BF">
      <w:pPr>
        <w:spacing w:before="72" w:line="360" w:lineRule="auto"/>
        <w:ind w:left="447"/>
        <w:rPr>
          <w:rFonts w:ascii="宋体" w:hAnsi="宋体" w:eastAsia="宋体" w:cs="宋体"/>
          <w:sz w:val="22"/>
          <w:szCs w:val="22"/>
        </w:rPr>
      </w:pPr>
      <w:r>
        <w:rPr>
          <w:rFonts w:ascii="宋体" w:hAnsi="宋体" w:eastAsia="宋体" w:cs="宋体"/>
          <w:spacing w:val="-1"/>
          <w:sz w:val="22"/>
          <w:szCs w:val="22"/>
        </w:rPr>
        <w:t>注：1、“合同金额</w:t>
      </w:r>
      <w:r>
        <w:rPr>
          <w:rFonts w:ascii="宋体" w:hAnsi="宋体" w:eastAsia="宋体" w:cs="宋体"/>
          <w:spacing w:val="-80"/>
          <w:sz w:val="22"/>
          <w:szCs w:val="22"/>
        </w:rPr>
        <w:t xml:space="preserve"> </w:t>
      </w:r>
      <w:r>
        <w:rPr>
          <w:rFonts w:ascii="宋体" w:hAnsi="宋体" w:eastAsia="宋体" w:cs="宋体"/>
          <w:spacing w:val="-1"/>
          <w:sz w:val="22"/>
          <w:szCs w:val="22"/>
        </w:rPr>
        <w:t>”需提供合同扫描件加盖公章。合同有效时间以合同签订日期为准。</w:t>
      </w:r>
    </w:p>
    <w:p w14:paraId="5A62D127">
      <w:pPr>
        <w:spacing w:before="159" w:line="360" w:lineRule="auto"/>
        <w:ind w:left="450"/>
        <w:rPr>
          <w:rFonts w:ascii="宋体" w:hAnsi="宋体" w:eastAsia="宋体" w:cs="宋体"/>
          <w:sz w:val="22"/>
          <w:szCs w:val="22"/>
        </w:rPr>
      </w:pPr>
      <w:r>
        <w:rPr>
          <w:rFonts w:ascii="宋体" w:hAnsi="宋体" w:eastAsia="宋体" w:cs="宋体"/>
          <w:sz w:val="22"/>
          <w:szCs w:val="22"/>
        </w:rPr>
        <w:t>2、供应商应如实列出以上情况，如有隐瞒，一经查实将</w:t>
      </w:r>
      <w:r>
        <w:rPr>
          <w:rFonts w:ascii="宋体" w:hAnsi="宋体" w:eastAsia="宋体" w:cs="宋体"/>
          <w:spacing w:val="-1"/>
          <w:sz w:val="22"/>
          <w:szCs w:val="22"/>
        </w:rPr>
        <w:t>导致其投标申请被拒绝。</w:t>
      </w:r>
    </w:p>
    <w:p w14:paraId="058C5A4A">
      <w:pPr>
        <w:pStyle w:val="4"/>
        <w:spacing w:line="360" w:lineRule="auto"/>
      </w:pPr>
    </w:p>
    <w:p w14:paraId="2635DDAC">
      <w:pPr>
        <w:spacing w:before="78" w:line="360" w:lineRule="auto"/>
        <w:ind w:left="489"/>
        <w:rPr>
          <w:rFonts w:ascii="宋体" w:hAnsi="宋体" w:eastAsia="宋体" w:cs="宋体"/>
          <w:sz w:val="24"/>
          <w:szCs w:val="24"/>
        </w:rPr>
      </w:pPr>
      <w:r>
        <w:rPr>
          <w:rFonts w:ascii="宋体" w:hAnsi="宋体" w:eastAsia="宋体" w:cs="宋体"/>
          <w:spacing w:val="3"/>
          <w:sz w:val="24"/>
          <w:szCs w:val="24"/>
        </w:rPr>
        <w:t>供应商名称</w:t>
      </w:r>
      <w:r>
        <w:rPr>
          <w:rFonts w:ascii="宋体" w:hAnsi="宋体" w:eastAsia="宋体" w:cs="宋体"/>
          <w:spacing w:val="-18"/>
          <w:sz w:val="24"/>
          <w:szCs w:val="24"/>
        </w:rPr>
        <w:t>：（</w:t>
      </w:r>
      <w:r>
        <w:rPr>
          <w:rFonts w:ascii="宋体" w:hAnsi="宋体" w:eastAsia="宋体" w:cs="宋体"/>
          <w:spacing w:val="3"/>
          <w:sz w:val="24"/>
          <w:szCs w:val="24"/>
        </w:rPr>
        <w:t>盖章）</w:t>
      </w:r>
    </w:p>
    <w:p w14:paraId="58FF8815">
      <w:pPr>
        <w:pStyle w:val="4"/>
        <w:spacing w:line="360" w:lineRule="auto"/>
      </w:pPr>
    </w:p>
    <w:p w14:paraId="572829EF">
      <w:pPr>
        <w:spacing w:before="79" w:line="360" w:lineRule="auto"/>
        <w:ind w:left="490"/>
        <w:rPr>
          <w:rFonts w:ascii="宋体" w:hAnsi="宋体" w:eastAsia="宋体" w:cs="宋体"/>
          <w:sz w:val="24"/>
          <w:szCs w:val="24"/>
        </w:rPr>
      </w:pPr>
      <w:r>
        <w:rPr>
          <w:rFonts w:ascii="宋体" w:hAnsi="宋体" w:eastAsia="宋体" w:cs="宋体"/>
          <w:spacing w:val="-4"/>
          <w:sz w:val="24"/>
          <w:szCs w:val="24"/>
        </w:rPr>
        <w:t>法定代表人或其授权代表（签名或盖章</w:t>
      </w:r>
      <w:r>
        <w:rPr>
          <w:rFonts w:ascii="宋体" w:hAnsi="宋体" w:eastAsia="宋体" w:cs="宋体"/>
          <w:spacing w:val="9"/>
          <w:sz w:val="24"/>
          <w:szCs w:val="24"/>
        </w:rPr>
        <w:t>）：</w:t>
      </w:r>
      <w:r>
        <w:rPr>
          <w:rFonts w:ascii="宋体" w:hAnsi="宋体" w:eastAsia="宋体" w:cs="宋体"/>
          <w:spacing w:val="5"/>
          <w:sz w:val="24"/>
          <w:szCs w:val="24"/>
        </w:rPr>
        <w:t xml:space="preserve">         </w:t>
      </w:r>
      <w:r>
        <w:rPr>
          <w:rFonts w:ascii="宋体" w:hAnsi="宋体" w:eastAsia="宋体" w:cs="宋体"/>
          <w:spacing w:val="-4"/>
          <w:sz w:val="24"/>
          <w:szCs w:val="24"/>
        </w:rPr>
        <w:t>日期：</w:t>
      </w:r>
    </w:p>
    <w:p w14:paraId="7C397415">
      <w:pPr>
        <w:spacing w:line="360" w:lineRule="auto"/>
        <w:rPr>
          <w:rFonts w:ascii="宋体" w:hAnsi="宋体" w:eastAsia="宋体" w:cs="宋体"/>
          <w:sz w:val="24"/>
          <w:szCs w:val="24"/>
        </w:rPr>
        <w:sectPr>
          <w:footerReference r:id="rId42" w:type="default"/>
          <w:pgSz w:w="11906" w:h="16839"/>
          <w:pgMar w:top="1166" w:right="1080" w:bottom="1166" w:left="1080" w:header="829" w:footer="952" w:gutter="0"/>
          <w:cols w:space="720" w:num="1"/>
        </w:sectPr>
      </w:pPr>
    </w:p>
    <w:p w14:paraId="429F093D">
      <w:pPr>
        <w:pStyle w:val="4"/>
        <w:spacing w:line="360" w:lineRule="auto"/>
      </w:pPr>
    </w:p>
    <w:p w14:paraId="4AEB5FBC">
      <w:pPr>
        <w:spacing w:before="91" w:line="360" w:lineRule="auto"/>
        <w:ind w:left="32"/>
        <w:outlineLvl w:val="1"/>
        <w:rPr>
          <w:rFonts w:ascii="宋体" w:hAnsi="宋体" w:eastAsia="宋体" w:cs="宋体"/>
          <w:sz w:val="28"/>
          <w:szCs w:val="28"/>
        </w:rPr>
      </w:pPr>
      <w:bookmarkStart w:id="88" w:name="_Toc25652"/>
      <w:r>
        <w:rPr>
          <w:rFonts w:ascii="宋体" w:hAnsi="宋体" w:eastAsia="宋体" w:cs="宋体"/>
          <w:b/>
          <w:bCs/>
          <w:spacing w:val="-15"/>
          <w:sz w:val="28"/>
          <w:szCs w:val="28"/>
        </w:rPr>
        <w:t>附表</w:t>
      </w:r>
      <w:r>
        <w:rPr>
          <w:rFonts w:ascii="宋体" w:hAnsi="宋体" w:eastAsia="宋体" w:cs="宋体"/>
          <w:spacing w:val="-54"/>
          <w:sz w:val="28"/>
          <w:szCs w:val="28"/>
        </w:rPr>
        <w:t xml:space="preserve"> </w:t>
      </w:r>
      <w:r>
        <w:rPr>
          <w:rFonts w:ascii="宋体" w:hAnsi="宋体" w:eastAsia="宋体" w:cs="宋体"/>
          <w:b/>
          <w:bCs/>
          <w:spacing w:val="-15"/>
          <w:sz w:val="28"/>
          <w:szCs w:val="28"/>
        </w:rPr>
        <w:t>2：</w:t>
      </w:r>
      <w:bookmarkEnd w:id="88"/>
    </w:p>
    <w:p w14:paraId="1EF72D13">
      <w:pPr>
        <w:spacing w:before="87" w:line="360" w:lineRule="auto"/>
        <w:ind w:left="4325"/>
        <w:outlineLvl w:val="1"/>
        <w:rPr>
          <w:rFonts w:ascii="宋体" w:hAnsi="宋体" w:eastAsia="宋体" w:cs="宋体"/>
          <w:sz w:val="28"/>
          <w:szCs w:val="28"/>
        </w:rPr>
      </w:pPr>
      <w:bookmarkStart w:id="89" w:name="_Toc27895"/>
      <w:r>
        <w:rPr>
          <w:rFonts w:ascii="宋体" w:hAnsi="宋体" w:eastAsia="宋体" w:cs="宋体"/>
          <w:b/>
          <w:bCs/>
          <w:spacing w:val="-6"/>
          <w:sz w:val="28"/>
          <w:szCs w:val="28"/>
        </w:rPr>
        <w:t>项目团队</w:t>
      </w:r>
      <w:bookmarkEnd w:id="89"/>
    </w:p>
    <w:tbl>
      <w:tblPr>
        <w:tblStyle w:val="12"/>
        <w:tblW w:w="8743" w:type="dxa"/>
        <w:tblInd w:w="50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0"/>
        <w:gridCol w:w="919"/>
        <w:gridCol w:w="1194"/>
        <w:gridCol w:w="1330"/>
        <w:gridCol w:w="1507"/>
        <w:gridCol w:w="1677"/>
        <w:gridCol w:w="1026"/>
      </w:tblGrid>
      <w:tr w14:paraId="7CEEC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8743" w:type="dxa"/>
            <w:gridSpan w:val="7"/>
            <w:tcBorders>
              <w:top w:val="single" w:color="000000" w:sz="10" w:space="0"/>
              <w:left w:val="single" w:color="000000" w:sz="10" w:space="0"/>
              <w:bottom w:val="single" w:color="000000" w:sz="4" w:space="0"/>
              <w:right w:val="single" w:color="000000" w:sz="10" w:space="0"/>
            </w:tcBorders>
            <w:vAlign w:val="top"/>
          </w:tcPr>
          <w:p w14:paraId="6EE1BCFF">
            <w:pPr>
              <w:pStyle w:val="13"/>
              <w:spacing w:before="267" w:line="360" w:lineRule="auto"/>
              <w:ind w:left="125"/>
            </w:pPr>
            <w:r>
              <w:rPr>
                <w:spacing w:val="-4"/>
              </w:rPr>
              <w:t>1、项目负责人</w:t>
            </w:r>
          </w:p>
        </w:tc>
      </w:tr>
      <w:tr w14:paraId="18912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9" w:hRule="atLeast"/>
        </w:trPr>
        <w:tc>
          <w:tcPr>
            <w:tcW w:w="1090" w:type="dxa"/>
            <w:tcBorders>
              <w:top w:val="single" w:color="000000" w:sz="4" w:space="0"/>
              <w:left w:val="single" w:color="000000" w:sz="10" w:space="0"/>
              <w:bottom w:val="single" w:color="000000" w:sz="4" w:space="0"/>
              <w:right w:val="single" w:color="000000" w:sz="4" w:space="0"/>
            </w:tcBorders>
            <w:vAlign w:val="top"/>
          </w:tcPr>
          <w:p w14:paraId="48BEDBAA">
            <w:pPr>
              <w:spacing w:line="360" w:lineRule="auto"/>
              <w:rPr>
                <w:rFonts w:ascii="Arial"/>
                <w:sz w:val="21"/>
              </w:rPr>
            </w:pPr>
          </w:p>
          <w:p w14:paraId="00869143">
            <w:pPr>
              <w:spacing w:line="360" w:lineRule="auto"/>
              <w:rPr>
                <w:rFonts w:ascii="Arial"/>
                <w:sz w:val="21"/>
              </w:rPr>
            </w:pPr>
          </w:p>
          <w:p w14:paraId="1797E5D5">
            <w:pPr>
              <w:pStyle w:val="13"/>
              <w:spacing w:before="78" w:line="360" w:lineRule="auto"/>
              <w:ind w:left="297"/>
            </w:pPr>
            <w:r>
              <w:rPr>
                <w:spacing w:val="-5"/>
              </w:rPr>
              <w:t>姓名</w:t>
            </w:r>
          </w:p>
        </w:tc>
        <w:tc>
          <w:tcPr>
            <w:tcW w:w="919" w:type="dxa"/>
            <w:tcBorders>
              <w:top w:val="single" w:color="000000" w:sz="4" w:space="0"/>
              <w:left w:val="single" w:color="000000" w:sz="4" w:space="0"/>
            </w:tcBorders>
            <w:vAlign w:val="top"/>
          </w:tcPr>
          <w:p w14:paraId="3E8CDBB1">
            <w:pPr>
              <w:spacing w:line="360" w:lineRule="auto"/>
              <w:rPr>
                <w:rFonts w:ascii="Arial"/>
                <w:sz w:val="21"/>
              </w:rPr>
            </w:pPr>
          </w:p>
          <w:p w14:paraId="0330591F">
            <w:pPr>
              <w:spacing w:line="360" w:lineRule="auto"/>
              <w:rPr>
                <w:rFonts w:ascii="Arial"/>
                <w:sz w:val="21"/>
              </w:rPr>
            </w:pPr>
          </w:p>
          <w:p w14:paraId="48889A18">
            <w:pPr>
              <w:pStyle w:val="13"/>
              <w:spacing w:before="78" w:line="360" w:lineRule="auto"/>
              <w:ind w:left="216"/>
            </w:pPr>
            <w:r>
              <w:rPr>
                <w:spacing w:val="-6"/>
              </w:rPr>
              <w:t>年龄</w:t>
            </w:r>
          </w:p>
        </w:tc>
        <w:tc>
          <w:tcPr>
            <w:tcW w:w="1194" w:type="dxa"/>
            <w:tcBorders>
              <w:top w:val="single" w:color="000000" w:sz="4" w:space="0"/>
            </w:tcBorders>
            <w:vAlign w:val="top"/>
          </w:tcPr>
          <w:p w14:paraId="27987BAD">
            <w:pPr>
              <w:spacing w:line="360" w:lineRule="auto"/>
              <w:rPr>
                <w:rFonts w:ascii="Arial"/>
                <w:sz w:val="21"/>
              </w:rPr>
            </w:pPr>
          </w:p>
          <w:p w14:paraId="1CB6249F">
            <w:pPr>
              <w:spacing w:line="360" w:lineRule="auto"/>
              <w:rPr>
                <w:rFonts w:ascii="Arial"/>
                <w:sz w:val="21"/>
              </w:rPr>
            </w:pPr>
          </w:p>
          <w:p w14:paraId="5DD24617">
            <w:pPr>
              <w:pStyle w:val="13"/>
              <w:spacing w:before="78" w:line="360" w:lineRule="auto"/>
              <w:ind w:left="360"/>
            </w:pPr>
            <w:r>
              <w:rPr>
                <w:spacing w:val="-6"/>
              </w:rPr>
              <w:t>专业</w:t>
            </w:r>
          </w:p>
        </w:tc>
        <w:tc>
          <w:tcPr>
            <w:tcW w:w="1330" w:type="dxa"/>
            <w:tcBorders>
              <w:top w:val="single" w:color="000000" w:sz="4" w:space="0"/>
            </w:tcBorders>
            <w:vAlign w:val="top"/>
          </w:tcPr>
          <w:p w14:paraId="60584FC9">
            <w:pPr>
              <w:spacing w:line="360" w:lineRule="auto"/>
              <w:rPr>
                <w:rFonts w:ascii="Arial"/>
                <w:sz w:val="21"/>
              </w:rPr>
            </w:pPr>
          </w:p>
          <w:p w14:paraId="77C2F742">
            <w:pPr>
              <w:spacing w:line="360" w:lineRule="auto"/>
              <w:rPr>
                <w:rFonts w:ascii="Arial"/>
                <w:sz w:val="21"/>
              </w:rPr>
            </w:pPr>
          </w:p>
          <w:p w14:paraId="53A59B26">
            <w:pPr>
              <w:pStyle w:val="13"/>
              <w:spacing w:before="78" w:line="360" w:lineRule="auto"/>
              <w:ind w:left="424"/>
            </w:pPr>
            <w:r>
              <w:rPr>
                <w:spacing w:val="-6"/>
              </w:rPr>
              <w:t>职称</w:t>
            </w:r>
          </w:p>
        </w:tc>
        <w:tc>
          <w:tcPr>
            <w:tcW w:w="1507" w:type="dxa"/>
            <w:tcBorders>
              <w:top w:val="single" w:color="000000" w:sz="4" w:space="0"/>
            </w:tcBorders>
            <w:vAlign w:val="top"/>
          </w:tcPr>
          <w:p w14:paraId="4C982BA8">
            <w:pPr>
              <w:spacing w:line="360" w:lineRule="auto"/>
              <w:rPr>
                <w:rFonts w:ascii="Arial"/>
                <w:sz w:val="21"/>
              </w:rPr>
            </w:pPr>
          </w:p>
          <w:p w14:paraId="18FB03D8">
            <w:pPr>
              <w:spacing w:line="360" w:lineRule="auto"/>
              <w:rPr>
                <w:rFonts w:ascii="Arial"/>
                <w:sz w:val="21"/>
              </w:rPr>
            </w:pPr>
          </w:p>
          <w:p w14:paraId="70846E8C">
            <w:pPr>
              <w:pStyle w:val="13"/>
              <w:spacing w:before="78" w:line="360" w:lineRule="auto"/>
              <w:ind w:left="521"/>
            </w:pPr>
            <w:r>
              <w:rPr>
                <w:spacing w:val="-8"/>
              </w:rPr>
              <w:t>学历</w:t>
            </w:r>
          </w:p>
        </w:tc>
        <w:tc>
          <w:tcPr>
            <w:tcW w:w="1677" w:type="dxa"/>
            <w:tcBorders>
              <w:top w:val="single" w:color="000000" w:sz="4" w:space="0"/>
            </w:tcBorders>
            <w:vAlign w:val="top"/>
          </w:tcPr>
          <w:p w14:paraId="1EF1945B">
            <w:pPr>
              <w:spacing w:line="360" w:lineRule="auto"/>
              <w:rPr>
                <w:rFonts w:ascii="Arial"/>
                <w:sz w:val="21"/>
              </w:rPr>
            </w:pPr>
          </w:p>
          <w:p w14:paraId="26E7B668">
            <w:pPr>
              <w:pStyle w:val="13"/>
              <w:spacing w:before="78" w:line="360" w:lineRule="auto"/>
              <w:ind w:left="237" w:right="242"/>
            </w:pPr>
            <w:r>
              <w:rPr>
                <w:spacing w:val="-2"/>
              </w:rPr>
              <w:t>在本行业从业工作年限</w:t>
            </w:r>
          </w:p>
        </w:tc>
        <w:tc>
          <w:tcPr>
            <w:tcW w:w="1026" w:type="dxa"/>
            <w:tcBorders>
              <w:top w:val="single" w:color="000000" w:sz="4" w:space="0"/>
              <w:right w:val="single" w:color="000000" w:sz="10" w:space="0"/>
            </w:tcBorders>
            <w:vAlign w:val="top"/>
          </w:tcPr>
          <w:p w14:paraId="16DFB930">
            <w:pPr>
              <w:spacing w:line="360" w:lineRule="auto"/>
              <w:rPr>
                <w:rFonts w:ascii="Arial"/>
                <w:sz w:val="21"/>
              </w:rPr>
            </w:pPr>
          </w:p>
          <w:p w14:paraId="1631F1F1">
            <w:pPr>
              <w:pStyle w:val="13"/>
              <w:spacing w:before="78" w:line="360" w:lineRule="auto"/>
              <w:ind w:left="273" w:right="270" w:firstLine="12"/>
            </w:pPr>
            <w:r>
              <w:rPr>
                <w:spacing w:val="-13"/>
              </w:rPr>
              <w:t>当前</w:t>
            </w:r>
            <w:r>
              <w:rPr>
                <w:spacing w:val="-7"/>
              </w:rPr>
              <w:t>分工</w:t>
            </w:r>
          </w:p>
        </w:tc>
      </w:tr>
      <w:tr w14:paraId="41D3F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1090" w:type="dxa"/>
            <w:tcBorders>
              <w:top w:val="single" w:color="000000" w:sz="4" w:space="0"/>
              <w:left w:val="single" w:color="000000" w:sz="10" w:space="0"/>
              <w:bottom w:val="single" w:color="000000" w:sz="4" w:space="0"/>
              <w:right w:val="single" w:color="000000" w:sz="4" w:space="0"/>
            </w:tcBorders>
            <w:vAlign w:val="top"/>
          </w:tcPr>
          <w:p w14:paraId="10CC9B9B">
            <w:pPr>
              <w:spacing w:line="360" w:lineRule="auto"/>
              <w:rPr>
                <w:rFonts w:ascii="Arial"/>
                <w:sz w:val="21"/>
              </w:rPr>
            </w:pPr>
          </w:p>
        </w:tc>
        <w:tc>
          <w:tcPr>
            <w:tcW w:w="919" w:type="dxa"/>
            <w:tcBorders>
              <w:left w:val="single" w:color="000000" w:sz="4" w:space="0"/>
              <w:bottom w:val="single" w:color="000000" w:sz="4" w:space="0"/>
            </w:tcBorders>
            <w:vAlign w:val="top"/>
          </w:tcPr>
          <w:p w14:paraId="7FAC261A">
            <w:pPr>
              <w:spacing w:line="360" w:lineRule="auto"/>
              <w:rPr>
                <w:rFonts w:ascii="Arial"/>
                <w:sz w:val="21"/>
              </w:rPr>
            </w:pPr>
          </w:p>
        </w:tc>
        <w:tc>
          <w:tcPr>
            <w:tcW w:w="1194" w:type="dxa"/>
            <w:tcBorders>
              <w:bottom w:val="single" w:color="000000" w:sz="4" w:space="0"/>
            </w:tcBorders>
            <w:vAlign w:val="top"/>
          </w:tcPr>
          <w:p w14:paraId="0A8CC843">
            <w:pPr>
              <w:spacing w:line="360" w:lineRule="auto"/>
              <w:rPr>
                <w:rFonts w:ascii="Arial"/>
                <w:sz w:val="21"/>
              </w:rPr>
            </w:pPr>
          </w:p>
        </w:tc>
        <w:tc>
          <w:tcPr>
            <w:tcW w:w="1330" w:type="dxa"/>
            <w:tcBorders>
              <w:bottom w:val="single" w:color="000000" w:sz="4" w:space="0"/>
            </w:tcBorders>
            <w:vAlign w:val="top"/>
          </w:tcPr>
          <w:p w14:paraId="6FAEABE7">
            <w:pPr>
              <w:spacing w:line="360" w:lineRule="auto"/>
              <w:rPr>
                <w:rFonts w:ascii="Arial"/>
                <w:sz w:val="21"/>
              </w:rPr>
            </w:pPr>
          </w:p>
        </w:tc>
        <w:tc>
          <w:tcPr>
            <w:tcW w:w="1507" w:type="dxa"/>
            <w:tcBorders>
              <w:bottom w:val="single" w:color="000000" w:sz="4" w:space="0"/>
            </w:tcBorders>
            <w:vAlign w:val="top"/>
          </w:tcPr>
          <w:p w14:paraId="1DF3A3CB">
            <w:pPr>
              <w:spacing w:line="360" w:lineRule="auto"/>
              <w:rPr>
                <w:rFonts w:ascii="Arial"/>
                <w:sz w:val="21"/>
              </w:rPr>
            </w:pPr>
          </w:p>
        </w:tc>
        <w:tc>
          <w:tcPr>
            <w:tcW w:w="1677" w:type="dxa"/>
            <w:tcBorders>
              <w:bottom w:val="single" w:color="000000" w:sz="4" w:space="0"/>
            </w:tcBorders>
            <w:vAlign w:val="top"/>
          </w:tcPr>
          <w:p w14:paraId="45879A4B">
            <w:pPr>
              <w:spacing w:line="360" w:lineRule="auto"/>
              <w:rPr>
                <w:rFonts w:ascii="Arial"/>
                <w:sz w:val="21"/>
              </w:rPr>
            </w:pPr>
          </w:p>
        </w:tc>
        <w:tc>
          <w:tcPr>
            <w:tcW w:w="1026" w:type="dxa"/>
            <w:tcBorders>
              <w:bottom w:val="single" w:color="000000" w:sz="4" w:space="0"/>
              <w:right w:val="single" w:color="000000" w:sz="10" w:space="0"/>
            </w:tcBorders>
            <w:vAlign w:val="top"/>
          </w:tcPr>
          <w:p w14:paraId="67DE1DE0">
            <w:pPr>
              <w:spacing w:line="360" w:lineRule="auto"/>
              <w:rPr>
                <w:rFonts w:ascii="Arial"/>
                <w:sz w:val="21"/>
              </w:rPr>
            </w:pPr>
          </w:p>
        </w:tc>
      </w:tr>
      <w:tr w14:paraId="365B6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8743" w:type="dxa"/>
            <w:gridSpan w:val="7"/>
            <w:tcBorders>
              <w:top w:val="single" w:color="000000" w:sz="4" w:space="0"/>
              <w:left w:val="single" w:color="000000" w:sz="10" w:space="0"/>
              <w:bottom w:val="single" w:color="000000" w:sz="4" w:space="0"/>
              <w:right w:val="single" w:color="000000" w:sz="10" w:space="0"/>
            </w:tcBorders>
            <w:vAlign w:val="top"/>
          </w:tcPr>
          <w:p w14:paraId="44776481">
            <w:pPr>
              <w:spacing w:line="360" w:lineRule="auto"/>
              <w:rPr>
                <w:rFonts w:ascii="Arial"/>
                <w:sz w:val="21"/>
              </w:rPr>
            </w:pPr>
          </w:p>
          <w:p w14:paraId="08189E4E">
            <w:pPr>
              <w:pStyle w:val="13"/>
              <w:spacing w:before="78" w:line="360" w:lineRule="auto"/>
              <w:ind w:left="110"/>
            </w:pPr>
            <w:r>
              <w:rPr>
                <w:spacing w:val="-3"/>
              </w:rPr>
              <w:t>2、其他人员</w:t>
            </w:r>
          </w:p>
        </w:tc>
      </w:tr>
      <w:tr w14:paraId="2376F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9" w:hRule="atLeast"/>
        </w:trPr>
        <w:tc>
          <w:tcPr>
            <w:tcW w:w="1090" w:type="dxa"/>
            <w:tcBorders>
              <w:top w:val="single" w:color="000000" w:sz="4" w:space="0"/>
              <w:left w:val="single" w:color="000000" w:sz="10" w:space="0"/>
              <w:bottom w:val="single" w:color="000000" w:sz="4" w:space="0"/>
              <w:right w:val="single" w:color="000000" w:sz="4" w:space="0"/>
            </w:tcBorders>
            <w:vAlign w:val="top"/>
          </w:tcPr>
          <w:p w14:paraId="51B119E0">
            <w:pPr>
              <w:spacing w:line="360" w:lineRule="auto"/>
              <w:rPr>
                <w:rFonts w:ascii="Arial"/>
                <w:sz w:val="21"/>
              </w:rPr>
            </w:pPr>
          </w:p>
          <w:p w14:paraId="65407026">
            <w:pPr>
              <w:spacing w:line="360" w:lineRule="auto"/>
              <w:rPr>
                <w:rFonts w:ascii="Arial"/>
                <w:sz w:val="21"/>
              </w:rPr>
            </w:pPr>
          </w:p>
          <w:p w14:paraId="73C942C6">
            <w:pPr>
              <w:pStyle w:val="13"/>
              <w:spacing w:before="78" w:line="360" w:lineRule="auto"/>
              <w:ind w:left="297"/>
            </w:pPr>
            <w:r>
              <w:rPr>
                <w:spacing w:val="-5"/>
              </w:rPr>
              <w:t>姓名</w:t>
            </w:r>
          </w:p>
        </w:tc>
        <w:tc>
          <w:tcPr>
            <w:tcW w:w="919" w:type="dxa"/>
            <w:tcBorders>
              <w:top w:val="single" w:color="000000" w:sz="4" w:space="0"/>
              <w:left w:val="single" w:color="000000" w:sz="4" w:space="0"/>
            </w:tcBorders>
            <w:vAlign w:val="top"/>
          </w:tcPr>
          <w:p w14:paraId="19A266BF">
            <w:pPr>
              <w:spacing w:line="360" w:lineRule="auto"/>
              <w:rPr>
                <w:rFonts w:ascii="Arial"/>
                <w:sz w:val="21"/>
              </w:rPr>
            </w:pPr>
          </w:p>
          <w:p w14:paraId="7BCBAC72">
            <w:pPr>
              <w:spacing w:line="360" w:lineRule="auto"/>
              <w:rPr>
                <w:rFonts w:ascii="Arial"/>
                <w:sz w:val="21"/>
              </w:rPr>
            </w:pPr>
          </w:p>
          <w:p w14:paraId="3BA67868">
            <w:pPr>
              <w:pStyle w:val="13"/>
              <w:spacing w:before="78" w:line="360" w:lineRule="auto"/>
              <w:ind w:left="216"/>
            </w:pPr>
            <w:r>
              <w:rPr>
                <w:spacing w:val="-6"/>
              </w:rPr>
              <w:t>年龄</w:t>
            </w:r>
          </w:p>
        </w:tc>
        <w:tc>
          <w:tcPr>
            <w:tcW w:w="1194" w:type="dxa"/>
            <w:tcBorders>
              <w:top w:val="single" w:color="000000" w:sz="4" w:space="0"/>
            </w:tcBorders>
            <w:vAlign w:val="top"/>
          </w:tcPr>
          <w:p w14:paraId="3663C1DD">
            <w:pPr>
              <w:spacing w:line="360" w:lineRule="auto"/>
              <w:rPr>
                <w:rFonts w:ascii="Arial"/>
                <w:sz w:val="21"/>
              </w:rPr>
            </w:pPr>
          </w:p>
          <w:p w14:paraId="2A2834A6">
            <w:pPr>
              <w:spacing w:line="360" w:lineRule="auto"/>
              <w:rPr>
                <w:rFonts w:ascii="Arial"/>
                <w:sz w:val="21"/>
              </w:rPr>
            </w:pPr>
          </w:p>
          <w:p w14:paraId="60F8FE02">
            <w:pPr>
              <w:pStyle w:val="13"/>
              <w:spacing w:before="78" w:line="360" w:lineRule="auto"/>
              <w:ind w:left="360"/>
            </w:pPr>
            <w:r>
              <w:rPr>
                <w:spacing w:val="-6"/>
              </w:rPr>
              <w:t>专业</w:t>
            </w:r>
          </w:p>
        </w:tc>
        <w:tc>
          <w:tcPr>
            <w:tcW w:w="1330" w:type="dxa"/>
            <w:tcBorders>
              <w:top w:val="single" w:color="000000" w:sz="4" w:space="0"/>
            </w:tcBorders>
            <w:vAlign w:val="top"/>
          </w:tcPr>
          <w:p w14:paraId="1824BACF">
            <w:pPr>
              <w:spacing w:line="360" w:lineRule="auto"/>
              <w:rPr>
                <w:rFonts w:ascii="Arial"/>
                <w:sz w:val="21"/>
              </w:rPr>
            </w:pPr>
          </w:p>
          <w:p w14:paraId="46B8F468">
            <w:pPr>
              <w:spacing w:line="360" w:lineRule="auto"/>
              <w:rPr>
                <w:rFonts w:ascii="Arial"/>
                <w:sz w:val="21"/>
              </w:rPr>
            </w:pPr>
          </w:p>
          <w:p w14:paraId="3E82597C">
            <w:pPr>
              <w:pStyle w:val="13"/>
              <w:spacing w:before="78" w:line="360" w:lineRule="auto"/>
              <w:ind w:left="436"/>
            </w:pPr>
            <w:r>
              <w:rPr>
                <w:spacing w:val="-6"/>
              </w:rPr>
              <w:t>职称</w:t>
            </w:r>
          </w:p>
        </w:tc>
        <w:tc>
          <w:tcPr>
            <w:tcW w:w="1507" w:type="dxa"/>
            <w:tcBorders>
              <w:top w:val="single" w:color="000000" w:sz="4" w:space="0"/>
            </w:tcBorders>
            <w:vAlign w:val="top"/>
          </w:tcPr>
          <w:p w14:paraId="21E080A5">
            <w:pPr>
              <w:spacing w:line="360" w:lineRule="auto"/>
              <w:rPr>
                <w:rFonts w:ascii="Arial"/>
                <w:sz w:val="21"/>
              </w:rPr>
            </w:pPr>
          </w:p>
          <w:p w14:paraId="32D95100">
            <w:pPr>
              <w:spacing w:line="360" w:lineRule="auto"/>
              <w:rPr>
                <w:rFonts w:ascii="Arial"/>
                <w:sz w:val="21"/>
              </w:rPr>
            </w:pPr>
          </w:p>
          <w:p w14:paraId="0BC838F0">
            <w:pPr>
              <w:pStyle w:val="13"/>
              <w:spacing w:before="78" w:line="360" w:lineRule="auto"/>
              <w:ind w:left="533"/>
            </w:pPr>
            <w:r>
              <w:rPr>
                <w:spacing w:val="-8"/>
              </w:rPr>
              <w:t>学历</w:t>
            </w:r>
          </w:p>
        </w:tc>
        <w:tc>
          <w:tcPr>
            <w:tcW w:w="1677" w:type="dxa"/>
            <w:tcBorders>
              <w:top w:val="single" w:color="000000" w:sz="4" w:space="0"/>
            </w:tcBorders>
            <w:vAlign w:val="top"/>
          </w:tcPr>
          <w:p w14:paraId="63490974">
            <w:pPr>
              <w:spacing w:line="360" w:lineRule="auto"/>
              <w:rPr>
                <w:rFonts w:ascii="Arial"/>
                <w:sz w:val="21"/>
              </w:rPr>
            </w:pPr>
          </w:p>
          <w:p w14:paraId="65C69DE2">
            <w:pPr>
              <w:pStyle w:val="13"/>
              <w:spacing w:before="78" w:line="360" w:lineRule="auto"/>
              <w:ind w:left="382" w:right="101" w:hanging="243"/>
            </w:pPr>
            <w:r>
              <w:rPr>
                <w:spacing w:val="-2"/>
              </w:rPr>
              <w:t>在本行业从业</w:t>
            </w:r>
            <w:r>
              <w:rPr>
                <w:spacing w:val="-4"/>
              </w:rPr>
              <w:t>工作年限</w:t>
            </w:r>
          </w:p>
        </w:tc>
        <w:tc>
          <w:tcPr>
            <w:tcW w:w="1026" w:type="dxa"/>
            <w:tcBorders>
              <w:top w:val="single" w:color="000000" w:sz="4" w:space="0"/>
              <w:right w:val="single" w:color="000000" w:sz="10" w:space="0"/>
            </w:tcBorders>
            <w:vAlign w:val="top"/>
          </w:tcPr>
          <w:p w14:paraId="21D43FEF">
            <w:pPr>
              <w:spacing w:line="360" w:lineRule="auto"/>
              <w:rPr>
                <w:rFonts w:ascii="Arial"/>
                <w:sz w:val="21"/>
              </w:rPr>
            </w:pPr>
          </w:p>
          <w:p w14:paraId="2BFAD516">
            <w:pPr>
              <w:pStyle w:val="13"/>
              <w:spacing w:before="78" w:line="360" w:lineRule="auto"/>
              <w:ind w:left="292" w:right="250" w:firstLine="12"/>
            </w:pPr>
            <w:r>
              <w:rPr>
                <w:spacing w:val="-13"/>
              </w:rPr>
              <w:t>当前</w:t>
            </w:r>
            <w:r>
              <w:rPr>
                <w:spacing w:val="-7"/>
              </w:rPr>
              <w:t>分工</w:t>
            </w:r>
          </w:p>
        </w:tc>
      </w:tr>
      <w:tr w14:paraId="45323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090" w:type="dxa"/>
            <w:tcBorders>
              <w:top w:val="single" w:color="000000" w:sz="4" w:space="0"/>
              <w:left w:val="single" w:color="000000" w:sz="10" w:space="0"/>
              <w:bottom w:val="single" w:color="000000" w:sz="4" w:space="0"/>
              <w:right w:val="single" w:color="000000" w:sz="4" w:space="0"/>
            </w:tcBorders>
            <w:vAlign w:val="top"/>
          </w:tcPr>
          <w:p w14:paraId="5CEF8FC4">
            <w:pPr>
              <w:spacing w:line="360" w:lineRule="auto"/>
              <w:rPr>
                <w:rFonts w:ascii="Arial"/>
                <w:sz w:val="21"/>
              </w:rPr>
            </w:pPr>
          </w:p>
        </w:tc>
        <w:tc>
          <w:tcPr>
            <w:tcW w:w="919" w:type="dxa"/>
            <w:tcBorders>
              <w:left w:val="single" w:color="000000" w:sz="4" w:space="0"/>
            </w:tcBorders>
            <w:vAlign w:val="top"/>
          </w:tcPr>
          <w:p w14:paraId="73226889">
            <w:pPr>
              <w:spacing w:line="360" w:lineRule="auto"/>
              <w:rPr>
                <w:rFonts w:ascii="Arial"/>
                <w:sz w:val="21"/>
              </w:rPr>
            </w:pPr>
          </w:p>
        </w:tc>
        <w:tc>
          <w:tcPr>
            <w:tcW w:w="1194" w:type="dxa"/>
            <w:vAlign w:val="top"/>
          </w:tcPr>
          <w:p w14:paraId="1557EEEB">
            <w:pPr>
              <w:spacing w:line="360" w:lineRule="auto"/>
              <w:rPr>
                <w:rFonts w:ascii="Arial"/>
                <w:sz w:val="21"/>
              </w:rPr>
            </w:pPr>
          </w:p>
        </w:tc>
        <w:tc>
          <w:tcPr>
            <w:tcW w:w="1330" w:type="dxa"/>
            <w:vAlign w:val="top"/>
          </w:tcPr>
          <w:p w14:paraId="46B8EAB5">
            <w:pPr>
              <w:spacing w:line="360" w:lineRule="auto"/>
              <w:rPr>
                <w:rFonts w:ascii="Arial"/>
                <w:sz w:val="21"/>
              </w:rPr>
            </w:pPr>
          </w:p>
        </w:tc>
        <w:tc>
          <w:tcPr>
            <w:tcW w:w="1507" w:type="dxa"/>
            <w:vAlign w:val="top"/>
          </w:tcPr>
          <w:p w14:paraId="1A0A57A8">
            <w:pPr>
              <w:spacing w:line="360" w:lineRule="auto"/>
              <w:rPr>
                <w:rFonts w:ascii="Arial"/>
                <w:sz w:val="21"/>
              </w:rPr>
            </w:pPr>
          </w:p>
        </w:tc>
        <w:tc>
          <w:tcPr>
            <w:tcW w:w="1677" w:type="dxa"/>
            <w:vAlign w:val="top"/>
          </w:tcPr>
          <w:p w14:paraId="1F4B3C05">
            <w:pPr>
              <w:spacing w:line="360" w:lineRule="auto"/>
              <w:rPr>
                <w:rFonts w:ascii="Arial"/>
                <w:sz w:val="21"/>
              </w:rPr>
            </w:pPr>
          </w:p>
        </w:tc>
        <w:tc>
          <w:tcPr>
            <w:tcW w:w="1026" w:type="dxa"/>
            <w:tcBorders>
              <w:right w:val="single" w:color="000000" w:sz="10" w:space="0"/>
            </w:tcBorders>
            <w:vAlign w:val="top"/>
          </w:tcPr>
          <w:p w14:paraId="402E7CD6">
            <w:pPr>
              <w:spacing w:line="360" w:lineRule="auto"/>
              <w:rPr>
                <w:rFonts w:ascii="Arial"/>
                <w:sz w:val="21"/>
              </w:rPr>
            </w:pPr>
          </w:p>
        </w:tc>
      </w:tr>
      <w:tr w14:paraId="3C0EB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090" w:type="dxa"/>
            <w:tcBorders>
              <w:top w:val="single" w:color="000000" w:sz="4" w:space="0"/>
              <w:left w:val="single" w:color="000000" w:sz="10" w:space="0"/>
              <w:bottom w:val="single" w:color="000000" w:sz="4" w:space="0"/>
              <w:right w:val="single" w:color="000000" w:sz="4" w:space="0"/>
            </w:tcBorders>
            <w:vAlign w:val="top"/>
          </w:tcPr>
          <w:p w14:paraId="65236395">
            <w:pPr>
              <w:spacing w:line="360" w:lineRule="auto"/>
              <w:rPr>
                <w:rFonts w:ascii="Arial"/>
                <w:sz w:val="21"/>
              </w:rPr>
            </w:pPr>
          </w:p>
        </w:tc>
        <w:tc>
          <w:tcPr>
            <w:tcW w:w="919" w:type="dxa"/>
            <w:tcBorders>
              <w:left w:val="single" w:color="000000" w:sz="4" w:space="0"/>
            </w:tcBorders>
            <w:vAlign w:val="top"/>
          </w:tcPr>
          <w:p w14:paraId="0E04D281">
            <w:pPr>
              <w:spacing w:line="360" w:lineRule="auto"/>
              <w:rPr>
                <w:rFonts w:ascii="Arial"/>
                <w:sz w:val="21"/>
              </w:rPr>
            </w:pPr>
          </w:p>
        </w:tc>
        <w:tc>
          <w:tcPr>
            <w:tcW w:w="1194" w:type="dxa"/>
            <w:vAlign w:val="top"/>
          </w:tcPr>
          <w:p w14:paraId="229A7CF0">
            <w:pPr>
              <w:spacing w:line="360" w:lineRule="auto"/>
              <w:rPr>
                <w:rFonts w:ascii="Arial"/>
                <w:sz w:val="21"/>
              </w:rPr>
            </w:pPr>
          </w:p>
        </w:tc>
        <w:tc>
          <w:tcPr>
            <w:tcW w:w="1330" w:type="dxa"/>
            <w:vAlign w:val="top"/>
          </w:tcPr>
          <w:p w14:paraId="359A3FBE">
            <w:pPr>
              <w:spacing w:line="360" w:lineRule="auto"/>
              <w:rPr>
                <w:rFonts w:ascii="Arial"/>
                <w:sz w:val="21"/>
              </w:rPr>
            </w:pPr>
          </w:p>
        </w:tc>
        <w:tc>
          <w:tcPr>
            <w:tcW w:w="1507" w:type="dxa"/>
            <w:vAlign w:val="top"/>
          </w:tcPr>
          <w:p w14:paraId="3EA3EAAE">
            <w:pPr>
              <w:spacing w:line="360" w:lineRule="auto"/>
              <w:rPr>
                <w:rFonts w:ascii="Arial"/>
                <w:sz w:val="21"/>
              </w:rPr>
            </w:pPr>
          </w:p>
        </w:tc>
        <w:tc>
          <w:tcPr>
            <w:tcW w:w="1677" w:type="dxa"/>
            <w:vAlign w:val="top"/>
          </w:tcPr>
          <w:p w14:paraId="3F1EF52E">
            <w:pPr>
              <w:spacing w:line="360" w:lineRule="auto"/>
              <w:rPr>
                <w:rFonts w:ascii="Arial"/>
                <w:sz w:val="21"/>
              </w:rPr>
            </w:pPr>
          </w:p>
        </w:tc>
        <w:tc>
          <w:tcPr>
            <w:tcW w:w="1026" w:type="dxa"/>
            <w:tcBorders>
              <w:right w:val="single" w:color="000000" w:sz="10" w:space="0"/>
            </w:tcBorders>
            <w:vAlign w:val="top"/>
          </w:tcPr>
          <w:p w14:paraId="518910B5">
            <w:pPr>
              <w:spacing w:line="360" w:lineRule="auto"/>
              <w:rPr>
                <w:rFonts w:ascii="Arial"/>
                <w:sz w:val="21"/>
              </w:rPr>
            </w:pPr>
          </w:p>
        </w:tc>
      </w:tr>
      <w:tr w14:paraId="30655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090" w:type="dxa"/>
            <w:tcBorders>
              <w:top w:val="single" w:color="000000" w:sz="4" w:space="0"/>
              <w:left w:val="single" w:color="000000" w:sz="10" w:space="0"/>
              <w:bottom w:val="single" w:color="000000" w:sz="4" w:space="0"/>
              <w:right w:val="single" w:color="000000" w:sz="4" w:space="0"/>
            </w:tcBorders>
            <w:vAlign w:val="top"/>
          </w:tcPr>
          <w:p w14:paraId="72E231EC">
            <w:pPr>
              <w:spacing w:line="360" w:lineRule="auto"/>
              <w:rPr>
                <w:rFonts w:ascii="Arial"/>
                <w:sz w:val="21"/>
              </w:rPr>
            </w:pPr>
          </w:p>
        </w:tc>
        <w:tc>
          <w:tcPr>
            <w:tcW w:w="919" w:type="dxa"/>
            <w:tcBorders>
              <w:left w:val="single" w:color="000000" w:sz="4" w:space="0"/>
            </w:tcBorders>
            <w:vAlign w:val="top"/>
          </w:tcPr>
          <w:p w14:paraId="37EB33A0">
            <w:pPr>
              <w:spacing w:line="360" w:lineRule="auto"/>
              <w:rPr>
                <w:rFonts w:ascii="Arial"/>
                <w:sz w:val="21"/>
              </w:rPr>
            </w:pPr>
          </w:p>
        </w:tc>
        <w:tc>
          <w:tcPr>
            <w:tcW w:w="1194" w:type="dxa"/>
            <w:vAlign w:val="top"/>
          </w:tcPr>
          <w:p w14:paraId="01F99137">
            <w:pPr>
              <w:spacing w:line="360" w:lineRule="auto"/>
              <w:rPr>
                <w:rFonts w:ascii="Arial"/>
                <w:sz w:val="21"/>
              </w:rPr>
            </w:pPr>
          </w:p>
        </w:tc>
        <w:tc>
          <w:tcPr>
            <w:tcW w:w="1330" w:type="dxa"/>
            <w:vAlign w:val="top"/>
          </w:tcPr>
          <w:p w14:paraId="1FA4B58B">
            <w:pPr>
              <w:spacing w:line="360" w:lineRule="auto"/>
              <w:rPr>
                <w:rFonts w:ascii="Arial"/>
                <w:sz w:val="21"/>
              </w:rPr>
            </w:pPr>
          </w:p>
        </w:tc>
        <w:tc>
          <w:tcPr>
            <w:tcW w:w="1507" w:type="dxa"/>
            <w:vAlign w:val="top"/>
          </w:tcPr>
          <w:p w14:paraId="26E5B086">
            <w:pPr>
              <w:spacing w:line="360" w:lineRule="auto"/>
              <w:rPr>
                <w:rFonts w:ascii="Arial"/>
                <w:sz w:val="21"/>
              </w:rPr>
            </w:pPr>
          </w:p>
        </w:tc>
        <w:tc>
          <w:tcPr>
            <w:tcW w:w="1677" w:type="dxa"/>
            <w:vAlign w:val="top"/>
          </w:tcPr>
          <w:p w14:paraId="08070785">
            <w:pPr>
              <w:spacing w:line="360" w:lineRule="auto"/>
              <w:rPr>
                <w:rFonts w:ascii="Arial"/>
                <w:sz w:val="21"/>
              </w:rPr>
            </w:pPr>
          </w:p>
        </w:tc>
        <w:tc>
          <w:tcPr>
            <w:tcW w:w="1026" w:type="dxa"/>
            <w:tcBorders>
              <w:right w:val="single" w:color="000000" w:sz="10" w:space="0"/>
            </w:tcBorders>
            <w:vAlign w:val="top"/>
          </w:tcPr>
          <w:p w14:paraId="0C79931E">
            <w:pPr>
              <w:spacing w:line="360" w:lineRule="auto"/>
              <w:rPr>
                <w:rFonts w:ascii="Arial"/>
                <w:sz w:val="21"/>
              </w:rPr>
            </w:pPr>
          </w:p>
        </w:tc>
      </w:tr>
      <w:tr w14:paraId="6A2B4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9" w:hRule="atLeast"/>
        </w:trPr>
        <w:tc>
          <w:tcPr>
            <w:tcW w:w="1090" w:type="dxa"/>
            <w:tcBorders>
              <w:top w:val="single" w:color="000000" w:sz="4" w:space="0"/>
              <w:left w:val="single" w:color="000000" w:sz="10" w:space="0"/>
              <w:bottom w:val="single" w:color="000000" w:sz="10" w:space="0"/>
              <w:right w:val="single" w:color="000000" w:sz="4" w:space="0"/>
            </w:tcBorders>
            <w:vAlign w:val="top"/>
          </w:tcPr>
          <w:p w14:paraId="26ECD291">
            <w:pPr>
              <w:spacing w:line="360" w:lineRule="auto"/>
              <w:rPr>
                <w:rFonts w:ascii="Arial"/>
                <w:sz w:val="21"/>
              </w:rPr>
            </w:pPr>
          </w:p>
          <w:p w14:paraId="69BC39A6">
            <w:pPr>
              <w:spacing w:line="360" w:lineRule="auto"/>
              <w:rPr>
                <w:rFonts w:ascii="Arial"/>
                <w:sz w:val="21"/>
              </w:rPr>
            </w:pPr>
          </w:p>
          <w:p w14:paraId="58DEF6C0">
            <w:pPr>
              <w:pStyle w:val="13"/>
              <w:spacing w:before="78" w:line="360" w:lineRule="auto"/>
              <w:ind w:left="300"/>
            </w:pPr>
            <w:r>
              <w:rPr>
                <w:spacing w:val="-7"/>
              </w:rPr>
              <w:t>备注</w:t>
            </w:r>
          </w:p>
        </w:tc>
        <w:tc>
          <w:tcPr>
            <w:tcW w:w="7653" w:type="dxa"/>
            <w:gridSpan w:val="6"/>
            <w:tcBorders>
              <w:left w:val="single" w:color="000000" w:sz="4" w:space="0"/>
              <w:bottom w:val="single" w:color="000000" w:sz="10" w:space="0"/>
              <w:right w:val="single" w:color="000000" w:sz="10" w:space="0"/>
            </w:tcBorders>
            <w:vAlign w:val="top"/>
          </w:tcPr>
          <w:p w14:paraId="2CFDC599">
            <w:pPr>
              <w:spacing w:line="360" w:lineRule="auto"/>
              <w:rPr>
                <w:rFonts w:ascii="Arial"/>
                <w:sz w:val="21"/>
              </w:rPr>
            </w:pPr>
          </w:p>
          <w:p w14:paraId="5FB191BE">
            <w:pPr>
              <w:pStyle w:val="13"/>
              <w:spacing w:before="78" w:line="360" w:lineRule="auto"/>
              <w:ind w:left="120"/>
            </w:pPr>
            <w:r>
              <w:rPr>
                <w:spacing w:val="-2"/>
              </w:rPr>
              <w:t>1.表格空间不足时请自行扩展。</w:t>
            </w:r>
          </w:p>
          <w:p w14:paraId="111173E1">
            <w:pPr>
              <w:pStyle w:val="13"/>
              <w:spacing w:before="134" w:line="360" w:lineRule="auto"/>
              <w:ind w:left="105"/>
            </w:pPr>
            <w:r>
              <w:rPr>
                <w:spacing w:val="-2"/>
              </w:rPr>
              <w:t>2.后附相关证明材料。</w:t>
            </w:r>
          </w:p>
        </w:tc>
      </w:tr>
    </w:tbl>
    <w:p w14:paraId="20CE4214">
      <w:pPr>
        <w:pStyle w:val="4"/>
        <w:spacing w:line="360" w:lineRule="auto"/>
      </w:pPr>
    </w:p>
    <w:p w14:paraId="0565E70D">
      <w:pPr>
        <w:spacing w:line="360" w:lineRule="auto"/>
        <w:sectPr>
          <w:footerReference r:id="rId43" w:type="default"/>
          <w:pgSz w:w="11906" w:h="16839"/>
          <w:pgMar w:top="1166" w:right="1080" w:bottom="1166" w:left="1080" w:header="829" w:footer="952" w:gutter="0"/>
          <w:cols w:space="720" w:num="1"/>
        </w:sectPr>
      </w:pPr>
    </w:p>
    <w:p w14:paraId="414FB522">
      <w:pPr>
        <w:spacing w:before="313" w:line="360" w:lineRule="auto"/>
        <w:ind w:left="3337"/>
        <w:rPr>
          <w:rFonts w:ascii="宋体" w:hAnsi="宋体" w:eastAsia="宋体" w:cs="宋体"/>
          <w:sz w:val="28"/>
          <w:szCs w:val="28"/>
        </w:rPr>
      </w:pPr>
      <w:r>
        <w:rPr>
          <w:rFonts w:ascii="宋体" w:hAnsi="宋体" w:eastAsia="宋体" w:cs="宋体"/>
          <w:b/>
          <w:bCs/>
          <w:spacing w:val="-3"/>
          <w:sz w:val="28"/>
          <w:szCs w:val="28"/>
        </w:rPr>
        <w:t>第六部分</w:t>
      </w:r>
      <w:r>
        <w:rPr>
          <w:rFonts w:ascii="宋体" w:hAnsi="宋体" w:eastAsia="宋体" w:cs="宋体"/>
          <w:spacing w:val="-3"/>
          <w:sz w:val="28"/>
          <w:szCs w:val="28"/>
        </w:rPr>
        <w:t xml:space="preserve">  </w:t>
      </w:r>
      <w:r>
        <w:rPr>
          <w:rFonts w:ascii="宋体" w:hAnsi="宋体" w:eastAsia="宋体" w:cs="宋体"/>
          <w:b/>
          <w:bCs/>
          <w:spacing w:val="-3"/>
          <w:sz w:val="28"/>
          <w:szCs w:val="28"/>
        </w:rPr>
        <w:t>供应商承诺书</w:t>
      </w:r>
    </w:p>
    <w:p w14:paraId="0FB4C05A">
      <w:pPr>
        <w:spacing w:before="302" w:line="360" w:lineRule="auto"/>
        <w:ind w:left="1880"/>
        <w:rPr>
          <w:rFonts w:ascii="宋体" w:hAnsi="宋体" w:eastAsia="宋体" w:cs="宋体"/>
          <w:sz w:val="24"/>
          <w:szCs w:val="24"/>
        </w:rPr>
      </w:pPr>
      <w:r>
        <w:rPr>
          <w:rFonts w:ascii="宋体" w:hAnsi="宋体" w:eastAsia="宋体" w:cs="宋体"/>
          <w:b/>
          <w:bCs/>
          <w:spacing w:val="-3"/>
          <w:sz w:val="24"/>
          <w:szCs w:val="24"/>
        </w:rPr>
        <w:t>（一）政府采购供应商拒绝政府采购领域商业贿赂承诺书</w:t>
      </w:r>
    </w:p>
    <w:p w14:paraId="173F06F5">
      <w:pPr>
        <w:spacing w:before="135" w:line="360" w:lineRule="auto"/>
        <w:jc w:val="right"/>
        <w:rPr>
          <w:rFonts w:ascii="宋体" w:hAnsi="宋体" w:eastAsia="宋体" w:cs="宋体"/>
          <w:sz w:val="24"/>
          <w:szCs w:val="24"/>
        </w:rPr>
      </w:pPr>
      <w:r>
        <w:rPr>
          <w:rFonts w:ascii="宋体" w:hAnsi="宋体" w:eastAsia="宋体" w:cs="宋体"/>
          <w:spacing w:val="-7"/>
          <w:sz w:val="24"/>
          <w:szCs w:val="24"/>
        </w:rPr>
        <w:t>为响应党中央、国务院关于治理政府采购领域商业贿赂行为的号召，我单</w:t>
      </w:r>
      <w:r>
        <w:rPr>
          <w:rFonts w:ascii="宋体" w:hAnsi="宋体" w:eastAsia="宋体" w:cs="宋体"/>
          <w:spacing w:val="-8"/>
          <w:sz w:val="24"/>
          <w:szCs w:val="24"/>
        </w:rPr>
        <w:t>位在此庄严承诺：</w:t>
      </w:r>
    </w:p>
    <w:p w14:paraId="00FF1DCC">
      <w:pPr>
        <w:spacing w:before="135" w:line="360" w:lineRule="auto"/>
        <w:ind w:left="507"/>
        <w:rPr>
          <w:rFonts w:ascii="宋体" w:hAnsi="宋体" w:eastAsia="宋体" w:cs="宋体"/>
          <w:sz w:val="24"/>
          <w:szCs w:val="24"/>
        </w:rPr>
      </w:pPr>
      <w:r>
        <w:rPr>
          <w:rFonts w:ascii="宋体" w:hAnsi="宋体" w:eastAsia="宋体" w:cs="宋体"/>
          <w:spacing w:val="-1"/>
          <w:sz w:val="24"/>
          <w:szCs w:val="24"/>
        </w:rPr>
        <w:t>1、在参与政府采购活动中遵纪守法、诚信经营、公平竞</w:t>
      </w:r>
      <w:r>
        <w:rPr>
          <w:rFonts w:ascii="宋体" w:hAnsi="宋体" w:eastAsia="宋体" w:cs="宋体"/>
          <w:spacing w:val="-2"/>
          <w:sz w:val="24"/>
          <w:szCs w:val="24"/>
        </w:rPr>
        <w:t>标。</w:t>
      </w:r>
    </w:p>
    <w:p w14:paraId="74CEE9B0">
      <w:pPr>
        <w:spacing w:before="136" w:line="360" w:lineRule="auto"/>
        <w:ind w:left="8" w:right="62" w:firstLine="483"/>
        <w:rPr>
          <w:rFonts w:ascii="宋体" w:hAnsi="宋体" w:eastAsia="宋体" w:cs="宋体"/>
          <w:sz w:val="24"/>
          <w:szCs w:val="24"/>
        </w:rPr>
      </w:pPr>
      <w:r>
        <w:rPr>
          <w:rFonts w:ascii="宋体" w:hAnsi="宋体" w:eastAsia="宋体" w:cs="宋体"/>
          <w:sz w:val="24"/>
          <w:szCs w:val="24"/>
        </w:rPr>
        <w:t>2、不向采购人、采购代理机构和政府采购评标专家进行任何形式的商业贿赂以谋取交易</w:t>
      </w:r>
      <w:r>
        <w:rPr>
          <w:rFonts w:ascii="宋体" w:hAnsi="宋体" w:eastAsia="宋体" w:cs="宋体"/>
          <w:spacing w:val="-3"/>
          <w:sz w:val="24"/>
          <w:szCs w:val="24"/>
        </w:rPr>
        <w:t>机会。</w:t>
      </w:r>
    </w:p>
    <w:p w14:paraId="504C0955">
      <w:pPr>
        <w:spacing w:line="360" w:lineRule="auto"/>
        <w:ind w:left="12" w:right="59" w:firstLine="481"/>
        <w:rPr>
          <w:rFonts w:ascii="宋体" w:hAnsi="宋体" w:eastAsia="宋体" w:cs="宋体"/>
          <w:sz w:val="24"/>
          <w:szCs w:val="24"/>
        </w:rPr>
      </w:pPr>
      <w:r>
        <w:rPr>
          <w:rFonts w:ascii="宋体" w:hAnsi="宋体" w:eastAsia="宋体" w:cs="宋体"/>
          <w:sz w:val="24"/>
          <w:szCs w:val="24"/>
        </w:rPr>
        <w:t>3、不向采购代理机构和采购人提供虚假资质文件或采用虚假应标方式参与政府采购市场</w:t>
      </w:r>
      <w:r>
        <w:rPr>
          <w:rFonts w:ascii="宋体" w:hAnsi="宋体" w:eastAsia="宋体" w:cs="宋体"/>
          <w:spacing w:val="-2"/>
          <w:sz w:val="24"/>
          <w:szCs w:val="24"/>
        </w:rPr>
        <w:t>竞争并谋取成交。</w:t>
      </w:r>
    </w:p>
    <w:p w14:paraId="0BED355D">
      <w:pPr>
        <w:spacing w:line="360" w:lineRule="auto"/>
        <w:ind w:left="488"/>
        <w:rPr>
          <w:rFonts w:ascii="宋体" w:hAnsi="宋体" w:eastAsia="宋体" w:cs="宋体"/>
          <w:sz w:val="24"/>
          <w:szCs w:val="24"/>
        </w:rPr>
      </w:pPr>
      <w:r>
        <w:rPr>
          <w:rFonts w:ascii="宋体" w:hAnsi="宋体" w:eastAsia="宋体" w:cs="宋体"/>
          <w:spacing w:val="-3"/>
          <w:sz w:val="24"/>
          <w:szCs w:val="24"/>
        </w:rPr>
        <w:t>4、不采取“</w:t>
      </w:r>
      <w:r>
        <w:rPr>
          <w:rFonts w:ascii="宋体" w:hAnsi="宋体" w:eastAsia="宋体" w:cs="宋体"/>
          <w:spacing w:val="-78"/>
          <w:sz w:val="24"/>
          <w:szCs w:val="24"/>
        </w:rPr>
        <w:t xml:space="preserve"> </w:t>
      </w:r>
      <w:r>
        <w:rPr>
          <w:rFonts w:ascii="宋体" w:hAnsi="宋体" w:eastAsia="宋体" w:cs="宋体"/>
          <w:spacing w:val="-3"/>
          <w:sz w:val="24"/>
          <w:szCs w:val="24"/>
        </w:rPr>
        <w:t>围标、陪标</w:t>
      </w:r>
      <w:r>
        <w:rPr>
          <w:rFonts w:ascii="宋体" w:hAnsi="宋体" w:eastAsia="宋体" w:cs="宋体"/>
          <w:spacing w:val="-88"/>
          <w:sz w:val="24"/>
          <w:szCs w:val="24"/>
        </w:rPr>
        <w:t xml:space="preserve"> </w:t>
      </w:r>
      <w:r>
        <w:rPr>
          <w:rFonts w:ascii="宋体" w:hAnsi="宋体" w:eastAsia="宋体" w:cs="宋体"/>
          <w:spacing w:val="-3"/>
          <w:sz w:val="24"/>
          <w:szCs w:val="24"/>
        </w:rPr>
        <w:t>”等商业欺诈手段获得政府采购订单。</w:t>
      </w:r>
    </w:p>
    <w:p w14:paraId="7FD900D7">
      <w:pPr>
        <w:spacing w:before="135" w:line="360" w:lineRule="auto"/>
        <w:ind w:left="494"/>
        <w:rPr>
          <w:rFonts w:ascii="宋体" w:hAnsi="宋体" w:eastAsia="宋体" w:cs="宋体"/>
          <w:sz w:val="24"/>
          <w:szCs w:val="24"/>
        </w:rPr>
      </w:pPr>
      <w:r>
        <w:rPr>
          <w:rFonts w:ascii="宋体" w:hAnsi="宋体" w:eastAsia="宋体" w:cs="宋体"/>
          <w:spacing w:val="-1"/>
          <w:sz w:val="24"/>
          <w:szCs w:val="24"/>
        </w:rPr>
        <w:t>5、不采取不正当手段诋毁、排挤其他供应商。</w:t>
      </w:r>
    </w:p>
    <w:p w14:paraId="450B4D8A">
      <w:pPr>
        <w:spacing w:before="136" w:line="360" w:lineRule="auto"/>
        <w:ind w:left="491"/>
        <w:rPr>
          <w:rFonts w:ascii="宋体" w:hAnsi="宋体" w:eastAsia="宋体" w:cs="宋体"/>
          <w:sz w:val="24"/>
          <w:szCs w:val="24"/>
        </w:rPr>
      </w:pPr>
      <w:r>
        <w:rPr>
          <w:rFonts w:ascii="宋体" w:hAnsi="宋体" w:eastAsia="宋体" w:cs="宋体"/>
          <w:spacing w:val="-1"/>
          <w:sz w:val="24"/>
          <w:szCs w:val="24"/>
        </w:rPr>
        <w:t>6、不在提供商品和服务时“偷梁换柱、以次充好</w:t>
      </w:r>
      <w:r>
        <w:rPr>
          <w:rFonts w:ascii="宋体" w:hAnsi="宋体" w:eastAsia="宋体" w:cs="宋体"/>
          <w:spacing w:val="-88"/>
          <w:sz w:val="24"/>
          <w:szCs w:val="24"/>
        </w:rPr>
        <w:t xml:space="preserve"> </w:t>
      </w:r>
      <w:r>
        <w:rPr>
          <w:rFonts w:ascii="宋体" w:hAnsi="宋体" w:eastAsia="宋体" w:cs="宋体"/>
          <w:spacing w:val="-1"/>
          <w:sz w:val="24"/>
          <w:szCs w:val="24"/>
        </w:rPr>
        <w:t>”</w:t>
      </w:r>
      <w:r>
        <w:rPr>
          <w:rFonts w:ascii="宋体" w:hAnsi="宋体" w:eastAsia="宋体" w:cs="宋体"/>
          <w:spacing w:val="-2"/>
          <w:sz w:val="24"/>
          <w:szCs w:val="24"/>
        </w:rPr>
        <w:t>损害采购人的合法权益。</w:t>
      </w:r>
    </w:p>
    <w:p w14:paraId="73CCDD7A">
      <w:pPr>
        <w:spacing w:before="136" w:line="360" w:lineRule="auto"/>
        <w:ind w:left="12" w:right="59" w:firstLine="482"/>
        <w:rPr>
          <w:rFonts w:ascii="宋体" w:hAnsi="宋体" w:eastAsia="宋体" w:cs="宋体"/>
          <w:sz w:val="24"/>
          <w:szCs w:val="24"/>
        </w:rPr>
      </w:pPr>
      <w:r>
        <w:rPr>
          <w:rFonts w:ascii="宋体" w:hAnsi="宋体" w:eastAsia="宋体" w:cs="宋体"/>
          <w:sz w:val="24"/>
          <w:szCs w:val="24"/>
        </w:rPr>
        <w:t>7、不与采购人、采购代理机构、政府采购评标专家或其它供应商恶意串通，进行质疑和</w:t>
      </w:r>
      <w:r>
        <w:rPr>
          <w:rFonts w:ascii="宋体" w:hAnsi="宋体" w:eastAsia="宋体" w:cs="宋体"/>
          <w:spacing w:val="-1"/>
          <w:sz w:val="24"/>
          <w:szCs w:val="24"/>
        </w:rPr>
        <w:t>投诉，维护政府采购市场秩序。</w:t>
      </w:r>
    </w:p>
    <w:p w14:paraId="427DA0EA">
      <w:pPr>
        <w:spacing w:line="360" w:lineRule="auto"/>
        <w:ind w:left="12" w:right="59" w:firstLine="478"/>
        <w:rPr>
          <w:rFonts w:ascii="宋体" w:hAnsi="宋体" w:eastAsia="宋体" w:cs="宋体"/>
          <w:sz w:val="24"/>
          <w:szCs w:val="24"/>
        </w:rPr>
      </w:pPr>
      <w:r>
        <w:rPr>
          <w:rFonts w:ascii="宋体" w:hAnsi="宋体" w:eastAsia="宋体" w:cs="宋体"/>
          <w:sz w:val="24"/>
          <w:szCs w:val="24"/>
        </w:rPr>
        <w:t>8、尊重和接受政府采购监督管理部门的监督和采购代理机构的招标要求，承担因违约行</w:t>
      </w:r>
      <w:r>
        <w:rPr>
          <w:rFonts w:ascii="宋体" w:hAnsi="宋体" w:eastAsia="宋体" w:cs="宋体"/>
          <w:spacing w:val="-2"/>
          <w:sz w:val="24"/>
          <w:szCs w:val="24"/>
        </w:rPr>
        <w:t>为给采购人造成的损失。</w:t>
      </w:r>
    </w:p>
    <w:p w14:paraId="06949C79">
      <w:pPr>
        <w:spacing w:before="1" w:line="360" w:lineRule="auto"/>
        <w:ind w:left="490"/>
        <w:rPr>
          <w:rFonts w:ascii="宋体" w:hAnsi="宋体" w:eastAsia="宋体" w:cs="宋体"/>
          <w:sz w:val="24"/>
          <w:szCs w:val="24"/>
        </w:rPr>
      </w:pPr>
      <w:r>
        <w:rPr>
          <w:rFonts w:ascii="宋体" w:hAnsi="宋体" w:eastAsia="宋体" w:cs="宋体"/>
          <w:sz w:val="24"/>
          <w:szCs w:val="24"/>
        </w:rPr>
        <w:t>9、不发生其他有悖于政府采购公开、公平</w:t>
      </w:r>
      <w:r>
        <w:rPr>
          <w:rFonts w:ascii="宋体" w:hAnsi="宋体" w:eastAsia="宋体" w:cs="宋体"/>
          <w:spacing w:val="-1"/>
          <w:sz w:val="24"/>
          <w:szCs w:val="24"/>
        </w:rPr>
        <w:t>、公正和诚信原则的行为。</w:t>
      </w:r>
    </w:p>
    <w:p w14:paraId="0FC83AB0">
      <w:pPr>
        <w:pStyle w:val="4"/>
        <w:spacing w:line="360" w:lineRule="auto"/>
      </w:pPr>
    </w:p>
    <w:p w14:paraId="66A78265">
      <w:pPr>
        <w:spacing w:before="78" w:line="360" w:lineRule="auto"/>
        <w:ind w:left="489"/>
        <w:rPr>
          <w:rFonts w:ascii="宋体" w:hAnsi="宋体" w:eastAsia="宋体" w:cs="宋体"/>
          <w:sz w:val="24"/>
          <w:szCs w:val="24"/>
        </w:rPr>
      </w:pPr>
      <w:r>
        <w:rPr>
          <w:rFonts w:ascii="宋体" w:hAnsi="宋体" w:eastAsia="宋体" w:cs="宋体"/>
          <w:spacing w:val="-2"/>
          <w:sz w:val="24"/>
          <w:szCs w:val="24"/>
        </w:rPr>
        <w:t>供应商名称（盖章</w:t>
      </w:r>
      <w:r>
        <w:rPr>
          <w:rFonts w:ascii="宋体" w:hAnsi="宋体" w:eastAsia="宋体" w:cs="宋体"/>
          <w:spacing w:val="2"/>
          <w:sz w:val="24"/>
          <w:szCs w:val="24"/>
        </w:rPr>
        <w:t>）：</w:t>
      </w:r>
    </w:p>
    <w:p w14:paraId="570CDC5A">
      <w:pPr>
        <w:spacing w:before="135" w:line="360" w:lineRule="auto"/>
        <w:ind w:left="490"/>
        <w:rPr>
          <w:rFonts w:ascii="宋体" w:hAnsi="宋体" w:eastAsia="宋体" w:cs="宋体"/>
          <w:sz w:val="24"/>
          <w:szCs w:val="24"/>
        </w:rPr>
      </w:pPr>
      <w:r>
        <w:rPr>
          <w:rFonts w:ascii="宋体" w:hAnsi="宋体" w:eastAsia="宋体" w:cs="宋体"/>
          <w:spacing w:val="-1"/>
          <w:sz w:val="24"/>
          <w:szCs w:val="24"/>
        </w:rPr>
        <w:t>法定代表人或其授权代表（签名或盖章</w:t>
      </w:r>
      <w:r>
        <w:rPr>
          <w:rFonts w:ascii="宋体" w:hAnsi="宋体" w:eastAsia="宋体" w:cs="宋体"/>
          <w:spacing w:val="2"/>
          <w:sz w:val="24"/>
          <w:szCs w:val="24"/>
        </w:rPr>
        <w:t>）：</w:t>
      </w:r>
    </w:p>
    <w:p w14:paraId="5D7E6D5E">
      <w:pPr>
        <w:spacing w:before="136" w:line="360" w:lineRule="auto"/>
        <w:ind w:left="489"/>
        <w:rPr>
          <w:rFonts w:ascii="宋体" w:hAnsi="宋体" w:eastAsia="宋体" w:cs="宋体"/>
          <w:sz w:val="24"/>
          <w:szCs w:val="24"/>
        </w:rPr>
      </w:pPr>
      <w:r>
        <w:rPr>
          <w:rFonts w:ascii="宋体" w:hAnsi="宋体" w:eastAsia="宋体" w:cs="宋体"/>
          <w:spacing w:val="-7"/>
          <w:sz w:val="24"/>
          <w:szCs w:val="24"/>
        </w:rPr>
        <w:t>地</w:t>
      </w:r>
      <w:r>
        <w:rPr>
          <w:rFonts w:ascii="宋体" w:hAnsi="宋体" w:eastAsia="宋体" w:cs="宋体"/>
          <w:spacing w:val="2"/>
          <w:sz w:val="24"/>
          <w:szCs w:val="24"/>
        </w:rPr>
        <w:t xml:space="preserve">    </w:t>
      </w:r>
      <w:r>
        <w:rPr>
          <w:rFonts w:ascii="宋体" w:hAnsi="宋体" w:eastAsia="宋体" w:cs="宋体"/>
          <w:spacing w:val="-7"/>
          <w:sz w:val="24"/>
          <w:szCs w:val="24"/>
        </w:rPr>
        <w:t>址：</w:t>
      </w:r>
    </w:p>
    <w:p w14:paraId="0744B5C2">
      <w:pPr>
        <w:spacing w:before="123" w:line="360" w:lineRule="auto"/>
        <w:ind w:left="507"/>
        <w:rPr>
          <w:rFonts w:ascii="宋体" w:hAnsi="宋体" w:eastAsia="宋体" w:cs="宋体"/>
          <w:sz w:val="24"/>
          <w:szCs w:val="24"/>
        </w:rPr>
      </w:pPr>
      <w:r>
        <w:rPr>
          <w:rFonts w:ascii="宋体" w:hAnsi="宋体" w:eastAsia="宋体" w:cs="宋体"/>
          <w:spacing w:val="-13"/>
          <w:sz w:val="24"/>
          <w:szCs w:val="24"/>
        </w:rPr>
        <w:t>邮</w:t>
      </w:r>
      <w:r>
        <w:rPr>
          <w:rFonts w:ascii="宋体" w:hAnsi="宋体" w:eastAsia="宋体" w:cs="宋体"/>
          <w:spacing w:val="2"/>
          <w:sz w:val="24"/>
          <w:szCs w:val="24"/>
        </w:rPr>
        <w:t xml:space="preserve">    </w:t>
      </w:r>
      <w:r>
        <w:rPr>
          <w:rFonts w:ascii="宋体" w:hAnsi="宋体" w:eastAsia="宋体" w:cs="宋体"/>
          <w:spacing w:val="-13"/>
          <w:sz w:val="24"/>
          <w:szCs w:val="24"/>
        </w:rPr>
        <w:t>编：</w:t>
      </w:r>
    </w:p>
    <w:p w14:paraId="61DEAEDF">
      <w:pPr>
        <w:spacing w:before="135" w:line="360" w:lineRule="auto"/>
        <w:ind w:left="517"/>
        <w:rPr>
          <w:rFonts w:ascii="宋体" w:hAnsi="宋体" w:eastAsia="宋体" w:cs="宋体"/>
          <w:sz w:val="24"/>
          <w:szCs w:val="24"/>
        </w:rPr>
      </w:pPr>
      <w:r>
        <w:rPr>
          <w:rFonts w:ascii="宋体" w:hAnsi="宋体" w:eastAsia="宋体" w:cs="宋体"/>
          <w:spacing w:val="-16"/>
          <w:sz w:val="24"/>
          <w:szCs w:val="24"/>
        </w:rPr>
        <w:t>电</w:t>
      </w:r>
      <w:r>
        <w:rPr>
          <w:rFonts w:ascii="宋体" w:hAnsi="宋体" w:eastAsia="宋体" w:cs="宋体"/>
          <w:spacing w:val="2"/>
          <w:sz w:val="24"/>
          <w:szCs w:val="24"/>
        </w:rPr>
        <w:t xml:space="preserve">    </w:t>
      </w:r>
      <w:r>
        <w:rPr>
          <w:rFonts w:ascii="宋体" w:hAnsi="宋体" w:eastAsia="宋体" w:cs="宋体"/>
          <w:spacing w:val="-16"/>
          <w:sz w:val="24"/>
          <w:szCs w:val="24"/>
        </w:rPr>
        <w:t>话：</w:t>
      </w:r>
    </w:p>
    <w:p w14:paraId="3B84D967">
      <w:pPr>
        <w:spacing w:before="133" w:line="360" w:lineRule="auto"/>
        <w:ind w:left="530"/>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3"/>
          <w:sz w:val="24"/>
          <w:szCs w:val="24"/>
        </w:rPr>
        <w:t xml:space="preserve">    </w:t>
      </w:r>
      <w:r>
        <w:rPr>
          <w:rFonts w:ascii="宋体" w:hAnsi="宋体" w:eastAsia="宋体" w:cs="宋体"/>
          <w:spacing w:val="-21"/>
          <w:sz w:val="24"/>
          <w:szCs w:val="24"/>
        </w:rPr>
        <w:t>期：</w:t>
      </w:r>
    </w:p>
    <w:p w14:paraId="065BC75A">
      <w:pPr>
        <w:spacing w:line="360" w:lineRule="auto"/>
        <w:rPr>
          <w:rFonts w:ascii="宋体" w:hAnsi="宋体" w:eastAsia="宋体" w:cs="宋体"/>
          <w:sz w:val="24"/>
          <w:szCs w:val="24"/>
        </w:rPr>
        <w:sectPr>
          <w:headerReference r:id="rId44" w:type="default"/>
          <w:footerReference r:id="rId45" w:type="default"/>
          <w:pgSz w:w="11906" w:h="16839"/>
          <w:pgMar w:top="1166" w:right="1019" w:bottom="1166" w:left="1080" w:header="829" w:footer="952" w:gutter="0"/>
          <w:cols w:space="720" w:num="1"/>
        </w:sectPr>
      </w:pPr>
    </w:p>
    <w:p w14:paraId="32BA200C">
      <w:pPr>
        <w:pStyle w:val="4"/>
        <w:spacing w:line="360" w:lineRule="auto"/>
      </w:pPr>
    </w:p>
    <w:p w14:paraId="3944662B">
      <w:pPr>
        <w:spacing w:before="78" w:line="360" w:lineRule="auto"/>
        <w:ind w:left="3688"/>
        <w:rPr>
          <w:rFonts w:ascii="宋体" w:hAnsi="宋体" w:eastAsia="宋体" w:cs="宋体"/>
          <w:sz w:val="24"/>
          <w:szCs w:val="24"/>
        </w:rPr>
      </w:pPr>
      <w:r>
        <w:rPr>
          <w:rFonts w:ascii="宋体" w:hAnsi="宋体" w:eastAsia="宋体" w:cs="宋体"/>
          <w:b/>
          <w:bCs/>
          <w:spacing w:val="-4"/>
          <w:sz w:val="24"/>
          <w:szCs w:val="24"/>
        </w:rPr>
        <w:t>（二）供应商书面声明</w:t>
      </w:r>
    </w:p>
    <w:p w14:paraId="7928DE8D">
      <w:pPr>
        <w:pStyle w:val="4"/>
        <w:spacing w:line="360" w:lineRule="auto"/>
      </w:pPr>
    </w:p>
    <w:p w14:paraId="20649FE2">
      <w:pPr>
        <w:spacing w:before="78" w:line="360" w:lineRule="auto"/>
        <w:ind w:left="27"/>
        <w:rPr>
          <w:rFonts w:ascii="宋体" w:hAnsi="宋体" w:eastAsia="宋体" w:cs="宋体"/>
          <w:sz w:val="24"/>
          <w:szCs w:val="24"/>
        </w:rPr>
      </w:pPr>
      <w:r>
        <w:rPr>
          <w:rFonts w:hint="eastAsia" w:ascii="宋体" w:hAnsi="宋体" w:eastAsia="宋体" w:cs="宋体"/>
          <w:spacing w:val="-2"/>
          <w:sz w:val="24"/>
          <w:szCs w:val="24"/>
          <w:lang w:eastAsia="zh-CN"/>
        </w:rPr>
        <w:t>华春建设工程项目管理有限责任公司</w:t>
      </w:r>
      <w:r>
        <w:rPr>
          <w:rFonts w:ascii="宋体" w:hAnsi="宋体" w:eastAsia="宋体" w:cs="宋体"/>
          <w:spacing w:val="-2"/>
          <w:sz w:val="24"/>
          <w:szCs w:val="24"/>
        </w:rPr>
        <w:t>：</w:t>
      </w:r>
    </w:p>
    <w:p w14:paraId="0D2A9089">
      <w:pPr>
        <w:spacing w:before="134" w:line="360" w:lineRule="auto"/>
        <w:ind w:left="490"/>
        <w:rPr>
          <w:rFonts w:ascii="宋体" w:hAnsi="宋体" w:eastAsia="宋体" w:cs="宋体"/>
          <w:sz w:val="24"/>
          <w:szCs w:val="24"/>
        </w:rPr>
      </w:pPr>
      <w:r>
        <w:rPr>
          <w:rFonts w:ascii="宋体" w:hAnsi="宋体" w:eastAsia="宋体" w:cs="宋体"/>
          <w:spacing w:val="-1"/>
          <w:sz w:val="24"/>
          <w:szCs w:val="24"/>
        </w:rPr>
        <w:t>作为参加贵单位组织的</w:t>
      </w:r>
      <w:r>
        <w:rPr>
          <w:rFonts w:ascii="宋体" w:hAnsi="宋体" w:eastAsia="宋体" w:cs="宋体"/>
          <w:spacing w:val="-1"/>
          <w:sz w:val="24"/>
          <w:szCs w:val="24"/>
          <w:u w:val="single" w:color="auto"/>
        </w:rPr>
        <w:t xml:space="preserve">   （项目名称）  </w:t>
      </w:r>
      <w:r>
        <w:rPr>
          <w:rFonts w:ascii="宋体" w:hAnsi="宋体" w:eastAsia="宋体" w:cs="宋体"/>
          <w:spacing w:val="-91"/>
          <w:sz w:val="24"/>
          <w:szCs w:val="24"/>
        </w:rPr>
        <w:t xml:space="preserve"> </w:t>
      </w:r>
      <w:r>
        <w:rPr>
          <w:rFonts w:ascii="宋体" w:hAnsi="宋体" w:eastAsia="宋体" w:cs="宋体"/>
          <w:spacing w:val="-1"/>
          <w:sz w:val="24"/>
          <w:szCs w:val="24"/>
        </w:rPr>
        <w:t>的供应商，本</w:t>
      </w:r>
      <w:r>
        <w:rPr>
          <w:rFonts w:ascii="宋体" w:hAnsi="宋体" w:eastAsia="宋体" w:cs="宋体"/>
          <w:spacing w:val="-2"/>
          <w:sz w:val="24"/>
          <w:szCs w:val="24"/>
        </w:rPr>
        <w:t>公司郑重承诺：</w:t>
      </w:r>
    </w:p>
    <w:p w14:paraId="446127A6">
      <w:pPr>
        <w:spacing w:before="136" w:line="360" w:lineRule="auto"/>
        <w:ind w:left="24" w:right="2" w:firstLine="482"/>
        <w:rPr>
          <w:rFonts w:ascii="宋体" w:hAnsi="宋体" w:eastAsia="宋体" w:cs="宋体"/>
          <w:sz w:val="24"/>
          <w:szCs w:val="24"/>
        </w:rPr>
      </w:pPr>
      <w:r>
        <w:rPr>
          <w:rFonts w:ascii="宋体" w:hAnsi="宋体" w:eastAsia="宋体" w:cs="宋体"/>
          <w:sz w:val="24"/>
          <w:szCs w:val="24"/>
        </w:rPr>
        <w:t>1、在参加本项目投标之前不存在被依法禁止经营行为、财产被接管或冻结的</w:t>
      </w:r>
      <w:r>
        <w:rPr>
          <w:rFonts w:ascii="宋体" w:hAnsi="宋体" w:eastAsia="宋体" w:cs="宋体"/>
          <w:spacing w:val="-1"/>
          <w:sz w:val="24"/>
          <w:szCs w:val="24"/>
        </w:rPr>
        <w:t>情况，如有</w:t>
      </w:r>
      <w:r>
        <w:rPr>
          <w:rFonts w:ascii="宋体" w:hAnsi="宋体" w:eastAsia="宋体" w:cs="宋体"/>
          <w:spacing w:val="-2"/>
          <w:sz w:val="24"/>
          <w:szCs w:val="24"/>
        </w:rPr>
        <w:t>隐瞒实情，愿承担一切责任及后果。</w:t>
      </w:r>
    </w:p>
    <w:p w14:paraId="2FA7722C">
      <w:pPr>
        <w:spacing w:line="360" w:lineRule="auto"/>
        <w:ind w:left="10" w:right="2" w:firstLine="481"/>
        <w:rPr>
          <w:rFonts w:ascii="宋体" w:hAnsi="宋体" w:eastAsia="宋体" w:cs="宋体"/>
          <w:sz w:val="24"/>
          <w:szCs w:val="24"/>
        </w:rPr>
      </w:pPr>
      <w:r>
        <w:rPr>
          <w:rFonts w:ascii="宋体" w:hAnsi="宋体" w:eastAsia="宋体" w:cs="宋体"/>
          <w:spacing w:val="-1"/>
          <w:sz w:val="24"/>
          <w:szCs w:val="24"/>
        </w:rPr>
        <w:t>2、近三年受到有关行政主管部门的行政处理、不良行为记录为</w:t>
      </w:r>
      <w:r>
        <w:rPr>
          <w:rFonts w:ascii="宋体" w:hAnsi="宋体" w:eastAsia="宋体" w:cs="宋体"/>
          <w:spacing w:val="-1"/>
          <w:sz w:val="24"/>
          <w:szCs w:val="24"/>
          <w:u w:val="single" w:color="auto"/>
        </w:rPr>
        <w:t xml:space="preserve">    </w:t>
      </w:r>
      <w:r>
        <w:rPr>
          <w:rFonts w:ascii="宋体" w:hAnsi="宋体" w:eastAsia="宋体" w:cs="宋体"/>
          <w:spacing w:val="-103"/>
          <w:sz w:val="24"/>
          <w:szCs w:val="24"/>
        </w:rPr>
        <w:t xml:space="preserve"> </w:t>
      </w:r>
      <w:r>
        <w:rPr>
          <w:rFonts w:ascii="宋体" w:hAnsi="宋体" w:eastAsia="宋体" w:cs="宋体"/>
          <w:spacing w:val="-1"/>
          <w:sz w:val="24"/>
          <w:szCs w:val="24"/>
        </w:rPr>
        <w:t>次（没有填零</w:t>
      </w:r>
      <w:r>
        <w:rPr>
          <w:rFonts w:ascii="宋体" w:hAnsi="宋体" w:eastAsia="宋体" w:cs="宋体"/>
          <w:spacing w:val="16"/>
          <w:sz w:val="24"/>
          <w:szCs w:val="24"/>
        </w:rPr>
        <w:t>），</w:t>
      </w:r>
      <w:r>
        <w:rPr>
          <w:rFonts w:ascii="宋体" w:hAnsi="宋体" w:eastAsia="宋体" w:cs="宋体"/>
          <w:spacing w:val="-1"/>
          <w:sz w:val="24"/>
          <w:szCs w:val="24"/>
        </w:rPr>
        <w:t>如有隐瞒实情，愿承担一切责任及后果。</w:t>
      </w:r>
    </w:p>
    <w:p w14:paraId="1BC6C90F">
      <w:pPr>
        <w:spacing w:line="360" w:lineRule="auto"/>
        <w:ind w:left="15" w:firstLine="479"/>
        <w:rPr>
          <w:rFonts w:ascii="宋体" w:hAnsi="宋体" w:eastAsia="宋体" w:cs="宋体"/>
          <w:sz w:val="24"/>
          <w:szCs w:val="24"/>
        </w:rPr>
      </w:pPr>
      <w:r>
        <w:rPr>
          <w:rFonts w:ascii="宋体" w:hAnsi="宋体" w:eastAsia="宋体" w:cs="宋体"/>
          <w:sz w:val="24"/>
          <w:szCs w:val="24"/>
        </w:rPr>
        <w:t>3、参加本次投标提交的所有资质证明文件及业绩证明文件是真实的、有效的，如有隐瞒</w:t>
      </w:r>
      <w:r>
        <w:rPr>
          <w:rFonts w:ascii="宋体" w:hAnsi="宋体" w:eastAsia="宋体" w:cs="宋体"/>
          <w:spacing w:val="-2"/>
          <w:sz w:val="24"/>
          <w:szCs w:val="24"/>
        </w:rPr>
        <w:t>实情，愿承担一切责任及后果。</w:t>
      </w:r>
    </w:p>
    <w:p w14:paraId="4209E98E">
      <w:pPr>
        <w:pStyle w:val="4"/>
        <w:spacing w:line="360" w:lineRule="auto"/>
      </w:pPr>
    </w:p>
    <w:p w14:paraId="1BE50C18">
      <w:pPr>
        <w:pStyle w:val="4"/>
        <w:spacing w:line="360" w:lineRule="auto"/>
      </w:pPr>
    </w:p>
    <w:p w14:paraId="0619938D">
      <w:pPr>
        <w:pStyle w:val="4"/>
        <w:spacing w:line="360" w:lineRule="auto"/>
      </w:pPr>
    </w:p>
    <w:p w14:paraId="0D630144">
      <w:pPr>
        <w:spacing w:before="78" w:line="360" w:lineRule="auto"/>
        <w:ind w:left="489"/>
        <w:rPr>
          <w:rFonts w:ascii="宋体" w:hAnsi="宋体" w:eastAsia="宋体" w:cs="宋体"/>
          <w:sz w:val="24"/>
          <w:szCs w:val="24"/>
        </w:rPr>
      </w:pPr>
      <w:r>
        <w:rPr>
          <w:rFonts w:ascii="宋体" w:hAnsi="宋体" w:eastAsia="宋体" w:cs="宋体"/>
          <w:spacing w:val="3"/>
          <w:sz w:val="24"/>
          <w:szCs w:val="24"/>
        </w:rPr>
        <w:t>供应商名称</w:t>
      </w:r>
      <w:r>
        <w:rPr>
          <w:rFonts w:ascii="宋体" w:hAnsi="宋体" w:eastAsia="宋体" w:cs="宋体"/>
          <w:spacing w:val="-18"/>
          <w:sz w:val="24"/>
          <w:szCs w:val="24"/>
        </w:rPr>
        <w:t>：（</w:t>
      </w:r>
      <w:r>
        <w:rPr>
          <w:rFonts w:ascii="宋体" w:hAnsi="宋体" w:eastAsia="宋体" w:cs="宋体"/>
          <w:spacing w:val="3"/>
          <w:sz w:val="24"/>
          <w:szCs w:val="24"/>
        </w:rPr>
        <w:t>盖章）</w:t>
      </w:r>
    </w:p>
    <w:p w14:paraId="74E381A6">
      <w:pPr>
        <w:pStyle w:val="4"/>
        <w:spacing w:line="360" w:lineRule="auto"/>
      </w:pPr>
    </w:p>
    <w:p w14:paraId="5E7581BE">
      <w:pPr>
        <w:spacing w:before="78" w:line="360" w:lineRule="auto"/>
        <w:ind w:left="490"/>
        <w:rPr>
          <w:rFonts w:ascii="宋体" w:hAnsi="宋体" w:eastAsia="宋体" w:cs="宋体"/>
          <w:sz w:val="24"/>
          <w:szCs w:val="24"/>
        </w:rPr>
      </w:pPr>
      <w:r>
        <w:rPr>
          <w:rFonts w:ascii="宋体" w:hAnsi="宋体" w:eastAsia="宋体" w:cs="宋体"/>
          <w:spacing w:val="-4"/>
          <w:sz w:val="24"/>
          <w:szCs w:val="24"/>
        </w:rPr>
        <w:t>法定代表人或其授权代表（签名或盖章</w:t>
      </w:r>
      <w:r>
        <w:rPr>
          <w:rFonts w:ascii="宋体" w:hAnsi="宋体" w:eastAsia="宋体" w:cs="宋体"/>
          <w:spacing w:val="9"/>
          <w:sz w:val="24"/>
          <w:szCs w:val="24"/>
        </w:rPr>
        <w:t>）：</w:t>
      </w:r>
      <w:r>
        <w:rPr>
          <w:rFonts w:ascii="宋体" w:hAnsi="宋体" w:eastAsia="宋体" w:cs="宋体"/>
          <w:spacing w:val="5"/>
          <w:sz w:val="24"/>
          <w:szCs w:val="24"/>
        </w:rPr>
        <w:t xml:space="preserve">         </w:t>
      </w:r>
      <w:r>
        <w:rPr>
          <w:rFonts w:ascii="宋体" w:hAnsi="宋体" w:eastAsia="宋体" w:cs="宋体"/>
          <w:spacing w:val="-4"/>
          <w:sz w:val="24"/>
          <w:szCs w:val="24"/>
        </w:rPr>
        <w:t>日期：</w:t>
      </w:r>
    </w:p>
    <w:p w14:paraId="75366EA6">
      <w:pPr>
        <w:spacing w:line="360" w:lineRule="auto"/>
        <w:rPr>
          <w:rFonts w:ascii="宋体" w:hAnsi="宋体" w:eastAsia="宋体" w:cs="宋体"/>
          <w:sz w:val="24"/>
          <w:szCs w:val="24"/>
        </w:rPr>
        <w:sectPr>
          <w:headerReference r:id="rId46" w:type="default"/>
          <w:footerReference r:id="rId47" w:type="default"/>
          <w:pgSz w:w="11906" w:h="16839"/>
          <w:pgMar w:top="1166" w:right="1079" w:bottom="1166" w:left="1080" w:header="829" w:footer="952" w:gutter="0"/>
          <w:cols w:space="720" w:num="1"/>
        </w:sectPr>
      </w:pPr>
    </w:p>
    <w:p w14:paraId="41B68ECB">
      <w:pPr>
        <w:pStyle w:val="4"/>
        <w:spacing w:line="360" w:lineRule="auto"/>
      </w:pPr>
    </w:p>
    <w:p w14:paraId="242B8D37">
      <w:pPr>
        <w:spacing w:before="91" w:line="360" w:lineRule="auto"/>
        <w:ind w:left="2914"/>
        <w:rPr>
          <w:rFonts w:ascii="宋体" w:hAnsi="宋体" w:eastAsia="宋体" w:cs="宋体"/>
          <w:sz w:val="28"/>
          <w:szCs w:val="28"/>
        </w:rPr>
      </w:pPr>
      <w:r>
        <w:rPr>
          <w:rFonts w:ascii="宋体" w:hAnsi="宋体" w:eastAsia="宋体" w:cs="宋体"/>
          <w:b/>
          <w:bCs/>
          <w:spacing w:val="-3"/>
          <w:sz w:val="28"/>
          <w:szCs w:val="28"/>
        </w:rPr>
        <w:t>第七部分</w:t>
      </w:r>
      <w:r>
        <w:rPr>
          <w:rFonts w:ascii="宋体" w:hAnsi="宋体" w:eastAsia="宋体" w:cs="宋体"/>
          <w:spacing w:val="-3"/>
          <w:sz w:val="28"/>
          <w:szCs w:val="28"/>
        </w:rPr>
        <w:t xml:space="preserve">  </w:t>
      </w:r>
      <w:r>
        <w:rPr>
          <w:rFonts w:ascii="宋体" w:hAnsi="宋体" w:eastAsia="宋体" w:cs="宋体"/>
          <w:b/>
          <w:bCs/>
          <w:spacing w:val="-3"/>
          <w:sz w:val="28"/>
          <w:szCs w:val="28"/>
        </w:rPr>
        <w:t>供应商资质证明文件</w:t>
      </w:r>
    </w:p>
    <w:p w14:paraId="60030EBD">
      <w:pPr>
        <w:spacing w:before="122" w:line="360" w:lineRule="auto"/>
        <w:ind w:left="27"/>
        <w:rPr>
          <w:rFonts w:ascii="宋体" w:hAnsi="宋体" w:eastAsia="宋体" w:cs="宋体"/>
          <w:sz w:val="24"/>
          <w:szCs w:val="24"/>
        </w:rPr>
      </w:pPr>
      <w:r>
        <w:rPr>
          <w:rFonts w:ascii="宋体" w:hAnsi="宋体" w:eastAsia="宋体" w:cs="宋体"/>
          <w:b/>
          <w:bCs/>
          <w:spacing w:val="-4"/>
          <w:sz w:val="24"/>
          <w:szCs w:val="24"/>
        </w:rPr>
        <w:t>1、供应商基本情况表</w:t>
      </w:r>
      <w:r>
        <w:rPr>
          <w:rFonts w:ascii="宋体" w:hAnsi="宋体" w:eastAsia="宋体" w:cs="宋体"/>
          <w:b/>
          <w:bCs/>
          <w:spacing w:val="-13"/>
          <w:sz w:val="24"/>
          <w:szCs w:val="24"/>
        </w:rPr>
        <w:t>；（</w:t>
      </w:r>
      <w:r>
        <w:rPr>
          <w:rFonts w:ascii="宋体" w:hAnsi="宋体" w:eastAsia="宋体" w:cs="宋体"/>
          <w:b/>
          <w:bCs/>
          <w:spacing w:val="-4"/>
          <w:sz w:val="24"/>
          <w:szCs w:val="24"/>
        </w:rPr>
        <w:t>详见附件</w:t>
      </w:r>
      <w:r>
        <w:rPr>
          <w:rFonts w:ascii="宋体" w:hAnsi="宋体" w:eastAsia="宋体" w:cs="宋体"/>
          <w:spacing w:val="-30"/>
          <w:sz w:val="24"/>
          <w:szCs w:val="24"/>
        </w:rPr>
        <w:t xml:space="preserve"> </w:t>
      </w:r>
      <w:r>
        <w:rPr>
          <w:rFonts w:ascii="宋体" w:hAnsi="宋体" w:eastAsia="宋体" w:cs="宋体"/>
          <w:b/>
          <w:bCs/>
          <w:spacing w:val="-4"/>
          <w:sz w:val="24"/>
          <w:szCs w:val="24"/>
        </w:rPr>
        <w:t>1）</w:t>
      </w:r>
    </w:p>
    <w:p w14:paraId="2FEF8920">
      <w:pPr>
        <w:spacing w:before="135" w:line="360" w:lineRule="auto"/>
        <w:ind w:left="12"/>
        <w:rPr>
          <w:rFonts w:ascii="宋体" w:hAnsi="宋体" w:eastAsia="宋体" w:cs="宋体"/>
          <w:b/>
          <w:bCs/>
          <w:spacing w:val="-2"/>
          <w:sz w:val="24"/>
          <w:szCs w:val="24"/>
        </w:rPr>
      </w:pPr>
      <w:r>
        <w:rPr>
          <w:rFonts w:ascii="宋体" w:hAnsi="宋体" w:eastAsia="宋体" w:cs="宋体"/>
          <w:b/>
          <w:bCs/>
          <w:spacing w:val="-2"/>
          <w:sz w:val="24"/>
          <w:szCs w:val="24"/>
        </w:rPr>
        <w:t>2、基本资格条件：</w:t>
      </w:r>
    </w:p>
    <w:p w14:paraId="0270741E">
      <w:pPr>
        <w:pStyle w:val="14"/>
        <w:spacing w:line="360" w:lineRule="auto"/>
        <w:rPr>
          <w:rFonts w:asciiTheme="minorEastAsia" w:hAnsiTheme="minorEastAsia" w:cstheme="minorEastAsia"/>
          <w:sz w:val="24"/>
          <w:szCs w:val="24"/>
        </w:rPr>
      </w:pPr>
      <w:r>
        <w:rPr>
          <w:rFonts w:asciiTheme="minorEastAsia" w:hAnsiTheme="minorEastAsia" w:eastAsiaTheme="minorEastAsia" w:cstheme="minorEastAsia"/>
          <w:sz w:val="24"/>
          <w:szCs w:val="24"/>
        </w:rPr>
        <w:t>1.满足《中华人民共和国政府采购法》第二十二条规定;</w:t>
      </w:r>
    </w:p>
    <w:p w14:paraId="078CD1C2">
      <w:pPr>
        <w:pStyle w:val="14"/>
        <w:spacing w:line="360" w:lineRule="auto"/>
        <w:rPr>
          <w:rFonts w:asciiTheme="minorEastAsia" w:hAnsiTheme="minorEastAsia" w:cstheme="minorEastAsia"/>
          <w:sz w:val="24"/>
          <w:szCs w:val="24"/>
        </w:rPr>
      </w:pPr>
      <w:r>
        <w:rPr>
          <w:rFonts w:asciiTheme="minorEastAsia" w:hAnsiTheme="minorEastAsia" w:eastAsiaTheme="minorEastAsia" w:cstheme="minorEastAsia"/>
          <w:sz w:val="24"/>
          <w:szCs w:val="24"/>
        </w:rPr>
        <w:t>2.落实政府采购政策需满足的资格要求：</w:t>
      </w:r>
    </w:p>
    <w:p w14:paraId="4D5BF431">
      <w:pPr>
        <w:pStyle w:val="14"/>
        <w:spacing w:line="360" w:lineRule="auto"/>
        <w:rPr>
          <w:rFonts w:asciiTheme="minorEastAsia" w:hAnsiTheme="minorEastAsia" w:cstheme="minorEastAsia"/>
          <w:sz w:val="24"/>
          <w:szCs w:val="24"/>
        </w:rPr>
      </w:pPr>
      <w:r>
        <w:rPr>
          <w:rFonts w:asciiTheme="minorEastAsia" w:hAnsiTheme="minorEastAsia" w:eastAsiaTheme="minorEastAsia" w:cstheme="minorEastAsia"/>
          <w:sz w:val="24"/>
          <w:szCs w:val="24"/>
        </w:rPr>
        <w:t>合同包1(</w:t>
      </w:r>
      <w:r>
        <w:rPr>
          <w:rFonts w:hint="eastAsia" w:asciiTheme="minorEastAsia" w:hAnsiTheme="minorEastAsia" w:cstheme="minorEastAsia"/>
          <w:sz w:val="24"/>
          <w:szCs w:val="24"/>
          <w:lang w:eastAsia="zh-CN"/>
        </w:rPr>
        <w:t>杨凌农业科技成果转化综合信息服务平台项目软件测试服务及等保测评服务</w:t>
      </w:r>
      <w:r>
        <w:rPr>
          <w:rFonts w:asciiTheme="minorEastAsia" w:hAnsiTheme="minorEastAsia" w:eastAsiaTheme="minorEastAsia" w:cstheme="minorEastAsia"/>
          <w:sz w:val="24"/>
          <w:szCs w:val="24"/>
        </w:rPr>
        <w:t>)落实政府采购政策需满足的资格要求如下:</w:t>
      </w:r>
    </w:p>
    <w:p w14:paraId="762F0F0E">
      <w:pPr>
        <w:pStyle w:val="14"/>
        <w:spacing w:line="360" w:lineRule="auto"/>
        <w:ind w:left="480"/>
        <w:rPr>
          <w:rFonts w:asciiTheme="minorEastAsia" w:hAnsiTheme="minorEastAsia" w:cstheme="minorEastAsia"/>
          <w:sz w:val="24"/>
          <w:szCs w:val="24"/>
        </w:rPr>
      </w:pPr>
      <w:r>
        <w:rPr>
          <w:rFonts w:hint="eastAsia" w:asciiTheme="minorEastAsia" w:hAnsiTheme="minorEastAsia" w:cstheme="minorEastAsia"/>
          <w:sz w:val="24"/>
          <w:szCs w:val="24"/>
          <w:lang w:eastAsia="zh-CN"/>
        </w:rPr>
        <w:t>本项目专门面向中小企业采购</w:t>
      </w:r>
      <w:r>
        <w:rPr>
          <w:rFonts w:asciiTheme="minorEastAsia" w:hAnsiTheme="minorEastAsia" w:eastAsiaTheme="minorEastAsia" w:cstheme="minorEastAsia"/>
          <w:sz w:val="24"/>
          <w:szCs w:val="24"/>
        </w:rPr>
        <w:t>。</w:t>
      </w:r>
    </w:p>
    <w:p w14:paraId="3F379203">
      <w:pPr>
        <w:pStyle w:val="14"/>
        <w:spacing w:line="360" w:lineRule="auto"/>
        <w:rPr>
          <w:rFonts w:asciiTheme="minorEastAsia" w:hAnsiTheme="minorEastAsia" w:cstheme="minorEastAsia"/>
          <w:sz w:val="24"/>
          <w:szCs w:val="24"/>
        </w:rPr>
      </w:pPr>
      <w:r>
        <w:rPr>
          <w:rFonts w:asciiTheme="minorEastAsia" w:hAnsiTheme="minorEastAsia" w:eastAsiaTheme="minorEastAsia" w:cstheme="minorEastAsia"/>
          <w:sz w:val="24"/>
          <w:szCs w:val="24"/>
        </w:rPr>
        <w:t>3.本项目的特定资格要求：</w:t>
      </w:r>
    </w:p>
    <w:p w14:paraId="443ED510">
      <w:pPr>
        <w:pStyle w:val="14"/>
        <w:spacing w:line="360" w:lineRule="auto"/>
        <w:rPr>
          <w:rFonts w:asciiTheme="minorEastAsia" w:hAnsiTheme="minorEastAsia" w:cstheme="minorEastAsia"/>
          <w:b/>
          <w:bCs/>
          <w:sz w:val="24"/>
          <w:szCs w:val="24"/>
        </w:rPr>
      </w:pPr>
      <w:r>
        <w:rPr>
          <w:rFonts w:asciiTheme="minorEastAsia" w:hAnsiTheme="minorEastAsia" w:eastAsiaTheme="minorEastAsia" w:cstheme="minorEastAsia"/>
          <w:b/>
          <w:bCs/>
          <w:sz w:val="24"/>
          <w:szCs w:val="24"/>
        </w:rPr>
        <w:t>合同包1(</w:t>
      </w:r>
      <w:r>
        <w:rPr>
          <w:rFonts w:hint="eastAsia" w:asciiTheme="minorEastAsia" w:hAnsiTheme="minorEastAsia" w:cstheme="minorEastAsia"/>
          <w:b/>
          <w:bCs/>
          <w:sz w:val="24"/>
          <w:szCs w:val="24"/>
          <w:lang w:eastAsia="zh-CN"/>
        </w:rPr>
        <w:t>软件测试服务</w:t>
      </w:r>
      <w:r>
        <w:rPr>
          <w:rFonts w:asciiTheme="minorEastAsia" w:hAnsiTheme="minorEastAsia" w:eastAsiaTheme="minorEastAsia" w:cstheme="minorEastAsia"/>
          <w:b/>
          <w:bCs/>
          <w:sz w:val="24"/>
          <w:szCs w:val="24"/>
        </w:rPr>
        <w:t>)特定资格要求如下:</w:t>
      </w:r>
    </w:p>
    <w:p w14:paraId="4B765A66">
      <w:pPr>
        <w:pStyle w:val="14"/>
        <w:numPr>
          <w:ilvl w:val="0"/>
          <w:numId w:val="2"/>
        </w:numPr>
        <w:spacing w:line="360" w:lineRule="auto"/>
        <w:ind w:left="480"/>
        <w:rPr>
          <w:rFonts w:hint="default" w:asciiTheme="minorEastAsia" w:hAnsiTheme="minorEastAsia" w:eastAsiaTheme="minorEastAsia" w:cstheme="minorEastAsia"/>
          <w:sz w:val="24"/>
          <w:szCs w:val="24"/>
          <w:lang w:val="en-US" w:eastAsia="zh-CN"/>
        </w:rPr>
      </w:pPr>
      <w:r>
        <w:rPr>
          <w:rFonts w:asciiTheme="minorEastAsia" w:hAnsiTheme="minorEastAsia" w:eastAsiaTheme="minorEastAsia" w:cstheme="minorEastAsia"/>
          <w:sz w:val="24"/>
          <w:szCs w:val="24"/>
        </w:rPr>
        <w:t>供应商为具有独立承担民事责任能力的法人、其他组织或自然人并出具合法有效的营业执照或事业单位法人证书等国家规定的相关证明，自然人参与的提供其身份证明。</w:t>
      </w:r>
      <w:r>
        <w:rPr>
          <w:rFonts w:asciiTheme="minorEastAsia" w:hAnsiTheme="minorEastAsia" w:cstheme="minorEastAsia"/>
          <w:sz w:val="24"/>
          <w:szCs w:val="24"/>
        </w:rPr>
        <w:br w:type="textWrapping"/>
      </w:r>
      <w:r>
        <w:rPr>
          <w:rFonts w:asciiTheme="minorEastAsia" w:hAnsiTheme="minorEastAsia" w:eastAsiaTheme="minorEastAsia" w:cstheme="minorEastAsia"/>
          <w:sz w:val="24"/>
          <w:szCs w:val="24"/>
        </w:rPr>
        <w:t>2）财务状况报告：提供2024年财务审计报告（成立时间至开标时间不足一年的可提供成立后任意时段的资产负债表），或提供基本存款账户信息及开标日期前三个月内其基本存款账户开户银行出具的资信证明，或财政部门认可的政府采购专业担保机构出具的投标担保函。</w:t>
      </w:r>
      <w:r>
        <w:rPr>
          <w:rFonts w:asciiTheme="minorEastAsia" w:hAnsiTheme="minorEastAsia" w:cstheme="minorEastAsia"/>
          <w:sz w:val="24"/>
          <w:szCs w:val="24"/>
        </w:rPr>
        <w:br w:type="textWrapping"/>
      </w:r>
      <w:r>
        <w:rPr>
          <w:rFonts w:asciiTheme="minorEastAsia" w:hAnsiTheme="minorEastAsia" w:eastAsiaTheme="minorEastAsia" w:cstheme="minorEastAsia"/>
          <w:sz w:val="24"/>
          <w:szCs w:val="24"/>
        </w:rPr>
        <w:t>3）税收缴纳证明：提供投标文件截止时间一年内至少一个月的依法缴纳税收的相关凭据（时间以税款所属日期为准、税种须至少包含增值税或企业所得税）。依法免税或无须缴纳税收的投标人，应提供相应证明文件。</w:t>
      </w:r>
      <w:r>
        <w:rPr>
          <w:rFonts w:asciiTheme="minorEastAsia" w:hAnsiTheme="minorEastAsia" w:cstheme="minorEastAsia"/>
          <w:sz w:val="24"/>
          <w:szCs w:val="24"/>
        </w:rPr>
        <w:br w:type="textWrapping"/>
      </w:r>
      <w:r>
        <w:rPr>
          <w:rFonts w:asciiTheme="minorEastAsia" w:hAnsiTheme="minorEastAsia" w:eastAsiaTheme="minorEastAsia" w:cstheme="minorEastAsia"/>
          <w:sz w:val="24"/>
          <w:szCs w:val="24"/>
        </w:rPr>
        <w:t>4）社会保障资金缴纳证明：提供投标文件截止时间一年内至少一个月的社会保障资金缴存单据或社保机构开具的社会保险参保缴费情况证明。依法不需要缴纳社会保障资金的投标供应商，应提供相关证明。</w:t>
      </w:r>
      <w:r>
        <w:rPr>
          <w:rFonts w:asciiTheme="minorEastAsia" w:hAnsiTheme="minorEastAsia" w:cstheme="minorEastAsia"/>
          <w:sz w:val="24"/>
          <w:szCs w:val="24"/>
        </w:rPr>
        <w:br w:type="textWrapping"/>
      </w:r>
      <w:r>
        <w:rPr>
          <w:rFonts w:asciiTheme="minorEastAsia" w:hAnsiTheme="minorEastAsia" w:eastAsiaTheme="minorEastAsia" w:cstheme="minorEastAsia"/>
          <w:sz w:val="24"/>
          <w:szCs w:val="24"/>
        </w:rPr>
        <w:t>5）提供具有履行本合同所必需的设备和专业技术能力的声明。</w:t>
      </w:r>
      <w:r>
        <w:rPr>
          <w:rFonts w:asciiTheme="minorEastAsia" w:hAnsiTheme="minorEastAsia" w:cstheme="minorEastAsia"/>
          <w:sz w:val="24"/>
          <w:szCs w:val="24"/>
        </w:rPr>
        <w:br w:type="textWrapping"/>
      </w:r>
      <w:r>
        <w:rPr>
          <w:rFonts w:asciiTheme="minorEastAsia" w:hAnsiTheme="minorEastAsia" w:eastAsiaTheme="minorEastAsia" w:cstheme="minorEastAsia"/>
          <w:sz w:val="24"/>
          <w:szCs w:val="24"/>
        </w:rPr>
        <w:t>6）法定代表人授权书及被授权人身份证(法定代表人直接参加投标，须提交其身份证复印件及法定代表人身份证明)，非法人单位参照执行。</w:t>
      </w:r>
      <w:r>
        <w:rPr>
          <w:rFonts w:asciiTheme="minorEastAsia" w:hAnsiTheme="minorEastAsia" w:cstheme="minorEastAsia"/>
          <w:sz w:val="24"/>
          <w:szCs w:val="24"/>
        </w:rPr>
        <w:br w:type="textWrapping"/>
      </w:r>
      <w:r>
        <w:rPr>
          <w:rFonts w:asciiTheme="minorEastAsia" w:hAnsiTheme="minorEastAsia" w:eastAsiaTheme="minorEastAsia" w:cstheme="minorEastAsia"/>
          <w:sz w:val="24"/>
          <w:szCs w:val="24"/>
        </w:rPr>
        <w:t>7）提供参加本次政府采购活动前三年内在经营活动中没有重大违法记录的书面声明（提供声明书）。</w:t>
      </w:r>
      <w:r>
        <w:rPr>
          <w:rFonts w:asciiTheme="minorEastAsia" w:hAnsiTheme="minorEastAsia" w:cstheme="minorEastAsia"/>
          <w:sz w:val="24"/>
          <w:szCs w:val="24"/>
        </w:rPr>
        <w:br w:type="textWrapping"/>
      </w:r>
      <w:r>
        <w:rPr>
          <w:rFonts w:asciiTheme="minorEastAsia" w:hAnsiTheme="minorEastAsia" w:eastAsiaTheme="minorEastAsia" w:cstheme="minorEastAsia"/>
          <w:sz w:val="24"/>
          <w:szCs w:val="24"/>
        </w:rPr>
        <w:t>8）信用查询：未被“信用中国” 网站（www.creditchina.gov.cn）列入重大税收违法失信主体；不得被“中国执行信息公开网”（zxgk.court.gov.cn）列入失信被执行人名单；不得被“中国政府采购网”（www.ccgp.gov.cn）列入政府采购严重违法失信行为记录名单（采购代理机构查询，采购代理机构查询时限为响应文件递交截止之日）。</w:t>
      </w:r>
      <w:r>
        <w:rPr>
          <w:rFonts w:asciiTheme="minorEastAsia" w:hAnsiTheme="minorEastAsia" w:cstheme="minorEastAsia"/>
          <w:sz w:val="24"/>
          <w:szCs w:val="24"/>
        </w:rPr>
        <w:br w:type="textWrapping"/>
      </w:r>
      <w:r>
        <w:rPr>
          <w:rFonts w:hint="eastAsia" w:asciiTheme="minorEastAsia" w:hAnsiTheme="minorEastAsia" w:cstheme="minorEastAsia"/>
          <w:sz w:val="24"/>
          <w:szCs w:val="24"/>
          <w:highlight w:val="yellow"/>
          <w:lang w:eastAsia="zh-CN"/>
        </w:rPr>
        <w:t>9）供应商应具备检验检测机构资质认定证书（CMA证书）。</w:t>
      </w:r>
    </w:p>
    <w:p w14:paraId="39E120FB">
      <w:pPr>
        <w:spacing w:before="135" w:line="360" w:lineRule="auto"/>
        <w:ind w:left="489"/>
        <w:rPr>
          <w:rFonts w:ascii="宋体" w:hAnsi="宋体" w:eastAsia="宋体" w:cs="宋体"/>
          <w:sz w:val="24"/>
          <w:szCs w:val="24"/>
        </w:rPr>
      </w:pPr>
      <w:r>
        <w:rPr>
          <w:rFonts w:hint="eastAsia" w:asciiTheme="minorEastAsia" w:hAnsiTheme="minorEastAsia" w:cstheme="minorEastAsia"/>
          <w:sz w:val="24"/>
          <w:szCs w:val="24"/>
          <w:highlight w:val="yellow"/>
          <w:lang w:val="en-US" w:eastAsia="zh-CN"/>
        </w:rPr>
        <w:t>10）</w:t>
      </w:r>
      <w:r>
        <w:rPr>
          <w:rFonts w:hint="eastAsia" w:asciiTheme="minorEastAsia" w:hAnsiTheme="minorEastAsia" w:cstheme="minorEastAsia"/>
          <w:sz w:val="24"/>
          <w:szCs w:val="24"/>
          <w:lang w:eastAsia="zh-CN"/>
        </w:rPr>
        <w:t>本项目不接受联合体</w:t>
      </w:r>
      <w:r>
        <w:rPr>
          <w:rFonts w:hint="eastAsia" w:asciiTheme="minorEastAsia" w:hAnsiTheme="minorEastAsia" w:cstheme="minorEastAsia"/>
          <w:sz w:val="24"/>
          <w:szCs w:val="24"/>
          <w:lang w:val="en-US" w:eastAsia="zh-CN"/>
        </w:rPr>
        <w:t>磋商</w:t>
      </w:r>
      <w:r>
        <w:rPr>
          <w:rFonts w:hint="eastAsia" w:asciiTheme="minorEastAsia" w:hAnsiTheme="minorEastAsia" w:cstheme="minorEastAsia"/>
          <w:sz w:val="24"/>
          <w:szCs w:val="24"/>
          <w:lang w:eastAsia="zh-CN"/>
        </w:rPr>
        <w:t>。</w:t>
      </w:r>
    </w:p>
    <w:p w14:paraId="65B9D75F">
      <w:pPr>
        <w:spacing w:line="360" w:lineRule="auto"/>
        <w:rPr>
          <w:rFonts w:ascii="宋体" w:hAnsi="宋体" w:eastAsia="宋体" w:cs="宋体"/>
          <w:sz w:val="24"/>
          <w:szCs w:val="24"/>
        </w:rPr>
        <w:sectPr>
          <w:headerReference r:id="rId48" w:type="default"/>
          <w:footerReference r:id="rId49" w:type="default"/>
          <w:pgSz w:w="11906" w:h="16839"/>
          <w:pgMar w:top="1166" w:right="1047" w:bottom="1166" w:left="1080" w:header="829" w:footer="952" w:gutter="0"/>
          <w:cols w:space="720" w:num="1"/>
        </w:sectPr>
      </w:pPr>
    </w:p>
    <w:p w14:paraId="0205E68D">
      <w:pPr>
        <w:pStyle w:val="4"/>
        <w:spacing w:line="360" w:lineRule="auto"/>
      </w:pPr>
    </w:p>
    <w:p w14:paraId="4B5DD010">
      <w:pPr>
        <w:spacing w:before="91" w:line="360" w:lineRule="auto"/>
        <w:ind w:left="155"/>
        <w:outlineLvl w:val="1"/>
        <w:rPr>
          <w:rFonts w:ascii="宋体" w:hAnsi="宋体" w:eastAsia="宋体" w:cs="宋体"/>
          <w:sz w:val="28"/>
          <w:szCs w:val="28"/>
        </w:rPr>
      </w:pPr>
      <w:bookmarkStart w:id="90" w:name="_Toc19246"/>
      <w:r>
        <w:rPr>
          <w:rFonts w:ascii="宋体" w:hAnsi="宋体" w:eastAsia="宋体" w:cs="宋体"/>
          <w:b/>
          <w:bCs/>
          <w:spacing w:val="-19"/>
          <w:sz w:val="28"/>
          <w:szCs w:val="28"/>
        </w:rPr>
        <w:t>附件</w:t>
      </w:r>
      <w:r>
        <w:rPr>
          <w:rFonts w:ascii="宋体" w:hAnsi="宋体" w:eastAsia="宋体" w:cs="宋体"/>
          <w:spacing w:val="-38"/>
          <w:sz w:val="28"/>
          <w:szCs w:val="28"/>
        </w:rPr>
        <w:t xml:space="preserve"> </w:t>
      </w:r>
      <w:r>
        <w:rPr>
          <w:rFonts w:ascii="宋体" w:hAnsi="宋体" w:eastAsia="宋体" w:cs="宋体"/>
          <w:b/>
          <w:bCs/>
          <w:spacing w:val="-19"/>
          <w:sz w:val="28"/>
          <w:szCs w:val="28"/>
        </w:rPr>
        <w:t>1：</w:t>
      </w:r>
      <w:bookmarkEnd w:id="90"/>
    </w:p>
    <w:p w14:paraId="0654F0C5">
      <w:pPr>
        <w:spacing w:before="87" w:line="360" w:lineRule="auto"/>
        <w:ind w:left="3882"/>
        <w:outlineLvl w:val="1"/>
        <w:rPr>
          <w:rFonts w:ascii="宋体" w:hAnsi="宋体" w:eastAsia="宋体" w:cs="宋体"/>
          <w:sz w:val="28"/>
          <w:szCs w:val="28"/>
        </w:rPr>
      </w:pPr>
      <w:bookmarkStart w:id="91" w:name="_Toc12853"/>
      <w:r>
        <w:rPr>
          <w:rFonts w:ascii="宋体" w:hAnsi="宋体" w:eastAsia="宋体" w:cs="宋体"/>
          <w:b/>
          <w:bCs/>
          <w:spacing w:val="-4"/>
          <w:sz w:val="28"/>
          <w:szCs w:val="28"/>
        </w:rPr>
        <w:t>供应商基本情况表</w:t>
      </w:r>
      <w:bookmarkEnd w:id="91"/>
    </w:p>
    <w:tbl>
      <w:tblPr>
        <w:tblStyle w:val="12"/>
        <w:tblW w:w="907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7"/>
        <w:gridCol w:w="1114"/>
        <w:gridCol w:w="1329"/>
        <w:gridCol w:w="1226"/>
        <w:gridCol w:w="20"/>
        <w:gridCol w:w="1803"/>
        <w:gridCol w:w="1871"/>
      </w:tblGrid>
      <w:tr w14:paraId="4748F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1707" w:type="dxa"/>
            <w:tcBorders>
              <w:top w:val="single" w:color="000000" w:sz="10" w:space="0"/>
              <w:left w:val="single" w:color="000000" w:sz="10" w:space="0"/>
            </w:tcBorders>
            <w:vAlign w:val="top"/>
          </w:tcPr>
          <w:p w14:paraId="31A72D0B">
            <w:pPr>
              <w:pStyle w:val="13"/>
              <w:spacing w:before="155" w:line="360" w:lineRule="auto"/>
              <w:ind w:left="245"/>
            </w:pPr>
            <w:r>
              <w:rPr>
                <w:spacing w:val="-2"/>
              </w:rPr>
              <w:t>供应商名称</w:t>
            </w:r>
          </w:p>
        </w:tc>
        <w:tc>
          <w:tcPr>
            <w:tcW w:w="7363" w:type="dxa"/>
            <w:gridSpan w:val="6"/>
            <w:tcBorders>
              <w:top w:val="single" w:color="000000" w:sz="10" w:space="0"/>
              <w:right w:val="single" w:color="000000" w:sz="10" w:space="0"/>
            </w:tcBorders>
            <w:vAlign w:val="top"/>
          </w:tcPr>
          <w:p w14:paraId="4546E150">
            <w:pPr>
              <w:spacing w:line="360" w:lineRule="auto"/>
              <w:rPr>
                <w:rFonts w:ascii="Arial"/>
                <w:sz w:val="21"/>
              </w:rPr>
            </w:pPr>
          </w:p>
        </w:tc>
      </w:tr>
      <w:tr w14:paraId="51ACE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707" w:type="dxa"/>
            <w:tcBorders>
              <w:left w:val="single" w:color="000000" w:sz="10" w:space="0"/>
            </w:tcBorders>
            <w:vAlign w:val="top"/>
          </w:tcPr>
          <w:p w14:paraId="474EB5B5">
            <w:pPr>
              <w:pStyle w:val="13"/>
              <w:spacing w:before="150" w:line="360" w:lineRule="auto"/>
              <w:ind w:left="365"/>
            </w:pPr>
            <w:r>
              <w:rPr>
                <w:spacing w:val="-3"/>
              </w:rPr>
              <w:t>注册地址</w:t>
            </w:r>
          </w:p>
        </w:tc>
        <w:tc>
          <w:tcPr>
            <w:tcW w:w="3689" w:type="dxa"/>
            <w:gridSpan w:val="4"/>
            <w:vAlign w:val="top"/>
          </w:tcPr>
          <w:p w14:paraId="5D0E665D">
            <w:pPr>
              <w:spacing w:line="360" w:lineRule="auto"/>
              <w:rPr>
                <w:rFonts w:ascii="Arial"/>
                <w:sz w:val="21"/>
              </w:rPr>
            </w:pPr>
          </w:p>
        </w:tc>
        <w:tc>
          <w:tcPr>
            <w:tcW w:w="1803" w:type="dxa"/>
            <w:vAlign w:val="top"/>
          </w:tcPr>
          <w:p w14:paraId="6D1651FE">
            <w:pPr>
              <w:pStyle w:val="13"/>
              <w:spacing w:before="151" w:line="360" w:lineRule="auto"/>
              <w:ind w:left="448"/>
            </w:pPr>
            <w:r>
              <w:rPr>
                <w:spacing w:val="-7"/>
              </w:rPr>
              <w:t>邮政编码</w:t>
            </w:r>
          </w:p>
        </w:tc>
        <w:tc>
          <w:tcPr>
            <w:tcW w:w="1871" w:type="dxa"/>
            <w:tcBorders>
              <w:right w:val="single" w:color="000000" w:sz="10" w:space="0"/>
            </w:tcBorders>
            <w:vAlign w:val="top"/>
          </w:tcPr>
          <w:p w14:paraId="2365BB96">
            <w:pPr>
              <w:spacing w:line="360" w:lineRule="auto"/>
              <w:rPr>
                <w:rFonts w:ascii="Arial"/>
                <w:sz w:val="21"/>
              </w:rPr>
            </w:pPr>
          </w:p>
        </w:tc>
      </w:tr>
      <w:tr w14:paraId="187BF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707" w:type="dxa"/>
            <w:vMerge w:val="restart"/>
            <w:tcBorders>
              <w:left w:val="single" w:color="000000" w:sz="10" w:space="0"/>
              <w:bottom w:val="nil"/>
            </w:tcBorders>
            <w:vAlign w:val="top"/>
          </w:tcPr>
          <w:p w14:paraId="72DBCEB1">
            <w:pPr>
              <w:spacing w:line="360" w:lineRule="auto"/>
              <w:rPr>
                <w:rFonts w:ascii="Arial"/>
                <w:sz w:val="21"/>
              </w:rPr>
            </w:pPr>
          </w:p>
          <w:p w14:paraId="7CE2231F">
            <w:pPr>
              <w:pStyle w:val="13"/>
              <w:spacing w:before="78" w:line="360" w:lineRule="auto"/>
              <w:ind w:left="366"/>
            </w:pPr>
            <w:r>
              <w:rPr>
                <w:spacing w:val="-3"/>
              </w:rPr>
              <w:t>联系方式</w:t>
            </w:r>
          </w:p>
        </w:tc>
        <w:tc>
          <w:tcPr>
            <w:tcW w:w="1114" w:type="dxa"/>
            <w:vAlign w:val="top"/>
          </w:tcPr>
          <w:p w14:paraId="408AB420">
            <w:pPr>
              <w:pStyle w:val="13"/>
              <w:spacing w:before="143" w:line="360" w:lineRule="auto"/>
              <w:ind w:left="196"/>
            </w:pPr>
            <w:r>
              <w:rPr>
                <w:spacing w:val="-4"/>
              </w:rPr>
              <w:t>联系人</w:t>
            </w:r>
          </w:p>
        </w:tc>
        <w:tc>
          <w:tcPr>
            <w:tcW w:w="2575" w:type="dxa"/>
            <w:gridSpan w:val="3"/>
            <w:vAlign w:val="top"/>
          </w:tcPr>
          <w:p w14:paraId="3849ABF4">
            <w:pPr>
              <w:spacing w:line="360" w:lineRule="auto"/>
              <w:rPr>
                <w:rFonts w:ascii="Arial"/>
                <w:sz w:val="21"/>
              </w:rPr>
            </w:pPr>
          </w:p>
        </w:tc>
        <w:tc>
          <w:tcPr>
            <w:tcW w:w="1803" w:type="dxa"/>
            <w:vAlign w:val="top"/>
          </w:tcPr>
          <w:p w14:paraId="63C93446">
            <w:pPr>
              <w:pStyle w:val="13"/>
              <w:spacing w:before="143" w:line="360" w:lineRule="auto"/>
              <w:ind w:left="698"/>
            </w:pPr>
            <w:r>
              <w:rPr>
                <w:spacing w:val="-19"/>
              </w:rPr>
              <w:t>电话</w:t>
            </w:r>
          </w:p>
        </w:tc>
        <w:tc>
          <w:tcPr>
            <w:tcW w:w="1871" w:type="dxa"/>
            <w:tcBorders>
              <w:right w:val="single" w:color="000000" w:sz="10" w:space="0"/>
            </w:tcBorders>
            <w:vAlign w:val="top"/>
          </w:tcPr>
          <w:p w14:paraId="6669B0C1">
            <w:pPr>
              <w:spacing w:line="360" w:lineRule="auto"/>
              <w:rPr>
                <w:rFonts w:ascii="Arial"/>
                <w:sz w:val="21"/>
              </w:rPr>
            </w:pPr>
          </w:p>
        </w:tc>
      </w:tr>
      <w:tr w14:paraId="4583E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707" w:type="dxa"/>
            <w:vMerge w:val="continue"/>
            <w:tcBorders>
              <w:top w:val="nil"/>
              <w:left w:val="single" w:color="000000" w:sz="10" w:space="0"/>
            </w:tcBorders>
            <w:vAlign w:val="top"/>
          </w:tcPr>
          <w:p w14:paraId="7497869F">
            <w:pPr>
              <w:spacing w:line="360" w:lineRule="auto"/>
              <w:rPr>
                <w:rFonts w:ascii="Arial"/>
                <w:sz w:val="21"/>
              </w:rPr>
            </w:pPr>
          </w:p>
        </w:tc>
        <w:tc>
          <w:tcPr>
            <w:tcW w:w="1114" w:type="dxa"/>
            <w:vAlign w:val="top"/>
          </w:tcPr>
          <w:p w14:paraId="0141C7EB">
            <w:pPr>
              <w:pStyle w:val="13"/>
              <w:spacing w:before="130" w:line="360" w:lineRule="auto"/>
              <w:ind w:left="313"/>
            </w:pPr>
            <w:r>
              <w:rPr>
                <w:spacing w:val="-4"/>
              </w:rPr>
              <w:t>传真</w:t>
            </w:r>
          </w:p>
        </w:tc>
        <w:tc>
          <w:tcPr>
            <w:tcW w:w="2575" w:type="dxa"/>
            <w:gridSpan w:val="3"/>
            <w:vAlign w:val="top"/>
          </w:tcPr>
          <w:p w14:paraId="5FBE8E8E">
            <w:pPr>
              <w:spacing w:line="360" w:lineRule="auto"/>
              <w:rPr>
                <w:rFonts w:ascii="Arial"/>
                <w:sz w:val="21"/>
              </w:rPr>
            </w:pPr>
          </w:p>
        </w:tc>
        <w:tc>
          <w:tcPr>
            <w:tcW w:w="1803" w:type="dxa"/>
            <w:vAlign w:val="top"/>
          </w:tcPr>
          <w:p w14:paraId="69188793">
            <w:pPr>
              <w:pStyle w:val="13"/>
              <w:spacing w:before="130" w:line="360" w:lineRule="auto"/>
              <w:ind w:left="688"/>
            </w:pPr>
            <w:r>
              <w:rPr>
                <w:spacing w:val="-15"/>
              </w:rPr>
              <w:t>网址</w:t>
            </w:r>
          </w:p>
        </w:tc>
        <w:tc>
          <w:tcPr>
            <w:tcW w:w="1871" w:type="dxa"/>
            <w:tcBorders>
              <w:right w:val="single" w:color="000000" w:sz="10" w:space="0"/>
            </w:tcBorders>
            <w:vAlign w:val="top"/>
          </w:tcPr>
          <w:p w14:paraId="5D61DA7C">
            <w:pPr>
              <w:spacing w:line="360" w:lineRule="auto"/>
              <w:rPr>
                <w:rFonts w:ascii="Arial"/>
                <w:sz w:val="21"/>
              </w:rPr>
            </w:pPr>
          </w:p>
        </w:tc>
      </w:tr>
      <w:tr w14:paraId="05249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707" w:type="dxa"/>
            <w:tcBorders>
              <w:left w:val="single" w:color="000000" w:sz="10" w:space="0"/>
            </w:tcBorders>
            <w:vAlign w:val="top"/>
          </w:tcPr>
          <w:p w14:paraId="19AB351B">
            <w:pPr>
              <w:pStyle w:val="13"/>
              <w:spacing w:before="143" w:line="360" w:lineRule="auto"/>
              <w:ind w:left="367"/>
            </w:pPr>
            <w:r>
              <w:rPr>
                <w:spacing w:val="-3"/>
              </w:rPr>
              <w:t>单位性质</w:t>
            </w:r>
          </w:p>
        </w:tc>
        <w:tc>
          <w:tcPr>
            <w:tcW w:w="7363" w:type="dxa"/>
            <w:gridSpan w:val="6"/>
            <w:tcBorders>
              <w:right w:val="single" w:color="000000" w:sz="10" w:space="0"/>
            </w:tcBorders>
            <w:vAlign w:val="top"/>
          </w:tcPr>
          <w:p w14:paraId="42891E22">
            <w:pPr>
              <w:spacing w:line="360" w:lineRule="auto"/>
              <w:rPr>
                <w:rFonts w:ascii="Arial"/>
                <w:sz w:val="21"/>
              </w:rPr>
            </w:pPr>
          </w:p>
        </w:tc>
      </w:tr>
      <w:tr w14:paraId="2A4ED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707" w:type="dxa"/>
            <w:tcBorders>
              <w:left w:val="single" w:color="000000" w:sz="10" w:space="0"/>
            </w:tcBorders>
            <w:vAlign w:val="top"/>
          </w:tcPr>
          <w:p w14:paraId="3A5AE90E">
            <w:pPr>
              <w:pStyle w:val="13"/>
              <w:spacing w:before="155" w:line="360" w:lineRule="auto"/>
              <w:ind w:left="246"/>
            </w:pPr>
            <w:r>
              <w:rPr>
                <w:spacing w:val="-3"/>
              </w:rPr>
              <w:t>法定代表人</w:t>
            </w:r>
          </w:p>
        </w:tc>
        <w:tc>
          <w:tcPr>
            <w:tcW w:w="1114" w:type="dxa"/>
            <w:tcBorders>
              <w:right w:val="single" w:color="000000" w:sz="10" w:space="0"/>
            </w:tcBorders>
            <w:vAlign w:val="top"/>
          </w:tcPr>
          <w:p w14:paraId="7138D501">
            <w:pPr>
              <w:pStyle w:val="13"/>
              <w:spacing w:before="155" w:line="360" w:lineRule="auto"/>
              <w:ind w:left="315"/>
            </w:pPr>
            <w:r>
              <w:rPr>
                <w:spacing w:val="-5"/>
              </w:rPr>
              <w:t>姓名</w:t>
            </w:r>
          </w:p>
        </w:tc>
        <w:tc>
          <w:tcPr>
            <w:tcW w:w="2555" w:type="dxa"/>
            <w:gridSpan w:val="2"/>
            <w:tcBorders>
              <w:left w:val="single" w:color="000000" w:sz="10" w:space="0"/>
              <w:right w:val="single" w:color="000000" w:sz="10" w:space="0"/>
            </w:tcBorders>
            <w:vAlign w:val="top"/>
          </w:tcPr>
          <w:p w14:paraId="6FB05EBB">
            <w:pPr>
              <w:spacing w:line="360" w:lineRule="auto"/>
              <w:rPr>
                <w:rFonts w:ascii="Arial"/>
                <w:sz w:val="21"/>
              </w:rPr>
            </w:pPr>
          </w:p>
        </w:tc>
        <w:tc>
          <w:tcPr>
            <w:tcW w:w="1823" w:type="dxa"/>
            <w:gridSpan w:val="2"/>
            <w:tcBorders>
              <w:left w:val="single" w:color="000000" w:sz="10" w:space="0"/>
              <w:right w:val="single" w:color="000000" w:sz="10" w:space="0"/>
            </w:tcBorders>
            <w:vAlign w:val="top"/>
          </w:tcPr>
          <w:p w14:paraId="742647A3">
            <w:pPr>
              <w:pStyle w:val="13"/>
              <w:spacing w:before="155" w:line="360" w:lineRule="auto"/>
              <w:ind w:left="713"/>
            </w:pPr>
            <w:r>
              <w:rPr>
                <w:spacing w:val="-19"/>
              </w:rPr>
              <w:t>电话</w:t>
            </w:r>
          </w:p>
        </w:tc>
        <w:tc>
          <w:tcPr>
            <w:tcW w:w="1871" w:type="dxa"/>
            <w:tcBorders>
              <w:left w:val="single" w:color="000000" w:sz="10" w:space="0"/>
              <w:right w:val="single" w:color="000000" w:sz="10" w:space="0"/>
            </w:tcBorders>
            <w:vAlign w:val="top"/>
          </w:tcPr>
          <w:p w14:paraId="47177087">
            <w:pPr>
              <w:spacing w:line="360" w:lineRule="auto"/>
              <w:rPr>
                <w:rFonts w:ascii="Arial"/>
                <w:sz w:val="21"/>
              </w:rPr>
            </w:pPr>
          </w:p>
        </w:tc>
      </w:tr>
      <w:tr w14:paraId="64FF7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1707" w:type="dxa"/>
            <w:tcBorders>
              <w:left w:val="single" w:color="000000" w:sz="10" w:space="0"/>
              <w:right w:val="single" w:color="000000" w:sz="2" w:space="0"/>
            </w:tcBorders>
            <w:vAlign w:val="top"/>
          </w:tcPr>
          <w:p w14:paraId="5B302A3B">
            <w:pPr>
              <w:pStyle w:val="13"/>
              <w:spacing w:before="157" w:line="360" w:lineRule="auto"/>
              <w:ind w:left="129"/>
            </w:pPr>
            <w:r>
              <w:rPr>
                <w:spacing w:val="-3"/>
              </w:rPr>
              <w:t>企业资质等级</w:t>
            </w:r>
          </w:p>
        </w:tc>
        <w:tc>
          <w:tcPr>
            <w:tcW w:w="2443" w:type="dxa"/>
            <w:gridSpan w:val="2"/>
            <w:tcBorders>
              <w:left w:val="single" w:color="000000" w:sz="2" w:space="0"/>
              <w:bottom w:val="single" w:color="000000" w:sz="2" w:space="0"/>
              <w:right w:val="single" w:color="000000" w:sz="2" w:space="0"/>
            </w:tcBorders>
            <w:vAlign w:val="top"/>
          </w:tcPr>
          <w:p w14:paraId="32A9C597">
            <w:pPr>
              <w:spacing w:line="360" w:lineRule="auto"/>
              <w:rPr>
                <w:rFonts w:ascii="Arial"/>
                <w:sz w:val="21"/>
              </w:rPr>
            </w:pPr>
          </w:p>
        </w:tc>
        <w:tc>
          <w:tcPr>
            <w:tcW w:w="1246" w:type="dxa"/>
            <w:gridSpan w:val="2"/>
            <w:tcBorders>
              <w:left w:val="single" w:color="000000" w:sz="2" w:space="0"/>
              <w:bottom w:val="single" w:color="000000" w:sz="2" w:space="0"/>
              <w:right w:val="single" w:color="000000" w:sz="2" w:space="0"/>
            </w:tcBorders>
            <w:vAlign w:val="top"/>
          </w:tcPr>
          <w:p w14:paraId="6B747C58">
            <w:pPr>
              <w:pStyle w:val="13"/>
              <w:spacing w:before="156" w:line="360" w:lineRule="auto"/>
              <w:ind w:left="151"/>
            </w:pPr>
            <w:r>
              <w:rPr>
                <w:spacing w:val="-3"/>
              </w:rPr>
              <w:t>成立时间</w:t>
            </w:r>
          </w:p>
        </w:tc>
        <w:tc>
          <w:tcPr>
            <w:tcW w:w="3674" w:type="dxa"/>
            <w:gridSpan w:val="2"/>
            <w:tcBorders>
              <w:left w:val="single" w:color="000000" w:sz="2" w:space="0"/>
              <w:right w:val="single" w:color="000000" w:sz="10" w:space="0"/>
            </w:tcBorders>
            <w:vAlign w:val="top"/>
          </w:tcPr>
          <w:p w14:paraId="20355E16">
            <w:pPr>
              <w:spacing w:line="360" w:lineRule="auto"/>
              <w:rPr>
                <w:rFonts w:ascii="Arial"/>
                <w:sz w:val="21"/>
              </w:rPr>
            </w:pPr>
          </w:p>
        </w:tc>
      </w:tr>
      <w:tr w14:paraId="10358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707" w:type="dxa"/>
            <w:tcBorders>
              <w:left w:val="single" w:color="000000" w:sz="10" w:space="0"/>
            </w:tcBorders>
            <w:vAlign w:val="top"/>
          </w:tcPr>
          <w:p w14:paraId="5AA3885F">
            <w:pPr>
              <w:pStyle w:val="13"/>
              <w:spacing w:before="139" w:line="360" w:lineRule="auto"/>
              <w:ind w:left="365"/>
            </w:pPr>
            <w:r>
              <w:rPr>
                <w:spacing w:val="-3"/>
              </w:rPr>
              <w:t>注册资金</w:t>
            </w:r>
          </w:p>
        </w:tc>
        <w:tc>
          <w:tcPr>
            <w:tcW w:w="2443" w:type="dxa"/>
            <w:gridSpan w:val="2"/>
            <w:tcBorders>
              <w:top w:val="single" w:color="000000" w:sz="2" w:space="0"/>
            </w:tcBorders>
            <w:vAlign w:val="top"/>
          </w:tcPr>
          <w:p w14:paraId="2D91DC77">
            <w:pPr>
              <w:pStyle w:val="13"/>
              <w:spacing w:before="139" w:line="360" w:lineRule="auto"/>
              <w:ind w:left="1864"/>
            </w:pPr>
            <w:r>
              <w:rPr>
                <w:spacing w:val="-8"/>
              </w:rPr>
              <w:t>万元</w:t>
            </w:r>
          </w:p>
        </w:tc>
        <w:tc>
          <w:tcPr>
            <w:tcW w:w="1246" w:type="dxa"/>
            <w:gridSpan w:val="2"/>
            <w:vMerge w:val="restart"/>
            <w:tcBorders>
              <w:top w:val="single" w:color="000000" w:sz="2" w:space="0"/>
              <w:bottom w:val="nil"/>
            </w:tcBorders>
            <w:vAlign w:val="top"/>
          </w:tcPr>
          <w:p w14:paraId="2A5B6572">
            <w:pPr>
              <w:spacing w:line="360" w:lineRule="auto"/>
              <w:rPr>
                <w:rFonts w:ascii="Arial"/>
                <w:sz w:val="21"/>
              </w:rPr>
            </w:pPr>
          </w:p>
          <w:p w14:paraId="303F2EB1">
            <w:pPr>
              <w:pStyle w:val="13"/>
              <w:spacing w:before="78" w:line="360" w:lineRule="auto"/>
              <w:ind w:left="168"/>
            </w:pPr>
            <w:r>
              <w:rPr>
                <w:spacing w:val="-8"/>
              </w:rPr>
              <w:t>固定资产</w:t>
            </w:r>
          </w:p>
        </w:tc>
        <w:tc>
          <w:tcPr>
            <w:tcW w:w="1803" w:type="dxa"/>
            <w:vAlign w:val="top"/>
          </w:tcPr>
          <w:p w14:paraId="76CCF6AA">
            <w:pPr>
              <w:pStyle w:val="13"/>
              <w:spacing w:before="139" w:line="360" w:lineRule="auto"/>
              <w:ind w:left="676"/>
            </w:pPr>
            <w:r>
              <w:rPr>
                <w:spacing w:val="-8"/>
              </w:rPr>
              <w:t>原值</w:t>
            </w:r>
          </w:p>
        </w:tc>
        <w:tc>
          <w:tcPr>
            <w:tcW w:w="1871" w:type="dxa"/>
            <w:tcBorders>
              <w:right w:val="single" w:color="000000" w:sz="10" w:space="0"/>
            </w:tcBorders>
            <w:vAlign w:val="top"/>
          </w:tcPr>
          <w:p w14:paraId="3DC36932">
            <w:pPr>
              <w:pStyle w:val="13"/>
              <w:spacing w:before="139" w:line="360" w:lineRule="auto"/>
              <w:ind w:left="1292"/>
            </w:pPr>
            <w:r>
              <w:rPr>
                <w:spacing w:val="-8"/>
              </w:rPr>
              <w:t>万元</w:t>
            </w:r>
          </w:p>
        </w:tc>
      </w:tr>
      <w:tr w14:paraId="1F623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707" w:type="dxa"/>
            <w:tcBorders>
              <w:left w:val="single" w:color="000000" w:sz="10" w:space="0"/>
            </w:tcBorders>
            <w:vAlign w:val="top"/>
          </w:tcPr>
          <w:p w14:paraId="596872BB">
            <w:pPr>
              <w:pStyle w:val="13"/>
              <w:spacing w:before="149" w:line="360" w:lineRule="auto"/>
              <w:ind w:left="366"/>
            </w:pPr>
            <w:r>
              <w:rPr>
                <w:spacing w:val="-3"/>
              </w:rPr>
              <w:t>流动资金</w:t>
            </w:r>
          </w:p>
        </w:tc>
        <w:tc>
          <w:tcPr>
            <w:tcW w:w="2443" w:type="dxa"/>
            <w:gridSpan w:val="2"/>
            <w:vAlign w:val="top"/>
          </w:tcPr>
          <w:p w14:paraId="56757E5A">
            <w:pPr>
              <w:pStyle w:val="13"/>
              <w:spacing w:before="149" w:line="360" w:lineRule="auto"/>
              <w:ind w:left="1864"/>
            </w:pPr>
            <w:r>
              <w:rPr>
                <w:spacing w:val="-8"/>
              </w:rPr>
              <w:t>万元</w:t>
            </w:r>
          </w:p>
        </w:tc>
        <w:tc>
          <w:tcPr>
            <w:tcW w:w="1246" w:type="dxa"/>
            <w:gridSpan w:val="2"/>
            <w:vMerge w:val="continue"/>
            <w:tcBorders>
              <w:top w:val="nil"/>
            </w:tcBorders>
            <w:vAlign w:val="top"/>
          </w:tcPr>
          <w:p w14:paraId="44F7A609">
            <w:pPr>
              <w:spacing w:line="360" w:lineRule="auto"/>
              <w:rPr>
                <w:rFonts w:ascii="Arial"/>
                <w:sz w:val="21"/>
              </w:rPr>
            </w:pPr>
          </w:p>
        </w:tc>
        <w:tc>
          <w:tcPr>
            <w:tcW w:w="1803" w:type="dxa"/>
            <w:vAlign w:val="top"/>
          </w:tcPr>
          <w:p w14:paraId="50C6F121">
            <w:pPr>
              <w:pStyle w:val="13"/>
              <w:spacing w:before="150" w:line="360" w:lineRule="auto"/>
              <w:ind w:left="673"/>
            </w:pPr>
            <w:r>
              <w:rPr>
                <w:spacing w:val="-7"/>
              </w:rPr>
              <w:t>净值</w:t>
            </w:r>
          </w:p>
        </w:tc>
        <w:tc>
          <w:tcPr>
            <w:tcW w:w="1871" w:type="dxa"/>
            <w:tcBorders>
              <w:right w:val="single" w:color="000000" w:sz="10" w:space="0"/>
            </w:tcBorders>
            <w:vAlign w:val="top"/>
          </w:tcPr>
          <w:p w14:paraId="26BD4F62">
            <w:pPr>
              <w:pStyle w:val="13"/>
              <w:spacing w:before="149" w:line="360" w:lineRule="auto"/>
              <w:ind w:left="1292"/>
            </w:pPr>
            <w:r>
              <w:rPr>
                <w:spacing w:val="-8"/>
              </w:rPr>
              <w:t>万元</w:t>
            </w:r>
          </w:p>
        </w:tc>
      </w:tr>
      <w:tr w14:paraId="1B04E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707" w:type="dxa"/>
            <w:tcBorders>
              <w:left w:val="single" w:color="000000" w:sz="10" w:space="0"/>
            </w:tcBorders>
            <w:vAlign w:val="top"/>
          </w:tcPr>
          <w:p w14:paraId="5638B150">
            <w:pPr>
              <w:pStyle w:val="13"/>
              <w:spacing w:before="161" w:line="360" w:lineRule="auto"/>
              <w:ind w:left="366"/>
            </w:pPr>
            <w:r>
              <w:rPr>
                <w:spacing w:val="-3"/>
              </w:rPr>
              <w:t>开户银行</w:t>
            </w:r>
          </w:p>
        </w:tc>
        <w:tc>
          <w:tcPr>
            <w:tcW w:w="2443" w:type="dxa"/>
            <w:gridSpan w:val="2"/>
            <w:vAlign w:val="top"/>
          </w:tcPr>
          <w:p w14:paraId="29554953">
            <w:pPr>
              <w:spacing w:line="360" w:lineRule="auto"/>
              <w:rPr>
                <w:rFonts w:ascii="Arial"/>
                <w:sz w:val="21"/>
              </w:rPr>
            </w:pPr>
          </w:p>
        </w:tc>
        <w:tc>
          <w:tcPr>
            <w:tcW w:w="1246" w:type="dxa"/>
            <w:gridSpan w:val="2"/>
            <w:vMerge w:val="restart"/>
            <w:tcBorders>
              <w:bottom w:val="nil"/>
            </w:tcBorders>
            <w:vAlign w:val="top"/>
          </w:tcPr>
          <w:p w14:paraId="6F2CA523">
            <w:pPr>
              <w:pStyle w:val="13"/>
              <w:spacing w:before="178" w:line="360" w:lineRule="auto"/>
              <w:ind w:left="355" w:right="137" w:hanging="207"/>
            </w:pPr>
            <w:r>
              <w:rPr>
                <w:spacing w:val="-3"/>
              </w:rPr>
              <w:t>职工总数XX</w:t>
            </w:r>
            <w:r>
              <w:rPr>
                <w:spacing w:val="-48"/>
              </w:rPr>
              <w:t xml:space="preserve"> </w:t>
            </w:r>
            <w:r>
              <w:rPr>
                <w:spacing w:val="-3"/>
              </w:rPr>
              <w:t>人</w:t>
            </w:r>
          </w:p>
        </w:tc>
        <w:tc>
          <w:tcPr>
            <w:tcW w:w="1803" w:type="dxa"/>
            <w:vAlign w:val="top"/>
          </w:tcPr>
          <w:p w14:paraId="200FD450">
            <w:pPr>
              <w:pStyle w:val="13"/>
              <w:spacing w:before="162" w:line="360" w:lineRule="auto"/>
              <w:ind w:left="191"/>
            </w:pPr>
            <w:r>
              <w:rPr>
                <w:spacing w:val="-2"/>
              </w:rPr>
              <w:t>专业服务人员</w:t>
            </w:r>
          </w:p>
        </w:tc>
        <w:tc>
          <w:tcPr>
            <w:tcW w:w="1871" w:type="dxa"/>
            <w:tcBorders>
              <w:right w:val="single" w:color="000000" w:sz="10" w:space="0"/>
            </w:tcBorders>
            <w:vAlign w:val="top"/>
          </w:tcPr>
          <w:p w14:paraId="16E722BD">
            <w:pPr>
              <w:pStyle w:val="13"/>
              <w:spacing w:before="162" w:line="360" w:lineRule="auto"/>
              <w:ind w:left="1528"/>
            </w:pPr>
            <w:r>
              <w:t>人</w:t>
            </w:r>
          </w:p>
        </w:tc>
      </w:tr>
      <w:tr w14:paraId="015EE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707" w:type="dxa"/>
            <w:tcBorders>
              <w:left w:val="single" w:color="000000" w:sz="10" w:space="0"/>
            </w:tcBorders>
            <w:vAlign w:val="top"/>
          </w:tcPr>
          <w:p w14:paraId="165C87EA">
            <w:pPr>
              <w:pStyle w:val="13"/>
              <w:spacing w:before="153" w:line="360" w:lineRule="auto"/>
              <w:ind w:left="125"/>
            </w:pPr>
            <w:r>
              <w:rPr>
                <w:spacing w:val="-2"/>
              </w:rPr>
              <w:t>基本银行账号</w:t>
            </w:r>
          </w:p>
        </w:tc>
        <w:tc>
          <w:tcPr>
            <w:tcW w:w="2443" w:type="dxa"/>
            <w:gridSpan w:val="2"/>
            <w:vAlign w:val="top"/>
          </w:tcPr>
          <w:p w14:paraId="631C93A6">
            <w:pPr>
              <w:spacing w:line="360" w:lineRule="auto"/>
              <w:rPr>
                <w:rFonts w:ascii="Arial"/>
                <w:sz w:val="21"/>
              </w:rPr>
            </w:pPr>
          </w:p>
        </w:tc>
        <w:tc>
          <w:tcPr>
            <w:tcW w:w="1246" w:type="dxa"/>
            <w:gridSpan w:val="2"/>
            <w:vMerge w:val="continue"/>
            <w:tcBorders>
              <w:top w:val="nil"/>
            </w:tcBorders>
            <w:vAlign w:val="top"/>
          </w:tcPr>
          <w:p w14:paraId="6FB9EF0D">
            <w:pPr>
              <w:spacing w:line="360" w:lineRule="auto"/>
              <w:rPr>
                <w:rFonts w:ascii="Arial"/>
                <w:sz w:val="21"/>
              </w:rPr>
            </w:pPr>
          </w:p>
        </w:tc>
        <w:tc>
          <w:tcPr>
            <w:tcW w:w="1803" w:type="dxa"/>
            <w:vAlign w:val="top"/>
          </w:tcPr>
          <w:p w14:paraId="0FFC2299">
            <w:pPr>
              <w:pStyle w:val="13"/>
              <w:spacing w:before="153" w:line="360" w:lineRule="auto"/>
              <w:ind w:left="436"/>
            </w:pPr>
            <w:r>
              <w:rPr>
                <w:spacing w:val="-4"/>
              </w:rPr>
              <w:t>管理人员</w:t>
            </w:r>
          </w:p>
        </w:tc>
        <w:tc>
          <w:tcPr>
            <w:tcW w:w="1871" w:type="dxa"/>
            <w:tcBorders>
              <w:right w:val="single" w:color="000000" w:sz="10" w:space="0"/>
            </w:tcBorders>
            <w:vAlign w:val="top"/>
          </w:tcPr>
          <w:p w14:paraId="20BD8F3E">
            <w:pPr>
              <w:pStyle w:val="13"/>
              <w:spacing w:before="153" w:line="360" w:lineRule="auto"/>
              <w:ind w:left="1528"/>
            </w:pPr>
            <w:r>
              <w:t>人</w:t>
            </w:r>
          </w:p>
        </w:tc>
      </w:tr>
      <w:tr w14:paraId="7D477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1" w:hRule="atLeast"/>
        </w:trPr>
        <w:tc>
          <w:tcPr>
            <w:tcW w:w="1707" w:type="dxa"/>
            <w:tcBorders>
              <w:left w:val="single" w:color="000000" w:sz="10" w:space="0"/>
              <w:right w:val="single" w:color="000000" w:sz="2" w:space="0"/>
            </w:tcBorders>
            <w:vAlign w:val="top"/>
          </w:tcPr>
          <w:p w14:paraId="732016EC">
            <w:pPr>
              <w:spacing w:line="360" w:lineRule="auto"/>
              <w:rPr>
                <w:rFonts w:ascii="Arial"/>
                <w:sz w:val="21"/>
              </w:rPr>
            </w:pPr>
          </w:p>
          <w:p w14:paraId="75F00B13">
            <w:pPr>
              <w:spacing w:line="360" w:lineRule="auto"/>
              <w:rPr>
                <w:rFonts w:ascii="Arial"/>
                <w:sz w:val="21"/>
              </w:rPr>
            </w:pPr>
          </w:p>
          <w:p w14:paraId="07241DFA">
            <w:pPr>
              <w:spacing w:line="360" w:lineRule="auto"/>
              <w:rPr>
                <w:rFonts w:ascii="Arial"/>
                <w:sz w:val="21"/>
              </w:rPr>
            </w:pPr>
          </w:p>
          <w:p w14:paraId="6B95F1AA">
            <w:pPr>
              <w:spacing w:line="360" w:lineRule="auto"/>
              <w:rPr>
                <w:rFonts w:ascii="Arial"/>
                <w:sz w:val="21"/>
              </w:rPr>
            </w:pPr>
          </w:p>
          <w:p w14:paraId="39FD0A5E">
            <w:pPr>
              <w:pStyle w:val="13"/>
              <w:spacing w:before="78" w:line="360" w:lineRule="auto"/>
              <w:ind w:left="367"/>
            </w:pPr>
            <w:r>
              <w:rPr>
                <w:spacing w:val="-3"/>
              </w:rPr>
              <w:t>经营范围</w:t>
            </w:r>
          </w:p>
        </w:tc>
        <w:tc>
          <w:tcPr>
            <w:tcW w:w="7363" w:type="dxa"/>
            <w:gridSpan w:val="6"/>
            <w:tcBorders>
              <w:left w:val="single" w:color="000000" w:sz="2" w:space="0"/>
              <w:right w:val="single" w:color="000000" w:sz="10" w:space="0"/>
            </w:tcBorders>
            <w:vAlign w:val="top"/>
          </w:tcPr>
          <w:p w14:paraId="3C49CF4F">
            <w:pPr>
              <w:spacing w:line="360" w:lineRule="auto"/>
              <w:rPr>
                <w:rFonts w:ascii="Arial"/>
                <w:sz w:val="21"/>
              </w:rPr>
            </w:pPr>
          </w:p>
        </w:tc>
      </w:tr>
      <w:tr w14:paraId="6F771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5" w:hRule="atLeast"/>
        </w:trPr>
        <w:tc>
          <w:tcPr>
            <w:tcW w:w="1707" w:type="dxa"/>
            <w:tcBorders>
              <w:left w:val="single" w:color="000000" w:sz="10" w:space="0"/>
              <w:bottom w:val="single" w:color="000000" w:sz="10" w:space="0"/>
            </w:tcBorders>
            <w:vAlign w:val="top"/>
          </w:tcPr>
          <w:p w14:paraId="05C5D2DC">
            <w:pPr>
              <w:spacing w:line="360" w:lineRule="auto"/>
              <w:rPr>
                <w:rFonts w:ascii="Arial"/>
                <w:sz w:val="21"/>
              </w:rPr>
            </w:pPr>
          </w:p>
          <w:p w14:paraId="4CBF55B8">
            <w:pPr>
              <w:spacing w:line="360" w:lineRule="auto"/>
              <w:rPr>
                <w:rFonts w:ascii="Arial"/>
                <w:sz w:val="21"/>
              </w:rPr>
            </w:pPr>
          </w:p>
          <w:p w14:paraId="0132BCBF">
            <w:pPr>
              <w:pStyle w:val="13"/>
              <w:spacing w:before="78" w:line="360" w:lineRule="auto"/>
              <w:ind w:left="608"/>
            </w:pPr>
            <w:r>
              <w:rPr>
                <w:spacing w:val="-7"/>
              </w:rPr>
              <w:t>备注</w:t>
            </w:r>
          </w:p>
        </w:tc>
        <w:tc>
          <w:tcPr>
            <w:tcW w:w="7363" w:type="dxa"/>
            <w:gridSpan w:val="6"/>
            <w:tcBorders>
              <w:bottom w:val="single" w:color="000000" w:sz="10" w:space="0"/>
              <w:right w:val="single" w:color="000000" w:sz="10" w:space="0"/>
            </w:tcBorders>
            <w:vAlign w:val="top"/>
          </w:tcPr>
          <w:p w14:paraId="48E9204C">
            <w:pPr>
              <w:spacing w:line="360" w:lineRule="auto"/>
              <w:rPr>
                <w:rFonts w:ascii="Arial"/>
                <w:sz w:val="21"/>
              </w:rPr>
            </w:pPr>
          </w:p>
        </w:tc>
      </w:tr>
    </w:tbl>
    <w:p w14:paraId="14317B79">
      <w:pPr>
        <w:spacing w:before="131" w:line="360" w:lineRule="auto"/>
        <w:ind w:left="611"/>
        <w:rPr>
          <w:rFonts w:ascii="宋体" w:hAnsi="宋体" w:eastAsia="宋体" w:cs="宋体"/>
          <w:sz w:val="24"/>
          <w:szCs w:val="24"/>
        </w:rPr>
      </w:pPr>
      <w:r>
        <w:rPr>
          <w:rFonts w:ascii="宋体" w:hAnsi="宋体" w:eastAsia="宋体" w:cs="宋体"/>
          <w:spacing w:val="3"/>
          <w:sz w:val="24"/>
          <w:szCs w:val="24"/>
        </w:rPr>
        <w:t>供应商名称</w:t>
      </w:r>
      <w:r>
        <w:rPr>
          <w:rFonts w:ascii="宋体" w:hAnsi="宋体" w:eastAsia="宋体" w:cs="宋体"/>
          <w:spacing w:val="-18"/>
          <w:sz w:val="24"/>
          <w:szCs w:val="24"/>
        </w:rPr>
        <w:t>：（</w:t>
      </w:r>
      <w:r>
        <w:rPr>
          <w:rFonts w:ascii="宋体" w:hAnsi="宋体" w:eastAsia="宋体" w:cs="宋体"/>
          <w:spacing w:val="3"/>
          <w:sz w:val="24"/>
          <w:szCs w:val="24"/>
        </w:rPr>
        <w:t>盖章）</w:t>
      </w:r>
    </w:p>
    <w:p w14:paraId="35736985">
      <w:pPr>
        <w:pStyle w:val="4"/>
        <w:spacing w:line="360" w:lineRule="auto"/>
      </w:pPr>
    </w:p>
    <w:p w14:paraId="575B4CA3">
      <w:pPr>
        <w:spacing w:before="78" w:line="360" w:lineRule="auto"/>
        <w:ind w:left="612"/>
        <w:rPr>
          <w:rFonts w:ascii="宋体" w:hAnsi="宋体" w:eastAsia="宋体" w:cs="宋体"/>
          <w:sz w:val="24"/>
          <w:szCs w:val="24"/>
        </w:rPr>
      </w:pPr>
      <w:r>
        <w:rPr>
          <w:rFonts w:ascii="宋体" w:hAnsi="宋体" w:eastAsia="宋体" w:cs="宋体"/>
          <w:spacing w:val="-4"/>
          <w:sz w:val="24"/>
          <w:szCs w:val="24"/>
        </w:rPr>
        <w:t>法定代表人或其授权代表（签名或盖章</w:t>
      </w:r>
      <w:r>
        <w:rPr>
          <w:rFonts w:ascii="宋体" w:hAnsi="宋体" w:eastAsia="宋体" w:cs="宋体"/>
          <w:spacing w:val="9"/>
          <w:sz w:val="24"/>
          <w:szCs w:val="24"/>
        </w:rPr>
        <w:t>）：</w:t>
      </w:r>
      <w:r>
        <w:rPr>
          <w:rFonts w:ascii="宋体" w:hAnsi="宋体" w:eastAsia="宋体" w:cs="宋体"/>
          <w:spacing w:val="5"/>
          <w:sz w:val="24"/>
          <w:szCs w:val="24"/>
        </w:rPr>
        <w:t xml:space="preserve">         </w:t>
      </w:r>
      <w:r>
        <w:rPr>
          <w:rFonts w:ascii="宋体" w:hAnsi="宋体" w:eastAsia="宋体" w:cs="宋体"/>
          <w:spacing w:val="-4"/>
          <w:sz w:val="24"/>
          <w:szCs w:val="24"/>
        </w:rPr>
        <w:t>日期：</w:t>
      </w:r>
    </w:p>
    <w:p w14:paraId="092C6A63">
      <w:pPr>
        <w:spacing w:line="360" w:lineRule="auto"/>
        <w:rPr>
          <w:rFonts w:ascii="宋体" w:hAnsi="宋体" w:eastAsia="宋体" w:cs="宋体"/>
          <w:sz w:val="24"/>
          <w:szCs w:val="24"/>
        </w:rPr>
        <w:sectPr>
          <w:headerReference r:id="rId50" w:type="default"/>
          <w:footerReference r:id="rId51" w:type="default"/>
          <w:pgSz w:w="11906" w:h="16839"/>
          <w:pgMar w:top="1166" w:right="1080" w:bottom="1166" w:left="957" w:header="829" w:footer="952" w:gutter="0"/>
          <w:cols w:space="720" w:num="1"/>
        </w:sectPr>
      </w:pPr>
    </w:p>
    <w:p w14:paraId="5388D8A0">
      <w:pPr>
        <w:pStyle w:val="4"/>
        <w:spacing w:line="360" w:lineRule="auto"/>
      </w:pPr>
    </w:p>
    <w:p w14:paraId="6FB7879C">
      <w:pPr>
        <w:spacing w:before="91" w:line="360" w:lineRule="auto"/>
        <w:ind w:left="32"/>
        <w:outlineLvl w:val="1"/>
        <w:rPr>
          <w:rFonts w:ascii="宋体" w:hAnsi="宋体" w:eastAsia="宋体" w:cs="宋体"/>
          <w:sz w:val="28"/>
          <w:szCs w:val="28"/>
        </w:rPr>
      </w:pPr>
      <w:bookmarkStart w:id="92" w:name="_Toc30346"/>
      <w:r>
        <w:rPr>
          <w:rFonts w:ascii="宋体" w:hAnsi="宋体" w:eastAsia="宋体" w:cs="宋体"/>
          <w:b/>
          <w:bCs/>
          <w:spacing w:val="-15"/>
          <w:sz w:val="28"/>
          <w:szCs w:val="28"/>
        </w:rPr>
        <w:t>附件</w:t>
      </w:r>
      <w:r>
        <w:rPr>
          <w:rFonts w:ascii="宋体" w:hAnsi="宋体" w:eastAsia="宋体" w:cs="宋体"/>
          <w:spacing w:val="-54"/>
          <w:sz w:val="28"/>
          <w:szCs w:val="28"/>
        </w:rPr>
        <w:t xml:space="preserve"> </w:t>
      </w:r>
      <w:r>
        <w:rPr>
          <w:rFonts w:ascii="宋体" w:hAnsi="宋体" w:eastAsia="宋体" w:cs="宋体"/>
          <w:b/>
          <w:bCs/>
          <w:spacing w:val="-15"/>
          <w:sz w:val="28"/>
          <w:szCs w:val="28"/>
        </w:rPr>
        <w:t>2：</w:t>
      </w:r>
      <w:bookmarkEnd w:id="92"/>
    </w:p>
    <w:p w14:paraId="27D85703">
      <w:pPr>
        <w:spacing w:before="122" w:line="360" w:lineRule="auto"/>
        <w:ind w:left="15" w:right="2" w:firstLine="474"/>
        <w:jc w:val="both"/>
        <w:rPr>
          <w:rFonts w:ascii="宋体" w:hAnsi="宋体" w:eastAsia="宋体" w:cs="宋体"/>
          <w:sz w:val="24"/>
          <w:szCs w:val="24"/>
        </w:rPr>
      </w:pPr>
      <w:r>
        <w:rPr>
          <w:rFonts w:ascii="宋体" w:hAnsi="宋体" w:eastAsia="宋体" w:cs="宋体"/>
          <w:b/>
          <w:bCs/>
          <w:spacing w:val="1"/>
          <w:sz w:val="24"/>
          <w:szCs w:val="24"/>
        </w:rPr>
        <w:t>供应商应授权合法的人员参加磋商全过程，其中法定代表人直接参加磋商的，须出具法定代表人身份证明及法人身份证原件及复印件，法定代表人授</w:t>
      </w:r>
      <w:r>
        <w:rPr>
          <w:rFonts w:ascii="宋体" w:hAnsi="宋体" w:eastAsia="宋体" w:cs="宋体"/>
          <w:b/>
          <w:bCs/>
          <w:sz w:val="24"/>
          <w:szCs w:val="24"/>
        </w:rPr>
        <w:t>权代表参加磋商的，须出具法</w:t>
      </w:r>
      <w:r>
        <w:rPr>
          <w:rFonts w:ascii="宋体" w:hAnsi="宋体" w:eastAsia="宋体" w:cs="宋体"/>
          <w:b/>
          <w:bCs/>
          <w:spacing w:val="-3"/>
          <w:sz w:val="24"/>
          <w:szCs w:val="24"/>
        </w:rPr>
        <w:t>定代表人授权书及授权代表身份证原件及复印件；</w:t>
      </w:r>
    </w:p>
    <w:p w14:paraId="4885F1D5">
      <w:pPr>
        <w:spacing w:line="360" w:lineRule="auto"/>
        <w:ind w:left="3808"/>
        <w:rPr>
          <w:rFonts w:ascii="宋体" w:hAnsi="宋体" w:eastAsia="宋体" w:cs="宋体"/>
          <w:sz w:val="24"/>
          <w:szCs w:val="24"/>
        </w:rPr>
      </w:pPr>
      <w:r>
        <w:rPr>
          <w:rFonts w:ascii="宋体" w:hAnsi="宋体" w:eastAsia="宋体" w:cs="宋体"/>
          <w:b/>
          <w:bCs/>
          <w:spacing w:val="-4"/>
          <w:sz w:val="24"/>
          <w:szCs w:val="24"/>
        </w:rPr>
        <w:t>（一）法定代表人证明书</w:t>
      </w:r>
    </w:p>
    <w:p w14:paraId="590AC87C">
      <w:pPr>
        <w:spacing w:line="360" w:lineRule="auto"/>
        <w:rPr>
          <w:rFonts w:ascii="Arial"/>
          <w:sz w:val="2"/>
        </w:rPr>
      </w:pPr>
    </w:p>
    <w:tbl>
      <w:tblPr>
        <w:tblStyle w:val="12"/>
        <w:tblW w:w="9034" w:type="dxa"/>
        <w:tblInd w:w="3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3"/>
        <w:gridCol w:w="1944"/>
        <w:gridCol w:w="1964"/>
        <w:gridCol w:w="1335"/>
        <w:gridCol w:w="2378"/>
      </w:tblGrid>
      <w:tr w14:paraId="6A6CD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9034" w:type="dxa"/>
            <w:gridSpan w:val="5"/>
            <w:vAlign w:val="top"/>
          </w:tcPr>
          <w:p w14:paraId="48883762">
            <w:pPr>
              <w:pStyle w:val="13"/>
              <w:spacing w:before="135" w:line="360" w:lineRule="auto"/>
              <w:ind w:left="116"/>
              <w:rPr>
                <w:rFonts w:hint="eastAsia" w:eastAsia="宋体"/>
                <w:lang w:eastAsia="zh-CN"/>
              </w:rPr>
            </w:pPr>
            <w:r>
              <w:rPr>
                <w:spacing w:val="-1"/>
              </w:rPr>
              <w:t>致：</w:t>
            </w:r>
            <w:r>
              <w:rPr>
                <w:rFonts w:hint="eastAsia"/>
                <w:spacing w:val="-1"/>
                <w:lang w:eastAsia="zh-CN"/>
              </w:rPr>
              <w:t>华春建设工程项目管理有限责任公司</w:t>
            </w:r>
          </w:p>
        </w:tc>
      </w:tr>
      <w:tr w14:paraId="4B1D2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413" w:type="dxa"/>
            <w:vMerge w:val="restart"/>
            <w:tcBorders>
              <w:bottom w:val="nil"/>
            </w:tcBorders>
            <w:textDirection w:val="tbRlV"/>
            <w:vAlign w:val="top"/>
          </w:tcPr>
          <w:p w14:paraId="05B66F07">
            <w:pPr>
              <w:spacing w:line="360" w:lineRule="auto"/>
              <w:rPr>
                <w:rFonts w:ascii="Arial"/>
                <w:sz w:val="21"/>
              </w:rPr>
            </w:pPr>
          </w:p>
          <w:p w14:paraId="376E48AC">
            <w:pPr>
              <w:spacing w:line="360" w:lineRule="auto"/>
              <w:rPr>
                <w:rFonts w:ascii="Arial"/>
                <w:sz w:val="21"/>
              </w:rPr>
            </w:pPr>
          </w:p>
          <w:p w14:paraId="5CB813B3">
            <w:pPr>
              <w:pStyle w:val="13"/>
              <w:spacing w:before="80" w:line="360" w:lineRule="auto"/>
              <w:ind w:left="1507"/>
            </w:pPr>
            <w:r>
              <w:rPr>
                <w:spacing w:val="-1"/>
              </w:rPr>
              <w:t>企</w:t>
            </w:r>
            <w:r>
              <w:rPr>
                <w:spacing w:val="62"/>
              </w:rPr>
              <w:t xml:space="preserve"> </w:t>
            </w:r>
            <w:r>
              <w:rPr>
                <w:spacing w:val="-1"/>
              </w:rPr>
              <w:t>业</w:t>
            </w:r>
            <w:r>
              <w:rPr>
                <w:spacing w:val="60"/>
              </w:rPr>
              <w:t xml:space="preserve"> </w:t>
            </w:r>
            <w:r>
              <w:rPr>
                <w:spacing w:val="-1"/>
              </w:rPr>
              <w:t>法</w:t>
            </w:r>
            <w:r>
              <w:rPr>
                <w:spacing w:val="60"/>
              </w:rPr>
              <w:t xml:space="preserve"> </w:t>
            </w:r>
            <w:r>
              <w:rPr>
                <w:spacing w:val="-1"/>
              </w:rPr>
              <w:t>人</w:t>
            </w:r>
          </w:p>
        </w:tc>
        <w:tc>
          <w:tcPr>
            <w:tcW w:w="1944" w:type="dxa"/>
            <w:vAlign w:val="top"/>
          </w:tcPr>
          <w:p w14:paraId="5C6576AD">
            <w:pPr>
              <w:pStyle w:val="13"/>
              <w:spacing w:before="173" w:line="360" w:lineRule="auto"/>
              <w:ind w:left="320"/>
            </w:pPr>
            <w:r>
              <w:rPr>
                <w:spacing w:val="-9"/>
              </w:rPr>
              <w:t>企</w:t>
            </w:r>
            <w:r>
              <w:rPr>
                <w:spacing w:val="9"/>
              </w:rPr>
              <w:t xml:space="preserve"> </w:t>
            </w:r>
            <w:r>
              <w:rPr>
                <w:spacing w:val="-9"/>
              </w:rPr>
              <w:t>业</w:t>
            </w:r>
            <w:r>
              <w:rPr>
                <w:spacing w:val="12"/>
              </w:rPr>
              <w:t xml:space="preserve"> </w:t>
            </w:r>
            <w:r>
              <w:rPr>
                <w:spacing w:val="-9"/>
              </w:rPr>
              <w:t>名</w:t>
            </w:r>
            <w:r>
              <w:rPr>
                <w:spacing w:val="9"/>
              </w:rPr>
              <w:t xml:space="preserve"> </w:t>
            </w:r>
            <w:r>
              <w:rPr>
                <w:spacing w:val="-9"/>
              </w:rPr>
              <w:t>称</w:t>
            </w:r>
          </w:p>
        </w:tc>
        <w:tc>
          <w:tcPr>
            <w:tcW w:w="5677" w:type="dxa"/>
            <w:gridSpan w:val="3"/>
            <w:vAlign w:val="top"/>
          </w:tcPr>
          <w:p w14:paraId="0CB2C0DD">
            <w:pPr>
              <w:spacing w:line="360" w:lineRule="auto"/>
              <w:rPr>
                <w:rFonts w:ascii="Arial"/>
                <w:sz w:val="21"/>
              </w:rPr>
            </w:pPr>
          </w:p>
        </w:tc>
      </w:tr>
      <w:tr w14:paraId="6283F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413" w:type="dxa"/>
            <w:vMerge w:val="continue"/>
            <w:tcBorders>
              <w:top w:val="nil"/>
              <w:bottom w:val="nil"/>
            </w:tcBorders>
            <w:textDirection w:val="tbRlV"/>
            <w:vAlign w:val="top"/>
          </w:tcPr>
          <w:p w14:paraId="676B061C">
            <w:pPr>
              <w:spacing w:line="360" w:lineRule="auto"/>
              <w:rPr>
                <w:rFonts w:ascii="Arial"/>
                <w:sz w:val="21"/>
              </w:rPr>
            </w:pPr>
          </w:p>
        </w:tc>
        <w:tc>
          <w:tcPr>
            <w:tcW w:w="1944" w:type="dxa"/>
            <w:vAlign w:val="top"/>
          </w:tcPr>
          <w:p w14:paraId="4131E8FF">
            <w:pPr>
              <w:pStyle w:val="13"/>
              <w:spacing w:before="174" w:line="360" w:lineRule="auto"/>
              <w:ind w:left="317"/>
            </w:pPr>
            <w:r>
              <w:rPr>
                <w:spacing w:val="-9"/>
              </w:rPr>
              <w:t>法</w:t>
            </w:r>
            <w:r>
              <w:rPr>
                <w:spacing w:val="15"/>
              </w:rPr>
              <w:t xml:space="preserve"> </w:t>
            </w:r>
            <w:r>
              <w:rPr>
                <w:spacing w:val="-9"/>
              </w:rPr>
              <w:t>定</w:t>
            </w:r>
            <w:r>
              <w:rPr>
                <w:spacing w:val="9"/>
              </w:rPr>
              <w:t xml:space="preserve"> </w:t>
            </w:r>
            <w:r>
              <w:rPr>
                <w:spacing w:val="-9"/>
              </w:rPr>
              <w:t>地</w:t>
            </w:r>
            <w:r>
              <w:rPr>
                <w:spacing w:val="10"/>
              </w:rPr>
              <w:t xml:space="preserve"> </w:t>
            </w:r>
            <w:r>
              <w:rPr>
                <w:spacing w:val="-9"/>
              </w:rPr>
              <w:t>址</w:t>
            </w:r>
          </w:p>
        </w:tc>
        <w:tc>
          <w:tcPr>
            <w:tcW w:w="5677" w:type="dxa"/>
            <w:gridSpan w:val="3"/>
            <w:vAlign w:val="top"/>
          </w:tcPr>
          <w:p w14:paraId="5ADCCDAA">
            <w:pPr>
              <w:spacing w:line="360" w:lineRule="auto"/>
              <w:rPr>
                <w:rFonts w:ascii="Arial"/>
                <w:sz w:val="21"/>
              </w:rPr>
            </w:pPr>
          </w:p>
        </w:tc>
      </w:tr>
      <w:tr w14:paraId="37A9E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413" w:type="dxa"/>
            <w:vMerge w:val="continue"/>
            <w:tcBorders>
              <w:top w:val="nil"/>
              <w:bottom w:val="nil"/>
            </w:tcBorders>
            <w:textDirection w:val="tbRlV"/>
            <w:vAlign w:val="top"/>
          </w:tcPr>
          <w:p w14:paraId="72F2419C">
            <w:pPr>
              <w:spacing w:line="360" w:lineRule="auto"/>
              <w:rPr>
                <w:rFonts w:ascii="Arial"/>
                <w:sz w:val="21"/>
              </w:rPr>
            </w:pPr>
          </w:p>
        </w:tc>
        <w:tc>
          <w:tcPr>
            <w:tcW w:w="1944" w:type="dxa"/>
            <w:vAlign w:val="top"/>
          </w:tcPr>
          <w:p w14:paraId="646E38DC">
            <w:pPr>
              <w:pStyle w:val="13"/>
              <w:spacing w:before="173" w:line="360" w:lineRule="auto"/>
              <w:ind w:left="334"/>
            </w:pPr>
            <w:r>
              <w:rPr>
                <w:spacing w:val="-12"/>
              </w:rPr>
              <w:t>邮</w:t>
            </w:r>
            <w:r>
              <w:rPr>
                <w:spacing w:val="8"/>
              </w:rPr>
              <w:t xml:space="preserve"> </w:t>
            </w:r>
            <w:r>
              <w:rPr>
                <w:spacing w:val="-12"/>
              </w:rPr>
              <w:t>政</w:t>
            </w:r>
            <w:r>
              <w:rPr>
                <w:spacing w:val="11"/>
              </w:rPr>
              <w:t xml:space="preserve"> </w:t>
            </w:r>
            <w:r>
              <w:rPr>
                <w:spacing w:val="-12"/>
              </w:rPr>
              <w:t>编</w:t>
            </w:r>
            <w:r>
              <w:rPr>
                <w:spacing w:val="9"/>
              </w:rPr>
              <w:t xml:space="preserve"> </w:t>
            </w:r>
            <w:r>
              <w:rPr>
                <w:spacing w:val="-12"/>
              </w:rPr>
              <w:t>码</w:t>
            </w:r>
          </w:p>
        </w:tc>
        <w:tc>
          <w:tcPr>
            <w:tcW w:w="5677" w:type="dxa"/>
            <w:gridSpan w:val="3"/>
            <w:vAlign w:val="top"/>
          </w:tcPr>
          <w:p w14:paraId="17E57B2A">
            <w:pPr>
              <w:spacing w:line="360" w:lineRule="auto"/>
              <w:rPr>
                <w:rFonts w:ascii="Arial"/>
                <w:sz w:val="21"/>
              </w:rPr>
            </w:pPr>
          </w:p>
        </w:tc>
      </w:tr>
      <w:tr w14:paraId="7B597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413" w:type="dxa"/>
            <w:vMerge w:val="continue"/>
            <w:tcBorders>
              <w:top w:val="nil"/>
              <w:bottom w:val="nil"/>
            </w:tcBorders>
            <w:textDirection w:val="tbRlV"/>
            <w:vAlign w:val="top"/>
          </w:tcPr>
          <w:p w14:paraId="1A79E9F9">
            <w:pPr>
              <w:spacing w:line="360" w:lineRule="auto"/>
              <w:rPr>
                <w:rFonts w:ascii="Arial"/>
                <w:sz w:val="21"/>
              </w:rPr>
            </w:pPr>
          </w:p>
        </w:tc>
        <w:tc>
          <w:tcPr>
            <w:tcW w:w="1944" w:type="dxa"/>
            <w:vAlign w:val="top"/>
          </w:tcPr>
          <w:p w14:paraId="3CBC81DE">
            <w:pPr>
              <w:pStyle w:val="13"/>
              <w:spacing w:before="174" w:line="360" w:lineRule="auto"/>
              <w:ind w:left="335"/>
            </w:pPr>
            <w:r>
              <w:rPr>
                <w:spacing w:val="-15"/>
              </w:rPr>
              <w:t>网</w:t>
            </w:r>
            <w:r>
              <w:rPr>
                <w:spacing w:val="1"/>
              </w:rPr>
              <w:t xml:space="preserve">       </w:t>
            </w:r>
            <w:r>
              <w:rPr>
                <w:spacing w:val="-15"/>
              </w:rPr>
              <w:t>址</w:t>
            </w:r>
          </w:p>
        </w:tc>
        <w:tc>
          <w:tcPr>
            <w:tcW w:w="5677" w:type="dxa"/>
            <w:gridSpan w:val="3"/>
            <w:vAlign w:val="top"/>
          </w:tcPr>
          <w:p w14:paraId="0EBCDB61">
            <w:pPr>
              <w:spacing w:line="360" w:lineRule="auto"/>
              <w:rPr>
                <w:rFonts w:ascii="Arial"/>
                <w:sz w:val="21"/>
              </w:rPr>
            </w:pPr>
          </w:p>
        </w:tc>
      </w:tr>
      <w:tr w14:paraId="547A9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413" w:type="dxa"/>
            <w:vMerge w:val="continue"/>
            <w:tcBorders>
              <w:top w:val="nil"/>
              <w:bottom w:val="nil"/>
            </w:tcBorders>
            <w:textDirection w:val="tbRlV"/>
            <w:vAlign w:val="top"/>
          </w:tcPr>
          <w:p w14:paraId="1CD6051A">
            <w:pPr>
              <w:spacing w:line="360" w:lineRule="auto"/>
              <w:rPr>
                <w:rFonts w:ascii="Arial"/>
                <w:sz w:val="21"/>
              </w:rPr>
            </w:pPr>
          </w:p>
        </w:tc>
        <w:tc>
          <w:tcPr>
            <w:tcW w:w="1944" w:type="dxa"/>
            <w:vAlign w:val="top"/>
          </w:tcPr>
          <w:p w14:paraId="68B17C6A">
            <w:pPr>
              <w:pStyle w:val="13"/>
              <w:spacing w:before="174" w:line="360" w:lineRule="auto"/>
              <w:ind w:left="259"/>
            </w:pPr>
            <w:r>
              <w:rPr>
                <w:spacing w:val="-3"/>
              </w:rPr>
              <w:t>工商登记机关</w:t>
            </w:r>
          </w:p>
        </w:tc>
        <w:tc>
          <w:tcPr>
            <w:tcW w:w="5677" w:type="dxa"/>
            <w:gridSpan w:val="3"/>
            <w:vAlign w:val="top"/>
          </w:tcPr>
          <w:p w14:paraId="3FE64289">
            <w:pPr>
              <w:spacing w:line="360" w:lineRule="auto"/>
              <w:rPr>
                <w:rFonts w:ascii="Arial"/>
                <w:sz w:val="21"/>
              </w:rPr>
            </w:pPr>
          </w:p>
        </w:tc>
      </w:tr>
      <w:tr w14:paraId="0C284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413" w:type="dxa"/>
            <w:vMerge w:val="continue"/>
            <w:tcBorders>
              <w:top w:val="nil"/>
              <w:bottom w:val="nil"/>
            </w:tcBorders>
            <w:textDirection w:val="tbRlV"/>
            <w:vAlign w:val="top"/>
          </w:tcPr>
          <w:p w14:paraId="72594896">
            <w:pPr>
              <w:spacing w:line="360" w:lineRule="auto"/>
              <w:rPr>
                <w:rFonts w:ascii="Arial"/>
                <w:sz w:val="21"/>
              </w:rPr>
            </w:pPr>
          </w:p>
        </w:tc>
        <w:tc>
          <w:tcPr>
            <w:tcW w:w="1944" w:type="dxa"/>
            <w:vMerge w:val="restart"/>
            <w:tcBorders>
              <w:bottom w:val="nil"/>
            </w:tcBorders>
            <w:vAlign w:val="top"/>
          </w:tcPr>
          <w:p w14:paraId="1962EDAD">
            <w:pPr>
              <w:spacing w:line="360" w:lineRule="auto"/>
              <w:rPr>
                <w:rFonts w:ascii="Arial"/>
                <w:sz w:val="21"/>
              </w:rPr>
            </w:pPr>
          </w:p>
          <w:p w14:paraId="53CF0BAC">
            <w:pPr>
              <w:pStyle w:val="13"/>
              <w:spacing w:before="78" w:line="360" w:lineRule="auto"/>
              <w:ind w:left="255"/>
            </w:pPr>
            <w:r>
              <w:rPr>
                <w:spacing w:val="-2"/>
              </w:rPr>
              <w:t>税务登记机关</w:t>
            </w:r>
          </w:p>
        </w:tc>
        <w:tc>
          <w:tcPr>
            <w:tcW w:w="5677" w:type="dxa"/>
            <w:gridSpan w:val="3"/>
            <w:vAlign w:val="top"/>
          </w:tcPr>
          <w:p w14:paraId="5ABAA062">
            <w:pPr>
              <w:pStyle w:val="13"/>
              <w:spacing w:before="173" w:line="360" w:lineRule="auto"/>
              <w:ind w:left="2375"/>
            </w:pPr>
            <w:r>
              <w:rPr>
                <w:spacing w:val="-6"/>
              </w:rPr>
              <w:t>（国税）</w:t>
            </w:r>
          </w:p>
        </w:tc>
      </w:tr>
      <w:tr w14:paraId="46619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413" w:type="dxa"/>
            <w:vMerge w:val="continue"/>
            <w:tcBorders>
              <w:top w:val="nil"/>
            </w:tcBorders>
            <w:textDirection w:val="tbRlV"/>
            <w:vAlign w:val="top"/>
          </w:tcPr>
          <w:p w14:paraId="490FE286">
            <w:pPr>
              <w:spacing w:line="360" w:lineRule="auto"/>
              <w:rPr>
                <w:rFonts w:ascii="Arial"/>
                <w:sz w:val="21"/>
              </w:rPr>
            </w:pPr>
          </w:p>
        </w:tc>
        <w:tc>
          <w:tcPr>
            <w:tcW w:w="1944" w:type="dxa"/>
            <w:vMerge w:val="continue"/>
            <w:tcBorders>
              <w:top w:val="nil"/>
            </w:tcBorders>
            <w:vAlign w:val="top"/>
          </w:tcPr>
          <w:p w14:paraId="1BD50D47">
            <w:pPr>
              <w:spacing w:line="360" w:lineRule="auto"/>
              <w:rPr>
                <w:rFonts w:ascii="Arial"/>
                <w:sz w:val="21"/>
              </w:rPr>
            </w:pPr>
          </w:p>
        </w:tc>
        <w:tc>
          <w:tcPr>
            <w:tcW w:w="5677" w:type="dxa"/>
            <w:gridSpan w:val="3"/>
            <w:vAlign w:val="top"/>
          </w:tcPr>
          <w:p w14:paraId="2ECF8CCF">
            <w:pPr>
              <w:pStyle w:val="13"/>
              <w:spacing w:before="174" w:line="360" w:lineRule="auto"/>
              <w:ind w:left="2375"/>
            </w:pPr>
            <w:r>
              <w:rPr>
                <w:spacing w:val="-6"/>
              </w:rPr>
              <w:t>（地税）</w:t>
            </w:r>
          </w:p>
        </w:tc>
      </w:tr>
      <w:tr w14:paraId="03EB4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1413" w:type="dxa"/>
            <w:vMerge w:val="restart"/>
            <w:tcBorders>
              <w:bottom w:val="nil"/>
            </w:tcBorders>
            <w:textDirection w:val="tbRlV"/>
            <w:vAlign w:val="top"/>
          </w:tcPr>
          <w:p w14:paraId="27957D82">
            <w:pPr>
              <w:spacing w:line="360" w:lineRule="auto"/>
              <w:rPr>
                <w:rFonts w:ascii="Arial"/>
                <w:sz w:val="21"/>
              </w:rPr>
            </w:pPr>
          </w:p>
          <w:p w14:paraId="6DA9A979">
            <w:pPr>
              <w:spacing w:line="360" w:lineRule="auto"/>
              <w:rPr>
                <w:rFonts w:ascii="Arial"/>
                <w:sz w:val="21"/>
              </w:rPr>
            </w:pPr>
          </w:p>
          <w:p w14:paraId="48722B4D">
            <w:pPr>
              <w:pStyle w:val="13"/>
              <w:spacing w:before="80" w:line="360" w:lineRule="auto"/>
              <w:ind w:left="146"/>
            </w:pPr>
            <w:r>
              <w:rPr>
                <w:spacing w:val="-1"/>
              </w:rPr>
              <w:t>法</w:t>
            </w:r>
            <w:r>
              <w:rPr>
                <w:spacing w:val="63"/>
              </w:rPr>
              <w:t xml:space="preserve"> </w:t>
            </w:r>
            <w:r>
              <w:rPr>
                <w:spacing w:val="-1"/>
              </w:rPr>
              <w:t>定</w:t>
            </w:r>
            <w:r>
              <w:rPr>
                <w:spacing w:val="60"/>
              </w:rPr>
              <w:t xml:space="preserve"> </w:t>
            </w:r>
            <w:r>
              <w:rPr>
                <w:spacing w:val="-1"/>
              </w:rPr>
              <w:t>代</w:t>
            </w:r>
            <w:r>
              <w:rPr>
                <w:spacing w:val="60"/>
              </w:rPr>
              <w:t xml:space="preserve"> </w:t>
            </w:r>
            <w:r>
              <w:rPr>
                <w:spacing w:val="-1"/>
              </w:rPr>
              <w:t>表</w:t>
            </w:r>
            <w:r>
              <w:rPr>
                <w:spacing w:val="61"/>
              </w:rPr>
              <w:t xml:space="preserve"> </w:t>
            </w:r>
            <w:r>
              <w:rPr>
                <w:spacing w:val="-1"/>
              </w:rPr>
              <w:t>人</w:t>
            </w:r>
          </w:p>
        </w:tc>
        <w:tc>
          <w:tcPr>
            <w:tcW w:w="1944" w:type="dxa"/>
            <w:vAlign w:val="top"/>
          </w:tcPr>
          <w:p w14:paraId="1630DD28">
            <w:pPr>
              <w:pStyle w:val="13"/>
              <w:spacing w:before="276" w:line="360" w:lineRule="auto"/>
              <w:ind w:left="616"/>
            </w:pPr>
            <w:r>
              <w:rPr>
                <w:spacing w:val="-5"/>
              </w:rPr>
              <w:t>姓</w:t>
            </w:r>
            <w:r>
              <w:rPr>
                <w:spacing w:val="3"/>
              </w:rPr>
              <w:t xml:space="preserve">    </w:t>
            </w:r>
            <w:r>
              <w:rPr>
                <w:spacing w:val="-5"/>
              </w:rPr>
              <w:t>名</w:t>
            </w:r>
          </w:p>
        </w:tc>
        <w:tc>
          <w:tcPr>
            <w:tcW w:w="1964" w:type="dxa"/>
            <w:vAlign w:val="top"/>
          </w:tcPr>
          <w:p w14:paraId="7D41D572">
            <w:pPr>
              <w:spacing w:line="360" w:lineRule="auto"/>
              <w:rPr>
                <w:rFonts w:ascii="Arial"/>
                <w:sz w:val="21"/>
              </w:rPr>
            </w:pPr>
          </w:p>
        </w:tc>
        <w:tc>
          <w:tcPr>
            <w:tcW w:w="1335" w:type="dxa"/>
            <w:vAlign w:val="top"/>
          </w:tcPr>
          <w:p w14:paraId="22C2EFAF">
            <w:pPr>
              <w:pStyle w:val="13"/>
              <w:spacing w:before="276" w:line="360" w:lineRule="auto"/>
              <w:ind w:left="198"/>
            </w:pPr>
            <w:r>
              <w:rPr>
                <w:spacing w:val="-7"/>
              </w:rPr>
              <w:t>性</w:t>
            </w:r>
            <w:r>
              <w:rPr>
                <w:spacing w:val="3"/>
              </w:rPr>
              <w:t xml:space="preserve">    </w:t>
            </w:r>
            <w:r>
              <w:rPr>
                <w:spacing w:val="-7"/>
              </w:rPr>
              <w:t>别</w:t>
            </w:r>
          </w:p>
        </w:tc>
        <w:tc>
          <w:tcPr>
            <w:tcW w:w="2378" w:type="dxa"/>
            <w:vAlign w:val="top"/>
          </w:tcPr>
          <w:p w14:paraId="0732FC50">
            <w:pPr>
              <w:spacing w:line="360" w:lineRule="auto"/>
              <w:rPr>
                <w:rFonts w:ascii="Arial"/>
                <w:sz w:val="21"/>
              </w:rPr>
            </w:pPr>
          </w:p>
        </w:tc>
      </w:tr>
      <w:tr w14:paraId="212E5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1413" w:type="dxa"/>
            <w:vMerge w:val="continue"/>
            <w:tcBorders>
              <w:top w:val="nil"/>
              <w:bottom w:val="nil"/>
            </w:tcBorders>
            <w:textDirection w:val="tbRlV"/>
            <w:vAlign w:val="top"/>
          </w:tcPr>
          <w:p w14:paraId="1B2524F5">
            <w:pPr>
              <w:spacing w:line="360" w:lineRule="auto"/>
              <w:rPr>
                <w:rFonts w:ascii="Arial"/>
                <w:sz w:val="21"/>
              </w:rPr>
            </w:pPr>
          </w:p>
        </w:tc>
        <w:tc>
          <w:tcPr>
            <w:tcW w:w="1944" w:type="dxa"/>
            <w:vAlign w:val="top"/>
          </w:tcPr>
          <w:p w14:paraId="63CFAE85">
            <w:pPr>
              <w:pStyle w:val="13"/>
              <w:spacing w:before="293" w:line="360" w:lineRule="auto"/>
              <w:ind w:left="617"/>
            </w:pPr>
            <w:r>
              <w:rPr>
                <w:spacing w:val="-6"/>
              </w:rPr>
              <w:t>职</w:t>
            </w:r>
            <w:r>
              <w:rPr>
                <w:spacing w:val="2"/>
              </w:rPr>
              <w:t xml:space="preserve">    </w:t>
            </w:r>
            <w:r>
              <w:rPr>
                <w:spacing w:val="-6"/>
              </w:rPr>
              <w:t>务</w:t>
            </w:r>
          </w:p>
        </w:tc>
        <w:tc>
          <w:tcPr>
            <w:tcW w:w="1964" w:type="dxa"/>
            <w:vAlign w:val="top"/>
          </w:tcPr>
          <w:p w14:paraId="4841EF13">
            <w:pPr>
              <w:spacing w:line="360" w:lineRule="auto"/>
              <w:rPr>
                <w:rFonts w:ascii="Arial"/>
                <w:sz w:val="21"/>
              </w:rPr>
            </w:pPr>
          </w:p>
        </w:tc>
        <w:tc>
          <w:tcPr>
            <w:tcW w:w="1335" w:type="dxa"/>
            <w:vAlign w:val="top"/>
          </w:tcPr>
          <w:p w14:paraId="614458A7">
            <w:pPr>
              <w:pStyle w:val="13"/>
              <w:spacing w:before="293" w:line="360" w:lineRule="auto"/>
              <w:ind w:left="196"/>
            </w:pPr>
            <w:r>
              <w:rPr>
                <w:spacing w:val="-3"/>
              </w:rPr>
              <w:t>联系电话</w:t>
            </w:r>
          </w:p>
        </w:tc>
        <w:tc>
          <w:tcPr>
            <w:tcW w:w="2378" w:type="dxa"/>
            <w:vAlign w:val="top"/>
          </w:tcPr>
          <w:p w14:paraId="3173C6EE">
            <w:pPr>
              <w:spacing w:line="360" w:lineRule="auto"/>
              <w:rPr>
                <w:rFonts w:ascii="Arial"/>
                <w:sz w:val="21"/>
              </w:rPr>
            </w:pPr>
          </w:p>
        </w:tc>
      </w:tr>
      <w:tr w14:paraId="3608C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1413" w:type="dxa"/>
            <w:vMerge w:val="continue"/>
            <w:tcBorders>
              <w:top w:val="nil"/>
            </w:tcBorders>
            <w:textDirection w:val="tbRlV"/>
            <w:vAlign w:val="top"/>
          </w:tcPr>
          <w:p w14:paraId="5984F286">
            <w:pPr>
              <w:spacing w:line="360" w:lineRule="auto"/>
              <w:rPr>
                <w:rFonts w:ascii="Arial"/>
                <w:sz w:val="21"/>
              </w:rPr>
            </w:pPr>
          </w:p>
        </w:tc>
        <w:tc>
          <w:tcPr>
            <w:tcW w:w="1944" w:type="dxa"/>
            <w:vAlign w:val="top"/>
          </w:tcPr>
          <w:p w14:paraId="50056A0B">
            <w:pPr>
              <w:pStyle w:val="13"/>
              <w:spacing w:before="254" w:line="360" w:lineRule="auto"/>
              <w:ind w:left="614"/>
            </w:pPr>
            <w:r>
              <w:rPr>
                <w:spacing w:val="-4"/>
              </w:rPr>
              <w:t>传</w:t>
            </w:r>
            <w:r>
              <w:rPr>
                <w:spacing w:val="3"/>
              </w:rPr>
              <w:t xml:space="preserve">    </w:t>
            </w:r>
            <w:r>
              <w:rPr>
                <w:spacing w:val="-4"/>
              </w:rPr>
              <w:t>真</w:t>
            </w:r>
          </w:p>
        </w:tc>
        <w:tc>
          <w:tcPr>
            <w:tcW w:w="5677" w:type="dxa"/>
            <w:gridSpan w:val="3"/>
            <w:vAlign w:val="top"/>
          </w:tcPr>
          <w:p w14:paraId="79C6C990">
            <w:pPr>
              <w:spacing w:line="360" w:lineRule="auto"/>
              <w:rPr>
                <w:rFonts w:ascii="Arial"/>
                <w:sz w:val="21"/>
              </w:rPr>
            </w:pPr>
          </w:p>
        </w:tc>
      </w:tr>
      <w:tr w14:paraId="29A23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1413" w:type="dxa"/>
            <w:vMerge w:val="restart"/>
            <w:tcBorders>
              <w:bottom w:val="nil"/>
            </w:tcBorders>
            <w:vAlign w:val="top"/>
          </w:tcPr>
          <w:p w14:paraId="7B1AE1F4">
            <w:pPr>
              <w:spacing w:line="360" w:lineRule="auto"/>
              <w:rPr>
                <w:rFonts w:ascii="Arial"/>
                <w:sz w:val="21"/>
              </w:rPr>
            </w:pPr>
          </w:p>
          <w:p w14:paraId="1A12DFA4">
            <w:pPr>
              <w:spacing w:line="360" w:lineRule="auto"/>
              <w:rPr>
                <w:rFonts w:ascii="Arial"/>
                <w:sz w:val="21"/>
              </w:rPr>
            </w:pPr>
          </w:p>
          <w:p w14:paraId="663FD778">
            <w:pPr>
              <w:spacing w:line="360" w:lineRule="auto"/>
              <w:rPr>
                <w:rFonts w:ascii="Arial"/>
                <w:sz w:val="21"/>
              </w:rPr>
            </w:pPr>
          </w:p>
          <w:p w14:paraId="5DA154E5">
            <w:pPr>
              <w:pStyle w:val="13"/>
              <w:spacing w:before="78" w:line="360" w:lineRule="auto"/>
              <w:ind w:left="232"/>
            </w:pPr>
            <w:r>
              <w:rPr>
                <w:spacing w:val="-3"/>
              </w:rPr>
              <w:t>法定代表</w:t>
            </w:r>
          </w:p>
          <w:p w14:paraId="4B1B49D3">
            <w:pPr>
              <w:pStyle w:val="13"/>
              <w:spacing w:before="135" w:line="360" w:lineRule="auto"/>
              <w:ind w:left="233"/>
            </w:pPr>
            <w:r>
              <w:rPr>
                <w:spacing w:val="-3"/>
              </w:rPr>
              <w:t>人身份证</w:t>
            </w:r>
          </w:p>
          <w:p w14:paraId="63C70F95">
            <w:pPr>
              <w:pStyle w:val="13"/>
              <w:spacing w:before="135" w:line="360" w:lineRule="auto"/>
              <w:ind w:left="123"/>
            </w:pPr>
            <w:r>
              <w:rPr>
                <w:spacing w:val="-5"/>
              </w:rPr>
              <w:t>复印件（正</w:t>
            </w:r>
          </w:p>
          <w:p w14:paraId="2FCB168F">
            <w:pPr>
              <w:pStyle w:val="13"/>
              <w:spacing w:before="134" w:line="360" w:lineRule="auto"/>
              <w:ind w:left="352"/>
            </w:pPr>
            <w:r>
              <w:rPr>
                <w:spacing w:val="-4"/>
              </w:rPr>
              <w:t>反面）</w:t>
            </w:r>
          </w:p>
        </w:tc>
        <w:tc>
          <w:tcPr>
            <w:tcW w:w="3908" w:type="dxa"/>
            <w:gridSpan w:val="2"/>
            <w:vMerge w:val="restart"/>
            <w:tcBorders>
              <w:bottom w:val="nil"/>
            </w:tcBorders>
            <w:vAlign w:val="top"/>
          </w:tcPr>
          <w:p w14:paraId="62486B61">
            <w:pPr>
              <w:spacing w:line="360" w:lineRule="auto"/>
              <w:rPr>
                <w:rFonts w:ascii="Arial"/>
                <w:sz w:val="21"/>
              </w:rPr>
            </w:pPr>
          </w:p>
          <w:p w14:paraId="4E555E33">
            <w:pPr>
              <w:spacing w:line="360" w:lineRule="auto"/>
              <w:rPr>
                <w:rFonts w:ascii="Arial"/>
                <w:sz w:val="21"/>
              </w:rPr>
            </w:pPr>
          </w:p>
          <w:p w14:paraId="24459D7A">
            <w:pPr>
              <w:spacing w:line="360" w:lineRule="auto"/>
              <w:rPr>
                <w:rFonts w:ascii="Arial"/>
                <w:sz w:val="21"/>
              </w:rPr>
            </w:pPr>
          </w:p>
          <w:p w14:paraId="421FE01C">
            <w:pPr>
              <w:spacing w:line="360" w:lineRule="auto"/>
              <w:rPr>
                <w:rFonts w:ascii="Arial"/>
                <w:sz w:val="21"/>
              </w:rPr>
            </w:pPr>
          </w:p>
          <w:p w14:paraId="1CDE3698">
            <w:pPr>
              <w:spacing w:line="360" w:lineRule="auto"/>
              <w:rPr>
                <w:rFonts w:ascii="Arial"/>
                <w:sz w:val="21"/>
              </w:rPr>
            </w:pPr>
          </w:p>
          <w:p w14:paraId="77F03F26">
            <w:pPr>
              <w:pStyle w:val="13"/>
              <w:spacing w:before="78" w:line="360" w:lineRule="auto"/>
              <w:ind w:left="116"/>
            </w:pPr>
            <w:r>
              <w:rPr>
                <w:spacing w:val="-1"/>
              </w:rPr>
              <w:t>二代身份证正、反两面都需复印</w:t>
            </w:r>
          </w:p>
        </w:tc>
        <w:tc>
          <w:tcPr>
            <w:tcW w:w="3713" w:type="dxa"/>
            <w:gridSpan w:val="2"/>
            <w:vAlign w:val="top"/>
          </w:tcPr>
          <w:p w14:paraId="3A22ED78">
            <w:pPr>
              <w:spacing w:line="360" w:lineRule="auto"/>
              <w:rPr>
                <w:rFonts w:ascii="Arial"/>
                <w:sz w:val="21"/>
              </w:rPr>
            </w:pPr>
          </w:p>
          <w:p w14:paraId="56B84B0D">
            <w:pPr>
              <w:spacing w:line="360" w:lineRule="auto"/>
              <w:rPr>
                <w:rFonts w:ascii="Arial"/>
                <w:sz w:val="21"/>
              </w:rPr>
            </w:pPr>
          </w:p>
          <w:p w14:paraId="40699939">
            <w:pPr>
              <w:spacing w:line="360" w:lineRule="auto"/>
              <w:rPr>
                <w:rFonts w:ascii="Arial"/>
                <w:sz w:val="21"/>
              </w:rPr>
            </w:pPr>
          </w:p>
          <w:p w14:paraId="2755B4AE">
            <w:pPr>
              <w:pStyle w:val="13"/>
              <w:spacing w:before="78" w:line="360" w:lineRule="auto"/>
              <w:ind w:left="852"/>
            </w:pPr>
            <w:r>
              <w:rPr>
                <w:spacing w:val="-3"/>
              </w:rPr>
              <w:t>（法定代表人签字）</w:t>
            </w:r>
          </w:p>
        </w:tc>
      </w:tr>
      <w:tr w14:paraId="5F258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3" w:hRule="atLeast"/>
        </w:trPr>
        <w:tc>
          <w:tcPr>
            <w:tcW w:w="1413" w:type="dxa"/>
            <w:vMerge w:val="continue"/>
            <w:tcBorders>
              <w:top w:val="nil"/>
            </w:tcBorders>
            <w:vAlign w:val="top"/>
          </w:tcPr>
          <w:p w14:paraId="6E605531">
            <w:pPr>
              <w:spacing w:line="360" w:lineRule="auto"/>
              <w:rPr>
                <w:rFonts w:ascii="Arial"/>
                <w:sz w:val="21"/>
              </w:rPr>
            </w:pPr>
          </w:p>
        </w:tc>
        <w:tc>
          <w:tcPr>
            <w:tcW w:w="3908" w:type="dxa"/>
            <w:gridSpan w:val="2"/>
            <w:vMerge w:val="continue"/>
            <w:tcBorders>
              <w:top w:val="nil"/>
            </w:tcBorders>
            <w:vAlign w:val="top"/>
          </w:tcPr>
          <w:p w14:paraId="3B8C9B8D">
            <w:pPr>
              <w:spacing w:line="360" w:lineRule="auto"/>
              <w:rPr>
                <w:rFonts w:ascii="Arial"/>
                <w:sz w:val="21"/>
              </w:rPr>
            </w:pPr>
          </w:p>
        </w:tc>
        <w:tc>
          <w:tcPr>
            <w:tcW w:w="3713" w:type="dxa"/>
            <w:gridSpan w:val="2"/>
            <w:vAlign w:val="top"/>
          </w:tcPr>
          <w:p w14:paraId="0197D473">
            <w:pPr>
              <w:spacing w:line="360" w:lineRule="auto"/>
              <w:rPr>
                <w:rFonts w:ascii="Arial"/>
                <w:sz w:val="21"/>
              </w:rPr>
            </w:pPr>
          </w:p>
          <w:p w14:paraId="7655CC27">
            <w:pPr>
              <w:spacing w:line="360" w:lineRule="auto"/>
              <w:rPr>
                <w:rFonts w:ascii="Arial"/>
                <w:sz w:val="21"/>
              </w:rPr>
            </w:pPr>
          </w:p>
          <w:p w14:paraId="1AF0D26B">
            <w:pPr>
              <w:pStyle w:val="13"/>
              <w:spacing w:before="78" w:line="360" w:lineRule="auto"/>
              <w:ind w:left="1152"/>
            </w:pPr>
            <w:r>
              <w:rPr>
                <w:spacing w:val="-4"/>
              </w:rPr>
              <w:t>（企业公章）</w:t>
            </w:r>
          </w:p>
          <w:p w14:paraId="2B7C3ED1">
            <w:pPr>
              <w:spacing w:line="360" w:lineRule="auto"/>
              <w:rPr>
                <w:rFonts w:ascii="Arial"/>
                <w:sz w:val="21"/>
              </w:rPr>
            </w:pPr>
          </w:p>
          <w:p w14:paraId="5E706FBF">
            <w:pPr>
              <w:pStyle w:val="13"/>
              <w:spacing w:before="78" w:line="360" w:lineRule="auto"/>
              <w:ind w:left="1982"/>
            </w:pPr>
            <w:r>
              <w:rPr>
                <w:spacing w:val="-9"/>
              </w:rPr>
              <w:t>年</w:t>
            </w:r>
            <w:r>
              <w:rPr>
                <w:spacing w:val="7"/>
              </w:rPr>
              <w:t xml:space="preserve">  </w:t>
            </w:r>
            <w:r>
              <w:rPr>
                <w:spacing w:val="-9"/>
              </w:rPr>
              <w:t>月</w:t>
            </w:r>
            <w:r>
              <w:rPr>
                <w:spacing w:val="26"/>
              </w:rPr>
              <w:t xml:space="preserve">  </w:t>
            </w:r>
            <w:r>
              <w:rPr>
                <w:spacing w:val="-9"/>
              </w:rPr>
              <w:t>日</w:t>
            </w:r>
          </w:p>
        </w:tc>
      </w:tr>
    </w:tbl>
    <w:p w14:paraId="0826A0D3">
      <w:pPr>
        <w:pStyle w:val="4"/>
        <w:spacing w:line="360" w:lineRule="auto"/>
      </w:pPr>
    </w:p>
    <w:p w14:paraId="3FD9A3ED">
      <w:pPr>
        <w:spacing w:line="360" w:lineRule="auto"/>
        <w:sectPr>
          <w:headerReference r:id="rId52" w:type="default"/>
          <w:footerReference r:id="rId53" w:type="default"/>
          <w:pgSz w:w="11906" w:h="16839"/>
          <w:pgMar w:top="1166" w:right="1080" w:bottom="1166" w:left="1080" w:header="829" w:footer="952" w:gutter="0"/>
          <w:cols w:space="720" w:num="1"/>
        </w:sectPr>
      </w:pPr>
    </w:p>
    <w:p w14:paraId="4548DCF5">
      <w:pPr>
        <w:pStyle w:val="4"/>
        <w:spacing w:line="360" w:lineRule="auto"/>
      </w:pPr>
    </w:p>
    <w:p w14:paraId="1F9586BC">
      <w:pPr>
        <w:spacing w:before="78" w:line="360" w:lineRule="auto"/>
        <w:ind w:left="3568"/>
        <w:rPr>
          <w:rFonts w:ascii="宋体" w:hAnsi="宋体" w:eastAsia="宋体" w:cs="宋体"/>
          <w:sz w:val="24"/>
          <w:szCs w:val="24"/>
        </w:rPr>
      </w:pPr>
      <w:r>
        <w:rPr>
          <w:rFonts w:ascii="宋体" w:hAnsi="宋体" w:eastAsia="宋体" w:cs="宋体"/>
          <w:b/>
          <w:bCs/>
          <w:spacing w:val="-4"/>
          <w:sz w:val="24"/>
          <w:szCs w:val="24"/>
        </w:rPr>
        <w:t>（二）法定代表人授权委托书</w:t>
      </w:r>
    </w:p>
    <w:p w14:paraId="32DBF547">
      <w:pPr>
        <w:spacing w:before="136" w:line="360" w:lineRule="auto"/>
        <w:ind w:left="27"/>
        <w:rPr>
          <w:rFonts w:ascii="宋体" w:hAnsi="宋体" w:eastAsia="宋体" w:cs="宋体"/>
          <w:sz w:val="24"/>
          <w:szCs w:val="24"/>
        </w:rPr>
      </w:pPr>
      <w:r>
        <w:rPr>
          <w:rFonts w:hint="eastAsia" w:ascii="宋体" w:hAnsi="宋体" w:eastAsia="宋体" w:cs="宋体"/>
          <w:spacing w:val="-2"/>
          <w:sz w:val="24"/>
          <w:szCs w:val="24"/>
          <w:lang w:eastAsia="zh-CN"/>
        </w:rPr>
        <w:t>华春建设工程项目管理有限责任公司</w:t>
      </w:r>
      <w:r>
        <w:rPr>
          <w:rFonts w:ascii="宋体" w:hAnsi="宋体" w:eastAsia="宋体" w:cs="宋体"/>
          <w:spacing w:val="-2"/>
          <w:sz w:val="24"/>
          <w:szCs w:val="24"/>
        </w:rPr>
        <w:t>：</w:t>
      </w:r>
    </w:p>
    <w:p w14:paraId="32964B4C">
      <w:pPr>
        <w:spacing w:before="135" w:line="360" w:lineRule="auto"/>
        <w:ind w:left="8" w:firstLine="641"/>
        <w:jc w:val="both"/>
        <w:rPr>
          <w:rFonts w:ascii="宋体" w:hAnsi="宋体" w:eastAsia="宋体" w:cs="宋体"/>
          <w:sz w:val="24"/>
          <w:szCs w:val="24"/>
        </w:rPr>
      </w:pPr>
      <w:r>
        <w:rPr>
          <w:rFonts w:ascii="宋体" w:hAnsi="宋体" w:eastAsia="宋体" w:cs="宋体"/>
          <w:spacing w:val="-1"/>
          <w:sz w:val="24"/>
          <w:szCs w:val="24"/>
        </w:rPr>
        <w:t>注册于</w:t>
      </w:r>
      <w:r>
        <w:rPr>
          <w:rFonts w:ascii="宋体" w:hAnsi="宋体" w:eastAsia="宋体" w:cs="宋体"/>
          <w:spacing w:val="-1"/>
          <w:sz w:val="24"/>
          <w:szCs w:val="24"/>
          <w:u w:val="single" w:color="auto"/>
        </w:rPr>
        <w:t>（工商行政管理局名称）</w:t>
      </w:r>
      <w:r>
        <w:rPr>
          <w:rFonts w:ascii="宋体" w:hAnsi="宋体" w:eastAsia="宋体" w:cs="宋体"/>
          <w:spacing w:val="-1"/>
          <w:sz w:val="24"/>
          <w:szCs w:val="24"/>
        </w:rPr>
        <w:t>之</w:t>
      </w:r>
      <w:r>
        <w:rPr>
          <w:rFonts w:ascii="宋体" w:hAnsi="宋体" w:eastAsia="宋体" w:cs="宋体"/>
          <w:spacing w:val="-1"/>
          <w:sz w:val="24"/>
          <w:szCs w:val="24"/>
          <w:u w:val="single" w:color="auto"/>
        </w:rPr>
        <w:t>（供应商全称）</w:t>
      </w:r>
      <w:r>
        <w:rPr>
          <w:rFonts w:ascii="宋体" w:hAnsi="宋体" w:eastAsia="宋体" w:cs="宋体"/>
          <w:spacing w:val="-1"/>
          <w:sz w:val="24"/>
          <w:szCs w:val="24"/>
        </w:rPr>
        <w:t>法人代表</w:t>
      </w:r>
      <w:r>
        <w:rPr>
          <w:rFonts w:ascii="宋体" w:hAnsi="宋体" w:eastAsia="宋体" w:cs="宋体"/>
          <w:spacing w:val="-1"/>
          <w:sz w:val="24"/>
          <w:szCs w:val="24"/>
          <w:u w:val="single" w:color="auto"/>
        </w:rPr>
        <w:t>（姓名、职务）</w:t>
      </w:r>
      <w:r>
        <w:rPr>
          <w:rFonts w:ascii="宋体" w:hAnsi="宋体" w:eastAsia="宋体" w:cs="宋体"/>
          <w:spacing w:val="-1"/>
          <w:sz w:val="24"/>
          <w:szCs w:val="24"/>
        </w:rPr>
        <w:t>授权</w:t>
      </w:r>
      <w:r>
        <w:rPr>
          <w:rFonts w:ascii="宋体" w:hAnsi="宋体" w:eastAsia="宋体" w:cs="宋体"/>
          <w:spacing w:val="-1"/>
          <w:sz w:val="24"/>
          <w:szCs w:val="24"/>
          <w:u w:val="single" w:color="auto"/>
        </w:rPr>
        <w:t>（被授</w:t>
      </w:r>
      <w:r>
        <w:rPr>
          <w:rFonts w:ascii="宋体" w:hAnsi="宋体" w:eastAsia="宋体" w:cs="宋体"/>
          <w:spacing w:val="-2"/>
          <w:sz w:val="24"/>
          <w:szCs w:val="24"/>
          <w:u w:val="single" w:color="auto"/>
        </w:rPr>
        <w:t>权人姓名、职务）</w:t>
      </w:r>
      <w:r>
        <w:rPr>
          <w:rFonts w:ascii="宋体" w:hAnsi="宋体" w:eastAsia="宋体" w:cs="宋体"/>
          <w:spacing w:val="-2"/>
          <w:sz w:val="24"/>
          <w:szCs w:val="24"/>
        </w:rPr>
        <w:t>为本公司的合法代理人，就</w:t>
      </w:r>
      <w:r>
        <w:rPr>
          <w:rFonts w:ascii="宋体" w:hAnsi="宋体" w:eastAsia="宋体" w:cs="宋体"/>
          <w:spacing w:val="-2"/>
          <w:sz w:val="24"/>
          <w:szCs w:val="24"/>
          <w:u w:val="single" w:color="auto"/>
        </w:rPr>
        <w:t>（项目名称）</w:t>
      </w:r>
      <w:r>
        <w:rPr>
          <w:rFonts w:ascii="宋体" w:hAnsi="宋体" w:eastAsia="宋体" w:cs="宋体"/>
          <w:spacing w:val="-2"/>
          <w:sz w:val="24"/>
          <w:szCs w:val="24"/>
        </w:rPr>
        <w:t>的响应文件及合同的执行和完成，</w:t>
      </w:r>
      <w:r>
        <w:rPr>
          <w:rFonts w:ascii="宋体" w:hAnsi="宋体" w:eastAsia="宋体" w:cs="宋体"/>
          <w:spacing w:val="-1"/>
          <w:sz w:val="24"/>
          <w:szCs w:val="24"/>
        </w:rPr>
        <w:t>以本公司的名义处理一切与之有关的事宜。</w:t>
      </w:r>
    </w:p>
    <w:p w14:paraId="1CC1D2E7">
      <w:pPr>
        <w:spacing w:line="360" w:lineRule="auto"/>
        <w:ind w:left="608"/>
        <w:rPr>
          <w:rFonts w:ascii="宋体" w:hAnsi="宋体" w:eastAsia="宋体" w:cs="宋体"/>
          <w:sz w:val="24"/>
          <w:szCs w:val="24"/>
        </w:rPr>
      </w:pPr>
      <w:r>
        <w:rPr>
          <w:rFonts w:ascii="宋体" w:hAnsi="宋体" w:eastAsia="宋体" w:cs="宋体"/>
          <w:spacing w:val="-1"/>
          <w:sz w:val="24"/>
          <w:szCs w:val="24"/>
        </w:rPr>
        <w:t>委托期限：</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77120347">
      <w:pPr>
        <w:spacing w:before="134" w:line="360" w:lineRule="auto"/>
        <w:ind w:left="728"/>
        <w:rPr>
          <w:rFonts w:ascii="宋体" w:hAnsi="宋体" w:eastAsia="宋体" w:cs="宋体"/>
          <w:sz w:val="24"/>
          <w:szCs w:val="24"/>
        </w:rPr>
      </w:pPr>
      <w:r>
        <w:rPr>
          <w:rFonts w:ascii="宋体" w:hAnsi="宋体" w:eastAsia="宋体" w:cs="宋体"/>
          <w:spacing w:val="-1"/>
          <w:sz w:val="24"/>
          <w:szCs w:val="24"/>
        </w:rPr>
        <w:t>代理人无转委托权。</w:t>
      </w:r>
    </w:p>
    <w:p w14:paraId="41B9F322">
      <w:pPr>
        <w:pStyle w:val="4"/>
        <w:spacing w:line="360" w:lineRule="auto"/>
      </w:pPr>
    </w:p>
    <w:p w14:paraId="3DD44B1D">
      <w:pPr>
        <w:spacing w:before="78" w:line="360" w:lineRule="auto"/>
        <w:ind w:left="508"/>
        <w:rPr>
          <w:rFonts w:ascii="宋体" w:hAnsi="宋体" w:eastAsia="宋体" w:cs="宋体"/>
          <w:sz w:val="24"/>
          <w:szCs w:val="24"/>
        </w:rPr>
      </w:pPr>
      <w:r>
        <w:rPr>
          <w:rFonts w:ascii="宋体" w:hAnsi="宋体" w:eastAsia="宋体" w:cs="宋体"/>
          <w:spacing w:val="-2"/>
          <w:sz w:val="24"/>
          <w:szCs w:val="24"/>
        </w:rPr>
        <w:t>附：全权代表姓名：</w:t>
      </w:r>
      <w:r>
        <w:rPr>
          <w:rFonts w:ascii="宋体" w:hAnsi="宋体" w:eastAsia="宋体" w:cs="宋体"/>
          <w:spacing w:val="-2"/>
          <w:sz w:val="24"/>
          <w:szCs w:val="24"/>
          <w:u w:val="single" w:color="auto"/>
        </w:rPr>
        <w:t xml:space="preserve">         </w:t>
      </w:r>
      <w:r>
        <w:rPr>
          <w:rFonts w:ascii="宋体" w:hAnsi="宋体" w:eastAsia="宋体" w:cs="宋体"/>
          <w:spacing w:val="-98"/>
          <w:sz w:val="24"/>
          <w:szCs w:val="24"/>
        </w:rPr>
        <w:t xml:space="preserve"> </w:t>
      </w:r>
      <w:r>
        <w:rPr>
          <w:rFonts w:ascii="宋体" w:hAnsi="宋体" w:eastAsia="宋体" w:cs="宋体"/>
          <w:spacing w:val="-2"/>
          <w:sz w:val="24"/>
          <w:szCs w:val="24"/>
        </w:rPr>
        <w:t>性别：</w:t>
      </w:r>
      <w:r>
        <w:rPr>
          <w:rFonts w:ascii="宋体" w:hAnsi="宋体" w:eastAsia="宋体" w:cs="宋体"/>
          <w:spacing w:val="-2"/>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2"/>
          <w:sz w:val="24"/>
          <w:szCs w:val="24"/>
        </w:rPr>
        <w:t>年龄：</w:t>
      </w:r>
      <w:r>
        <w:rPr>
          <w:rFonts w:ascii="宋体" w:hAnsi="宋体" w:eastAsia="宋体" w:cs="宋体"/>
          <w:sz w:val="24"/>
          <w:szCs w:val="24"/>
          <w:u w:val="single" w:color="auto"/>
        </w:rPr>
        <w:t xml:space="preserve">       </w:t>
      </w:r>
    </w:p>
    <w:p w14:paraId="0124D7F7">
      <w:pPr>
        <w:spacing w:before="136" w:line="360" w:lineRule="auto"/>
        <w:ind w:left="490"/>
        <w:rPr>
          <w:rFonts w:ascii="宋体" w:hAnsi="宋体" w:eastAsia="宋体" w:cs="宋体"/>
          <w:sz w:val="24"/>
          <w:szCs w:val="24"/>
        </w:rPr>
      </w:pPr>
      <w:r>
        <w:rPr>
          <w:rFonts w:ascii="宋体" w:hAnsi="宋体" w:eastAsia="宋体" w:cs="宋体"/>
          <w:spacing w:val="-9"/>
          <w:sz w:val="24"/>
          <w:szCs w:val="24"/>
        </w:rPr>
        <w:t>职</w:t>
      </w:r>
      <w:r>
        <w:rPr>
          <w:rFonts w:ascii="宋体" w:hAnsi="宋体" w:eastAsia="宋体" w:cs="宋体"/>
          <w:spacing w:val="2"/>
          <w:sz w:val="24"/>
          <w:szCs w:val="24"/>
        </w:rPr>
        <w:t xml:space="preserve">    </w:t>
      </w:r>
      <w:r>
        <w:rPr>
          <w:rFonts w:ascii="宋体" w:hAnsi="宋体" w:eastAsia="宋体" w:cs="宋体"/>
          <w:spacing w:val="-9"/>
          <w:sz w:val="24"/>
          <w:szCs w:val="24"/>
        </w:rPr>
        <w:t>务</w:t>
      </w:r>
      <w:r>
        <w:rPr>
          <w:rFonts w:ascii="宋体" w:hAnsi="宋体" w:eastAsia="宋体" w:cs="宋体"/>
          <w:spacing w:val="-87"/>
          <w:sz w:val="24"/>
          <w:szCs w:val="24"/>
        </w:rPr>
        <w:t xml:space="preserve"> </w:t>
      </w:r>
      <w:r>
        <w:rPr>
          <w:rFonts w:ascii="宋体" w:hAnsi="宋体" w:eastAsia="宋体" w:cs="宋体"/>
          <w:spacing w:val="-9"/>
          <w:sz w:val="24"/>
          <w:szCs w:val="24"/>
        </w:rPr>
        <w:t>：</w:t>
      </w:r>
      <w:r>
        <w:rPr>
          <w:rFonts w:ascii="宋体" w:hAnsi="宋体" w:eastAsia="宋体" w:cs="宋体"/>
          <w:spacing w:val="-9"/>
          <w:sz w:val="24"/>
          <w:szCs w:val="24"/>
          <w:u w:val="single" w:color="auto"/>
        </w:rPr>
        <w:t xml:space="preserve">                        </w:t>
      </w:r>
      <w:r>
        <w:rPr>
          <w:rFonts w:ascii="宋体" w:hAnsi="宋体" w:eastAsia="宋体" w:cs="宋体"/>
          <w:spacing w:val="-10"/>
          <w:sz w:val="24"/>
          <w:szCs w:val="24"/>
          <w:u w:val="single" w:color="auto"/>
        </w:rPr>
        <w:t xml:space="preserve">                 </w:t>
      </w:r>
    </w:p>
    <w:p w14:paraId="671930F5">
      <w:pPr>
        <w:spacing w:before="135" w:line="360" w:lineRule="auto"/>
        <w:ind w:left="495"/>
        <w:rPr>
          <w:rFonts w:ascii="宋体" w:hAnsi="宋体" w:eastAsia="宋体" w:cs="宋体"/>
          <w:sz w:val="24"/>
          <w:szCs w:val="24"/>
        </w:rPr>
      </w:pPr>
      <w:r>
        <w:rPr>
          <w:rFonts w:ascii="宋体" w:hAnsi="宋体" w:eastAsia="宋体" w:cs="宋体"/>
          <w:spacing w:val="-3"/>
          <w:sz w:val="24"/>
          <w:szCs w:val="24"/>
        </w:rPr>
        <w:t>身份证号码：</w:t>
      </w:r>
      <w:r>
        <w:rPr>
          <w:rFonts w:ascii="宋体" w:hAnsi="宋体" w:eastAsia="宋体" w:cs="宋体"/>
          <w:sz w:val="24"/>
          <w:szCs w:val="24"/>
          <w:u w:val="single" w:color="auto"/>
        </w:rPr>
        <w:t xml:space="preserve">                                    </w:t>
      </w:r>
    </w:p>
    <w:p w14:paraId="2B3409ED">
      <w:pPr>
        <w:spacing w:before="134" w:line="360" w:lineRule="auto"/>
        <w:ind w:left="489"/>
        <w:rPr>
          <w:rFonts w:ascii="宋体" w:hAnsi="宋体" w:eastAsia="宋体" w:cs="宋体"/>
          <w:sz w:val="24"/>
          <w:szCs w:val="24"/>
        </w:rPr>
      </w:pPr>
      <w:r>
        <w:rPr>
          <w:rFonts w:ascii="宋体" w:hAnsi="宋体" w:eastAsia="宋体" w:cs="宋体"/>
          <w:spacing w:val="-2"/>
          <w:sz w:val="24"/>
          <w:szCs w:val="24"/>
        </w:rPr>
        <w:t>通讯地址：</w:t>
      </w:r>
      <w:r>
        <w:rPr>
          <w:rFonts w:ascii="宋体" w:hAnsi="宋体" w:eastAsia="宋体" w:cs="宋体"/>
          <w:sz w:val="24"/>
          <w:szCs w:val="24"/>
          <w:u w:val="single" w:color="auto"/>
        </w:rPr>
        <w:t xml:space="preserve">                                      </w:t>
      </w:r>
    </w:p>
    <w:p w14:paraId="59AC1824">
      <w:pPr>
        <w:spacing w:before="126" w:line="360" w:lineRule="auto"/>
        <w:ind w:left="507"/>
        <w:rPr>
          <w:rFonts w:ascii="宋体" w:hAnsi="宋体" w:eastAsia="宋体" w:cs="宋体"/>
          <w:sz w:val="24"/>
          <w:szCs w:val="24"/>
        </w:rPr>
      </w:pPr>
      <w:r>
        <w:rPr>
          <w:rFonts w:ascii="宋体" w:hAnsi="宋体" w:eastAsia="宋体" w:cs="宋体"/>
          <w:spacing w:val="-3"/>
          <w:sz w:val="24"/>
          <w:szCs w:val="24"/>
        </w:rPr>
        <w:t>邮政编码：</w:t>
      </w:r>
      <w:r>
        <w:rPr>
          <w:rFonts w:ascii="宋体" w:hAnsi="宋体" w:eastAsia="宋体" w:cs="宋体"/>
          <w:spacing w:val="-3"/>
          <w:sz w:val="24"/>
          <w:szCs w:val="24"/>
          <w:u w:val="single" w:color="auto"/>
        </w:rPr>
        <w:t xml:space="preserve">                      </w:t>
      </w:r>
      <w:r>
        <w:rPr>
          <w:rFonts w:ascii="宋体" w:hAnsi="宋体" w:eastAsia="宋体" w:cs="宋体"/>
          <w:spacing w:val="-4"/>
          <w:sz w:val="24"/>
          <w:szCs w:val="24"/>
          <w:u w:val="single" w:color="auto"/>
        </w:rPr>
        <w:t xml:space="preserve">                 </w:t>
      </w:r>
    </w:p>
    <w:p w14:paraId="2933894F">
      <w:pPr>
        <w:spacing w:before="135" w:line="360" w:lineRule="auto"/>
        <w:ind w:left="517"/>
        <w:rPr>
          <w:rFonts w:ascii="宋体" w:hAnsi="宋体" w:eastAsia="宋体" w:cs="宋体"/>
          <w:sz w:val="24"/>
          <w:szCs w:val="24"/>
        </w:rPr>
      </w:pPr>
      <w:r>
        <w:rPr>
          <w:rFonts w:ascii="宋体" w:hAnsi="宋体" w:eastAsia="宋体" w:cs="宋体"/>
          <w:spacing w:val="-26"/>
          <w:sz w:val="24"/>
          <w:szCs w:val="24"/>
        </w:rPr>
        <w:t>电</w:t>
      </w:r>
      <w:r>
        <w:rPr>
          <w:rFonts w:ascii="宋体" w:hAnsi="宋体" w:eastAsia="宋体" w:cs="宋体"/>
          <w:spacing w:val="2"/>
          <w:sz w:val="24"/>
          <w:szCs w:val="24"/>
        </w:rPr>
        <w:t xml:space="preserve">    </w:t>
      </w:r>
      <w:r>
        <w:rPr>
          <w:rFonts w:ascii="宋体" w:hAnsi="宋体" w:eastAsia="宋体" w:cs="宋体"/>
          <w:spacing w:val="-26"/>
          <w:sz w:val="24"/>
          <w:szCs w:val="24"/>
        </w:rPr>
        <w:t>话</w:t>
      </w:r>
      <w:r>
        <w:rPr>
          <w:rFonts w:ascii="宋体" w:hAnsi="宋体" w:eastAsia="宋体" w:cs="宋体"/>
          <w:spacing w:val="-89"/>
          <w:sz w:val="24"/>
          <w:szCs w:val="24"/>
        </w:rPr>
        <w:t xml:space="preserve"> </w:t>
      </w:r>
      <w:r>
        <w:rPr>
          <w:rFonts w:ascii="宋体" w:hAnsi="宋体" w:eastAsia="宋体" w:cs="宋体"/>
          <w:spacing w:val="-26"/>
          <w:sz w:val="24"/>
          <w:szCs w:val="24"/>
        </w:rPr>
        <w:t>：</w:t>
      </w:r>
      <w:r>
        <w:rPr>
          <w:rFonts w:ascii="宋体" w:hAnsi="宋体" w:eastAsia="宋体" w:cs="宋体"/>
          <w:sz w:val="24"/>
          <w:szCs w:val="24"/>
          <w:u w:val="single" w:color="auto"/>
        </w:rPr>
        <w:t xml:space="preserve">                                      </w:t>
      </w:r>
    </w:p>
    <w:p w14:paraId="414A174D">
      <w:pPr>
        <w:spacing w:before="133" w:line="360" w:lineRule="auto"/>
        <w:ind w:left="490"/>
        <w:rPr>
          <w:rFonts w:ascii="宋体" w:hAnsi="宋体" w:eastAsia="宋体" w:cs="宋体"/>
          <w:sz w:val="24"/>
          <w:szCs w:val="24"/>
        </w:rPr>
      </w:pPr>
      <w:r>
        <w:rPr>
          <w:rFonts w:ascii="宋体" w:hAnsi="宋体" w:eastAsia="宋体" w:cs="宋体"/>
          <w:spacing w:val="-1"/>
          <w:sz w:val="24"/>
          <w:szCs w:val="24"/>
        </w:rPr>
        <w:t>法定代表人、被授权人身份证复印件（正反面）</w:t>
      </w:r>
    </w:p>
    <w:p w14:paraId="29D25017">
      <w:pPr>
        <w:spacing w:line="360" w:lineRule="auto"/>
        <w:rPr>
          <w:rFonts w:ascii="Arial"/>
          <w:sz w:val="2"/>
        </w:rPr>
      </w:pPr>
    </w:p>
    <w:tbl>
      <w:tblPr>
        <w:tblStyle w:val="12"/>
        <w:tblW w:w="8225" w:type="dxa"/>
        <w:tblInd w:w="3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11"/>
        <w:gridCol w:w="4114"/>
      </w:tblGrid>
      <w:tr w14:paraId="06EAF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8" w:hRule="atLeast"/>
        </w:trPr>
        <w:tc>
          <w:tcPr>
            <w:tcW w:w="4111" w:type="dxa"/>
            <w:vAlign w:val="top"/>
          </w:tcPr>
          <w:p w14:paraId="6B4B8B4E">
            <w:pPr>
              <w:spacing w:line="360" w:lineRule="auto"/>
              <w:rPr>
                <w:rFonts w:ascii="Arial"/>
                <w:sz w:val="21"/>
              </w:rPr>
            </w:pPr>
          </w:p>
          <w:p w14:paraId="5E93F5B7">
            <w:pPr>
              <w:spacing w:line="360" w:lineRule="auto"/>
              <w:rPr>
                <w:rFonts w:ascii="Arial"/>
                <w:sz w:val="21"/>
              </w:rPr>
            </w:pPr>
          </w:p>
          <w:p w14:paraId="0E07714E">
            <w:pPr>
              <w:spacing w:line="360" w:lineRule="auto"/>
              <w:rPr>
                <w:rFonts w:ascii="Arial"/>
                <w:sz w:val="21"/>
              </w:rPr>
            </w:pPr>
          </w:p>
          <w:p w14:paraId="6FF85F76">
            <w:pPr>
              <w:spacing w:line="360" w:lineRule="auto"/>
              <w:rPr>
                <w:rFonts w:ascii="Arial"/>
                <w:sz w:val="21"/>
              </w:rPr>
            </w:pPr>
          </w:p>
          <w:p w14:paraId="68004446">
            <w:pPr>
              <w:spacing w:line="360" w:lineRule="auto"/>
              <w:rPr>
                <w:rFonts w:ascii="Arial"/>
                <w:sz w:val="21"/>
              </w:rPr>
            </w:pPr>
          </w:p>
          <w:p w14:paraId="24BB3445">
            <w:pPr>
              <w:pStyle w:val="13"/>
              <w:spacing w:before="78" w:line="360" w:lineRule="auto"/>
              <w:ind w:left="745"/>
            </w:pPr>
            <w:r>
              <w:rPr>
                <w:spacing w:val="-1"/>
              </w:rPr>
              <w:t>法定代表人身份证复印件</w:t>
            </w:r>
          </w:p>
        </w:tc>
        <w:tc>
          <w:tcPr>
            <w:tcW w:w="4114" w:type="dxa"/>
            <w:tcBorders>
              <w:top w:val="single" w:color="000000" w:sz="4" w:space="0"/>
              <w:bottom w:val="single" w:color="000000" w:sz="4" w:space="0"/>
              <w:right w:val="single" w:color="000000" w:sz="4" w:space="0"/>
            </w:tcBorders>
            <w:vAlign w:val="top"/>
          </w:tcPr>
          <w:p w14:paraId="02321814">
            <w:pPr>
              <w:spacing w:line="360" w:lineRule="auto"/>
              <w:rPr>
                <w:rFonts w:ascii="Arial"/>
                <w:sz w:val="21"/>
              </w:rPr>
            </w:pPr>
          </w:p>
          <w:p w14:paraId="5ABEE673">
            <w:pPr>
              <w:spacing w:line="360" w:lineRule="auto"/>
              <w:rPr>
                <w:rFonts w:ascii="Arial"/>
                <w:sz w:val="21"/>
              </w:rPr>
            </w:pPr>
          </w:p>
          <w:p w14:paraId="4FBA7555">
            <w:pPr>
              <w:spacing w:line="360" w:lineRule="auto"/>
              <w:rPr>
                <w:rFonts w:ascii="Arial"/>
                <w:sz w:val="21"/>
              </w:rPr>
            </w:pPr>
          </w:p>
          <w:p w14:paraId="3E81E6C7">
            <w:pPr>
              <w:spacing w:line="360" w:lineRule="auto"/>
              <w:rPr>
                <w:rFonts w:ascii="Arial"/>
                <w:sz w:val="21"/>
              </w:rPr>
            </w:pPr>
          </w:p>
          <w:p w14:paraId="72902137">
            <w:pPr>
              <w:spacing w:line="360" w:lineRule="auto"/>
              <w:rPr>
                <w:rFonts w:ascii="Arial"/>
                <w:sz w:val="21"/>
              </w:rPr>
            </w:pPr>
          </w:p>
          <w:p w14:paraId="2AB76F2C">
            <w:pPr>
              <w:pStyle w:val="13"/>
              <w:spacing w:before="78" w:line="360" w:lineRule="auto"/>
              <w:ind w:left="862"/>
            </w:pPr>
            <w:r>
              <w:rPr>
                <w:spacing w:val="-1"/>
              </w:rPr>
              <w:t>被授权人身份证复印件</w:t>
            </w:r>
          </w:p>
        </w:tc>
      </w:tr>
    </w:tbl>
    <w:p w14:paraId="536EF0F7">
      <w:pPr>
        <w:spacing w:before="131" w:line="360" w:lineRule="auto"/>
        <w:ind w:left="729"/>
        <w:rPr>
          <w:rFonts w:ascii="宋体" w:hAnsi="宋体" w:eastAsia="宋体" w:cs="宋体"/>
          <w:sz w:val="24"/>
          <w:szCs w:val="24"/>
        </w:rPr>
      </w:pPr>
      <w:r>
        <w:rPr>
          <w:rFonts w:ascii="宋体" w:hAnsi="宋体" w:eastAsia="宋体" w:cs="宋体"/>
          <w:spacing w:val="-2"/>
          <w:sz w:val="24"/>
          <w:szCs w:val="24"/>
        </w:rPr>
        <w:t>供应商名称（公章</w:t>
      </w:r>
      <w:r>
        <w:rPr>
          <w:rFonts w:ascii="宋体" w:hAnsi="宋体" w:eastAsia="宋体" w:cs="宋体"/>
          <w:spacing w:val="2"/>
          <w:sz w:val="24"/>
          <w:szCs w:val="24"/>
        </w:rPr>
        <w:t>）：</w:t>
      </w:r>
      <w:r>
        <w:rPr>
          <w:rFonts w:ascii="宋体" w:hAnsi="宋体" w:eastAsia="宋体" w:cs="宋体"/>
          <w:spacing w:val="1"/>
          <w:sz w:val="24"/>
          <w:szCs w:val="24"/>
        </w:rPr>
        <w:t xml:space="preserve">           </w:t>
      </w:r>
      <w:r>
        <w:rPr>
          <w:rFonts w:ascii="宋体" w:hAnsi="宋体" w:eastAsia="宋体" w:cs="宋体"/>
          <w:spacing w:val="-2"/>
          <w:sz w:val="24"/>
          <w:szCs w:val="24"/>
        </w:rPr>
        <w:t>法定代表人（签字</w:t>
      </w:r>
      <w:r>
        <w:rPr>
          <w:rFonts w:ascii="宋体" w:hAnsi="宋体" w:eastAsia="宋体" w:cs="宋体"/>
          <w:spacing w:val="2"/>
          <w:sz w:val="24"/>
          <w:szCs w:val="24"/>
        </w:rPr>
        <w:t>）：</w:t>
      </w:r>
    </w:p>
    <w:p w14:paraId="33BE19AC">
      <w:pPr>
        <w:spacing w:before="136" w:line="360" w:lineRule="auto"/>
        <w:ind w:left="729"/>
        <w:rPr>
          <w:rFonts w:ascii="宋体" w:hAnsi="宋体" w:eastAsia="宋体" w:cs="宋体"/>
          <w:sz w:val="24"/>
          <w:szCs w:val="24"/>
        </w:rPr>
      </w:pPr>
      <w:r>
        <w:rPr>
          <w:rFonts w:ascii="宋体" w:hAnsi="宋体" w:eastAsia="宋体" w:cs="宋体"/>
          <w:spacing w:val="-1"/>
          <w:sz w:val="24"/>
          <w:szCs w:val="24"/>
        </w:rPr>
        <w:t>被授权人（签字</w:t>
      </w:r>
      <w:r>
        <w:rPr>
          <w:rFonts w:ascii="宋体" w:hAnsi="宋体" w:eastAsia="宋体" w:cs="宋体"/>
          <w:sz w:val="24"/>
          <w:szCs w:val="24"/>
        </w:rPr>
        <w:t xml:space="preserve">）：             </w:t>
      </w:r>
      <w:r>
        <w:rPr>
          <w:rFonts w:ascii="宋体" w:hAnsi="宋体" w:eastAsia="宋体" w:cs="宋体"/>
          <w:spacing w:val="-1"/>
          <w:sz w:val="24"/>
          <w:szCs w:val="24"/>
        </w:rPr>
        <w:t>授权日期：  年   月</w:t>
      </w:r>
      <w:r>
        <w:rPr>
          <w:rFonts w:ascii="宋体" w:hAnsi="宋体" w:eastAsia="宋体" w:cs="宋体"/>
          <w:spacing w:val="15"/>
          <w:sz w:val="24"/>
          <w:szCs w:val="24"/>
        </w:rPr>
        <w:t xml:space="preserve">    </w:t>
      </w:r>
      <w:r>
        <w:rPr>
          <w:rFonts w:ascii="宋体" w:hAnsi="宋体" w:eastAsia="宋体" w:cs="宋体"/>
          <w:spacing w:val="-1"/>
          <w:sz w:val="24"/>
          <w:szCs w:val="24"/>
        </w:rPr>
        <w:t>日</w:t>
      </w:r>
    </w:p>
    <w:p w14:paraId="2CDCD4DA">
      <w:pPr>
        <w:spacing w:before="135" w:line="360" w:lineRule="auto"/>
        <w:ind w:left="730"/>
        <w:rPr>
          <w:rFonts w:ascii="宋体" w:hAnsi="宋体" w:eastAsia="宋体" w:cs="宋体"/>
          <w:sz w:val="24"/>
          <w:szCs w:val="24"/>
        </w:rPr>
      </w:pPr>
      <w:r>
        <w:rPr>
          <w:rFonts w:ascii="宋体" w:hAnsi="宋体" w:eastAsia="宋体" w:cs="宋体"/>
          <w:spacing w:val="-3"/>
          <w:sz w:val="24"/>
          <w:szCs w:val="24"/>
        </w:rPr>
        <w:t>本授权有效期：</w:t>
      </w:r>
      <w:r>
        <w:rPr>
          <w:rFonts w:ascii="宋体" w:hAnsi="宋体" w:eastAsia="宋体" w:cs="宋体"/>
          <w:spacing w:val="-57"/>
          <w:sz w:val="24"/>
          <w:szCs w:val="24"/>
        </w:rPr>
        <w:t xml:space="preserve"> </w:t>
      </w:r>
      <w:r>
        <w:rPr>
          <w:rFonts w:ascii="宋体" w:hAnsi="宋体" w:eastAsia="宋体" w:cs="宋体"/>
          <w:spacing w:val="-3"/>
          <w:sz w:val="24"/>
          <w:szCs w:val="24"/>
        </w:rPr>
        <w:t>自本委托书签署之日起至投标有效期满。</w:t>
      </w:r>
    </w:p>
    <w:p w14:paraId="2C4C984C">
      <w:pPr>
        <w:pStyle w:val="4"/>
        <w:spacing w:line="360" w:lineRule="auto"/>
      </w:pPr>
    </w:p>
    <w:p w14:paraId="1FA37C49">
      <w:pPr>
        <w:pStyle w:val="4"/>
        <w:spacing w:line="360" w:lineRule="auto"/>
      </w:pPr>
    </w:p>
    <w:p w14:paraId="7D21ACD1">
      <w:pPr>
        <w:spacing w:before="71" w:line="360" w:lineRule="auto"/>
        <w:ind w:left="889"/>
        <w:rPr>
          <w:rFonts w:ascii="宋体" w:hAnsi="宋体" w:eastAsia="宋体" w:cs="宋体"/>
          <w:sz w:val="22"/>
          <w:szCs w:val="22"/>
        </w:rPr>
      </w:pPr>
      <w:r>
        <w:rPr>
          <w:rFonts w:ascii="宋体" w:hAnsi="宋体" w:eastAsia="宋体" w:cs="宋体"/>
          <w:b/>
          <w:bCs/>
          <w:spacing w:val="-2"/>
          <w:sz w:val="22"/>
          <w:szCs w:val="22"/>
        </w:rPr>
        <w:t>注：法定代表人直接参与，可不填法定代表人授权委托书。</w:t>
      </w:r>
    </w:p>
    <w:p w14:paraId="5FD0CEC8">
      <w:pPr>
        <w:spacing w:line="360" w:lineRule="auto"/>
        <w:rPr>
          <w:rFonts w:ascii="宋体" w:hAnsi="宋体" w:eastAsia="宋体" w:cs="宋体"/>
          <w:sz w:val="22"/>
          <w:szCs w:val="22"/>
        </w:rPr>
        <w:sectPr>
          <w:headerReference r:id="rId54" w:type="default"/>
          <w:footerReference r:id="rId55" w:type="default"/>
          <w:pgSz w:w="11906" w:h="16839"/>
          <w:pgMar w:top="1166" w:right="1044" w:bottom="1166" w:left="1080" w:header="829" w:footer="952" w:gutter="0"/>
          <w:cols w:space="720" w:num="1"/>
        </w:sectPr>
      </w:pPr>
    </w:p>
    <w:p w14:paraId="075179A6">
      <w:pPr>
        <w:pStyle w:val="4"/>
        <w:spacing w:line="360" w:lineRule="auto"/>
      </w:pPr>
    </w:p>
    <w:p w14:paraId="5CC02A94">
      <w:pPr>
        <w:spacing w:before="91" w:line="360" w:lineRule="auto"/>
        <w:ind w:left="32"/>
        <w:rPr>
          <w:rFonts w:ascii="宋体" w:hAnsi="宋体" w:eastAsia="宋体" w:cs="宋体"/>
          <w:sz w:val="28"/>
          <w:szCs w:val="28"/>
        </w:rPr>
      </w:pPr>
      <w:r>
        <w:rPr>
          <w:rFonts w:ascii="宋体" w:hAnsi="宋体" w:eastAsia="宋体" w:cs="宋体"/>
          <w:b/>
          <w:bCs/>
          <w:spacing w:val="-15"/>
          <w:sz w:val="28"/>
          <w:szCs w:val="28"/>
        </w:rPr>
        <w:t>附件</w:t>
      </w:r>
      <w:r>
        <w:rPr>
          <w:rFonts w:ascii="宋体" w:hAnsi="宋体" w:eastAsia="宋体" w:cs="宋体"/>
          <w:spacing w:val="-54"/>
          <w:sz w:val="28"/>
          <w:szCs w:val="28"/>
        </w:rPr>
        <w:t xml:space="preserve"> </w:t>
      </w:r>
      <w:r>
        <w:rPr>
          <w:rFonts w:ascii="宋体" w:hAnsi="宋体" w:eastAsia="宋体" w:cs="宋体"/>
          <w:b/>
          <w:bCs/>
          <w:spacing w:val="-15"/>
          <w:sz w:val="28"/>
          <w:szCs w:val="28"/>
        </w:rPr>
        <w:t>3：</w:t>
      </w:r>
    </w:p>
    <w:p w14:paraId="2B700688">
      <w:pPr>
        <w:spacing w:before="122" w:line="360" w:lineRule="auto"/>
        <w:ind w:left="3436"/>
        <w:rPr>
          <w:rFonts w:ascii="宋体" w:hAnsi="宋体" w:eastAsia="宋体" w:cs="宋体"/>
          <w:sz w:val="24"/>
          <w:szCs w:val="24"/>
        </w:rPr>
      </w:pPr>
      <w:r>
        <w:rPr>
          <w:rFonts w:ascii="宋体" w:hAnsi="宋体" w:eastAsia="宋体" w:cs="宋体"/>
          <w:b/>
          <w:bCs/>
          <w:spacing w:val="-3"/>
          <w:sz w:val="24"/>
          <w:szCs w:val="24"/>
        </w:rPr>
        <w:t>供应商企业关系关联承诺书</w:t>
      </w:r>
    </w:p>
    <w:p w14:paraId="79DF6C5F">
      <w:pPr>
        <w:spacing w:before="136" w:line="360" w:lineRule="auto"/>
        <w:ind w:left="14" w:firstLine="252"/>
        <w:rPr>
          <w:rFonts w:ascii="宋体" w:hAnsi="宋体" w:eastAsia="宋体" w:cs="宋体"/>
          <w:sz w:val="24"/>
          <w:szCs w:val="24"/>
        </w:rPr>
      </w:pPr>
      <w:r>
        <w:rPr>
          <w:rFonts w:ascii="宋体" w:hAnsi="宋体" w:eastAsia="宋体" w:cs="宋体"/>
          <w:sz w:val="24"/>
          <w:szCs w:val="24"/>
        </w:rPr>
        <w:t>1、供应商在本项目投标中，不存在与其它供应商负责人为同一人，有控股、管理等关</w:t>
      </w:r>
      <w:r>
        <w:rPr>
          <w:rFonts w:ascii="宋体" w:hAnsi="宋体" w:eastAsia="宋体" w:cs="宋体"/>
          <w:spacing w:val="-1"/>
          <w:sz w:val="24"/>
          <w:szCs w:val="24"/>
        </w:rPr>
        <w:t>联关</w:t>
      </w:r>
      <w:r>
        <w:rPr>
          <w:rFonts w:ascii="宋体" w:hAnsi="宋体" w:eastAsia="宋体" w:cs="宋体"/>
          <w:spacing w:val="-4"/>
          <w:sz w:val="24"/>
          <w:szCs w:val="24"/>
        </w:rPr>
        <w:t>系承诺：</w:t>
      </w:r>
    </w:p>
    <w:p w14:paraId="7EBD66B2">
      <w:pPr>
        <w:spacing w:line="360" w:lineRule="auto"/>
        <w:ind w:left="267"/>
        <w:rPr>
          <w:rFonts w:ascii="宋体" w:hAnsi="宋体" w:eastAsia="宋体" w:cs="宋体"/>
          <w:sz w:val="24"/>
          <w:szCs w:val="24"/>
        </w:rPr>
      </w:pPr>
      <w:r>
        <w:rPr>
          <w:rFonts w:ascii="宋体" w:hAnsi="宋体" w:eastAsia="宋体" w:cs="宋体"/>
          <w:spacing w:val="-5"/>
          <w:sz w:val="24"/>
          <w:szCs w:val="24"/>
        </w:rPr>
        <w:t>1.1</w:t>
      </w:r>
      <w:r>
        <w:rPr>
          <w:rFonts w:ascii="宋体" w:hAnsi="宋体" w:eastAsia="宋体" w:cs="宋体"/>
          <w:spacing w:val="-39"/>
          <w:sz w:val="24"/>
          <w:szCs w:val="24"/>
        </w:rPr>
        <w:t xml:space="preserve"> </w:t>
      </w:r>
      <w:r>
        <w:rPr>
          <w:rFonts w:ascii="宋体" w:hAnsi="宋体" w:eastAsia="宋体" w:cs="宋体"/>
          <w:spacing w:val="-5"/>
          <w:sz w:val="24"/>
          <w:szCs w:val="24"/>
        </w:rPr>
        <w:t>管理关系说明：</w:t>
      </w:r>
    </w:p>
    <w:p w14:paraId="77B83610">
      <w:pPr>
        <w:spacing w:before="135" w:line="360" w:lineRule="auto"/>
        <w:ind w:left="251"/>
        <w:rPr>
          <w:rFonts w:ascii="宋体" w:hAnsi="宋体" w:eastAsia="宋体" w:cs="宋体"/>
          <w:sz w:val="24"/>
          <w:szCs w:val="24"/>
        </w:rPr>
      </w:pPr>
      <w:r>
        <w:rPr>
          <w:rFonts w:ascii="宋体" w:hAnsi="宋体" w:eastAsia="宋体" w:cs="宋体"/>
          <w:sz w:val="24"/>
          <w:szCs w:val="24"/>
        </w:rPr>
        <w:t>我单位管理的具有独立法人的下属单位有</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2B0984F2">
      <w:pPr>
        <w:spacing w:before="135" w:line="360" w:lineRule="auto"/>
        <w:ind w:left="251"/>
        <w:rPr>
          <w:rFonts w:ascii="宋体" w:hAnsi="宋体" w:eastAsia="宋体" w:cs="宋体"/>
          <w:sz w:val="24"/>
          <w:szCs w:val="24"/>
        </w:rPr>
      </w:pPr>
      <w:r>
        <w:rPr>
          <w:rFonts w:ascii="宋体" w:hAnsi="宋体" w:eastAsia="宋体" w:cs="宋体"/>
          <w:spacing w:val="-1"/>
          <w:sz w:val="24"/>
          <w:szCs w:val="24"/>
        </w:rPr>
        <w:t>我单位的上级管理单位有</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4F55D45A">
      <w:pPr>
        <w:spacing w:before="135" w:line="360" w:lineRule="auto"/>
        <w:ind w:left="267"/>
        <w:rPr>
          <w:rFonts w:ascii="宋体" w:hAnsi="宋体" w:eastAsia="宋体" w:cs="宋体"/>
          <w:sz w:val="24"/>
          <w:szCs w:val="24"/>
        </w:rPr>
      </w:pPr>
      <w:r>
        <w:rPr>
          <w:rFonts w:ascii="宋体" w:hAnsi="宋体" w:eastAsia="宋体" w:cs="宋体"/>
          <w:spacing w:val="-4"/>
          <w:sz w:val="24"/>
          <w:szCs w:val="24"/>
        </w:rPr>
        <w:t>1.2</w:t>
      </w:r>
      <w:r>
        <w:rPr>
          <w:rFonts w:ascii="宋体" w:hAnsi="宋体" w:eastAsia="宋体" w:cs="宋体"/>
          <w:spacing w:val="-49"/>
          <w:sz w:val="24"/>
          <w:szCs w:val="24"/>
        </w:rPr>
        <w:t xml:space="preserve"> </w:t>
      </w:r>
      <w:r>
        <w:rPr>
          <w:rFonts w:ascii="宋体" w:hAnsi="宋体" w:eastAsia="宋体" w:cs="宋体"/>
          <w:spacing w:val="-4"/>
          <w:sz w:val="24"/>
          <w:szCs w:val="24"/>
        </w:rPr>
        <w:t>股权关系说明：</w:t>
      </w:r>
    </w:p>
    <w:p w14:paraId="0D6AD1BB">
      <w:pPr>
        <w:spacing w:before="134" w:line="360" w:lineRule="auto"/>
        <w:ind w:left="251"/>
        <w:rPr>
          <w:rFonts w:ascii="宋体" w:hAnsi="宋体" w:eastAsia="宋体" w:cs="宋体"/>
          <w:sz w:val="24"/>
          <w:szCs w:val="24"/>
        </w:rPr>
      </w:pPr>
      <w:r>
        <w:rPr>
          <w:rFonts w:ascii="宋体" w:hAnsi="宋体" w:eastAsia="宋体" w:cs="宋体"/>
          <w:spacing w:val="-1"/>
          <w:sz w:val="24"/>
          <w:szCs w:val="24"/>
        </w:rPr>
        <w:t>我单位控股的单位有</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53213464">
      <w:pPr>
        <w:spacing w:before="135" w:line="360" w:lineRule="auto"/>
        <w:ind w:left="251"/>
        <w:rPr>
          <w:rFonts w:ascii="宋体" w:hAnsi="宋体" w:eastAsia="宋体" w:cs="宋体"/>
          <w:sz w:val="24"/>
          <w:szCs w:val="24"/>
        </w:rPr>
      </w:pPr>
      <w:r>
        <w:rPr>
          <w:rFonts w:ascii="宋体" w:hAnsi="宋体" w:eastAsia="宋体" w:cs="宋体"/>
          <w:spacing w:val="-1"/>
          <w:sz w:val="24"/>
          <w:szCs w:val="24"/>
        </w:rPr>
        <w:t>我单位被</w:t>
      </w:r>
      <w:r>
        <w:rPr>
          <w:rFonts w:ascii="宋体" w:hAnsi="宋体" w:eastAsia="宋体" w:cs="宋体"/>
          <w:spacing w:val="-1"/>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
          <w:sz w:val="24"/>
          <w:szCs w:val="24"/>
        </w:rPr>
        <w:t>单位控股。</w:t>
      </w:r>
    </w:p>
    <w:p w14:paraId="6D158026">
      <w:pPr>
        <w:spacing w:before="135" w:line="360" w:lineRule="auto"/>
        <w:ind w:left="267"/>
        <w:rPr>
          <w:rFonts w:ascii="宋体" w:hAnsi="宋体" w:eastAsia="宋体" w:cs="宋体"/>
          <w:sz w:val="24"/>
          <w:szCs w:val="24"/>
        </w:rPr>
      </w:pPr>
      <w:r>
        <w:rPr>
          <w:rFonts w:ascii="宋体" w:hAnsi="宋体" w:eastAsia="宋体" w:cs="宋体"/>
          <w:spacing w:val="-5"/>
          <w:sz w:val="24"/>
          <w:szCs w:val="24"/>
        </w:rPr>
        <w:t>1.3</w:t>
      </w:r>
      <w:r>
        <w:rPr>
          <w:rFonts w:ascii="宋体" w:hAnsi="宋体" w:eastAsia="宋体" w:cs="宋体"/>
          <w:spacing w:val="-44"/>
          <w:sz w:val="24"/>
          <w:szCs w:val="24"/>
        </w:rPr>
        <w:t xml:space="preserve"> </w:t>
      </w:r>
      <w:r>
        <w:rPr>
          <w:rFonts w:ascii="宋体" w:hAnsi="宋体" w:eastAsia="宋体" w:cs="宋体"/>
          <w:spacing w:val="-5"/>
          <w:sz w:val="24"/>
          <w:szCs w:val="24"/>
        </w:rPr>
        <w:t>单位负责人：</w:t>
      </w:r>
      <w:r>
        <w:rPr>
          <w:rFonts w:ascii="宋体" w:hAnsi="宋体" w:eastAsia="宋体" w:cs="宋体"/>
          <w:sz w:val="24"/>
          <w:szCs w:val="24"/>
          <w:u w:val="single" w:color="auto"/>
        </w:rPr>
        <w:t xml:space="preserve">               </w:t>
      </w:r>
    </w:p>
    <w:p w14:paraId="6FD2D017">
      <w:pPr>
        <w:spacing w:before="135" w:line="360" w:lineRule="auto"/>
        <w:ind w:left="12" w:firstLine="240"/>
        <w:rPr>
          <w:rFonts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u w:val="single" w:color="auto"/>
        </w:rPr>
        <w:t xml:space="preserve">              </w:t>
      </w:r>
      <w:r>
        <w:rPr>
          <w:rFonts w:ascii="宋体" w:hAnsi="宋体" w:eastAsia="宋体" w:cs="宋体"/>
          <w:sz w:val="24"/>
          <w:szCs w:val="24"/>
        </w:rPr>
        <w:t>（是或否，没有填否）为采购项目提供整体设计、规范编制或者项目管</w:t>
      </w:r>
      <w:r>
        <w:rPr>
          <w:rFonts w:ascii="宋体" w:hAnsi="宋体" w:eastAsia="宋体" w:cs="宋体"/>
          <w:spacing w:val="-1"/>
          <w:sz w:val="24"/>
          <w:szCs w:val="24"/>
        </w:rPr>
        <w:t>理、监理、检测等服务的供应商。</w:t>
      </w:r>
    </w:p>
    <w:p w14:paraId="642A7077">
      <w:pPr>
        <w:spacing w:before="1" w:line="360" w:lineRule="auto"/>
        <w:ind w:left="14"/>
        <w:rPr>
          <w:rFonts w:ascii="宋体" w:hAnsi="宋体" w:eastAsia="宋体" w:cs="宋体"/>
          <w:sz w:val="24"/>
          <w:szCs w:val="24"/>
        </w:rPr>
      </w:pPr>
      <w:r>
        <w:rPr>
          <w:rFonts w:ascii="宋体" w:hAnsi="宋体" w:eastAsia="宋体" w:cs="宋体"/>
          <w:spacing w:val="-1"/>
          <w:sz w:val="24"/>
          <w:szCs w:val="24"/>
        </w:rPr>
        <w:t>3、其他与本项目有关的利害关系说明：</w:t>
      </w:r>
      <w:r>
        <w:rPr>
          <w:rFonts w:ascii="宋体" w:hAnsi="宋体" w:eastAsia="宋体" w:cs="宋体"/>
          <w:sz w:val="24"/>
          <w:szCs w:val="24"/>
          <w:u w:val="single" w:color="auto"/>
        </w:rPr>
        <w:t xml:space="preserve">                              </w:t>
      </w:r>
    </w:p>
    <w:p w14:paraId="5B9F30AD">
      <w:pPr>
        <w:pStyle w:val="4"/>
        <w:spacing w:line="360" w:lineRule="auto"/>
      </w:pPr>
    </w:p>
    <w:p w14:paraId="1E2CDC5E">
      <w:pPr>
        <w:spacing w:before="78" w:line="360" w:lineRule="auto"/>
        <w:ind w:left="251"/>
        <w:rPr>
          <w:rFonts w:ascii="宋体" w:hAnsi="宋体" w:eastAsia="宋体" w:cs="宋体"/>
          <w:sz w:val="24"/>
          <w:szCs w:val="24"/>
        </w:rPr>
      </w:pPr>
      <w:r>
        <w:rPr>
          <w:rFonts w:ascii="宋体" w:hAnsi="宋体" w:eastAsia="宋体" w:cs="宋体"/>
          <w:spacing w:val="-1"/>
          <w:sz w:val="24"/>
          <w:szCs w:val="24"/>
        </w:rPr>
        <w:t>我单位承诺以上说明真实有效，无虚假内容或隐瞒。</w:t>
      </w:r>
    </w:p>
    <w:p w14:paraId="35BF5B8A">
      <w:pPr>
        <w:pStyle w:val="4"/>
        <w:spacing w:line="360" w:lineRule="auto"/>
      </w:pPr>
    </w:p>
    <w:p w14:paraId="19F53CE4">
      <w:pPr>
        <w:spacing w:before="79" w:line="360" w:lineRule="auto"/>
        <w:ind w:left="489"/>
        <w:rPr>
          <w:rFonts w:ascii="宋体" w:hAnsi="宋体" w:eastAsia="宋体" w:cs="宋体"/>
          <w:sz w:val="24"/>
          <w:szCs w:val="24"/>
        </w:rPr>
      </w:pPr>
      <w:r>
        <w:rPr>
          <w:rFonts w:ascii="宋体" w:hAnsi="宋体" w:eastAsia="宋体" w:cs="宋体"/>
          <w:spacing w:val="3"/>
          <w:sz w:val="24"/>
          <w:szCs w:val="24"/>
        </w:rPr>
        <w:t>供应商名称</w:t>
      </w:r>
      <w:r>
        <w:rPr>
          <w:rFonts w:ascii="宋体" w:hAnsi="宋体" w:eastAsia="宋体" w:cs="宋体"/>
          <w:spacing w:val="-18"/>
          <w:sz w:val="24"/>
          <w:szCs w:val="24"/>
        </w:rPr>
        <w:t>：（</w:t>
      </w:r>
      <w:r>
        <w:rPr>
          <w:rFonts w:ascii="宋体" w:hAnsi="宋体" w:eastAsia="宋体" w:cs="宋体"/>
          <w:spacing w:val="3"/>
          <w:sz w:val="24"/>
          <w:szCs w:val="24"/>
        </w:rPr>
        <w:t>盖章）</w:t>
      </w:r>
    </w:p>
    <w:p w14:paraId="7797BFC9">
      <w:pPr>
        <w:pStyle w:val="4"/>
        <w:spacing w:line="360" w:lineRule="auto"/>
      </w:pPr>
    </w:p>
    <w:p w14:paraId="220E6F59">
      <w:pPr>
        <w:spacing w:before="78" w:line="360" w:lineRule="auto"/>
        <w:ind w:left="490"/>
        <w:rPr>
          <w:rFonts w:ascii="宋体" w:hAnsi="宋体" w:eastAsia="宋体" w:cs="宋体"/>
          <w:sz w:val="24"/>
          <w:szCs w:val="24"/>
        </w:rPr>
      </w:pPr>
      <w:r>
        <w:rPr>
          <w:rFonts w:ascii="宋体" w:hAnsi="宋体" w:eastAsia="宋体" w:cs="宋体"/>
          <w:spacing w:val="-4"/>
          <w:sz w:val="24"/>
          <w:szCs w:val="24"/>
        </w:rPr>
        <w:t>法定代表人或其授权代表（签名或盖章</w:t>
      </w:r>
      <w:r>
        <w:rPr>
          <w:rFonts w:ascii="宋体" w:hAnsi="宋体" w:eastAsia="宋体" w:cs="宋体"/>
          <w:spacing w:val="9"/>
          <w:sz w:val="24"/>
          <w:szCs w:val="24"/>
        </w:rPr>
        <w:t>）：</w:t>
      </w:r>
      <w:r>
        <w:rPr>
          <w:rFonts w:ascii="宋体" w:hAnsi="宋体" w:eastAsia="宋体" w:cs="宋体"/>
          <w:spacing w:val="5"/>
          <w:sz w:val="24"/>
          <w:szCs w:val="24"/>
        </w:rPr>
        <w:t xml:space="preserve">         </w:t>
      </w:r>
      <w:r>
        <w:rPr>
          <w:rFonts w:ascii="宋体" w:hAnsi="宋体" w:eastAsia="宋体" w:cs="宋体"/>
          <w:spacing w:val="-4"/>
          <w:sz w:val="24"/>
          <w:szCs w:val="24"/>
        </w:rPr>
        <w:t>日期：</w:t>
      </w:r>
    </w:p>
    <w:p w14:paraId="651F1292">
      <w:pPr>
        <w:spacing w:line="360" w:lineRule="auto"/>
        <w:rPr>
          <w:rFonts w:ascii="宋体" w:hAnsi="宋体" w:eastAsia="宋体" w:cs="宋体"/>
          <w:sz w:val="24"/>
          <w:szCs w:val="24"/>
        </w:rPr>
        <w:sectPr>
          <w:headerReference r:id="rId56" w:type="default"/>
          <w:footerReference r:id="rId57" w:type="default"/>
          <w:pgSz w:w="11906" w:h="16839"/>
          <w:pgMar w:top="1166" w:right="1079" w:bottom="1166" w:left="1080" w:header="829" w:footer="952" w:gutter="0"/>
          <w:cols w:space="720" w:num="1"/>
        </w:sectPr>
      </w:pPr>
    </w:p>
    <w:p w14:paraId="3446F709">
      <w:pPr>
        <w:pStyle w:val="4"/>
        <w:spacing w:line="360" w:lineRule="auto"/>
      </w:pPr>
    </w:p>
    <w:p w14:paraId="1A8BDA68">
      <w:pPr>
        <w:spacing w:before="91" w:line="360" w:lineRule="auto"/>
        <w:ind w:left="32"/>
        <w:rPr>
          <w:rFonts w:ascii="宋体" w:hAnsi="宋体" w:eastAsia="宋体" w:cs="宋体"/>
          <w:sz w:val="28"/>
          <w:szCs w:val="28"/>
        </w:rPr>
      </w:pPr>
      <w:r>
        <w:rPr>
          <w:rFonts w:ascii="宋体" w:hAnsi="宋体" w:eastAsia="宋体" w:cs="宋体"/>
          <w:b/>
          <w:bCs/>
          <w:spacing w:val="-14"/>
          <w:sz w:val="28"/>
          <w:szCs w:val="28"/>
        </w:rPr>
        <w:t>附件</w:t>
      </w:r>
      <w:r>
        <w:rPr>
          <w:rFonts w:ascii="宋体" w:hAnsi="宋体" w:eastAsia="宋体" w:cs="宋体"/>
          <w:spacing w:val="-58"/>
          <w:sz w:val="28"/>
          <w:szCs w:val="28"/>
        </w:rPr>
        <w:t xml:space="preserve"> </w:t>
      </w:r>
      <w:r>
        <w:rPr>
          <w:rFonts w:ascii="宋体" w:hAnsi="宋体" w:eastAsia="宋体" w:cs="宋体"/>
          <w:b/>
          <w:bCs/>
          <w:spacing w:val="-14"/>
          <w:sz w:val="28"/>
          <w:szCs w:val="28"/>
        </w:rPr>
        <w:t>4：</w:t>
      </w:r>
    </w:p>
    <w:p w14:paraId="137BEA2E">
      <w:pPr>
        <w:spacing w:before="123" w:line="360" w:lineRule="auto"/>
        <w:ind w:left="3922"/>
        <w:rPr>
          <w:rFonts w:ascii="宋体" w:hAnsi="宋体" w:eastAsia="宋体" w:cs="宋体"/>
          <w:sz w:val="24"/>
          <w:szCs w:val="24"/>
        </w:rPr>
      </w:pPr>
      <w:r>
        <w:rPr>
          <w:rFonts w:ascii="宋体" w:hAnsi="宋体" w:eastAsia="宋体" w:cs="宋体"/>
          <w:b/>
          <w:bCs/>
          <w:spacing w:val="-4"/>
          <w:sz w:val="24"/>
          <w:szCs w:val="24"/>
        </w:rPr>
        <w:t>非</w:t>
      </w:r>
      <w:r>
        <w:rPr>
          <w:rFonts w:hint="eastAsia" w:ascii="宋体" w:hAnsi="宋体" w:eastAsia="宋体" w:cs="宋体"/>
          <w:b/>
          <w:bCs/>
          <w:spacing w:val="-4"/>
          <w:sz w:val="24"/>
          <w:szCs w:val="24"/>
          <w:lang w:eastAsia="zh-CN"/>
        </w:rPr>
        <w:t>联合体磋商</w:t>
      </w:r>
      <w:r>
        <w:rPr>
          <w:rFonts w:ascii="宋体" w:hAnsi="宋体" w:eastAsia="宋体" w:cs="宋体"/>
          <w:b/>
          <w:bCs/>
          <w:spacing w:val="-4"/>
          <w:sz w:val="24"/>
          <w:szCs w:val="24"/>
        </w:rPr>
        <w:t>声明</w:t>
      </w:r>
    </w:p>
    <w:p w14:paraId="7684720C">
      <w:pPr>
        <w:tabs>
          <w:tab w:val="left" w:pos="1371"/>
        </w:tabs>
        <w:spacing w:before="134" w:line="360"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9"/>
          <w:sz w:val="24"/>
          <w:szCs w:val="24"/>
          <w:u w:val="single" w:color="auto"/>
        </w:rPr>
        <w:t>(采购人)</w:t>
      </w:r>
      <w:r>
        <w:rPr>
          <w:rFonts w:ascii="宋体" w:hAnsi="宋体" w:eastAsia="宋体" w:cs="宋体"/>
          <w:b/>
          <w:bCs/>
          <w:spacing w:val="-9"/>
          <w:sz w:val="24"/>
          <w:szCs w:val="24"/>
        </w:rPr>
        <w:t>：</w:t>
      </w:r>
    </w:p>
    <w:p w14:paraId="19C208C1">
      <w:pPr>
        <w:spacing w:before="135" w:line="360" w:lineRule="auto"/>
        <w:ind w:left="490"/>
        <w:rPr>
          <w:rFonts w:ascii="宋体" w:hAnsi="宋体" w:eastAsia="宋体" w:cs="宋体"/>
          <w:sz w:val="24"/>
          <w:szCs w:val="24"/>
        </w:rPr>
      </w:pPr>
      <w:r>
        <w:rPr>
          <w:rFonts w:ascii="宋体" w:hAnsi="宋体" w:eastAsia="宋体" w:cs="宋体"/>
          <w:spacing w:val="-1"/>
          <w:sz w:val="24"/>
          <w:szCs w:val="24"/>
        </w:rPr>
        <w:t>本公司就参加</w:t>
      </w:r>
      <w:r>
        <w:rPr>
          <w:rFonts w:ascii="宋体" w:hAnsi="宋体" w:eastAsia="宋体" w:cs="宋体"/>
          <w:spacing w:val="-1"/>
          <w:sz w:val="24"/>
          <w:szCs w:val="24"/>
          <w:u w:val="single" w:color="auto"/>
        </w:rPr>
        <w:t xml:space="preserve">             </w:t>
      </w:r>
      <w:r>
        <w:rPr>
          <w:rFonts w:ascii="宋体" w:hAnsi="宋体" w:eastAsia="宋体" w:cs="宋体"/>
          <w:spacing w:val="-101"/>
          <w:sz w:val="24"/>
          <w:szCs w:val="24"/>
        </w:rPr>
        <w:t xml:space="preserve"> </w:t>
      </w:r>
      <w:r>
        <w:rPr>
          <w:rFonts w:ascii="宋体" w:hAnsi="宋体" w:eastAsia="宋体" w:cs="宋体"/>
          <w:spacing w:val="-1"/>
          <w:sz w:val="24"/>
          <w:szCs w:val="24"/>
        </w:rPr>
        <w:t>投标工作，作出郑重声明：</w:t>
      </w:r>
    </w:p>
    <w:p w14:paraId="2CF76D66">
      <w:pPr>
        <w:spacing w:before="135" w:line="360" w:lineRule="auto"/>
        <w:ind w:left="507"/>
        <w:rPr>
          <w:rFonts w:ascii="宋体" w:hAnsi="宋体" w:eastAsia="宋体" w:cs="宋体"/>
          <w:sz w:val="24"/>
          <w:szCs w:val="24"/>
        </w:rPr>
      </w:pPr>
      <w:r>
        <w:rPr>
          <w:rFonts w:ascii="宋体" w:hAnsi="宋体" w:eastAsia="宋体" w:cs="宋体"/>
          <w:spacing w:val="-1"/>
          <w:sz w:val="24"/>
          <w:szCs w:val="24"/>
        </w:rPr>
        <w:t>1、本公司保证投标报名材料及其后提供的一切材料都是真实的。</w:t>
      </w:r>
    </w:p>
    <w:p w14:paraId="13804D7D">
      <w:pPr>
        <w:spacing w:before="136" w:line="360" w:lineRule="auto"/>
        <w:ind w:left="12" w:right="87" w:firstLine="480"/>
        <w:rPr>
          <w:rFonts w:ascii="宋体" w:hAnsi="宋体" w:eastAsia="宋体" w:cs="宋体"/>
          <w:sz w:val="24"/>
          <w:szCs w:val="24"/>
        </w:rPr>
      </w:pPr>
      <w:r>
        <w:rPr>
          <w:rFonts w:ascii="宋体" w:hAnsi="宋体" w:eastAsia="宋体" w:cs="宋体"/>
          <w:sz w:val="24"/>
          <w:szCs w:val="24"/>
        </w:rPr>
        <w:t>2、本公司保证在本项目投标中不与其他单位围标、串标</w:t>
      </w:r>
      <w:r>
        <w:rPr>
          <w:rFonts w:ascii="宋体" w:hAnsi="宋体" w:eastAsia="宋体" w:cs="宋体"/>
          <w:spacing w:val="-1"/>
          <w:sz w:val="24"/>
          <w:szCs w:val="24"/>
        </w:rPr>
        <w:t>，不出让投标资格，不向采购人</w:t>
      </w:r>
      <w:r>
        <w:rPr>
          <w:rFonts w:ascii="宋体" w:hAnsi="宋体" w:eastAsia="宋体" w:cs="宋体"/>
          <w:spacing w:val="-2"/>
          <w:sz w:val="24"/>
          <w:szCs w:val="24"/>
        </w:rPr>
        <w:t>或磋商小组成员行贿。</w:t>
      </w:r>
    </w:p>
    <w:p w14:paraId="598B5E9B">
      <w:pPr>
        <w:spacing w:line="360" w:lineRule="auto"/>
        <w:ind w:left="9" w:right="61" w:firstLine="484"/>
        <w:rPr>
          <w:rFonts w:ascii="宋体" w:hAnsi="宋体" w:eastAsia="宋体" w:cs="宋体"/>
          <w:sz w:val="24"/>
          <w:szCs w:val="24"/>
        </w:rPr>
      </w:pPr>
      <w:r>
        <w:rPr>
          <w:rFonts w:ascii="宋体" w:hAnsi="宋体" w:eastAsia="宋体" w:cs="宋体"/>
          <w:sz w:val="24"/>
          <w:szCs w:val="24"/>
        </w:rPr>
        <w:t>3、本公司没有处于被责令停业的状态；没有处于被</w:t>
      </w:r>
      <w:r>
        <w:rPr>
          <w:rFonts w:ascii="宋体" w:hAnsi="宋体" w:eastAsia="宋体" w:cs="宋体"/>
          <w:spacing w:val="-1"/>
          <w:sz w:val="24"/>
          <w:szCs w:val="24"/>
        </w:rPr>
        <w:t>建设行政主管部门取消投标资格的处</w:t>
      </w:r>
      <w:r>
        <w:rPr>
          <w:rFonts w:ascii="宋体" w:hAnsi="宋体" w:eastAsia="宋体" w:cs="宋体"/>
          <w:spacing w:val="-2"/>
          <w:sz w:val="24"/>
          <w:szCs w:val="24"/>
        </w:rPr>
        <w:t>罚期内；没有处于财产被接管、冻结、破产</w:t>
      </w:r>
      <w:r>
        <w:rPr>
          <w:rFonts w:ascii="宋体" w:hAnsi="宋体" w:eastAsia="宋体" w:cs="宋体"/>
          <w:spacing w:val="-3"/>
          <w:sz w:val="24"/>
          <w:szCs w:val="24"/>
        </w:rPr>
        <w:t>的状态；本公司没有在投标报名截止时间前三年内</w:t>
      </w:r>
      <w:r>
        <w:rPr>
          <w:rFonts w:ascii="宋体" w:hAnsi="宋体" w:eastAsia="宋体" w:cs="宋体"/>
          <w:spacing w:val="-1"/>
          <w:sz w:val="24"/>
          <w:szCs w:val="24"/>
        </w:rPr>
        <w:t>被人民法院判决犯有行贿罪的记录。</w:t>
      </w:r>
    </w:p>
    <w:p w14:paraId="1D1EC5A7">
      <w:pPr>
        <w:spacing w:line="360" w:lineRule="auto"/>
        <w:ind w:left="12" w:firstLine="476"/>
        <w:rPr>
          <w:rFonts w:ascii="宋体" w:hAnsi="宋体" w:eastAsia="宋体" w:cs="宋体"/>
          <w:sz w:val="24"/>
          <w:szCs w:val="24"/>
        </w:rPr>
      </w:pPr>
      <w:r>
        <w:rPr>
          <w:rFonts w:ascii="宋体" w:hAnsi="宋体" w:eastAsia="宋体" w:cs="宋体"/>
          <w:spacing w:val="-4"/>
          <w:sz w:val="24"/>
          <w:szCs w:val="24"/>
        </w:rPr>
        <w:t>4、本公司保证本项目并非</w:t>
      </w:r>
      <w:r>
        <w:rPr>
          <w:rFonts w:hint="eastAsia" w:ascii="宋体" w:hAnsi="宋体" w:eastAsia="宋体" w:cs="宋体"/>
          <w:spacing w:val="-4"/>
          <w:sz w:val="24"/>
          <w:szCs w:val="24"/>
          <w:lang w:eastAsia="zh-CN"/>
        </w:rPr>
        <w:t>联合体磋商</w:t>
      </w:r>
      <w:r>
        <w:rPr>
          <w:rFonts w:ascii="宋体" w:hAnsi="宋体" w:eastAsia="宋体" w:cs="宋体"/>
          <w:spacing w:val="-4"/>
          <w:sz w:val="24"/>
          <w:szCs w:val="24"/>
        </w:rPr>
        <w:t>，本项目由本公司独立承担。本公司违反上述保</w:t>
      </w:r>
      <w:r>
        <w:rPr>
          <w:rFonts w:ascii="宋体" w:hAnsi="宋体" w:eastAsia="宋体" w:cs="宋体"/>
          <w:spacing w:val="-5"/>
          <w:sz w:val="24"/>
          <w:szCs w:val="24"/>
        </w:rPr>
        <w:t>证，</w:t>
      </w:r>
      <w:r>
        <w:rPr>
          <w:rFonts w:ascii="宋体" w:hAnsi="宋体" w:eastAsia="宋体" w:cs="宋体"/>
          <w:sz w:val="24"/>
          <w:szCs w:val="24"/>
        </w:rPr>
        <w:t>或本声明陈述与事实不符，经查实，本公司愿意接受公开通</w:t>
      </w:r>
      <w:r>
        <w:rPr>
          <w:rFonts w:ascii="宋体" w:hAnsi="宋体" w:eastAsia="宋体" w:cs="宋体"/>
          <w:spacing w:val="-1"/>
          <w:sz w:val="24"/>
          <w:szCs w:val="24"/>
        </w:rPr>
        <w:t>报，承担由此带来的法律后果。</w:t>
      </w:r>
    </w:p>
    <w:p w14:paraId="2D0F04E7">
      <w:pPr>
        <w:spacing w:line="360" w:lineRule="auto"/>
        <w:ind w:left="489"/>
        <w:rPr>
          <w:rFonts w:ascii="宋体" w:hAnsi="宋体" w:eastAsia="宋体" w:cs="宋体"/>
          <w:sz w:val="24"/>
          <w:szCs w:val="24"/>
        </w:rPr>
      </w:pPr>
      <w:r>
        <w:rPr>
          <w:rFonts w:ascii="宋体" w:hAnsi="宋体" w:eastAsia="宋体" w:cs="宋体"/>
          <w:spacing w:val="-2"/>
          <w:sz w:val="24"/>
          <w:szCs w:val="24"/>
        </w:rPr>
        <w:t>特此声明！</w:t>
      </w:r>
    </w:p>
    <w:p w14:paraId="62BFEA4F">
      <w:pPr>
        <w:pStyle w:val="4"/>
        <w:spacing w:line="360" w:lineRule="auto"/>
      </w:pPr>
    </w:p>
    <w:p w14:paraId="52887751">
      <w:pPr>
        <w:pStyle w:val="4"/>
        <w:spacing w:line="360" w:lineRule="auto"/>
      </w:pPr>
    </w:p>
    <w:p w14:paraId="45143B2B">
      <w:pPr>
        <w:pStyle w:val="4"/>
        <w:spacing w:line="360" w:lineRule="auto"/>
      </w:pPr>
    </w:p>
    <w:p w14:paraId="0F64D2B7">
      <w:pPr>
        <w:pStyle w:val="4"/>
        <w:spacing w:line="360" w:lineRule="auto"/>
      </w:pPr>
    </w:p>
    <w:p w14:paraId="34D181B5">
      <w:pPr>
        <w:pStyle w:val="4"/>
        <w:spacing w:line="360" w:lineRule="auto"/>
      </w:pPr>
    </w:p>
    <w:p w14:paraId="5DE883E2">
      <w:pPr>
        <w:spacing w:before="78" w:line="360" w:lineRule="auto"/>
        <w:ind w:left="4662"/>
        <w:rPr>
          <w:rFonts w:ascii="宋体" w:hAnsi="宋体" w:eastAsia="宋体" w:cs="宋体"/>
          <w:sz w:val="24"/>
          <w:szCs w:val="24"/>
        </w:rPr>
      </w:pPr>
      <w:r>
        <w:rPr>
          <w:rFonts w:ascii="宋体" w:hAnsi="宋体" w:eastAsia="宋体" w:cs="宋体"/>
          <w:spacing w:val="-7"/>
          <w:sz w:val="24"/>
          <w:szCs w:val="24"/>
        </w:rPr>
        <w:t>声明企业：</w:t>
      </w:r>
      <w:r>
        <w:rPr>
          <w:rFonts w:ascii="宋体" w:hAnsi="宋体" w:eastAsia="宋体" w:cs="宋体"/>
          <w:sz w:val="24"/>
          <w:szCs w:val="24"/>
          <w:u w:val="single" w:color="auto"/>
        </w:rPr>
        <w:t xml:space="preserve">                   </w:t>
      </w:r>
      <w:r>
        <w:rPr>
          <w:rFonts w:ascii="宋体" w:hAnsi="宋体" w:eastAsia="宋体" w:cs="宋体"/>
          <w:spacing w:val="-59"/>
          <w:sz w:val="24"/>
          <w:szCs w:val="24"/>
        </w:rPr>
        <w:t xml:space="preserve"> </w:t>
      </w:r>
      <w:r>
        <w:rPr>
          <w:rFonts w:ascii="宋体" w:hAnsi="宋体" w:eastAsia="宋体" w:cs="宋体"/>
          <w:spacing w:val="-7"/>
          <w:sz w:val="24"/>
          <w:szCs w:val="24"/>
        </w:rPr>
        <w:t>(企业公章)</w:t>
      </w:r>
    </w:p>
    <w:p w14:paraId="79231507">
      <w:pPr>
        <w:spacing w:before="136" w:line="360" w:lineRule="auto"/>
        <w:ind w:left="4330"/>
        <w:rPr>
          <w:rFonts w:ascii="宋体" w:hAnsi="宋体" w:eastAsia="宋体" w:cs="宋体"/>
          <w:sz w:val="24"/>
          <w:szCs w:val="24"/>
        </w:rPr>
      </w:pPr>
      <w:r>
        <w:rPr>
          <w:rFonts w:ascii="宋体" w:hAnsi="宋体" w:eastAsia="宋体" w:cs="宋体"/>
          <w:spacing w:val="-1"/>
          <w:sz w:val="24"/>
          <w:szCs w:val="24"/>
        </w:rPr>
        <w:t>法定代表人或授权委托人签字：</w:t>
      </w:r>
      <w:r>
        <w:rPr>
          <w:rFonts w:ascii="宋体" w:hAnsi="宋体" w:eastAsia="宋体" w:cs="宋体"/>
          <w:sz w:val="24"/>
          <w:szCs w:val="24"/>
          <w:u w:val="single" w:color="auto"/>
        </w:rPr>
        <w:t xml:space="preserve">           </w:t>
      </w:r>
    </w:p>
    <w:p w14:paraId="29F6F1B0">
      <w:pPr>
        <w:spacing w:before="136" w:line="360" w:lineRule="auto"/>
        <w:ind w:left="4370"/>
        <w:rPr>
          <w:rFonts w:ascii="宋体" w:hAnsi="宋体" w:eastAsia="宋体" w:cs="宋体"/>
          <w:sz w:val="24"/>
          <w:szCs w:val="24"/>
        </w:rPr>
      </w:pPr>
      <w:r>
        <w:rPr>
          <w:rFonts w:ascii="宋体" w:hAnsi="宋体" w:eastAsia="宋体" w:cs="宋体"/>
          <w:spacing w:val="-20"/>
          <w:sz w:val="24"/>
          <w:szCs w:val="24"/>
        </w:rPr>
        <w:t>日</w:t>
      </w:r>
      <w:r>
        <w:rPr>
          <w:rFonts w:ascii="宋体" w:hAnsi="宋体" w:eastAsia="宋体" w:cs="宋体"/>
          <w:spacing w:val="2"/>
          <w:sz w:val="24"/>
          <w:szCs w:val="24"/>
        </w:rPr>
        <w:t xml:space="preserve">     </w:t>
      </w:r>
      <w:r>
        <w:rPr>
          <w:rFonts w:ascii="宋体" w:hAnsi="宋体" w:eastAsia="宋体" w:cs="宋体"/>
          <w:spacing w:val="-20"/>
          <w:sz w:val="24"/>
          <w:szCs w:val="24"/>
        </w:rPr>
        <w:t>期</w:t>
      </w:r>
      <w:r>
        <w:rPr>
          <w:rFonts w:ascii="宋体" w:hAnsi="宋体" w:eastAsia="宋体" w:cs="宋体"/>
          <w:spacing w:val="-87"/>
          <w:sz w:val="24"/>
          <w:szCs w:val="24"/>
        </w:rPr>
        <w:t xml:space="preserve"> </w:t>
      </w:r>
      <w:r>
        <w:rPr>
          <w:rFonts w:ascii="宋体" w:hAnsi="宋体" w:eastAsia="宋体" w:cs="宋体"/>
          <w:spacing w:val="-20"/>
          <w:sz w:val="24"/>
          <w:szCs w:val="24"/>
        </w:rPr>
        <w:t>：</w:t>
      </w:r>
      <w:r>
        <w:rPr>
          <w:rFonts w:ascii="宋体" w:hAnsi="宋体" w:eastAsia="宋体" w:cs="宋体"/>
          <w:spacing w:val="2"/>
          <w:sz w:val="24"/>
          <w:szCs w:val="24"/>
        </w:rPr>
        <w:t xml:space="preserve">     </w:t>
      </w:r>
      <w:r>
        <w:rPr>
          <w:rFonts w:ascii="宋体" w:hAnsi="宋体" w:eastAsia="宋体" w:cs="宋体"/>
          <w:spacing w:val="-20"/>
          <w:sz w:val="24"/>
          <w:szCs w:val="24"/>
        </w:rPr>
        <w:t>年</w:t>
      </w:r>
      <w:r>
        <w:rPr>
          <w:rFonts w:ascii="宋体" w:hAnsi="宋体" w:eastAsia="宋体" w:cs="宋体"/>
          <w:spacing w:val="5"/>
          <w:sz w:val="24"/>
          <w:szCs w:val="24"/>
        </w:rPr>
        <w:t xml:space="preserve">   </w:t>
      </w:r>
      <w:r>
        <w:rPr>
          <w:rFonts w:ascii="宋体" w:hAnsi="宋体" w:eastAsia="宋体" w:cs="宋体"/>
          <w:spacing w:val="-20"/>
          <w:sz w:val="24"/>
          <w:szCs w:val="24"/>
        </w:rPr>
        <w:t>月</w:t>
      </w:r>
      <w:r>
        <w:rPr>
          <w:rFonts w:ascii="宋体" w:hAnsi="宋体" w:eastAsia="宋体" w:cs="宋体"/>
          <w:spacing w:val="12"/>
          <w:sz w:val="24"/>
          <w:szCs w:val="24"/>
        </w:rPr>
        <w:t xml:space="preserve">    </w:t>
      </w:r>
      <w:r>
        <w:rPr>
          <w:rFonts w:ascii="宋体" w:hAnsi="宋体" w:eastAsia="宋体" w:cs="宋体"/>
          <w:spacing w:val="-20"/>
          <w:sz w:val="24"/>
          <w:szCs w:val="24"/>
        </w:rPr>
        <w:t>日</w:t>
      </w:r>
    </w:p>
    <w:p w14:paraId="7DFFD6AE">
      <w:pPr>
        <w:spacing w:line="360" w:lineRule="auto"/>
        <w:rPr>
          <w:rFonts w:ascii="宋体" w:hAnsi="宋体" w:eastAsia="宋体" w:cs="宋体"/>
          <w:sz w:val="24"/>
          <w:szCs w:val="24"/>
        </w:rPr>
        <w:sectPr>
          <w:headerReference r:id="rId58" w:type="default"/>
          <w:footerReference r:id="rId59" w:type="default"/>
          <w:pgSz w:w="11906" w:h="16839"/>
          <w:pgMar w:top="1166" w:right="1018" w:bottom="1166" w:left="1080" w:header="829" w:footer="952" w:gutter="0"/>
          <w:cols w:space="720" w:num="1"/>
        </w:sectPr>
      </w:pPr>
    </w:p>
    <w:p w14:paraId="6890805D">
      <w:pPr>
        <w:pStyle w:val="4"/>
        <w:spacing w:line="360" w:lineRule="auto"/>
      </w:pPr>
    </w:p>
    <w:p w14:paraId="5E5E3519">
      <w:pPr>
        <w:spacing w:before="91" w:line="360" w:lineRule="auto"/>
        <w:ind w:left="2845"/>
        <w:rPr>
          <w:rFonts w:ascii="宋体" w:hAnsi="宋体" w:eastAsia="宋体" w:cs="宋体"/>
          <w:sz w:val="28"/>
          <w:szCs w:val="28"/>
        </w:rPr>
      </w:pPr>
      <w:r>
        <w:rPr>
          <w:rFonts w:ascii="宋体" w:hAnsi="宋体" w:eastAsia="宋体" w:cs="宋体"/>
          <w:b/>
          <w:bCs/>
          <w:spacing w:val="-3"/>
          <w:sz w:val="28"/>
          <w:szCs w:val="28"/>
        </w:rPr>
        <w:t>第八部分</w:t>
      </w:r>
      <w:r>
        <w:rPr>
          <w:rFonts w:ascii="宋体" w:hAnsi="宋体" w:eastAsia="宋体" w:cs="宋体"/>
          <w:spacing w:val="-3"/>
          <w:sz w:val="28"/>
          <w:szCs w:val="28"/>
        </w:rPr>
        <w:t xml:space="preserve"> </w:t>
      </w:r>
      <w:r>
        <w:rPr>
          <w:rFonts w:ascii="宋体" w:hAnsi="宋体" w:eastAsia="宋体" w:cs="宋体"/>
          <w:b/>
          <w:bCs/>
          <w:spacing w:val="-3"/>
          <w:sz w:val="28"/>
          <w:szCs w:val="28"/>
        </w:rPr>
        <w:t>政府采购政策证明材料</w:t>
      </w:r>
    </w:p>
    <w:p w14:paraId="7112FD21">
      <w:pPr>
        <w:pStyle w:val="4"/>
        <w:spacing w:line="360" w:lineRule="auto"/>
      </w:pPr>
    </w:p>
    <w:p w14:paraId="2E821D40">
      <w:pPr>
        <w:spacing w:before="78" w:line="360" w:lineRule="auto"/>
        <w:ind w:left="3208"/>
        <w:outlineLvl w:val="1"/>
        <w:rPr>
          <w:rFonts w:ascii="宋体" w:hAnsi="宋体" w:eastAsia="宋体" w:cs="宋体"/>
          <w:sz w:val="24"/>
          <w:szCs w:val="24"/>
        </w:rPr>
      </w:pPr>
      <w:bookmarkStart w:id="93" w:name="_Toc509"/>
      <w:r>
        <w:rPr>
          <w:rFonts w:ascii="宋体" w:hAnsi="宋体" w:eastAsia="宋体" w:cs="宋体"/>
          <w:spacing w:val="-3"/>
          <w:sz w:val="24"/>
          <w:szCs w:val="24"/>
        </w:rPr>
        <w:t>（一）</w:t>
      </w:r>
      <w:r>
        <w:rPr>
          <w:rFonts w:ascii="宋体" w:hAnsi="宋体" w:eastAsia="宋体" w:cs="宋体"/>
          <w:b/>
          <w:bCs/>
          <w:spacing w:val="-3"/>
          <w:sz w:val="24"/>
          <w:szCs w:val="24"/>
        </w:rPr>
        <w:t>中小企业声明函（若有）</w:t>
      </w:r>
      <w:bookmarkEnd w:id="93"/>
    </w:p>
    <w:p w14:paraId="72412871">
      <w:pPr>
        <w:spacing w:before="135" w:line="360" w:lineRule="auto"/>
        <w:ind w:left="8" w:right="53" w:firstLine="486"/>
        <w:jc w:val="both"/>
        <w:rPr>
          <w:rFonts w:ascii="宋体" w:hAnsi="宋体" w:eastAsia="宋体" w:cs="宋体"/>
          <w:sz w:val="24"/>
          <w:szCs w:val="24"/>
        </w:rPr>
      </w:pPr>
      <w:r>
        <w:rPr>
          <w:rFonts w:ascii="宋体" w:hAnsi="宋体" w:eastAsia="宋体" w:cs="宋体"/>
          <w:spacing w:val="-8"/>
          <w:sz w:val="24"/>
          <w:szCs w:val="24"/>
        </w:rPr>
        <w:t>本公司（联合体）郑重声明，根据《政府采购促进中小企业发展</w:t>
      </w:r>
      <w:r>
        <w:rPr>
          <w:rFonts w:ascii="宋体" w:hAnsi="宋体" w:eastAsia="宋体" w:cs="宋体"/>
          <w:spacing w:val="-9"/>
          <w:sz w:val="24"/>
          <w:szCs w:val="24"/>
        </w:rPr>
        <w:t>管理办法》（财库﹝2020﹞</w:t>
      </w:r>
      <w:r>
        <w:rPr>
          <w:rFonts w:ascii="宋体" w:hAnsi="宋体" w:eastAsia="宋体" w:cs="宋体"/>
          <w:sz w:val="24"/>
          <w:szCs w:val="24"/>
        </w:rPr>
        <w:t xml:space="preserve"> </w:t>
      </w:r>
      <w:r>
        <w:rPr>
          <w:rFonts w:ascii="宋体" w:hAnsi="宋体" w:eastAsia="宋体" w:cs="宋体"/>
          <w:spacing w:val="-2"/>
          <w:sz w:val="24"/>
          <w:szCs w:val="24"/>
        </w:rPr>
        <w:t>46</w:t>
      </w:r>
      <w:r>
        <w:rPr>
          <w:rFonts w:ascii="宋体" w:hAnsi="宋体" w:eastAsia="宋体" w:cs="宋体"/>
          <w:spacing w:val="-45"/>
          <w:sz w:val="24"/>
          <w:szCs w:val="24"/>
        </w:rPr>
        <w:t xml:space="preserve"> </w:t>
      </w:r>
      <w:r>
        <w:rPr>
          <w:rFonts w:ascii="宋体" w:hAnsi="宋体" w:eastAsia="宋体" w:cs="宋体"/>
          <w:spacing w:val="-2"/>
          <w:sz w:val="24"/>
          <w:szCs w:val="24"/>
        </w:rPr>
        <w:t>号）的规定，本公司（联合体）参加</w:t>
      </w:r>
      <w:r>
        <w:rPr>
          <w:rFonts w:ascii="宋体" w:hAnsi="宋体" w:eastAsia="宋体" w:cs="宋体"/>
          <w:spacing w:val="-2"/>
          <w:sz w:val="24"/>
          <w:szCs w:val="24"/>
          <w:u w:val="single" w:color="auto"/>
        </w:rPr>
        <w:t>（单位名称）</w:t>
      </w:r>
      <w:r>
        <w:rPr>
          <w:rFonts w:ascii="宋体" w:hAnsi="宋体" w:eastAsia="宋体" w:cs="宋体"/>
          <w:spacing w:val="-2"/>
          <w:sz w:val="24"/>
          <w:szCs w:val="24"/>
        </w:rPr>
        <w:t>的</w:t>
      </w:r>
      <w:r>
        <w:rPr>
          <w:rFonts w:ascii="宋体" w:hAnsi="宋体" w:eastAsia="宋体" w:cs="宋体"/>
          <w:spacing w:val="-2"/>
          <w:sz w:val="24"/>
          <w:szCs w:val="24"/>
          <w:u w:val="single" w:color="auto"/>
        </w:rPr>
        <w:t>（项目名称</w:t>
      </w:r>
      <w:r>
        <w:rPr>
          <w:rFonts w:ascii="宋体" w:hAnsi="宋体" w:eastAsia="宋体" w:cs="宋体"/>
          <w:spacing w:val="34"/>
          <w:sz w:val="24"/>
          <w:szCs w:val="24"/>
          <w:u w:val="single" w:color="auto"/>
        </w:rPr>
        <w:t xml:space="preserve"> </w:t>
      </w:r>
      <w:r>
        <w:rPr>
          <w:rFonts w:ascii="宋体" w:hAnsi="宋体" w:eastAsia="宋体" w:cs="宋体"/>
          <w:spacing w:val="-3"/>
          <w:sz w:val="24"/>
          <w:szCs w:val="24"/>
          <w:u w:val="single" w:color="auto"/>
        </w:rPr>
        <w:t>）</w:t>
      </w:r>
      <w:r>
        <w:rPr>
          <w:rFonts w:ascii="宋体" w:hAnsi="宋体" w:eastAsia="宋体" w:cs="宋体"/>
          <w:spacing w:val="-3"/>
          <w:sz w:val="24"/>
          <w:szCs w:val="24"/>
        </w:rPr>
        <w:t>采购活动，工程的施工</w:t>
      </w:r>
      <w:r>
        <w:rPr>
          <w:rFonts w:ascii="宋体" w:hAnsi="宋体" w:eastAsia="宋体" w:cs="宋体"/>
          <w:spacing w:val="-4"/>
          <w:sz w:val="24"/>
          <w:szCs w:val="24"/>
        </w:rPr>
        <w:t>单位全部为符合政策要求的中小企业（或者：服务全部由</w:t>
      </w:r>
      <w:r>
        <w:rPr>
          <w:rFonts w:ascii="宋体" w:hAnsi="宋体" w:eastAsia="宋体" w:cs="宋体"/>
          <w:spacing w:val="-5"/>
          <w:sz w:val="24"/>
          <w:szCs w:val="24"/>
        </w:rPr>
        <w:t>符合政策要求的中小企业承接）。</w:t>
      </w:r>
      <w:r>
        <w:rPr>
          <w:rFonts w:ascii="宋体" w:hAnsi="宋体" w:eastAsia="宋体" w:cs="宋体"/>
          <w:spacing w:val="-44"/>
          <w:sz w:val="24"/>
          <w:szCs w:val="24"/>
        </w:rPr>
        <w:t xml:space="preserve"> </w:t>
      </w:r>
      <w:r>
        <w:rPr>
          <w:rFonts w:ascii="宋体" w:hAnsi="宋体" w:eastAsia="宋体" w:cs="宋体"/>
          <w:spacing w:val="-5"/>
          <w:sz w:val="24"/>
          <w:szCs w:val="24"/>
        </w:rPr>
        <w:t>相</w:t>
      </w:r>
      <w:r>
        <w:rPr>
          <w:rFonts w:ascii="宋体" w:hAnsi="宋体" w:eastAsia="宋体" w:cs="宋体"/>
          <w:spacing w:val="-1"/>
          <w:sz w:val="24"/>
          <w:szCs w:val="24"/>
        </w:rPr>
        <w:t>关企业（</w:t>
      </w:r>
      <w:r>
        <w:rPr>
          <w:rFonts w:ascii="宋体" w:hAnsi="宋体" w:eastAsia="宋体" w:cs="宋体"/>
          <w:spacing w:val="44"/>
          <w:sz w:val="24"/>
          <w:szCs w:val="24"/>
        </w:rPr>
        <w:t xml:space="preserve"> </w:t>
      </w:r>
      <w:r>
        <w:rPr>
          <w:rFonts w:ascii="宋体" w:hAnsi="宋体" w:eastAsia="宋体" w:cs="宋体"/>
          <w:spacing w:val="-1"/>
          <w:sz w:val="24"/>
          <w:szCs w:val="24"/>
        </w:rPr>
        <w:t>含联合体中的中小企业、 签订分包意向</w:t>
      </w:r>
      <w:r>
        <w:rPr>
          <w:rFonts w:ascii="宋体" w:hAnsi="宋体" w:eastAsia="宋体" w:cs="宋体"/>
          <w:spacing w:val="-2"/>
          <w:sz w:val="24"/>
          <w:szCs w:val="24"/>
        </w:rPr>
        <w:t>协议的中小企业）的具体情况如下：</w:t>
      </w:r>
    </w:p>
    <w:p w14:paraId="3E406A3D">
      <w:pPr>
        <w:spacing w:before="2" w:line="360" w:lineRule="auto"/>
        <w:ind w:left="8" w:firstLine="503"/>
        <w:rPr>
          <w:rFonts w:ascii="宋体" w:hAnsi="宋体" w:eastAsia="宋体" w:cs="宋体"/>
          <w:sz w:val="24"/>
          <w:szCs w:val="24"/>
        </w:rPr>
      </w:pPr>
      <w:r>
        <w:rPr>
          <w:rFonts w:ascii="宋体" w:hAnsi="宋体" w:eastAsia="宋体" w:cs="宋体"/>
          <w:spacing w:val="-1"/>
          <w:sz w:val="24"/>
          <w:szCs w:val="24"/>
        </w:rPr>
        <w:t xml:space="preserve">1. </w:t>
      </w:r>
      <w:r>
        <w:rPr>
          <w:rFonts w:ascii="宋体" w:hAnsi="宋体" w:eastAsia="宋体" w:cs="宋体"/>
          <w:spacing w:val="-3"/>
          <w:sz w:val="24"/>
          <w:szCs w:val="24"/>
          <w:u w:val="single" w:color="auto"/>
        </w:rPr>
        <w:t>（</w:t>
      </w:r>
      <w:r>
        <w:rPr>
          <w:rFonts w:hint="eastAsia" w:ascii="宋体" w:hAnsi="宋体" w:eastAsia="宋体" w:cs="宋体"/>
          <w:spacing w:val="-3"/>
          <w:sz w:val="24"/>
          <w:szCs w:val="24"/>
          <w:u w:val="single" w:color="auto"/>
          <w:lang w:eastAsia="zh-CN"/>
        </w:rPr>
        <w:t>软件测试服务</w:t>
      </w:r>
      <w:r>
        <w:rPr>
          <w:rFonts w:ascii="宋体" w:hAnsi="宋体" w:eastAsia="宋体" w:cs="宋体"/>
          <w:spacing w:val="-3"/>
          <w:sz w:val="24"/>
          <w:szCs w:val="24"/>
          <w:u w:val="single" w:color="auto"/>
        </w:rPr>
        <w:t>）</w:t>
      </w:r>
      <w:r>
        <w:rPr>
          <w:rFonts w:ascii="宋体" w:hAnsi="宋体" w:eastAsia="宋体" w:cs="宋体"/>
          <w:spacing w:val="7"/>
          <w:sz w:val="24"/>
          <w:szCs w:val="24"/>
        </w:rPr>
        <w:t>，</w:t>
      </w:r>
      <w:r>
        <w:rPr>
          <w:rFonts w:ascii="宋体" w:hAnsi="宋体" w:eastAsia="宋体" w:cs="宋体"/>
          <w:spacing w:val="-1"/>
          <w:sz w:val="24"/>
          <w:szCs w:val="24"/>
        </w:rPr>
        <w:t>属于</w:t>
      </w:r>
      <w:r>
        <w:rPr>
          <w:rFonts w:ascii="宋体" w:hAnsi="宋体" w:eastAsia="宋体" w:cs="宋体"/>
          <w:spacing w:val="-1"/>
          <w:sz w:val="24"/>
          <w:szCs w:val="24"/>
          <w:u w:val="single" w:color="auto"/>
        </w:rPr>
        <w:t>（磋商文件中明确的所属行业</w:t>
      </w:r>
      <w:r>
        <w:rPr>
          <w:rFonts w:ascii="宋体" w:hAnsi="宋体" w:eastAsia="宋体" w:cs="宋体"/>
          <w:spacing w:val="7"/>
          <w:sz w:val="24"/>
          <w:szCs w:val="24"/>
          <w:u w:val="single" w:color="auto"/>
        </w:rPr>
        <w:t>）</w:t>
      </w:r>
      <w:r>
        <w:rPr>
          <w:rFonts w:ascii="宋体" w:hAnsi="宋体" w:eastAsia="宋体" w:cs="宋体"/>
          <w:spacing w:val="7"/>
          <w:sz w:val="24"/>
          <w:szCs w:val="24"/>
        </w:rPr>
        <w:t>；</w:t>
      </w:r>
      <w:r>
        <w:rPr>
          <w:rFonts w:ascii="宋体" w:hAnsi="宋体" w:eastAsia="宋体" w:cs="宋体"/>
          <w:spacing w:val="-1"/>
          <w:sz w:val="24"/>
          <w:szCs w:val="24"/>
        </w:rPr>
        <w:t>承建（承接）企业为</w:t>
      </w:r>
      <w:r>
        <w:rPr>
          <w:rFonts w:ascii="宋体" w:hAnsi="宋体" w:eastAsia="宋体" w:cs="宋体"/>
          <w:spacing w:val="-1"/>
          <w:sz w:val="24"/>
          <w:szCs w:val="24"/>
          <w:u w:val="single" w:color="auto"/>
        </w:rPr>
        <w:t>（企业名</w:t>
      </w:r>
      <w:r>
        <w:rPr>
          <w:rFonts w:ascii="宋体" w:hAnsi="宋体" w:eastAsia="宋体" w:cs="宋体"/>
          <w:spacing w:val="-3"/>
          <w:sz w:val="24"/>
          <w:szCs w:val="24"/>
          <w:u w:val="single" w:color="auto"/>
        </w:rPr>
        <w:t>称</w:t>
      </w:r>
      <w:r>
        <w:rPr>
          <w:rFonts w:ascii="宋体" w:hAnsi="宋体" w:eastAsia="宋体" w:cs="宋体"/>
          <w:spacing w:val="6"/>
          <w:sz w:val="24"/>
          <w:szCs w:val="24"/>
          <w:u w:val="single" w:color="auto"/>
        </w:rPr>
        <w:t>）</w:t>
      </w:r>
      <w:r>
        <w:rPr>
          <w:rFonts w:ascii="宋体" w:hAnsi="宋体" w:eastAsia="宋体" w:cs="宋体"/>
          <w:spacing w:val="6"/>
          <w:sz w:val="24"/>
          <w:szCs w:val="24"/>
        </w:rPr>
        <w:t>，</w:t>
      </w:r>
      <w:r>
        <w:rPr>
          <w:rFonts w:ascii="宋体" w:hAnsi="宋体" w:eastAsia="宋体" w:cs="宋体"/>
          <w:spacing w:val="-3"/>
          <w:sz w:val="24"/>
          <w:szCs w:val="24"/>
        </w:rPr>
        <w:t>从业人员</w:t>
      </w:r>
      <w:r>
        <w:rPr>
          <w:rFonts w:ascii="宋体" w:hAnsi="宋体" w:eastAsia="宋体" w:cs="宋体"/>
          <w:spacing w:val="-3"/>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3"/>
          <w:sz w:val="24"/>
          <w:szCs w:val="24"/>
        </w:rPr>
        <w:t>人，营业收入为</w:t>
      </w:r>
      <w:r>
        <w:rPr>
          <w:rFonts w:ascii="宋体" w:hAnsi="宋体" w:eastAsia="宋体" w:cs="宋体"/>
          <w:spacing w:val="-3"/>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3"/>
          <w:sz w:val="24"/>
          <w:szCs w:val="24"/>
        </w:rPr>
        <w:t>万元，资产总额为</w:t>
      </w:r>
      <w:r>
        <w:rPr>
          <w:rFonts w:ascii="宋体" w:hAnsi="宋体" w:eastAsia="宋体" w:cs="宋体"/>
          <w:spacing w:val="-3"/>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3"/>
          <w:sz w:val="24"/>
          <w:szCs w:val="24"/>
        </w:rPr>
        <w:t>万元</w:t>
      </w:r>
      <w:r>
        <w:rPr>
          <w:rFonts w:ascii="宋体" w:hAnsi="宋体" w:eastAsia="宋体" w:cs="宋体"/>
          <w:spacing w:val="-47"/>
          <w:sz w:val="24"/>
          <w:szCs w:val="24"/>
        </w:rPr>
        <w:t xml:space="preserve"> </w:t>
      </w:r>
      <w:r>
        <w:rPr>
          <w:rFonts w:ascii="宋体" w:hAnsi="宋体" w:eastAsia="宋体" w:cs="宋体"/>
          <w:spacing w:val="-3"/>
          <w:position w:val="11"/>
          <w:sz w:val="12"/>
          <w:szCs w:val="12"/>
        </w:rPr>
        <w:t>1</w:t>
      </w:r>
      <w:r>
        <w:rPr>
          <w:rFonts w:ascii="宋体" w:hAnsi="宋体" w:eastAsia="宋体" w:cs="宋体"/>
          <w:spacing w:val="-31"/>
          <w:position w:val="11"/>
          <w:sz w:val="12"/>
          <w:szCs w:val="12"/>
        </w:rPr>
        <w:t xml:space="preserve"> </w:t>
      </w:r>
      <w:r>
        <w:rPr>
          <w:rFonts w:ascii="宋体" w:hAnsi="宋体" w:eastAsia="宋体" w:cs="宋体"/>
          <w:spacing w:val="-3"/>
          <w:sz w:val="24"/>
          <w:szCs w:val="24"/>
        </w:rPr>
        <w:t>，属于</w:t>
      </w:r>
      <w:r>
        <w:rPr>
          <w:rFonts w:ascii="宋体" w:hAnsi="宋体" w:eastAsia="宋体" w:cs="宋体"/>
          <w:spacing w:val="-3"/>
          <w:sz w:val="24"/>
          <w:szCs w:val="24"/>
          <w:u w:val="single" w:color="auto"/>
        </w:rPr>
        <w:t>（</w:t>
      </w:r>
      <w:r>
        <w:rPr>
          <w:rFonts w:ascii="宋体" w:hAnsi="宋体" w:eastAsia="宋体" w:cs="宋体"/>
          <w:spacing w:val="-4"/>
          <w:sz w:val="24"/>
          <w:szCs w:val="24"/>
          <w:u w:val="single" w:color="auto"/>
        </w:rPr>
        <w:t>中型企业、</w:t>
      </w:r>
      <w:r>
        <w:rPr>
          <w:rFonts w:ascii="宋体" w:hAnsi="宋体" w:eastAsia="宋体" w:cs="宋体"/>
          <w:spacing w:val="-1"/>
          <w:sz w:val="24"/>
          <w:szCs w:val="24"/>
          <w:u w:val="single" w:color="auto"/>
        </w:rPr>
        <w:t>小型企业、微型企业</w:t>
      </w:r>
      <w:r>
        <w:rPr>
          <w:rFonts w:ascii="宋体" w:hAnsi="宋体" w:eastAsia="宋体" w:cs="宋体"/>
          <w:sz w:val="24"/>
          <w:szCs w:val="24"/>
          <w:u w:val="single" w:color="auto"/>
        </w:rPr>
        <w:t>）</w:t>
      </w:r>
      <w:r>
        <w:rPr>
          <w:rFonts w:ascii="宋体" w:hAnsi="宋体" w:eastAsia="宋体" w:cs="宋体"/>
          <w:sz w:val="24"/>
          <w:szCs w:val="24"/>
        </w:rPr>
        <w:t>；</w:t>
      </w:r>
    </w:p>
    <w:p w14:paraId="2C521E2E">
      <w:pPr>
        <w:spacing w:line="360" w:lineRule="auto"/>
        <w:ind w:left="509"/>
        <w:rPr>
          <w:rFonts w:ascii="宋体" w:hAnsi="宋体" w:eastAsia="宋体" w:cs="宋体"/>
          <w:sz w:val="24"/>
          <w:szCs w:val="24"/>
        </w:rPr>
      </w:pPr>
      <w:r>
        <w:rPr>
          <w:rFonts w:ascii="宋体" w:hAnsi="宋体" w:eastAsia="宋体" w:cs="宋体"/>
          <w:spacing w:val="-13"/>
          <w:position w:val="3"/>
          <w:sz w:val="24"/>
          <w:szCs w:val="24"/>
        </w:rPr>
        <w:t>……</w:t>
      </w:r>
    </w:p>
    <w:p w14:paraId="16DD4B3C">
      <w:pPr>
        <w:spacing w:before="42" w:line="360" w:lineRule="auto"/>
        <w:ind w:left="8" w:right="53" w:firstLine="512"/>
        <w:rPr>
          <w:rFonts w:ascii="宋体" w:hAnsi="宋体" w:eastAsia="宋体" w:cs="宋体"/>
          <w:sz w:val="24"/>
          <w:szCs w:val="24"/>
        </w:rPr>
      </w:pPr>
      <w:r>
        <w:rPr>
          <w:rFonts w:ascii="宋体" w:hAnsi="宋体" w:eastAsia="宋体" w:cs="宋体"/>
          <w:spacing w:val="-3"/>
          <w:sz w:val="24"/>
          <w:szCs w:val="24"/>
        </w:rPr>
        <w:t>以上企业，不属于大企业的分支机构，不存在</w:t>
      </w:r>
      <w:r>
        <w:rPr>
          <w:rFonts w:ascii="宋体" w:hAnsi="宋体" w:eastAsia="宋体" w:cs="宋体"/>
          <w:spacing w:val="-4"/>
          <w:sz w:val="24"/>
          <w:szCs w:val="24"/>
        </w:rPr>
        <w:t>控股股东为大企业的情形，也不存在与大企</w:t>
      </w:r>
      <w:r>
        <w:rPr>
          <w:rFonts w:ascii="宋体" w:hAnsi="宋体" w:eastAsia="宋体" w:cs="宋体"/>
          <w:spacing w:val="-1"/>
          <w:sz w:val="24"/>
          <w:szCs w:val="24"/>
        </w:rPr>
        <w:t>业的负责人为同一人的情形。</w:t>
      </w:r>
    </w:p>
    <w:p w14:paraId="514CB407">
      <w:pPr>
        <w:spacing w:before="1" w:line="360" w:lineRule="auto"/>
        <w:ind w:left="490"/>
        <w:rPr>
          <w:rFonts w:ascii="宋体" w:hAnsi="宋体" w:eastAsia="宋体" w:cs="宋体"/>
          <w:sz w:val="24"/>
          <w:szCs w:val="24"/>
        </w:rPr>
      </w:pPr>
      <w:r>
        <w:rPr>
          <w:rFonts w:ascii="宋体" w:hAnsi="宋体" w:eastAsia="宋体" w:cs="宋体"/>
          <w:sz w:val="24"/>
          <w:szCs w:val="24"/>
        </w:rPr>
        <w:t>本企业对上述声明内容的真实性负责。如有虚</w:t>
      </w:r>
      <w:r>
        <w:rPr>
          <w:rFonts w:ascii="宋体" w:hAnsi="宋体" w:eastAsia="宋体" w:cs="宋体"/>
          <w:spacing w:val="-1"/>
          <w:sz w:val="24"/>
          <w:szCs w:val="24"/>
        </w:rPr>
        <w:t>假，将依法承担相应责任。</w:t>
      </w:r>
    </w:p>
    <w:p w14:paraId="18F8DF4F">
      <w:pPr>
        <w:pStyle w:val="4"/>
        <w:spacing w:line="360" w:lineRule="auto"/>
      </w:pPr>
    </w:p>
    <w:p w14:paraId="312F1D2B">
      <w:pPr>
        <w:spacing w:before="78" w:line="360" w:lineRule="auto"/>
        <w:ind w:left="5533"/>
        <w:rPr>
          <w:rFonts w:ascii="宋体" w:hAnsi="宋体" w:eastAsia="宋体" w:cs="宋体"/>
          <w:sz w:val="24"/>
          <w:szCs w:val="24"/>
        </w:rPr>
      </w:pPr>
      <w:r>
        <w:rPr>
          <w:rFonts w:ascii="宋体" w:hAnsi="宋体" w:eastAsia="宋体" w:cs="宋体"/>
          <w:spacing w:val="-2"/>
          <w:sz w:val="24"/>
          <w:szCs w:val="24"/>
        </w:rPr>
        <w:t>企业名称（盖章</w:t>
      </w:r>
      <w:r>
        <w:rPr>
          <w:rFonts w:ascii="宋体" w:hAnsi="宋体" w:eastAsia="宋体" w:cs="宋体"/>
          <w:sz w:val="24"/>
          <w:szCs w:val="24"/>
        </w:rPr>
        <w:t>）：</w:t>
      </w:r>
    </w:p>
    <w:p w14:paraId="40D5E20E">
      <w:pPr>
        <w:spacing w:before="136" w:line="360" w:lineRule="auto"/>
        <w:ind w:left="5570"/>
        <w:rPr>
          <w:rFonts w:ascii="宋体" w:hAnsi="宋体" w:eastAsia="宋体" w:cs="宋体"/>
          <w:sz w:val="24"/>
          <w:szCs w:val="24"/>
        </w:rPr>
      </w:pPr>
      <w:r>
        <w:rPr>
          <w:rFonts w:ascii="宋体" w:hAnsi="宋体" w:eastAsia="宋体" w:cs="宋体"/>
          <w:spacing w:val="-17"/>
          <w:sz w:val="24"/>
          <w:szCs w:val="24"/>
        </w:rPr>
        <w:t>日期：</w:t>
      </w:r>
    </w:p>
    <w:p w14:paraId="5374822B">
      <w:pPr>
        <w:pStyle w:val="4"/>
        <w:spacing w:line="360" w:lineRule="auto"/>
      </w:pPr>
    </w:p>
    <w:p w14:paraId="66044080">
      <w:pPr>
        <w:spacing w:before="79" w:line="360" w:lineRule="auto"/>
        <w:ind w:left="492"/>
        <w:rPr>
          <w:rFonts w:ascii="宋体" w:hAnsi="宋体" w:eastAsia="宋体" w:cs="宋体"/>
          <w:sz w:val="24"/>
          <w:szCs w:val="24"/>
        </w:rPr>
      </w:pPr>
      <w:r>
        <w:rPr>
          <w:rFonts w:ascii="宋体" w:hAnsi="宋体" w:eastAsia="宋体" w:cs="宋体"/>
          <w:b/>
          <w:bCs/>
          <w:spacing w:val="-7"/>
          <w:sz w:val="24"/>
          <w:szCs w:val="24"/>
        </w:rPr>
        <w:t>备注：</w:t>
      </w:r>
    </w:p>
    <w:p w14:paraId="66C9485D">
      <w:pPr>
        <w:spacing w:before="133" w:line="360" w:lineRule="auto"/>
        <w:ind w:left="10" w:right="53" w:firstLine="496"/>
        <w:rPr>
          <w:rFonts w:ascii="宋体" w:hAnsi="宋体" w:eastAsia="宋体" w:cs="宋体"/>
          <w:sz w:val="24"/>
          <w:szCs w:val="24"/>
        </w:rPr>
      </w:pPr>
      <w:r>
        <w:rPr>
          <w:rFonts w:ascii="宋体" w:hAnsi="宋体" w:eastAsia="宋体" w:cs="宋体"/>
          <w:spacing w:val="-3"/>
          <w:sz w:val="24"/>
          <w:szCs w:val="24"/>
        </w:rPr>
        <w:t>1.填写前请认真阅读《工业和信息化部  国家统计局  国家发展</w:t>
      </w:r>
      <w:r>
        <w:rPr>
          <w:rFonts w:ascii="宋体" w:hAnsi="宋体" w:eastAsia="宋体" w:cs="宋体"/>
          <w:spacing w:val="-4"/>
          <w:sz w:val="24"/>
          <w:szCs w:val="24"/>
        </w:rPr>
        <w:t>和改革委员会</w:t>
      </w:r>
      <w:r>
        <w:rPr>
          <w:rFonts w:ascii="宋体" w:hAnsi="宋体" w:eastAsia="宋体" w:cs="宋体"/>
          <w:spacing w:val="5"/>
          <w:sz w:val="24"/>
          <w:szCs w:val="24"/>
        </w:rPr>
        <w:t xml:space="preserve">  </w:t>
      </w:r>
      <w:r>
        <w:rPr>
          <w:rFonts w:ascii="宋体" w:hAnsi="宋体" w:eastAsia="宋体" w:cs="宋体"/>
          <w:spacing w:val="-4"/>
          <w:sz w:val="24"/>
          <w:szCs w:val="24"/>
        </w:rPr>
        <w:t>财政部关</w:t>
      </w:r>
      <w:r>
        <w:rPr>
          <w:rFonts w:ascii="宋体" w:hAnsi="宋体" w:eastAsia="宋体" w:cs="宋体"/>
          <w:spacing w:val="-1"/>
          <w:sz w:val="24"/>
          <w:szCs w:val="24"/>
        </w:rPr>
        <w:t>于印发中小企业划型标准规定的通知》(工信部联企业〔2011</w:t>
      </w:r>
      <w:r>
        <w:rPr>
          <w:rFonts w:ascii="宋体" w:hAnsi="宋体" w:eastAsia="宋体" w:cs="宋体"/>
          <w:spacing w:val="-2"/>
          <w:sz w:val="24"/>
          <w:szCs w:val="24"/>
        </w:rPr>
        <w:t>〕300</w:t>
      </w:r>
      <w:r>
        <w:rPr>
          <w:rFonts w:ascii="宋体" w:hAnsi="宋体" w:eastAsia="宋体" w:cs="宋体"/>
          <w:spacing w:val="-44"/>
          <w:sz w:val="24"/>
          <w:szCs w:val="24"/>
        </w:rPr>
        <w:t xml:space="preserve"> </w:t>
      </w:r>
      <w:r>
        <w:rPr>
          <w:rFonts w:ascii="宋体" w:hAnsi="宋体" w:eastAsia="宋体" w:cs="宋体"/>
          <w:spacing w:val="-2"/>
          <w:sz w:val="24"/>
          <w:szCs w:val="24"/>
        </w:rPr>
        <w:t>号)和《财政部、工业和信</w:t>
      </w:r>
      <w:r>
        <w:rPr>
          <w:rFonts w:ascii="宋体" w:hAnsi="宋体" w:eastAsia="宋体" w:cs="宋体"/>
          <w:sz w:val="24"/>
          <w:szCs w:val="24"/>
        </w:rPr>
        <w:t>息化部关于印发〈政府采购促进中小企业发展管理办法〉的通知》</w:t>
      </w:r>
      <w:r>
        <w:rPr>
          <w:rFonts w:ascii="宋体" w:hAnsi="宋体" w:eastAsia="宋体" w:cs="宋体"/>
          <w:spacing w:val="-63"/>
          <w:sz w:val="24"/>
          <w:szCs w:val="24"/>
        </w:rPr>
        <w:t xml:space="preserve"> </w:t>
      </w:r>
      <w:r>
        <w:rPr>
          <w:rFonts w:ascii="宋体" w:hAnsi="宋体" w:eastAsia="宋体" w:cs="宋体"/>
          <w:sz w:val="24"/>
          <w:szCs w:val="24"/>
        </w:rPr>
        <w:t>(财库〔2020〕46</w:t>
      </w:r>
      <w:r>
        <w:rPr>
          <w:rFonts w:ascii="宋体" w:hAnsi="宋体" w:eastAsia="宋体" w:cs="宋体"/>
          <w:spacing w:val="-42"/>
          <w:sz w:val="24"/>
          <w:szCs w:val="24"/>
        </w:rPr>
        <w:t xml:space="preserve"> </w:t>
      </w:r>
      <w:r>
        <w:rPr>
          <w:rFonts w:ascii="宋体" w:hAnsi="宋体" w:eastAsia="宋体" w:cs="宋体"/>
          <w:sz w:val="24"/>
          <w:szCs w:val="24"/>
        </w:rPr>
        <w:t>号)相关</w:t>
      </w:r>
      <w:r>
        <w:rPr>
          <w:rFonts w:ascii="宋体" w:hAnsi="宋体" w:eastAsia="宋体" w:cs="宋体"/>
          <w:spacing w:val="-4"/>
          <w:sz w:val="24"/>
          <w:szCs w:val="24"/>
        </w:rPr>
        <w:t>规定。</w:t>
      </w:r>
    </w:p>
    <w:p w14:paraId="115352A2">
      <w:pPr>
        <w:spacing w:line="360" w:lineRule="auto"/>
        <w:ind w:left="11" w:right="53" w:firstLine="480"/>
        <w:rPr>
          <w:rFonts w:ascii="宋体" w:hAnsi="宋体" w:eastAsia="宋体" w:cs="宋体"/>
          <w:sz w:val="24"/>
          <w:szCs w:val="24"/>
        </w:rPr>
      </w:pPr>
      <w:r>
        <w:rPr>
          <w:rFonts w:ascii="宋体" w:hAnsi="宋体" w:eastAsia="宋体" w:cs="宋体"/>
          <w:spacing w:val="-3"/>
          <w:sz w:val="24"/>
          <w:szCs w:val="24"/>
        </w:rPr>
        <w:t>2.从业人员、营业收入、资产总额填报上一年度数据，无上一年度数据的新成立企业可不</w:t>
      </w:r>
      <w:r>
        <w:rPr>
          <w:rFonts w:ascii="宋体" w:hAnsi="宋体" w:eastAsia="宋体" w:cs="宋体"/>
          <w:spacing w:val="-4"/>
          <w:sz w:val="24"/>
          <w:szCs w:val="24"/>
        </w:rPr>
        <w:t>填报。</w:t>
      </w:r>
    </w:p>
    <w:p w14:paraId="607356DC">
      <w:pPr>
        <w:spacing w:line="360" w:lineRule="auto"/>
        <w:rPr>
          <w:rFonts w:ascii="宋体" w:hAnsi="宋体" w:eastAsia="宋体" w:cs="宋体"/>
          <w:sz w:val="24"/>
          <w:szCs w:val="24"/>
        </w:rPr>
        <w:sectPr>
          <w:footerReference r:id="rId60" w:type="default"/>
          <w:pgSz w:w="11906" w:h="16839"/>
          <w:pgMar w:top="1166" w:right="1025" w:bottom="1166" w:left="1080" w:header="829" w:footer="952" w:gutter="0"/>
          <w:cols w:space="720" w:num="1"/>
        </w:sectPr>
      </w:pPr>
    </w:p>
    <w:p w14:paraId="738DD682">
      <w:pPr>
        <w:pStyle w:val="4"/>
        <w:spacing w:line="360" w:lineRule="auto"/>
      </w:pPr>
    </w:p>
    <w:p w14:paraId="0D1BE467">
      <w:pPr>
        <w:spacing w:before="78" w:line="360" w:lineRule="auto"/>
        <w:ind w:left="3085"/>
        <w:outlineLvl w:val="1"/>
        <w:rPr>
          <w:rFonts w:ascii="宋体" w:hAnsi="宋体" w:eastAsia="宋体" w:cs="宋体"/>
          <w:sz w:val="24"/>
          <w:szCs w:val="24"/>
        </w:rPr>
      </w:pPr>
      <w:bookmarkStart w:id="94" w:name="_Toc18490"/>
      <w:r>
        <w:rPr>
          <w:rFonts w:ascii="宋体" w:hAnsi="宋体" w:eastAsia="宋体" w:cs="宋体"/>
          <w:b/>
          <w:bCs/>
          <w:spacing w:val="-4"/>
          <w:sz w:val="24"/>
          <w:szCs w:val="24"/>
        </w:rPr>
        <w:t>（二）监狱企业证明文件（若有）</w:t>
      </w:r>
      <w:bookmarkEnd w:id="94"/>
    </w:p>
    <w:p w14:paraId="765927D8">
      <w:pPr>
        <w:pStyle w:val="4"/>
        <w:spacing w:line="360" w:lineRule="auto"/>
      </w:pPr>
    </w:p>
    <w:p w14:paraId="0F60F73A">
      <w:pPr>
        <w:spacing w:before="78" w:line="360" w:lineRule="auto"/>
        <w:ind w:left="11" w:firstLine="478"/>
        <w:rPr>
          <w:rFonts w:ascii="宋体" w:hAnsi="宋体" w:eastAsia="宋体" w:cs="宋体"/>
          <w:sz w:val="24"/>
          <w:szCs w:val="24"/>
        </w:rPr>
      </w:pPr>
      <w:r>
        <w:rPr>
          <w:rFonts w:ascii="宋体" w:hAnsi="宋体" w:eastAsia="宋体" w:cs="宋体"/>
          <w:spacing w:val="-1"/>
          <w:sz w:val="24"/>
          <w:szCs w:val="24"/>
        </w:rPr>
        <w:t>根据财政部、司法部《关于政府采购支持监狱企业发展有关问</w:t>
      </w:r>
      <w:r>
        <w:rPr>
          <w:rFonts w:ascii="宋体" w:hAnsi="宋体" w:eastAsia="宋体" w:cs="宋体"/>
          <w:spacing w:val="-2"/>
          <w:sz w:val="24"/>
          <w:szCs w:val="24"/>
        </w:rPr>
        <w:t>题的通知》（财库〔2014〕</w:t>
      </w:r>
      <w:r>
        <w:rPr>
          <w:rFonts w:ascii="宋体" w:hAnsi="宋体" w:eastAsia="宋体" w:cs="宋体"/>
          <w:sz w:val="24"/>
          <w:szCs w:val="24"/>
        </w:rPr>
        <w:t xml:space="preserve"> </w:t>
      </w:r>
      <w:r>
        <w:rPr>
          <w:rFonts w:ascii="宋体" w:hAnsi="宋体" w:eastAsia="宋体" w:cs="宋体"/>
          <w:spacing w:val="-1"/>
          <w:sz w:val="24"/>
          <w:szCs w:val="24"/>
        </w:rPr>
        <w:t>68</w:t>
      </w:r>
      <w:r>
        <w:rPr>
          <w:rFonts w:ascii="宋体" w:hAnsi="宋体" w:eastAsia="宋体" w:cs="宋体"/>
          <w:spacing w:val="-32"/>
          <w:sz w:val="24"/>
          <w:szCs w:val="24"/>
        </w:rPr>
        <w:t xml:space="preserve"> </w:t>
      </w:r>
      <w:r>
        <w:rPr>
          <w:rFonts w:ascii="宋体" w:hAnsi="宋体" w:eastAsia="宋体" w:cs="宋体"/>
          <w:spacing w:val="-1"/>
          <w:sz w:val="24"/>
          <w:szCs w:val="24"/>
        </w:rPr>
        <w:t>号）的规定，监狱企业是指由司法部认定的为罪犯、戒毒人员提供生产项目和劳动对象，</w:t>
      </w:r>
    </w:p>
    <w:p w14:paraId="205D9323">
      <w:pPr>
        <w:spacing w:line="360" w:lineRule="auto"/>
        <w:ind w:left="9" w:right="49"/>
        <w:rPr>
          <w:rFonts w:ascii="宋体" w:hAnsi="宋体" w:eastAsia="宋体" w:cs="宋体"/>
          <w:sz w:val="24"/>
          <w:szCs w:val="24"/>
        </w:rPr>
      </w:pPr>
      <w:r>
        <w:rPr>
          <w:rFonts w:ascii="宋体" w:hAnsi="宋体" w:eastAsia="宋体" w:cs="宋体"/>
          <w:spacing w:val="-2"/>
          <w:sz w:val="24"/>
          <w:szCs w:val="24"/>
        </w:rPr>
        <w:t>且全部产权属于司法部监狱管理局、戒毒管</w:t>
      </w:r>
      <w:r>
        <w:rPr>
          <w:rFonts w:ascii="宋体" w:hAnsi="宋体" w:eastAsia="宋体" w:cs="宋体"/>
          <w:spacing w:val="-3"/>
          <w:sz w:val="24"/>
          <w:szCs w:val="24"/>
        </w:rPr>
        <w:t>理局、直属煤矿管理局，各省、自治区、直辖市监</w:t>
      </w:r>
      <w:r>
        <w:rPr>
          <w:rFonts w:ascii="宋体" w:hAnsi="宋体" w:eastAsia="宋体" w:cs="宋体"/>
          <w:spacing w:val="-2"/>
          <w:sz w:val="24"/>
          <w:szCs w:val="24"/>
        </w:rPr>
        <w:t>狱管理局、戒毒管理局，各地（设区的市）</w:t>
      </w:r>
      <w:r>
        <w:rPr>
          <w:rFonts w:ascii="宋体" w:hAnsi="宋体" w:eastAsia="宋体" w:cs="宋体"/>
          <w:spacing w:val="-3"/>
          <w:sz w:val="24"/>
          <w:szCs w:val="24"/>
        </w:rPr>
        <w:t>监狱、强制隔离戒毒所、戒毒康复所，以及新疆生</w:t>
      </w:r>
      <w:r>
        <w:rPr>
          <w:rFonts w:ascii="宋体" w:hAnsi="宋体" w:eastAsia="宋体" w:cs="宋体"/>
          <w:spacing w:val="-1"/>
          <w:sz w:val="24"/>
          <w:szCs w:val="24"/>
        </w:rPr>
        <w:t>产建设兵团监狱管理局、戒毒管理局的企业。</w:t>
      </w:r>
    </w:p>
    <w:p w14:paraId="5591311D">
      <w:pPr>
        <w:spacing w:line="360" w:lineRule="auto"/>
        <w:ind w:left="9" w:right="49" w:firstLine="480"/>
        <w:rPr>
          <w:rFonts w:ascii="宋体" w:hAnsi="宋体" w:eastAsia="宋体" w:cs="宋体"/>
          <w:sz w:val="24"/>
          <w:szCs w:val="24"/>
        </w:rPr>
      </w:pPr>
      <w:r>
        <w:rPr>
          <w:rFonts w:ascii="宋体" w:hAnsi="宋体" w:eastAsia="宋体" w:cs="宋体"/>
          <w:spacing w:val="-3"/>
          <w:sz w:val="24"/>
          <w:szCs w:val="24"/>
        </w:rPr>
        <w:t>监狱企业参加政府采购活动时，应当提供由省级以上监狱管理局、戒毒管理局（含新疆生</w:t>
      </w:r>
      <w:r>
        <w:rPr>
          <w:rFonts w:ascii="宋体" w:hAnsi="宋体" w:eastAsia="宋体" w:cs="宋体"/>
          <w:spacing w:val="-1"/>
          <w:sz w:val="24"/>
          <w:szCs w:val="24"/>
        </w:rPr>
        <w:t>产建设兵团）出具的属于监狱企业的证明文件。</w:t>
      </w:r>
    </w:p>
    <w:p w14:paraId="4C67BE23">
      <w:pPr>
        <w:pStyle w:val="4"/>
        <w:spacing w:line="360" w:lineRule="auto"/>
      </w:pPr>
    </w:p>
    <w:p w14:paraId="3942F2B6">
      <w:pPr>
        <w:pStyle w:val="4"/>
        <w:spacing w:line="360" w:lineRule="auto"/>
      </w:pPr>
    </w:p>
    <w:p w14:paraId="7A4A2E39">
      <w:pPr>
        <w:pStyle w:val="4"/>
        <w:spacing w:line="360" w:lineRule="auto"/>
      </w:pPr>
    </w:p>
    <w:p w14:paraId="59DAE090">
      <w:pPr>
        <w:spacing w:before="78" w:line="360" w:lineRule="auto"/>
        <w:ind w:left="2605"/>
        <w:outlineLvl w:val="1"/>
        <w:rPr>
          <w:rFonts w:ascii="宋体" w:hAnsi="宋体" w:eastAsia="宋体" w:cs="宋体"/>
          <w:sz w:val="24"/>
          <w:szCs w:val="24"/>
        </w:rPr>
      </w:pPr>
      <w:bookmarkStart w:id="95" w:name="_Toc9717"/>
      <w:r>
        <w:rPr>
          <w:rFonts w:ascii="宋体" w:hAnsi="宋体" w:eastAsia="宋体" w:cs="宋体"/>
          <w:b/>
          <w:bCs/>
          <w:spacing w:val="-3"/>
          <w:sz w:val="24"/>
          <w:szCs w:val="24"/>
        </w:rPr>
        <w:t>（三）残疾人福利性单位证明文件（若有）</w:t>
      </w:r>
      <w:bookmarkEnd w:id="95"/>
    </w:p>
    <w:p w14:paraId="37DA5C00">
      <w:pPr>
        <w:pStyle w:val="4"/>
        <w:spacing w:line="360" w:lineRule="auto"/>
      </w:pPr>
    </w:p>
    <w:p w14:paraId="07B26B35">
      <w:pPr>
        <w:spacing w:before="78" w:line="360" w:lineRule="auto"/>
        <w:ind w:left="9"/>
        <w:rPr>
          <w:rFonts w:ascii="宋体" w:hAnsi="宋体" w:eastAsia="宋体" w:cs="宋体"/>
          <w:sz w:val="24"/>
          <w:szCs w:val="24"/>
        </w:rPr>
      </w:pPr>
      <w:r>
        <w:rPr>
          <w:rFonts w:ascii="宋体" w:hAnsi="宋体" w:eastAsia="宋体" w:cs="宋体"/>
          <w:b/>
          <w:bCs/>
          <w:spacing w:val="-3"/>
          <w:sz w:val="24"/>
          <w:szCs w:val="24"/>
        </w:rPr>
        <w:t>致</w:t>
      </w:r>
      <w:r>
        <w:rPr>
          <w:rFonts w:hint="eastAsia" w:ascii="宋体" w:hAnsi="宋体" w:eastAsia="宋体" w:cs="宋体"/>
          <w:b/>
          <w:bCs/>
          <w:spacing w:val="-3"/>
          <w:sz w:val="24"/>
          <w:szCs w:val="24"/>
          <w:lang w:eastAsia="zh-CN"/>
        </w:rPr>
        <w:t>华春建设工程项目管理有限责任公司</w:t>
      </w:r>
      <w:r>
        <w:rPr>
          <w:rFonts w:ascii="宋体" w:hAnsi="宋体" w:eastAsia="宋体" w:cs="宋体"/>
          <w:b/>
          <w:bCs/>
          <w:spacing w:val="-3"/>
          <w:sz w:val="24"/>
          <w:szCs w:val="24"/>
        </w:rPr>
        <w:t>：</w:t>
      </w:r>
    </w:p>
    <w:p w14:paraId="08C12596">
      <w:pPr>
        <w:spacing w:before="135" w:line="360" w:lineRule="auto"/>
        <w:ind w:left="8" w:right="49" w:firstLine="481"/>
        <w:jc w:val="both"/>
        <w:rPr>
          <w:rFonts w:ascii="宋体" w:hAnsi="宋体" w:eastAsia="宋体" w:cs="宋体"/>
          <w:sz w:val="24"/>
          <w:szCs w:val="24"/>
        </w:rPr>
      </w:pPr>
      <w:r>
        <w:rPr>
          <w:rFonts w:ascii="宋体" w:hAnsi="宋体" w:eastAsia="宋体" w:cs="宋体"/>
          <w:spacing w:val="-4"/>
          <w:sz w:val="24"/>
          <w:szCs w:val="24"/>
        </w:rPr>
        <w:t>本单位郑重声明，根据《财政部</w:t>
      </w:r>
      <w:r>
        <w:rPr>
          <w:rFonts w:ascii="宋体" w:hAnsi="宋体" w:eastAsia="宋体" w:cs="宋体"/>
          <w:spacing w:val="33"/>
          <w:sz w:val="24"/>
          <w:szCs w:val="24"/>
        </w:rPr>
        <w:t xml:space="preserve"> </w:t>
      </w:r>
      <w:r>
        <w:rPr>
          <w:rFonts w:ascii="宋体" w:hAnsi="宋体" w:eastAsia="宋体" w:cs="宋体"/>
          <w:spacing w:val="-4"/>
          <w:sz w:val="24"/>
          <w:szCs w:val="24"/>
        </w:rPr>
        <w:t>民政部</w:t>
      </w:r>
      <w:r>
        <w:rPr>
          <w:rFonts w:ascii="宋体" w:hAnsi="宋体" w:eastAsia="宋体" w:cs="宋体"/>
          <w:spacing w:val="32"/>
          <w:sz w:val="24"/>
          <w:szCs w:val="24"/>
        </w:rPr>
        <w:t xml:space="preserve"> </w:t>
      </w:r>
      <w:r>
        <w:rPr>
          <w:rFonts w:ascii="宋体" w:hAnsi="宋体" w:eastAsia="宋体" w:cs="宋体"/>
          <w:spacing w:val="-4"/>
          <w:sz w:val="24"/>
          <w:szCs w:val="24"/>
        </w:rPr>
        <w:t>中国残</w:t>
      </w:r>
      <w:r>
        <w:rPr>
          <w:rFonts w:ascii="宋体" w:hAnsi="宋体" w:eastAsia="宋体" w:cs="宋体"/>
          <w:spacing w:val="-5"/>
          <w:sz w:val="24"/>
          <w:szCs w:val="24"/>
        </w:rPr>
        <w:t>疾人联合会关于促进残疾人就业政府采购</w:t>
      </w:r>
      <w:r>
        <w:rPr>
          <w:rFonts w:ascii="宋体" w:hAnsi="宋体" w:eastAsia="宋体" w:cs="宋体"/>
          <w:spacing w:val="1"/>
          <w:sz w:val="24"/>
          <w:szCs w:val="24"/>
        </w:rPr>
        <w:t>政策的通知》（财库〔2017〕</w:t>
      </w:r>
      <w:r>
        <w:rPr>
          <w:rFonts w:ascii="宋体" w:hAnsi="宋体" w:eastAsia="宋体" w:cs="宋体"/>
          <w:spacing w:val="35"/>
          <w:sz w:val="24"/>
          <w:szCs w:val="24"/>
        </w:rPr>
        <w:t xml:space="preserve"> </w:t>
      </w:r>
      <w:r>
        <w:rPr>
          <w:rFonts w:ascii="宋体" w:hAnsi="宋体" w:eastAsia="宋体" w:cs="宋体"/>
          <w:spacing w:val="1"/>
          <w:sz w:val="24"/>
          <w:szCs w:val="24"/>
        </w:rPr>
        <w:t>141</w:t>
      </w:r>
      <w:r>
        <w:rPr>
          <w:rFonts w:ascii="宋体" w:hAnsi="宋体" w:eastAsia="宋体" w:cs="宋体"/>
          <w:spacing w:val="-43"/>
          <w:sz w:val="24"/>
          <w:szCs w:val="24"/>
        </w:rPr>
        <w:t xml:space="preserve"> </w:t>
      </w:r>
      <w:r>
        <w:rPr>
          <w:rFonts w:ascii="宋体" w:hAnsi="宋体" w:eastAsia="宋体" w:cs="宋体"/>
          <w:spacing w:val="1"/>
          <w:sz w:val="24"/>
          <w:szCs w:val="24"/>
        </w:rPr>
        <w:t>号）的规定，</w:t>
      </w:r>
      <w:r>
        <w:rPr>
          <w:rFonts w:ascii="宋体" w:hAnsi="宋体" w:eastAsia="宋体" w:cs="宋体"/>
          <w:sz w:val="24"/>
          <w:szCs w:val="24"/>
        </w:rPr>
        <w:t>本单位为符合条件的残疾人福利性单位，且本单位参加</w:t>
      </w:r>
      <w:r>
        <w:rPr>
          <w:rFonts w:ascii="宋体" w:hAnsi="宋体" w:eastAsia="宋体" w:cs="宋体"/>
          <w:spacing w:val="-120"/>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z w:val="24"/>
          <w:szCs w:val="24"/>
        </w:rPr>
        <w:t>单位的</w:t>
      </w:r>
      <w:r>
        <w:rPr>
          <w:rFonts w:ascii="宋体" w:hAnsi="宋体" w:eastAsia="宋体" w:cs="宋体"/>
          <w:spacing w:val="23"/>
          <w:sz w:val="24"/>
          <w:szCs w:val="24"/>
          <w:u w:val="single" w:color="auto"/>
        </w:rPr>
        <w:t xml:space="preserve">     </w:t>
      </w:r>
      <w:r>
        <w:rPr>
          <w:rFonts w:ascii="宋体" w:hAnsi="宋体" w:eastAsia="宋体" w:cs="宋体"/>
          <w:spacing w:val="-101"/>
          <w:sz w:val="24"/>
          <w:szCs w:val="24"/>
        </w:rPr>
        <w:t xml:space="preserve"> </w:t>
      </w:r>
      <w:r>
        <w:rPr>
          <w:rFonts w:ascii="宋体" w:hAnsi="宋体" w:eastAsia="宋体" w:cs="宋体"/>
          <w:sz w:val="24"/>
          <w:szCs w:val="24"/>
        </w:rPr>
        <w:t>项目采购活动提供本单位制造的货物（</w:t>
      </w:r>
      <w:r>
        <w:rPr>
          <w:rFonts w:ascii="宋体" w:hAnsi="宋体" w:eastAsia="宋体" w:cs="宋体"/>
          <w:spacing w:val="-1"/>
          <w:sz w:val="24"/>
          <w:szCs w:val="24"/>
        </w:rPr>
        <w:t>由本单位承担工程/提供服务</w:t>
      </w:r>
      <w:r>
        <w:rPr>
          <w:rFonts w:ascii="宋体" w:hAnsi="宋体" w:eastAsia="宋体" w:cs="宋体"/>
          <w:spacing w:val="-25"/>
          <w:sz w:val="24"/>
          <w:szCs w:val="24"/>
        </w:rPr>
        <w:t>），</w:t>
      </w:r>
      <w:r>
        <w:rPr>
          <w:rFonts w:ascii="宋体" w:hAnsi="宋体" w:eastAsia="宋体" w:cs="宋体"/>
          <w:spacing w:val="-1"/>
          <w:sz w:val="24"/>
          <w:szCs w:val="24"/>
        </w:rPr>
        <w:t>或者提供其他残疾人福利性单位制造的货物</w:t>
      </w:r>
      <w:r>
        <w:rPr>
          <w:rFonts w:ascii="宋体" w:hAnsi="宋体" w:eastAsia="宋体" w:cs="宋体"/>
          <w:spacing w:val="-2"/>
          <w:sz w:val="24"/>
          <w:szCs w:val="24"/>
        </w:rPr>
        <w:t>（不包括使用非残疾人福利性单位注册商标的货物）。</w:t>
      </w:r>
    </w:p>
    <w:p w14:paraId="10A2F213">
      <w:pPr>
        <w:spacing w:before="1" w:line="360" w:lineRule="auto"/>
        <w:ind w:left="490"/>
        <w:rPr>
          <w:rFonts w:ascii="宋体" w:hAnsi="宋体" w:eastAsia="宋体" w:cs="宋体"/>
          <w:sz w:val="24"/>
          <w:szCs w:val="24"/>
        </w:rPr>
      </w:pPr>
      <w:r>
        <w:rPr>
          <w:rFonts w:ascii="宋体" w:hAnsi="宋体" w:eastAsia="宋体" w:cs="宋体"/>
          <w:spacing w:val="-1"/>
          <w:sz w:val="24"/>
          <w:szCs w:val="24"/>
        </w:rPr>
        <w:t>本单位对上述声明的真实性负责。如有虚假，将依法承担相应责任。</w:t>
      </w:r>
    </w:p>
    <w:p w14:paraId="258A67B1">
      <w:pPr>
        <w:pStyle w:val="4"/>
        <w:spacing w:line="360" w:lineRule="auto"/>
      </w:pPr>
    </w:p>
    <w:p w14:paraId="08FC6147">
      <w:pPr>
        <w:pStyle w:val="4"/>
        <w:spacing w:line="360" w:lineRule="auto"/>
      </w:pPr>
    </w:p>
    <w:p w14:paraId="243D2F7F">
      <w:pPr>
        <w:pStyle w:val="4"/>
        <w:spacing w:line="360" w:lineRule="auto"/>
      </w:pPr>
    </w:p>
    <w:p w14:paraId="484BA625">
      <w:pPr>
        <w:spacing w:before="78" w:line="360" w:lineRule="auto"/>
        <w:ind w:left="5063"/>
        <w:rPr>
          <w:rFonts w:ascii="宋体" w:hAnsi="宋体" w:eastAsia="宋体" w:cs="宋体"/>
          <w:sz w:val="24"/>
          <w:szCs w:val="24"/>
        </w:rPr>
      </w:pPr>
      <w:r>
        <w:rPr>
          <w:rFonts w:ascii="宋体" w:hAnsi="宋体" w:eastAsia="宋体" w:cs="宋体"/>
          <w:spacing w:val="-2"/>
          <w:sz w:val="24"/>
          <w:szCs w:val="24"/>
        </w:rPr>
        <w:t>单位名称（盖章</w:t>
      </w:r>
      <w:r>
        <w:rPr>
          <w:rFonts w:ascii="宋体" w:hAnsi="宋体" w:eastAsia="宋体" w:cs="宋体"/>
          <w:sz w:val="24"/>
          <w:szCs w:val="24"/>
        </w:rPr>
        <w:t>）：</w:t>
      </w:r>
    </w:p>
    <w:p w14:paraId="464BD9F7">
      <w:pPr>
        <w:spacing w:before="136" w:line="360" w:lineRule="auto"/>
        <w:ind w:left="5222"/>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6"/>
          <w:sz w:val="24"/>
          <w:szCs w:val="24"/>
        </w:rPr>
        <w:t xml:space="preserve">  </w:t>
      </w:r>
      <w:r>
        <w:rPr>
          <w:rFonts w:ascii="宋体" w:hAnsi="宋体" w:eastAsia="宋体" w:cs="宋体"/>
          <w:spacing w:val="-21"/>
          <w:sz w:val="24"/>
          <w:szCs w:val="24"/>
        </w:rPr>
        <w:t>期：</w:t>
      </w:r>
    </w:p>
    <w:p w14:paraId="0BCCEE4E">
      <w:pPr>
        <w:pStyle w:val="4"/>
        <w:spacing w:line="360" w:lineRule="auto"/>
      </w:pPr>
    </w:p>
    <w:p w14:paraId="46710D32">
      <w:pPr>
        <w:spacing w:before="78" w:line="360" w:lineRule="auto"/>
        <w:ind w:left="489"/>
        <w:rPr>
          <w:rFonts w:ascii="宋体" w:hAnsi="宋体" w:eastAsia="宋体" w:cs="宋体"/>
          <w:sz w:val="24"/>
          <w:szCs w:val="24"/>
        </w:rPr>
      </w:pPr>
      <w:r>
        <w:rPr>
          <w:rFonts w:ascii="宋体" w:hAnsi="宋体" w:eastAsia="宋体" w:cs="宋体"/>
          <w:b/>
          <w:bCs/>
          <w:spacing w:val="-3"/>
          <w:sz w:val="24"/>
          <w:szCs w:val="24"/>
        </w:rPr>
        <w:t>注：残疾人福利性单位的应填写。</w:t>
      </w:r>
    </w:p>
    <w:p w14:paraId="1628A390">
      <w:pPr>
        <w:spacing w:line="360" w:lineRule="auto"/>
        <w:rPr>
          <w:rFonts w:ascii="宋体" w:hAnsi="宋体" w:eastAsia="宋体" w:cs="宋体"/>
          <w:sz w:val="24"/>
          <w:szCs w:val="24"/>
        </w:rPr>
        <w:sectPr>
          <w:headerReference r:id="rId61" w:type="default"/>
          <w:footerReference r:id="rId62" w:type="default"/>
          <w:pgSz w:w="11906" w:h="16839"/>
          <w:pgMar w:top="1166" w:right="1030" w:bottom="1166" w:left="1080" w:header="829" w:footer="952" w:gutter="0"/>
          <w:cols w:space="720" w:num="1"/>
        </w:sectPr>
      </w:pPr>
    </w:p>
    <w:p w14:paraId="78BB8D17">
      <w:pPr>
        <w:pStyle w:val="4"/>
        <w:spacing w:line="360" w:lineRule="auto"/>
      </w:pPr>
    </w:p>
    <w:p w14:paraId="318DA54B">
      <w:pPr>
        <w:spacing w:before="91" w:line="360" w:lineRule="auto"/>
        <w:ind w:left="3687"/>
        <w:rPr>
          <w:rFonts w:ascii="宋体" w:hAnsi="宋体" w:eastAsia="宋体" w:cs="宋体"/>
          <w:sz w:val="28"/>
          <w:szCs w:val="28"/>
        </w:rPr>
      </w:pPr>
      <w:r>
        <w:rPr>
          <w:rFonts w:ascii="宋体" w:hAnsi="宋体" w:eastAsia="宋体" w:cs="宋体"/>
          <w:b/>
          <w:bCs/>
          <w:spacing w:val="-3"/>
          <w:sz w:val="28"/>
          <w:szCs w:val="28"/>
        </w:rPr>
        <w:t>第九部分</w:t>
      </w:r>
      <w:r>
        <w:rPr>
          <w:rFonts w:ascii="宋体" w:hAnsi="宋体" w:eastAsia="宋体" w:cs="宋体"/>
          <w:spacing w:val="-3"/>
          <w:sz w:val="28"/>
          <w:szCs w:val="28"/>
        </w:rPr>
        <w:t xml:space="preserve"> </w:t>
      </w:r>
      <w:r>
        <w:rPr>
          <w:rFonts w:ascii="宋体" w:hAnsi="宋体" w:eastAsia="宋体" w:cs="宋体"/>
          <w:b/>
          <w:bCs/>
          <w:spacing w:val="-3"/>
          <w:sz w:val="28"/>
          <w:szCs w:val="28"/>
        </w:rPr>
        <w:t>其他资料</w:t>
      </w:r>
    </w:p>
    <w:p w14:paraId="1111DD6E">
      <w:pPr>
        <w:pStyle w:val="4"/>
        <w:spacing w:line="360" w:lineRule="auto"/>
      </w:pPr>
    </w:p>
    <w:p w14:paraId="619EEDE0">
      <w:pPr>
        <w:spacing w:before="78" w:line="360" w:lineRule="auto"/>
        <w:ind w:left="27"/>
        <w:rPr>
          <w:rFonts w:ascii="宋体" w:hAnsi="宋体" w:eastAsia="宋体" w:cs="宋体"/>
          <w:sz w:val="24"/>
          <w:szCs w:val="24"/>
        </w:rPr>
      </w:pPr>
      <w:r>
        <w:rPr>
          <w:rFonts w:ascii="宋体" w:hAnsi="宋体" w:eastAsia="宋体" w:cs="宋体"/>
          <w:spacing w:val="-2"/>
          <w:sz w:val="24"/>
          <w:szCs w:val="24"/>
        </w:rPr>
        <w:t>1、开户许可证或基本存款账户信息。</w:t>
      </w:r>
    </w:p>
    <w:p w14:paraId="10FF00A8">
      <w:pPr>
        <w:spacing w:before="137" w:line="360" w:lineRule="auto"/>
        <w:ind w:left="12"/>
        <w:rPr>
          <w:rFonts w:ascii="宋体" w:hAnsi="宋体" w:eastAsia="宋体" w:cs="宋体"/>
          <w:sz w:val="24"/>
          <w:szCs w:val="24"/>
        </w:rPr>
      </w:pPr>
      <w:r>
        <w:rPr>
          <w:rFonts w:ascii="宋体" w:hAnsi="宋体" w:eastAsia="宋体" w:cs="宋体"/>
          <w:spacing w:val="-1"/>
          <w:sz w:val="24"/>
          <w:szCs w:val="24"/>
        </w:rPr>
        <w:t>2、依据磋商文件要求，供应商认为有必要说明的其他内容。</w:t>
      </w:r>
    </w:p>
    <w:p w14:paraId="26767F23">
      <w:pPr>
        <w:spacing w:before="135" w:line="360" w:lineRule="auto"/>
        <w:ind w:left="14"/>
        <w:rPr>
          <w:rFonts w:ascii="宋体" w:hAnsi="宋体" w:eastAsia="宋体" w:cs="宋体"/>
          <w:sz w:val="24"/>
          <w:szCs w:val="24"/>
        </w:rPr>
      </w:pPr>
      <w:r>
        <w:rPr>
          <w:rFonts w:ascii="宋体" w:hAnsi="宋体" w:eastAsia="宋体" w:cs="宋体"/>
          <w:spacing w:val="-1"/>
          <w:sz w:val="24"/>
          <w:szCs w:val="24"/>
        </w:rPr>
        <w:t>3、其他可以证明供应商实力的文件。</w:t>
      </w:r>
    </w:p>
    <w:sectPr>
      <w:headerReference r:id="rId63" w:type="default"/>
      <w:footerReference r:id="rId64" w:type="default"/>
      <w:pgSz w:w="11906" w:h="16839"/>
      <w:pgMar w:top="1166" w:right="1080" w:bottom="1166" w:left="1080" w:header="829" w:footer="95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Gothic">
    <w:panose1 w:val="020B0609070205080204"/>
    <w:charset w:val="86"/>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64338">
    <w:pPr>
      <w:spacing w:line="209" w:lineRule="auto"/>
      <w:ind w:left="4564"/>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5"/>
        <w:sz w:val="18"/>
        <w:szCs w:val="18"/>
      </w:rPr>
      <w:t xml:space="preserve"> </w:t>
    </w:r>
    <w:r>
      <w:rPr>
        <w:rFonts w:ascii="Times New Roman" w:hAnsi="Times New Roman" w:eastAsia="Times New Roman" w:cs="Times New Roman"/>
        <w:spacing w:val="-4"/>
        <w:sz w:val="18"/>
        <w:szCs w:val="18"/>
      </w:rPr>
      <w:t>4</w:t>
    </w:r>
    <w:r>
      <w:rPr>
        <w:rFonts w:ascii="Times New Roman" w:hAnsi="Times New Roman" w:eastAsia="Times New Roman" w:cs="Times New Roman"/>
        <w:spacing w:val="5"/>
        <w:sz w:val="18"/>
        <w:szCs w:val="18"/>
      </w:rPr>
      <w:t xml:space="preserve">  </w:t>
    </w:r>
    <w:r>
      <w:rPr>
        <w:rFonts w:ascii="宋体" w:hAnsi="宋体" w:eastAsia="宋体" w:cs="宋体"/>
        <w:spacing w:val="-4"/>
        <w:sz w:val="18"/>
        <w:szCs w:val="18"/>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57B05">
    <w:pPr>
      <w:spacing w:line="209" w:lineRule="auto"/>
      <w:ind w:left="4519"/>
      <w:rPr>
        <w:rFonts w:ascii="宋体" w:hAnsi="宋体" w:eastAsia="宋体" w:cs="宋体"/>
        <w:sz w:val="18"/>
        <w:szCs w:val="18"/>
      </w:rPr>
    </w:pPr>
    <w:r>
      <w:rPr>
        <w:rFonts w:ascii="宋体" w:hAnsi="宋体" w:eastAsia="宋体" w:cs="宋体"/>
        <w:spacing w:val="-1"/>
        <w:sz w:val="18"/>
        <w:szCs w:val="18"/>
      </w:rPr>
      <w:t xml:space="preserve">第 </w:t>
    </w:r>
    <w:r>
      <w:rPr>
        <w:rFonts w:ascii="Times New Roman" w:hAnsi="Times New Roman" w:eastAsia="Times New Roman" w:cs="Times New Roman"/>
        <w:spacing w:val="-1"/>
        <w:sz w:val="18"/>
        <w:szCs w:val="18"/>
      </w:rPr>
      <w:t>43</w:t>
    </w:r>
    <w:r>
      <w:rPr>
        <w:rFonts w:ascii="Times New Roman" w:hAnsi="Times New Roman" w:eastAsia="Times New Roman" w:cs="Times New Roman"/>
        <w:spacing w:val="4"/>
        <w:sz w:val="18"/>
        <w:szCs w:val="18"/>
      </w:rPr>
      <w:t xml:space="preserve">  </w:t>
    </w:r>
    <w:r>
      <w:rPr>
        <w:rFonts w:ascii="宋体" w:hAnsi="宋体" w:eastAsia="宋体" w:cs="宋体"/>
        <w:spacing w:val="-1"/>
        <w:sz w:val="18"/>
        <w:szCs w:val="18"/>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7FFB5">
    <w:pPr>
      <w:spacing w:line="209" w:lineRule="auto"/>
      <w:ind w:left="4519"/>
      <w:rPr>
        <w:rFonts w:ascii="宋体" w:hAnsi="宋体" w:eastAsia="宋体" w:cs="宋体"/>
        <w:sz w:val="18"/>
        <w:szCs w:val="18"/>
      </w:rPr>
    </w:pPr>
    <w:r>
      <w:rPr>
        <w:rFonts w:ascii="宋体" w:hAnsi="宋体" w:eastAsia="宋体" w:cs="宋体"/>
        <w:spacing w:val="-1"/>
        <w:sz w:val="18"/>
        <w:szCs w:val="18"/>
      </w:rPr>
      <w:t xml:space="preserve">第 </w:t>
    </w:r>
    <w:r>
      <w:rPr>
        <w:rFonts w:ascii="Times New Roman" w:hAnsi="Times New Roman" w:eastAsia="Times New Roman" w:cs="Times New Roman"/>
        <w:spacing w:val="-1"/>
        <w:sz w:val="18"/>
        <w:szCs w:val="18"/>
      </w:rPr>
      <w:t>47</w:t>
    </w:r>
    <w:r>
      <w:rPr>
        <w:rFonts w:ascii="Times New Roman" w:hAnsi="Times New Roman" w:eastAsia="Times New Roman" w:cs="Times New Roman"/>
        <w:spacing w:val="4"/>
        <w:sz w:val="18"/>
        <w:szCs w:val="18"/>
      </w:rPr>
      <w:t xml:space="preserve">  </w:t>
    </w:r>
    <w:r>
      <w:rPr>
        <w:rFonts w:ascii="宋体" w:hAnsi="宋体" w:eastAsia="宋体" w:cs="宋体"/>
        <w:spacing w:val="-1"/>
        <w:sz w:val="18"/>
        <w:szCs w:val="18"/>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6D870">
    <w:pPr>
      <w:spacing w:line="209" w:lineRule="auto"/>
      <w:ind w:left="4519"/>
      <w:rPr>
        <w:rFonts w:ascii="宋体" w:hAnsi="宋体" w:eastAsia="宋体" w:cs="宋体"/>
        <w:sz w:val="18"/>
        <w:szCs w:val="18"/>
      </w:rPr>
    </w:pPr>
    <w:r>
      <w:rPr>
        <w:rFonts w:ascii="宋体" w:hAnsi="宋体" w:eastAsia="宋体" w:cs="宋体"/>
        <w:spacing w:val="-1"/>
        <w:sz w:val="18"/>
        <w:szCs w:val="18"/>
      </w:rPr>
      <w:t xml:space="preserve">第 </w:t>
    </w:r>
    <w:r>
      <w:rPr>
        <w:rFonts w:ascii="Times New Roman" w:hAnsi="Times New Roman" w:eastAsia="Times New Roman" w:cs="Times New Roman"/>
        <w:spacing w:val="-1"/>
        <w:sz w:val="18"/>
        <w:szCs w:val="18"/>
      </w:rPr>
      <w:t>48</w:t>
    </w:r>
    <w:r>
      <w:rPr>
        <w:rFonts w:ascii="Times New Roman" w:hAnsi="Times New Roman" w:eastAsia="Times New Roman" w:cs="Times New Roman"/>
        <w:spacing w:val="4"/>
        <w:sz w:val="18"/>
        <w:szCs w:val="18"/>
      </w:rPr>
      <w:t xml:space="preserve">  </w:t>
    </w:r>
    <w:r>
      <w:rPr>
        <w:rFonts w:ascii="宋体" w:hAnsi="宋体" w:eastAsia="宋体" w:cs="宋体"/>
        <w:spacing w:val="-1"/>
        <w:sz w:val="18"/>
        <w:szCs w:val="18"/>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5CFF7">
    <w:pPr>
      <w:spacing w:line="209" w:lineRule="auto"/>
      <w:ind w:left="4519"/>
      <w:rPr>
        <w:rFonts w:ascii="宋体" w:hAnsi="宋体" w:eastAsia="宋体" w:cs="宋体"/>
        <w:sz w:val="18"/>
        <w:szCs w:val="18"/>
      </w:rPr>
    </w:pPr>
    <w:r>
      <w:rPr>
        <w:rFonts w:ascii="宋体" w:hAnsi="宋体" w:eastAsia="宋体" w:cs="宋体"/>
        <w:spacing w:val="-1"/>
        <w:sz w:val="18"/>
        <w:szCs w:val="18"/>
      </w:rPr>
      <w:t xml:space="preserve">第 </w:t>
    </w:r>
    <w:r>
      <w:rPr>
        <w:rFonts w:ascii="Times New Roman" w:hAnsi="Times New Roman" w:eastAsia="Times New Roman" w:cs="Times New Roman"/>
        <w:spacing w:val="-1"/>
        <w:sz w:val="18"/>
        <w:szCs w:val="18"/>
      </w:rPr>
      <w:t>49</w:t>
    </w:r>
    <w:r>
      <w:rPr>
        <w:rFonts w:ascii="Times New Roman" w:hAnsi="Times New Roman" w:eastAsia="Times New Roman" w:cs="Times New Roman"/>
        <w:spacing w:val="4"/>
        <w:sz w:val="18"/>
        <w:szCs w:val="18"/>
      </w:rPr>
      <w:t xml:space="preserve">  </w:t>
    </w:r>
    <w:r>
      <w:rPr>
        <w:rFonts w:ascii="宋体" w:hAnsi="宋体" w:eastAsia="宋体" w:cs="宋体"/>
        <w:spacing w:val="-1"/>
        <w:sz w:val="18"/>
        <w:szCs w:val="18"/>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4A05B">
    <w:pPr>
      <w:spacing w:line="209" w:lineRule="auto"/>
      <w:ind w:left="4519"/>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50</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56123">
    <w:pPr>
      <w:spacing w:line="209" w:lineRule="auto"/>
      <w:ind w:left="4519"/>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51</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59C27">
    <w:pPr>
      <w:spacing w:line="209" w:lineRule="auto"/>
      <w:ind w:left="4631"/>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52</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6943E">
    <w:pPr>
      <w:spacing w:line="209" w:lineRule="auto"/>
      <w:ind w:left="4519"/>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53</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49BC5">
    <w:pPr>
      <w:spacing w:line="209" w:lineRule="auto"/>
      <w:ind w:left="4519"/>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54</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2164F">
    <w:pPr>
      <w:spacing w:line="209" w:lineRule="auto"/>
      <w:ind w:left="4519"/>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55</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5786B">
    <w:pPr>
      <w:spacing w:line="209" w:lineRule="auto"/>
      <w:ind w:left="4638"/>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8"/>
        <w:sz w:val="18"/>
        <w:szCs w:val="18"/>
      </w:rPr>
      <w:t xml:space="preserve"> </w:t>
    </w:r>
    <w:r>
      <w:rPr>
        <w:rFonts w:ascii="Times New Roman" w:hAnsi="Times New Roman" w:eastAsia="Times New Roman" w:cs="Times New Roman"/>
        <w:spacing w:val="-5"/>
        <w:sz w:val="18"/>
        <w:szCs w:val="18"/>
      </w:rPr>
      <w:t>9</w:t>
    </w:r>
    <w:r>
      <w:rPr>
        <w:rFonts w:ascii="Times New Roman" w:hAnsi="Times New Roman" w:eastAsia="Times New Roman" w:cs="Times New Roman"/>
        <w:spacing w:val="5"/>
        <w:sz w:val="18"/>
        <w:szCs w:val="18"/>
      </w:rPr>
      <w:t xml:space="preserve">  </w:t>
    </w:r>
    <w:r>
      <w:rPr>
        <w:rFonts w:ascii="宋体" w:hAnsi="宋体" w:eastAsia="宋体" w:cs="宋体"/>
        <w:spacing w:val="-5"/>
        <w:sz w:val="18"/>
        <w:szCs w:val="18"/>
      </w:rPr>
      <w:t>页</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30342">
    <w:pPr>
      <w:spacing w:line="209" w:lineRule="auto"/>
      <w:ind w:left="4519"/>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56</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B02F3">
    <w:pPr>
      <w:spacing w:line="209" w:lineRule="auto"/>
      <w:ind w:left="4519"/>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57</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4B923">
    <w:pPr>
      <w:spacing w:line="209" w:lineRule="auto"/>
      <w:ind w:left="4519"/>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58</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78549">
    <w:pPr>
      <w:spacing w:line="209" w:lineRule="auto"/>
      <w:ind w:left="4519"/>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59</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528D1">
    <w:pPr>
      <w:spacing w:line="209" w:lineRule="auto"/>
      <w:ind w:left="4519"/>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60</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9E2CC">
    <w:pPr>
      <w:spacing w:line="209" w:lineRule="auto"/>
      <w:ind w:left="4519"/>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61</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9043E">
    <w:pPr>
      <w:spacing w:line="209" w:lineRule="auto"/>
      <w:ind w:left="4641"/>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62</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B6658">
    <w:pPr>
      <w:spacing w:line="209" w:lineRule="auto"/>
      <w:ind w:left="4519"/>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63</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20020">
    <w:pPr>
      <w:spacing w:line="209" w:lineRule="auto"/>
      <w:ind w:left="4519"/>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64</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B022B">
    <w:pPr>
      <w:spacing w:line="209" w:lineRule="auto"/>
      <w:ind w:left="4519"/>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65</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40D61">
    <w:pPr>
      <w:spacing w:line="209" w:lineRule="auto"/>
      <w:ind w:left="4519"/>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22"/>
        <w:sz w:val="18"/>
        <w:szCs w:val="18"/>
      </w:rPr>
      <w:t xml:space="preserve"> </w:t>
    </w:r>
    <w:r>
      <w:rPr>
        <w:rFonts w:ascii="Times New Roman" w:hAnsi="Times New Roman" w:eastAsia="Times New Roman" w:cs="Times New Roman"/>
        <w:spacing w:val="-7"/>
        <w:sz w:val="18"/>
        <w:szCs w:val="18"/>
      </w:rPr>
      <w:t>16</w:t>
    </w:r>
    <w:r>
      <w:rPr>
        <w:rFonts w:ascii="Times New Roman" w:hAnsi="Times New Roman" w:eastAsia="Times New Roman" w:cs="Times New Roman"/>
        <w:spacing w:val="4"/>
        <w:sz w:val="18"/>
        <w:szCs w:val="18"/>
      </w:rPr>
      <w:t xml:space="preserve">  </w:t>
    </w:r>
    <w:r>
      <w:rPr>
        <w:rFonts w:ascii="宋体" w:hAnsi="宋体" w:eastAsia="宋体" w:cs="宋体"/>
        <w:spacing w:val="-7"/>
        <w:sz w:val="18"/>
        <w:szCs w:val="18"/>
      </w:rPr>
      <w:t>页</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3CC53">
    <w:pPr>
      <w:spacing w:line="209" w:lineRule="auto"/>
      <w:ind w:left="4519"/>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66</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0116C">
    <w:pPr>
      <w:spacing w:line="209" w:lineRule="auto"/>
      <w:ind w:left="4519"/>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67</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F0D1F">
    <w:pPr>
      <w:spacing w:line="209" w:lineRule="auto"/>
      <w:ind w:left="4519"/>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68</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4A422">
    <w:pPr>
      <w:spacing w:line="209" w:lineRule="auto"/>
      <w:ind w:left="4519"/>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69</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034C4">
    <w:pPr>
      <w:spacing w:line="209" w:lineRule="auto"/>
      <w:ind w:left="4519"/>
      <w:rPr>
        <w:rFonts w:ascii="宋体" w:hAnsi="宋体" w:eastAsia="宋体" w:cs="宋体"/>
        <w:sz w:val="18"/>
        <w:szCs w:val="18"/>
      </w:rPr>
    </w:pPr>
    <w:r>
      <w:rPr>
        <w:rFonts w:ascii="宋体" w:hAnsi="宋体" w:eastAsia="宋体" w:cs="宋体"/>
        <w:spacing w:val="-3"/>
        <w:sz w:val="18"/>
        <w:szCs w:val="18"/>
      </w:rPr>
      <w:t>第</w:t>
    </w:r>
    <w:r>
      <w:rPr>
        <w:rFonts w:ascii="宋体" w:hAnsi="宋体" w:eastAsia="宋体" w:cs="宋体"/>
        <w:spacing w:val="6"/>
        <w:sz w:val="18"/>
        <w:szCs w:val="18"/>
      </w:rPr>
      <w:t xml:space="preserve"> </w:t>
    </w:r>
    <w:r>
      <w:rPr>
        <w:rFonts w:ascii="Times New Roman" w:hAnsi="Times New Roman" w:eastAsia="Times New Roman" w:cs="Times New Roman"/>
        <w:spacing w:val="-3"/>
        <w:sz w:val="18"/>
        <w:szCs w:val="18"/>
      </w:rPr>
      <w:t>28</w:t>
    </w:r>
    <w:r>
      <w:rPr>
        <w:rFonts w:ascii="Times New Roman" w:hAnsi="Times New Roman" w:eastAsia="Times New Roman" w:cs="Times New Roman"/>
        <w:spacing w:val="4"/>
        <w:sz w:val="18"/>
        <w:szCs w:val="18"/>
      </w:rPr>
      <w:t xml:space="preserve">  </w:t>
    </w:r>
    <w:r>
      <w:rPr>
        <w:rFonts w:ascii="宋体" w:hAnsi="宋体" w:eastAsia="宋体" w:cs="宋体"/>
        <w:spacing w:val="-3"/>
        <w:sz w:val="18"/>
        <w:szCs w:val="18"/>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2F88A">
    <w:pPr>
      <w:spacing w:line="209" w:lineRule="auto"/>
      <w:ind w:left="4519"/>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33</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184F4">
    <w:pPr>
      <w:spacing w:line="209" w:lineRule="auto"/>
      <w:ind w:left="4519"/>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35</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9E79E">
    <w:pPr>
      <w:spacing w:line="209" w:lineRule="auto"/>
      <w:ind w:left="4600"/>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37</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14039">
    <w:pPr>
      <w:spacing w:line="209" w:lineRule="auto"/>
      <w:ind w:left="4519"/>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38</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DE6AE">
    <w:pPr>
      <w:spacing w:line="209" w:lineRule="auto"/>
      <w:ind w:left="4814"/>
      <w:rPr>
        <w:rFonts w:ascii="宋体" w:hAnsi="宋体" w:eastAsia="宋体" w:cs="宋体"/>
        <w:sz w:val="18"/>
        <w:szCs w:val="18"/>
      </w:rPr>
    </w:pPr>
    <w:r>
      <w:rPr>
        <w:rFonts w:ascii="宋体" w:hAnsi="宋体" w:eastAsia="宋体" w:cs="宋体"/>
        <w:spacing w:val="-1"/>
        <w:sz w:val="18"/>
        <w:szCs w:val="18"/>
      </w:rPr>
      <w:t xml:space="preserve">第 </w:t>
    </w:r>
    <w:r>
      <w:rPr>
        <w:rFonts w:ascii="Times New Roman" w:hAnsi="Times New Roman" w:eastAsia="Times New Roman" w:cs="Times New Roman"/>
        <w:spacing w:val="-1"/>
        <w:sz w:val="18"/>
        <w:szCs w:val="18"/>
      </w:rPr>
      <w:t>40</w:t>
    </w:r>
    <w:r>
      <w:rPr>
        <w:rFonts w:ascii="Times New Roman" w:hAnsi="Times New Roman" w:eastAsia="Times New Roman" w:cs="Times New Roman"/>
        <w:spacing w:val="4"/>
        <w:sz w:val="18"/>
        <w:szCs w:val="18"/>
      </w:rPr>
      <w:t xml:space="preserve">  </w:t>
    </w:r>
    <w:r>
      <w:rPr>
        <w:rFonts w:ascii="宋体" w:hAnsi="宋体" w:eastAsia="宋体" w:cs="宋体"/>
        <w:spacing w:val="-1"/>
        <w:sz w:val="18"/>
        <w:szCs w:val="18"/>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66DB2">
    <w:pPr>
      <w:spacing w:before="48" w:line="218" w:lineRule="auto"/>
      <w:ind w:left="9"/>
      <w:rPr>
        <w:rFonts w:hint="eastAsia" w:ascii="宋体" w:hAnsi="宋体" w:eastAsia="宋体" w:cs="宋体"/>
        <w:sz w:val="18"/>
        <w:szCs w:val="18"/>
        <w:lang w:eastAsia="zh-CN"/>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E31DA">
    <w:pPr>
      <w:pStyle w:val="7"/>
      <w:rPr>
        <w:rFonts w:hint="eastAsia"/>
        <w:lang w:eastAsia="zh-C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41E89">
    <w:pPr>
      <w:pStyle w:val="7"/>
      <w:rPr>
        <w:rFonts w:hint="eastAsia"/>
        <w:lang w:eastAsia="zh-CN"/>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DD246">
    <w:pPr>
      <w:pStyle w:val="7"/>
      <w:rPr>
        <w:rFonts w:hint="eastAsia"/>
        <w:lang w:eastAsia="zh-CN"/>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8273E">
    <w:pPr>
      <w:pStyle w:val="7"/>
      <w:rPr>
        <w:rFonts w:hint="eastAsia"/>
        <w:lang w:eastAsia="zh-CN"/>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A1B15">
    <w:pPr>
      <w:pStyle w:val="7"/>
      <w:rPr>
        <w:rFonts w:hint="eastAsia"/>
        <w:lang w:eastAsia="zh-CN"/>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B0ED0">
    <w:pPr>
      <w:pStyle w:val="7"/>
      <w:rPr>
        <w:rFonts w:hint="eastAsia"/>
        <w:lang w:eastAsia="zh-CN"/>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2FB0B">
    <w:pPr>
      <w:pStyle w:val="7"/>
      <w:rPr>
        <w:rFonts w:hint="eastAsia"/>
        <w:lang w:eastAsia="zh-CN"/>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5906B">
    <w:pPr>
      <w:pStyle w:val="7"/>
      <w:rPr>
        <w:rFonts w:hint="eastAsia"/>
        <w:lang w:eastAsia="zh-CN"/>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6CE08">
    <w:pPr>
      <w:pStyle w:val="7"/>
      <w:rPr>
        <w:rFonts w:hint="eastAsia"/>
        <w:lang w:eastAsia="zh-CN"/>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3945F">
    <w:pPr>
      <w:pStyle w:val="7"/>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F3DEC">
    <w:pPr>
      <w:spacing w:before="48" w:line="218" w:lineRule="auto"/>
      <w:ind w:left="9"/>
      <w:rPr>
        <w:rFonts w:hint="eastAsia" w:ascii="宋体" w:hAnsi="宋体" w:eastAsia="宋体" w:cs="宋体"/>
        <w:sz w:val="18"/>
        <w:szCs w:val="18"/>
        <w:lang w:eastAsia="zh-CN"/>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B4B20">
    <w:pPr>
      <w:pStyle w:val="7"/>
      <w:rPr>
        <w:rFonts w:hint="eastAsia"/>
        <w:lang w:eastAsia="zh-CN"/>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5938A">
    <w:pPr>
      <w:pStyle w:val="7"/>
      <w:rPr>
        <w:rFonts w:hint="eastAsia"/>
        <w:lang w:eastAsia="zh-CN"/>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6E3A7">
    <w:pPr>
      <w:pStyle w:val="7"/>
      <w:rPr>
        <w:rFonts w:hint="eastAsia"/>
        <w:lang w:eastAsia="zh-CN"/>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9BBFB">
    <w:pPr>
      <w:pStyle w:val="7"/>
      <w:rPr>
        <w:rFonts w:hint="eastAsia"/>
        <w:lang w:eastAsia="zh-CN"/>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F2890">
    <w:pPr>
      <w:pStyle w:val="7"/>
      <w:rPr>
        <w:rFonts w:hint="eastAsia"/>
        <w:lang w:eastAsia="zh-CN"/>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DF9A2">
    <w:pPr>
      <w:pStyle w:val="7"/>
      <w:rPr>
        <w:rFonts w:hint="eastAsia"/>
        <w:lang w:eastAsia="zh-CN"/>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CDC24">
    <w:pPr>
      <w:pStyle w:val="7"/>
      <w:rPr>
        <w:rFonts w:hint="eastAsia"/>
        <w:lang w:eastAsia="zh-CN"/>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D8C64">
    <w:pPr>
      <w:pStyle w:val="7"/>
      <w:rPr>
        <w:rFonts w:hint="eastAsia"/>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01F7A">
    <w:pPr>
      <w:pStyle w:val="7"/>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708AB">
    <w:pPr>
      <w:spacing w:before="48" w:line="218" w:lineRule="auto"/>
      <w:ind w:left="9"/>
      <w:rPr>
        <w:rFonts w:hint="eastAsia" w:ascii="宋体" w:hAnsi="宋体" w:eastAsia="宋体" w:cs="宋体"/>
        <w:sz w:val="18"/>
        <w:szCs w:val="18"/>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F747E">
    <w:pPr>
      <w:pStyle w:val="7"/>
      <w:rPr>
        <w:rFonts w:hint="eastAsia"/>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A1E56">
    <w:pPr>
      <w:pStyle w:val="7"/>
      <w:rPr>
        <w:rFonts w:hint="eastAsia"/>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8A3D1">
    <w:pPr>
      <w:pStyle w:val="7"/>
      <w:rPr>
        <w:rFonts w:hint="eastAsia"/>
        <w:lang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0A63A">
    <w:pPr>
      <w:pStyle w:val="7"/>
      <w:rPr>
        <w:rFonts w:hint="eastAsia"/>
        <w:lang w:eastAsia="zh-C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E78C6">
    <w:pPr>
      <w:pStyle w:val="7"/>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02D22E"/>
    <w:multiLevelType w:val="multilevel"/>
    <w:tmpl w:val="8102D22E"/>
    <w:lvl w:ilvl="0" w:tentative="0">
      <w:start w:val="1"/>
      <w:numFmt w:val="decimal"/>
      <w:suff w:val="nothing"/>
      <w:lvlText w:val="第%1章 "/>
      <w:lvlJc w:val="center"/>
      <w:pPr>
        <w:ind w:left="0" w:firstLine="643"/>
      </w:pPr>
      <w:rPr>
        <w:rFonts w:hint="eastAsia" w:ascii="宋体" w:hAnsi="宋体" w:eastAsia="宋体" w:cs="宋体"/>
        <w:b/>
        <w:bCs/>
        <w:i w:val="0"/>
        <w:iCs w:val="0"/>
        <w:caps w:val="0"/>
        <w:smallCaps w:val="0"/>
        <w:vanish w:val="0"/>
        <w:spacing w:val="0"/>
        <w:position w:val="0"/>
        <w:sz w:val="32"/>
        <w:szCs w:val="32"/>
        <w:u w:val="none"/>
        <w:vertAlign w:val="baseline"/>
      </w:rPr>
    </w:lvl>
    <w:lvl w:ilvl="1" w:tentative="0">
      <w:start w:val="1"/>
      <w:numFmt w:val="decimal"/>
      <w:pStyle w:val="3"/>
      <w:isLgl/>
      <w:suff w:val="nothing"/>
      <w:lvlText w:val="%1.%2 "/>
      <w:lvlJc w:val="left"/>
      <w:pPr>
        <w:ind w:left="0" w:firstLine="454"/>
      </w:pPr>
      <w:rPr>
        <w:rFonts w:hint="default" w:ascii="宋体" w:hAnsi="宋体" w:eastAsia="宋体"/>
        <w:color w:val="auto"/>
      </w:rPr>
    </w:lvl>
    <w:lvl w:ilvl="2" w:tentative="0">
      <w:start w:val="1"/>
      <w:numFmt w:val="decimal"/>
      <w:isLgl/>
      <w:suff w:val="nothing"/>
      <w:lvlText w:val="%1.%2.%3 "/>
      <w:lvlJc w:val="left"/>
      <w:pPr>
        <w:ind w:left="3374" w:firstLine="454"/>
      </w:pPr>
      <w:rPr>
        <w:rFonts w:hint="eastAsia" w:ascii="宋体" w:hAnsi="宋体" w:eastAsia="宋体" w:cs="宋体"/>
        <w:b/>
        <w:bCs/>
        <w:color w:val="auto"/>
        <w:sz w:val="28"/>
        <w:szCs w:val="24"/>
      </w:rPr>
    </w:lvl>
    <w:lvl w:ilvl="3" w:tentative="0">
      <w:start w:val="1"/>
      <w:numFmt w:val="decimal"/>
      <w:isLgl/>
      <w:suff w:val="nothing"/>
      <w:lvlText w:val="%1.%2.%3.%4 "/>
      <w:lvlJc w:val="left"/>
      <w:pPr>
        <w:ind w:left="0" w:firstLine="454"/>
      </w:pPr>
      <w:rPr>
        <w:rFonts w:hint="eastAsia" w:ascii="宋体" w:hAnsi="宋体" w:eastAsia="宋体" w:cs="宋体"/>
      </w:rPr>
    </w:lvl>
    <w:lvl w:ilvl="4" w:tentative="0">
      <w:start w:val="1"/>
      <w:numFmt w:val="decimal"/>
      <w:isLgl/>
      <w:suff w:val="nothing"/>
      <w:lvlText w:val="%1.%2.%3.%4.%5 "/>
      <w:lvlJc w:val="left"/>
      <w:pPr>
        <w:ind w:left="0" w:firstLine="454"/>
      </w:pPr>
      <w:rPr>
        <w:rFonts w:hint="eastAsia" w:ascii="宋体" w:hAnsi="宋体" w:eastAsia="宋体" w:cs="宋体"/>
      </w:rPr>
    </w:lvl>
    <w:lvl w:ilvl="5" w:tentative="0">
      <w:start w:val="1"/>
      <w:numFmt w:val="decimal"/>
      <w:isLgl/>
      <w:suff w:val="nothing"/>
      <w:lvlText w:val="%1.%2.%3.%4.%5.%6 "/>
      <w:lvlJc w:val="left"/>
      <w:pPr>
        <w:ind w:left="0" w:firstLine="454"/>
      </w:pPr>
      <w:rPr>
        <w:rFonts w:hint="eastAsia" w:ascii="宋体" w:hAnsi="宋体" w:eastAsia="宋体" w:cs="宋体"/>
        <w:i w:val="0"/>
        <w:iCs w:val="0"/>
        <w:caps w:val="0"/>
        <w:smallCaps w:val="0"/>
        <w:vanish w:val="0"/>
        <w:spacing w:val="0"/>
        <w:position w:val="0"/>
        <w:u w:val="none"/>
        <w:vertAlign w:val="baseline"/>
      </w:rPr>
    </w:lvl>
    <w:lvl w:ilvl="6" w:tentative="0">
      <w:start w:val="1"/>
      <w:numFmt w:val="decimal"/>
      <w:isLgl/>
      <w:suff w:val="nothing"/>
      <w:lvlText w:val="%1.%2.%3.%4.%5.%6.%7 "/>
      <w:lvlJc w:val="left"/>
      <w:pPr>
        <w:ind w:left="0" w:firstLine="454"/>
      </w:pPr>
      <w:rPr>
        <w:rFonts w:hint="eastAsia"/>
        <w:b w:val="0"/>
        <w:bCs w:val="0"/>
        <w:i w:val="0"/>
        <w:iCs w:val="0"/>
        <w:caps w:val="0"/>
        <w:smallCaps w:val="0"/>
        <w:vanish w:val="0"/>
        <w:spacing w:val="0"/>
        <w:position w:val="0"/>
        <w:u w:val="none"/>
        <w:vertAlign w:val="baseline"/>
      </w:rPr>
    </w:lvl>
    <w:lvl w:ilvl="7" w:tentative="0">
      <w:start w:val="1"/>
      <w:numFmt w:val="decimal"/>
      <w:isLgl/>
      <w:suff w:val="nothing"/>
      <w:lvlText w:val="%1.%2.%3.%4.%5.%6.%7.%8 "/>
      <w:lvlJc w:val="left"/>
      <w:pPr>
        <w:ind w:left="0" w:firstLine="0"/>
      </w:pPr>
      <w:rPr>
        <w:rFonts w:hint="eastAsia"/>
        <w:i w:val="0"/>
        <w:iCs w:val="0"/>
        <w:caps w:val="0"/>
        <w:smallCaps w:val="0"/>
        <w:vanish w:val="0"/>
        <w:spacing w:val="0"/>
        <w:position w:val="0"/>
        <w:u w:val="none"/>
        <w:vertAlign w:val="baseline"/>
      </w:rPr>
    </w:lvl>
    <w:lvl w:ilvl="8" w:tentative="0">
      <w:start w:val="1"/>
      <w:numFmt w:val="decimal"/>
      <w:isLgl/>
      <w:suff w:val="nothing"/>
      <w:lvlText w:val="%1.%2.%3.%4.%5.%6.%7.%8.%9 "/>
      <w:lvlJc w:val="left"/>
      <w:pPr>
        <w:ind w:left="0" w:firstLine="0"/>
      </w:pPr>
      <w:rPr>
        <w:rFonts w:hint="eastAsia"/>
      </w:rPr>
    </w:lvl>
  </w:abstractNum>
  <w:abstractNum w:abstractNumId="1">
    <w:nsid w:val="845B5372"/>
    <w:multiLevelType w:val="singleLevel"/>
    <w:tmpl w:val="845B5372"/>
    <w:lvl w:ilvl="0" w:tentative="0">
      <w:start w:val="3"/>
      <w:numFmt w:val="decimal"/>
      <w:lvlText w:val="%1."/>
      <w:lvlJc w:val="left"/>
      <w:rPr>
        <w:color w:val="3370FF"/>
      </w:rPr>
    </w:lvl>
  </w:abstractNum>
  <w:abstractNum w:abstractNumId="2">
    <w:nsid w:val="8461FADE"/>
    <w:multiLevelType w:val="singleLevel"/>
    <w:tmpl w:val="8461FADE"/>
    <w:lvl w:ilvl="0" w:tentative="0">
      <w:start w:val="4"/>
      <w:numFmt w:val="decimal"/>
      <w:lvlText w:val="%1."/>
      <w:lvlJc w:val="left"/>
      <w:rPr>
        <w:color w:val="3370FF"/>
      </w:rPr>
    </w:lvl>
  </w:abstractNum>
  <w:abstractNum w:abstractNumId="3">
    <w:nsid w:val="8CAEB125"/>
    <w:multiLevelType w:val="singleLevel"/>
    <w:tmpl w:val="8CAEB125"/>
    <w:lvl w:ilvl="0" w:tentative="0">
      <w:start w:val="2"/>
      <w:numFmt w:val="decimal"/>
      <w:lvlText w:val="%1."/>
      <w:lvlJc w:val="left"/>
      <w:rPr>
        <w:color w:val="3370FF"/>
      </w:rPr>
    </w:lvl>
  </w:abstractNum>
  <w:abstractNum w:abstractNumId="4">
    <w:nsid w:val="91995D4F"/>
    <w:multiLevelType w:val="singleLevel"/>
    <w:tmpl w:val="91995D4F"/>
    <w:lvl w:ilvl="0" w:tentative="0">
      <w:start w:val="4"/>
      <w:numFmt w:val="decimal"/>
      <w:lvlText w:val="%1."/>
      <w:lvlJc w:val="left"/>
      <w:rPr>
        <w:color w:val="3370FF"/>
      </w:rPr>
    </w:lvl>
  </w:abstractNum>
  <w:abstractNum w:abstractNumId="5">
    <w:nsid w:val="9239341B"/>
    <w:multiLevelType w:val="singleLevel"/>
    <w:tmpl w:val="9239341B"/>
    <w:lvl w:ilvl="0" w:tentative="0">
      <w:start w:val="2"/>
      <w:numFmt w:val="decimal"/>
      <w:lvlText w:val="%1."/>
      <w:lvlJc w:val="left"/>
      <w:rPr>
        <w:color w:val="3370FF"/>
      </w:rPr>
    </w:lvl>
  </w:abstractNum>
  <w:abstractNum w:abstractNumId="6">
    <w:nsid w:val="9288B902"/>
    <w:multiLevelType w:val="singleLevel"/>
    <w:tmpl w:val="9288B902"/>
    <w:lvl w:ilvl="0" w:tentative="0">
      <w:start w:val="2"/>
      <w:numFmt w:val="decimal"/>
      <w:lvlText w:val="%1."/>
      <w:lvlJc w:val="left"/>
      <w:rPr>
        <w:color w:val="3370FF"/>
      </w:rPr>
    </w:lvl>
  </w:abstractNum>
  <w:abstractNum w:abstractNumId="7">
    <w:nsid w:val="9C8AC8EF"/>
    <w:multiLevelType w:val="singleLevel"/>
    <w:tmpl w:val="9C8AC8EF"/>
    <w:lvl w:ilvl="0" w:tentative="0">
      <w:start w:val="1"/>
      <w:numFmt w:val="decimal"/>
      <w:lvlText w:val="%1."/>
      <w:lvlJc w:val="left"/>
      <w:rPr>
        <w:color w:val="3370FF"/>
      </w:rPr>
    </w:lvl>
  </w:abstractNum>
  <w:abstractNum w:abstractNumId="8">
    <w:nsid w:val="A0F05207"/>
    <w:multiLevelType w:val="singleLevel"/>
    <w:tmpl w:val="A0F05207"/>
    <w:lvl w:ilvl="0" w:tentative="0">
      <w:start w:val="4"/>
      <w:numFmt w:val="decimal"/>
      <w:lvlText w:val="%1."/>
      <w:lvlJc w:val="left"/>
      <w:rPr>
        <w:color w:val="3370FF"/>
      </w:rPr>
    </w:lvl>
  </w:abstractNum>
  <w:abstractNum w:abstractNumId="9">
    <w:nsid w:val="B0F1ACD9"/>
    <w:multiLevelType w:val="singleLevel"/>
    <w:tmpl w:val="B0F1ACD9"/>
    <w:lvl w:ilvl="0" w:tentative="0">
      <w:start w:val="6"/>
      <w:numFmt w:val="decimal"/>
      <w:lvlText w:val="%1."/>
      <w:lvlJc w:val="left"/>
      <w:rPr>
        <w:color w:val="3370FF"/>
      </w:rPr>
    </w:lvl>
  </w:abstractNum>
  <w:abstractNum w:abstractNumId="10">
    <w:nsid w:val="B23A94A9"/>
    <w:multiLevelType w:val="singleLevel"/>
    <w:tmpl w:val="B23A94A9"/>
    <w:lvl w:ilvl="0" w:tentative="0">
      <w:start w:val="2"/>
      <w:numFmt w:val="decimal"/>
      <w:lvlText w:val="%1."/>
      <w:lvlJc w:val="left"/>
      <w:rPr>
        <w:color w:val="3370FF"/>
      </w:rPr>
    </w:lvl>
  </w:abstractNum>
  <w:abstractNum w:abstractNumId="11">
    <w:nsid w:val="B53F3350"/>
    <w:multiLevelType w:val="singleLevel"/>
    <w:tmpl w:val="B53F3350"/>
    <w:lvl w:ilvl="0" w:tentative="0">
      <w:start w:val="1"/>
      <w:numFmt w:val="decimal"/>
      <w:lvlText w:val="%1."/>
      <w:lvlJc w:val="left"/>
      <w:rPr>
        <w:color w:val="3370FF"/>
      </w:rPr>
    </w:lvl>
  </w:abstractNum>
  <w:abstractNum w:abstractNumId="12">
    <w:nsid w:val="B5E306ED"/>
    <w:multiLevelType w:val="singleLevel"/>
    <w:tmpl w:val="B5E306ED"/>
    <w:lvl w:ilvl="0" w:tentative="0">
      <w:start w:val="3"/>
      <w:numFmt w:val="decimal"/>
      <w:lvlText w:val="%1."/>
      <w:lvlJc w:val="left"/>
      <w:rPr>
        <w:color w:val="3370FF"/>
      </w:rPr>
    </w:lvl>
  </w:abstractNum>
  <w:abstractNum w:abstractNumId="13">
    <w:nsid w:val="B8CEF35B"/>
    <w:multiLevelType w:val="singleLevel"/>
    <w:tmpl w:val="B8CEF35B"/>
    <w:lvl w:ilvl="0" w:tentative="0">
      <w:start w:val="1"/>
      <w:numFmt w:val="decimal"/>
      <w:lvlText w:val="%1."/>
      <w:lvlJc w:val="left"/>
      <w:rPr>
        <w:color w:val="3370FF"/>
      </w:rPr>
    </w:lvl>
  </w:abstractNum>
  <w:abstractNum w:abstractNumId="14">
    <w:nsid w:val="BB64CFA9"/>
    <w:multiLevelType w:val="singleLevel"/>
    <w:tmpl w:val="BB64CFA9"/>
    <w:lvl w:ilvl="0" w:tentative="0">
      <w:start w:val="3"/>
      <w:numFmt w:val="decimal"/>
      <w:lvlText w:val="%1."/>
      <w:lvlJc w:val="left"/>
      <w:rPr>
        <w:color w:val="3370FF"/>
      </w:rPr>
    </w:lvl>
  </w:abstractNum>
  <w:abstractNum w:abstractNumId="15">
    <w:nsid w:val="BE923771"/>
    <w:multiLevelType w:val="singleLevel"/>
    <w:tmpl w:val="BE923771"/>
    <w:lvl w:ilvl="0" w:tentative="0">
      <w:start w:val="9"/>
      <w:numFmt w:val="decimal"/>
      <w:lvlText w:val="%1."/>
      <w:lvlJc w:val="left"/>
      <w:rPr>
        <w:color w:val="3370FF"/>
      </w:rPr>
    </w:lvl>
  </w:abstractNum>
  <w:abstractNum w:abstractNumId="16">
    <w:nsid w:val="BF205925"/>
    <w:multiLevelType w:val="singleLevel"/>
    <w:tmpl w:val="BF205925"/>
    <w:lvl w:ilvl="0" w:tentative="0">
      <w:start w:val="2"/>
      <w:numFmt w:val="decimal"/>
      <w:lvlText w:val="%1."/>
      <w:lvlJc w:val="left"/>
      <w:rPr>
        <w:color w:val="3370FF"/>
      </w:rPr>
    </w:lvl>
  </w:abstractNum>
  <w:abstractNum w:abstractNumId="17">
    <w:nsid w:val="C0915F4F"/>
    <w:multiLevelType w:val="singleLevel"/>
    <w:tmpl w:val="C0915F4F"/>
    <w:lvl w:ilvl="0" w:tentative="0">
      <w:start w:val="6"/>
      <w:numFmt w:val="decimal"/>
      <w:lvlText w:val="%1."/>
      <w:lvlJc w:val="left"/>
      <w:rPr>
        <w:color w:val="3370FF"/>
      </w:rPr>
    </w:lvl>
  </w:abstractNum>
  <w:abstractNum w:abstractNumId="18">
    <w:nsid w:val="C8879AEF"/>
    <w:multiLevelType w:val="singleLevel"/>
    <w:tmpl w:val="C8879AEF"/>
    <w:lvl w:ilvl="0" w:tentative="0">
      <w:start w:val="1"/>
      <w:numFmt w:val="decimal"/>
      <w:lvlText w:val="%1."/>
      <w:lvlJc w:val="left"/>
      <w:rPr>
        <w:color w:val="3370FF"/>
      </w:rPr>
    </w:lvl>
  </w:abstractNum>
  <w:abstractNum w:abstractNumId="19">
    <w:nsid w:val="D7D140E4"/>
    <w:multiLevelType w:val="singleLevel"/>
    <w:tmpl w:val="D7D140E4"/>
    <w:lvl w:ilvl="0" w:tentative="0">
      <w:start w:val="6"/>
      <w:numFmt w:val="decimal"/>
      <w:lvlText w:val="%1."/>
      <w:lvlJc w:val="left"/>
      <w:rPr>
        <w:color w:val="3370FF"/>
      </w:rPr>
    </w:lvl>
  </w:abstractNum>
  <w:abstractNum w:abstractNumId="20">
    <w:nsid w:val="D7F9FE59"/>
    <w:multiLevelType w:val="singleLevel"/>
    <w:tmpl w:val="D7F9FE59"/>
    <w:lvl w:ilvl="0" w:tentative="0">
      <w:start w:val="6"/>
      <w:numFmt w:val="decimal"/>
      <w:lvlText w:val="%1."/>
      <w:lvlJc w:val="left"/>
      <w:rPr>
        <w:color w:val="3370FF"/>
      </w:rPr>
    </w:lvl>
  </w:abstractNum>
  <w:abstractNum w:abstractNumId="21">
    <w:nsid w:val="DBA7BAAF"/>
    <w:multiLevelType w:val="singleLevel"/>
    <w:tmpl w:val="DBA7BAAF"/>
    <w:lvl w:ilvl="0" w:tentative="0">
      <w:start w:val="1"/>
      <w:numFmt w:val="decimal"/>
      <w:suff w:val="nothing"/>
      <w:lvlText w:val="%1）"/>
      <w:lvlJc w:val="left"/>
    </w:lvl>
  </w:abstractNum>
  <w:abstractNum w:abstractNumId="22">
    <w:nsid w:val="DCBA6B53"/>
    <w:multiLevelType w:val="singleLevel"/>
    <w:tmpl w:val="DCBA6B53"/>
    <w:lvl w:ilvl="0" w:tentative="0">
      <w:start w:val="5"/>
      <w:numFmt w:val="decimal"/>
      <w:lvlText w:val="%1."/>
      <w:lvlJc w:val="left"/>
      <w:rPr>
        <w:color w:val="3370FF"/>
      </w:rPr>
    </w:lvl>
  </w:abstractNum>
  <w:abstractNum w:abstractNumId="23">
    <w:nsid w:val="F0E89278"/>
    <w:multiLevelType w:val="singleLevel"/>
    <w:tmpl w:val="F0E89278"/>
    <w:lvl w:ilvl="0" w:tentative="0">
      <w:start w:val="2"/>
      <w:numFmt w:val="decimal"/>
      <w:lvlText w:val="%1."/>
      <w:lvlJc w:val="left"/>
      <w:rPr>
        <w:color w:val="3370FF"/>
      </w:rPr>
    </w:lvl>
  </w:abstractNum>
  <w:abstractNum w:abstractNumId="24">
    <w:nsid w:val="F4B5D9F5"/>
    <w:multiLevelType w:val="singleLevel"/>
    <w:tmpl w:val="F4B5D9F5"/>
    <w:lvl w:ilvl="0" w:tentative="0">
      <w:start w:val="3"/>
      <w:numFmt w:val="decimal"/>
      <w:lvlText w:val="%1."/>
      <w:lvlJc w:val="left"/>
      <w:rPr>
        <w:color w:val="3370FF"/>
      </w:rPr>
    </w:lvl>
  </w:abstractNum>
  <w:abstractNum w:abstractNumId="25">
    <w:nsid w:val="0248C179"/>
    <w:multiLevelType w:val="singleLevel"/>
    <w:tmpl w:val="0248C179"/>
    <w:lvl w:ilvl="0" w:tentative="0">
      <w:start w:val="1"/>
      <w:numFmt w:val="decimal"/>
      <w:lvlText w:val="%1."/>
      <w:lvlJc w:val="left"/>
      <w:rPr>
        <w:color w:val="3370FF"/>
      </w:rPr>
    </w:lvl>
  </w:abstractNum>
  <w:abstractNum w:abstractNumId="26">
    <w:nsid w:val="03A63A41"/>
    <w:multiLevelType w:val="singleLevel"/>
    <w:tmpl w:val="03A63A41"/>
    <w:lvl w:ilvl="0" w:tentative="0">
      <w:start w:val="5"/>
      <w:numFmt w:val="decimal"/>
      <w:lvlText w:val="%1."/>
      <w:lvlJc w:val="left"/>
      <w:rPr>
        <w:color w:val="3370FF"/>
      </w:rPr>
    </w:lvl>
  </w:abstractNum>
  <w:abstractNum w:abstractNumId="27">
    <w:nsid w:val="03D62ECE"/>
    <w:multiLevelType w:val="singleLevel"/>
    <w:tmpl w:val="03D62ECE"/>
    <w:lvl w:ilvl="0" w:tentative="0">
      <w:start w:val="1"/>
      <w:numFmt w:val="decimal"/>
      <w:lvlText w:val="%1."/>
      <w:lvlJc w:val="left"/>
      <w:rPr>
        <w:color w:val="3370FF"/>
      </w:rPr>
    </w:lvl>
  </w:abstractNum>
  <w:abstractNum w:abstractNumId="28">
    <w:nsid w:val="0709FD3E"/>
    <w:multiLevelType w:val="singleLevel"/>
    <w:tmpl w:val="0709FD3E"/>
    <w:lvl w:ilvl="0" w:tentative="0">
      <w:start w:val="4"/>
      <w:numFmt w:val="decimal"/>
      <w:lvlText w:val="%1."/>
      <w:lvlJc w:val="left"/>
      <w:rPr>
        <w:color w:val="3370FF"/>
      </w:rPr>
    </w:lvl>
  </w:abstractNum>
  <w:abstractNum w:abstractNumId="29">
    <w:nsid w:val="0CEF100B"/>
    <w:multiLevelType w:val="singleLevel"/>
    <w:tmpl w:val="0CEF100B"/>
    <w:lvl w:ilvl="0" w:tentative="0">
      <w:start w:val="5"/>
      <w:numFmt w:val="decimal"/>
      <w:lvlText w:val="%1."/>
      <w:lvlJc w:val="left"/>
      <w:rPr>
        <w:color w:val="3370FF"/>
      </w:rPr>
    </w:lvl>
  </w:abstractNum>
  <w:abstractNum w:abstractNumId="30">
    <w:nsid w:val="0E640482"/>
    <w:multiLevelType w:val="singleLevel"/>
    <w:tmpl w:val="0E640482"/>
    <w:lvl w:ilvl="0" w:tentative="0">
      <w:start w:val="4"/>
      <w:numFmt w:val="decimal"/>
      <w:lvlText w:val="%1."/>
      <w:lvlJc w:val="left"/>
      <w:rPr>
        <w:color w:val="3370FF"/>
      </w:rPr>
    </w:lvl>
  </w:abstractNum>
  <w:abstractNum w:abstractNumId="31">
    <w:nsid w:val="0F9F9CCA"/>
    <w:multiLevelType w:val="singleLevel"/>
    <w:tmpl w:val="0F9F9CCA"/>
    <w:lvl w:ilvl="0" w:tentative="0">
      <w:start w:val="3"/>
      <w:numFmt w:val="decimal"/>
      <w:lvlText w:val="%1."/>
      <w:lvlJc w:val="left"/>
      <w:rPr>
        <w:color w:val="3370FF"/>
      </w:rPr>
    </w:lvl>
  </w:abstractNum>
  <w:abstractNum w:abstractNumId="32">
    <w:nsid w:val="12EADF99"/>
    <w:multiLevelType w:val="singleLevel"/>
    <w:tmpl w:val="12EADF99"/>
    <w:lvl w:ilvl="0" w:tentative="0">
      <w:start w:val="1"/>
      <w:numFmt w:val="decimal"/>
      <w:lvlText w:val="%1."/>
      <w:lvlJc w:val="left"/>
      <w:rPr>
        <w:color w:val="3370FF"/>
      </w:rPr>
    </w:lvl>
  </w:abstractNum>
  <w:abstractNum w:abstractNumId="33">
    <w:nsid w:val="1ACDE60F"/>
    <w:multiLevelType w:val="singleLevel"/>
    <w:tmpl w:val="1ACDE60F"/>
    <w:lvl w:ilvl="0" w:tentative="0">
      <w:start w:val="1"/>
      <w:numFmt w:val="decimal"/>
      <w:lvlText w:val="%1."/>
      <w:lvlJc w:val="left"/>
      <w:rPr>
        <w:color w:val="3370FF"/>
      </w:rPr>
    </w:lvl>
  </w:abstractNum>
  <w:abstractNum w:abstractNumId="34">
    <w:nsid w:val="1C257C7B"/>
    <w:multiLevelType w:val="singleLevel"/>
    <w:tmpl w:val="1C257C7B"/>
    <w:lvl w:ilvl="0" w:tentative="0">
      <w:start w:val="1"/>
      <w:numFmt w:val="decimal"/>
      <w:lvlText w:val="%1."/>
      <w:lvlJc w:val="left"/>
      <w:rPr>
        <w:color w:val="3370FF"/>
      </w:rPr>
    </w:lvl>
  </w:abstractNum>
  <w:abstractNum w:abstractNumId="35">
    <w:nsid w:val="23E97754"/>
    <w:multiLevelType w:val="singleLevel"/>
    <w:tmpl w:val="23E97754"/>
    <w:lvl w:ilvl="0" w:tentative="0">
      <w:start w:val="3"/>
      <w:numFmt w:val="decimal"/>
      <w:lvlText w:val="%1."/>
      <w:lvlJc w:val="left"/>
      <w:rPr>
        <w:color w:val="3370FF"/>
      </w:rPr>
    </w:lvl>
  </w:abstractNum>
  <w:abstractNum w:abstractNumId="36">
    <w:nsid w:val="2470EC97"/>
    <w:multiLevelType w:val="singleLevel"/>
    <w:tmpl w:val="2470EC97"/>
    <w:lvl w:ilvl="0" w:tentative="0">
      <w:start w:val="4"/>
      <w:numFmt w:val="decimal"/>
      <w:lvlText w:val="%1."/>
      <w:lvlJc w:val="left"/>
      <w:rPr>
        <w:color w:val="3370FF"/>
      </w:rPr>
    </w:lvl>
  </w:abstractNum>
  <w:abstractNum w:abstractNumId="37">
    <w:nsid w:val="25B654F3"/>
    <w:multiLevelType w:val="singleLevel"/>
    <w:tmpl w:val="25B654F3"/>
    <w:lvl w:ilvl="0" w:tentative="0">
      <w:start w:val="2"/>
      <w:numFmt w:val="decimal"/>
      <w:lvlText w:val="%1."/>
      <w:lvlJc w:val="left"/>
      <w:rPr>
        <w:color w:val="3370FF"/>
      </w:rPr>
    </w:lvl>
  </w:abstractNum>
  <w:abstractNum w:abstractNumId="38">
    <w:nsid w:val="2A8F537B"/>
    <w:multiLevelType w:val="singleLevel"/>
    <w:tmpl w:val="2A8F537B"/>
    <w:lvl w:ilvl="0" w:tentative="0">
      <w:start w:val="1"/>
      <w:numFmt w:val="decimal"/>
      <w:lvlText w:val="%1."/>
      <w:lvlJc w:val="left"/>
      <w:rPr>
        <w:color w:val="3370FF"/>
      </w:rPr>
    </w:lvl>
  </w:abstractNum>
  <w:abstractNum w:abstractNumId="39">
    <w:nsid w:val="30FC5B15"/>
    <w:multiLevelType w:val="singleLevel"/>
    <w:tmpl w:val="30FC5B15"/>
    <w:lvl w:ilvl="0" w:tentative="0">
      <w:start w:val="1"/>
      <w:numFmt w:val="decimal"/>
      <w:lvlText w:val="%1."/>
      <w:lvlJc w:val="left"/>
      <w:rPr>
        <w:color w:val="3370FF"/>
      </w:rPr>
    </w:lvl>
  </w:abstractNum>
  <w:abstractNum w:abstractNumId="40">
    <w:nsid w:val="322D85CA"/>
    <w:multiLevelType w:val="singleLevel"/>
    <w:tmpl w:val="322D85CA"/>
    <w:lvl w:ilvl="0" w:tentative="0">
      <w:start w:val="2"/>
      <w:numFmt w:val="decimal"/>
      <w:lvlText w:val="%1."/>
      <w:lvlJc w:val="left"/>
      <w:rPr>
        <w:color w:val="3370FF"/>
      </w:rPr>
    </w:lvl>
  </w:abstractNum>
  <w:abstractNum w:abstractNumId="41">
    <w:nsid w:val="32A7AF2D"/>
    <w:multiLevelType w:val="singleLevel"/>
    <w:tmpl w:val="32A7AF2D"/>
    <w:lvl w:ilvl="0" w:tentative="0">
      <w:start w:val="7"/>
      <w:numFmt w:val="decimal"/>
      <w:lvlText w:val="%1."/>
      <w:lvlJc w:val="left"/>
      <w:rPr>
        <w:color w:val="3370FF"/>
      </w:rPr>
    </w:lvl>
  </w:abstractNum>
  <w:abstractNum w:abstractNumId="42">
    <w:nsid w:val="35E83B33"/>
    <w:multiLevelType w:val="singleLevel"/>
    <w:tmpl w:val="35E83B33"/>
    <w:lvl w:ilvl="0" w:tentative="0">
      <w:start w:val="4"/>
      <w:numFmt w:val="decimal"/>
      <w:lvlText w:val="%1."/>
      <w:lvlJc w:val="left"/>
      <w:rPr>
        <w:color w:val="3370FF"/>
      </w:rPr>
    </w:lvl>
  </w:abstractNum>
  <w:abstractNum w:abstractNumId="43">
    <w:nsid w:val="39A0D9AC"/>
    <w:multiLevelType w:val="singleLevel"/>
    <w:tmpl w:val="39A0D9AC"/>
    <w:lvl w:ilvl="0" w:tentative="0">
      <w:start w:val="3"/>
      <w:numFmt w:val="decimal"/>
      <w:lvlText w:val="%1."/>
      <w:lvlJc w:val="left"/>
      <w:rPr>
        <w:color w:val="3370FF"/>
      </w:rPr>
    </w:lvl>
  </w:abstractNum>
  <w:abstractNum w:abstractNumId="44">
    <w:nsid w:val="3B8127DF"/>
    <w:multiLevelType w:val="singleLevel"/>
    <w:tmpl w:val="3B8127DF"/>
    <w:lvl w:ilvl="0" w:tentative="0">
      <w:start w:val="3"/>
      <w:numFmt w:val="decimal"/>
      <w:lvlText w:val="%1."/>
      <w:lvlJc w:val="left"/>
      <w:rPr>
        <w:color w:val="3370FF"/>
      </w:rPr>
    </w:lvl>
  </w:abstractNum>
  <w:abstractNum w:abstractNumId="45">
    <w:nsid w:val="3FC7360D"/>
    <w:multiLevelType w:val="singleLevel"/>
    <w:tmpl w:val="3FC7360D"/>
    <w:lvl w:ilvl="0" w:tentative="0">
      <w:start w:val="1"/>
      <w:numFmt w:val="decimal"/>
      <w:suff w:val="nothing"/>
      <w:lvlText w:val="%1）"/>
      <w:lvlJc w:val="left"/>
    </w:lvl>
  </w:abstractNum>
  <w:abstractNum w:abstractNumId="46">
    <w:nsid w:val="40B249F9"/>
    <w:multiLevelType w:val="singleLevel"/>
    <w:tmpl w:val="40B249F9"/>
    <w:lvl w:ilvl="0" w:tentative="0">
      <w:start w:val="2"/>
      <w:numFmt w:val="decimal"/>
      <w:lvlText w:val="%1."/>
      <w:lvlJc w:val="left"/>
      <w:rPr>
        <w:color w:val="3370FF"/>
      </w:rPr>
    </w:lvl>
  </w:abstractNum>
  <w:abstractNum w:abstractNumId="47">
    <w:nsid w:val="43CCDE29"/>
    <w:multiLevelType w:val="singleLevel"/>
    <w:tmpl w:val="43CCDE29"/>
    <w:lvl w:ilvl="0" w:tentative="0">
      <w:start w:val="1"/>
      <w:numFmt w:val="decimal"/>
      <w:suff w:val="nothing"/>
      <w:lvlText w:val="（%1）"/>
      <w:lvlJc w:val="left"/>
    </w:lvl>
  </w:abstractNum>
  <w:abstractNum w:abstractNumId="48">
    <w:nsid w:val="46A08BB8"/>
    <w:multiLevelType w:val="singleLevel"/>
    <w:tmpl w:val="46A08BB8"/>
    <w:lvl w:ilvl="0" w:tentative="0">
      <w:start w:val="5"/>
      <w:numFmt w:val="decimal"/>
      <w:lvlText w:val="%1."/>
      <w:lvlJc w:val="left"/>
      <w:rPr>
        <w:color w:val="3370FF"/>
      </w:rPr>
    </w:lvl>
  </w:abstractNum>
  <w:abstractNum w:abstractNumId="49">
    <w:nsid w:val="4C1BAE26"/>
    <w:multiLevelType w:val="singleLevel"/>
    <w:tmpl w:val="4C1BAE26"/>
    <w:lvl w:ilvl="0" w:tentative="0">
      <w:start w:val="2"/>
      <w:numFmt w:val="decimal"/>
      <w:lvlText w:val="%1."/>
      <w:lvlJc w:val="left"/>
      <w:rPr>
        <w:color w:val="3370FF"/>
      </w:rPr>
    </w:lvl>
  </w:abstractNum>
  <w:abstractNum w:abstractNumId="50">
    <w:nsid w:val="4C3D7A74"/>
    <w:multiLevelType w:val="singleLevel"/>
    <w:tmpl w:val="4C3D7A74"/>
    <w:lvl w:ilvl="0" w:tentative="0">
      <w:start w:val="1"/>
      <w:numFmt w:val="decimal"/>
      <w:lvlText w:val="%1."/>
      <w:lvlJc w:val="left"/>
      <w:rPr>
        <w:color w:val="3370FF"/>
      </w:rPr>
    </w:lvl>
  </w:abstractNum>
  <w:abstractNum w:abstractNumId="51">
    <w:nsid w:val="4D4DC07F"/>
    <w:multiLevelType w:val="singleLevel"/>
    <w:tmpl w:val="4D4DC07F"/>
    <w:lvl w:ilvl="0" w:tentative="0">
      <w:start w:val="2"/>
      <w:numFmt w:val="decimal"/>
      <w:lvlText w:val="%1."/>
      <w:lvlJc w:val="left"/>
      <w:rPr>
        <w:color w:val="3370FF"/>
      </w:rPr>
    </w:lvl>
  </w:abstractNum>
  <w:abstractNum w:abstractNumId="52">
    <w:nsid w:val="59ADCABA"/>
    <w:multiLevelType w:val="singleLevel"/>
    <w:tmpl w:val="59ADCABA"/>
    <w:lvl w:ilvl="0" w:tentative="0">
      <w:start w:val="1"/>
      <w:numFmt w:val="decimal"/>
      <w:lvlText w:val="%1."/>
      <w:lvlJc w:val="left"/>
      <w:rPr>
        <w:color w:val="3370FF"/>
      </w:rPr>
    </w:lvl>
  </w:abstractNum>
  <w:abstractNum w:abstractNumId="53">
    <w:nsid w:val="5A241D34"/>
    <w:multiLevelType w:val="singleLevel"/>
    <w:tmpl w:val="5A241D34"/>
    <w:lvl w:ilvl="0" w:tentative="0">
      <w:start w:val="2"/>
      <w:numFmt w:val="decimal"/>
      <w:lvlText w:val="%1."/>
      <w:lvlJc w:val="left"/>
      <w:rPr>
        <w:color w:val="3370FF"/>
      </w:rPr>
    </w:lvl>
  </w:abstractNum>
  <w:abstractNum w:abstractNumId="54">
    <w:nsid w:val="5E29AB5A"/>
    <w:multiLevelType w:val="singleLevel"/>
    <w:tmpl w:val="5E29AB5A"/>
    <w:lvl w:ilvl="0" w:tentative="0">
      <w:start w:val="2"/>
      <w:numFmt w:val="decimal"/>
      <w:lvlText w:val="%1."/>
      <w:lvlJc w:val="left"/>
      <w:rPr>
        <w:color w:val="3370FF"/>
      </w:rPr>
    </w:lvl>
  </w:abstractNum>
  <w:abstractNum w:abstractNumId="55">
    <w:nsid w:val="5FFFB1A7"/>
    <w:multiLevelType w:val="singleLevel"/>
    <w:tmpl w:val="5FFFB1A7"/>
    <w:lvl w:ilvl="0" w:tentative="0">
      <w:start w:val="3"/>
      <w:numFmt w:val="decimal"/>
      <w:lvlText w:val="%1."/>
      <w:lvlJc w:val="left"/>
      <w:rPr>
        <w:color w:val="3370FF"/>
      </w:rPr>
    </w:lvl>
  </w:abstractNum>
  <w:abstractNum w:abstractNumId="56">
    <w:nsid w:val="60382F6E"/>
    <w:multiLevelType w:val="singleLevel"/>
    <w:tmpl w:val="60382F6E"/>
    <w:lvl w:ilvl="0" w:tentative="0">
      <w:start w:val="3"/>
      <w:numFmt w:val="decimal"/>
      <w:lvlText w:val="%1."/>
      <w:lvlJc w:val="left"/>
      <w:rPr>
        <w:color w:val="3370FF"/>
      </w:rPr>
    </w:lvl>
  </w:abstractNum>
  <w:abstractNum w:abstractNumId="57">
    <w:nsid w:val="629F7852"/>
    <w:multiLevelType w:val="singleLevel"/>
    <w:tmpl w:val="629F7852"/>
    <w:lvl w:ilvl="0" w:tentative="0">
      <w:start w:val="1"/>
      <w:numFmt w:val="decimal"/>
      <w:lvlText w:val="%1."/>
      <w:lvlJc w:val="left"/>
      <w:rPr>
        <w:color w:val="3370FF"/>
      </w:rPr>
    </w:lvl>
  </w:abstractNum>
  <w:abstractNum w:abstractNumId="58">
    <w:nsid w:val="65CD0074"/>
    <w:multiLevelType w:val="singleLevel"/>
    <w:tmpl w:val="65CD0074"/>
    <w:lvl w:ilvl="0" w:tentative="0">
      <w:start w:val="3"/>
      <w:numFmt w:val="decimal"/>
      <w:lvlText w:val="%1."/>
      <w:lvlJc w:val="left"/>
      <w:rPr>
        <w:color w:val="3370FF"/>
      </w:rPr>
    </w:lvl>
  </w:abstractNum>
  <w:abstractNum w:abstractNumId="59">
    <w:nsid w:val="72183CF9"/>
    <w:multiLevelType w:val="singleLevel"/>
    <w:tmpl w:val="72183CF9"/>
    <w:lvl w:ilvl="0" w:tentative="0">
      <w:start w:val="3"/>
      <w:numFmt w:val="decimal"/>
      <w:lvlText w:val="%1."/>
      <w:lvlJc w:val="left"/>
      <w:rPr>
        <w:color w:val="3370FF"/>
      </w:rPr>
    </w:lvl>
  </w:abstractNum>
  <w:abstractNum w:abstractNumId="60">
    <w:nsid w:val="74C28B35"/>
    <w:multiLevelType w:val="singleLevel"/>
    <w:tmpl w:val="74C28B35"/>
    <w:lvl w:ilvl="0" w:tentative="0">
      <w:start w:val="4"/>
      <w:numFmt w:val="decimal"/>
      <w:lvlText w:val="%1."/>
      <w:lvlJc w:val="left"/>
      <w:rPr>
        <w:color w:val="3370FF"/>
      </w:rPr>
    </w:lvl>
  </w:abstractNum>
  <w:abstractNum w:abstractNumId="61">
    <w:nsid w:val="77ECEA79"/>
    <w:multiLevelType w:val="singleLevel"/>
    <w:tmpl w:val="77ECEA79"/>
    <w:lvl w:ilvl="0" w:tentative="0">
      <w:start w:val="8"/>
      <w:numFmt w:val="decimal"/>
      <w:lvlText w:val="%1."/>
      <w:lvlJc w:val="left"/>
      <w:rPr>
        <w:color w:val="3370FF"/>
      </w:rPr>
    </w:lvl>
  </w:abstractNum>
  <w:abstractNum w:abstractNumId="62">
    <w:nsid w:val="79AA4FA4"/>
    <w:multiLevelType w:val="singleLevel"/>
    <w:tmpl w:val="79AA4FA4"/>
    <w:lvl w:ilvl="0" w:tentative="0">
      <w:start w:val="2"/>
      <w:numFmt w:val="decimal"/>
      <w:lvlText w:val="%1."/>
      <w:lvlJc w:val="left"/>
      <w:rPr>
        <w:color w:val="3370FF"/>
      </w:rPr>
    </w:lvl>
  </w:abstractNum>
  <w:abstractNum w:abstractNumId="63">
    <w:nsid w:val="7C246926"/>
    <w:multiLevelType w:val="singleLevel"/>
    <w:tmpl w:val="7C246926"/>
    <w:lvl w:ilvl="0" w:tentative="0">
      <w:start w:val="7"/>
      <w:numFmt w:val="decimal"/>
      <w:lvlText w:val="%1."/>
      <w:lvlJc w:val="left"/>
      <w:rPr>
        <w:color w:val="3370FF"/>
      </w:rPr>
    </w:lvl>
  </w:abstractNum>
  <w:num w:numId="1">
    <w:abstractNumId w:val="0"/>
  </w:num>
  <w:num w:numId="2">
    <w:abstractNumId w:val="45"/>
  </w:num>
  <w:num w:numId="3">
    <w:abstractNumId w:val="21"/>
  </w:num>
  <w:num w:numId="4">
    <w:abstractNumId w:val="47"/>
  </w:num>
  <w:num w:numId="5">
    <w:abstractNumId w:val="52"/>
  </w:num>
  <w:num w:numId="6">
    <w:abstractNumId w:val="16"/>
  </w:num>
  <w:num w:numId="7">
    <w:abstractNumId w:val="12"/>
  </w:num>
  <w:num w:numId="8">
    <w:abstractNumId w:val="27"/>
  </w:num>
  <w:num w:numId="9">
    <w:abstractNumId w:val="37"/>
  </w:num>
  <w:num w:numId="10">
    <w:abstractNumId w:val="59"/>
  </w:num>
  <w:num w:numId="11">
    <w:abstractNumId w:val="25"/>
  </w:num>
  <w:num w:numId="12">
    <w:abstractNumId w:val="5"/>
  </w:num>
  <w:num w:numId="13">
    <w:abstractNumId w:val="38"/>
  </w:num>
  <w:num w:numId="14">
    <w:abstractNumId w:val="53"/>
  </w:num>
  <w:num w:numId="15">
    <w:abstractNumId w:val="18"/>
  </w:num>
  <w:num w:numId="16">
    <w:abstractNumId w:val="51"/>
  </w:num>
  <w:num w:numId="17">
    <w:abstractNumId w:val="24"/>
  </w:num>
  <w:num w:numId="18">
    <w:abstractNumId w:val="36"/>
  </w:num>
  <w:num w:numId="19">
    <w:abstractNumId w:val="22"/>
  </w:num>
  <w:num w:numId="20">
    <w:abstractNumId w:val="20"/>
  </w:num>
  <w:num w:numId="21">
    <w:abstractNumId w:val="7"/>
  </w:num>
  <w:num w:numId="22">
    <w:abstractNumId w:val="49"/>
  </w:num>
  <w:num w:numId="23">
    <w:abstractNumId w:val="56"/>
  </w:num>
  <w:num w:numId="24">
    <w:abstractNumId w:val="30"/>
  </w:num>
  <w:num w:numId="25">
    <w:abstractNumId w:val="48"/>
  </w:num>
  <w:num w:numId="26">
    <w:abstractNumId w:val="9"/>
  </w:num>
  <w:num w:numId="27">
    <w:abstractNumId w:val="63"/>
  </w:num>
  <w:num w:numId="28">
    <w:abstractNumId w:val="61"/>
  </w:num>
  <w:num w:numId="29">
    <w:abstractNumId w:val="15"/>
  </w:num>
  <w:num w:numId="30">
    <w:abstractNumId w:val="57"/>
  </w:num>
  <w:num w:numId="31">
    <w:abstractNumId w:val="6"/>
  </w:num>
  <w:num w:numId="32">
    <w:abstractNumId w:val="43"/>
  </w:num>
  <w:num w:numId="33">
    <w:abstractNumId w:val="2"/>
  </w:num>
  <w:num w:numId="34">
    <w:abstractNumId w:val="39"/>
  </w:num>
  <w:num w:numId="35">
    <w:abstractNumId w:val="62"/>
  </w:num>
  <w:num w:numId="36">
    <w:abstractNumId w:val="14"/>
  </w:num>
  <w:num w:numId="37">
    <w:abstractNumId w:val="4"/>
  </w:num>
  <w:num w:numId="38">
    <w:abstractNumId w:val="13"/>
  </w:num>
  <w:num w:numId="39">
    <w:abstractNumId w:val="54"/>
  </w:num>
  <w:num w:numId="40">
    <w:abstractNumId w:val="1"/>
  </w:num>
  <w:num w:numId="41">
    <w:abstractNumId w:val="33"/>
  </w:num>
  <w:num w:numId="42">
    <w:abstractNumId w:val="3"/>
  </w:num>
  <w:num w:numId="43">
    <w:abstractNumId w:val="55"/>
  </w:num>
  <w:num w:numId="44">
    <w:abstractNumId w:val="60"/>
  </w:num>
  <w:num w:numId="45">
    <w:abstractNumId w:val="50"/>
  </w:num>
  <w:num w:numId="46">
    <w:abstractNumId w:val="40"/>
  </w:num>
  <w:num w:numId="47">
    <w:abstractNumId w:val="58"/>
  </w:num>
  <w:num w:numId="48">
    <w:abstractNumId w:val="28"/>
  </w:num>
  <w:num w:numId="49">
    <w:abstractNumId w:val="29"/>
  </w:num>
  <w:num w:numId="50">
    <w:abstractNumId w:val="19"/>
  </w:num>
  <w:num w:numId="51">
    <w:abstractNumId w:val="41"/>
  </w:num>
  <w:num w:numId="52">
    <w:abstractNumId w:val="34"/>
  </w:num>
  <w:num w:numId="53">
    <w:abstractNumId w:val="23"/>
  </w:num>
  <w:num w:numId="54">
    <w:abstractNumId w:val="35"/>
  </w:num>
  <w:num w:numId="55">
    <w:abstractNumId w:val="11"/>
  </w:num>
  <w:num w:numId="56">
    <w:abstractNumId w:val="46"/>
  </w:num>
  <w:num w:numId="57">
    <w:abstractNumId w:val="31"/>
  </w:num>
  <w:num w:numId="58">
    <w:abstractNumId w:val="42"/>
  </w:num>
  <w:num w:numId="59">
    <w:abstractNumId w:val="26"/>
  </w:num>
  <w:num w:numId="60">
    <w:abstractNumId w:val="17"/>
  </w:num>
  <w:num w:numId="61">
    <w:abstractNumId w:val="32"/>
  </w:num>
  <w:num w:numId="62">
    <w:abstractNumId w:val="10"/>
  </w:num>
  <w:num w:numId="63">
    <w:abstractNumId w:val="44"/>
  </w:num>
  <w:num w:numId="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5D67331"/>
    <w:rsid w:val="0EA376E1"/>
    <w:rsid w:val="0FDB27D8"/>
    <w:rsid w:val="14621CEB"/>
    <w:rsid w:val="1AF805C1"/>
    <w:rsid w:val="1FE76BA1"/>
    <w:rsid w:val="21DC16D3"/>
    <w:rsid w:val="37E24153"/>
    <w:rsid w:val="3BF67DB3"/>
    <w:rsid w:val="417D0BA6"/>
    <w:rsid w:val="4FD22F02"/>
    <w:rsid w:val="595D7EF0"/>
    <w:rsid w:val="619868EC"/>
    <w:rsid w:val="71063344"/>
    <w:rsid w:val="75E61C3D"/>
    <w:rsid w:val="7A10372A"/>
    <w:rsid w:val="7CC05B2E"/>
    <w:rsid w:val="7EC242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numPr>
        <w:ilvl w:val="1"/>
        <w:numId w:val="1"/>
      </w:numPr>
      <w:tabs>
        <w:tab w:val="left" w:pos="0"/>
        <w:tab w:val="left" w:pos="2977"/>
        <w:tab w:val="left" w:pos="4674"/>
      </w:tabs>
      <w:spacing w:before="30" w:after="30" w:line="415" w:lineRule="auto"/>
      <w:ind w:firstLine="0"/>
      <w:outlineLvl w:val="1"/>
    </w:pPr>
    <w:rPr>
      <w:rFonts w:ascii="Times New Roman" w:hAnsi="Times New Roman" w:cstheme="majorBidi"/>
      <w:b/>
      <w:bCs/>
      <w:sz w:val="30"/>
      <w:szCs w:val="32"/>
    </w:rPr>
  </w:style>
  <w:style w:type="character" w:default="1" w:styleId="11">
    <w:name w:val="Default Paragraph Font"/>
    <w:semiHidden/>
    <w:qFormat/>
    <w:uiPriority w:val="0"/>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semiHidden/>
    <w:qFormat/>
    <w:uiPriority w:val="0"/>
    <w:rPr>
      <w:rFonts w:ascii="Arial" w:hAnsi="Arial" w:eastAsia="Arial" w:cs="Arial"/>
      <w:sz w:val="21"/>
      <w:szCs w:val="21"/>
      <w:lang w:val="en-US" w:eastAsia="en-US" w:bidi="ar-SA"/>
    </w:rPr>
  </w:style>
  <w:style w:type="paragraph" w:styleId="5">
    <w:name w:val="toc 3"/>
    <w:basedOn w:val="1"/>
    <w:next w:val="1"/>
    <w:uiPriority w:val="0"/>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2"/>
    <w:basedOn w:val="1"/>
    <w:next w:val="1"/>
    <w:uiPriority w:val="0"/>
    <w:pPr>
      <w:ind w:left="420" w:leftChars="200"/>
    </w:p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sz w:val="24"/>
      <w:szCs w:val="24"/>
      <w:lang w:val="en-US" w:eastAsia="en-US" w:bidi="ar-SA"/>
    </w:rPr>
  </w:style>
  <w:style w:type="paragraph" w:customStyle="1" w:styleId="14">
    <w:name w:val="null3"/>
    <w:hidden/>
    <w:qFormat/>
    <w:uiPriority w:val="0"/>
    <w:rPr>
      <w:rFonts w:hint="eastAsia" w:asciiTheme="minorHAnsi" w:hAnsiTheme="minorHAnsi" w:eastAsiaTheme="minorEastAsia" w:cstheme="minorBidi"/>
      <w:lang w:val="en-US" w:eastAsia="zh-Hans"/>
    </w:rPr>
  </w:style>
  <w:style w:type="paragraph" w:customStyle="1" w:styleId="15">
    <w:name w:val="Table Paragraph"/>
    <w:basedOn w:val="1"/>
    <w:qFormat/>
    <w:uiPriority w:val="1"/>
    <w:rPr>
      <w:rFonts w:ascii="宋体" w:hAnsi="宋体" w:eastAsia="宋体" w:cs="宋体"/>
    </w:rPr>
  </w:style>
  <w:style w:type="paragraph" w:customStyle="1" w:styleId="16">
    <w:name w:val="msonospacing"/>
    <w:basedOn w:val="1"/>
    <w:autoRedefine/>
    <w:qFormat/>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7" Type="http://schemas.openxmlformats.org/officeDocument/2006/relationships/fontTable" Target="fontTable.xml"/><Relationship Id="rId66" Type="http://schemas.openxmlformats.org/officeDocument/2006/relationships/numbering" Target="numbering.xml"/><Relationship Id="rId65" Type="http://schemas.openxmlformats.org/officeDocument/2006/relationships/theme" Target="theme/theme1.xml"/><Relationship Id="rId64" Type="http://schemas.openxmlformats.org/officeDocument/2006/relationships/footer" Target="footer33.xml"/><Relationship Id="rId63" Type="http://schemas.openxmlformats.org/officeDocument/2006/relationships/header" Target="header27.xml"/><Relationship Id="rId62" Type="http://schemas.openxmlformats.org/officeDocument/2006/relationships/footer" Target="footer32.xml"/><Relationship Id="rId61" Type="http://schemas.openxmlformats.org/officeDocument/2006/relationships/header" Target="header26.xml"/><Relationship Id="rId60" Type="http://schemas.openxmlformats.org/officeDocument/2006/relationships/footer" Target="footer31.xml"/><Relationship Id="rId6" Type="http://schemas.openxmlformats.org/officeDocument/2006/relationships/header" Target="header2.xml"/><Relationship Id="rId59" Type="http://schemas.openxmlformats.org/officeDocument/2006/relationships/footer" Target="footer30.xml"/><Relationship Id="rId58" Type="http://schemas.openxmlformats.org/officeDocument/2006/relationships/header" Target="header25.xml"/><Relationship Id="rId57" Type="http://schemas.openxmlformats.org/officeDocument/2006/relationships/footer" Target="footer29.xml"/><Relationship Id="rId56" Type="http://schemas.openxmlformats.org/officeDocument/2006/relationships/header" Target="header24.xml"/><Relationship Id="rId55" Type="http://schemas.openxmlformats.org/officeDocument/2006/relationships/footer" Target="footer28.xml"/><Relationship Id="rId54" Type="http://schemas.openxmlformats.org/officeDocument/2006/relationships/header" Target="header23.xml"/><Relationship Id="rId53" Type="http://schemas.openxmlformats.org/officeDocument/2006/relationships/footer" Target="footer27.xml"/><Relationship Id="rId52" Type="http://schemas.openxmlformats.org/officeDocument/2006/relationships/header" Target="header22.xml"/><Relationship Id="rId51" Type="http://schemas.openxmlformats.org/officeDocument/2006/relationships/footer" Target="footer26.xml"/><Relationship Id="rId50" Type="http://schemas.openxmlformats.org/officeDocument/2006/relationships/header" Target="header21.xml"/><Relationship Id="rId5" Type="http://schemas.openxmlformats.org/officeDocument/2006/relationships/header" Target="header1.xml"/><Relationship Id="rId49" Type="http://schemas.openxmlformats.org/officeDocument/2006/relationships/footer" Target="footer25.xml"/><Relationship Id="rId48" Type="http://schemas.openxmlformats.org/officeDocument/2006/relationships/header" Target="header20.xml"/><Relationship Id="rId47" Type="http://schemas.openxmlformats.org/officeDocument/2006/relationships/footer" Target="footer24.xml"/><Relationship Id="rId46" Type="http://schemas.openxmlformats.org/officeDocument/2006/relationships/header" Target="header19.xml"/><Relationship Id="rId45" Type="http://schemas.openxmlformats.org/officeDocument/2006/relationships/footer" Target="footer23.xml"/><Relationship Id="rId44" Type="http://schemas.openxmlformats.org/officeDocument/2006/relationships/header" Target="header18.xml"/><Relationship Id="rId43" Type="http://schemas.openxmlformats.org/officeDocument/2006/relationships/footer" Target="footer22.xml"/><Relationship Id="rId42" Type="http://schemas.openxmlformats.org/officeDocument/2006/relationships/footer" Target="footer21.xml"/><Relationship Id="rId41" Type="http://schemas.openxmlformats.org/officeDocument/2006/relationships/footer" Target="footer20.xml"/><Relationship Id="rId40" Type="http://schemas.openxmlformats.org/officeDocument/2006/relationships/footer" Target="footer19.xml"/><Relationship Id="rId4" Type="http://schemas.openxmlformats.org/officeDocument/2006/relationships/endnotes" Target="endnotes.xml"/><Relationship Id="rId39" Type="http://schemas.openxmlformats.org/officeDocument/2006/relationships/header" Target="header17.xml"/><Relationship Id="rId38" Type="http://schemas.openxmlformats.org/officeDocument/2006/relationships/footer" Target="footer18.xml"/><Relationship Id="rId37" Type="http://schemas.openxmlformats.org/officeDocument/2006/relationships/header" Target="header16.xml"/><Relationship Id="rId36" Type="http://schemas.openxmlformats.org/officeDocument/2006/relationships/footer" Target="footer17.xml"/><Relationship Id="rId35" Type="http://schemas.openxmlformats.org/officeDocument/2006/relationships/header" Target="header15.xml"/><Relationship Id="rId34" Type="http://schemas.openxmlformats.org/officeDocument/2006/relationships/footer" Target="footer16.xml"/><Relationship Id="rId33" Type="http://schemas.openxmlformats.org/officeDocument/2006/relationships/header" Target="header14.xml"/><Relationship Id="rId32" Type="http://schemas.openxmlformats.org/officeDocument/2006/relationships/footer" Target="footer15.xml"/><Relationship Id="rId31" Type="http://schemas.openxmlformats.org/officeDocument/2006/relationships/footer" Target="footer14.xml"/><Relationship Id="rId30" Type="http://schemas.openxmlformats.org/officeDocument/2006/relationships/header" Target="header13.xml"/><Relationship Id="rId3" Type="http://schemas.openxmlformats.org/officeDocument/2006/relationships/footnotes" Target="footnotes.xml"/><Relationship Id="rId29" Type="http://schemas.openxmlformats.org/officeDocument/2006/relationships/footer" Target="footer13.xml"/><Relationship Id="rId28" Type="http://schemas.openxmlformats.org/officeDocument/2006/relationships/header" Target="header12.xml"/><Relationship Id="rId27" Type="http://schemas.openxmlformats.org/officeDocument/2006/relationships/footer" Target="footer12.xml"/><Relationship Id="rId26" Type="http://schemas.openxmlformats.org/officeDocument/2006/relationships/footer" Target="footer11.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90</Pages>
  <Words>25989</Words>
  <Characters>28042</Characters>
  <TotalTime>1</TotalTime>
  <ScaleCrop>false</ScaleCrop>
  <LinksUpToDate>false</LinksUpToDate>
  <CharactersWithSpaces>28419</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2026-01-09T14:40:00Z</dcterms:created>
  <dc:creator>Administrator</dc:creator>
  <cp:lastModifiedBy>Guo Xionglong</cp:lastModifiedBy>
  <dcterms:modified xsi:type="dcterms:W3CDTF">2026-04-16T01:13:20Z</dcterms:modified>
  <dc:title>_                                    招标编号：ZD0814-013Z</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2026-04-16T07:04:57Z</vt:filetime>
  </property>
  <property fmtid="{D5CDD505-2E9C-101B-9397-08002B2CF9AE}" pid="4" name="KSOTemplateDocerSaveRecord">
    <vt:lpwstr>eyJoZGlkIjoiOWUzNTNhMDM0YWVkYzE3NTE5NjRlNTNmOWJiNjUwYTYiLCJ1c2VySWQiOiIyMzM5MDkzMzkifQ==</vt:lpwstr>
  </property>
  <property fmtid="{D5CDD505-2E9C-101B-9397-08002B2CF9AE}" pid="5" name="KSOProductBuildVer">
    <vt:lpwstr>2052-12.1.0.25225</vt:lpwstr>
  </property>
  <property fmtid="{D5CDD505-2E9C-101B-9397-08002B2CF9AE}" pid="6" name="ICV">
    <vt:lpwstr>0FD9AF6E3CE842D7A264ABA722198051_12</vt:lpwstr>
  </property>
</Properties>
</file>