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C"/>
  <w:body>
    <w:p>
      <w:pPr>
        <w:widowControl w:val="0"/>
        <w:topLinePunct/>
        <w:jc w:val="center"/>
        <w:rPr>
          <w:rFonts w:eastAsia="宋体" w:cs="Tahoma"/>
          <w:sz w:val="44"/>
          <w:szCs w:val="44"/>
        </w:rPr>
      </w:pPr>
      <w:bookmarkStart w:id="14" w:name="_GoBack"/>
      <w:bookmarkEnd w:id="14"/>
    </w:p>
    <w:p>
      <w:pPr>
        <w:widowControl w:val="0"/>
        <w:topLinePunct/>
        <w:jc w:val="center"/>
        <w:rPr>
          <w:rFonts w:eastAsia="宋体" w:cs="Tahoma"/>
          <w:sz w:val="44"/>
          <w:szCs w:val="44"/>
        </w:rPr>
      </w:pPr>
    </w:p>
    <w:p>
      <w:pPr>
        <w:widowControl w:val="0"/>
        <w:topLinePunct/>
        <w:jc w:val="center"/>
        <w:rPr>
          <w:rFonts w:eastAsia="宋体" w:cs="Tahoma"/>
          <w:sz w:val="44"/>
          <w:szCs w:val="44"/>
        </w:rPr>
      </w:pPr>
    </w:p>
    <w:p>
      <w:pPr>
        <w:pStyle w:val="35"/>
        <w:widowControl w:val="0"/>
        <w:topLinePunct/>
        <w:rPr>
          <w:rFonts w:eastAsia="宋体" w:cs="Tahoma" w:asciiTheme="minorHAnsi" w:hAnsiTheme="minorHAnsi"/>
        </w:rPr>
      </w:pPr>
      <w:r>
        <w:rPr>
          <w:rFonts w:eastAsia="宋体" w:cs="Tahoma" w:asciiTheme="minorHAnsi" w:hAnsiTheme="minorHAnsi"/>
        </w:rPr>
        <w:t>西安市市级单位政府采购中心</w:t>
      </w:r>
    </w:p>
    <w:p>
      <w:pPr>
        <w:pStyle w:val="33"/>
        <w:widowControl w:val="0"/>
        <w:topLinePunct/>
        <w:rPr>
          <w:rFonts w:cstheme="minorHAnsi"/>
        </w:rPr>
      </w:pPr>
      <w:r>
        <w:rPr>
          <w:rFonts w:cstheme="minorHAnsi"/>
          <w:spacing w:val="324"/>
          <w:kern w:val="0"/>
          <w:fitText w:val="5784" w:id="-1539664640"/>
        </w:rPr>
        <w:t>招标文</w:t>
      </w:r>
      <w:r>
        <w:rPr>
          <w:rFonts w:cstheme="minorHAnsi"/>
          <w:spacing w:val="0"/>
          <w:kern w:val="0"/>
          <w:fitText w:val="5784" w:id="-1539664640"/>
        </w:rPr>
        <w:t>件</w:t>
      </w:r>
    </w:p>
    <w:p>
      <w:pPr>
        <w:widowControl w:val="0"/>
        <w:topLinePunct/>
        <w:spacing w:line="360" w:lineRule="auto"/>
        <w:jc w:val="center"/>
        <w:rPr>
          <w:rFonts w:eastAsia="宋体" w:cs="Tahoma"/>
          <w:sz w:val="36"/>
          <w:szCs w:val="36"/>
        </w:rPr>
      </w:pPr>
    </w:p>
    <w:p>
      <w:pPr>
        <w:pStyle w:val="36"/>
        <w:widowControl w:val="0"/>
        <w:topLinePunct/>
        <w:spacing w:line="360" w:lineRule="auto"/>
        <w:ind w:left="2640" w:right="1130" w:rightChars="471" w:hanging="1800"/>
        <w:rPr>
          <w:rFonts w:cs="Tahoma" w:asciiTheme="minorHAnsi" w:hAnsiTheme="minorHAnsi"/>
        </w:rPr>
      </w:pPr>
      <w:r>
        <w:rPr>
          <w:rFonts w:cs="Tahoma" w:asciiTheme="minorHAnsi" w:hAnsiTheme="minorHAnsi"/>
        </w:rPr>
        <w:t>项目名称：</w:t>
      </w:r>
      <w:r>
        <w:rPr>
          <w:rFonts w:hint="eastAsia" w:cs="Tahoma" w:asciiTheme="minorHAnsi" w:hAnsiTheme="minorHAnsi"/>
          <w:color w:val="C00000"/>
        </w:rPr>
        <w:t>西安市</w:t>
      </w:r>
      <w:r>
        <w:rPr>
          <w:rFonts w:cs="Tahoma" w:asciiTheme="minorHAnsi" w:hAnsiTheme="minorHAnsi"/>
          <w:color w:val="C00000"/>
        </w:rPr>
        <w:t>电子政务网专线接入服务项目</w:t>
      </w:r>
    </w:p>
    <w:p>
      <w:pPr>
        <w:pStyle w:val="36"/>
        <w:widowControl w:val="0"/>
        <w:topLinePunct/>
        <w:spacing w:line="360" w:lineRule="auto"/>
        <w:ind w:left="2640" w:right="600" w:hanging="1800"/>
        <w:rPr>
          <w:rFonts w:cs="Tahoma" w:asciiTheme="minorHAnsi" w:hAnsiTheme="minorHAnsi"/>
        </w:rPr>
      </w:pPr>
      <w:r>
        <w:rPr>
          <w:rFonts w:cs="Tahoma" w:asciiTheme="minorHAnsi" w:hAnsiTheme="minorHAnsi"/>
        </w:rPr>
        <w:t>项目编号：</w:t>
      </w:r>
      <w:r>
        <w:rPr>
          <w:rFonts w:cs="Tahoma" w:asciiTheme="minorHAnsi" w:hAnsiTheme="minorHAnsi"/>
          <w:color w:val="C00000"/>
        </w:rPr>
        <w:t>XCZX2026-0012-2</w:t>
      </w:r>
    </w:p>
    <w:p>
      <w:pPr>
        <w:widowControl w:val="0"/>
        <w:topLinePunct/>
        <w:spacing w:line="360" w:lineRule="auto"/>
        <w:jc w:val="center"/>
        <w:rPr>
          <w:rFonts w:eastAsia="宋体" w:cs="Tahoma"/>
          <w:sz w:val="36"/>
          <w:szCs w:val="36"/>
        </w:rPr>
      </w:pPr>
    </w:p>
    <w:p>
      <w:pPr>
        <w:widowControl w:val="0"/>
        <w:topLinePunct/>
        <w:spacing w:line="360" w:lineRule="auto"/>
        <w:jc w:val="center"/>
        <w:rPr>
          <w:rFonts w:eastAsia="宋体" w:cs="Tahoma"/>
          <w:sz w:val="36"/>
          <w:szCs w:val="36"/>
        </w:rPr>
      </w:pPr>
    </w:p>
    <w:p>
      <w:pPr>
        <w:widowControl w:val="0"/>
        <w:topLinePunct/>
        <w:spacing w:line="360" w:lineRule="auto"/>
        <w:jc w:val="center"/>
        <w:rPr>
          <w:rFonts w:eastAsia="宋体" w:cs="Tahoma"/>
          <w:sz w:val="36"/>
          <w:szCs w:val="36"/>
        </w:rPr>
      </w:pPr>
    </w:p>
    <w:p>
      <w:pPr>
        <w:widowControl w:val="0"/>
        <w:topLinePunct/>
        <w:spacing w:line="360" w:lineRule="auto"/>
        <w:jc w:val="center"/>
        <w:rPr>
          <w:rFonts w:eastAsia="宋体" w:cs="Tahoma"/>
          <w:sz w:val="36"/>
          <w:szCs w:val="36"/>
        </w:rPr>
      </w:pPr>
    </w:p>
    <w:p>
      <w:pPr>
        <w:widowControl w:val="0"/>
        <w:topLinePunct/>
        <w:spacing w:line="360" w:lineRule="auto"/>
        <w:jc w:val="center"/>
        <w:rPr>
          <w:rFonts w:eastAsia="宋体" w:cs="Tahoma"/>
          <w:sz w:val="36"/>
          <w:szCs w:val="36"/>
        </w:rPr>
      </w:pPr>
    </w:p>
    <w:p>
      <w:pPr>
        <w:pStyle w:val="34"/>
        <w:widowControl w:val="0"/>
        <w:topLinePunct/>
        <w:spacing w:line="360" w:lineRule="auto"/>
        <w:rPr>
          <w:rFonts w:eastAsia="宋体" w:cs="Tahoma" w:asciiTheme="minorHAnsi" w:hAnsiTheme="minorHAnsi"/>
        </w:rPr>
      </w:pPr>
      <w:r>
        <w:rPr>
          <w:rFonts w:eastAsia="宋体" w:cs="Tahoma" w:asciiTheme="minorHAnsi" w:hAnsiTheme="minorHAnsi"/>
        </w:rPr>
        <w:fldChar w:fldCharType="begin"/>
      </w:r>
      <w:r>
        <w:rPr>
          <w:rFonts w:eastAsia="宋体" w:cs="Tahoma" w:asciiTheme="minorHAnsi" w:hAnsiTheme="minorHAnsi"/>
        </w:rPr>
        <w:instrText xml:space="preserve"> TIME \@ "yyyy年M月" </w:instrText>
      </w:r>
      <w:r>
        <w:rPr>
          <w:rFonts w:eastAsia="宋体" w:cs="Tahoma" w:asciiTheme="minorHAnsi" w:hAnsiTheme="minorHAnsi"/>
        </w:rPr>
        <w:fldChar w:fldCharType="separate"/>
      </w:r>
      <w:r>
        <w:rPr>
          <w:rFonts w:eastAsia="宋体" w:cs="Tahoma" w:asciiTheme="minorHAnsi" w:hAnsiTheme="minorHAnsi"/>
        </w:rPr>
        <w:t>2026年5月</w:t>
      </w:r>
      <w:r>
        <w:rPr>
          <w:rFonts w:eastAsia="宋体" w:cs="Tahoma" w:asciiTheme="minorHAnsi" w:hAnsiTheme="minorHAnsi"/>
        </w:rPr>
        <w:fldChar w:fldCharType="end"/>
      </w:r>
    </w:p>
    <w:p>
      <w:pPr>
        <w:widowControl w:val="0"/>
        <w:topLinePunct/>
        <w:jc w:val="center"/>
        <w:rPr>
          <w:rFonts w:eastAsia="宋体" w:cstheme="minorHAnsi"/>
          <w:sz w:val="36"/>
          <w:szCs w:val="36"/>
        </w:rPr>
      </w:pPr>
      <w:r>
        <w:rPr>
          <w:rFonts w:eastAsia="宋体" w:cstheme="minorHAnsi"/>
          <w:sz w:val="36"/>
          <w:szCs w:val="36"/>
        </w:rPr>
        <w:br w:type="page"/>
      </w:r>
    </w:p>
    <w:p>
      <w:pPr>
        <w:widowControl w:val="0"/>
        <w:topLinePunct/>
        <w:jc w:val="center"/>
        <w:rPr>
          <w:sz w:val="44"/>
          <w:szCs w:val="44"/>
        </w:rPr>
      </w:pPr>
    </w:p>
    <w:p>
      <w:pPr>
        <w:widowControl w:val="0"/>
        <w:topLinePunct/>
        <w:jc w:val="center"/>
        <w:rPr>
          <w:rFonts w:ascii="黑体" w:hAnsi="黑体" w:eastAsia="黑体" w:cstheme="minorHAnsi"/>
          <w:sz w:val="44"/>
          <w:szCs w:val="44"/>
        </w:rPr>
      </w:pPr>
      <w:r>
        <w:rPr>
          <w:rFonts w:hint="eastAsia" w:ascii="黑体" w:hAnsi="黑体" w:eastAsia="黑体" w:cstheme="minorHAnsi"/>
          <w:sz w:val="44"/>
          <w:szCs w:val="44"/>
        </w:rPr>
        <w:t>目　　录</w:t>
      </w:r>
    </w:p>
    <w:p>
      <w:pPr>
        <w:widowControl w:val="0"/>
        <w:topLinePunct/>
        <w:jc w:val="center"/>
        <w:rPr>
          <w:rFonts w:ascii="黑体" w:hAnsi="黑体" w:eastAsia="黑体" w:cstheme="minorHAnsi"/>
          <w:sz w:val="44"/>
          <w:szCs w:val="44"/>
        </w:rPr>
      </w:pPr>
    </w:p>
    <w:p>
      <w:pPr>
        <w:pStyle w:val="19"/>
        <w:tabs>
          <w:tab w:val="right" w:leader="dot" w:pos="9060"/>
        </w:tabs>
        <w:spacing w:before="460" w:after="460"/>
        <w:rPr>
          <w:rFonts w:asciiTheme="minorHAnsi" w:hAnsiTheme="minorHAnsi" w:eastAsiaTheme="minorEastAsia" w:cstheme="minorBidi"/>
          <w:kern w:val="2"/>
          <w:sz w:val="21"/>
          <w:szCs w:val="22"/>
        </w:rPr>
      </w:pPr>
      <w:r>
        <w:rPr>
          <w:rFonts w:cstheme="minorHAnsi"/>
          <w:szCs w:val="30"/>
        </w:rPr>
        <w:fldChar w:fldCharType="begin"/>
      </w:r>
      <w:r>
        <w:rPr>
          <w:rFonts w:cstheme="minorHAnsi"/>
          <w:szCs w:val="30"/>
        </w:rPr>
        <w:instrText xml:space="preserve"> TOC \o "1-1" \h \z \u </w:instrText>
      </w:r>
      <w:r>
        <w:rPr>
          <w:rFonts w:cstheme="minorHAnsi"/>
          <w:szCs w:val="30"/>
        </w:rPr>
        <w:fldChar w:fldCharType="separate"/>
      </w:r>
      <w:r>
        <w:fldChar w:fldCharType="begin"/>
      </w:r>
      <w:r>
        <w:instrText xml:space="preserve"> HYPERLINK \l "_Toc211437466" </w:instrText>
      </w:r>
      <w:r>
        <w:fldChar w:fldCharType="separate"/>
      </w:r>
      <w:r>
        <w:rPr>
          <w:rStyle w:val="31"/>
          <w:rFonts w:hint="eastAsia"/>
        </w:rPr>
        <w:t>第一章　投标邀请函</w:t>
      </w:r>
      <w:r>
        <w:tab/>
      </w:r>
      <w:r>
        <w:fldChar w:fldCharType="begin"/>
      </w:r>
      <w:r>
        <w:instrText xml:space="preserve"> PAGEREF _Toc211437466 \h </w:instrText>
      </w:r>
      <w:r>
        <w:fldChar w:fldCharType="separate"/>
      </w:r>
      <w:r>
        <w:t>1</w:t>
      </w:r>
      <w:r>
        <w:fldChar w:fldCharType="end"/>
      </w:r>
      <w:r>
        <w:fldChar w:fldCharType="end"/>
      </w:r>
    </w:p>
    <w:p>
      <w:pPr>
        <w:pStyle w:val="19"/>
        <w:tabs>
          <w:tab w:val="right" w:leader="dot" w:pos="9060"/>
        </w:tabs>
        <w:spacing w:before="460" w:after="460"/>
        <w:rPr>
          <w:rFonts w:asciiTheme="minorHAnsi" w:hAnsiTheme="minorHAnsi" w:eastAsiaTheme="minorEastAsia" w:cstheme="minorBidi"/>
          <w:kern w:val="2"/>
          <w:sz w:val="21"/>
          <w:szCs w:val="22"/>
        </w:rPr>
      </w:pPr>
      <w:r>
        <w:fldChar w:fldCharType="begin"/>
      </w:r>
      <w:r>
        <w:instrText xml:space="preserve"> HYPERLINK \l "_Toc211437467" </w:instrText>
      </w:r>
      <w:r>
        <w:fldChar w:fldCharType="separate"/>
      </w:r>
      <w:r>
        <w:rPr>
          <w:rStyle w:val="31"/>
          <w:rFonts w:hint="eastAsia"/>
        </w:rPr>
        <w:t>第二章　供应商须知</w:t>
      </w:r>
      <w:r>
        <w:tab/>
      </w:r>
      <w:r>
        <w:fldChar w:fldCharType="begin"/>
      </w:r>
      <w:r>
        <w:instrText xml:space="preserve"> PAGEREF _Toc211437467 \h </w:instrText>
      </w:r>
      <w:r>
        <w:fldChar w:fldCharType="separate"/>
      </w:r>
      <w:r>
        <w:t>4</w:t>
      </w:r>
      <w:r>
        <w:fldChar w:fldCharType="end"/>
      </w:r>
      <w:r>
        <w:fldChar w:fldCharType="end"/>
      </w:r>
    </w:p>
    <w:p>
      <w:pPr>
        <w:pStyle w:val="19"/>
        <w:tabs>
          <w:tab w:val="right" w:leader="dot" w:pos="9060"/>
        </w:tabs>
        <w:spacing w:before="460" w:after="460"/>
        <w:rPr>
          <w:rFonts w:asciiTheme="minorHAnsi" w:hAnsiTheme="minorHAnsi" w:eastAsiaTheme="minorEastAsia" w:cstheme="minorBidi"/>
          <w:kern w:val="2"/>
          <w:sz w:val="21"/>
          <w:szCs w:val="22"/>
        </w:rPr>
      </w:pPr>
      <w:r>
        <w:fldChar w:fldCharType="begin"/>
      </w:r>
      <w:r>
        <w:instrText xml:space="preserve"> HYPERLINK \l "_Toc211437468" </w:instrText>
      </w:r>
      <w:r>
        <w:fldChar w:fldCharType="separate"/>
      </w:r>
      <w:r>
        <w:rPr>
          <w:rStyle w:val="31"/>
          <w:rFonts w:hint="eastAsia"/>
        </w:rPr>
        <w:t>第三章　招标内容及要求</w:t>
      </w:r>
      <w:r>
        <w:tab/>
      </w:r>
      <w:r>
        <w:t>39</w:t>
      </w:r>
      <w:r>
        <w:fldChar w:fldCharType="end"/>
      </w:r>
    </w:p>
    <w:p>
      <w:pPr>
        <w:pStyle w:val="19"/>
        <w:tabs>
          <w:tab w:val="right" w:leader="dot" w:pos="9060"/>
        </w:tabs>
        <w:spacing w:before="460" w:after="460"/>
        <w:rPr>
          <w:rFonts w:asciiTheme="minorHAnsi" w:hAnsiTheme="minorHAnsi" w:eastAsiaTheme="minorEastAsia" w:cstheme="minorBidi"/>
          <w:kern w:val="2"/>
          <w:sz w:val="21"/>
          <w:szCs w:val="22"/>
        </w:rPr>
      </w:pPr>
      <w:r>
        <w:fldChar w:fldCharType="begin"/>
      </w:r>
      <w:r>
        <w:instrText xml:space="preserve"> HYPERLINK \l "_Toc211437470" </w:instrText>
      </w:r>
      <w:r>
        <w:fldChar w:fldCharType="separate"/>
      </w:r>
      <w:r>
        <w:rPr>
          <w:rStyle w:val="31"/>
          <w:rFonts w:hint="eastAsia"/>
        </w:rPr>
        <w:t>第四章　合同文本</w:t>
      </w:r>
      <w:r>
        <w:tab/>
      </w:r>
      <w:r>
        <w:t>49</w:t>
      </w:r>
      <w:r>
        <w:fldChar w:fldCharType="end"/>
      </w:r>
    </w:p>
    <w:p>
      <w:pPr>
        <w:pStyle w:val="19"/>
        <w:tabs>
          <w:tab w:val="right" w:leader="dot" w:pos="9060"/>
        </w:tabs>
        <w:spacing w:before="460" w:after="460"/>
        <w:rPr>
          <w:rFonts w:asciiTheme="minorHAnsi" w:hAnsiTheme="minorHAnsi" w:eastAsiaTheme="minorEastAsia" w:cstheme="minorBidi"/>
          <w:kern w:val="2"/>
          <w:sz w:val="21"/>
          <w:szCs w:val="22"/>
        </w:rPr>
      </w:pPr>
      <w:r>
        <w:fldChar w:fldCharType="begin"/>
      </w:r>
      <w:r>
        <w:instrText xml:space="preserve"> HYPERLINK \l "_Toc211437471" </w:instrText>
      </w:r>
      <w:r>
        <w:fldChar w:fldCharType="separate"/>
      </w:r>
      <w:r>
        <w:rPr>
          <w:rStyle w:val="31"/>
          <w:rFonts w:hint="eastAsia"/>
        </w:rPr>
        <w:t>第五章　投标文件构成及格式</w:t>
      </w:r>
      <w:r>
        <w:tab/>
      </w:r>
      <w:r>
        <w:t>63</w:t>
      </w:r>
      <w:r>
        <w:fldChar w:fldCharType="end"/>
      </w:r>
    </w:p>
    <w:p>
      <w:pPr>
        <w:pStyle w:val="19"/>
        <w:tabs>
          <w:tab w:val="right" w:leader="dot" w:pos="8890"/>
        </w:tabs>
        <w:spacing w:before="460" w:after="460"/>
        <w:rPr>
          <w:rFonts w:cstheme="minorHAnsi"/>
          <w:sz w:val="36"/>
          <w:szCs w:val="36"/>
        </w:rPr>
      </w:pPr>
      <w:r>
        <w:rPr>
          <w:rFonts w:cstheme="minorHAnsi"/>
          <w:szCs w:val="30"/>
        </w:rPr>
        <w:fldChar w:fldCharType="end"/>
      </w:r>
    </w:p>
    <w:p>
      <w:pPr>
        <w:widowControl w:val="0"/>
        <w:topLinePunct/>
        <w:jc w:val="both"/>
        <w:rPr>
          <w:rFonts w:eastAsia="宋体" w:cstheme="minorHAnsi"/>
          <w:sz w:val="36"/>
          <w:szCs w:val="36"/>
        </w:rPr>
      </w:pPr>
    </w:p>
    <w:p>
      <w:pPr>
        <w:widowControl w:val="0"/>
        <w:topLinePunct/>
        <w:jc w:val="both"/>
        <w:rPr>
          <w:rFonts w:eastAsia="宋体" w:cstheme="minorHAnsi"/>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851" w:footer="992" w:gutter="0"/>
          <w:pgNumType w:start="1"/>
          <w:cols w:space="425" w:num="1"/>
          <w:docGrid w:type="linesAndChars" w:linePitch="460" w:charSpace="0"/>
        </w:sectPr>
      </w:pPr>
    </w:p>
    <w:p>
      <w:pPr>
        <w:pStyle w:val="2"/>
        <w:spacing w:beforeLines="0" w:afterLines="0"/>
      </w:pPr>
      <w:bookmarkStart w:id="0" w:name="_Toc211437466"/>
      <w:r>
        <w:rPr>
          <w:rFonts w:hint="eastAsia"/>
        </w:rPr>
        <w:t>第一章　投标邀请函</w:t>
      </w:r>
      <w:bookmarkEnd w:id="0"/>
    </w:p>
    <w:p>
      <w:pPr>
        <w:widowControl w:val="0"/>
        <w:topLinePunct/>
        <w:ind w:firstLine="480" w:firstLineChars="200"/>
        <w:jc w:val="both"/>
      </w:pPr>
      <w:r>
        <w:rPr>
          <w:rFonts w:hint="eastAsia"/>
        </w:rPr>
        <w:t>西安市市级单位政府采购中心受</w:t>
      </w:r>
      <w:r>
        <w:rPr>
          <w:rFonts w:hint="eastAsia"/>
          <w:color w:val="C00000"/>
        </w:rPr>
        <w:t>西安市数据局</w:t>
      </w:r>
      <w:r>
        <w:rPr>
          <w:rFonts w:hint="eastAsia"/>
        </w:rPr>
        <w:t>的委托，经政府采购监管部门批准，按照政府采购程序，对</w:t>
      </w:r>
      <w:r>
        <w:rPr>
          <w:rFonts w:hint="eastAsia"/>
          <w:color w:val="C00000"/>
        </w:rPr>
        <w:t>西安市电子政务网专线接入服务项目</w:t>
      </w:r>
      <w:r>
        <w:rPr>
          <w:rFonts w:hint="eastAsia"/>
        </w:rPr>
        <w:t>进行公开招标，欢迎符合资格条件的、有能力提供本项目所需货物或服务的供应商参加投标。</w:t>
      </w:r>
    </w:p>
    <w:p>
      <w:pPr>
        <w:widowControl w:val="0"/>
        <w:topLinePunct/>
        <w:ind w:firstLine="480" w:firstLineChars="200"/>
        <w:jc w:val="both"/>
        <w:rPr>
          <w:b/>
        </w:rPr>
      </w:pPr>
      <w:r>
        <w:rPr>
          <w:rFonts w:hint="eastAsia"/>
          <w:b/>
        </w:rPr>
        <w:t>一、项目基本信息：</w:t>
      </w:r>
    </w:p>
    <w:p>
      <w:pPr>
        <w:widowControl w:val="0"/>
        <w:topLinePunct/>
        <w:ind w:firstLine="480" w:firstLineChars="200"/>
        <w:jc w:val="both"/>
      </w:pPr>
      <w:r>
        <w:t>项目</w:t>
      </w:r>
      <w:r>
        <w:rPr>
          <w:rFonts w:hint="eastAsia"/>
        </w:rPr>
        <w:t>名称：</w:t>
      </w:r>
      <w:r>
        <w:rPr>
          <w:rFonts w:hint="eastAsia"/>
          <w:color w:val="C00000"/>
        </w:rPr>
        <w:t>西安市电子政务网专线接入服务项目</w:t>
      </w:r>
    </w:p>
    <w:p>
      <w:pPr>
        <w:widowControl w:val="0"/>
        <w:topLinePunct/>
        <w:ind w:firstLine="480" w:firstLineChars="200"/>
        <w:jc w:val="both"/>
      </w:pPr>
      <w:r>
        <w:rPr>
          <w:rFonts w:hint="eastAsia"/>
        </w:rPr>
        <w:t>项目编号：</w:t>
      </w:r>
      <w:r>
        <w:rPr>
          <w:rFonts w:hint="eastAsia"/>
          <w:color w:val="C00000"/>
        </w:rPr>
        <w:t>XCZX2026-0012-2</w:t>
      </w:r>
    </w:p>
    <w:p>
      <w:pPr>
        <w:widowControl w:val="0"/>
        <w:topLinePunct/>
        <w:ind w:firstLine="480" w:firstLineChars="200"/>
        <w:jc w:val="both"/>
      </w:pPr>
      <w:r>
        <w:t>核准编号：</w:t>
      </w:r>
      <w:r>
        <w:rPr>
          <w:color w:val="C00000"/>
        </w:rPr>
        <w:t>ZCSP-西安市-2026-00020</w:t>
      </w:r>
    </w:p>
    <w:p>
      <w:pPr>
        <w:widowControl w:val="0"/>
        <w:topLinePunct/>
        <w:ind w:firstLine="480" w:firstLineChars="200"/>
        <w:jc w:val="both"/>
      </w:pPr>
      <w:r>
        <w:rPr>
          <w:rFonts w:hint="eastAsia"/>
          <w:b/>
        </w:rPr>
        <w:t>二、项目性质：</w:t>
      </w:r>
      <w:sdt>
        <w:sdtPr>
          <w:rPr>
            <w:rFonts w:hint="eastAsia"/>
            <w:color w:val="C00000"/>
          </w:rPr>
          <w:alias w:val="@项目性质"/>
          <w:tag w:val="@项目性质"/>
          <w:id w:val="1366255977"/>
          <w:placeholder>
            <w:docPart w:val="9E144EFA519D4C9FA390E1330E3F5185"/>
          </w:placeholder>
          <w:temporary/>
          <w:dropDownList>
            <w:listItem w:displayText="非专门面向中小企业的采购项目" w:value="非专门面向中小企业的采购项目"/>
            <w:listItem w:displayText="专门面向中小企业的采购项目" w:value="专门面向中小企业的采购项目"/>
            <w:listItem w:displayText="专门面向小微企业的采购项目" w:value="专门面向小微企业的采购项目"/>
          </w:dropDownList>
        </w:sdtPr>
        <w:sdtEndPr>
          <w:rPr>
            <w:rFonts w:hint="default"/>
            <w:color w:val="C00000"/>
          </w:rPr>
        </w:sdtEndPr>
        <w:sdtContent>
          <w:r>
            <w:rPr>
              <w:rFonts w:hint="eastAsia"/>
              <w:color w:val="C00000"/>
            </w:rPr>
            <w:t>非专门面向中小企业的采购项目</w:t>
          </w:r>
        </w:sdtContent>
      </w:sdt>
    </w:p>
    <w:p>
      <w:pPr>
        <w:widowControl w:val="0"/>
        <w:topLinePunct/>
        <w:ind w:firstLine="480" w:firstLineChars="200"/>
        <w:jc w:val="both"/>
        <w:rPr>
          <w:color w:val="C00000"/>
        </w:rPr>
      </w:pPr>
      <w:r>
        <w:rPr>
          <w:rFonts w:hint="eastAsia"/>
          <w:b/>
        </w:rPr>
        <w:t>三、采购预算：</w:t>
      </w:r>
      <w:r>
        <w:rPr>
          <w:color w:val="C00000"/>
        </w:rPr>
        <w:t>1739660.00</w:t>
      </w:r>
      <w:r>
        <w:rPr>
          <w:rFonts w:hint="eastAsia"/>
          <w:color w:val="C00000"/>
        </w:rPr>
        <w:t>元（最高限价</w:t>
      </w:r>
      <w:r>
        <w:rPr>
          <w:color w:val="C00000"/>
        </w:rPr>
        <w:t>1739660.00</w:t>
      </w:r>
      <w:r>
        <w:rPr>
          <w:rFonts w:hint="eastAsia"/>
          <w:color w:val="C00000"/>
        </w:rPr>
        <w:t>元）</w:t>
      </w:r>
    </w:p>
    <w:p>
      <w:pPr>
        <w:widowControl w:val="0"/>
        <w:topLinePunct/>
        <w:ind w:firstLine="480" w:firstLineChars="200"/>
        <w:jc w:val="both"/>
        <w:rPr>
          <w:color w:val="C00000"/>
        </w:rPr>
      </w:pPr>
      <w:r>
        <w:rPr>
          <w:rFonts w:hint="eastAsia"/>
          <w:color w:val="C00000"/>
        </w:rPr>
        <w:t>采购包二</w:t>
      </w:r>
      <w:r>
        <w:rPr>
          <w:color w:val="C00000"/>
        </w:rPr>
        <w:t>：1356410.00</w:t>
      </w:r>
      <w:r>
        <w:rPr>
          <w:rFonts w:hint="eastAsia"/>
          <w:color w:val="C00000"/>
        </w:rPr>
        <w:t>元</w:t>
      </w:r>
      <w:r>
        <w:rPr>
          <w:color w:val="C00000"/>
        </w:rPr>
        <w:t>（</w:t>
      </w:r>
      <w:r>
        <w:rPr>
          <w:rFonts w:hint="eastAsia"/>
          <w:color w:val="C00000"/>
        </w:rPr>
        <w:t>最高限价</w:t>
      </w:r>
      <w:r>
        <w:rPr>
          <w:color w:val="C00000"/>
        </w:rPr>
        <w:t>1356410.00</w:t>
      </w:r>
      <w:r>
        <w:rPr>
          <w:rFonts w:hint="eastAsia"/>
          <w:color w:val="C00000"/>
        </w:rPr>
        <w:t>元</w:t>
      </w:r>
      <w:r>
        <w:rPr>
          <w:color w:val="C00000"/>
        </w:rPr>
        <w:t>）</w:t>
      </w:r>
    </w:p>
    <w:p>
      <w:pPr>
        <w:widowControl w:val="0"/>
        <w:topLinePunct/>
        <w:ind w:firstLine="480" w:firstLineChars="200"/>
        <w:jc w:val="both"/>
        <w:rPr>
          <w:color w:val="C00000"/>
        </w:rPr>
      </w:pPr>
      <w:r>
        <w:rPr>
          <w:rFonts w:hint="eastAsia"/>
          <w:color w:val="C00000"/>
        </w:rPr>
        <w:t>采购包四</w:t>
      </w:r>
      <w:r>
        <w:rPr>
          <w:color w:val="C00000"/>
        </w:rPr>
        <w:t>：78750.00</w:t>
      </w:r>
      <w:r>
        <w:rPr>
          <w:rFonts w:hint="eastAsia"/>
          <w:color w:val="C00000"/>
        </w:rPr>
        <w:t>元</w:t>
      </w:r>
      <w:r>
        <w:rPr>
          <w:color w:val="C00000"/>
        </w:rPr>
        <w:t>（</w:t>
      </w:r>
      <w:r>
        <w:rPr>
          <w:rFonts w:hint="eastAsia"/>
          <w:color w:val="C00000"/>
        </w:rPr>
        <w:t>最高限价</w:t>
      </w:r>
      <w:r>
        <w:rPr>
          <w:color w:val="C00000"/>
        </w:rPr>
        <w:t>78750.00</w:t>
      </w:r>
      <w:r>
        <w:rPr>
          <w:rFonts w:hint="eastAsia"/>
          <w:color w:val="C00000"/>
        </w:rPr>
        <w:t>元</w:t>
      </w:r>
      <w:r>
        <w:rPr>
          <w:color w:val="C00000"/>
        </w:rPr>
        <w:t>）</w:t>
      </w:r>
    </w:p>
    <w:p>
      <w:pPr>
        <w:widowControl w:val="0"/>
        <w:topLinePunct/>
        <w:ind w:firstLine="480" w:firstLineChars="200"/>
        <w:jc w:val="both"/>
        <w:rPr>
          <w:color w:val="C00000"/>
        </w:rPr>
      </w:pPr>
      <w:r>
        <w:rPr>
          <w:rFonts w:hint="eastAsia"/>
          <w:color w:val="C00000"/>
        </w:rPr>
        <w:t>采购包五</w:t>
      </w:r>
      <w:r>
        <w:rPr>
          <w:color w:val="C00000"/>
        </w:rPr>
        <w:t>：304500.00</w:t>
      </w:r>
      <w:r>
        <w:rPr>
          <w:rFonts w:hint="eastAsia"/>
          <w:color w:val="C00000"/>
        </w:rPr>
        <w:t>元</w:t>
      </w:r>
      <w:r>
        <w:rPr>
          <w:color w:val="C00000"/>
        </w:rPr>
        <w:t>（</w:t>
      </w:r>
      <w:r>
        <w:rPr>
          <w:rFonts w:hint="eastAsia"/>
          <w:color w:val="C00000"/>
        </w:rPr>
        <w:t>最高限价</w:t>
      </w:r>
      <w:r>
        <w:rPr>
          <w:color w:val="C00000"/>
        </w:rPr>
        <w:t>304500.00</w:t>
      </w:r>
      <w:r>
        <w:rPr>
          <w:rFonts w:hint="eastAsia"/>
          <w:color w:val="C00000"/>
        </w:rPr>
        <w:t>元</w:t>
      </w:r>
      <w:r>
        <w:rPr>
          <w:color w:val="C00000"/>
        </w:rPr>
        <w:t>）</w:t>
      </w:r>
    </w:p>
    <w:p>
      <w:pPr>
        <w:widowControl w:val="0"/>
        <w:topLinePunct/>
        <w:ind w:firstLine="480" w:firstLineChars="200"/>
        <w:jc w:val="both"/>
      </w:pPr>
      <w:r>
        <w:rPr>
          <w:b/>
        </w:rPr>
        <w:t>四、采购</w:t>
      </w:r>
      <w:r>
        <w:rPr>
          <w:rFonts w:hint="eastAsia"/>
          <w:b/>
        </w:rPr>
        <w:t>内容和要求：</w:t>
      </w:r>
    </w:p>
    <w:p>
      <w:pPr>
        <w:widowControl w:val="0"/>
        <w:topLinePunct/>
        <w:ind w:firstLine="480" w:firstLineChars="200"/>
        <w:jc w:val="both"/>
      </w:pPr>
      <w:r>
        <w:rPr>
          <w:rFonts w:hint="eastAsia"/>
        </w:rPr>
        <w:t>详见第三章「招标内容及要求」。</w:t>
      </w:r>
    </w:p>
    <w:p>
      <w:pPr>
        <w:widowControl w:val="0"/>
        <w:topLinePunct/>
        <w:ind w:firstLine="480" w:firstLineChars="200"/>
        <w:jc w:val="both"/>
        <w:rPr>
          <w:rFonts w:cs="Calibri"/>
          <w:color w:val="C00000"/>
        </w:rPr>
      </w:pPr>
      <w:r>
        <w:rPr>
          <w:rFonts w:cs="Calibri"/>
          <w:color w:val="C00000"/>
        </w:rPr>
        <w:t>西安市电子政务网专线接入服务项目</w:t>
      </w:r>
    </w:p>
    <w:p>
      <w:pPr>
        <w:widowControl w:val="0"/>
        <w:topLinePunct/>
        <w:ind w:firstLine="480" w:firstLineChars="200"/>
        <w:jc w:val="both"/>
      </w:pPr>
      <w:r>
        <w:rPr>
          <w:rFonts w:hint="eastAsia" w:cs="Calibri"/>
          <w:color w:val="C00000"/>
        </w:rPr>
        <w:t>本项目兼投不兼中，供应商可以参加多个采购包的投标，但只能中标一个采购包（详见第二章“评审程序”\“推荐中标候选人”）；本项目第一次中标的供应商，不得参加本次三个采购包的投标。</w:t>
      </w:r>
    </w:p>
    <w:p>
      <w:pPr>
        <w:widowControl w:val="0"/>
        <w:topLinePunct/>
        <w:ind w:firstLine="480" w:firstLineChars="200"/>
        <w:jc w:val="both"/>
        <w:rPr>
          <w:b/>
        </w:rPr>
      </w:pPr>
      <w:r>
        <w:rPr>
          <w:rFonts w:hint="eastAsia"/>
          <w:b/>
        </w:rPr>
        <w:t>五、供应商的资格条件：</w:t>
      </w:r>
    </w:p>
    <w:p>
      <w:pPr>
        <w:widowControl w:val="0"/>
        <w:topLinePunct/>
        <w:ind w:firstLine="480" w:firstLineChars="200"/>
        <w:jc w:val="both"/>
      </w:pPr>
      <w:r>
        <w:rPr>
          <w:rFonts w:hint="eastAsia"/>
        </w:rPr>
        <w:t>详</w:t>
      </w:r>
      <w:r>
        <w:t>见第二章「资格性审查表」。</w:t>
      </w:r>
    </w:p>
    <w:p>
      <w:pPr>
        <w:widowControl w:val="0"/>
        <w:topLinePunct/>
        <w:ind w:firstLine="480" w:firstLineChars="200"/>
        <w:jc w:val="both"/>
        <w:rPr>
          <w:b/>
        </w:rPr>
      </w:pPr>
      <w:r>
        <w:rPr>
          <w:rFonts w:hint="eastAsia"/>
          <w:b/>
        </w:rPr>
        <w:t>六、执行的其他政府采购政策：</w:t>
      </w:r>
    </w:p>
    <w:p>
      <w:pPr>
        <w:widowControl w:val="0"/>
        <w:topLinePunct/>
        <w:ind w:firstLine="480" w:firstLineChars="200"/>
        <w:jc w:val="both"/>
      </w:pPr>
      <w:r>
        <w:rPr>
          <w:rFonts w:hint="eastAsia"/>
        </w:rPr>
        <w:t>1．《政府采购促进中小企业发展管理办法》（财库〔2020〕46号），《关于进一步加大政府采购支持中小企业力度的通知》（财库〔2022〕19号）。</w:t>
      </w:r>
    </w:p>
    <w:p>
      <w:pPr>
        <w:widowControl w:val="0"/>
        <w:topLinePunct/>
        <w:ind w:firstLine="480" w:firstLineChars="200"/>
        <w:jc w:val="both"/>
      </w:pPr>
      <w:r>
        <w:rPr>
          <w:rFonts w:hint="eastAsia"/>
        </w:rPr>
        <w:t>2．《关于政府采购支持监狱企业发展有关问题的通知》（财库〔2014〕68号），《关于促进残疾人就业政府采购政策的通知》（财库〔2017〕141号）。</w:t>
      </w:r>
    </w:p>
    <w:p>
      <w:pPr>
        <w:ind w:firstLine="480" w:firstLineChars="200"/>
        <w:rPr>
          <w:rFonts w:cstheme="minorHAnsi"/>
        </w:rPr>
      </w:pPr>
      <w:r>
        <w:rPr>
          <w:rFonts w:hint="eastAsia"/>
        </w:rPr>
        <w:t>3．</w:t>
      </w:r>
      <w:r>
        <w:rPr>
          <w:rFonts w:hint="eastAsia" w:cstheme="minorHAnsi"/>
        </w:rPr>
        <w:t>国务院办公厅《关于建立政府强制采购节能产品制度的通知》（国办发〔2007〕51号）、《关于调整优化节能产品、环境标志产品政府采购执行机制的通知》（财库〔2019〕9号）、《关于印发环境标志产品政府采购品目清单的通知》（财库〔2019〕18号）、《关于印发节能产品政府采购品目清单的通知》（财库〔2019〕19号）</w:t>
      </w:r>
      <w:r>
        <w:rPr>
          <w:rFonts w:cstheme="minorHAnsi"/>
        </w:rPr>
        <w:t>。</w:t>
      </w:r>
    </w:p>
    <w:p>
      <w:pPr>
        <w:widowControl w:val="0"/>
        <w:topLinePunct/>
        <w:ind w:firstLine="480" w:firstLineChars="200"/>
        <w:jc w:val="both"/>
      </w:pPr>
      <w:r>
        <w:rPr>
          <w:rFonts w:hint="eastAsia"/>
        </w:rPr>
        <w:t>4．《陕西省财政厅关于加快推进我省中小企业政府采购信用融资工作的通知》（陕财办采〔2020〕15号），陕西省财政厅关于印发《陕西省中小企业政府采购信用融资办法》（陕财办采〔2018〕23号）。</w:t>
      </w:r>
    </w:p>
    <w:p>
      <w:pPr>
        <w:widowControl w:val="0"/>
        <w:topLinePunct/>
        <w:ind w:firstLine="480" w:firstLineChars="200"/>
        <w:jc w:val="both"/>
      </w:pPr>
      <w:r>
        <w:t>5</w:t>
      </w:r>
      <w:r>
        <w:rPr>
          <w:rFonts w:hint="eastAsia"/>
        </w:rPr>
        <w:t>．详见第二章「关于政府采购政策」。</w:t>
      </w:r>
    </w:p>
    <w:p>
      <w:pPr>
        <w:widowControl w:val="0"/>
        <w:topLinePunct/>
        <w:ind w:firstLine="480" w:firstLineChars="200"/>
        <w:jc w:val="both"/>
        <w:rPr>
          <w:b/>
        </w:rPr>
      </w:pPr>
      <w:r>
        <w:rPr>
          <w:rFonts w:hint="eastAsia"/>
          <w:b/>
        </w:rPr>
        <w:t>七、获取招标文件的时间及方式：</w:t>
      </w:r>
    </w:p>
    <w:p>
      <w:pPr>
        <w:widowControl w:val="0"/>
        <w:topLinePunct/>
        <w:ind w:firstLine="480" w:firstLineChars="200"/>
        <w:jc w:val="both"/>
      </w:pPr>
      <w:r>
        <w:rPr>
          <w:rFonts w:hint="eastAsia"/>
        </w:rPr>
        <w:t>1．获取时间：自招标公告发布之日起5个工作日内。</w:t>
      </w:r>
    </w:p>
    <w:p>
      <w:pPr>
        <w:widowControl w:val="0"/>
        <w:topLinePunct/>
        <w:ind w:firstLine="480" w:firstLineChars="200"/>
        <w:jc w:val="both"/>
      </w:pPr>
      <w:r>
        <w:t>2</w:t>
      </w:r>
      <w:r>
        <w:rPr>
          <w:rFonts w:hint="eastAsia"/>
        </w:rPr>
        <w:t>．获取方式：打开【</w:t>
      </w:r>
      <w:r>
        <w:rPr>
          <w:rFonts w:hint="eastAsia"/>
          <w:color w:val="7030A0"/>
        </w:rPr>
        <w:t>全国公共资源交易平台（陕西省</w:t>
      </w:r>
      <w:r>
        <w:rPr>
          <w:color w:val="7030A0"/>
        </w:rPr>
        <w:t>·</w:t>
      </w:r>
      <w:r>
        <w:rPr>
          <w:rFonts w:hint="eastAsia"/>
          <w:color w:val="7030A0"/>
        </w:rPr>
        <w:t>西安市）</w:t>
      </w:r>
      <w:r>
        <w:rPr>
          <w:rFonts w:hint="eastAsia"/>
        </w:rPr>
        <w:t>】网站（简称</w:t>
      </w:r>
      <w:r>
        <w:rPr>
          <w:rFonts w:hint="eastAsia"/>
          <w:color w:val="7030A0"/>
        </w:rPr>
        <w:t>西安市公共资源交易平台</w:t>
      </w:r>
      <w:r>
        <w:rPr>
          <w:rFonts w:hint="eastAsia"/>
        </w:rPr>
        <w:t>，门户链接：</w:t>
      </w:r>
      <w:r>
        <w:fldChar w:fldCharType="begin"/>
      </w:r>
      <w:r>
        <w:instrText xml:space="preserve"> HYPERLINK "http://sxggzyjy.xa.gov.cn/" </w:instrText>
      </w:r>
      <w:r>
        <w:fldChar w:fldCharType="separate"/>
      </w:r>
      <w:r>
        <w:rPr>
          <w:rStyle w:val="31"/>
          <w:rFonts w:hint="eastAsia"/>
        </w:rPr>
        <w:t>http://sxggzyjy.xa.gov.cn/</w:t>
      </w:r>
      <w:r>
        <w:rPr>
          <w:rStyle w:val="31"/>
          <w:rFonts w:hint="eastAsia"/>
        </w:rPr>
        <w:fldChar w:fldCharType="end"/>
      </w:r>
      <w:r>
        <w:rPr>
          <w:rFonts w:hint="eastAsia"/>
        </w:rPr>
        <w:t>），从〖首页</w:t>
      </w:r>
      <w:r>
        <w:t>·</w:t>
      </w:r>
      <w:r>
        <w:rPr>
          <w:rFonts w:hint="eastAsia"/>
        </w:rPr>
        <w:t>〉电子交易平台</w:t>
      </w:r>
      <w:r>
        <w:t>·</w:t>
      </w:r>
      <w:r>
        <w:rPr>
          <w:rFonts w:hint="eastAsia"/>
        </w:rPr>
        <w:t>〉陕西政府采购交易系统</w:t>
      </w:r>
      <w:r>
        <w:t>·</w:t>
      </w:r>
      <w:r>
        <w:rPr>
          <w:rFonts w:hint="eastAsia"/>
        </w:rPr>
        <w:t>〉企业端〗登录后，首先在〖招</w:t>
      </w:r>
      <w:r>
        <w:rPr>
          <w:rFonts w:hint="eastAsia"/>
          <w:w w:val="1"/>
        </w:rPr>
        <w:t xml:space="preserve"> </w:t>
      </w:r>
      <w:r>
        <w:rPr>
          <w:rFonts w:hint="eastAsia"/>
        </w:rPr>
        <w:t>标公告/出让公告〗模块中预览全部可供参与的项目，然后选择有意向的项目点击〖我要投</w:t>
      </w:r>
      <w:r>
        <w:rPr>
          <w:rFonts w:hint="eastAsia"/>
          <w:w w:val="1"/>
        </w:rPr>
        <w:t xml:space="preserve"> </w:t>
      </w:r>
      <w:r>
        <w:rPr>
          <w:rFonts w:hint="eastAsia"/>
        </w:rPr>
        <w:t>标〗，成功后切换到〖我的项目〗模块，依次点选〖项目流程</w:t>
      </w:r>
      <w:r>
        <w:t>·</w:t>
      </w:r>
      <w:r>
        <w:rPr>
          <w:rFonts w:hint="eastAsia"/>
        </w:rPr>
        <w:t>〉项目管理</w:t>
      </w:r>
      <w:r>
        <w:t>·</w:t>
      </w:r>
      <w:r>
        <w:rPr>
          <w:rFonts w:hint="eastAsia"/>
        </w:rPr>
        <w:t>〉交易文件下载〗免费获取本项目电子招标文件（*.SXSZF）。</w:t>
      </w:r>
    </w:p>
    <w:p>
      <w:pPr>
        <w:widowControl w:val="0"/>
        <w:topLinePunct/>
        <w:ind w:firstLine="480" w:firstLineChars="200"/>
        <w:jc w:val="both"/>
      </w:pPr>
      <w:r>
        <w:rPr>
          <w:rFonts w:hint="eastAsia"/>
        </w:rPr>
        <w:t>3．友情提示：</w:t>
      </w:r>
    </w:p>
    <w:p>
      <w:pPr>
        <w:widowControl w:val="0"/>
        <w:topLinePunct/>
        <w:ind w:firstLine="480" w:firstLineChars="200"/>
        <w:jc w:val="both"/>
      </w:pPr>
      <w:r>
        <w:rPr>
          <w:rFonts w:hint="eastAsia"/>
        </w:rPr>
        <w:t>（1）本项目为电子化政府采购项目，供应商初次登录西安市公共资源交易平台前应先完成诚信入库登记、CA认证和企业信息绑定。详见西安市公共资源交易平台〖首页</w:t>
      </w:r>
      <w:r>
        <w:t>·</w:t>
      </w:r>
      <w:r>
        <w:rPr>
          <w:rFonts w:hint="eastAsia"/>
        </w:rPr>
        <w:t>〉服务指南</w:t>
      </w:r>
      <w:r>
        <w:t>·</w:t>
      </w:r>
      <w:r>
        <w:rPr>
          <w:rFonts w:hint="eastAsia"/>
        </w:rPr>
        <w:t>〉下载专区〗中的《西安市市级单位电子化政府采购项目投</w:t>
      </w:r>
      <w:r>
        <w:rPr>
          <w:rFonts w:hint="eastAsia"/>
          <w:w w:val="1"/>
        </w:rPr>
        <w:t xml:space="preserve"> </w:t>
      </w:r>
      <w:r>
        <w:rPr>
          <w:rFonts w:hint="eastAsia"/>
        </w:rPr>
        <w:t>标指南》。</w:t>
      </w:r>
    </w:p>
    <w:p>
      <w:pPr>
        <w:widowControl w:val="0"/>
        <w:topLinePunct/>
        <w:ind w:firstLine="480" w:firstLineChars="200"/>
        <w:jc w:val="both"/>
      </w:pPr>
      <w:r>
        <w:rPr>
          <w:rFonts w:hint="eastAsia"/>
        </w:rPr>
        <w:t>（2）制作电子投标文件（*.SXSTF）需要使用专用制作工具。软件下载及操作说明详见西安市公共资源交易平台〖首页</w:t>
      </w:r>
      <w:r>
        <w:t>·</w:t>
      </w:r>
      <w:r>
        <w:rPr>
          <w:rFonts w:hint="eastAsia"/>
        </w:rPr>
        <w:t>〉服务指南</w:t>
      </w:r>
      <w:r>
        <w:t>·</w:t>
      </w:r>
      <w:r>
        <w:rPr>
          <w:rFonts w:hint="eastAsia"/>
        </w:rPr>
        <w:t>〉下载专区〗中的《政府采购项目投</w:t>
      </w:r>
      <w:r>
        <w:rPr>
          <w:rFonts w:hint="eastAsia"/>
          <w:w w:val="1"/>
        </w:rPr>
        <w:t xml:space="preserve"> </w:t>
      </w:r>
      <w:r>
        <w:rPr>
          <w:rFonts w:hint="eastAsia"/>
        </w:rPr>
        <w:t>标文件制作软件及操作手册》。</w:t>
      </w:r>
    </w:p>
    <w:p>
      <w:pPr>
        <w:widowControl w:val="0"/>
        <w:topLinePunct/>
        <w:ind w:firstLine="480" w:firstLineChars="200"/>
        <w:jc w:val="both"/>
      </w:pPr>
      <w:r>
        <w:rPr>
          <w:rFonts w:hint="eastAsia"/>
        </w:rPr>
        <w:t>（3）提交投标文件截止时间前，供应商应随时留意【</w:t>
      </w:r>
      <w:r>
        <w:rPr>
          <w:rFonts w:hint="eastAsia"/>
          <w:color w:val="7030A0"/>
        </w:rPr>
        <w:t>陕西省政府采购网</w:t>
      </w:r>
      <w:r>
        <w:rPr>
          <w:rFonts w:hint="eastAsia"/>
        </w:rPr>
        <w:t>】、【</w:t>
      </w:r>
      <w:r>
        <w:rPr>
          <w:rFonts w:hint="eastAsia"/>
          <w:color w:val="7030A0"/>
        </w:rPr>
        <w:t>全国公共资源交易平台（陕西省</w:t>
      </w:r>
      <w:r>
        <w:rPr>
          <w:color w:val="7030A0"/>
        </w:rPr>
        <w:t>·</w:t>
      </w:r>
      <w:r>
        <w:rPr>
          <w:rFonts w:hint="eastAsia"/>
          <w:color w:val="7030A0"/>
        </w:rPr>
        <w:t>西安市）</w:t>
      </w:r>
      <w:r>
        <w:rPr>
          <w:rFonts w:hint="eastAsia"/>
        </w:rPr>
        <w:t>】上可能发布的变更公告。若变更公告中明确注明本项目提供有变更文件的，供应商应登录企业端后，从〖项目流程</w:t>
      </w:r>
      <w:r>
        <w:t>·</w:t>
      </w:r>
      <w:r>
        <w:rPr>
          <w:rFonts w:hint="eastAsia"/>
        </w:rPr>
        <w:t>〉项目管理</w:t>
      </w:r>
      <w:r>
        <w:t>·</w:t>
      </w:r>
      <w:r>
        <w:rPr>
          <w:rFonts w:hint="eastAsia"/>
        </w:rPr>
        <w:t>〉答疑文件下载〗获取更新后的电子招标文件（*.SXSCF），使用旧版电子招标文件制作的电子投标文件（*.SXSTF），系统将拒绝接收。</w:t>
      </w:r>
    </w:p>
    <w:p>
      <w:pPr>
        <w:widowControl w:val="0"/>
        <w:topLinePunct/>
        <w:ind w:firstLine="480" w:firstLineChars="200"/>
        <w:jc w:val="both"/>
        <w:rPr>
          <w:b/>
        </w:rPr>
      </w:pPr>
      <w:r>
        <w:rPr>
          <w:rFonts w:hint="eastAsia"/>
          <w:b/>
        </w:rPr>
        <w:t>八、提交投标文件截止时间及方式：</w:t>
      </w:r>
    </w:p>
    <w:p>
      <w:pPr>
        <w:widowControl w:val="0"/>
        <w:topLinePunct/>
        <w:ind w:firstLine="480" w:firstLineChars="200"/>
        <w:jc w:val="both"/>
      </w:pPr>
      <w:r>
        <w:rPr>
          <w:rFonts w:hint="eastAsia"/>
        </w:rPr>
        <w:t>1．提交投标文件截止时间：</w:t>
      </w:r>
      <w:r>
        <w:rPr>
          <w:rFonts w:hint="eastAsia"/>
          <w:u w:val="single"/>
        </w:rPr>
        <w:t>2026</w:t>
      </w:r>
      <w:r>
        <w:rPr>
          <w:rFonts w:hint="eastAsia"/>
        </w:rPr>
        <w:t>年</w:t>
      </w:r>
      <w:r>
        <w:t>05</w:t>
      </w:r>
      <w:r>
        <w:rPr>
          <w:rFonts w:hint="eastAsia"/>
        </w:rPr>
        <w:t>月</w:t>
      </w:r>
      <w:r>
        <w:t>12</w:t>
      </w:r>
      <w:r>
        <w:rPr>
          <w:rFonts w:hint="eastAsia"/>
        </w:rPr>
        <w:t>日10:30，逾期提交的，系统将拒绝接收。</w:t>
      </w:r>
    </w:p>
    <w:p>
      <w:pPr>
        <w:widowControl w:val="0"/>
        <w:topLinePunct/>
        <w:ind w:firstLine="480" w:firstLineChars="200"/>
        <w:jc w:val="both"/>
      </w:pPr>
      <w:r>
        <w:rPr>
          <w:rFonts w:hint="eastAsia"/>
        </w:rPr>
        <w:t>2．提交投标文件的方式：从西安市公共资源交易平台〖首页</w:t>
      </w:r>
      <w:r>
        <w:t>·</w:t>
      </w:r>
      <w:r>
        <w:rPr>
          <w:rFonts w:hint="eastAsia"/>
        </w:rPr>
        <w:t>〉电子交易平台</w:t>
      </w:r>
      <w:r>
        <w:t>·</w:t>
      </w:r>
      <w:r>
        <w:rPr>
          <w:rFonts w:hint="eastAsia"/>
        </w:rPr>
        <w:t>〉陕西政府采购交易系统</w:t>
      </w:r>
      <w:r>
        <w:t>·</w:t>
      </w:r>
      <w:r>
        <w:rPr>
          <w:rFonts w:hint="eastAsia"/>
        </w:rPr>
        <w:t>〉企业端〗登录，登录后切换到〖我的项目〗模块，依次点选〖项目流程</w:t>
      </w:r>
      <w:r>
        <w:t>·</w:t>
      </w:r>
      <w:r>
        <w:rPr>
          <w:rFonts w:hint="eastAsia"/>
        </w:rPr>
        <w:t>〉项目管理</w:t>
      </w:r>
      <w:r>
        <w:t>·</w:t>
      </w:r>
      <w:r>
        <w:rPr>
          <w:rFonts w:hint="eastAsia"/>
        </w:rPr>
        <w:t>〉上传响</w:t>
      </w:r>
      <w:r>
        <w:rPr>
          <w:rFonts w:hint="eastAsia"/>
          <w:w w:val="1"/>
        </w:rPr>
        <w:t xml:space="preserve"> </w:t>
      </w:r>
      <w:r>
        <w:rPr>
          <w:rFonts w:hint="eastAsia"/>
        </w:rPr>
        <w:t>应文件〗上传加密后的电子投标文件（*.SXSTF）。</w:t>
      </w:r>
    </w:p>
    <w:p>
      <w:pPr>
        <w:widowControl w:val="0"/>
        <w:topLinePunct/>
        <w:ind w:firstLine="480" w:firstLineChars="200"/>
        <w:jc w:val="both"/>
      </w:pPr>
      <w:r>
        <w:rPr>
          <w:rFonts w:hint="eastAsia"/>
          <w:b/>
        </w:rPr>
        <w:t>九、开标时间、地点及形式：</w:t>
      </w:r>
    </w:p>
    <w:p>
      <w:pPr>
        <w:widowControl w:val="0"/>
        <w:topLinePunct/>
        <w:ind w:firstLine="480" w:firstLineChars="200"/>
        <w:jc w:val="both"/>
      </w:pPr>
      <w:r>
        <w:t>1</w:t>
      </w:r>
      <w:r>
        <w:rPr>
          <w:rFonts w:hint="eastAsia"/>
        </w:rPr>
        <w:t>．开标时间：</w:t>
      </w:r>
      <w:r>
        <w:rPr>
          <w:rFonts w:hint="eastAsia"/>
          <w:u w:val="single"/>
        </w:rPr>
        <w:t>2026</w:t>
      </w:r>
      <w:r>
        <w:rPr>
          <w:rFonts w:hint="eastAsia"/>
        </w:rPr>
        <w:t>年</w:t>
      </w:r>
      <w:r>
        <w:t>05</w:t>
      </w:r>
      <w:r>
        <w:rPr>
          <w:rFonts w:hint="eastAsia"/>
        </w:rPr>
        <w:t>月</w:t>
      </w:r>
      <w:r>
        <w:t>12</w:t>
      </w:r>
      <w:r>
        <w:rPr>
          <w:rFonts w:hint="eastAsia"/>
        </w:rPr>
        <w:t>日10:30</w:t>
      </w:r>
    </w:p>
    <w:p>
      <w:pPr>
        <w:widowControl w:val="0"/>
        <w:topLinePunct/>
        <w:ind w:firstLine="480" w:firstLineChars="200"/>
        <w:jc w:val="both"/>
      </w:pPr>
      <w:r>
        <w:rPr>
          <w:rFonts w:hint="eastAsia"/>
        </w:rPr>
        <w:t>2．</w:t>
      </w:r>
      <w:r>
        <w:t>开标</w:t>
      </w:r>
      <w:r>
        <w:rPr>
          <w:rFonts w:hint="eastAsia"/>
        </w:rPr>
        <w:t>地点：本集采机构虚拟开标室</w:t>
      </w:r>
      <w:r>
        <w:t>4</w:t>
      </w:r>
      <w:r>
        <w:rPr>
          <w:rFonts w:hint="eastAsia"/>
        </w:rPr>
        <w:t>。</w:t>
      </w:r>
    </w:p>
    <w:p>
      <w:pPr>
        <w:widowControl w:val="0"/>
        <w:topLinePunct/>
        <w:ind w:firstLine="480" w:firstLineChars="200"/>
        <w:jc w:val="both"/>
      </w:pPr>
      <w:r>
        <w:t>3</w:t>
      </w:r>
      <w:r>
        <w:rPr>
          <w:rFonts w:hint="eastAsia"/>
        </w:rPr>
        <w:t>．开标形式：本项目将采用“不见面开</w:t>
      </w:r>
      <w:r>
        <w:rPr>
          <w:rFonts w:hint="eastAsia"/>
          <w:w w:val="1"/>
        </w:rPr>
        <w:t xml:space="preserve"> </w:t>
      </w:r>
      <w:r>
        <w:rPr>
          <w:rFonts w:hint="eastAsia"/>
        </w:rPr>
        <w:t>标”形式。操作说明详见平台〖首页</w:t>
      </w:r>
      <w:r>
        <w:t>·</w:t>
      </w:r>
      <w:r>
        <w:rPr>
          <w:rFonts w:hint="eastAsia"/>
        </w:rPr>
        <w:t>〉服务指南</w:t>
      </w:r>
      <w:r>
        <w:t>·</w:t>
      </w:r>
      <w:r>
        <w:rPr>
          <w:rFonts w:hint="eastAsia"/>
        </w:rPr>
        <w:t>〉下载专区〗中的《西安公共资源交易不见面开</w:t>
      </w:r>
      <w:r>
        <w:rPr>
          <w:rFonts w:hint="eastAsia"/>
          <w:w w:val="1"/>
        </w:rPr>
        <w:t xml:space="preserve"> </w:t>
      </w:r>
      <w:r>
        <w:rPr>
          <w:rFonts w:hint="eastAsia"/>
        </w:rPr>
        <w:t>标大厅供应商操作手册》。</w:t>
      </w:r>
    </w:p>
    <w:p>
      <w:pPr>
        <w:widowControl w:val="0"/>
        <w:topLinePunct/>
        <w:ind w:firstLine="480" w:firstLineChars="200"/>
        <w:jc w:val="both"/>
        <w:rPr>
          <w:b/>
        </w:rPr>
      </w:pPr>
      <w:r>
        <w:rPr>
          <w:rFonts w:hint="eastAsia"/>
          <w:b/>
        </w:rPr>
        <w:t>十、联系方式：</w:t>
      </w:r>
    </w:p>
    <w:p>
      <w:pPr>
        <w:widowControl w:val="0"/>
        <w:topLinePunct/>
        <w:ind w:firstLine="480" w:firstLineChars="200"/>
        <w:jc w:val="both"/>
      </w:pPr>
      <w:r>
        <w:rPr>
          <w:rFonts w:hint="eastAsia"/>
        </w:rPr>
        <w:t>1．采购人：西安市数据局</w:t>
      </w:r>
    </w:p>
    <w:p>
      <w:pPr>
        <w:widowControl w:val="0"/>
        <w:topLinePunct/>
        <w:ind w:firstLine="480" w:firstLineChars="200"/>
        <w:jc w:val="both"/>
      </w:pPr>
      <w:r>
        <w:rPr>
          <w:rFonts w:hint="eastAsia"/>
        </w:rPr>
        <w:t>地址：陕西省西安市未央区凤城八路109号</w:t>
      </w:r>
    </w:p>
    <w:p>
      <w:pPr>
        <w:widowControl w:val="0"/>
        <w:topLinePunct/>
        <w:ind w:firstLine="480" w:firstLineChars="200"/>
        <w:jc w:val="both"/>
      </w:pPr>
      <w:r>
        <w:rPr>
          <w:rFonts w:hint="eastAsia"/>
        </w:rPr>
        <w:t>联系人：王奕博</w:t>
      </w:r>
    </w:p>
    <w:p>
      <w:pPr>
        <w:widowControl w:val="0"/>
        <w:topLinePunct/>
        <w:ind w:firstLine="480" w:firstLineChars="200"/>
        <w:jc w:val="both"/>
      </w:pPr>
      <w:r>
        <w:rPr>
          <w:rFonts w:hint="eastAsia"/>
        </w:rPr>
        <w:t>联系电话：0</w:t>
      </w:r>
      <w:r>
        <w:t>29-67095503</w:t>
      </w:r>
    </w:p>
    <w:p>
      <w:pPr>
        <w:widowControl w:val="0"/>
        <w:topLinePunct/>
        <w:ind w:firstLine="480" w:firstLineChars="200"/>
        <w:jc w:val="both"/>
      </w:pPr>
      <w:r>
        <w:rPr>
          <w:rFonts w:hint="eastAsia"/>
        </w:rPr>
        <w:t>2．采购代理机构：西安市市级单位政府采购中心</w:t>
      </w:r>
    </w:p>
    <w:p>
      <w:pPr>
        <w:widowControl w:val="0"/>
        <w:topLinePunct/>
        <w:ind w:firstLine="480" w:firstLineChars="200"/>
        <w:jc w:val="both"/>
      </w:pPr>
      <w:r>
        <w:rPr>
          <w:rFonts w:hint="eastAsia"/>
        </w:rPr>
        <w:t>地址：西安市未央区文景北路16号白桦林国际B座</w:t>
      </w:r>
    </w:p>
    <w:p>
      <w:pPr>
        <w:widowControl w:val="0"/>
        <w:topLinePunct/>
        <w:ind w:firstLine="480" w:firstLineChars="200"/>
        <w:jc w:val="both"/>
      </w:pPr>
      <w:r>
        <w:rPr>
          <w:rFonts w:hint="eastAsia"/>
        </w:rPr>
        <w:t>总机：029-86510091/86510092/86510093</w:t>
      </w:r>
    </w:p>
    <w:p>
      <w:pPr>
        <w:widowControl w:val="0"/>
        <w:topLinePunct/>
        <w:ind w:firstLine="480" w:firstLineChars="200"/>
        <w:jc w:val="both"/>
      </w:pPr>
      <w:r>
        <w:rPr>
          <w:rFonts w:hint="eastAsia"/>
        </w:rPr>
        <w:t>标书联系人及分机号：梁老师（</w:t>
      </w:r>
      <w:r>
        <w:t>80865</w:t>
      </w:r>
      <w:r>
        <w:rPr>
          <w:rFonts w:hint="eastAsia"/>
        </w:rPr>
        <w:t>）</w:t>
      </w:r>
    </w:p>
    <w:p>
      <w:pPr>
        <w:widowControl w:val="0"/>
        <w:topLinePunct/>
        <w:ind w:firstLine="480" w:firstLineChars="200"/>
        <w:jc w:val="both"/>
      </w:pPr>
      <w:r>
        <w:rPr>
          <w:rFonts w:hint="eastAsia"/>
        </w:rPr>
        <w:t>开标联系人及分机号：李老师（</w:t>
      </w:r>
      <w:r>
        <w:t>80758</w:t>
      </w:r>
      <w:r>
        <w:rPr>
          <w:rFonts w:hint="eastAsia"/>
        </w:rPr>
        <w:t>）</w:t>
      </w:r>
    </w:p>
    <w:p>
      <w:pPr>
        <w:widowControl w:val="0"/>
        <w:topLinePunct/>
        <w:jc w:val="both"/>
      </w:pPr>
    </w:p>
    <w:p>
      <w:pPr>
        <w:widowControl w:val="0"/>
        <w:topLinePunct/>
        <w:jc w:val="both"/>
        <w:sectPr>
          <w:headerReference r:id="rId9" w:type="default"/>
          <w:footerReference r:id="rId11" w:type="default"/>
          <w:headerReference r:id="rId10" w:type="even"/>
          <w:footerReference r:id="rId12" w:type="even"/>
          <w:pgSz w:w="11906" w:h="16838"/>
          <w:pgMar w:top="1418" w:right="1418" w:bottom="1418" w:left="1418" w:header="851" w:footer="851" w:gutter="0"/>
          <w:pgNumType w:start="1"/>
          <w:cols w:space="425" w:num="1"/>
          <w:docGrid w:type="linesAndChars" w:linePitch="460" w:charSpace="0"/>
        </w:sectPr>
      </w:pPr>
    </w:p>
    <w:p>
      <w:pPr>
        <w:pStyle w:val="2"/>
        <w:spacing w:before="230" w:after="230"/>
      </w:pPr>
      <w:bookmarkStart w:id="1" w:name="_Toc534656409"/>
      <w:bookmarkStart w:id="2" w:name="_Toc533363262"/>
      <w:bookmarkStart w:id="3" w:name="_Toc211437467"/>
      <w:bookmarkStart w:id="4" w:name="_Toc445407251"/>
      <w:bookmarkStart w:id="5" w:name="_Toc97563329"/>
      <w:bookmarkStart w:id="6" w:name="_Toc534656414"/>
      <w:bookmarkStart w:id="7" w:name="_Toc533363235"/>
      <w:bookmarkStart w:id="8" w:name="_Toc498349068"/>
      <w:r>
        <w:t>第二章</w:t>
      </w:r>
      <w:r>
        <w:rPr>
          <w:rFonts w:hint="eastAsia"/>
        </w:rPr>
        <w:t>　</w:t>
      </w:r>
      <w:r>
        <w:t>供应商须知</w:t>
      </w:r>
      <w:bookmarkEnd w:id="1"/>
      <w:bookmarkEnd w:id="2"/>
      <w:bookmarkEnd w:id="3"/>
      <w:bookmarkEnd w:id="4"/>
      <w:bookmarkEnd w:id="5"/>
      <w:bookmarkEnd w:id="6"/>
      <w:bookmarkEnd w:id="7"/>
      <w:bookmarkEnd w:id="8"/>
    </w:p>
    <w:p>
      <w:pPr>
        <w:jc w:val="center"/>
        <w:outlineLvl w:val="2"/>
        <w:rPr>
          <w:rFonts w:cstheme="minorHAnsi"/>
        </w:rPr>
      </w:pPr>
      <w:r>
        <w:rPr>
          <w:rFonts w:hint="eastAsia" w:ascii="黑体" w:hAnsi="黑体" w:eastAsia="黑体" w:cstheme="minorHAnsi"/>
          <w:color w:val="0070C0"/>
          <w:sz w:val="32"/>
          <w:szCs w:val="32"/>
        </w:rPr>
        <w:t>『前附表』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94"/>
        <w:gridCol w:w="2410"/>
        <w:gridCol w:w="576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tcBorders>
              <w:top w:val="single" w:color="auto" w:sz="12" w:space="0"/>
              <w:bottom w:val="single" w:color="auto" w:sz="2" w:space="0"/>
            </w:tcBorders>
            <w:shd w:val="clear" w:color="auto" w:fill="F1F1F1" w:themeFill="background1" w:themeFillShade="F2"/>
            <w:vAlign w:val="center"/>
          </w:tcPr>
          <w:p>
            <w:pPr>
              <w:spacing w:line="320" w:lineRule="exact"/>
              <w:jc w:val="center"/>
              <w:rPr>
                <w:rFonts w:ascii="Calibri" w:hAnsi="宋体" w:eastAsia="宋体" w:cstheme="minorHAnsi"/>
                <w:b/>
                <w:sz w:val="21"/>
              </w:rPr>
            </w:pPr>
            <w:r>
              <w:rPr>
                <w:rFonts w:hint="eastAsia" w:ascii="Calibri" w:hAnsi="宋体" w:eastAsia="宋体" w:cstheme="minorHAnsi"/>
                <w:b/>
                <w:sz w:val="21"/>
              </w:rPr>
              <w:t>序号</w:t>
            </w:r>
          </w:p>
        </w:tc>
        <w:tc>
          <w:tcPr>
            <w:tcW w:w="2410" w:type="dxa"/>
            <w:tcBorders>
              <w:top w:val="single" w:color="auto" w:sz="12" w:space="0"/>
              <w:bottom w:val="single" w:color="auto" w:sz="2" w:space="0"/>
            </w:tcBorders>
            <w:shd w:val="clear" w:color="auto" w:fill="F1F1F1" w:themeFill="background1" w:themeFillShade="F2"/>
            <w:vAlign w:val="center"/>
          </w:tcPr>
          <w:p>
            <w:pPr>
              <w:spacing w:line="320" w:lineRule="exact"/>
              <w:jc w:val="center"/>
              <w:rPr>
                <w:rFonts w:ascii="Calibri" w:hAnsi="宋体" w:eastAsia="宋体" w:cstheme="minorHAnsi"/>
                <w:b/>
                <w:sz w:val="21"/>
              </w:rPr>
            </w:pPr>
            <w:r>
              <w:rPr>
                <w:rFonts w:hint="eastAsia" w:ascii="Calibri" w:hAnsi="宋体" w:eastAsia="宋体" w:cstheme="minorHAnsi"/>
                <w:b/>
                <w:sz w:val="21"/>
              </w:rPr>
              <w:t>内容</w:t>
            </w:r>
          </w:p>
        </w:tc>
        <w:tc>
          <w:tcPr>
            <w:tcW w:w="5766" w:type="dxa"/>
            <w:tcBorders>
              <w:top w:val="single" w:color="auto" w:sz="12" w:space="0"/>
              <w:bottom w:val="single" w:color="auto" w:sz="2" w:space="0"/>
            </w:tcBorders>
            <w:shd w:val="clear" w:color="auto" w:fill="F1F1F1" w:themeFill="background1" w:themeFillShade="F2"/>
            <w:vAlign w:val="center"/>
          </w:tcPr>
          <w:p>
            <w:pPr>
              <w:spacing w:line="320" w:lineRule="exact"/>
              <w:jc w:val="center"/>
              <w:rPr>
                <w:rFonts w:ascii="Calibri" w:hAnsi="宋体" w:eastAsia="宋体" w:cstheme="minorHAnsi"/>
                <w:b/>
                <w:sz w:val="21"/>
              </w:rPr>
            </w:pPr>
            <w:r>
              <w:rPr>
                <w:rFonts w:hint="eastAsia" w:ascii="Calibri" w:hAnsi="宋体" w:eastAsia="宋体" w:cstheme="minorHAnsi"/>
                <w:b/>
                <w:sz w:val="21"/>
              </w:rPr>
              <w:t>说明和要求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tcBorders>
              <w:top w:val="single" w:color="auto" w:sz="2" w:space="0"/>
            </w:tcBorders>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tcBorders>
              <w:top w:val="single" w:color="auto" w:sz="2" w:space="0"/>
            </w:tcBorders>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项目名称</w:t>
            </w:r>
          </w:p>
        </w:tc>
        <w:tc>
          <w:tcPr>
            <w:tcW w:w="5766" w:type="dxa"/>
            <w:tcBorders>
              <w:top w:val="single" w:color="auto" w:sz="2" w:space="0"/>
            </w:tcBorders>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西安市电子政务网专线接入服务项目</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项目编号</w:t>
            </w:r>
          </w:p>
        </w:tc>
        <w:tc>
          <w:tcPr>
            <w:tcW w:w="5766" w:type="dxa"/>
            <w:shd w:val="clear" w:color="auto" w:fill="auto"/>
            <w:vAlign w:val="center"/>
          </w:tcPr>
          <w:p>
            <w:pPr>
              <w:spacing w:line="320" w:lineRule="exact"/>
              <w:jc w:val="both"/>
              <w:rPr>
                <w:rFonts w:ascii="Calibri" w:hAnsi="宋体" w:eastAsia="宋体" w:cstheme="minorHAnsi"/>
                <w:sz w:val="21"/>
              </w:rPr>
            </w:pPr>
            <w:r>
              <w:rPr>
                <w:rFonts w:ascii="Calibri" w:hAnsi="宋体" w:eastAsia="宋体" w:cstheme="minorHAnsi"/>
                <w:sz w:val="21"/>
              </w:rPr>
              <w:t>XCZX2026-0012-2</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ascii="Calibri" w:hAnsi="宋体" w:eastAsia="宋体" w:cstheme="minorHAnsi"/>
                <w:sz w:val="21"/>
              </w:rPr>
              <w:t>项目性质</w:t>
            </w:r>
          </w:p>
        </w:tc>
        <w:tc>
          <w:tcPr>
            <w:tcW w:w="5766" w:type="dxa"/>
            <w:shd w:val="clear" w:color="auto" w:fill="auto"/>
            <w:vAlign w:val="center"/>
          </w:tcPr>
          <w:p>
            <w:pPr>
              <w:spacing w:line="320" w:lineRule="exact"/>
              <w:jc w:val="both"/>
              <w:rPr>
                <w:rFonts w:ascii="Calibri" w:hAnsi="宋体" w:eastAsia="宋体" w:cstheme="minorHAnsi"/>
                <w:sz w:val="21"/>
              </w:rPr>
            </w:pPr>
            <w:sdt>
              <w:sdtPr>
                <w:rPr>
                  <w:rFonts w:hint="eastAsia" w:ascii="Calibri" w:hAnsi="宋体" w:eastAsia="宋体" w:cstheme="minorHAnsi"/>
                  <w:sz w:val="21"/>
                </w:rPr>
                <w:id w:val="2139916130"/>
                <w14:checkbox>
                  <w14:checked w14:val="1"/>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非专门面向中小企业</w:t>
            </w:r>
          </w:p>
          <w:p>
            <w:pPr>
              <w:spacing w:line="320" w:lineRule="exact"/>
              <w:jc w:val="both"/>
              <w:rPr>
                <w:rFonts w:ascii="Calibri" w:hAnsi="宋体" w:eastAsia="宋体" w:cstheme="minorHAnsi"/>
                <w:sz w:val="21"/>
              </w:rPr>
            </w:pPr>
            <w:sdt>
              <w:sdtPr>
                <w:rPr>
                  <w:rFonts w:hint="eastAsia" w:ascii="Calibri" w:hAnsi="宋体" w:eastAsia="宋体" w:cstheme="minorHAnsi"/>
                  <w:sz w:val="21"/>
                </w:rPr>
                <w:id w:val="-2072024220"/>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专门面向中小企业</w:t>
            </w:r>
          </w:p>
          <w:p>
            <w:pPr>
              <w:spacing w:line="320" w:lineRule="exact"/>
              <w:jc w:val="both"/>
              <w:rPr>
                <w:rFonts w:ascii="Segoe UI Symbol" w:hAnsi="Segoe UI Symbol" w:eastAsia="Segoe UI Symbol" w:cstheme="minorHAnsi"/>
                <w:sz w:val="21"/>
              </w:rPr>
            </w:pPr>
            <w:sdt>
              <w:sdtPr>
                <w:rPr>
                  <w:rFonts w:hint="eastAsia" w:ascii="Calibri" w:hAnsi="宋体" w:eastAsia="宋体" w:cstheme="minorHAnsi"/>
                  <w:sz w:val="21"/>
                </w:rPr>
                <w:id w:val="1790936943"/>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专门面向小微企业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vMerge w:val="restart"/>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项目总预算</w:t>
            </w:r>
          </w:p>
        </w:tc>
        <w:tc>
          <w:tcPr>
            <w:tcW w:w="5766" w:type="dxa"/>
            <w:shd w:val="clear" w:color="auto" w:fill="auto"/>
            <w:vAlign w:val="center"/>
          </w:tcPr>
          <w:p>
            <w:pPr>
              <w:spacing w:line="320" w:lineRule="exact"/>
              <w:jc w:val="both"/>
              <w:rPr>
                <w:rFonts w:ascii="Calibri" w:hAnsi="宋体" w:eastAsia="宋体" w:cstheme="minorHAnsi"/>
                <w:sz w:val="21"/>
                <w:szCs w:val="21"/>
              </w:rPr>
            </w:pPr>
            <w:r>
              <w:rPr>
                <w:rFonts w:ascii="Calibri" w:hAnsi="宋体" w:eastAsia="宋体" w:cstheme="minorHAnsi"/>
                <w:sz w:val="21"/>
              </w:rPr>
              <w:t>12077716.00</w:t>
            </w:r>
            <w:r>
              <w:rPr>
                <w:rFonts w:hint="eastAsia" w:ascii="Calibri" w:hAnsi="宋体" w:eastAsia="宋体" w:cstheme="minorHAnsi"/>
                <w:sz w:val="21"/>
              </w:rPr>
              <w:t>元（最高限价</w:t>
            </w:r>
            <w:r>
              <w:rPr>
                <w:rFonts w:ascii="Calibri" w:hAnsi="宋体" w:eastAsia="宋体" w:cstheme="minorHAnsi"/>
                <w:sz w:val="21"/>
              </w:rPr>
              <w:t>12077716.00</w:t>
            </w:r>
            <w:r>
              <w:rPr>
                <w:rFonts w:hint="eastAsia" w:ascii="Calibri" w:hAnsi="宋体" w:eastAsia="宋体" w:cstheme="minorHAnsi"/>
                <w:sz w:val="21"/>
              </w:rPr>
              <w:t>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94" w:type="dxa"/>
            <w:vMerge w:val="continue"/>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color w:val="C00000"/>
                <w:sz w:val="21"/>
              </w:rPr>
            </w:pPr>
            <w:r>
              <w:rPr>
                <w:rFonts w:hint="eastAsia" w:ascii="Calibri" w:hAnsi="宋体" w:eastAsia="宋体" w:cstheme="minorHAnsi"/>
                <w:color w:val="C00000"/>
                <w:sz w:val="21"/>
              </w:rPr>
              <w:t>采购包二预算</w:t>
            </w:r>
          </w:p>
        </w:tc>
        <w:tc>
          <w:tcPr>
            <w:tcW w:w="5766" w:type="dxa"/>
            <w:shd w:val="clear" w:color="auto" w:fill="auto"/>
            <w:vAlign w:val="center"/>
          </w:tcPr>
          <w:p>
            <w:pPr>
              <w:spacing w:line="320" w:lineRule="exact"/>
              <w:jc w:val="both"/>
              <w:rPr>
                <w:color w:val="C00000"/>
                <w:sz w:val="21"/>
                <w:szCs w:val="21"/>
              </w:rPr>
            </w:pPr>
            <w:r>
              <w:rPr>
                <w:rFonts w:hint="eastAsia" w:ascii="Calibri" w:hAnsi="宋体" w:eastAsia="宋体" w:cstheme="minorHAnsi"/>
                <w:color w:val="C00000"/>
                <w:sz w:val="21"/>
                <w:u w:val="single"/>
              </w:rPr>
              <w:t>1356410.00元（最高限价1356410.00元）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vMerge w:val="continue"/>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color w:val="C00000"/>
                <w:sz w:val="21"/>
              </w:rPr>
            </w:pPr>
            <w:r>
              <w:rPr>
                <w:rFonts w:hint="eastAsia" w:ascii="Calibri" w:hAnsi="宋体" w:eastAsia="宋体" w:cstheme="minorHAnsi"/>
                <w:color w:val="C00000"/>
                <w:sz w:val="21"/>
              </w:rPr>
              <w:t>采购包四预算</w:t>
            </w:r>
          </w:p>
        </w:tc>
        <w:tc>
          <w:tcPr>
            <w:tcW w:w="5766" w:type="dxa"/>
            <w:shd w:val="clear" w:color="auto" w:fill="auto"/>
            <w:vAlign w:val="center"/>
          </w:tcPr>
          <w:p>
            <w:pPr>
              <w:spacing w:line="320" w:lineRule="exact"/>
              <w:jc w:val="both"/>
              <w:rPr>
                <w:rFonts w:ascii="Calibri" w:hAnsi="宋体" w:eastAsia="宋体" w:cstheme="minorHAnsi"/>
                <w:color w:val="C00000"/>
                <w:sz w:val="21"/>
                <w:u w:val="single"/>
              </w:rPr>
            </w:pPr>
            <w:r>
              <w:rPr>
                <w:rFonts w:hint="eastAsia" w:ascii="Calibri" w:hAnsi="宋体" w:eastAsia="宋体" w:cstheme="minorHAnsi"/>
                <w:color w:val="C00000"/>
                <w:sz w:val="21"/>
                <w:u w:val="single"/>
              </w:rPr>
              <w:t>78750.00元（最高限价78750.00元）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97" w:hRule="atLeast"/>
          <w:jc w:val="center"/>
        </w:trPr>
        <w:tc>
          <w:tcPr>
            <w:tcW w:w="694" w:type="dxa"/>
            <w:vMerge w:val="continue"/>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color w:val="C00000"/>
                <w:sz w:val="21"/>
              </w:rPr>
            </w:pPr>
            <w:r>
              <w:rPr>
                <w:rFonts w:hint="eastAsia" w:ascii="Calibri" w:hAnsi="宋体" w:eastAsia="宋体" w:cstheme="minorHAnsi"/>
                <w:color w:val="C00000"/>
                <w:sz w:val="21"/>
              </w:rPr>
              <w:t>采购包五预算</w:t>
            </w:r>
          </w:p>
        </w:tc>
        <w:tc>
          <w:tcPr>
            <w:tcW w:w="5766" w:type="dxa"/>
            <w:shd w:val="clear" w:color="auto" w:fill="auto"/>
            <w:vAlign w:val="center"/>
          </w:tcPr>
          <w:p>
            <w:pPr>
              <w:spacing w:line="320" w:lineRule="exact"/>
              <w:jc w:val="both"/>
              <w:rPr>
                <w:rFonts w:ascii="Calibri" w:hAnsi="宋体" w:eastAsia="宋体" w:cstheme="minorHAnsi"/>
                <w:color w:val="C00000"/>
                <w:sz w:val="21"/>
                <w:u w:val="single"/>
              </w:rPr>
            </w:pPr>
            <w:r>
              <w:rPr>
                <w:rFonts w:hint="eastAsia" w:ascii="Calibri" w:hAnsi="宋体" w:eastAsia="宋体" w:cstheme="minorHAnsi"/>
                <w:color w:val="C00000"/>
                <w:sz w:val="21"/>
                <w:u w:val="single"/>
              </w:rPr>
              <w:t>304500.00元（最高限价304500.00元）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是否接受联合体</w:t>
            </w:r>
          </w:p>
        </w:tc>
        <w:tc>
          <w:tcPr>
            <w:tcW w:w="5766" w:type="dxa"/>
            <w:shd w:val="clear" w:color="auto" w:fill="auto"/>
            <w:vAlign w:val="center"/>
          </w:tcPr>
          <w:p>
            <w:pPr>
              <w:spacing w:line="320" w:lineRule="exact"/>
              <w:jc w:val="both"/>
              <w:rPr>
                <w:rFonts w:ascii="Calibri" w:hAnsi="宋体" w:eastAsia="宋体" w:cstheme="minorHAnsi"/>
                <w:sz w:val="21"/>
              </w:rPr>
            </w:pPr>
            <w:sdt>
              <w:sdtPr>
                <w:rPr>
                  <w:rFonts w:hint="eastAsia" w:ascii="Calibri" w:hAnsi="宋体" w:eastAsia="宋体" w:cstheme="minorHAnsi"/>
                  <w:sz w:val="21"/>
                </w:rPr>
                <w:id w:val="608160193"/>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 xml:space="preserve">接受  </w:t>
            </w:r>
            <w:sdt>
              <w:sdtPr>
                <w:rPr>
                  <w:rFonts w:hint="eastAsia" w:ascii="Calibri" w:hAnsi="宋体" w:eastAsia="宋体" w:cstheme="minorHAnsi"/>
                  <w:sz w:val="21"/>
                </w:rPr>
                <w:id w:val="1317929335"/>
                <w14:checkbox>
                  <w14:checked w14:val="1"/>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不接受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是否允许</w:t>
            </w:r>
            <w:r>
              <w:rPr>
                <w:rFonts w:ascii="Calibri" w:hAnsi="宋体" w:eastAsia="宋体" w:cstheme="minorHAnsi"/>
                <w:sz w:val="21"/>
              </w:rPr>
              <w:t>分包</w:t>
            </w:r>
          </w:p>
        </w:tc>
        <w:tc>
          <w:tcPr>
            <w:tcW w:w="5766" w:type="dxa"/>
            <w:shd w:val="clear" w:color="auto" w:fill="auto"/>
            <w:vAlign w:val="center"/>
          </w:tcPr>
          <w:p>
            <w:pPr>
              <w:spacing w:line="320" w:lineRule="exact"/>
              <w:jc w:val="both"/>
              <w:rPr>
                <w:rFonts w:ascii="Calibri" w:hAnsi="宋体" w:eastAsia="宋体" w:cstheme="minorHAnsi"/>
                <w:sz w:val="21"/>
              </w:rPr>
            </w:pPr>
            <w:sdt>
              <w:sdtPr>
                <w:rPr>
                  <w:rFonts w:hint="eastAsia" w:ascii="Calibri" w:hAnsi="宋体" w:eastAsia="宋体" w:cstheme="minorHAnsi"/>
                  <w:sz w:val="21"/>
                </w:rPr>
                <w:id w:val="1123120370"/>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 xml:space="preserve">允许  </w:t>
            </w:r>
            <w:sdt>
              <w:sdtPr>
                <w:rPr>
                  <w:rFonts w:hint="eastAsia" w:ascii="Calibri" w:hAnsi="宋体" w:eastAsia="宋体" w:cstheme="minorHAnsi"/>
                  <w:sz w:val="21"/>
                </w:rPr>
                <w:id w:val="-728758435"/>
                <w14:checkbox>
                  <w14:checked w14:val="1"/>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不允许</w:t>
            </w:r>
          </w:p>
          <w:p>
            <w:pPr>
              <w:spacing w:line="320" w:lineRule="exact"/>
              <w:jc w:val="both"/>
              <w:rPr>
                <w:rFonts w:ascii="Calibri" w:hAnsi="宋体" w:eastAsia="宋体" w:cstheme="minorHAnsi"/>
                <w:sz w:val="21"/>
              </w:rPr>
            </w:pPr>
            <w:r>
              <w:rPr>
                <w:rFonts w:hint="eastAsia" w:ascii="Calibri" w:hAnsi="宋体" w:eastAsia="宋体" w:cstheme="minorHAnsi"/>
                <w:sz w:val="21"/>
              </w:rPr>
              <w:t>允许分包的内容</w:t>
            </w:r>
            <w:r>
              <w:rPr>
                <w:rFonts w:ascii="Calibri" w:hAnsi="宋体" w:eastAsia="宋体" w:cstheme="minorHAnsi"/>
                <w:sz w:val="21"/>
              </w:rPr>
              <w:t>：</w:t>
            </w:r>
          </w:p>
          <w:p>
            <w:pPr>
              <w:spacing w:line="320" w:lineRule="exact"/>
              <w:jc w:val="both"/>
              <w:rPr>
                <w:rFonts w:ascii="Calibri" w:hAnsi="宋体" w:eastAsia="宋体" w:cstheme="minorHAnsi"/>
                <w:sz w:val="21"/>
              </w:rPr>
            </w:pPr>
            <w:r>
              <w:rPr>
                <w:rFonts w:hint="eastAsia" w:ascii="Calibri" w:hAnsi="宋体" w:eastAsia="宋体" w:cstheme="minorHAnsi"/>
                <w:sz w:val="21"/>
              </w:rPr>
              <w:t>占合同总金额的［___］%</w:t>
            </w:r>
          </w:p>
          <w:p>
            <w:pPr>
              <w:spacing w:line="320" w:lineRule="exact"/>
              <w:jc w:val="both"/>
              <w:rPr>
                <w:rFonts w:ascii="Calibri" w:hAnsi="宋体" w:eastAsia="宋体" w:cstheme="minorHAnsi"/>
                <w:sz w:val="21"/>
              </w:rPr>
            </w:pPr>
            <w:r>
              <w:rPr>
                <w:rFonts w:hint="eastAsia" w:ascii="Calibri" w:hAnsi="宋体" w:eastAsia="宋体" w:cstheme="minorHAnsi"/>
                <w:color w:val="C00000"/>
                <w:sz w:val="21"/>
              </w:rPr>
              <w:t>分包部分</w:t>
            </w:r>
            <w:r>
              <w:rPr>
                <w:rFonts w:ascii="Calibri" w:hAnsi="宋体" w:eastAsia="宋体" w:cstheme="minorHAnsi"/>
                <w:color w:val="C00000"/>
                <w:sz w:val="21"/>
              </w:rPr>
              <w:t>不得再次分包</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是否允许进口产品</w:t>
            </w:r>
          </w:p>
        </w:tc>
        <w:tc>
          <w:tcPr>
            <w:tcW w:w="5766" w:type="dxa"/>
            <w:shd w:val="clear" w:color="auto" w:fill="auto"/>
            <w:vAlign w:val="center"/>
          </w:tcPr>
          <w:p>
            <w:pPr>
              <w:spacing w:line="320" w:lineRule="exact"/>
              <w:jc w:val="both"/>
              <w:rPr>
                <w:rFonts w:ascii="Calibri" w:hAnsi="宋体" w:eastAsia="宋体" w:cstheme="minorHAnsi"/>
                <w:sz w:val="21"/>
              </w:rPr>
            </w:pPr>
            <w:sdt>
              <w:sdtPr>
                <w:rPr>
                  <w:rFonts w:hint="eastAsia" w:ascii="Calibri" w:hAnsi="宋体" w:eastAsia="宋体" w:cstheme="minorHAnsi"/>
                  <w:sz w:val="21"/>
                </w:rPr>
                <w:id w:val="148570254"/>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 xml:space="preserve">允许  </w:t>
            </w:r>
            <w:sdt>
              <w:sdtPr>
                <w:rPr>
                  <w:rFonts w:hint="eastAsia" w:ascii="Calibri" w:hAnsi="宋体" w:eastAsia="宋体" w:cstheme="minorHAnsi"/>
                  <w:sz w:val="21"/>
                </w:rPr>
                <w:id w:val="-1689594843"/>
                <w14:checkbox>
                  <w14:checked w14:val="1"/>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不允许</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投标保证金</w:t>
            </w:r>
          </w:p>
        </w:tc>
        <w:tc>
          <w:tcPr>
            <w:tcW w:w="5766" w:type="dxa"/>
            <w:shd w:val="clear" w:color="auto" w:fill="auto"/>
            <w:vAlign w:val="center"/>
          </w:tcPr>
          <w:p>
            <w:pPr>
              <w:spacing w:line="320" w:lineRule="exact"/>
              <w:jc w:val="both"/>
              <w:rPr>
                <w:rFonts w:ascii="Calibri" w:hAnsi="宋体" w:eastAsia="宋体" w:cstheme="minorHAnsi"/>
                <w:sz w:val="21"/>
              </w:rPr>
            </w:pPr>
            <w:r>
              <w:rPr>
                <w:rFonts w:ascii="Calibri" w:hAnsi="宋体" w:eastAsia="宋体" w:cstheme="minorHAnsi"/>
                <w:sz w:val="21"/>
              </w:rPr>
              <w:t>免交</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履约保证金</w:t>
            </w:r>
          </w:p>
        </w:tc>
        <w:tc>
          <w:tcPr>
            <w:tcW w:w="5766" w:type="dxa"/>
            <w:shd w:val="clear" w:color="auto" w:fill="auto"/>
            <w:vAlign w:val="center"/>
          </w:tcPr>
          <w:p>
            <w:pPr>
              <w:spacing w:line="320" w:lineRule="exact"/>
              <w:jc w:val="both"/>
              <w:rPr>
                <w:rFonts w:ascii="Calibri" w:hAnsi="宋体" w:eastAsia="宋体" w:cstheme="minorHAnsi"/>
                <w:sz w:val="21"/>
              </w:rPr>
            </w:pPr>
            <w:sdt>
              <w:sdtPr>
                <w:rPr>
                  <w:rFonts w:hint="eastAsia" w:ascii="Calibri" w:hAnsi="宋体" w:eastAsia="宋体" w:cstheme="minorHAnsi"/>
                  <w:sz w:val="21"/>
                </w:rPr>
                <w:id w:val="1713921966"/>
                <w14:checkbox>
                  <w14:checked w14:val="1"/>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ascii="Calibri" w:hAnsi="宋体" w:eastAsia="宋体" w:cstheme="minorHAnsi"/>
                <w:sz w:val="21"/>
              </w:rPr>
              <w:t>不收取</w:t>
            </w:r>
          </w:p>
          <w:p>
            <w:pPr>
              <w:spacing w:line="320" w:lineRule="exact"/>
              <w:jc w:val="both"/>
              <w:rPr>
                <w:rFonts w:ascii="Calibri" w:hAnsi="宋体" w:eastAsia="宋体" w:cstheme="minorHAnsi"/>
                <w:sz w:val="21"/>
              </w:rPr>
            </w:pPr>
            <w:sdt>
              <w:sdtPr>
                <w:rPr>
                  <w:rFonts w:hint="eastAsia" w:ascii="Calibri" w:hAnsi="宋体" w:eastAsia="宋体" w:cstheme="minorHAnsi"/>
                  <w:sz w:val="21"/>
                </w:rPr>
                <w:id w:val="-838932817"/>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占合同总价的___%</w:t>
            </w:r>
            <w:r>
              <w:rPr>
                <w:rFonts w:ascii="Calibri" w:hAnsi="宋体" w:eastAsia="宋体" w:cstheme="minorHAnsi"/>
                <w:sz w:val="21"/>
              </w:rPr>
              <w:t>，</w:t>
            </w:r>
            <w:r>
              <w:rPr>
                <w:rFonts w:hint="eastAsia" w:ascii="Calibri" w:hAnsi="宋体" w:eastAsia="宋体" w:cstheme="minorHAnsi"/>
                <w:sz w:val="21"/>
              </w:rPr>
              <w:t>由采购人自行收退</w:t>
            </w:r>
          </w:p>
          <w:p>
            <w:pPr>
              <w:spacing w:line="320" w:lineRule="exact"/>
              <w:jc w:val="both"/>
              <w:rPr>
                <w:rFonts w:ascii="Calibri" w:hAnsi="宋体" w:eastAsia="宋体" w:cstheme="minorHAnsi"/>
                <w:sz w:val="21"/>
              </w:rPr>
            </w:pPr>
            <w:sdt>
              <w:sdtPr>
                <w:rPr>
                  <w:rFonts w:hint="eastAsia" w:ascii="Calibri" w:hAnsi="宋体" w:eastAsia="宋体" w:cstheme="minorHAnsi"/>
                  <w:sz w:val="21"/>
                </w:rPr>
                <w:id w:val="1891918650"/>
                <w14:checkbox>
                  <w14:checked w14:val="0"/>
                  <w14:checkedState w14:val="2611" w14:font="MS Gothic"/>
                  <w14:uncheckedState w14:val="2610" w14:font="MS Gothic"/>
                </w14:checkbox>
              </w:sdtPr>
              <w:sdtEndPr>
                <w:rPr>
                  <w:rFonts w:hint="eastAsia" w:ascii="Calibri" w:hAnsi="宋体" w:eastAsia="宋体" w:cstheme="minorHAnsi"/>
                  <w:sz w:val="21"/>
                </w:rPr>
              </w:sdtEndPr>
              <w:sdtContent>
                <w:r>
                  <w:rPr>
                    <w:rFonts w:hint="eastAsia" w:ascii="MS Gothic" w:hAnsi="MS Gothic" w:eastAsia="MS Gothic" w:cstheme="minorHAnsi"/>
                    <w:sz w:val="21"/>
                  </w:rPr>
                  <w:t>☐</w:t>
                </w:r>
              </w:sdtContent>
            </w:sdt>
            <w:r>
              <w:rPr>
                <w:rFonts w:hint="eastAsia" w:ascii="Calibri" w:hAnsi="宋体" w:eastAsia="宋体" w:cstheme="minorHAnsi"/>
                <w:sz w:val="21"/>
              </w:rPr>
              <w:t>占合同总价的___%，由西安市公共资源交易中心代收代退</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代理服务费</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0.00元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纸质投标文件份数</w:t>
            </w:r>
          </w:p>
        </w:tc>
        <w:tc>
          <w:tcPr>
            <w:tcW w:w="5766" w:type="dxa"/>
            <w:shd w:val="clear" w:color="auto" w:fill="auto"/>
            <w:vAlign w:val="center"/>
          </w:tcPr>
          <w:p>
            <w:pPr>
              <w:spacing w:line="320" w:lineRule="exact"/>
              <w:jc w:val="both"/>
              <w:rPr>
                <w:rFonts w:ascii="Calibri" w:hAnsi="宋体" w:eastAsia="宋体" w:cstheme="minorHAnsi"/>
                <w:sz w:val="21"/>
              </w:rPr>
            </w:pPr>
            <w:r>
              <w:rPr>
                <w:rFonts w:ascii="Calibri" w:hAnsi="宋体" w:eastAsia="宋体" w:cstheme="minorHAnsi"/>
                <w:sz w:val="21"/>
              </w:rPr>
              <w:t>投标供应商无需提供纸质投标文件；</w:t>
            </w:r>
          </w:p>
          <w:p>
            <w:pPr>
              <w:spacing w:line="320" w:lineRule="exact"/>
              <w:jc w:val="both"/>
              <w:rPr>
                <w:rFonts w:ascii="Calibri" w:hAnsi="宋体" w:eastAsia="宋体" w:cstheme="minorHAnsi"/>
                <w:sz w:val="21"/>
              </w:rPr>
            </w:pPr>
            <w:r>
              <w:rPr>
                <w:rFonts w:ascii="Calibri" w:hAnsi="宋体" w:eastAsia="宋体" w:cstheme="minorHAnsi"/>
                <w:sz w:val="21"/>
              </w:rPr>
              <w:t>中标供应商在领取中标通知书时提供一正两副。</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政府采购信息发布媒体</w:t>
            </w:r>
          </w:p>
          <w:p>
            <w:pPr>
              <w:spacing w:line="320" w:lineRule="exact"/>
              <w:rPr>
                <w:rFonts w:ascii="Calibri" w:hAnsi="宋体" w:eastAsia="宋体" w:cstheme="minorHAnsi"/>
                <w:sz w:val="21"/>
              </w:rPr>
            </w:pPr>
            <w:r>
              <w:rPr>
                <w:rFonts w:ascii="Calibri" w:hAnsi="宋体" w:eastAsia="宋体" w:cstheme="minorHAnsi"/>
                <w:sz w:val="21"/>
              </w:rPr>
              <w:t>（采购公告、采购结果公告、变更公告）</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1．陕西省政府采购网：仅提供项目公告。</w:t>
            </w:r>
          </w:p>
          <w:p>
            <w:pPr>
              <w:spacing w:line="320" w:lineRule="exact"/>
              <w:jc w:val="both"/>
              <w:rPr>
                <w:rFonts w:ascii="Calibri" w:hAnsi="宋体" w:eastAsia="宋体" w:cstheme="minorHAnsi"/>
                <w:sz w:val="21"/>
              </w:rPr>
            </w:pPr>
            <w:r>
              <w:rPr>
                <w:rFonts w:hint="eastAsia" w:ascii="Calibri" w:hAnsi="宋体" w:eastAsia="宋体" w:cstheme="minorHAnsi"/>
                <w:sz w:val="21"/>
              </w:rPr>
              <w:t>　 官网地址：http://ccgp-shaanxi.gov.cn/。</w:t>
            </w:r>
          </w:p>
          <w:p>
            <w:pPr>
              <w:spacing w:line="320" w:lineRule="exact"/>
              <w:jc w:val="both"/>
              <w:rPr>
                <w:rFonts w:ascii="Calibri" w:hAnsi="宋体" w:eastAsia="宋体" w:cstheme="minorHAnsi"/>
                <w:sz w:val="21"/>
              </w:rPr>
            </w:pPr>
            <w:r>
              <w:rPr>
                <w:rFonts w:hint="eastAsia" w:ascii="Calibri" w:hAnsi="宋体" w:eastAsia="宋体" w:cstheme="minorHAnsi"/>
                <w:sz w:val="21"/>
              </w:rPr>
              <w:t>2．全国公共资源交易平台（陕西省</w:t>
            </w:r>
            <w:r>
              <w:rPr>
                <w:rFonts w:ascii="Calibri" w:hAnsi="宋体" w:eastAsia="宋体" w:cstheme="minorHAnsi"/>
                <w:sz w:val="21"/>
              </w:rPr>
              <w:t>·</w:t>
            </w:r>
            <w:r>
              <w:rPr>
                <w:rFonts w:hint="eastAsia" w:ascii="Calibri" w:hAnsi="宋体" w:eastAsia="宋体" w:cstheme="minorHAnsi"/>
                <w:sz w:val="21"/>
              </w:rPr>
              <w:t>西安市）：即西安市公共资源交易平台，提供项目公告和采购文件下载。</w:t>
            </w:r>
          </w:p>
          <w:p>
            <w:pPr>
              <w:spacing w:line="320" w:lineRule="exact"/>
              <w:jc w:val="both"/>
              <w:rPr>
                <w:rFonts w:ascii="Calibri" w:hAnsi="宋体" w:eastAsia="宋体" w:cstheme="minorHAnsi"/>
                <w:sz w:val="21"/>
              </w:rPr>
            </w:pPr>
            <w:r>
              <w:rPr>
                <w:rFonts w:hint="eastAsia" w:ascii="Calibri" w:hAnsi="宋体" w:eastAsia="宋体" w:cstheme="minorHAnsi"/>
                <w:sz w:val="21"/>
              </w:rPr>
              <w:t>　 官网地址：http://sxggzyjy.xa.gov.cn/</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询问</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见第一章「投标邀请函」中的联系方式</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质疑</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1</w:t>
            </w:r>
            <w:r>
              <w:rPr>
                <w:rFonts w:ascii="Calibri" w:hAnsi="宋体" w:eastAsia="宋体" w:cstheme="minorHAnsi"/>
                <w:sz w:val="21"/>
              </w:rPr>
              <w:t>．采购人受理方式</w:t>
            </w:r>
          </w:p>
          <w:p>
            <w:pPr>
              <w:spacing w:line="320" w:lineRule="exact"/>
              <w:jc w:val="both"/>
              <w:rPr>
                <w:rFonts w:ascii="Calibri" w:hAnsi="宋体" w:eastAsia="宋体" w:cstheme="minorHAnsi"/>
                <w:color w:val="595959" w:themeColor="text1" w:themeTint="A6"/>
                <w:sz w:val="21"/>
                <w14:textFill>
                  <w14:solidFill>
                    <w14:schemeClr w14:val="tx1">
                      <w14:lumMod w14:val="65000"/>
                      <w14:lumOff w14:val="35000"/>
                    </w14:schemeClr>
                  </w14:solidFill>
                </w14:textFill>
              </w:rPr>
            </w:pPr>
            <w:r>
              <w:rPr>
                <w:rFonts w:hint="eastAsia" w:ascii="Calibri" w:hAnsi="宋体" w:eastAsia="宋体" w:cstheme="minorHAnsi"/>
                <w:color w:val="595959" w:themeColor="text1" w:themeTint="A6"/>
                <w:sz w:val="21"/>
                <w14:textFill>
                  <w14:solidFill>
                    <w14:schemeClr w14:val="tx1">
                      <w14:lumMod w14:val="65000"/>
                      <w14:lumOff w14:val="35000"/>
                    </w14:schemeClr>
                  </w14:solidFill>
                </w14:textFill>
              </w:rPr>
              <w:t>　 见第一章「投标邀请函」中的联系方式</w:t>
            </w:r>
          </w:p>
          <w:p>
            <w:pPr>
              <w:spacing w:line="320" w:lineRule="exact"/>
              <w:jc w:val="both"/>
              <w:rPr>
                <w:rFonts w:ascii="Calibri" w:hAnsi="宋体" w:eastAsia="宋体" w:cstheme="minorHAnsi"/>
                <w:sz w:val="21"/>
              </w:rPr>
            </w:pPr>
            <w:r>
              <w:rPr>
                <w:rFonts w:hint="eastAsia" w:ascii="Calibri" w:hAnsi="宋体" w:eastAsia="宋体" w:cstheme="minorHAnsi"/>
                <w:sz w:val="21"/>
              </w:rPr>
              <w:t>2</w:t>
            </w:r>
            <w:r>
              <w:rPr>
                <w:rFonts w:ascii="Calibri" w:hAnsi="宋体" w:eastAsia="宋体" w:cstheme="minorHAnsi"/>
                <w:sz w:val="21"/>
              </w:rPr>
              <w:t>．集采机构受理方式</w:t>
            </w:r>
          </w:p>
          <w:p>
            <w:pPr>
              <w:spacing w:line="320" w:lineRule="exact"/>
              <w:jc w:val="both"/>
              <w:rPr>
                <w:rFonts w:ascii="Calibri" w:hAnsi="宋体" w:eastAsia="宋体" w:cstheme="minorHAnsi"/>
                <w:color w:val="595959" w:themeColor="text1" w:themeTint="A6"/>
                <w:sz w:val="21"/>
                <w14:textFill>
                  <w14:solidFill>
                    <w14:schemeClr w14:val="tx1">
                      <w14:lumMod w14:val="65000"/>
                      <w14:lumOff w14:val="35000"/>
                    </w14:schemeClr>
                  </w14:solidFill>
                </w14:textFill>
              </w:rPr>
            </w:pPr>
            <w:r>
              <w:rPr>
                <w:rFonts w:hint="eastAsia" w:ascii="Calibri" w:hAnsi="宋体" w:eastAsia="宋体" w:cstheme="minorHAnsi"/>
                <w:color w:val="595959" w:themeColor="text1" w:themeTint="A6"/>
                <w:sz w:val="21"/>
                <w14:textFill>
                  <w14:solidFill>
                    <w14:schemeClr w14:val="tx1">
                      <w14:lumMod w14:val="65000"/>
                      <w14:lumOff w14:val="35000"/>
                    </w14:schemeClr>
                  </w14:solidFill>
                </w14:textFill>
              </w:rPr>
              <w:t>　 受理部门：本集采机构综合业务组</w:t>
            </w:r>
          </w:p>
          <w:p>
            <w:pPr>
              <w:spacing w:line="320" w:lineRule="exact"/>
              <w:jc w:val="both"/>
              <w:rPr>
                <w:rFonts w:ascii="Calibri" w:hAnsi="宋体" w:eastAsia="宋体" w:cstheme="minorHAnsi"/>
                <w:sz w:val="21"/>
              </w:rPr>
            </w:pPr>
            <w:r>
              <w:rPr>
                <w:rFonts w:hint="eastAsia" w:ascii="Calibri" w:hAnsi="宋体" w:eastAsia="宋体" w:cstheme="minorHAnsi"/>
                <w:color w:val="595959" w:themeColor="text1" w:themeTint="A6"/>
                <w:sz w:val="21"/>
                <w14:textFill>
                  <w14:solidFill>
                    <w14:schemeClr w14:val="tx1">
                      <w14:lumMod w14:val="65000"/>
                      <w14:lumOff w14:val="35000"/>
                    </w14:schemeClr>
                  </w14:solidFill>
                </w14:textFill>
              </w:rPr>
              <w:t>　 联系电话：029-86510166/86510167转80706</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投诉</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受理单位：西安市财政局政府采购管理处</w:t>
            </w:r>
          </w:p>
          <w:p>
            <w:pPr>
              <w:spacing w:line="320" w:lineRule="exact"/>
              <w:jc w:val="both"/>
              <w:rPr>
                <w:rFonts w:ascii="Calibri" w:hAnsi="宋体" w:eastAsia="宋体" w:cstheme="minorHAnsi"/>
                <w:sz w:val="21"/>
              </w:rPr>
            </w:pPr>
            <w:r>
              <w:rPr>
                <w:rFonts w:hint="eastAsia" w:ascii="Calibri" w:hAnsi="宋体" w:eastAsia="宋体" w:cstheme="minorHAnsi"/>
                <w:sz w:val="21"/>
              </w:rPr>
              <w:t>联系电话：029-89821846</w:t>
            </w:r>
          </w:p>
          <w:p>
            <w:pPr>
              <w:spacing w:line="320" w:lineRule="exact"/>
              <w:jc w:val="both"/>
              <w:rPr>
                <w:rFonts w:ascii="Calibri" w:hAnsi="宋体" w:eastAsia="宋体" w:cstheme="minorHAnsi"/>
                <w:sz w:val="21"/>
              </w:rPr>
            </w:pPr>
            <w:r>
              <w:rPr>
                <w:rFonts w:hint="eastAsia" w:ascii="Calibri" w:hAnsi="宋体" w:eastAsia="宋体" w:cstheme="minorHAnsi"/>
                <w:sz w:val="21"/>
              </w:rPr>
              <w:t>地址：西安市未央区西北国金中心A座18层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信用信息查询截至时点</w:t>
            </w:r>
          </w:p>
        </w:tc>
        <w:tc>
          <w:tcPr>
            <w:tcW w:w="5766" w:type="dxa"/>
            <w:shd w:val="clear" w:color="auto" w:fill="auto"/>
            <w:vAlign w:val="center"/>
          </w:tcPr>
          <w:p>
            <w:pPr>
              <w:spacing w:line="320" w:lineRule="exact"/>
              <w:jc w:val="both"/>
              <w:rPr>
                <w:rFonts w:ascii="Calibri" w:hAnsi="宋体" w:eastAsia="宋体" w:cstheme="minorHAnsi"/>
                <w:sz w:val="21"/>
              </w:rPr>
            </w:pPr>
            <w:r>
              <w:rPr>
                <w:rFonts w:ascii="Calibri" w:hAnsi="宋体" w:eastAsia="宋体" w:cstheme="minorHAnsi"/>
                <w:sz w:val="21"/>
              </w:rPr>
              <w:t>同提交投标文件截止时间</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开标形式</w:t>
            </w:r>
          </w:p>
        </w:tc>
        <w:tc>
          <w:tcPr>
            <w:tcW w:w="5766" w:type="dxa"/>
            <w:shd w:val="clear" w:color="auto" w:fill="auto"/>
            <w:vAlign w:val="center"/>
          </w:tcPr>
          <w:p>
            <w:pPr>
              <w:spacing w:line="320" w:lineRule="exact"/>
              <w:jc w:val="both"/>
              <w:rPr>
                <w:rFonts w:cstheme="minorHAnsi"/>
                <w:color w:val="C00000"/>
                <w:sz w:val="21"/>
                <w:szCs w:val="21"/>
              </w:rPr>
            </w:pPr>
            <w:sdt>
              <w:sdtPr>
                <w:rPr>
                  <w:rFonts w:cstheme="minorHAnsi"/>
                  <w:color w:val="C00000"/>
                  <w:sz w:val="21"/>
                  <w:szCs w:val="21"/>
                </w:rPr>
                <w:id w:val="1077786224"/>
                <w14:checkbox>
                  <w14:checked w14:val="1"/>
                  <w14:checkedState w14:val="2611" w14:font="MS Gothic"/>
                  <w14:uncheckedState w14:val="2610" w14:font="MS Gothic"/>
                </w14:checkbox>
              </w:sdtPr>
              <w:sdtEndPr>
                <w:rPr>
                  <w:rFonts w:cstheme="minorHAnsi"/>
                  <w:color w:val="C00000"/>
                  <w:sz w:val="21"/>
                  <w:szCs w:val="21"/>
                </w:rPr>
              </w:sdtEndPr>
              <w:sdtContent>
                <w:r>
                  <w:rPr>
                    <w:rFonts w:ascii="Segoe UI Symbol" w:hAnsi="Segoe UI Symbol" w:cs="Segoe UI Symbol"/>
                    <w:color w:val="C00000"/>
                    <w:sz w:val="21"/>
                    <w:szCs w:val="21"/>
                  </w:rPr>
                  <w:t>☑</w:t>
                </w:r>
              </w:sdtContent>
            </w:sdt>
            <w:r>
              <w:rPr>
                <w:rFonts w:cstheme="minorHAnsi"/>
                <w:color w:val="C00000"/>
                <w:sz w:val="21"/>
                <w:szCs w:val="21"/>
              </w:rPr>
              <w:t>不见面开标：</w:t>
            </w:r>
          </w:p>
          <w:p>
            <w:pPr>
              <w:wordWrap w:val="0"/>
              <w:spacing w:line="320" w:lineRule="exact"/>
              <w:jc w:val="both"/>
              <w:rPr>
                <w:rFonts w:cstheme="minorHAnsi"/>
                <w:sz w:val="21"/>
                <w:szCs w:val="21"/>
              </w:rPr>
            </w:pPr>
            <w:r>
              <w:rPr>
                <w:rFonts w:cstheme="minorHAnsi"/>
                <w:color w:val="595959" w:themeColor="text1" w:themeTint="A6"/>
                <w:sz w:val="21"/>
                <w:szCs w:val="21"/>
                <w14:textFill>
                  <w14:solidFill>
                    <w14:schemeClr w14:val="tx1">
                      <w14:lumMod w14:val="65000"/>
                      <w14:lumOff w14:val="35000"/>
                    </w14:schemeClr>
                  </w14:solidFill>
                </w14:textFill>
              </w:rPr>
              <w:t>　 供应商的法定代表人或其授权代表无需到达开标现场，直接在线参加开标大会。</w:t>
            </w:r>
          </w:p>
          <w:p>
            <w:pPr>
              <w:spacing w:line="320" w:lineRule="exact"/>
              <w:jc w:val="both"/>
              <w:rPr>
                <w:rFonts w:cstheme="minorHAnsi"/>
                <w:color w:val="C00000"/>
                <w:sz w:val="21"/>
                <w:szCs w:val="21"/>
              </w:rPr>
            </w:pPr>
            <w:sdt>
              <w:sdtPr>
                <w:rPr>
                  <w:rFonts w:cstheme="minorHAnsi"/>
                  <w:color w:val="C00000"/>
                  <w:sz w:val="21"/>
                  <w:szCs w:val="21"/>
                </w:rPr>
                <w:id w:val="1553575034"/>
                <w14:checkbox>
                  <w14:checked w14:val="0"/>
                  <w14:checkedState w14:val="2611" w14:font="MS Gothic"/>
                  <w14:uncheckedState w14:val="2610" w14:font="MS Gothic"/>
                </w14:checkbox>
              </w:sdtPr>
              <w:sdtEndPr>
                <w:rPr>
                  <w:rFonts w:cstheme="minorHAnsi"/>
                  <w:color w:val="C00000"/>
                  <w:sz w:val="21"/>
                  <w:szCs w:val="21"/>
                </w:rPr>
              </w:sdtEndPr>
              <w:sdtContent>
                <w:r>
                  <w:rPr>
                    <w:rFonts w:hint="eastAsia" w:ascii="MS Gothic" w:hAnsi="MS Gothic" w:eastAsia="MS Gothic" w:cstheme="minorHAnsi"/>
                    <w:color w:val="C00000"/>
                    <w:sz w:val="21"/>
                    <w:szCs w:val="21"/>
                  </w:rPr>
                  <w:t>☐</w:t>
                </w:r>
              </w:sdtContent>
            </w:sdt>
            <w:r>
              <w:rPr>
                <w:rFonts w:cstheme="minorHAnsi"/>
                <w:color w:val="C00000"/>
                <w:sz w:val="21"/>
                <w:szCs w:val="21"/>
              </w:rPr>
              <w:t>见面开标：</w:t>
            </w:r>
          </w:p>
          <w:p>
            <w:pPr>
              <w:spacing w:line="320" w:lineRule="exact"/>
              <w:jc w:val="both"/>
              <w:rPr>
                <w:rFonts w:ascii="Calibri" w:hAnsi="宋体" w:eastAsia="宋体" w:cstheme="minorHAnsi"/>
                <w:sz w:val="21"/>
              </w:rPr>
            </w:pPr>
            <w:r>
              <w:rPr>
                <w:rFonts w:cstheme="minorHAnsi"/>
                <w:color w:val="595959" w:themeColor="text1" w:themeTint="A6"/>
                <w:sz w:val="21"/>
                <w:szCs w:val="21"/>
                <w14:textFill>
                  <w14:solidFill>
                    <w14:schemeClr w14:val="tx1">
                      <w14:lumMod w14:val="65000"/>
                      <w14:lumOff w14:val="35000"/>
                    </w14:schemeClr>
                  </w14:solidFill>
                </w14:textFill>
              </w:rPr>
              <w:t>　 供应商的法定代表人或其授权代表应当持有效身份证件在提交投标文件截止时间前抵达开标现场，并签到确认。</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评标形式</w:t>
            </w:r>
          </w:p>
        </w:tc>
        <w:tc>
          <w:tcPr>
            <w:tcW w:w="5766" w:type="dxa"/>
            <w:shd w:val="clear" w:color="auto" w:fill="auto"/>
            <w:vAlign w:val="center"/>
          </w:tcPr>
          <w:p>
            <w:pPr>
              <w:spacing w:line="320" w:lineRule="exact"/>
              <w:jc w:val="both"/>
              <w:rPr>
                <w:rFonts w:ascii="Calibri" w:hAnsi="宋体" w:eastAsia="宋体" w:cstheme="minorHAnsi"/>
                <w:color w:val="C00000"/>
                <w:sz w:val="21"/>
              </w:rPr>
            </w:pPr>
            <w:r>
              <w:rPr>
                <w:rFonts w:hint="eastAsia" w:ascii="Segoe UI Symbol" w:hAnsi="Segoe UI Symbol" w:eastAsia="Segoe UI Symbol" w:cstheme="minorHAnsi"/>
                <w:color w:val="C00000"/>
                <w:sz w:val="21"/>
              </w:rPr>
              <w:t>☑</w:t>
            </w:r>
            <w:r>
              <w:rPr>
                <w:rFonts w:hint="eastAsia" w:ascii="Calibri" w:hAnsi="宋体" w:eastAsia="宋体" w:cstheme="minorHAnsi"/>
                <w:color w:val="C00000"/>
                <w:sz w:val="21"/>
              </w:rPr>
              <w:t xml:space="preserve">暗标盲评 </w:t>
            </w:r>
            <w:r>
              <w:rPr>
                <w:rFonts w:ascii="Calibri" w:hAnsi="宋体" w:eastAsia="宋体" w:cstheme="minorHAnsi"/>
                <w:color w:val="C00000"/>
                <w:sz w:val="21"/>
              </w:rPr>
              <w:t xml:space="preserve">  </w:t>
            </w:r>
            <w:r>
              <w:rPr>
                <w:rFonts w:hint="eastAsia" w:ascii="Calibri" w:hAnsi="宋体" w:eastAsia="宋体" w:cstheme="minorHAnsi"/>
                <w:color w:val="C00000"/>
                <w:sz w:val="21"/>
              </w:rPr>
              <w:t xml:space="preserve"> </w:t>
            </w:r>
            <w:r>
              <w:rPr>
                <w:rFonts w:hint="eastAsia" w:ascii="Segoe UI Symbol" w:hAnsi="Segoe UI Symbol" w:eastAsia="Segoe UI Symbol" w:cstheme="minorHAnsi"/>
                <w:color w:val="C00000"/>
                <w:sz w:val="21"/>
              </w:rPr>
              <w:t>☐</w:t>
            </w:r>
            <w:r>
              <w:rPr>
                <w:rFonts w:hint="eastAsia" w:ascii="Calibri" w:hAnsi="宋体" w:eastAsia="宋体" w:cstheme="minorHAnsi"/>
                <w:color w:val="C00000"/>
                <w:sz w:val="21"/>
              </w:rPr>
              <w:t>明标</w:t>
            </w:r>
          </w:p>
          <w:p>
            <w:pPr>
              <w:spacing w:line="320" w:lineRule="exact"/>
              <w:jc w:val="both"/>
              <w:rPr>
                <w:rFonts w:ascii="Calibri" w:hAnsi="宋体" w:eastAsia="宋体" w:cstheme="minorHAnsi"/>
                <w:sz w:val="21"/>
              </w:rPr>
            </w:pPr>
            <w:r>
              <w:rPr>
                <w:rFonts w:ascii="Calibri" w:hAnsi="宋体" w:eastAsia="宋体" w:cstheme="minorHAnsi"/>
                <w:sz w:val="21"/>
              </w:rPr>
              <w:t>详见本章「</w:t>
            </w:r>
            <w:r>
              <w:rPr>
                <w:rFonts w:hint="eastAsia" w:ascii="Calibri" w:hAnsi="宋体" w:eastAsia="宋体" w:cstheme="minorHAnsi"/>
                <w:sz w:val="21"/>
              </w:rPr>
              <w:t>评审方法和程序</w:t>
            </w:r>
            <w:r>
              <w:rPr>
                <w:rFonts w:ascii="Calibri" w:hAnsi="宋体" w:eastAsia="宋体" w:cstheme="minorHAnsi"/>
                <w:sz w:val="21"/>
              </w:rPr>
              <w:t>」有关内容。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采购标的对应的中小企业划分标准所属行业</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依据工业和信息化部、国家统计局、国家发展和改革委员会、财政部《关于印发中小企业划型标准规定的通知》（工信部联企业〔2011〕300号），本项目采购标的对应的中小企业划分标准所属行业为</w:t>
            </w:r>
            <w:r>
              <w:rPr>
                <w:color w:val="7030A0"/>
                <w:sz w:val="21"/>
                <w:szCs w:val="21"/>
                <w:u w:val="single"/>
              </w:rPr>
              <w:t>信息传输业（包括电信、互联网和相关服务）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中标通知书</w:t>
            </w:r>
          </w:p>
        </w:tc>
        <w:tc>
          <w:tcPr>
            <w:tcW w:w="5766" w:type="dxa"/>
            <w:shd w:val="clear" w:color="auto" w:fill="auto"/>
            <w:vAlign w:val="center"/>
          </w:tcPr>
          <w:p>
            <w:pPr>
              <w:spacing w:line="320" w:lineRule="exact"/>
              <w:jc w:val="both"/>
              <w:rPr>
                <w:rFonts w:ascii="Calibri" w:hAnsi="Calibri" w:eastAsia="宋体" w:cstheme="minorHAnsi"/>
                <w:sz w:val="21"/>
              </w:rPr>
            </w:pPr>
            <w:r>
              <w:rPr>
                <w:rFonts w:hint="eastAsia" w:ascii="Calibri" w:hAnsi="宋体" w:eastAsia="宋体" w:cstheme="minorHAnsi"/>
                <w:sz w:val="21"/>
              </w:rPr>
              <w:t>领取时间及方式见中标公告。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pPr>
              <w:pStyle w:val="68"/>
              <w:numPr>
                <w:ilvl w:val="0"/>
                <w:numId w:val="3"/>
              </w:numPr>
              <w:spacing w:line="320" w:lineRule="exact"/>
              <w:ind w:left="0" w:firstLine="210" w:firstLineChars="100"/>
              <w:rPr>
                <w:rFonts w:ascii="Calibri" w:hAnsi="宋体" w:eastAsia="宋体" w:cstheme="minorHAnsi"/>
                <w:sz w:val="21"/>
              </w:rPr>
            </w:pPr>
          </w:p>
        </w:tc>
        <w:tc>
          <w:tcPr>
            <w:tcW w:w="2410" w:type="dxa"/>
            <w:shd w:val="clear" w:color="auto" w:fill="auto"/>
            <w:vAlign w:val="center"/>
          </w:tcPr>
          <w:p>
            <w:pPr>
              <w:spacing w:line="320" w:lineRule="exact"/>
              <w:rPr>
                <w:rFonts w:ascii="Calibri" w:hAnsi="宋体" w:eastAsia="宋体" w:cstheme="minorHAnsi"/>
                <w:sz w:val="21"/>
              </w:rPr>
            </w:pPr>
            <w:r>
              <w:rPr>
                <w:rFonts w:hint="eastAsia" w:ascii="Calibri" w:hAnsi="宋体" w:eastAsia="宋体" w:cstheme="minorHAnsi"/>
                <w:sz w:val="21"/>
              </w:rPr>
              <w:t>电子化政府采购系统技术支持</w:t>
            </w:r>
            <w:r>
              <w:rPr>
                <w:rFonts w:ascii="Calibri" w:hAnsi="宋体" w:eastAsia="宋体" w:cstheme="minorHAnsi"/>
                <w:sz w:val="21"/>
              </w:rPr>
              <w:t>（</w:t>
            </w:r>
            <w:r>
              <w:rPr>
                <w:rFonts w:hint="eastAsia" w:ascii="Calibri" w:hAnsi="宋体" w:eastAsia="宋体" w:cstheme="minorHAnsi"/>
                <w:sz w:val="21"/>
              </w:rPr>
              <w:t>国泰新点软件股份有限公司</w:t>
            </w:r>
            <w:r>
              <w:rPr>
                <w:rFonts w:ascii="Calibri" w:hAnsi="宋体" w:eastAsia="宋体" w:cstheme="minorHAnsi"/>
                <w:sz w:val="21"/>
              </w:rPr>
              <w:t>）</w:t>
            </w:r>
          </w:p>
        </w:tc>
        <w:tc>
          <w:tcPr>
            <w:tcW w:w="5766" w:type="dxa"/>
            <w:shd w:val="clear" w:color="auto" w:fill="auto"/>
            <w:vAlign w:val="center"/>
          </w:tcPr>
          <w:p>
            <w:pPr>
              <w:spacing w:line="320" w:lineRule="exact"/>
              <w:jc w:val="both"/>
              <w:rPr>
                <w:rFonts w:ascii="Calibri" w:hAnsi="宋体" w:eastAsia="宋体" w:cstheme="minorHAnsi"/>
                <w:sz w:val="21"/>
              </w:rPr>
            </w:pPr>
            <w:r>
              <w:rPr>
                <w:rFonts w:hint="eastAsia" w:ascii="Calibri" w:hAnsi="宋体" w:eastAsia="宋体" w:cstheme="minorHAnsi"/>
                <w:sz w:val="21"/>
              </w:rPr>
              <w:t>技术</w:t>
            </w:r>
            <w:r>
              <w:rPr>
                <w:rFonts w:ascii="Calibri" w:hAnsi="宋体" w:eastAsia="宋体" w:cstheme="minorHAnsi"/>
                <w:sz w:val="21"/>
              </w:rPr>
              <w:t>支持</w:t>
            </w:r>
            <w:r>
              <w:rPr>
                <w:rFonts w:hint="eastAsia" w:ascii="Calibri" w:hAnsi="宋体" w:eastAsia="宋体" w:cstheme="minorHAnsi"/>
                <w:sz w:val="21"/>
              </w:rPr>
              <w:t>热线</w:t>
            </w:r>
            <w:r>
              <w:rPr>
                <w:rFonts w:ascii="Calibri" w:hAnsi="宋体" w:eastAsia="宋体" w:cstheme="minorHAnsi"/>
                <w:sz w:val="21"/>
              </w:rPr>
              <w:t>：</w:t>
            </w:r>
            <w:r>
              <w:rPr>
                <w:rFonts w:hint="eastAsia" w:ascii="Calibri" w:hAnsi="宋体" w:eastAsia="宋体" w:cstheme="minorHAnsi"/>
                <w:sz w:val="21"/>
              </w:rPr>
              <w:t>400-998-0000/400-928-0095</w:t>
            </w:r>
          </w:p>
          <w:p>
            <w:pPr>
              <w:spacing w:line="320" w:lineRule="exact"/>
              <w:jc w:val="both"/>
              <w:rPr>
                <w:rFonts w:ascii="Calibri" w:hAnsi="宋体" w:eastAsia="宋体" w:cstheme="minorHAnsi"/>
                <w:sz w:val="21"/>
              </w:rPr>
            </w:pPr>
            <w:r>
              <w:rPr>
                <w:rFonts w:hint="eastAsia" w:ascii="Calibri" w:hAnsi="宋体" w:eastAsia="宋体" w:cstheme="minorHAnsi"/>
                <w:sz w:val="21"/>
              </w:rPr>
              <w:t>驻场技术人员：徐工</w:t>
            </w:r>
          </w:p>
          <w:p>
            <w:pPr>
              <w:spacing w:line="320" w:lineRule="exact"/>
              <w:jc w:val="both"/>
              <w:rPr>
                <w:rFonts w:ascii="Calibri" w:hAnsi="宋体" w:eastAsia="宋体" w:cstheme="minorHAnsi"/>
                <w:sz w:val="21"/>
              </w:rPr>
            </w:pPr>
            <w:r>
              <w:rPr>
                <w:rFonts w:hint="eastAsia" w:ascii="Calibri" w:hAnsi="宋体" w:eastAsia="宋体" w:cstheme="minorHAnsi"/>
                <w:sz w:val="21"/>
              </w:rPr>
              <w:t>联系电话：029-86510166/86510167转80310</w:t>
            </w:r>
          </w:p>
        </w:tc>
      </w:tr>
    </w:tbl>
    <w:p>
      <w:r>
        <w:br w:type="page"/>
      </w:r>
    </w:p>
    <w:p>
      <w:pPr>
        <w:pStyle w:val="3"/>
        <w:jc w:val="both"/>
      </w:pPr>
      <w:r>
        <w:t>一、有关定义</w:t>
      </w:r>
    </w:p>
    <w:p>
      <w:pPr>
        <w:ind w:firstLine="480" w:firstLineChars="200"/>
        <w:jc w:val="both"/>
        <w:rPr>
          <w:rFonts w:cstheme="minorHAnsi"/>
        </w:rPr>
      </w:pPr>
      <w:r>
        <w:rPr>
          <w:rFonts w:hint="eastAsia" w:cstheme="minorHAnsi"/>
        </w:rPr>
        <w:t>1．采购人：依法进行政府采购的西安市市级机关、事业单位或团体组织。</w:t>
      </w:r>
    </w:p>
    <w:p>
      <w:pPr>
        <w:ind w:firstLine="480" w:firstLineChars="200"/>
        <w:jc w:val="both"/>
        <w:rPr>
          <w:rFonts w:cstheme="minorHAnsi"/>
        </w:rPr>
      </w:pPr>
      <w:r>
        <w:rPr>
          <w:rFonts w:hint="eastAsia" w:cstheme="minorHAnsi"/>
        </w:rPr>
        <w:t>2．政府采购</w:t>
      </w:r>
      <w:r>
        <w:rPr>
          <w:rFonts w:cstheme="minorHAnsi"/>
        </w:rPr>
        <w:t>监管</w:t>
      </w:r>
      <w:r>
        <w:rPr>
          <w:rFonts w:hint="eastAsia" w:cstheme="minorHAnsi"/>
        </w:rPr>
        <w:t>部门</w:t>
      </w:r>
      <w:r>
        <w:rPr>
          <w:rFonts w:cstheme="minorHAnsi"/>
        </w:rPr>
        <w:t>：本项目特指西安市财政局</w:t>
      </w:r>
      <w:r>
        <w:rPr>
          <w:rFonts w:hint="eastAsia" w:cstheme="minorHAnsi"/>
        </w:rPr>
        <w:t>政府采购管理处。</w:t>
      </w:r>
    </w:p>
    <w:p>
      <w:pPr>
        <w:ind w:firstLine="480" w:firstLineChars="200"/>
        <w:jc w:val="both"/>
        <w:rPr>
          <w:rFonts w:cstheme="minorHAnsi"/>
        </w:rPr>
      </w:pPr>
      <w:r>
        <w:rPr>
          <w:rFonts w:cstheme="minorHAnsi"/>
        </w:rPr>
        <w:t>3</w:t>
      </w:r>
      <w:r>
        <w:rPr>
          <w:rFonts w:hint="eastAsia" w:cstheme="minorHAnsi"/>
        </w:rPr>
        <w:t>．供应商：指向采购人提供货物、工程或者服务的法人、其他组织或者自然人。</w:t>
      </w:r>
    </w:p>
    <w:p>
      <w:pPr>
        <w:ind w:firstLine="480" w:firstLineChars="200"/>
        <w:jc w:val="both"/>
        <w:rPr>
          <w:rFonts w:cstheme="minorHAnsi"/>
        </w:rPr>
      </w:pPr>
      <w:r>
        <w:rPr>
          <w:rFonts w:cstheme="minorHAnsi"/>
        </w:rPr>
        <w:t>4</w:t>
      </w:r>
      <w:r>
        <w:rPr>
          <w:rFonts w:hint="eastAsia" w:cstheme="minorHAnsi"/>
        </w:rPr>
        <w:t>．法定代表人（负责人）：指单位法定代表人或者法律、行政法规规定代表单位行使职权的主要负责人，包含企业法人的法定代表人、个人独资企业的投资人、分支机构的负责人、合伙企业的执行事务合伙人（委派代表）、个体工商户业主、农民专业合作社的法定代表人等。</w:t>
      </w:r>
    </w:p>
    <w:p>
      <w:pPr>
        <w:ind w:firstLine="480" w:firstLineChars="200"/>
        <w:jc w:val="both"/>
        <w:rPr>
          <w:rFonts w:cstheme="minorHAnsi"/>
        </w:rPr>
      </w:pPr>
      <w:r>
        <w:rPr>
          <w:rFonts w:cstheme="minorHAnsi"/>
        </w:rPr>
        <w:t>5</w:t>
      </w:r>
      <w:r>
        <w:rPr>
          <w:rFonts w:hint="eastAsia" w:cstheme="minorHAnsi"/>
        </w:rPr>
        <w:t>．西安市公共资源交易平台：即【全国公共资源交易平台（陕西省</w:t>
      </w:r>
      <w:r>
        <w:rPr>
          <w:rFonts w:cstheme="minorHAnsi"/>
        </w:rPr>
        <w:t>·</w:t>
      </w:r>
      <w:r>
        <w:rPr>
          <w:rFonts w:hint="eastAsia" w:cstheme="minorHAnsi"/>
        </w:rPr>
        <w:t>西安市）】的简称，官网地址</w:t>
      </w:r>
      <w:r>
        <w:rPr>
          <w:rStyle w:val="31"/>
          <w:rFonts w:cstheme="minorHAnsi"/>
        </w:rPr>
        <w:fldChar w:fldCharType="begin"/>
      </w:r>
      <w:r>
        <w:rPr>
          <w:rStyle w:val="31"/>
          <w:rFonts w:cstheme="minorHAnsi"/>
        </w:rPr>
        <w:instrText xml:space="preserve"> HYPERLINK "http://sxggzyjy.xa.gov.cn/" </w:instrText>
      </w:r>
      <w:r>
        <w:rPr>
          <w:rStyle w:val="31"/>
          <w:rFonts w:cstheme="minorHAnsi"/>
        </w:rPr>
        <w:fldChar w:fldCharType="separate"/>
      </w:r>
      <w:r>
        <w:rPr>
          <w:rStyle w:val="31"/>
          <w:rFonts w:hint="eastAsia" w:cstheme="minorHAnsi"/>
        </w:rPr>
        <w:t>http</w:t>
      </w:r>
      <w:r>
        <w:rPr>
          <w:rStyle w:val="31"/>
          <w:rFonts w:cstheme="minorHAnsi"/>
        </w:rPr>
        <w:t>://sxggzyjy.xa.gov.cn</w:t>
      </w:r>
      <w:r>
        <w:rPr>
          <w:rStyle w:val="31"/>
          <w:rFonts w:hint="eastAsia" w:cstheme="minorHAnsi"/>
        </w:rPr>
        <w:t>/</w:t>
      </w:r>
      <w:r>
        <w:rPr>
          <w:rStyle w:val="31"/>
          <w:rFonts w:cstheme="minorHAnsi"/>
        </w:rPr>
        <w:fldChar w:fldCharType="end"/>
      </w:r>
      <w:r>
        <w:rPr>
          <w:rFonts w:cstheme="minorHAnsi"/>
        </w:rPr>
        <w:t>。</w:t>
      </w:r>
    </w:p>
    <w:p>
      <w:pPr>
        <w:ind w:firstLine="480" w:firstLineChars="200"/>
        <w:jc w:val="both"/>
        <w:rPr>
          <w:rFonts w:cstheme="minorHAnsi"/>
        </w:rPr>
      </w:pPr>
      <w:r>
        <w:rPr>
          <w:rFonts w:cstheme="minorHAnsi"/>
        </w:rPr>
        <w:t>6</w:t>
      </w:r>
      <w:r>
        <w:rPr>
          <w:rFonts w:hint="eastAsia" w:cstheme="minorHAnsi"/>
        </w:rPr>
        <w:t>．企业端：指西安市公共资源交易平台〖首页</w:t>
      </w:r>
      <w:r>
        <w:rPr>
          <w:rFonts w:cstheme="minorHAnsi"/>
        </w:rPr>
        <w:t>·</w:t>
      </w:r>
      <w:r>
        <w:rPr>
          <w:rFonts w:eastAsiaTheme="majorEastAsia" w:cstheme="minorHAnsi"/>
        </w:rPr>
        <w:t>〉</w:t>
      </w:r>
      <w:r>
        <w:rPr>
          <w:rFonts w:hint="eastAsia" w:cstheme="minorHAnsi"/>
        </w:rPr>
        <w:t>电子交易平台</w:t>
      </w:r>
      <w:r>
        <w:rPr>
          <w:rFonts w:cstheme="minorHAnsi"/>
        </w:rPr>
        <w:t>·</w:t>
      </w:r>
      <w:r>
        <w:rPr>
          <w:rFonts w:eastAsiaTheme="majorEastAsia" w:cstheme="minorHAnsi"/>
        </w:rPr>
        <w:t>〉</w:t>
      </w:r>
      <w:r>
        <w:rPr>
          <w:rFonts w:hint="eastAsia" w:cstheme="minorHAnsi"/>
        </w:rPr>
        <w:t>陕西政府采购交易系统</w:t>
      </w:r>
      <w:r>
        <w:rPr>
          <w:rFonts w:cstheme="minorHAnsi"/>
        </w:rPr>
        <w:t>·</w:t>
      </w:r>
      <w:r>
        <w:rPr>
          <w:rFonts w:eastAsiaTheme="majorEastAsia" w:cstheme="minorHAnsi"/>
        </w:rPr>
        <w:t>〉</w:t>
      </w:r>
      <w:r>
        <w:rPr>
          <w:rFonts w:hint="eastAsia" w:cstheme="minorHAnsi"/>
        </w:rPr>
        <w:t>企业端〗，快捷登录网址</w:t>
      </w:r>
      <w:r>
        <w:fldChar w:fldCharType="begin"/>
      </w:r>
      <w:r>
        <w:instrText xml:space="preserve"> HYPERLINK "http://www.sxggzyjy.cn:9002/TPBidder/memberLogin" </w:instrText>
      </w:r>
      <w:r>
        <w:fldChar w:fldCharType="separate"/>
      </w:r>
      <w:r>
        <w:rPr>
          <w:rStyle w:val="31"/>
          <w:rFonts w:cstheme="minorHAnsi"/>
        </w:rPr>
        <w:t>http://www.sxggzyjy.cn:9002/TPBidder/memberLogin</w:t>
      </w:r>
      <w:r>
        <w:rPr>
          <w:rStyle w:val="31"/>
          <w:rFonts w:cstheme="minorHAnsi"/>
        </w:rPr>
        <w:fldChar w:fldCharType="end"/>
      </w:r>
      <w:r>
        <w:rPr>
          <w:rFonts w:hint="eastAsia" w:cstheme="minorHAnsi"/>
        </w:rPr>
        <w:t>。</w:t>
      </w:r>
    </w:p>
    <w:p>
      <w:pPr>
        <w:pStyle w:val="3"/>
        <w:jc w:val="both"/>
      </w:pPr>
      <w:r>
        <w:t>二、供应商注意事项</w:t>
      </w:r>
    </w:p>
    <w:p>
      <w:pPr>
        <w:pStyle w:val="4"/>
        <w:ind w:firstLine="482"/>
        <w:jc w:val="both"/>
      </w:pPr>
      <w:r>
        <w:rPr>
          <w:rFonts w:hint="eastAsia"/>
        </w:rPr>
        <w:t>（一）供应商投</w:t>
      </w:r>
      <w:r>
        <w:rPr>
          <w:rFonts w:hint="eastAsia"/>
          <w:w w:val="1"/>
        </w:rPr>
        <w:t xml:space="preserve"> </w:t>
      </w:r>
      <w:r>
        <w:rPr>
          <w:rFonts w:hint="eastAsia"/>
        </w:rPr>
        <w:t>标流程</w:t>
      </w:r>
    </w:p>
    <w:p>
      <w:pPr>
        <w:widowControl w:val="0"/>
        <w:topLinePunct/>
        <w:ind w:firstLine="480" w:firstLineChars="200"/>
        <w:jc w:val="both"/>
      </w:pPr>
      <w:r>
        <w:rPr>
          <w:rFonts w:cstheme="minorHAnsi"/>
        </w:rPr>
        <w:t>1</w:t>
      </w:r>
      <w:r>
        <w:rPr>
          <w:rFonts w:hint="eastAsia" w:cstheme="minorHAnsi"/>
        </w:rPr>
        <w:t>．</w:t>
      </w:r>
      <w:r>
        <w:rPr>
          <w:rFonts w:cstheme="minorHAnsi"/>
          <w:color w:val="C00000"/>
        </w:rPr>
        <w:t>办理注册登记</w:t>
      </w:r>
      <w:r>
        <w:rPr>
          <w:rFonts w:cstheme="minorHAnsi"/>
        </w:rPr>
        <w:t>（针对初次使用电子化政府采购系统的用户）：</w:t>
      </w:r>
      <w:r>
        <w:rPr>
          <w:rFonts w:hint="eastAsia" w:cstheme="minorHAnsi"/>
        </w:rPr>
        <w:t>供应商</w:t>
      </w:r>
      <w:r>
        <w:rPr>
          <w:rFonts w:cstheme="minorHAnsi"/>
        </w:rPr>
        <w:t>应完成</w:t>
      </w:r>
      <w:r>
        <w:rPr>
          <w:rFonts w:hint="eastAsia"/>
        </w:rPr>
        <w:t>诚信入库登记、CA认证和企业信息绑定。详见西安市公共资源交易平台〖首页</w:t>
      </w:r>
      <w:r>
        <w:t>·</w:t>
      </w:r>
      <w:r>
        <w:rPr>
          <w:rFonts w:hint="eastAsia"/>
        </w:rPr>
        <w:t>〉服务指南</w:t>
      </w:r>
      <w:r>
        <w:t>·</w:t>
      </w:r>
      <w:r>
        <w:rPr>
          <w:rFonts w:hint="eastAsia"/>
        </w:rPr>
        <w:t>〉下载专区〗中的《西安市市级单位电子化政府采购项目投</w:t>
      </w:r>
      <w:r>
        <w:rPr>
          <w:rFonts w:hint="eastAsia"/>
          <w:w w:val="1"/>
        </w:rPr>
        <w:t xml:space="preserve"> </w:t>
      </w:r>
      <w:r>
        <w:rPr>
          <w:rFonts w:hint="eastAsia"/>
        </w:rPr>
        <w:t>标指南》。</w:t>
      </w:r>
    </w:p>
    <w:p>
      <w:pPr>
        <w:widowControl w:val="0"/>
        <w:ind w:firstLine="480" w:firstLineChars="200"/>
        <w:jc w:val="both"/>
        <w:rPr>
          <w:rFonts w:cstheme="minorHAnsi"/>
          <w:color w:val="C00000"/>
        </w:rPr>
      </w:pPr>
      <w:r>
        <w:rPr>
          <w:rFonts w:cstheme="minorHAnsi"/>
        </w:rPr>
        <w:t>2</w:t>
      </w:r>
      <w:r>
        <w:rPr>
          <w:rFonts w:hint="eastAsia" w:cstheme="minorHAnsi"/>
        </w:rPr>
        <w:t>．</w:t>
      </w:r>
      <w:r>
        <w:rPr>
          <w:rFonts w:hint="eastAsia" w:cstheme="minorHAnsi"/>
          <w:color w:val="C00000"/>
        </w:rPr>
        <w:t>下载电子招标</w:t>
      </w:r>
      <w:r>
        <w:rPr>
          <w:rFonts w:cstheme="minorHAnsi"/>
          <w:color w:val="C00000"/>
        </w:rPr>
        <w:t>文件</w:t>
      </w:r>
      <w:r>
        <w:rPr>
          <w:rFonts w:cstheme="minorHAnsi"/>
        </w:rPr>
        <w:t>：供应商</w:t>
      </w:r>
      <w:r>
        <w:rPr>
          <w:rFonts w:hint="eastAsia" w:cstheme="minorHAnsi"/>
        </w:rPr>
        <w:t>应</w:t>
      </w:r>
      <w:r>
        <w:rPr>
          <w:rFonts w:cstheme="minorHAnsi"/>
        </w:rPr>
        <w:t>登录</w:t>
      </w:r>
      <w:r>
        <w:rPr>
          <w:rFonts w:hint="eastAsia"/>
        </w:rPr>
        <w:t>西安市公共资源交易平台</w:t>
      </w:r>
      <w:r>
        <w:rPr>
          <w:rFonts w:cstheme="minorHAnsi"/>
        </w:rPr>
        <w:t>〖首页·</w:t>
      </w:r>
      <w:r>
        <w:rPr>
          <w:rFonts w:eastAsiaTheme="majorEastAsia" w:cstheme="minorHAnsi"/>
        </w:rPr>
        <w:t>〉</w:t>
      </w:r>
      <w:r>
        <w:rPr>
          <w:rFonts w:cstheme="minorHAnsi"/>
        </w:rPr>
        <w:t>电子交易平台·</w:t>
      </w:r>
      <w:r>
        <w:rPr>
          <w:rFonts w:eastAsiaTheme="majorEastAsia" w:cstheme="minorHAnsi"/>
        </w:rPr>
        <w:t>〉</w:t>
      </w:r>
      <w:r>
        <w:t>陕西政府采购交易系统·〉</w:t>
      </w:r>
      <w:r>
        <w:rPr>
          <w:rFonts w:cstheme="minorHAnsi"/>
        </w:rPr>
        <w:t>企业端〗，</w:t>
      </w:r>
      <w:r>
        <w:rPr>
          <w:rFonts w:hint="eastAsia" w:cstheme="minorHAnsi"/>
        </w:rPr>
        <w:t>免费获取本项目电子招标文件（*.SXSZF），</w:t>
      </w:r>
      <w:r>
        <w:rPr>
          <w:rFonts w:hint="eastAsia"/>
        </w:rPr>
        <w:t>详见第一章「获取招标文件</w:t>
      </w:r>
      <w:r>
        <w:t>的</w:t>
      </w:r>
      <w:r>
        <w:rPr>
          <w:rFonts w:hint="eastAsia"/>
        </w:rPr>
        <w:t>时间及</w:t>
      </w:r>
      <w:r>
        <w:t>方式</w:t>
      </w:r>
      <w:r>
        <w:rPr>
          <w:rFonts w:hint="eastAsia"/>
        </w:rPr>
        <w:t>」。</w:t>
      </w:r>
      <w:r>
        <w:rPr>
          <w:rFonts w:cstheme="minorHAnsi"/>
          <w:color w:val="C00000"/>
        </w:rPr>
        <w:t>请务必在采购文件获取期限内及时下载电子</w:t>
      </w:r>
      <w:r>
        <w:rPr>
          <w:rFonts w:hint="eastAsia" w:cstheme="minorHAnsi"/>
          <w:color w:val="C00000"/>
        </w:rPr>
        <w:t>招标</w:t>
      </w:r>
      <w:r>
        <w:rPr>
          <w:rFonts w:cstheme="minorHAnsi"/>
          <w:color w:val="C00000"/>
        </w:rPr>
        <w:t>文件并做好备份，逾期无法再下载！</w:t>
      </w:r>
    </w:p>
    <w:p>
      <w:pPr>
        <w:widowControl w:val="0"/>
        <w:ind w:firstLine="480" w:firstLineChars="200"/>
        <w:jc w:val="both"/>
        <w:rPr>
          <w:rFonts w:cstheme="minorHAnsi"/>
        </w:rPr>
      </w:pPr>
      <w:r>
        <w:rPr>
          <w:rFonts w:cstheme="minorHAnsi"/>
        </w:rPr>
        <w:t>3</w:t>
      </w:r>
      <w:r>
        <w:rPr>
          <w:rFonts w:hint="eastAsia" w:cstheme="minorHAnsi"/>
        </w:rPr>
        <w:t>．</w:t>
      </w:r>
      <w:r>
        <w:rPr>
          <w:rFonts w:hint="eastAsia" w:cstheme="minorHAnsi"/>
          <w:color w:val="C00000"/>
        </w:rPr>
        <w:t>制作电子投标文件</w:t>
      </w:r>
      <w:r>
        <w:rPr>
          <w:rFonts w:cstheme="minorHAnsi"/>
        </w:rPr>
        <w:t>：详见本章「</w:t>
      </w:r>
      <w:r>
        <w:rPr>
          <w:rFonts w:hint="eastAsia" w:cstheme="minorHAnsi"/>
        </w:rPr>
        <w:t>投标文件</w:t>
      </w:r>
      <w:r>
        <w:rPr>
          <w:rFonts w:cstheme="minorHAnsi"/>
        </w:rPr>
        <w:t>」一节相关内容。</w:t>
      </w:r>
    </w:p>
    <w:p>
      <w:pPr>
        <w:widowControl w:val="0"/>
        <w:ind w:firstLine="480" w:firstLineChars="200"/>
        <w:jc w:val="both"/>
        <w:rPr>
          <w:rFonts w:cstheme="minorHAnsi"/>
        </w:rPr>
      </w:pPr>
      <w:r>
        <w:rPr>
          <w:rFonts w:cstheme="minorHAnsi"/>
        </w:rPr>
        <w:t>4</w:t>
      </w:r>
      <w:r>
        <w:rPr>
          <w:rFonts w:hint="eastAsia" w:cstheme="minorHAnsi"/>
        </w:rPr>
        <w:t>．</w:t>
      </w:r>
      <w:r>
        <w:rPr>
          <w:rFonts w:hint="eastAsia" w:cstheme="minorHAnsi"/>
          <w:color w:val="C00000"/>
        </w:rPr>
        <w:t>提交电子投标文件</w:t>
      </w:r>
      <w:r>
        <w:rPr>
          <w:rFonts w:cstheme="minorHAnsi"/>
        </w:rPr>
        <w:t>：详见本章「</w:t>
      </w:r>
      <w:r>
        <w:rPr>
          <w:rFonts w:hint="eastAsia" w:cstheme="minorHAnsi"/>
        </w:rPr>
        <w:t>投标文件</w:t>
      </w:r>
      <w:r>
        <w:rPr>
          <w:rFonts w:cstheme="minorHAnsi"/>
        </w:rPr>
        <w:t>」一节相关内容。</w:t>
      </w:r>
    </w:p>
    <w:p>
      <w:pPr>
        <w:widowControl w:val="0"/>
        <w:ind w:firstLine="480" w:firstLineChars="200"/>
        <w:jc w:val="both"/>
        <w:rPr>
          <w:rFonts w:cstheme="minorHAnsi"/>
        </w:rPr>
      </w:pPr>
      <w:r>
        <w:rPr>
          <w:rFonts w:cstheme="minorHAnsi"/>
        </w:rPr>
        <w:t>5</w:t>
      </w:r>
      <w:r>
        <w:rPr>
          <w:rFonts w:hint="eastAsia" w:cstheme="minorHAnsi"/>
        </w:rPr>
        <w:t>．</w:t>
      </w:r>
      <w:r>
        <w:rPr>
          <w:rFonts w:cstheme="minorHAnsi"/>
          <w:color w:val="C00000"/>
        </w:rPr>
        <w:t>在线</w:t>
      </w:r>
      <w:r>
        <w:rPr>
          <w:rFonts w:hint="eastAsia" w:cstheme="minorHAnsi"/>
          <w:color w:val="C00000"/>
        </w:rPr>
        <w:t>参加</w:t>
      </w:r>
      <w:r>
        <w:rPr>
          <w:rFonts w:cstheme="minorHAnsi"/>
          <w:color w:val="C00000"/>
        </w:rPr>
        <w:t>开标</w:t>
      </w:r>
      <w:r>
        <w:rPr>
          <w:rFonts w:hint="eastAsia" w:cstheme="minorHAnsi"/>
          <w:color w:val="C00000"/>
        </w:rPr>
        <w:t>大会</w:t>
      </w:r>
      <w:r>
        <w:rPr>
          <w:rFonts w:cstheme="minorHAnsi"/>
        </w:rPr>
        <w:t>：详见本章「</w:t>
      </w:r>
      <w:r>
        <w:rPr>
          <w:rFonts w:hint="eastAsia" w:cstheme="minorHAnsi"/>
        </w:rPr>
        <w:t>开标程序</w:t>
      </w:r>
      <w:r>
        <w:rPr>
          <w:rFonts w:cstheme="minorHAnsi"/>
        </w:rPr>
        <w:t>」一节相关内容。</w:t>
      </w:r>
    </w:p>
    <w:p>
      <w:pPr>
        <w:widowControl w:val="0"/>
        <w:ind w:firstLine="480" w:firstLineChars="200"/>
        <w:jc w:val="both"/>
        <w:rPr>
          <w:rFonts w:cstheme="minorHAnsi"/>
        </w:rPr>
      </w:pPr>
      <w:r>
        <w:rPr>
          <w:rFonts w:cstheme="minorHAnsi"/>
        </w:rPr>
        <w:t>6</w:t>
      </w:r>
      <w:r>
        <w:rPr>
          <w:rFonts w:hint="eastAsia" w:cstheme="minorHAnsi"/>
        </w:rPr>
        <w:t>．</w:t>
      </w:r>
      <w:r>
        <w:rPr>
          <w:rFonts w:cstheme="minorHAnsi"/>
          <w:color w:val="C00000"/>
        </w:rPr>
        <w:t>等待专家评审</w:t>
      </w:r>
      <w:r>
        <w:rPr>
          <w:rFonts w:hint="eastAsia" w:cstheme="minorHAnsi"/>
        </w:rPr>
        <w:t>：</w:t>
      </w:r>
      <w:r>
        <w:rPr>
          <w:rFonts w:cstheme="minorHAnsi"/>
        </w:rPr>
        <w:t>详见本章「</w:t>
      </w:r>
      <w:r>
        <w:rPr>
          <w:rFonts w:hint="eastAsia" w:cstheme="minorHAnsi"/>
        </w:rPr>
        <w:t>开标程序</w:t>
      </w:r>
      <w:r>
        <w:rPr>
          <w:rFonts w:cstheme="minorHAnsi"/>
        </w:rPr>
        <w:t>」一节相关内容。</w:t>
      </w:r>
    </w:p>
    <w:p>
      <w:pPr>
        <w:widowControl w:val="0"/>
        <w:ind w:firstLine="480" w:firstLineChars="200"/>
        <w:jc w:val="both"/>
        <w:rPr>
          <w:rFonts w:cstheme="minorHAnsi"/>
        </w:rPr>
      </w:pPr>
      <w:r>
        <w:rPr>
          <w:rFonts w:cstheme="minorHAnsi"/>
        </w:rPr>
        <w:t>7</w:t>
      </w:r>
      <w:r>
        <w:rPr>
          <w:rFonts w:hint="eastAsia" w:cstheme="minorHAnsi"/>
        </w:rPr>
        <w:t>．</w:t>
      </w:r>
      <w:r>
        <w:rPr>
          <w:rFonts w:hint="eastAsia" w:cstheme="minorHAnsi"/>
          <w:color w:val="C00000"/>
        </w:rPr>
        <w:t>中</w:t>
      </w:r>
      <w:r>
        <w:rPr>
          <w:rFonts w:hint="eastAsia" w:cstheme="minorHAnsi"/>
          <w:color w:val="C00000"/>
          <w:w w:val="1"/>
        </w:rPr>
        <w:t>　</w:t>
      </w:r>
      <w:r>
        <w:rPr>
          <w:rFonts w:hint="eastAsia" w:cstheme="minorHAnsi"/>
          <w:color w:val="C00000"/>
        </w:rPr>
        <w:t>标（成</w:t>
      </w:r>
      <w:r>
        <w:rPr>
          <w:rFonts w:hint="eastAsia" w:cstheme="minorHAnsi"/>
          <w:color w:val="C00000"/>
          <w:w w:val="1"/>
        </w:rPr>
        <w:t>　</w:t>
      </w:r>
      <w:r>
        <w:rPr>
          <w:rFonts w:hint="eastAsia" w:cstheme="minorHAnsi"/>
          <w:color w:val="C00000"/>
        </w:rPr>
        <w:t>交）</w:t>
      </w:r>
      <w:r>
        <w:rPr>
          <w:rFonts w:cstheme="minorHAnsi"/>
          <w:color w:val="C00000"/>
        </w:rPr>
        <w:t>供应商注册</w:t>
      </w:r>
      <w:r>
        <w:rPr>
          <w:rFonts w:cstheme="minorHAnsi"/>
        </w:rPr>
        <w:t>：按照陕西省政府采购监管部门的要求，采购代理机构在发布</w:t>
      </w:r>
      <w:r>
        <w:rPr>
          <w:rFonts w:hint="eastAsia" w:cstheme="minorHAnsi"/>
        </w:rPr>
        <w:t>中</w:t>
      </w:r>
      <w:r>
        <w:rPr>
          <w:rFonts w:hint="eastAsia" w:cstheme="minorHAnsi"/>
          <w:w w:val="1"/>
        </w:rPr>
        <w:t>　</w:t>
      </w:r>
      <w:r>
        <w:rPr>
          <w:rFonts w:hint="eastAsia" w:cstheme="minorHAnsi"/>
        </w:rPr>
        <w:t>标（成</w:t>
      </w:r>
      <w:r>
        <w:rPr>
          <w:rFonts w:hint="eastAsia" w:cstheme="minorHAnsi"/>
          <w:w w:val="1"/>
        </w:rPr>
        <w:t>　</w:t>
      </w:r>
      <w:r>
        <w:rPr>
          <w:rFonts w:hint="eastAsia" w:cstheme="minorHAnsi"/>
        </w:rPr>
        <w:t>交）</w:t>
      </w:r>
      <w:r>
        <w:rPr>
          <w:rFonts w:cstheme="minorHAnsi"/>
        </w:rPr>
        <w:t>公告前，</w:t>
      </w:r>
      <w:r>
        <w:rPr>
          <w:rFonts w:hint="eastAsia" w:cstheme="minorHAnsi"/>
        </w:rPr>
        <w:t>中</w:t>
      </w:r>
      <w:r>
        <w:rPr>
          <w:rFonts w:hint="eastAsia" w:cstheme="minorHAnsi"/>
          <w:w w:val="1"/>
        </w:rPr>
        <w:t>　</w:t>
      </w:r>
      <w:r>
        <w:rPr>
          <w:rFonts w:hint="eastAsia" w:cstheme="minorHAnsi"/>
        </w:rPr>
        <w:t>标（成</w:t>
      </w:r>
      <w:r>
        <w:rPr>
          <w:rFonts w:hint="eastAsia" w:cstheme="minorHAnsi"/>
          <w:w w:val="1"/>
        </w:rPr>
        <w:t>　</w:t>
      </w:r>
      <w:r>
        <w:rPr>
          <w:rFonts w:hint="eastAsia" w:cstheme="minorHAnsi"/>
        </w:rPr>
        <w:t>交）</w:t>
      </w:r>
      <w:r>
        <w:rPr>
          <w:rFonts w:cstheme="minorHAnsi"/>
        </w:rPr>
        <w:t>供应商还应预先在陕西省政府采购网上完成注册。</w:t>
      </w:r>
    </w:p>
    <w:p>
      <w:pPr>
        <w:pStyle w:val="4"/>
        <w:ind w:firstLine="482"/>
        <w:jc w:val="both"/>
      </w:pPr>
      <w:r>
        <w:t>（</w:t>
      </w:r>
      <w:r>
        <w:rPr>
          <w:rFonts w:hint="eastAsia"/>
        </w:rPr>
        <w:t>二</w:t>
      </w:r>
      <w:r>
        <w:t>）</w:t>
      </w:r>
      <w:r>
        <w:rPr>
          <w:rFonts w:hint="eastAsia"/>
        </w:rPr>
        <w:t>关于</w:t>
      </w:r>
      <w:r>
        <w:t>询问</w:t>
      </w:r>
      <w:r>
        <w:rPr>
          <w:rFonts w:hint="eastAsia"/>
        </w:rPr>
        <w:t>、质疑和投诉</w:t>
      </w:r>
    </w:p>
    <w:p>
      <w:pPr>
        <w:ind w:firstLine="480" w:firstLineChars="200"/>
        <w:jc w:val="both"/>
        <w:rPr>
          <w:rFonts w:eastAsiaTheme="majorEastAsia" w:cstheme="minorHAnsi"/>
          <w:b/>
        </w:rPr>
      </w:pPr>
      <w:r>
        <w:rPr>
          <w:rFonts w:hint="eastAsia" w:eastAsiaTheme="majorEastAsia" w:cstheme="minorHAnsi"/>
          <w:b/>
        </w:rPr>
        <w:t>1</w:t>
      </w:r>
      <w:r>
        <w:rPr>
          <w:rFonts w:hint="eastAsia" w:cstheme="minorHAnsi"/>
        </w:rPr>
        <w:t>．</w:t>
      </w:r>
      <w:r>
        <w:rPr>
          <w:rFonts w:hint="eastAsia" w:eastAsiaTheme="majorEastAsia" w:cstheme="minorHAnsi"/>
          <w:b/>
        </w:rPr>
        <w:t>询问</w:t>
      </w:r>
    </w:p>
    <w:p>
      <w:pPr>
        <w:ind w:firstLine="480" w:firstLineChars="200"/>
        <w:jc w:val="both"/>
        <w:rPr>
          <w:rFonts w:cstheme="minorHAnsi"/>
        </w:rPr>
      </w:pPr>
      <w:r>
        <w:rPr>
          <w:rFonts w:cstheme="minorHAnsi"/>
        </w:rPr>
        <w:t>供应商对政府采购活动事项有疑问的，可以向</w:t>
      </w:r>
      <w:r>
        <w:rPr>
          <w:rFonts w:hint="eastAsia" w:cstheme="minorHAnsi"/>
        </w:rPr>
        <w:t>采购人</w:t>
      </w:r>
      <w:r>
        <w:rPr>
          <w:rFonts w:cstheme="minorHAnsi"/>
        </w:rPr>
        <w:t>或采购代理机构提出询问。采购人或采购代理机构将在3个工作日内对供应商依法提出的询问作出答复。</w:t>
      </w:r>
    </w:p>
    <w:p>
      <w:pPr>
        <w:ind w:firstLine="480" w:firstLineChars="200"/>
        <w:jc w:val="both"/>
        <w:rPr>
          <w:rFonts w:cstheme="minorHAnsi"/>
          <w:color w:val="C00000"/>
        </w:rPr>
      </w:pPr>
      <w:r>
        <w:rPr>
          <w:rFonts w:hint="eastAsia" w:cstheme="minorHAnsi"/>
        </w:rPr>
        <w:t>根据采购人和采购代理机构签订的《政府采购</w:t>
      </w:r>
      <w:r>
        <w:rPr>
          <w:rFonts w:cstheme="minorHAnsi"/>
        </w:rPr>
        <w:t>委托代理协议</w:t>
      </w:r>
      <w:r>
        <w:rPr>
          <w:rFonts w:hint="eastAsia" w:cstheme="minorHAnsi"/>
        </w:rPr>
        <w:t>》，</w:t>
      </w:r>
      <w:r>
        <w:rPr>
          <w:rFonts w:cstheme="minorHAnsi"/>
        </w:rPr>
        <w:t>针对采购需求</w:t>
      </w:r>
      <w:r>
        <w:rPr>
          <w:rFonts w:hint="eastAsia" w:cstheme="minorHAnsi"/>
        </w:rPr>
        <w:t>（包括</w:t>
      </w:r>
      <w:r>
        <w:rPr>
          <w:rFonts w:cstheme="minorHAnsi"/>
        </w:rPr>
        <w:t>采购内容、技术或服务</w:t>
      </w:r>
      <w:r>
        <w:rPr>
          <w:rFonts w:hint="eastAsia" w:cstheme="minorHAnsi"/>
        </w:rPr>
        <w:t>要求、商务</w:t>
      </w:r>
      <w:r>
        <w:rPr>
          <w:rFonts w:cstheme="minorHAnsi"/>
        </w:rPr>
        <w:t>要求</w:t>
      </w:r>
      <w:r>
        <w:rPr>
          <w:rFonts w:hint="eastAsia" w:cstheme="minorHAnsi"/>
        </w:rPr>
        <w:t>、合同条款、供应商资格</w:t>
      </w:r>
      <w:r>
        <w:rPr>
          <w:rFonts w:cstheme="minorHAnsi"/>
        </w:rPr>
        <w:t>条件</w:t>
      </w:r>
      <w:r>
        <w:rPr>
          <w:rFonts w:hint="eastAsia" w:cstheme="minorHAnsi"/>
        </w:rPr>
        <w:t>、</w:t>
      </w:r>
      <w:r>
        <w:rPr>
          <w:rFonts w:cstheme="minorHAnsi"/>
        </w:rPr>
        <w:t>评审要素及分值一览表</w:t>
      </w:r>
      <w:r>
        <w:rPr>
          <w:rFonts w:hint="eastAsia" w:cstheme="minorHAnsi"/>
        </w:rPr>
        <w:t>）</w:t>
      </w:r>
      <w:r>
        <w:rPr>
          <w:rFonts w:cstheme="minorHAnsi"/>
        </w:rPr>
        <w:t>的询问请向采购人提出。</w:t>
      </w:r>
    </w:p>
    <w:p>
      <w:pPr>
        <w:ind w:firstLine="480" w:firstLineChars="200"/>
        <w:jc w:val="both"/>
        <w:rPr>
          <w:rFonts w:cstheme="minorHAnsi"/>
          <w:b/>
        </w:rPr>
      </w:pPr>
      <w:r>
        <w:rPr>
          <w:rFonts w:hint="eastAsia" w:cstheme="minorHAnsi"/>
          <w:b/>
        </w:rPr>
        <w:t>2</w:t>
      </w:r>
      <w:r>
        <w:rPr>
          <w:rFonts w:hint="eastAsia" w:cstheme="minorHAnsi"/>
        </w:rPr>
        <w:t>．</w:t>
      </w:r>
      <w:r>
        <w:rPr>
          <w:rFonts w:hint="eastAsia" w:cstheme="minorHAnsi"/>
          <w:b/>
        </w:rPr>
        <w:t>质疑</w:t>
      </w:r>
    </w:p>
    <w:p>
      <w:pPr>
        <w:ind w:firstLine="480" w:firstLineChars="200"/>
        <w:jc w:val="both"/>
      </w:pPr>
      <w:r>
        <w:t>（</w:t>
      </w:r>
      <w:r>
        <w:rPr>
          <w:rFonts w:hint="eastAsia"/>
        </w:rPr>
        <w:t>1</w:t>
      </w:r>
      <w:r>
        <w:t>）供应商认为</w:t>
      </w:r>
      <w:r>
        <w:rPr>
          <w:color w:val="C00000"/>
        </w:rPr>
        <w:t>采购文件、采购过程、</w:t>
      </w:r>
      <w:r>
        <w:rPr>
          <w:rFonts w:hint="eastAsia" w:cstheme="minorHAnsi"/>
          <w:color w:val="C00000"/>
        </w:rPr>
        <w:t>中</w:t>
      </w:r>
      <w:r>
        <w:rPr>
          <w:rFonts w:hint="eastAsia" w:cstheme="minorHAnsi"/>
          <w:color w:val="C00000"/>
          <w:w w:val="1"/>
        </w:rPr>
        <w:t>　</w:t>
      </w:r>
      <w:r>
        <w:rPr>
          <w:rFonts w:hint="eastAsia" w:cstheme="minorHAnsi"/>
          <w:color w:val="C00000"/>
        </w:rPr>
        <w:t>标（成</w:t>
      </w:r>
      <w:r>
        <w:rPr>
          <w:rFonts w:hint="eastAsia" w:cstheme="minorHAnsi"/>
          <w:color w:val="C00000"/>
          <w:w w:val="1"/>
        </w:rPr>
        <w:t>　</w:t>
      </w:r>
      <w:r>
        <w:rPr>
          <w:rFonts w:hint="eastAsia" w:cstheme="minorHAnsi"/>
          <w:color w:val="C00000"/>
        </w:rPr>
        <w:t>交）</w:t>
      </w:r>
      <w:r>
        <w:rPr>
          <w:color w:val="C00000"/>
        </w:rPr>
        <w:t>结果</w:t>
      </w:r>
      <w:r>
        <w:t>使自己的权益受到损害的，可以在知道或应知其权益受到损害之日起7个工作日内以</w:t>
      </w:r>
      <w:r>
        <w:rPr>
          <w:color w:val="C00000"/>
        </w:rPr>
        <w:t>书面形式</w:t>
      </w:r>
      <w:r>
        <w:t>向采购人、采购代理机构提出。</w:t>
      </w:r>
    </w:p>
    <w:p>
      <w:pPr>
        <w:ind w:firstLine="480" w:firstLineChars="200"/>
        <w:jc w:val="both"/>
      </w:pPr>
      <w:r>
        <w:rPr>
          <w:rFonts w:hint="eastAsia"/>
        </w:rPr>
        <w:t>采购文件由供应商到采购人、采购代理机构指定的地点领取的，领取之日为“应知其权益受到损害之日”；</w:t>
      </w:r>
      <w:r>
        <w:rPr>
          <w:rFonts w:hint="eastAsia"/>
          <w:color w:val="C00000"/>
        </w:rPr>
        <w:t>采购文件以网上公告方式发出，并由潜在供应商自行下载的，质疑时效期间的起算日期为采购文件公告期限届满之日。</w:t>
      </w:r>
    </w:p>
    <w:p>
      <w:pPr>
        <w:ind w:firstLine="480" w:firstLineChars="200"/>
        <w:jc w:val="both"/>
      </w:pPr>
      <w:r>
        <w:t>（2）质疑方式：</w:t>
      </w:r>
    </w:p>
    <w:p>
      <w:pPr>
        <w:ind w:firstLine="480" w:firstLineChars="200"/>
        <w:jc w:val="both"/>
        <w:rPr>
          <w:rFonts w:asciiTheme="minorEastAsia" w:hAnsiTheme="minorEastAsia"/>
        </w:rPr>
      </w:pPr>
      <w:r>
        <w:rPr>
          <w:rFonts w:asciiTheme="minorEastAsia" w:hAnsiTheme="minorEastAsia"/>
        </w:rPr>
        <w:t>① 在线质疑：</w:t>
      </w:r>
    </w:p>
    <w:p>
      <w:pPr>
        <w:ind w:firstLine="480" w:firstLineChars="200"/>
        <w:jc w:val="both"/>
      </w:pPr>
      <w:r>
        <w:rPr>
          <w:rFonts w:hint="eastAsia"/>
        </w:rPr>
        <w:t>登录西安市公共资源交易平台〖首页</w:t>
      </w:r>
      <w:r>
        <w:t>·</w:t>
      </w:r>
      <w:r>
        <w:rPr>
          <w:rFonts w:hint="eastAsia"/>
        </w:rPr>
        <w:t>〉电子交易平台</w:t>
      </w:r>
      <w:r>
        <w:t>·</w:t>
      </w:r>
      <w:r>
        <w:rPr>
          <w:rFonts w:hint="eastAsia"/>
        </w:rPr>
        <w:t>〉企业端〗，在〖我的项目〗中点击“项目流程</w:t>
      </w:r>
      <w:r>
        <w:t>·</w:t>
      </w:r>
      <w:r>
        <w:rPr>
          <w:rFonts w:hint="eastAsia"/>
        </w:rPr>
        <w:t>〉提出质疑”，填写表单并提交质疑。</w:t>
      </w:r>
    </w:p>
    <w:p>
      <w:pPr>
        <w:ind w:firstLine="480" w:firstLineChars="200"/>
        <w:jc w:val="both"/>
        <w:rPr>
          <w:rFonts w:asciiTheme="minorEastAsia" w:hAnsiTheme="minorEastAsia"/>
        </w:rPr>
      </w:pPr>
      <w:r>
        <w:rPr>
          <w:rFonts w:asciiTheme="minorEastAsia" w:hAnsiTheme="minorEastAsia"/>
        </w:rPr>
        <w:t>② 书面质疑：</w:t>
      </w:r>
    </w:p>
    <w:p>
      <w:pPr>
        <w:ind w:firstLine="480" w:firstLineChars="200"/>
        <w:jc w:val="both"/>
      </w:pPr>
      <w:r>
        <w:t>书面质疑函应</w:t>
      </w:r>
      <w:r>
        <w:rPr>
          <w:rFonts w:hint="eastAsia"/>
        </w:rPr>
        <w:t>按照财政部国库司制定的《政府采购供</w:t>
      </w:r>
      <w:r>
        <w:rPr>
          <w:rFonts w:hint="eastAsia"/>
          <w:w w:val="1"/>
        </w:rPr>
        <w:t xml:space="preserve"> </w:t>
      </w:r>
      <w:r>
        <w:rPr>
          <w:rFonts w:hint="eastAsia"/>
        </w:rPr>
        <w:t>应</w:t>
      </w:r>
      <w:r>
        <w:rPr>
          <w:rFonts w:hint="eastAsia"/>
          <w:w w:val="1"/>
        </w:rPr>
        <w:t xml:space="preserve"> </w:t>
      </w:r>
      <w:r>
        <w:rPr>
          <w:rFonts w:hint="eastAsia"/>
        </w:rPr>
        <w:t>商质疑函范本》进行填写，签字、盖章后提交至采购人、采购代理机构。</w:t>
      </w:r>
    </w:p>
    <w:p>
      <w:pPr>
        <w:wordWrap w:val="0"/>
        <w:ind w:firstLine="480" w:firstLineChars="200"/>
        <w:jc w:val="both"/>
      </w:pPr>
      <w:r>
        <w:rPr>
          <w:rFonts w:hint="eastAsia"/>
        </w:rPr>
        <w:t>质疑函范本下载地址：</w:t>
      </w:r>
      <w:r>
        <w:fldChar w:fldCharType="begin"/>
      </w:r>
      <w:r>
        <w:instrText xml:space="preserve"> HYPERLINK "http://download.ccgp.gov.cn/2018/zhiyihanfanben.zip" </w:instrText>
      </w:r>
      <w:r>
        <w:fldChar w:fldCharType="separate"/>
      </w:r>
      <w:r>
        <w:rPr>
          <w:rStyle w:val="31"/>
        </w:rPr>
        <w:t>http://download.ccgp.gov.cn/2018/zhiyihanfanben.zip</w:t>
      </w:r>
      <w:r>
        <w:rPr>
          <w:rStyle w:val="31"/>
        </w:rPr>
        <w:fldChar w:fldCharType="end"/>
      </w:r>
    </w:p>
    <w:p>
      <w:pPr>
        <w:ind w:firstLine="480" w:firstLineChars="200"/>
        <w:jc w:val="both"/>
        <w:rPr>
          <w:rFonts w:cstheme="minorHAnsi"/>
        </w:rPr>
      </w:pPr>
      <w:r>
        <w:rPr>
          <w:rFonts w:hint="eastAsia" w:cstheme="minorHAnsi"/>
        </w:rPr>
        <w:t>（3）供应商为自然人的，应当由本人签字；供应商为法人或者其他组织的，应当由法定代表人（负责人），或者其授权代表签字或者盖章，并加盖单位公章，公章不得以合同章或其他印章代替。供应商委托授权代表提出质疑的，应当同时提交供应商签署的委托授权书。</w:t>
      </w:r>
    </w:p>
    <w:p>
      <w:pPr>
        <w:ind w:firstLine="480" w:firstLineChars="200"/>
        <w:jc w:val="both"/>
        <w:rPr>
          <w:rFonts w:cstheme="minorHAnsi"/>
        </w:rPr>
      </w:pPr>
      <w:r>
        <w:rPr>
          <w:rFonts w:hint="eastAsia" w:cstheme="minorHAnsi"/>
        </w:rPr>
        <w:t>（</w:t>
      </w:r>
      <w:r>
        <w:rPr>
          <w:rFonts w:cstheme="minorHAnsi"/>
        </w:rPr>
        <w:t>4</w:t>
      </w:r>
      <w:r>
        <w:rPr>
          <w:rFonts w:hint="eastAsia" w:cstheme="minorHAnsi"/>
        </w:rPr>
        <w:t>）在法定质疑期内，针对同一采购程序环节的质疑应当一次性提出。采购人、采购代理机构将在收到书面质疑后</w:t>
      </w:r>
      <w:r>
        <w:rPr>
          <w:rFonts w:cstheme="minorHAnsi"/>
        </w:rPr>
        <w:t>7个工作日内做出答复，并以书面形式通知质疑人和其他有关供应商。</w:t>
      </w:r>
    </w:p>
    <w:p>
      <w:pPr>
        <w:ind w:firstLine="480" w:firstLineChars="200"/>
        <w:jc w:val="both"/>
        <w:rPr>
          <w:rFonts w:cstheme="minorHAnsi"/>
          <w:color w:val="C00000"/>
        </w:rPr>
      </w:pPr>
      <w:r>
        <w:rPr>
          <w:rFonts w:cstheme="minorHAnsi"/>
          <w:color w:val="C00000"/>
        </w:rPr>
        <w:t>（</w:t>
      </w:r>
      <w:r>
        <w:rPr>
          <w:rFonts w:hint="eastAsia" w:cstheme="minorHAnsi"/>
          <w:color w:val="C00000"/>
        </w:rPr>
        <w:t>5</w:t>
      </w:r>
      <w:r>
        <w:rPr>
          <w:rFonts w:cstheme="minorHAnsi"/>
          <w:color w:val="C00000"/>
        </w:rPr>
        <w:t>）有下列情形之一的，属于无效质疑：</w:t>
      </w:r>
    </w:p>
    <w:p>
      <w:pPr>
        <w:ind w:firstLine="480" w:firstLineChars="200"/>
        <w:jc w:val="both"/>
        <w:rPr>
          <w:rFonts w:cstheme="minorHAnsi"/>
        </w:rPr>
      </w:pPr>
      <w:r>
        <w:rPr>
          <w:rFonts w:hint="eastAsia" w:cstheme="minorHAnsi"/>
        </w:rPr>
        <w:t xml:space="preserve">① </w:t>
      </w:r>
      <w:r>
        <w:rPr>
          <w:rFonts w:cstheme="minorHAnsi"/>
        </w:rPr>
        <w:t>对采购文件提出质疑的质疑人不是依法获取采购文件的潜在供应商；对采购过程、</w:t>
      </w:r>
      <w:r>
        <w:rPr>
          <w:rFonts w:hint="eastAsia" w:cstheme="minorHAnsi"/>
        </w:rPr>
        <w:t>中</w:t>
      </w:r>
      <w:r>
        <w:rPr>
          <w:rFonts w:hint="eastAsia" w:cstheme="minorHAnsi"/>
          <w:w w:val="1"/>
        </w:rPr>
        <w:t>　</w:t>
      </w:r>
      <w:r>
        <w:rPr>
          <w:rFonts w:hint="eastAsia" w:cstheme="minorHAnsi"/>
        </w:rPr>
        <w:t>标（成</w:t>
      </w:r>
      <w:r>
        <w:rPr>
          <w:rFonts w:hint="eastAsia" w:cstheme="minorHAnsi"/>
          <w:w w:val="1"/>
        </w:rPr>
        <w:t>　</w:t>
      </w:r>
      <w:r>
        <w:rPr>
          <w:rFonts w:hint="eastAsia" w:cstheme="minorHAnsi"/>
        </w:rPr>
        <w:t>交）</w:t>
      </w:r>
      <w:r>
        <w:rPr>
          <w:rFonts w:cstheme="minorHAnsi"/>
        </w:rPr>
        <w:t>结果提出质疑的质疑人不是参与本次政府采购项目的供应商；</w:t>
      </w:r>
    </w:p>
    <w:p>
      <w:pPr>
        <w:ind w:firstLine="480" w:firstLineChars="200"/>
        <w:jc w:val="both"/>
        <w:rPr>
          <w:rFonts w:cstheme="minorHAnsi"/>
        </w:rPr>
      </w:pPr>
      <w:r>
        <w:rPr>
          <w:rFonts w:hint="eastAsia" w:cstheme="minorHAnsi"/>
        </w:rPr>
        <w:t xml:space="preserve">② </w:t>
      </w:r>
      <w:r>
        <w:rPr>
          <w:rFonts w:cstheme="minorHAnsi"/>
        </w:rPr>
        <w:t>超过法定期限或未以书面形式提出的；</w:t>
      </w:r>
    </w:p>
    <w:p>
      <w:pPr>
        <w:ind w:firstLine="480" w:firstLineChars="200"/>
        <w:jc w:val="both"/>
        <w:rPr>
          <w:rFonts w:cstheme="minorHAnsi"/>
        </w:rPr>
      </w:pPr>
      <w:r>
        <w:rPr>
          <w:rFonts w:hint="eastAsia" w:cstheme="minorHAnsi"/>
        </w:rPr>
        <w:t xml:space="preserve">③ </w:t>
      </w:r>
      <w:r>
        <w:rPr>
          <w:rFonts w:cstheme="minorHAnsi"/>
        </w:rPr>
        <w:t>缺乏必要的证明材料，或捏造事实、提供虚假材料，或以非法手段取得证明材料的；</w:t>
      </w:r>
    </w:p>
    <w:p>
      <w:pPr>
        <w:ind w:firstLine="480" w:firstLineChars="200"/>
        <w:jc w:val="both"/>
        <w:rPr>
          <w:rFonts w:cstheme="minorHAnsi"/>
        </w:rPr>
      </w:pPr>
      <w:r>
        <w:rPr>
          <w:rFonts w:hint="eastAsia" w:cstheme="minorHAnsi"/>
        </w:rPr>
        <w:t xml:space="preserve">④ </w:t>
      </w:r>
      <w:r>
        <w:rPr>
          <w:rFonts w:cstheme="minorHAnsi"/>
        </w:rPr>
        <w:t>质疑函没有合法有效的签字、盖章或委托授权书的（委托</w:t>
      </w:r>
      <w:r>
        <w:rPr>
          <w:rFonts w:hint="eastAsia" w:cstheme="minorHAnsi"/>
        </w:rPr>
        <w:t>授权代表</w:t>
      </w:r>
      <w:r>
        <w:rPr>
          <w:rFonts w:cstheme="minorHAnsi"/>
        </w:rPr>
        <w:t>提出质疑和投诉，应当提交供应商签署的委托授权书）；</w:t>
      </w:r>
    </w:p>
    <w:p>
      <w:pPr>
        <w:ind w:firstLine="480" w:firstLineChars="200"/>
        <w:jc w:val="both"/>
        <w:rPr>
          <w:rFonts w:cstheme="minorHAnsi"/>
        </w:rPr>
      </w:pPr>
      <w:r>
        <w:rPr>
          <w:rFonts w:hint="eastAsia" w:cstheme="minorHAnsi"/>
        </w:rPr>
        <w:t xml:space="preserve">⑤ </w:t>
      </w:r>
      <w:r>
        <w:rPr>
          <w:rFonts w:cstheme="minorHAnsi"/>
        </w:rPr>
        <w:t>针对同一采购程序环节又提出其他质疑事项的，或质疑答复后就同一事项再次提出质疑的；</w:t>
      </w:r>
    </w:p>
    <w:p>
      <w:pPr>
        <w:ind w:firstLine="480" w:firstLineChars="200"/>
        <w:jc w:val="both"/>
        <w:rPr>
          <w:rFonts w:cstheme="minorHAnsi"/>
        </w:rPr>
      </w:pPr>
      <w:r>
        <w:rPr>
          <w:rFonts w:hint="eastAsia" w:cstheme="minorHAnsi"/>
        </w:rPr>
        <w:t xml:space="preserve">⑥ </w:t>
      </w:r>
      <w:r>
        <w:rPr>
          <w:rFonts w:cstheme="minorHAnsi"/>
        </w:rPr>
        <w:t>不符合法律、法规、规章和政府采购监管机构规定的其他条件的。</w:t>
      </w:r>
    </w:p>
    <w:p>
      <w:pPr>
        <w:ind w:firstLine="480" w:firstLineChars="200"/>
        <w:jc w:val="both"/>
        <w:rPr>
          <w:rFonts w:cstheme="minorHAnsi"/>
          <w:b/>
        </w:rPr>
      </w:pPr>
      <w:r>
        <w:rPr>
          <w:rFonts w:cstheme="minorHAnsi"/>
          <w:b/>
        </w:rPr>
        <w:t>3</w:t>
      </w:r>
      <w:r>
        <w:rPr>
          <w:rFonts w:hint="eastAsia" w:cstheme="minorHAnsi"/>
        </w:rPr>
        <w:t>．</w:t>
      </w:r>
      <w:r>
        <w:rPr>
          <w:rFonts w:cstheme="minorHAnsi"/>
          <w:b/>
        </w:rPr>
        <w:t>投诉</w:t>
      </w:r>
    </w:p>
    <w:p>
      <w:pPr>
        <w:ind w:firstLine="480" w:firstLineChars="200"/>
        <w:jc w:val="both"/>
        <w:rPr>
          <w:rFonts w:cstheme="minorHAnsi"/>
        </w:rPr>
      </w:pPr>
      <w:r>
        <w:rPr>
          <w:rFonts w:cstheme="minorHAnsi"/>
        </w:rPr>
        <w:t>（</w:t>
      </w:r>
      <w:r>
        <w:rPr>
          <w:rFonts w:hint="eastAsia" w:cstheme="minorHAnsi"/>
        </w:rPr>
        <w:t>1</w:t>
      </w:r>
      <w:r>
        <w:rPr>
          <w:rFonts w:cstheme="minorHAnsi"/>
        </w:rPr>
        <w:t>）质疑供应商对采购人、采购代理机构的答复不满意，或者采购人、采购代理机构未在规定的时间内做出答复的，可以在答复期满后15个工作日内按照《政府采购质疑和投诉办法》（财政部94号令）相关规定向同级</w:t>
      </w:r>
      <w:r>
        <w:rPr>
          <w:rFonts w:hint="eastAsia" w:cstheme="minorHAnsi"/>
        </w:rPr>
        <w:t>政府采购</w:t>
      </w:r>
      <w:r>
        <w:rPr>
          <w:rFonts w:cstheme="minorHAnsi"/>
        </w:rPr>
        <w:t>监管</w:t>
      </w:r>
      <w:r>
        <w:rPr>
          <w:rFonts w:hint="eastAsia" w:cstheme="minorHAnsi"/>
        </w:rPr>
        <w:t>部门</w:t>
      </w:r>
      <w:r>
        <w:rPr>
          <w:rFonts w:cstheme="minorHAnsi"/>
        </w:rPr>
        <w:t>提出投诉。</w:t>
      </w:r>
    </w:p>
    <w:p>
      <w:pPr>
        <w:ind w:firstLine="480" w:firstLineChars="200"/>
        <w:jc w:val="both"/>
        <w:rPr>
          <w:rFonts w:cstheme="minorHAnsi"/>
        </w:rPr>
      </w:pPr>
      <w:r>
        <w:rPr>
          <w:rFonts w:cstheme="minorHAnsi"/>
        </w:rPr>
        <w:t>（</w:t>
      </w:r>
      <w:r>
        <w:rPr>
          <w:rFonts w:hint="eastAsia" w:cstheme="minorHAnsi"/>
        </w:rPr>
        <w:t>2</w:t>
      </w:r>
      <w:r>
        <w:rPr>
          <w:rFonts w:cstheme="minorHAnsi"/>
        </w:rPr>
        <w:t>）供应商投诉的事项不得超出已质疑事项的范围。</w:t>
      </w:r>
      <w:r>
        <w:rPr>
          <w:rFonts w:hint="eastAsia" w:cstheme="minorHAnsi"/>
        </w:rPr>
        <w:t>供应商提出投诉时，应当提交投诉书和必要的证明材料，并按财政部《投诉书范本》给定的格式进行填写。</w:t>
      </w:r>
    </w:p>
    <w:p>
      <w:pPr>
        <w:ind w:firstLine="480" w:firstLineChars="200"/>
        <w:jc w:val="both"/>
        <w:rPr>
          <w:rFonts w:cstheme="minorHAnsi"/>
          <w:color w:val="0070C0"/>
        </w:rPr>
      </w:pPr>
      <w:r>
        <w:rPr>
          <w:rFonts w:hint="eastAsia" w:cstheme="minorHAnsi"/>
        </w:rPr>
        <w:t>投诉书范本</w:t>
      </w:r>
      <w:r>
        <w:rPr>
          <w:rFonts w:hint="eastAsia"/>
        </w:rPr>
        <w:t>下载</w:t>
      </w:r>
      <w:r>
        <w:rPr>
          <w:rFonts w:hint="eastAsia" w:cstheme="minorHAnsi"/>
        </w:rPr>
        <w:t>地址：</w:t>
      </w:r>
      <w:r>
        <w:fldChar w:fldCharType="begin"/>
      </w:r>
      <w:r>
        <w:instrText xml:space="preserve"> HYPERLINK "http://download.ccgp.gov.cn/2018/tousushufanben.zip" </w:instrText>
      </w:r>
      <w:r>
        <w:fldChar w:fldCharType="separate"/>
      </w:r>
      <w:r>
        <w:rPr>
          <w:rStyle w:val="31"/>
          <w:rFonts w:cstheme="minorHAnsi"/>
          <w:color w:val="0070C0"/>
        </w:rPr>
        <w:t>http://download.ccgp.gov.cn/2018/tousushufanben.zip</w:t>
      </w:r>
      <w:r>
        <w:rPr>
          <w:rStyle w:val="31"/>
          <w:rFonts w:cstheme="minorHAnsi"/>
          <w:color w:val="0070C0"/>
        </w:rPr>
        <w:fldChar w:fldCharType="end"/>
      </w:r>
    </w:p>
    <w:p>
      <w:pPr>
        <w:ind w:firstLine="480" w:firstLineChars="200"/>
        <w:jc w:val="both"/>
        <w:rPr>
          <w:rFonts w:cstheme="minorHAnsi"/>
          <w:b/>
        </w:rPr>
      </w:pPr>
      <w:r>
        <w:rPr>
          <w:rFonts w:cstheme="minorHAnsi"/>
          <w:b/>
        </w:rPr>
        <w:t>4</w:t>
      </w:r>
      <w:r>
        <w:rPr>
          <w:rFonts w:hint="eastAsia" w:cstheme="minorHAnsi"/>
        </w:rPr>
        <w:t>．</w:t>
      </w:r>
      <w:r>
        <w:rPr>
          <w:rFonts w:hint="eastAsia" w:cstheme="minorHAnsi"/>
          <w:b/>
        </w:rPr>
        <w:t>恶意</w:t>
      </w:r>
      <w:r>
        <w:rPr>
          <w:rFonts w:cstheme="minorHAnsi"/>
          <w:b/>
        </w:rPr>
        <w:t>质疑、投诉的</w:t>
      </w:r>
      <w:r>
        <w:rPr>
          <w:rFonts w:hint="eastAsia" w:cstheme="minorHAnsi"/>
          <w:b/>
        </w:rPr>
        <w:t>法律</w:t>
      </w:r>
      <w:r>
        <w:rPr>
          <w:rFonts w:cstheme="minorHAnsi"/>
          <w:b/>
        </w:rPr>
        <w:t>后果</w:t>
      </w:r>
    </w:p>
    <w:p>
      <w:pPr>
        <w:ind w:firstLine="480" w:firstLineChars="200"/>
        <w:jc w:val="both"/>
        <w:rPr>
          <w:rFonts w:cstheme="minorHAnsi"/>
        </w:rPr>
      </w:pPr>
      <w:r>
        <w:rPr>
          <w:rFonts w:hint="eastAsia" w:cstheme="minorHAnsi"/>
        </w:rPr>
        <w:t>（1）</w:t>
      </w:r>
      <w:r>
        <w:rPr>
          <w:rFonts w:cstheme="minorHAnsi"/>
        </w:rPr>
        <w:t>对捏造事实、提供虚假材料进行质疑、投诉的行为予以严肃处理：</w:t>
      </w:r>
    </w:p>
    <w:p>
      <w:pPr>
        <w:ind w:firstLine="480" w:firstLineChars="200"/>
        <w:jc w:val="both"/>
        <w:rPr>
          <w:rFonts w:cstheme="minorHAnsi"/>
        </w:rPr>
      </w:pPr>
      <w:r>
        <w:rPr>
          <w:rFonts w:hint="eastAsia" w:cstheme="minorHAnsi"/>
        </w:rPr>
        <w:t>《政府采购质疑和投诉办法》（财政部</w:t>
      </w:r>
      <w:r>
        <w:rPr>
          <w:rFonts w:cstheme="minorHAnsi"/>
        </w:rPr>
        <w:t>94号令）规定，投诉人在全国范围内十二个月内三次以上投诉查无实据的，由财政部门列入不良行为记录名单。对于捏造事实、或提供虚假材料、或以非法手段取得证明材料（证据来源的合法性存在明显疑问，投诉人无法证明其取得方式合法的，视为以非法手段取得证明材料）进行投诉的，属于虚假、恶意投诉，由财政部门列入不良行为记录名单，并禁止其一至三年内参加政府采购活动。</w:t>
      </w:r>
    </w:p>
    <w:p>
      <w:pPr>
        <w:ind w:firstLine="480" w:firstLineChars="200"/>
        <w:jc w:val="both"/>
        <w:rPr>
          <w:rFonts w:cstheme="minorHAnsi"/>
        </w:rPr>
      </w:pPr>
      <w:r>
        <w:rPr>
          <w:rFonts w:hint="eastAsia" w:cstheme="minorHAnsi"/>
        </w:rPr>
        <w:t>（2）</w:t>
      </w:r>
      <w:r>
        <w:rPr>
          <w:rFonts w:cstheme="minorHAnsi"/>
        </w:rPr>
        <w:t>对捏造事实诬告陷害他人、诽谤他人的法律适用：</w:t>
      </w:r>
    </w:p>
    <w:p>
      <w:pPr>
        <w:ind w:firstLine="480" w:firstLineChars="200"/>
        <w:jc w:val="both"/>
        <w:rPr>
          <w:rFonts w:cstheme="minorHAnsi"/>
        </w:rPr>
      </w:pPr>
      <w:r>
        <w:rPr>
          <w:rFonts w:hint="eastAsia" w:cstheme="minorHAnsi"/>
        </w:rPr>
        <w:t>《中华人民共和国刑法》第</w:t>
      </w:r>
      <w:r>
        <w:rPr>
          <w:rFonts w:cstheme="minorHAnsi"/>
        </w:rPr>
        <w:t>243条【诬告陷害罪】捏造事实诬告陷害他人，意图使他人受刑事追究，情节严重的，处三年以下有期徒刑、拘役或者管制；造成严重后果的，处三年以上十年以下有期徒刑。</w:t>
      </w:r>
    </w:p>
    <w:p>
      <w:pPr>
        <w:ind w:firstLine="480" w:firstLineChars="200"/>
        <w:jc w:val="both"/>
        <w:rPr>
          <w:rFonts w:cstheme="minorHAnsi"/>
        </w:rPr>
      </w:pPr>
      <w:r>
        <w:rPr>
          <w:rFonts w:hint="eastAsia" w:cstheme="minorHAnsi"/>
        </w:rPr>
        <w:t>《中华人民共和国刑法》第</w:t>
      </w:r>
      <w:r>
        <w:rPr>
          <w:rFonts w:cstheme="minorHAnsi"/>
        </w:rPr>
        <w:t>246条【侮辱罪、诽谤罪】以暴力或者其他方法公然侮辱他人或者捏造事实诽谤他人，情节严重的，处三年以下有期徒刑、拘役、管制或者剥夺政治权利。</w:t>
      </w:r>
    </w:p>
    <w:p>
      <w:pPr>
        <w:pStyle w:val="4"/>
        <w:ind w:firstLine="482"/>
      </w:pPr>
      <w:r>
        <w:t>（</w:t>
      </w:r>
      <w:r>
        <w:rPr>
          <w:rFonts w:hint="eastAsia"/>
        </w:rPr>
        <w:t>三</w:t>
      </w:r>
      <w:r>
        <w:t>）</w:t>
      </w:r>
      <w:r>
        <w:rPr>
          <w:rFonts w:hint="eastAsia"/>
        </w:rPr>
        <w:t>关于</w:t>
      </w:r>
      <w:r>
        <w:t>保证金</w:t>
      </w:r>
    </w:p>
    <w:p>
      <w:pPr>
        <w:ind w:firstLine="480" w:firstLineChars="200"/>
        <w:jc w:val="both"/>
        <w:rPr>
          <w:b/>
        </w:rPr>
      </w:pPr>
      <w:r>
        <w:rPr>
          <w:rFonts w:cstheme="minorHAnsi"/>
          <w:b/>
        </w:rPr>
        <w:t>1</w:t>
      </w:r>
      <w:r>
        <w:rPr>
          <w:rFonts w:hint="eastAsia" w:cstheme="minorHAnsi"/>
        </w:rPr>
        <w:t>．</w:t>
      </w:r>
      <w:r>
        <w:rPr>
          <w:b/>
        </w:rPr>
        <w:t>投</w:t>
      </w:r>
      <w:r>
        <w:rPr>
          <w:rFonts w:hint="eastAsia"/>
          <w:b/>
          <w:w w:val="1"/>
        </w:rPr>
        <w:t xml:space="preserve"> </w:t>
      </w:r>
      <w:r>
        <w:rPr>
          <w:b/>
        </w:rPr>
        <w:t>标保证金</w:t>
      </w:r>
    </w:p>
    <w:p>
      <w:pPr>
        <w:ind w:firstLine="480" w:firstLineChars="200"/>
        <w:jc w:val="both"/>
      </w:pPr>
      <w:r>
        <w:rPr>
          <w:rFonts w:hint="eastAsia"/>
        </w:rPr>
        <w:t>按照西安市财政局《关于促进政府采购公平竞争优化营商环境的通知》第三条规定，供应商参与西安市政府采购活动时，免交投</w:t>
      </w:r>
      <w:r>
        <w:rPr>
          <w:rFonts w:hint="eastAsia"/>
          <w:w w:val="1"/>
        </w:rPr>
        <w:t xml:space="preserve"> </w:t>
      </w:r>
      <w:r>
        <w:rPr>
          <w:rFonts w:hint="eastAsia"/>
        </w:rPr>
        <w:t>标保证金。</w:t>
      </w:r>
    </w:p>
    <w:p>
      <w:pPr>
        <w:ind w:firstLine="480" w:firstLineChars="200"/>
        <w:jc w:val="both"/>
        <w:rPr>
          <w:rFonts w:cstheme="minorHAnsi"/>
          <w:b/>
        </w:rPr>
      </w:pPr>
      <w:r>
        <w:rPr>
          <w:rFonts w:cstheme="minorHAnsi"/>
          <w:b/>
        </w:rPr>
        <w:t>2</w:t>
      </w:r>
      <w:r>
        <w:rPr>
          <w:rFonts w:hint="eastAsia" w:cstheme="minorHAnsi"/>
        </w:rPr>
        <w:t>．</w:t>
      </w:r>
      <w:r>
        <w:rPr>
          <w:rFonts w:cstheme="minorHAnsi"/>
          <w:b/>
        </w:rPr>
        <w:t>履约保证金</w:t>
      </w:r>
    </w:p>
    <w:p>
      <w:pPr>
        <w:ind w:firstLine="480" w:firstLineChars="200"/>
        <w:jc w:val="both"/>
      </w:pPr>
      <w:r>
        <w:rPr>
          <w:rFonts w:hint="eastAsia"/>
        </w:rPr>
        <w:t>采购文件要求</w:t>
      </w:r>
      <w:r>
        <w:rPr>
          <w:rFonts w:hint="eastAsia" w:cstheme="minorHAnsi"/>
        </w:rPr>
        <w:t>中</w:t>
      </w:r>
      <w:r>
        <w:rPr>
          <w:rFonts w:hint="eastAsia" w:cstheme="minorHAnsi"/>
          <w:w w:val="1"/>
        </w:rPr>
        <w:t>　</w:t>
      </w:r>
      <w:r>
        <w:rPr>
          <w:rFonts w:hint="eastAsia" w:cstheme="minorHAnsi"/>
        </w:rPr>
        <w:t>标（成</w:t>
      </w:r>
      <w:r>
        <w:rPr>
          <w:rFonts w:hint="eastAsia" w:cstheme="minorHAnsi"/>
          <w:w w:val="1"/>
        </w:rPr>
        <w:t>　</w:t>
      </w:r>
      <w:r>
        <w:rPr>
          <w:rFonts w:hint="eastAsia" w:cstheme="minorHAnsi"/>
        </w:rPr>
        <w:t>交）</w:t>
      </w:r>
      <w:r>
        <w:rPr>
          <w:rFonts w:hint="eastAsia"/>
        </w:rPr>
        <w:t>供应商提交履约保证金的，供应商应当以支票、汇票、本票或者金融机构、担保机构出具的保函（含纸质保函、电子保函）等非现金形式提交。</w:t>
      </w:r>
    </w:p>
    <w:p>
      <w:pPr>
        <w:ind w:firstLine="480" w:firstLineChars="200"/>
        <w:jc w:val="both"/>
      </w:pPr>
      <w:r>
        <w:t>（</w:t>
      </w:r>
      <w:r>
        <w:rPr>
          <w:rFonts w:hint="eastAsia"/>
        </w:rPr>
        <w:t>1</w:t>
      </w:r>
      <w:r>
        <w:t>）「前附表」注明“</w:t>
      </w:r>
      <w:r>
        <w:rPr>
          <w:color w:val="C00000"/>
        </w:rPr>
        <w:t>由采购人自行收退</w:t>
      </w:r>
      <w:r>
        <w:t>”</w:t>
      </w:r>
      <w:r>
        <w:rPr>
          <w:rFonts w:hint="eastAsia"/>
        </w:rPr>
        <w:t>的，</w:t>
      </w:r>
      <w:r>
        <w:t>供应商可通过上述非现金形式提交给采购人。</w:t>
      </w:r>
    </w:p>
    <w:p>
      <w:pPr>
        <w:wordWrap w:val="0"/>
        <w:ind w:firstLine="480" w:firstLineChars="200"/>
        <w:jc w:val="both"/>
      </w:pPr>
      <w:r>
        <w:rPr>
          <w:rFonts w:hint="eastAsia"/>
        </w:rPr>
        <w:t>（</w:t>
      </w:r>
      <w:r>
        <w:t>2</w:t>
      </w:r>
      <w:r>
        <w:rPr>
          <w:rFonts w:hint="eastAsia"/>
        </w:rPr>
        <w:t>）</w:t>
      </w:r>
      <w:r>
        <w:t>「前附表」注明“</w:t>
      </w:r>
      <w:r>
        <w:rPr>
          <w:color w:val="C00000"/>
        </w:rPr>
        <w:t>由交易中心代收代退</w:t>
      </w:r>
      <w:r>
        <w:t>”</w:t>
      </w:r>
      <w:r>
        <w:rPr>
          <w:rFonts w:hint="eastAsia"/>
        </w:rPr>
        <w:t>的，可选择以下途径提交给</w:t>
      </w:r>
      <w:r>
        <w:t>西安市公共资源交易中心</w:t>
      </w:r>
      <w:r>
        <w:rPr>
          <w:rFonts w:hint="eastAsia"/>
        </w:rPr>
        <w:t>：</w:t>
      </w:r>
    </w:p>
    <w:p>
      <w:pPr>
        <w:wordWrap w:val="0"/>
        <w:ind w:firstLine="480" w:firstLineChars="200"/>
        <w:jc w:val="both"/>
      </w:pPr>
      <w:r>
        <w:rPr>
          <w:rFonts w:ascii="宋体" w:hAnsi="宋体" w:eastAsia="宋体"/>
        </w:rPr>
        <w:t xml:space="preserve">① </w:t>
      </w:r>
      <w:r>
        <w:rPr>
          <w:rFonts w:hint="eastAsia"/>
        </w:rPr>
        <w:t>采用支票、汇票、本票、网上银行支付形式时，应将履约保证金足额提交至以下账户：</w:t>
      </w:r>
    </w:p>
    <w:p>
      <w:pPr>
        <w:wordWrap w:val="0"/>
        <w:ind w:firstLine="480" w:firstLineChars="200"/>
        <w:jc w:val="both"/>
      </w:pPr>
      <w:r>
        <w:rPr>
          <w:rFonts w:hint="eastAsia"/>
        </w:rPr>
        <w:t>户　名：西安市公共资源交易中心保证金户</w:t>
      </w:r>
    </w:p>
    <w:p>
      <w:pPr>
        <w:wordWrap w:val="0"/>
        <w:ind w:firstLine="480" w:firstLineChars="200"/>
        <w:jc w:val="both"/>
      </w:pPr>
      <w:r>
        <w:rPr>
          <w:rFonts w:hint="eastAsia"/>
        </w:rPr>
        <w:t>账　号：9558853700001663476</w:t>
      </w:r>
    </w:p>
    <w:p>
      <w:pPr>
        <w:wordWrap w:val="0"/>
        <w:ind w:firstLine="480" w:firstLineChars="200"/>
        <w:jc w:val="both"/>
      </w:pPr>
      <w:r>
        <w:rPr>
          <w:rFonts w:hint="eastAsia"/>
        </w:rPr>
        <w:t>开户行：中国工商银行股份有限公司西安曲江支行</w:t>
      </w:r>
    </w:p>
    <w:p>
      <w:pPr>
        <w:wordWrap w:val="0"/>
        <w:ind w:firstLine="480" w:firstLineChars="200"/>
        <w:jc w:val="both"/>
      </w:pPr>
      <w:r>
        <w:rPr>
          <w:rFonts w:hint="eastAsia"/>
        </w:rPr>
        <w:t>② 采用纸质保函形式时，应将履约保函原件递交至西安市公共资源交易中心保证金业务室：</w:t>
      </w:r>
    </w:p>
    <w:p>
      <w:pPr>
        <w:wordWrap w:val="0"/>
        <w:ind w:firstLine="480" w:firstLineChars="200"/>
        <w:jc w:val="both"/>
      </w:pPr>
      <w:r>
        <w:rPr>
          <w:rFonts w:hint="eastAsia"/>
        </w:rPr>
        <w:t>业务咨询电话：029-86510166/86510167转80206</w:t>
      </w:r>
    </w:p>
    <w:p>
      <w:pPr>
        <w:wordWrap w:val="0"/>
        <w:ind w:firstLine="480" w:firstLineChars="200"/>
        <w:jc w:val="both"/>
      </w:pPr>
      <w:r>
        <w:rPr>
          <w:rFonts w:hint="eastAsia"/>
        </w:rPr>
        <w:t>业务受理时间：（法定节假日除外）上午9:00-12:00、下午13:30-17:30</w:t>
      </w:r>
    </w:p>
    <w:p>
      <w:pPr>
        <w:wordWrap w:val="0"/>
        <w:ind w:firstLine="480" w:firstLineChars="200"/>
        <w:jc w:val="both"/>
      </w:pPr>
      <w:r>
        <w:rPr>
          <w:rFonts w:hint="eastAsia"/>
        </w:rPr>
        <w:t>业务受理地点：西安市未央区文景北路16号白桦林国际B座二层206室</w:t>
      </w:r>
    </w:p>
    <w:p>
      <w:pPr>
        <w:wordWrap w:val="0"/>
        <w:ind w:firstLine="480" w:firstLineChars="200"/>
        <w:jc w:val="both"/>
      </w:pPr>
      <w:r>
        <w:rPr>
          <w:rFonts w:hint="eastAsia"/>
        </w:rPr>
        <w:t>③ 采用电子保函形式时，可登录交易平台〖</w:t>
      </w:r>
      <w:r>
        <w:rPr>
          <w:rFonts w:cstheme="minorHAnsi"/>
        </w:rPr>
        <w:t>首页·</w:t>
      </w:r>
      <w:r>
        <w:rPr>
          <w:rFonts w:eastAsiaTheme="majorEastAsia" w:cstheme="minorHAnsi"/>
        </w:rPr>
        <w:t>〉</w:t>
      </w:r>
      <w:r>
        <w:rPr>
          <w:rFonts w:cstheme="minorHAnsi"/>
        </w:rPr>
        <w:t>电子交易平台·</w:t>
      </w:r>
      <w:r>
        <w:rPr>
          <w:rFonts w:eastAsiaTheme="majorEastAsia" w:cstheme="minorHAnsi"/>
        </w:rPr>
        <w:t>〉</w:t>
      </w:r>
      <w:r>
        <w:t>陕西政府采购交易系统·〉</w:t>
      </w:r>
      <w:r>
        <w:rPr>
          <w:rFonts w:cstheme="minorHAnsi"/>
        </w:rPr>
        <w:t>企业端〗</w:t>
      </w:r>
      <w:r>
        <w:rPr>
          <w:rFonts w:hint="eastAsia"/>
        </w:rPr>
        <w:t>，登录后切换到〖我的项目〗模块下，即可选择电子履约保函申请（点击申请后系统将自动跳转至电子保函业务平台，选择对应金融机构后，按要求填写相应信息进行申请）和入账查询。</w:t>
      </w:r>
    </w:p>
    <w:p>
      <w:pPr>
        <w:wordWrap w:val="0"/>
        <w:ind w:firstLine="480" w:firstLineChars="200"/>
        <w:jc w:val="both"/>
      </w:pPr>
      <w:r>
        <w:rPr>
          <w:rFonts w:hint="eastAsia"/>
        </w:rPr>
        <w:t>（</w:t>
      </w:r>
      <w:r>
        <w:t>3</w:t>
      </w:r>
      <w:r>
        <w:rPr>
          <w:rFonts w:hint="eastAsia"/>
        </w:rPr>
        <w:t>）采用履约保函形式时应注意以下事项：</w:t>
      </w:r>
    </w:p>
    <w:p>
      <w:pPr>
        <w:wordWrap w:val="0"/>
        <w:ind w:firstLine="480" w:firstLineChars="200"/>
        <w:jc w:val="both"/>
      </w:pPr>
      <w:r>
        <w:rPr>
          <w:rFonts w:hint="eastAsia"/>
        </w:rPr>
        <w:t>① 履约保函的受益人为采购人，供应商未能按合同规定履行其义务时，采购人有权从履约保证金中取得补偿。</w:t>
      </w:r>
    </w:p>
    <w:p>
      <w:pPr>
        <w:wordWrap w:val="0"/>
        <w:ind w:firstLine="480" w:firstLineChars="200"/>
        <w:jc w:val="both"/>
      </w:pPr>
      <w:r>
        <w:rPr>
          <w:rFonts w:hint="eastAsia"/>
        </w:rPr>
        <w:t>② 履约保函的内容包括但不限于保函申请人、项目名称（如分采购包，还应写明所投</w:t>
      </w:r>
      <w:r>
        <w:rPr>
          <w:rFonts w:hint="eastAsia"/>
          <w:w w:val="1"/>
        </w:rPr>
        <w:t xml:space="preserve"> </w:t>
      </w:r>
      <w:r>
        <w:rPr>
          <w:rFonts w:hint="eastAsia"/>
        </w:rPr>
        <w:t>采购包）、担保金额、保函有效期（履约保函的有效期至少应覆盖至合同验收之日，履约保函有效期不足的，供应商应向履约保函签发机构办理担保续期手续）；</w:t>
      </w:r>
    </w:p>
    <w:p>
      <w:pPr>
        <w:wordWrap w:val="0"/>
        <w:ind w:firstLine="480" w:firstLineChars="200"/>
        <w:jc w:val="both"/>
      </w:pPr>
      <w:r>
        <w:rPr>
          <w:rFonts w:hint="eastAsia"/>
        </w:rPr>
        <w:t>③ 担保金额不少于</w:t>
      </w:r>
      <w:r>
        <w:t>本章「前附表」</w:t>
      </w:r>
      <w:r>
        <w:rPr>
          <w:rFonts w:hint="eastAsia"/>
        </w:rPr>
        <w:t>中规定的履约保证金金额；</w:t>
      </w:r>
    </w:p>
    <w:p>
      <w:pPr>
        <w:wordWrap w:val="0"/>
        <w:ind w:firstLine="480" w:firstLineChars="200"/>
        <w:jc w:val="both"/>
      </w:pPr>
      <w:r>
        <w:rPr>
          <w:rFonts w:hint="eastAsia"/>
        </w:rPr>
        <w:t>④ 保函申请人须与供应商名称一致。若供应商为联合体形式，原则上可由联合体任意一方或多方作为保函申请人，然而对于电子保函，目前只能由下载电子招标文件的一方作为保函申请人。</w:t>
      </w:r>
    </w:p>
    <w:p>
      <w:pPr>
        <w:wordWrap w:val="0"/>
        <w:ind w:firstLine="480" w:firstLineChars="200"/>
        <w:jc w:val="both"/>
      </w:pPr>
      <w:r>
        <w:rPr>
          <w:rFonts w:hint="eastAsia"/>
        </w:rPr>
        <w:t>（</w:t>
      </w:r>
      <w:r>
        <w:t>4</w:t>
      </w:r>
      <w:r>
        <w:rPr>
          <w:rFonts w:hint="eastAsia"/>
        </w:rPr>
        <w:t>）退还履约保证金</w:t>
      </w:r>
    </w:p>
    <w:p>
      <w:pPr>
        <w:ind w:firstLine="480" w:firstLineChars="200"/>
        <w:jc w:val="both"/>
      </w:pPr>
      <w:r>
        <w:rPr>
          <w:rFonts w:hint="eastAsia"/>
        </w:rPr>
        <w:t>在采购项目验收合格后，</w:t>
      </w:r>
      <w:r>
        <w:rPr>
          <w:rFonts w:hint="eastAsia" w:cstheme="minorHAnsi"/>
        </w:rPr>
        <w:t>中</w:t>
      </w:r>
      <w:r>
        <w:rPr>
          <w:rFonts w:hint="eastAsia" w:cstheme="minorHAnsi"/>
          <w:w w:val="1"/>
        </w:rPr>
        <w:t>　</w:t>
      </w:r>
      <w:r>
        <w:rPr>
          <w:rFonts w:hint="eastAsia" w:cstheme="minorHAnsi"/>
        </w:rPr>
        <w:t>标（成</w:t>
      </w:r>
      <w:r>
        <w:rPr>
          <w:rFonts w:hint="eastAsia" w:cstheme="minorHAnsi"/>
          <w:w w:val="1"/>
        </w:rPr>
        <w:t>　</w:t>
      </w:r>
      <w:r>
        <w:rPr>
          <w:rFonts w:hint="eastAsia" w:cstheme="minorHAnsi"/>
        </w:rPr>
        <w:t>交）</w:t>
      </w:r>
      <w:r>
        <w:rPr>
          <w:rFonts w:hint="eastAsia"/>
        </w:rPr>
        <w:t>供应商持政府采购项目验收单，到履约保证金原收取人处办理退还手续，5个工作日内无息退还（针对支票、本票、汇票、网上银行等支付形式）</w:t>
      </w:r>
      <w:r>
        <w:t>\</w:t>
      </w:r>
      <w:r>
        <w:rPr>
          <w:rFonts w:hint="eastAsia"/>
        </w:rPr>
        <w:t>当场返还（针对纸质保函）</w:t>
      </w:r>
      <w:r>
        <w:t>\</w:t>
      </w:r>
      <w:r>
        <w:rPr>
          <w:rFonts w:hint="eastAsia"/>
        </w:rPr>
        <w:t>当场注销（针对电子保函）。</w:t>
      </w:r>
    </w:p>
    <w:p>
      <w:pPr>
        <w:pStyle w:val="4"/>
        <w:ind w:firstLine="482"/>
      </w:pPr>
      <w:r>
        <w:rPr>
          <w:rFonts w:hint="eastAsia"/>
        </w:rPr>
        <w:t>（四）关于</w:t>
      </w:r>
      <w:r>
        <w:t>进口产品</w:t>
      </w:r>
    </w:p>
    <w:p>
      <w:pPr>
        <w:ind w:firstLine="480" w:firstLineChars="200"/>
        <w:jc w:val="both"/>
        <w:rPr>
          <w:rFonts w:cstheme="minorHAnsi"/>
        </w:rPr>
      </w:pPr>
      <w:r>
        <w:rPr>
          <w:rFonts w:hint="eastAsia" w:cstheme="minorHAnsi"/>
        </w:rPr>
        <w:t>1．根据《政府采购进口产品管理办法》（财库〔</w:t>
      </w:r>
      <w:r>
        <w:rPr>
          <w:rFonts w:cstheme="minorHAnsi"/>
        </w:rPr>
        <w:t>2007〕119号）</w:t>
      </w:r>
      <w:r>
        <w:rPr>
          <w:rFonts w:hint="eastAsia" w:cstheme="minorHAnsi"/>
        </w:rPr>
        <w:t>规定</w:t>
      </w:r>
      <w:r>
        <w:rPr>
          <w:rFonts w:cstheme="minorHAnsi"/>
        </w:rPr>
        <w:t>，</w:t>
      </w:r>
      <w:r>
        <w:rPr>
          <w:rFonts w:hint="eastAsia" w:cstheme="minorHAnsi"/>
        </w:rPr>
        <w:t>政府采购应当采购本国产品，确需采购进口产品的，应当在采购活动开始前向财政部门提出申请并获得财政部门审核同意后，依法开展政府采购活动。采购人采购进口产品时</w:t>
      </w:r>
      <w:r>
        <w:rPr>
          <w:rFonts w:cstheme="minorHAnsi"/>
        </w:rPr>
        <w:t>，</w:t>
      </w:r>
      <w:r>
        <w:rPr>
          <w:rFonts w:hint="eastAsia" w:cstheme="minorHAnsi"/>
        </w:rPr>
        <w:t>优先采购向我国企业转让技术、与我国企业签订消化吸收再创新方案的供应商的进口产品。</w:t>
      </w:r>
    </w:p>
    <w:p>
      <w:pPr>
        <w:ind w:firstLine="480" w:firstLineChars="200"/>
        <w:jc w:val="both"/>
        <w:rPr>
          <w:rFonts w:cstheme="minorHAnsi"/>
          <w:strike/>
        </w:rPr>
      </w:pPr>
      <w:r>
        <w:rPr>
          <w:rFonts w:hint="eastAsia" w:cstheme="minorHAnsi"/>
        </w:rPr>
        <w:t>2．根据《关于政府采购进口产品管理有关问题的通知》（财办库〔</w:t>
      </w:r>
      <w:r>
        <w:rPr>
          <w:rFonts w:cstheme="minorHAnsi"/>
        </w:rPr>
        <w:t>2008〕248号）有关规定，</w:t>
      </w:r>
      <w:r>
        <w:rPr>
          <w:rFonts w:hint="eastAsia" w:cstheme="minorHAnsi"/>
        </w:rPr>
        <w:t>财政部门审核同意购买进口产品的，招标文件将明确载明“允许</w:t>
      </w:r>
      <w:r>
        <w:rPr>
          <w:rFonts w:cstheme="minorHAnsi"/>
        </w:rPr>
        <w:t>进口产品参与</w:t>
      </w:r>
      <w:r>
        <w:rPr>
          <w:rFonts w:hint="eastAsia" w:cstheme="minorHAnsi"/>
        </w:rPr>
        <w:t>”，此时满足招标文件要求的国产产品仍然可以参与竞争；否则，视为拒绝进口产品参与，供应商以进口产品参与投标时，将作无效投标处理。</w:t>
      </w:r>
    </w:p>
    <w:p>
      <w:pPr>
        <w:pStyle w:val="4"/>
        <w:ind w:firstLine="482"/>
      </w:pPr>
      <w:r>
        <w:t>（五）</w:t>
      </w:r>
      <w:r>
        <w:rPr>
          <w:rFonts w:hint="eastAsia"/>
        </w:rPr>
        <w:t>关于政府采购</w:t>
      </w:r>
      <w:r>
        <w:t>政策</w:t>
      </w:r>
    </w:p>
    <w:p>
      <w:pPr>
        <w:ind w:firstLine="480" w:firstLineChars="200"/>
        <w:jc w:val="both"/>
        <w:rPr>
          <w:rFonts w:cstheme="minorHAnsi"/>
          <w:b/>
          <w:color w:val="C00000"/>
        </w:rPr>
      </w:pPr>
      <w:r>
        <w:rPr>
          <w:rFonts w:cstheme="minorHAnsi"/>
          <w:b/>
          <w:color w:val="C00000"/>
        </w:rPr>
        <w:t>1</w:t>
      </w:r>
      <w:r>
        <w:rPr>
          <w:rFonts w:hint="eastAsia" w:cstheme="minorHAnsi"/>
          <w:color w:val="C00000"/>
        </w:rPr>
        <w:t>．</w:t>
      </w:r>
      <w:r>
        <w:rPr>
          <w:rFonts w:hint="eastAsia" w:cstheme="minorHAnsi"/>
          <w:b/>
          <w:color w:val="C00000"/>
        </w:rPr>
        <w:t>对中小企业的扶持政策</w:t>
      </w:r>
    </w:p>
    <w:p>
      <w:pPr>
        <w:ind w:firstLine="480" w:firstLineChars="200"/>
        <w:jc w:val="both"/>
        <w:rPr>
          <w:rFonts w:cstheme="minorHAnsi"/>
        </w:rPr>
      </w:pPr>
      <w:r>
        <w:rPr>
          <w:rFonts w:cstheme="minorHAnsi"/>
        </w:rPr>
        <w:t>（</w:t>
      </w:r>
      <w:r>
        <w:rPr>
          <w:rFonts w:hint="eastAsia" w:cstheme="minorHAnsi"/>
        </w:rPr>
        <w:t>1</w:t>
      </w:r>
      <w:r>
        <w:rPr>
          <w:rFonts w:cstheme="minorHAnsi"/>
        </w:rPr>
        <w:t>）</w:t>
      </w:r>
      <w:r>
        <w:rPr>
          <w:rFonts w:hint="eastAsia" w:cstheme="minorHAnsi"/>
        </w:rPr>
        <w:t>中小企业的界定</w:t>
      </w:r>
    </w:p>
    <w:p>
      <w:pPr>
        <w:ind w:firstLine="480" w:firstLineChars="200"/>
        <w:jc w:val="both"/>
        <w:rPr>
          <w:rFonts w:cstheme="minorHAnsi"/>
        </w:rPr>
      </w:pPr>
      <w:r>
        <w:rPr>
          <w:rFonts w:hint="eastAsia" w:cstheme="minorHAnsi"/>
        </w:rPr>
        <w:t>指在中华人民共和国境内依法设立，依据国务院批准的中小企业划分标准确定的中型企业、小型企业和微型企业，但与大企业的负责人为同一人，或者与大企业存在直接控股、管理关系的除外。符合以下条件的，视同中小企业（小型、微型企业）：</w:t>
      </w:r>
    </w:p>
    <w:p>
      <w:pPr>
        <w:ind w:firstLine="480" w:firstLineChars="200"/>
        <w:jc w:val="both"/>
        <w:rPr>
          <w:rFonts w:cstheme="minorHAnsi"/>
        </w:rPr>
      </w:pPr>
      <w:r>
        <w:rPr>
          <w:rFonts w:asciiTheme="minorEastAsia" w:hAnsiTheme="minorEastAsia" w:cstheme="minorHAnsi"/>
        </w:rPr>
        <w:t xml:space="preserve">① </w:t>
      </w:r>
      <w:r>
        <w:rPr>
          <w:rFonts w:cstheme="minorHAnsi"/>
        </w:rPr>
        <w:t>根据财政部《政府采购促进中小企业发展管理办法》（财库〔2020〕46号）第二条规定，符合中小企业划分标准的个体工商户，在政府采购活动中视同中小企业。</w:t>
      </w:r>
    </w:p>
    <w:p>
      <w:pPr>
        <w:ind w:firstLine="480" w:firstLineChars="200"/>
        <w:jc w:val="both"/>
        <w:rPr>
          <w:rFonts w:cstheme="minorHAnsi"/>
        </w:rPr>
      </w:pPr>
      <w:r>
        <w:rPr>
          <w:rFonts w:asciiTheme="minorEastAsia" w:hAnsiTheme="minorEastAsia" w:cstheme="minorHAnsi"/>
        </w:rPr>
        <w:t xml:space="preserve">② </w:t>
      </w:r>
      <w:r>
        <w:rPr>
          <w:rFonts w:cstheme="minorHAnsi"/>
        </w:rPr>
        <w:t>根据财政部、司法部联合下发的《关于政府采购支持监狱企业发展有关问题的通知》（财库〔2014〕68号）的规定，监狱企业视同小型、微型企业。</w:t>
      </w:r>
    </w:p>
    <w:p>
      <w:pPr>
        <w:ind w:firstLine="480" w:firstLineChars="200"/>
        <w:jc w:val="both"/>
        <w:rPr>
          <w:rFonts w:cstheme="minorHAnsi"/>
        </w:rPr>
      </w:pPr>
      <w:r>
        <w:rPr>
          <w:rFonts w:asciiTheme="minorEastAsia" w:hAnsiTheme="minorEastAsia" w:cstheme="minorHAnsi"/>
        </w:rPr>
        <w:t xml:space="preserve">③ </w:t>
      </w:r>
      <w:r>
        <w:rPr>
          <w:rFonts w:cstheme="minorHAnsi"/>
        </w:rPr>
        <w:t>根据财政部、民政部、中国残疾人联合会下发的《关于促进残疾人就业政府采购政策的通知》（财库〔2017〕141号）的规定，残疾人福利性单位提供本单位制造的货物、承建的工程或者承接的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pPr>
        <w:ind w:firstLine="480" w:firstLineChars="200"/>
        <w:jc w:val="both"/>
        <w:rPr>
          <w:rFonts w:cstheme="minorHAnsi"/>
        </w:rPr>
      </w:pPr>
      <w:r>
        <w:rPr>
          <w:rFonts w:hint="eastAsia" w:cstheme="minorHAnsi"/>
        </w:rPr>
        <w:t>中小企业</w:t>
      </w:r>
      <w:r>
        <w:rPr>
          <w:rFonts w:cstheme="minorHAnsi"/>
        </w:rPr>
        <w:t>具体划型标准详见</w:t>
      </w:r>
      <w:r>
        <w:rPr>
          <w:rFonts w:hint="eastAsia" w:cstheme="minorHAnsi"/>
        </w:rPr>
        <w:t>工业和信息化部、国家统计局、国家发展和改革委员会、财政部《关于印发中小企业划型标准规定的通知》（工信部联企业〔2011〕300号）。</w:t>
      </w:r>
    </w:p>
    <w:p>
      <w:pPr>
        <w:ind w:firstLine="480" w:firstLineChars="200"/>
        <w:jc w:val="both"/>
        <w:rPr>
          <w:rFonts w:cstheme="minorHAnsi"/>
        </w:rPr>
      </w:pPr>
      <w:r>
        <w:rPr>
          <w:rFonts w:cstheme="minorHAnsi"/>
        </w:rPr>
        <w:t>（</w:t>
      </w:r>
      <w:r>
        <w:rPr>
          <w:rFonts w:hint="eastAsia" w:cstheme="minorHAnsi"/>
        </w:rPr>
        <w:t>2</w:t>
      </w:r>
      <w:r>
        <w:rPr>
          <w:rFonts w:cstheme="minorHAnsi"/>
        </w:rPr>
        <w:t>）在政府采购活动中，供应商提供的货物、工程或者服务符合下列情形的，享受本办法规定的中小企业扶持政策：</w:t>
      </w:r>
    </w:p>
    <w:p>
      <w:pPr>
        <w:ind w:firstLine="480" w:firstLineChars="200"/>
        <w:jc w:val="both"/>
        <w:rPr>
          <w:rFonts w:cstheme="minorHAnsi"/>
        </w:rPr>
      </w:pPr>
      <w:r>
        <w:rPr>
          <w:rFonts w:asciiTheme="minorEastAsia" w:hAnsiTheme="minorEastAsia" w:cstheme="minorHAnsi"/>
        </w:rPr>
        <w:t xml:space="preserve">① </w:t>
      </w:r>
      <w:r>
        <w:rPr>
          <w:rFonts w:cstheme="minorHAnsi"/>
        </w:rPr>
        <w:t>在货物采购项目中，货物由中小企业制造，即货物由中小企业生产且使用该中小企业商号或者注册商标；供应商提供的货物既有中小企业制造货物，也有大型企业制造货物的，不享受本办法规定的中小企业扶持政策。</w:t>
      </w:r>
    </w:p>
    <w:p>
      <w:pPr>
        <w:ind w:firstLine="480" w:firstLineChars="200"/>
        <w:jc w:val="both"/>
        <w:rPr>
          <w:rFonts w:cstheme="minorHAnsi"/>
        </w:rPr>
      </w:pPr>
      <w:r>
        <w:rPr>
          <w:rFonts w:asciiTheme="minorEastAsia" w:hAnsiTheme="minorEastAsia" w:cstheme="minorHAnsi"/>
        </w:rPr>
        <w:t xml:space="preserve">② </w:t>
      </w:r>
      <w:r>
        <w:rPr>
          <w:rFonts w:cstheme="minorHAnsi"/>
        </w:rPr>
        <w:t>在工程采购项目中，工程由中小企业承建，即工程施工单位为中小企业；</w:t>
      </w:r>
    </w:p>
    <w:p>
      <w:pPr>
        <w:ind w:firstLine="480" w:firstLineChars="200"/>
        <w:jc w:val="both"/>
        <w:rPr>
          <w:rFonts w:cstheme="minorHAnsi"/>
        </w:rPr>
      </w:pPr>
      <w:r>
        <w:rPr>
          <w:rFonts w:asciiTheme="minorEastAsia" w:hAnsiTheme="minorEastAsia" w:cstheme="minorHAnsi"/>
        </w:rPr>
        <w:t xml:space="preserve">③ </w:t>
      </w:r>
      <w:r>
        <w:rPr>
          <w:rFonts w:cstheme="minorHAnsi"/>
        </w:rPr>
        <w:t>在服务采购项目中，服务由中小企业承接，即提供服务的人员为中小企业依照《中华人民共和国劳动合同法》订立劳动合同的从业人员。</w:t>
      </w:r>
    </w:p>
    <w:p>
      <w:pPr>
        <w:ind w:firstLine="480" w:firstLineChars="200"/>
        <w:jc w:val="both"/>
        <w:rPr>
          <w:rFonts w:cstheme="minorHAnsi"/>
        </w:rPr>
      </w:pPr>
      <w:r>
        <w:rPr>
          <w:rFonts w:cstheme="minorHAnsi"/>
        </w:rPr>
        <w:t>（</w:t>
      </w:r>
      <w:r>
        <w:rPr>
          <w:rFonts w:hint="eastAsia" w:cstheme="minorHAnsi"/>
        </w:rPr>
        <w:t>3</w:t>
      </w:r>
      <w:r>
        <w:rPr>
          <w:rFonts w:cstheme="minorHAnsi"/>
        </w:rPr>
        <w:t>）落实中小企业扶持政策的具体措施：</w:t>
      </w:r>
    </w:p>
    <w:p>
      <w:pPr>
        <w:ind w:firstLine="480" w:firstLineChars="200"/>
        <w:jc w:val="both"/>
        <w:rPr>
          <w:rFonts w:cstheme="minorHAnsi"/>
        </w:rPr>
      </w:pPr>
      <w:r>
        <w:rPr>
          <w:rFonts w:asciiTheme="minorEastAsia" w:hAnsiTheme="minorEastAsia" w:cstheme="minorHAnsi"/>
        </w:rPr>
        <w:t xml:space="preserve">① </w:t>
      </w:r>
      <w:r>
        <w:rPr>
          <w:rFonts w:cstheme="minorHAnsi"/>
        </w:rPr>
        <w:t>针对非专门面向中小企业的采购：根据《关于进一步加大政府采购支持中小企业力度的通知》（财库〔2022〕19号）的有关规定，货物服务采购项目给予小微企业的价格评审优惠幅度为10%~20%</w:t>
      </w:r>
      <w:r>
        <w:rPr>
          <w:rFonts w:hint="eastAsia" w:cstheme="minorHAnsi"/>
        </w:rPr>
        <w:t>（</w:t>
      </w:r>
      <w:r>
        <w:rPr>
          <w:rFonts w:hint="eastAsia"/>
        </w:rPr>
        <w:t>工程项目为</w:t>
      </w:r>
      <w:r>
        <w:t>3</w:t>
      </w:r>
      <w:r>
        <w:rPr>
          <w:rFonts w:hint="eastAsia"/>
        </w:rPr>
        <w:t>%-</w:t>
      </w:r>
      <w:r>
        <w:t>5</w:t>
      </w:r>
      <w:r>
        <w:rPr>
          <w:rFonts w:hint="eastAsia"/>
        </w:rPr>
        <w:t>%</w:t>
      </w:r>
      <w:r>
        <w:rPr>
          <w:rFonts w:hint="eastAsia" w:cstheme="minorHAnsi"/>
        </w:rPr>
        <w:t>）</w:t>
      </w:r>
      <w:r>
        <w:rPr>
          <w:rFonts w:cstheme="minorHAnsi"/>
        </w:rPr>
        <w:t>（</w:t>
      </w:r>
      <w:r>
        <w:rPr>
          <w:rFonts w:cstheme="minorHAnsi"/>
          <w:color w:val="C00000"/>
        </w:rPr>
        <w:t>具体扣除比例见本章「评审要素及分值一览表」</w:t>
      </w:r>
      <w:r>
        <w:rPr>
          <w:rFonts w:cstheme="minorHAnsi"/>
        </w:rPr>
        <w:t>），用扣除后的价格参加评审。未按要求提供《中小企业声明函》\《监狱企业证明函》\《残疾人福利性单位声明函》的，不能享受招标文件规定的价格扣除，但不影响投标文件的有效性。</w:t>
      </w:r>
    </w:p>
    <w:p>
      <w:pPr>
        <w:ind w:firstLine="480" w:firstLineChars="200"/>
        <w:jc w:val="both"/>
        <w:rPr>
          <w:rFonts w:cstheme="minorHAnsi"/>
        </w:rPr>
      </w:pPr>
      <w:r>
        <w:rPr>
          <w:rFonts w:asciiTheme="minorEastAsia" w:hAnsiTheme="minorEastAsia" w:cstheme="minorHAnsi"/>
        </w:rPr>
        <w:t xml:space="preserve">② </w:t>
      </w:r>
      <w:r>
        <w:rPr>
          <w:rFonts w:cstheme="minorHAnsi"/>
        </w:rPr>
        <w:t>针对专门面向中小企业的采购：仅限符合中小企业划分标准确定的中型企业、小型企业和微型企业参与。未按要求提供《中小企业声明函》\《监狱企业证明函》\《残疾人福利性单位声明函》的，投标无效。</w:t>
      </w:r>
    </w:p>
    <w:p>
      <w:pPr>
        <w:ind w:firstLine="480" w:firstLineChars="200"/>
        <w:jc w:val="both"/>
        <w:rPr>
          <w:rFonts w:cstheme="minorHAnsi"/>
        </w:rPr>
      </w:pPr>
      <w:r>
        <w:rPr>
          <w:rFonts w:asciiTheme="minorEastAsia" w:hAnsiTheme="minorEastAsia" w:cstheme="minorHAnsi"/>
        </w:rPr>
        <w:t xml:space="preserve">③ </w:t>
      </w:r>
      <w:r>
        <w:rPr>
          <w:rFonts w:cstheme="minorHAnsi"/>
        </w:rPr>
        <w:t>针对专门面向小型、微型企业的采购：仅限符合中小企业划分标准确定的小型企业、微型企业参与。未按要求提供《中小企业声明函》\《监狱企业证明函》\《残疾人福利性单位声明函》的，投标无效。</w:t>
      </w:r>
    </w:p>
    <w:p>
      <w:pPr>
        <w:ind w:firstLine="480" w:firstLineChars="200"/>
        <w:jc w:val="both"/>
        <w:rPr>
          <w:rFonts w:cstheme="minorHAnsi"/>
        </w:rPr>
      </w:pPr>
      <w:r>
        <w:rPr>
          <w:rFonts w:cstheme="minorHAnsi"/>
        </w:rPr>
        <w:t>（4）依据《政府采购促进中小企业发展管理办法》（财库〔2020〕46号）规定享受扶持政策获得政府采购合同的，小微企业不得将合同分包给大中型企业，中型企业不得将合同分包给大型企业。</w:t>
      </w:r>
    </w:p>
    <w:p>
      <w:pPr>
        <w:ind w:firstLine="480" w:firstLineChars="200"/>
        <w:jc w:val="both"/>
        <w:rPr>
          <w:rFonts w:cstheme="minorHAnsi"/>
          <w:b/>
          <w:color w:val="C00000"/>
        </w:rPr>
      </w:pPr>
      <w:r>
        <w:rPr>
          <w:rFonts w:hint="eastAsia" w:cstheme="minorHAnsi"/>
          <w:b/>
          <w:color w:val="C00000"/>
        </w:rPr>
        <w:t>2</w:t>
      </w:r>
      <w:r>
        <w:rPr>
          <w:rFonts w:hint="eastAsia" w:cstheme="minorHAnsi"/>
          <w:color w:val="C00000"/>
        </w:rPr>
        <w:t>．</w:t>
      </w:r>
      <w:r>
        <w:rPr>
          <w:rFonts w:hint="eastAsia" w:cstheme="minorHAnsi"/>
          <w:b/>
          <w:color w:val="C00000"/>
        </w:rPr>
        <w:t>节能、环保产品采购政策</w:t>
      </w:r>
    </w:p>
    <w:p>
      <w:pPr>
        <w:ind w:firstLine="480" w:firstLineChars="200"/>
        <w:jc w:val="both"/>
        <w:rPr>
          <w:rFonts w:cstheme="minorHAnsi"/>
        </w:rPr>
      </w:pPr>
      <w:r>
        <w:rPr>
          <w:rFonts w:hint="eastAsia" w:cstheme="minorHAnsi"/>
        </w:rPr>
        <w:t>（1）</w:t>
      </w:r>
      <w:r>
        <w:rPr>
          <w:rFonts w:cstheme="minorHAnsi"/>
        </w:rPr>
        <w:t>根据财政部、发展改革委、生态环境部、市场监管总局《关于调整优化节能产品、环境标志产品政府采购执行机制的通知》（财库〔2019〕9号）规定</w:t>
      </w:r>
      <w:r>
        <w:rPr>
          <w:rFonts w:hint="eastAsia" w:cstheme="minorHAnsi"/>
        </w:rPr>
        <w:t>“对政府采购节能产品、环境标志产品实施品目清单管理”。采购人拟采购的产品属于品目清单范围的，依据国家确定的认证机构出具的、处于有效期之内的节能产品、环境标志产品认证证书，对获得证书的产品实施政府</w:t>
      </w:r>
      <w:r>
        <w:rPr>
          <w:rFonts w:hint="eastAsia" w:cstheme="minorHAnsi"/>
          <w:color w:val="C00000"/>
        </w:rPr>
        <w:t>优先采购</w:t>
      </w:r>
      <w:r>
        <w:rPr>
          <w:rFonts w:hint="eastAsia" w:cstheme="minorHAnsi"/>
        </w:rPr>
        <w:t>或</w:t>
      </w:r>
      <w:r>
        <w:rPr>
          <w:rFonts w:hint="eastAsia" w:cstheme="minorHAnsi"/>
          <w:color w:val="C00000"/>
        </w:rPr>
        <w:t>强制采购</w:t>
      </w:r>
      <w:r>
        <w:rPr>
          <w:rFonts w:hint="eastAsia" w:cstheme="minorHAnsi"/>
        </w:rPr>
        <w:t>。</w:t>
      </w:r>
    </w:p>
    <w:p>
      <w:pPr>
        <w:ind w:firstLine="480" w:firstLineChars="200"/>
        <w:jc w:val="both"/>
        <w:rPr>
          <w:rFonts w:cstheme="minorHAnsi"/>
        </w:rPr>
      </w:pPr>
      <w:r>
        <w:rPr>
          <w:rFonts w:hint="eastAsia" w:cstheme="minorHAnsi"/>
        </w:rPr>
        <w:t>（2）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w:t>
      </w:r>
      <w:r>
        <w:rPr>
          <w:rFonts w:hint="eastAsia" w:cstheme="minorHAnsi"/>
          <w:color w:val="C00000"/>
        </w:rPr>
        <w:t>绿色采购</w:t>
      </w:r>
      <w:r>
        <w:rPr>
          <w:rFonts w:hint="eastAsia" w:cstheme="minorHAnsi"/>
        </w:rPr>
        <w:t>要求，促进绿色产品推广应用。</w:t>
      </w:r>
    </w:p>
    <w:p>
      <w:pPr>
        <w:ind w:firstLine="480" w:firstLineChars="200"/>
        <w:jc w:val="both"/>
        <w:rPr>
          <w:rFonts w:cstheme="minorHAnsi"/>
        </w:rPr>
      </w:pPr>
      <w:r>
        <w:rPr>
          <w:rFonts w:hint="eastAsia" w:cstheme="minorHAnsi"/>
        </w:rPr>
        <w:t>（</w:t>
      </w:r>
      <w:r>
        <w:rPr>
          <w:rFonts w:cstheme="minorHAnsi"/>
        </w:rPr>
        <w:t>3</w:t>
      </w:r>
      <w:r>
        <w:rPr>
          <w:rFonts w:hint="eastAsia" w:cstheme="minorHAnsi"/>
        </w:rPr>
        <w:t>）《</w:t>
      </w:r>
      <w:r>
        <w:rPr>
          <w:rFonts w:cstheme="minorHAnsi"/>
        </w:rPr>
        <w:t>节能产品政府采购品目清单</w:t>
      </w:r>
      <w:r>
        <w:rPr>
          <w:rFonts w:hint="eastAsia" w:cstheme="minorHAnsi"/>
        </w:rPr>
        <w:t>》</w:t>
      </w:r>
      <w:r>
        <w:rPr>
          <w:rFonts w:cstheme="minorHAnsi"/>
        </w:rPr>
        <w:t>见财政部、发展改革委《关于印发节能产品政府采购品目清单的通知》（财库〔2019〕19号）</w:t>
      </w:r>
      <w:r>
        <w:rPr>
          <w:rFonts w:hint="eastAsia" w:cstheme="minorHAnsi"/>
        </w:rPr>
        <w:t>附件</w:t>
      </w:r>
      <w:r>
        <w:rPr>
          <w:rFonts w:cstheme="minorHAnsi"/>
        </w:rPr>
        <w:t>。</w:t>
      </w:r>
    </w:p>
    <w:p>
      <w:pPr>
        <w:ind w:firstLine="480" w:firstLineChars="200"/>
        <w:jc w:val="both"/>
        <w:rPr>
          <w:rFonts w:cstheme="minorHAnsi"/>
        </w:rPr>
      </w:pPr>
      <w:r>
        <w:rPr>
          <w:rFonts w:hint="eastAsia" w:cstheme="minorHAnsi"/>
        </w:rPr>
        <w:t>（</w:t>
      </w:r>
      <w:r>
        <w:rPr>
          <w:rFonts w:cstheme="minorHAnsi"/>
        </w:rPr>
        <w:t>4</w:t>
      </w:r>
      <w:r>
        <w:rPr>
          <w:rFonts w:hint="eastAsia" w:cstheme="minorHAnsi"/>
        </w:rPr>
        <w:t>）《</w:t>
      </w:r>
      <w:r>
        <w:rPr>
          <w:rFonts w:cstheme="minorHAnsi"/>
        </w:rPr>
        <w:t>环境标志产品政府采购品目清单</w:t>
      </w:r>
      <w:r>
        <w:rPr>
          <w:rFonts w:hint="eastAsia" w:cstheme="minorHAnsi"/>
        </w:rPr>
        <w:t>》</w:t>
      </w:r>
      <w:r>
        <w:rPr>
          <w:rFonts w:cstheme="minorHAnsi"/>
        </w:rPr>
        <w:t>见财政部、生态环境部《关于印发环境标志产品政府采购品目清单的通知》（财库〔2019〕18号）</w:t>
      </w:r>
      <w:r>
        <w:rPr>
          <w:rFonts w:hint="eastAsia" w:cstheme="minorHAnsi"/>
        </w:rPr>
        <w:t>附件</w:t>
      </w:r>
      <w:r>
        <w:rPr>
          <w:rFonts w:cstheme="minorHAnsi"/>
        </w:rPr>
        <w:t>。</w:t>
      </w:r>
    </w:p>
    <w:p>
      <w:pPr>
        <w:ind w:firstLine="480" w:firstLineChars="200"/>
        <w:jc w:val="both"/>
        <w:rPr>
          <w:rFonts w:cstheme="minorHAnsi"/>
        </w:rPr>
      </w:pPr>
      <w:r>
        <w:rPr>
          <w:rFonts w:hint="eastAsia" w:cstheme="minorHAnsi"/>
        </w:rPr>
        <w:t>（</w:t>
      </w:r>
      <w:r>
        <w:rPr>
          <w:rFonts w:cstheme="minorHAnsi"/>
        </w:rPr>
        <w:t>5</w:t>
      </w:r>
      <w:r>
        <w:rPr>
          <w:rFonts w:hint="eastAsia" w:cstheme="minorHAnsi"/>
        </w:rPr>
        <w:t>）“国家确定的认证机构”名单</w:t>
      </w:r>
      <w:r>
        <w:rPr>
          <w:rFonts w:cstheme="minorHAnsi"/>
        </w:rPr>
        <w:t>见市场监管总局《关于发布参与实施政府采购节能产品、环境标志产品认证机构名录的公告》（2019年第16号）。</w:t>
      </w:r>
    </w:p>
    <w:p>
      <w:pPr>
        <w:ind w:firstLine="480" w:firstLineChars="200"/>
        <w:jc w:val="both"/>
        <w:rPr>
          <w:rFonts w:cstheme="minorHAnsi"/>
        </w:rPr>
      </w:pPr>
      <w:r>
        <w:rPr>
          <w:rFonts w:cstheme="minorHAnsi"/>
          <w:b/>
          <w:color w:val="C00000"/>
        </w:rPr>
        <w:t>3</w:t>
      </w:r>
      <w:r>
        <w:rPr>
          <w:rFonts w:hint="eastAsia" w:cstheme="minorHAnsi"/>
          <w:color w:val="C00000"/>
        </w:rPr>
        <w:t>．</w:t>
      </w:r>
      <w:r>
        <w:rPr>
          <w:rFonts w:hint="eastAsia" w:cstheme="minorHAnsi"/>
          <w:b/>
          <w:color w:val="C00000"/>
        </w:rPr>
        <w:t>政府采购信用担保及信用融资政策</w:t>
      </w:r>
    </w:p>
    <w:p>
      <w:pPr>
        <w:ind w:firstLine="480" w:firstLineChars="200"/>
        <w:jc w:val="both"/>
        <w:rPr>
          <w:rFonts w:cstheme="minorHAnsi"/>
          <w:b/>
        </w:rPr>
      </w:pPr>
      <w:r>
        <w:rPr>
          <w:rFonts w:hint="eastAsia" w:cstheme="minorHAnsi"/>
          <w:b/>
        </w:rPr>
        <w:t>（</w:t>
      </w:r>
      <w:r>
        <w:rPr>
          <w:rFonts w:cstheme="minorHAnsi"/>
          <w:b/>
        </w:rPr>
        <w:t>1</w:t>
      </w:r>
      <w:r>
        <w:rPr>
          <w:rFonts w:hint="eastAsia" w:cstheme="minorHAnsi"/>
          <w:b/>
        </w:rPr>
        <w:t>）陕西省中小企业政府采购信用融资办法</w:t>
      </w:r>
    </w:p>
    <w:p>
      <w:pPr>
        <w:wordWrap w:val="0"/>
        <w:ind w:firstLine="480" w:firstLineChars="200"/>
        <w:jc w:val="both"/>
        <w:rPr>
          <w:rStyle w:val="31"/>
          <w:color w:val="0070C0"/>
        </w:rPr>
      </w:pPr>
      <w:r>
        <w:rPr>
          <w:rFonts w:hint="eastAsia" w:cstheme="minorBidi"/>
        </w:rPr>
        <w:t>根据《陕西省中小企业政府采购信用融资办法》（陕财办采〔</w:t>
      </w:r>
      <w:r>
        <w:rPr>
          <w:rFonts w:cstheme="minorBidi"/>
        </w:rPr>
        <w:t>2018</w:t>
      </w:r>
      <w:r>
        <w:rPr>
          <w:rFonts w:hint="eastAsia" w:cstheme="minorBidi"/>
        </w:rPr>
        <w:t>〕</w:t>
      </w:r>
      <w:r>
        <w:rPr>
          <w:rFonts w:cstheme="minorBidi"/>
        </w:rPr>
        <w:t>23</w:t>
      </w:r>
      <w:r>
        <w:rPr>
          <w:rFonts w:hint="eastAsia" w:cstheme="minorBidi"/>
        </w:rPr>
        <w:t>号，简称融资办法）及《陕西省财政厅关于加快推进我省中小企业政府采购信用融资工作的通知》（陕财办采〔</w:t>
      </w:r>
      <w:r>
        <w:rPr>
          <w:rFonts w:cstheme="minorBidi"/>
        </w:rPr>
        <w:t>2020</w:t>
      </w:r>
      <w:r>
        <w:rPr>
          <w:rFonts w:hint="eastAsia" w:cstheme="minorBidi"/>
        </w:rPr>
        <w:t>〕</w:t>
      </w:r>
      <w:r>
        <w:rPr>
          <w:rFonts w:cstheme="minorBidi"/>
        </w:rPr>
        <w:t>15</w:t>
      </w:r>
      <w:r>
        <w:rPr>
          <w:rFonts w:hint="eastAsia" w:cstheme="minorBidi"/>
        </w:rPr>
        <w:t>号），</w:t>
      </w:r>
      <w:r>
        <w:rPr>
          <w:rFonts w:hint="eastAsia" w:ascii="华文仿宋" w:hAnsi="华文仿宋" w:cs="华文仿宋"/>
        </w:rPr>
        <w:t>有融资需求的供应商可根据自身情况，在陕西省政府采购信用融资平台（含各市分平台）自主选择金融机构及其融资产品，凭政府采购中标（成交）通知书或政府采购合同向金融机构提出融资申请。陕西省政府采购信用融资平台：</w:t>
      </w:r>
      <w:r>
        <w:rPr>
          <w:rStyle w:val="31"/>
          <w:rFonts w:cstheme="minorHAnsi"/>
          <w:color w:val="0070C0"/>
        </w:rPr>
        <w:t>http://www.ccgp-shaanxi.gov.cn/zcdservice/zcd/shanxi/</w:t>
      </w:r>
    </w:p>
    <w:p>
      <w:pPr>
        <w:ind w:firstLine="480" w:firstLineChars="200"/>
        <w:jc w:val="both"/>
        <w:rPr>
          <w:b/>
        </w:rPr>
      </w:pPr>
      <w:r>
        <w:rPr>
          <w:rFonts w:hint="eastAsia" w:cstheme="minorHAnsi"/>
          <w:b/>
        </w:rPr>
        <w:t>（</w:t>
      </w:r>
      <w:r>
        <w:rPr>
          <w:rFonts w:cstheme="minorHAnsi"/>
          <w:b/>
        </w:rPr>
        <w:t>2</w:t>
      </w:r>
      <w:r>
        <w:rPr>
          <w:rFonts w:hint="eastAsia" w:cstheme="minorHAnsi"/>
          <w:b/>
        </w:rPr>
        <w:t>）</w:t>
      </w:r>
      <w:r>
        <w:rPr>
          <w:rFonts w:hint="eastAsia"/>
          <w:b/>
        </w:rPr>
        <w:t>西安市政府采购信用担保及信用融资政策</w:t>
      </w:r>
    </w:p>
    <w:p>
      <w:pPr>
        <w:wordWrap w:val="0"/>
        <w:ind w:firstLine="480" w:firstLineChars="200"/>
        <w:jc w:val="both"/>
      </w:pPr>
      <w:r>
        <w:rPr>
          <w:rFonts w:hint="eastAsia"/>
        </w:rPr>
        <w:t>根据西安市财政局《关于做好西安市政府采购信用融资工作的通知》（市财发〔</w:t>
      </w:r>
      <w:r>
        <w:t>2023</w:t>
      </w:r>
      <w:r>
        <w:rPr>
          <w:rFonts w:hint="eastAsia"/>
        </w:rPr>
        <w:t>〕</w:t>
      </w:r>
      <w:r>
        <w:t>1538</w:t>
      </w:r>
      <w:r>
        <w:rPr>
          <w:rFonts w:hint="eastAsia"/>
        </w:rPr>
        <w:t>号，链接地址：</w:t>
      </w:r>
      <w:r>
        <w:rPr>
          <w:rStyle w:val="31"/>
        </w:rPr>
        <w:t>http://xaczj.xa.gov.cn/ztzl/zfcg/cgfg/1707310573956952066.html</w:t>
      </w:r>
      <w:r>
        <w:rPr>
          <w:rFonts w:hint="eastAsia"/>
        </w:rPr>
        <w:t>）的规定，为有融资需求的中标（成交）中小企业提供政府采购信用融资及增信担保服务。政府采购信用融资方式分为线上和线下两种模式。</w:t>
      </w:r>
      <w:r>
        <w:t>1.</w:t>
      </w:r>
      <w:r>
        <w:rPr>
          <w:rFonts w:hint="eastAsia"/>
        </w:rPr>
        <w:t>线上模式。财政部门提供了两个电子操作平台，一个是陕西省政府采购综合管理平台的陕西省政府采购信用融资平台，另一个是中国人民银行征信中心应收账款融资服务平台（简称中征平台）。政府采购中标（成交）供应商和银行机构通过平台办理融资业务。</w:t>
      </w:r>
      <w:r>
        <w:t>2.</w:t>
      </w:r>
      <w:r>
        <w:rPr>
          <w:rFonts w:hint="eastAsia"/>
        </w:rPr>
        <w:t>线下模式。是采用书面形式进行确认的政府采购信用融资过程。</w:t>
      </w:r>
    </w:p>
    <w:p>
      <w:pPr>
        <w:ind w:firstLine="480" w:firstLineChars="200"/>
        <w:jc w:val="both"/>
        <w:rPr>
          <w:rFonts w:cstheme="minorHAnsi"/>
          <w:b/>
          <w:color w:val="C00000"/>
        </w:rPr>
      </w:pPr>
      <w:r>
        <w:rPr>
          <w:rFonts w:hint="eastAsia" w:cstheme="minorHAnsi"/>
          <w:b/>
          <w:color w:val="C00000"/>
        </w:rPr>
        <w:t>4、</w:t>
      </w:r>
      <w:r>
        <w:rPr>
          <w:rFonts w:cstheme="minorHAnsi"/>
          <w:b/>
          <w:color w:val="C00000"/>
        </w:rPr>
        <w:t>绿色包装</w:t>
      </w:r>
      <w:r>
        <w:rPr>
          <w:rFonts w:hint="eastAsia" w:cstheme="minorHAnsi"/>
          <w:b/>
          <w:color w:val="C00000"/>
        </w:rPr>
        <w:t>及</w:t>
      </w:r>
      <w:r>
        <w:rPr>
          <w:rFonts w:cstheme="minorHAnsi"/>
          <w:b/>
          <w:color w:val="C00000"/>
        </w:rPr>
        <w:t>运输要求</w:t>
      </w:r>
    </w:p>
    <w:p>
      <w:pPr>
        <w:wordWrap w:val="0"/>
        <w:ind w:firstLine="480" w:firstLineChars="200"/>
        <w:jc w:val="both"/>
      </w:pPr>
      <w:r>
        <w:rPr>
          <w:rFonts w:hint="eastAsia"/>
        </w:rPr>
        <w:t>根据《陕西省</w:t>
      </w:r>
      <w:r>
        <w:t>财政厅关于进一步加强政府绿色采购有关问题</w:t>
      </w:r>
      <w:r>
        <w:rPr>
          <w:rFonts w:hint="eastAsia"/>
        </w:rPr>
        <w:t>的</w:t>
      </w:r>
      <w:r>
        <w:t>通知</w:t>
      </w:r>
      <w:r>
        <w:rPr>
          <w:rFonts w:hint="eastAsia"/>
        </w:rPr>
        <w:t>》（陕财办采〔2021﹞29号）文件要求</w:t>
      </w:r>
      <w:r>
        <w:t>，供应商提供的产品</w:t>
      </w:r>
      <w:r>
        <w:rPr>
          <w:rFonts w:hint="eastAsia"/>
        </w:rPr>
        <w:t>的包装</w:t>
      </w:r>
      <w:r>
        <w:t>及运输</w:t>
      </w:r>
      <w:r>
        <w:rPr>
          <w:rFonts w:hint="eastAsia"/>
        </w:rPr>
        <w:t>应严格执行财政部《商品包装政府采购需求标准（试行）》、《快递包装政府采购需求标准（试行）》（财库办〔2020﹞123号）文件的</w:t>
      </w:r>
      <w:r>
        <w:t>相关要求。</w:t>
      </w:r>
    </w:p>
    <w:p>
      <w:pPr>
        <w:pStyle w:val="4"/>
        <w:ind w:firstLine="482"/>
      </w:pPr>
      <w:r>
        <w:rPr>
          <w:rFonts w:hint="eastAsia"/>
        </w:rPr>
        <w:t>（六）</w:t>
      </w:r>
      <w:r>
        <w:t>关于同一品牌产品的处理</w:t>
      </w:r>
    </w:p>
    <w:p>
      <w:pPr>
        <w:wordWrap w:val="0"/>
        <w:ind w:firstLine="480" w:firstLineChars="200"/>
        <w:jc w:val="both"/>
        <w:rPr>
          <w:rFonts w:cstheme="minorBidi"/>
        </w:rPr>
      </w:pPr>
      <w:r>
        <w:rPr>
          <w:rFonts w:cstheme="minorBidi"/>
        </w:rPr>
        <w:t>1</w:t>
      </w:r>
      <w:r>
        <w:rPr>
          <w:rFonts w:hint="eastAsia" w:cstheme="minorHAnsi"/>
        </w:rPr>
        <w:t>．</w:t>
      </w:r>
      <w:r>
        <w:rPr>
          <w:rFonts w:cstheme="minorBidi"/>
        </w:rPr>
        <w:t>采用最低评标价法的采购项目，提供相同品牌产品的不同供应商参加同一合同项下投标的，以其中通过资格审查、符合性审查且报价最低的参加评标；报价相同的，由采购人或者采购人委托</w:t>
      </w:r>
      <w:r>
        <w:rPr>
          <w:rFonts w:hint="eastAsia" w:cstheme="minorBidi"/>
        </w:rPr>
        <w:t>评审</w:t>
      </w:r>
      <w:r>
        <w:rPr>
          <w:rFonts w:cstheme="minorBidi"/>
        </w:rPr>
        <w:t>委员会按照采购文件规定的方式确定一个参加评标的供应商，采购文件未规定的采取随机抽取方式确定，其他投标无效。</w:t>
      </w:r>
    </w:p>
    <w:p>
      <w:pPr>
        <w:wordWrap w:val="0"/>
        <w:ind w:firstLine="480" w:firstLineChars="200"/>
        <w:jc w:val="both"/>
        <w:rPr>
          <w:rFonts w:cstheme="minorBidi"/>
        </w:rPr>
      </w:pPr>
      <w:r>
        <w:rPr>
          <w:rFonts w:cstheme="minorBidi"/>
        </w:rPr>
        <w:t>2</w:t>
      </w:r>
      <w:r>
        <w:rPr>
          <w:rFonts w:hint="eastAsia" w:cstheme="minorHAnsi"/>
        </w:rPr>
        <w:t>．</w:t>
      </w:r>
      <w:r>
        <w:rPr>
          <w:rFonts w:cstheme="minorBidi"/>
        </w:rPr>
        <w:t>使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w:t>
      </w:r>
      <w:r>
        <w:rPr>
          <w:rFonts w:hint="eastAsia" w:cstheme="minorBidi"/>
        </w:rPr>
        <w:t>评审</w:t>
      </w:r>
      <w:r>
        <w:rPr>
          <w:rFonts w:cstheme="minorBidi"/>
        </w:rPr>
        <w:t>委员会按照采购文件规定的方式确定一个供应商获得中标供应商推荐资格，采购文件未规定的采取随机抽取方式确定，其他同品牌供应商不作为中标候选人。</w:t>
      </w:r>
    </w:p>
    <w:p>
      <w:pPr>
        <w:wordWrap w:val="0"/>
        <w:ind w:firstLine="480" w:firstLineChars="200"/>
        <w:jc w:val="both"/>
        <w:rPr>
          <w:rFonts w:cstheme="minorBidi"/>
        </w:rPr>
      </w:pPr>
      <w:r>
        <w:rPr>
          <w:rFonts w:cstheme="minorBidi"/>
        </w:rPr>
        <w:t>3</w:t>
      </w:r>
      <w:r>
        <w:rPr>
          <w:rFonts w:hint="eastAsia" w:cstheme="minorHAnsi"/>
        </w:rPr>
        <w:t>．</w:t>
      </w:r>
      <w:r>
        <w:rPr>
          <w:rFonts w:cstheme="minorBidi"/>
        </w:rPr>
        <w:t>非单一产品采购项目，采购人将根据采购项目技术构成、产品价格比重等因素确定核心产品（可能不止一种），并在采购文件中载明。多家供应商提供的核心产品有部分采用或全部采用相同品牌的，按一家供应商计算</w:t>
      </w:r>
      <w:r>
        <w:rPr>
          <w:rFonts w:hint="eastAsia" w:cstheme="minorBidi"/>
        </w:rPr>
        <w:t>，按</w:t>
      </w:r>
      <w:r>
        <w:rPr>
          <w:rFonts w:cstheme="minorBidi"/>
        </w:rPr>
        <w:t>前两款规定处理。</w:t>
      </w:r>
    </w:p>
    <w:p>
      <w:pPr>
        <w:pStyle w:val="4"/>
        <w:ind w:firstLine="482"/>
      </w:pPr>
      <w:r>
        <w:t>（七）</w:t>
      </w:r>
      <w:r>
        <w:rPr>
          <w:rFonts w:hint="eastAsia"/>
        </w:rPr>
        <w:t>关于</w:t>
      </w:r>
      <w:r>
        <w:t>知识产权和保密</w:t>
      </w:r>
      <w:r>
        <w:rPr>
          <w:rFonts w:hint="eastAsia"/>
        </w:rPr>
        <w:t>事项</w:t>
      </w:r>
    </w:p>
    <w:p>
      <w:pPr>
        <w:wordWrap w:val="0"/>
        <w:ind w:firstLine="480" w:firstLineChars="200"/>
        <w:jc w:val="both"/>
        <w:rPr>
          <w:rFonts w:cstheme="minorBidi"/>
        </w:rPr>
      </w:pPr>
      <w:r>
        <w:rPr>
          <w:rFonts w:cstheme="minorBidi"/>
        </w:rPr>
        <w:t>1</w:t>
      </w:r>
      <w:r>
        <w:rPr>
          <w:rFonts w:hint="eastAsia" w:cstheme="minorHAnsi"/>
        </w:rPr>
        <w:t>．</w:t>
      </w:r>
      <w:r>
        <w:rPr>
          <w:rFonts w:cstheme="minorBidi"/>
        </w:rPr>
        <w:t>所有涉及知识产权的产品及设计，供应商必须确保委托人、采购人拥有其合法的、不受限制的无偿使用权，并免受任何侵权诉讼或索偿</w:t>
      </w:r>
      <w:r>
        <w:rPr>
          <w:rFonts w:hint="eastAsia" w:cstheme="minorBidi"/>
        </w:rPr>
        <w:t>；</w:t>
      </w:r>
      <w:r>
        <w:rPr>
          <w:rFonts w:cstheme="minorBidi"/>
        </w:rPr>
        <w:t>否则，由此产生的一切经济损失和法律责任由供应商承担。</w:t>
      </w:r>
    </w:p>
    <w:p>
      <w:pPr>
        <w:wordWrap w:val="0"/>
        <w:ind w:firstLine="480" w:firstLineChars="200"/>
        <w:jc w:val="both"/>
        <w:rPr>
          <w:rFonts w:cstheme="minorBidi"/>
        </w:rPr>
      </w:pPr>
      <w:r>
        <w:rPr>
          <w:rFonts w:cstheme="minorBidi"/>
        </w:rPr>
        <w:t>2</w:t>
      </w:r>
      <w:r>
        <w:rPr>
          <w:rFonts w:hint="eastAsia" w:cstheme="minorHAnsi"/>
        </w:rPr>
        <w:t>．</w:t>
      </w:r>
      <w:r>
        <w:rPr>
          <w:rFonts w:cstheme="minorBidi"/>
        </w:rPr>
        <w:t>由采购人向供应商提供的用户需求书、图纸、样品、模型、模件和所有资料，供应商获得后，应对其保密。除非采购人同意，供应商不得向第三方透露或将其用于本次采购活动以外的任何用途。开标后，若采购人有要求，供应商人须归还采购人认为需保密的文件和资料，并销毁所有相应的备份文件及资料。</w:t>
      </w:r>
    </w:p>
    <w:p>
      <w:pPr>
        <w:pStyle w:val="4"/>
        <w:ind w:firstLine="482"/>
      </w:pPr>
      <w:r>
        <w:t>（八）关于信用记录的查询和使用</w:t>
      </w:r>
    </w:p>
    <w:p>
      <w:pPr>
        <w:ind w:firstLine="480" w:firstLineChars="200"/>
        <w:jc w:val="both"/>
        <w:rPr>
          <w:rFonts w:eastAsiaTheme="majorEastAsia" w:cstheme="minorHAnsi"/>
        </w:rPr>
      </w:pPr>
      <w:r>
        <w:rPr>
          <w:rFonts w:eastAsiaTheme="majorEastAsia" w:cstheme="minorHAnsi"/>
        </w:rPr>
        <w:t>1</w:t>
      </w:r>
      <w:r>
        <w:rPr>
          <w:rFonts w:hint="eastAsia" w:cstheme="minorHAnsi"/>
        </w:rPr>
        <w:t>．</w:t>
      </w:r>
      <w:r>
        <w:rPr>
          <w:rFonts w:eastAsiaTheme="majorEastAsia" w:cstheme="minorHAnsi"/>
        </w:rPr>
        <w:t>根据财政部《关于在政府采购活动中查询及使用信用记录有关问题的通知》（财库〔2016〕125号）</w:t>
      </w:r>
      <w:r>
        <w:rPr>
          <w:rFonts w:hint="eastAsia" w:eastAsiaTheme="majorEastAsia" w:cstheme="minorHAnsi"/>
        </w:rPr>
        <w:t>第二条有关要求</w:t>
      </w:r>
      <w:r>
        <w:rPr>
          <w:rFonts w:eastAsiaTheme="majorEastAsia" w:cstheme="minorHAnsi"/>
        </w:rPr>
        <w:t>，采购人将</w:t>
      </w:r>
      <w:r>
        <w:rPr>
          <w:rFonts w:eastAsiaTheme="majorEastAsia" w:cstheme="minorHAnsi"/>
          <w:color w:val="C00000"/>
        </w:rPr>
        <w:t>在资格审查阶段</w:t>
      </w:r>
      <w:r>
        <w:rPr>
          <w:rFonts w:eastAsiaTheme="majorEastAsia" w:cstheme="minorHAnsi"/>
        </w:rPr>
        <w:t>通过【信用中国】（</w:t>
      </w:r>
      <w:r>
        <w:fldChar w:fldCharType="begin"/>
      </w:r>
      <w:r>
        <w:instrText xml:space="preserve"> HYPERLINK "https://www.creditchina.gov.cn" </w:instrText>
      </w:r>
      <w:r>
        <w:fldChar w:fldCharType="separate"/>
      </w:r>
      <w:r>
        <w:rPr>
          <w:rStyle w:val="31"/>
          <w:rFonts w:eastAsiaTheme="majorEastAsia" w:cstheme="minorHAnsi"/>
          <w:color w:val="0070C0"/>
        </w:rPr>
        <w:t>https://www.creditchina.gov.cn</w:t>
      </w:r>
      <w:r>
        <w:rPr>
          <w:rStyle w:val="31"/>
          <w:rFonts w:eastAsiaTheme="majorEastAsia" w:cstheme="minorHAnsi"/>
          <w:color w:val="0070C0"/>
        </w:rPr>
        <w:fldChar w:fldCharType="end"/>
      </w:r>
      <w:r>
        <w:rPr>
          <w:rFonts w:eastAsiaTheme="majorEastAsia" w:cstheme="minorHAnsi"/>
          <w:color w:val="0070C0"/>
        </w:rPr>
        <w:t>/</w:t>
      </w:r>
      <w:r>
        <w:rPr>
          <w:rFonts w:eastAsiaTheme="majorEastAsia" w:cstheme="minorHAnsi"/>
        </w:rPr>
        <w:t>）和【中国政府采购网】（</w:t>
      </w:r>
      <w:r>
        <w:fldChar w:fldCharType="begin"/>
      </w:r>
      <w:r>
        <w:instrText xml:space="preserve"> HYPERLINK "http://www.ccgp.gov.cn/" </w:instrText>
      </w:r>
      <w:r>
        <w:fldChar w:fldCharType="separate"/>
      </w:r>
      <w:r>
        <w:rPr>
          <w:rStyle w:val="31"/>
          <w:rFonts w:eastAsiaTheme="majorEastAsia" w:cstheme="minorHAnsi"/>
          <w:color w:val="0070C0"/>
        </w:rPr>
        <w:t>http://www.ccgp.gov.cn/</w:t>
      </w:r>
      <w:r>
        <w:rPr>
          <w:rStyle w:val="31"/>
          <w:rFonts w:eastAsiaTheme="majorEastAsia" w:cstheme="minorHAnsi"/>
        </w:rPr>
        <w:t>）</w:t>
      </w:r>
      <w:r>
        <w:rPr>
          <w:rStyle w:val="31"/>
          <w:rFonts w:eastAsiaTheme="majorEastAsia" w:cstheme="minorHAnsi"/>
        </w:rPr>
        <w:fldChar w:fldCharType="end"/>
      </w:r>
      <w:r>
        <w:rPr>
          <w:rFonts w:eastAsiaTheme="majorEastAsia" w:cstheme="minorHAnsi"/>
        </w:rPr>
        <w:t>对供应商的信用情况进行甄别。</w:t>
      </w:r>
    </w:p>
    <w:p>
      <w:pPr>
        <w:ind w:firstLine="480" w:firstLineChars="200"/>
        <w:jc w:val="both"/>
        <w:rPr>
          <w:rFonts w:eastAsiaTheme="majorEastAsia" w:cstheme="minorHAnsi"/>
        </w:rPr>
      </w:pPr>
      <w:r>
        <w:rPr>
          <w:rFonts w:eastAsiaTheme="majorEastAsia" w:cstheme="minorHAnsi"/>
        </w:rPr>
        <w:t>2</w:t>
      </w:r>
      <w:r>
        <w:rPr>
          <w:rFonts w:hint="eastAsia" w:cstheme="minorHAnsi"/>
        </w:rPr>
        <w:t>．</w:t>
      </w:r>
      <w:r>
        <w:rPr>
          <w:rFonts w:eastAsiaTheme="majorEastAsia" w:cstheme="minorHAnsi"/>
        </w:rPr>
        <w:t>对列入失信被执行人、重大税收违法案件当事人名单、政府采购严重违法失信行为记录名单及其他不符合《中华人民共和国政府采购法》第二十二条规定条件的供应商，</w:t>
      </w:r>
      <w:r>
        <w:rPr>
          <w:rFonts w:hint="eastAsia" w:eastAsiaTheme="majorEastAsia" w:cstheme="minorHAnsi"/>
        </w:rPr>
        <w:t>将拒绝其参与政府采购活动</w:t>
      </w:r>
      <w:r>
        <w:rPr>
          <w:rFonts w:eastAsiaTheme="majorEastAsia" w:cstheme="minorHAnsi"/>
        </w:rPr>
        <w:t>。</w:t>
      </w:r>
    </w:p>
    <w:p>
      <w:pPr>
        <w:ind w:firstLine="480" w:firstLineChars="200"/>
        <w:jc w:val="both"/>
        <w:rPr>
          <w:rFonts w:eastAsiaTheme="majorEastAsia" w:cstheme="minorHAnsi"/>
        </w:rPr>
      </w:pPr>
      <w:r>
        <w:rPr>
          <w:rFonts w:eastAsiaTheme="majorEastAsia" w:cstheme="minorHAnsi"/>
        </w:rPr>
        <w:t>3</w:t>
      </w:r>
      <w:r>
        <w:rPr>
          <w:rFonts w:hint="eastAsia" w:cstheme="minorHAnsi"/>
        </w:rPr>
        <w:t>．</w:t>
      </w:r>
      <w:r>
        <w:rPr>
          <w:rFonts w:eastAsiaTheme="majorEastAsia" w:cstheme="minorHAnsi"/>
        </w:rPr>
        <w:t>供应商在参加政府采购活动前3年内因违法经营被禁止在一定期限内参加政府采购活动，期限届满的，可以参加政府采购活动的，但供应商应提供相关证明材料。</w:t>
      </w:r>
    </w:p>
    <w:p>
      <w:pPr>
        <w:ind w:firstLine="480" w:firstLineChars="200"/>
        <w:jc w:val="both"/>
        <w:rPr>
          <w:rFonts w:cstheme="minorBidi"/>
        </w:rPr>
      </w:pPr>
      <w:r>
        <w:rPr>
          <w:rFonts w:eastAsiaTheme="majorEastAsia" w:cstheme="minorHAnsi"/>
        </w:rPr>
        <w:t>4</w:t>
      </w:r>
      <w:r>
        <w:rPr>
          <w:rFonts w:hint="eastAsia" w:cstheme="minorHAnsi"/>
        </w:rPr>
        <w:t>．</w:t>
      </w:r>
      <w:r>
        <w:rPr>
          <w:rFonts w:hint="eastAsia" w:eastAsiaTheme="majorEastAsia" w:cstheme="minorHAnsi"/>
        </w:rPr>
        <w:t>信用记录</w:t>
      </w:r>
      <w:r>
        <w:rPr>
          <w:rFonts w:eastAsiaTheme="majorEastAsia" w:cstheme="minorHAnsi"/>
        </w:rPr>
        <w:t>查询</w:t>
      </w:r>
      <w:r>
        <w:rPr>
          <w:rFonts w:hint="eastAsia" w:eastAsiaTheme="majorEastAsia" w:cstheme="minorHAnsi"/>
        </w:rPr>
        <w:t>结果打印后，将与其他采购文件一并保存。</w:t>
      </w:r>
    </w:p>
    <w:p>
      <w:pPr>
        <w:pStyle w:val="4"/>
      </w:pPr>
      <w:r>
        <w:t>（九）</w:t>
      </w:r>
      <w:r>
        <w:rPr>
          <w:rFonts w:hint="eastAsia"/>
        </w:rPr>
        <w:t>关于现场踏勘和集中答疑</w:t>
      </w:r>
    </w:p>
    <w:p>
      <w:pPr>
        <w:ind w:firstLine="480" w:firstLineChars="200"/>
        <w:jc w:val="both"/>
      </w:pPr>
      <w:r>
        <w:rPr>
          <w:rFonts w:hint="eastAsia"/>
        </w:rPr>
        <w:t>本章「前附表」中载明组织现场踏勘或标前集中答疑活动的，各供应商应在招标文件约定的时间，派技术、预算等相关人员进行现场踏勘、参加标前集中答疑，需答疑的问题各供应商可以口头或书面形式做出。集中采购机构、采购人将共同对各供应商提出的问题进行答复，并对供应商书面提出的问题形成答疑纪要，在网上发布公告。答疑纪要与招标文件中不一致的内容，以答疑纪要为准。凡未参加现场踏勘或集中答疑的供应商，由此造成的偏差由各供应商自行负责。</w:t>
      </w:r>
    </w:p>
    <w:p>
      <w:pPr>
        <w:pStyle w:val="4"/>
      </w:pPr>
      <w:r>
        <w:t>（十）关于联合体</w:t>
      </w:r>
    </w:p>
    <w:p>
      <w:pPr>
        <w:ind w:firstLine="480" w:firstLineChars="200"/>
        <w:jc w:val="both"/>
      </w:pPr>
      <w:r>
        <w:rPr>
          <w:rFonts w:hint="eastAsia"/>
        </w:rPr>
        <w:t>1．本章「前附表」中明确注明接受联合体的，两个以上的自然人、法人或者其他组织可以组成一个联合体，以一个供应商的身份共同参加政府采购。联合体各方均为中小企业的，联合体视同中小企业。其中，联合体各方均为小微企业的，联合体视同小微企业。</w:t>
      </w:r>
    </w:p>
    <w:p>
      <w:pPr>
        <w:ind w:firstLine="480" w:firstLineChars="200"/>
        <w:jc w:val="both"/>
      </w:pPr>
      <w:r>
        <w:rPr>
          <w:rFonts w:hint="eastAsia"/>
        </w:rPr>
        <w:t>2．联合协议及牵头方：联合体各方之间应当签订联合协议，明确载明各方承担的工作和义务，并由各方共同签署。联合协议必须指定牵头方，授权其代表所有联合体成员负责投</w:t>
      </w:r>
      <w:r>
        <w:rPr>
          <w:rFonts w:hint="eastAsia"/>
          <w:w w:val="1"/>
        </w:rPr>
        <w:t>　</w:t>
      </w:r>
      <w:r>
        <w:rPr>
          <w:rFonts w:hint="eastAsia"/>
        </w:rPr>
        <w:t>标和合同实施阶段的主办、组织和协调工作。联合体提交的投标文件、澄清、说明或补正由联合体牵头方的法定代表人（负责人）或其授权的代表签字或盖章（采购文件另有约定的从其约定），并对联合体各方负责。联合协议作为资格证明文件的一部分，随投标文件一并提交；进行资格预审的项目，联合协议应当在提交资格预审申请文件时一并提交。</w:t>
      </w:r>
    </w:p>
    <w:p>
      <w:pPr>
        <w:ind w:firstLine="480" w:firstLineChars="200"/>
        <w:jc w:val="both"/>
      </w:pPr>
      <w:r>
        <w:t>3</w:t>
      </w:r>
      <w:r>
        <w:rPr>
          <w:rFonts w:hint="eastAsia"/>
        </w:rPr>
        <w:t>．联合体资质：以联合体形式参加政府采购活动的，联合体各方均应当具备《政府采购法》第二十二条规定的基本条件。采购人根据项目特点设定的特定资格条件，按照联合协议承担特定工作的供应商应满足对应的资质要求；联合体中有同类资质的供应商按照联合体分工承担相同工作的，按照资质等级较低的供应商确定资质等级。</w:t>
      </w:r>
    </w:p>
    <w:p>
      <w:pPr>
        <w:ind w:firstLine="480" w:firstLineChars="200"/>
        <w:jc w:val="both"/>
      </w:pPr>
      <w:r>
        <w:t>4</w:t>
      </w:r>
      <w:r>
        <w:rPr>
          <w:rFonts w:hint="eastAsia"/>
        </w:rPr>
        <w:t>．联合体信用记录：资格审查时，将对所有联合体成员进行信用记录查询，联合体成员存在不良信用记录的，视同联合体存在不良信用记录。</w:t>
      </w:r>
    </w:p>
    <w:p>
      <w:pPr>
        <w:ind w:firstLine="480" w:firstLineChars="200"/>
        <w:jc w:val="both"/>
      </w:pPr>
      <w:r>
        <w:rPr>
          <w:rFonts w:hint="eastAsia"/>
        </w:rPr>
        <w:t>5．商务响应的评审：采购项目以业绩、奖项作为加分或中标条件时，联合体成员中只要有一方具有相应的业绩、奖项即可。联合体成员间出现同一业绩或同一奖项的，不重复计算。</w:t>
      </w:r>
    </w:p>
    <w:p>
      <w:pPr>
        <w:ind w:firstLine="480" w:firstLineChars="200"/>
        <w:jc w:val="both"/>
      </w:pPr>
      <w:r>
        <w:rPr>
          <w:rFonts w:hint="eastAsia"/>
        </w:rPr>
        <w:t>6．联合体可享受的中小企业优惠政策：</w:t>
      </w:r>
    </w:p>
    <w:p>
      <w:pPr>
        <w:ind w:firstLine="480" w:firstLineChars="200"/>
        <w:jc w:val="both"/>
      </w:pPr>
      <w:r>
        <w:rPr>
          <w:rFonts w:hint="eastAsia"/>
        </w:rPr>
        <w:t>（1）对于预留份额专门面向中小企业的采购项目（或采购包），以联合体形式参加采购活动的，联合体中中小企业承担的部分应达到采购文件规定的比例。组成联合体的</w:t>
      </w:r>
      <w:r>
        <w:rPr>
          <w:rFonts w:hint="eastAsia"/>
          <w:color w:val="C00000"/>
        </w:rPr>
        <w:t>中小企业</w:t>
      </w:r>
      <w:r>
        <w:rPr>
          <w:rFonts w:hint="eastAsia"/>
        </w:rPr>
        <w:t>与联合体内其他企业之间存在直接控股、管理关系的，投标无效。</w:t>
      </w:r>
    </w:p>
    <w:p>
      <w:pPr>
        <w:ind w:firstLine="480" w:firstLineChars="200"/>
        <w:jc w:val="both"/>
      </w:pPr>
      <w:r>
        <w:rPr>
          <w:rFonts w:hint="eastAsia"/>
        </w:rPr>
        <w:t>（2）对于未预留份额专门面向中小企业采购的采购项目，以及预留份额项目中的非预留部分采购包，当联合协议中约定小微企业的合同份额占到合同总金额30%以上时，根据《关于进一步加大政府采购支持中小企业力度的通知》（财库〔2022〕19号）第二条规定对联合体或者大中型企业的报价给予4%-6%（工程项目为1%-2%）的扣除，用扣除后的价格参加评审。组成联合体</w:t>
      </w:r>
      <w:r>
        <w:rPr>
          <w:rFonts w:hint="eastAsia"/>
          <w:color w:val="C00000"/>
        </w:rPr>
        <w:t>小微企业</w:t>
      </w:r>
      <w:r>
        <w:rPr>
          <w:rFonts w:hint="eastAsia"/>
        </w:rPr>
        <w:t>与联合体内其他企业、分包企业之间存在直接控股、管理关系的，不享受价格扣除优惠政策。</w:t>
      </w:r>
    </w:p>
    <w:p>
      <w:pPr>
        <w:ind w:firstLine="480" w:firstLineChars="200"/>
        <w:jc w:val="both"/>
      </w:pPr>
      <w:r>
        <w:rPr>
          <w:rFonts w:hint="eastAsia"/>
        </w:rPr>
        <w:t>7．联合体出现下列情形之一的，投标无效：</w:t>
      </w:r>
    </w:p>
    <w:p>
      <w:pPr>
        <w:ind w:firstLine="480" w:firstLineChars="200"/>
        <w:jc w:val="both"/>
      </w:pPr>
      <w:r>
        <w:rPr>
          <w:rFonts w:hint="eastAsia"/>
        </w:rPr>
        <w:t>（1）联合体没有提交有效的联合协议的；</w:t>
      </w:r>
    </w:p>
    <w:p>
      <w:pPr>
        <w:ind w:firstLine="480" w:firstLineChars="200"/>
        <w:jc w:val="both"/>
      </w:pPr>
      <w:r>
        <w:rPr>
          <w:rFonts w:hint="eastAsia"/>
        </w:rPr>
        <w:t>（2）进行资格预审的项目，资格预审后联合体增减、更换成员的；</w:t>
      </w:r>
    </w:p>
    <w:p>
      <w:pPr>
        <w:ind w:firstLine="480" w:firstLineChars="200"/>
        <w:jc w:val="both"/>
      </w:pPr>
      <w:r>
        <w:rPr>
          <w:rFonts w:hint="eastAsia"/>
        </w:rPr>
        <w:t>（3）联合协议签订后，联合体成员单独参加或者与其他供应商另外组成联合体参加同一合同项下的政府采购活动的。</w:t>
      </w:r>
    </w:p>
    <w:p>
      <w:pPr>
        <w:pStyle w:val="4"/>
        <w:ind w:firstLine="482"/>
      </w:pPr>
      <w:r>
        <w:t>（十一）</w:t>
      </w:r>
      <w:r>
        <w:rPr>
          <w:rFonts w:hint="eastAsia"/>
        </w:rPr>
        <w:t>其他重要</w:t>
      </w:r>
      <w:r>
        <w:t>事项</w:t>
      </w:r>
    </w:p>
    <w:p>
      <w:pPr>
        <w:wordWrap w:val="0"/>
        <w:ind w:firstLine="480" w:firstLineChars="200"/>
        <w:jc w:val="both"/>
        <w:rPr>
          <w:rFonts w:cstheme="minorBidi"/>
        </w:rPr>
      </w:pPr>
      <w:r>
        <w:rPr>
          <w:rFonts w:cstheme="minorBidi"/>
        </w:rPr>
        <w:t>1</w:t>
      </w:r>
      <w:r>
        <w:rPr>
          <w:rFonts w:hint="eastAsia" w:cstheme="minorHAnsi"/>
        </w:rPr>
        <w:t>．</w:t>
      </w:r>
      <w:r>
        <w:rPr>
          <w:rFonts w:cstheme="minorBidi"/>
        </w:rPr>
        <w:t>招标文件</w:t>
      </w:r>
      <w:r>
        <w:rPr>
          <w:rFonts w:hint="eastAsia" w:cstheme="minorBidi"/>
        </w:rPr>
        <w:t>内</w:t>
      </w:r>
      <w:r>
        <w:rPr>
          <w:rFonts w:cstheme="minorBidi"/>
        </w:rPr>
        <w:t>所</w:t>
      </w:r>
      <w:r>
        <w:rPr>
          <w:rFonts w:hint="eastAsia" w:cstheme="minorBidi"/>
        </w:rPr>
        <w:t>附</w:t>
      </w:r>
      <w:r>
        <w:rPr>
          <w:rFonts w:cstheme="minorBidi"/>
        </w:rPr>
        <w:t>网络链接仅供参考，</w:t>
      </w:r>
      <w:r>
        <w:rPr>
          <w:rFonts w:hint="eastAsia" w:cstheme="minorBidi"/>
        </w:rPr>
        <w:t>不</w:t>
      </w:r>
      <w:r>
        <w:rPr>
          <w:rFonts w:cstheme="minorBidi"/>
        </w:rPr>
        <w:t>保证其长期有效性。</w:t>
      </w:r>
    </w:p>
    <w:p>
      <w:pPr>
        <w:wordWrap w:val="0"/>
        <w:ind w:firstLine="480" w:firstLineChars="200"/>
        <w:jc w:val="both"/>
        <w:rPr>
          <w:rFonts w:cstheme="minorBidi"/>
        </w:rPr>
      </w:pPr>
      <w:r>
        <w:rPr>
          <w:rFonts w:hint="eastAsia" w:cstheme="minorBidi"/>
        </w:rPr>
        <w:t>2</w:t>
      </w:r>
      <w:r>
        <w:rPr>
          <w:rFonts w:hint="eastAsia" w:cstheme="minorHAnsi"/>
        </w:rPr>
        <w:t>．</w:t>
      </w:r>
      <w:r>
        <w:rPr>
          <w:rFonts w:cstheme="minorBidi"/>
        </w:rPr>
        <w:t>供应商参加本次采购活动的费用自理</w:t>
      </w:r>
      <w:r>
        <w:rPr>
          <w:rFonts w:hint="eastAsia" w:cstheme="minorBidi"/>
        </w:rPr>
        <w:t>。</w:t>
      </w:r>
    </w:p>
    <w:p>
      <w:pPr>
        <w:pStyle w:val="3"/>
      </w:pPr>
      <w:r>
        <w:t>三、招标文件</w:t>
      </w:r>
    </w:p>
    <w:p>
      <w:pPr>
        <w:pStyle w:val="4"/>
        <w:ind w:firstLine="482"/>
      </w:pPr>
      <w:r>
        <w:t>（一）招标</w:t>
      </w:r>
      <w:r>
        <w:rPr>
          <w:rFonts w:hint="eastAsia"/>
        </w:rPr>
        <w:t>文件的解释权</w:t>
      </w:r>
    </w:p>
    <w:p>
      <w:pPr>
        <w:ind w:firstLine="480" w:firstLineChars="200"/>
        <w:jc w:val="both"/>
        <w:rPr>
          <w:rFonts w:cstheme="minorHAnsi"/>
        </w:rPr>
      </w:pPr>
      <w:r>
        <w:rPr>
          <w:rFonts w:cstheme="minorHAnsi"/>
        </w:rPr>
        <w:t>本项目招标文件的解释权</w:t>
      </w:r>
      <w:r>
        <w:rPr>
          <w:rFonts w:hint="eastAsia" w:cstheme="minorHAnsi"/>
        </w:rPr>
        <w:t>归采购代理机构，评标委员会成员应根据政府采购法律法规和招标文件所载明的评审方法、标准进行评审。</w:t>
      </w:r>
    </w:p>
    <w:p>
      <w:pPr>
        <w:pStyle w:val="4"/>
        <w:ind w:firstLine="482"/>
      </w:pPr>
      <w:r>
        <w:t>（二）招标文件主要内容</w:t>
      </w:r>
    </w:p>
    <w:p>
      <w:pPr>
        <w:ind w:firstLine="480" w:firstLineChars="200"/>
        <w:jc w:val="both"/>
        <w:rPr>
          <w:rFonts w:cstheme="minorHAnsi"/>
        </w:rPr>
      </w:pPr>
      <w:r>
        <w:rPr>
          <w:rFonts w:cstheme="minorHAnsi"/>
        </w:rPr>
        <w:t>第</w:t>
      </w:r>
      <w:r>
        <w:rPr>
          <w:rFonts w:hint="eastAsia" w:cstheme="minorHAnsi"/>
          <w:b/>
        </w:rPr>
        <w:t>1</w:t>
      </w:r>
      <w:r>
        <w:rPr>
          <w:rFonts w:cstheme="minorHAnsi"/>
        </w:rPr>
        <w:t>章</w:t>
      </w:r>
      <w:r>
        <w:rPr>
          <w:rFonts w:hint="eastAsia" w:cstheme="minorHAnsi"/>
        </w:rPr>
        <w:t>　</w:t>
      </w:r>
      <w:r>
        <w:rPr>
          <w:rFonts w:cstheme="minorHAnsi"/>
        </w:rPr>
        <w:t>投标邀请函</w:t>
      </w:r>
    </w:p>
    <w:p>
      <w:pPr>
        <w:ind w:firstLine="480" w:firstLineChars="200"/>
        <w:jc w:val="both"/>
        <w:rPr>
          <w:rFonts w:cstheme="minorHAnsi"/>
        </w:rPr>
      </w:pPr>
      <w:r>
        <w:rPr>
          <w:rFonts w:cstheme="minorHAnsi"/>
        </w:rPr>
        <w:t>第</w:t>
      </w:r>
      <w:r>
        <w:rPr>
          <w:rFonts w:hint="eastAsia" w:cstheme="minorHAnsi"/>
          <w:b/>
        </w:rPr>
        <w:t>2</w:t>
      </w:r>
      <w:r>
        <w:rPr>
          <w:rFonts w:cstheme="minorHAnsi"/>
        </w:rPr>
        <w:t>章</w:t>
      </w:r>
      <w:r>
        <w:rPr>
          <w:rFonts w:hint="eastAsia" w:cstheme="minorHAnsi"/>
        </w:rPr>
        <w:t>　</w:t>
      </w:r>
      <w:r>
        <w:rPr>
          <w:rFonts w:cstheme="minorHAnsi"/>
        </w:rPr>
        <w:t>供应商须知</w:t>
      </w:r>
    </w:p>
    <w:p>
      <w:pPr>
        <w:ind w:firstLine="480" w:firstLineChars="200"/>
        <w:jc w:val="both"/>
        <w:rPr>
          <w:rFonts w:cstheme="minorHAnsi"/>
        </w:rPr>
      </w:pPr>
      <w:r>
        <w:rPr>
          <w:rFonts w:cstheme="minorHAnsi"/>
        </w:rPr>
        <w:t>第</w:t>
      </w:r>
      <w:r>
        <w:rPr>
          <w:rFonts w:hint="eastAsia" w:cstheme="minorHAnsi"/>
          <w:b/>
        </w:rPr>
        <w:t>3</w:t>
      </w:r>
      <w:r>
        <w:rPr>
          <w:rFonts w:cstheme="minorHAnsi"/>
        </w:rPr>
        <w:t>章</w:t>
      </w:r>
      <w:r>
        <w:rPr>
          <w:rFonts w:hint="eastAsia" w:cstheme="minorHAnsi"/>
        </w:rPr>
        <w:t>　</w:t>
      </w:r>
      <w:r>
        <w:rPr>
          <w:rFonts w:cstheme="minorHAnsi"/>
        </w:rPr>
        <w:t>招标内容及要求</w:t>
      </w:r>
    </w:p>
    <w:p>
      <w:pPr>
        <w:ind w:firstLine="480" w:firstLineChars="200"/>
        <w:jc w:val="both"/>
        <w:rPr>
          <w:rFonts w:cstheme="minorHAnsi"/>
        </w:rPr>
      </w:pPr>
      <w:r>
        <w:rPr>
          <w:rFonts w:cstheme="minorHAnsi"/>
        </w:rPr>
        <w:t>第</w:t>
      </w:r>
      <w:r>
        <w:rPr>
          <w:rFonts w:hint="eastAsia" w:cstheme="minorHAnsi"/>
          <w:b/>
        </w:rPr>
        <w:t>4</w:t>
      </w:r>
      <w:r>
        <w:rPr>
          <w:rFonts w:cstheme="minorHAnsi"/>
        </w:rPr>
        <w:t>章</w:t>
      </w:r>
      <w:r>
        <w:rPr>
          <w:rFonts w:hint="eastAsia" w:cstheme="minorHAnsi"/>
        </w:rPr>
        <w:t>　</w:t>
      </w:r>
      <w:r>
        <w:rPr>
          <w:rFonts w:cstheme="minorHAnsi"/>
        </w:rPr>
        <w:t>合同文本</w:t>
      </w:r>
    </w:p>
    <w:p>
      <w:pPr>
        <w:ind w:firstLine="480" w:firstLineChars="200"/>
        <w:jc w:val="both"/>
        <w:rPr>
          <w:rFonts w:cstheme="minorHAnsi"/>
        </w:rPr>
      </w:pPr>
      <w:r>
        <w:rPr>
          <w:rFonts w:cstheme="minorHAnsi"/>
        </w:rPr>
        <w:t>第</w:t>
      </w:r>
      <w:r>
        <w:rPr>
          <w:rFonts w:hint="eastAsia" w:cstheme="minorHAnsi"/>
          <w:b/>
        </w:rPr>
        <w:t>5</w:t>
      </w:r>
      <w:r>
        <w:rPr>
          <w:rFonts w:cstheme="minorHAnsi"/>
        </w:rPr>
        <w:t>章</w:t>
      </w:r>
      <w:r>
        <w:rPr>
          <w:rFonts w:hint="eastAsia" w:cstheme="minorHAnsi"/>
        </w:rPr>
        <w:t>　</w:t>
      </w:r>
      <w:r>
        <w:rPr>
          <w:rFonts w:cstheme="minorHAnsi"/>
        </w:rPr>
        <w:t>投标文件构成及格式</w:t>
      </w:r>
    </w:p>
    <w:p>
      <w:pPr>
        <w:pStyle w:val="4"/>
        <w:ind w:firstLine="482"/>
      </w:pPr>
      <w:r>
        <w:t>（三）招标文件的检查及阅读</w:t>
      </w:r>
    </w:p>
    <w:p>
      <w:pPr>
        <w:ind w:firstLine="480" w:firstLineChars="200"/>
        <w:jc w:val="both"/>
        <w:rPr>
          <w:rFonts w:cstheme="minorHAnsi"/>
        </w:rPr>
      </w:pPr>
      <w:r>
        <w:rPr>
          <w:rFonts w:cstheme="minorHAnsi"/>
        </w:rPr>
        <w:t>供应商应认真阅读和充分理解招标文件中所有的事项、格式条款和规范要求，在投标文件中对招标文件做出全面响</w:t>
      </w:r>
      <w:r>
        <w:rPr>
          <w:rFonts w:cstheme="minorHAnsi"/>
          <w:w w:val="1"/>
        </w:rPr>
        <w:t xml:space="preserve"> </w:t>
      </w:r>
      <w:r>
        <w:rPr>
          <w:rFonts w:cstheme="minorHAnsi"/>
        </w:rPr>
        <w:t>应，并按招标文件的要求提交全部资料。</w:t>
      </w:r>
    </w:p>
    <w:p>
      <w:pPr>
        <w:ind w:firstLine="480" w:firstLineChars="200"/>
        <w:jc w:val="both"/>
        <w:rPr>
          <w:rFonts w:cstheme="minorHAnsi"/>
        </w:rPr>
      </w:pPr>
      <w:r>
        <w:rPr>
          <w:rFonts w:cstheme="minorHAnsi"/>
        </w:rPr>
        <w:t>项目废标后重新组织招标的，采购代理机构将重新编制、发布新的招标文件，供应商应按新版招标文件重新编制投标文件。原招标文件及投标文件失效。</w:t>
      </w:r>
    </w:p>
    <w:p>
      <w:pPr>
        <w:pStyle w:val="4"/>
        <w:ind w:firstLine="482"/>
      </w:pPr>
      <w:r>
        <w:t>（四）招标文件的修改、澄清</w:t>
      </w:r>
    </w:p>
    <w:p>
      <w:pPr>
        <w:ind w:firstLine="480" w:firstLineChars="200"/>
        <w:jc w:val="both"/>
        <w:rPr>
          <w:rFonts w:cstheme="minorHAnsi"/>
        </w:rPr>
      </w:pPr>
      <w:r>
        <w:rPr>
          <w:rFonts w:hint="eastAsia" w:cstheme="minorHAnsi"/>
        </w:rPr>
        <w:t>1．提交投标文件截止之日前，采购人或采购代理机构可能对已发出的招标文件进行澄清或者修改，</w:t>
      </w:r>
      <w:r>
        <w:rPr>
          <w:rFonts w:cstheme="minorHAnsi"/>
        </w:rPr>
        <w:t>澄清或者修改的内容为招标文件的组成部分。</w:t>
      </w:r>
    </w:p>
    <w:p>
      <w:pPr>
        <w:ind w:firstLine="480" w:firstLineChars="200"/>
        <w:jc w:val="both"/>
        <w:rPr>
          <w:rFonts w:cstheme="minorHAnsi"/>
        </w:rPr>
      </w:pPr>
      <w:r>
        <w:rPr>
          <w:rFonts w:hint="eastAsia" w:cstheme="minorHAnsi"/>
        </w:rPr>
        <w:t>2．澄清或者修改的内容可能影响投标文件编制的，采购人或者采购代理机构将在投标截止时间至少15日前，在原公告发布媒体上发布澄清公告；不足15日的，采购人或者采购代理机构将顺延提交投标文件的截止时间。</w:t>
      </w:r>
    </w:p>
    <w:p>
      <w:pPr>
        <w:ind w:firstLine="480" w:firstLineChars="200"/>
        <w:jc w:val="both"/>
        <w:rPr>
          <w:rFonts w:cstheme="minorHAnsi"/>
        </w:rPr>
      </w:pPr>
      <w:r>
        <w:rPr>
          <w:rFonts w:hint="eastAsia" w:cstheme="minorHAnsi"/>
        </w:rPr>
        <w:t>3．澄清或修改的内容可能影响投标文件编制时，采购代理机构将在发布变更公告的同时，提醒供应商下载</w:t>
      </w:r>
      <w:r>
        <w:rPr>
          <w:rFonts w:cstheme="minorHAnsi"/>
        </w:rPr>
        <w:t>答疑文件（*.SXSCF，即更新后的电子招标文件）。</w:t>
      </w:r>
      <w:r>
        <w:rPr>
          <w:rFonts w:hint="eastAsia" w:cstheme="minorHAnsi"/>
        </w:rPr>
        <w:t>供应商应及时从西安市公共资源交易平台〖首页</w:t>
      </w:r>
      <w:r>
        <w:rPr>
          <w:rFonts w:cstheme="minorHAnsi"/>
        </w:rPr>
        <w:t>·</w:t>
      </w:r>
      <w:r>
        <w:rPr>
          <w:rFonts w:hint="eastAsia" w:cstheme="minorHAnsi"/>
        </w:rPr>
        <w:t>〉电子交易平台</w:t>
      </w:r>
      <w:r>
        <w:rPr>
          <w:rFonts w:cstheme="minorHAnsi"/>
        </w:rPr>
        <w:t>·</w:t>
      </w:r>
      <w:r>
        <w:rPr>
          <w:rFonts w:hint="eastAsia" w:cstheme="minorHAnsi"/>
        </w:rPr>
        <w:t>〉</w:t>
      </w:r>
      <w:r>
        <w:t>陕西政府采购交易系统·〉</w:t>
      </w:r>
      <w:r>
        <w:rPr>
          <w:rFonts w:hint="eastAsia" w:cstheme="minorHAnsi"/>
        </w:rPr>
        <w:t>企业端〗登录，登录后切换到〖我的项目〗模块，从〖项目流程</w:t>
      </w:r>
      <w:r>
        <w:rPr>
          <w:rFonts w:cstheme="minorHAnsi"/>
        </w:rPr>
        <w:t>·</w:t>
      </w:r>
      <w:r>
        <w:rPr>
          <w:rFonts w:hint="eastAsia" w:cstheme="minorHAnsi"/>
        </w:rPr>
        <w:t>〉项目管理</w:t>
      </w:r>
      <w:r>
        <w:rPr>
          <w:rFonts w:cstheme="minorHAnsi"/>
        </w:rPr>
        <w:t>·</w:t>
      </w:r>
      <w:r>
        <w:rPr>
          <w:rFonts w:hint="eastAsia" w:cstheme="minorHAnsi"/>
        </w:rPr>
        <w:t>〉答疑文件下载〗获取更新后的电子招标文件（*.SXSCF），使用旧版电子招标文件制作的电子投标文件（*.SXSTF），系统将拒绝接收。</w:t>
      </w:r>
    </w:p>
    <w:p>
      <w:pPr>
        <w:ind w:firstLine="480" w:firstLineChars="200"/>
        <w:jc w:val="both"/>
      </w:pPr>
      <w:r>
        <w:rPr>
          <w:rFonts w:cstheme="minorHAnsi"/>
        </w:rPr>
        <w:t>4</w:t>
      </w:r>
      <w:r>
        <w:rPr>
          <w:rFonts w:hint="eastAsia" w:cstheme="minorHAnsi"/>
        </w:rPr>
        <w:t>．</w:t>
      </w:r>
      <w:r>
        <w:rPr>
          <w:color w:val="C00000"/>
        </w:rPr>
        <w:t>请各供应商在提交投标文件截止时间之前，务必随时关注</w:t>
      </w:r>
      <w:r>
        <w:rPr>
          <w:rFonts w:hint="eastAsia"/>
          <w:color w:val="C00000"/>
        </w:rPr>
        <w:t>“</w:t>
      </w:r>
      <w:r>
        <w:rPr>
          <w:rFonts w:hint="eastAsia"/>
          <w:color w:val="7030A0"/>
        </w:rPr>
        <w:t>政府采购信息发布媒体</w:t>
      </w:r>
      <w:r>
        <w:rPr>
          <w:rFonts w:hint="eastAsia"/>
          <w:color w:val="C00000"/>
        </w:rPr>
        <w:t>”上</w:t>
      </w:r>
      <w:r>
        <w:rPr>
          <w:color w:val="C00000"/>
        </w:rPr>
        <w:t>发布的变更公告，采购代理机构不再另行通知，因供应商未及时关注所造成的一切后果由供应商自行承担</w:t>
      </w:r>
      <w:r>
        <w:t>：</w:t>
      </w:r>
    </w:p>
    <w:p>
      <w:pPr>
        <w:ind w:firstLine="480" w:firstLineChars="200"/>
        <w:jc w:val="both"/>
      </w:pPr>
      <w:r>
        <w:t>（1）【</w:t>
      </w:r>
      <w:r>
        <w:fldChar w:fldCharType="begin"/>
      </w:r>
      <w:r>
        <w:instrText xml:space="preserve"> HYPERLINK "http://www.ccgp-shaanxi.gov.cn" </w:instrText>
      </w:r>
      <w:r>
        <w:fldChar w:fldCharType="separate"/>
      </w:r>
      <w:r>
        <w:t>陕西省政府采购网</w:t>
      </w:r>
      <w:r>
        <w:fldChar w:fldCharType="end"/>
      </w:r>
      <w:r>
        <w:t>】（</w:t>
      </w:r>
      <w:r>
        <w:fldChar w:fldCharType="begin"/>
      </w:r>
      <w:r>
        <w:instrText xml:space="preserve"> HYPERLINK "http://www.ccgp-shaanxi.gov.cn/" </w:instrText>
      </w:r>
      <w:r>
        <w:fldChar w:fldCharType="separate"/>
      </w:r>
      <w:r>
        <w:rPr>
          <w:rStyle w:val="31"/>
          <w:color w:val="0070C0"/>
        </w:rPr>
        <w:t>http://www.ccgp-shaanxi.gov.cn/</w:t>
      </w:r>
      <w:r>
        <w:rPr>
          <w:rStyle w:val="31"/>
          <w:color w:val="0070C0"/>
        </w:rPr>
        <w:fldChar w:fldCharType="end"/>
      </w:r>
      <w:r>
        <w:t>）中的〖首页·〉信息公告·〉市级·〉西安市〗；</w:t>
      </w:r>
    </w:p>
    <w:p>
      <w:pPr>
        <w:ind w:firstLine="480" w:firstLineChars="200"/>
        <w:jc w:val="both"/>
        <w:rPr>
          <w:rFonts w:cstheme="minorHAnsi"/>
        </w:rPr>
      </w:pPr>
      <w:r>
        <w:t>（2）【</w:t>
      </w:r>
      <w:r>
        <w:fldChar w:fldCharType="begin"/>
      </w:r>
      <w:r>
        <w:instrText xml:space="preserve"> HYPERLINK "http://xa.sxggzyjy.cn/" </w:instrText>
      </w:r>
      <w:r>
        <w:fldChar w:fldCharType="separate"/>
      </w:r>
      <w:r>
        <w:t>全国公共资源交易网（陕西省·西安市）</w:t>
      </w:r>
      <w:r>
        <w:fldChar w:fldCharType="end"/>
      </w:r>
      <w:r>
        <w:t>】（</w:t>
      </w:r>
      <w:r>
        <w:fldChar w:fldCharType="begin"/>
      </w:r>
      <w:r>
        <w:instrText xml:space="preserve"> HYPERLINK "http://sxggzyjy.xa.gov.cn/" </w:instrText>
      </w:r>
      <w:r>
        <w:fldChar w:fldCharType="separate"/>
      </w:r>
      <w:r>
        <w:rPr>
          <w:rStyle w:val="31"/>
          <w:rFonts w:hint="eastAsia"/>
          <w:color w:val="0070C0"/>
        </w:rPr>
        <w:t>http://</w:t>
      </w:r>
      <w:r>
        <w:rPr>
          <w:rStyle w:val="31"/>
          <w:color w:val="0070C0"/>
        </w:rPr>
        <w:t>sxggzyjy.xa.gov.cn/</w:t>
      </w:r>
      <w:r>
        <w:rPr>
          <w:rStyle w:val="31"/>
          <w:color w:val="0070C0"/>
        </w:rPr>
        <w:fldChar w:fldCharType="end"/>
      </w:r>
      <w:r>
        <w:t>）中的〖首页·〉交易大厅·〉政府采购〗。</w:t>
      </w:r>
    </w:p>
    <w:p>
      <w:pPr>
        <w:pStyle w:val="3"/>
      </w:pPr>
      <w:r>
        <w:t>四、投标文件</w:t>
      </w:r>
    </w:p>
    <w:p>
      <w:pPr>
        <w:pStyle w:val="4"/>
        <w:ind w:firstLine="482"/>
      </w:pPr>
      <w:r>
        <w:rPr>
          <w:rFonts w:hint="eastAsia"/>
        </w:rPr>
        <w:t>（一）投标文件</w:t>
      </w:r>
      <w:r>
        <w:t>的式样</w:t>
      </w:r>
    </w:p>
    <w:p>
      <w:pPr>
        <w:pStyle w:val="81"/>
        <w:ind w:firstLine="480"/>
      </w:pPr>
      <w:r>
        <w:t>1</w:t>
      </w:r>
      <w:r>
        <w:rPr>
          <w:rFonts w:hint="eastAsia"/>
          <w:color w:val="auto"/>
        </w:rPr>
        <w:t>．</w:t>
      </w:r>
      <w:r>
        <w:rPr>
          <w:rFonts w:hint="eastAsia"/>
        </w:rPr>
        <w:t>组成</w:t>
      </w:r>
      <w:r>
        <w:t>及格式</w:t>
      </w:r>
    </w:p>
    <w:p>
      <w:pPr>
        <w:pStyle w:val="81"/>
        <w:ind w:firstLine="480"/>
      </w:pPr>
      <w:r>
        <w:t>供应商依照招标文件</w:t>
      </w:r>
      <w:r>
        <w:rPr>
          <w:color w:val="C00000"/>
        </w:rPr>
        <w:t>第五章《投标文件构成及格式》</w:t>
      </w:r>
      <w:r>
        <w:t>给定形式进行编制</w:t>
      </w:r>
      <w:r>
        <w:rPr>
          <w:rFonts w:hint="eastAsia"/>
        </w:rPr>
        <w:t>投标文件</w:t>
      </w:r>
      <w:r>
        <w:t>。项目分</w:t>
      </w:r>
      <w:r>
        <w:rPr>
          <w:rFonts w:hint="eastAsia"/>
        </w:rPr>
        <w:t>采购包</w:t>
      </w:r>
      <w:r>
        <w:t>的，应按所投</w:t>
      </w:r>
      <w:r>
        <w:rPr>
          <w:rFonts w:hint="eastAsia"/>
          <w:w w:val="1"/>
        </w:rPr>
        <w:t xml:space="preserve"> </w:t>
      </w:r>
      <w:r>
        <w:rPr>
          <w:rFonts w:hint="eastAsia"/>
        </w:rPr>
        <w:t>采购包</w:t>
      </w:r>
      <w:r>
        <w:t>分别准备投标文件。</w:t>
      </w:r>
    </w:p>
    <w:p>
      <w:pPr>
        <w:pStyle w:val="81"/>
        <w:ind w:firstLine="480"/>
      </w:pPr>
      <w:r>
        <w:rPr>
          <w:rFonts w:hint="eastAsia"/>
        </w:rPr>
        <w:t>2</w:t>
      </w:r>
      <w:r>
        <w:rPr>
          <w:rFonts w:hint="eastAsia"/>
          <w:color w:val="auto"/>
        </w:rPr>
        <w:t>．</w:t>
      </w:r>
      <w:r>
        <w:rPr>
          <w:rFonts w:hint="eastAsia"/>
        </w:rPr>
        <w:t>语言</w:t>
      </w:r>
    </w:p>
    <w:p>
      <w:pPr>
        <w:pStyle w:val="81"/>
        <w:ind w:firstLine="480"/>
      </w:pPr>
      <w:r>
        <w:rPr>
          <w:rFonts w:hint="eastAsia"/>
        </w:rPr>
        <w:t>招标活动的所有文件、资料、函电文字均使用简体中文，确需提交用其他语言形成的资料，必须翻译成简体中文，如有差异，以简体中文为准。</w:t>
      </w:r>
    </w:p>
    <w:p>
      <w:pPr>
        <w:pStyle w:val="81"/>
        <w:ind w:firstLine="480"/>
      </w:pPr>
      <w:r>
        <w:rPr>
          <w:rFonts w:hint="eastAsia"/>
        </w:rPr>
        <w:t>3</w:t>
      </w:r>
      <w:r>
        <w:rPr>
          <w:rFonts w:hint="eastAsia"/>
          <w:color w:val="auto"/>
        </w:rPr>
        <w:t>．</w:t>
      </w:r>
      <w:r>
        <w:t>计量单位</w:t>
      </w:r>
    </w:p>
    <w:p>
      <w:pPr>
        <w:pStyle w:val="81"/>
        <w:ind w:firstLine="480"/>
      </w:pPr>
      <w:r>
        <w:rPr>
          <w:rFonts w:hint="eastAsia"/>
        </w:rPr>
        <w:t>投标文件的计量单位应使用中华人民共和国法定计量单位，但招标文件另有规定的除外。</w:t>
      </w:r>
    </w:p>
    <w:p>
      <w:pPr>
        <w:pStyle w:val="4"/>
        <w:ind w:firstLine="482"/>
      </w:pPr>
      <w:r>
        <w:rPr>
          <w:rFonts w:hint="eastAsia"/>
        </w:rPr>
        <w:t>（二）投标文件</w:t>
      </w:r>
      <w:r>
        <w:t>的有效期</w:t>
      </w:r>
    </w:p>
    <w:p>
      <w:pPr>
        <w:pStyle w:val="81"/>
        <w:ind w:firstLine="480"/>
      </w:pPr>
      <w:r>
        <w:rPr>
          <w:rFonts w:hint="eastAsia"/>
        </w:rPr>
        <w:t>投标文件有效期为</w:t>
      </w:r>
      <w:r>
        <w:rPr>
          <w:rFonts w:hint="eastAsia"/>
          <w:color w:val="C00000"/>
        </w:rPr>
        <w:t>自开标之日起不少于</w:t>
      </w:r>
      <w:r>
        <w:rPr>
          <w:color w:val="C00000"/>
        </w:rPr>
        <w:t>90个日历日</w:t>
      </w:r>
      <w:r>
        <w:t>。如中标，延长至合同执行完毕时止。</w:t>
      </w:r>
    </w:p>
    <w:p>
      <w:pPr>
        <w:pStyle w:val="4"/>
        <w:ind w:firstLine="482"/>
      </w:pPr>
      <w:r>
        <w:rPr>
          <w:rFonts w:hint="eastAsia"/>
        </w:rPr>
        <w:t>（三）投标</w:t>
      </w:r>
      <w:r>
        <w:t>报价</w:t>
      </w:r>
    </w:p>
    <w:p>
      <w:pPr>
        <w:pStyle w:val="81"/>
        <w:ind w:firstLine="480"/>
      </w:pPr>
      <w:r>
        <w:rPr>
          <w:rFonts w:hint="eastAsia"/>
        </w:rPr>
        <w:t>投标报价是供应商响</w:t>
      </w:r>
      <w:r>
        <w:rPr>
          <w:rFonts w:hint="eastAsia"/>
          <w:w w:val="1"/>
        </w:rPr>
        <w:t xml:space="preserve"> </w:t>
      </w:r>
      <w:r>
        <w:rPr>
          <w:rFonts w:hint="eastAsia"/>
        </w:rPr>
        <w:t>应采购项目要求的全部工作内容的价格体现，包括完成采购内容所需的直接费、间接费、利润、税金及其它相关的一切费用。</w:t>
      </w:r>
    </w:p>
    <w:p>
      <w:pPr>
        <w:pStyle w:val="81"/>
        <w:ind w:firstLine="480"/>
      </w:pPr>
      <w:r>
        <w:rPr>
          <w:rFonts w:hint="eastAsia"/>
        </w:rPr>
        <w:t>1</w:t>
      </w:r>
      <w:r>
        <w:rPr>
          <w:rFonts w:hint="eastAsia"/>
          <w:color w:val="auto"/>
        </w:rPr>
        <w:t>．</w:t>
      </w:r>
      <w:r>
        <w:rPr>
          <w:rFonts w:hint="eastAsia"/>
        </w:rPr>
        <w:t>供应商在报价时应充分考虑所有可能发生的费用，招标文件未列明，而供应商认为应当计取的费用均应列入报价中。报价时不论是否计取，采购人均按已计取对待。</w:t>
      </w:r>
    </w:p>
    <w:p>
      <w:pPr>
        <w:pStyle w:val="81"/>
        <w:ind w:firstLine="480"/>
      </w:pPr>
      <w:r>
        <w:rPr>
          <w:rFonts w:hint="eastAsia"/>
        </w:rPr>
        <w:t>2</w:t>
      </w:r>
      <w:r>
        <w:rPr>
          <w:rFonts w:hint="eastAsia"/>
          <w:color w:val="auto"/>
        </w:rPr>
        <w:t>．</w:t>
      </w:r>
      <w:r>
        <w:rPr>
          <w:rFonts w:hint="eastAsia"/>
        </w:rPr>
        <w:t>供应商应严格按照《投标文件构成及格式》第二部分《开标一览表》中的相关要求填写分类报价及其他需要响</w:t>
      </w:r>
      <w:r>
        <w:rPr>
          <w:rFonts w:hint="eastAsia"/>
          <w:w w:val="1"/>
        </w:rPr>
        <w:t xml:space="preserve"> </w:t>
      </w:r>
      <w:r>
        <w:rPr>
          <w:rFonts w:hint="eastAsia"/>
        </w:rPr>
        <w:t>应的内容。投标报价只能提交唯一报价，任何有选择的报价将不予接受，按无效投标处理。</w:t>
      </w:r>
    </w:p>
    <w:p>
      <w:pPr>
        <w:pStyle w:val="81"/>
        <w:ind w:firstLine="480"/>
      </w:pPr>
      <w:r>
        <w:rPr>
          <w:rFonts w:hint="eastAsia"/>
        </w:rPr>
        <w:t>3</w:t>
      </w:r>
      <w:r>
        <w:rPr>
          <w:rFonts w:hint="eastAsia"/>
          <w:color w:val="auto"/>
        </w:rPr>
        <w:t>．</w:t>
      </w:r>
      <w:r>
        <w:rPr>
          <w:rFonts w:hint="eastAsia"/>
        </w:rPr>
        <w:t>投标报价货币：</w:t>
      </w:r>
      <w:r>
        <w:rPr>
          <w:rFonts w:hint="eastAsia"/>
          <w:color w:val="C00000"/>
        </w:rPr>
        <w:t>人民币</w:t>
      </w:r>
      <w:r>
        <w:rPr>
          <w:rFonts w:hint="eastAsia"/>
        </w:rPr>
        <w:t>；单位：</w:t>
      </w:r>
      <w:r>
        <w:rPr>
          <w:rFonts w:hint="eastAsia"/>
          <w:color w:val="C00000"/>
        </w:rPr>
        <w:t>元</w:t>
      </w:r>
      <w:r>
        <w:rPr>
          <w:rFonts w:hint="eastAsia"/>
        </w:rPr>
        <w:t>。</w:t>
      </w:r>
    </w:p>
    <w:p>
      <w:pPr>
        <w:pStyle w:val="81"/>
        <w:ind w:firstLine="480"/>
      </w:pPr>
      <w:r>
        <w:rPr>
          <w:color w:val="auto"/>
        </w:rPr>
        <w:t>4</w:t>
      </w:r>
      <w:r>
        <w:rPr>
          <w:rFonts w:hint="eastAsia"/>
          <w:color w:val="auto"/>
        </w:rPr>
        <w:t>．</w:t>
      </w:r>
      <w:r>
        <w:rPr>
          <w:rFonts w:hint="eastAsia"/>
        </w:rPr>
        <w:t>因供应商对招标文件理解不透、误解、疏漏或对市场行情了解不清造成的后果和风险，均由供应商自己负责。</w:t>
      </w:r>
    </w:p>
    <w:p>
      <w:pPr>
        <w:pStyle w:val="4"/>
        <w:ind w:firstLine="482"/>
      </w:pPr>
      <w:r>
        <w:rPr>
          <w:rFonts w:hint="eastAsia"/>
        </w:rPr>
        <w:t>（四）电子投标文件</w:t>
      </w:r>
      <w:r>
        <w:t>的</w:t>
      </w:r>
      <w:r>
        <w:rPr>
          <w:rFonts w:hint="eastAsia"/>
        </w:rPr>
        <w:t>制作、</w:t>
      </w:r>
      <w:r>
        <w:t>签章及加密</w:t>
      </w:r>
    </w:p>
    <w:p>
      <w:pPr>
        <w:pStyle w:val="81"/>
        <w:ind w:firstLine="480"/>
        <w:rPr>
          <w:color w:val="C00000"/>
        </w:rPr>
      </w:pPr>
      <w:r>
        <w:rPr>
          <w:rFonts w:hint="eastAsia"/>
        </w:rPr>
        <w:t>1</w:t>
      </w:r>
      <w:r>
        <w:rPr>
          <w:rFonts w:hint="eastAsia"/>
          <w:color w:val="auto"/>
        </w:rPr>
        <w:t>．</w:t>
      </w:r>
      <w:r>
        <w:t>电子</w:t>
      </w:r>
      <w:r>
        <w:rPr>
          <w:rFonts w:hint="eastAsia"/>
        </w:rPr>
        <w:t>投标文件（</w:t>
      </w:r>
      <w:r>
        <w:rPr>
          <w:color w:val="C00000"/>
        </w:rPr>
        <w:t>*.SXSTF</w:t>
      </w:r>
      <w:r>
        <w:rPr>
          <w:rFonts w:hint="eastAsia"/>
        </w:rPr>
        <w:t>）</w:t>
      </w:r>
      <w:r>
        <w:t>需要使用</w:t>
      </w:r>
      <w:r>
        <w:rPr>
          <w:rFonts w:hint="eastAsia"/>
        </w:rPr>
        <w:t>专用</w:t>
      </w:r>
      <w:r>
        <w:t>制作</w:t>
      </w:r>
      <w:r>
        <w:rPr>
          <w:rFonts w:hint="eastAsia"/>
        </w:rPr>
        <w:t>软件</w:t>
      </w:r>
      <w:r>
        <w:t>——</w:t>
      </w:r>
      <w:r>
        <w:rPr>
          <w:rFonts w:hint="eastAsia"/>
        </w:rPr>
        <w:t>“新点投</w:t>
      </w:r>
      <w:r>
        <w:rPr>
          <w:rFonts w:hint="eastAsia"/>
          <w:w w:val="1"/>
        </w:rPr>
        <w:t xml:space="preserve"> </w:t>
      </w:r>
      <w:r>
        <w:rPr>
          <w:rFonts w:hint="eastAsia"/>
        </w:rPr>
        <w:t>标</w:t>
      </w:r>
      <w:r>
        <w:t>文件制作软件</w:t>
      </w:r>
      <w:r>
        <w:rPr>
          <w:rFonts w:hint="eastAsia"/>
        </w:rPr>
        <w:t>（陕西</w:t>
      </w:r>
      <w:r>
        <w:t>公共资源</w:t>
      </w:r>
      <w:r>
        <w:rPr>
          <w:rFonts w:hint="eastAsia"/>
        </w:rPr>
        <w:t>）”</w:t>
      </w:r>
      <w:r>
        <w:t>进行编制。</w:t>
      </w:r>
      <w:r>
        <w:rPr>
          <w:rFonts w:hint="eastAsia"/>
        </w:rPr>
        <w:t>软件</w:t>
      </w:r>
      <w:r>
        <w:t>下载</w:t>
      </w:r>
      <w:r>
        <w:rPr>
          <w:rFonts w:hint="eastAsia"/>
        </w:rPr>
        <w:t>地址及操作</w:t>
      </w:r>
      <w:r>
        <w:t>手册：</w:t>
      </w:r>
      <w:r>
        <w:rPr>
          <w:rFonts w:hint="eastAsia"/>
        </w:rPr>
        <w:t>见西安市公共资源交易平台〖首页〉服务指南〉下载专区〗中的《</w:t>
      </w:r>
      <w:r>
        <w:rPr>
          <w:rFonts w:hint="eastAsia"/>
          <w:color w:val="C00000"/>
        </w:rPr>
        <w:t>政府采购项目投</w:t>
      </w:r>
      <w:r>
        <w:rPr>
          <w:color w:val="C00000"/>
          <w:w w:val="1"/>
        </w:rPr>
        <w:t xml:space="preserve"> </w:t>
      </w:r>
      <w:r>
        <w:rPr>
          <w:color w:val="C00000"/>
        </w:rPr>
        <w:t>标文件制作软件及操作手册</w:t>
      </w:r>
      <w:r>
        <w:t>》。</w:t>
      </w:r>
    </w:p>
    <w:p>
      <w:pPr>
        <w:pStyle w:val="81"/>
        <w:wordWrap w:val="0"/>
        <w:ind w:firstLine="480"/>
      </w:pPr>
      <w:r>
        <w:rPr>
          <w:rFonts w:hint="eastAsia"/>
        </w:rPr>
        <w:t>链接地址</w:t>
      </w:r>
      <w:r>
        <w:t>：</w:t>
      </w:r>
      <w:r>
        <w:fldChar w:fldCharType="begin"/>
      </w:r>
      <w:r>
        <w:instrText xml:space="preserve"> HYPERLINK "http://sxggzyjy.xa.gov.cn/fwzn/004003/20181115/4d59c184-e8f6-4d5a-a416-c2f6b0601e66.html" </w:instrText>
      </w:r>
      <w:r>
        <w:fldChar w:fldCharType="separate"/>
      </w:r>
      <w:r>
        <w:rPr>
          <w:rStyle w:val="31"/>
          <w:rFonts w:asciiTheme="minorHAnsi" w:hAnsiTheme="minorHAnsi" w:eastAsiaTheme="minorEastAsia"/>
          <w:color w:val="0070C0"/>
        </w:rPr>
        <w:t>http://sxggzyjy.xa.gov.cn/fwzn/004003/20181115/4d59c184-e8f6-4d5a-a416-c2f6b0601e66.html</w:t>
      </w:r>
      <w:r>
        <w:rPr>
          <w:rStyle w:val="31"/>
          <w:rFonts w:asciiTheme="minorHAnsi" w:hAnsiTheme="minorHAnsi" w:eastAsiaTheme="minorEastAsia"/>
          <w:color w:val="0070C0"/>
        </w:rPr>
        <w:fldChar w:fldCharType="end"/>
      </w:r>
    </w:p>
    <w:p>
      <w:pPr>
        <w:pStyle w:val="81"/>
        <w:ind w:firstLine="480"/>
      </w:pPr>
      <w:r>
        <w:rPr>
          <w:rFonts w:hint="eastAsia"/>
        </w:rPr>
        <w:t>2</w:t>
      </w:r>
      <w:r>
        <w:rPr>
          <w:rFonts w:hint="eastAsia"/>
          <w:color w:val="auto"/>
        </w:rPr>
        <w:t>．</w:t>
      </w:r>
      <w:r>
        <w:rPr>
          <w:rFonts w:hint="eastAsia"/>
        </w:rPr>
        <w:t>编制</w:t>
      </w:r>
      <w:r>
        <w:t>电子投标文件前，</w:t>
      </w:r>
      <w:r>
        <w:rPr>
          <w:rFonts w:hint="eastAsia"/>
          <w:b/>
          <w:color w:val="C00000"/>
        </w:rPr>
        <w:t>务必</w:t>
      </w:r>
      <w:r>
        <w:rPr>
          <w:b/>
          <w:color w:val="C00000"/>
        </w:rPr>
        <w:t>先</w:t>
      </w:r>
      <w:r>
        <w:rPr>
          <w:rFonts w:hint="eastAsia"/>
          <w:b/>
          <w:color w:val="C00000"/>
        </w:rPr>
        <w:t>做好</w:t>
      </w:r>
      <w:r>
        <w:rPr>
          <w:b/>
          <w:color w:val="C00000"/>
        </w:rPr>
        <w:t>电子招标文件的备份工作</w:t>
      </w:r>
      <w:r>
        <w:t>。</w:t>
      </w:r>
      <w:r>
        <w:rPr>
          <w:rFonts w:hint="eastAsia"/>
        </w:rPr>
        <w:t>然后</w:t>
      </w:r>
      <w:r>
        <w:t>按操作</w:t>
      </w:r>
      <w:r>
        <w:rPr>
          <w:rFonts w:hint="eastAsia"/>
        </w:rPr>
        <w:t>手册</w:t>
      </w:r>
      <w:r>
        <w:t>中</w:t>
      </w:r>
      <w:r>
        <w:rPr>
          <w:rFonts w:hint="eastAsia"/>
        </w:rPr>
        <w:t>给出</w:t>
      </w:r>
      <w:r>
        <w:t>的方法</w:t>
      </w:r>
      <w:r>
        <w:rPr>
          <w:rFonts w:hint="eastAsia"/>
        </w:rPr>
        <w:t>将</w:t>
      </w:r>
      <w:r>
        <w:t>电子招标文件</w:t>
      </w:r>
      <w:r>
        <w:rPr>
          <w:rFonts w:hint="eastAsia"/>
        </w:rPr>
        <w:t>（*.SXSZF）或</w:t>
      </w:r>
      <w:r>
        <w:t>答疑文件</w:t>
      </w:r>
      <w:r>
        <w:rPr>
          <w:rFonts w:hint="eastAsia"/>
        </w:rPr>
        <w:t>（*.SXSCF，</w:t>
      </w:r>
      <w:r>
        <w:t>即</w:t>
      </w:r>
      <w:r>
        <w:rPr>
          <w:rFonts w:hint="eastAsia"/>
        </w:rPr>
        <w:t>更新</w:t>
      </w:r>
      <w:r>
        <w:t>后的</w:t>
      </w:r>
      <w:r>
        <w:rPr>
          <w:rFonts w:hint="eastAsia"/>
        </w:rPr>
        <w:t>电子</w:t>
      </w:r>
      <w:r>
        <w:t>招标文件</w:t>
      </w:r>
      <w:r>
        <w:rPr>
          <w:rFonts w:hint="eastAsia"/>
        </w:rPr>
        <w:t>）导入</w:t>
      </w:r>
      <w:r>
        <w:t>制作</w:t>
      </w:r>
      <w:r>
        <w:rPr>
          <w:rFonts w:hint="eastAsia"/>
        </w:rPr>
        <w:t>软件，最后</w:t>
      </w:r>
      <w:r>
        <w:t>按照章节分别编制</w:t>
      </w:r>
      <w:r>
        <w:rPr>
          <w:rFonts w:hint="eastAsia"/>
        </w:rPr>
        <w:t>投标文件</w:t>
      </w:r>
      <w:r>
        <w:t>各个部分。</w:t>
      </w:r>
    </w:p>
    <w:p>
      <w:pPr>
        <w:pStyle w:val="81"/>
        <w:ind w:firstLine="482"/>
        <w:rPr>
          <w:color w:val="C00000"/>
        </w:rPr>
      </w:pPr>
      <w:r>
        <w:rPr>
          <w:b/>
          <w:color w:val="C00000"/>
        </w:rPr>
        <w:t>再次提醒：</w:t>
      </w:r>
      <w:r>
        <w:rPr>
          <w:rFonts w:hint="eastAsia"/>
        </w:rPr>
        <w:t>提交投标文件截止时间前，供应商应随时留意“</w:t>
      </w:r>
      <w:r>
        <w:rPr>
          <w:rFonts w:hint="eastAsia"/>
          <w:color w:val="7030A0"/>
        </w:rPr>
        <w:t>政府采购信息发布媒体</w:t>
      </w:r>
      <w:r>
        <w:rPr>
          <w:rFonts w:hint="eastAsia"/>
        </w:rPr>
        <w:t>”上可能发布的变更公告。若变更公告中明确注明本项目伴有变更文件的，供应商应登录企业端后，从〖项目流程</w:t>
      </w:r>
      <w:r>
        <w:t>·</w:t>
      </w:r>
      <w:r>
        <w:rPr>
          <w:rFonts w:hint="eastAsia"/>
        </w:rPr>
        <w:t>〉项目管理</w:t>
      </w:r>
      <w:r>
        <w:t>·</w:t>
      </w:r>
      <w:r>
        <w:rPr>
          <w:rFonts w:hint="eastAsia"/>
        </w:rPr>
        <w:t>〉答疑文件下载〗获取更新后的电子招标文件（*.SXSCF），</w:t>
      </w:r>
      <w:r>
        <w:rPr>
          <w:rFonts w:hint="eastAsia"/>
          <w:color w:val="C00000"/>
        </w:rPr>
        <w:t>使用旧版电子招标文件制作的电子投标文件（*.SXSTF），系统将拒绝接收</w:t>
      </w:r>
      <w:r>
        <w:rPr>
          <w:rFonts w:hint="eastAsia"/>
        </w:rPr>
        <w:t>。</w:t>
      </w:r>
    </w:p>
    <w:p>
      <w:pPr>
        <w:pStyle w:val="81"/>
        <w:ind w:firstLine="480"/>
        <w:rPr>
          <w:color w:val="C00000"/>
        </w:rPr>
      </w:pPr>
      <w:r>
        <w:rPr>
          <w:rFonts w:hint="eastAsia"/>
        </w:rPr>
        <w:t>3</w:t>
      </w:r>
      <w:r>
        <w:rPr>
          <w:rFonts w:hint="eastAsia"/>
          <w:color w:val="auto"/>
        </w:rPr>
        <w:t>．</w:t>
      </w:r>
      <w:r>
        <w:rPr>
          <w:rFonts w:hint="eastAsia"/>
        </w:rPr>
        <w:t>电子投标文件制作</w:t>
      </w:r>
      <w:r>
        <w:t>过程</w:t>
      </w:r>
      <w:r>
        <w:rPr>
          <w:rFonts w:hint="eastAsia"/>
        </w:rPr>
        <w:t>中，需要法定代表人签字或盖章的地方，请使用“法人</w:t>
      </w:r>
      <w:r>
        <w:t>CA</w:t>
      </w:r>
      <w:r>
        <w:rPr>
          <w:rFonts w:hint="eastAsia"/>
        </w:rPr>
        <w:t>锁”</w:t>
      </w:r>
      <w:r>
        <w:t>进行签章；需要加盖供应商公章的地方，请使用</w:t>
      </w:r>
      <w:r>
        <w:rPr>
          <w:rFonts w:hint="eastAsia"/>
        </w:rPr>
        <w:t>“</w:t>
      </w:r>
      <w:r>
        <w:t>企业CA</w:t>
      </w:r>
      <w:r>
        <w:rPr>
          <w:rFonts w:hint="eastAsia"/>
        </w:rPr>
        <w:t>锁”</w:t>
      </w:r>
      <w:r>
        <w:t>进行</w:t>
      </w:r>
      <w:r>
        <w:rPr>
          <w:rFonts w:hint="eastAsia"/>
        </w:rPr>
        <w:t>签章</w:t>
      </w:r>
      <w:r>
        <w:t>。</w:t>
      </w:r>
    </w:p>
    <w:p>
      <w:pPr>
        <w:pStyle w:val="81"/>
        <w:ind w:firstLine="480"/>
      </w:pPr>
      <w:r>
        <w:rPr>
          <w:rFonts w:hint="eastAsia"/>
        </w:rPr>
        <w:t>若导出的</w:t>
      </w:r>
      <w:r>
        <w:t>PDF文件里看不到签章，请尝试使用</w:t>
      </w:r>
      <w:r>
        <w:rPr>
          <w:rFonts w:hint="eastAsia"/>
        </w:rPr>
        <w:t>专用制作</w:t>
      </w:r>
      <w:r>
        <w:t>软件中的</w:t>
      </w:r>
      <w:r>
        <w:rPr>
          <w:rFonts w:hint="eastAsia"/>
        </w:rPr>
        <w:t>“</w:t>
      </w:r>
      <w:r>
        <w:t>查看投</w:t>
      </w:r>
      <w:r>
        <w:rPr>
          <w:rFonts w:hint="eastAsia"/>
          <w:w w:val="1"/>
        </w:rPr>
        <w:t>　</w:t>
      </w:r>
      <w:r>
        <w:t>标文件工具</w:t>
      </w:r>
      <w:r>
        <w:rPr>
          <w:rFonts w:hint="eastAsia"/>
        </w:rPr>
        <w:t>”</w:t>
      </w:r>
      <w:r>
        <w:t>打开未加密的电子投标文件重新导出。在</w:t>
      </w:r>
      <w:r>
        <w:rPr>
          <w:rFonts w:hint="eastAsia"/>
        </w:rPr>
        <w:t>制作</w:t>
      </w:r>
      <w:r>
        <w:t>过程中，如有其他技术性问题，请先翻阅操作手册，或致电</w:t>
      </w:r>
      <w:r>
        <w:rPr>
          <w:rFonts w:hint="eastAsia"/>
        </w:rPr>
        <w:t>电子化交易系统技术支持</w:t>
      </w:r>
      <w:r>
        <w:t>。</w:t>
      </w:r>
    </w:p>
    <w:p>
      <w:pPr>
        <w:pStyle w:val="81"/>
        <w:ind w:firstLine="480"/>
      </w:pPr>
      <w:r>
        <w:rPr>
          <w:rFonts w:hint="eastAsia"/>
        </w:rPr>
        <w:t>4．在</w:t>
      </w:r>
      <w:r>
        <w:t>生成电子投标文件时，需要使用CA锁对投标</w:t>
      </w:r>
      <w:r>
        <w:rPr>
          <w:rFonts w:hint="eastAsia"/>
        </w:rPr>
        <w:t>文件</w:t>
      </w:r>
      <w:r>
        <w:t>进行加密（</w:t>
      </w:r>
      <w:r>
        <w:rPr>
          <w:color w:val="C00000"/>
        </w:rPr>
        <w:t>开标时还须使用同一把CA锁进行解密</w:t>
      </w:r>
      <w:r>
        <w:t>）。</w:t>
      </w:r>
    </w:p>
    <w:p>
      <w:pPr>
        <w:pStyle w:val="4"/>
        <w:ind w:firstLine="482"/>
      </w:pPr>
      <w:r>
        <w:rPr>
          <w:rFonts w:hint="eastAsia"/>
        </w:rPr>
        <w:t>（五）电子投标文件</w:t>
      </w:r>
      <w:r>
        <w:t>的提交</w:t>
      </w:r>
    </w:p>
    <w:p>
      <w:pPr>
        <w:pStyle w:val="81"/>
        <w:ind w:firstLine="480"/>
      </w:pPr>
      <w:r>
        <w:t>供应商可于提交投标文件截止时间前任意时段</w:t>
      </w:r>
      <w:r>
        <w:rPr>
          <w:rFonts w:hint="eastAsia"/>
        </w:rPr>
        <w:t>，登录西安市公共资源交易平台</w:t>
      </w:r>
      <w:r>
        <w:t>〖</w:t>
      </w:r>
      <w:r>
        <w:rPr>
          <w:rFonts w:hint="eastAsia"/>
        </w:rPr>
        <w:t>首页</w:t>
      </w:r>
      <w:r>
        <w:t>·</w:t>
      </w:r>
      <w:r>
        <w:rPr>
          <w:rFonts w:hint="eastAsia"/>
        </w:rPr>
        <w:t>〉</w:t>
      </w:r>
      <w:r>
        <w:t>电子交易平台·</w:t>
      </w:r>
      <w:r>
        <w:rPr>
          <w:rFonts w:hint="eastAsia"/>
        </w:rPr>
        <w:t>〉</w:t>
      </w:r>
      <w:r>
        <w:t>企业端〗，登录后切换到</w:t>
      </w:r>
      <w:r>
        <w:rPr>
          <w:rFonts w:hint="eastAsia"/>
        </w:rPr>
        <w:t>〖</w:t>
      </w:r>
      <w:r>
        <w:t>我的项目〗模块下，依次点选〖项目流程·</w:t>
      </w:r>
      <w:r>
        <w:rPr>
          <w:rFonts w:hint="eastAsia"/>
        </w:rPr>
        <w:t>〉</w:t>
      </w:r>
      <w:r>
        <w:t>项目管理·〉</w:t>
      </w:r>
      <w:r>
        <w:rPr>
          <w:rFonts w:hint="eastAsia"/>
        </w:rPr>
        <w:t>上传响</w:t>
      </w:r>
      <w:r>
        <w:rPr>
          <w:rFonts w:hint="eastAsia"/>
          <w:w w:val="1"/>
        </w:rPr>
        <w:t xml:space="preserve"> </w:t>
      </w:r>
      <w:r>
        <w:rPr>
          <w:rFonts w:hint="eastAsia"/>
        </w:rPr>
        <w:t>应文件〗</w:t>
      </w:r>
      <w:r>
        <w:t>，上传加密</w:t>
      </w:r>
      <w:r>
        <w:rPr>
          <w:rFonts w:hint="eastAsia"/>
        </w:rPr>
        <w:t>后</w:t>
      </w:r>
      <w:r>
        <w:t>的电子投标文件（*.SXSTF）。上传成功后，西安市公共资源交易平台政府采购系统将予以记录。</w:t>
      </w:r>
    </w:p>
    <w:p>
      <w:pPr>
        <w:pStyle w:val="81"/>
        <w:ind w:firstLine="480"/>
      </w:pPr>
      <w:r>
        <w:t>出现下述情形的，电子投标文件将被系统拒收：</w:t>
      </w:r>
    </w:p>
    <w:p>
      <w:pPr>
        <w:ind w:firstLine="480" w:firstLineChars="200"/>
        <w:jc w:val="both"/>
        <w:rPr>
          <w:rFonts w:cstheme="minorHAnsi"/>
        </w:rPr>
      </w:pPr>
      <w:r>
        <w:rPr>
          <w:rFonts w:cstheme="minorHAnsi"/>
        </w:rPr>
        <w:t>1</w:t>
      </w:r>
      <w:r>
        <w:rPr>
          <w:rFonts w:hint="eastAsia" w:cstheme="minorHAnsi"/>
        </w:rPr>
        <w:t>．</w:t>
      </w:r>
      <w:r>
        <w:rPr>
          <w:rFonts w:cstheme="minorHAnsi"/>
        </w:rPr>
        <w:t>误投的；</w:t>
      </w:r>
    </w:p>
    <w:p>
      <w:pPr>
        <w:ind w:firstLine="480" w:firstLineChars="200"/>
        <w:jc w:val="both"/>
        <w:rPr>
          <w:rFonts w:cstheme="minorHAnsi"/>
        </w:rPr>
      </w:pPr>
      <w:r>
        <w:rPr>
          <w:rFonts w:hint="eastAsia" w:cstheme="minorHAnsi"/>
        </w:rPr>
        <w:t>2．</w:t>
      </w:r>
      <w:r>
        <w:rPr>
          <w:rFonts w:cstheme="minorHAnsi"/>
        </w:rPr>
        <w:t>逾期提交电子投标文件的；</w:t>
      </w:r>
    </w:p>
    <w:p>
      <w:pPr>
        <w:pStyle w:val="81"/>
        <w:ind w:firstLine="480"/>
      </w:pPr>
      <w:r>
        <w:t>3</w:t>
      </w:r>
      <w:r>
        <w:rPr>
          <w:rFonts w:hint="eastAsia"/>
        </w:rPr>
        <w:t>．使用旧版电子招标文件制作电子投标文件的。</w:t>
      </w:r>
    </w:p>
    <w:p>
      <w:pPr>
        <w:pStyle w:val="4"/>
        <w:ind w:firstLine="482"/>
      </w:pPr>
      <w:r>
        <w:t>（</w:t>
      </w:r>
      <w:r>
        <w:rPr>
          <w:rFonts w:hint="eastAsia"/>
        </w:rPr>
        <w:t>六</w:t>
      </w:r>
      <w:r>
        <w:t>）电子</w:t>
      </w:r>
      <w:r>
        <w:rPr>
          <w:rFonts w:hint="eastAsia"/>
        </w:rPr>
        <w:t>投标</w:t>
      </w:r>
      <w:r>
        <w:t>文件的撤回、补充及修改</w:t>
      </w:r>
    </w:p>
    <w:p>
      <w:pPr>
        <w:pStyle w:val="81"/>
        <w:ind w:firstLine="480"/>
      </w:pPr>
      <w:r>
        <w:rPr>
          <w:rFonts w:hint="eastAsia"/>
        </w:rPr>
        <w:t>供应商在提交投标文件截止时间前，可以对已提交的电子投标文件进行撤回、补充及修改。</w:t>
      </w:r>
      <w:r>
        <w:t>对已</w:t>
      </w:r>
      <w:r>
        <w:rPr>
          <w:rFonts w:hint="eastAsia"/>
        </w:rPr>
        <w:t>提交</w:t>
      </w:r>
      <w:r>
        <w:t>的电子投标文件进行补充、修改的，应先从电子交易平台上撤回旧投标</w:t>
      </w:r>
      <w:r>
        <w:rPr>
          <w:rFonts w:hint="eastAsia"/>
        </w:rPr>
        <w:t>文件</w:t>
      </w:r>
      <w:r>
        <w:t>，再重新提交新</w:t>
      </w:r>
      <w:r>
        <w:rPr>
          <w:rFonts w:hint="eastAsia"/>
        </w:rPr>
        <w:t>文件。</w:t>
      </w:r>
    </w:p>
    <w:p>
      <w:pPr>
        <w:pStyle w:val="81"/>
        <w:ind w:firstLine="480"/>
        <w:rPr>
          <w:color w:val="C00000"/>
        </w:rPr>
      </w:pPr>
      <w:r>
        <w:rPr>
          <w:rFonts w:hint="eastAsia"/>
          <w:color w:val="C00000"/>
        </w:rPr>
        <w:t>中标后</w:t>
      </w:r>
      <w:r>
        <w:rPr>
          <w:color w:val="C00000"/>
        </w:rPr>
        <w:t>提交的纸质文件</w:t>
      </w:r>
      <w:r>
        <w:rPr>
          <w:rFonts w:hint="eastAsia"/>
          <w:color w:val="C00000"/>
        </w:rPr>
        <w:t>（备案</w:t>
      </w:r>
      <w:r>
        <w:rPr>
          <w:color w:val="C00000"/>
        </w:rPr>
        <w:t>用</w:t>
      </w:r>
      <w:r>
        <w:rPr>
          <w:rFonts w:hint="eastAsia"/>
          <w:color w:val="C00000"/>
        </w:rPr>
        <w:t>）应</w:t>
      </w:r>
      <w:r>
        <w:rPr>
          <w:color w:val="C00000"/>
        </w:rPr>
        <w:t>从专用制作软件中直接打印，并</w:t>
      </w:r>
      <w:r>
        <w:rPr>
          <w:rFonts w:hint="eastAsia"/>
          <w:color w:val="C00000"/>
        </w:rPr>
        <w:t>与</w:t>
      </w:r>
      <w:r>
        <w:rPr>
          <w:color w:val="C00000"/>
        </w:rPr>
        <w:t>电子投标文件保持一致，不得再进行</w:t>
      </w:r>
      <w:r>
        <w:rPr>
          <w:rFonts w:hint="eastAsia"/>
          <w:color w:val="C00000"/>
        </w:rPr>
        <w:t>补充</w:t>
      </w:r>
      <w:r>
        <w:rPr>
          <w:color w:val="C00000"/>
        </w:rPr>
        <w:t>和修改。</w:t>
      </w:r>
    </w:p>
    <w:p>
      <w:pPr>
        <w:pStyle w:val="4"/>
        <w:ind w:firstLine="482"/>
      </w:pPr>
      <w:r>
        <w:rPr>
          <w:rFonts w:hint="eastAsia"/>
        </w:rPr>
        <w:t>（七）关于电子投标文件的雷同性分析</w:t>
      </w:r>
    </w:p>
    <w:p>
      <w:pPr>
        <w:pStyle w:val="81"/>
        <w:ind w:firstLine="480"/>
      </w:pPr>
      <w:r>
        <w:rPr>
          <w:rFonts w:hint="eastAsia"/>
        </w:rPr>
        <w:t>根据陕西省公共资源交易中心2021年7月22日印发的《关于在政府采购交易系统中开通标书雷同性分析功能的通知》，在符合性审查环节，将由评标委员会（谈判小组、询价小组、磋商小组）在评标系统中对供应商的电子投标文件进行雷同性分析。</w:t>
      </w:r>
    </w:p>
    <w:p>
      <w:pPr>
        <w:pStyle w:val="81"/>
        <w:ind w:firstLine="480"/>
      </w:pPr>
      <w:r>
        <w:rPr>
          <w:rFonts w:hint="eastAsia"/>
        </w:rPr>
        <w:t>雷同性分析由两项指标组成，分别是“文件制作机器码”和“文件创建标识码”。其中，前者通过验证电子投标文件制作设备的特征信息（如MAC地址、硬盘序列号、CPU编号、主板号等），判断电子投标文件是否出自同一台设备。</w:t>
      </w:r>
    </w:p>
    <w:p>
      <w:pPr>
        <w:pStyle w:val="81"/>
        <w:ind w:firstLine="480"/>
      </w:pPr>
      <w:r>
        <w:rPr>
          <w:rFonts w:hint="eastAsia"/>
        </w:rPr>
        <w:t>若“文件制作机器码”一致，则表明不同投标供应商的电子投标文件出自同一台制作设备，根据《陕西省财政厅关于政府采购有关政策的复函》（陕财办采函〔2019〕18号），该情形可以视同“投标文件由同一单位或者个人编制的”情形。</w:t>
      </w:r>
    </w:p>
    <w:p>
      <w:pPr>
        <w:pStyle w:val="81"/>
        <w:ind w:firstLine="480"/>
      </w:pPr>
      <w:r>
        <w:rPr>
          <w:rFonts w:hint="eastAsia"/>
        </w:rPr>
        <w:t>若“文件创建标识码”一致，则表示不同投标供应商使用投标文件制作软件时，使用同一源工程文件，该情形建议由评标委员会（谈判小组、询价小组、磋商小组）结合项目情况综合判定。</w:t>
      </w:r>
    </w:p>
    <w:p>
      <w:pPr>
        <w:pStyle w:val="4"/>
        <w:ind w:firstLine="482"/>
      </w:pPr>
      <w:r>
        <w:rPr>
          <w:rFonts w:hint="eastAsia"/>
        </w:rPr>
        <w:t>（八）投标文件出现下列情形时，视同供应商串通投标，其投标无效：</w:t>
      </w:r>
    </w:p>
    <w:p>
      <w:pPr>
        <w:pStyle w:val="81"/>
        <w:ind w:firstLine="480"/>
      </w:pPr>
      <w:r>
        <w:rPr>
          <w:rFonts w:hint="eastAsia"/>
        </w:rPr>
        <w:t>1．不同供应商的投标文件由同一单位或者个人编制的；</w:t>
      </w:r>
    </w:p>
    <w:p>
      <w:pPr>
        <w:pStyle w:val="81"/>
        <w:ind w:firstLine="480"/>
      </w:pPr>
      <w:r>
        <w:rPr>
          <w:rFonts w:hint="eastAsia"/>
        </w:rPr>
        <w:t>2．不同供应商委托同一单位或者个人办理投标事宜的；</w:t>
      </w:r>
    </w:p>
    <w:p>
      <w:pPr>
        <w:pStyle w:val="81"/>
        <w:ind w:firstLine="480"/>
      </w:pPr>
      <w:r>
        <w:rPr>
          <w:rFonts w:hint="eastAsia"/>
        </w:rPr>
        <w:t>3．不同供应商的投标文件载明的项目管理成员或者联系人员为同一人的；</w:t>
      </w:r>
    </w:p>
    <w:p>
      <w:pPr>
        <w:pStyle w:val="81"/>
        <w:ind w:firstLine="480"/>
      </w:pPr>
      <w:r>
        <w:rPr>
          <w:rFonts w:hint="eastAsia"/>
        </w:rPr>
        <w:t>4．不同供应商的投标文件异常一致或者投标报价呈规律性差异的。</w:t>
      </w:r>
    </w:p>
    <w:p>
      <w:pPr>
        <w:pStyle w:val="81"/>
        <w:ind w:firstLine="480"/>
      </w:pPr>
      <w:r>
        <w:rPr>
          <w:rFonts w:hint="eastAsia"/>
        </w:rPr>
        <w:t>5．不同供应商的投标文件相互混编或混装的。</w:t>
      </w:r>
    </w:p>
    <w:p>
      <w:pPr>
        <w:pStyle w:val="3"/>
      </w:pPr>
      <w:r>
        <w:rPr>
          <w:rFonts w:hint="eastAsia"/>
        </w:rPr>
        <w:t>五</w:t>
      </w:r>
      <w:r>
        <w:t>、开标</w:t>
      </w:r>
      <w:r>
        <w:rPr>
          <w:rFonts w:hint="eastAsia"/>
        </w:rPr>
        <w:t>程序</w:t>
      </w:r>
    </w:p>
    <w:p>
      <w:pPr>
        <w:pStyle w:val="81"/>
        <w:ind w:firstLine="480"/>
      </w:pPr>
      <w:r>
        <w:rPr>
          <w:rFonts w:hint="eastAsia"/>
        </w:rPr>
        <w:t>开标工作由采购代理机构组织实施，整个过程受同级政府采购监管机构的监督、管理。本项目采用“不见面开标”形式，供应商无需抵达开标现场，即可在线实现开标、解密、澄清等操作。</w:t>
      </w:r>
    </w:p>
    <w:p>
      <w:pPr>
        <w:pStyle w:val="81"/>
        <w:ind w:firstLine="480"/>
      </w:pPr>
      <w:r>
        <w:t>操作说明：</w:t>
      </w:r>
      <w:r>
        <w:rPr>
          <w:rFonts w:hint="eastAsia"/>
        </w:rPr>
        <w:t>详见西安市公共资源交易平台〖首页</w:t>
      </w:r>
      <w:r>
        <w:t>·</w:t>
      </w:r>
      <w:r>
        <w:rPr>
          <w:rFonts w:hint="eastAsia"/>
        </w:rPr>
        <w:t>〉服务指南</w:t>
      </w:r>
      <w:r>
        <w:t>·</w:t>
      </w:r>
      <w:r>
        <w:rPr>
          <w:rFonts w:hint="eastAsia"/>
        </w:rPr>
        <w:t>〉下载专区〗中的《</w:t>
      </w:r>
      <w:r>
        <w:rPr>
          <w:rFonts w:hint="eastAsia"/>
          <w:color w:val="C00000"/>
        </w:rPr>
        <w:t>西安公共资源交易不见面开标大厅供应商操作手册</w:t>
      </w:r>
      <w:r>
        <w:rPr>
          <w:rFonts w:hint="eastAsia"/>
        </w:rPr>
        <w:t>》。</w:t>
      </w:r>
    </w:p>
    <w:p>
      <w:pPr>
        <w:pStyle w:val="81"/>
        <w:ind w:firstLine="480"/>
      </w:pPr>
      <w:r>
        <w:rPr>
          <w:rFonts w:hint="eastAsia"/>
        </w:rPr>
        <w:t>链接地址：</w:t>
      </w:r>
      <w:r>
        <w:fldChar w:fldCharType="begin"/>
      </w:r>
      <w:r>
        <w:instrText xml:space="preserve"> HYPERLINK "http://sxggzyjy.xa.gov.cn/fwzn/004003/20200426/bc8b2c1e-abe2-4168-913c-68ff93345faf.html" </w:instrText>
      </w:r>
      <w:r>
        <w:fldChar w:fldCharType="separate"/>
      </w:r>
      <w:r>
        <w:rPr>
          <w:rStyle w:val="31"/>
          <w:rFonts w:hint="eastAsia"/>
          <w:color w:val="0070C0"/>
        </w:rPr>
        <w:t>http://sxggzyjy.xa.gov.cn/fwzn/004003/20200426/bc8b2c1e-abe2-4168-913c-68ff93345faf.html</w:t>
      </w:r>
      <w:r>
        <w:rPr>
          <w:rStyle w:val="31"/>
          <w:rFonts w:hint="eastAsia"/>
          <w:color w:val="0070C0"/>
        </w:rPr>
        <w:fldChar w:fldCharType="end"/>
      </w:r>
    </w:p>
    <w:p>
      <w:pPr>
        <w:pStyle w:val="4"/>
        <w:ind w:firstLine="482"/>
      </w:pPr>
      <w:r>
        <w:rPr>
          <w:rFonts w:hint="eastAsia"/>
        </w:rPr>
        <w:t>（一）基本流程</w:t>
      </w:r>
    </w:p>
    <w:p>
      <w:pPr>
        <w:pStyle w:val="81"/>
        <w:ind w:firstLine="480"/>
      </w:pPr>
      <w:r>
        <w:rPr>
          <w:rFonts w:hint="eastAsia"/>
        </w:rPr>
        <w:t>1</w:t>
      </w:r>
      <w:r>
        <w:rPr>
          <w:rFonts w:hint="eastAsia"/>
          <w:color w:val="auto"/>
        </w:rPr>
        <w:t>．</w:t>
      </w:r>
      <w:r>
        <w:rPr>
          <w:rFonts w:hint="eastAsia"/>
        </w:rPr>
        <w:t>供应商登录</w:t>
      </w:r>
      <w:r>
        <w:t>：</w:t>
      </w:r>
      <w:r>
        <w:rPr>
          <w:rFonts w:hint="eastAsia"/>
        </w:rPr>
        <w:t>开标前，请各供应商至少提前半小时登录西安市公共资源交易平台〖</w:t>
      </w:r>
      <w:r>
        <w:t>首页·〉不见面开标〗</w:t>
      </w:r>
      <w:r>
        <w:rPr>
          <w:rFonts w:hint="eastAsia"/>
        </w:rPr>
        <w:t>系统。</w:t>
      </w:r>
    </w:p>
    <w:p>
      <w:pPr>
        <w:pStyle w:val="81"/>
        <w:ind w:firstLine="480"/>
      </w:pPr>
      <w:r>
        <w:rPr>
          <w:rFonts w:hint="eastAsia"/>
        </w:rPr>
        <w:t>2</w:t>
      </w:r>
      <w:r>
        <w:rPr>
          <w:rFonts w:hint="eastAsia"/>
          <w:color w:val="auto"/>
        </w:rPr>
        <w:t>．</w:t>
      </w:r>
      <w:r>
        <w:rPr>
          <w:rFonts w:hint="eastAsia"/>
        </w:rPr>
        <w:t>主持人宣布开标：提交投标文件截止时间过后，系统将不再接收任何投标文件。</w:t>
      </w:r>
    </w:p>
    <w:p>
      <w:pPr>
        <w:pStyle w:val="81"/>
        <w:ind w:firstLine="480"/>
      </w:pPr>
      <w:r>
        <w:t>3</w:t>
      </w:r>
      <w:r>
        <w:rPr>
          <w:rFonts w:hint="eastAsia"/>
          <w:color w:val="auto"/>
        </w:rPr>
        <w:t>．</w:t>
      </w:r>
      <w:r>
        <w:t>解密投标文件：</w:t>
      </w:r>
      <w:r>
        <w:rPr>
          <w:rFonts w:hint="eastAsia"/>
        </w:rPr>
        <w:t>供应商在收到主持人“开始解密”指令后，应使用“加密该电子投标文件时使用的CA锁（</w:t>
      </w:r>
      <w:r>
        <w:rPr>
          <w:rFonts w:hint="eastAsia"/>
          <w:color w:val="C00000"/>
        </w:rPr>
        <w:t>必须是同一把锁</w:t>
      </w:r>
      <w:r>
        <w:rPr>
          <w:rFonts w:hint="eastAsia"/>
        </w:rPr>
        <w:t>）”完成电子投标文件解密。除因【</w:t>
      </w:r>
      <w:r>
        <w:rPr>
          <w:rFonts w:hint="eastAsia"/>
          <w:color w:val="7030A0"/>
        </w:rPr>
        <w:t>西安市公共资源交易中心</w:t>
      </w:r>
      <w:r>
        <w:rPr>
          <w:rFonts w:hint="eastAsia"/>
        </w:rPr>
        <w:t>】断电、断网、系统故障及其他不可抗力等因素，导致“</w:t>
      </w:r>
      <w:r>
        <w:t>不见面开标</w:t>
      </w:r>
      <w:r>
        <w:rPr>
          <w:rFonts w:hint="eastAsia"/>
        </w:rPr>
        <w:t>”系统无法正常运行外，供应商应在规定的解密时间内完成解密。</w:t>
      </w:r>
    </w:p>
    <w:p>
      <w:pPr>
        <w:pStyle w:val="81"/>
        <w:ind w:firstLine="480"/>
      </w:pPr>
      <w:r>
        <w:t>4</w:t>
      </w:r>
      <w:r>
        <w:rPr>
          <w:rFonts w:hint="eastAsia"/>
          <w:color w:val="auto"/>
        </w:rPr>
        <w:t>．</w:t>
      </w:r>
      <w:r>
        <w:t>唱标：</w:t>
      </w:r>
      <w:r>
        <w:rPr>
          <w:rFonts w:hint="eastAsia"/>
        </w:rPr>
        <w:t>对于</w:t>
      </w:r>
      <w:r>
        <w:t>公开招标项目，</w:t>
      </w:r>
      <w:r>
        <w:rPr>
          <w:rFonts w:hint="eastAsia"/>
        </w:rPr>
        <w:t>“</w:t>
      </w:r>
      <w:r>
        <w:t>不见面开标</w:t>
      </w:r>
      <w:r>
        <w:rPr>
          <w:rFonts w:hint="eastAsia"/>
        </w:rPr>
        <w:t>”</w:t>
      </w:r>
      <w:r>
        <w:t>系统将</w:t>
      </w:r>
      <w:r>
        <w:rPr>
          <w:rFonts w:hint="eastAsia"/>
        </w:rPr>
        <w:t>自动</w:t>
      </w:r>
      <w:r>
        <w:t>展示供应商名单及其</w:t>
      </w:r>
      <w:r>
        <w:rPr>
          <w:rFonts w:hint="eastAsia"/>
        </w:rPr>
        <w:t>投标</w:t>
      </w:r>
      <w:r>
        <w:t>报价</w:t>
      </w:r>
      <w:r>
        <w:rPr>
          <w:rFonts w:hint="eastAsia"/>
        </w:rPr>
        <w:t>。</w:t>
      </w:r>
    </w:p>
    <w:p>
      <w:pPr>
        <w:pStyle w:val="81"/>
        <w:ind w:firstLine="480"/>
      </w:pPr>
      <w:r>
        <w:t>5</w:t>
      </w:r>
      <w:r>
        <w:rPr>
          <w:rFonts w:hint="eastAsia"/>
          <w:color w:val="auto"/>
        </w:rPr>
        <w:t>．</w:t>
      </w:r>
      <w:r>
        <w:rPr>
          <w:rFonts w:hint="eastAsia"/>
        </w:rPr>
        <w:t>开标结束：进入评审环节。供应商请保持在位，评审期间评标委员会可能会要求供应商对投标文件做相应的澄清。因供应商擅自离席造成的不利后果，由供应商自行承担。</w:t>
      </w:r>
    </w:p>
    <w:p>
      <w:pPr>
        <w:pStyle w:val="4"/>
        <w:ind w:firstLine="480" w:firstLineChars="200"/>
      </w:pPr>
      <w:r>
        <w:rPr>
          <w:rFonts w:hint="eastAsia"/>
        </w:rPr>
        <w:t>（二）开标环节出现以下情形之一的，投标文件将被视为无效：</w:t>
      </w:r>
    </w:p>
    <w:p>
      <w:pPr>
        <w:pStyle w:val="81"/>
        <w:ind w:firstLine="480"/>
        <w:rPr>
          <w:color w:val="auto"/>
        </w:rPr>
      </w:pPr>
      <w:r>
        <w:rPr>
          <w:rFonts w:hint="eastAsia"/>
          <w:color w:val="auto"/>
        </w:rPr>
        <w:t>1．</w:t>
      </w:r>
      <w:r>
        <w:rPr>
          <w:color w:val="auto"/>
        </w:rPr>
        <w:t>供应商</w:t>
      </w:r>
      <w:r>
        <w:rPr>
          <w:rFonts w:hint="eastAsia"/>
          <w:color w:val="auto"/>
        </w:rPr>
        <w:t>放弃</w:t>
      </w:r>
      <w:r>
        <w:rPr>
          <w:color w:val="auto"/>
        </w:rPr>
        <w:t>或拒绝对电子投标文件进行解密的；</w:t>
      </w:r>
    </w:p>
    <w:p>
      <w:pPr>
        <w:pStyle w:val="81"/>
        <w:ind w:firstLine="480"/>
        <w:rPr>
          <w:color w:val="auto"/>
        </w:rPr>
      </w:pPr>
      <w:r>
        <w:rPr>
          <w:color w:val="auto"/>
        </w:rPr>
        <w:t>2</w:t>
      </w:r>
      <w:r>
        <w:rPr>
          <w:rFonts w:hint="eastAsia"/>
          <w:color w:val="auto"/>
        </w:rPr>
        <w:t>．</w:t>
      </w:r>
      <w:r>
        <w:rPr>
          <w:color w:val="auto"/>
        </w:rPr>
        <w:t>因供应商自身原因，导致未在规定的解密时限内完整解密的，如</w:t>
      </w:r>
      <w:r>
        <w:rPr>
          <w:rFonts w:hint="eastAsia"/>
          <w:color w:val="auto"/>
        </w:rPr>
        <w:t>忘</w:t>
      </w:r>
      <w:r>
        <w:rPr>
          <w:color w:val="auto"/>
        </w:rPr>
        <w:t>带CA锁、</w:t>
      </w:r>
      <w:r>
        <w:rPr>
          <w:rFonts w:hint="eastAsia"/>
          <w:color w:val="auto"/>
        </w:rPr>
        <w:t>或</w:t>
      </w:r>
      <w:r>
        <w:rPr>
          <w:color w:val="auto"/>
        </w:rPr>
        <w:t>携带的CA锁与加密文件的CA锁</w:t>
      </w:r>
      <w:r>
        <w:rPr>
          <w:rFonts w:hint="eastAsia"/>
          <w:color w:val="auto"/>
        </w:rPr>
        <w:t>不同、或使用旧版招标文件编制投标文件</w:t>
      </w:r>
      <w:r>
        <w:rPr>
          <w:color w:val="auto"/>
        </w:rPr>
        <w:t>等情形；</w:t>
      </w:r>
    </w:p>
    <w:p>
      <w:pPr>
        <w:pStyle w:val="81"/>
        <w:ind w:firstLine="480"/>
        <w:rPr>
          <w:color w:val="auto"/>
        </w:rPr>
      </w:pPr>
      <w:r>
        <w:rPr>
          <w:rFonts w:hint="eastAsia"/>
          <w:color w:val="auto"/>
        </w:rPr>
        <w:t>3．上传</w:t>
      </w:r>
      <w:r>
        <w:rPr>
          <w:color w:val="auto"/>
        </w:rPr>
        <w:t>的电子投标文件无法正常打开的；</w:t>
      </w:r>
    </w:p>
    <w:p>
      <w:pPr>
        <w:pStyle w:val="81"/>
        <w:ind w:firstLine="480"/>
        <w:rPr>
          <w:color w:val="auto"/>
        </w:rPr>
      </w:pPr>
      <w:r>
        <w:rPr>
          <w:rFonts w:hint="eastAsia"/>
          <w:color w:val="auto"/>
        </w:rPr>
        <w:t>4．</w:t>
      </w:r>
      <w:r>
        <w:rPr>
          <w:color w:val="auto"/>
        </w:rPr>
        <w:t>政府采购法律法规规定的其他无效情形。</w:t>
      </w:r>
    </w:p>
    <w:p>
      <w:pPr>
        <w:pStyle w:val="4"/>
        <w:ind w:firstLine="482"/>
      </w:pPr>
      <w:r>
        <w:rPr>
          <w:rFonts w:hint="eastAsia"/>
        </w:rPr>
        <w:t>（</w:t>
      </w:r>
      <w:r>
        <w:t>三</w:t>
      </w:r>
      <w:r>
        <w:rPr>
          <w:rFonts w:hint="eastAsia"/>
        </w:rPr>
        <w:t>）突发状况的应急处置</w:t>
      </w:r>
    </w:p>
    <w:p>
      <w:pPr>
        <w:pStyle w:val="81"/>
        <w:ind w:firstLine="480"/>
        <w:rPr>
          <w:color w:val="auto"/>
        </w:rPr>
      </w:pPr>
      <w:r>
        <w:rPr>
          <w:rFonts w:hint="eastAsia"/>
          <w:color w:val="auto"/>
        </w:rPr>
        <w:t>在开评标过程中，如因停电、断网、电子化系统故障等特殊原因导致电子化开、评标工作无法正常进行时，采购代理机构将及时汇报</w:t>
      </w:r>
      <w:r>
        <w:rPr>
          <w:color w:val="auto"/>
        </w:rPr>
        <w:t>政府采购监管部门，并等待或中止</w:t>
      </w:r>
      <w:r>
        <w:rPr>
          <w:rFonts w:hint="eastAsia"/>
          <w:color w:val="auto"/>
        </w:rPr>
        <w:t>后续</w:t>
      </w:r>
      <w:r>
        <w:rPr>
          <w:color w:val="auto"/>
        </w:rPr>
        <w:t>活动</w:t>
      </w:r>
      <w:r>
        <w:rPr>
          <w:rFonts w:hint="eastAsia"/>
          <w:color w:val="auto"/>
        </w:rPr>
        <w:t>。</w:t>
      </w:r>
    </w:p>
    <w:p>
      <w:pPr>
        <w:pStyle w:val="3"/>
      </w:pPr>
      <w:r>
        <w:t>六、资格审查</w:t>
      </w:r>
    </w:p>
    <w:p>
      <w:pPr>
        <w:pStyle w:val="81"/>
        <w:ind w:firstLine="480"/>
      </w:pPr>
      <w:r>
        <w:t>开标结束后，由采购人委派的</w:t>
      </w:r>
      <w:r>
        <w:rPr>
          <w:color w:val="C00000"/>
        </w:rPr>
        <w:t>资格审查小组</w:t>
      </w:r>
      <w:r>
        <w:t>按照《政府采购货物和服务招</w:t>
      </w:r>
      <w:r>
        <w:rPr>
          <w:rFonts w:hint="eastAsia"/>
          <w:w w:val="1"/>
        </w:rPr>
        <w:t xml:space="preserve"> </w:t>
      </w:r>
      <w:r>
        <w:t>标投</w:t>
      </w:r>
      <w:r>
        <w:rPr>
          <w:rFonts w:hint="eastAsia"/>
          <w:w w:val="1"/>
        </w:rPr>
        <w:t xml:space="preserve"> </w:t>
      </w:r>
      <w:r>
        <w:t>标管理办法》（财政部第87号令）有关规定，对投标文件中的供应商资格证明文件进行审查，并对供应商</w:t>
      </w:r>
      <w:r>
        <w:rPr>
          <w:rFonts w:hint="eastAsia"/>
        </w:rPr>
        <w:t>信用</w:t>
      </w:r>
      <w:r>
        <w:t>记录进行核查。资格审查小组</w:t>
      </w:r>
      <w:r>
        <w:rPr>
          <w:rFonts w:hint="eastAsia"/>
        </w:rPr>
        <w:t>由3人以上单数组成，采购人应出具书面授权函，并指定组长。</w:t>
      </w:r>
    </w:p>
    <w:p>
      <w:pPr>
        <w:pStyle w:val="81"/>
        <w:ind w:firstLine="480"/>
      </w:pPr>
      <w:r>
        <w:rPr>
          <w:rFonts w:hint="eastAsia"/>
          <w:color w:val="auto"/>
        </w:rPr>
        <w:t>供应商所提供的资格证明文件应图文清晰、易于辨识，否则由此带来的不利后果由供应商自行承担。</w:t>
      </w:r>
      <w:r>
        <w:rPr>
          <w:rFonts w:hint="eastAsia"/>
        </w:rPr>
        <w:t>出现下列情形的，投标文件将被视为无效：</w:t>
      </w:r>
    </w:p>
    <w:p>
      <w:pPr>
        <w:pStyle w:val="81"/>
        <w:ind w:firstLine="480"/>
      </w:pPr>
      <w:r>
        <w:rPr>
          <w:rFonts w:hint="eastAsia"/>
        </w:rPr>
        <w:t>（1）不具备招标文件中规定的资格要求的；</w:t>
      </w:r>
    </w:p>
    <w:p>
      <w:pPr>
        <w:pStyle w:val="81"/>
        <w:ind w:firstLine="480"/>
      </w:pPr>
      <w:r>
        <w:rPr>
          <w:rFonts w:hint="eastAsia"/>
        </w:rPr>
        <w:t>（2）未按招标文件要求提供资格证明文件，或资格证明文件未按招标文件要求签字、盖章的；</w:t>
      </w:r>
    </w:p>
    <w:p>
      <w:pPr>
        <w:pStyle w:val="81"/>
        <w:ind w:firstLine="480"/>
      </w:pPr>
      <w:r>
        <w:rPr>
          <w:rFonts w:hint="eastAsia"/>
        </w:rPr>
        <w:t>（3）资格审查小组认为供应商的资格证明文件存在疑点，要求供应商通过公共资源电子交易平台（以下简称“平台”）或电子邮件（在平台无法支持的情况下）等形式提供更清晰有效的证明文件，供应商不能在规定时限内提供符合招标文件要求的证明文件的；</w:t>
      </w:r>
    </w:p>
    <w:p>
      <w:pPr>
        <w:pStyle w:val="81"/>
        <w:ind w:firstLine="480"/>
      </w:pPr>
      <w:r>
        <w:rPr>
          <w:rFonts w:hint="eastAsia"/>
        </w:rPr>
        <w:t>（4）法律法规规定的其他无效情形。</w:t>
      </w:r>
    </w:p>
    <w:p>
      <w:pPr>
        <w:pStyle w:val="81"/>
        <w:ind w:firstLine="480"/>
      </w:pPr>
      <w:r>
        <w:t>资格审查结束后，资格审查小组成员应当对审查结果进行签字确认；</w:t>
      </w:r>
      <w:r>
        <w:rPr>
          <w:rFonts w:hint="eastAsia"/>
        </w:rPr>
        <w:t>对未通过资格审查的供应商，资格审查小组应</w:t>
      </w:r>
      <w:r>
        <w:t>当场告知其未通过的原因。</w:t>
      </w:r>
    </w:p>
    <w:p>
      <w:pPr>
        <w:pStyle w:val="81"/>
        <w:ind w:firstLine="480"/>
      </w:pPr>
      <w:r>
        <w:t>合格供应商不足3家的，</w:t>
      </w:r>
      <w:r>
        <w:rPr>
          <w:rFonts w:hint="eastAsia"/>
        </w:rPr>
        <w:t>应予以废标。</w:t>
      </w:r>
    </w:p>
    <w:p>
      <w:pPr>
        <w:keepNext/>
        <w:spacing w:before="230" w:beforeLines="50" w:after="230" w:afterLines="50"/>
        <w:jc w:val="center"/>
        <w:outlineLvl w:val="3"/>
        <w:rPr>
          <w:rFonts w:ascii="黑体" w:hAnsi="黑体" w:eastAsia="黑体" w:cstheme="minorHAnsi"/>
          <w:color w:val="1F4E79"/>
          <w:sz w:val="32"/>
          <w:szCs w:val="32"/>
        </w:rPr>
      </w:pPr>
      <w:r>
        <w:rPr>
          <w:rFonts w:hint="eastAsia" w:ascii="黑体" w:hAnsi="黑体" w:eastAsia="黑体" w:cstheme="minorHAnsi"/>
          <w:color w:val="1F4E79"/>
          <w:sz w:val="32"/>
          <w:szCs w:val="32"/>
        </w:rPr>
        <w:t>『资格</w:t>
      </w:r>
      <w:r>
        <w:rPr>
          <w:rFonts w:ascii="黑体" w:hAnsi="黑体" w:eastAsia="黑体" w:cstheme="minorHAnsi"/>
          <w:color w:val="1F4E79"/>
          <w:sz w:val="32"/>
          <w:szCs w:val="32"/>
        </w:rPr>
        <w:t>性审查表</w:t>
      </w:r>
      <w:r>
        <w:rPr>
          <w:rFonts w:hint="eastAsia" w:ascii="黑体" w:hAnsi="黑体" w:eastAsia="黑体" w:cstheme="minorHAnsi"/>
          <w:color w:val="1F4E79"/>
          <w:sz w:val="32"/>
          <w:szCs w:val="32"/>
        </w:rPr>
        <w:t>』</w:t>
      </w:r>
    </w:p>
    <w:tbl>
      <w:tblPr>
        <w:tblStyle w:val="24"/>
        <w:tblW w:w="909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03"/>
        <w:gridCol w:w="2543"/>
        <w:gridCol w:w="584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rPr>
            </w:pPr>
            <w:r>
              <w:rPr>
                <w:rFonts w:ascii="Calibri" w:hAnsi="宋体" w:eastAsia="宋体" w:cstheme="minorHAnsi"/>
                <w:b/>
                <w:bCs/>
                <w:sz w:val="21"/>
              </w:rPr>
              <w:t>序号</w:t>
            </w:r>
          </w:p>
        </w:tc>
        <w:tc>
          <w:tcPr>
            <w:tcW w:w="2543" w:type="dxa"/>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rPr>
            </w:pPr>
            <w:r>
              <w:rPr>
                <w:rFonts w:ascii="Calibri" w:hAnsi="宋体" w:eastAsia="宋体" w:cstheme="minorHAnsi"/>
                <w:b/>
                <w:bCs/>
                <w:sz w:val="21"/>
              </w:rPr>
              <w:t>资格性审查项</w:t>
            </w:r>
          </w:p>
        </w:tc>
        <w:tc>
          <w:tcPr>
            <w:tcW w:w="5846" w:type="dxa"/>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rPr>
            </w:pPr>
            <w:r>
              <w:rPr>
                <w:rFonts w:ascii="Calibri" w:hAnsi="宋体" w:eastAsia="宋体" w:cstheme="minorHAnsi"/>
                <w:b/>
                <w:bCs/>
                <w:sz w:val="21"/>
              </w:rPr>
              <w:t>审查内容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tcBorders>
              <w:top w:val="single" w:color="auto" w:sz="2" w:space="0"/>
            </w:tcBorders>
            <w:shd w:val="clear" w:color="auto" w:fill="auto"/>
            <w:vAlign w:val="center"/>
          </w:tcPr>
          <w:p>
            <w:pPr>
              <w:spacing w:line="400" w:lineRule="exact"/>
              <w:jc w:val="center"/>
              <w:rPr>
                <w:rFonts w:ascii="Calibri" w:hAnsi="宋体" w:eastAsia="宋体" w:cstheme="minorHAnsi"/>
                <w:b/>
                <w:bCs/>
                <w:sz w:val="21"/>
              </w:rPr>
            </w:pPr>
            <w:r>
              <w:rPr>
                <w:rFonts w:ascii="Calibri" w:hAnsi="宋体" w:eastAsia="宋体" w:cstheme="minorHAnsi"/>
                <w:b/>
                <w:bCs/>
                <w:sz w:val="21"/>
              </w:rPr>
              <w:t>一</w:t>
            </w:r>
          </w:p>
        </w:tc>
        <w:tc>
          <w:tcPr>
            <w:tcW w:w="8389" w:type="dxa"/>
            <w:gridSpan w:val="2"/>
            <w:tcBorders>
              <w:top w:val="single" w:color="auto" w:sz="2" w:space="0"/>
            </w:tcBorders>
            <w:shd w:val="clear" w:color="auto" w:fill="auto"/>
            <w:vAlign w:val="center"/>
          </w:tcPr>
          <w:p>
            <w:pPr>
              <w:spacing w:line="400" w:lineRule="exact"/>
              <w:rPr>
                <w:rFonts w:ascii="Calibri" w:hAnsi="宋体" w:eastAsia="宋体" w:cstheme="minorHAnsi"/>
                <w:b/>
                <w:bCs/>
                <w:sz w:val="21"/>
              </w:rPr>
            </w:pPr>
            <w:r>
              <w:rPr>
                <w:rFonts w:hint="eastAsia" w:ascii="Calibri" w:hAnsi="宋体" w:eastAsia="宋体" w:cstheme="minorHAnsi"/>
                <w:b/>
                <w:bCs/>
                <w:sz w:val="21"/>
              </w:rPr>
              <w:t>基本资格条件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1</w:t>
            </w:r>
          </w:p>
        </w:tc>
        <w:tc>
          <w:tcPr>
            <w:tcW w:w="2543"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有效的注册登记证明文件</w:t>
            </w:r>
          </w:p>
        </w:tc>
        <w:tc>
          <w:tcPr>
            <w:tcW w:w="5846"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在中华人民共和国境内注册，并有效存续的营业执照（含电子营业执照）\事业单位法人证书\民办非企业单位登记证书\非企业专业服务机构执业许可证等。</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2</w:t>
            </w:r>
          </w:p>
        </w:tc>
        <w:tc>
          <w:tcPr>
            <w:tcW w:w="2543"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财务状况报告（任选其一）</w:t>
            </w:r>
          </w:p>
        </w:tc>
        <w:tc>
          <w:tcPr>
            <w:tcW w:w="5846"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1．20</w:t>
            </w:r>
            <w:r>
              <w:rPr>
                <w:rFonts w:ascii="Calibri" w:hAnsi="宋体" w:eastAsia="宋体" w:cstheme="minorHAnsi"/>
                <w:bCs/>
                <w:sz w:val="21"/>
              </w:rPr>
              <w:t>24或</w:t>
            </w:r>
            <w:r>
              <w:rPr>
                <w:rFonts w:hint="eastAsia" w:ascii="Calibri" w:hAnsi="宋体" w:eastAsia="宋体" w:cstheme="minorHAnsi"/>
                <w:bCs/>
                <w:sz w:val="21"/>
              </w:rPr>
              <w:t>2</w:t>
            </w:r>
            <w:r>
              <w:rPr>
                <w:rFonts w:ascii="Calibri" w:hAnsi="宋体" w:eastAsia="宋体" w:cstheme="minorHAnsi"/>
                <w:bCs/>
                <w:sz w:val="21"/>
              </w:rPr>
              <w:t>025</w:t>
            </w:r>
            <w:r>
              <w:rPr>
                <w:rFonts w:hint="eastAsia" w:ascii="Calibri" w:hAnsi="宋体" w:eastAsia="宋体" w:cstheme="minorHAnsi"/>
                <w:bCs/>
                <w:sz w:val="21"/>
              </w:rPr>
              <w:t>年度经审计的财务会计报告（成立时间至提交投标文件截止时间不足一年的可提供成立后任意时段的资产负债表）；</w:t>
            </w:r>
          </w:p>
          <w:p>
            <w:pPr>
              <w:spacing w:line="400" w:lineRule="exact"/>
              <w:jc w:val="both"/>
              <w:rPr>
                <w:rFonts w:ascii="Calibri" w:hAnsi="宋体" w:eastAsia="宋体" w:cstheme="minorHAnsi"/>
                <w:bCs/>
                <w:sz w:val="21"/>
              </w:rPr>
            </w:pPr>
            <w:r>
              <w:rPr>
                <w:rFonts w:hint="eastAsia" w:ascii="Calibri" w:hAnsi="宋体" w:eastAsia="宋体" w:cstheme="minorHAnsi"/>
                <w:bCs/>
                <w:sz w:val="21"/>
              </w:rPr>
              <w:t>2．提供供应商基本存款账户信息及开标日期前9</w:t>
            </w:r>
            <w:r>
              <w:rPr>
                <w:rFonts w:ascii="Calibri" w:hAnsi="宋体" w:eastAsia="宋体" w:cstheme="minorHAnsi"/>
                <w:bCs/>
                <w:sz w:val="21"/>
              </w:rPr>
              <w:t>0日</w:t>
            </w:r>
            <w:r>
              <w:rPr>
                <w:rFonts w:hint="eastAsia" w:ascii="Calibri" w:hAnsi="宋体" w:eastAsia="宋体" w:cstheme="minorHAnsi"/>
                <w:bCs/>
                <w:sz w:val="21"/>
              </w:rPr>
              <w:t>内其基本存款账户开户银行出具的资信证明。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3</w:t>
            </w:r>
          </w:p>
        </w:tc>
        <w:tc>
          <w:tcPr>
            <w:tcW w:w="2543"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社保资金缴纳证明</w:t>
            </w:r>
          </w:p>
        </w:tc>
        <w:tc>
          <w:tcPr>
            <w:tcW w:w="5846"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自202</w:t>
            </w:r>
            <w:r>
              <w:rPr>
                <w:rFonts w:ascii="Calibri" w:hAnsi="宋体" w:eastAsia="宋体" w:cstheme="minorHAnsi"/>
                <w:bCs/>
                <w:sz w:val="21"/>
              </w:rPr>
              <w:t>5</w:t>
            </w:r>
            <w:r>
              <w:rPr>
                <w:rFonts w:hint="eastAsia" w:ascii="Calibri" w:hAnsi="宋体" w:eastAsia="宋体" w:cstheme="minorHAnsi"/>
                <w:bCs/>
                <w:sz w:val="21"/>
              </w:rPr>
              <w:t>年7月1日以来已缴存的至少一个月的社会保障资金缴存单据或社保机构开具的社会保险参保缴费情况证明，缴费种类至少包括养老保险。单据或证明上应有社保机构或代收机构的公章或业务专用章。依法不需要缴纳社会保障资金的供应商应提供相关文件证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4</w:t>
            </w:r>
          </w:p>
        </w:tc>
        <w:tc>
          <w:tcPr>
            <w:tcW w:w="2543"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税收缴纳证明</w:t>
            </w:r>
          </w:p>
        </w:tc>
        <w:tc>
          <w:tcPr>
            <w:tcW w:w="5846" w:type="dxa"/>
            <w:vAlign w:val="center"/>
          </w:tcPr>
          <w:p>
            <w:pPr>
              <w:spacing w:line="400" w:lineRule="exact"/>
              <w:jc w:val="both"/>
              <w:rPr>
                <w:rFonts w:ascii="Calibri" w:hAnsi="宋体" w:eastAsia="宋体" w:cstheme="minorHAnsi"/>
                <w:b/>
                <w:bCs/>
                <w:sz w:val="21"/>
              </w:rPr>
            </w:pPr>
            <w:r>
              <w:rPr>
                <w:rFonts w:hint="eastAsia" w:ascii="Calibri" w:hAnsi="宋体" w:eastAsia="宋体"/>
                <w:sz w:val="21"/>
              </w:rPr>
              <w:t>自202</w:t>
            </w:r>
            <w:r>
              <w:rPr>
                <w:rFonts w:ascii="Calibri" w:hAnsi="宋体" w:eastAsia="宋体"/>
                <w:sz w:val="21"/>
              </w:rPr>
              <w:t>6</w:t>
            </w:r>
            <w:r>
              <w:rPr>
                <w:rFonts w:hint="eastAsia" w:ascii="Calibri" w:hAnsi="宋体" w:eastAsia="宋体"/>
                <w:sz w:val="21"/>
              </w:rPr>
              <w:t>年</w:t>
            </w:r>
            <w:r>
              <w:rPr>
                <w:rFonts w:ascii="Calibri" w:hAnsi="宋体" w:eastAsia="宋体"/>
                <w:sz w:val="21"/>
              </w:rPr>
              <w:t>1</w:t>
            </w:r>
            <w:r>
              <w:rPr>
                <w:rFonts w:hint="eastAsia" w:ascii="Calibri" w:hAnsi="宋体" w:eastAsia="宋体"/>
                <w:sz w:val="21"/>
              </w:rPr>
              <w:t>月1日以来已缴存的至少一个月的纳税证明或完税证明，税种为增值税或企业所得税。纳税证明或完税证明上应有代收机构或税务机关的公章或业务专用章。依法免税的供应商应提供相关文件证明。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5</w:t>
            </w:r>
          </w:p>
        </w:tc>
        <w:tc>
          <w:tcPr>
            <w:tcW w:w="2543"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无重大违法记录声明</w:t>
            </w:r>
          </w:p>
        </w:tc>
        <w:tc>
          <w:tcPr>
            <w:tcW w:w="5846" w:type="dxa"/>
            <w:vAlign w:val="center"/>
          </w:tcPr>
          <w:p>
            <w:pPr>
              <w:spacing w:line="400" w:lineRule="exact"/>
              <w:jc w:val="both"/>
              <w:rPr>
                <w:rFonts w:ascii="Calibri" w:hAnsi="宋体" w:eastAsia="宋体" w:cstheme="minorHAnsi"/>
                <w:b/>
                <w:bCs/>
                <w:sz w:val="21"/>
              </w:rPr>
            </w:pPr>
            <w:r>
              <w:rPr>
                <w:rFonts w:hint="eastAsia" w:ascii="Calibri" w:hAnsi="宋体" w:eastAsia="宋体"/>
                <w:sz w:val="21"/>
              </w:rPr>
              <w:t>参加本次政府采购活动前三年内</w:t>
            </w:r>
            <w:r>
              <w:rPr>
                <w:rFonts w:hint="eastAsia" w:ascii="Calibri" w:hAnsi="宋体" w:eastAsia="宋体" w:cstheme="minorHAnsi"/>
                <w:bCs/>
                <w:sz w:val="21"/>
              </w:rPr>
              <w:t>（以自然日计）</w:t>
            </w:r>
            <w:r>
              <w:rPr>
                <w:rFonts w:hint="eastAsia" w:ascii="Calibri" w:hAnsi="宋体" w:eastAsia="宋体"/>
                <w:sz w:val="21"/>
              </w:rPr>
              <w:t>在经营活动中没有重大违法记录，以及未被列入失信被执行人、重大税收违法案件当事人名单、政府采购严重违法失信行为记录名单的书面声明。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6</w:t>
            </w:r>
          </w:p>
        </w:tc>
        <w:tc>
          <w:tcPr>
            <w:tcW w:w="2543"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法定代表人（负责人）委托授权书</w:t>
            </w:r>
            <w:r>
              <w:rPr>
                <w:rFonts w:ascii="Calibri" w:hAnsi="宋体" w:eastAsia="宋体" w:cstheme="minorHAnsi"/>
                <w:bCs/>
                <w:sz w:val="21"/>
              </w:rPr>
              <w:t>\身份证明</w:t>
            </w:r>
          </w:p>
        </w:tc>
        <w:tc>
          <w:tcPr>
            <w:tcW w:w="5846" w:type="dxa"/>
            <w:vAlign w:val="center"/>
          </w:tcPr>
          <w:p>
            <w:pPr>
              <w:spacing w:line="400" w:lineRule="exact"/>
              <w:jc w:val="both"/>
              <w:rPr>
                <w:rFonts w:ascii="Calibri" w:hAnsi="宋体" w:eastAsia="宋体" w:cstheme="minorHAnsi"/>
                <w:bCs/>
                <w:sz w:val="21"/>
              </w:rPr>
            </w:pPr>
            <w:r>
              <w:rPr>
                <w:rFonts w:hint="eastAsia" w:ascii="Calibri" w:hAnsi="宋体" w:eastAsia="宋体" w:cstheme="minorHAnsi"/>
                <w:bCs/>
                <w:sz w:val="21"/>
              </w:rPr>
              <w:t>法定代表人（负责人）委托授权代表参加投标时，应提供法定代表人（负责人）委托授权书；法定代表人（负责人）亲自参加投标时，应提供法定代表人（负责人）身份证明书。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
                <w:bCs/>
                <w:sz w:val="21"/>
              </w:rPr>
            </w:pPr>
            <w:r>
              <w:rPr>
                <w:rFonts w:hint="eastAsia" w:ascii="Calibri" w:hAnsi="宋体" w:eastAsia="宋体" w:cstheme="minorHAnsi"/>
                <w:b/>
                <w:bCs/>
                <w:sz w:val="21"/>
              </w:rPr>
              <w:t>二</w:t>
            </w:r>
          </w:p>
        </w:tc>
        <w:tc>
          <w:tcPr>
            <w:tcW w:w="8389" w:type="dxa"/>
            <w:gridSpan w:val="2"/>
            <w:vAlign w:val="center"/>
          </w:tcPr>
          <w:p>
            <w:pPr>
              <w:spacing w:line="400" w:lineRule="exact"/>
              <w:jc w:val="both"/>
              <w:rPr>
                <w:rFonts w:ascii="Calibri" w:hAnsi="宋体" w:eastAsia="宋体" w:cstheme="minorHAnsi"/>
                <w:b/>
                <w:bCs/>
                <w:color w:val="C00000"/>
                <w:sz w:val="21"/>
              </w:rPr>
            </w:pPr>
            <w:r>
              <w:rPr>
                <w:rFonts w:ascii="Calibri" w:hAnsi="宋体" w:eastAsia="宋体" w:cstheme="minorHAnsi"/>
                <w:b/>
                <w:bCs/>
                <w:sz w:val="21"/>
              </w:rPr>
              <w:t>落实政府采购政策需要满足的资格条件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ascii="Calibri" w:hAnsi="宋体" w:eastAsia="宋体" w:cstheme="minorHAnsi"/>
                <w:bCs/>
                <w:sz w:val="21"/>
              </w:rPr>
              <w:t>1</w:t>
            </w:r>
          </w:p>
        </w:tc>
        <w:tc>
          <w:tcPr>
            <w:tcW w:w="2543" w:type="dxa"/>
            <w:vAlign w:val="center"/>
          </w:tcPr>
          <w:p>
            <w:pPr>
              <w:spacing w:line="400" w:lineRule="exact"/>
              <w:jc w:val="both"/>
              <w:rPr>
                <w:rFonts w:ascii="Calibri" w:hAnsi="宋体" w:eastAsia="宋体" w:cstheme="minorHAnsi"/>
                <w:bCs/>
                <w:color w:val="FF0000"/>
                <w:sz w:val="21"/>
              </w:rPr>
            </w:pPr>
            <w:r>
              <w:rPr>
                <w:rFonts w:ascii="Calibri" w:hAnsi="宋体" w:eastAsia="宋体" w:cstheme="minorHAnsi"/>
                <w:bCs/>
                <w:color w:val="C00000"/>
                <w:sz w:val="21"/>
              </w:rPr>
              <w:t>无</w:t>
            </w:r>
          </w:p>
        </w:tc>
        <w:tc>
          <w:tcPr>
            <w:tcW w:w="5846" w:type="dxa"/>
            <w:vAlign w:val="center"/>
          </w:tcPr>
          <w:p>
            <w:pPr>
              <w:spacing w:line="400" w:lineRule="exact"/>
              <w:jc w:val="both"/>
              <w:rPr>
                <w:rFonts w:ascii="Calibri" w:hAnsi="宋体" w:eastAsia="宋体" w:cstheme="minorHAnsi"/>
                <w:bCs/>
                <w:color w:val="FF0000"/>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
                <w:bCs/>
                <w:sz w:val="21"/>
              </w:rPr>
            </w:pPr>
            <w:r>
              <w:rPr>
                <w:rFonts w:hint="eastAsia" w:ascii="Calibri" w:hAnsi="宋体" w:eastAsia="宋体" w:cstheme="minorHAnsi"/>
                <w:b/>
                <w:bCs/>
                <w:sz w:val="21"/>
              </w:rPr>
              <w:t>三</w:t>
            </w:r>
          </w:p>
        </w:tc>
        <w:tc>
          <w:tcPr>
            <w:tcW w:w="8389" w:type="dxa"/>
            <w:gridSpan w:val="2"/>
            <w:vAlign w:val="center"/>
          </w:tcPr>
          <w:p>
            <w:pPr>
              <w:spacing w:line="400" w:lineRule="exact"/>
              <w:jc w:val="both"/>
              <w:rPr>
                <w:rFonts w:ascii="Calibri" w:hAnsi="宋体" w:eastAsia="宋体" w:cstheme="minorHAnsi"/>
                <w:b/>
                <w:bCs/>
                <w:sz w:val="21"/>
              </w:rPr>
            </w:pPr>
            <w:r>
              <w:rPr>
                <w:rFonts w:ascii="Calibri" w:hAnsi="宋体" w:eastAsia="宋体" w:cstheme="minorHAnsi"/>
                <w:b/>
                <w:bCs/>
                <w:sz w:val="21"/>
              </w:rPr>
              <w:t>特定资格条件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703" w:type="dxa"/>
            <w:vAlign w:val="center"/>
          </w:tcPr>
          <w:p>
            <w:pPr>
              <w:spacing w:line="400" w:lineRule="exact"/>
              <w:jc w:val="center"/>
              <w:rPr>
                <w:rFonts w:ascii="Calibri" w:hAnsi="宋体" w:eastAsia="宋体" w:cstheme="minorHAnsi"/>
                <w:bCs/>
                <w:sz w:val="21"/>
              </w:rPr>
            </w:pPr>
            <w:r>
              <w:rPr>
                <w:rFonts w:hint="eastAsia" w:ascii="Calibri" w:hAnsi="宋体" w:eastAsia="宋体" w:cstheme="minorHAnsi"/>
                <w:bCs/>
                <w:sz w:val="21"/>
              </w:rPr>
              <w:t>1</w:t>
            </w:r>
          </w:p>
        </w:tc>
        <w:tc>
          <w:tcPr>
            <w:tcW w:w="2543" w:type="dxa"/>
            <w:vAlign w:val="center"/>
          </w:tcPr>
          <w:p>
            <w:pPr>
              <w:spacing w:line="400" w:lineRule="exact"/>
              <w:jc w:val="both"/>
              <w:rPr>
                <w:rFonts w:ascii="Calibri" w:hAnsi="宋体" w:eastAsia="宋体" w:cstheme="minorHAnsi"/>
                <w:bCs/>
                <w:color w:val="C00000"/>
                <w:sz w:val="21"/>
              </w:rPr>
            </w:pPr>
            <w:r>
              <w:rPr>
                <w:rFonts w:ascii="Calibri" w:hAnsi="宋体" w:eastAsia="宋体" w:cstheme="minorHAnsi"/>
                <w:bCs/>
                <w:color w:val="C00000"/>
                <w:sz w:val="21"/>
              </w:rPr>
              <w:t>无</w:t>
            </w:r>
          </w:p>
        </w:tc>
        <w:tc>
          <w:tcPr>
            <w:tcW w:w="5846" w:type="dxa"/>
            <w:vAlign w:val="center"/>
          </w:tcPr>
          <w:p>
            <w:pPr>
              <w:spacing w:line="400" w:lineRule="exact"/>
              <w:jc w:val="both"/>
              <w:rPr>
                <w:rFonts w:ascii="Calibri" w:hAnsi="宋体" w:eastAsia="宋体" w:cstheme="minorHAnsi"/>
                <w:bCs/>
                <w:color w:val="C00000"/>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9092" w:type="dxa"/>
            <w:gridSpan w:val="3"/>
            <w:vAlign w:val="center"/>
          </w:tcPr>
          <w:p>
            <w:pPr>
              <w:spacing w:line="400" w:lineRule="exact"/>
              <w:jc w:val="both"/>
              <w:rPr>
                <w:rFonts w:ascii="Calibri" w:hAnsi="宋体" w:eastAsia="宋体" w:cstheme="minorHAnsi"/>
                <w:bCs/>
                <w:color w:val="C00000"/>
                <w:sz w:val="21"/>
              </w:rPr>
            </w:pPr>
            <w:r>
              <w:rPr>
                <w:rFonts w:ascii="Calibri" w:hAnsi="宋体" w:eastAsia="宋体" w:cstheme="minorHAnsi"/>
                <w:bCs/>
                <w:color w:val="C00000"/>
                <w:sz w:val="21"/>
              </w:rPr>
              <w:t>注意事项：</w:t>
            </w:r>
          </w:p>
          <w:p>
            <w:pPr>
              <w:spacing w:line="400" w:lineRule="exact"/>
              <w:ind w:left="315" w:hanging="315" w:hangingChars="150"/>
              <w:jc w:val="both"/>
              <w:rPr>
                <w:rFonts w:ascii="Calibri" w:hAnsi="宋体" w:eastAsia="宋体" w:cstheme="minorHAnsi"/>
                <w:bCs/>
                <w:sz w:val="21"/>
              </w:rPr>
            </w:pPr>
            <w:r>
              <w:rPr>
                <w:rFonts w:ascii="Calibri" w:hAnsi="宋体" w:eastAsia="宋体" w:cstheme="minorHAnsi"/>
                <w:bCs/>
                <w:sz w:val="21"/>
              </w:rPr>
              <w:t>1</w:t>
            </w:r>
            <w:r>
              <w:rPr>
                <w:rFonts w:hint="eastAsia" w:ascii="Calibri" w:hAnsi="宋体" w:eastAsia="宋体" w:cstheme="minorHAnsi"/>
                <w:bCs/>
                <w:sz w:val="21"/>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pPr>
              <w:spacing w:line="400" w:lineRule="exact"/>
              <w:ind w:left="315" w:hanging="315" w:hangingChars="150"/>
              <w:jc w:val="both"/>
              <w:rPr>
                <w:rFonts w:ascii="Calibri" w:hAnsi="宋体" w:eastAsia="宋体" w:cstheme="minorHAnsi"/>
                <w:bCs/>
                <w:sz w:val="21"/>
              </w:rPr>
            </w:pPr>
            <w:r>
              <w:rPr>
                <w:rFonts w:ascii="Calibri" w:hAnsi="宋体" w:eastAsia="宋体" w:cstheme="minorHAnsi"/>
                <w:bCs/>
                <w:sz w:val="21"/>
              </w:rPr>
              <w:t>2．</w:t>
            </w:r>
            <w:r>
              <w:rPr>
                <w:rFonts w:hint="eastAsia" w:ascii="Calibri" w:hAnsi="宋体" w:eastAsia="宋体" w:cstheme="minorHAnsi"/>
                <w:bCs/>
                <w:sz w:val="21"/>
              </w:rPr>
              <w:t>除银行、保险、石油石化、电力、电信行业外，其他行业分支机构在参与本项目时，须同时提供分支机构主体资格证明文件和总公司（总所）出具的授权书，总公司（总所）只能授权一家分支机构。经总公司（总所）授权后，总公司（总所）取得的相关资质证书对分支机构有效（法律法规或行业另有规定的除外）。</w:t>
            </w:r>
          </w:p>
          <w:p>
            <w:pPr>
              <w:spacing w:line="400" w:lineRule="exact"/>
              <w:ind w:left="315" w:hanging="315" w:hangingChars="150"/>
              <w:jc w:val="both"/>
              <w:rPr>
                <w:rFonts w:ascii="Calibri" w:hAnsi="宋体" w:eastAsia="宋体" w:cstheme="minorHAnsi"/>
                <w:bCs/>
                <w:sz w:val="21"/>
              </w:rPr>
            </w:pPr>
            <w:r>
              <w:rPr>
                <w:rFonts w:ascii="Calibri" w:hAnsi="宋体" w:eastAsia="宋体" w:cstheme="minorHAnsi"/>
                <w:bCs/>
                <w:sz w:val="21"/>
              </w:rPr>
              <w:t>3</w:t>
            </w:r>
            <w:r>
              <w:rPr>
                <w:rFonts w:hint="eastAsia" w:ascii="Calibri" w:hAnsi="宋体" w:eastAsia="宋体" w:cstheme="minorHAnsi"/>
                <w:bCs/>
                <w:sz w:val="21"/>
              </w:rPr>
              <w:t>．依法免税或不需要缴纳社会保障资金的供应商，应提供相应证明文件，证明其依法免税或不需要缴纳社会保障资金；自然人（仅限中国公民）参与本项目时，只须提供身份证复印件。</w:t>
            </w:r>
          </w:p>
          <w:p>
            <w:pPr>
              <w:spacing w:line="400" w:lineRule="exact"/>
              <w:ind w:left="315" w:hanging="315" w:hangingChars="150"/>
              <w:jc w:val="both"/>
              <w:rPr>
                <w:rFonts w:ascii="Calibri" w:hAnsi="宋体" w:eastAsia="宋体" w:cstheme="minorHAnsi"/>
                <w:bCs/>
                <w:sz w:val="21"/>
              </w:rPr>
            </w:pPr>
            <w:r>
              <w:rPr>
                <w:rFonts w:ascii="Calibri" w:hAnsi="宋体" w:eastAsia="宋体" w:cstheme="minorHAnsi"/>
                <w:bCs/>
                <w:sz w:val="21"/>
              </w:rPr>
              <w:t>4</w:t>
            </w:r>
            <w:r>
              <w:rPr>
                <w:rFonts w:hint="eastAsia" w:ascii="Calibri" w:hAnsi="宋体" w:eastAsia="宋体" w:cstheme="minorHAnsi"/>
                <w:bCs/>
                <w:sz w:val="21"/>
              </w:rPr>
              <w:t>．《基本存款账户信息》、《无重大违法记录声明》、《法定代表人委托授权书》\《法定代表人身份证明书》应按第五章《投标文件构成及格式》中给定的格式填写，并按要求签字、盖章。</w:t>
            </w:r>
          </w:p>
          <w:p>
            <w:pPr>
              <w:spacing w:line="400" w:lineRule="exact"/>
              <w:ind w:left="315" w:hanging="315" w:hangingChars="150"/>
              <w:jc w:val="both"/>
              <w:rPr>
                <w:rFonts w:ascii="Calibri" w:hAnsi="宋体" w:eastAsia="宋体" w:cstheme="minorHAnsi"/>
                <w:bCs/>
                <w:sz w:val="21"/>
              </w:rPr>
            </w:pPr>
            <w:r>
              <w:rPr>
                <w:rFonts w:ascii="Calibri" w:hAnsi="宋体" w:eastAsia="宋体" w:cstheme="minorHAnsi"/>
                <w:bCs/>
                <w:sz w:val="21"/>
              </w:rPr>
              <w:t>5</w:t>
            </w:r>
            <w:r>
              <w:rPr>
                <w:rFonts w:hint="eastAsia" w:ascii="Calibri" w:hAnsi="宋体" w:eastAsia="宋体" w:cstheme="minorHAnsi"/>
                <w:bCs/>
                <w:sz w:val="21"/>
              </w:rPr>
              <w:t>．按照财政部《关于在政府采购活动中查询及使用信用记录有关问题的通知》（财库〔2016〕125号）要求，在资格审查阶段，采购人将对供应商的信用记录进行核查，出现采购文件第二章中「关于信用记录的查询和使用」所列失信行为的，将拒绝其参与政府采购活动。</w:t>
            </w:r>
          </w:p>
          <w:p>
            <w:pPr>
              <w:spacing w:line="400" w:lineRule="exact"/>
              <w:ind w:left="315" w:hanging="315" w:hangingChars="150"/>
              <w:jc w:val="both"/>
              <w:rPr>
                <w:rFonts w:ascii="Calibri" w:hAnsi="宋体" w:eastAsia="宋体" w:cstheme="minorHAnsi"/>
                <w:bCs/>
                <w:sz w:val="21"/>
              </w:rPr>
            </w:pPr>
            <w:r>
              <w:rPr>
                <w:rFonts w:ascii="Calibri" w:hAnsi="宋体" w:eastAsia="宋体" w:cstheme="minorHAnsi"/>
                <w:bCs/>
                <w:sz w:val="21"/>
              </w:rPr>
              <w:t>6．</w:t>
            </w:r>
            <w:r>
              <w:rPr>
                <w:rFonts w:hint="eastAsia" w:ascii="Calibri" w:hAnsi="宋体" w:eastAsia="宋体" w:cstheme="minorHAnsi"/>
                <w:bCs/>
                <w:color w:val="00B050"/>
                <w:sz w:val="21"/>
              </w:rPr>
              <w:t>以联合体形式参加政府采购活动的，联合体各方均应具备基本资格条件前五项要求，第六项要求由牵头方填写。对于特定资格条件，按照联合协议承担特定工作的供应商应具备对应的资质；联合体中有同类资质的供应商按照联合体分工承担相同工作的，按照资质等级较低的供应商确定资质等级。</w:t>
            </w:r>
          </w:p>
        </w:tc>
      </w:tr>
    </w:tbl>
    <w:p>
      <w:pPr>
        <w:pStyle w:val="3"/>
      </w:pPr>
      <w:r>
        <w:t>七、评审方法和程序</w:t>
      </w:r>
    </w:p>
    <w:p>
      <w:pPr>
        <w:pStyle w:val="4"/>
        <w:ind w:firstLine="482"/>
      </w:pPr>
      <w:r>
        <w:t>（一）评标方法</w:t>
      </w:r>
    </w:p>
    <w:p>
      <w:pPr>
        <w:pStyle w:val="81"/>
        <w:ind w:firstLine="480"/>
      </w:pPr>
      <w:r>
        <w:t>本项目采用</w:t>
      </w:r>
      <w:r>
        <w:rPr>
          <w:color w:val="C00000"/>
        </w:rPr>
        <w:t>综合评分法</w:t>
      </w:r>
      <w:r>
        <w:rPr>
          <w:rFonts w:hint="eastAsia"/>
          <w:color w:val="C00000"/>
        </w:rPr>
        <w:t>。</w:t>
      </w:r>
    </w:p>
    <w:p>
      <w:pPr>
        <w:pStyle w:val="81"/>
        <w:ind w:firstLine="480"/>
      </w:pPr>
      <w:r>
        <w:rPr>
          <w:rFonts w:hint="eastAsia"/>
        </w:rPr>
        <w:t>评标方法分为最低评标价法和综合评分法。</w:t>
      </w:r>
    </w:p>
    <w:p>
      <w:pPr>
        <w:pStyle w:val="81"/>
        <w:ind w:firstLine="480"/>
      </w:pPr>
      <w:r>
        <w:rPr>
          <w:rFonts w:hint="eastAsia"/>
        </w:rPr>
        <w:t>1、最低评标价法，是指投标文件满足招标文件全部实质性要求，且投标报价最低的供应商为中标候选人的评标方法。</w:t>
      </w:r>
    </w:p>
    <w:p>
      <w:pPr>
        <w:pStyle w:val="81"/>
        <w:ind w:firstLine="480"/>
      </w:pPr>
      <w:r>
        <w:rPr>
          <w:rFonts w:hint="eastAsia"/>
        </w:rPr>
        <w:t>2、综合评分法，是指投</w:t>
      </w:r>
      <w:r>
        <w:t>投标文件满足招标文件全部实质性要求，且按照评审因素的量化指标评审得分最高的供应商为中标候选人</w:t>
      </w:r>
      <w:r>
        <w:rPr>
          <w:rFonts w:hint="eastAsia"/>
        </w:rPr>
        <w:t>的评标方法。</w:t>
      </w:r>
    </w:p>
    <w:p>
      <w:pPr>
        <w:pStyle w:val="4"/>
        <w:ind w:firstLine="482"/>
      </w:pPr>
      <w:r>
        <w:t>（二）评标形式</w:t>
      </w:r>
    </w:p>
    <w:p>
      <w:pPr>
        <w:pStyle w:val="81"/>
        <w:ind w:firstLine="480"/>
      </w:pPr>
      <w:r>
        <w:rPr>
          <w:rFonts w:hint="eastAsia"/>
        </w:rPr>
        <w:t>1．关于技术标“暗标盲评”</w:t>
      </w:r>
    </w:p>
    <w:p>
      <w:pPr>
        <w:pStyle w:val="81"/>
        <w:ind w:firstLine="480"/>
      </w:pPr>
      <w:r>
        <w:rPr>
          <w:rFonts w:hint="eastAsia"/>
        </w:rPr>
        <w:t>根据西安市发展和改革委员会《关于印发〈西安市深化公共资源交易平台整合共享行动方案〉的通知》（市发改发〔2021〕71号）要求，推动交易平台智慧化转型，西安市公共资源交易平台运用人工智能、云计算、大数据等前沿信息技术，建设模块化、智能化辅助评标系统，实现清标、批量评审、暗标评审等功能，使得评审结果更公正、真实。</w:t>
      </w:r>
    </w:p>
    <w:p>
      <w:pPr>
        <w:pStyle w:val="81"/>
        <w:ind w:firstLine="480"/>
      </w:pPr>
      <w:r>
        <w:rPr>
          <w:rFonts w:hint="eastAsia"/>
        </w:rPr>
        <w:t>所谓“暗标盲评”，是指隐匿或不公开投标单位名称，由评标系统将各投标单位进行随机编号，并将其提交的投标文件乱序后交由评标委员会进行评审，评审结果确定后，再由评标系统归类汇总各投标单位得分，确定中标候选人。暗标盲评不仅是对评审方法的一种创新，而且是对政府采购当事人行为的一种有效规范。</w:t>
      </w:r>
    </w:p>
    <w:p>
      <w:pPr>
        <w:pStyle w:val="81"/>
        <w:ind w:firstLine="480"/>
      </w:pPr>
      <w:r>
        <w:rPr>
          <w:rFonts w:hint="eastAsia"/>
        </w:rPr>
        <w:t>2．“暗标盲评部分”编制要求</w:t>
      </w:r>
    </w:p>
    <w:p>
      <w:pPr>
        <w:pStyle w:val="81"/>
        <w:ind w:firstLine="480"/>
        <w:rPr>
          <w:color w:val="C00000"/>
        </w:rPr>
      </w:pPr>
      <w:r>
        <w:rPr>
          <w:rFonts w:hint="eastAsia"/>
          <w:color w:val="C00000"/>
        </w:rPr>
        <w:t>暗标盲评部分应按如下要求编制，否则，将依据财政部第87号令《政府采购货物和服务招标投标管理办法》第六十三条第六款的规定，视为无效投标。</w:t>
      </w:r>
    </w:p>
    <w:p>
      <w:pPr>
        <w:pStyle w:val="81"/>
        <w:ind w:firstLine="480"/>
        <w:rPr>
          <w:color w:val="C00000"/>
        </w:rPr>
      </w:pPr>
      <w:r>
        <w:rPr>
          <w:rFonts w:hint="eastAsia"/>
          <w:color w:val="C00000"/>
        </w:rPr>
        <w:t>（1）不得出现任何可直接识别投标供应商身份的字符或徽标，包括文字、符号、图案、标志、标识、人员姓名、投标供应商独有的企业标准名称或编号等。</w:t>
      </w:r>
    </w:p>
    <w:p>
      <w:pPr>
        <w:pStyle w:val="81"/>
        <w:ind w:firstLine="480"/>
        <w:rPr>
          <w:color w:val="C00000"/>
        </w:rPr>
      </w:pPr>
      <w:r>
        <w:rPr>
          <w:rFonts w:hint="eastAsia"/>
          <w:color w:val="C00000"/>
        </w:rPr>
        <w:t>（2）签章要求：暗标部分不得进行签章。</w:t>
      </w:r>
    </w:p>
    <w:p>
      <w:pPr>
        <w:pStyle w:val="81"/>
        <w:ind w:firstLine="480"/>
        <w:rPr>
          <w:color w:val="C00000"/>
        </w:rPr>
      </w:pPr>
      <w:r>
        <w:rPr>
          <w:rFonts w:hint="eastAsia"/>
          <w:color w:val="C00000"/>
        </w:rPr>
        <w:t>暗标部分评审时出现争议的，评标委员会按照少数服从多数的原则做出结论。持不同意见的评审委员会成员应当在评审报告上签署不同意见并说明理由，否则视为同意。</w:t>
      </w:r>
    </w:p>
    <w:p>
      <w:pPr>
        <w:pStyle w:val="4"/>
        <w:ind w:firstLine="482"/>
      </w:pPr>
      <w:r>
        <w:t>（三）评标程序</w:t>
      </w:r>
    </w:p>
    <w:p>
      <w:pPr>
        <w:pStyle w:val="81"/>
        <w:ind w:firstLine="482"/>
        <w:rPr>
          <w:b/>
        </w:rPr>
      </w:pPr>
      <w:r>
        <w:rPr>
          <w:rFonts w:hint="eastAsia"/>
          <w:b/>
        </w:rPr>
        <w:t>1</w:t>
      </w:r>
      <w:r>
        <w:rPr>
          <w:rFonts w:hint="eastAsia"/>
          <w:b/>
          <w:color w:val="auto"/>
        </w:rPr>
        <w:t>．</w:t>
      </w:r>
      <w:r>
        <w:rPr>
          <w:rFonts w:hint="eastAsia"/>
          <w:b/>
        </w:rPr>
        <w:t>组建评标委员会</w:t>
      </w:r>
    </w:p>
    <w:p>
      <w:pPr>
        <w:pStyle w:val="81"/>
        <w:ind w:firstLine="480"/>
      </w:pPr>
      <w:r>
        <w:t>为了确保评标工作的公平、公正，依据《中华人民共和国政府采购法》及《</w:t>
      </w:r>
      <w:r>
        <w:rPr>
          <w:rFonts w:hint="eastAsia"/>
        </w:rPr>
        <w:t>政府采购货物和服务招标投标管理办法</w:t>
      </w:r>
      <w:r>
        <w:t>》（</w:t>
      </w:r>
      <w:r>
        <w:rPr>
          <w:rFonts w:hint="eastAsia"/>
        </w:rPr>
        <w:t>财政部87号令</w:t>
      </w:r>
      <w:r>
        <w:t>），组建评标委员会，评标委员会由采购人代表和有关技术、经济等方面的专家组成，成员人数为5人以上单数（采购预算金额在1000万元以上、技术复杂、社会影响较大的采购项目评标委员会成员人数应当为7人以上单数）。其中，技术、经济等方面的专家不少于成员总数的三分之二。评标专家从省级政府采购评审专家库内相关专业的专家名单中随机抽取。</w:t>
      </w:r>
    </w:p>
    <w:p>
      <w:pPr>
        <w:pStyle w:val="81"/>
        <w:ind w:firstLine="480"/>
      </w:pPr>
      <w:r>
        <w:rPr>
          <w:rFonts w:hint="eastAsia"/>
        </w:rPr>
        <w:t>由采购代理机构组织评标委员会推选评标组长，采购人代表不得担任组长。</w:t>
      </w:r>
    </w:p>
    <w:p>
      <w:pPr>
        <w:pStyle w:val="81"/>
        <w:ind w:firstLine="482"/>
        <w:rPr>
          <w:b/>
        </w:rPr>
      </w:pPr>
      <w:r>
        <w:rPr>
          <w:rFonts w:hint="eastAsia"/>
          <w:b/>
        </w:rPr>
        <w:t>2</w:t>
      </w:r>
      <w:r>
        <w:rPr>
          <w:rFonts w:hint="eastAsia"/>
          <w:b/>
          <w:color w:val="auto"/>
        </w:rPr>
        <w:t>．</w:t>
      </w:r>
      <w:r>
        <w:rPr>
          <w:b/>
        </w:rPr>
        <w:t>投标文件的符合性审查</w:t>
      </w:r>
    </w:p>
    <w:p>
      <w:pPr>
        <w:pStyle w:val="81"/>
        <w:ind w:firstLine="480"/>
        <w:rPr>
          <w:bCs/>
        </w:rPr>
      </w:pPr>
      <w:r>
        <w:t>供应商资格性审查通过后，</w:t>
      </w:r>
      <w:r>
        <w:rPr>
          <w:rFonts w:hint="eastAsia"/>
          <w:bCs/>
        </w:rPr>
        <w:t>评标委员会对符合资格条件的供应商的投标文件进行有效性、完整性和响应程度审查，以确定其是否满足招标文件的实质性要求。</w:t>
      </w:r>
    </w:p>
    <w:p>
      <w:pPr>
        <w:pStyle w:val="81"/>
        <w:ind w:firstLine="480"/>
      </w:pPr>
      <w:r>
        <w:rPr>
          <w:rFonts w:hint="eastAsia"/>
        </w:rPr>
        <w:t>符合性审查</w:t>
      </w:r>
      <w:r>
        <w:t>时，任意一项</w:t>
      </w:r>
      <w:r>
        <w:rPr>
          <w:rFonts w:hint="eastAsia"/>
        </w:rPr>
        <w:t>审查项</w:t>
      </w:r>
      <w:r>
        <w:t>未通过，</w:t>
      </w:r>
      <w:r>
        <w:rPr>
          <w:rFonts w:hint="eastAsia"/>
        </w:rPr>
        <w:t>投标</w:t>
      </w:r>
      <w:r>
        <w:t>文件视为无效。</w:t>
      </w:r>
      <w:r>
        <w:rPr>
          <w:rFonts w:hint="eastAsia"/>
        </w:rPr>
        <w:t>符合性</w:t>
      </w:r>
      <w:r>
        <w:t>审查结束后，</w:t>
      </w:r>
      <w:r>
        <w:rPr>
          <w:rFonts w:hint="eastAsia"/>
        </w:rPr>
        <w:t>评标委员会</w:t>
      </w:r>
      <w:r>
        <w:t>成员应当对审查结果进行签字确认；</w:t>
      </w:r>
      <w:r>
        <w:rPr>
          <w:rFonts w:hint="eastAsia"/>
        </w:rPr>
        <w:t>对未通过符合性审查的供应商，评标委员会应</w:t>
      </w:r>
      <w:r>
        <w:t>当场告知其未通过的原因。</w:t>
      </w:r>
    </w:p>
    <w:p>
      <w:pPr>
        <w:keepNext/>
        <w:spacing w:before="230" w:beforeLines="50" w:after="230" w:afterLines="50"/>
        <w:jc w:val="center"/>
        <w:outlineLvl w:val="3"/>
        <w:rPr>
          <w:rFonts w:ascii="黑体" w:hAnsi="黑体" w:eastAsia="黑体" w:cstheme="minorHAnsi"/>
          <w:color w:val="1F4E79"/>
          <w:sz w:val="32"/>
          <w:szCs w:val="32"/>
        </w:rPr>
      </w:pPr>
      <w:r>
        <w:rPr>
          <w:rFonts w:ascii="黑体" w:hAnsi="黑体" w:eastAsia="黑体" w:cstheme="minorHAnsi"/>
          <w:color w:val="1F4E79"/>
          <w:sz w:val="32"/>
          <w:szCs w:val="32"/>
        </w:rPr>
        <w:t>『符合性审查表』</w:t>
      </w:r>
    </w:p>
    <w:tbl>
      <w:tblPr>
        <w:tblStyle w:val="24"/>
        <w:tblW w:w="908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04"/>
        <w:gridCol w:w="2141"/>
        <w:gridCol w:w="623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序号</w:t>
            </w:r>
          </w:p>
        </w:tc>
        <w:tc>
          <w:tcPr>
            <w:tcW w:w="2141" w:type="dxa"/>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符合性审查项</w:t>
            </w:r>
          </w:p>
        </w:tc>
        <w:tc>
          <w:tcPr>
            <w:tcW w:w="6237" w:type="dxa"/>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通过条件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tcBorders>
              <w:top w:val="single" w:color="auto" w:sz="2" w:space="0"/>
            </w:tcBorders>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1</w:t>
            </w:r>
          </w:p>
        </w:tc>
        <w:tc>
          <w:tcPr>
            <w:tcW w:w="2141" w:type="dxa"/>
            <w:tcBorders>
              <w:top w:val="single" w:color="auto" w:sz="2" w:space="0"/>
            </w:tcBorders>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投标文件与本项目的一致性</w:t>
            </w:r>
          </w:p>
        </w:tc>
        <w:tc>
          <w:tcPr>
            <w:tcW w:w="6237" w:type="dxa"/>
            <w:tcBorders>
              <w:top w:val="single" w:color="auto" w:sz="2" w:space="0"/>
            </w:tcBorders>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至少以下三处的项目名称、项目编号、</w:t>
            </w:r>
            <w:r>
              <w:rPr>
                <w:rFonts w:hint="eastAsia" w:ascii="Calibri" w:hAnsi="宋体" w:eastAsia="宋体" w:cstheme="minorHAnsi"/>
                <w:bCs/>
                <w:sz w:val="21"/>
                <w:szCs w:val="21"/>
              </w:rPr>
              <w:t>采购包</w:t>
            </w:r>
            <w:r>
              <w:rPr>
                <w:rFonts w:ascii="Calibri" w:hAnsi="宋体" w:eastAsia="宋体" w:cstheme="minorHAnsi"/>
                <w:bCs/>
                <w:sz w:val="21"/>
                <w:szCs w:val="21"/>
              </w:rPr>
              <w:t>与「投标邀请函」中的相一致：</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（1）</w:t>
            </w:r>
            <w:r>
              <w:rPr>
                <w:rFonts w:ascii="Calibri" w:hAnsi="宋体" w:eastAsia="宋体" w:cstheme="minorHAnsi"/>
                <w:bCs/>
                <w:sz w:val="21"/>
                <w:szCs w:val="21"/>
              </w:rPr>
              <w:t>投标文件封面</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（2）</w:t>
            </w:r>
            <w:r>
              <w:rPr>
                <w:rFonts w:ascii="Calibri" w:hAnsi="宋体" w:eastAsia="宋体" w:cstheme="minorHAnsi"/>
                <w:bCs/>
                <w:sz w:val="21"/>
                <w:szCs w:val="21"/>
              </w:rPr>
              <w:t>投标函</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（3）</w:t>
            </w:r>
            <w:r>
              <w:rPr>
                <w:rFonts w:ascii="Calibri" w:hAnsi="宋体" w:eastAsia="宋体" w:cstheme="minorHAnsi"/>
                <w:bCs/>
                <w:sz w:val="21"/>
                <w:szCs w:val="21"/>
              </w:rPr>
              <w:t>法定代表人（负责人）委托授权书</w:t>
            </w:r>
            <w:r>
              <w:rPr>
                <w:rFonts w:hint="eastAsia" w:ascii="Calibri" w:hAnsi="宋体" w:eastAsia="宋体" w:cstheme="minorHAnsi"/>
                <w:bCs/>
                <w:sz w:val="21"/>
                <w:szCs w:val="21"/>
              </w:rPr>
              <w:t>\身份证明</w:t>
            </w:r>
          </w:p>
          <w:p>
            <w:pPr>
              <w:spacing w:line="400" w:lineRule="exact"/>
              <w:jc w:val="both"/>
              <w:rPr>
                <w:rFonts w:ascii="Calibri" w:hAnsi="宋体" w:eastAsia="宋体" w:cstheme="minorHAnsi"/>
                <w:bCs/>
                <w:sz w:val="21"/>
                <w:szCs w:val="21"/>
              </w:rPr>
            </w:pPr>
            <w:r>
              <w:rPr>
                <w:rFonts w:ascii="Calibri" w:hAnsi="宋体" w:eastAsia="宋体" w:cstheme="minorHAnsi"/>
                <w:bCs/>
                <w:color w:val="C00000"/>
                <w:sz w:val="21"/>
                <w:szCs w:val="21"/>
              </w:rPr>
              <w:t>项目不分</w:t>
            </w:r>
            <w:r>
              <w:rPr>
                <w:rFonts w:hint="eastAsia" w:ascii="Calibri" w:hAnsi="宋体" w:eastAsia="宋体" w:cstheme="minorHAnsi"/>
                <w:bCs/>
                <w:color w:val="C00000"/>
                <w:sz w:val="21"/>
                <w:szCs w:val="21"/>
              </w:rPr>
              <w:t>包</w:t>
            </w:r>
            <w:r>
              <w:rPr>
                <w:rFonts w:ascii="Calibri" w:hAnsi="宋体" w:eastAsia="宋体" w:cstheme="minorHAnsi"/>
                <w:bCs/>
                <w:color w:val="C00000"/>
                <w:sz w:val="21"/>
                <w:szCs w:val="21"/>
              </w:rPr>
              <w:t>的，</w:t>
            </w:r>
            <w:r>
              <w:rPr>
                <w:rFonts w:hint="eastAsia" w:ascii="Calibri" w:hAnsi="宋体" w:eastAsia="宋体" w:cstheme="minorHAnsi"/>
                <w:bCs/>
                <w:color w:val="C00000"/>
                <w:sz w:val="21"/>
                <w:szCs w:val="21"/>
              </w:rPr>
              <w:t>采购包</w:t>
            </w:r>
            <w:r>
              <w:rPr>
                <w:rFonts w:ascii="Calibri" w:hAnsi="宋体" w:eastAsia="宋体" w:cstheme="minorHAnsi"/>
                <w:bCs/>
                <w:color w:val="C00000"/>
                <w:sz w:val="21"/>
                <w:szCs w:val="21"/>
              </w:rPr>
              <w:t>处留空或填写</w:t>
            </w:r>
            <w:r>
              <w:rPr>
                <w:rFonts w:hint="eastAsia" w:ascii="Calibri" w:hAnsi="宋体" w:eastAsia="宋体" w:cstheme="minorHAnsi"/>
                <w:bCs/>
                <w:color w:val="C00000"/>
                <w:sz w:val="21"/>
                <w:szCs w:val="21"/>
              </w:rPr>
              <w:t>“/”</w:t>
            </w:r>
            <w:r>
              <w:rPr>
                <w:rFonts w:ascii="Calibri" w:hAnsi="宋体" w:eastAsia="宋体" w:cstheme="minorHAnsi"/>
                <w:bCs/>
                <w:color w:val="C00000"/>
                <w:sz w:val="21"/>
                <w:szCs w:val="21"/>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2</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投标文件组成</w:t>
            </w:r>
          </w:p>
        </w:tc>
        <w:tc>
          <w:tcPr>
            <w:tcW w:w="6237" w:type="dxa"/>
            <w:vAlign w:val="center"/>
          </w:tcPr>
          <w:p>
            <w:pPr>
              <w:spacing w:line="400" w:lineRule="exact"/>
              <w:jc w:val="both"/>
              <w:rPr>
                <w:rFonts w:ascii="Calibri" w:hAnsi="宋体" w:eastAsia="宋体" w:cstheme="minorHAnsi"/>
                <w:sz w:val="21"/>
                <w:szCs w:val="21"/>
              </w:rPr>
            </w:pPr>
            <w:r>
              <w:rPr>
                <w:rFonts w:ascii="Calibri" w:hAnsi="宋体" w:eastAsia="宋体" w:cstheme="minorHAnsi"/>
                <w:bCs/>
                <w:sz w:val="21"/>
                <w:szCs w:val="21"/>
              </w:rPr>
              <w:t>投标文件</w:t>
            </w:r>
            <w:r>
              <w:rPr>
                <w:rFonts w:ascii="Calibri" w:hAnsi="宋体" w:eastAsia="宋体" w:cstheme="minorHAnsi"/>
                <w:sz w:val="21"/>
                <w:szCs w:val="21"/>
              </w:rPr>
              <w:t>应包含以下部分：</w:t>
            </w:r>
          </w:p>
          <w:p>
            <w:pPr>
              <w:spacing w:line="400" w:lineRule="exact"/>
              <w:jc w:val="both"/>
              <w:rPr>
                <w:rFonts w:ascii="Calibri" w:hAnsi="宋体" w:eastAsia="宋体" w:cstheme="minorHAnsi"/>
                <w:sz w:val="21"/>
                <w:szCs w:val="21"/>
              </w:rPr>
            </w:pPr>
            <w:r>
              <w:rPr>
                <w:rFonts w:hint="eastAsia" w:ascii="Calibri" w:hAnsi="宋体" w:eastAsia="宋体" w:cstheme="minorHAnsi"/>
                <w:bCs/>
                <w:sz w:val="21"/>
                <w:szCs w:val="21"/>
              </w:rPr>
              <w:t>（1）</w:t>
            </w:r>
            <w:r>
              <w:rPr>
                <w:rFonts w:ascii="Calibri" w:hAnsi="宋体" w:eastAsia="宋体" w:cstheme="minorHAnsi"/>
                <w:sz w:val="21"/>
                <w:szCs w:val="21"/>
                <w:lang w:val="en-AU"/>
              </w:rPr>
              <w:t>投标</w:t>
            </w:r>
            <w:r>
              <w:rPr>
                <w:rFonts w:ascii="Calibri" w:hAnsi="宋体" w:eastAsia="宋体" w:cstheme="minorHAnsi"/>
                <w:bCs/>
                <w:sz w:val="21"/>
                <w:szCs w:val="21"/>
              </w:rPr>
              <w:t>函</w:t>
            </w:r>
          </w:p>
          <w:p>
            <w:pPr>
              <w:spacing w:line="400" w:lineRule="exact"/>
              <w:jc w:val="both"/>
              <w:rPr>
                <w:rFonts w:ascii="Calibri" w:hAnsi="宋体" w:eastAsia="宋体" w:cstheme="minorHAnsi"/>
                <w:sz w:val="21"/>
                <w:szCs w:val="21"/>
              </w:rPr>
            </w:pPr>
            <w:r>
              <w:rPr>
                <w:rFonts w:hint="eastAsia" w:ascii="Calibri" w:hAnsi="宋体" w:eastAsia="宋体" w:cstheme="minorHAnsi"/>
                <w:bCs/>
                <w:sz w:val="21"/>
                <w:szCs w:val="21"/>
              </w:rPr>
              <w:t>（2）</w:t>
            </w:r>
            <w:r>
              <w:rPr>
                <w:rFonts w:ascii="Calibri" w:hAnsi="宋体" w:eastAsia="宋体" w:cstheme="minorHAnsi"/>
                <w:sz w:val="21"/>
                <w:szCs w:val="21"/>
                <w:lang w:val="en-AU"/>
              </w:rPr>
              <w:t>开标一览表</w:t>
            </w:r>
          </w:p>
          <w:p>
            <w:pPr>
              <w:spacing w:line="400" w:lineRule="exact"/>
              <w:jc w:val="both"/>
              <w:rPr>
                <w:rFonts w:ascii="Calibri" w:hAnsi="宋体" w:eastAsia="宋体" w:cstheme="minorHAnsi"/>
                <w:sz w:val="21"/>
                <w:szCs w:val="21"/>
              </w:rPr>
            </w:pPr>
            <w:r>
              <w:rPr>
                <w:rFonts w:hint="eastAsia" w:ascii="Calibri" w:hAnsi="宋体" w:eastAsia="宋体" w:cstheme="minorHAnsi"/>
                <w:bCs/>
                <w:sz w:val="21"/>
                <w:szCs w:val="21"/>
              </w:rPr>
              <w:t>（3）</w:t>
            </w:r>
            <w:r>
              <w:rPr>
                <w:rFonts w:ascii="Calibri" w:hAnsi="宋体" w:eastAsia="宋体" w:cstheme="minorHAnsi"/>
                <w:sz w:val="21"/>
                <w:szCs w:val="21"/>
              </w:rPr>
              <w:t>资格证明文件</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（4）实质性条款响</w:t>
            </w:r>
            <w:r>
              <w:rPr>
                <w:rFonts w:hint="eastAsia" w:ascii="Calibri" w:hAnsi="宋体" w:eastAsia="宋体" w:cstheme="minorHAnsi"/>
                <w:bCs/>
                <w:w w:val="1"/>
                <w:sz w:val="21"/>
                <w:szCs w:val="21"/>
              </w:rPr>
              <w:t xml:space="preserve"> </w:t>
            </w:r>
            <w:r>
              <w:rPr>
                <w:rFonts w:hint="eastAsia" w:ascii="Calibri" w:hAnsi="宋体" w:eastAsia="宋体" w:cstheme="minorHAnsi"/>
                <w:bCs/>
                <w:sz w:val="21"/>
                <w:szCs w:val="21"/>
              </w:rPr>
              <w:t>应</w:t>
            </w:r>
            <w:r>
              <w:rPr>
                <w:rFonts w:hint="eastAsia" w:ascii="Calibri" w:hAnsi="宋体" w:eastAsia="宋体" w:cstheme="minorHAnsi"/>
                <w:bCs/>
                <w:color w:val="C00000"/>
                <w:sz w:val="21"/>
                <w:szCs w:val="21"/>
              </w:rPr>
              <w:t>（招标文件</w:t>
            </w:r>
            <w:r>
              <w:rPr>
                <w:rFonts w:ascii="Calibri" w:hAnsi="宋体" w:eastAsia="宋体" w:cstheme="minorHAnsi"/>
                <w:bCs/>
                <w:color w:val="C00000"/>
                <w:sz w:val="21"/>
                <w:szCs w:val="21"/>
              </w:rPr>
              <w:t>未设置实质性条款时</w:t>
            </w:r>
            <w:r>
              <w:rPr>
                <w:rFonts w:hint="eastAsia" w:ascii="Calibri" w:hAnsi="宋体" w:eastAsia="宋体" w:cstheme="minorHAnsi"/>
                <w:bCs/>
                <w:color w:val="C00000"/>
                <w:sz w:val="21"/>
                <w:szCs w:val="21"/>
              </w:rPr>
              <w:t>请</w:t>
            </w:r>
            <w:r>
              <w:rPr>
                <w:rFonts w:ascii="Calibri" w:hAnsi="宋体" w:eastAsia="宋体" w:cstheme="minorHAnsi"/>
                <w:bCs/>
                <w:color w:val="C00000"/>
                <w:sz w:val="21"/>
                <w:szCs w:val="21"/>
              </w:rPr>
              <w:t>忽略此项</w:t>
            </w:r>
            <w:r>
              <w:rPr>
                <w:rFonts w:hint="eastAsia" w:ascii="Calibri" w:hAnsi="宋体" w:eastAsia="宋体" w:cstheme="minorHAnsi"/>
                <w:bCs/>
                <w:color w:val="C00000"/>
                <w:sz w:val="21"/>
                <w:szCs w:val="21"/>
              </w:rPr>
              <w:t>）</w:t>
            </w:r>
          </w:p>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w:t>
            </w:r>
            <w:r>
              <w:rPr>
                <w:rFonts w:hint="eastAsia" w:ascii="Calibri" w:hAnsi="宋体" w:eastAsia="宋体" w:cstheme="minorHAnsi"/>
                <w:bCs/>
                <w:sz w:val="21"/>
                <w:szCs w:val="21"/>
              </w:rPr>
              <w:t>5</w:t>
            </w:r>
            <w:r>
              <w:rPr>
                <w:rFonts w:ascii="Calibri" w:hAnsi="宋体" w:eastAsia="宋体" w:cstheme="minorHAnsi"/>
                <w:bCs/>
                <w:sz w:val="21"/>
                <w:szCs w:val="21"/>
              </w:rPr>
              <w:t>）投标方案</w:t>
            </w:r>
          </w:p>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w:t>
            </w:r>
            <w:r>
              <w:rPr>
                <w:rFonts w:hint="eastAsia" w:ascii="Calibri" w:hAnsi="宋体" w:eastAsia="宋体" w:cstheme="minorHAnsi"/>
                <w:bCs/>
                <w:sz w:val="21"/>
                <w:szCs w:val="21"/>
              </w:rPr>
              <w:t>6</w:t>
            </w:r>
            <w:r>
              <w:rPr>
                <w:rFonts w:ascii="Calibri" w:hAnsi="宋体" w:eastAsia="宋体" w:cstheme="minorHAnsi"/>
                <w:bCs/>
                <w:sz w:val="21"/>
                <w:szCs w:val="21"/>
              </w:rPr>
              <w:t>）供应商概况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3</w:t>
            </w:r>
          </w:p>
        </w:tc>
        <w:tc>
          <w:tcPr>
            <w:tcW w:w="2141" w:type="dxa"/>
            <w:vAlign w:val="center"/>
          </w:tcPr>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签章</w:t>
            </w:r>
          </w:p>
        </w:tc>
        <w:tc>
          <w:tcPr>
            <w:tcW w:w="6237" w:type="dxa"/>
            <w:vAlign w:val="center"/>
          </w:tcPr>
          <w:p>
            <w:pPr>
              <w:spacing w:line="400" w:lineRule="exact"/>
              <w:jc w:val="both"/>
              <w:rPr>
                <w:rFonts w:ascii="Calibri" w:hAnsi="宋体" w:eastAsia="宋体" w:cstheme="minorHAnsi"/>
                <w:sz w:val="21"/>
                <w:szCs w:val="21"/>
              </w:rPr>
            </w:pPr>
            <w:r>
              <w:rPr>
                <w:rFonts w:hint="eastAsia" w:ascii="Calibri" w:hAnsi="宋体" w:eastAsia="宋体" w:cstheme="minorHAnsi"/>
                <w:sz w:val="21"/>
                <w:szCs w:val="21"/>
              </w:rPr>
              <w:t>签章均符合招标文件要求，且无遗漏。</w:t>
            </w:r>
          </w:p>
          <w:p>
            <w:pPr>
              <w:spacing w:line="400" w:lineRule="exact"/>
              <w:jc w:val="both"/>
              <w:rPr>
                <w:rFonts w:ascii="Calibri" w:hAnsi="宋体" w:eastAsia="宋体" w:cstheme="minorHAnsi"/>
                <w:bCs/>
                <w:sz w:val="21"/>
                <w:szCs w:val="21"/>
              </w:rPr>
            </w:pPr>
            <w:r>
              <w:rPr>
                <w:rFonts w:ascii="Calibri" w:hAnsi="宋体" w:eastAsia="宋体" w:cstheme="minorHAnsi"/>
                <w:b/>
                <w:color w:val="C00000"/>
                <w:sz w:val="21"/>
                <w:szCs w:val="21"/>
                <w:highlight w:val="yellow"/>
              </w:rPr>
              <w:t>注意：暗标部分不得进行签章</w:t>
            </w:r>
            <w:r>
              <w:rPr>
                <w:rFonts w:ascii="Calibri" w:hAnsi="宋体" w:eastAsia="宋体" w:cstheme="minorHAnsi"/>
                <w:color w:val="C00000"/>
                <w:sz w:val="21"/>
                <w:szCs w:val="21"/>
                <w:highlight w:val="yellow"/>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4</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语言和计量单位</w:t>
            </w:r>
          </w:p>
        </w:tc>
        <w:tc>
          <w:tcPr>
            <w:tcW w:w="6237" w:type="dxa"/>
            <w:vAlign w:val="center"/>
          </w:tcPr>
          <w:p>
            <w:pPr>
              <w:spacing w:line="400" w:lineRule="exact"/>
              <w:jc w:val="both"/>
              <w:rPr>
                <w:rFonts w:ascii="Calibri" w:hAnsi="宋体" w:eastAsia="宋体" w:cstheme="minorHAnsi"/>
                <w:sz w:val="21"/>
                <w:szCs w:val="21"/>
              </w:rPr>
            </w:pPr>
            <w:r>
              <w:rPr>
                <w:rFonts w:ascii="Calibri" w:hAnsi="宋体" w:eastAsia="宋体" w:cstheme="minorHAnsi"/>
                <w:sz w:val="21"/>
                <w:szCs w:val="21"/>
              </w:rPr>
              <w:t>符合招标文件的要求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5</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投标文件有效期</w:t>
            </w:r>
          </w:p>
        </w:tc>
        <w:tc>
          <w:tcPr>
            <w:tcW w:w="6237" w:type="dxa"/>
            <w:vAlign w:val="center"/>
          </w:tcPr>
          <w:p>
            <w:pPr>
              <w:spacing w:line="400" w:lineRule="exact"/>
              <w:jc w:val="both"/>
              <w:rPr>
                <w:rFonts w:ascii="Calibri" w:hAnsi="宋体" w:eastAsia="宋体" w:cstheme="minorHAnsi"/>
                <w:b/>
                <w:bCs/>
                <w:sz w:val="21"/>
                <w:szCs w:val="21"/>
              </w:rPr>
            </w:pPr>
            <w:r>
              <w:rPr>
                <w:rFonts w:ascii="Calibri" w:hAnsi="宋体" w:eastAsia="宋体" w:cstheme="minorHAnsi"/>
                <w:sz w:val="21"/>
                <w:szCs w:val="21"/>
              </w:rPr>
              <w:t>符合招标文件的要求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6</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投标报价</w:t>
            </w:r>
          </w:p>
        </w:tc>
        <w:tc>
          <w:tcPr>
            <w:tcW w:w="6237"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同时满足以下条款：</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（1）</w:t>
            </w:r>
            <w:r>
              <w:rPr>
                <w:rFonts w:ascii="Calibri" w:hAnsi="宋体" w:eastAsia="宋体" w:cstheme="minorHAnsi"/>
                <w:bCs/>
                <w:sz w:val="21"/>
                <w:szCs w:val="21"/>
              </w:rPr>
              <w:t>货币单位符合招标文件要求</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（2）</w:t>
            </w:r>
            <w:r>
              <w:rPr>
                <w:rFonts w:ascii="Calibri" w:hAnsi="宋体" w:eastAsia="宋体" w:cstheme="minorHAnsi"/>
                <w:bCs/>
                <w:sz w:val="21"/>
                <w:szCs w:val="21"/>
              </w:rPr>
              <w:t>报价符合唯一性要求</w:t>
            </w:r>
          </w:p>
          <w:p>
            <w:pPr>
              <w:spacing w:line="400" w:lineRule="exact"/>
              <w:jc w:val="both"/>
              <w:rPr>
                <w:rFonts w:ascii="Calibri" w:hAnsi="宋体" w:eastAsia="宋体" w:cstheme="minorHAnsi"/>
                <w:bCs/>
                <w:sz w:val="21"/>
                <w:szCs w:val="21"/>
              </w:rPr>
            </w:pPr>
            <w:r>
              <w:rPr>
                <w:rFonts w:hint="eastAsia" w:ascii="Calibri" w:hAnsi="宋体" w:eastAsia="宋体" w:cstheme="minorHAnsi"/>
                <w:bCs/>
                <w:sz w:val="21"/>
                <w:szCs w:val="21"/>
              </w:rPr>
              <w:t>（3）</w:t>
            </w:r>
            <w:r>
              <w:rPr>
                <w:rFonts w:ascii="Calibri" w:hAnsi="宋体" w:eastAsia="宋体" w:cstheme="minorHAnsi"/>
                <w:bCs/>
                <w:sz w:val="21"/>
                <w:szCs w:val="21"/>
              </w:rPr>
              <w:t>未超出采购预算或最高限价</w:t>
            </w:r>
          </w:p>
          <w:p>
            <w:pPr>
              <w:spacing w:line="400" w:lineRule="exact"/>
              <w:jc w:val="both"/>
              <w:rPr>
                <w:rFonts w:ascii="Calibri" w:hAnsi="宋体" w:eastAsia="宋体" w:cstheme="minorHAnsi"/>
                <w:sz w:val="21"/>
                <w:szCs w:val="21"/>
              </w:rPr>
            </w:pPr>
            <w:r>
              <w:rPr>
                <w:rFonts w:hint="eastAsia" w:ascii="Calibri" w:hAnsi="宋体" w:eastAsia="宋体" w:cstheme="minorHAnsi"/>
                <w:bCs/>
                <w:sz w:val="21"/>
                <w:szCs w:val="21"/>
              </w:rPr>
              <w:t>（4）符合《开标一览</w:t>
            </w:r>
            <w:r>
              <w:rPr>
                <w:rFonts w:ascii="Calibri" w:hAnsi="宋体" w:eastAsia="宋体" w:cstheme="minorHAnsi"/>
                <w:bCs/>
                <w:sz w:val="21"/>
                <w:szCs w:val="21"/>
              </w:rPr>
              <w:t>表</w:t>
            </w:r>
            <w:r>
              <w:rPr>
                <w:rFonts w:hint="eastAsia" w:ascii="Calibri" w:hAnsi="宋体" w:eastAsia="宋体" w:cstheme="minorHAnsi"/>
                <w:bCs/>
                <w:sz w:val="21"/>
                <w:szCs w:val="21"/>
              </w:rPr>
              <w:t>》的</w:t>
            </w:r>
            <w:r>
              <w:rPr>
                <w:rFonts w:ascii="Calibri" w:hAnsi="宋体" w:eastAsia="宋体" w:cstheme="minorHAnsi"/>
                <w:bCs/>
                <w:sz w:val="21"/>
                <w:szCs w:val="21"/>
              </w:rPr>
              <w:t>填报要求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7</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实质性条款响</w:t>
            </w:r>
            <w:r>
              <w:rPr>
                <w:rFonts w:hint="eastAsia" w:ascii="Calibri" w:hAnsi="宋体" w:eastAsia="宋体" w:cstheme="minorHAnsi"/>
                <w:bCs/>
                <w:w w:val="1"/>
                <w:sz w:val="21"/>
                <w:szCs w:val="21"/>
              </w:rPr>
              <w:t xml:space="preserve"> </w:t>
            </w:r>
            <w:r>
              <w:rPr>
                <w:rFonts w:ascii="Calibri" w:hAnsi="宋体" w:eastAsia="宋体" w:cstheme="minorHAnsi"/>
                <w:bCs/>
                <w:sz w:val="21"/>
                <w:szCs w:val="21"/>
              </w:rPr>
              <w:t>应</w:t>
            </w:r>
          </w:p>
        </w:tc>
        <w:tc>
          <w:tcPr>
            <w:tcW w:w="6237" w:type="dxa"/>
            <w:vAlign w:val="center"/>
          </w:tcPr>
          <w:p>
            <w:pPr>
              <w:spacing w:line="400" w:lineRule="exact"/>
              <w:jc w:val="both"/>
              <w:rPr>
                <w:rFonts w:ascii="Calibri" w:hAnsi="宋体" w:eastAsia="宋体" w:cstheme="minorHAnsi"/>
                <w:sz w:val="21"/>
                <w:szCs w:val="21"/>
              </w:rPr>
            </w:pPr>
            <w:r>
              <w:rPr>
                <w:rFonts w:ascii="Calibri" w:hAnsi="宋体" w:eastAsia="宋体" w:cstheme="minorHAnsi"/>
                <w:sz w:val="21"/>
                <w:szCs w:val="21"/>
              </w:rPr>
              <w:t>完全响</w:t>
            </w:r>
            <w:r>
              <w:rPr>
                <w:rFonts w:hint="eastAsia" w:ascii="Calibri" w:hAnsi="宋体" w:eastAsia="宋体" w:cstheme="minorHAnsi"/>
                <w:w w:val="1"/>
                <w:sz w:val="21"/>
                <w:szCs w:val="21"/>
              </w:rPr>
              <w:t xml:space="preserve"> </w:t>
            </w:r>
            <w:r>
              <w:rPr>
                <w:rFonts w:ascii="Calibri" w:hAnsi="宋体" w:eastAsia="宋体" w:cstheme="minorHAnsi"/>
                <w:sz w:val="21"/>
                <w:szCs w:val="21"/>
              </w:rPr>
              <w:t>应招标文件第三章标注了</w:t>
            </w:r>
            <w:r>
              <w:rPr>
                <w:rFonts w:eastAsia="宋体" w:cstheme="minorHAnsi"/>
                <w:sz w:val="21"/>
                <w:szCs w:val="21"/>
              </w:rPr>
              <w:t>“</w:t>
            </w:r>
            <w:r>
              <w:rPr>
                <w:rFonts w:ascii="Segoe UI Symbol" w:hAnsi="Segoe UI Symbol" w:eastAsia="宋体" w:cs="Segoe UI Symbol"/>
                <w:sz w:val="21"/>
                <w:szCs w:val="21"/>
              </w:rPr>
              <w:t>★</w:t>
            </w:r>
            <w:r>
              <w:rPr>
                <w:rFonts w:eastAsia="宋体" w:cstheme="minorHAnsi"/>
                <w:sz w:val="21"/>
                <w:szCs w:val="21"/>
              </w:rPr>
              <w:t>”</w:t>
            </w:r>
            <w:r>
              <w:rPr>
                <w:rFonts w:ascii="Calibri" w:hAnsi="宋体" w:eastAsia="宋体" w:cstheme="minorHAnsi"/>
                <w:sz w:val="21"/>
                <w:szCs w:val="21"/>
              </w:rPr>
              <w:t>的各项实质性条款。</w:t>
            </w:r>
          </w:p>
          <w:p>
            <w:pPr>
              <w:spacing w:line="400" w:lineRule="exact"/>
              <w:jc w:val="both"/>
              <w:rPr>
                <w:rFonts w:ascii="Calibri" w:hAnsi="宋体" w:eastAsia="宋体" w:cstheme="minorHAnsi"/>
                <w:sz w:val="21"/>
                <w:szCs w:val="21"/>
              </w:rPr>
            </w:pPr>
            <w:r>
              <w:rPr>
                <w:rFonts w:ascii="Calibri" w:hAnsi="宋体" w:eastAsia="宋体" w:cstheme="minorHAnsi"/>
                <w:bCs/>
                <w:sz w:val="21"/>
                <w:szCs w:val="21"/>
              </w:rPr>
              <w:t>（</w:t>
            </w:r>
            <w:r>
              <w:rPr>
                <w:rFonts w:ascii="Calibri" w:hAnsi="宋体" w:eastAsia="宋体" w:cstheme="minorHAnsi"/>
                <w:bCs/>
                <w:color w:val="C00000"/>
                <w:sz w:val="21"/>
                <w:szCs w:val="21"/>
              </w:rPr>
              <w:t>招标文件</w:t>
            </w:r>
            <w:r>
              <w:rPr>
                <w:rFonts w:ascii="Calibri" w:hAnsi="宋体" w:eastAsia="宋体" w:cs="Segoe UI Symbol"/>
                <w:bCs/>
                <w:color w:val="C00000"/>
                <w:sz w:val="21"/>
                <w:szCs w:val="21"/>
              </w:rPr>
              <w:t>未设置实质性条款时请忽略此项</w:t>
            </w:r>
            <w:r>
              <w:rPr>
                <w:rFonts w:ascii="Calibri" w:hAnsi="宋体" w:eastAsia="宋体" w:cstheme="minorHAnsi"/>
                <w:bCs/>
                <w:sz w:val="21"/>
                <w:szCs w:val="21"/>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8</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合同条款响</w:t>
            </w:r>
            <w:r>
              <w:rPr>
                <w:rFonts w:hint="eastAsia" w:ascii="Calibri" w:hAnsi="宋体" w:eastAsia="宋体" w:cstheme="minorHAnsi"/>
                <w:bCs/>
                <w:w w:val="1"/>
                <w:sz w:val="21"/>
                <w:szCs w:val="21"/>
              </w:rPr>
              <w:t xml:space="preserve"> </w:t>
            </w:r>
            <w:r>
              <w:rPr>
                <w:rFonts w:ascii="Calibri" w:hAnsi="宋体" w:eastAsia="宋体" w:cstheme="minorHAnsi"/>
                <w:bCs/>
                <w:sz w:val="21"/>
                <w:szCs w:val="21"/>
              </w:rPr>
              <w:t>应</w:t>
            </w:r>
          </w:p>
        </w:tc>
        <w:tc>
          <w:tcPr>
            <w:tcW w:w="6237" w:type="dxa"/>
            <w:vAlign w:val="center"/>
          </w:tcPr>
          <w:p>
            <w:pPr>
              <w:spacing w:line="400" w:lineRule="exact"/>
              <w:jc w:val="both"/>
              <w:rPr>
                <w:rFonts w:ascii="Calibri" w:hAnsi="宋体" w:eastAsia="宋体" w:cstheme="minorHAnsi"/>
                <w:sz w:val="21"/>
                <w:szCs w:val="21"/>
              </w:rPr>
            </w:pPr>
            <w:r>
              <w:rPr>
                <w:rFonts w:ascii="Calibri" w:hAnsi="宋体" w:eastAsia="宋体" w:cstheme="minorHAnsi"/>
                <w:sz w:val="21"/>
                <w:szCs w:val="21"/>
              </w:rPr>
              <w:t>完全理解并响</w:t>
            </w:r>
            <w:r>
              <w:rPr>
                <w:rFonts w:hint="eastAsia" w:ascii="Calibri" w:hAnsi="宋体" w:eastAsia="宋体" w:cstheme="minorHAnsi"/>
                <w:w w:val="1"/>
                <w:sz w:val="21"/>
                <w:szCs w:val="21"/>
              </w:rPr>
              <w:t xml:space="preserve"> </w:t>
            </w:r>
            <w:r>
              <w:rPr>
                <w:rFonts w:ascii="Calibri" w:hAnsi="宋体" w:eastAsia="宋体" w:cstheme="minorHAnsi"/>
                <w:sz w:val="21"/>
                <w:szCs w:val="21"/>
              </w:rPr>
              <w:t>应招标文件合同条款的要求，且未</w:t>
            </w:r>
            <w:r>
              <w:rPr>
                <w:rFonts w:hint="eastAsia" w:ascii="Calibri" w:hAnsi="宋体" w:eastAsia="宋体" w:cstheme="minorHAnsi"/>
                <w:sz w:val="21"/>
                <w:szCs w:val="21"/>
              </w:rPr>
              <w:t>含有采购人不能接受的附加条件的</w:t>
            </w:r>
            <w:r>
              <w:rPr>
                <w:rFonts w:ascii="Calibri" w:hAnsi="宋体" w:eastAsia="宋体" w:cstheme="minorHAnsi"/>
                <w:sz w:val="21"/>
                <w:szCs w:val="21"/>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bCs/>
                <w:sz w:val="21"/>
                <w:szCs w:val="21"/>
              </w:rPr>
            </w:pPr>
            <w:r>
              <w:rPr>
                <w:rFonts w:hint="eastAsia" w:ascii="Calibri" w:hAnsi="宋体" w:eastAsia="宋体" w:cstheme="minorHAnsi"/>
                <w:bCs/>
                <w:sz w:val="21"/>
                <w:szCs w:val="21"/>
              </w:rPr>
              <w:t>9</w:t>
            </w:r>
          </w:p>
        </w:tc>
        <w:tc>
          <w:tcPr>
            <w:tcW w:w="2141" w:type="dxa"/>
            <w:vAlign w:val="center"/>
          </w:tcPr>
          <w:p>
            <w:pPr>
              <w:spacing w:line="400" w:lineRule="exact"/>
              <w:jc w:val="both"/>
              <w:rPr>
                <w:rFonts w:ascii="Calibri" w:hAnsi="宋体" w:eastAsia="宋体" w:cstheme="minorHAnsi"/>
                <w:bCs/>
                <w:sz w:val="21"/>
                <w:szCs w:val="21"/>
              </w:rPr>
            </w:pPr>
            <w:r>
              <w:rPr>
                <w:rFonts w:hint="eastAsia" w:ascii="Calibri" w:hAnsi="宋体" w:eastAsia="宋体"/>
                <w:bCs/>
                <w:color w:val="000000"/>
                <w:sz w:val="21"/>
                <w:szCs w:val="21"/>
              </w:rPr>
              <w:t>电子投标文件雷同性分析</w:t>
            </w:r>
          </w:p>
        </w:tc>
        <w:tc>
          <w:tcPr>
            <w:tcW w:w="6237" w:type="dxa"/>
            <w:vAlign w:val="center"/>
          </w:tcPr>
          <w:p>
            <w:pPr>
              <w:spacing w:line="400" w:lineRule="exact"/>
              <w:jc w:val="both"/>
              <w:rPr>
                <w:rFonts w:ascii="Calibri" w:hAnsi="宋体" w:eastAsia="宋体" w:cstheme="minorHAnsi"/>
                <w:sz w:val="21"/>
                <w:szCs w:val="21"/>
              </w:rPr>
            </w:pPr>
            <w:r>
              <w:rPr>
                <w:rFonts w:hint="eastAsia" w:ascii="Calibri" w:hAnsi="宋体" w:eastAsia="宋体"/>
                <w:bCs/>
                <w:color w:val="000000"/>
                <w:sz w:val="21"/>
                <w:szCs w:val="21"/>
              </w:rPr>
              <w:t>电子投标文件的“文件制作机器码”和“文件创建标识码”通过评标系统的雷同性分析。</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pPr>
              <w:spacing w:line="400" w:lineRule="exact"/>
              <w:jc w:val="center"/>
              <w:rPr>
                <w:rFonts w:ascii="Calibri" w:hAnsi="宋体" w:eastAsia="宋体" w:cstheme="minorHAnsi"/>
                <w:sz w:val="21"/>
                <w:szCs w:val="21"/>
              </w:rPr>
            </w:pPr>
            <w:r>
              <w:rPr>
                <w:rFonts w:hint="eastAsia" w:ascii="Calibri" w:hAnsi="宋体" w:eastAsia="宋体" w:cstheme="minorHAnsi"/>
                <w:sz w:val="21"/>
                <w:szCs w:val="21"/>
              </w:rPr>
              <w:t>10</w:t>
            </w:r>
          </w:p>
        </w:tc>
        <w:tc>
          <w:tcPr>
            <w:tcW w:w="2141" w:type="dxa"/>
            <w:vAlign w:val="center"/>
          </w:tcPr>
          <w:p>
            <w:pPr>
              <w:spacing w:line="400" w:lineRule="exact"/>
              <w:jc w:val="both"/>
              <w:rPr>
                <w:rFonts w:ascii="Calibri" w:hAnsi="宋体" w:eastAsia="宋体" w:cstheme="minorHAnsi"/>
                <w:bCs/>
                <w:sz w:val="21"/>
                <w:szCs w:val="21"/>
              </w:rPr>
            </w:pPr>
            <w:r>
              <w:rPr>
                <w:rFonts w:ascii="Calibri" w:hAnsi="宋体" w:eastAsia="宋体" w:cstheme="minorHAnsi"/>
                <w:bCs/>
                <w:sz w:val="21"/>
                <w:szCs w:val="21"/>
              </w:rPr>
              <w:t>其他</w:t>
            </w:r>
          </w:p>
        </w:tc>
        <w:tc>
          <w:tcPr>
            <w:tcW w:w="6237" w:type="dxa"/>
            <w:vAlign w:val="center"/>
          </w:tcPr>
          <w:p>
            <w:pPr>
              <w:spacing w:line="400" w:lineRule="exact"/>
              <w:jc w:val="both"/>
              <w:rPr>
                <w:rFonts w:ascii="Calibri" w:hAnsi="宋体" w:eastAsia="宋体" w:cstheme="minorHAnsi"/>
                <w:sz w:val="21"/>
                <w:szCs w:val="21"/>
              </w:rPr>
            </w:pPr>
            <w:r>
              <w:rPr>
                <w:rFonts w:ascii="Calibri" w:hAnsi="宋体" w:eastAsia="宋体" w:cstheme="minorHAnsi"/>
                <w:sz w:val="21"/>
                <w:szCs w:val="21"/>
              </w:rPr>
              <w:t>完全理解并接受法律法规和招标文件对供应商合法经营的各类规约和责任义务要求，没有出现法律法规或招标文件规定的其他</w:t>
            </w:r>
            <w:r>
              <w:rPr>
                <w:rFonts w:hint="eastAsia" w:ascii="Calibri" w:hAnsi="宋体" w:eastAsia="宋体" w:cstheme="minorHAnsi"/>
                <w:sz w:val="21"/>
                <w:szCs w:val="21"/>
              </w:rPr>
              <w:t>无效</w:t>
            </w:r>
            <w:r>
              <w:rPr>
                <w:rFonts w:ascii="Calibri" w:hAnsi="宋体" w:eastAsia="宋体" w:cstheme="minorHAnsi"/>
                <w:sz w:val="21"/>
                <w:szCs w:val="21"/>
              </w:rPr>
              <w:t>情形。</w:t>
            </w:r>
          </w:p>
        </w:tc>
      </w:tr>
    </w:tbl>
    <w:p>
      <w:pPr>
        <w:pStyle w:val="81"/>
        <w:ind w:firstLine="482"/>
        <w:rPr>
          <w:b/>
        </w:rPr>
      </w:pPr>
      <w:r>
        <w:rPr>
          <w:b/>
        </w:rPr>
        <w:t>3</w:t>
      </w:r>
      <w:r>
        <w:rPr>
          <w:rFonts w:hint="eastAsia"/>
          <w:b/>
          <w:color w:val="auto"/>
        </w:rPr>
        <w:t>．投标</w:t>
      </w:r>
      <w:r>
        <w:rPr>
          <w:rFonts w:hint="eastAsia"/>
          <w:b/>
        </w:rPr>
        <w:t>文件的澄清</w:t>
      </w:r>
    </w:p>
    <w:p>
      <w:pPr>
        <w:pStyle w:val="81"/>
        <w:ind w:firstLine="480"/>
      </w:pPr>
      <w:r>
        <w:rPr>
          <w:rFonts w:hint="eastAsia"/>
        </w:rPr>
        <w:t>对于投标文件中</w:t>
      </w:r>
      <w:r>
        <w:rPr>
          <w:rFonts w:hint="eastAsia"/>
          <w:color w:val="C00000"/>
        </w:rPr>
        <w:t>含义不明确</w:t>
      </w:r>
      <w:r>
        <w:rPr>
          <w:rFonts w:hint="eastAsia"/>
        </w:rPr>
        <w:t>、</w:t>
      </w:r>
      <w:r>
        <w:rPr>
          <w:rFonts w:hint="eastAsia"/>
          <w:color w:val="C00000"/>
        </w:rPr>
        <w:t>同类问题表述不一致</w:t>
      </w:r>
      <w:r>
        <w:rPr>
          <w:rFonts w:hint="eastAsia"/>
        </w:rPr>
        <w:t>或者</w:t>
      </w:r>
      <w:r>
        <w:rPr>
          <w:rFonts w:hint="eastAsia"/>
          <w:color w:val="C00000"/>
        </w:rPr>
        <w:t>有明显文字和计算错误</w:t>
      </w:r>
      <w:r>
        <w:rPr>
          <w:rFonts w:hint="eastAsia"/>
        </w:rPr>
        <w:t>的内容，评标委员会应当以书面形式要求供应商作出必要的澄清、说明或者补正。</w:t>
      </w:r>
    </w:p>
    <w:p>
      <w:pPr>
        <w:pStyle w:val="81"/>
        <w:ind w:firstLine="480"/>
        <w:rPr>
          <w:b/>
          <w:color w:val="auto"/>
        </w:rPr>
      </w:pPr>
      <w:r>
        <w:rPr>
          <w:rFonts w:hint="eastAsia"/>
        </w:rPr>
        <w:t>供应商的澄清、说明或者补正应当采用书面形式，并加盖公章，或者由法定代表人或其授权代表签字。供应商的澄清、说明或者补正不得超出投标文件的范围或者改变投标文件的实质性内容。</w:t>
      </w:r>
    </w:p>
    <w:p>
      <w:pPr>
        <w:pStyle w:val="81"/>
        <w:ind w:firstLine="482"/>
        <w:rPr>
          <w:b/>
        </w:rPr>
      </w:pPr>
      <w:r>
        <w:rPr>
          <w:rFonts w:hint="eastAsia"/>
          <w:b/>
        </w:rPr>
        <w:t>4．异常低价的审查</w:t>
      </w:r>
    </w:p>
    <w:p>
      <w:pPr>
        <w:pStyle w:val="99"/>
        <w:snapToGrid w:val="0"/>
        <w:spacing w:line="360" w:lineRule="auto"/>
        <w:ind w:firstLine="480" w:firstLineChars="200"/>
        <w:textAlignment w:val="auto"/>
        <w:rPr>
          <w:rFonts w:hAnsi="宋体" w:cs="宋体"/>
          <w:sz w:val="24"/>
          <w:szCs w:val="24"/>
        </w:rPr>
      </w:pPr>
      <w:r>
        <w:rPr>
          <w:rFonts w:hint="eastAsia" w:hAnsi="宋体" w:cs="宋体"/>
          <w:sz w:val="24"/>
          <w:szCs w:val="24"/>
        </w:rPr>
        <w:t>（1）评审中出现下列情形之一的，评标委员会应当启动异常低价投标审查程序：</w:t>
      </w:r>
    </w:p>
    <w:p>
      <w:pPr>
        <w:pStyle w:val="99"/>
        <w:snapToGrid w:val="0"/>
        <w:spacing w:line="360" w:lineRule="auto"/>
        <w:ind w:firstLine="480" w:firstLineChars="200"/>
        <w:textAlignment w:val="auto"/>
        <w:rPr>
          <w:color w:val="FF0000"/>
          <w:sz w:val="24"/>
          <w:szCs w:val="24"/>
        </w:rPr>
      </w:pPr>
      <w:r>
        <w:rPr>
          <w:rFonts w:hint="eastAsia"/>
          <w:color w:val="FF0000"/>
          <w:sz w:val="24"/>
          <w:szCs w:val="24"/>
        </w:rPr>
        <w:t xml:space="preserve">① </w:t>
      </w:r>
      <w:r>
        <w:rPr>
          <w:color w:val="FF0000"/>
          <w:sz w:val="24"/>
          <w:szCs w:val="24"/>
        </w:rPr>
        <w:t>投标报价低于全部通过符合性审查供应商投标报价平均值</w:t>
      </w:r>
      <w:r>
        <w:rPr>
          <w:rFonts w:hint="eastAsia"/>
          <w:color w:val="FF0000"/>
          <w:sz w:val="24"/>
          <w:szCs w:val="24"/>
          <w:u w:val="single"/>
        </w:rPr>
        <w:t xml:space="preserve"> </w:t>
      </w:r>
      <w:r>
        <w:rPr>
          <w:color w:val="FF0000"/>
          <w:sz w:val="24"/>
          <w:szCs w:val="24"/>
          <w:u w:val="single"/>
        </w:rPr>
        <w:t>65</w:t>
      </w:r>
      <w:r>
        <w:rPr>
          <w:rFonts w:hint="eastAsia"/>
          <w:color w:val="FF0000"/>
          <w:sz w:val="24"/>
          <w:szCs w:val="24"/>
          <w:u w:val="single"/>
        </w:rPr>
        <w:t xml:space="preserve"> </w:t>
      </w:r>
      <w:r>
        <w:rPr>
          <w:color w:val="FF0000"/>
          <w:sz w:val="24"/>
          <w:szCs w:val="24"/>
        </w:rPr>
        <w:t>%的，即投标报价</w:t>
      </w:r>
      <w:r>
        <w:rPr>
          <w:rFonts w:hint="eastAsia"/>
          <w:color w:val="FF0000"/>
          <w:sz w:val="24"/>
          <w:szCs w:val="24"/>
        </w:rPr>
        <w:t>＜</w:t>
      </w:r>
      <w:r>
        <w:rPr>
          <w:color w:val="FF0000"/>
          <w:sz w:val="24"/>
          <w:szCs w:val="24"/>
        </w:rPr>
        <w:t>全部通过符合性审查供应商投标报价平均值×</w:t>
      </w:r>
      <w:r>
        <w:rPr>
          <w:color w:val="FF0000"/>
          <w:sz w:val="24"/>
          <w:szCs w:val="24"/>
          <w:u w:val="single"/>
        </w:rPr>
        <w:t>65</w:t>
      </w:r>
      <w:r>
        <w:rPr>
          <w:rFonts w:hint="eastAsia"/>
          <w:color w:val="FF0000"/>
          <w:sz w:val="24"/>
          <w:szCs w:val="24"/>
          <w:u w:val="single"/>
        </w:rPr>
        <w:t xml:space="preserve"> </w:t>
      </w:r>
      <w:r>
        <w:rPr>
          <w:color w:val="FF0000"/>
          <w:sz w:val="24"/>
          <w:szCs w:val="24"/>
        </w:rPr>
        <w:t>%；</w:t>
      </w:r>
    </w:p>
    <w:p>
      <w:pPr>
        <w:pStyle w:val="99"/>
        <w:snapToGrid w:val="0"/>
        <w:spacing w:line="360" w:lineRule="auto"/>
        <w:ind w:firstLine="480" w:firstLineChars="200"/>
        <w:textAlignment w:val="auto"/>
        <w:rPr>
          <w:color w:val="FF0000"/>
          <w:sz w:val="24"/>
          <w:szCs w:val="24"/>
        </w:rPr>
      </w:pPr>
      <w:r>
        <w:rPr>
          <w:rFonts w:hint="eastAsia"/>
          <w:color w:val="FF0000"/>
          <w:sz w:val="24"/>
          <w:szCs w:val="24"/>
        </w:rPr>
        <w:t xml:space="preserve">② </w:t>
      </w:r>
      <w:r>
        <w:rPr>
          <w:color w:val="FF0000"/>
          <w:sz w:val="24"/>
          <w:szCs w:val="24"/>
        </w:rPr>
        <w:t>投标报价低于通过符合性审查的次低报价供应商投标报价</w:t>
      </w:r>
      <w:r>
        <w:rPr>
          <w:rFonts w:hint="eastAsia"/>
          <w:color w:val="FF0000"/>
          <w:sz w:val="24"/>
          <w:szCs w:val="24"/>
          <w:u w:val="single"/>
        </w:rPr>
        <w:t xml:space="preserve"> </w:t>
      </w:r>
      <w:r>
        <w:rPr>
          <w:color w:val="FF0000"/>
          <w:sz w:val="24"/>
          <w:szCs w:val="24"/>
          <w:u w:val="single"/>
        </w:rPr>
        <w:t>65</w:t>
      </w:r>
      <w:r>
        <w:rPr>
          <w:color w:val="FF0000"/>
          <w:sz w:val="24"/>
          <w:szCs w:val="24"/>
        </w:rPr>
        <w:t>%的，即投标报价</w:t>
      </w:r>
      <w:r>
        <w:rPr>
          <w:rFonts w:hint="eastAsia"/>
          <w:color w:val="FF0000"/>
          <w:sz w:val="24"/>
          <w:szCs w:val="24"/>
        </w:rPr>
        <w:t>＜</w:t>
      </w:r>
      <w:r>
        <w:rPr>
          <w:color w:val="FF0000"/>
          <w:sz w:val="24"/>
          <w:szCs w:val="24"/>
        </w:rPr>
        <w:t>通过符合性审查的次低报价供应商投标报价×</w:t>
      </w:r>
      <w:r>
        <w:rPr>
          <w:color w:val="FF0000"/>
          <w:sz w:val="24"/>
          <w:szCs w:val="24"/>
          <w:u w:val="single"/>
        </w:rPr>
        <w:t>65</w:t>
      </w:r>
      <w:r>
        <w:rPr>
          <w:rFonts w:hint="eastAsia"/>
          <w:color w:val="FF0000"/>
          <w:sz w:val="24"/>
          <w:szCs w:val="24"/>
          <w:u w:val="single"/>
        </w:rPr>
        <w:t xml:space="preserve"> </w:t>
      </w:r>
      <w:r>
        <w:rPr>
          <w:color w:val="FF0000"/>
          <w:sz w:val="24"/>
          <w:szCs w:val="24"/>
        </w:rPr>
        <w:t>%；</w:t>
      </w:r>
    </w:p>
    <w:p>
      <w:pPr>
        <w:pStyle w:val="99"/>
        <w:snapToGrid w:val="0"/>
        <w:spacing w:line="360" w:lineRule="auto"/>
        <w:ind w:firstLine="480" w:firstLineChars="200"/>
        <w:textAlignment w:val="auto"/>
        <w:rPr>
          <w:rFonts w:hAnsi="宋体" w:cs="宋体"/>
          <w:color w:val="FF0000"/>
          <w:sz w:val="24"/>
          <w:szCs w:val="24"/>
        </w:rPr>
      </w:pPr>
      <w:r>
        <w:rPr>
          <w:rFonts w:hint="eastAsia"/>
          <w:color w:val="FF0000"/>
          <w:sz w:val="24"/>
          <w:szCs w:val="24"/>
        </w:rPr>
        <w:t xml:space="preserve">③ </w:t>
      </w:r>
      <w:r>
        <w:rPr>
          <w:color w:val="FF0000"/>
          <w:sz w:val="24"/>
          <w:szCs w:val="24"/>
        </w:rPr>
        <w:t>投标报价低于采购项目最高限价</w:t>
      </w:r>
      <w:r>
        <w:rPr>
          <w:rFonts w:hint="eastAsia"/>
          <w:color w:val="FF0000"/>
          <w:sz w:val="24"/>
          <w:szCs w:val="24"/>
          <w:u w:val="single"/>
        </w:rPr>
        <w:t xml:space="preserve"> </w:t>
      </w:r>
      <w:r>
        <w:rPr>
          <w:color w:val="FF0000"/>
          <w:sz w:val="24"/>
          <w:szCs w:val="24"/>
          <w:u w:val="single"/>
        </w:rPr>
        <w:t>65</w:t>
      </w:r>
      <w:r>
        <w:rPr>
          <w:color w:val="FF0000"/>
          <w:sz w:val="24"/>
          <w:szCs w:val="24"/>
        </w:rPr>
        <w:t>%的，即投标报价</w:t>
      </w:r>
      <w:r>
        <w:rPr>
          <w:rFonts w:hint="eastAsia"/>
          <w:color w:val="FF0000"/>
          <w:sz w:val="24"/>
          <w:szCs w:val="24"/>
        </w:rPr>
        <w:t>＜</w:t>
      </w:r>
      <w:r>
        <w:rPr>
          <w:color w:val="FF0000"/>
          <w:sz w:val="24"/>
          <w:szCs w:val="24"/>
        </w:rPr>
        <w:t>采购项目最高限价×</w:t>
      </w:r>
      <w:r>
        <w:rPr>
          <w:color w:val="FF0000"/>
          <w:sz w:val="24"/>
          <w:szCs w:val="24"/>
          <w:u w:val="single"/>
        </w:rPr>
        <w:t>65</w:t>
      </w:r>
      <w:r>
        <w:rPr>
          <w:rFonts w:hint="eastAsia"/>
          <w:color w:val="FF0000"/>
          <w:sz w:val="24"/>
          <w:szCs w:val="24"/>
          <w:u w:val="single"/>
        </w:rPr>
        <w:t xml:space="preserve"> </w:t>
      </w:r>
      <w:r>
        <w:rPr>
          <w:color w:val="FF0000"/>
          <w:sz w:val="24"/>
          <w:szCs w:val="24"/>
        </w:rPr>
        <w:t>%</w:t>
      </w:r>
      <w:r>
        <w:rPr>
          <w:rFonts w:hint="eastAsia" w:hAnsi="宋体" w:cs="宋体"/>
          <w:color w:val="FF0000"/>
          <w:sz w:val="24"/>
          <w:szCs w:val="24"/>
        </w:rPr>
        <w:t>；</w:t>
      </w:r>
    </w:p>
    <w:p>
      <w:pPr>
        <w:pStyle w:val="99"/>
        <w:snapToGrid w:val="0"/>
        <w:spacing w:line="360" w:lineRule="auto"/>
        <w:ind w:firstLine="480" w:firstLineChars="200"/>
        <w:textAlignment w:val="auto"/>
        <w:rPr>
          <w:rFonts w:hAnsi="宋体" w:cs="宋体"/>
          <w:sz w:val="24"/>
          <w:szCs w:val="24"/>
        </w:rPr>
      </w:pPr>
      <w:r>
        <w:rPr>
          <w:rFonts w:hint="eastAsia" w:hAnsi="宋体" w:cs="宋体"/>
          <w:sz w:val="24"/>
          <w:szCs w:val="24"/>
        </w:rPr>
        <w:t>④ 评标委员会基于专业判断，认为供应商报价过低，有可能影响产品质量或者不能诚信履约的其他情形。</w:t>
      </w:r>
    </w:p>
    <w:p>
      <w:pPr>
        <w:pStyle w:val="99"/>
        <w:snapToGrid w:val="0"/>
        <w:spacing w:line="360" w:lineRule="auto"/>
        <w:ind w:firstLine="480" w:firstLineChars="200"/>
        <w:textAlignment w:val="auto"/>
        <w:rPr>
          <w:rFonts w:hAnsi="宋体" w:cs="宋体"/>
          <w:sz w:val="24"/>
          <w:szCs w:val="24"/>
        </w:rPr>
      </w:pPr>
      <w:r>
        <w:rPr>
          <w:rFonts w:hint="eastAsia" w:hAnsi="宋体" w:cs="宋体"/>
          <w:sz w:val="24"/>
          <w:szCs w:val="24"/>
        </w:rPr>
        <w:t>（2）评标委员会启动异常低价投标审查后，属于第①项至第④项情形的，相关供应商应当在40分钟</w:t>
      </w:r>
      <w:r>
        <w:rPr>
          <w:rFonts w:hAnsi="宋体" w:cs="宋体"/>
          <w:sz w:val="24"/>
          <w:szCs w:val="24"/>
        </w:rPr>
        <w:t>内</w:t>
      </w:r>
      <w:r>
        <w:rPr>
          <w:rFonts w:hint="eastAsia" w:hAnsi="宋体" w:cs="宋体"/>
          <w:sz w:val="24"/>
          <w:szCs w:val="24"/>
        </w:rPr>
        <w:t>通过电子</w:t>
      </w:r>
      <w:r>
        <w:rPr>
          <w:rFonts w:hAnsi="宋体" w:cs="宋体"/>
          <w:sz w:val="24"/>
          <w:szCs w:val="24"/>
        </w:rPr>
        <w:t>交易平台</w:t>
      </w:r>
      <w:r>
        <w:rPr>
          <w:rFonts w:hint="eastAsia" w:hAnsi="宋体" w:cs="宋体"/>
          <w:sz w:val="24"/>
          <w:szCs w:val="24"/>
        </w:rPr>
        <w:t>，提供项目具体成本测算等与报价合理性相关的书面说明及必要的证明材料，包括但不限于原材料成本、人工成本、制造费用等。其中，属于第③项情形，供应商已随投标文件一并提交相关书面说明及必要的证明材料的，可不再重复提交。</w:t>
      </w:r>
    </w:p>
    <w:p>
      <w:pPr>
        <w:pStyle w:val="99"/>
        <w:snapToGrid w:val="0"/>
        <w:spacing w:line="360" w:lineRule="auto"/>
        <w:ind w:firstLine="480" w:firstLineChars="200"/>
        <w:textAlignment w:val="auto"/>
        <w:rPr>
          <w:rFonts w:hAnsi="宋体" w:cs="宋体"/>
          <w:sz w:val="24"/>
          <w:szCs w:val="24"/>
        </w:rPr>
      </w:pPr>
      <w:r>
        <w:rPr>
          <w:rFonts w:hint="eastAsia" w:hAnsi="宋体" w:cs="宋体"/>
          <w:sz w:val="24"/>
          <w:szCs w:val="24"/>
        </w:rPr>
        <w:t>评标委员会依据专业经验，参考同类项目中标价格、类似产品市场价格水平、行业人工费用标准、国家有关部门指导行业协会发布的行业平均成本等情况，对报价合理性进行判断。</w:t>
      </w:r>
      <w:r>
        <w:rPr>
          <w:rFonts w:hint="eastAsia" w:hAnsi="宋体" w:cs="宋体"/>
          <w:b/>
          <w:sz w:val="24"/>
          <w:szCs w:val="24"/>
        </w:rPr>
        <w:t>投标供应商不能提供书面说明、证明材料，或者提供的书面说明、证明材料不能证明其报价合理性的，评标委员会应当将其作为无效投标处理。</w:t>
      </w:r>
    </w:p>
    <w:p>
      <w:pPr>
        <w:pStyle w:val="99"/>
        <w:snapToGrid w:val="0"/>
        <w:spacing w:line="360" w:lineRule="auto"/>
        <w:ind w:firstLine="480" w:firstLineChars="200"/>
        <w:textAlignment w:val="auto"/>
        <w:rPr>
          <w:rFonts w:hAnsi="宋体" w:cs="宋体"/>
          <w:sz w:val="24"/>
          <w:szCs w:val="24"/>
        </w:rPr>
      </w:pPr>
      <w:r>
        <w:rPr>
          <w:rFonts w:hint="eastAsia" w:hAnsi="宋体" w:cs="宋体"/>
          <w:sz w:val="24"/>
          <w:szCs w:val="24"/>
        </w:rPr>
        <w:t>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pPr>
        <w:pStyle w:val="99"/>
        <w:snapToGrid w:val="0"/>
        <w:spacing w:line="360" w:lineRule="auto"/>
        <w:ind w:firstLine="480" w:firstLineChars="200"/>
        <w:textAlignment w:val="auto"/>
        <w:rPr>
          <w:rFonts w:hAnsi="宋体" w:cs="宋体"/>
          <w:sz w:val="24"/>
          <w:szCs w:val="24"/>
        </w:rPr>
      </w:pPr>
      <w:r>
        <w:rPr>
          <w:rFonts w:hint="eastAsia" w:hAnsi="宋体" w:cs="宋体"/>
          <w:sz w:val="24"/>
          <w:szCs w:val="24"/>
        </w:rPr>
        <w:t>异常低价投标审查的启动原因、审查意见和审查结果应当在评审报告中记录，并随供应商提供的相关书面说明及证明材料，以及评标委员会有关互联网浏览、查询历史一并归档。</w:t>
      </w:r>
    </w:p>
    <w:p>
      <w:pPr>
        <w:pStyle w:val="81"/>
        <w:ind w:firstLine="482"/>
        <w:rPr>
          <w:b/>
        </w:rPr>
      </w:pPr>
      <w:r>
        <w:rPr>
          <w:b/>
        </w:rPr>
        <w:t>5</w:t>
      </w:r>
      <w:r>
        <w:rPr>
          <w:rFonts w:hint="eastAsia"/>
          <w:b/>
        </w:rPr>
        <w:t>．</w:t>
      </w:r>
      <w:r>
        <w:rPr>
          <w:b/>
        </w:rPr>
        <w:t>综合比较与评价</w:t>
      </w:r>
    </w:p>
    <w:p>
      <w:pPr>
        <w:pStyle w:val="81"/>
        <w:ind w:firstLine="480"/>
      </w:pPr>
      <w:r>
        <w:rPr>
          <w:rFonts w:hint="eastAsia"/>
        </w:rPr>
        <w:t>采用最低评标价法的，评标委员会对通过符合性审查的投标文件的投标报价由低到高顺序排列。</w:t>
      </w:r>
    </w:p>
    <w:p>
      <w:pPr>
        <w:pStyle w:val="81"/>
        <w:ind w:firstLine="480"/>
      </w:pPr>
      <w:r>
        <w:rPr>
          <w:rFonts w:hint="eastAsia"/>
        </w:rPr>
        <w:t>采用综合评分法的，</w:t>
      </w:r>
      <w:r>
        <w:t>评标委员会按「评审要素及分值一览表」中规定的评标方法和标准，对通过符合性审查的投标文件进行商务和技术评估，综合比较与评价。</w:t>
      </w:r>
    </w:p>
    <w:p>
      <w:pPr>
        <w:keepNext/>
        <w:spacing w:before="230" w:beforeLines="50" w:after="230" w:afterLines="50"/>
        <w:jc w:val="center"/>
        <w:outlineLvl w:val="3"/>
        <w:rPr>
          <w:rFonts w:ascii="黑体" w:hAnsi="黑体" w:eastAsia="黑体" w:cstheme="minorHAnsi"/>
          <w:color w:val="1F4E79"/>
          <w:sz w:val="32"/>
          <w:szCs w:val="32"/>
        </w:rPr>
      </w:pPr>
      <w:r>
        <w:rPr>
          <w:rFonts w:ascii="黑体" w:hAnsi="黑体" w:eastAsia="黑体" w:cstheme="minorHAnsi"/>
          <w:color w:val="1F4E79"/>
          <w:sz w:val="32"/>
          <w:szCs w:val="32"/>
        </w:rPr>
        <w:t>『评审要素及分值一览表』</w:t>
      </w:r>
    </w:p>
    <w:p>
      <w:pPr>
        <w:keepNext/>
        <w:spacing w:before="230" w:beforeLines="50" w:after="230" w:afterLines="50"/>
        <w:jc w:val="center"/>
        <w:outlineLvl w:val="3"/>
        <w:rPr>
          <w:rFonts w:ascii="黑体" w:hAnsi="黑体" w:eastAsia="黑体" w:cstheme="minorHAnsi"/>
          <w:color w:val="1F4E79"/>
          <w:sz w:val="32"/>
          <w:szCs w:val="32"/>
        </w:rPr>
      </w:pPr>
      <w:r>
        <w:rPr>
          <w:rFonts w:ascii="黑体" w:hAnsi="黑体" w:eastAsia="黑体" w:cstheme="minorHAnsi"/>
          <w:color w:val="1F4E79"/>
          <w:sz w:val="32"/>
          <w:szCs w:val="32"/>
        </w:rPr>
        <w:t>（采购包二）</w:t>
      </w:r>
    </w:p>
    <w:tbl>
      <w:tblPr>
        <w:tblStyle w:val="24"/>
        <w:tblW w:w="9483"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6"/>
        <w:gridCol w:w="640"/>
        <w:gridCol w:w="860"/>
        <w:gridCol w:w="5809"/>
        <w:gridCol w:w="1418"/>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restart"/>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项别</w:t>
            </w:r>
          </w:p>
        </w:tc>
        <w:tc>
          <w:tcPr>
            <w:tcW w:w="1500" w:type="dxa"/>
            <w:gridSpan w:val="2"/>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总分值</w:t>
            </w:r>
          </w:p>
        </w:tc>
        <w:tc>
          <w:tcPr>
            <w:tcW w:w="5809" w:type="dxa"/>
            <w:vMerge w:val="restart"/>
            <w:tcBorders>
              <w:top w:val="single" w:color="auto" w:sz="12" w:space="0"/>
              <w:bottom w:val="single" w:color="auto" w:sz="2" w:space="0"/>
            </w:tcBorders>
            <w:shd w:val="clear" w:color="auto" w:fill="F1F1F1" w:themeFill="background1" w:themeFillShade="F2"/>
            <w:vAlign w:val="center"/>
          </w:tcPr>
          <w:p>
            <w:pPr>
              <w:spacing w:line="400" w:lineRule="exact"/>
              <w:ind w:firstLine="422"/>
              <w:jc w:val="center"/>
              <w:rPr>
                <w:rFonts w:ascii="Calibri" w:hAnsi="宋体" w:eastAsia="宋体" w:cstheme="minorHAnsi"/>
                <w:b/>
                <w:bCs/>
                <w:sz w:val="21"/>
                <w:szCs w:val="21"/>
              </w:rPr>
            </w:pPr>
            <w:r>
              <w:rPr>
                <w:rFonts w:hint="eastAsia" w:ascii="Calibri" w:hAnsi="宋体" w:eastAsia="宋体" w:cstheme="minorHAnsi"/>
                <w:b/>
                <w:bCs/>
                <w:sz w:val="21"/>
                <w:szCs w:val="21"/>
              </w:rPr>
              <w:t>评审</w:t>
            </w:r>
            <w:r>
              <w:rPr>
                <w:rFonts w:ascii="Calibri" w:hAnsi="宋体" w:eastAsia="宋体" w:cstheme="minorHAnsi"/>
                <w:b/>
                <w:bCs/>
                <w:sz w:val="21"/>
                <w:szCs w:val="21"/>
              </w:rPr>
              <w:t>要素</w:t>
            </w:r>
          </w:p>
        </w:tc>
        <w:tc>
          <w:tcPr>
            <w:tcW w:w="1418" w:type="dxa"/>
            <w:vMerge w:val="restart"/>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Cs/>
                <w:sz w:val="21"/>
                <w:szCs w:val="21"/>
              </w:rPr>
            </w:pPr>
          </w:p>
        </w:tc>
        <w:tc>
          <w:tcPr>
            <w:tcW w:w="640" w:type="dxa"/>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100</w:t>
            </w:r>
          </w:p>
        </w:tc>
        <w:tc>
          <w:tcPr>
            <w:tcW w:w="860" w:type="dxa"/>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分项最高分值</w:t>
            </w:r>
          </w:p>
        </w:tc>
        <w:tc>
          <w:tcPr>
            <w:tcW w:w="5809" w:type="dxa"/>
            <w:vMerge w:val="continue"/>
            <w:tcBorders>
              <w:top w:val="single" w:color="auto" w:sz="2" w:space="0"/>
              <w:bottom w:val="single" w:color="auto" w:sz="2" w:space="0"/>
            </w:tcBorders>
            <w:shd w:val="clear" w:color="auto" w:fill="F1F1F1" w:themeFill="background1" w:themeFillShade="F2"/>
            <w:vAlign w:val="center"/>
          </w:tcPr>
          <w:p>
            <w:pPr>
              <w:spacing w:line="400" w:lineRule="exact"/>
              <w:ind w:firstLine="420"/>
              <w:jc w:val="center"/>
              <w:rPr>
                <w:rFonts w:ascii="Calibri" w:hAnsi="宋体" w:eastAsia="宋体" w:cstheme="minorHAnsi"/>
                <w:bCs/>
                <w:sz w:val="21"/>
                <w:szCs w:val="21"/>
              </w:rPr>
            </w:pPr>
          </w:p>
        </w:tc>
        <w:tc>
          <w:tcPr>
            <w:tcW w:w="1418" w:type="dxa"/>
            <w:vMerge w:val="continue"/>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tcBorders>
              <w:top w:val="single" w:color="auto" w:sz="2" w:space="0"/>
            </w:tcBorders>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
                <w:sz w:val="21"/>
                <w:szCs w:val="21"/>
              </w:rPr>
              <w:t>价格</w:t>
            </w:r>
          </w:p>
        </w:tc>
        <w:tc>
          <w:tcPr>
            <w:tcW w:w="640" w:type="dxa"/>
            <w:tcBorders>
              <w:top w:val="single" w:color="auto" w:sz="2" w:space="0"/>
            </w:tcBorders>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10</w:t>
            </w: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1</w:t>
            </w:r>
            <w:r>
              <w:rPr>
                <w:rFonts w:hint="eastAsia" w:ascii="Calibri" w:hAnsi="宋体" w:eastAsia="宋体" w:cs="宋体"/>
                <w:bCs/>
                <w:sz w:val="21"/>
                <w:szCs w:val="21"/>
              </w:rPr>
              <w:t>0</w:t>
            </w:r>
          </w:p>
        </w:tc>
        <w:tc>
          <w:tcPr>
            <w:tcW w:w="5809" w:type="dxa"/>
            <w:tcBorders>
              <w:top w:val="single" w:color="auto" w:sz="2" w:space="0"/>
            </w:tcBorders>
            <w:shd w:val="clear" w:color="auto" w:fill="auto"/>
            <w:vAlign w:val="center"/>
          </w:tcPr>
          <w:p>
            <w:pPr>
              <w:tabs>
                <w:tab w:val="left" w:pos="547"/>
              </w:tabs>
              <w:spacing w:line="400" w:lineRule="exact"/>
              <w:ind w:firstLine="420"/>
              <w:jc w:val="both"/>
              <w:rPr>
                <w:rFonts w:ascii="Calibri" w:hAnsi="宋体" w:eastAsia="宋体" w:cs="宋体"/>
                <w:sz w:val="21"/>
                <w:szCs w:val="21"/>
              </w:rPr>
            </w:pPr>
            <w:r>
              <w:rPr>
                <w:rFonts w:hint="eastAsia" w:ascii="Calibri" w:hAnsi="宋体" w:eastAsia="宋体" w:cs="宋体"/>
                <w:sz w:val="21"/>
                <w:szCs w:val="21"/>
              </w:rPr>
              <w:t>有效供应商最低报价为基准价，各供应商的报价得分按下列公式计算：（基准价/投标报价）×</w:t>
            </w:r>
            <w:r>
              <w:rPr>
                <w:rFonts w:ascii="Calibri" w:hAnsi="宋体" w:eastAsia="宋体" w:cs="宋体"/>
                <w:sz w:val="21"/>
                <w:szCs w:val="21"/>
              </w:rPr>
              <w:t>1</w:t>
            </w:r>
            <w:r>
              <w:rPr>
                <w:rFonts w:hint="eastAsia" w:ascii="Calibri" w:hAnsi="宋体" w:eastAsia="宋体" w:cs="宋体"/>
                <w:sz w:val="21"/>
                <w:szCs w:val="21"/>
              </w:rPr>
              <w:t>0%×100分</w:t>
            </w:r>
          </w:p>
        </w:tc>
        <w:tc>
          <w:tcPr>
            <w:tcW w:w="1418" w:type="dxa"/>
            <w:tcBorders>
              <w:top w:val="single" w:color="auto" w:sz="2" w:space="0"/>
            </w:tcBorders>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60" w:hRule="atLeast"/>
        </w:trPr>
        <w:tc>
          <w:tcPr>
            <w:tcW w:w="756" w:type="dxa"/>
            <w:tcBorders>
              <w:top w:val="single" w:color="auto" w:sz="2" w:space="0"/>
            </w:tcBorders>
            <w:shd w:val="clear" w:color="auto" w:fill="auto"/>
            <w:vAlign w:val="center"/>
          </w:tcPr>
          <w:p>
            <w:pPr>
              <w:spacing w:line="400" w:lineRule="exact"/>
              <w:jc w:val="center"/>
              <w:rPr>
                <w:rFonts w:ascii="Calibri" w:hAnsi="宋体" w:eastAsia="宋体" w:cs="宋体"/>
                <w:b/>
                <w:sz w:val="21"/>
                <w:szCs w:val="21"/>
              </w:rPr>
            </w:pPr>
            <w:r>
              <w:rPr>
                <w:rFonts w:hint="eastAsia" w:ascii="Calibri" w:hAnsi="宋体" w:eastAsia="宋体"/>
                <w:color w:val="000000" w:themeColor="text1"/>
                <w:szCs w:val="21"/>
                <w14:textFill>
                  <w14:solidFill>
                    <w14:schemeClr w14:val="tx1"/>
                  </w14:solidFill>
                </w14:textFill>
              </w:rPr>
              <w:t>技术（服务</w:t>
            </w:r>
            <w:r>
              <w:rPr>
                <w:rFonts w:ascii="Calibri" w:hAnsi="宋体" w:eastAsia="宋体"/>
                <w:color w:val="000000" w:themeColor="text1"/>
                <w:szCs w:val="21"/>
                <w14:textFill>
                  <w14:solidFill>
                    <w14:schemeClr w14:val="tx1"/>
                  </w14:solidFill>
                </w14:textFill>
              </w:rPr>
              <w:t>）暗标盲评</w:t>
            </w:r>
            <w:r>
              <w:rPr>
                <w:rFonts w:hint="eastAsia" w:ascii="Calibri" w:hAnsi="宋体" w:eastAsia="宋体"/>
                <w:color w:val="000000" w:themeColor="text1"/>
                <w:szCs w:val="21"/>
                <w14:textFill>
                  <w14:solidFill>
                    <w14:schemeClr w14:val="tx1"/>
                  </w14:solidFill>
                </w14:textFill>
              </w:rPr>
              <w:t>部分</w:t>
            </w:r>
          </w:p>
        </w:tc>
        <w:tc>
          <w:tcPr>
            <w:tcW w:w="640" w:type="dxa"/>
            <w:tcBorders>
              <w:top w:val="single" w:color="auto" w:sz="2" w:space="0"/>
            </w:tcBorders>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1</w:t>
            </w:r>
            <w:r>
              <w:rPr>
                <w:rFonts w:ascii="Calibri" w:hAnsi="宋体" w:eastAsia="宋体" w:cs="宋体"/>
                <w:bCs/>
                <w:sz w:val="21"/>
                <w:szCs w:val="21"/>
              </w:rPr>
              <w:t>5</w:t>
            </w: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1</w:t>
            </w:r>
            <w:r>
              <w:rPr>
                <w:rFonts w:ascii="Calibri" w:hAnsi="宋体" w:eastAsia="宋体" w:cs="宋体"/>
                <w:bCs/>
                <w:sz w:val="21"/>
                <w:szCs w:val="21"/>
              </w:rPr>
              <w:t>5</w:t>
            </w:r>
          </w:p>
        </w:tc>
        <w:tc>
          <w:tcPr>
            <w:tcW w:w="5809" w:type="dxa"/>
            <w:tcBorders>
              <w:top w:val="single" w:color="auto" w:sz="2" w:space="0"/>
            </w:tcBorders>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总体服务方案：</w:t>
            </w:r>
          </w:p>
          <w:p>
            <w:pPr>
              <w:tabs>
                <w:tab w:val="left" w:pos="547"/>
              </w:tabs>
              <w:spacing w:line="360" w:lineRule="exact"/>
              <w:ind w:firstLine="420"/>
              <w:jc w:val="both"/>
              <w:rPr>
                <w:rFonts w:ascii="Calibri" w:hAnsi="宋体" w:eastAsia="宋体" w:cs="宋体"/>
                <w:b/>
                <w:sz w:val="21"/>
                <w:szCs w:val="21"/>
              </w:rPr>
            </w:pPr>
            <w:r>
              <w:rPr>
                <w:rFonts w:hint="eastAsia" w:ascii="Calibri" w:hAnsi="宋体" w:eastAsia="宋体" w:cs="宋体"/>
                <w:b/>
                <w:sz w:val="21"/>
                <w:szCs w:val="21"/>
              </w:rPr>
              <w:t>一、评审内容</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按照招标文件要求提供项目总体服务方案，包括①方案技术措施；②综合运营保障能力；③工期进度、测试及上线计划。</w:t>
            </w:r>
          </w:p>
          <w:p>
            <w:pPr>
              <w:tabs>
                <w:tab w:val="left" w:pos="547"/>
              </w:tabs>
              <w:spacing w:line="360" w:lineRule="exact"/>
              <w:ind w:firstLine="420"/>
              <w:jc w:val="both"/>
              <w:rPr>
                <w:rFonts w:ascii="Calibri" w:hAnsi="宋体" w:eastAsia="宋体" w:cs="宋体"/>
                <w:b/>
                <w:sz w:val="21"/>
                <w:szCs w:val="21"/>
              </w:rPr>
            </w:pPr>
            <w:r>
              <w:rPr>
                <w:rFonts w:hint="eastAsia" w:ascii="Calibri" w:hAnsi="宋体" w:eastAsia="宋体" w:cs="宋体"/>
                <w:b/>
                <w:sz w:val="21"/>
                <w:szCs w:val="21"/>
              </w:rPr>
              <w:t>二、评审标准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①完整性：方案须全面，对评审内容中的各项要求有详细描述及说明；</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②可实施性：切合本项目实际情况，实施步骤清晰、合理；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③针对性：方案能够紧扣项目实际情况，内容科学合理。</w:t>
            </w:r>
          </w:p>
          <w:p>
            <w:pPr>
              <w:tabs>
                <w:tab w:val="left" w:pos="547"/>
              </w:tabs>
              <w:spacing w:line="360" w:lineRule="exact"/>
              <w:ind w:firstLine="420"/>
              <w:jc w:val="both"/>
              <w:rPr>
                <w:rFonts w:ascii="Calibri" w:hAnsi="宋体" w:eastAsia="宋体" w:cs="宋体"/>
                <w:b/>
                <w:sz w:val="21"/>
                <w:szCs w:val="21"/>
              </w:rPr>
            </w:pPr>
            <w:r>
              <w:rPr>
                <w:rFonts w:hint="eastAsia" w:ascii="Calibri" w:hAnsi="宋体" w:eastAsia="宋体" w:cs="宋体"/>
                <w:b/>
                <w:sz w:val="21"/>
                <w:szCs w:val="21"/>
              </w:rPr>
              <w:t>三、赋分标准（满分15分）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①方案技术措施：每满足一项评审标准得2分，满分6分；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②综合运营保障能力：每满足一项评审标准得2分，满分6分；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③工期进度、测试和上线计划：每满足一项评审标准得1分，满分3分。</w:t>
            </w:r>
          </w:p>
        </w:tc>
        <w:tc>
          <w:tcPr>
            <w:tcW w:w="1418" w:type="dxa"/>
            <w:tcBorders>
              <w:top w:val="single" w:color="auto" w:sz="2" w:space="0"/>
            </w:tcBorders>
            <w:shd w:val="clear" w:color="auto" w:fill="auto"/>
            <w:vAlign w:val="center"/>
          </w:tcPr>
          <w:p>
            <w:pPr>
              <w:spacing w:line="400" w:lineRule="exact"/>
              <w:jc w:val="center"/>
              <w:rPr>
                <w:rFonts w:ascii="Calibri" w:hAnsi="宋体" w:eastAsia="宋体" w:cs="宋体"/>
                <w:bCs/>
                <w:color w:val="FF0000"/>
                <w:sz w:val="21"/>
                <w:szCs w:val="21"/>
              </w:rPr>
            </w:pPr>
            <w:r>
              <w:rPr>
                <w:rFonts w:hint="eastAsia" w:ascii="Calibri" w:hAnsi="宋体" w:eastAsia="宋体" w:cs="宋体"/>
                <w:bCs/>
                <w:color w:val="FF0000"/>
                <w:sz w:val="21"/>
                <w:szCs w:val="21"/>
              </w:rPr>
              <w:t>违反第二章第七部分“二、评标形式”中的“暗标盲评部分”编制要求的，其投标视为无效。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restart"/>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商务部分</w:t>
            </w:r>
          </w:p>
        </w:tc>
        <w:tc>
          <w:tcPr>
            <w:tcW w:w="640" w:type="dxa"/>
            <w:vMerge w:val="restart"/>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7</w:t>
            </w:r>
            <w:r>
              <w:rPr>
                <w:rFonts w:ascii="Calibri" w:hAnsi="宋体" w:eastAsia="宋体" w:cs="宋体"/>
                <w:bCs/>
                <w:sz w:val="21"/>
                <w:szCs w:val="21"/>
              </w:rPr>
              <w:t>5</w:t>
            </w: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1</w:t>
            </w:r>
            <w:r>
              <w:rPr>
                <w:rFonts w:ascii="Calibri" w:hAnsi="宋体" w:eastAsia="宋体" w:cs="宋体"/>
                <w:bCs/>
                <w:sz w:val="21"/>
                <w:szCs w:val="21"/>
              </w:rPr>
              <w:t>7</w:t>
            </w:r>
          </w:p>
        </w:tc>
        <w:tc>
          <w:tcPr>
            <w:tcW w:w="5809" w:type="dxa"/>
            <w:shd w:val="clear" w:color="auto" w:fill="auto"/>
            <w:vAlign w:val="center"/>
          </w:tcPr>
          <w:p>
            <w:pPr>
              <w:tabs>
                <w:tab w:val="left" w:pos="547"/>
              </w:tabs>
              <w:spacing w:line="360" w:lineRule="exact"/>
              <w:jc w:val="both"/>
              <w:rPr>
                <w:rFonts w:ascii="Calibri" w:hAnsi="宋体" w:eastAsia="宋体"/>
                <w:b/>
                <w:sz w:val="21"/>
              </w:rPr>
            </w:pPr>
            <w:r>
              <w:rPr>
                <w:rFonts w:hint="eastAsia" w:ascii="Calibri" w:hAnsi="宋体" w:eastAsia="宋体" w:cs="宋体"/>
                <w:b/>
                <w:color w:val="C00000"/>
                <w:sz w:val="21"/>
                <w:szCs w:val="21"/>
              </w:rPr>
              <w:t>技术指标要求：</w:t>
            </w:r>
          </w:p>
          <w:p>
            <w:pPr>
              <w:spacing w:line="360" w:lineRule="exact"/>
              <w:ind w:firstLine="420" w:firstLineChars="200"/>
              <w:jc w:val="both"/>
              <w:rPr>
                <w:rFonts w:ascii="Calibri" w:hAnsi="宋体" w:eastAsia="宋体"/>
                <w:sz w:val="21"/>
              </w:rPr>
            </w:pPr>
            <w:r>
              <w:rPr>
                <w:rFonts w:hint="eastAsia" w:ascii="Calibri" w:hAnsi="宋体" w:eastAsia="宋体"/>
                <w:sz w:val="21"/>
              </w:rPr>
              <w:t>供应商提供网络线路服务，每满足一项关键指标要求的得1分，满分17分。</w:t>
            </w:r>
          </w:p>
          <w:p>
            <w:pPr>
              <w:spacing w:line="360" w:lineRule="exact"/>
              <w:ind w:firstLine="420" w:firstLineChars="200"/>
              <w:jc w:val="both"/>
              <w:rPr>
                <w:rFonts w:ascii="Calibri" w:hAnsi="宋体" w:eastAsia="宋体"/>
                <w:sz w:val="21"/>
              </w:rPr>
            </w:pPr>
            <w:r>
              <w:rPr>
                <w:rFonts w:ascii="Calibri" w:hAnsi="宋体" w:eastAsia="宋体"/>
                <w:b/>
                <w:sz w:val="21"/>
              </w:rPr>
              <w:t>注：</w:t>
            </w:r>
            <w:r>
              <w:rPr>
                <w:rFonts w:ascii="Calibri" w:hAnsi="宋体" w:eastAsia="宋体"/>
                <w:sz w:val="21"/>
              </w:rPr>
              <w:t>其中</w:t>
            </w:r>
            <w:r>
              <w:rPr>
                <w:rFonts w:hint="eastAsia" w:ascii="Calibri" w:hAnsi="宋体" w:eastAsia="宋体"/>
                <w:sz w:val="21"/>
              </w:rPr>
              <w:t>互联网光纤专线服务标准中的第5</w:t>
            </w:r>
            <w:r>
              <w:rPr>
                <w:rFonts w:ascii="Calibri" w:hAnsi="宋体" w:eastAsia="宋体"/>
                <w:sz w:val="21"/>
              </w:rPr>
              <w:t>条指标要求</w:t>
            </w:r>
            <w:r>
              <w:rPr>
                <w:rFonts w:hint="eastAsia" w:ascii="Calibri" w:hAnsi="宋体" w:eastAsia="宋体"/>
                <w:sz w:val="21"/>
              </w:rPr>
              <w:t>以</w:t>
            </w:r>
            <w:r>
              <w:rPr>
                <w:rFonts w:ascii="Calibri" w:hAnsi="宋体" w:eastAsia="宋体"/>
                <w:sz w:val="21"/>
              </w:rPr>
              <w:t>加盖供应商公章的发</w:t>
            </w:r>
            <w:r>
              <w:rPr>
                <w:rFonts w:hint="eastAsia" w:ascii="Calibri" w:hAnsi="宋体" w:eastAsia="宋体"/>
                <w:sz w:val="21"/>
              </w:rPr>
              <w:t>明专利证书或软件著作权证书扫描件为计分依据，第</w:t>
            </w:r>
            <w:r>
              <w:rPr>
                <w:rFonts w:ascii="Calibri" w:hAnsi="宋体" w:eastAsia="宋体"/>
                <w:sz w:val="21"/>
              </w:rPr>
              <w:t>6条指标要求</w:t>
            </w:r>
            <w:r>
              <w:rPr>
                <w:rFonts w:hint="eastAsia" w:ascii="Calibri" w:hAnsi="宋体" w:eastAsia="宋体"/>
                <w:sz w:val="21"/>
              </w:rPr>
              <w:t>以</w:t>
            </w:r>
            <w:r>
              <w:rPr>
                <w:rFonts w:ascii="Calibri" w:hAnsi="宋体" w:eastAsia="宋体"/>
                <w:sz w:val="21"/>
              </w:rPr>
              <w:t>加盖供应商公章的证明材料扫描件为计分依据；其余每项指标要求以加盖供应商公章的承诺函（格式自拟）为计分依据。</w:t>
            </w:r>
          </w:p>
        </w:tc>
        <w:tc>
          <w:tcPr>
            <w:tcW w:w="1418" w:type="dxa"/>
            <w:vMerge w:val="restart"/>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9</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组织实施方案：</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按照招标文件要求提供组织实施方案，包括①进度保证措施；②项目培训方案；③安全文明施工措施等内容。</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②合理性：方案内容切合本项目实际情况，实施步骤清晰、合理；</w:t>
            </w:r>
          </w:p>
          <w:p>
            <w:pPr>
              <w:spacing w:line="360" w:lineRule="exact"/>
              <w:ind w:firstLine="420" w:firstLineChars="200"/>
              <w:jc w:val="both"/>
              <w:rPr>
                <w:rFonts w:ascii="Calibri" w:hAnsi="宋体" w:eastAsia="宋体"/>
                <w:sz w:val="21"/>
              </w:rPr>
            </w:pPr>
            <w:r>
              <w:rPr>
                <w:rFonts w:hint="eastAsia" w:ascii="Calibri" w:hAnsi="宋体" w:eastAsia="宋体"/>
                <w:sz w:val="21"/>
              </w:rPr>
              <w:t>③针对性：方案贴合项目实际需求，具有针对性。</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9</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①进度保证措施：每满足一项评审标准得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②项目培训方案：每满足一项评审标准得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3分</w:t>
            </w:r>
            <w:r>
              <w:rPr>
                <w:rFonts w:hint="eastAsia" w:ascii="Calibri" w:hAnsi="宋体" w:eastAsia="宋体"/>
                <w:sz w:val="21"/>
              </w:rPr>
              <w:t>；</w:t>
            </w:r>
          </w:p>
          <w:p>
            <w:pPr>
              <w:spacing w:line="360" w:lineRule="exact"/>
              <w:ind w:firstLine="420" w:firstLineChars="200"/>
              <w:jc w:val="both"/>
              <w:rPr>
                <w:rFonts w:ascii="Calibri" w:hAnsi="宋体" w:eastAsia="宋体"/>
                <w:sz w:val="21"/>
              </w:rPr>
            </w:pPr>
            <w:r>
              <w:rPr>
                <w:rFonts w:hint="eastAsia" w:ascii="Calibri" w:hAnsi="宋体" w:eastAsia="宋体"/>
                <w:sz w:val="21"/>
              </w:rPr>
              <w:t>③安全文明施工措施：每满足一项评审标准得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3分</w:t>
            </w:r>
            <w:r>
              <w:rPr>
                <w:rFonts w:hint="eastAsia" w:ascii="Calibri" w:hAnsi="宋体" w:eastAsia="宋体"/>
                <w:sz w:val="21"/>
              </w:rPr>
              <w:t>。</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6</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服务质量保证措施：</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按照招标文件要求提供服务质量保证磋商，包括①质量控制目标；②服务质量保证措施；③客户反馈机制。</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②合理性：内容切合本项目实际情况，实施步骤清晰、合理；</w:t>
            </w:r>
          </w:p>
          <w:p>
            <w:pPr>
              <w:spacing w:line="360" w:lineRule="exact"/>
              <w:ind w:firstLine="420" w:firstLineChars="200"/>
              <w:jc w:val="both"/>
              <w:rPr>
                <w:rFonts w:ascii="Calibri" w:hAnsi="宋体" w:eastAsia="宋体"/>
                <w:sz w:val="21"/>
              </w:rPr>
            </w:pPr>
            <w:r>
              <w:rPr>
                <w:rFonts w:hint="eastAsia" w:ascii="Calibri" w:hAnsi="宋体" w:eastAsia="宋体"/>
                <w:sz w:val="21"/>
              </w:rPr>
              <w:t>③针对性：贴合项目实际需求，具有针对性；</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三、赋分标准（满分6分）</w:t>
            </w:r>
          </w:p>
          <w:p>
            <w:pPr>
              <w:spacing w:line="360" w:lineRule="exact"/>
              <w:ind w:firstLine="420" w:firstLineChars="200"/>
              <w:jc w:val="both"/>
              <w:rPr>
                <w:rFonts w:ascii="Calibri" w:hAnsi="宋体" w:eastAsia="宋体"/>
                <w:sz w:val="21"/>
              </w:rPr>
            </w:pPr>
            <w:r>
              <w:rPr>
                <w:rFonts w:hint="eastAsia" w:ascii="Calibri" w:hAnsi="宋体" w:eastAsia="宋体"/>
                <w:sz w:val="21"/>
              </w:rPr>
              <w:t>①质量控制目标：每满足一项评审标准得0.5分，满分1.5分；</w:t>
            </w:r>
          </w:p>
          <w:p>
            <w:pPr>
              <w:spacing w:line="360" w:lineRule="exact"/>
              <w:ind w:firstLine="420" w:firstLineChars="200"/>
              <w:jc w:val="both"/>
              <w:rPr>
                <w:rFonts w:ascii="Calibri" w:hAnsi="宋体" w:eastAsia="宋体"/>
                <w:sz w:val="21"/>
              </w:rPr>
            </w:pPr>
            <w:r>
              <w:rPr>
                <w:rFonts w:hint="eastAsia" w:ascii="Calibri" w:hAnsi="宋体" w:eastAsia="宋体"/>
                <w:sz w:val="21"/>
              </w:rPr>
              <w:t>②服务质量保证措施：每满足一项评审标准得0.5分，满分1.5分；</w:t>
            </w:r>
          </w:p>
          <w:p>
            <w:pPr>
              <w:spacing w:line="360" w:lineRule="exact"/>
              <w:ind w:firstLine="420" w:firstLineChars="200"/>
              <w:jc w:val="both"/>
              <w:rPr>
                <w:rFonts w:ascii="Calibri" w:hAnsi="宋体" w:eastAsia="宋体"/>
                <w:sz w:val="21"/>
              </w:rPr>
            </w:pPr>
            <w:r>
              <w:rPr>
                <w:rFonts w:hint="eastAsia" w:ascii="Calibri" w:hAnsi="宋体" w:eastAsia="宋体"/>
                <w:sz w:val="21"/>
              </w:rPr>
              <w:t>③客户反馈机制：每满足一项评审标准得1分，满分3分。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6</w:t>
            </w:r>
          </w:p>
        </w:tc>
        <w:tc>
          <w:tcPr>
            <w:tcW w:w="5809" w:type="dxa"/>
            <w:shd w:val="clear" w:color="auto" w:fill="auto"/>
            <w:vAlign w:val="center"/>
          </w:tcPr>
          <w:p>
            <w:pPr>
              <w:tabs>
                <w:tab w:val="left" w:pos="547"/>
              </w:tabs>
              <w:spacing w:line="360" w:lineRule="exact"/>
              <w:jc w:val="both"/>
              <w:rPr>
                <w:rFonts w:ascii="Calibri" w:hAnsi="宋体" w:eastAsia="宋体"/>
                <w:b/>
                <w:sz w:val="21"/>
              </w:rPr>
            </w:pPr>
            <w:bookmarkStart w:id="9" w:name="OLE_LINK2"/>
            <w:r>
              <w:rPr>
                <w:rFonts w:hint="eastAsia" w:ascii="Calibri" w:hAnsi="宋体" w:eastAsia="宋体" w:cs="宋体"/>
                <w:b/>
                <w:color w:val="C00000"/>
                <w:sz w:val="21"/>
                <w:szCs w:val="21"/>
              </w:rPr>
              <w:t>专线（有线类）管理服务能力：</w:t>
            </w:r>
          </w:p>
          <w:p>
            <w:pPr>
              <w:spacing w:line="360" w:lineRule="exact"/>
              <w:ind w:firstLine="420" w:firstLineChars="200"/>
              <w:jc w:val="both"/>
              <w:rPr>
                <w:rFonts w:ascii="Calibri" w:hAnsi="宋体" w:eastAsia="宋体"/>
                <w:b/>
                <w:sz w:val="21"/>
              </w:rPr>
            </w:pPr>
            <w:r>
              <w:rPr>
                <w:rFonts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供应商具备以OTN为代表的专线（有线类）管理服务能力，提供相关OTN专线管理服务功能截图，功能包括：①电路情况；②电路告警。</w:t>
            </w:r>
            <w:bookmarkEnd w:id="9"/>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①完整性：具有的各功能截图及说明清晰，完整无缺漏；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②合理性：内容切合本项目实际情况，步骤清晰、合理；</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三、赋分标准（满分6分）</w:t>
            </w:r>
          </w:p>
          <w:p>
            <w:pPr>
              <w:spacing w:line="360" w:lineRule="exact"/>
              <w:ind w:firstLine="420" w:firstLineChars="200"/>
              <w:jc w:val="both"/>
              <w:rPr>
                <w:rFonts w:ascii="Calibri" w:hAnsi="宋体" w:eastAsia="宋体"/>
                <w:sz w:val="21"/>
              </w:rPr>
            </w:pPr>
            <w:r>
              <w:rPr>
                <w:rFonts w:hint="eastAsia" w:ascii="Calibri" w:hAnsi="宋体" w:eastAsia="宋体"/>
                <w:sz w:val="21"/>
              </w:rPr>
              <w:t>①电路情况：每满足一项评审标准得1.5分，满分3分；</w:t>
            </w:r>
          </w:p>
          <w:p>
            <w:pPr>
              <w:spacing w:line="360" w:lineRule="exact"/>
              <w:ind w:firstLine="420" w:firstLineChars="200"/>
              <w:jc w:val="both"/>
              <w:rPr>
                <w:rFonts w:ascii="Calibri" w:hAnsi="宋体" w:eastAsia="宋体"/>
                <w:sz w:val="21"/>
              </w:rPr>
            </w:pPr>
            <w:r>
              <w:rPr>
                <w:rFonts w:hint="eastAsia" w:ascii="Calibri" w:hAnsi="宋体" w:eastAsia="宋体"/>
                <w:sz w:val="21"/>
              </w:rPr>
              <w:t>②电路告警：每满足一项评审标准得1.5分，满分3分。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034"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5</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故障响应方案：</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按照招标文件要求提供服务质量保证方案，包括①故障识别和报告机制；②故障分析和定位；③故障恢复（含具体的故障恢复响应时间）；④沟通反馈机制。</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②可实施性：方案内容贴合项目实际需要，实施后预期可实现良好的效果。</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5</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①故障识别和报告机制：每满足一项评审标准得0.5分，满分1分；</w:t>
            </w:r>
          </w:p>
          <w:p>
            <w:pPr>
              <w:spacing w:line="360" w:lineRule="exact"/>
              <w:ind w:firstLine="420" w:firstLineChars="200"/>
              <w:jc w:val="both"/>
              <w:rPr>
                <w:rFonts w:ascii="Calibri" w:hAnsi="宋体" w:eastAsia="宋体"/>
                <w:sz w:val="21"/>
              </w:rPr>
            </w:pPr>
            <w:r>
              <w:rPr>
                <w:rFonts w:hint="eastAsia" w:ascii="Calibri" w:hAnsi="宋体" w:eastAsia="宋体"/>
                <w:sz w:val="21"/>
              </w:rPr>
              <w:t>②故障分析和定位：每满足一项评审标准得0.5分，满分1分；</w:t>
            </w:r>
          </w:p>
          <w:p>
            <w:pPr>
              <w:spacing w:line="360" w:lineRule="exact"/>
              <w:ind w:firstLine="420" w:firstLineChars="200"/>
              <w:jc w:val="both"/>
              <w:rPr>
                <w:rFonts w:ascii="Calibri" w:hAnsi="宋体" w:eastAsia="宋体"/>
                <w:sz w:val="21"/>
              </w:rPr>
            </w:pPr>
            <w:r>
              <w:rPr>
                <w:rFonts w:hint="eastAsia" w:ascii="Calibri" w:hAnsi="宋体" w:eastAsia="宋体"/>
                <w:sz w:val="21"/>
              </w:rPr>
              <w:t>③故障恢复：每满足一项评审标准得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2分</w:t>
            </w:r>
            <w:r>
              <w:rPr>
                <w:rFonts w:hint="eastAsia" w:ascii="Calibri" w:hAnsi="宋体" w:eastAsia="宋体"/>
                <w:sz w:val="21"/>
              </w:rPr>
              <w:t>；</w:t>
            </w:r>
          </w:p>
          <w:p>
            <w:pPr>
              <w:spacing w:line="360" w:lineRule="exact"/>
              <w:ind w:firstLine="420" w:firstLineChars="200"/>
              <w:jc w:val="both"/>
              <w:rPr>
                <w:rFonts w:ascii="Calibri" w:hAnsi="宋体" w:eastAsia="宋体"/>
                <w:sz w:val="21"/>
              </w:rPr>
            </w:pPr>
            <w:r>
              <w:rPr>
                <w:rFonts w:hint="eastAsia" w:ascii="Calibri" w:hAnsi="宋体" w:eastAsia="宋体"/>
                <w:sz w:val="21"/>
              </w:rPr>
              <w:t>④沟通反馈机制：每满足一项评审标准得0.5分，满分1分。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5</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应急预案：</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按照招标文件要求提供应急预，包括①应急响应管理机制；②应急保障措施；③风险应急处置；④应急演练。</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②可实施性：方案内容贴合项目实际需要，实施后预期可实现良好的效果。</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5</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①应急响应管理机制：每满足一项评审标准得0.5分，满分1分；</w:t>
            </w:r>
          </w:p>
          <w:p>
            <w:pPr>
              <w:spacing w:line="360" w:lineRule="exact"/>
              <w:ind w:firstLine="420" w:firstLineChars="200"/>
              <w:jc w:val="both"/>
              <w:rPr>
                <w:rFonts w:ascii="Calibri" w:hAnsi="宋体" w:eastAsia="宋体"/>
                <w:sz w:val="21"/>
              </w:rPr>
            </w:pPr>
            <w:r>
              <w:rPr>
                <w:rFonts w:hint="eastAsia" w:ascii="Calibri" w:hAnsi="宋体" w:eastAsia="宋体"/>
                <w:sz w:val="21"/>
              </w:rPr>
              <w:t>②应急保障措施：每满足一项评审标准得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2分</w:t>
            </w:r>
            <w:r>
              <w:rPr>
                <w:rFonts w:hint="eastAsia" w:ascii="Calibri" w:hAnsi="宋体" w:eastAsia="宋体"/>
                <w:sz w:val="21"/>
              </w:rPr>
              <w:t>；</w:t>
            </w:r>
          </w:p>
          <w:p>
            <w:pPr>
              <w:spacing w:line="360" w:lineRule="exact"/>
              <w:ind w:firstLine="420" w:firstLineChars="200"/>
              <w:jc w:val="both"/>
              <w:rPr>
                <w:rFonts w:ascii="Calibri" w:hAnsi="宋体" w:eastAsia="宋体"/>
                <w:sz w:val="21"/>
              </w:rPr>
            </w:pPr>
            <w:r>
              <w:rPr>
                <w:rFonts w:hint="eastAsia" w:ascii="Calibri" w:hAnsi="宋体" w:eastAsia="宋体"/>
                <w:sz w:val="21"/>
              </w:rPr>
              <w:t>③风险应急处置：每满足一项评审标准得0.5分，满分1分；</w:t>
            </w:r>
          </w:p>
          <w:p>
            <w:pPr>
              <w:spacing w:line="360" w:lineRule="exact"/>
              <w:ind w:firstLine="420" w:firstLineChars="200"/>
              <w:jc w:val="both"/>
              <w:rPr>
                <w:rFonts w:ascii="Calibri" w:hAnsi="宋体" w:eastAsia="宋体"/>
                <w:sz w:val="21"/>
              </w:rPr>
            </w:pPr>
            <w:r>
              <w:rPr>
                <w:rFonts w:hint="eastAsia" w:ascii="Calibri" w:hAnsi="宋体" w:eastAsia="宋体"/>
                <w:sz w:val="21"/>
              </w:rPr>
              <w:t>④应急培训演练：每满足一项评审标准得0.5分，满分1分。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1</w:t>
            </w:r>
            <w:r>
              <w:rPr>
                <w:rFonts w:ascii="Calibri" w:hAnsi="宋体" w:eastAsia="宋体" w:cs="宋体"/>
                <w:bCs/>
                <w:sz w:val="21"/>
                <w:szCs w:val="21"/>
              </w:rPr>
              <w:t>3</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项目管理及人员配置：</w:t>
            </w:r>
          </w:p>
          <w:p>
            <w:pPr>
              <w:spacing w:line="360" w:lineRule="exact"/>
              <w:ind w:firstLine="420" w:firstLineChars="200"/>
              <w:jc w:val="both"/>
              <w:rPr>
                <w:rFonts w:ascii="Calibri" w:hAnsi="宋体" w:eastAsia="宋体"/>
                <w:sz w:val="21"/>
              </w:rPr>
            </w:pPr>
            <w:r>
              <w:rPr>
                <w:rFonts w:hint="eastAsia" w:ascii="Calibri" w:hAnsi="宋体" w:eastAsia="宋体"/>
                <w:sz w:val="21"/>
              </w:rPr>
              <w:t>1、提供项目团队及人员配置组织结构图，得1分，未提供不得分。</w:t>
            </w:r>
          </w:p>
          <w:p>
            <w:pPr>
              <w:spacing w:line="360" w:lineRule="exact"/>
              <w:ind w:firstLine="420" w:firstLineChars="200"/>
              <w:jc w:val="both"/>
              <w:rPr>
                <w:rFonts w:ascii="Calibri" w:hAnsi="宋体" w:eastAsia="宋体"/>
                <w:sz w:val="21"/>
              </w:rPr>
            </w:pPr>
            <w:r>
              <w:rPr>
                <w:rFonts w:ascii="Calibri" w:hAnsi="宋体" w:eastAsia="宋体"/>
                <w:sz w:val="21"/>
              </w:rPr>
              <w:t>2、提供</w:t>
            </w:r>
            <w:r>
              <w:rPr>
                <w:rFonts w:hint="eastAsia" w:ascii="Calibri" w:hAnsi="宋体" w:eastAsia="宋体"/>
                <w:sz w:val="21"/>
              </w:rPr>
              <w:t>项目经理的《通信专业技术人员职业资格》证书扫描件，以及供应商为其缴纳的2</w:t>
            </w:r>
            <w:r>
              <w:rPr>
                <w:rFonts w:ascii="Calibri" w:hAnsi="宋体" w:eastAsia="宋体"/>
                <w:sz w:val="21"/>
              </w:rPr>
              <w:t>025年</w:t>
            </w:r>
            <w:r>
              <w:rPr>
                <w:rFonts w:hint="eastAsia" w:ascii="Calibri" w:hAnsi="宋体" w:eastAsia="宋体"/>
                <w:sz w:val="21"/>
              </w:rPr>
              <w:t>7月以来连续三个月社保缴纳证明材料，得2分；缺项不得分。</w:t>
            </w:r>
          </w:p>
          <w:p>
            <w:pPr>
              <w:spacing w:line="360" w:lineRule="exact"/>
              <w:ind w:firstLine="420" w:firstLineChars="200"/>
              <w:jc w:val="both"/>
              <w:rPr>
                <w:rFonts w:ascii="Calibri" w:hAnsi="宋体" w:eastAsia="宋体"/>
                <w:sz w:val="21"/>
              </w:rPr>
            </w:pPr>
            <w:r>
              <w:rPr>
                <w:rFonts w:ascii="Calibri" w:hAnsi="宋体" w:eastAsia="宋体"/>
                <w:sz w:val="21"/>
              </w:rPr>
              <w:t>3、</w:t>
            </w:r>
            <w:r>
              <w:rPr>
                <w:rFonts w:hint="eastAsia" w:ascii="Calibri" w:hAnsi="宋体" w:eastAsia="宋体"/>
                <w:sz w:val="21"/>
              </w:rPr>
              <w:t>提供团队人员（含项目经理）的《计算机技术与软件专业技术资格》中信息系统项目管理师专业高级证书扫描件，以及供应商为其缴纳的2</w:t>
            </w:r>
            <w:r>
              <w:rPr>
                <w:rFonts w:ascii="Calibri" w:hAnsi="宋体" w:eastAsia="宋体"/>
                <w:sz w:val="21"/>
              </w:rPr>
              <w:t>025年</w:t>
            </w:r>
            <w:r>
              <w:rPr>
                <w:rFonts w:hint="eastAsia" w:ascii="Calibri" w:hAnsi="宋体" w:eastAsia="宋体"/>
                <w:sz w:val="21"/>
              </w:rPr>
              <w:t>7月以来连续三个月社保缴纳证明材料，每有1人得2分；或提供团队人员的《计算机技术与软件专业技术资格》中系统集成项目管理工程师专业中级证书扫描件，以及供应商为其缴纳的2</w:t>
            </w:r>
            <w:r>
              <w:rPr>
                <w:rFonts w:ascii="Calibri" w:hAnsi="宋体" w:eastAsia="宋体"/>
                <w:sz w:val="21"/>
              </w:rPr>
              <w:t>025年</w:t>
            </w:r>
            <w:r>
              <w:rPr>
                <w:rFonts w:hint="eastAsia" w:ascii="Calibri" w:hAnsi="宋体" w:eastAsia="宋体"/>
                <w:sz w:val="21"/>
              </w:rPr>
              <w:t>7月以来连续三个月社保缴纳证明材料，每有1人得1分，最高2分。本项满分2分。</w:t>
            </w:r>
          </w:p>
          <w:p>
            <w:pPr>
              <w:spacing w:line="360" w:lineRule="exact"/>
              <w:ind w:firstLine="420" w:firstLineChars="200"/>
              <w:jc w:val="both"/>
              <w:rPr>
                <w:rFonts w:ascii="Calibri" w:hAnsi="宋体" w:eastAsia="宋体"/>
                <w:sz w:val="21"/>
              </w:rPr>
            </w:pPr>
            <w:r>
              <w:rPr>
                <w:rFonts w:hint="eastAsia" w:ascii="Calibri" w:hAnsi="宋体" w:eastAsia="宋体"/>
                <w:sz w:val="21"/>
              </w:rPr>
              <w:t>4、提供团队人员（含项目经理）的注册信息安全专业人员（CISP）资格证书扫描件，以及供应商为其缴纳的2</w:t>
            </w:r>
            <w:r>
              <w:rPr>
                <w:rFonts w:ascii="Calibri" w:hAnsi="宋体" w:eastAsia="宋体"/>
                <w:sz w:val="21"/>
              </w:rPr>
              <w:t>025年</w:t>
            </w:r>
            <w:r>
              <w:rPr>
                <w:rFonts w:hint="eastAsia" w:ascii="Calibri" w:hAnsi="宋体" w:eastAsia="宋体"/>
                <w:sz w:val="21"/>
              </w:rPr>
              <w:t>7月以来连续三个月社保缴纳证明材料，每有1人得1分，本项满分2分。</w:t>
            </w:r>
          </w:p>
          <w:p>
            <w:pPr>
              <w:spacing w:line="360" w:lineRule="exact"/>
              <w:ind w:firstLine="420" w:firstLineChars="200"/>
              <w:jc w:val="both"/>
              <w:rPr>
                <w:rFonts w:ascii="Calibri" w:hAnsi="宋体" w:eastAsia="宋体"/>
                <w:sz w:val="21"/>
              </w:rPr>
            </w:pPr>
            <w:r>
              <w:rPr>
                <w:rFonts w:ascii="Calibri" w:hAnsi="宋体" w:eastAsia="宋体"/>
                <w:sz w:val="21"/>
              </w:rPr>
              <w:t>5、</w:t>
            </w:r>
            <w:r>
              <w:rPr>
                <w:rFonts w:hint="eastAsia" w:ascii="Calibri" w:hAnsi="宋体" w:eastAsia="宋体"/>
                <w:sz w:val="21"/>
              </w:rPr>
              <w:t>提供团队人员（除项目经理以外）的《通信专业技术人员职业资格》或《计算机技术与软件专业技术资格》中网络工程师专业中级证书扫描件，以及供应商为其缴纳的2</w:t>
            </w:r>
            <w:r>
              <w:rPr>
                <w:rFonts w:ascii="Calibri" w:hAnsi="宋体" w:eastAsia="宋体"/>
                <w:sz w:val="21"/>
              </w:rPr>
              <w:t>025年</w:t>
            </w:r>
            <w:r>
              <w:rPr>
                <w:rFonts w:hint="eastAsia" w:ascii="Calibri" w:hAnsi="宋体" w:eastAsia="宋体"/>
                <w:sz w:val="21"/>
              </w:rPr>
              <w:t>7月以来连续三个月社保缴纳证明材料，每有1人得1分，本项满分6分。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8</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售后服务：</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提供售后服务方案，包括：①售后服务整体安排计划；②售后服务团队人员安排计划 （含具体人员安排、售后技术咨询服务等等）；③运维体系的建设；④即时响应服务的承诺函。</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②合理性：方案内容切合本项目实际情况，实施步骤清晰、合理；</w:t>
            </w:r>
          </w:p>
          <w:p>
            <w:pPr>
              <w:spacing w:line="360" w:lineRule="exact"/>
              <w:ind w:firstLine="420" w:firstLineChars="200"/>
              <w:jc w:val="both"/>
              <w:rPr>
                <w:rFonts w:ascii="Calibri" w:hAnsi="宋体" w:eastAsia="宋体"/>
                <w:sz w:val="21"/>
              </w:rPr>
            </w:pPr>
            <w:r>
              <w:rPr>
                <w:rFonts w:hint="eastAsia" w:ascii="Calibri" w:hAnsi="宋体" w:eastAsia="宋体"/>
                <w:sz w:val="21"/>
              </w:rPr>
              <w:t>③针对性：方案贴合项目实际需求，具有针对性；</w:t>
            </w:r>
          </w:p>
          <w:p>
            <w:pPr>
              <w:spacing w:line="360" w:lineRule="exact"/>
              <w:ind w:firstLine="420" w:firstLineChars="200"/>
              <w:jc w:val="both"/>
              <w:rPr>
                <w:rFonts w:ascii="Calibri" w:hAnsi="宋体" w:eastAsia="宋体"/>
                <w:sz w:val="21"/>
              </w:rPr>
            </w:pPr>
            <w:r>
              <w:rPr>
                <w:rFonts w:hint="eastAsia" w:ascii="Calibri" w:hAnsi="宋体" w:eastAsia="宋体"/>
                <w:sz w:val="21"/>
              </w:rPr>
              <w:t>④预期效果：能够有效保证项目实施质量、实施进度。</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三、赋分标准（满分8分）</w:t>
            </w:r>
          </w:p>
          <w:p>
            <w:pPr>
              <w:spacing w:line="360" w:lineRule="exact"/>
              <w:ind w:firstLine="420" w:firstLineChars="200"/>
              <w:jc w:val="both"/>
              <w:rPr>
                <w:rFonts w:ascii="Calibri" w:hAnsi="宋体" w:eastAsia="宋体"/>
                <w:sz w:val="21"/>
              </w:rPr>
            </w:pPr>
            <w:r>
              <w:rPr>
                <w:rFonts w:hint="eastAsia" w:ascii="Calibri" w:hAnsi="宋体" w:eastAsia="宋体"/>
                <w:sz w:val="21"/>
              </w:rPr>
              <w:t>①售后服务整体安排计划：每满足一项评审标准得0.5分，满分2分；</w:t>
            </w:r>
          </w:p>
          <w:p>
            <w:pPr>
              <w:spacing w:line="360" w:lineRule="exact"/>
              <w:ind w:firstLine="420" w:firstLineChars="200"/>
              <w:jc w:val="both"/>
              <w:rPr>
                <w:rFonts w:ascii="Calibri" w:hAnsi="宋体" w:eastAsia="宋体"/>
                <w:sz w:val="21"/>
              </w:rPr>
            </w:pPr>
            <w:r>
              <w:rPr>
                <w:rFonts w:hint="eastAsia" w:ascii="Calibri" w:hAnsi="宋体" w:eastAsia="宋体"/>
                <w:sz w:val="21"/>
              </w:rPr>
              <w:t>②售后服务团队人员安排计划：每满足一项评审标准得0.5分，满分2分；</w:t>
            </w:r>
          </w:p>
          <w:p>
            <w:pPr>
              <w:spacing w:line="360" w:lineRule="exact"/>
              <w:ind w:firstLine="420" w:firstLineChars="200"/>
              <w:jc w:val="both"/>
              <w:rPr>
                <w:rFonts w:ascii="Calibri" w:hAnsi="宋体" w:eastAsia="宋体"/>
                <w:sz w:val="21"/>
              </w:rPr>
            </w:pPr>
            <w:r>
              <w:rPr>
                <w:rFonts w:hint="eastAsia" w:ascii="Calibri" w:hAnsi="宋体" w:eastAsia="宋体"/>
                <w:sz w:val="21"/>
              </w:rPr>
              <w:t>③运维体系的建设：每满足一项评审标准得0.5分，满分2分；</w:t>
            </w:r>
          </w:p>
          <w:p>
            <w:pPr>
              <w:spacing w:line="360" w:lineRule="exact"/>
              <w:ind w:firstLine="420" w:firstLineChars="200"/>
              <w:jc w:val="both"/>
              <w:rPr>
                <w:rFonts w:ascii="Calibri" w:hAnsi="宋体" w:eastAsia="宋体"/>
                <w:sz w:val="21"/>
              </w:rPr>
            </w:pPr>
            <w:r>
              <w:rPr>
                <w:rFonts w:hint="eastAsia" w:ascii="Calibri" w:hAnsi="宋体" w:eastAsia="宋体"/>
                <w:sz w:val="21"/>
              </w:rPr>
              <w:t>④提供即时响应服务的承诺函：提供加盖公章的承诺函（格式见第三章商务要求及其他：附件）得2分。</w:t>
            </w:r>
          </w:p>
          <w:p>
            <w:pPr>
              <w:spacing w:line="360" w:lineRule="exact"/>
              <w:ind w:firstLine="420" w:firstLineChars="200"/>
              <w:jc w:val="both"/>
              <w:rPr>
                <w:rFonts w:ascii="Calibri" w:hAnsi="宋体" w:eastAsia="宋体"/>
                <w:sz w:val="21"/>
              </w:rPr>
            </w:pPr>
            <w:r>
              <w:rPr>
                <w:rFonts w:ascii="Calibri" w:hAnsi="宋体" w:eastAsia="宋体"/>
                <w:b/>
                <w:sz w:val="21"/>
              </w:rPr>
              <w:t>注：</w:t>
            </w:r>
            <w:r>
              <w:rPr>
                <w:rFonts w:hint="eastAsia" w:ascii="Calibri" w:hAnsi="宋体" w:eastAsia="宋体"/>
                <w:sz w:val="21"/>
              </w:rPr>
              <w:t>未提供承诺函的，售后服务所有分项均不得分。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6</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业绩：</w:t>
            </w:r>
          </w:p>
          <w:p>
            <w:pPr>
              <w:spacing w:line="360" w:lineRule="exact"/>
              <w:ind w:firstLine="420" w:firstLineChars="200"/>
              <w:jc w:val="both"/>
              <w:rPr>
                <w:rFonts w:ascii="Calibri" w:hAnsi="宋体" w:eastAsia="宋体"/>
                <w:sz w:val="21"/>
              </w:rPr>
            </w:pPr>
            <w:r>
              <w:rPr>
                <w:rFonts w:hint="eastAsia" w:ascii="Calibri" w:hAnsi="宋体" w:eastAsia="宋体"/>
                <w:sz w:val="21"/>
              </w:rPr>
              <w:t>供应商提供202</w:t>
            </w:r>
            <w:r>
              <w:rPr>
                <w:rFonts w:ascii="Calibri" w:hAnsi="宋体" w:eastAsia="宋体"/>
                <w:sz w:val="21"/>
              </w:rPr>
              <w:t>3</w:t>
            </w:r>
            <w:r>
              <w:rPr>
                <w:rFonts w:hint="eastAsia" w:ascii="Calibri" w:hAnsi="宋体" w:eastAsia="宋体"/>
                <w:sz w:val="21"/>
              </w:rPr>
              <w:t>年1月1日以来的类似项目案例，每提供一份有效的业绩证明文件（合同关键页扫描件，至少包括首页、关键内容页及签署盖章页）得2分，满分6分。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说明</w:t>
            </w:r>
          </w:p>
        </w:tc>
        <w:tc>
          <w:tcPr>
            <w:tcW w:w="8727" w:type="dxa"/>
            <w:gridSpan w:val="4"/>
            <w:shd w:val="clear" w:color="auto" w:fill="auto"/>
            <w:vAlign w:val="center"/>
          </w:tcPr>
          <w:p>
            <w:pPr>
              <w:spacing w:line="400" w:lineRule="exact"/>
              <w:ind w:firstLine="420" w:firstLineChars="200"/>
              <w:jc w:val="both"/>
              <w:rPr>
                <w:rFonts w:ascii="Calibri" w:hAnsi="宋体" w:eastAsia="宋体" w:cs="宋体"/>
                <w:bCs/>
                <w:sz w:val="21"/>
                <w:szCs w:val="21"/>
              </w:rPr>
            </w:pPr>
            <w:r>
              <w:rPr>
                <w:rFonts w:hint="eastAsia" w:ascii="Calibri" w:hAnsi="宋体" w:eastAsia="宋体" w:cs="宋体"/>
                <w:bCs/>
                <w:sz w:val="21"/>
                <w:szCs w:val="21"/>
              </w:rPr>
              <w:t>1．评标委员会成员必须按照本评审要素据实打分，各类数字计算均按“四舍五入”保留小数点后两位。</w:t>
            </w:r>
          </w:p>
          <w:p>
            <w:pPr>
              <w:spacing w:line="400" w:lineRule="exact"/>
              <w:ind w:firstLine="420" w:firstLineChars="200"/>
              <w:jc w:val="both"/>
              <w:rPr>
                <w:rFonts w:ascii="Calibri" w:hAnsi="宋体" w:eastAsia="宋体" w:cs="宋体"/>
                <w:bCs/>
                <w:color w:val="FF0000"/>
                <w:sz w:val="21"/>
                <w:szCs w:val="21"/>
              </w:rPr>
            </w:pPr>
            <w:r>
              <w:rPr>
                <w:rFonts w:ascii="Calibri" w:hAnsi="宋体" w:eastAsia="宋体" w:cs="宋体"/>
                <w:bCs/>
                <w:sz w:val="21"/>
                <w:szCs w:val="21"/>
              </w:rPr>
              <w:t>2．价格评审优惠：</w:t>
            </w:r>
            <w:r>
              <w:rPr>
                <w:rFonts w:hint="eastAsia" w:ascii="Calibri" w:hAnsi="宋体" w:eastAsia="宋体" w:cs="宋体"/>
                <w:bCs/>
                <w:sz w:val="21"/>
                <w:szCs w:val="21"/>
              </w:rPr>
              <w:t>对符合政府采购优惠政策的小型和微型企业制造的货物、承接的服务的报价给予</w:t>
            </w:r>
            <w:r>
              <w:rPr>
                <w:rFonts w:hint="eastAsia" w:ascii="Calibri" w:hAnsi="宋体" w:eastAsia="宋体" w:cs="宋体"/>
                <w:bCs/>
                <w:sz w:val="21"/>
                <w:szCs w:val="21"/>
                <w:u w:val="single"/>
              </w:rPr>
              <w:t>10%</w:t>
            </w:r>
            <w:r>
              <w:rPr>
                <w:rFonts w:hint="eastAsia" w:ascii="Calibri" w:hAnsi="宋体" w:eastAsia="宋体" w:cs="宋体"/>
                <w:bCs/>
                <w:sz w:val="21"/>
                <w:szCs w:val="21"/>
              </w:rPr>
              <w:t>的扣除，用扣除后的价格参加评审。未提供中小企业声明函的不享受价格扣除优惠政策；供应商所供货物并非全部由小型或微型企业生产的，不享受价格扣除优惠政策。</w:t>
            </w:r>
          </w:p>
        </w:tc>
      </w:tr>
    </w:tbl>
    <w:p>
      <w:pPr>
        <w:keepNext/>
        <w:spacing w:before="230" w:beforeLines="50" w:after="230" w:afterLines="50"/>
        <w:jc w:val="center"/>
        <w:outlineLvl w:val="3"/>
        <w:rPr>
          <w:rFonts w:ascii="黑体" w:hAnsi="黑体" w:eastAsia="黑体" w:cstheme="minorHAnsi"/>
          <w:color w:val="1F4E79"/>
          <w:sz w:val="32"/>
          <w:szCs w:val="32"/>
        </w:rPr>
      </w:pPr>
      <w:r>
        <w:rPr>
          <w:rFonts w:ascii="黑体" w:hAnsi="黑体" w:eastAsia="黑体" w:cstheme="minorHAnsi"/>
          <w:color w:val="1F4E79"/>
          <w:sz w:val="32"/>
          <w:szCs w:val="32"/>
        </w:rPr>
        <w:t>『评审要素及分值一览表』</w:t>
      </w:r>
    </w:p>
    <w:p>
      <w:pPr>
        <w:keepNext/>
        <w:spacing w:before="230" w:beforeLines="50" w:after="230" w:afterLines="50"/>
        <w:jc w:val="center"/>
        <w:outlineLvl w:val="3"/>
        <w:rPr>
          <w:rFonts w:ascii="黑体" w:hAnsi="黑体" w:eastAsia="黑体" w:cstheme="minorHAnsi"/>
          <w:color w:val="1F4E79"/>
          <w:sz w:val="32"/>
          <w:szCs w:val="32"/>
        </w:rPr>
      </w:pPr>
      <w:r>
        <w:rPr>
          <w:rFonts w:ascii="黑体" w:hAnsi="黑体" w:eastAsia="黑体" w:cstheme="minorHAnsi"/>
          <w:color w:val="1F4E79"/>
          <w:sz w:val="32"/>
          <w:szCs w:val="32"/>
        </w:rPr>
        <w:t>（采购包</w:t>
      </w:r>
      <w:r>
        <w:rPr>
          <w:rFonts w:hint="eastAsia" w:ascii="黑体" w:hAnsi="黑体" w:eastAsia="黑体" w:cstheme="minorHAnsi"/>
          <w:color w:val="1F4E79"/>
          <w:sz w:val="32"/>
          <w:szCs w:val="32"/>
        </w:rPr>
        <w:t>四、五</w:t>
      </w:r>
      <w:r>
        <w:rPr>
          <w:rFonts w:ascii="黑体" w:hAnsi="黑体" w:eastAsia="黑体" w:cstheme="minorHAnsi"/>
          <w:color w:val="1F4E79"/>
          <w:sz w:val="32"/>
          <w:szCs w:val="32"/>
        </w:rPr>
        <w:t>）</w:t>
      </w:r>
    </w:p>
    <w:tbl>
      <w:tblPr>
        <w:tblStyle w:val="24"/>
        <w:tblW w:w="9483"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6"/>
        <w:gridCol w:w="640"/>
        <w:gridCol w:w="860"/>
        <w:gridCol w:w="5809"/>
        <w:gridCol w:w="1418"/>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restart"/>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项别</w:t>
            </w:r>
          </w:p>
        </w:tc>
        <w:tc>
          <w:tcPr>
            <w:tcW w:w="1500" w:type="dxa"/>
            <w:gridSpan w:val="2"/>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总分值</w:t>
            </w:r>
          </w:p>
        </w:tc>
        <w:tc>
          <w:tcPr>
            <w:tcW w:w="5809" w:type="dxa"/>
            <w:vMerge w:val="restart"/>
            <w:tcBorders>
              <w:top w:val="single" w:color="auto" w:sz="12" w:space="0"/>
              <w:bottom w:val="single" w:color="auto" w:sz="2" w:space="0"/>
            </w:tcBorders>
            <w:shd w:val="clear" w:color="auto" w:fill="F1F1F1" w:themeFill="background1" w:themeFillShade="F2"/>
            <w:vAlign w:val="center"/>
          </w:tcPr>
          <w:p>
            <w:pPr>
              <w:spacing w:line="400" w:lineRule="exact"/>
              <w:ind w:firstLine="422"/>
              <w:jc w:val="center"/>
              <w:rPr>
                <w:rFonts w:ascii="Calibri" w:hAnsi="宋体" w:eastAsia="宋体" w:cstheme="minorHAnsi"/>
                <w:b/>
                <w:bCs/>
                <w:sz w:val="21"/>
                <w:szCs w:val="21"/>
              </w:rPr>
            </w:pPr>
            <w:r>
              <w:rPr>
                <w:rFonts w:hint="eastAsia" w:ascii="Calibri" w:hAnsi="宋体" w:eastAsia="宋体" w:cstheme="minorHAnsi"/>
                <w:b/>
                <w:bCs/>
                <w:sz w:val="21"/>
                <w:szCs w:val="21"/>
              </w:rPr>
              <w:t>评审</w:t>
            </w:r>
            <w:r>
              <w:rPr>
                <w:rFonts w:ascii="Calibri" w:hAnsi="宋体" w:eastAsia="宋体" w:cstheme="minorHAnsi"/>
                <w:b/>
                <w:bCs/>
                <w:sz w:val="21"/>
                <w:szCs w:val="21"/>
              </w:rPr>
              <w:t>要素</w:t>
            </w:r>
          </w:p>
        </w:tc>
        <w:tc>
          <w:tcPr>
            <w:tcW w:w="1418" w:type="dxa"/>
            <w:vMerge w:val="restart"/>
            <w:tcBorders>
              <w:top w:val="single" w:color="auto" w:sz="1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Cs/>
                <w:sz w:val="21"/>
                <w:szCs w:val="21"/>
              </w:rPr>
            </w:pPr>
          </w:p>
        </w:tc>
        <w:tc>
          <w:tcPr>
            <w:tcW w:w="640" w:type="dxa"/>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100</w:t>
            </w:r>
          </w:p>
        </w:tc>
        <w:tc>
          <w:tcPr>
            <w:tcW w:w="860" w:type="dxa"/>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
                <w:bCs/>
                <w:sz w:val="21"/>
                <w:szCs w:val="21"/>
              </w:rPr>
            </w:pPr>
            <w:r>
              <w:rPr>
                <w:rFonts w:ascii="Calibri" w:hAnsi="宋体" w:eastAsia="宋体" w:cstheme="minorHAnsi"/>
                <w:b/>
                <w:bCs/>
                <w:sz w:val="21"/>
                <w:szCs w:val="21"/>
              </w:rPr>
              <w:t>分项最高分值</w:t>
            </w:r>
          </w:p>
        </w:tc>
        <w:tc>
          <w:tcPr>
            <w:tcW w:w="5809" w:type="dxa"/>
            <w:vMerge w:val="continue"/>
            <w:tcBorders>
              <w:top w:val="single" w:color="auto" w:sz="2" w:space="0"/>
              <w:bottom w:val="single" w:color="auto" w:sz="2" w:space="0"/>
            </w:tcBorders>
            <w:shd w:val="clear" w:color="auto" w:fill="F1F1F1" w:themeFill="background1" w:themeFillShade="F2"/>
            <w:vAlign w:val="center"/>
          </w:tcPr>
          <w:p>
            <w:pPr>
              <w:spacing w:line="400" w:lineRule="exact"/>
              <w:ind w:firstLine="420"/>
              <w:jc w:val="center"/>
              <w:rPr>
                <w:rFonts w:ascii="Calibri" w:hAnsi="宋体" w:eastAsia="宋体" w:cstheme="minorHAnsi"/>
                <w:bCs/>
                <w:sz w:val="21"/>
                <w:szCs w:val="21"/>
              </w:rPr>
            </w:pPr>
          </w:p>
        </w:tc>
        <w:tc>
          <w:tcPr>
            <w:tcW w:w="1418" w:type="dxa"/>
            <w:vMerge w:val="continue"/>
            <w:tcBorders>
              <w:top w:val="single" w:color="auto" w:sz="2" w:space="0"/>
              <w:bottom w:val="single" w:color="auto" w:sz="2" w:space="0"/>
            </w:tcBorders>
            <w:shd w:val="clear" w:color="auto" w:fill="F1F1F1" w:themeFill="background1" w:themeFillShade="F2"/>
            <w:vAlign w:val="center"/>
          </w:tcPr>
          <w:p>
            <w:pPr>
              <w:spacing w:line="400" w:lineRule="exact"/>
              <w:jc w:val="center"/>
              <w:rPr>
                <w:rFonts w:ascii="Calibri" w:hAnsi="宋体" w:eastAsia="宋体" w:cstheme="minorHAnsi"/>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tcBorders>
              <w:top w:val="single" w:color="auto" w:sz="2" w:space="0"/>
            </w:tcBorders>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
                <w:sz w:val="21"/>
                <w:szCs w:val="21"/>
              </w:rPr>
              <w:t>价格</w:t>
            </w:r>
          </w:p>
        </w:tc>
        <w:tc>
          <w:tcPr>
            <w:tcW w:w="640" w:type="dxa"/>
            <w:tcBorders>
              <w:top w:val="single" w:color="auto" w:sz="2" w:space="0"/>
            </w:tcBorders>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10</w:t>
            </w: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1</w:t>
            </w:r>
            <w:r>
              <w:rPr>
                <w:rFonts w:hint="eastAsia" w:ascii="Calibri" w:hAnsi="宋体" w:eastAsia="宋体" w:cs="宋体"/>
                <w:bCs/>
                <w:sz w:val="21"/>
                <w:szCs w:val="21"/>
              </w:rPr>
              <w:t>0</w:t>
            </w:r>
          </w:p>
        </w:tc>
        <w:tc>
          <w:tcPr>
            <w:tcW w:w="5809" w:type="dxa"/>
            <w:tcBorders>
              <w:top w:val="single" w:color="auto" w:sz="2" w:space="0"/>
            </w:tcBorders>
            <w:shd w:val="clear" w:color="auto" w:fill="auto"/>
            <w:vAlign w:val="center"/>
          </w:tcPr>
          <w:p>
            <w:pPr>
              <w:tabs>
                <w:tab w:val="left" w:pos="547"/>
              </w:tabs>
              <w:spacing w:line="400" w:lineRule="exact"/>
              <w:ind w:firstLine="420"/>
              <w:jc w:val="both"/>
              <w:rPr>
                <w:rFonts w:ascii="Calibri" w:hAnsi="宋体" w:eastAsia="宋体" w:cs="宋体"/>
                <w:sz w:val="21"/>
                <w:szCs w:val="21"/>
              </w:rPr>
            </w:pPr>
            <w:r>
              <w:rPr>
                <w:rFonts w:hint="eastAsia" w:ascii="Calibri" w:hAnsi="宋体" w:eastAsia="宋体" w:cs="宋体"/>
                <w:sz w:val="21"/>
                <w:szCs w:val="21"/>
              </w:rPr>
              <w:t>有效供应商最低报价为基准价，各供应商的报价得分按下列公式计算：（基准价/投标报价）×</w:t>
            </w:r>
            <w:r>
              <w:rPr>
                <w:rFonts w:ascii="Calibri" w:hAnsi="宋体" w:eastAsia="宋体" w:cs="宋体"/>
                <w:sz w:val="21"/>
                <w:szCs w:val="21"/>
              </w:rPr>
              <w:t>1</w:t>
            </w:r>
            <w:r>
              <w:rPr>
                <w:rFonts w:hint="eastAsia" w:ascii="Calibri" w:hAnsi="宋体" w:eastAsia="宋体" w:cs="宋体"/>
                <w:sz w:val="21"/>
                <w:szCs w:val="21"/>
              </w:rPr>
              <w:t>0%×100分</w:t>
            </w:r>
          </w:p>
        </w:tc>
        <w:tc>
          <w:tcPr>
            <w:tcW w:w="1418" w:type="dxa"/>
            <w:tcBorders>
              <w:top w:val="single" w:color="auto" w:sz="2" w:space="0"/>
            </w:tcBorders>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60" w:hRule="atLeast"/>
        </w:trPr>
        <w:tc>
          <w:tcPr>
            <w:tcW w:w="756" w:type="dxa"/>
            <w:tcBorders>
              <w:top w:val="single" w:color="auto" w:sz="2" w:space="0"/>
            </w:tcBorders>
            <w:shd w:val="clear" w:color="auto" w:fill="auto"/>
            <w:vAlign w:val="center"/>
          </w:tcPr>
          <w:p>
            <w:pPr>
              <w:spacing w:line="400" w:lineRule="exact"/>
              <w:jc w:val="center"/>
              <w:rPr>
                <w:rFonts w:ascii="Calibri" w:hAnsi="宋体" w:eastAsia="宋体" w:cs="宋体"/>
                <w:b/>
                <w:sz w:val="21"/>
                <w:szCs w:val="21"/>
              </w:rPr>
            </w:pPr>
            <w:r>
              <w:rPr>
                <w:rFonts w:hint="eastAsia" w:ascii="Calibri" w:hAnsi="宋体" w:eastAsia="宋体"/>
                <w:color w:val="000000" w:themeColor="text1"/>
                <w:szCs w:val="21"/>
                <w14:textFill>
                  <w14:solidFill>
                    <w14:schemeClr w14:val="tx1"/>
                  </w14:solidFill>
                </w14:textFill>
              </w:rPr>
              <w:t>技术（服务</w:t>
            </w:r>
            <w:r>
              <w:rPr>
                <w:rFonts w:ascii="Calibri" w:hAnsi="宋体" w:eastAsia="宋体"/>
                <w:color w:val="000000" w:themeColor="text1"/>
                <w:szCs w:val="21"/>
                <w14:textFill>
                  <w14:solidFill>
                    <w14:schemeClr w14:val="tx1"/>
                  </w14:solidFill>
                </w14:textFill>
              </w:rPr>
              <w:t>）暗标盲评</w:t>
            </w:r>
            <w:r>
              <w:rPr>
                <w:rFonts w:hint="eastAsia" w:ascii="Calibri" w:hAnsi="宋体" w:eastAsia="宋体"/>
                <w:color w:val="000000" w:themeColor="text1"/>
                <w:szCs w:val="21"/>
                <w14:textFill>
                  <w14:solidFill>
                    <w14:schemeClr w14:val="tx1"/>
                  </w14:solidFill>
                </w14:textFill>
              </w:rPr>
              <w:t>部分</w:t>
            </w:r>
          </w:p>
        </w:tc>
        <w:tc>
          <w:tcPr>
            <w:tcW w:w="640" w:type="dxa"/>
            <w:tcBorders>
              <w:top w:val="single" w:color="auto" w:sz="2" w:space="0"/>
            </w:tcBorders>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21</w:t>
            </w: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21</w:t>
            </w:r>
          </w:p>
        </w:tc>
        <w:tc>
          <w:tcPr>
            <w:tcW w:w="5809" w:type="dxa"/>
            <w:tcBorders>
              <w:top w:val="single" w:color="auto" w:sz="2" w:space="0"/>
            </w:tcBorders>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总体服务方案：</w:t>
            </w:r>
          </w:p>
          <w:p>
            <w:pPr>
              <w:tabs>
                <w:tab w:val="left" w:pos="547"/>
              </w:tabs>
              <w:spacing w:line="360" w:lineRule="exact"/>
              <w:ind w:firstLine="420"/>
              <w:jc w:val="both"/>
              <w:rPr>
                <w:rFonts w:ascii="Calibri" w:hAnsi="宋体" w:eastAsia="宋体" w:cs="宋体"/>
                <w:b/>
                <w:sz w:val="21"/>
                <w:szCs w:val="21"/>
              </w:rPr>
            </w:pPr>
            <w:r>
              <w:rPr>
                <w:rFonts w:hint="eastAsia" w:ascii="Calibri" w:hAnsi="宋体" w:eastAsia="宋体" w:cs="宋体"/>
                <w:b/>
                <w:sz w:val="21"/>
                <w:szCs w:val="21"/>
              </w:rPr>
              <w:t>一、评审内容</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按照招标文件要求提供项目总体服务方案。包括①方案技术措施；②综合运营保障能力；③工期进度、测试及上线计划。</w:t>
            </w:r>
          </w:p>
          <w:p>
            <w:pPr>
              <w:tabs>
                <w:tab w:val="left" w:pos="547"/>
              </w:tabs>
              <w:spacing w:line="360" w:lineRule="exact"/>
              <w:ind w:firstLine="420"/>
              <w:jc w:val="both"/>
              <w:rPr>
                <w:rFonts w:ascii="Calibri" w:hAnsi="宋体" w:eastAsia="宋体" w:cs="宋体"/>
                <w:b/>
                <w:sz w:val="21"/>
                <w:szCs w:val="21"/>
              </w:rPr>
            </w:pPr>
            <w:r>
              <w:rPr>
                <w:rFonts w:hint="eastAsia" w:ascii="Calibri" w:hAnsi="宋体" w:eastAsia="宋体" w:cs="宋体"/>
                <w:b/>
                <w:sz w:val="21"/>
                <w:szCs w:val="21"/>
              </w:rPr>
              <w:t>二、评审标准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①完整性：方案须全面，对评审内容中的各项要求有详细描述及说明；</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②可实施性：切合本项目实际情况，实施步骤清晰、合理；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③针对性：方案能够紧扣项目实际情况，内容科学合理。</w:t>
            </w:r>
          </w:p>
          <w:p>
            <w:pPr>
              <w:tabs>
                <w:tab w:val="left" w:pos="547"/>
              </w:tabs>
              <w:spacing w:line="360" w:lineRule="exact"/>
              <w:ind w:firstLine="420"/>
              <w:jc w:val="both"/>
              <w:rPr>
                <w:rFonts w:ascii="Calibri" w:hAnsi="宋体" w:eastAsia="宋体" w:cs="宋体"/>
                <w:b/>
                <w:sz w:val="21"/>
                <w:szCs w:val="21"/>
              </w:rPr>
            </w:pPr>
            <w:r>
              <w:rPr>
                <w:rFonts w:hint="eastAsia" w:ascii="Calibri" w:hAnsi="宋体" w:eastAsia="宋体" w:cs="宋体"/>
                <w:b/>
                <w:sz w:val="21"/>
                <w:szCs w:val="21"/>
              </w:rPr>
              <w:t>三、赋分标准（满分</w:t>
            </w:r>
            <w:r>
              <w:rPr>
                <w:rFonts w:ascii="Calibri" w:hAnsi="宋体" w:eastAsia="宋体" w:cs="宋体"/>
                <w:b/>
                <w:sz w:val="21"/>
                <w:szCs w:val="21"/>
              </w:rPr>
              <w:t>21</w:t>
            </w:r>
            <w:r>
              <w:rPr>
                <w:rFonts w:hint="eastAsia" w:ascii="Calibri" w:hAnsi="宋体" w:eastAsia="宋体" w:cs="宋体"/>
                <w:b/>
                <w:sz w:val="21"/>
                <w:szCs w:val="21"/>
              </w:rPr>
              <w:t>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①方案技术措施：每满足一项评审标准得</w:t>
            </w:r>
            <w:r>
              <w:rPr>
                <w:rFonts w:ascii="Calibri" w:hAnsi="宋体" w:eastAsia="宋体" w:cs="宋体"/>
                <w:sz w:val="21"/>
                <w:szCs w:val="21"/>
              </w:rPr>
              <w:t>3</w:t>
            </w:r>
            <w:r>
              <w:rPr>
                <w:rFonts w:hint="eastAsia" w:ascii="Calibri" w:hAnsi="宋体" w:eastAsia="宋体" w:cs="宋体"/>
                <w:sz w:val="21"/>
                <w:szCs w:val="21"/>
              </w:rPr>
              <w:t>分，满分</w:t>
            </w:r>
            <w:r>
              <w:rPr>
                <w:rFonts w:ascii="Calibri" w:hAnsi="宋体" w:eastAsia="宋体" w:cs="宋体"/>
                <w:sz w:val="21"/>
                <w:szCs w:val="21"/>
              </w:rPr>
              <w:t>9</w:t>
            </w:r>
            <w:r>
              <w:rPr>
                <w:rFonts w:hint="eastAsia" w:ascii="Calibri" w:hAnsi="宋体" w:eastAsia="宋体" w:cs="宋体"/>
                <w:sz w:val="21"/>
                <w:szCs w:val="21"/>
              </w:rPr>
              <w:t>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②综合运营保障能力：每满足一项评审标准得</w:t>
            </w:r>
            <w:r>
              <w:rPr>
                <w:rFonts w:ascii="Calibri" w:hAnsi="宋体" w:eastAsia="宋体" w:cs="宋体"/>
                <w:sz w:val="21"/>
                <w:szCs w:val="21"/>
              </w:rPr>
              <w:t>3</w:t>
            </w:r>
            <w:r>
              <w:rPr>
                <w:rFonts w:hint="eastAsia" w:ascii="Calibri" w:hAnsi="宋体" w:eastAsia="宋体" w:cs="宋体"/>
                <w:sz w:val="21"/>
                <w:szCs w:val="21"/>
              </w:rPr>
              <w:t>分，满分</w:t>
            </w:r>
            <w:r>
              <w:rPr>
                <w:rFonts w:ascii="Calibri" w:hAnsi="宋体" w:eastAsia="宋体" w:cs="宋体"/>
                <w:sz w:val="21"/>
                <w:szCs w:val="21"/>
              </w:rPr>
              <w:t>9</w:t>
            </w:r>
            <w:r>
              <w:rPr>
                <w:rFonts w:hint="eastAsia" w:ascii="Calibri" w:hAnsi="宋体" w:eastAsia="宋体" w:cs="宋体"/>
                <w:sz w:val="21"/>
                <w:szCs w:val="21"/>
              </w:rPr>
              <w:t>分；</w:t>
            </w:r>
          </w:p>
          <w:p>
            <w:pPr>
              <w:tabs>
                <w:tab w:val="left" w:pos="547"/>
              </w:tabs>
              <w:spacing w:line="360" w:lineRule="exact"/>
              <w:ind w:firstLine="420"/>
              <w:jc w:val="both"/>
              <w:rPr>
                <w:rFonts w:ascii="Calibri" w:hAnsi="宋体" w:eastAsia="宋体" w:cs="宋体"/>
                <w:sz w:val="21"/>
                <w:szCs w:val="21"/>
              </w:rPr>
            </w:pPr>
            <w:r>
              <w:rPr>
                <w:rFonts w:hint="eastAsia" w:ascii="Calibri" w:hAnsi="宋体" w:eastAsia="宋体" w:cs="宋体"/>
                <w:sz w:val="21"/>
                <w:szCs w:val="21"/>
              </w:rPr>
              <w:t>③工期进度、测试和上线计划：每满足一项评审标准得1分，满分3分。</w:t>
            </w:r>
          </w:p>
        </w:tc>
        <w:tc>
          <w:tcPr>
            <w:tcW w:w="1418" w:type="dxa"/>
            <w:tcBorders>
              <w:top w:val="single" w:color="auto" w:sz="2" w:space="0"/>
            </w:tcBorders>
            <w:shd w:val="clear" w:color="auto" w:fill="auto"/>
            <w:vAlign w:val="center"/>
          </w:tcPr>
          <w:p>
            <w:pPr>
              <w:spacing w:line="400" w:lineRule="exact"/>
              <w:jc w:val="center"/>
              <w:rPr>
                <w:rFonts w:ascii="Calibri" w:hAnsi="宋体" w:eastAsia="宋体" w:cs="宋体"/>
                <w:bCs/>
                <w:color w:val="FF0000"/>
                <w:sz w:val="21"/>
                <w:szCs w:val="21"/>
              </w:rPr>
            </w:pPr>
            <w:r>
              <w:rPr>
                <w:rFonts w:hint="eastAsia" w:ascii="Calibri" w:hAnsi="宋体" w:eastAsia="宋体" w:cs="宋体"/>
                <w:bCs/>
                <w:color w:val="FF0000"/>
                <w:sz w:val="21"/>
                <w:szCs w:val="21"/>
              </w:rPr>
              <w:t>违反第二章第七部分“二、评标形式”中的“暗标盲评部分”编制要求的，其投标视为无效。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restart"/>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商务部分</w:t>
            </w:r>
          </w:p>
        </w:tc>
        <w:tc>
          <w:tcPr>
            <w:tcW w:w="640" w:type="dxa"/>
            <w:vMerge w:val="restart"/>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6</w:t>
            </w:r>
            <w:r>
              <w:rPr>
                <w:rFonts w:ascii="Calibri" w:hAnsi="宋体" w:eastAsia="宋体" w:cs="宋体"/>
                <w:bCs/>
                <w:sz w:val="21"/>
                <w:szCs w:val="21"/>
              </w:rPr>
              <w:t>9</w:t>
            </w: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1</w:t>
            </w:r>
            <w:r>
              <w:rPr>
                <w:rFonts w:ascii="Calibri" w:hAnsi="宋体" w:eastAsia="宋体" w:cs="宋体"/>
                <w:bCs/>
                <w:sz w:val="21"/>
                <w:szCs w:val="21"/>
              </w:rPr>
              <w:t>2</w:t>
            </w:r>
          </w:p>
        </w:tc>
        <w:tc>
          <w:tcPr>
            <w:tcW w:w="5809" w:type="dxa"/>
            <w:shd w:val="clear" w:color="auto" w:fill="auto"/>
            <w:vAlign w:val="center"/>
          </w:tcPr>
          <w:p>
            <w:pPr>
              <w:tabs>
                <w:tab w:val="left" w:pos="547"/>
              </w:tabs>
              <w:spacing w:line="360" w:lineRule="exact"/>
              <w:jc w:val="both"/>
              <w:rPr>
                <w:rFonts w:ascii="Calibri" w:hAnsi="宋体" w:eastAsia="宋体"/>
                <w:b/>
                <w:sz w:val="21"/>
              </w:rPr>
            </w:pPr>
            <w:r>
              <w:rPr>
                <w:rFonts w:hint="eastAsia" w:ascii="Calibri" w:hAnsi="宋体" w:eastAsia="宋体" w:cs="宋体"/>
                <w:b/>
                <w:color w:val="C00000"/>
                <w:sz w:val="21"/>
                <w:szCs w:val="21"/>
              </w:rPr>
              <w:t>技术指标要求：</w:t>
            </w:r>
          </w:p>
          <w:p>
            <w:pPr>
              <w:spacing w:line="360" w:lineRule="exact"/>
              <w:ind w:firstLine="420" w:firstLineChars="200"/>
              <w:jc w:val="both"/>
              <w:rPr>
                <w:rFonts w:ascii="Calibri" w:hAnsi="宋体" w:eastAsia="宋体"/>
                <w:sz w:val="21"/>
              </w:rPr>
            </w:pPr>
            <w:r>
              <w:rPr>
                <w:rFonts w:hint="eastAsia" w:ascii="Calibri" w:hAnsi="宋体" w:eastAsia="宋体"/>
                <w:sz w:val="21"/>
              </w:rPr>
              <w:t>供应商提供网络线路服务，每满足一项关键指标要求的得</w:t>
            </w:r>
            <w:r>
              <w:rPr>
                <w:rFonts w:ascii="Calibri" w:hAnsi="宋体" w:eastAsia="宋体"/>
                <w:sz w:val="21"/>
              </w:rPr>
              <w:t>2</w:t>
            </w:r>
            <w:r>
              <w:rPr>
                <w:rFonts w:hint="eastAsia" w:ascii="Calibri" w:hAnsi="宋体" w:eastAsia="宋体"/>
                <w:sz w:val="21"/>
              </w:rPr>
              <w:t>分，满分1</w:t>
            </w:r>
            <w:r>
              <w:rPr>
                <w:rFonts w:ascii="Calibri" w:hAnsi="宋体" w:eastAsia="宋体"/>
                <w:sz w:val="21"/>
              </w:rPr>
              <w:t>2</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ascii="Calibri" w:hAnsi="宋体" w:eastAsia="宋体"/>
                <w:b/>
                <w:sz w:val="21"/>
              </w:rPr>
              <w:t>注：</w:t>
            </w:r>
            <w:r>
              <w:rPr>
                <w:rFonts w:ascii="Calibri" w:hAnsi="宋体" w:eastAsia="宋体"/>
                <w:sz w:val="21"/>
              </w:rPr>
              <w:t>每项指标要求以加盖供应商公章的承诺函（格式自拟）为计分依据。</w:t>
            </w:r>
          </w:p>
        </w:tc>
        <w:tc>
          <w:tcPr>
            <w:tcW w:w="1418" w:type="dxa"/>
            <w:vMerge w:val="restart"/>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9</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组织实施方案：</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按照招标文件要求提供组织实施方案，包括①进度保证措施；②项目培训方案；③安全文明施工措施等内容。</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②合理性：方案内容切合本项目实际情况，实施步骤清晰、合理；</w:t>
            </w:r>
          </w:p>
          <w:p>
            <w:pPr>
              <w:spacing w:line="360" w:lineRule="exact"/>
              <w:ind w:firstLine="420" w:firstLineChars="200"/>
              <w:jc w:val="both"/>
              <w:rPr>
                <w:rFonts w:ascii="Calibri" w:hAnsi="宋体" w:eastAsia="宋体"/>
                <w:sz w:val="21"/>
              </w:rPr>
            </w:pPr>
            <w:r>
              <w:rPr>
                <w:rFonts w:hint="eastAsia" w:ascii="Calibri" w:hAnsi="宋体" w:eastAsia="宋体"/>
                <w:sz w:val="21"/>
              </w:rPr>
              <w:t>③针对性：方案贴合项目实际需求，具有针对性。</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9</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①进度保证措施：每满足一项评审标准得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②项目培训方案：每满足一项评审标准得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3分</w:t>
            </w:r>
            <w:r>
              <w:rPr>
                <w:rFonts w:hint="eastAsia" w:ascii="Calibri" w:hAnsi="宋体" w:eastAsia="宋体"/>
                <w:sz w:val="21"/>
              </w:rPr>
              <w:t>；</w:t>
            </w:r>
          </w:p>
          <w:p>
            <w:pPr>
              <w:spacing w:line="360" w:lineRule="exact"/>
              <w:ind w:firstLine="420" w:firstLineChars="200"/>
              <w:jc w:val="both"/>
              <w:rPr>
                <w:rFonts w:ascii="Calibri" w:hAnsi="宋体" w:eastAsia="宋体"/>
                <w:sz w:val="21"/>
              </w:rPr>
            </w:pPr>
            <w:r>
              <w:rPr>
                <w:rFonts w:hint="eastAsia" w:ascii="Calibri" w:hAnsi="宋体" w:eastAsia="宋体"/>
                <w:sz w:val="21"/>
              </w:rPr>
              <w:t>③安全文明施工措施：每满足一项评审标准得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3分</w:t>
            </w:r>
            <w:r>
              <w:rPr>
                <w:rFonts w:hint="eastAsia" w:ascii="Calibri" w:hAnsi="宋体" w:eastAsia="宋体"/>
                <w:sz w:val="21"/>
              </w:rPr>
              <w:t>。</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9</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服务质量保证措施：</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按照招标文件要求提供服务质量保证措施，包括①质量控制目标；②服务质量保证措施；③客户反馈机制。</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②合理性：内容切合本项目实际情况，实施步骤清晰、合理；</w:t>
            </w:r>
          </w:p>
          <w:p>
            <w:pPr>
              <w:spacing w:line="360" w:lineRule="exact"/>
              <w:ind w:firstLine="420" w:firstLineChars="200"/>
              <w:jc w:val="both"/>
              <w:rPr>
                <w:rFonts w:ascii="Calibri" w:hAnsi="宋体" w:eastAsia="宋体"/>
                <w:sz w:val="21"/>
              </w:rPr>
            </w:pPr>
            <w:r>
              <w:rPr>
                <w:rFonts w:hint="eastAsia" w:ascii="Calibri" w:hAnsi="宋体" w:eastAsia="宋体"/>
                <w:sz w:val="21"/>
              </w:rPr>
              <w:t>③针对性：贴合项目实际需求，具有针对性；</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9</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①质量控制目标：每满足一项评审标准得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②服务质量保证措施：每满足一项评审标准得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3</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③客户反馈机制：每满足一项评审标准得1分，满分3分。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8</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故障响应方案：</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按照招标文件要求提供服务质量保证方案，包括①故障识别和报告机制；②故障分析和定位；③故障恢复（含具体的故障恢复响应时间）；④沟通反馈机制。</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②可实施性：方案内容贴合项目实际需要，实施后预期可实现良好的效果。</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8</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①故障识别和报告机制：每满足一项评审标准得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②故障分析和定位：每满足一项评审标准得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③故障恢复：每满足一项评审标准得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2分</w:t>
            </w:r>
            <w:r>
              <w:rPr>
                <w:rFonts w:hint="eastAsia" w:ascii="Calibri" w:hAnsi="宋体" w:eastAsia="宋体"/>
                <w:sz w:val="21"/>
              </w:rPr>
              <w:t>；</w:t>
            </w:r>
          </w:p>
          <w:p>
            <w:pPr>
              <w:spacing w:line="360" w:lineRule="exact"/>
              <w:ind w:firstLine="420" w:firstLineChars="200"/>
              <w:jc w:val="both"/>
              <w:rPr>
                <w:rFonts w:ascii="Calibri" w:hAnsi="宋体" w:eastAsia="宋体"/>
                <w:sz w:val="21"/>
              </w:rPr>
            </w:pPr>
            <w:r>
              <w:rPr>
                <w:rFonts w:hint="eastAsia" w:ascii="Calibri" w:hAnsi="宋体" w:eastAsia="宋体"/>
                <w:sz w:val="21"/>
              </w:rPr>
              <w:t>④沟通反馈机制：每满足一项评审标准得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2分</w:t>
            </w:r>
            <w:r>
              <w:rPr>
                <w:rFonts w:hint="eastAsia" w:ascii="Calibri" w:hAnsi="宋体" w:eastAsia="宋体"/>
                <w:sz w:val="21"/>
              </w:rPr>
              <w:t>。</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8</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应急预案：</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按照招标文件要求提供应急预案，包括①应急响应管理机制；②应急保障措施；③风险应急处置；④应急演练。</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②可实施性：内容贴合项目实际需要，实施后预期可实现良好的效果。</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w:t>
            </w:r>
            <w:r>
              <w:rPr>
                <w:rFonts w:ascii="Calibri" w:hAnsi="宋体" w:eastAsia="宋体"/>
                <w:b/>
                <w:sz w:val="21"/>
              </w:rPr>
              <w:t>8</w:t>
            </w:r>
            <w:r>
              <w:rPr>
                <w:rFonts w:hint="eastAsia" w:ascii="Calibri" w:hAnsi="宋体" w:eastAsia="宋体"/>
                <w:b/>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①应急响应管理机制：每满足一项评审标准得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②应急保障措施：每满足一项评审标准得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③风险应急处置：每满足一项评审标准得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sz w:val="21"/>
              </w:rPr>
              <w:t>④应急培训演练：每满足一项评审标准得</w:t>
            </w:r>
            <w:r>
              <w:rPr>
                <w:rFonts w:ascii="Calibri" w:hAnsi="宋体" w:eastAsia="宋体"/>
                <w:sz w:val="21"/>
              </w:rPr>
              <w:t>1</w:t>
            </w:r>
            <w:r>
              <w:rPr>
                <w:rFonts w:hint="eastAsia" w:ascii="Calibri" w:hAnsi="宋体" w:eastAsia="宋体"/>
                <w:sz w:val="21"/>
              </w:rPr>
              <w:t>分，满分</w:t>
            </w:r>
            <w:r>
              <w:rPr>
                <w:rFonts w:ascii="Calibri" w:hAnsi="宋体" w:eastAsia="宋体"/>
                <w:sz w:val="21"/>
              </w:rPr>
              <w:t>2</w:t>
            </w:r>
            <w:r>
              <w:rPr>
                <w:rFonts w:hint="eastAsia" w:ascii="Calibri" w:hAnsi="宋体" w:eastAsia="宋体"/>
                <w:sz w:val="21"/>
              </w:rPr>
              <w:t>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1</w:t>
            </w:r>
            <w:r>
              <w:rPr>
                <w:rFonts w:ascii="Calibri" w:hAnsi="宋体" w:eastAsia="宋体" w:cs="宋体"/>
                <w:bCs/>
                <w:sz w:val="21"/>
                <w:szCs w:val="21"/>
              </w:rPr>
              <w:t>0</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项目管理及人员配置：</w:t>
            </w:r>
          </w:p>
          <w:p>
            <w:pPr>
              <w:spacing w:line="360" w:lineRule="exact"/>
              <w:ind w:firstLine="420" w:firstLineChars="200"/>
              <w:jc w:val="both"/>
              <w:rPr>
                <w:rFonts w:ascii="Calibri" w:hAnsi="宋体" w:eastAsia="宋体"/>
                <w:sz w:val="21"/>
              </w:rPr>
            </w:pPr>
            <w:r>
              <w:rPr>
                <w:rFonts w:hint="eastAsia" w:ascii="Calibri" w:hAnsi="宋体" w:eastAsia="宋体"/>
                <w:sz w:val="21"/>
              </w:rPr>
              <w:t>1、提供项目团队及人员配置组织结构图，得</w:t>
            </w:r>
            <w:r>
              <w:rPr>
                <w:rFonts w:ascii="Calibri" w:hAnsi="宋体" w:eastAsia="宋体"/>
                <w:sz w:val="21"/>
              </w:rPr>
              <w:t>2</w:t>
            </w:r>
            <w:r>
              <w:rPr>
                <w:rFonts w:hint="eastAsia" w:ascii="Calibri" w:hAnsi="宋体" w:eastAsia="宋体"/>
                <w:sz w:val="21"/>
              </w:rPr>
              <w:t>分，未提供不得分。</w:t>
            </w:r>
          </w:p>
          <w:p>
            <w:pPr>
              <w:spacing w:line="360" w:lineRule="exact"/>
              <w:ind w:firstLine="420" w:firstLineChars="200"/>
              <w:jc w:val="both"/>
              <w:rPr>
                <w:rFonts w:ascii="Calibri" w:hAnsi="宋体" w:eastAsia="宋体"/>
                <w:sz w:val="21"/>
              </w:rPr>
            </w:pPr>
            <w:r>
              <w:rPr>
                <w:rFonts w:ascii="Calibri" w:hAnsi="宋体" w:eastAsia="宋体"/>
                <w:sz w:val="21"/>
              </w:rPr>
              <w:t>2、提供</w:t>
            </w:r>
            <w:r>
              <w:rPr>
                <w:rFonts w:hint="eastAsia" w:ascii="Calibri" w:hAnsi="宋体" w:eastAsia="宋体"/>
                <w:sz w:val="21"/>
              </w:rPr>
              <w:t>项目经理的《通信专业技术人员职业资格》或《计算机技术与软件专业技术资格》中信息系统项目管理师专业高级证书扫描件，得2分。</w:t>
            </w:r>
          </w:p>
          <w:p>
            <w:pPr>
              <w:spacing w:line="360" w:lineRule="exact"/>
              <w:ind w:firstLine="420" w:firstLineChars="200"/>
              <w:jc w:val="both"/>
              <w:rPr>
                <w:rFonts w:ascii="Calibri" w:hAnsi="宋体" w:eastAsia="宋体"/>
                <w:sz w:val="21"/>
              </w:rPr>
            </w:pPr>
            <w:r>
              <w:rPr>
                <w:rFonts w:ascii="Calibri" w:hAnsi="宋体" w:eastAsia="宋体"/>
                <w:sz w:val="21"/>
              </w:rPr>
              <w:t>3、</w:t>
            </w:r>
            <w:r>
              <w:rPr>
                <w:rFonts w:hint="eastAsia" w:ascii="Calibri" w:hAnsi="宋体" w:eastAsia="宋体"/>
                <w:sz w:val="21"/>
              </w:rPr>
              <w:t>项目团队人员（除项目经理外）资格证书（满分</w:t>
            </w:r>
            <w:r>
              <w:rPr>
                <w:rFonts w:ascii="Calibri" w:hAnsi="宋体" w:eastAsia="宋体"/>
                <w:sz w:val="21"/>
              </w:rPr>
              <w:t>6分</w:t>
            </w:r>
            <w:r>
              <w:rPr>
                <w:rFonts w:hint="eastAsia" w:ascii="Calibri" w:hAnsi="宋体" w:eastAsia="宋体"/>
                <w:sz w:val="21"/>
              </w:rPr>
              <w:t>）：</w:t>
            </w:r>
          </w:p>
          <w:p>
            <w:pPr>
              <w:spacing w:line="360" w:lineRule="exact"/>
              <w:ind w:firstLine="420" w:firstLineChars="200"/>
              <w:jc w:val="both"/>
              <w:rPr>
                <w:rFonts w:ascii="Calibri" w:hAnsi="宋体" w:eastAsia="宋体"/>
                <w:sz w:val="21"/>
              </w:rPr>
            </w:pPr>
            <w:r>
              <w:rPr>
                <w:rFonts w:hint="eastAsia" w:ascii="Calibri" w:hAnsi="宋体" w:eastAsia="宋体"/>
                <w:sz w:val="21"/>
              </w:rPr>
              <w:t>提供团队人员的《通信专业技术人员职业资格》或《计算机技术与软件专业技术资格》中网络工程师专业中级证书扫描件，每有1人得</w:t>
            </w:r>
            <w:r>
              <w:rPr>
                <w:rFonts w:ascii="Calibri" w:hAnsi="宋体" w:eastAsia="宋体"/>
                <w:sz w:val="21"/>
              </w:rPr>
              <w:t>2</w:t>
            </w:r>
            <w:r>
              <w:rPr>
                <w:rFonts w:hint="eastAsia" w:ascii="Calibri" w:hAnsi="宋体" w:eastAsia="宋体"/>
                <w:sz w:val="21"/>
              </w:rPr>
              <w:t>分，本项最高</w:t>
            </w:r>
            <w:r>
              <w:rPr>
                <w:rFonts w:ascii="Calibri" w:hAnsi="宋体" w:eastAsia="宋体"/>
                <w:sz w:val="21"/>
              </w:rPr>
              <w:t>6</w:t>
            </w:r>
            <w:r>
              <w:rPr>
                <w:rFonts w:hint="eastAsia" w:ascii="Calibri" w:hAnsi="宋体" w:eastAsia="宋体"/>
                <w:sz w:val="21"/>
              </w:rPr>
              <w:t>分。</w:t>
            </w:r>
          </w:p>
          <w:p>
            <w:pPr>
              <w:spacing w:line="360" w:lineRule="exact"/>
              <w:ind w:firstLine="420" w:firstLineChars="200"/>
              <w:jc w:val="both"/>
              <w:rPr>
                <w:rFonts w:ascii="Calibri" w:hAnsi="宋体" w:eastAsia="宋体"/>
                <w:sz w:val="21"/>
              </w:rPr>
            </w:pPr>
            <w:r>
              <w:rPr>
                <w:rFonts w:hint="eastAsia" w:ascii="Calibri" w:hAnsi="宋体" w:eastAsia="宋体"/>
                <w:b/>
                <w:sz w:val="21"/>
              </w:rPr>
              <w:t>注：</w:t>
            </w:r>
            <w:r>
              <w:rPr>
                <w:rFonts w:hint="eastAsia" w:ascii="Calibri" w:hAnsi="宋体" w:eastAsia="宋体"/>
                <w:sz w:val="21"/>
              </w:rPr>
              <w:t>同一人具备多个证书只按一个计算。</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8</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售后服务：</w:t>
            </w:r>
          </w:p>
          <w:p>
            <w:pPr>
              <w:spacing w:line="360" w:lineRule="exact"/>
              <w:ind w:firstLine="420" w:firstLineChars="200"/>
              <w:jc w:val="both"/>
              <w:rPr>
                <w:rFonts w:ascii="Calibri" w:hAnsi="宋体" w:eastAsia="宋体"/>
                <w:b/>
                <w:sz w:val="21"/>
              </w:rPr>
            </w:pPr>
            <w:r>
              <w:rPr>
                <w:rFonts w:hint="eastAsia" w:ascii="Calibri" w:hAnsi="宋体" w:eastAsia="宋体"/>
                <w:b/>
                <w:sz w:val="21"/>
              </w:rPr>
              <w:t>一、评审内容</w:t>
            </w:r>
          </w:p>
          <w:p>
            <w:pPr>
              <w:spacing w:line="360" w:lineRule="exact"/>
              <w:ind w:firstLine="420" w:firstLineChars="200"/>
              <w:jc w:val="both"/>
              <w:rPr>
                <w:rFonts w:ascii="Calibri" w:hAnsi="宋体" w:eastAsia="宋体"/>
                <w:sz w:val="21"/>
              </w:rPr>
            </w:pPr>
            <w:r>
              <w:rPr>
                <w:rFonts w:hint="eastAsia" w:ascii="Calibri" w:hAnsi="宋体" w:eastAsia="宋体"/>
                <w:sz w:val="21"/>
              </w:rPr>
              <w:t>提供售后服务方案，包括：①售后服务整体安排计划；②售后服务团队人员安排计划 （含具体人员安排、售后技术咨询服务等等）；③运维体系的建设；④即时响应服务的承诺函。</w:t>
            </w:r>
          </w:p>
          <w:p>
            <w:pPr>
              <w:spacing w:line="360" w:lineRule="exact"/>
              <w:ind w:firstLine="420" w:firstLineChars="200"/>
              <w:jc w:val="both"/>
              <w:rPr>
                <w:rFonts w:ascii="Calibri" w:hAnsi="宋体" w:eastAsia="宋体"/>
                <w:b/>
                <w:sz w:val="21"/>
              </w:rPr>
            </w:pPr>
            <w:r>
              <w:rPr>
                <w:rFonts w:hint="eastAsia" w:ascii="Calibri" w:hAnsi="宋体" w:eastAsia="宋体"/>
                <w:b/>
                <w:sz w:val="21"/>
              </w:rPr>
              <w:t>二、评审标准</w:t>
            </w:r>
          </w:p>
          <w:p>
            <w:pPr>
              <w:spacing w:line="360" w:lineRule="exact"/>
              <w:ind w:firstLine="420" w:firstLineChars="200"/>
              <w:jc w:val="both"/>
              <w:rPr>
                <w:rFonts w:ascii="Calibri" w:hAnsi="宋体" w:eastAsia="宋体"/>
                <w:sz w:val="21"/>
              </w:rPr>
            </w:pPr>
            <w:r>
              <w:rPr>
                <w:rFonts w:hint="eastAsia" w:ascii="Calibri" w:hAnsi="宋体" w:eastAsia="宋体"/>
                <w:sz w:val="21"/>
              </w:rPr>
              <w:t>①完整性：方案内容须全面详细，完整无缺漏；</w:t>
            </w:r>
          </w:p>
          <w:p>
            <w:pPr>
              <w:spacing w:line="360" w:lineRule="exact"/>
              <w:ind w:firstLine="420" w:firstLineChars="200"/>
              <w:jc w:val="both"/>
              <w:rPr>
                <w:rFonts w:ascii="Calibri" w:hAnsi="宋体" w:eastAsia="宋体"/>
                <w:sz w:val="21"/>
              </w:rPr>
            </w:pPr>
            <w:r>
              <w:rPr>
                <w:rFonts w:hint="eastAsia" w:ascii="Calibri" w:hAnsi="宋体" w:eastAsia="宋体"/>
                <w:sz w:val="21"/>
              </w:rPr>
              <w:t>②合理性：方案内容切合本项目实际情况，实施步骤清晰、合理；</w:t>
            </w:r>
          </w:p>
          <w:p>
            <w:pPr>
              <w:spacing w:line="360" w:lineRule="exact"/>
              <w:ind w:firstLine="420" w:firstLineChars="200"/>
              <w:jc w:val="both"/>
              <w:rPr>
                <w:rFonts w:ascii="Calibri" w:hAnsi="宋体" w:eastAsia="宋体"/>
                <w:sz w:val="21"/>
              </w:rPr>
            </w:pPr>
            <w:r>
              <w:rPr>
                <w:rFonts w:hint="eastAsia" w:ascii="Calibri" w:hAnsi="宋体" w:eastAsia="宋体"/>
                <w:sz w:val="21"/>
              </w:rPr>
              <w:t>③针对性：方案贴合项目实际需求，具有针对性；</w:t>
            </w:r>
          </w:p>
          <w:p>
            <w:pPr>
              <w:spacing w:line="360" w:lineRule="exact"/>
              <w:ind w:firstLine="420" w:firstLineChars="200"/>
              <w:jc w:val="both"/>
              <w:rPr>
                <w:rFonts w:ascii="Calibri" w:hAnsi="宋体" w:eastAsia="宋体"/>
                <w:sz w:val="21"/>
              </w:rPr>
            </w:pPr>
            <w:r>
              <w:rPr>
                <w:rFonts w:hint="eastAsia" w:ascii="Calibri" w:hAnsi="宋体" w:eastAsia="宋体"/>
                <w:sz w:val="21"/>
              </w:rPr>
              <w:t>④预期效果：能够有效保证项目实施质量、实施进度。</w:t>
            </w:r>
          </w:p>
          <w:p>
            <w:pPr>
              <w:spacing w:line="360" w:lineRule="exact"/>
              <w:ind w:firstLine="420" w:firstLineChars="200"/>
              <w:jc w:val="both"/>
              <w:rPr>
                <w:rFonts w:ascii="Calibri" w:hAnsi="宋体" w:eastAsia="宋体"/>
                <w:b/>
                <w:sz w:val="21"/>
              </w:rPr>
            </w:pPr>
            <w:r>
              <w:rPr>
                <w:rFonts w:hint="eastAsia" w:ascii="Calibri" w:hAnsi="宋体" w:eastAsia="宋体"/>
                <w:b/>
                <w:sz w:val="21"/>
              </w:rPr>
              <w:t>三、赋分标准（满分8分）</w:t>
            </w:r>
          </w:p>
          <w:p>
            <w:pPr>
              <w:spacing w:line="360" w:lineRule="exact"/>
              <w:ind w:firstLine="420" w:firstLineChars="200"/>
              <w:jc w:val="both"/>
              <w:rPr>
                <w:rFonts w:ascii="Calibri" w:hAnsi="宋体" w:eastAsia="宋体"/>
                <w:sz w:val="21"/>
              </w:rPr>
            </w:pPr>
            <w:r>
              <w:rPr>
                <w:rFonts w:hint="eastAsia" w:ascii="Calibri" w:hAnsi="宋体" w:eastAsia="宋体"/>
                <w:sz w:val="21"/>
              </w:rPr>
              <w:t>①售后服务整体安排计划：每满足一项评审标准得0.5分，满分2分；</w:t>
            </w:r>
          </w:p>
          <w:p>
            <w:pPr>
              <w:spacing w:line="360" w:lineRule="exact"/>
              <w:ind w:firstLine="420" w:firstLineChars="200"/>
              <w:jc w:val="both"/>
              <w:rPr>
                <w:rFonts w:ascii="Calibri" w:hAnsi="宋体" w:eastAsia="宋体"/>
                <w:sz w:val="21"/>
              </w:rPr>
            </w:pPr>
            <w:r>
              <w:rPr>
                <w:rFonts w:hint="eastAsia" w:ascii="Calibri" w:hAnsi="宋体" w:eastAsia="宋体"/>
                <w:sz w:val="21"/>
              </w:rPr>
              <w:t>②售后服务团队人员安排计划：每满足一项评审标准得0.5分，满分2分；</w:t>
            </w:r>
          </w:p>
          <w:p>
            <w:pPr>
              <w:spacing w:line="360" w:lineRule="exact"/>
              <w:ind w:firstLine="420" w:firstLineChars="200"/>
              <w:jc w:val="both"/>
              <w:rPr>
                <w:rFonts w:ascii="Calibri" w:hAnsi="宋体" w:eastAsia="宋体"/>
                <w:sz w:val="21"/>
              </w:rPr>
            </w:pPr>
            <w:r>
              <w:rPr>
                <w:rFonts w:hint="eastAsia" w:ascii="Calibri" w:hAnsi="宋体" w:eastAsia="宋体"/>
                <w:sz w:val="21"/>
              </w:rPr>
              <w:t>③运维体系的建设：每满足一项评审标准得0.5分，满分2分；</w:t>
            </w:r>
          </w:p>
          <w:p>
            <w:pPr>
              <w:spacing w:line="360" w:lineRule="exact"/>
              <w:ind w:firstLine="420" w:firstLineChars="200"/>
              <w:jc w:val="both"/>
              <w:rPr>
                <w:rFonts w:ascii="Calibri" w:hAnsi="宋体" w:eastAsia="宋体"/>
                <w:sz w:val="21"/>
              </w:rPr>
            </w:pPr>
            <w:r>
              <w:rPr>
                <w:rFonts w:hint="eastAsia" w:ascii="Calibri" w:hAnsi="宋体" w:eastAsia="宋体"/>
                <w:sz w:val="21"/>
              </w:rPr>
              <w:t>④即时响应服务的承诺函：提供加盖公章的承诺函（格式见第三章商务要求及其他：附件），得2分。</w:t>
            </w:r>
          </w:p>
          <w:p>
            <w:pPr>
              <w:spacing w:line="360" w:lineRule="exact"/>
              <w:ind w:firstLine="420" w:firstLineChars="200"/>
              <w:jc w:val="both"/>
              <w:rPr>
                <w:rFonts w:ascii="Calibri" w:hAnsi="宋体" w:eastAsia="宋体"/>
                <w:sz w:val="21"/>
              </w:rPr>
            </w:pPr>
            <w:r>
              <w:rPr>
                <w:rFonts w:ascii="Calibri" w:hAnsi="宋体" w:eastAsia="宋体"/>
                <w:b/>
                <w:sz w:val="21"/>
              </w:rPr>
              <w:t>注：</w:t>
            </w:r>
            <w:r>
              <w:rPr>
                <w:rFonts w:hint="eastAsia" w:ascii="Calibri" w:hAnsi="宋体" w:eastAsia="宋体"/>
                <w:sz w:val="21"/>
              </w:rPr>
              <w:t>未提供承诺函的，售后服务所有分项均不得分。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31" w:hRule="atLeast"/>
        </w:trPr>
        <w:tc>
          <w:tcPr>
            <w:tcW w:w="756" w:type="dxa"/>
            <w:vMerge w:val="continue"/>
            <w:shd w:val="clear" w:color="auto" w:fill="auto"/>
            <w:vAlign w:val="center"/>
          </w:tcPr>
          <w:p>
            <w:pPr>
              <w:spacing w:line="400" w:lineRule="exact"/>
              <w:jc w:val="center"/>
              <w:rPr>
                <w:rFonts w:ascii="Calibri" w:hAnsi="宋体" w:eastAsia="宋体" w:cs="宋体"/>
                <w:bCs/>
                <w:sz w:val="21"/>
                <w:szCs w:val="21"/>
              </w:rPr>
            </w:pPr>
          </w:p>
        </w:tc>
        <w:tc>
          <w:tcPr>
            <w:tcW w:w="640" w:type="dxa"/>
            <w:vMerge w:val="continue"/>
            <w:shd w:val="clear" w:color="auto" w:fill="auto"/>
            <w:vAlign w:val="center"/>
          </w:tcPr>
          <w:p>
            <w:pPr>
              <w:spacing w:line="400" w:lineRule="exact"/>
              <w:jc w:val="center"/>
              <w:rPr>
                <w:rFonts w:ascii="Calibri" w:hAnsi="宋体" w:eastAsia="宋体" w:cs="宋体"/>
                <w:bCs/>
                <w:sz w:val="21"/>
                <w:szCs w:val="21"/>
              </w:rPr>
            </w:pPr>
          </w:p>
        </w:tc>
        <w:tc>
          <w:tcPr>
            <w:tcW w:w="860" w:type="dxa"/>
            <w:shd w:val="clear" w:color="auto" w:fill="auto"/>
            <w:vAlign w:val="center"/>
          </w:tcPr>
          <w:p>
            <w:pPr>
              <w:spacing w:line="400" w:lineRule="exact"/>
              <w:jc w:val="center"/>
              <w:rPr>
                <w:rFonts w:ascii="Calibri" w:hAnsi="宋体" w:eastAsia="宋体" w:cs="宋体"/>
                <w:bCs/>
                <w:sz w:val="21"/>
                <w:szCs w:val="21"/>
              </w:rPr>
            </w:pPr>
            <w:r>
              <w:rPr>
                <w:rFonts w:hint="eastAsia" w:ascii="Calibri" w:hAnsi="宋体" w:eastAsia="宋体" w:cs="宋体"/>
                <w:bCs/>
                <w:sz w:val="21"/>
                <w:szCs w:val="21"/>
              </w:rPr>
              <w:t>5</w:t>
            </w:r>
          </w:p>
        </w:tc>
        <w:tc>
          <w:tcPr>
            <w:tcW w:w="5809" w:type="dxa"/>
            <w:shd w:val="clear" w:color="auto" w:fill="auto"/>
            <w:vAlign w:val="center"/>
          </w:tcPr>
          <w:p>
            <w:pPr>
              <w:tabs>
                <w:tab w:val="left" w:pos="547"/>
              </w:tabs>
              <w:spacing w:line="360" w:lineRule="exact"/>
              <w:jc w:val="both"/>
              <w:rPr>
                <w:rFonts w:ascii="Calibri" w:hAnsi="宋体" w:eastAsia="宋体" w:cs="宋体"/>
                <w:b/>
                <w:color w:val="C00000"/>
                <w:sz w:val="21"/>
                <w:szCs w:val="21"/>
              </w:rPr>
            </w:pPr>
            <w:r>
              <w:rPr>
                <w:rFonts w:hint="eastAsia" w:ascii="Calibri" w:hAnsi="宋体" w:eastAsia="宋体" w:cs="宋体"/>
                <w:b/>
                <w:color w:val="C00000"/>
                <w:sz w:val="21"/>
                <w:szCs w:val="21"/>
              </w:rPr>
              <w:t>业绩：</w:t>
            </w:r>
          </w:p>
          <w:p>
            <w:pPr>
              <w:spacing w:line="360" w:lineRule="exact"/>
              <w:ind w:firstLine="420" w:firstLineChars="200"/>
              <w:jc w:val="both"/>
              <w:rPr>
                <w:rFonts w:ascii="Calibri" w:hAnsi="宋体" w:eastAsia="宋体"/>
                <w:sz w:val="21"/>
              </w:rPr>
            </w:pPr>
            <w:r>
              <w:rPr>
                <w:rFonts w:hint="eastAsia" w:ascii="Calibri" w:hAnsi="宋体" w:eastAsia="宋体"/>
                <w:sz w:val="21"/>
              </w:rPr>
              <w:t>供应商提供202</w:t>
            </w:r>
            <w:r>
              <w:rPr>
                <w:rFonts w:ascii="Calibri" w:hAnsi="宋体" w:eastAsia="宋体"/>
                <w:sz w:val="21"/>
              </w:rPr>
              <w:t>3</w:t>
            </w:r>
            <w:r>
              <w:rPr>
                <w:rFonts w:hint="eastAsia" w:ascii="Calibri" w:hAnsi="宋体" w:eastAsia="宋体"/>
                <w:sz w:val="21"/>
              </w:rPr>
              <w:t>年1月1日以来的类似项目案例，每提供一份有效的业绩证明文件（合同关键页扫描件，至少包括首页、关键内容页及签署盖章页）得</w:t>
            </w:r>
            <w:r>
              <w:rPr>
                <w:rFonts w:ascii="Calibri" w:hAnsi="宋体" w:eastAsia="宋体"/>
                <w:sz w:val="21"/>
              </w:rPr>
              <w:t>1</w:t>
            </w:r>
            <w:r>
              <w:rPr>
                <w:rFonts w:hint="eastAsia" w:ascii="Calibri" w:hAnsi="宋体" w:eastAsia="宋体"/>
                <w:sz w:val="21"/>
              </w:rPr>
              <w:t>分，满分</w:t>
            </w:r>
            <w:r>
              <w:rPr>
                <w:rFonts w:ascii="Calibri" w:hAnsi="宋体" w:eastAsia="宋体"/>
                <w:sz w:val="21"/>
              </w:rPr>
              <w:t>5</w:t>
            </w:r>
            <w:r>
              <w:rPr>
                <w:rFonts w:hint="eastAsia" w:ascii="Calibri" w:hAnsi="宋体" w:eastAsia="宋体"/>
                <w:sz w:val="21"/>
              </w:rPr>
              <w:t>分。</w:t>
            </w:r>
          </w:p>
        </w:tc>
        <w:tc>
          <w:tcPr>
            <w:tcW w:w="1418" w:type="dxa"/>
            <w:vMerge w:val="continue"/>
            <w:shd w:val="clear" w:color="auto" w:fill="auto"/>
            <w:vAlign w:val="center"/>
          </w:tcPr>
          <w:p>
            <w:pPr>
              <w:spacing w:line="400" w:lineRule="exact"/>
              <w:jc w:val="center"/>
              <w:rPr>
                <w:rFonts w:ascii="Calibri" w:hAnsi="宋体" w:eastAsia="宋体" w:cs="宋体"/>
                <w:bCs/>
                <w:color w:val="FF000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56" w:type="dxa"/>
            <w:shd w:val="clear" w:color="auto" w:fill="auto"/>
            <w:vAlign w:val="center"/>
          </w:tcPr>
          <w:p>
            <w:pPr>
              <w:spacing w:line="400" w:lineRule="exact"/>
              <w:jc w:val="center"/>
              <w:rPr>
                <w:rFonts w:ascii="Calibri" w:hAnsi="宋体" w:eastAsia="宋体" w:cs="宋体"/>
                <w:bCs/>
                <w:sz w:val="21"/>
                <w:szCs w:val="21"/>
              </w:rPr>
            </w:pPr>
            <w:r>
              <w:rPr>
                <w:rFonts w:ascii="Calibri" w:hAnsi="宋体" w:eastAsia="宋体" w:cs="宋体"/>
                <w:bCs/>
                <w:sz w:val="21"/>
                <w:szCs w:val="21"/>
              </w:rPr>
              <w:t>说明</w:t>
            </w:r>
          </w:p>
        </w:tc>
        <w:tc>
          <w:tcPr>
            <w:tcW w:w="8727" w:type="dxa"/>
            <w:gridSpan w:val="4"/>
            <w:shd w:val="clear" w:color="auto" w:fill="auto"/>
            <w:vAlign w:val="center"/>
          </w:tcPr>
          <w:p>
            <w:pPr>
              <w:spacing w:line="400" w:lineRule="exact"/>
              <w:ind w:firstLine="420" w:firstLineChars="200"/>
              <w:jc w:val="both"/>
              <w:rPr>
                <w:rFonts w:ascii="Calibri" w:hAnsi="宋体" w:eastAsia="宋体" w:cs="宋体"/>
                <w:bCs/>
                <w:sz w:val="21"/>
                <w:szCs w:val="21"/>
              </w:rPr>
            </w:pPr>
            <w:r>
              <w:rPr>
                <w:rFonts w:hint="eastAsia" w:ascii="Calibri" w:hAnsi="宋体" w:eastAsia="宋体" w:cs="宋体"/>
                <w:bCs/>
                <w:sz w:val="21"/>
                <w:szCs w:val="21"/>
              </w:rPr>
              <w:t>1．评标委员会成员必须按照本评审要素据实打分，各类数字计算均按“四舍五入”保留小数点后两位。</w:t>
            </w:r>
          </w:p>
          <w:p>
            <w:pPr>
              <w:spacing w:line="400" w:lineRule="exact"/>
              <w:ind w:firstLine="420" w:firstLineChars="200"/>
              <w:jc w:val="both"/>
              <w:rPr>
                <w:rFonts w:ascii="Calibri" w:hAnsi="宋体" w:eastAsia="宋体" w:cs="宋体"/>
                <w:bCs/>
                <w:color w:val="FF0000"/>
                <w:sz w:val="21"/>
                <w:szCs w:val="21"/>
              </w:rPr>
            </w:pPr>
            <w:r>
              <w:rPr>
                <w:rFonts w:ascii="Calibri" w:hAnsi="宋体" w:eastAsia="宋体" w:cs="宋体"/>
                <w:bCs/>
                <w:sz w:val="21"/>
                <w:szCs w:val="21"/>
              </w:rPr>
              <w:t>2．价格评审优惠：</w:t>
            </w:r>
            <w:r>
              <w:rPr>
                <w:rFonts w:hint="eastAsia" w:ascii="Calibri" w:hAnsi="宋体" w:eastAsia="宋体" w:cs="宋体"/>
                <w:bCs/>
                <w:sz w:val="21"/>
                <w:szCs w:val="21"/>
              </w:rPr>
              <w:t>对符合政府采购优惠政策的小型和微型企业制造的货物、承接的服务的报价给予</w:t>
            </w:r>
            <w:r>
              <w:rPr>
                <w:rFonts w:hint="eastAsia" w:ascii="Calibri" w:hAnsi="宋体" w:eastAsia="宋体" w:cs="宋体"/>
                <w:bCs/>
                <w:sz w:val="21"/>
                <w:szCs w:val="21"/>
                <w:u w:val="single"/>
              </w:rPr>
              <w:t>10%</w:t>
            </w:r>
            <w:r>
              <w:rPr>
                <w:rFonts w:hint="eastAsia" w:ascii="Calibri" w:hAnsi="宋体" w:eastAsia="宋体" w:cs="宋体"/>
                <w:bCs/>
                <w:sz w:val="21"/>
                <w:szCs w:val="21"/>
              </w:rPr>
              <w:t>的扣除，用扣除后的价格参加评审。未提供中小企业声明函的不享受价格扣除优惠政策；供应商所供货物并非全部由小型或微型企业生产的，不享受价格扣除优惠政策。</w:t>
            </w:r>
          </w:p>
        </w:tc>
      </w:tr>
    </w:tbl>
    <w:p>
      <w:pPr>
        <w:pStyle w:val="81"/>
        <w:ind w:firstLine="482"/>
        <w:rPr>
          <w:b/>
        </w:rPr>
      </w:pPr>
      <w:r>
        <w:rPr>
          <w:b/>
        </w:rPr>
        <w:t>6</w:t>
      </w:r>
      <w:r>
        <w:rPr>
          <w:rFonts w:hint="eastAsia"/>
          <w:b/>
          <w:color w:val="auto"/>
        </w:rPr>
        <w:t>．</w:t>
      </w:r>
      <w:r>
        <w:rPr>
          <w:b/>
        </w:rPr>
        <w:t>推荐中标候选人</w:t>
      </w:r>
    </w:p>
    <w:p>
      <w:pPr>
        <w:pStyle w:val="81"/>
        <w:ind w:firstLine="480"/>
        <w:rPr>
          <w:rFonts w:hAnsi="华文仿宋"/>
        </w:rPr>
      </w:pPr>
      <w:r>
        <w:rPr>
          <w:rFonts w:hint="eastAsia" w:hAnsi="华文仿宋"/>
        </w:rPr>
        <w:t>（1）采用最低评标价法的，评标结果按投标报价由低到高顺序排列。投标报价相同的并列。投标文件满足招标文件全部实质性要求且投标报价最低的投标供应商为排名第一的中标候选人。</w:t>
      </w:r>
    </w:p>
    <w:p>
      <w:pPr>
        <w:pStyle w:val="81"/>
        <w:ind w:firstLine="480"/>
        <w:rPr>
          <w:rFonts w:hAnsi="华文仿宋"/>
        </w:rPr>
      </w:pPr>
      <w:r>
        <w:rPr>
          <w:rFonts w:hint="eastAsia" w:hAnsi="华文仿宋"/>
        </w:rPr>
        <w:t>（2）采用综合评分法的，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pPr>
        <w:pStyle w:val="81"/>
        <w:ind w:firstLine="480"/>
        <w:rPr>
          <w:rFonts w:hAnsi="华文仿宋"/>
        </w:rPr>
      </w:pPr>
      <w:r>
        <w:rPr>
          <w:rFonts w:ascii="宋体" w:hAnsi="宋体"/>
          <w:color w:val="C00000"/>
        </w:rPr>
        <w:t>（</w:t>
      </w:r>
      <w:r>
        <w:rPr>
          <w:rFonts w:hint="eastAsia" w:cs="Calibri"/>
          <w:color w:val="C00000"/>
        </w:rPr>
        <w:t>3</w:t>
      </w:r>
      <w:r>
        <w:rPr>
          <w:rFonts w:ascii="宋体" w:hAnsi="宋体"/>
          <w:color w:val="C00000"/>
        </w:rPr>
        <w:t>）</w:t>
      </w:r>
      <w:r>
        <w:rPr>
          <w:rFonts w:hint="eastAsia" w:ascii="宋体" w:hAnsi="宋体"/>
          <w:color w:val="C00000"/>
        </w:rPr>
        <w:t>本项目按照采购包二、四、五的顺序进行评审，评标委员会依据“只能中标一个采购包”的原则推荐中标候选人。对参与多个采购包投标的供应商，如供应商已经在一个采购包被推荐为排序第一中标候选人，则评审委员会在评审后续采购包时，不再继续授予该供应商为后续采购包的中标候选人资格。</w:t>
      </w:r>
    </w:p>
    <w:p>
      <w:pPr>
        <w:pStyle w:val="81"/>
        <w:ind w:firstLine="482"/>
        <w:rPr>
          <w:b/>
        </w:rPr>
      </w:pPr>
      <w:r>
        <w:rPr>
          <w:b/>
        </w:rPr>
        <w:t>7</w:t>
      </w:r>
      <w:r>
        <w:rPr>
          <w:rFonts w:hint="eastAsia"/>
          <w:b/>
          <w:color w:val="auto"/>
        </w:rPr>
        <w:t>．</w:t>
      </w:r>
      <w:r>
        <w:rPr>
          <w:b/>
        </w:rPr>
        <w:t>编写评审报告</w:t>
      </w:r>
    </w:p>
    <w:p>
      <w:pPr>
        <w:pStyle w:val="81"/>
        <w:ind w:firstLine="480"/>
        <w:rPr>
          <w:rFonts w:hAnsi="华文仿宋"/>
        </w:rPr>
      </w:pPr>
      <w:r>
        <w:rPr>
          <w:rFonts w:hint="eastAsia" w:hAnsi="华文仿宋"/>
        </w:rPr>
        <w:t>评审报告是评标委员会根据全体评标成员签字的原始评标记录和评标结果编写的报告。</w:t>
      </w:r>
    </w:p>
    <w:p>
      <w:pPr>
        <w:pStyle w:val="81"/>
        <w:ind w:firstLine="480"/>
        <w:rPr>
          <w:rFonts w:hAnsi="华文仿宋"/>
        </w:rPr>
      </w:pPr>
      <w:r>
        <w:rPr>
          <w:rFonts w:hint="eastAsia" w:hAnsi="华文仿宋"/>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pStyle w:val="4"/>
        <w:ind w:firstLine="482"/>
      </w:pPr>
      <w:r>
        <w:t>（四）</w:t>
      </w:r>
      <w:r>
        <w:rPr>
          <w:rFonts w:hint="eastAsia"/>
        </w:rPr>
        <w:t>评标争议处理规则</w:t>
      </w:r>
    </w:p>
    <w:p>
      <w:pPr>
        <w:pStyle w:val="81"/>
        <w:ind w:firstLine="480"/>
      </w:pPr>
      <w:r>
        <w:rPr>
          <w:rFonts w:hint="eastAsia"/>
        </w:rPr>
        <w:t>评标委员会在评审过程中，对于符合性审查、对投标文件做无效投标处理及其他需要共同认定的事项存在争议的，应当以少数服从多数的原则做出结论，但不得违背法律法规和招标文件规定。持不同意见的评标委员会成员应当在评标报告上签署不同意见及理由，否则视为同意评标报告。持不同意见的评标委员会成员认为认定过程和结果不符合法律法规或者招标文件规定的，应当及时向采购人或本采购代理机构书面反映。采购人或采购代理机构收到书面反映后，应当书面报告同级政府采购监管部门依法处理。</w:t>
      </w:r>
    </w:p>
    <w:p>
      <w:pPr>
        <w:pStyle w:val="4"/>
        <w:ind w:firstLine="482"/>
      </w:pPr>
      <w:r>
        <w:t>（五）评审现场人员的保密责任</w:t>
      </w:r>
    </w:p>
    <w:p>
      <w:pPr>
        <w:pStyle w:val="81"/>
        <w:ind w:firstLine="480"/>
      </w:pPr>
      <w:r>
        <w:t>在采购结果确定前，采购人、采购代理机构对评审委员会名单负有保密责任。评审委员会成员、采购人和集中采购代理机构工作人员、相关监督人员等与评审工作有关的人员，对评审情况以及在评审过程中获悉的国家秘密、商业秘密负有保密责任。</w:t>
      </w:r>
    </w:p>
    <w:p>
      <w:pPr>
        <w:pStyle w:val="4"/>
        <w:ind w:firstLine="482"/>
      </w:pPr>
      <w:r>
        <w:t>（六）出现下列情形时，视同供应商串通投标，其投标无效：</w:t>
      </w:r>
    </w:p>
    <w:p>
      <w:pPr>
        <w:pStyle w:val="81"/>
        <w:ind w:firstLine="480"/>
      </w:pPr>
      <w:r>
        <w:t>1</w:t>
      </w:r>
      <w:r>
        <w:rPr>
          <w:rFonts w:hint="eastAsia"/>
          <w:color w:val="auto"/>
        </w:rPr>
        <w:t>．</w:t>
      </w:r>
      <w:r>
        <w:t>不同供应商的投标文件由同一单位或者个人编制；</w:t>
      </w:r>
    </w:p>
    <w:p>
      <w:pPr>
        <w:pStyle w:val="81"/>
        <w:ind w:firstLine="480"/>
      </w:pPr>
      <w:r>
        <w:t>2</w:t>
      </w:r>
      <w:r>
        <w:rPr>
          <w:rFonts w:hint="eastAsia"/>
          <w:color w:val="auto"/>
        </w:rPr>
        <w:t>．</w:t>
      </w:r>
      <w:r>
        <w:t>不同供应商委托同一单位或者个人办理投标事宜；</w:t>
      </w:r>
    </w:p>
    <w:p>
      <w:pPr>
        <w:pStyle w:val="81"/>
        <w:ind w:firstLine="480"/>
      </w:pPr>
      <w:r>
        <w:t>3</w:t>
      </w:r>
      <w:r>
        <w:rPr>
          <w:rFonts w:hint="eastAsia"/>
          <w:color w:val="auto"/>
        </w:rPr>
        <w:t>．</w:t>
      </w:r>
      <w:r>
        <w:t>不同供应商的投标文件载明的项目管理成员或者联系人员为同一人；</w:t>
      </w:r>
    </w:p>
    <w:p>
      <w:pPr>
        <w:pStyle w:val="81"/>
        <w:ind w:firstLine="480"/>
        <w:rPr>
          <w:strike/>
        </w:rPr>
      </w:pPr>
      <w:r>
        <w:t>4</w:t>
      </w:r>
      <w:r>
        <w:rPr>
          <w:rFonts w:hint="eastAsia"/>
          <w:color w:val="auto"/>
        </w:rPr>
        <w:t>．</w:t>
      </w:r>
      <w:r>
        <w:t>不同供应商的投标文件异常一致或者投标报价呈规律性差异。</w:t>
      </w:r>
    </w:p>
    <w:p>
      <w:pPr>
        <w:pStyle w:val="3"/>
      </w:pPr>
      <w:r>
        <w:t>八、中标</w:t>
      </w:r>
    </w:p>
    <w:p>
      <w:pPr>
        <w:pStyle w:val="81"/>
        <w:ind w:firstLine="480"/>
      </w:pPr>
      <w:r>
        <w:rPr>
          <w:rFonts w:hint="eastAsia"/>
        </w:rPr>
        <w:t>1</w:t>
      </w:r>
      <w:r>
        <w:rPr>
          <w:rFonts w:hint="eastAsia"/>
          <w:color w:val="auto"/>
        </w:rPr>
        <w:t>．</w:t>
      </w:r>
      <w:r>
        <w:t>采购代理机构在评标工作结束后2个工作日内将评审报告送采购人。</w:t>
      </w:r>
    </w:p>
    <w:p>
      <w:pPr>
        <w:pStyle w:val="81"/>
        <w:ind w:firstLine="480"/>
      </w:pPr>
      <w:r>
        <w:rPr>
          <w:rFonts w:hint="eastAsia"/>
        </w:rPr>
        <w:t>2</w:t>
      </w:r>
      <w:r>
        <w:rPr>
          <w:rFonts w:hint="eastAsia"/>
          <w:color w:val="auto"/>
        </w:rPr>
        <w:t>．</w:t>
      </w:r>
      <w:r>
        <w:rPr>
          <w:rFonts w:hint="eastAsia"/>
        </w:rPr>
        <w:t>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采购人在收到评标报告5个工作日内未按评标报告推荐的中标候选人顺序确定中标人，又不能说明合法理由的，视同按评标报告推荐的顺序确定排名第一的中标候选人为中标人。</w:t>
      </w:r>
    </w:p>
    <w:p>
      <w:pPr>
        <w:pStyle w:val="81"/>
        <w:ind w:firstLine="480"/>
      </w:pPr>
      <w:r>
        <w:rPr>
          <w:rFonts w:hint="eastAsia"/>
        </w:rPr>
        <w:t>3</w:t>
      </w:r>
      <w:r>
        <w:rPr>
          <w:rFonts w:hint="eastAsia"/>
          <w:color w:val="auto"/>
        </w:rPr>
        <w:t>．</w:t>
      </w:r>
      <w:r>
        <w:t>采购代理机构将在中标供应商确定之日起2个工作日内，在【</w:t>
      </w:r>
      <w:r>
        <w:rPr>
          <w:color w:val="7030A0"/>
        </w:rPr>
        <w:t>陕西省政府采购网</w:t>
      </w:r>
      <w:r>
        <w:rPr>
          <w:rStyle w:val="31"/>
          <w:color w:val="auto"/>
        </w:rPr>
        <w:t>】</w:t>
      </w:r>
      <w:r>
        <w:t>（</w:t>
      </w:r>
      <w:r>
        <w:fldChar w:fldCharType="begin"/>
      </w:r>
      <w:r>
        <w:instrText xml:space="preserve"> HYPERLINK "http://www.ccgp-shaanxi.gov.cn/" </w:instrText>
      </w:r>
      <w:r>
        <w:fldChar w:fldCharType="separate"/>
      </w:r>
      <w:r>
        <w:rPr>
          <w:rStyle w:val="31"/>
          <w:color w:val="0070C0"/>
        </w:rPr>
        <w:t>http://www.ccgp-shaanxi.gov.cn</w:t>
      </w:r>
      <w:r>
        <w:rPr>
          <w:rStyle w:val="31"/>
          <w:rFonts w:hint="eastAsia"/>
          <w:color w:val="0070C0"/>
        </w:rPr>
        <w:t>/</w:t>
      </w:r>
      <w:r>
        <w:rPr>
          <w:rStyle w:val="31"/>
          <w:rFonts w:hint="eastAsia"/>
          <w:color w:val="0070C0"/>
        </w:rPr>
        <w:fldChar w:fldCharType="end"/>
      </w:r>
      <w:r>
        <w:t>）上公布中标结果。中标公告期限为1个工作日。</w:t>
      </w:r>
    </w:p>
    <w:p>
      <w:pPr>
        <w:pStyle w:val="81"/>
        <w:ind w:firstLine="480"/>
      </w:pPr>
      <w:r>
        <w:rPr>
          <w:rFonts w:hint="eastAsia"/>
        </w:rPr>
        <w:t>4</w:t>
      </w:r>
      <w:r>
        <w:rPr>
          <w:rFonts w:hint="eastAsia"/>
          <w:color w:val="auto"/>
        </w:rPr>
        <w:t>．</w:t>
      </w:r>
      <w:r>
        <w:rPr>
          <w:rFonts w:hint="eastAsia"/>
        </w:rPr>
        <w:t>在公告中标结果的同时，采购代理机构将向中标供应商发出《中标通知书》，</w:t>
      </w:r>
      <w:r>
        <w:rPr>
          <w:rFonts w:hint="eastAsia"/>
          <w:color w:val="C00000"/>
        </w:rPr>
        <w:t>中标供应商在领取中标通知书时提供一正两副纸质投标文件用于备案</w:t>
      </w:r>
      <w:r>
        <w:rPr>
          <w:rFonts w:hint="eastAsia"/>
        </w:rPr>
        <w:t>。</w:t>
      </w:r>
    </w:p>
    <w:p>
      <w:pPr>
        <w:pStyle w:val="81"/>
        <w:ind w:firstLine="480"/>
      </w:pPr>
      <w:r>
        <w:rPr>
          <w:rFonts w:hint="eastAsia"/>
        </w:rPr>
        <w:t>5</w:t>
      </w:r>
      <w:r>
        <w:rPr>
          <w:rFonts w:hint="eastAsia"/>
          <w:color w:val="auto"/>
        </w:rPr>
        <w:t>．</w:t>
      </w:r>
      <w:r>
        <w:rPr>
          <w:rFonts w:hint="eastAsia"/>
        </w:rPr>
        <w:t>采用综合评分法评审的，供应商可登录【</w:t>
      </w:r>
      <w:r>
        <w:rPr>
          <w:rFonts w:hint="eastAsia"/>
          <w:color w:val="7030A0"/>
        </w:rPr>
        <w:t>全国公共资源交易中心（陕西省</w:t>
      </w:r>
      <w:r>
        <w:rPr>
          <w:color w:val="7030A0"/>
        </w:rPr>
        <w:t>·</w:t>
      </w:r>
      <w:r>
        <w:rPr>
          <w:rFonts w:hint="eastAsia"/>
          <w:color w:val="7030A0"/>
        </w:rPr>
        <w:t>西安市）</w:t>
      </w:r>
      <w:r>
        <w:rPr>
          <w:rFonts w:hint="eastAsia"/>
        </w:rPr>
        <w:t>】网站〖首页</w:t>
      </w:r>
      <w:r>
        <w:t>·</w:t>
      </w:r>
      <w:r>
        <w:rPr>
          <w:rFonts w:hint="eastAsia"/>
        </w:rPr>
        <w:t>〉电子交易平台</w:t>
      </w:r>
      <w:r>
        <w:t>·</w:t>
      </w:r>
      <w:r>
        <w:rPr>
          <w:rFonts w:eastAsiaTheme="majorEastAsia"/>
        </w:rPr>
        <w:t>〉</w:t>
      </w:r>
      <w:r>
        <w:rPr>
          <w:rFonts w:hint="eastAsia"/>
        </w:rPr>
        <w:t>企业端〗，登录后切换到〖我的项目〗模块，依次点选〖项目流程</w:t>
      </w:r>
      <w:r>
        <w:t>·</w:t>
      </w:r>
      <w:r>
        <w:rPr>
          <w:rFonts w:eastAsiaTheme="majorEastAsia"/>
        </w:rPr>
        <w:t>〉</w:t>
      </w:r>
      <w:r>
        <w:rPr>
          <w:rFonts w:hint="eastAsia"/>
        </w:rPr>
        <w:t>项目管理</w:t>
      </w:r>
      <w:r>
        <w:t>·</w:t>
      </w:r>
      <w:r>
        <w:rPr>
          <w:rFonts w:hint="eastAsia"/>
        </w:rPr>
        <w:t>〉评标结果查看〗，查看本单位的最终得分与排序。</w:t>
      </w:r>
    </w:p>
    <w:p>
      <w:pPr>
        <w:pStyle w:val="81"/>
        <w:ind w:firstLine="480"/>
      </w:pPr>
      <w:r>
        <w:rPr>
          <w:rFonts w:hint="eastAsia"/>
        </w:rPr>
        <w:t>6</w:t>
      </w:r>
      <w:r>
        <w:rPr>
          <w:rFonts w:hint="eastAsia"/>
          <w:color w:val="auto"/>
        </w:rPr>
        <w:t>．</w:t>
      </w:r>
      <w:r>
        <w:rPr>
          <w:rFonts w:hint="eastAsia"/>
        </w:rPr>
        <w:t>采购代理机构按照相关规定将评审报告送同级政府采购监管部门备案。</w:t>
      </w:r>
    </w:p>
    <w:p>
      <w:pPr>
        <w:pStyle w:val="3"/>
      </w:pPr>
      <w:r>
        <w:t>九、合同签订、履行及验收</w:t>
      </w:r>
    </w:p>
    <w:p>
      <w:pPr>
        <w:pStyle w:val="81"/>
        <w:ind w:firstLine="480"/>
      </w:pPr>
      <w:r>
        <w:t>招标文件、投标文件、澄清、补充合同等为政府采购合同的组成部分，具有同等法律效力。</w:t>
      </w:r>
    </w:p>
    <w:p>
      <w:pPr>
        <w:pStyle w:val="4"/>
        <w:ind w:firstLine="482"/>
      </w:pPr>
      <w:r>
        <w:t>（一）签订政府采购合同</w:t>
      </w:r>
    </w:p>
    <w:p>
      <w:pPr>
        <w:pStyle w:val="81"/>
        <w:ind w:firstLine="480"/>
      </w:pPr>
      <w:r>
        <w:rPr>
          <w:rFonts w:hint="eastAsia"/>
        </w:rPr>
        <w:t>1</w:t>
      </w:r>
      <w:r>
        <w:rPr>
          <w:rFonts w:hint="eastAsia"/>
          <w:color w:val="auto"/>
        </w:rPr>
        <w:t>．</w:t>
      </w:r>
      <w:r>
        <w:t>自中标通知书发出之日起25日内，采购人与中标供应商应按招标文件和中标供应商投标文件的约定，签订书面合同。</w:t>
      </w:r>
    </w:p>
    <w:p>
      <w:pPr>
        <w:pStyle w:val="81"/>
        <w:ind w:firstLine="480"/>
      </w:pPr>
      <w:r>
        <w:rPr>
          <w:rFonts w:hint="eastAsia"/>
        </w:rPr>
        <w:t>2</w:t>
      </w:r>
      <w:r>
        <w:rPr>
          <w:rFonts w:hint="eastAsia"/>
          <w:color w:val="auto"/>
        </w:rPr>
        <w:t>．</w:t>
      </w:r>
      <w:r>
        <w:t>中标供应商拒绝与采购人签订合同的，采购人可以按照《政府采购法实施条例》第四十九条规定，确定下一候选人为中标供应商，也可以重新开展政府采购活动。</w:t>
      </w:r>
    </w:p>
    <w:p>
      <w:pPr>
        <w:pStyle w:val="81"/>
        <w:ind w:firstLine="480"/>
      </w:pPr>
      <w:r>
        <w:rPr>
          <w:rFonts w:hint="eastAsia"/>
        </w:rPr>
        <w:t>3</w:t>
      </w:r>
      <w:r>
        <w:rPr>
          <w:rFonts w:hint="eastAsia"/>
          <w:color w:val="auto"/>
        </w:rPr>
        <w:t>．</w:t>
      </w:r>
      <w:r>
        <w:rPr>
          <w:rFonts w:hint="eastAsia"/>
        </w:rPr>
        <w:t>采购人不得向中标供应商提出任何不合理的要求，作为签订合同的条件，不得与中标供应商私下订立背离合同实质性内容的任何协议，所签订的合同不得对招标文件和中标供应商投标文件作实质性修改。</w:t>
      </w:r>
    </w:p>
    <w:p>
      <w:pPr>
        <w:pStyle w:val="81"/>
        <w:ind w:firstLine="480"/>
      </w:pPr>
      <w:r>
        <w:rPr>
          <w:rFonts w:hint="eastAsia"/>
        </w:rPr>
        <w:t>4</w:t>
      </w:r>
      <w:r>
        <w:rPr>
          <w:rFonts w:hint="eastAsia"/>
          <w:color w:val="auto"/>
        </w:rPr>
        <w:t>．</w:t>
      </w:r>
      <w:r>
        <w:rPr>
          <w:rFonts w:hint="eastAsia"/>
        </w:rPr>
        <w:t>质疑或者投诉事项可能影响中标结果的，采购人应当暂停签订合同，已经签订合同的，应当中止履行合同。</w:t>
      </w:r>
    </w:p>
    <w:p>
      <w:pPr>
        <w:pStyle w:val="4"/>
        <w:ind w:firstLine="482"/>
      </w:pPr>
      <w:r>
        <w:t>（二）合同公示</w:t>
      </w:r>
    </w:p>
    <w:p>
      <w:pPr>
        <w:pStyle w:val="81"/>
        <w:ind w:firstLine="480"/>
      </w:pPr>
      <w:r>
        <w:rPr>
          <w:rFonts w:hint="eastAsia"/>
        </w:rPr>
        <w:t>采购人应当自政府采购合同签订之日起2个工作日内，在【陕西省政府采购网】（</w:t>
      </w:r>
      <w:r>
        <w:fldChar w:fldCharType="begin"/>
      </w:r>
      <w:r>
        <w:instrText xml:space="preserve"> HYPERLINK "http://www.ccgp-shaanxi.gov.cn/" </w:instrText>
      </w:r>
      <w:r>
        <w:fldChar w:fldCharType="separate"/>
      </w:r>
      <w:r>
        <w:rPr>
          <w:rStyle w:val="31"/>
        </w:rPr>
        <w:t>http://www.ccgp-shaanxi.gov.cn/</w:t>
      </w:r>
      <w:r>
        <w:rPr>
          <w:rStyle w:val="31"/>
        </w:rPr>
        <w:fldChar w:fldCharType="end"/>
      </w:r>
      <w:r>
        <w:rPr>
          <w:rFonts w:hint="eastAsia"/>
        </w:rPr>
        <w:t>）对合同进行公示，但政府采购合同中涉及国家秘密、商业秘密的内容除外。</w:t>
      </w:r>
    </w:p>
    <w:p>
      <w:pPr>
        <w:pStyle w:val="4"/>
        <w:ind w:firstLine="482"/>
      </w:pPr>
      <w:r>
        <w:t>（三）合同履行</w:t>
      </w:r>
    </w:p>
    <w:p>
      <w:pPr>
        <w:pStyle w:val="81"/>
        <w:ind w:firstLine="480"/>
      </w:pPr>
      <w:r>
        <w:rPr>
          <w:rFonts w:hint="eastAsia"/>
        </w:rPr>
        <w:t>1</w:t>
      </w:r>
      <w:r>
        <w:rPr>
          <w:rFonts w:hint="eastAsia"/>
          <w:color w:val="auto"/>
        </w:rPr>
        <w:t>．</w:t>
      </w:r>
      <w:r>
        <w:rPr>
          <w:rFonts w:hint="eastAsia"/>
        </w:rPr>
        <w:t>合同一经签订，双方应严格履行合同规定的义务。</w:t>
      </w:r>
    </w:p>
    <w:p>
      <w:pPr>
        <w:pStyle w:val="81"/>
        <w:ind w:firstLine="480"/>
      </w:pPr>
      <w:r>
        <w:rPr>
          <w:rFonts w:hint="eastAsia"/>
        </w:rPr>
        <w:t>2</w:t>
      </w:r>
      <w:r>
        <w:rPr>
          <w:rFonts w:hint="eastAsia"/>
          <w:color w:val="auto"/>
        </w:rPr>
        <w:t>．</w:t>
      </w:r>
      <w:r>
        <w:rPr>
          <w:rFonts w:hint="eastAsia"/>
        </w:rPr>
        <w:t>在合同履行过程中，如发生合同纠纷，合同双方应按照《中华人民共和国民法典》及合同条款的有关规定进行处理。</w:t>
      </w:r>
    </w:p>
    <w:p>
      <w:pPr>
        <w:pStyle w:val="4"/>
        <w:ind w:firstLine="482"/>
      </w:pPr>
      <w:r>
        <w:t>（四）验收或考核</w:t>
      </w:r>
    </w:p>
    <w:p>
      <w:pPr>
        <w:pStyle w:val="81"/>
        <w:ind w:firstLine="480"/>
      </w:pPr>
      <w:r>
        <w:rPr>
          <w:rFonts w:hint="eastAsia"/>
        </w:rPr>
        <w:t>1</w:t>
      </w:r>
      <w:r>
        <w:rPr>
          <w:rFonts w:hint="eastAsia"/>
          <w:color w:val="auto"/>
        </w:rPr>
        <w:t>．</w:t>
      </w:r>
      <w:r>
        <w:rPr>
          <w:rFonts w:hint="eastAsia"/>
        </w:rPr>
        <w:t>采购人严格按照国家相关法律法规的要求及招标文件的要求组织验收或考核。</w:t>
      </w:r>
    </w:p>
    <w:p>
      <w:pPr>
        <w:pStyle w:val="81"/>
        <w:ind w:firstLine="480"/>
      </w:pPr>
      <w:r>
        <w:rPr>
          <w:rFonts w:hint="eastAsia"/>
        </w:rPr>
        <w:t>2</w:t>
      </w:r>
      <w:r>
        <w:rPr>
          <w:rFonts w:hint="eastAsia"/>
          <w:color w:val="auto"/>
        </w:rPr>
        <w:t>．</w:t>
      </w:r>
      <w:r>
        <w:rPr>
          <w:rFonts w:hint="eastAsia"/>
        </w:rPr>
        <w:t>采购人按《关于促进政府采购公平竞争优化营商环境的通知》（财库〔2019〕38号）、《保障中小企业款项支付条例》（国务院令第</w:t>
      </w:r>
      <w:r>
        <w:t>802</w:t>
      </w:r>
      <w:r>
        <w:rPr>
          <w:rFonts w:hint="eastAsia"/>
        </w:rPr>
        <w:t>号）等规定及采购合同的约定支付合同款项。</w:t>
      </w:r>
    </w:p>
    <w:p>
      <w:pPr>
        <w:pStyle w:val="3"/>
      </w:pPr>
      <w:r>
        <w:t>十、其他</w:t>
      </w:r>
    </w:p>
    <w:p>
      <w:pPr>
        <w:pStyle w:val="81"/>
        <w:ind w:firstLine="480"/>
      </w:pPr>
      <w:r>
        <w:rPr>
          <w:rFonts w:hint="eastAsia"/>
        </w:rPr>
        <w:t>1</w:t>
      </w:r>
      <w:r>
        <w:rPr>
          <w:rFonts w:hint="eastAsia"/>
          <w:color w:val="auto"/>
        </w:rPr>
        <w:t>．</w:t>
      </w:r>
      <w:r>
        <w:rPr>
          <w:rFonts w:hint="eastAsia"/>
        </w:rPr>
        <w:t>除</w:t>
      </w:r>
      <w:r>
        <w:rPr>
          <w:rFonts w:hint="eastAsia"/>
          <w:color w:val="auto"/>
        </w:rPr>
        <w:t>分值汇总计算错误、分项评分超出评分标准范围、客观分评分不一致、经评标委员会一致认定评分畸高、畸低</w:t>
      </w:r>
      <w:r>
        <w:rPr>
          <w:rFonts w:hint="eastAsia"/>
        </w:rPr>
        <w:t>的情形外，采购人或者采购代理机构不得以任何理由组织重新评审。采购人、采购代理机构发现评审委员会未按照招标文件规定的评审标准进行评审的，应当重新开展采购活动，并同时书面报告本级财政部门。</w:t>
      </w:r>
    </w:p>
    <w:p>
      <w:pPr>
        <w:pStyle w:val="81"/>
        <w:ind w:firstLine="480"/>
        <w:rPr>
          <w:color w:val="auto"/>
        </w:rPr>
      </w:pPr>
      <w:r>
        <w:rPr>
          <w:rFonts w:hint="eastAsia"/>
        </w:rPr>
        <w:t>2</w:t>
      </w:r>
      <w:r>
        <w:rPr>
          <w:rFonts w:hint="eastAsia"/>
          <w:color w:val="auto"/>
        </w:rPr>
        <w:t>．</w:t>
      </w:r>
      <w: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pStyle w:val="81"/>
        <w:ind w:firstLine="480"/>
      </w:pPr>
      <w:r>
        <w:t>3</w:t>
      </w:r>
      <w:r>
        <w:rPr>
          <w:rFonts w:hint="eastAsia"/>
          <w:color w:val="auto"/>
        </w:rPr>
        <w:t>．</w:t>
      </w:r>
      <w:r>
        <w:t>根据《政府采购法》第三十六条规定，在招标采购中，出现下列情形之一的，本项目按废标处理：</w:t>
      </w:r>
    </w:p>
    <w:p>
      <w:pPr>
        <w:pStyle w:val="81"/>
        <w:ind w:firstLine="480"/>
      </w:pPr>
      <w:r>
        <w:t>（</w:t>
      </w:r>
      <w:r>
        <w:rPr>
          <w:rFonts w:hint="eastAsia"/>
        </w:rPr>
        <w:t>1</w:t>
      </w:r>
      <w:r>
        <w:t>）出现影响采购公正的违法、违规行为的；</w:t>
      </w:r>
    </w:p>
    <w:p>
      <w:pPr>
        <w:pStyle w:val="81"/>
        <w:ind w:firstLine="480"/>
      </w:pPr>
      <w:r>
        <w:t>（</w:t>
      </w:r>
      <w:r>
        <w:rPr>
          <w:rFonts w:hint="eastAsia"/>
        </w:rPr>
        <w:t>2</w:t>
      </w:r>
      <w:r>
        <w:t>）供应商的报价均超过了采购预算，采购人不能支付的；</w:t>
      </w:r>
    </w:p>
    <w:p>
      <w:pPr>
        <w:pStyle w:val="81"/>
        <w:ind w:firstLine="480"/>
      </w:pPr>
      <w:r>
        <w:t>（</w:t>
      </w:r>
      <w:r>
        <w:rPr>
          <w:rFonts w:hint="eastAsia"/>
        </w:rPr>
        <w:t>3</w:t>
      </w:r>
      <w:r>
        <w:t>）因重大变故，采购任务取消的。</w:t>
      </w:r>
    </w:p>
    <w:p>
      <w:pPr>
        <w:pStyle w:val="81"/>
        <w:ind w:firstLine="480"/>
      </w:pPr>
      <w:r>
        <w:t>废标后，除采购任务取消外，本项目将重新组织招标。</w:t>
      </w:r>
    </w:p>
    <w:p>
      <w:pPr>
        <w:pStyle w:val="81"/>
        <w:ind w:firstLine="480"/>
      </w:pPr>
      <w:r>
        <w:t>4</w:t>
      </w:r>
      <w:r>
        <w:rPr>
          <w:rFonts w:hint="eastAsia"/>
          <w:color w:val="auto"/>
        </w:rPr>
        <w:t>．</w:t>
      </w:r>
      <w:r>
        <w:rPr>
          <w:rFonts w:hint="eastAsia"/>
        </w:rPr>
        <w:t>在采购活动中因重大变故，采购任务取消的，采购人或者采购代理机构应当终止采购活动，通知所有参加采购活动的供应商，并将项目实施情况和采购任务取消原因报送本级财政部门。</w:t>
      </w:r>
    </w:p>
    <w:p>
      <w:pPr>
        <w:pStyle w:val="81"/>
        <w:ind w:firstLine="480"/>
      </w:pPr>
      <w:r>
        <w:t>5</w:t>
      </w:r>
      <w:r>
        <w:rPr>
          <w:rFonts w:hint="eastAsia"/>
        </w:rPr>
        <w:t>．</w:t>
      </w:r>
      <w:r>
        <w:rPr>
          <w:rFonts w:hint="eastAsia"/>
          <w:color w:val="auto"/>
        </w:rPr>
        <w:t>重新组织招标过程中</w:t>
      </w:r>
      <w:r>
        <w:t>，当再次出现有效供应商不足3家时，本项目将依据西安市财政局《关于进一步规范市级预算单位变更政府采购方式审批管理的通知》（市财发〔2017〕186号）的有关规定，按政府采购监管部门事前批准的采购方式继续进行。</w:t>
      </w:r>
    </w:p>
    <w:p>
      <w:pPr>
        <w:pStyle w:val="81"/>
        <w:ind w:firstLine="480"/>
        <w:sectPr>
          <w:footerReference r:id="rId13" w:type="default"/>
          <w:footerReference r:id="rId14" w:type="even"/>
          <w:pgSz w:w="11906" w:h="16838"/>
          <w:pgMar w:top="1418" w:right="1418" w:bottom="1418" w:left="1418" w:header="851" w:footer="992" w:gutter="0"/>
          <w:cols w:space="425" w:num="1"/>
          <w:docGrid w:type="linesAndChars" w:linePitch="460" w:charSpace="0"/>
        </w:sectPr>
      </w:pPr>
      <w:r>
        <w:t>6</w:t>
      </w:r>
      <w:r>
        <w:rPr>
          <w:rFonts w:hint="eastAsia"/>
          <w:color w:val="auto"/>
        </w:rPr>
        <w:t>．</w:t>
      </w:r>
      <w:r>
        <w:t>招标文件未明确的其他事项，按《政府采购法》及其相关法律法规执行。</w:t>
      </w:r>
    </w:p>
    <w:p>
      <w:pPr>
        <w:pStyle w:val="2"/>
        <w:spacing w:before="230" w:after="230"/>
      </w:pPr>
      <w:bookmarkStart w:id="10" w:name="_Toc211437468"/>
      <w:r>
        <w:rPr>
          <w:rFonts w:hint="eastAsia"/>
        </w:rPr>
        <w:t>第三章　招标内容及要求</w:t>
      </w:r>
      <w:bookmarkEnd w:id="10"/>
    </w:p>
    <w:p>
      <w:pPr>
        <w:jc w:val="center"/>
        <w:rPr>
          <w:color w:val="C00000"/>
        </w:rPr>
      </w:pPr>
      <w:r>
        <w:rPr>
          <w:color w:val="C00000"/>
        </w:rPr>
        <w:t>（标注</w:t>
      </w:r>
      <w:r>
        <w:rPr>
          <w:rFonts w:ascii="Segoe UI Symbol" w:hAnsi="Segoe UI Symbol" w:cs="Segoe UI Symbol"/>
          <w:color w:val="C00000"/>
        </w:rPr>
        <w:t>★的为实质性条款</w:t>
      </w:r>
      <w:r>
        <w:rPr>
          <w:color w:val="C00000"/>
        </w:rPr>
        <w:t>）</w:t>
      </w:r>
    </w:p>
    <w:p>
      <w:pPr>
        <w:pStyle w:val="3"/>
        <w:jc w:val="both"/>
      </w:pPr>
      <w:r>
        <w:rPr>
          <w:rFonts w:hint="eastAsia"/>
        </w:rPr>
        <w:t>一、项目概况</w:t>
      </w:r>
    </w:p>
    <w:p>
      <w:pPr>
        <w:ind w:firstLine="480" w:firstLineChars="200"/>
        <w:jc w:val="both"/>
      </w:pPr>
      <w:r>
        <w:rPr>
          <w:rFonts w:hint="eastAsia"/>
        </w:rPr>
        <w:t>采购西安市电子政务网专线接入服务项目，包含传输线路、互联网光纤专线、社区信息专网融合（SD-WAN）服务。</w:t>
      </w:r>
    </w:p>
    <w:p>
      <w:pPr>
        <w:pStyle w:val="3"/>
        <w:jc w:val="both"/>
      </w:pPr>
      <w:r>
        <w:rPr>
          <w:rFonts w:hint="eastAsia"/>
        </w:rPr>
        <w:t>二、服务内容</w:t>
      </w:r>
    </w:p>
    <w:p>
      <w:pPr>
        <w:ind w:firstLine="480"/>
        <w:jc w:val="both"/>
        <w:rPr>
          <w:b/>
        </w:rPr>
      </w:pPr>
      <w:r>
        <w:rPr>
          <w:b/>
        </w:rPr>
        <w:t>采购包二：</w:t>
      </w:r>
    </w:p>
    <w:p>
      <w:pPr>
        <w:ind w:firstLine="480"/>
        <w:jc w:val="both"/>
      </w:pPr>
      <w:r>
        <w:rPr>
          <w:rFonts w:hint="eastAsia"/>
        </w:rPr>
        <w:t>（一）网络线路租赁服务：供应商为采购人提供统一的网络线路租赁服务，线路类型为传输电路专线和互联网光纤专线。</w:t>
      </w:r>
    </w:p>
    <w:p>
      <w:pPr>
        <w:ind w:firstLine="480"/>
        <w:jc w:val="both"/>
      </w:pPr>
      <w:r>
        <w:rPr>
          <w:rFonts w:hint="eastAsia"/>
        </w:rPr>
        <w:t>（二）整体服务要求：要求至少1人负责项目，供应商需针对本次网络线路租用服务提供维护人员负责专线电路的日常维护，及时了解及答复采购人提出的问题，对采购人提出的问题有专人负责，如有投诉及时响应。</w:t>
      </w:r>
    </w:p>
    <w:p>
      <w:pPr>
        <w:ind w:firstLine="480"/>
        <w:jc w:val="both"/>
      </w:pPr>
      <w:r>
        <w:rPr>
          <w:rFonts w:hint="eastAsia"/>
        </w:rPr>
        <w:t>（三）其他服务：招标文件中的其他要求以及供应商投标文件中所提供的服务。</w:t>
      </w:r>
    </w:p>
    <w:p>
      <w:pPr>
        <w:ind w:firstLine="480"/>
        <w:jc w:val="both"/>
      </w:pPr>
      <w:r>
        <w:rPr>
          <w:rFonts w:hint="eastAsia"/>
        </w:rPr>
        <w:t>（四）服务清单</w:t>
      </w:r>
    </w:p>
    <w:p>
      <w:pPr>
        <w:ind w:firstLine="480"/>
        <w:jc w:val="both"/>
      </w:pPr>
      <w:r>
        <w:t>采购包二：</w:t>
      </w:r>
      <w:r>
        <w:rPr>
          <w:rFonts w:hint="eastAsia"/>
        </w:rPr>
        <w:t>西安市电子政务网专线接入服务项目线路数量</w:t>
      </w:r>
    </w:p>
    <w:tbl>
      <w:tblPr>
        <w:tblStyle w:val="24"/>
        <w:tblW w:w="5687" w:type="dxa"/>
        <w:jc w:val="center"/>
        <w:tblLayout w:type="autofit"/>
        <w:tblCellMar>
          <w:top w:w="0" w:type="dxa"/>
          <w:left w:w="108" w:type="dxa"/>
          <w:bottom w:w="0" w:type="dxa"/>
          <w:right w:w="108" w:type="dxa"/>
        </w:tblCellMar>
      </w:tblPr>
      <w:tblGrid>
        <w:gridCol w:w="2904"/>
        <w:gridCol w:w="2783"/>
      </w:tblGrid>
      <w:tr>
        <w:tblPrEx>
          <w:tblCellMar>
            <w:top w:w="0" w:type="dxa"/>
            <w:left w:w="108" w:type="dxa"/>
            <w:bottom w:w="0" w:type="dxa"/>
            <w:right w:w="108" w:type="dxa"/>
          </w:tblCellMar>
        </w:tblPrEx>
        <w:trPr>
          <w:trHeight w:val="327" w:hRule="atLeast"/>
          <w:jc w:val="center"/>
        </w:trPr>
        <w:tc>
          <w:tcPr>
            <w:tcW w:w="5687" w:type="dxa"/>
            <w:gridSpan w:val="2"/>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ascii="仿宋" w:hAnsi="仿宋" w:eastAsia="仿宋"/>
                <w:sz w:val="28"/>
                <w:szCs w:val="28"/>
              </w:rPr>
            </w:pPr>
            <w:r>
              <w:rPr>
                <w:rFonts w:hint="eastAsia" w:ascii="仿宋" w:hAnsi="仿宋" w:eastAsia="仿宋"/>
                <w:sz w:val="28"/>
                <w:szCs w:val="28"/>
              </w:rPr>
              <w:t>传输线路</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规格</w:t>
            </w:r>
          </w:p>
        </w:tc>
        <w:tc>
          <w:tcPr>
            <w:tcW w:w="2783" w:type="dxa"/>
            <w:tcBorders>
              <w:top w:val="single" w:color="000000" w:sz="8" w:space="0"/>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数量</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2M语音中继电路</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4M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62</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6M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8M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23</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34</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70</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7</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5G</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裸光纤</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总计</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204</w:t>
            </w:r>
          </w:p>
        </w:tc>
      </w:tr>
    </w:tbl>
    <w:p>
      <w:pPr>
        <w:jc w:val="both"/>
      </w:pPr>
    </w:p>
    <w:tbl>
      <w:tblPr>
        <w:tblStyle w:val="24"/>
        <w:tblW w:w="5687" w:type="dxa"/>
        <w:jc w:val="center"/>
        <w:tblLayout w:type="autofit"/>
        <w:tblCellMar>
          <w:top w:w="0" w:type="dxa"/>
          <w:left w:w="108" w:type="dxa"/>
          <w:bottom w:w="0" w:type="dxa"/>
          <w:right w:w="108" w:type="dxa"/>
        </w:tblCellMar>
      </w:tblPr>
      <w:tblGrid>
        <w:gridCol w:w="2904"/>
        <w:gridCol w:w="2783"/>
      </w:tblGrid>
      <w:tr>
        <w:tblPrEx>
          <w:tblCellMar>
            <w:top w:w="0" w:type="dxa"/>
            <w:left w:w="108" w:type="dxa"/>
            <w:bottom w:w="0" w:type="dxa"/>
            <w:right w:w="108" w:type="dxa"/>
          </w:tblCellMar>
        </w:tblPrEx>
        <w:trPr>
          <w:trHeight w:val="327" w:hRule="atLeast"/>
          <w:jc w:val="center"/>
        </w:trPr>
        <w:tc>
          <w:tcPr>
            <w:tcW w:w="5687" w:type="dxa"/>
            <w:gridSpan w:val="2"/>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ascii="仿宋" w:hAnsi="仿宋" w:eastAsia="仿宋"/>
                <w:sz w:val="28"/>
                <w:szCs w:val="28"/>
              </w:rPr>
            </w:pPr>
            <w:r>
              <w:rPr>
                <w:rFonts w:hint="eastAsia" w:ascii="仿宋" w:hAnsi="仿宋" w:eastAsia="仿宋"/>
                <w:sz w:val="28"/>
                <w:szCs w:val="28"/>
              </w:rPr>
              <w:t>互联网专线</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规格</w:t>
            </w:r>
          </w:p>
        </w:tc>
        <w:tc>
          <w:tcPr>
            <w:tcW w:w="2783" w:type="dxa"/>
            <w:tcBorders>
              <w:top w:val="single" w:color="000000" w:sz="8" w:space="0"/>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数量</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12</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200M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300M</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1G</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w:t>
            </w:r>
          </w:p>
        </w:tc>
      </w:tr>
      <w:tr>
        <w:tblPrEx>
          <w:tblCellMar>
            <w:top w:w="0" w:type="dxa"/>
            <w:left w:w="108" w:type="dxa"/>
            <w:bottom w:w="0" w:type="dxa"/>
            <w:right w:w="108" w:type="dxa"/>
          </w:tblCellMar>
        </w:tblPrEx>
        <w:trPr>
          <w:trHeight w:val="327" w:hRule="atLeast"/>
          <w:jc w:val="center"/>
        </w:trPr>
        <w:tc>
          <w:tcPr>
            <w:tcW w:w="2904" w:type="dxa"/>
            <w:tcBorders>
              <w:top w:val="nil"/>
              <w:left w:val="single" w:color="000000" w:sz="8" w:space="0"/>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总计</w:t>
            </w:r>
          </w:p>
        </w:tc>
        <w:tc>
          <w:tcPr>
            <w:tcW w:w="2783" w:type="dxa"/>
            <w:tcBorders>
              <w:top w:val="nil"/>
              <w:left w:val="nil"/>
              <w:bottom w:val="single" w:color="000000" w:sz="8" w:space="0"/>
              <w:right w:val="single" w:color="000000" w:sz="8"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27</w:t>
            </w:r>
          </w:p>
        </w:tc>
      </w:tr>
    </w:tbl>
    <w:p>
      <w:pPr>
        <w:jc w:val="both"/>
      </w:pPr>
    </w:p>
    <w:tbl>
      <w:tblPr>
        <w:tblStyle w:val="24"/>
        <w:tblW w:w="3129" w:type="pct"/>
        <w:tblInd w:w="1721" w:type="dxa"/>
        <w:tblLayout w:type="autofit"/>
        <w:tblCellMar>
          <w:top w:w="0" w:type="dxa"/>
          <w:left w:w="108" w:type="dxa"/>
          <w:bottom w:w="0" w:type="dxa"/>
          <w:right w:w="108" w:type="dxa"/>
        </w:tblCellMar>
      </w:tblPr>
      <w:tblGrid>
        <w:gridCol w:w="3585"/>
        <w:gridCol w:w="2226"/>
      </w:tblGrid>
      <w:tr>
        <w:tblPrEx>
          <w:tblCellMar>
            <w:top w:w="0" w:type="dxa"/>
            <w:left w:w="108" w:type="dxa"/>
            <w:bottom w:w="0" w:type="dxa"/>
            <w:right w:w="108" w:type="dxa"/>
          </w:tblCellMar>
        </w:tblPrEx>
        <w:trPr>
          <w:trHeight w:val="454" w:hRule="atLeast"/>
        </w:trPr>
        <w:tc>
          <w:tcPr>
            <w:tcW w:w="5000" w:type="pct"/>
            <w:gridSpan w:val="2"/>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仿宋" w:hAnsi="仿宋" w:eastAsia="仿宋"/>
                <w:sz w:val="28"/>
                <w:szCs w:val="28"/>
              </w:rPr>
            </w:pPr>
            <w:r>
              <w:rPr>
                <w:rFonts w:hint="eastAsia" w:ascii="仿宋" w:hAnsi="仿宋" w:eastAsia="仿宋"/>
                <w:sz w:val="28"/>
                <w:szCs w:val="28"/>
              </w:rPr>
              <w:t>社区信息专网融合（SD-WAN）</w:t>
            </w:r>
          </w:p>
        </w:tc>
      </w:tr>
      <w:tr>
        <w:tblPrEx>
          <w:tblCellMar>
            <w:top w:w="0" w:type="dxa"/>
            <w:left w:w="108" w:type="dxa"/>
            <w:bottom w:w="0" w:type="dxa"/>
            <w:right w:w="108" w:type="dxa"/>
          </w:tblCellMar>
        </w:tblPrEx>
        <w:trPr>
          <w:trHeight w:val="454" w:hRule="atLeast"/>
        </w:trPr>
        <w:tc>
          <w:tcPr>
            <w:tcW w:w="3085"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规格</w:t>
            </w:r>
          </w:p>
        </w:tc>
        <w:tc>
          <w:tcPr>
            <w:tcW w:w="1915" w:type="pct"/>
            <w:tcBorders>
              <w:top w:val="single" w:color="000000" w:sz="4" w:space="0"/>
              <w:left w:val="nil"/>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数量</w:t>
            </w:r>
          </w:p>
        </w:tc>
      </w:tr>
      <w:tr>
        <w:tblPrEx>
          <w:tblCellMar>
            <w:top w:w="0" w:type="dxa"/>
            <w:left w:w="108" w:type="dxa"/>
            <w:bottom w:w="0" w:type="dxa"/>
            <w:right w:w="108" w:type="dxa"/>
          </w:tblCellMar>
        </w:tblPrEx>
        <w:trPr>
          <w:trHeight w:val="454" w:hRule="atLeast"/>
        </w:trPr>
        <w:tc>
          <w:tcPr>
            <w:tcW w:w="3085"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SD-WAN</w:t>
            </w:r>
          </w:p>
        </w:tc>
        <w:tc>
          <w:tcPr>
            <w:tcW w:w="1915"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354</w:t>
            </w:r>
          </w:p>
        </w:tc>
      </w:tr>
      <w:tr>
        <w:tblPrEx>
          <w:tblCellMar>
            <w:top w:w="0" w:type="dxa"/>
            <w:left w:w="108" w:type="dxa"/>
            <w:bottom w:w="0" w:type="dxa"/>
            <w:right w:w="108" w:type="dxa"/>
          </w:tblCellMar>
        </w:tblPrEx>
        <w:trPr>
          <w:trHeight w:val="454" w:hRule="atLeast"/>
        </w:trPr>
        <w:tc>
          <w:tcPr>
            <w:tcW w:w="3085"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总计</w:t>
            </w:r>
          </w:p>
        </w:tc>
        <w:tc>
          <w:tcPr>
            <w:tcW w:w="1915"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354</w:t>
            </w:r>
          </w:p>
        </w:tc>
      </w:tr>
    </w:tbl>
    <w:p>
      <w:pPr>
        <w:ind w:firstLine="480" w:firstLineChars="200"/>
        <w:jc w:val="both"/>
        <w:rPr>
          <w:b/>
        </w:rPr>
      </w:pPr>
      <w:r>
        <w:rPr>
          <w:rFonts w:hint="eastAsia"/>
          <w:b/>
        </w:rPr>
        <w:t>采购包四、五：</w:t>
      </w:r>
    </w:p>
    <w:p>
      <w:pPr>
        <w:ind w:firstLine="480" w:firstLineChars="200"/>
        <w:jc w:val="both"/>
      </w:pPr>
      <w:r>
        <w:rPr>
          <w:rFonts w:hint="eastAsia"/>
        </w:rPr>
        <w:t>（一）网络线路租赁服务：供应商为采购人提供统一的网络线路租赁服务，线路类型为传输电路专线。</w:t>
      </w:r>
    </w:p>
    <w:p>
      <w:pPr>
        <w:ind w:firstLine="480" w:firstLineChars="200"/>
        <w:jc w:val="both"/>
      </w:pPr>
      <w:r>
        <w:rPr>
          <w:rFonts w:hint="eastAsia"/>
        </w:rPr>
        <w:t>（二）其他服务：招标文件中的其他要求以及供应商投标文件中所提供的服务。</w:t>
      </w:r>
    </w:p>
    <w:p>
      <w:pPr>
        <w:ind w:firstLine="480" w:firstLineChars="200"/>
        <w:jc w:val="both"/>
      </w:pPr>
      <w:r>
        <w:rPr>
          <w:rFonts w:hint="eastAsia"/>
        </w:rPr>
        <w:t>（三）服务清单</w:t>
      </w:r>
    </w:p>
    <w:p>
      <w:pPr>
        <w:ind w:firstLine="480" w:firstLineChars="200"/>
        <w:jc w:val="both"/>
      </w:pPr>
      <w:r>
        <w:rPr>
          <w:rFonts w:hint="eastAsia"/>
        </w:rPr>
        <w:t>1、采购包四：西安市电子政务网专线接入服务项目线路数量</w:t>
      </w:r>
    </w:p>
    <w:tbl>
      <w:tblPr>
        <w:tblStyle w:val="24"/>
        <w:tblW w:w="3051" w:type="pct"/>
        <w:tblInd w:w="1721" w:type="dxa"/>
        <w:tblLayout w:type="autofit"/>
        <w:tblCellMar>
          <w:top w:w="0" w:type="dxa"/>
          <w:left w:w="108" w:type="dxa"/>
          <w:bottom w:w="0" w:type="dxa"/>
          <w:right w:w="108" w:type="dxa"/>
        </w:tblCellMar>
      </w:tblPr>
      <w:tblGrid>
        <w:gridCol w:w="3585"/>
        <w:gridCol w:w="2081"/>
      </w:tblGrid>
      <w:tr>
        <w:tblPrEx>
          <w:tblCellMar>
            <w:top w:w="0" w:type="dxa"/>
            <w:left w:w="108" w:type="dxa"/>
            <w:bottom w:w="0" w:type="dxa"/>
            <w:right w:w="108" w:type="dxa"/>
          </w:tblCellMar>
        </w:tblPrEx>
        <w:trPr>
          <w:trHeight w:val="454" w:hRule="atLeast"/>
        </w:trPr>
        <w:tc>
          <w:tcPr>
            <w:tcW w:w="5000" w:type="pct"/>
            <w:gridSpan w:val="2"/>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仿宋" w:hAnsi="仿宋" w:eastAsia="仿宋"/>
                <w:sz w:val="28"/>
                <w:szCs w:val="28"/>
              </w:rPr>
            </w:pPr>
            <w:r>
              <w:rPr>
                <w:rFonts w:hint="eastAsia" w:ascii="仿宋" w:hAnsi="仿宋" w:eastAsia="仿宋"/>
                <w:sz w:val="28"/>
                <w:szCs w:val="28"/>
              </w:rPr>
              <w:t>传输线路</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规格</w:t>
            </w:r>
          </w:p>
        </w:tc>
        <w:tc>
          <w:tcPr>
            <w:tcW w:w="1836" w:type="pct"/>
            <w:tcBorders>
              <w:top w:val="single" w:color="000000" w:sz="4" w:space="0"/>
              <w:left w:val="nil"/>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数量</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6M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9</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40M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裸光纤</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总计</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24</w:t>
            </w:r>
          </w:p>
        </w:tc>
      </w:tr>
    </w:tbl>
    <w:p>
      <w:pPr>
        <w:ind w:firstLine="480"/>
        <w:jc w:val="both"/>
      </w:pPr>
      <w:r>
        <w:t>2、采购包五：</w:t>
      </w:r>
      <w:r>
        <w:rPr>
          <w:rFonts w:hint="eastAsia"/>
        </w:rPr>
        <w:t>西安市电子政务网专线接入服务项目线路数量</w:t>
      </w:r>
    </w:p>
    <w:tbl>
      <w:tblPr>
        <w:tblStyle w:val="24"/>
        <w:tblW w:w="3051" w:type="pct"/>
        <w:tblInd w:w="1721" w:type="dxa"/>
        <w:tblLayout w:type="autofit"/>
        <w:tblCellMar>
          <w:top w:w="0" w:type="dxa"/>
          <w:left w:w="108" w:type="dxa"/>
          <w:bottom w:w="0" w:type="dxa"/>
          <w:right w:w="108" w:type="dxa"/>
        </w:tblCellMar>
      </w:tblPr>
      <w:tblGrid>
        <w:gridCol w:w="3585"/>
        <w:gridCol w:w="2081"/>
      </w:tblGrid>
      <w:tr>
        <w:tblPrEx>
          <w:tblCellMar>
            <w:top w:w="0" w:type="dxa"/>
            <w:left w:w="108" w:type="dxa"/>
            <w:bottom w:w="0" w:type="dxa"/>
            <w:right w:w="108" w:type="dxa"/>
          </w:tblCellMar>
        </w:tblPrEx>
        <w:trPr>
          <w:trHeight w:val="454" w:hRule="atLeast"/>
        </w:trPr>
        <w:tc>
          <w:tcPr>
            <w:tcW w:w="5000" w:type="pct"/>
            <w:gridSpan w:val="2"/>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仿宋" w:hAnsi="仿宋" w:eastAsia="仿宋"/>
                <w:sz w:val="28"/>
                <w:szCs w:val="28"/>
              </w:rPr>
            </w:pPr>
            <w:r>
              <w:rPr>
                <w:rFonts w:hint="eastAsia" w:ascii="仿宋" w:hAnsi="仿宋" w:eastAsia="仿宋"/>
                <w:sz w:val="28"/>
                <w:szCs w:val="28"/>
              </w:rPr>
              <w:t>传输线路</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规格</w:t>
            </w:r>
          </w:p>
        </w:tc>
        <w:tc>
          <w:tcPr>
            <w:tcW w:w="1836" w:type="pct"/>
            <w:tcBorders>
              <w:top w:val="single" w:color="000000" w:sz="4" w:space="0"/>
              <w:left w:val="nil"/>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数量</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11</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20M</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18</w:t>
            </w:r>
          </w:p>
        </w:tc>
      </w:tr>
      <w:tr>
        <w:tblPrEx>
          <w:tblCellMar>
            <w:top w:w="0" w:type="dxa"/>
            <w:left w:w="108" w:type="dxa"/>
            <w:bottom w:w="0" w:type="dxa"/>
            <w:right w:w="108" w:type="dxa"/>
          </w:tblCellMar>
        </w:tblPrEx>
        <w:trPr>
          <w:trHeight w:val="454" w:hRule="atLeast"/>
        </w:trPr>
        <w:tc>
          <w:tcPr>
            <w:tcW w:w="3164" w:type="pct"/>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总计</w:t>
            </w:r>
          </w:p>
        </w:tc>
        <w:tc>
          <w:tcPr>
            <w:tcW w:w="1836" w:type="pct"/>
            <w:tcBorders>
              <w:top w:val="single" w:color="000000" w:sz="4" w:space="0"/>
              <w:left w:val="nil"/>
              <w:bottom w:val="single" w:color="000000" w:sz="4" w:space="0"/>
              <w:right w:val="single" w:color="000000" w:sz="4" w:space="0"/>
            </w:tcBorders>
            <w:noWrap/>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39</w:t>
            </w:r>
          </w:p>
        </w:tc>
      </w:tr>
    </w:tbl>
    <w:p>
      <w:pPr>
        <w:pStyle w:val="3"/>
        <w:jc w:val="both"/>
      </w:pPr>
      <w:r>
        <w:t>三、</w:t>
      </w:r>
      <w:r>
        <w:rPr>
          <w:rFonts w:hint="eastAsia"/>
        </w:rPr>
        <w:t>技术要求</w:t>
      </w:r>
    </w:p>
    <w:p>
      <w:pPr>
        <w:ind w:firstLine="480"/>
        <w:jc w:val="both"/>
        <w:rPr>
          <w:b/>
        </w:rPr>
      </w:pPr>
      <w:r>
        <w:rPr>
          <w:b/>
        </w:rPr>
        <w:t>（一）采购包二（基础环境运维）</w:t>
      </w:r>
    </w:p>
    <w:p>
      <w:pPr>
        <w:ind w:firstLine="480"/>
        <w:jc w:val="both"/>
      </w:pPr>
      <w:r>
        <w:rPr>
          <w:rFonts w:hint="eastAsia"/>
        </w:rPr>
        <w:t>1、业务定义与规格</w:t>
      </w:r>
    </w:p>
    <w:p>
      <w:pPr>
        <w:ind w:firstLine="480"/>
        <w:jc w:val="both"/>
      </w:pPr>
      <w:r>
        <w:rPr>
          <w:rFonts w:hint="eastAsia"/>
        </w:rPr>
        <w:t>（1）传输线路</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981"/>
        <w:gridCol w:w="1899"/>
        <w:gridCol w:w="504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10"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业务名称</w:t>
            </w:r>
          </w:p>
        </w:tc>
        <w:tc>
          <w:tcPr>
            <w:tcW w:w="1064" w:type="pct"/>
            <w:tcBorders>
              <w:top w:val="single" w:color="auto" w:sz="12" w:space="0"/>
              <w:left w:val="single" w:color="auto" w:sz="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2826"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业务描述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10" w:type="pct"/>
            <w:vMerge w:val="restart"/>
            <w:tcBorders>
              <w:top w:val="nil"/>
              <w:left w:val="single" w:color="auto" w:sz="12" w:space="0"/>
              <w:bottom w:val="single" w:color="auto" w:sz="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传输线路</w:t>
            </w:r>
          </w:p>
        </w:tc>
        <w:tc>
          <w:tcPr>
            <w:tcW w:w="1064" w:type="pct"/>
            <w:tcBorders>
              <w:top w:val="single" w:color="auto" w:sz="2" w:space="0"/>
              <w:left w:val="single" w:color="auto" w:sz="2" w:space="0"/>
              <w:bottom w:val="single" w:color="auto" w:sz="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数字电路</w:t>
            </w:r>
          </w:p>
        </w:tc>
        <w:tc>
          <w:tcPr>
            <w:tcW w:w="2826" w:type="pct"/>
            <w:tcBorders>
              <w:top w:val="single" w:color="auto" w:sz="2" w:space="0"/>
              <w:left w:val="single" w:color="auto" w:sz="2" w:space="0"/>
              <w:bottom w:val="single" w:color="auto" w:sz="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数字电路是</w:t>
            </w:r>
            <w:r>
              <w:fldChar w:fldCharType="begin"/>
            </w:r>
            <w:r>
              <w:instrText xml:space="preserve"> HYPERLINK "https://baike.baidu.com/item/%E9%80%9A%E4%BF%A1%E7%BD%91/2300853?fromModule=lemma_inlink" </w:instrText>
            </w:r>
            <w:r>
              <w:fldChar w:fldCharType="separate"/>
            </w:r>
            <w:r>
              <w:rPr>
                <w:rFonts w:ascii="仿宋" w:hAnsi="仿宋" w:eastAsia="仿宋"/>
                <w:sz w:val="28"/>
                <w:szCs w:val="28"/>
              </w:rPr>
              <w:t>通信网</w:t>
            </w:r>
            <w:r>
              <w:rPr>
                <w:rFonts w:ascii="仿宋" w:hAnsi="仿宋" w:eastAsia="仿宋"/>
                <w:sz w:val="28"/>
                <w:szCs w:val="28"/>
              </w:rPr>
              <w:fldChar w:fldCharType="end"/>
            </w:r>
            <w:r>
              <w:rPr>
                <w:rFonts w:hint="eastAsia" w:ascii="仿宋" w:hAnsi="仿宋" w:eastAsia="仿宋"/>
                <w:sz w:val="28"/>
                <w:szCs w:val="28"/>
              </w:rPr>
              <w:t>中连接节点的物理路径，通过电缆、</w:t>
            </w:r>
            <w:r>
              <w:fldChar w:fldCharType="begin"/>
            </w:r>
            <w:r>
              <w:instrText xml:space="preserve"> HYPERLINK "https://baike.baidu.com/item/%E5%85%89%E7%BA%A4/171632?fromModule=lemma_inlink" </w:instrText>
            </w:r>
            <w:r>
              <w:fldChar w:fldCharType="separate"/>
            </w:r>
            <w:r>
              <w:rPr>
                <w:rFonts w:ascii="仿宋" w:hAnsi="仿宋" w:eastAsia="仿宋"/>
                <w:sz w:val="28"/>
                <w:szCs w:val="28"/>
              </w:rPr>
              <w:t>光纤</w:t>
            </w:r>
            <w:r>
              <w:rPr>
                <w:rFonts w:ascii="仿宋" w:hAnsi="仿宋" w:eastAsia="仿宋"/>
                <w:sz w:val="28"/>
                <w:szCs w:val="28"/>
              </w:rPr>
              <w:fldChar w:fldCharType="end"/>
            </w:r>
            <w:r>
              <w:rPr>
                <w:rFonts w:hint="eastAsia" w:ascii="仿宋" w:hAnsi="仿宋" w:eastAsia="仿宋"/>
                <w:sz w:val="28"/>
                <w:szCs w:val="28"/>
              </w:rPr>
              <w:t>等介质实现数据传输。</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0" w:type="auto"/>
            <w:vMerge w:val="continue"/>
            <w:tcBorders>
              <w:top w:val="nil"/>
              <w:left w:val="single" w:color="auto" w:sz="12" w:space="0"/>
              <w:bottom w:val="single" w:color="auto" w:sz="2" w:space="0"/>
              <w:right w:val="single" w:color="auto" w:sz="2" w:space="0"/>
            </w:tcBorders>
            <w:vAlign w:val="center"/>
          </w:tcPr>
          <w:p>
            <w:pPr>
              <w:rPr>
                <w:rFonts w:ascii="仿宋" w:hAnsi="仿宋" w:eastAsia="仿宋"/>
                <w:kern w:val="2"/>
                <w:sz w:val="28"/>
                <w:szCs w:val="28"/>
              </w:rPr>
            </w:pPr>
          </w:p>
        </w:tc>
        <w:tc>
          <w:tcPr>
            <w:tcW w:w="1064" w:type="pct"/>
            <w:tcBorders>
              <w:top w:val="single" w:color="auto" w:sz="2" w:space="0"/>
              <w:left w:val="single" w:color="auto" w:sz="2" w:space="0"/>
              <w:bottom w:val="single" w:color="auto" w:sz="1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裸光纤</w:t>
            </w:r>
          </w:p>
        </w:tc>
        <w:tc>
          <w:tcPr>
            <w:tcW w:w="2826"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指通过供应商提供的纯净光纤的物理线路，中间不经过任何交换机或路由器，只经过配线架或配线箱做光纤跳纤，以提供不做任何业务封装的全透明传输通道。</w:t>
            </w:r>
          </w:p>
        </w:tc>
      </w:tr>
    </w:tbl>
    <w:p>
      <w:pPr>
        <w:ind w:firstLine="480"/>
        <w:jc w:val="both"/>
      </w:pPr>
      <w:r>
        <w:rPr>
          <w:rFonts w:hint="eastAsia"/>
        </w:rPr>
        <w:t>（2）互联网光纤专线</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686"/>
        <w:gridCol w:w="1842"/>
        <w:gridCol w:w="5395"/>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45"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业务名称</w:t>
            </w:r>
          </w:p>
        </w:tc>
        <w:tc>
          <w:tcPr>
            <w:tcW w:w="1032" w:type="pct"/>
            <w:tcBorders>
              <w:top w:val="single" w:color="auto" w:sz="12" w:space="0"/>
              <w:left w:val="single" w:color="auto" w:sz="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3023"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业务描述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45" w:type="pct"/>
            <w:tcBorders>
              <w:top w:val="single" w:color="auto" w:sz="2" w:space="0"/>
              <w:left w:val="single" w:color="auto" w:sz="12" w:space="0"/>
              <w:bottom w:val="single" w:color="auto" w:sz="1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互联网光纤专线</w:t>
            </w:r>
          </w:p>
        </w:tc>
        <w:tc>
          <w:tcPr>
            <w:tcW w:w="1032" w:type="pct"/>
            <w:tcBorders>
              <w:top w:val="single" w:color="auto" w:sz="2" w:space="0"/>
              <w:left w:val="single" w:color="auto" w:sz="2" w:space="0"/>
              <w:bottom w:val="single" w:color="auto" w:sz="1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互联网访问服务</w:t>
            </w:r>
          </w:p>
        </w:tc>
        <w:tc>
          <w:tcPr>
            <w:tcW w:w="3023"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互联网光纤专线是一种以光纤作为信息传输介质的高速互联网接入服务，它提供固定IP地址和上下行网速对称的连接。这种服务方式通过光纤电缆发送光信号，为用户提供专用的对称数据连接，确保了网络连接的稳定性和高速性。</w:t>
            </w:r>
          </w:p>
        </w:tc>
      </w:tr>
    </w:tbl>
    <w:p>
      <w:pPr>
        <w:ind w:firstLine="480" w:firstLineChars="200"/>
        <w:jc w:val="both"/>
      </w:pPr>
      <w:r>
        <w:rPr>
          <w:rFonts w:hint="eastAsia"/>
        </w:rPr>
        <w:t>（3）社区信息专网融合（SD-WAN）服务</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2252"/>
        <w:gridCol w:w="1984"/>
        <w:gridCol w:w="468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262"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业务名称</w:t>
            </w:r>
          </w:p>
        </w:tc>
        <w:tc>
          <w:tcPr>
            <w:tcW w:w="1112" w:type="pct"/>
            <w:tcBorders>
              <w:top w:val="single" w:color="auto" w:sz="12" w:space="0"/>
              <w:left w:val="single" w:color="auto" w:sz="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2626"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业务描述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262" w:type="pct"/>
            <w:tcBorders>
              <w:top w:val="single" w:color="auto" w:sz="2" w:space="0"/>
              <w:left w:val="single" w:color="auto" w:sz="12" w:space="0"/>
              <w:bottom w:val="single" w:color="auto" w:sz="12" w:space="0"/>
              <w:right w:val="single" w:color="auto" w:sz="2" w:space="0"/>
            </w:tcBorders>
            <w:vAlign w:val="center"/>
          </w:tcPr>
          <w:p>
            <w:pPr>
              <w:spacing w:line="440" w:lineRule="exact"/>
              <w:jc w:val="both"/>
              <w:rPr>
                <w:rFonts w:ascii="仿宋" w:hAnsi="仿宋" w:eastAsia="仿宋"/>
                <w:sz w:val="28"/>
                <w:szCs w:val="28"/>
              </w:rPr>
            </w:pPr>
            <w:r>
              <w:rPr>
                <w:rFonts w:hint="eastAsia" w:ascii="仿宋" w:hAnsi="仿宋" w:eastAsia="仿宋"/>
                <w:sz w:val="28"/>
                <w:szCs w:val="28"/>
              </w:rPr>
              <w:t>社区信息专网融合（SD-WAN）服务</w:t>
            </w:r>
          </w:p>
        </w:tc>
        <w:tc>
          <w:tcPr>
            <w:tcW w:w="1112" w:type="pct"/>
            <w:tcBorders>
              <w:top w:val="single" w:color="auto" w:sz="2" w:space="0"/>
              <w:left w:val="single" w:color="auto" w:sz="2" w:space="0"/>
              <w:bottom w:val="single" w:color="auto" w:sz="12" w:space="0"/>
              <w:right w:val="single" w:color="auto" w:sz="2" w:space="0"/>
            </w:tcBorders>
            <w:vAlign w:val="center"/>
          </w:tcPr>
          <w:p>
            <w:pPr>
              <w:spacing w:line="440" w:lineRule="exact"/>
              <w:jc w:val="both"/>
              <w:rPr>
                <w:rFonts w:ascii="仿宋" w:hAnsi="仿宋" w:eastAsia="仿宋"/>
                <w:sz w:val="28"/>
                <w:szCs w:val="28"/>
              </w:rPr>
            </w:pPr>
            <w:r>
              <w:rPr>
                <w:rFonts w:hint="eastAsia" w:ascii="仿宋" w:hAnsi="仿宋" w:eastAsia="仿宋"/>
                <w:sz w:val="28"/>
                <w:szCs w:val="28"/>
              </w:rPr>
              <w:t>广域网访问服务</w:t>
            </w:r>
          </w:p>
        </w:tc>
        <w:tc>
          <w:tcPr>
            <w:tcW w:w="2626"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jc w:val="both"/>
              <w:rPr>
                <w:rFonts w:ascii="仿宋" w:hAnsi="仿宋" w:eastAsia="仿宋"/>
                <w:sz w:val="28"/>
                <w:szCs w:val="28"/>
              </w:rPr>
            </w:pPr>
            <w:r>
              <w:rPr>
                <w:rFonts w:hint="eastAsia" w:ascii="仿宋" w:hAnsi="仿宋" w:eastAsia="仿宋"/>
                <w:sz w:val="28"/>
                <w:szCs w:val="28"/>
              </w:rPr>
              <w:t>SD-WAN服务是采用一种利用软件和云技术来智能管理广域网连接的服务。</w:t>
            </w:r>
          </w:p>
        </w:tc>
      </w:tr>
    </w:tbl>
    <w:p>
      <w:pPr>
        <w:ind w:firstLine="480" w:firstLineChars="200"/>
        <w:jc w:val="both"/>
      </w:pPr>
      <w:r>
        <w:rPr>
          <w:rFonts w:hint="eastAsia"/>
        </w:rPr>
        <w:t>2、关键指标要求</w:t>
      </w:r>
    </w:p>
    <w:p>
      <w:pPr>
        <w:ind w:firstLine="480" w:firstLineChars="200"/>
        <w:jc w:val="both"/>
      </w:pPr>
      <w:r>
        <w:rPr>
          <w:rFonts w:hint="eastAsia"/>
        </w:rPr>
        <w:t>（1）传输线路服务标准</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538"/>
        <w:gridCol w:w="7385"/>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2"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4138"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服务承诺及评价方法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04" w:hRule="atLeast"/>
          <w:jc w:val="center"/>
        </w:trPr>
        <w:tc>
          <w:tcPr>
            <w:tcW w:w="862" w:type="pct"/>
            <w:vMerge w:val="restart"/>
            <w:tcBorders>
              <w:top w:val="nil"/>
              <w:left w:val="single" w:color="auto" w:sz="12" w:space="0"/>
              <w:bottom w:val="single" w:color="auto" w:sz="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传输线路</w:t>
            </w:r>
          </w:p>
        </w:tc>
        <w:tc>
          <w:tcPr>
            <w:tcW w:w="4138" w:type="pct"/>
            <w:tcBorders>
              <w:top w:val="single" w:color="auto" w:sz="2" w:space="0"/>
              <w:left w:val="single" w:color="auto" w:sz="2" w:space="0"/>
              <w:bottom w:val="single" w:color="auto" w:sz="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数字电路服务要求：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1.端到端的电路误码率≤1×</w:t>
            </w:r>
            <w:r>
              <w:drawing>
                <wp:inline distT="0" distB="0" distL="0" distR="0">
                  <wp:extent cx="723900" cy="276225"/>
                  <wp:effectExtent l="0" t="0" r="0" b="9525"/>
                  <wp:docPr id="1" name="图片 1" descr="C:\Users\ADMINI~1\AppData\Local\Temp\ksohtml965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9656\wps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723900" cy="276225"/>
                          </a:xfrm>
                          <a:prstGeom prst="rect">
                            <a:avLst/>
                          </a:prstGeom>
                          <a:noFill/>
                          <a:ln>
                            <a:noFill/>
                          </a:ln>
                        </pic:spPr>
                      </pic:pic>
                    </a:graphicData>
                  </a:graphic>
                </wp:inline>
              </w:drawing>
            </w:r>
            <w:r>
              <w:rPr>
                <w:rFonts w:hint="eastAsia" w:ascii="仿宋" w:hAnsi="仿宋" w:eastAsia="仿宋"/>
                <w:sz w:val="28"/>
                <w:szCs w:val="28"/>
              </w:rPr>
              <w:t>，电路年可用率≧99.00%；</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2.具备全面监控网络运行情况能力，确保网络故障的早发现、早预警、早排除。</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3.要求根据未来业务的增长和变化，能实现平滑地扩充和升级，最大程度的减少对网络架构和现有设备的调整。</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4.拥有完善的售后运维服务体系，提供7*24小时售后技术支撑，响应时间≤30分钟，到达现场时间≤2小时，故障修复时间≤4小时（不可抗力除外）。</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04" w:hRule="atLeast"/>
          <w:jc w:val="center"/>
        </w:trPr>
        <w:tc>
          <w:tcPr>
            <w:tcW w:w="0" w:type="auto"/>
            <w:vMerge w:val="continue"/>
            <w:tcBorders>
              <w:top w:val="nil"/>
              <w:left w:val="single" w:color="auto" w:sz="12" w:space="0"/>
              <w:bottom w:val="single" w:color="auto" w:sz="2" w:space="0"/>
              <w:right w:val="single" w:color="auto" w:sz="2" w:space="0"/>
            </w:tcBorders>
            <w:vAlign w:val="center"/>
          </w:tcPr>
          <w:p>
            <w:pPr>
              <w:rPr>
                <w:rFonts w:ascii="仿宋" w:hAnsi="仿宋" w:eastAsia="仿宋"/>
                <w:kern w:val="2"/>
                <w:sz w:val="28"/>
                <w:szCs w:val="28"/>
              </w:rPr>
            </w:pPr>
          </w:p>
        </w:tc>
        <w:tc>
          <w:tcPr>
            <w:tcW w:w="4138"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裸光纤服务要求：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1.提供的光纤链路为单模光纤，光路两端ODF衰耗≤1.5dB，光缆衰耗≤0.25dB/公里尾纤衰耗≤2.5dB/条，端到端裸芯接口标准光功率计衰耗≤25dB。</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2.供应商负责布放本项目所涉及的全部光缆，完成光缆接入指定机房位置的全部施工工作。</w:t>
            </w:r>
          </w:p>
        </w:tc>
      </w:tr>
    </w:tbl>
    <w:p>
      <w:pPr>
        <w:ind w:firstLine="480" w:firstLineChars="200"/>
        <w:jc w:val="both"/>
      </w:pPr>
      <w:r>
        <w:rPr>
          <w:rFonts w:hint="eastAsia"/>
        </w:rPr>
        <w:t>（2）互联网光纤专线服务标准</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540"/>
        <w:gridCol w:w="738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3"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4137"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服务承诺及评价方法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3" w:type="pct"/>
            <w:tcBorders>
              <w:top w:val="single" w:color="auto" w:sz="2" w:space="0"/>
              <w:left w:val="single" w:color="auto" w:sz="12" w:space="0"/>
              <w:bottom w:val="single" w:color="auto" w:sz="1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互联网光纤专线</w:t>
            </w:r>
          </w:p>
        </w:tc>
        <w:tc>
          <w:tcPr>
            <w:tcW w:w="4137"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1.带宽：按采购人要求相应提供上下行对称互联网出口带宽，所提供的互联网出口数据链路带宽为独占带宽，独享VIP网络通道，网速不受宽带使用高峰期的影响。</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2.服务：提供7×24小时网络监控，7×24小时故障受理，承诺故障出现时响应时间≤30分钟，赶到现场时间≤2小时，故障修复时间≤4小时（市政施工、不可抗力等除外）。</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3.为本次项目配置专属项目工程师，负责日常售后服务工作的一点接应和线路故障处理。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4.提供互联网接入服务，包含线路的安装、调试及运维服务。</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5.供应商或其上级公司(或上级公司的子公司或上级单位的控股公司)具有包括但不限于网络DDOS防护的发明专利证书或软件著作权。</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6.供应商或其上级公司(或上级公司的子公司)具有相关国家信息化主管部门或行使国家互联网络信息相关职责的权威机构发布的供应商拥有的按分配单位IP地址规模的证明材料。</w:t>
            </w:r>
          </w:p>
        </w:tc>
      </w:tr>
    </w:tbl>
    <w:p>
      <w:pPr>
        <w:ind w:firstLine="480" w:firstLineChars="200"/>
        <w:jc w:val="both"/>
      </w:pPr>
      <w:r>
        <w:rPr>
          <w:rFonts w:hint="eastAsia"/>
        </w:rPr>
        <w:t>（3）社区信息专网融合（SD-WAN）服务标准</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616"/>
        <w:gridCol w:w="730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3"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4137"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服务承诺及评价方法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3" w:type="pct"/>
            <w:tcBorders>
              <w:top w:val="single" w:color="auto" w:sz="2" w:space="0"/>
              <w:left w:val="single" w:color="auto" w:sz="12" w:space="0"/>
              <w:bottom w:val="single" w:color="auto" w:sz="12" w:space="0"/>
              <w:right w:val="single" w:color="auto" w:sz="2" w:space="0"/>
            </w:tcBorders>
            <w:vAlign w:val="center"/>
          </w:tcPr>
          <w:p>
            <w:pPr>
              <w:spacing w:line="440" w:lineRule="exact"/>
              <w:rPr>
                <w:rFonts w:ascii="仿宋" w:hAnsi="仿宋" w:eastAsia="仿宋"/>
                <w:sz w:val="28"/>
                <w:szCs w:val="28"/>
              </w:rPr>
            </w:pPr>
            <w:r>
              <w:rPr>
                <w:rFonts w:hint="eastAsia" w:ascii="仿宋" w:hAnsi="仿宋" w:eastAsia="仿宋"/>
                <w:sz w:val="28"/>
                <w:szCs w:val="28"/>
              </w:rPr>
              <w:t>社区信息专网融合（SD-WAN）服务</w:t>
            </w:r>
          </w:p>
        </w:tc>
        <w:tc>
          <w:tcPr>
            <w:tcW w:w="4137"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服务总体要求：采用SD-WAN技术完成社区（村）的社区专网建设，提供网络接入和汇聚服务。同时在各区（县）电子政务机房或各区（县）电子政务管理机构指定地点分别建设区（县）统一网管平台，实现各区（县）及网络的区（县）属地化管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2.社区（村）接入 CPE 服务要求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标配 4G 或 5G 无线接入功能（含无线接入用 SIM 卡、流量等开通服务等全部服务及费用），支持即插即用，确保在有线线路或其网络服务出现故障的情况下仍可通过 4G 或 5G 正常提供电子政务外网服务。</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3.区（县）汇聚 CPE 服务要求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应在区（县）实现与区（县）社会综治视联网的互联互通。</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4.SD-WAN 服务其他要求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4.1.采用国密技术实现端到端加密，达到密码测评要求。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4.2.SD-WAN 支持集中管理平台统一配置，SD-WAN 信息进行统一配置后，安装人员只需简单接线即可开通使用，无需额外进行配置；</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4.3.集中管理平台可灵活调整组网结构为网状结构、总部分支星状结构或自定义组网结构。采购人可在集中管理平台上快速进行组网调节，并且可查看完整的拓扑图及相应的站点间连接质量。</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5.区（县）统一网管平台要求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在各区（县）电子政务机房或各区（县）电子政务管理机构指定地点分别建设各区（县）统一网管平台，实现各区（县）SD-WAN 及网络服务的区（县）属地化运维管理，具体要求如下：</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5.1集中管理平台可对全网进行可视化管理，可通过平台对 SD-WAN 进行统一策略配置及下发，减轻维护工作量；</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5.2集中管理平台可灵活调整组网结构为网状结构、总部分支星状结构或自定义组网结构。采购人可在集中管理平台上快速进行组网调节，并且可查看完整的拓扑图及相应的站点间连接质量；</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5.3集中管理平台可以提供分级账号，根据权限远程登录查看相关的采购人站点及线路信息。权限分级至少支持三级。</w:t>
            </w:r>
          </w:p>
        </w:tc>
      </w:tr>
    </w:tbl>
    <w:p>
      <w:pPr>
        <w:ind w:firstLine="480" w:firstLineChars="200"/>
        <w:jc w:val="both"/>
        <w:rPr>
          <w:b/>
        </w:rPr>
      </w:pPr>
      <w:r>
        <w:rPr>
          <w:rFonts w:hint="eastAsia"/>
          <w:b/>
        </w:rPr>
        <w:t>（二）采购包四、五（基础环境运维）</w:t>
      </w:r>
    </w:p>
    <w:p>
      <w:pPr>
        <w:ind w:firstLine="480" w:firstLineChars="200"/>
        <w:jc w:val="both"/>
      </w:pPr>
      <w:r>
        <w:rPr>
          <w:rFonts w:hint="eastAsia"/>
        </w:rPr>
        <w:t>1.业务定义与规格</w:t>
      </w:r>
    </w:p>
    <w:p>
      <w:pPr>
        <w:ind w:firstLine="480" w:firstLineChars="200"/>
        <w:jc w:val="both"/>
      </w:pPr>
      <w:r>
        <w:rPr>
          <w:rFonts w:hint="eastAsia"/>
        </w:rPr>
        <w:t>（1）传输线路</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981"/>
        <w:gridCol w:w="1899"/>
        <w:gridCol w:w="504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10" w:type="pct"/>
            <w:tcBorders>
              <w:top w:val="single" w:color="auto" w:sz="12" w:space="0"/>
              <w:left w:val="single" w:color="auto" w:sz="1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业务名称</w:t>
            </w:r>
          </w:p>
        </w:tc>
        <w:tc>
          <w:tcPr>
            <w:tcW w:w="1064" w:type="pct"/>
            <w:tcBorders>
              <w:top w:val="single" w:color="auto" w:sz="12" w:space="0"/>
              <w:left w:val="single" w:color="auto" w:sz="2" w:space="0"/>
              <w:bottom w:val="single" w:color="auto" w:sz="2" w:space="0"/>
              <w:right w:val="single" w:color="auto" w:sz="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服务类型</w:t>
            </w:r>
          </w:p>
        </w:tc>
        <w:tc>
          <w:tcPr>
            <w:tcW w:w="2826" w:type="pct"/>
            <w:tcBorders>
              <w:top w:val="single" w:color="auto" w:sz="12" w:space="0"/>
              <w:left w:val="single" w:color="auto" w:sz="2" w:space="0"/>
              <w:bottom w:val="single" w:color="auto" w:sz="2" w:space="0"/>
              <w:right w:val="single" w:color="auto" w:sz="12" w:space="0"/>
            </w:tcBorders>
            <w:shd w:val="clear" w:color="auto" w:fill="F2F2F2"/>
            <w:vAlign w:val="center"/>
          </w:tcPr>
          <w:p>
            <w:pPr>
              <w:spacing w:line="440" w:lineRule="exact"/>
              <w:jc w:val="center"/>
              <w:rPr>
                <w:rFonts w:ascii="仿宋" w:hAnsi="仿宋" w:eastAsia="仿宋"/>
                <w:sz w:val="28"/>
                <w:szCs w:val="28"/>
              </w:rPr>
            </w:pPr>
            <w:r>
              <w:rPr>
                <w:rFonts w:hint="eastAsia" w:ascii="仿宋" w:hAnsi="仿宋" w:eastAsia="仿宋"/>
                <w:sz w:val="28"/>
                <w:szCs w:val="28"/>
              </w:rPr>
              <w:t>业务描述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10" w:type="pct"/>
            <w:vMerge w:val="restart"/>
            <w:tcBorders>
              <w:top w:val="nil"/>
              <w:left w:val="single" w:color="auto" w:sz="12" w:space="0"/>
              <w:bottom w:val="single" w:color="auto" w:sz="2" w:space="0"/>
              <w:right w:val="single" w:color="auto" w:sz="2" w:space="0"/>
            </w:tcBorders>
            <w:vAlign w:val="center"/>
          </w:tcPr>
          <w:p>
            <w:pPr>
              <w:spacing w:line="440" w:lineRule="exact"/>
              <w:jc w:val="both"/>
              <w:rPr>
                <w:rFonts w:ascii="仿宋" w:hAnsi="仿宋" w:eastAsia="仿宋"/>
                <w:sz w:val="28"/>
                <w:szCs w:val="28"/>
              </w:rPr>
            </w:pPr>
            <w:r>
              <w:rPr>
                <w:rFonts w:hint="eastAsia" w:ascii="仿宋" w:hAnsi="仿宋" w:eastAsia="仿宋"/>
                <w:sz w:val="28"/>
                <w:szCs w:val="28"/>
              </w:rPr>
              <w:t>传输线路</w:t>
            </w:r>
          </w:p>
        </w:tc>
        <w:tc>
          <w:tcPr>
            <w:tcW w:w="1064" w:type="pct"/>
            <w:tcBorders>
              <w:top w:val="single" w:color="auto" w:sz="2" w:space="0"/>
              <w:left w:val="single" w:color="auto" w:sz="2" w:space="0"/>
              <w:bottom w:val="single" w:color="auto" w:sz="2" w:space="0"/>
              <w:right w:val="single" w:color="auto" w:sz="2" w:space="0"/>
            </w:tcBorders>
            <w:vAlign w:val="center"/>
          </w:tcPr>
          <w:p>
            <w:pPr>
              <w:spacing w:line="440" w:lineRule="exact"/>
              <w:jc w:val="both"/>
              <w:rPr>
                <w:rFonts w:ascii="仿宋" w:hAnsi="仿宋" w:eastAsia="仿宋"/>
                <w:sz w:val="28"/>
                <w:szCs w:val="28"/>
              </w:rPr>
            </w:pPr>
            <w:r>
              <w:rPr>
                <w:rFonts w:hint="eastAsia" w:ascii="仿宋" w:hAnsi="仿宋" w:eastAsia="仿宋"/>
                <w:sz w:val="28"/>
                <w:szCs w:val="28"/>
              </w:rPr>
              <w:t>数字电路</w:t>
            </w:r>
          </w:p>
        </w:tc>
        <w:tc>
          <w:tcPr>
            <w:tcW w:w="2826" w:type="pct"/>
            <w:tcBorders>
              <w:top w:val="single" w:color="auto" w:sz="2" w:space="0"/>
              <w:left w:val="single" w:color="auto" w:sz="2" w:space="0"/>
              <w:bottom w:val="single" w:color="auto" w:sz="2" w:space="0"/>
              <w:right w:val="single" w:color="auto" w:sz="12" w:space="0"/>
            </w:tcBorders>
            <w:vAlign w:val="center"/>
          </w:tcPr>
          <w:p>
            <w:pPr>
              <w:spacing w:line="440" w:lineRule="exact"/>
              <w:ind w:firstLine="560" w:firstLineChars="200"/>
              <w:jc w:val="both"/>
              <w:rPr>
                <w:rFonts w:ascii="仿宋" w:hAnsi="仿宋" w:eastAsia="仿宋"/>
                <w:sz w:val="28"/>
                <w:szCs w:val="28"/>
              </w:rPr>
            </w:pPr>
            <w:r>
              <w:rPr>
                <w:rFonts w:hint="eastAsia" w:ascii="仿宋" w:hAnsi="仿宋" w:eastAsia="仿宋"/>
                <w:sz w:val="28"/>
                <w:szCs w:val="28"/>
              </w:rPr>
              <w:t>数字电路是</w:t>
            </w:r>
            <w:r>
              <w:fldChar w:fldCharType="begin"/>
            </w:r>
            <w:r>
              <w:instrText xml:space="preserve"> HYPERLINK "https://baike.baidu.com/item/%E9%80%9A%E4%BF%A1%E7%BD%91/2300853?fromModule=lemma_inlink" </w:instrText>
            </w:r>
            <w:r>
              <w:fldChar w:fldCharType="separate"/>
            </w:r>
            <w:r>
              <w:rPr>
                <w:rFonts w:ascii="仿宋" w:hAnsi="仿宋" w:eastAsia="仿宋"/>
                <w:sz w:val="28"/>
                <w:szCs w:val="28"/>
              </w:rPr>
              <w:t>通信网</w:t>
            </w:r>
            <w:r>
              <w:rPr>
                <w:rFonts w:ascii="仿宋" w:hAnsi="仿宋" w:eastAsia="仿宋"/>
                <w:sz w:val="28"/>
                <w:szCs w:val="28"/>
              </w:rPr>
              <w:fldChar w:fldCharType="end"/>
            </w:r>
            <w:r>
              <w:rPr>
                <w:rFonts w:hint="eastAsia" w:ascii="仿宋" w:hAnsi="仿宋" w:eastAsia="仿宋"/>
                <w:sz w:val="28"/>
                <w:szCs w:val="28"/>
              </w:rPr>
              <w:t>中连接节点的物理路径，通过电缆、</w:t>
            </w:r>
            <w:r>
              <w:fldChar w:fldCharType="begin"/>
            </w:r>
            <w:r>
              <w:instrText xml:space="preserve"> HYPERLINK "https://baike.baidu.com/item/%E5%85%89%E7%BA%A4/171632?fromModule=lemma_inlink" </w:instrText>
            </w:r>
            <w:r>
              <w:fldChar w:fldCharType="separate"/>
            </w:r>
            <w:r>
              <w:rPr>
                <w:rFonts w:ascii="仿宋" w:hAnsi="仿宋" w:eastAsia="仿宋"/>
                <w:sz w:val="28"/>
                <w:szCs w:val="28"/>
              </w:rPr>
              <w:t>光纤</w:t>
            </w:r>
            <w:r>
              <w:rPr>
                <w:rFonts w:ascii="仿宋" w:hAnsi="仿宋" w:eastAsia="仿宋"/>
                <w:sz w:val="28"/>
                <w:szCs w:val="28"/>
              </w:rPr>
              <w:fldChar w:fldCharType="end"/>
            </w:r>
            <w:r>
              <w:rPr>
                <w:rFonts w:hint="eastAsia" w:ascii="仿宋" w:hAnsi="仿宋" w:eastAsia="仿宋"/>
                <w:sz w:val="28"/>
                <w:szCs w:val="28"/>
              </w:rPr>
              <w:t>等介质实现数据传输。</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0" w:type="auto"/>
            <w:vMerge w:val="continue"/>
            <w:tcBorders>
              <w:top w:val="nil"/>
              <w:left w:val="single" w:color="auto" w:sz="12" w:space="0"/>
              <w:bottom w:val="single" w:color="auto" w:sz="2" w:space="0"/>
              <w:right w:val="single" w:color="auto" w:sz="2" w:space="0"/>
            </w:tcBorders>
            <w:vAlign w:val="center"/>
          </w:tcPr>
          <w:p>
            <w:pPr>
              <w:jc w:val="both"/>
              <w:rPr>
                <w:rFonts w:ascii="仿宋" w:hAnsi="仿宋" w:eastAsia="仿宋"/>
                <w:kern w:val="2"/>
                <w:sz w:val="28"/>
                <w:szCs w:val="28"/>
              </w:rPr>
            </w:pPr>
          </w:p>
        </w:tc>
        <w:tc>
          <w:tcPr>
            <w:tcW w:w="1064" w:type="pct"/>
            <w:tcBorders>
              <w:top w:val="single" w:color="auto" w:sz="2" w:space="0"/>
              <w:left w:val="single" w:color="auto" w:sz="2" w:space="0"/>
              <w:bottom w:val="single" w:color="auto" w:sz="12" w:space="0"/>
              <w:right w:val="single" w:color="auto" w:sz="2" w:space="0"/>
            </w:tcBorders>
            <w:vAlign w:val="center"/>
          </w:tcPr>
          <w:p>
            <w:pPr>
              <w:spacing w:line="440" w:lineRule="exact"/>
              <w:jc w:val="both"/>
              <w:rPr>
                <w:rFonts w:ascii="仿宋" w:hAnsi="仿宋" w:eastAsia="仿宋"/>
                <w:sz w:val="28"/>
                <w:szCs w:val="28"/>
              </w:rPr>
            </w:pPr>
            <w:r>
              <w:rPr>
                <w:rFonts w:hint="eastAsia" w:ascii="仿宋" w:hAnsi="仿宋" w:eastAsia="仿宋"/>
                <w:sz w:val="28"/>
                <w:szCs w:val="28"/>
              </w:rPr>
              <w:t>裸光纤</w:t>
            </w:r>
          </w:p>
        </w:tc>
        <w:tc>
          <w:tcPr>
            <w:tcW w:w="2826"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jc w:val="both"/>
              <w:rPr>
                <w:rFonts w:ascii="仿宋" w:hAnsi="仿宋" w:eastAsia="仿宋"/>
                <w:sz w:val="28"/>
                <w:szCs w:val="28"/>
              </w:rPr>
            </w:pPr>
            <w:r>
              <w:rPr>
                <w:rFonts w:hint="eastAsia" w:ascii="仿宋" w:hAnsi="仿宋" w:eastAsia="仿宋"/>
                <w:sz w:val="28"/>
                <w:szCs w:val="28"/>
              </w:rPr>
              <w:t>指通过供应商提供的纯净光纤的物理线路，中间不经过任何交换机或路由器，只经过配线架或配线箱做光纤跳纤，以提供不做任何业务封装的全透明传输通道。</w:t>
            </w:r>
          </w:p>
        </w:tc>
      </w:tr>
    </w:tbl>
    <w:p>
      <w:pPr>
        <w:ind w:firstLine="480" w:firstLineChars="200"/>
        <w:jc w:val="both"/>
      </w:pPr>
      <w:r>
        <w:rPr>
          <w:rFonts w:hint="eastAsia"/>
        </w:rPr>
        <w:t>2.关键指标要求</w:t>
      </w:r>
    </w:p>
    <w:p>
      <w:pPr>
        <w:ind w:firstLine="480" w:firstLineChars="200"/>
        <w:jc w:val="both"/>
      </w:pPr>
      <w:r>
        <w:rPr>
          <w:rFonts w:hint="eastAsia"/>
        </w:rPr>
        <w:t>传输线路服务标准</w:t>
      </w:r>
    </w:p>
    <w:tbl>
      <w:tblPr>
        <w:tblStyle w:val="24"/>
        <w:tblW w:w="892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538"/>
        <w:gridCol w:w="7385"/>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2" w:type="pct"/>
            <w:tcBorders>
              <w:top w:val="single" w:color="auto" w:sz="12" w:space="0"/>
              <w:left w:val="single" w:color="auto" w:sz="12" w:space="0"/>
              <w:bottom w:val="single" w:color="auto" w:sz="2" w:space="0"/>
              <w:right w:val="single" w:color="auto" w:sz="2" w:space="0"/>
            </w:tcBorders>
            <w:shd w:val="clear" w:color="auto" w:fill="F2F2F2"/>
            <w:vAlign w:val="center"/>
          </w:tcPr>
          <w:p>
            <w:pPr>
              <w:jc w:val="center"/>
              <w:rPr>
                <w:rFonts w:ascii="仿宋" w:hAnsi="仿宋" w:eastAsia="仿宋"/>
                <w:sz w:val="28"/>
                <w:szCs w:val="28"/>
              </w:rPr>
            </w:pPr>
            <w:r>
              <w:rPr>
                <w:rFonts w:hint="eastAsia" w:ascii="仿宋" w:hAnsi="仿宋" w:eastAsia="仿宋"/>
                <w:sz w:val="28"/>
                <w:szCs w:val="28"/>
              </w:rPr>
              <w:t>服务类型</w:t>
            </w:r>
          </w:p>
        </w:tc>
        <w:tc>
          <w:tcPr>
            <w:tcW w:w="4138" w:type="pct"/>
            <w:tcBorders>
              <w:top w:val="single" w:color="auto" w:sz="12" w:space="0"/>
              <w:left w:val="single" w:color="auto" w:sz="2" w:space="0"/>
              <w:bottom w:val="single" w:color="auto" w:sz="2" w:space="0"/>
              <w:right w:val="single" w:color="auto" w:sz="12" w:space="0"/>
            </w:tcBorders>
            <w:shd w:val="clear" w:color="auto" w:fill="F2F2F2"/>
            <w:vAlign w:val="center"/>
          </w:tcPr>
          <w:p>
            <w:pPr>
              <w:jc w:val="center"/>
              <w:rPr>
                <w:rFonts w:ascii="仿宋" w:hAnsi="仿宋" w:eastAsia="仿宋"/>
                <w:sz w:val="28"/>
                <w:szCs w:val="28"/>
              </w:rPr>
            </w:pPr>
            <w:r>
              <w:rPr>
                <w:rFonts w:hint="eastAsia" w:ascii="仿宋" w:hAnsi="仿宋" w:eastAsia="仿宋"/>
                <w:sz w:val="28"/>
                <w:szCs w:val="28"/>
              </w:rPr>
              <w:t>服务承诺及评价方法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04" w:hRule="atLeast"/>
          <w:jc w:val="center"/>
        </w:trPr>
        <w:tc>
          <w:tcPr>
            <w:tcW w:w="862" w:type="pct"/>
            <w:vMerge w:val="restart"/>
            <w:tcBorders>
              <w:top w:val="nil"/>
              <w:left w:val="single" w:color="auto" w:sz="12" w:space="0"/>
              <w:bottom w:val="single" w:color="auto" w:sz="2" w:space="0"/>
              <w:right w:val="single" w:color="auto" w:sz="2" w:space="0"/>
            </w:tcBorders>
            <w:vAlign w:val="center"/>
          </w:tcPr>
          <w:p>
            <w:pPr>
              <w:rPr>
                <w:rFonts w:ascii="仿宋" w:hAnsi="仿宋" w:eastAsia="仿宋"/>
                <w:sz w:val="28"/>
                <w:szCs w:val="28"/>
              </w:rPr>
            </w:pPr>
            <w:r>
              <w:rPr>
                <w:rFonts w:hint="eastAsia" w:ascii="仿宋" w:hAnsi="仿宋" w:eastAsia="仿宋"/>
                <w:sz w:val="28"/>
                <w:szCs w:val="28"/>
              </w:rPr>
              <w:t>传输线路</w:t>
            </w:r>
          </w:p>
        </w:tc>
        <w:tc>
          <w:tcPr>
            <w:tcW w:w="4138" w:type="pct"/>
            <w:tcBorders>
              <w:top w:val="single" w:color="auto" w:sz="2" w:space="0"/>
              <w:left w:val="single" w:color="auto" w:sz="2" w:space="0"/>
              <w:bottom w:val="single" w:color="auto" w:sz="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数字电路服务要求：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1.端到端的电路误码率≤1×</w:t>
            </w:r>
            <w:r>
              <w:drawing>
                <wp:inline distT="0" distB="0" distL="0" distR="0">
                  <wp:extent cx="723900" cy="276225"/>
                  <wp:effectExtent l="0" t="0" r="0" b="9525"/>
                  <wp:docPr id="2" name="图片 2" descr="C:\Users\ADMINI~1\AppData\Local\Temp\ksohtml965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sohtml9656\wps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723900" cy="276225"/>
                          </a:xfrm>
                          <a:prstGeom prst="rect">
                            <a:avLst/>
                          </a:prstGeom>
                          <a:noFill/>
                          <a:ln>
                            <a:noFill/>
                          </a:ln>
                        </pic:spPr>
                      </pic:pic>
                    </a:graphicData>
                  </a:graphic>
                </wp:inline>
              </w:drawing>
            </w:r>
            <w:r>
              <w:rPr>
                <w:rFonts w:hint="eastAsia" w:ascii="仿宋" w:hAnsi="仿宋" w:eastAsia="仿宋"/>
                <w:sz w:val="28"/>
                <w:szCs w:val="28"/>
              </w:rPr>
              <w:t>，电路年可用率≧99.00%。</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2.具备全面监控网络运行情况能力，确保网络故障的早发现、早预警、早排除。</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3.要求根据未来业务的增长和变化，能实现平滑地扩充和升级，最大程度的减少对网络架构和现有设备的调整。</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4.拥有完善的售后运维服务体系，提供7*24小时售后技术支撑，响应时间≤30分钟，到达现场时间≤2小时，故障修复时间≤4小时（不可抗力除外）。</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04" w:hRule="atLeast"/>
          <w:jc w:val="center"/>
        </w:trPr>
        <w:tc>
          <w:tcPr>
            <w:tcW w:w="0" w:type="auto"/>
            <w:vMerge w:val="continue"/>
            <w:tcBorders>
              <w:top w:val="nil"/>
              <w:left w:val="single" w:color="auto" w:sz="12" w:space="0"/>
              <w:bottom w:val="single" w:color="auto" w:sz="2" w:space="0"/>
              <w:right w:val="single" w:color="auto" w:sz="2" w:space="0"/>
            </w:tcBorders>
            <w:vAlign w:val="center"/>
          </w:tcPr>
          <w:p>
            <w:pPr>
              <w:rPr>
                <w:rFonts w:ascii="仿宋" w:hAnsi="仿宋" w:eastAsia="仿宋"/>
                <w:kern w:val="2"/>
                <w:sz w:val="28"/>
                <w:szCs w:val="28"/>
              </w:rPr>
            </w:pPr>
          </w:p>
        </w:tc>
        <w:tc>
          <w:tcPr>
            <w:tcW w:w="4138" w:type="pct"/>
            <w:tcBorders>
              <w:top w:val="single" w:color="auto" w:sz="2" w:space="0"/>
              <w:left w:val="single" w:color="auto" w:sz="2" w:space="0"/>
              <w:bottom w:val="single" w:color="auto" w:sz="12" w:space="0"/>
              <w:right w:val="single" w:color="auto" w:sz="12"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裸光纤服务要求：</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1.提供的光纤链路为单模光纤，光路两端ODF衰耗≤1.5dB，光缆衰耗≤0.25dB/公里尾纤衰耗≤2.5dB/条，端到端裸芯接口标准光功率计衰耗≤25dB。</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2.供应商负责布放本项目所涉及的全部光缆，完成光缆接入指定机房位置的全部施工工作。</w:t>
            </w:r>
          </w:p>
        </w:tc>
      </w:tr>
    </w:tbl>
    <w:p>
      <w:pPr>
        <w:pStyle w:val="3"/>
        <w:jc w:val="both"/>
      </w:pPr>
      <w:r>
        <w:rPr>
          <w:rFonts w:hint="eastAsia"/>
        </w:rPr>
        <w:t>四、服务要求</w:t>
      </w:r>
    </w:p>
    <w:p>
      <w:pPr>
        <w:ind w:firstLine="480" w:firstLineChars="200"/>
        <w:jc w:val="both"/>
      </w:pPr>
      <w:r>
        <w:t>（一）</w:t>
      </w:r>
      <w:r>
        <w:rPr>
          <w:rFonts w:hint="eastAsia"/>
        </w:rPr>
        <w:t>服务人员</w:t>
      </w:r>
    </w:p>
    <w:p>
      <w:pPr>
        <w:ind w:firstLine="480" w:firstLineChars="200"/>
        <w:jc w:val="both"/>
      </w:pPr>
      <w:r>
        <w:rPr>
          <w:rFonts w:hint="eastAsia"/>
        </w:rPr>
        <w:t>供应商需针对本次网络线路租用服务提供专职维护人员提供巡检及维护服务，要求至少1人负责网络线路及现场的日常维护。</w:t>
      </w:r>
    </w:p>
    <w:p>
      <w:pPr>
        <w:ind w:firstLine="480" w:firstLineChars="200"/>
        <w:jc w:val="both"/>
      </w:pPr>
      <w:r>
        <w:rPr>
          <w:rFonts w:hint="eastAsia"/>
        </w:rPr>
        <w:t>供应商须书面承诺，如在项目实际执行过程中发生服务人员不能按招标文件要求胜任相关工作的，采购人有权要求更换服务人员，供应商须在两周内调整为符合招标文件要求且能胜任相关工作的服务人员并到位开展工作，否则采购人有权终止合同并报相关管理部门进行处理。</w:t>
      </w:r>
    </w:p>
    <w:p>
      <w:pPr>
        <w:ind w:firstLine="480" w:firstLineChars="200"/>
        <w:jc w:val="both"/>
      </w:pPr>
      <w:r>
        <w:rPr>
          <w:rFonts w:hint="eastAsia"/>
        </w:rPr>
        <w:t>（二）进度要求</w:t>
      </w:r>
    </w:p>
    <w:p>
      <w:pPr>
        <w:ind w:firstLine="480" w:firstLineChars="200"/>
        <w:jc w:val="both"/>
      </w:pPr>
      <w:r>
        <w:rPr>
          <w:rFonts w:hint="eastAsia"/>
        </w:rPr>
        <w:t>各中标供应商自中标之日起15个工作日内完成线路开通服务工作。追加开通及变更的网络服务交付时间，按上述技术要求中对应类型的服务承诺及评价方法中要求进行交付:</w:t>
      </w:r>
    </w:p>
    <w:p>
      <w:pPr>
        <w:ind w:firstLine="480" w:firstLineChars="200"/>
        <w:jc w:val="both"/>
      </w:pPr>
      <w:r>
        <w:rPr>
          <w:rFonts w:hint="eastAsia"/>
        </w:rPr>
        <w:t>（三）组织实施要求</w:t>
      </w:r>
    </w:p>
    <w:p>
      <w:pPr>
        <w:ind w:firstLine="480" w:firstLineChars="200"/>
        <w:jc w:val="both"/>
      </w:pPr>
      <w:r>
        <w:rPr>
          <w:rFonts w:hint="eastAsia"/>
        </w:rPr>
        <w:t>为使项目按质、按量、按时及有序实施，供应商应建立完善、稳定的项目团队、内部组织管理方式及管理机构、协调机制、技术基础，支撑保障要求及其他相关要求。在机制保障方面，成立组织实施小组和项目专家组的双轨制的组织模式。在项目日常管理和条件保障方面，从行政组织、后勤保障和支撑条件各方面创造良好的服务环境，确保项目的顺利实施。</w:t>
      </w:r>
    </w:p>
    <w:p>
      <w:pPr>
        <w:ind w:firstLine="480" w:firstLineChars="200"/>
        <w:jc w:val="both"/>
      </w:pPr>
      <w:r>
        <w:rPr>
          <w:rFonts w:hint="eastAsia"/>
        </w:rPr>
        <w:t>（四）文档管理要求</w:t>
      </w:r>
    </w:p>
    <w:p>
      <w:pPr>
        <w:ind w:firstLine="480" w:firstLineChars="200"/>
        <w:jc w:val="both"/>
      </w:pPr>
      <w:r>
        <w:rPr>
          <w:rFonts w:hint="eastAsia"/>
        </w:rPr>
        <w:t>供应商应在项目完成时，将本项目所有文档、资料汇集成册交付给采购人，所有文件要求用中文书写或有完整的中文注释。交付验收后，供应商按采购人档案管理要求，向采购人提供装订成册的纸质文档至少 1 套，电子文档 1 套。所提供服务的验收须提交包括但不限于以下文档：服务阶段的《月度服务报告》、《故障处理报告》、验收阶段的《服务总结报告》等。</w:t>
      </w:r>
    </w:p>
    <w:p>
      <w:pPr>
        <w:ind w:firstLine="480" w:firstLineChars="200"/>
        <w:jc w:val="both"/>
      </w:pPr>
      <w:r>
        <w:rPr>
          <w:rFonts w:hint="eastAsia"/>
        </w:rPr>
        <w:t>（五）安全保障要求</w:t>
      </w:r>
    </w:p>
    <w:p>
      <w:pPr>
        <w:ind w:firstLine="480" w:firstLineChars="200"/>
        <w:jc w:val="both"/>
      </w:pPr>
      <w:r>
        <w:rPr>
          <w:rFonts w:hint="eastAsia"/>
        </w:rPr>
        <w:t>供应商所提供的服务需满足国家政策、法律法规要求，相关工作所涉及到的采购人信息系统，要采取安全防护措施，防止数据泄露、丢失和被非法修改，并保障数据的完整性和有效性。</w:t>
      </w:r>
    </w:p>
    <w:p>
      <w:pPr>
        <w:ind w:firstLine="480" w:firstLineChars="200"/>
        <w:jc w:val="both"/>
      </w:pPr>
      <w:r>
        <w:rPr>
          <w:rFonts w:hint="eastAsia"/>
        </w:rPr>
        <w:t>（六）考核要求</w:t>
      </w:r>
    </w:p>
    <w:p>
      <w:pPr>
        <w:ind w:firstLine="480" w:firstLineChars="200"/>
        <w:jc w:val="both"/>
      </w:pPr>
      <w:r>
        <w:rPr>
          <w:rFonts w:hint="eastAsia"/>
        </w:rPr>
        <w:t>采购人有权对供应商整体维护工作的服务质量进行系统化管理和客观评价，考核的评价结果作为采购人向供应商支付费用的依据，详细考核指标及要求见附件《西安市电子政务网专线接入服务项目服务考核办法》。</w:t>
      </w:r>
    </w:p>
    <w:p>
      <w:pPr>
        <w:pStyle w:val="3"/>
        <w:jc w:val="both"/>
      </w:pPr>
      <w:r>
        <w:t>五、</w:t>
      </w:r>
      <w:r>
        <w:rPr>
          <w:rFonts w:hint="eastAsia"/>
        </w:rPr>
        <w:t>商务</w:t>
      </w:r>
      <w:r>
        <w:t>要求及其他</w:t>
      </w:r>
    </w:p>
    <w:p>
      <w:pPr>
        <w:pStyle w:val="81"/>
        <w:ind w:firstLine="480"/>
        <w:outlineLvl w:val="2"/>
      </w:pPr>
      <w:r>
        <w:rPr>
          <w:rFonts w:hint="eastAsia"/>
        </w:rPr>
        <w:t>服务期：项目服务期为3个月，自中标之日起15个工作日内供应商需完成线路开通服务工作。</w:t>
      </w:r>
    </w:p>
    <w:p>
      <w:pPr>
        <w:rPr>
          <w:rFonts w:ascii="Calibri" w:hAnsi="Calibri" w:eastAsia="宋体" w:cstheme="minorHAnsi"/>
          <w:color w:val="000000"/>
          <w:kern w:val="24"/>
        </w:rPr>
      </w:pPr>
      <w:r>
        <w:br w:type="page"/>
      </w:r>
    </w:p>
    <w:p>
      <w:pPr>
        <w:widowControl w:val="0"/>
        <w:spacing w:line="278" w:lineRule="auto"/>
        <w:rPr>
          <w:rFonts w:ascii="仿宋" w:hAnsi="仿宋" w:eastAsia="仿宋"/>
          <w:sz w:val="28"/>
          <w:szCs w:val="28"/>
        </w:rPr>
      </w:pPr>
      <w:r>
        <w:rPr>
          <w:rFonts w:hint="eastAsia" w:ascii="宋体" w:hAnsi="宋体"/>
          <w:b/>
          <w:bCs/>
          <w:sz w:val="28"/>
          <w:szCs w:val="28"/>
        </w:rPr>
        <w:t>附件：</w:t>
      </w:r>
    </w:p>
    <w:p>
      <w:pPr>
        <w:widowControl w:val="0"/>
        <w:spacing w:line="360" w:lineRule="auto"/>
        <w:jc w:val="center"/>
        <w:rPr>
          <w:rFonts w:ascii="宋体" w:hAnsi="宋体"/>
          <w:b/>
          <w:bCs/>
          <w:sz w:val="32"/>
          <w:szCs w:val="32"/>
        </w:rPr>
      </w:pPr>
      <w:r>
        <w:rPr>
          <w:rFonts w:hint="eastAsia" w:ascii="宋体" w:hAnsi="宋体"/>
          <w:b/>
          <w:bCs/>
          <w:sz w:val="32"/>
          <w:szCs w:val="32"/>
        </w:rPr>
        <w:t>即时响应服务承诺函</w:t>
      </w:r>
    </w:p>
    <w:p>
      <w:pPr>
        <w:rPr>
          <w:rFonts w:asciiTheme="minorEastAsia" w:hAnsiTheme="minorEastAsia"/>
        </w:rPr>
      </w:pPr>
      <w:r>
        <w:rPr>
          <w:rFonts w:hint="eastAsia" w:asciiTheme="minorEastAsia" w:hAnsiTheme="minorEastAsia"/>
        </w:rPr>
        <w:t>致 [采购人]：</w:t>
      </w:r>
    </w:p>
    <w:p>
      <w:pPr>
        <w:ind w:firstLine="480" w:firstLineChars="200"/>
        <w:rPr>
          <w:rFonts w:asciiTheme="minorEastAsia" w:hAnsiTheme="minorEastAsia"/>
        </w:rPr>
      </w:pPr>
      <w:r>
        <w:rPr>
          <w:rFonts w:hint="eastAsia" w:asciiTheme="minorEastAsia" w:hAnsiTheme="minorEastAsia"/>
        </w:rPr>
        <w:t>[供应商]以下称我方，就 [</w:t>
      </w:r>
      <w:r>
        <w:rPr>
          <w:rFonts w:hint="eastAsia" w:asciiTheme="minorEastAsia" w:hAnsiTheme="minorEastAsia"/>
          <w:u w:val="single"/>
        </w:rPr>
        <w:t xml:space="preserve">（项目名称）   </w:t>
      </w:r>
      <w:r>
        <w:rPr>
          <w:rFonts w:hint="eastAsia" w:asciiTheme="minorEastAsia" w:hAnsiTheme="minorEastAsia"/>
        </w:rPr>
        <w:t>包号</w:t>
      </w:r>
      <w:r>
        <w:rPr>
          <w:rFonts w:hint="eastAsia" w:asciiTheme="minorEastAsia" w:hAnsiTheme="minorEastAsia"/>
          <w:u w:val="single"/>
        </w:rPr>
        <w:t xml:space="preserve"> </w:t>
      </w:r>
      <w:r>
        <w:rPr>
          <w:rFonts w:asciiTheme="minorEastAsia" w:hAnsiTheme="minorEastAsia"/>
          <w:u w:val="single"/>
        </w:rPr>
        <w:t xml:space="preserve">  </w:t>
      </w:r>
      <w:r>
        <w:rPr>
          <w:rFonts w:hint="eastAsia" w:asciiTheme="minorEastAsia" w:hAnsiTheme="minorEastAsia"/>
        </w:rPr>
        <w:t>（项目编号：</w:t>
      </w:r>
      <w:r>
        <w:rPr>
          <w:rFonts w:hint="eastAsia" w:asciiTheme="minorEastAsia" w:hAnsiTheme="minorEastAsia"/>
          <w:u w:val="single"/>
        </w:rPr>
        <w:t xml:space="preserve">       </w:t>
      </w:r>
      <w:r>
        <w:rPr>
          <w:rFonts w:hint="eastAsia" w:asciiTheme="minorEastAsia" w:hAnsiTheme="minorEastAsia"/>
        </w:rPr>
        <w:t>] 承诺，为本项目配备专业化服务团队，全天候响应、限时到场，提供招标文件所要求的全部服务内容。</w:t>
      </w:r>
    </w:p>
    <w:p>
      <w:pPr>
        <w:rPr>
          <w:rFonts w:asciiTheme="minorEastAsia" w:hAnsiTheme="minorEastAsia"/>
        </w:rPr>
      </w:pPr>
    </w:p>
    <w:p>
      <w:pPr>
        <w:rPr>
          <w:rFonts w:asciiTheme="minorEastAsia" w:hAnsiTheme="minorEastAsia"/>
        </w:rPr>
      </w:pPr>
    </w:p>
    <w:p>
      <w:pPr>
        <w:jc w:val="right"/>
        <w:rPr>
          <w:rFonts w:asciiTheme="minorEastAsia" w:hAnsiTheme="minorEastAsia"/>
        </w:rPr>
      </w:pPr>
      <w:r>
        <w:rPr>
          <w:rFonts w:hint="eastAsia" w:asciiTheme="minorEastAsia" w:hAnsiTheme="minorEastAsia"/>
        </w:rPr>
        <w:t>供应商（盖章）：[           ]</w:t>
      </w:r>
    </w:p>
    <w:p>
      <w:pPr>
        <w:ind w:right="480"/>
        <w:jc w:val="right"/>
      </w:pPr>
      <w:r>
        <w:rPr>
          <w:rFonts w:hint="eastAsia" w:asciiTheme="minorEastAsia" w:hAnsiTheme="minorEastAsia"/>
        </w:rPr>
        <w:t>日期：  年  月   日</w:t>
      </w:r>
    </w:p>
    <w:p>
      <w:pPr>
        <w:pStyle w:val="81"/>
        <w:ind w:firstLine="480"/>
        <w:sectPr>
          <w:footerReference r:id="rId15" w:type="default"/>
          <w:footerReference r:id="rId16" w:type="even"/>
          <w:pgSz w:w="11906" w:h="16838"/>
          <w:pgMar w:top="1418" w:right="1418" w:bottom="1418" w:left="1418" w:header="851" w:footer="992" w:gutter="0"/>
          <w:cols w:space="425" w:num="1"/>
          <w:docGrid w:type="linesAndChars" w:linePitch="460" w:charSpace="0"/>
        </w:sectPr>
      </w:pPr>
    </w:p>
    <w:p>
      <w:pPr>
        <w:pStyle w:val="2"/>
        <w:spacing w:before="230" w:after="230"/>
        <w:rPr>
          <w:color w:val="C00000"/>
        </w:rPr>
      </w:pPr>
      <w:bookmarkStart w:id="11" w:name="_Toc148453731"/>
      <w:bookmarkStart w:id="12" w:name="_Toc211437470"/>
      <w:r>
        <w:rPr>
          <w:rFonts w:hint="eastAsia"/>
        </w:rPr>
        <w:t>第四章　合同</w:t>
      </w:r>
      <w:bookmarkEnd w:id="11"/>
      <w:r>
        <w:rPr>
          <w:rFonts w:hint="eastAsia"/>
        </w:rPr>
        <w:t>文本</w:t>
      </w:r>
      <w:bookmarkEnd w:id="12"/>
    </w:p>
    <w:p>
      <w:pPr>
        <w:spacing w:before="230" w:beforeLines="50"/>
        <w:ind w:firstLine="480" w:firstLineChars="200"/>
        <w:jc w:val="both"/>
        <w:rPr>
          <w:b/>
        </w:rPr>
      </w:pPr>
      <w:r>
        <w:rPr>
          <w:b/>
        </w:rPr>
        <w:t>甲方（采购人）：</w:t>
      </w:r>
      <w:r>
        <w:rPr>
          <w:b/>
          <w:color w:val="C00000"/>
          <w:u w:val="single"/>
        </w:rPr>
        <w:t>〈采购人〉</w:t>
      </w:r>
    </w:p>
    <w:p>
      <w:pPr>
        <w:ind w:firstLine="480" w:firstLineChars="200"/>
        <w:jc w:val="both"/>
        <w:rPr>
          <w:b/>
        </w:rPr>
      </w:pPr>
      <w:r>
        <w:rPr>
          <w:b/>
        </w:rPr>
        <w:t>乙方（中标供应商）：</w:t>
      </w:r>
      <w:r>
        <w:rPr>
          <w:color w:val="C00000"/>
        </w:rPr>
        <w:t>_________________</w:t>
      </w:r>
    </w:p>
    <w:p>
      <w:pPr>
        <w:spacing w:before="230" w:beforeLines="50"/>
        <w:jc w:val="both"/>
        <w:rPr>
          <w:rFonts w:cs="Calibri Light"/>
          <w:b/>
        </w:rPr>
      </w:pPr>
      <w:r>
        <w:rPr>
          <w:rFonts w:hint="eastAsia" w:cs="Calibri Light"/>
          <w:b/>
        </w:rPr>
        <w:t>一、合同标的物内容及数量（以投标文件正本和澄清表〈函〉为准）</w:t>
      </w:r>
    </w:p>
    <w:p>
      <w:pPr>
        <w:ind w:firstLine="480" w:firstLineChars="200"/>
        <w:jc w:val="both"/>
      </w:pPr>
      <w:r>
        <w:rPr>
          <w:rFonts w:hint="eastAsia"/>
        </w:rPr>
        <w:t>（一）网络线路租赁服务：乙方为甲方提供统一的网络线路租赁服务，线路类型为传输电路专线和互联网光纤专线。</w:t>
      </w:r>
    </w:p>
    <w:p>
      <w:pPr>
        <w:ind w:firstLine="480" w:firstLineChars="200"/>
        <w:jc w:val="both"/>
      </w:pPr>
      <w:r>
        <w:rPr>
          <w:rFonts w:hint="eastAsia"/>
        </w:rPr>
        <w:t>（二）整体服务要求：要求至少1人负责项目，乙方需针对本次网络线路租用服务提供维护人员负责专线电路及设备的日常维护，及时了解及答复甲方提出的问题，对甲方提出的问题有专人负责，如有投诉及时响应。（西安市数据局）。</w:t>
      </w:r>
    </w:p>
    <w:p>
      <w:pPr>
        <w:ind w:firstLine="480" w:firstLineChars="200"/>
        <w:jc w:val="both"/>
      </w:pPr>
      <w:r>
        <w:rPr>
          <w:rFonts w:hint="eastAsia"/>
        </w:rPr>
        <w:t>（三）其他服务：乙方投标文件中所提供服务。</w:t>
      </w:r>
    </w:p>
    <w:p>
      <w:pPr>
        <w:spacing w:before="230" w:beforeLines="50"/>
        <w:jc w:val="both"/>
        <w:rPr>
          <w:rFonts w:cs="Calibri Light"/>
          <w:b/>
        </w:rPr>
      </w:pPr>
      <w:r>
        <w:rPr>
          <w:rFonts w:cs="Calibri Light"/>
          <w:b/>
        </w:rPr>
        <w:t>二、服务条件：</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（一）服务地点：甲方指定地点。</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（二）服务期：</w:t>
      </w:r>
      <w:r>
        <w:rPr>
          <w:rFonts w:hint="eastAsia" w:asciiTheme="minorHAnsi" w:hAnsiTheme="minorHAnsi" w:eastAsiaTheme="minorEastAsia"/>
          <w:sz w:val="24"/>
          <w:szCs w:val="24"/>
          <w:u w:val="single"/>
        </w:rPr>
        <w:t xml:space="preserve"> </w:t>
      </w:r>
      <w:r>
        <w:rPr>
          <w:rFonts w:asciiTheme="minorHAnsi" w:hAnsiTheme="minorHAnsi" w:eastAsiaTheme="minorEastAsia"/>
          <w:sz w:val="24"/>
          <w:szCs w:val="24"/>
          <w:u w:val="single"/>
        </w:rPr>
        <w:t xml:space="preserve">              </w:t>
      </w:r>
    </w:p>
    <w:p>
      <w:pPr>
        <w:spacing w:before="230" w:beforeLines="50"/>
        <w:jc w:val="both"/>
        <w:rPr>
          <w:rFonts w:cs="Calibri Light"/>
          <w:b/>
        </w:rPr>
      </w:pPr>
      <w:r>
        <w:rPr>
          <w:rFonts w:hint="eastAsia" w:cs="Calibri Light"/>
          <w:b/>
        </w:rPr>
        <w:t>三</w:t>
      </w:r>
      <w:r>
        <w:rPr>
          <w:rFonts w:cs="Calibri Light"/>
          <w:b/>
        </w:rPr>
        <w:t>、合同价款</w:t>
      </w:r>
    </w:p>
    <w:p>
      <w:pPr>
        <w:ind w:firstLine="480" w:firstLineChars="200"/>
        <w:jc w:val="both"/>
      </w:pPr>
      <w:r>
        <w:rPr>
          <w:rFonts w:hint="eastAsia"/>
        </w:rPr>
        <w:t>（一）合同总价款为人民币（大写）</w:t>
      </w:r>
      <w:r>
        <w:rPr>
          <w:rFonts w:hint="eastAsia"/>
          <w:u w:val="single"/>
        </w:rPr>
        <w:t xml:space="preserve">       </w:t>
      </w:r>
      <w:r>
        <w:rPr>
          <w:rFonts w:hint="eastAsia"/>
        </w:rPr>
        <w:t>元整（¥</w:t>
      </w:r>
      <w:r>
        <w:rPr>
          <w:rFonts w:hint="eastAsia"/>
          <w:u w:val="single"/>
        </w:rPr>
        <w:t xml:space="preserve">       </w:t>
      </w:r>
      <w:r>
        <w:rPr>
          <w:rFonts w:hint="eastAsia"/>
        </w:rPr>
        <w:t>元），每月基础服务费为人民币（大写）</w:t>
      </w:r>
      <w:r>
        <w:rPr>
          <w:rFonts w:hint="eastAsia"/>
          <w:u w:val="single"/>
        </w:rPr>
        <w:t xml:space="preserve">       </w:t>
      </w:r>
      <w:r>
        <w:rPr>
          <w:rFonts w:hint="eastAsia"/>
        </w:rPr>
        <w:t>元整（¥</w:t>
      </w:r>
      <w:r>
        <w:rPr>
          <w:rFonts w:hint="eastAsia"/>
          <w:u w:val="single"/>
        </w:rPr>
        <w:t xml:space="preserve">       </w:t>
      </w:r>
      <w:r>
        <w:rPr>
          <w:rFonts w:hint="eastAsia"/>
        </w:rPr>
        <w:t>元）。</w:t>
      </w:r>
    </w:p>
    <w:p>
      <w:pPr>
        <w:ind w:firstLine="480" w:firstLineChars="200"/>
        <w:jc w:val="both"/>
      </w:pPr>
      <w:r>
        <w:rPr>
          <w:rFonts w:hint="eastAsia"/>
        </w:rPr>
        <w:t>（二）合同总价包括：线路租用费和其他费用。</w:t>
      </w:r>
    </w:p>
    <w:p>
      <w:pPr>
        <w:ind w:firstLine="480" w:firstLineChars="200"/>
        <w:jc w:val="both"/>
      </w:pPr>
      <w:r>
        <w:rPr>
          <w:rFonts w:hint="eastAsia"/>
        </w:rPr>
        <w:t>（三）合同总价一次包死，不受市场价格变化的影响。</w:t>
      </w:r>
    </w:p>
    <w:p>
      <w:pPr>
        <w:spacing w:before="230" w:beforeLines="50"/>
        <w:jc w:val="both"/>
        <w:rPr>
          <w:rFonts w:cs="Calibri Light"/>
          <w:b/>
        </w:rPr>
      </w:pPr>
      <w:r>
        <w:rPr>
          <w:rFonts w:hint="eastAsia" w:cs="Calibri Light"/>
          <w:b/>
        </w:rPr>
        <w:t>四</w:t>
      </w:r>
      <w:r>
        <w:rPr>
          <w:rFonts w:cs="Calibri Light"/>
          <w:b/>
        </w:rPr>
        <w:t>、款项结算</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（一）付款进度：</w:t>
      </w:r>
    </w:p>
    <w:p>
      <w:pPr>
        <w:pStyle w:val="40"/>
        <w:spacing w:line="240" w:lineRule="auto"/>
        <w:ind w:firstLine="480" w:firstLineChars="200"/>
        <w:jc w:val="both"/>
      </w:pPr>
      <w:r>
        <w:rPr>
          <w:rFonts w:hint="eastAsia" w:asciiTheme="minorHAnsi" w:hAnsiTheme="minorHAnsi" w:eastAsiaTheme="minorEastAsia"/>
          <w:sz w:val="24"/>
          <w:szCs w:val="24"/>
        </w:rPr>
        <w:t>项目服务期为3个月，合同款项的支付与甲方及监理单位对乙方的考核结果挂钩。合同签订15个工作日之内支付合同总价款的50%，服务期结束时支付合同总价款的50%。线路使用情况按月统计，季度考核；若涉及费用扣减，将在服务期结束时最后一笔50%的款项中执行。</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（二）支付方式：银行转账。</w:t>
      </w:r>
    </w:p>
    <w:p>
      <w:pPr>
        <w:pStyle w:val="40"/>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（三）结算方式：</w:t>
      </w:r>
      <w:r>
        <w:rPr>
          <w:rFonts w:hint="eastAsia" w:asciiTheme="minorHAnsi" w:hAnsiTheme="minorHAnsi" w:eastAsiaTheme="minorEastAsia"/>
          <w:sz w:val="24"/>
          <w:szCs w:val="24"/>
        </w:rPr>
        <w:t>乙方应于甲方每次付款前向甲方开具等额发票，</w:t>
      </w:r>
      <w:r>
        <w:rPr>
          <w:rFonts w:asciiTheme="minorHAnsi" w:hAnsiTheme="minorHAnsi" w:eastAsiaTheme="minorEastAsia"/>
          <w:sz w:val="24"/>
          <w:szCs w:val="24"/>
        </w:rPr>
        <w:t>持中标通知书、政府采购合同、发票，与甲方结算。</w:t>
      </w:r>
    </w:p>
    <w:p>
      <w:pPr>
        <w:spacing w:before="230" w:beforeLines="50"/>
        <w:jc w:val="both"/>
        <w:rPr>
          <w:rFonts w:cs="Calibri Light"/>
          <w:b/>
        </w:rPr>
      </w:pPr>
      <w:r>
        <w:rPr>
          <w:rFonts w:hint="eastAsia" w:cs="Calibri Light"/>
          <w:b/>
        </w:rPr>
        <w:t>五</w:t>
      </w:r>
      <w:r>
        <w:rPr>
          <w:rFonts w:cs="Calibri Light"/>
          <w:b/>
        </w:rPr>
        <w:t>、双方的权利和义务</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（一）甲方的权利和义务</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1.甲方负责提供通信设备、线路安装场所、路由设备和终端设备，提供设备所需220V的电源设备及配套设施；</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2.甲方为乙方无偿提供运维服务所需的办公场地，乙方应爱惜办公场地及相关设施。</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3.租赁标的内容仅用于本项目约定的用途，甲方不得出租、转让给第三方使用或擅自改变用途用于经营性营业活动。否则乙方有权终止本项目。</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4.甲方应按照国家法律、法规的规定及本项目的约定使用租用线路，不得进行通过互联网传播国家法律禁止的内容，建立网站时必须在工业与信息化部网进行备案（http://www.miibeian.gov.cn）。</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5.甲方要求乙方提供所需要的产品与服务，需符合国家相关部门有关技术质量的规定标准。</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6.为确保服务质量，甲方为乙方服务工作提供配合，并安排专门联系人配合运维工作的开展与实施。</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7.甲方有权要求乙方提供的产品和服务所涉及的第三方权利进行免责。</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8.甲方有权要求乙方所派驻的专职工作人员按照甲方的要求时间安排工作。</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9.甲方有权向乙方提出合理化建议。</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10.甲方有义务保证按合同所规定的内容及时间支付乙方相关费用。</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（二）乙方的权利和义务</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1. 按照合同要求在规定时间交付服务，服务期内提供运维服务，确保服务按期交付且运行正常进行。</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2.乙方承诺根据并严格遵守《中华人民共和国电信条例》履行本项目，维护双方利益。</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3.乙方提供的线路质量及传输通道要符合国家主管部门规定的质量标准和技术要求。</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4.乙方按信息产业部颁发的《电信服务标准》的专线质量要求，保证甲方线路的畅通。</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5.乙方按照合同中约定的设备和线路数量、速率、故障维修时间等相关服务内容严格执行。</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6.乙方保证在甲方现场的工作人员严格遵守甲方现场管理要求和工作纪律。</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7.乙方不得中断服务，若因维护等原因需要中断服务的，必须征得甲方同意并提前做好相关准备工作。</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8.乙方应按甲方要求如期向甲方交付相关文档。</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9.乙方需按甲方要求签署保密协议，并严格执行。</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1</w:t>
      </w:r>
      <w:r>
        <w:rPr>
          <w:rFonts w:asciiTheme="minorHAnsi" w:hAnsiTheme="minorHAnsi" w:eastAsiaTheme="minorEastAsia"/>
          <w:sz w:val="24"/>
          <w:szCs w:val="24"/>
        </w:rPr>
        <w:t>0</w:t>
      </w:r>
      <w:r>
        <w:rPr>
          <w:rFonts w:hint="eastAsia" w:asciiTheme="minorHAnsi" w:hAnsiTheme="minorHAnsi" w:eastAsiaTheme="minorEastAsia"/>
          <w:sz w:val="24"/>
          <w:szCs w:val="24"/>
        </w:rPr>
        <w:t>.乙方需提供7×24小时故障热线，线路任何故障问题要求在30分钟内响应。</w:t>
      </w:r>
    </w:p>
    <w:p>
      <w:pPr>
        <w:spacing w:before="230" w:beforeLines="50"/>
        <w:jc w:val="both"/>
        <w:rPr>
          <w:rFonts w:cs="Calibri Light"/>
          <w:b/>
        </w:rPr>
      </w:pPr>
      <w:r>
        <w:rPr>
          <w:rFonts w:hint="eastAsia" w:cs="Calibri Light"/>
          <w:b/>
        </w:rPr>
        <w:t>六</w:t>
      </w:r>
      <w:r>
        <w:rPr>
          <w:rFonts w:cs="Calibri Light"/>
          <w:b/>
        </w:rPr>
        <w:t>、</w:t>
      </w:r>
      <w:r>
        <w:rPr>
          <w:rFonts w:hint="eastAsia" w:cs="Calibri Light"/>
          <w:b/>
        </w:rPr>
        <w:t>质量保证</w:t>
      </w:r>
    </w:p>
    <w:p>
      <w:pPr>
        <w:wordWrap w:val="0"/>
        <w:ind w:firstLine="480" w:firstLineChars="200"/>
        <w:jc w:val="both"/>
      </w:pPr>
      <w:r>
        <w:rPr>
          <w:rFonts w:hint="eastAsia"/>
        </w:rPr>
        <w:t>乙方所供服务必须执行下列条款：</w:t>
      </w:r>
    </w:p>
    <w:p>
      <w:pPr>
        <w:wordWrap w:val="0"/>
        <w:ind w:firstLine="480" w:firstLineChars="200"/>
        <w:jc w:val="both"/>
      </w:pPr>
      <w:r>
        <w:rPr>
          <w:rFonts w:hint="eastAsia"/>
        </w:rPr>
        <w:t>（一）所提供的服务符合国家现行标准和相应的技术规范，这些标准和技术规范应为合同签订日为止最新公布发行的标准和技术规范；</w:t>
      </w:r>
    </w:p>
    <w:p>
      <w:pPr>
        <w:wordWrap w:val="0"/>
        <w:ind w:firstLine="480" w:firstLineChars="200"/>
        <w:jc w:val="both"/>
      </w:pPr>
      <w:r>
        <w:rPr>
          <w:rFonts w:hint="eastAsia"/>
        </w:rPr>
        <w:t>（二）乙方需要保证按时、准确地完成线路链接任务。</w:t>
      </w:r>
    </w:p>
    <w:p>
      <w:pPr>
        <w:wordWrap w:val="0"/>
        <w:ind w:firstLine="480" w:firstLineChars="200"/>
        <w:jc w:val="both"/>
      </w:pPr>
      <w:r>
        <w:rPr>
          <w:rFonts w:hint="eastAsia"/>
        </w:rPr>
        <w:t>（三）应满足招标文件中各项服务响应要求。</w:t>
      </w:r>
    </w:p>
    <w:p>
      <w:pPr>
        <w:wordWrap w:val="0"/>
        <w:ind w:firstLine="480" w:firstLineChars="200"/>
        <w:jc w:val="both"/>
      </w:pPr>
      <w:r>
        <w:rPr>
          <w:rFonts w:hint="eastAsia"/>
        </w:rPr>
        <w:t>（四）乙方提供的服务，若发生侵权而产生的一切后果，由乙方负责，甲方保留索赔权力。</w:t>
      </w:r>
    </w:p>
    <w:p>
      <w:pPr>
        <w:spacing w:before="230" w:beforeLines="50"/>
        <w:jc w:val="both"/>
        <w:rPr>
          <w:rFonts w:cs="Calibri Light"/>
          <w:b/>
        </w:rPr>
      </w:pPr>
      <w:r>
        <w:rPr>
          <w:rFonts w:cs="Calibri Light"/>
          <w:b/>
        </w:rPr>
        <w:t>七、验收</w:t>
      </w:r>
    </w:p>
    <w:p>
      <w:pPr>
        <w:wordWrap w:val="0"/>
        <w:ind w:firstLine="480" w:firstLineChars="200"/>
        <w:jc w:val="both"/>
      </w:pPr>
      <w:r>
        <w:t>（一）</w:t>
      </w:r>
      <w:r>
        <w:rPr>
          <w:rFonts w:hint="eastAsia"/>
        </w:rPr>
        <w:t>阶段考核验收：服务期按季度进行考核验收。甲方组织乙方进行阶段考核验收，验收时乙方应派人员参加，共同对考核验收结果进行确认，并承担相关责任。阶段考核验收合格后，填写阶段考核验收单并按照考核结果进行季度费用结算。</w:t>
      </w:r>
    </w:p>
    <w:p>
      <w:pPr>
        <w:wordWrap w:val="0"/>
        <w:ind w:firstLine="480" w:firstLineChars="200"/>
        <w:jc w:val="both"/>
      </w:pPr>
      <w:r>
        <w:t>（</w:t>
      </w:r>
      <w:r>
        <w:rPr>
          <w:rFonts w:hint="eastAsia"/>
        </w:rPr>
        <w:t>二</w:t>
      </w:r>
      <w:r>
        <w:t>）乙方向甲方提供服务过程中的所有资料，以便甲方日后管理。</w:t>
      </w:r>
    </w:p>
    <w:p>
      <w:pPr>
        <w:wordWrap w:val="0"/>
        <w:ind w:firstLine="480" w:firstLineChars="200"/>
        <w:jc w:val="both"/>
      </w:pPr>
      <w:r>
        <w:t>（</w:t>
      </w:r>
      <w:r>
        <w:rPr>
          <w:rFonts w:hint="eastAsia"/>
        </w:rPr>
        <w:t>三</w:t>
      </w:r>
      <w:r>
        <w:t>）验收依据：</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1．招标文件、投标文件、澄清表（函）；</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2．本合同及附件文本；</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3．国家相应的标准、规范。</w:t>
      </w:r>
    </w:p>
    <w:p>
      <w:pPr>
        <w:spacing w:before="230" w:beforeLines="50"/>
        <w:jc w:val="both"/>
        <w:rPr>
          <w:rFonts w:cs="Calibri Light"/>
          <w:b/>
        </w:rPr>
      </w:pPr>
      <w:r>
        <w:rPr>
          <w:rFonts w:hint="eastAsia" w:cs="Calibri Light"/>
          <w:b/>
        </w:rPr>
        <w:t>八</w:t>
      </w:r>
      <w:r>
        <w:rPr>
          <w:rFonts w:cs="Calibri Light"/>
          <w:b/>
        </w:rPr>
        <w:t>、考核</w:t>
      </w:r>
    </w:p>
    <w:p>
      <w:pPr>
        <w:wordWrap w:val="0"/>
        <w:ind w:firstLine="480" w:firstLineChars="200"/>
        <w:jc w:val="both"/>
      </w:pPr>
      <w:r>
        <w:rPr>
          <w:rFonts w:hint="eastAsia"/>
        </w:rPr>
        <w:t>（一）乙方自该项目中标之日起15个工作日内需完成各单位线路开通工作，并于合同签订之日起提供为期3个月的线路服务；</w:t>
      </w:r>
    </w:p>
    <w:p>
      <w:pPr>
        <w:wordWrap w:val="0"/>
        <w:ind w:firstLine="480" w:firstLineChars="200"/>
        <w:jc w:val="both"/>
      </w:pPr>
      <w:r>
        <w:rPr>
          <w:rFonts w:hint="eastAsia"/>
        </w:rPr>
        <w:t>（二）针对乙方所提供服务，将依照按月统计、季度考核原则，由甲方及监理单位每月对线路实际使用情况进行统计核准，每季度对服务质量进行考核打分；</w:t>
      </w:r>
    </w:p>
    <w:p>
      <w:pPr>
        <w:wordWrap w:val="0"/>
        <w:ind w:firstLine="480" w:firstLineChars="200"/>
        <w:jc w:val="both"/>
      </w:pPr>
      <w:r>
        <w:rPr>
          <w:rFonts w:hint="eastAsia"/>
        </w:rPr>
        <w:t>（三）每季度考核结果与项目款项结算所挂钩，依据乙方考核分值进行当季度真实服务费用的结算，具体考核要求见附件二《西安市电子政务网专线接入服务项目服务考核办法》；</w:t>
      </w:r>
    </w:p>
    <w:p>
      <w:pPr>
        <w:spacing w:before="230" w:beforeLines="50"/>
        <w:jc w:val="both"/>
        <w:rPr>
          <w:rFonts w:cs="Calibri Light"/>
          <w:b/>
        </w:rPr>
      </w:pPr>
      <w:r>
        <w:rPr>
          <w:rFonts w:cs="Calibri Light"/>
          <w:b/>
        </w:rPr>
        <w:t>九、违约责任</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（一）按《中华人民共和国民法典》中的相关条款执行。</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（二）未经甲方同意，乙方不得擅自将本合同服务分、转包第三方承担。</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三）未按合同要求提供服务或服务质量不能满足合同要求，甲方应当将乙方违约的情况以及拟采取的措施以书面形式报市财政局，根据市财政局的处理意见，甲方有权依据《民法典》有关条款及合同约定终止合同，并要求乙方承担违约责任。同时，政府采购监管部门有权依据《政府采购法》及相关法律法规对乙方的违法行为进行相应的处罚。</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四）由于甲方自备设备故障或甲方操作不当造成的通信故障，甲方自行承担相应责任，并赔偿乙方由此遭受的损失；因乙方施工、网络割接等原因影响线路的正常使用时，乙方应当提前通知甲方，并且尽快消除故障、恢复通信线路；如乙方因国防需要、政府指令、网络维护、网络调整、网络安全等因素在网络上对服务进行更改或变动，乙方应当提前通知甲方，甲方应当予以配合。</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五）乙方应保证所提供产品和服务不会出现因第三方提出侵犯其专利权、商标权或其它知识产权而引发法律或经济纠纷，否则由乙方承担全部责任。任何被乙方用于未经授权的商业目的行为所造成的违约或侵权责任由乙方承担。</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六）乙方自该项目中标之日起15个工作日内需完成线路的开通工作，如未按期开通，甲方有权解除合同，同时乙方须向甲方支付违约金，费用依据甲方因此造成的损失而定，不超过合同总金额。服务期内，因乙方服务工作过失而造成的损失，乙方须承担相应责任及甲方所要求的合理赔偿，赔偿费用不超过合同总额。</w:t>
      </w:r>
    </w:p>
    <w:p>
      <w:pPr>
        <w:spacing w:before="230" w:beforeLines="50"/>
        <w:jc w:val="both"/>
        <w:rPr>
          <w:rFonts w:cs="Calibri Light"/>
          <w:b/>
        </w:rPr>
      </w:pPr>
      <w:r>
        <w:rPr>
          <w:rFonts w:hint="eastAsia" w:cs="Calibri Light"/>
          <w:b/>
        </w:rPr>
        <w:t>十</w:t>
      </w:r>
      <w:r>
        <w:rPr>
          <w:rFonts w:cs="Calibri Light"/>
          <w:b/>
        </w:rPr>
        <w:t>、保密条款</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一）乙方应遵守国家有关保密的法律法规和行业规定，并对甲方提供的资料负有保密义务。未经甲方同意，不得将承接政府服务项目获得的政府、公民个人等各种信息和资料提供给其他单位和个人。如发生以上情况，甲方有权索赔。</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二）甲方有义务保护乙方的知识产权，未经乙方同意，不得将乙方交付的具有知识产权性质的成果文件、资料向第三方转让或用于本合同以外的项目。如发生以上情况，乙方有权索赔，但甲方依据相关法定职责对外公开的除外。</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（三）本条款为独立条款，本合同的无效、变更、解除和终止均不影响本条款的效力。</w:t>
      </w:r>
    </w:p>
    <w:p>
      <w:pPr>
        <w:spacing w:before="230" w:beforeLines="50"/>
        <w:jc w:val="both"/>
        <w:rPr>
          <w:rFonts w:cs="Calibri Light"/>
          <w:b/>
        </w:rPr>
      </w:pPr>
      <w:r>
        <w:rPr>
          <w:rFonts w:cs="Calibri Light"/>
          <w:b/>
        </w:rPr>
        <w:t>十一、争议解决</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（一）</w:t>
      </w:r>
      <w:r>
        <w:rPr>
          <w:rFonts w:hint="eastAsia" w:asciiTheme="minorHAnsi" w:hAnsiTheme="minorHAnsi" w:eastAsiaTheme="minorEastAsia"/>
          <w:sz w:val="24"/>
          <w:szCs w:val="24"/>
        </w:rPr>
        <w:t>本条款为独立条款，本合同的无效、变更、解除和终止均不影响本条款的效力。</w:t>
      </w:r>
    </w:p>
    <w:p>
      <w:pPr>
        <w:wordWrap w:val="0"/>
        <w:ind w:firstLine="480" w:firstLineChars="200"/>
        <w:jc w:val="both"/>
      </w:pPr>
      <w:r>
        <w:t>（二）凡与本合同有关的一切争议，双方应通过友好协商解决。如协商后仍不能达成协议时，按下列第2种方式解决。</w:t>
      </w:r>
    </w:p>
    <w:p>
      <w:pPr>
        <w:wordWrap w:val="0"/>
        <w:ind w:firstLine="480" w:firstLineChars="200"/>
        <w:jc w:val="both"/>
      </w:pPr>
      <w:r>
        <w:t>1．提交西安仲裁委员会。</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2．依法向甲方所在地有管辖权的人民法院提起诉讼。</w:t>
      </w:r>
    </w:p>
    <w:p>
      <w:pPr>
        <w:spacing w:before="230" w:beforeLines="50"/>
        <w:jc w:val="both"/>
        <w:rPr>
          <w:rFonts w:cs="Calibri Light"/>
          <w:b/>
        </w:rPr>
      </w:pPr>
      <w:r>
        <w:rPr>
          <w:rFonts w:cs="Calibri Light"/>
          <w:b/>
        </w:rPr>
        <w:t>十</w:t>
      </w:r>
      <w:r>
        <w:rPr>
          <w:rFonts w:hint="eastAsia" w:cs="Calibri Light"/>
          <w:b/>
        </w:rPr>
        <w:t>二</w:t>
      </w:r>
      <w:r>
        <w:rPr>
          <w:rFonts w:cs="Calibri Light"/>
          <w:b/>
        </w:rPr>
        <w:t>、</w:t>
      </w:r>
      <w:r>
        <w:rPr>
          <w:rFonts w:hint="eastAsia" w:cs="Calibri Light"/>
          <w:b/>
        </w:rPr>
        <w:t>合同变更</w:t>
      </w:r>
    </w:p>
    <w:p>
      <w:pPr>
        <w:pStyle w:val="40"/>
        <w:spacing w:line="240" w:lineRule="auto"/>
        <w:ind w:firstLine="480" w:firstLineChars="200"/>
        <w:jc w:val="both"/>
        <w:rPr>
          <w:rFonts w:asciiTheme="minorHAnsi" w:hAnsiTheme="minorHAnsi" w:eastAsiaTheme="minorEastAsia"/>
          <w:sz w:val="24"/>
          <w:szCs w:val="24"/>
        </w:rPr>
      </w:pPr>
      <w:r>
        <w:rPr>
          <w:rFonts w:hint="eastAsia" w:asciiTheme="minorHAnsi" w:hAnsiTheme="minorHAnsi" w:eastAsiaTheme="minorEastAsia"/>
          <w:sz w:val="24"/>
          <w:szCs w:val="24"/>
        </w:rPr>
        <w:t>在合同的执行期内，双方均不得随意变更或解除合同。如因项目需求情况发生变化，需要项目变更的，应双方协商后签订项目变更协议（如双方变更事项不能达成一致的，仍按原合同履行， 否则视为违约）。</w:t>
      </w:r>
    </w:p>
    <w:p>
      <w:pPr>
        <w:spacing w:before="230" w:beforeLines="50"/>
        <w:jc w:val="both"/>
        <w:rPr>
          <w:rFonts w:cs="Calibri Light"/>
          <w:b/>
        </w:rPr>
      </w:pPr>
      <w:r>
        <w:rPr>
          <w:rFonts w:cs="Calibri Light"/>
          <w:b/>
        </w:rPr>
        <w:t>十</w:t>
      </w:r>
      <w:r>
        <w:rPr>
          <w:rFonts w:hint="eastAsia" w:cs="Calibri Light"/>
          <w:b/>
        </w:rPr>
        <w:t>三</w:t>
      </w:r>
      <w:r>
        <w:rPr>
          <w:rFonts w:cs="Calibri Light"/>
          <w:b/>
        </w:rPr>
        <w:t>、合同生效及其他</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（一）本合同自签订盖章之日起生效，合同执行完毕后，自动失效（</w:t>
      </w:r>
      <w:r>
        <w:rPr>
          <w:rFonts w:hint="eastAsia" w:asciiTheme="minorHAnsi" w:hAnsiTheme="minorHAnsi" w:eastAsiaTheme="minorEastAsia"/>
          <w:sz w:val="24"/>
          <w:szCs w:val="24"/>
        </w:rPr>
        <w:t>合同的服务承诺长期有效</w:t>
      </w:r>
      <w:r>
        <w:rPr>
          <w:rFonts w:asciiTheme="minorHAnsi" w:hAnsiTheme="minorHAnsi" w:eastAsiaTheme="minorEastAsia"/>
          <w:sz w:val="24"/>
          <w:szCs w:val="24"/>
        </w:rPr>
        <w:t>）。</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（二）合同一式</w:t>
      </w:r>
      <w:r>
        <w:rPr>
          <w:rFonts w:asciiTheme="minorHAnsi" w:hAnsiTheme="minorHAnsi" w:eastAsiaTheme="minorEastAsia"/>
          <w:sz w:val="24"/>
          <w:szCs w:val="24"/>
          <w:u w:val="single"/>
        </w:rPr>
        <w:t xml:space="preserve">   </w:t>
      </w:r>
      <w:r>
        <w:rPr>
          <w:rFonts w:asciiTheme="minorHAnsi" w:hAnsiTheme="minorHAnsi" w:eastAsiaTheme="minorEastAsia"/>
          <w:sz w:val="24"/>
          <w:szCs w:val="24"/>
        </w:rPr>
        <w:t>份，甲方执</w:t>
      </w:r>
      <w:r>
        <w:rPr>
          <w:rFonts w:asciiTheme="minorHAnsi" w:hAnsiTheme="minorHAnsi" w:eastAsiaTheme="minorEastAsia"/>
          <w:sz w:val="24"/>
          <w:szCs w:val="24"/>
          <w:u w:val="single"/>
        </w:rPr>
        <w:t xml:space="preserve">   </w:t>
      </w:r>
      <w:r>
        <w:rPr>
          <w:rFonts w:asciiTheme="minorHAnsi" w:hAnsiTheme="minorHAnsi" w:eastAsiaTheme="minorEastAsia"/>
          <w:sz w:val="24"/>
          <w:szCs w:val="24"/>
        </w:rPr>
        <w:t>份、乙方执</w:t>
      </w:r>
      <w:r>
        <w:rPr>
          <w:rFonts w:asciiTheme="minorHAnsi" w:hAnsiTheme="minorHAnsi" w:eastAsiaTheme="minorEastAsia"/>
          <w:sz w:val="24"/>
          <w:szCs w:val="24"/>
          <w:u w:val="single"/>
        </w:rPr>
        <w:t xml:space="preserve">   </w:t>
      </w:r>
      <w:r>
        <w:rPr>
          <w:rFonts w:asciiTheme="minorHAnsi" w:hAnsiTheme="minorHAnsi" w:eastAsiaTheme="minorEastAsia"/>
          <w:sz w:val="24"/>
          <w:szCs w:val="24"/>
        </w:rPr>
        <w:t>份。</w:t>
      </w:r>
    </w:p>
    <w:p>
      <w:pPr>
        <w:pStyle w:val="40"/>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（三）未尽事宜由双方在签订合同时具体明确或签订补充合同。</w:t>
      </w:r>
    </w:p>
    <w:p>
      <w:pPr>
        <w:ind w:firstLine="480"/>
      </w:pPr>
      <w:r>
        <w:t>（四）</w:t>
      </w:r>
      <w:r>
        <w:rPr>
          <w:rFonts w:hint="eastAsia"/>
        </w:rPr>
        <w:t>乙方接受甲方指定的监理单位对本项目的监督和管理。</w:t>
      </w:r>
    </w:p>
    <w:p>
      <w:pPr>
        <w:ind w:firstLine="480"/>
      </w:pPr>
      <w:r>
        <w:t>（四）保密协议及项目考核办法见附件一、二。</w:t>
      </w:r>
    </w:p>
    <w:p>
      <w:r>
        <w:br w:type="page"/>
      </w:r>
    </w:p>
    <w:p>
      <w:pPr>
        <w:ind w:firstLine="480"/>
      </w:pPr>
    </w:p>
    <w:tbl>
      <w:tblPr>
        <w:tblStyle w:val="24"/>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甲方</w:t>
            </w:r>
          </w:p>
        </w:tc>
        <w:tc>
          <w:tcPr>
            <w:tcW w:w="453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trPr>
        <w:tc>
          <w:tcPr>
            <w:tcW w:w="4536"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宋体" w:hAnsi="宋体"/>
              </w:rPr>
            </w:pPr>
            <w:r>
              <w:rPr>
                <w:rFonts w:hint="eastAsia" w:ascii="宋体" w:hAnsi="宋体"/>
              </w:rPr>
              <w:t>（盖章）</w:t>
            </w:r>
          </w:p>
        </w:tc>
        <w:tc>
          <w:tcPr>
            <w:tcW w:w="4536"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宋体" w:hAnsi="宋体"/>
              </w:rPr>
            </w:pPr>
            <w:r>
              <w:rPr>
                <w:rFonts w:hint="eastAsia" w:ascii="宋体" w:hAnsi="宋体"/>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地址：</w:t>
            </w:r>
          </w:p>
        </w:tc>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邮编：</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法定代表人（签字）：</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法定代表人（签字）：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被授权代表：（签字）</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被授权代表：（签字）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电话：</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传真：</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开户银行：</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账号：</w:t>
            </w:r>
          </w:p>
        </w:tc>
        <w:tc>
          <w:tcPr>
            <w:tcW w:w="45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1"/>
                <w:szCs w:val="21"/>
              </w:rPr>
            </w:pPr>
            <w:r>
              <w:rPr>
                <w:rFonts w:hint="eastAsia" w:ascii="宋体" w:hAnsi="宋体"/>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sz w:val="21"/>
                <w:szCs w:val="21"/>
              </w:rPr>
            </w:pPr>
            <w:r>
              <w:rPr>
                <w:rFonts w:hint="eastAsia" w:ascii="宋体" w:hAnsi="宋体"/>
              </w:rPr>
              <w:t>日期：  年 月 日</w:t>
            </w:r>
          </w:p>
        </w:tc>
        <w:tc>
          <w:tcPr>
            <w:tcW w:w="4536" w:type="dxa"/>
            <w:tcBorders>
              <w:top w:val="single" w:color="auto" w:sz="4" w:space="0"/>
              <w:left w:val="single" w:color="auto" w:sz="4" w:space="0"/>
              <w:bottom w:val="single" w:color="auto" w:sz="4" w:space="0"/>
              <w:right w:val="single" w:color="auto" w:sz="4" w:space="0"/>
            </w:tcBorders>
          </w:tcPr>
          <w:p>
            <w:pPr>
              <w:spacing w:line="360" w:lineRule="auto"/>
              <w:jc w:val="both"/>
              <w:rPr>
                <w:rFonts w:ascii="宋体" w:hAnsi="宋体"/>
              </w:rPr>
            </w:pPr>
            <w:r>
              <w:rPr>
                <w:rFonts w:hint="eastAsia" w:ascii="宋体" w:hAnsi="宋体"/>
              </w:rPr>
              <w:t>日期：  年 月 日</w:t>
            </w:r>
          </w:p>
        </w:tc>
      </w:tr>
    </w:tbl>
    <w:p>
      <w:pPr>
        <w:ind w:firstLine="480"/>
      </w:pPr>
    </w:p>
    <w:p>
      <w:pPr>
        <w:widowControl w:val="0"/>
        <w:spacing w:line="278" w:lineRule="auto"/>
        <w:rPr>
          <w:rFonts w:ascii="宋体" w:hAnsi="宋体"/>
          <w:b/>
          <w:bCs/>
          <w:sz w:val="28"/>
          <w:szCs w:val="28"/>
        </w:rPr>
      </w:pPr>
      <w:r>
        <w:br w:type="page"/>
      </w:r>
      <w:r>
        <w:rPr>
          <w:rFonts w:hint="eastAsia" w:ascii="宋体" w:hAnsi="宋体"/>
          <w:b/>
          <w:bCs/>
          <w:sz w:val="28"/>
          <w:szCs w:val="28"/>
        </w:rPr>
        <w:t>附件一</w:t>
      </w:r>
    </w:p>
    <w:p>
      <w:pPr>
        <w:widowControl w:val="0"/>
        <w:spacing w:line="360" w:lineRule="auto"/>
        <w:jc w:val="center"/>
        <w:rPr>
          <w:rFonts w:ascii="宋体" w:hAnsi="宋体"/>
          <w:b/>
          <w:bCs/>
          <w:sz w:val="32"/>
          <w:szCs w:val="32"/>
        </w:rPr>
      </w:pPr>
      <w:r>
        <w:rPr>
          <w:rFonts w:hint="eastAsia" w:ascii="宋体" w:hAnsi="宋体"/>
          <w:b/>
          <w:bCs/>
          <w:sz w:val="32"/>
          <w:szCs w:val="32"/>
        </w:rPr>
        <w:t>保密协议</w:t>
      </w:r>
    </w:p>
    <w:p>
      <w:pPr>
        <w:spacing w:line="360" w:lineRule="auto"/>
        <w:ind w:firstLine="480" w:firstLineChars="200"/>
        <w:rPr>
          <w:rFonts w:ascii="宋体" w:hAnsi="宋体"/>
          <w:kern w:val="2"/>
        </w:rPr>
      </w:pPr>
      <w:r>
        <w:rPr>
          <w:rFonts w:hint="eastAsia" w:ascii="宋体" w:hAnsi="宋体"/>
          <w:kern w:val="2"/>
        </w:rPr>
        <w:t>甲方：</w:t>
      </w:r>
      <w:r>
        <w:rPr>
          <w:rFonts w:hint="eastAsia" w:ascii="宋体" w:hAnsi="宋体"/>
          <w:kern w:val="2"/>
          <w:u w:val="single"/>
        </w:rPr>
        <w:t xml:space="preserve">                        </w:t>
      </w:r>
      <w:r>
        <w:rPr>
          <w:rFonts w:hint="eastAsia" w:ascii="宋体" w:hAnsi="宋体"/>
          <w:kern w:val="2"/>
        </w:rPr>
        <w:t xml:space="preserve">  </w:t>
      </w:r>
    </w:p>
    <w:p>
      <w:pPr>
        <w:spacing w:line="360" w:lineRule="auto"/>
        <w:ind w:firstLine="480" w:firstLineChars="200"/>
        <w:rPr>
          <w:rFonts w:ascii="宋体" w:hAnsi="宋体"/>
          <w:kern w:val="2"/>
          <w:u w:val="single"/>
        </w:rPr>
      </w:pPr>
      <w:r>
        <w:rPr>
          <w:rFonts w:hint="eastAsia" w:ascii="宋体" w:hAnsi="宋体"/>
          <w:kern w:val="2"/>
        </w:rPr>
        <w:t>乙方：</w:t>
      </w:r>
      <w:r>
        <w:rPr>
          <w:rFonts w:hint="eastAsia" w:ascii="宋体" w:hAnsi="宋体"/>
          <w:kern w:val="2"/>
          <w:u w:val="single"/>
        </w:rPr>
        <w:t xml:space="preserve">                        </w:t>
      </w:r>
    </w:p>
    <w:p>
      <w:pPr>
        <w:ind w:firstLine="480" w:firstLineChars="200"/>
        <w:rPr>
          <w:rFonts w:ascii="宋体" w:hAnsi="宋体"/>
          <w:kern w:val="2"/>
        </w:rPr>
      </w:pPr>
      <w:r>
        <w:rPr>
          <w:rFonts w:hint="eastAsia" w:ascii="宋体" w:hAnsi="宋体"/>
          <w:kern w:val="2"/>
        </w:rPr>
        <w:t>根据国家法律法规，鉴于乙方为甲方提供西安市电子政务网专线接入服务，在工作期间甲方将向乙方披露或乙方将从甲方处知悉保密信息。为保护甲方的合法权益，经平等、自愿、协商一致，甲乙双方特就保密事宜签订本协议，以便共同遵照履行。</w:t>
      </w:r>
    </w:p>
    <w:p>
      <w:pPr>
        <w:ind w:firstLine="480" w:firstLineChars="200"/>
        <w:rPr>
          <w:rFonts w:ascii="宋体" w:hAnsi="宋体"/>
          <w:b/>
          <w:bCs/>
          <w:kern w:val="2"/>
        </w:rPr>
      </w:pPr>
      <w:r>
        <w:rPr>
          <w:rFonts w:hint="eastAsia" w:ascii="宋体" w:hAnsi="宋体"/>
          <w:b/>
          <w:bCs/>
          <w:kern w:val="2"/>
        </w:rPr>
        <w:t>一、保密内容</w:t>
      </w:r>
    </w:p>
    <w:p>
      <w:pPr>
        <w:ind w:firstLine="480" w:firstLineChars="200"/>
        <w:rPr>
          <w:rFonts w:ascii="宋体" w:hAnsi="宋体"/>
          <w:kern w:val="2"/>
        </w:rPr>
      </w:pPr>
      <w:r>
        <w:rPr>
          <w:rFonts w:hint="eastAsia" w:ascii="宋体" w:hAnsi="宋体"/>
          <w:kern w:val="2"/>
        </w:rPr>
        <w:t>包括但不限于以下资料和信息(以下统称“保密资料”)：</w:t>
      </w:r>
    </w:p>
    <w:p>
      <w:pPr>
        <w:ind w:firstLine="480" w:firstLineChars="200"/>
        <w:rPr>
          <w:rFonts w:ascii="宋体" w:hAnsi="宋体"/>
          <w:kern w:val="2"/>
        </w:rPr>
      </w:pPr>
      <w:r>
        <w:rPr>
          <w:rFonts w:hint="eastAsia" w:ascii="宋体" w:hAnsi="宋体"/>
          <w:kern w:val="2"/>
        </w:rPr>
        <w:t>(一）数据、系统软件和网络配置施工方案、图纸、技术资料；</w:t>
      </w:r>
    </w:p>
    <w:p>
      <w:pPr>
        <w:ind w:firstLine="480" w:firstLineChars="200"/>
        <w:rPr>
          <w:rFonts w:ascii="宋体" w:hAnsi="宋体"/>
          <w:kern w:val="2"/>
        </w:rPr>
      </w:pPr>
      <w:r>
        <w:rPr>
          <w:rFonts w:hint="eastAsia" w:ascii="宋体" w:hAnsi="宋体"/>
          <w:kern w:val="2"/>
        </w:rPr>
        <w:t>(二）人员信息，设施、装备情况及用途；</w:t>
      </w:r>
    </w:p>
    <w:p>
      <w:pPr>
        <w:ind w:firstLine="480" w:firstLineChars="200"/>
        <w:rPr>
          <w:rFonts w:ascii="宋体" w:hAnsi="宋体"/>
          <w:kern w:val="2"/>
        </w:rPr>
      </w:pPr>
      <w:r>
        <w:rPr>
          <w:rFonts w:hint="eastAsia" w:ascii="宋体" w:hAnsi="宋体"/>
          <w:kern w:val="2"/>
        </w:rPr>
        <w:t>(三）人员部署、联通方式；</w:t>
      </w:r>
    </w:p>
    <w:p>
      <w:pPr>
        <w:ind w:firstLine="480" w:firstLineChars="200"/>
        <w:rPr>
          <w:rFonts w:ascii="宋体" w:hAnsi="宋体"/>
          <w:kern w:val="2"/>
        </w:rPr>
      </w:pPr>
      <w:r>
        <w:rPr>
          <w:rFonts w:hint="eastAsia" w:ascii="宋体" w:hAnsi="宋体"/>
          <w:kern w:val="2"/>
        </w:rPr>
        <w:t>(四）场所与布局；</w:t>
      </w:r>
    </w:p>
    <w:p>
      <w:pPr>
        <w:ind w:firstLine="480" w:firstLineChars="200"/>
        <w:rPr>
          <w:rFonts w:ascii="宋体" w:hAnsi="宋体"/>
          <w:kern w:val="2"/>
        </w:rPr>
      </w:pPr>
      <w:r>
        <w:rPr>
          <w:rFonts w:hint="eastAsia" w:ascii="宋体" w:hAnsi="宋体"/>
          <w:kern w:val="2"/>
        </w:rPr>
        <w:t>(五）工程服务进度及效能；</w:t>
      </w:r>
    </w:p>
    <w:p>
      <w:pPr>
        <w:ind w:firstLine="480" w:firstLineChars="200"/>
        <w:rPr>
          <w:rFonts w:ascii="宋体" w:hAnsi="宋体"/>
          <w:kern w:val="2"/>
        </w:rPr>
      </w:pPr>
      <w:r>
        <w:rPr>
          <w:rFonts w:hint="eastAsia" w:ascii="宋体" w:hAnsi="宋体"/>
          <w:kern w:val="2"/>
        </w:rPr>
        <w:t>(六）其他需保密内容。</w:t>
      </w:r>
    </w:p>
    <w:p>
      <w:pPr>
        <w:ind w:firstLine="480" w:firstLineChars="200"/>
        <w:rPr>
          <w:rFonts w:ascii="宋体" w:hAnsi="宋体"/>
          <w:b/>
          <w:bCs/>
          <w:kern w:val="2"/>
        </w:rPr>
      </w:pPr>
      <w:r>
        <w:rPr>
          <w:rFonts w:hint="eastAsia" w:ascii="宋体" w:hAnsi="宋体"/>
          <w:b/>
          <w:bCs/>
          <w:kern w:val="2"/>
        </w:rPr>
        <w:t>二、保密期限</w:t>
      </w:r>
    </w:p>
    <w:p>
      <w:pPr>
        <w:ind w:firstLine="480" w:firstLineChars="200"/>
        <w:rPr>
          <w:rFonts w:ascii="宋体" w:hAnsi="宋体"/>
          <w:kern w:val="2"/>
        </w:rPr>
      </w:pPr>
      <w:r>
        <w:rPr>
          <w:rFonts w:hint="eastAsia" w:ascii="宋体" w:hAnsi="宋体"/>
          <w:kern w:val="2"/>
        </w:rPr>
        <w:t>对保密内容，无论在服务中还是项目服务完成后，均应保密并无保密期限制。</w:t>
      </w:r>
    </w:p>
    <w:p>
      <w:pPr>
        <w:ind w:firstLine="480" w:firstLineChars="200"/>
        <w:rPr>
          <w:rFonts w:ascii="宋体" w:hAnsi="宋体"/>
          <w:b/>
          <w:bCs/>
          <w:kern w:val="2"/>
        </w:rPr>
      </w:pPr>
      <w:r>
        <w:rPr>
          <w:rFonts w:hint="eastAsia" w:ascii="宋体" w:hAnsi="宋体"/>
          <w:b/>
          <w:bCs/>
          <w:kern w:val="2"/>
        </w:rPr>
        <w:t>三、保密义务</w:t>
      </w:r>
    </w:p>
    <w:p>
      <w:pPr>
        <w:ind w:firstLine="480" w:firstLineChars="200"/>
        <w:rPr>
          <w:rFonts w:ascii="宋体" w:hAnsi="宋体"/>
          <w:kern w:val="2"/>
        </w:rPr>
      </w:pPr>
      <w:r>
        <w:rPr>
          <w:rFonts w:hint="eastAsia" w:ascii="宋体" w:hAnsi="宋体"/>
          <w:kern w:val="2"/>
        </w:rPr>
        <w:t>（一）乙方应自觉维护甲方利益，对甲方提供的所有资料以及在本合同签订、履行过程中所接触到的甲方保密资料负有保密义务。乙方对参与本服务项目的人员应在进场前进行保密纪律教育，强化保密意识，保证所有运维和施工人员履行保密及不披露义务。</w:t>
      </w:r>
    </w:p>
    <w:p>
      <w:pPr>
        <w:ind w:firstLine="480" w:firstLineChars="200"/>
        <w:rPr>
          <w:rFonts w:ascii="宋体" w:hAnsi="宋体"/>
          <w:kern w:val="2"/>
        </w:rPr>
      </w:pPr>
      <w:r>
        <w:rPr>
          <w:rFonts w:hint="eastAsia" w:ascii="宋体" w:hAnsi="宋体"/>
          <w:kern w:val="2"/>
        </w:rPr>
        <w:t>（二）乙方应加强对运维和施工人员的组织管理，确保运维和施工人员的不脱离施工现场，人员在施工场地行踪可控可查。</w:t>
      </w:r>
    </w:p>
    <w:p>
      <w:pPr>
        <w:ind w:firstLine="480" w:firstLineChars="200"/>
        <w:rPr>
          <w:rFonts w:ascii="宋体" w:hAnsi="宋体"/>
          <w:kern w:val="2"/>
        </w:rPr>
      </w:pPr>
      <w:r>
        <w:rPr>
          <w:rFonts w:hint="eastAsia" w:ascii="宋体" w:hAnsi="宋体"/>
          <w:kern w:val="2"/>
        </w:rPr>
        <w:t>（三）乙方可仅为本合同目的向其内部有知悉保密资料必要的人员披露保密资料，但不得擅自复制保密资料且保证知悉人员遵守保密及不披露义务。</w:t>
      </w:r>
    </w:p>
    <w:p>
      <w:pPr>
        <w:ind w:firstLine="480" w:firstLineChars="200"/>
        <w:rPr>
          <w:rFonts w:ascii="宋体" w:hAnsi="宋体"/>
          <w:kern w:val="2"/>
        </w:rPr>
      </w:pPr>
      <w:r>
        <w:rPr>
          <w:rFonts w:hint="eastAsia" w:ascii="宋体" w:hAnsi="宋体"/>
          <w:kern w:val="2"/>
        </w:rPr>
        <w:t>（四）未经甲方书面许可，乙方无权以直接、间接、照片、录像、口头或书面等形式向第三方（人）披露、泄露或传播保密资料，或者全部用于本合同约定事项以外的其他用途。</w:t>
      </w:r>
    </w:p>
    <w:p>
      <w:pPr>
        <w:ind w:firstLine="480" w:firstLineChars="200"/>
        <w:rPr>
          <w:rFonts w:ascii="宋体" w:hAnsi="宋体"/>
          <w:kern w:val="2"/>
        </w:rPr>
      </w:pPr>
      <w:r>
        <w:rPr>
          <w:rFonts w:hint="eastAsia" w:ascii="宋体" w:hAnsi="宋体"/>
          <w:kern w:val="2"/>
        </w:rPr>
        <w:t>（五）乙方无权对甲方保密资料进行复制；不得以任何方式(如软硬盘、图纸、彩样、照片、菲林、光盘等)留存保密资料。</w:t>
      </w:r>
    </w:p>
    <w:p>
      <w:pPr>
        <w:ind w:firstLine="480" w:firstLineChars="200"/>
        <w:rPr>
          <w:rFonts w:ascii="宋体" w:hAnsi="宋体"/>
          <w:kern w:val="2"/>
        </w:rPr>
      </w:pPr>
      <w:r>
        <w:rPr>
          <w:rFonts w:hint="eastAsia" w:ascii="宋体" w:hAnsi="宋体"/>
          <w:kern w:val="2"/>
        </w:rPr>
        <w:t>（六）乙方应当妥善保管保密资料，并对保密资料在乙方期间发生的被盗、泄露或其他有损保密资料保密性的事件承担全部责任，因此造成甲方损失的，由乙方承担赔偿责任。</w:t>
      </w:r>
    </w:p>
    <w:p>
      <w:pPr>
        <w:ind w:firstLine="480" w:firstLineChars="200"/>
        <w:rPr>
          <w:rFonts w:ascii="宋体" w:hAnsi="宋体"/>
          <w:kern w:val="2"/>
        </w:rPr>
      </w:pPr>
      <w:r>
        <w:rPr>
          <w:rFonts w:hint="eastAsia" w:ascii="宋体" w:hAnsi="宋体"/>
          <w:kern w:val="2"/>
        </w:rPr>
        <w:t>（七）乙方应在完成委托事项或本合同终止或解除时将保密资料原件全部返还给甲方归档。</w:t>
      </w:r>
    </w:p>
    <w:p>
      <w:pPr>
        <w:ind w:firstLine="480" w:firstLineChars="200"/>
        <w:rPr>
          <w:rFonts w:ascii="宋体" w:hAnsi="宋体"/>
          <w:kern w:val="2"/>
        </w:rPr>
      </w:pPr>
      <w:r>
        <w:rPr>
          <w:rFonts w:hint="eastAsia" w:ascii="宋体" w:hAnsi="宋体"/>
          <w:kern w:val="2"/>
        </w:rPr>
        <w:t>（八）出现下述情况时，本条对保密资料的限制不适用。当保密资料:</w:t>
      </w:r>
    </w:p>
    <w:p>
      <w:pPr>
        <w:ind w:firstLine="480" w:firstLineChars="200"/>
        <w:rPr>
          <w:rFonts w:ascii="宋体" w:hAnsi="宋体"/>
          <w:kern w:val="2"/>
        </w:rPr>
      </w:pPr>
      <w:r>
        <w:rPr>
          <w:rFonts w:hint="eastAsia" w:ascii="宋体" w:hAnsi="宋体"/>
          <w:kern w:val="2"/>
        </w:rPr>
        <w:t>1.并非乙方的过错且在本项目开始前已经进入公有领域的。</w:t>
      </w:r>
    </w:p>
    <w:p>
      <w:pPr>
        <w:ind w:firstLine="480" w:firstLineChars="200"/>
        <w:rPr>
          <w:rFonts w:ascii="宋体" w:hAnsi="宋体"/>
          <w:kern w:val="2"/>
        </w:rPr>
      </w:pPr>
      <w:r>
        <w:rPr>
          <w:rFonts w:hint="eastAsia" w:ascii="宋体" w:hAnsi="宋体"/>
          <w:kern w:val="2"/>
        </w:rPr>
        <w:t>2.已通过甲方的有关记录证明是由乙方经过甲方书面确认的。</w:t>
      </w:r>
    </w:p>
    <w:p>
      <w:pPr>
        <w:ind w:firstLine="480" w:firstLineChars="200"/>
        <w:rPr>
          <w:rFonts w:ascii="宋体" w:hAnsi="宋体"/>
          <w:kern w:val="2"/>
        </w:rPr>
      </w:pPr>
      <w:r>
        <w:rPr>
          <w:rFonts w:hint="eastAsia" w:ascii="宋体" w:hAnsi="宋体"/>
          <w:kern w:val="2"/>
        </w:rPr>
        <w:t>3.由乙方从没有违反对甲方的保密义务的人合法取得的。</w:t>
      </w:r>
    </w:p>
    <w:p>
      <w:pPr>
        <w:ind w:firstLine="480" w:firstLineChars="200"/>
        <w:rPr>
          <w:rFonts w:ascii="宋体" w:hAnsi="宋体"/>
          <w:kern w:val="2"/>
        </w:rPr>
      </w:pPr>
      <w:r>
        <w:rPr>
          <w:rFonts w:hint="eastAsia" w:ascii="宋体" w:hAnsi="宋体"/>
          <w:kern w:val="2"/>
        </w:rPr>
        <w:t>4.法律要求乙方披露的，但乙方应在合理的时间提前通知甲方，使其得以采取其认为必要的保护措施。</w:t>
      </w:r>
    </w:p>
    <w:p>
      <w:pPr>
        <w:ind w:firstLine="480" w:firstLineChars="200"/>
        <w:rPr>
          <w:rFonts w:ascii="宋体" w:hAnsi="宋体"/>
          <w:b/>
          <w:bCs/>
          <w:kern w:val="2"/>
        </w:rPr>
      </w:pPr>
      <w:r>
        <w:rPr>
          <w:rFonts w:hint="eastAsia" w:ascii="宋体" w:hAnsi="宋体"/>
          <w:b/>
          <w:bCs/>
          <w:kern w:val="2"/>
        </w:rPr>
        <w:t>四、违约责任</w:t>
      </w:r>
    </w:p>
    <w:p>
      <w:pPr>
        <w:ind w:firstLine="480" w:firstLineChars="200"/>
        <w:rPr>
          <w:rFonts w:ascii="宋体" w:hAnsi="宋体"/>
          <w:kern w:val="2"/>
        </w:rPr>
      </w:pPr>
      <w:r>
        <w:rPr>
          <w:rFonts w:hint="eastAsia" w:ascii="宋体" w:hAnsi="宋体"/>
          <w:kern w:val="2"/>
        </w:rPr>
        <w:t>乙方违反本保密约定，由乙方承担赔偿因此给甲方造成的一切经济损失；涉嫌犯罪的，移交司法机关追究刑事责任。</w:t>
      </w:r>
    </w:p>
    <w:p>
      <w:pPr>
        <w:ind w:firstLine="480" w:firstLineChars="200"/>
        <w:rPr>
          <w:rFonts w:ascii="宋体" w:hAnsi="宋体"/>
          <w:b/>
          <w:kern w:val="2"/>
        </w:rPr>
      </w:pPr>
      <w:r>
        <w:rPr>
          <w:rFonts w:hint="eastAsia" w:ascii="宋体" w:hAnsi="宋体"/>
          <w:b/>
          <w:kern w:val="2"/>
        </w:rPr>
        <w:t>五、本协议与主合同具有同等法律效力，本协议书一式两份，甲乙双方各执一份，经甲乙双方签字盖章后立即生效。</w:t>
      </w:r>
    </w:p>
    <w:p>
      <w:pPr>
        <w:spacing w:line="360" w:lineRule="auto"/>
        <w:rPr>
          <w:rFonts w:ascii="宋体" w:hAnsi="宋体"/>
          <w:kern w:val="2"/>
          <w:sz w:val="28"/>
          <w:szCs w:val="28"/>
        </w:rPr>
      </w:pPr>
      <w:r>
        <w:rPr>
          <w:rFonts w:hint="eastAsia" w:ascii="宋体" w:hAnsi="宋体"/>
          <w:kern w:val="2"/>
          <w:sz w:val="28"/>
          <w:szCs w:val="28"/>
        </w:rPr>
        <w:t xml:space="preserve"> </w:t>
      </w:r>
    </w:p>
    <w:p>
      <w:pPr>
        <w:spacing w:line="360" w:lineRule="auto"/>
        <w:rPr>
          <w:rFonts w:ascii="宋体" w:hAnsi="宋体"/>
        </w:rPr>
      </w:pPr>
      <w:r>
        <w:rPr>
          <w:rFonts w:hint="eastAsia" w:ascii="宋体" w:hAnsi="宋体"/>
        </w:rPr>
        <w:t>甲方（盖章）:</w:t>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乙方（盖章）:</w:t>
      </w:r>
    </w:p>
    <w:p>
      <w:pPr>
        <w:spacing w:line="360" w:lineRule="auto"/>
        <w:rPr>
          <w:rFonts w:ascii="宋体" w:hAnsi="宋体"/>
        </w:rPr>
      </w:pPr>
      <w:r>
        <w:rPr>
          <w:rFonts w:hint="eastAsia" w:ascii="宋体" w:hAnsi="宋体"/>
        </w:rPr>
        <w:t>法定代表人（签字）：</w:t>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法定代表人（签字）：</w:t>
      </w:r>
    </w:p>
    <w:p>
      <w:pPr>
        <w:widowControl w:val="0"/>
        <w:spacing w:line="360" w:lineRule="auto"/>
        <w:rPr>
          <w:rFonts w:ascii="宋体" w:hAnsi="宋体"/>
          <w:kern w:val="2"/>
          <w:sz w:val="22"/>
          <w:szCs w:val="22"/>
        </w:rPr>
      </w:pPr>
      <w:r>
        <w:rPr>
          <w:rFonts w:hint="eastAsia" w:ascii="宋体" w:hAnsi="宋体"/>
        </w:rPr>
        <w:t>签订日期：</w:t>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签订日期：</w:t>
      </w:r>
    </w:p>
    <w:p>
      <w:r>
        <w:br w:type="page"/>
      </w:r>
    </w:p>
    <w:p>
      <w:pPr>
        <w:widowControl w:val="0"/>
        <w:spacing w:line="278" w:lineRule="auto"/>
        <w:rPr>
          <w:rFonts w:ascii="仿宋" w:hAnsi="仿宋" w:eastAsia="仿宋"/>
          <w:sz w:val="28"/>
          <w:szCs w:val="28"/>
        </w:rPr>
      </w:pPr>
      <w:r>
        <w:rPr>
          <w:rFonts w:hint="eastAsia" w:ascii="宋体" w:hAnsi="宋体"/>
          <w:b/>
          <w:bCs/>
          <w:sz w:val="28"/>
          <w:szCs w:val="28"/>
        </w:rPr>
        <w:t>附件二：</w:t>
      </w:r>
    </w:p>
    <w:p>
      <w:pPr>
        <w:widowControl w:val="0"/>
        <w:spacing w:line="360" w:lineRule="auto"/>
        <w:jc w:val="center"/>
        <w:rPr>
          <w:rFonts w:ascii="宋体" w:hAnsi="宋体"/>
          <w:b/>
          <w:bCs/>
          <w:sz w:val="32"/>
          <w:szCs w:val="32"/>
        </w:rPr>
      </w:pPr>
      <w:r>
        <w:rPr>
          <w:rFonts w:hint="eastAsia" w:ascii="宋体" w:hAnsi="宋体"/>
          <w:b/>
          <w:bCs/>
          <w:sz w:val="32"/>
          <w:szCs w:val="32"/>
        </w:rPr>
        <w:t>西安市电子政务网专线接入服务项目服务考核办法</w:t>
      </w:r>
    </w:p>
    <w:p>
      <w:pPr>
        <w:ind w:firstLine="480" w:firstLineChars="200"/>
        <w:rPr>
          <w:rFonts w:asciiTheme="minorEastAsia" w:hAnsiTheme="minorEastAsia"/>
        </w:rPr>
      </w:pPr>
      <w:r>
        <w:rPr>
          <w:rFonts w:hint="eastAsia" w:asciiTheme="minorEastAsia" w:hAnsiTheme="minorEastAsia"/>
        </w:rPr>
        <w:t>服务考核指标</w:t>
      </w:r>
    </w:p>
    <w:p>
      <w:pPr>
        <w:ind w:firstLine="480" w:firstLineChars="200"/>
        <w:rPr>
          <w:rFonts w:asciiTheme="minorEastAsia" w:hAnsiTheme="minorEastAsia"/>
        </w:rPr>
      </w:pPr>
      <w:r>
        <w:rPr>
          <w:rFonts w:hint="eastAsia" w:asciiTheme="minorEastAsia" w:hAnsiTheme="minorEastAsia"/>
        </w:rPr>
        <w:t>1.服务质量考核要点</w:t>
      </w:r>
    </w:p>
    <w:p>
      <w:pPr>
        <w:ind w:firstLine="480" w:firstLineChars="200"/>
        <w:rPr>
          <w:rFonts w:asciiTheme="minorEastAsia" w:hAnsiTheme="minorEastAsia"/>
        </w:rPr>
      </w:pPr>
      <w:r>
        <w:rPr>
          <w:rFonts w:hint="eastAsia" w:asciiTheme="minorEastAsia" w:hAnsiTheme="minorEastAsia"/>
        </w:rPr>
        <w:t>故障响应时限：7×24小时故障热线，30分钟内故障响应。</w:t>
      </w:r>
    </w:p>
    <w:p>
      <w:pPr>
        <w:ind w:firstLine="480" w:firstLineChars="200"/>
        <w:rPr>
          <w:rFonts w:asciiTheme="minorEastAsia" w:hAnsiTheme="minorEastAsia"/>
        </w:rPr>
      </w:pPr>
      <w:r>
        <w:rPr>
          <w:rFonts w:hint="eastAsia" w:asciiTheme="minorEastAsia" w:hAnsiTheme="minorEastAsia"/>
        </w:rPr>
        <w:t>链路故障恢复时间≤4小时，如遇不可抗力等特殊因素除外。</w:t>
      </w:r>
    </w:p>
    <w:p>
      <w:pPr>
        <w:ind w:firstLine="480" w:firstLineChars="200"/>
        <w:rPr>
          <w:rFonts w:asciiTheme="minorEastAsia" w:hAnsiTheme="minorEastAsia"/>
        </w:rPr>
      </w:pPr>
      <w:r>
        <w:rPr>
          <w:rFonts w:hint="eastAsia" w:asciiTheme="minorEastAsia" w:hAnsiTheme="minorEastAsia"/>
        </w:rPr>
        <w:t>2.服务质量考核</w:t>
      </w:r>
    </w:p>
    <w:p>
      <w:pPr>
        <w:ind w:firstLine="480" w:firstLineChars="200"/>
        <w:rPr>
          <w:rFonts w:asciiTheme="minorEastAsia" w:hAnsiTheme="minorEastAsia"/>
        </w:rPr>
      </w:pPr>
      <w:r>
        <w:rPr>
          <w:rFonts w:hint="eastAsia" w:asciiTheme="minorEastAsia" w:hAnsiTheme="minorEastAsia"/>
        </w:rPr>
        <w:t>建立服务质量考核机制，从单条链路、整个合同服务质量，对传输电路专线和互联网光纤专线链路开通、链路质量、故障响应及处理、带宽达标及维护人员配置等方面进行考核打分，同时结合各委办单位每季度线路服务评价表打分情况，对线路提供方进行考核，以促使线路提供方加强网络巡检和保障力度，以保障网络安全。每季度考核得分经过西安市数据局、线路使用单位、监理机构及链路供应商共同确认后，根据得分进行该季度服务费用核算。</w:t>
      </w:r>
    </w:p>
    <w:p>
      <w:pPr>
        <w:ind w:firstLine="480" w:firstLineChars="200"/>
        <w:rPr>
          <w:rFonts w:asciiTheme="minorEastAsia" w:hAnsiTheme="minorEastAsia"/>
        </w:rPr>
      </w:pPr>
      <w:r>
        <w:rPr>
          <w:rFonts w:hint="eastAsia" w:asciiTheme="minorEastAsia" w:hAnsiTheme="minorEastAsia"/>
        </w:rPr>
        <w:t>传输电路专线和互联网光纤专线单链路考核</w:t>
      </w:r>
    </w:p>
    <w:p>
      <w:pPr>
        <w:ind w:firstLine="480" w:firstLineChars="200"/>
        <w:rPr>
          <w:rFonts w:asciiTheme="minorEastAsia" w:hAnsiTheme="minorEastAsia"/>
        </w:rPr>
      </w:pPr>
      <w:r>
        <w:rPr>
          <w:rFonts w:hint="eastAsia" w:asciiTheme="minorEastAsia" w:hAnsiTheme="minorEastAsia"/>
        </w:rPr>
        <w:t>1.服务质量考核：</w:t>
      </w:r>
    </w:p>
    <w:p>
      <w:pPr>
        <w:ind w:firstLine="480" w:firstLineChars="200"/>
        <w:rPr>
          <w:rFonts w:asciiTheme="minorEastAsia" w:hAnsiTheme="minorEastAsia"/>
        </w:rPr>
      </w:pPr>
      <w:r>
        <w:rPr>
          <w:rFonts w:hint="eastAsia" w:asciiTheme="minorEastAsia" w:hAnsiTheme="minorEastAsia"/>
        </w:rPr>
        <w:t>每月各委办局需对线路实际使用情况进行统计及上报，每季度结合月上报情况对服务质量进行考核打分。</w:t>
      </w:r>
    </w:p>
    <w:p>
      <w:pPr>
        <w:ind w:firstLine="480" w:firstLineChars="200"/>
        <w:rPr>
          <w:rFonts w:asciiTheme="minorEastAsia" w:hAnsiTheme="minorEastAsia"/>
        </w:rPr>
      </w:pPr>
      <w:r>
        <w:rPr>
          <w:rFonts w:hint="eastAsia" w:asciiTheme="minorEastAsia" w:hAnsiTheme="minorEastAsia"/>
        </w:rPr>
        <w:t>考核采用百分制对链路提供方的每条链路进行考核，得分＞95分，评定优秀。90＜得分≤95，评定为较好。80＜得分≤90，评定为达标。得分≤80分，评定为不达标。</w:t>
      </w:r>
    </w:p>
    <w:p>
      <w:pPr>
        <w:ind w:firstLine="480" w:firstLineChars="200"/>
        <w:rPr>
          <w:rFonts w:asciiTheme="minorEastAsia" w:hAnsiTheme="minorEastAsia"/>
        </w:rPr>
      </w:pPr>
      <w:r>
        <w:rPr>
          <w:rFonts w:hint="eastAsia" w:asciiTheme="minorEastAsia" w:hAnsiTheme="minorEastAsia"/>
        </w:rPr>
        <w:t>2.服务质量扣分：</w:t>
      </w:r>
    </w:p>
    <w:p>
      <w:pPr>
        <w:ind w:firstLine="480" w:firstLineChars="200"/>
        <w:rPr>
          <w:rFonts w:asciiTheme="minorEastAsia" w:hAnsiTheme="minorEastAsia"/>
        </w:rPr>
      </w:pPr>
      <w:r>
        <w:rPr>
          <w:rFonts w:hint="eastAsia" w:asciiTheme="minorEastAsia" w:hAnsiTheme="minorEastAsia"/>
        </w:rPr>
        <w:t>（1）开通时限考核：未按承诺时间开通的，每次扣10分。如链路提供方未能按期交付服务，超期后需按照合同总价金额每天千分之三的比例承担违约金。</w:t>
      </w:r>
    </w:p>
    <w:p>
      <w:pPr>
        <w:ind w:firstLine="480" w:firstLineChars="200"/>
        <w:rPr>
          <w:rFonts w:asciiTheme="minorEastAsia" w:hAnsiTheme="minorEastAsia"/>
        </w:rPr>
      </w:pPr>
      <w:r>
        <w:rPr>
          <w:rFonts w:hint="eastAsia" w:asciiTheme="minorEastAsia" w:hAnsiTheme="minorEastAsia"/>
        </w:rPr>
        <w:t>（2）质量扣分考核：要求链路年可用性99.00%要求，链路年中断时长＜52分钟的，不扣分；52分钟＜单条链路年中断时长≤120分钟，扣1分；120分钟＜单条链路年中断时长≤180分钟，扣2分；180分钟＜单条链路年中断时长≤240分钟，扣3分；单条链路年中断时长＞240分钟（4小时），扣5分，每延误30分钟再加扣1分；单条链路单次中断时长＞240分钟，扣5分。</w:t>
      </w:r>
    </w:p>
    <w:p>
      <w:pPr>
        <w:ind w:firstLine="480" w:firstLineChars="200"/>
        <w:rPr>
          <w:rFonts w:asciiTheme="minorEastAsia" w:hAnsiTheme="minorEastAsia"/>
        </w:rPr>
      </w:pPr>
      <w:r>
        <w:rPr>
          <w:rFonts w:hint="eastAsia" w:asciiTheme="minorEastAsia" w:hAnsiTheme="minorEastAsia"/>
        </w:rPr>
        <w:t>（3）故障响应考核：故障响应在规定时间内的，不扣分；故障响应不及时，每次扣3分。</w:t>
      </w:r>
    </w:p>
    <w:p>
      <w:pPr>
        <w:ind w:firstLine="480" w:firstLineChars="200"/>
        <w:rPr>
          <w:rFonts w:asciiTheme="minorEastAsia" w:hAnsiTheme="minorEastAsia"/>
        </w:rPr>
      </w:pPr>
      <w:r>
        <w:rPr>
          <w:rFonts w:hint="eastAsia" w:asciiTheme="minorEastAsia" w:hAnsiTheme="minorEastAsia"/>
        </w:rPr>
        <w:t>（4）带宽达标考核：对租用链路带宽，利用软件、仪器仪表等进行测试，带宽不达标的，扣3分。</w:t>
      </w:r>
    </w:p>
    <w:p>
      <w:pPr>
        <w:ind w:firstLine="480" w:firstLineChars="200"/>
        <w:rPr>
          <w:rFonts w:asciiTheme="minorEastAsia" w:hAnsiTheme="minorEastAsia"/>
        </w:rPr>
      </w:pPr>
      <w:r>
        <w:rPr>
          <w:rFonts w:hint="eastAsia" w:asciiTheme="minorEastAsia" w:hAnsiTheme="minorEastAsia"/>
        </w:rPr>
        <w:t>（5）对链路提供方维护人员配置考核：链路提供方维护人员配置（最低要求），需要针对本次网络线路租用，要求至少1人专职负责项目，主要负责传输设备、光电缆及附属设备维护管理、技术管理、质量管理，网络故障的协调处理及上报，通信保障应急预案组织实施、重要通信保障任务的组织实施，具体岗位设置和人员配备依照投标文件。对于人员配置，检查发现不达标的每次扣3分。</w:t>
      </w:r>
    </w:p>
    <w:p>
      <w:pPr>
        <w:ind w:firstLine="480" w:firstLineChars="200"/>
        <w:rPr>
          <w:rFonts w:asciiTheme="minorEastAsia" w:hAnsiTheme="minorEastAsia"/>
        </w:rPr>
      </w:pPr>
      <w:r>
        <w:rPr>
          <w:rFonts w:hint="eastAsia" w:asciiTheme="minorEastAsia" w:hAnsiTheme="minorEastAsia"/>
        </w:rPr>
        <w:t>服务质量得分由以上五项扣分累加计算，考核结果应用到服务费结算。链路提供方在考核被评定为不达标的，因链路中断产生风险和费用由中标供应商承担。</w:t>
      </w:r>
    </w:p>
    <w:p>
      <w:pPr>
        <w:ind w:firstLine="480" w:firstLineChars="200"/>
        <w:rPr>
          <w:rFonts w:asciiTheme="minorEastAsia" w:hAnsiTheme="minorEastAsia"/>
        </w:rPr>
      </w:pPr>
      <w:r>
        <w:rPr>
          <w:rFonts w:hint="eastAsia" w:asciiTheme="minorEastAsia" w:hAnsiTheme="minorEastAsia"/>
        </w:rPr>
        <w:t>考核满分为100分，扣完为止，服务质量得分与服务费用挂钩：</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0"/>
        <w:gridCol w:w="4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bottom"/>
          </w:tcPr>
          <w:p>
            <w:pPr>
              <w:spacing w:line="440" w:lineRule="exact"/>
              <w:ind w:firstLine="560" w:firstLineChars="200"/>
              <w:rPr>
                <w:rFonts w:ascii="仿宋" w:hAnsi="仿宋" w:eastAsia="仿宋"/>
                <w:sz w:val="28"/>
                <w:szCs w:val="28"/>
              </w:rPr>
            </w:pPr>
            <w:r>
              <w:rPr>
                <w:rFonts w:hint="eastAsia" w:ascii="仿宋" w:hAnsi="仿宋" w:eastAsia="仿宋"/>
                <w:sz w:val="28"/>
                <w:szCs w:val="28"/>
              </w:rPr>
              <w:t>年度考核得分K值</w:t>
            </w:r>
          </w:p>
        </w:tc>
        <w:tc>
          <w:tcPr>
            <w:tcW w:w="4429" w:type="dxa"/>
            <w:tcBorders>
              <w:top w:val="single" w:color="auto" w:sz="4" w:space="0"/>
              <w:left w:val="single" w:color="auto" w:sz="4" w:space="0"/>
              <w:bottom w:val="single" w:color="auto" w:sz="4" w:space="0"/>
              <w:right w:val="single" w:color="auto" w:sz="4" w:space="0"/>
            </w:tcBorders>
            <w:vAlign w:val="bottom"/>
          </w:tcPr>
          <w:p>
            <w:pPr>
              <w:spacing w:line="440" w:lineRule="exact"/>
              <w:ind w:firstLine="560" w:firstLineChars="200"/>
              <w:rPr>
                <w:rFonts w:ascii="仿宋" w:hAnsi="仿宋" w:eastAsia="仿宋"/>
                <w:sz w:val="28"/>
                <w:szCs w:val="28"/>
              </w:rPr>
            </w:pPr>
            <w:r>
              <w:rPr>
                <w:rFonts w:hint="eastAsia" w:ascii="仿宋" w:hAnsi="仿宋" w:eastAsia="仿宋"/>
                <w:sz w:val="28"/>
                <w:szCs w:val="28"/>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K＞90分</w:t>
            </w:r>
          </w:p>
        </w:tc>
        <w:tc>
          <w:tcPr>
            <w:tcW w:w="4429" w:type="dxa"/>
            <w:tcBorders>
              <w:top w:val="single" w:color="auto" w:sz="4" w:space="0"/>
              <w:left w:val="single" w:color="auto" w:sz="4" w:space="0"/>
              <w:bottom w:val="single" w:color="auto" w:sz="4" w:space="0"/>
              <w:right w:val="single" w:color="auto" w:sz="4" w:space="0"/>
            </w:tcBorders>
            <w:vAlign w:val="bottom"/>
          </w:tcPr>
          <w:p>
            <w:pPr>
              <w:spacing w:line="440" w:lineRule="exact"/>
              <w:ind w:firstLine="560" w:firstLineChars="200"/>
              <w:rPr>
                <w:rFonts w:ascii="仿宋" w:hAnsi="仿宋" w:eastAsia="仿宋"/>
                <w:sz w:val="28"/>
                <w:szCs w:val="28"/>
              </w:rPr>
            </w:pPr>
            <w:r>
              <w:rPr>
                <w:rFonts w:hint="eastAsia" w:ascii="仿宋" w:hAnsi="仿宋" w:eastAsia="仿宋"/>
                <w:sz w:val="28"/>
                <w:szCs w:val="28"/>
              </w:rPr>
              <w:t>不扣款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80＜K≤90</w:t>
            </w:r>
          </w:p>
        </w:tc>
        <w:tc>
          <w:tcPr>
            <w:tcW w:w="4429" w:type="dxa"/>
            <w:tcBorders>
              <w:top w:val="single" w:color="auto" w:sz="4" w:space="0"/>
              <w:left w:val="single" w:color="auto" w:sz="4" w:space="0"/>
              <w:bottom w:val="single" w:color="auto" w:sz="4" w:space="0"/>
              <w:right w:val="single" w:color="auto" w:sz="4" w:space="0"/>
            </w:tcBorders>
            <w:vAlign w:val="bottom"/>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70＜K≤80</w:t>
            </w:r>
          </w:p>
        </w:tc>
        <w:tc>
          <w:tcPr>
            <w:tcW w:w="4429"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60＜K≤70</w:t>
            </w:r>
          </w:p>
        </w:tc>
        <w:tc>
          <w:tcPr>
            <w:tcW w:w="4429"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50＜K≤60</w:t>
            </w:r>
          </w:p>
        </w:tc>
        <w:tc>
          <w:tcPr>
            <w:tcW w:w="4429"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40＜K≤50</w:t>
            </w:r>
          </w:p>
        </w:tc>
        <w:tc>
          <w:tcPr>
            <w:tcW w:w="4429"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30＜K≤40</w:t>
            </w:r>
          </w:p>
        </w:tc>
        <w:tc>
          <w:tcPr>
            <w:tcW w:w="4429"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0≤K≤40</w:t>
            </w:r>
          </w:p>
        </w:tc>
        <w:tc>
          <w:tcPr>
            <w:tcW w:w="4429"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扣除该链路费用金额的90%</w:t>
            </w:r>
          </w:p>
        </w:tc>
      </w:tr>
    </w:tbl>
    <w:p>
      <w:pPr>
        <w:ind w:firstLine="480" w:firstLineChars="200"/>
        <w:rPr>
          <w:rFonts w:asciiTheme="minorEastAsia" w:hAnsiTheme="minorEastAsia"/>
        </w:rPr>
      </w:pPr>
      <w:r>
        <w:rPr>
          <w:rFonts w:hint="eastAsia" w:asciiTheme="minorEastAsia" w:hAnsiTheme="minorEastAsia"/>
        </w:rPr>
        <w:t>合同整体考核</w:t>
      </w:r>
    </w:p>
    <w:p>
      <w:pPr>
        <w:ind w:firstLine="480" w:firstLineChars="200"/>
        <w:rPr>
          <w:rFonts w:asciiTheme="minorEastAsia" w:hAnsiTheme="minorEastAsia"/>
        </w:rPr>
      </w:pPr>
      <w:r>
        <w:rPr>
          <w:rFonts w:hint="eastAsia" w:asciiTheme="minorEastAsia" w:hAnsiTheme="minorEastAsia"/>
        </w:rPr>
        <w:t>同时对整个合同在服务期结束后进行考核，若存在故障则执行下表：</w:t>
      </w:r>
    </w:p>
    <w:tbl>
      <w:tblPr>
        <w:tblStyle w:val="2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1"/>
        <w:gridCol w:w="4110"/>
        <w:gridCol w:w="2179"/>
        <w:gridCol w:w="20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7" w:hRule="atLeast"/>
          <w:jc w:val="center"/>
        </w:trPr>
        <w:tc>
          <w:tcPr>
            <w:tcW w:w="947"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故障</w:t>
            </w:r>
          </w:p>
          <w:p>
            <w:pPr>
              <w:spacing w:line="440" w:lineRule="exact"/>
              <w:rPr>
                <w:rFonts w:ascii="仿宋" w:hAnsi="仿宋" w:eastAsia="仿宋"/>
                <w:sz w:val="28"/>
                <w:szCs w:val="28"/>
              </w:rPr>
            </w:pPr>
            <w:r>
              <w:rPr>
                <w:rFonts w:hint="eastAsia" w:ascii="仿宋" w:hAnsi="仿宋" w:eastAsia="仿宋"/>
                <w:sz w:val="28"/>
                <w:szCs w:val="28"/>
              </w:rPr>
              <w:t>级别</w:t>
            </w:r>
          </w:p>
        </w:tc>
        <w:tc>
          <w:tcPr>
            <w:tcW w:w="4010" w:type="dxa"/>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级别定义</w:t>
            </w:r>
          </w:p>
        </w:tc>
        <w:tc>
          <w:tcPr>
            <w:tcW w:w="2126"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仿宋" w:hAnsi="仿宋" w:eastAsia="仿宋"/>
                <w:sz w:val="28"/>
                <w:szCs w:val="28"/>
              </w:rPr>
            </w:pPr>
            <w:r>
              <w:rPr>
                <w:rFonts w:hint="eastAsia" w:ascii="仿宋" w:hAnsi="仿宋" w:eastAsia="仿宋"/>
                <w:sz w:val="28"/>
                <w:szCs w:val="28"/>
              </w:rPr>
              <w:t>影响范围</w:t>
            </w:r>
          </w:p>
        </w:tc>
        <w:tc>
          <w:tcPr>
            <w:tcW w:w="1977"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赔付损失额</w:t>
            </w:r>
          </w:p>
          <w:p>
            <w:pPr>
              <w:spacing w:line="440" w:lineRule="exact"/>
              <w:rPr>
                <w:rFonts w:ascii="仿宋" w:hAnsi="仿宋" w:eastAsia="仿宋"/>
                <w:sz w:val="28"/>
                <w:szCs w:val="28"/>
              </w:rPr>
            </w:pPr>
            <w:r>
              <w:rPr>
                <w:rFonts w:hint="eastAsia" w:ascii="仿宋" w:hAnsi="仿宋" w:eastAsia="仿宋"/>
                <w:sz w:val="28"/>
                <w:szCs w:val="28"/>
              </w:rPr>
              <w:t>(占合同金额)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47"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P1</w:t>
            </w:r>
          </w:p>
        </w:tc>
        <w:tc>
          <w:tcPr>
            <w:tcW w:w="4010"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全年网络通畅率在99.00%以下</w:t>
            </w:r>
          </w:p>
        </w:tc>
        <w:tc>
          <w:tcPr>
            <w:tcW w:w="2126" w:type="dxa"/>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全网</w:t>
            </w:r>
          </w:p>
        </w:tc>
        <w:tc>
          <w:tcPr>
            <w:tcW w:w="1977" w:type="dxa"/>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6" w:hRule="atLeast"/>
          <w:jc w:val="center"/>
        </w:trPr>
        <w:tc>
          <w:tcPr>
            <w:tcW w:w="947"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P2</w:t>
            </w:r>
          </w:p>
        </w:tc>
        <w:tc>
          <w:tcPr>
            <w:tcW w:w="4010"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全年网络通畅率在99.00%以上、发生重特大网络故障事件</w:t>
            </w:r>
          </w:p>
        </w:tc>
        <w:tc>
          <w:tcPr>
            <w:tcW w:w="2126"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大量党政机关、企事业单位、社会公众</w:t>
            </w:r>
          </w:p>
        </w:tc>
        <w:tc>
          <w:tcPr>
            <w:tcW w:w="1977" w:type="dxa"/>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7"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P3</w:t>
            </w:r>
          </w:p>
        </w:tc>
        <w:tc>
          <w:tcPr>
            <w:tcW w:w="4010"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全年骨干网络通畅率在99.00%以上、发生单次网络故障影响时间8h以上</w:t>
            </w:r>
          </w:p>
        </w:tc>
        <w:tc>
          <w:tcPr>
            <w:tcW w:w="2126" w:type="dxa"/>
            <w:tcBorders>
              <w:top w:val="single" w:color="000000" w:sz="4" w:space="0"/>
              <w:left w:val="single" w:color="000000" w:sz="4" w:space="0"/>
              <w:bottom w:val="single" w:color="000000" w:sz="4" w:space="0"/>
              <w:right w:val="single" w:color="000000"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党政机关</w:t>
            </w:r>
          </w:p>
        </w:tc>
        <w:tc>
          <w:tcPr>
            <w:tcW w:w="1977" w:type="dxa"/>
            <w:tcBorders>
              <w:top w:val="single" w:color="000000" w:sz="4" w:space="0"/>
              <w:left w:val="single" w:color="000000" w:sz="4" w:space="0"/>
              <w:bottom w:val="single" w:color="000000" w:sz="4" w:space="0"/>
              <w:right w:val="single" w:color="000000"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1%</w:t>
            </w:r>
          </w:p>
        </w:tc>
      </w:tr>
    </w:tbl>
    <w:p>
      <w:pPr>
        <w:ind w:firstLine="480" w:firstLineChars="200"/>
        <w:rPr>
          <w:rFonts w:asciiTheme="minorEastAsia" w:hAnsiTheme="minorEastAsia"/>
        </w:rPr>
      </w:pPr>
      <w:r>
        <w:rPr>
          <w:rFonts w:hint="eastAsia" w:asciiTheme="minorEastAsia" w:hAnsiTheme="minorEastAsia"/>
        </w:rPr>
        <w:t>其中：网络通畅率99.00%要求，Y=（W-U）/W*100%=99.00%，U=365d*24h*60min*0.01%=52min。</w:t>
      </w:r>
    </w:p>
    <w:p>
      <w:pPr>
        <w:ind w:firstLine="480" w:firstLineChars="200"/>
        <w:rPr>
          <w:rFonts w:asciiTheme="minorEastAsia" w:hAnsiTheme="minorEastAsia"/>
        </w:rPr>
      </w:pPr>
      <w:r>
        <w:rPr>
          <w:rFonts w:hint="eastAsia" w:asciiTheme="minorEastAsia" w:hAnsiTheme="minorEastAsia"/>
        </w:rPr>
        <w:t>Y：结算周期内服务项服务可用性</w:t>
      </w:r>
    </w:p>
    <w:p>
      <w:pPr>
        <w:ind w:firstLine="480" w:firstLineChars="200"/>
        <w:rPr>
          <w:rFonts w:asciiTheme="minorEastAsia" w:hAnsiTheme="minorEastAsia"/>
        </w:rPr>
      </w:pPr>
      <w:r>
        <w:rPr>
          <w:rFonts w:hint="eastAsia" w:asciiTheme="minorEastAsia" w:hAnsiTheme="minorEastAsia"/>
        </w:rPr>
        <w:t>W：结算周期内服务项服务总时间</w:t>
      </w:r>
    </w:p>
    <w:p>
      <w:pPr>
        <w:ind w:firstLine="480" w:firstLineChars="200"/>
        <w:rPr>
          <w:rFonts w:asciiTheme="minorEastAsia" w:hAnsiTheme="minorEastAsia"/>
        </w:rPr>
      </w:pPr>
      <w:r>
        <w:rPr>
          <w:rFonts w:hint="eastAsia" w:asciiTheme="minorEastAsia" w:hAnsiTheme="minorEastAsia"/>
        </w:rPr>
        <w:t>U：结算周期内服务项不可用总时间</w:t>
      </w:r>
    </w:p>
    <w:p>
      <w:pPr>
        <w:ind w:firstLine="480" w:firstLineChars="200"/>
        <w:rPr>
          <w:rFonts w:asciiTheme="minorEastAsia" w:hAnsiTheme="minorEastAsia"/>
        </w:rPr>
      </w:pPr>
      <w:r>
        <w:rPr>
          <w:rFonts w:hint="eastAsia" w:asciiTheme="minorEastAsia" w:hAnsiTheme="minorEastAsia"/>
        </w:rPr>
        <w:t>P1：影响范围“全网”，即政务外网纵向省市骨干链路和横向骨干链路（园区和数据中心互联）不可用总时间＞52分钟，定义为P1故障级别。</w:t>
      </w:r>
    </w:p>
    <w:p>
      <w:pPr>
        <w:ind w:firstLine="480" w:firstLineChars="200"/>
        <w:rPr>
          <w:rFonts w:asciiTheme="minorEastAsia" w:hAnsiTheme="minorEastAsia"/>
        </w:rPr>
      </w:pPr>
      <w:r>
        <w:rPr>
          <w:rFonts w:hint="eastAsia" w:asciiTheme="minorEastAsia" w:hAnsiTheme="minorEastAsia"/>
        </w:rPr>
        <w:t>P2：影响范围“大量党政机关、企事业单位、社会公众”，即省级横向汇聚层链路不可用时间＞52分钟，并且发生重特大网络故障事件，定义为P2级别。</w:t>
      </w:r>
    </w:p>
    <w:p>
      <w:pPr>
        <w:ind w:firstLine="480" w:firstLineChars="200"/>
        <w:rPr>
          <w:rFonts w:asciiTheme="minorEastAsia" w:hAnsiTheme="minorEastAsia"/>
        </w:rPr>
      </w:pPr>
      <w:r>
        <w:rPr>
          <w:rFonts w:hint="eastAsia" w:asciiTheme="minorEastAsia" w:hAnsiTheme="minorEastAsia"/>
        </w:rPr>
        <w:t>P3：影响范围“党政机关”，即省级横向接入链路不可用时间＞52分钟，并且发生单次网络故障影响时间8h以上，定义为P3级别。</w:t>
      </w:r>
    </w:p>
    <w:p>
      <w:pPr>
        <w:ind w:firstLine="480" w:firstLineChars="200"/>
        <w:rPr>
          <w:rFonts w:asciiTheme="minorEastAsia" w:hAnsiTheme="minorEastAsia"/>
        </w:rPr>
      </w:pPr>
      <w:r>
        <w:rPr>
          <w:rFonts w:hint="eastAsia" w:asciiTheme="minorEastAsia" w:hAnsiTheme="minorEastAsia"/>
        </w:rPr>
        <w:t>各委办单位服务满意度评价</w:t>
      </w:r>
    </w:p>
    <w:p>
      <w:pPr>
        <w:ind w:firstLine="480" w:firstLineChars="200"/>
        <w:rPr>
          <w:rFonts w:asciiTheme="minorEastAsia" w:hAnsiTheme="minorEastAsia"/>
        </w:rPr>
      </w:pPr>
      <w:r>
        <w:rPr>
          <w:rFonts w:hint="eastAsia" w:asciiTheme="minorEastAsia" w:hAnsiTheme="minorEastAsia"/>
        </w:rPr>
        <w:t>每季度针对线路使用情况，由各委办单位进行服务质量满意度评价打分(见下表):</w:t>
      </w:r>
    </w:p>
    <w:tbl>
      <w:tblPr>
        <w:tblStyle w:val="24"/>
        <w:tblW w:w="9655"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3077"/>
        <w:gridCol w:w="1552"/>
        <w:gridCol w:w="3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626"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项目名称</w:t>
            </w:r>
          </w:p>
        </w:tc>
        <w:tc>
          <w:tcPr>
            <w:tcW w:w="3077"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p>
        </w:tc>
        <w:tc>
          <w:tcPr>
            <w:tcW w:w="1552"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评价单位</w:t>
            </w:r>
          </w:p>
        </w:tc>
        <w:tc>
          <w:tcPr>
            <w:tcW w:w="3400"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2" w:hRule="atLeast"/>
        </w:trPr>
        <w:tc>
          <w:tcPr>
            <w:tcW w:w="9655" w:type="dxa"/>
            <w:gridSpan w:val="4"/>
            <w:tcBorders>
              <w:top w:val="single" w:color="auto" w:sz="4" w:space="0"/>
              <w:left w:val="single" w:color="auto" w:sz="4" w:space="0"/>
              <w:bottom w:val="single" w:color="auto" w:sz="4" w:space="0"/>
              <w:right w:val="single" w:color="auto" w:sz="4" w:space="0"/>
            </w:tcBorders>
          </w:tcPr>
          <w:p>
            <w:pPr>
              <w:spacing w:line="440" w:lineRule="exact"/>
              <w:ind w:firstLine="560" w:firstLineChars="200"/>
              <w:rPr>
                <w:rFonts w:ascii="仿宋" w:hAnsi="仿宋" w:eastAsia="仿宋"/>
                <w:sz w:val="28"/>
                <w:szCs w:val="28"/>
              </w:rPr>
            </w:pPr>
            <w:r>
              <w:rPr>
                <w:rFonts w:hint="eastAsia" w:ascii="仿宋" w:hAnsi="仿宋" w:eastAsia="仿宋"/>
                <w:sz w:val="28"/>
                <w:szCs w:val="28"/>
              </w:rPr>
              <w:t>请就对应的选项进行打分：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过去的3个月，网络运行良好，能够提供持续稳定的网络服务：</w:t>
            </w:r>
          </w:p>
          <w:p>
            <w:pPr>
              <w:spacing w:line="440" w:lineRule="exact"/>
              <w:ind w:firstLine="560" w:firstLineChars="200"/>
              <w:rPr>
                <w:rFonts w:ascii="仿宋" w:hAnsi="仿宋" w:eastAsia="仿宋"/>
                <w:sz w:val="28"/>
                <w:szCs w:val="28"/>
              </w:rPr>
            </w:pPr>
            <w:r>
              <w:rPr>
                <w:rFonts w:ascii="Calibri" w:hAnsi="Calibri" w:eastAsia="仿宋" w:cs="Calibri"/>
                <w:sz w:val="28"/>
                <w:szCs w:val="28"/>
              </w:rPr>
              <w:t>£</w:t>
            </w:r>
            <w:r>
              <w:rPr>
                <w:rFonts w:hint="eastAsia" w:ascii="仿宋" w:hAnsi="仿宋" w:eastAsia="仿宋"/>
                <w:sz w:val="28"/>
                <w:szCs w:val="28"/>
              </w:rPr>
              <w:t xml:space="preserve"> 5分   </w:t>
            </w:r>
            <w:r>
              <w:rPr>
                <w:rFonts w:ascii="Calibri" w:hAnsi="Calibri" w:eastAsia="仿宋" w:cs="Calibri"/>
                <w:sz w:val="28"/>
                <w:szCs w:val="28"/>
              </w:rPr>
              <w:t>£</w:t>
            </w:r>
            <w:r>
              <w:rPr>
                <w:rFonts w:hint="eastAsia" w:ascii="仿宋" w:hAnsi="仿宋" w:eastAsia="仿宋"/>
                <w:sz w:val="28"/>
                <w:szCs w:val="28"/>
              </w:rPr>
              <w:t xml:space="preserve"> 4分   </w:t>
            </w:r>
            <w:r>
              <w:rPr>
                <w:rFonts w:ascii="Calibri" w:hAnsi="Calibri" w:eastAsia="仿宋" w:cs="Calibri"/>
                <w:sz w:val="28"/>
                <w:szCs w:val="28"/>
              </w:rPr>
              <w:t>£</w:t>
            </w:r>
            <w:r>
              <w:rPr>
                <w:rFonts w:hint="eastAsia" w:ascii="仿宋" w:hAnsi="仿宋" w:eastAsia="仿宋"/>
                <w:sz w:val="28"/>
                <w:szCs w:val="28"/>
              </w:rPr>
              <w:t xml:space="preserve"> 3分   </w:t>
            </w:r>
            <w:r>
              <w:rPr>
                <w:rFonts w:ascii="Calibri" w:hAnsi="Calibri" w:eastAsia="仿宋" w:cs="Calibri"/>
                <w:sz w:val="28"/>
                <w:szCs w:val="28"/>
              </w:rPr>
              <w:t>£</w:t>
            </w:r>
            <w:r>
              <w:rPr>
                <w:rFonts w:hint="eastAsia" w:ascii="仿宋" w:hAnsi="仿宋" w:eastAsia="仿宋"/>
                <w:sz w:val="28"/>
                <w:szCs w:val="28"/>
              </w:rPr>
              <w:t xml:space="preserve"> 2分   </w:t>
            </w:r>
            <w:r>
              <w:rPr>
                <w:rFonts w:ascii="Calibri" w:hAnsi="Calibri" w:eastAsia="仿宋" w:cs="Calibri"/>
                <w:sz w:val="28"/>
                <w:szCs w:val="28"/>
              </w:rPr>
              <w:t>£</w:t>
            </w:r>
            <w:r>
              <w:rPr>
                <w:rFonts w:hint="eastAsia" w:ascii="仿宋" w:hAnsi="仿宋" w:eastAsia="仿宋"/>
                <w:sz w:val="28"/>
                <w:szCs w:val="28"/>
              </w:rPr>
              <w:t xml:space="preserve"> 1分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网络速度较快，能够满足我单位的业务需要：</w:t>
            </w:r>
          </w:p>
          <w:p>
            <w:pPr>
              <w:spacing w:line="440" w:lineRule="exact"/>
              <w:ind w:firstLine="560" w:firstLineChars="200"/>
              <w:rPr>
                <w:rFonts w:ascii="仿宋" w:hAnsi="仿宋" w:eastAsia="仿宋"/>
                <w:sz w:val="28"/>
                <w:szCs w:val="28"/>
              </w:rPr>
            </w:pPr>
            <w:r>
              <w:rPr>
                <w:rFonts w:ascii="Calibri" w:hAnsi="Calibri" w:eastAsia="仿宋" w:cs="Calibri"/>
                <w:sz w:val="28"/>
                <w:szCs w:val="28"/>
              </w:rPr>
              <w:t>£</w:t>
            </w:r>
            <w:r>
              <w:rPr>
                <w:rFonts w:hint="eastAsia" w:ascii="仿宋" w:hAnsi="仿宋" w:eastAsia="仿宋"/>
                <w:sz w:val="28"/>
                <w:szCs w:val="28"/>
              </w:rPr>
              <w:t xml:space="preserve"> 5分   </w:t>
            </w:r>
            <w:r>
              <w:rPr>
                <w:rFonts w:ascii="Calibri" w:hAnsi="Calibri" w:eastAsia="仿宋" w:cs="Calibri"/>
                <w:sz w:val="28"/>
                <w:szCs w:val="28"/>
              </w:rPr>
              <w:t>£</w:t>
            </w:r>
            <w:r>
              <w:rPr>
                <w:rFonts w:hint="eastAsia" w:ascii="仿宋" w:hAnsi="仿宋" w:eastAsia="仿宋"/>
                <w:sz w:val="28"/>
                <w:szCs w:val="28"/>
              </w:rPr>
              <w:t xml:space="preserve"> 4分   </w:t>
            </w:r>
            <w:r>
              <w:rPr>
                <w:rFonts w:ascii="Calibri" w:hAnsi="Calibri" w:eastAsia="仿宋" w:cs="Calibri"/>
                <w:sz w:val="28"/>
                <w:szCs w:val="28"/>
              </w:rPr>
              <w:t>£</w:t>
            </w:r>
            <w:r>
              <w:rPr>
                <w:rFonts w:hint="eastAsia" w:ascii="仿宋" w:hAnsi="仿宋" w:eastAsia="仿宋"/>
                <w:sz w:val="28"/>
                <w:szCs w:val="28"/>
              </w:rPr>
              <w:t xml:space="preserve"> 3分   </w:t>
            </w:r>
            <w:r>
              <w:rPr>
                <w:rFonts w:ascii="Calibri" w:hAnsi="Calibri" w:eastAsia="仿宋" w:cs="Calibri"/>
                <w:sz w:val="28"/>
                <w:szCs w:val="28"/>
              </w:rPr>
              <w:t>£</w:t>
            </w:r>
            <w:r>
              <w:rPr>
                <w:rFonts w:hint="eastAsia" w:ascii="仿宋" w:hAnsi="仿宋" w:eastAsia="仿宋"/>
                <w:sz w:val="28"/>
                <w:szCs w:val="28"/>
              </w:rPr>
              <w:t xml:space="preserve"> 2分   </w:t>
            </w:r>
            <w:r>
              <w:rPr>
                <w:rFonts w:ascii="Calibri" w:hAnsi="Calibri" w:eastAsia="仿宋" w:cs="Calibri"/>
                <w:sz w:val="28"/>
                <w:szCs w:val="28"/>
              </w:rPr>
              <w:t>£</w:t>
            </w:r>
            <w:r>
              <w:rPr>
                <w:rFonts w:hint="eastAsia" w:ascii="仿宋" w:hAnsi="仿宋" w:eastAsia="仿宋"/>
                <w:sz w:val="28"/>
                <w:szCs w:val="28"/>
              </w:rPr>
              <w:t xml:space="preserve"> 1分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网络延迟较低，未出现因网络故障而严重影响业务开展的事件：</w:t>
            </w:r>
          </w:p>
          <w:p>
            <w:pPr>
              <w:spacing w:line="440" w:lineRule="exact"/>
              <w:ind w:firstLine="560" w:firstLineChars="200"/>
              <w:rPr>
                <w:rFonts w:ascii="仿宋" w:hAnsi="仿宋" w:eastAsia="仿宋"/>
                <w:sz w:val="28"/>
                <w:szCs w:val="28"/>
              </w:rPr>
            </w:pPr>
            <w:r>
              <w:rPr>
                <w:rFonts w:ascii="Calibri" w:hAnsi="Calibri" w:eastAsia="仿宋" w:cs="Calibri"/>
                <w:sz w:val="28"/>
                <w:szCs w:val="28"/>
              </w:rPr>
              <w:t>£</w:t>
            </w:r>
            <w:r>
              <w:rPr>
                <w:rFonts w:hint="eastAsia" w:ascii="仿宋" w:hAnsi="仿宋" w:eastAsia="仿宋"/>
                <w:sz w:val="28"/>
                <w:szCs w:val="28"/>
              </w:rPr>
              <w:t xml:space="preserve"> 5分   </w:t>
            </w:r>
            <w:r>
              <w:rPr>
                <w:rFonts w:ascii="Calibri" w:hAnsi="Calibri" w:eastAsia="仿宋" w:cs="Calibri"/>
                <w:sz w:val="28"/>
                <w:szCs w:val="28"/>
              </w:rPr>
              <w:t>£</w:t>
            </w:r>
            <w:r>
              <w:rPr>
                <w:rFonts w:hint="eastAsia" w:ascii="仿宋" w:hAnsi="仿宋" w:eastAsia="仿宋"/>
                <w:sz w:val="28"/>
                <w:szCs w:val="28"/>
              </w:rPr>
              <w:t xml:space="preserve"> 4分   </w:t>
            </w:r>
            <w:r>
              <w:rPr>
                <w:rFonts w:ascii="Calibri" w:hAnsi="Calibri" w:eastAsia="仿宋" w:cs="Calibri"/>
                <w:sz w:val="28"/>
                <w:szCs w:val="28"/>
              </w:rPr>
              <w:t>£</w:t>
            </w:r>
            <w:r>
              <w:rPr>
                <w:rFonts w:hint="eastAsia" w:ascii="仿宋" w:hAnsi="仿宋" w:eastAsia="仿宋"/>
                <w:sz w:val="28"/>
                <w:szCs w:val="28"/>
              </w:rPr>
              <w:t xml:space="preserve"> 3分   </w:t>
            </w:r>
            <w:r>
              <w:rPr>
                <w:rFonts w:ascii="Calibri" w:hAnsi="Calibri" w:eastAsia="仿宋" w:cs="Calibri"/>
                <w:sz w:val="28"/>
                <w:szCs w:val="28"/>
              </w:rPr>
              <w:t>£</w:t>
            </w:r>
            <w:r>
              <w:rPr>
                <w:rFonts w:hint="eastAsia" w:ascii="仿宋" w:hAnsi="仿宋" w:eastAsia="仿宋"/>
                <w:sz w:val="28"/>
                <w:szCs w:val="28"/>
              </w:rPr>
              <w:t xml:space="preserve"> 2分   </w:t>
            </w:r>
            <w:r>
              <w:rPr>
                <w:rFonts w:ascii="Calibri" w:hAnsi="Calibri" w:eastAsia="仿宋" w:cs="Calibri"/>
                <w:sz w:val="28"/>
                <w:szCs w:val="28"/>
              </w:rPr>
              <w:t>£</w:t>
            </w:r>
            <w:r>
              <w:rPr>
                <w:rFonts w:hint="eastAsia" w:ascii="仿宋" w:hAnsi="仿宋" w:eastAsia="仿宋"/>
                <w:sz w:val="28"/>
                <w:szCs w:val="28"/>
              </w:rPr>
              <w:t xml:space="preserve"> 1分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在干扰环境下仍能保持一定的性能：</w:t>
            </w:r>
          </w:p>
          <w:p>
            <w:pPr>
              <w:spacing w:line="440" w:lineRule="exact"/>
              <w:ind w:firstLine="560" w:firstLineChars="200"/>
              <w:rPr>
                <w:rFonts w:ascii="仿宋" w:hAnsi="仿宋" w:eastAsia="仿宋"/>
                <w:sz w:val="28"/>
                <w:szCs w:val="28"/>
              </w:rPr>
            </w:pPr>
            <w:r>
              <w:rPr>
                <w:rFonts w:ascii="Calibri" w:hAnsi="Calibri" w:eastAsia="仿宋" w:cs="Calibri"/>
                <w:sz w:val="28"/>
                <w:szCs w:val="28"/>
              </w:rPr>
              <w:t>£</w:t>
            </w:r>
            <w:r>
              <w:rPr>
                <w:rFonts w:hint="eastAsia" w:ascii="仿宋" w:hAnsi="仿宋" w:eastAsia="仿宋"/>
                <w:sz w:val="28"/>
                <w:szCs w:val="28"/>
              </w:rPr>
              <w:t xml:space="preserve"> 5分   </w:t>
            </w:r>
            <w:r>
              <w:rPr>
                <w:rFonts w:ascii="Calibri" w:hAnsi="Calibri" w:eastAsia="仿宋" w:cs="Calibri"/>
                <w:sz w:val="28"/>
                <w:szCs w:val="28"/>
              </w:rPr>
              <w:t>£</w:t>
            </w:r>
            <w:r>
              <w:rPr>
                <w:rFonts w:hint="eastAsia" w:ascii="仿宋" w:hAnsi="仿宋" w:eastAsia="仿宋"/>
                <w:sz w:val="28"/>
                <w:szCs w:val="28"/>
              </w:rPr>
              <w:t xml:space="preserve"> 4分   </w:t>
            </w:r>
            <w:r>
              <w:rPr>
                <w:rFonts w:ascii="Calibri" w:hAnsi="Calibri" w:eastAsia="仿宋" w:cs="Calibri"/>
                <w:sz w:val="28"/>
                <w:szCs w:val="28"/>
              </w:rPr>
              <w:t>£</w:t>
            </w:r>
            <w:r>
              <w:rPr>
                <w:rFonts w:hint="eastAsia" w:ascii="仿宋" w:hAnsi="仿宋" w:eastAsia="仿宋"/>
                <w:sz w:val="28"/>
                <w:szCs w:val="28"/>
              </w:rPr>
              <w:t xml:space="preserve"> 3分   </w:t>
            </w:r>
            <w:r>
              <w:rPr>
                <w:rFonts w:ascii="Calibri" w:hAnsi="Calibri" w:eastAsia="仿宋" w:cs="Calibri"/>
                <w:sz w:val="28"/>
                <w:szCs w:val="28"/>
              </w:rPr>
              <w:t>£</w:t>
            </w:r>
            <w:r>
              <w:rPr>
                <w:rFonts w:hint="eastAsia" w:ascii="仿宋" w:hAnsi="仿宋" w:eastAsia="仿宋"/>
                <w:sz w:val="28"/>
                <w:szCs w:val="28"/>
              </w:rPr>
              <w:t xml:space="preserve"> 2分   </w:t>
            </w:r>
            <w:r>
              <w:rPr>
                <w:rFonts w:ascii="Calibri" w:hAnsi="Calibri" w:eastAsia="仿宋" w:cs="Calibri"/>
                <w:sz w:val="28"/>
                <w:szCs w:val="28"/>
              </w:rPr>
              <w:t>£</w:t>
            </w:r>
            <w:r>
              <w:rPr>
                <w:rFonts w:hint="eastAsia" w:ascii="仿宋" w:hAnsi="仿宋" w:eastAsia="仿宋"/>
                <w:sz w:val="28"/>
                <w:szCs w:val="28"/>
              </w:rPr>
              <w:t xml:space="preserve"> 1分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针对线路问题，运营商维护人员解决态度较为积极：</w:t>
            </w:r>
          </w:p>
          <w:p>
            <w:pPr>
              <w:spacing w:line="440" w:lineRule="exact"/>
              <w:ind w:firstLine="560" w:firstLineChars="200"/>
              <w:rPr>
                <w:rFonts w:ascii="仿宋" w:hAnsi="仿宋" w:eastAsia="仿宋"/>
                <w:sz w:val="28"/>
                <w:szCs w:val="28"/>
              </w:rPr>
            </w:pPr>
            <w:r>
              <w:rPr>
                <w:rFonts w:ascii="Calibri" w:hAnsi="Calibri" w:eastAsia="仿宋" w:cs="Calibri"/>
                <w:sz w:val="28"/>
                <w:szCs w:val="28"/>
              </w:rPr>
              <w:t>£</w:t>
            </w:r>
            <w:r>
              <w:rPr>
                <w:rFonts w:hint="eastAsia" w:ascii="仿宋" w:hAnsi="仿宋" w:eastAsia="仿宋"/>
                <w:sz w:val="28"/>
                <w:szCs w:val="28"/>
              </w:rPr>
              <w:t xml:space="preserve"> 5分   </w:t>
            </w:r>
            <w:r>
              <w:rPr>
                <w:rFonts w:ascii="Calibri" w:hAnsi="Calibri" w:eastAsia="仿宋" w:cs="Calibri"/>
                <w:sz w:val="28"/>
                <w:szCs w:val="28"/>
              </w:rPr>
              <w:t>£</w:t>
            </w:r>
            <w:r>
              <w:rPr>
                <w:rFonts w:hint="eastAsia" w:ascii="仿宋" w:hAnsi="仿宋" w:eastAsia="仿宋"/>
                <w:sz w:val="28"/>
                <w:szCs w:val="28"/>
              </w:rPr>
              <w:t xml:space="preserve"> 4分   </w:t>
            </w:r>
            <w:r>
              <w:rPr>
                <w:rFonts w:ascii="Calibri" w:hAnsi="Calibri" w:eastAsia="仿宋" w:cs="Calibri"/>
                <w:sz w:val="28"/>
                <w:szCs w:val="28"/>
              </w:rPr>
              <w:t>£</w:t>
            </w:r>
            <w:r>
              <w:rPr>
                <w:rFonts w:hint="eastAsia" w:ascii="仿宋" w:hAnsi="仿宋" w:eastAsia="仿宋"/>
                <w:sz w:val="28"/>
                <w:szCs w:val="28"/>
              </w:rPr>
              <w:t xml:space="preserve"> 3分   </w:t>
            </w:r>
            <w:r>
              <w:rPr>
                <w:rFonts w:ascii="Calibri" w:hAnsi="Calibri" w:eastAsia="仿宋" w:cs="Calibri"/>
                <w:sz w:val="28"/>
                <w:szCs w:val="28"/>
              </w:rPr>
              <w:t>£</w:t>
            </w:r>
            <w:r>
              <w:rPr>
                <w:rFonts w:hint="eastAsia" w:ascii="仿宋" w:hAnsi="仿宋" w:eastAsia="仿宋"/>
                <w:sz w:val="28"/>
                <w:szCs w:val="28"/>
              </w:rPr>
              <w:t xml:space="preserve"> 2分   </w:t>
            </w:r>
            <w:r>
              <w:rPr>
                <w:rFonts w:ascii="Calibri" w:hAnsi="Calibri" w:eastAsia="仿宋" w:cs="Calibri"/>
                <w:sz w:val="28"/>
                <w:szCs w:val="28"/>
              </w:rPr>
              <w:t>£</w:t>
            </w:r>
            <w:r>
              <w:rPr>
                <w:rFonts w:hint="eastAsia" w:ascii="仿宋" w:hAnsi="仿宋" w:eastAsia="仿宋"/>
                <w:sz w:val="28"/>
                <w:szCs w:val="28"/>
              </w:rPr>
              <w:t xml:space="preserve"> 1分</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发生网络故障时，响应速度较快，问题能够得到有效处理及反馈：</w:t>
            </w:r>
          </w:p>
          <w:p>
            <w:pPr>
              <w:spacing w:line="440" w:lineRule="exact"/>
              <w:ind w:firstLine="560" w:firstLineChars="200"/>
              <w:rPr>
                <w:rFonts w:ascii="仿宋" w:hAnsi="仿宋" w:eastAsia="仿宋"/>
                <w:sz w:val="28"/>
                <w:szCs w:val="28"/>
              </w:rPr>
            </w:pPr>
            <w:r>
              <w:rPr>
                <w:rFonts w:ascii="Calibri" w:hAnsi="Calibri" w:eastAsia="仿宋" w:cs="Calibri"/>
                <w:sz w:val="28"/>
                <w:szCs w:val="28"/>
              </w:rPr>
              <w:t>£</w:t>
            </w:r>
            <w:r>
              <w:rPr>
                <w:rFonts w:hint="eastAsia" w:ascii="仿宋" w:hAnsi="仿宋" w:eastAsia="仿宋"/>
                <w:sz w:val="28"/>
                <w:szCs w:val="28"/>
              </w:rPr>
              <w:t xml:space="preserve"> 5分   </w:t>
            </w:r>
            <w:r>
              <w:rPr>
                <w:rFonts w:ascii="Calibri" w:hAnsi="Calibri" w:eastAsia="仿宋" w:cs="Calibri"/>
                <w:sz w:val="28"/>
                <w:szCs w:val="28"/>
              </w:rPr>
              <w:t>£</w:t>
            </w:r>
            <w:r>
              <w:rPr>
                <w:rFonts w:hint="eastAsia" w:ascii="仿宋" w:hAnsi="仿宋" w:eastAsia="仿宋"/>
                <w:sz w:val="28"/>
                <w:szCs w:val="28"/>
              </w:rPr>
              <w:t xml:space="preserve"> 4分   </w:t>
            </w:r>
            <w:r>
              <w:rPr>
                <w:rFonts w:ascii="Calibri" w:hAnsi="Calibri" w:eastAsia="仿宋" w:cs="Calibri"/>
                <w:sz w:val="28"/>
                <w:szCs w:val="28"/>
              </w:rPr>
              <w:t>£</w:t>
            </w:r>
            <w:r>
              <w:rPr>
                <w:rFonts w:hint="eastAsia" w:ascii="仿宋" w:hAnsi="仿宋" w:eastAsia="仿宋"/>
                <w:sz w:val="28"/>
                <w:szCs w:val="28"/>
              </w:rPr>
              <w:t xml:space="preserve"> 3分   </w:t>
            </w:r>
            <w:r>
              <w:rPr>
                <w:rFonts w:ascii="Calibri" w:hAnsi="Calibri" w:eastAsia="仿宋" w:cs="Calibri"/>
                <w:sz w:val="28"/>
                <w:szCs w:val="28"/>
              </w:rPr>
              <w:t>£</w:t>
            </w:r>
            <w:r>
              <w:rPr>
                <w:rFonts w:hint="eastAsia" w:ascii="仿宋" w:hAnsi="仿宋" w:eastAsia="仿宋"/>
                <w:sz w:val="28"/>
                <w:szCs w:val="28"/>
              </w:rPr>
              <w:t xml:space="preserve"> 2分   </w:t>
            </w:r>
            <w:r>
              <w:rPr>
                <w:rFonts w:ascii="Calibri" w:hAnsi="Calibri" w:eastAsia="仿宋" w:cs="Calibri"/>
                <w:sz w:val="28"/>
                <w:szCs w:val="28"/>
              </w:rPr>
              <w:t>£</w:t>
            </w:r>
            <w:r>
              <w:rPr>
                <w:rFonts w:hint="eastAsia" w:ascii="仿宋" w:hAnsi="仿宋" w:eastAsia="仿宋"/>
                <w:sz w:val="28"/>
                <w:szCs w:val="28"/>
              </w:rPr>
              <w:t xml:space="preserve"> 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trPr>
        <w:tc>
          <w:tcPr>
            <w:tcW w:w="9655" w:type="dxa"/>
            <w:gridSpan w:val="4"/>
            <w:tcBorders>
              <w:top w:val="single" w:color="auto" w:sz="4" w:space="0"/>
              <w:left w:val="single" w:color="auto" w:sz="4" w:space="0"/>
              <w:bottom w:val="single" w:color="auto" w:sz="4" w:space="0"/>
              <w:right w:val="single" w:color="auto" w:sz="4" w:space="0"/>
            </w:tcBorders>
          </w:tcPr>
          <w:p>
            <w:pPr>
              <w:spacing w:line="440" w:lineRule="exact"/>
              <w:ind w:firstLine="560" w:firstLineChars="200"/>
              <w:rPr>
                <w:rFonts w:ascii="仿宋" w:hAnsi="仿宋" w:eastAsia="仿宋"/>
                <w:sz w:val="28"/>
                <w:szCs w:val="28"/>
              </w:rPr>
            </w:pPr>
            <w:r>
              <w:rPr>
                <w:rFonts w:hint="eastAsia" w:ascii="仿宋" w:hAnsi="仿宋" w:eastAsia="仿宋"/>
                <w:sz w:val="28"/>
                <w:szCs w:val="28"/>
              </w:rPr>
              <w:t xml:space="preserve">综合评价意见：     </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很满意（   ） 满意（   ） 基本满意（   ）  不满意（   ）</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其他意见及建议：</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 xml:space="preserve">                                   评价单位：</w:t>
            </w:r>
          </w:p>
          <w:p>
            <w:pPr>
              <w:spacing w:line="440" w:lineRule="exact"/>
              <w:ind w:firstLine="560" w:firstLineChars="200"/>
              <w:rPr>
                <w:rFonts w:ascii="仿宋" w:hAnsi="仿宋" w:eastAsia="仿宋"/>
                <w:sz w:val="28"/>
                <w:szCs w:val="28"/>
              </w:rPr>
            </w:pPr>
            <w:r>
              <w:rPr>
                <w:rFonts w:hint="eastAsia" w:ascii="仿宋" w:hAnsi="仿宋" w:eastAsia="仿宋"/>
                <w:sz w:val="28"/>
                <w:szCs w:val="28"/>
              </w:rPr>
              <w:t xml:space="preserve">                                   评价日期：</w:t>
            </w:r>
          </w:p>
        </w:tc>
      </w:tr>
    </w:tbl>
    <w:p>
      <w:pPr>
        <w:ind w:firstLine="480" w:firstLineChars="200"/>
        <w:rPr>
          <w:rFonts w:asciiTheme="minorEastAsia" w:hAnsiTheme="minorEastAsia"/>
        </w:rPr>
      </w:pPr>
      <w:r>
        <w:rPr>
          <w:rFonts w:hint="eastAsia" w:asciiTheme="minorEastAsia" w:hAnsiTheme="minorEastAsia"/>
        </w:rPr>
        <w:t>线路服务满意度评价表</w:t>
      </w:r>
    </w:p>
    <w:p>
      <w:pPr>
        <w:ind w:firstLine="480" w:firstLineChars="200"/>
        <w:rPr>
          <w:rFonts w:asciiTheme="minorEastAsia" w:hAnsiTheme="minorEastAsia"/>
        </w:rPr>
      </w:pPr>
      <w:r>
        <w:rPr>
          <w:rFonts w:hint="eastAsia" w:asciiTheme="minorEastAsia" w:hAnsiTheme="minorEastAsia"/>
        </w:rPr>
        <w:t>满意度评价表满分为30分，最终满意度得分将与季度考核费用结算挂钩：</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9"/>
        <w:gridCol w:w="4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4092"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评价得分值M</w:t>
            </w:r>
          </w:p>
        </w:tc>
        <w:tc>
          <w:tcPr>
            <w:tcW w:w="4430"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2"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M＞80分</w:t>
            </w:r>
          </w:p>
        </w:tc>
        <w:tc>
          <w:tcPr>
            <w:tcW w:w="4430" w:type="dxa"/>
            <w:tcBorders>
              <w:top w:val="single" w:color="auto" w:sz="4" w:space="0"/>
              <w:left w:val="single" w:color="auto" w:sz="4" w:space="0"/>
              <w:bottom w:val="single" w:color="auto" w:sz="4" w:space="0"/>
              <w:right w:val="single" w:color="auto" w:sz="4" w:space="0"/>
            </w:tcBorders>
            <w:vAlign w:val="bottom"/>
          </w:tcPr>
          <w:p>
            <w:pPr>
              <w:spacing w:line="440" w:lineRule="exact"/>
              <w:ind w:firstLine="560" w:firstLineChars="200"/>
              <w:rPr>
                <w:rFonts w:ascii="仿宋" w:hAnsi="仿宋" w:eastAsia="仿宋"/>
                <w:sz w:val="28"/>
                <w:szCs w:val="28"/>
              </w:rPr>
            </w:pPr>
            <w:r>
              <w:rPr>
                <w:rFonts w:hint="eastAsia" w:ascii="仿宋" w:hAnsi="仿宋" w:eastAsia="仿宋"/>
                <w:sz w:val="28"/>
                <w:szCs w:val="28"/>
              </w:rPr>
              <w:t>不扣款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2"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70＜M≤80</w:t>
            </w:r>
          </w:p>
        </w:tc>
        <w:tc>
          <w:tcPr>
            <w:tcW w:w="4430"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2"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60＜M≤70</w:t>
            </w:r>
          </w:p>
        </w:tc>
        <w:tc>
          <w:tcPr>
            <w:tcW w:w="4430"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2"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M≤60</w:t>
            </w:r>
          </w:p>
        </w:tc>
        <w:tc>
          <w:tcPr>
            <w:tcW w:w="4430"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扣除该链路费用金额的3‰</w:t>
            </w:r>
          </w:p>
        </w:tc>
      </w:tr>
    </w:tbl>
    <w:p>
      <w:pPr>
        <w:ind w:firstLine="480" w:firstLineChars="200"/>
        <w:rPr>
          <w:rFonts w:asciiTheme="minorEastAsia" w:hAnsiTheme="minorEastAsia"/>
        </w:rPr>
      </w:pPr>
      <w:r>
        <w:rPr>
          <w:rFonts w:hint="eastAsia" w:asciiTheme="minorEastAsia" w:hAnsiTheme="minorEastAsia"/>
        </w:rPr>
        <w:t>例外情况</w:t>
      </w:r>
    </w:p>
    <w:p>
      <w:pPr>
        <w:ind w:firstLine="480" w:firstLineChars="200"/>
        <w:rPr>
          <w:rFonts w:asciiTheme="minorEastAsia" w:hAnsiTheme="minorEastAsia"/>
        </w:rPr>
      </w:pPr>
      <w:r>
        <w:rPr>
          <w:rFonts w:hint="eastAsia" w:asciiTheme="minorEastAsia" w:hAnsiTheme="minorEastAsia"/>
        </w:rPr>
        <w:t>因市政施工（需提供市政证明材料）和重大自然灾害（如地震、台风、洪水、风暴等；）导致的线路中断不计入考核。</w:t>
      </w:r>
    </w:p>
    <w:p>
      <w:pPr>
        <w:ind w:firstLine="480" w:firstLineChars="200"/>
        <w:rPr>
          <w:rFonts w:asciiTheme="minorEastAsia" w:hAnsiTheme="minorEastAsia"/>
        </w:rPr>
      </w:pPr>
      <w:r>
        <w:rPr>
          <w:rFonts w:hint="eastAsia" w:asciiTheme="minorEastAsia" w:hAnsiTheme="minorEastAsia"/>
        </w:rPr>
        <w:t>链路租用SLA服务内容及标准：</w:t>
      </w:r>
    </w:p>
    <w:p>
      <w:pPr>
        <w:ind w:firstLine="480" w:firstLineChars="200"/>
        <w:rPr>
          <w:rFonts w:asciiTheme="minorEastAsia" w:hAnsiTheme="minorEastAsia"/>
        </w:rPr>
      </w:pPr>
      <w:r>
        <w:rPr>
          <w:rFonts w:hint="eastAsia" w:asciiTheme="minorEastAsia" w:hAnsiTheme="minorEastAsia"/>
        </w:rPr>
        <w:t>SLA 服务内容包括业务开通、网络质量保障服务两类。</w:t>
      </w:r>
    </w:p>
    <w:p>
      <w:pPr>
        <w:ind w:firstLine="480" w:firstLineChars="200"/>
        <w:rPr>
          <w:rFonts w:asciiTheme="minorEastAsia" w:hAnsiTheme="minorEastAsia"/>
        </w:rPr>
      </w:pPr>
      <w:r>
        <w:rPr>
          <w:rFonts w:hint="eastAsia" w:asciiTheme="minorEastAsia" w:hAnsiTheme="minorEastAsia"/>
        </w:rPr>
        <w:t>链路租用SLA服务内容及标准</w:t>
      </w:r>
    </w:p>
    <w:tbl>
      <w:tblPr>
        <w:tblStyle w:val="24"/>
        <w:tblW w:w="54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740"/>
        <w:gridCol w:w="1754"/>
        <w:gridCol w:w="4625"/>
        <w:gridCol w:w="2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3" w:type="dxa"/>
            <w:gridSpan w:val="4"/>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服务项目及内容</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9" w:type="dxa"/>
            <w:gridSpan w:val="2"/>
            <w:vMerge w:val="restart"/>
            <w:tcBorders>
              <w:top w:val="nil"/>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业务</w:t>
            </w:r>
          </w:p>
          <w:p>
            <w:pPr>
              <w:spacing w:line="440" w:lineRule="exact"/>
              <w:rPr>
                <w:rFonts w:ascii="仿宋" w:hAnsi="仿宋" w:eastAsia="仿宋"/>
                <w:sz w:val="28"/>
                <w:szCs w:val="28"/>
              </w:rPr>
            </w:pPr>
            <w:r>
              <w:rPr>
                <w:rFonts w:hint="eastAsia" w:ascii="仿宋" w:hAnsi="仿宋" w:eastAsia="仿宋"/>
                <w:sz w:val="28"/>
                <w:szCs w:val="28"/>
              </w:rPr>
              <w:t>开通</w:t>
            </w:r>
          </w:p>
        </w:tc>
        <w:tc>
          <w:tcPr>
            <w:tcW w:w="62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业务开通时限</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中标后15个工作日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9" w:type="dxa"/>
            <w:gridSpan w:val="2"/>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62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开通进度反馈</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每2个工作日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9" w:type="dxa"/>
            <w:gridSpan w:val="2"/>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62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业务开通测试报告</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9" w:type="dxa"/>
            <w:gridSpan w:val="2"/>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62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客户电路资料交付</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9" w:type="dxa"/>
            <w:gridSpan w:val="2"/>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62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客户前端设备调测，根据需要提供现场支持</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restart"/>
            <w:tcBorders>
              <w:top w:val="nil"/>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网络质量保障服务</w:t>
            </w:r>
          </w:p>
        </w:tc>
        <w:tc>
          <w:tcPr>
            <w:tcW w:w="722"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网络要求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网络要求</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为达到维护指标，对链路提供方的网络建设和设备提出的要求</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具备网管功能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ascii="仿宋" w:hAnsi="仿宋" w:eastAsia="仿宋"/>
                <w:sz w:val="28"/>
                <w:szCs w:val="28"/>
              </w:rPr>
              <w:t>质</w:t>
            </w:r>
            <w:r>
              <w:rPr>
                <w:rFonts w:hint="eastAsia" w:ascii="仿宋" w:hAnsi="仿宋" w:eastAsia="仿宋"/>
                <w:sz w:val="28"/>
                <w:szCs w:val="28"/>
              </w:rPr>
              <w:t>量指标</w:t>
            </w: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网络/电路可用率</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电路可用时间/统计期内的总时间</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restart"/>
            <w:tcBorders>
              <w:top w:val="nil"/>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售售后服务</w:t>
            </w: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网络监控</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7×24小时</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故障受理</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7×24小时</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vMerge w:val="restart"/>
            <w:tcBorders>
              <w:top w:val="nil"/>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故障受理方式</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客户经理</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故障热线</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业务恢复时间</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接到客户故障申告，到业务恢复的时间</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响应时间</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故障申告受理后，首次对客户反馈的时间</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故障处理反馈</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故障处理反馈周期</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每30分钟反馈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vMerge w:val="restart"/>
            <w:tcBorders>
              <w:top w:val="nil"/>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故障处理报告</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重大故障和超时故障</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其他故障</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网络割接</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提前72小时通知客户</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网络服务经理</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配备专职的网络服务经理</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维护例会</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定期召开维护例会</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客户业务电路测试</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根据客户需求提供不超过 24 小时的挂表测试（每年不超过1 次）</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现场支撑</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根据客户需求提供现场技术支持（每年不超过5次）</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运行报告提供</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定期提供运行报告</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722" w:type="dxa"/>
            <w:vMerge w:val="continue"/>
            <w:tcBorders>
              <w:top w:val="nil"/>
              <w:left w:val="single" w:color="auto" w:sz="4" w:space="0"/>
              <w:bottom w:val="single" w:color="auto" w:sz="4" w:space="0"/>
              <w:right w:val="single" w:color="auto" w:sz="4" w:space="0"/>
            </w:tcBorders>
            <w:vAlign w:val="center"/>
          </w:tcPr>
          <w:p>
            <w:pPr>
              <w:rPr>
                <w:rFonts w:ascii="仿宋" w:hAnsi="仿宋" w:eastAsia="仿宋"/>
                <w:kern w:val="2"/>
                <w:sz w:val="28"/>
                <w:szCs w:val="28"/>
              </w:rPr>
            </w:pPr>
          </w:p>
        </w:tc>
        <w:tc>
          <w:tcPr>
            <w:tcW w:w="17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 w:hAnsi="仿宋" w:eastAsia="仿宋"/>
                <w:sz w:val="28"/>
                <w:szCs w:val="28"/>
              </w:rPr>
            </w:pPr>
            <w:r>
              <w:rPr>
                <w:rFonts w:hint="eastAsia" w:ascii="仿宋" w:hAnsi="仿宋" w:eastAsia="仿宋"/>
                <w:sz w:val="28"/>
                <w:szCs w:val="28"/>
              </w:rPr>
              <w:t>客户端设备巡检</w:t>
            </w:r>
          </w:p>
        </w:tc>
        <w:tc>
          <w:tcPr>
            <w:tcW w:w="45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定期进行客户端设备巡检</w:t>
            </w:r>
          </w:p>
        </w:tc>
        <w:tc>
          <w:tcPr>
            <w:tcW w:w="2388" w:type="dxa"/>
            <w:tcBorders>
              <w:top w:val="single" w:color="auto" w:sz="4" w:space="0"/>
              <w:left w:val="single" w:color="auto" w:sz="4" w:space="0"/>
              <w:bottom w:val="single" w:color="auto" w:sz="4" w:space="0"/>
              <w:right w:val="single" w:color="auto" w:sz="4" w:space="0"/>
            </w:tcBorders>
            <w:vAlign w:val="center"/>
          </w:tcPr>
          <w:p>
            <w:pPr>
              <w:spacing w:line="440" w:lineRule="exact"/>
              <w:ind w:firstLine="560" w:firstLineChars="200"/>
              <w:rPr>
                <w:rFonts w:ascii="仿宋" w:hAnsi="仿宋" w:eastAsia="仿宋"/>
                <w:sz w:val="28"/>
                <w:szCs w:val="28"/>
              </w:rPr>
            </w:pPr>
            <w:r>
              <w:rPr>
                <w:rFonts w:hint="eastAsia" w:ascii="仿宋" w:hAnsi="仿宋" w:eastAsia="仿宋"/>
                <w:sz w:val="28"/>
                <w:szCs w:val="28"/>
              </w:rPr>
              <w:t>每年一次</w:t>
            </w:r>
          </w:p>
        </w:tc>
      </w:tr>
    </w:tbl>
    <w:p/>
    <w:p>
      <w:r>
        <w:br w:type="page"/>
      </w:r>
    </w:p>
    <w:p>
      <w:pPr>
        <w:pStyle w:val="2"/>
        <w:spacing w:before="230" w:after="230"/>
      </w:pPr>
      <w:bookmarkStart w:id="13" w:name="_Toc211437471"/>
      <w:r>
        <w:rPr>
          <w:rFonts w:hint="eastAsia"/>
        </w:rPr>
        <w:t>第五章　投标文件构成及格式</w:t>
      </w:r>
      <w:bookmarkEnd w:id="13"/>
    </w:p>
    <w:p>
      <w:pPr>
        <w:ind w:firstLine="251" w:firstLineChars="70"/>
        <w:jc w:val="center"/>
        <w:rPr>
          <w:rFonts w:cstheme="minorHAnsi"/>
          <w:sz w:val="36"/>
          <w:szCs w:val="36"/>
        </w:rPr>
      </w:pPr>
    </w:p>
    <w:p>
      <w:pPr>
        <w:ind w:firstLine="251" w:firstLineChars="70"/>
        <w:jc w:val="center"/>
        <w:rPr>
          <w:rFonts w:cstheme="minorHAnsi"/>
          <w:sz w:val="36"/>
          <w:szCs w:val="36"/>
        </w:rPr>
      </w:pPr>
    </w:p>
    <w:p>
      <w:pPr>
        <w:ind w:firstLine="251" w:firstLineChars="70"/>
        <w:jc w:val="center"/>
        <w:rPr>
          <w:rFonts w:cstheme="minorHAnsi"/>
          <w:sz w:val="36"/>
          <w:szCs w:val="36"/>
        </w:rPr>
      </w:pPr>
    </w:p>
    <w:p>
      <w:pPr>
        <w:jc w:val="center"/>
        <w:rPr>
          <w:rFonts w:cstheme="minorHAnsi"/>
          <w:b/>
          <w:color w:val="C00000"/>
          <w:sz w:val="44"/>
          <w:szCs w:val="44"/>
        </w:rPr>
      </w:pPr>
      <w:r>
        <w:rPr>
          <w:rFonts w:hint="eastAsia" w:cstheme="minorHAnsi"/>
          <w:b/>
          <w:color w:val="C00000"/>
          <w:sz w:val="44"/>
          <w:szCs w:val="44"/>
        </w:rPr>
        <w:t>［项目名称］</w:t>
      </w:r>
    </w:p>
    <w:p>
      <w:pPr>
        <w:jc w:val="center"/>
        <w:rPr>
          <w:rFonts w:ascii="华文中宋" w:hAnsi="华文中宋" w:eastAsia="华文中宋" w:cstheme="minorHAnsi"/>
          <w:sz w:val="96"/>
          <w:szCs w:val="96"/>
        </w:rPr>
      </w:pPr>
      <w:r>
        <w:rPr>
          <w:rFonts w:ascii="华文中宋" w:hAnsi="华文中宋" w:eastAsia="华文中宋" w:cstheme="minorHAnsi"/>
          <w:spacing w:val="323"/>
          <w:kern w:val="0"/>
          <w:sz w:val="96"/>
          <w:szCs w:val="96"/>
          <w:fitText w:val="5778" w:id="-1540037120"/>
        </w:rPr>
        <w:t>投标文</w:t>
      </w:r>
      <w:r>
        <w:rPr>
          <w:rFonts w:ascii="华文中宋" w:hAnsi="华文中宋" w:eastAsia="华文中宋" w:cstheme="minorHAnsi"/>
          <w:spacing w:val="0"/>
          <w:kern w:val="0"/>
          <w:sz w:val="96"/>
          <w:szCs w:val="96"/>
          <w:fitText w:val="5778" w:id="-1540037120"/>
        </w:rPr>
        <w:t>件</w:t>
      </w:r>
    </w:p>
    <w:p>
      <w:pPr>
        <w:jc w:val="center"/>
        <w:rPr>
          <w:rFonts w:cstheme="minorHAnsi"/>
          <w:sz w:val="36"/>
          <w:szCs w:val="36"/>
        </w:rPr>
      </w:pPr>
      <w:r>
        <w:rPr>
          <w:rFonts w:cstheme="minorHAnsi"/>
          <w:sz w:val="36"/>
          <w:szCs w:val="36"/>
        </w:rPr>
        <w:t>（项目编号：</w:t>
      </w:r>
      <w:r>
        <w:rPr>
          <w:rFonts w:hint="eastAsia" w:cstheme="minorHAnsi"/>
          <w:sz w:val="36"/>
          <w:szCs w:val="36"/>
        </w:rPr>
        <w:t>X</w:t>
      </w:r>
      <w:r>
        <w:rPr>
          <w:rFonts w:cstheme="minorHAnsi"/>
          <w:sz w:val="36"/>
          <w:szCs w:val="36"/>
        </w:rPr>
        <w:t>CZX20XX-XXXX）</w:t>
      </w:r>
    </w:p>
    <w:p>
      <w:pPr>
        <w:jc w:val="center"/>
        <w:rPr>
          <w:rFonts w:cstheme="minorHAnsi"/>
          <w:sz w:val="36"/>
          <w:szCs w:val="36"/>
        </w:rPr>
      </w:pPr>
    </w:p>
    <w:p>
      <w:pPr>
        <w:jc w:val="center"/>
        <w:rPr>
          <w:rFonts w:cstheme="minorHAnsi"/>
          <w:sz w:val="36"/>
          <w:szCs w:val="36"/>
        </w:rPr>
      </w:pPr>
    </w:p>
    <w:p>
      <w:pPr>
        <w:jc w:val="center"/>
        <w:rPr>
          <w:rFonts w:cstheme="minorHAnsi"/>
          <w:sz w:val="36"/>
        </w:rPr>
      </w:pPr>
    </w:p>
    <w:p>
      <w:pPr>
        <w:jc w:val="center"/>
        <w:rPr>
          <w:rFonts w:cstheme="minorHAnsi"/>
          <w:sz w:val="36"/>
        </w:rPr>
      </w:pPr>
    </w:p>
    <w:p>
      <w:pPr>
        <w:jc w:val="center"/>
        <w:rPr>
          <w:rFonts w:cstheme="minorHAnsi"/>
          <w:sz w:val="36"/>
        </w:rPr>
      </w:pPr>
    </w:p>
    <w:p>
      <w:pPr>
        <w:jc w:val="center"/>
        <w:rPr>
          <w:rFonts w:cstheme="minorHAnsi"/>
          <w:sz w:val="36"/>
        </w:rPr>
      </w:pPr>
    </w:p>
    <w:p>
      <w:pPr>
        <w:ind w:firstLine="1684" w:firstLineChars="468"/>
        <w:rPr>
          <w:rFonts w:cstheme="minorHAnsi"/>
          <w:sz w:val="36"/>
          <w:u w:val="single"/>
        </w:rPr>
      </w:pPr>
      <w:r>
        <w:rPr>
          <w:rFonts w:cstheme="minorHAnsi"/>
          <w:sz w:val="36"/>
        </w:rPr>
        <w:t>供应商：__________________</w:t>
      </w:r>
    </w:p>
    <w:p>
      <w:pPr>
        <w:ind w:firstLine="1684" w:firstLineChars="468"/>
        <w:rPr>
          <w:rFonts w:cstheme="minorHAnsi"/>
          <w:color w:val="C00000"/>
          <w:sz w:val="36"/>
        </w:rPr>
      </w:pPr>
      <w:r>
        <w:rPr>
          <w:rFonts w:hint="eastAsia" w:cstheme="minorHAnsi"/>
          <w:color w:val="C00000"/>
          <w:sz w:val="36"/>
        </w:rPr>
        <w:t>采购包</w:t>
      </w:r>
      <w:r>
        <w:rPr>
          <w:rFonts w:cstheme="minorHAnsi"/>
          <w:color w:val="C00000"/>
          <w:sz w:val="36"/>
        </w:rPr>
        <w:t>：__________________</w:t>
      </w:r>
    </w:p>
    <w:p>
      <w:pPr>
        <w:ind w:firstLine="1684" w:firstLineChars="468"/>
        <w:rPr>
          <w:rFonts w:cstheme="minorHAnsi"/>
          <w:sz w:val="36"/>
          <w:u w:val="single"/>
        </w:rPr>
      </w:pPr>
      <w:r>
        <w:rPr>
          <w:rFonts w:cstheme="minorHAnsi"/>
          <w:sz w:val="36"/>
        </w:rPr>
        <w:t>时　间：__________________</w:t>
      </w:r>
    </w:p>
    <w:p>
      <w:pPr>
        <w:ind w:firstLine="200"/>
        <w:rPr>
          <w:rFonts w:cstheme="minorHAnsi"/>
          <w:sz w:val="36"/>
        </w:rPr>
      </w:pPr>
    </w:p>
    <w:p>
      <w:pPr>
        <w:ind w:firstLine="560" w:firstLineChars="200"/>
        <w:rPr>
          <w:rFonts w:cstheme="minorHAnsi"/>
          <w:sz w:val="28"/>
          <w:szCs w:val="28"/>
        </w:rPr>
      </w:pPr>
      <w:r>
        <w:rPr>
          <w:rFonts w:hint="eastAsia" w:cstheme="minorHAnsi"/>
          <w:sz w:val="28"/>
          <w:szCs w:val="28"/>
        </w:rPr>
        <w:t>特别提醒</w:t>
      </w:r>
      <w:r>
        <w:rPr>
          <w:rFonts w:cstheme="minorHAnsi"/>
          <w:sz w:val="28"/>
          <w:szCs w:val="28"/>
        </w:rPr>
        <w:t>：</w:t>
      </w:r>
      <w:r>
        <w:rPr>
          <w:rFonts w:hint="eastAsia" w:cstheme="minorHAnsi"/>
          <w:sz w:val="28"/>
          <w:szCs w:val="28"/>
        </w:rPr>
        <w:t>本章中项目名称、项目编号、采购包等</w:t>
      </w:r>
      <w:r>
        <w:rPr>
          <w:rFonts w:cstheme="minorHAnsi"/>
          <w:sz w:val="28"/>
          <w:szCs w:val="28"/>
        </w:rPr>
        <w:t>信息须按照</w:t>
      </w:r>
      <w:r>
        <w:rPr>
          <w:rFonts w:hint="eastAsia" w:cstheme="minorHAnsi"/>
          <w:sz w:val="28"/>
          <w:szCs w:val="28"/>
        </w:rPr>
        <w:t>投标邀请函自行填写</w:t>
      </w:r>
      <w:r>
        <w:rPr>
          <w:rFonts w:cstheme="minorHAnsi"/>
          <w:sz w:val="28"/>
          <w:szCs w:val="28"/>
        </w:rPr>
        <w:t>。</w:t>
      </w:r>
      <w:r>
        <w:rPr>
          <w:rFonts w:cstheme="minorHAnsi"/>
          <w:sz w:val="28"/>
          <w:szCs w:val="28"/>
        </w:rPr>
        <w:br w:type="page"/>
      </w:r>
    </w:p>
    <w:p>
      <w:pPr>
        <w:jc w:val="center"/>
        <w:rPr>
          <w:sz w:val="36"/>
          <w:szCs w:val="36"/>
        </w:rPr>
      </w:pPr>
    </w:p>
    <w:p>
      <w:pPr>
        <w:jc w:val="center"/>
        <w:rPr>
          <w:rFonts w:asciiTheme="minorEastAsia" w:hAnsiTheme="minorEastAsia"/>
          <w:sz w:val="30"/>
          <w:szCs w:val="30"/>
        </w:rPr>
      </w:pPr>
      <w:r>
        <w:rPr>
          <w:rFonts w:ascii="黑体" w:hAnsi="黑体" w:eastAsia="黑体"/>
          <w:sz w:val="36"/>
          <w:szCs w:val="36"/>
        </w:rPr>
        <w:t>目</w:t>
      </w:r>
      <w:r>
        <w:rPr>
          <w:rFonts w:hint="eastAsia" w:ascii="黑体" w:hAnsi="黑体" w:eastAsia="黑体"/>
          <w:sz w:val="36"/>
          <w:szCs w:val="36"/>
        </w:rPr>
        <w:t>　　</w:t>
      </w:r>
      <w:r>
        <w:rPr>
          <w:rFonts w:ascii="黑体" w:hAnsi="黑体" w:eastAsia="黑体"/>
          <w:sz w:val="36"/>
          <w:szCs w:val="36"/>
        </w:rPr>
        <w:t>录</w:t>
      </w:r>
    </w:p>
    <w:p>
      <w:pPr>
        <w:jc w:val="center"/>
        <w:rPr>
          <w:rFonts w:asciiTheme="minorEastAsia" w:hAnsiTheme="minorEastAsia"/>
          <w:sz w:val="30"/>
          <w:szCs w:val="30"/>
        </w:rPr>
      </w:pPr>
    </w:p>
    <w:p>
      <w:pPr>
        <w:jc w:val="center"/>
        <w:rPr>
          <w:rFonts w:asciiTheme="minorEastAsia" w:hAnsiTheme="minorEastAsia"/>
          <w:sz w:val="30"/>
          <w:szCs w:val="30"/>
        </w:rPr>
      </w:pPr>
    </w:p>
    <w:p>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第一部</w:t>
      </w:r>
      <w:r>
        <w:rPr>
          <w:rFonts w:hint="eastAsia" w:cstheme="minorHAnsi"/>
          <w:sz w:val="28"/>
          <w:szCs w:val="28"/>
        </w:rPr>
        <w:t>分　投</w:t>
      </w:r>
      <w:r>
        <w:rPr>
          <w:rFonts w:cstheme="minorHAnsi"/>
          <w:sz w:val="28"/>
          <w:szCs w:val="28"/>
        </w:rPr>
        <w:t>标函</w:t>
      </w:r>
      <w:r>
        <w:rPr>
          <w:rFonts w:cstheme="minorHAnsi"/>
          <w:sz w:val="28"/>
          <w:szCs w:val="28"/>
        </w:rPr>
        <w:tab/>
      </w:r>
      <w:r>
        <w:rPr>
          <w:rFonts w:cstheme="minorHAnsi"/>
          <w:sz w:val="28"/>
          <w:szCs w:val="28"/>
        </w:rPr>
        <w:t>X</w:t>
      </w:r>
    </w:p>
    <w:p>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第二部</w:t>
      </w:r>
      <w:r>
        <w:rPr>
          <w:rFonts w:hint="eastAsia" w:cstheme="minorHAnsi"/>
          <w:sz w:val="28"/>
          <w:szCs w:val="28"/>
        </w:rPr>
        <w:t>分　开</w:t>
      </w:r>
      <w:r>
        <w:rPr>
          <w:rFonts w:cstheme="minorHAnsi"/>
          <w:sz w:val="28"/>
          <w:szCs w:val="28"/>
        </w:rPr>
        <w:t>标一览表</w:t>
      </w:r>
      <w:r>
        <w:rPr>
          <w:rFonts w:cstheme="minorHAnsi"/>
          <w:sz w:val="28"/>
          <w:szCs w:val="28"/>
        </w:rPr>
        <w:tab/>
      </w:r>
      <w:r>
        <w:rPr>
          <w:rFonts w:cstheme="minorHAnsi"/>
          <w:sz w:val="28"/>
          <w:szCs w:val="28"/>
        </w:rPr>
        <w:t>X</w:t>
      </w:r>
    </w:p>
    <w:p>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第三部</w:t>
      </w:r>
      <w:r>
        <w:rPr>
          <w:rFonts w:hint="eastAsia" w:cstheme="minorHAnsi"/>
          <w:sz w:val="28"/>
          <w:szCs w:val="28"/>
        </w:rPr>
        <w:t>分　资</w:t>
      </w:r>
      <w:r>
        <w:rPr>
          <w:rFonts w:cstheme="minorHAnsi"/>
          <w:sz w:val="28"/>
          <w:szCs w:val="28"/>
        </w:rPr>
        <w:t>格证明文件</w:t>
      </w:r>
      <w:r>
        <w:rPr>
          <w:rFonts w:cstheme="minorHAnsi"/>
          <w:sz w:val="28"/>
          <w:szCs w:val="28"/>
        </w:rPr>
        <w:tab/>
      </w:r>
      <w:r>
        <w:rPr>
          <w:rFonts w:cstheme="minorHAnsi"/>
          <w:sz w:val="28"/>
          <w:szCs w:val="28"/>
        </w:rPr>
        <w:t>X</w:t>
      </w:r>
    </w:p>
    <w:p>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第四部</w:t>
      </w:r>
      <w:r>
        <w:rPr>
          <w:rFonts w:hint="eastAsia" w:cstheme="minorHAnsi"/>
          <w:sz w:val="28"/>
          <w:szCs w:val="28"/>
        </w:rPr>
        <w:t>分　实质性条款响应</w:t>
      </w:r>
      <w:r>
        <w:rPr>
          <w:rFonts w:cstheme="minorHAnsi"/>
          <w:sz w:val="28"/>
          <w:szCs w:val="28"/>
        </w:rPr>
        <w:tab/>
      </w:r>
      <w:r>
        <w:rPr>
          <w:rFonts w:cstheme="minorHAnsi"/>
          <w:sz w:val="28"/>
          <w:szCs w:val="28"/>
        </w:rPr>
        <w:t>X</w:t>
      </w:r>
    </w:p>
    <w:p>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第五部</w:t>
      </w:r>
      <w:r>
        <w:rPr>
          <w:rFonts w:hint="eastAsia" w:cstheme="minorHAnsi"/>
          <w:sz w:val="28"/>
          <w:szCs w:val="28"/>
        </w:rPr>
        <w:t>分　投标方案</w:t>
      </w:r>
      <w:r>
        <w:rPr>
          <w:rFonts w:cstheme="minorHAnsi"/>
          <w:sz w:val="28"/>
          <w:szCs w:val="28"/>
        </w:rPr>
        <w:tab/>
      </w:r>
      <w:r>
        <w:rPr>
          <w:rFonts w:cstheme="minorHAnsi"/>
          <w:sz w:val="28"/>
          <w:szCs w:val="28"/>
        </w:rPr>
        <w:t>X</w:t>
      </w:r>
    </w:p>
    <w:p>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第六部</w:t>
      </w:r>
      <w:r>
        <w:rPr>
          <w:rFonts w:hint="eastAsia" w:cstheme="minorHAnsi"/>
          <w:sz w:val="28"/>
          <w:szCs w:val="28"/>
        </w:rPr>
        <w:t>分　供应商概况</w:t>
      </w:r>
      <w:r>
        <w:rPr>
          <w:rFonts w:cstheme="minorHAnsi"/>
          <w:sz w:val="28"/>
          <w:szCs w:val="28"/>
        </w:rPr>
        <w:tab/>
      </w:r>
      <w:r>
        <w:rPr>
          <w:rFonts w:cstheme="minorHAnsi"/>
          <w:sz w:val="28"/>
          <w:szCs w:val="28"/>
        </w:rPr>
        <w:t>X</w:t>
      </w:r>
    </w:p>
    <w:p>
      <w:pPr>
        <w:tabs>
          <w:tab w:val="right" w:leader="hyphen" w:pos="8504"/>
        </w:tabs>
        <w:spacing w:line="360" w:lineRule="auto"/>
        <w:rPr>
          <w:rFonts w:cstheme="minorHAnsi"/>
          <w:sz w:val="28"/>
          <w:szCs w:val="28"/>
        </w:rPr>
      </w:pPr>
    </w:p>
    <w:p>
      <w:pPr>
        <w:rPr>
          <w:rFonts w:cstheme="minorHAnsi"/>
          <w:sz w:val="36"/>
        </w:rPr>
        <w:sectPr>
          <w:footerReference r:id="rId17" w:type="default"/>
          <w:footerReference r:id="rId18" w:type="even"/>
          <w:pgSz w:w="11906" w:h="16838"/>
          <w:pgMar w:top="1418" w:right="1418" w:bottom="1418" w:left="1418" w:header="851" w:footer="992" w:gutter="0"/>
          <w:cols w:space="425" w:num="1"/>
          <w:docGrid w:type="linesAndChars" w:linePitch="460" w:charSpace="0"/>
        </w:sectPr>
      </w:pPr>
    </w:p>
    <w:p>
      <w:pPr>
        <w:keepNext/>
        <w:spacing w:before="230" w:beforeLines="50" w:after="230" w:afterLines="50"/>
        <w:jc w:val="center"/>
        <w:outlineLvl w:val="1"/>
        <w:rPr>
          <w:rFonts w:ascii="Calibri" w:hAnsi="Calibri" w:eastAsia="黑体"/>
          <w:kern w:val="32"/>
          <w:sz w:val="32"/>
        </w:rPr>
      </w:pPr>
      <w:r>
        <w:rPr>
          <w:rFonts w:hint="eastAsia" w:ascii="Calibri" w:hAnsi="Calibri" w:eastAsia="黑体"/>
          <w:kern w:val="32"/>
          <w:sz w:val="32"/>
        </w:rPr>
        <w:t>第一部分　投标函</w:t>
      </w:r>
    </w:p>
    <w:p>
      <w:pPr>
        <w:jc w:val="both"/>
        <w:rPr>
          <w:rFonts w:cstheme="minorHAnsi"/>
          <w:color w:val="000000"/>
        </w:rPr>
      </w:pPr>
      <w:r>
        <w:rPr>
          <w:rFonts w:hint="eastAsia"/>
        </w:rPr>
        <w:t>西安市市级单位政府采购中心</w:t>
      </w:r>
      <w:r>
        <w:rPr>
          <w:rFonts w:hint="eastAsia" w:cstheme="minorHAnsi"/>
          <w:color w:val="000000"/>
        </w:rPr>
        <w:t>：</w:t>
      </w:r>
    </w:p>
    <w:p>
      <w:pPr>
        <w:ind w:firstLine="567"/>
        <w:jc w:val="both"/>
        <w:rPr>
          <w:rFonts w:cstheme="minorHAnsi"/>
          <w:color w:val="000000"/>
        </w:rPr>
      </w:pPr>
      <w:r>
        <w:rPr>
          <w:rFonts w:cstheme="minorHAnsi"/>
          <w:color w:val="000000"/>
        </w:rPr>
        <w:t>我方收到贵中心发布的</w:t>
      </w:r>
      <w:r>
        <w:rPr>
          <w:rFonts w:cstheme="minorHAnsi"/>
          <w:color w:val="C00000"/>
        </w:rPr>
        <w:t>［</w:t>
      </w:r>
      <w:r>
        <w:rPr>
          <w:rFonts w:cstheme="minorHAnsi"/>
          <w:color w:val="C00000"/>
          <w:u w:val="single"/>
        </w:rPr>
        <w:t>项目名称</w:t>
      </w:r>
      <w:r>
        <w:rPr>
          <w:rFonts w:cstheme="minorHAnsi"/>
          <w:color w:val="C00000"/>
        </w:rPr>
        <w:t>］</w:t>
      </w:r>
      <w:r>
        <w:rPr>
          <w:rFonts w:cstheme="minorHAnsi"/>
          <w:color w:val="000000"/>
        </w:rPr>
        <w:t>（项目编号：</w:t>
      </w:r>
      <w:r>
        <w:rPr>
          <w:rFonts w:cstheme="minorHAnsi"/>
          <w:color w:val="C00000"/>
        </w:rPr>
        <w:t>［</w:t>
      </w:r>
      <w:r>
        <w:rPr>
          <w:rFonts w:cstheme="minorHAnsi"/>
          <w:color w:val="C00000"/>
          <w:u w:val="single"/>
        </w:rPr>
        <w:t>项目编号</w:t>
      </w:r>
      <w:r>
        <w:rPr>
          <w:rFonts w:cstheme="minorHAnsi"/>
          <w:color w:val="C00000"/>
        </w:rPr>
        <w:t>］</w:t>
      </w:r>
      <w:r>
        <w:rPr>
          <w:rFonts w:cstheme="minorHAnsi"/>
          <w:color w:val="000000"/>
        </w:rPr>
        <w:t>）</w:t>
      </w:r>
      <w:r>
        <w:rPr>
          <w:rFonts w:hint="eastAsia" w:cstheme="minorHAnsi"/>
          <w:color w:val="000000"/>
        </w:rPr>
        <w:t>的招标文件</w:t>
      </w:r>
      <w:r>
        <w:rPr>
          <w:rFonts w:cstheme="minorHAnsi"/>
          <w:color w:val="000000"/>
        </w:rPr>
        <w:t>，经详细研究，我方决定参加该项目</w:t>
      </w:r>
      <w:r>
        <w:rPr>
          <w:rFonts w:hint="eastAsia" w:cstheme="minorHAnsi"/>
          <w:color w:val="C00000"/>
        </w:rPr>
        <w:t>采购包</w:t>
      </w:r>
      <w:r>
        <w:rPr>
          <w:rFonts w:cstheme="minorHAnsi"/>
          <w:color w:val="C00000"/>
        </w:rPr>
        <w:t>［___］</w:t>
      </w:r>
      <w:r>
        <w:rPr>
          <w:rFonts w:cstheme="minorHAnsi"/>
        </w:rPr>
        <w:t>（项目不分</w:t>
      </w:r>
      <w:r>
        <w:rPr>
          <w:rFonts w:hint="eastAsia" w:cstheme="minorHAnsi"/>
        </w:rPr>
        <w:t>采购包</w:t>
      </w:r>
      <w:r>
        <w:rPr>
          <w:rFonts w:cstheme="minorHAnsi"/>
        </w:rPr>
        <w:t>时留空或填写“/”</w:t>
      </w:r>
      <w:r>
        <w:rPr>
          <w:rFonts w:hint="eastAsia" w:cstheme="minorHAnsi"/>
        </w:rPr>
        <w:t>或</w:t>
      </w:r>
      <w:r>
        <w:rPr>
          <w:rFonts w:cstheme="minorHAnsi"/>
        </w:rPr>
        <w:t>删除，全文同）的采购</w:t>
      </w:r>
      <w:r>
        <w:rPr>
          <w:rFonts w:cstheme="minorHAnsi"/>
          <w:color w:val="000000"/>
        </w:rPr>
        <w:t>活动。</w:t>
      </w:r>
      <w:r>
        <w:rPr>
          <w:rFonts w:hint="eastAsia" w:cstheme="minorHAnsi"/>
          <w:color w:val="000000"/>
        </w:rPr>
        <w:t>为此，我方郑重声明以下诸点，并负法律责任。</w:t>
      </w:r>
    </w:p>
    <w:p>
      <w:pPr>
        <w:ind w:firstLine="567"/>
        <w:jc w:val="both"/>
        <w:rPr>
          <w:rFonts w:cstheme="minorHAnsi"/>
          <w:color w:val="000000"/>
        </w:rPr>
      </w:pPr>
      <w:r>
        <w:rPr>
          <w:rFonts w:hint="eastAsia" w:cstheme="minorHAnsi"/>
          <w:color w:val="000000"/>
        </w:rPr>
        <w:t>1．我方已详细阅读了招标文件，完全理解并同意招标文件的所有事项及内容。</w:t>
      </w:r>
    </w:p>
    <w:p>
      <w:pPr>
        <w:ind w:firstLine="567"/>
        <w:jc w:val="both"/>
        <w:rPr>
          <w:rFonts w:cstheme="minorHAnsi"/>
          <w:color w:val="000000"/>
        </w:rPr>
      </w:pPr>
      <w:r>
        <w:rPr>
          <w:rFonts w:hint="eastAsia" w:cstheme="minorHAnsi"/>
          <w:color w:val="000000"/>
        </w:rPr>
        <w:t>2．我方已悉知并及时关注了贵中心在陕西省政府采购网、全国公共资源交易平台（陕西省</w:t>
      </w:r>
      <w:r>
        <w:rPr>
          <w:rFonts w:cstheme="minorHAnsi"/>
          <w:color w:val="000000"/>
        </w:rPr>
        <w:t>·</w:t>
      </w:r>
      <w:r>
        <w:rPr>
          <w:rFonts w:hint="eastAsia" w:cstheme="minorHAnsi"/>
          <w:color w:val="000000"/>
        </w:rPr>
        <w:t>西安市）上发布的关于本项目的有关变更公告（包括但不限于对招标文件做出的修改或澄清、答疑纪要，以及项目暂停、重启、延期、终止等）。</w:t>
      </w:r>
    </w:p>
    <w:p>
      <w:pPr>
        <w:ind w:firstLine="567"/>
        <w:jc w:val="both"/>
        <w:rPr>
          <w:rFonts w:cstheme="minorHAnsi"/>
          <w:color w:val="000000"/>
        </w:rPr>
      </w:pPr>
      <w:r>
        <w:rPr>
          <w:rFonts w:hint="eastAsia" w:cstheme="minorHAnsi"/>
          <w:color w:val="000000"/>
        </w:rPr>
        <w:t>3．我方同意向贵中心提供与本次采购活动有关的全部证明材料，并保证所提交的证明材料真实、合法、有效。</w:t>
      </w:r>
    </w:p>
    <w:p>
      <w:pPr>
        <w:ind w:firstLine="567"/>
        <w:jc w:val="both"/>
        <w:rPr>
          <w:rFonts w:cstheme="minorHAnsi"/>
          <w:color w:val="000000"/>
        </w:rPr>
      </w:pPr>
      <w:r>
        <w:rPr>
          <w:rFonts w:hint="eastAsia" w:cstheme="minorHAnsi"/>
          <w:color w:val="000000"/>
        </w:rPr>
        <w:t>4．我方理解最低价不是中标的唯一条件，并尊重评标委员会的评审结果。</w:t>
      </w:r>
    </w:p>
    <w:p>
      <w:pPr>
        <w:ind w:firstLine="567"/>
        <w:jc w:val="both"/>
        <w:rPr>
          <w:rFonts w:cstheme="minorHAnsi"/>
          <w:color w:val="000000"/>
        </w:rPr>
      </w:pPr>
      <w:r>
        <w:rPr>
          <w:rFonts w:cstheme="minorHAnsi"/>
          <w:color w:val="000000"/>
        </w:rPr>
        <w:t>5</w:t>
      </w:r>
      <w:r>
        <w:rPr>
          <w:rFonts w:hint="eastAsia" w:cstheme="minorHAnsi"/>
          <w:color w:val="000000"/>
        </w:rPr>
        <w:t>．我方不存在与单位负责人为同一人或者存在直接控股、管理关系的其他供应商参与同一合同项下的政府采购活动的行为；</w:t>
      </w:r>
    </w:p>
    <w:p>
      <w:pPr>
        <w:ind w:firstLine="567"/>
        <w:jc w:val="both"/>
        <w:rPr>
          <w:rFonts w:cstheme="minorHAnsi"/>
          <w:color w:val="000000"/>
        </w:rPr>
      </w:pPr>
      <w:r>
        <w:rPr>
          <w:rFonts w:cstheme="minorHAnsi"/>
          <w:color w:val="000000"/>
        </w:rPr>
        <w:t>6</w:t>
      </w:r>
      <w:r>
        <w:rPr>
          <w:rFonts w:hint="eastAsia" w:cstheme="minorHAnsi"/>
          <w:color w:val="000000"/>
        </w:rPr>
        <w:t>．我方不属于为本采购项目提供整体设计、规范编制或者项目管理、监理、检测等服务的供应商；</w:t>
      </w:r>
    </w:p>
    <w:p>
      <w:pPr>
        <w:ind w:firstLine="567"/>
        <w:jc w:val="both"/>
        <w:rPr>
          <w:rFonts w:cstheme="minorHAnsi"/>
          <w:color w:val="000000"/>
        </w:rPr>
      </w:pPr>
      <w:r>
        <w:rPr>
          <w:rFonts w:cstheme="minorHAnsi"/>
          <w:color w:val="000000"/>
        </w:rPr>
        <w:t>7</w:t>
      </w:r>
      <w:r>
        <w:rPr>
          <w:rFonts w:hint="eastAsia" w:cstheme="minorHAnsi"/>
          <w:color w:val="000000"/>
        </w:rPr>
        <w:t>．我方投标文件在开标之日起</w:t>
      </w:r>
      <w:r>
        <w:rPr>
          <w:rFonts w:cstheme="minorHAnsi"/>
          <w:color w:val="C00000"/>
        </w:rPr>
        <w:t>［___］个日历日</w:t>
      </w:r>
      <w:r>
        <w:rPr>
          <w:rFonts w:hint="eastAsia" w:cstheme="minorHAnsi"/>
          <w:color w:val="000000"/>
        </w:rPr>
        <w:t>（应不少于90个日历日）内有效。</w:t>
      </w:r>
    </w:p>
    <w:p>
      <w:pPr>
        <w:ind w:firstLine="567"/>
        <w:jc w:val="both"/>
        <w:rPr>
          <w:rFonts w:cstheme="minorHAnsi"/>
          <w:color w:val="000000"/>
        </w:rPr>
      </w:pPr>
      <w:r>
        <w:rPr>
          <w:rFonts w:cstheme="minorHAnsi"/>
          <w:color w:val="000000"/>
        </w:rPr>
        <w:t>8</w:t>
      </w:r>
      <w:r>
        <w:rPr>
          <w:rFonts w:hint="eastAsia" w:cstheme="minorHAnsi"/>
          <w:color w:val="000000"/>
        </w:rPr>
        <w:t>．若我方中标，我方承诺：</w:t>
      </w:r>
    </w:p>
    <w:p>
      <w:pPr>
        <w:ind w:firstLine="567"/>
        <w:jc w:val="both"/>
        <w:rPr>
          <w:rFonts w:cstheme="minorHAnsi"/>
          <w:color w:val="000000"/>
        </w:rPr>
      </w:pPr>
      <w:r>
        <w:rPr>
          <w:rFonts w:hint="eastAsia" w:cstheme="minorHAnsi"/>
          <w:color w:val="000000"/>
        </w:rPr>
        <w:t>（1）将投标文件有效期延长至合同执行完毕；</w:t>
      </w:r>
    </w:p>
    <w:p>
      <w:pPr>
        <w:ind w:firstLine="567"/>
        <w:jc w:val="both"/>
        <w:rPr>
          <w:rFonts w:cstheme="minorHAnsi"/>
          <w:color w:val="000000"/>
        </w:rPr>
      </w:pPr>
      <w:r>
        <w:rPr>
          <w:rFonts w:hint="eastAsia" w:cstheme="minorHAnsi"/>
          <w:color w:val="000000"/>
        </w:rPr>
        <w:t>（2）收到中标通知书后提交纸质投标文件一正两副，并按时足额交纳履约保证金；</w:t>
      </w:r>
    </w:p>
    <w:p>
      <w:pPr>
        <w:ind w:firstLine="567"/>
        <w:jc w:val="both"/>
        <w:rPr>
          <w:rFonts w:cstheme="minorHAnsi"/>
          <w:color w:val="000000"/>
        </w:rPr>
      </w:pPr>
      <w:r>
        <w:rPr>
          <w:rFonts w:hint="eastAsia" w:cstheme="minorHAnsi"/>
          <w:color w:val="000000"/>
        </w:rPr>
        <w:t>（3）遵照招标文件中的要求，完成本项目的合同责任和义务。</w:t>
      </w:r>
    </w:p>
    <w:p>
      <w:pPr>
        <w:ind w:firstLine="567"/>
        <w:jc w:val="both"/>
        <w:rPr>
          <w:rFonts w:cstheme="minorHAnsi"/>
          <w:color w:val="000000"/>
        </w:rPr>
      </w:pPr>
      <w:r>
        <w:rPr>
          <w:rFonts w:cstheme="minorHAnsi"/>
          <w:color w:val="000000"/>
        </w:rPr>
        <w:t>9</w:t>
      </w:r>
      <w:r>
        <w:rPr>
          <w:rFonts w:hint="eastAsia" w:cstheme="minorHAnsi"/>
          <w:color w:val="000000"/>
        </w:rPr>
        <w:t>．所有关于此次采购活动的函电，请按下列方式联系：</w:t>
      </w:r>
    </w:p>
    <w:p>
      <w:pPr>
        <w:ind w:firstLine="567"/>
        <w:jc w:val="both"/>
        <w:rPr>
          <w:color w:val="000000"/>
        </w:rPr>
      </w:pPr>
      <w:r>
        <w:rPr>
          <w:color w:val="000000"/>
        </w:rPr>
        <w:t>（</w:t>
      </w:r>
      <w:r>
        <w:rPr>
          <w:rFonts w:hint="eastAsia"/>
          <w:color w:val="000000"/>
        </w:rPr>
        <w:t>1</w:t>
      </w:r>
      <w:r>
        <w:rPr>
          <w:color w:val="000000"/>
        </w:rPr>
        <w:t>）法定代表人（负责人）或授权代表：（</w:t>
      </w:r>
      <w:r>
        <w:rPr>
          <w:i/>
          <w:color w:val="7030A0"/>
        </w:rPr>
        <w:t>签字或盖章</w:t>
      </w:r>
      <w:r>
        <w:rPr>
          <w:color w:val="000000"/>
        </w:rPr>
        <w:t>）</w:t>
      </w:r>
    </w:p>
    <w:p>
      <w:pPr>
        <w:ind w:firstLine="567"/>
        <w:jc w:val="both"/>
        <w:rPr>
          <w:color w:val="000000"/>
        </w:rPr>
      </w:pPr>
      <w:r>
        <w:rPr>
          <w:rFonts w:hint="eastAsia"/>
          <w:color w:val="000000"/>
        </w:rPr>
        <w:t>（2）联系</w:t>
      </w:r>
      <w:r>
        <w:rPr>
          <w:color w:val="000000"/>
        </w:rPr>
        <w:t>电话：</w:t>
      </w:r>
    </w:p>
    <w:p>
      <w:pPr>
        <w:ind w:firstLine="567"/>
        <w:jc w:val="both"/>
        <w:rPr>
          <w:color w:val="000000"/>
        </w:rPr>
      </w:pPr>
      <w:r>
        <w:rPr>
          <w:color w:val="000000"/>
        </w:rPr>
        <w:t>（</w:t>
      </w:r>
      <w:r>
        <w:rPr>
          <w:rFonts w:hint="eastAsia"/>
          <w:color w:val="000000"/>
        </w:rPr>
        <w:t>3</w:t>
      </w:r>
      <w:r>
        <w:rPr>
          <w:color w:val="000000"/>
        </w:rPr>
        <w:t>）通讯地址：</w:t>
      </w:r>
    </w:p>
    <w:p>
      <w:pPr>
        <w:ind w:firstLine="567"/>
        <w:jc w:val="both"/>
        <w:rPr>
          <w:color w:val="000000"/>
        </w:rPr>
      </w:pPr>
      <w:r>
        <w:rPr>
          <w:color w:val="000000"/>
        </w:rPr>
        <w:t>（</w:t>
      </w:r>
      <w:r>
        <w:rPr>
          <w:rFonts w:hint="eastAsia"/>
          <w:color w:val="000000"/>
        </w:rPr>
        <w:t>4</w:t>
      </w:r>
      <w:r>
        <w:rPr>
          <w:color w:val="000000"/>
        </w:rPr>
        <w:t>）邮</w:t>
      </w:r>
      <w:r>
        <w:rPr>
          <w:rFonts w:hint="eastAsia"/>
          <w:color w:val="000000"/>
        </w:rPr>
        <w:t>　　</w:t>
      </w:r>
      <w:r>
        <w:rPr>
          <w:color w:val="000000"/>
        </w:rPr>
        <w:t>编：</w:t>
      </w:r>
    </w:p>
    <w:p>
      <w:pPr>
        <w:ind w:firstLine="567"/>
        <w:jc w:val="both"/>
      </w:pPr>
      <w:r>
        <w:t>（</w:t>
      </w:r>
      <w:r>
        <w:rPr>
          <w:rFonts w:hint="eastAsia"/>
        </w:rPr>
        <w:t>5</w:t>
      </w:r>
      <w:r>
        <w:t>）电子邮箱：</w:t>
      </w:r>
    </w:p>
    <w:p>
      <w:pPr>
        <w:ind w:firstLine="567"/>
        <w:jc w:val="both"/>
      </w:pPr>
      <w:r>
        <w:rPr>
          <w:rFonts w:ascii="Calibri" w:hAnsi="Calibri" w:eastAsia="宋体" w:cs="Calibri Light"/>
        </w:rPr>
        <w:t>供应商</w:t>
      </w:r>
      <w:r>
        <w:rPr>
          <w:color w:val="000000"/>
        </w:rPr>
        <w:t>：（</w:t>
      </w:r>
      <w:r>
        <w:rPr>
          <w:i/>
          <w:color w:val="7030A0"/>
        </w:rPr>
        <w:t>供应商全称并加盖公章</w:t>
      </w:r>
      <w:r>
        <w:rPr>
          <w:color w:val="000000"/>
        </w:rPr>
        <w:t>）</w:t>
      </w:r>
    </w:p>
    <w:p>
      <w:pPr>
        <w:ind w:firstLine="567"/>
        <w:jc w:val="both"/>
      </w:pPr>
      <w:r>
        <w:t>日</w:t>
      </w:r>
      <w:r>
        <w:rPr>
          <w:rFonts w:hint="eastAsia"/>
        </w:rPr>
        <w:t>　</w:t>
      </w:r>
      <w:r>
        <w:t>期：　　年　月　日</w:t>
      </w:r>
    </w:p>
    <w:p>
      <w:pPr>
        <w:ind w:firstLine="567"/>
        <w:jc w:val="both"/>
        <w:sectPr>
          <w:footerReference r:id="rId19" w:type="default"/>
          <w:footerReference r:id="rId20" w:type="even"/>
          <w:pgSz w:w="11906" w:h="16838"/>
          <w:pgMar w:top="1418" w:right="1418" w:bottom="1418" w:left="1418" w:header="851" w:footer="992" w:gutter="0"/>
          <w:cols w:space="425" w:num="1"/>
          <w:docGrid w:type="linesAndChars" w:linePitch="460" w:charSpace="0"/>
        </w:sectPr>
      </w:pPr>
    </w:p>
    <w:p>
      <w:pPr>
        <w:keepNext/>
        <w:spacing w:before="230" w:beforeLines="50" w:after="230" w:afterLines="50"/>
        <w:jc w:val="center"/>
        <w:outlineLvl w:val="1"/>
        <w:rPr>
          <w:rFonts w:ascii="Calibri" w:hAnsi="Calibri" w:eastAsia="黑体"/>
          <w:kern w:val="32"/>
          <w:sz w:val="32"/>
        </w:rPr>
      </w:pPr>
      <w:r>
        <w:rPr>
          <w:rFonts w:ascii="Calibri" w:hAnsi="Calibri" w:eastAsia="黑体"/>
          <w:kern w:val="32"/>
          <w:sz w:val="32"/>
        </w:rPr>
        <w:t>第二部分</w:t>
      </w:r>
      <w:r>
        <w:rPr>
          <w:rFonts w:hint="eastAsia" w:ascii="Calibri" w:hAnsi="Calibri" w:eastAsia="黑体"/>
          <w:kern w:val="32"/>
          <w:sz w:val="32"/>
        </w:rPr>
        <w:t>　</w:t>
      </w:r>
      <w:r>
        <w:rPr>
          <w:rFonts w:ascii="Calibri" w:hAnsi="Calibri" w:eastAsia="黑体"/>
          <w:kern w:val="32"/>
          <w:sz w:val="32"/>
        </w:rPr>
        <w:t>开标一览表</w:t>
      </w:r>
    </w:p>
    <w:p>
      <w:pPr>
        <w:jc w:val="center"/>
        <w:rPr>
          <w:kern w:val="24"/>
        </w:rPr>
      </w:pPr>
    </w:p>
    <w:tbl>
      <w:tblPr>
        <w:tblStyle w:val="24"/>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6"/>
        <w:gridCol w:w="2764"/>
        <w:gridCol w:w="3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246" w:type="dxa"/>
            <w:vMerge w:val="restart"/>
            <w:tcBorders>
              <w:top w:val="single" w:color="auto" w:sz="2" w:space="0"/>
              <w:left w:val="single" w:color="auto" w:sz="2" w:space="0"/>
              <w:bottom w:val="single" w:color="auto" w:sz="2" w:space="0"/>
              <w:right w:val="single" w:color="auto" w:sz="2" w:space="0"/>
              <w:tl2br w:val="single" w:color="auto" w:sz="2" w:space="0"/>
            </w:tcBorders>
          </w:tcPr>
          <w:p>
            <w:pPr>
              <w:spacing w:line="440" w:lineRule="exact"/>
              <w:ind w:right="280"/>
              <w:jc w:val="right"/>
              <w:rPr>
                <w:rFonts w:cstheme="minorHAnsi"/>
                <w:b/>
                <w:color w:val="000000"/>
              </w:rPr>
            </w:pPr>
            <w:r>
              <w:rPr>
                <w:rFonts w:cstheme="minorHAnsi"/>
                <w:b/>
                <w:color w:val="000000"/>
              </w:rPr>
              <w:t>报价内容</w:t>
            </w:r>
          </w:p>
          <w:p>
            <w:pPr>
              <w:rPr>
                <w:rFonts w:cstheme="minorHAnsi"/>
                <w:color w:val="000000"/>
              </w:rPr>
            </w:pPr>
          </w:p>
          <w:p>
            <w:pPr>
              <w:spacing w:line="440" w:lineRule="exact"/>
              <w:ind w:right="1540"/>
              <w:rPr>
                <w:rFonts w:cstheme="minorHAnsi"/>
                <w:b/>
                <w:color w:val="000000"/>
              </w:rPr>
            </w:pPr>
            <w:r>
              <w:rPr>
                <w:rFonts w:cstheme="minorHAnsi"/>
                <w:b/>
                <w:color w:val="000000"/>
              </w:rPr>
              <w:t>项目及</w:t>
            </w:r>
            <w:r>
              <w:rPr>
                <w:rFonts w:hint="eastAsia" w:cstheme="minorHAnsi"/>
                <w:b/>
                <w:color w:val="000000"/>
              </w:rPr>
              <w:t>采购包</w:t>
            </w:r>
          </w:p>
        </w:tc>
        <w:tc>
          <w:tcPr>
            <w:tcW w:w="2764" w:type="dxa"/>
            <w:tcBorders>
              <w:top w:val="single" w:color="auto" w:sz="2" w:space="0"/>
              <w:left w:val="single" w:color="auto" w:sz="2" w:space="0"/>
              <w:bottom w:val="single" w:color="auto" w:sz="2" w:space="0"/>
              <w:right w:val="single" w:color="auto" w:sz="2" w:space="0"/>
            </w:tcBorders>
            <w:shd w:val="clear" w:color="auto" w:fill="F1F1F1" w:themeFill="background1" w:themeFillShade="F2"/>
            <w:vAlign w:val="center"/>
          </w:tcPr>
          <w:p>
            <w:pPr>
              <w:jc w:val="center"/>
              <w:rPr>
                <w:rFonts w:cstheme="minorHAnsi"/>
                <w:b/>
              </w:rPr>
            </w:pPr>
            <w:r>
              <w:rPr>
                <w:rFonts w:cstheme="minorHAnsi"/>
                <w:b/>
              </w:rPr>
              <w:t>A</w:t>
            </w:r>
          </w:p>
        </w:tc>
        <w:tc>
          <w:tcPr>
            <w:tcW w:w="3084" w:type="dxa"/>
            <w:tcBorders>
              <w:top w:val="single" w:color="auto" w:sz="2" w:space="0"/>
              <w:left w:val="single" w:color="auto" w:sz="2" w:space="0"/>
              <w:bottom w:val="single" w:color="auto" w:sz="2" w:space="0"/>
              <w:right w:val="single" w:color="auto" w:sz="2" w:space="0"/>
            </w:tcBorders>
            <w:shd w:val="clear" w:color="auto" w:fill="F1F1F1" w:themeFill="background1" w:themeFillShade="F2"/>
            <w:vAlign w:val="center"/>
          </w:tcPr>
          <w:p>
            <w:pPr>
              <w:jc w:val="center"/>
              <w:rPr>
                <w:rFonts w:cstheme="minorHAnsi"/>
                <w:b/>
              </w:rPr>
            </w:pPr>
            <w:r>
              <w:rPr>
                <w:rFonts w:cstheme="minorHAnsi"/>
                <w:b/>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246" w:type="dxa"/>
            <w:vMerge w:val="continue"/>
            <w:tcBorders>
              <w:top w:val="single" w:color="auto" w:sz="2" w:space="0"/>
              <w:left w:val="single" w:color="auto" w:sz="2" w:space="0"/>
              <w:bottom w:val="single" w:color="auto" w:sz="2" w:space="0"/>
              <w:right w:val="single" w:color="auto" w:sz="2" w:space="0"/>
              <w:tl2br w:val="single" w:color="auto" w:sz="2" w:space="0"/>
            </w:tcBorders>
          </w:tcPr>
          <w:p>
            <w:pPr>
              <w:spacing w:line="440" w:lineRule="exact"/>
              <w:ind w:right="280"/>
              <w:jc w:val="right"/>
              <w:rPr>
                <w:rFonts w:cstheme="minorHAnsi"/>
                <w:b/>
                <w:color w:val="000000"/>
              </w:rPr>
            </w:pPr>
          </w:p>
        </w:tc>
        <w:tc>
          <w:tcPr>
            <w:tcW w:w="2764" w:type="dxa"/>
            <w:tcBorders>
              <w:top w:val="single" w:color="auto" w:sz="2" w:space="0"/>
              <w:left w:val="single" w:color="auto" w:sz="2" w:space="0"/>
              <w:bottom w:val="single" w:color="auto" w:sz="2" w:space="0"/>
              <w:right w:val="single" w:color="auto" w:sz="2" w:space="0"/>
            </w:tcBorders>
            <w:vAlign w:val="center"/>
          </w:tcPr>
          <w:p>
            <w:pPr>
              <w:spacing w:line="440" w:lineRule="exact"/>
              <w:jc w:val="center"/>
              <w:rPr>
                <w:b/>
              </w:rPr>
            </w:pPr>
            <w:r>
              <w:rPr>
                <w:rFonts w:hint="eastAsia"/>
                <w:b/>
              </w:rPr>
              <w:t>投标报价</w:t>
            </w:r>
            <w:r>
              <w:rPr>
                <w:b/>
              </w:rPr>
              <w:t>（元）</w:t>
            </w:r>
          </w:p>
        </w:tc>
        <w:tc>
          <w:tcPr>
            <w:tcW w:w="3084" w:type="dxa"/>
            <w:tcBorders>
              <w:top w:val="single" w:color="auto" w:sz="2" w:space="0"/>
              <w:left w:val="single" w:color="auto" w:sz="2" w:space="0"/>
              <w:bottom w:val="single" w:color="auto" w:sz="2" w:space="0"/>
              <w:right w:val="single" w:color="auto" w:sz="2" w:space="0"/>
            </w:tcBorders>
            <w:vAlign w:val="center"/>
          </w:tcPr>
          <w:p>
            <w:pPr>
              <w:jc w:val="center"/>
              <w:rPr>
                <w:b/>
              </w:rPr>
            </w:pPr>
            <w:r>
              <w:rPr>
                <w:rFonts w:hint="eastAsia"/>
                <w:b/>
              </w:rPr>
              <w:t>服务</w:t>
            </w:r>
            <w:r>
              <w:rPr>
                <w:b/>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246" w:type="dxa"/>
            <w:tcBorders>
              <w:top w:val="single" w:color="auto" w:sz="2" w:space="0"/>
              <w:left w:val="single" w:color="auto" w:sz="2" w:space="0"/>
              <w:bottom w:val="single" w:color="auto" w:sz="2" w:space="0"/>
              <w:right w:val="single" w:color="auto" w:sz="2" w:space="0"/>
            </w:tcBorders>
            <w:vAlign w:val="center"/>
          </w:tcPr>
          <w:p>
            <w:pPr>
              <w:spacing w:line="440" w:lineRule="exact"/>
              <w:jc w:val="center"/>
              <w:rPr>
                <w:rFonts w:cstheme="minorHAnsi"/>
                <w:color w:val="C00000"/>
                <w:sz w:val="21"/>
                <w:szCs w:val="21"/>
              </w:rPr>
            </w:pPr>
            <w:r>
              <w:rPr>
                <w:rFonts w:cstheme="minorHAnsi"/>
                <w:color w:val="C00000"/>
                <w:sz w:val="21"/>
                <w:szCs w:val="21"/>
              </w:rPr>
              <w:t>［项目名称］</w:t>
            </w:r>
          </w:p>
          <w:p>
            <w:pPr>
              <w:spacing w:line="440" w:lineRule="exact"/>
              <w:jc w:val="center"/>
              <w:rPr>
                <w:rFonts w:cstheme="minorHAnsi"/>
                <w:b/>
                <w:color w:val="000000"/>
              </w:rPr>
            </w:pPr>
            <w:r>
              <w:rPr>
                <w:rFonts w:hint="eastAsia" w:cstheme="minorHAnsi"/>
                <w:color w:val="C00000"/>
              </w:rPr>
              <w:t>采购包</w:t>
            </w:r>
            <w:r>
              <w:rPr>
                <w:rFonts w:cstheme="minorHAnsi"/>
                <w:color w:val="C00000"/>
              </w:rPr>
              <w:t>［___］</w:t>
            </w:r>
          </w:p>
        </w:tc>
        <w:tc>
          <w:tcPr>
            <w:tcW w:w="2764" w:type="dxa"/>
            <w:tcBorders>
              <w:top w:val="single" w:color="auto" w:sz="2" w:space="0"/>
              <w:left w:val="single" w:color="auto" w:sz="2" w:space="0"/>
              <w:bottom w:val="single" w:color="auto" w:sz="2" w:space="0"/>
              <w:right w:val="single" w:color="auto" w:sz="2" w:space="0"/>
            </w:tcBorders>
            <w:vAlign w:val="center"/>
          </w:tcPr>
          <w:p>
            <w:pPr>
              <w:spacing w:line="440" w:lineRule="exact"/>
              <w:jc w:val="center"/>
              <w:rPr>
                <w:rFonts w:cstheme="minorHAnsi"/>
                <w:color w:val="000000"/>
              </w:rPr>
            </w:pPr>
          </w:p>
        </w:tc>
        <w:tc>
          <w:tcPr>
            <w:tcW w:w="3084" w:type="dxa"/>
            <w:tcBorders>
              <w:top w:val="single" w:color="auto" w:sz="2" w:space="0"/>
              <w:left w:val="single" w:color="auto" w:sz="2" w:space="0"/>
              <w:bottom w:val="single" w:color="auto" w:sz="2" w:space="0"/>
              <w:right w:val="single" w:color="auto" w:sz="2" w:space="0"/>
            </w:tcBorders>
            <w:vAlign w:val="center"/>
          </w:tcPr>
          <w:p>
            <w:pPr>
              <w:spacing w:line="440" w:lineRule="exact"/>
              <w:jc w:val="center"/>
              <w:rPr>
                <w:rFonts w:cstheme="minorHAnsi"/>
                <w:color w:val="000000"/>
              </w:rPr>
            </w:pPr>
          </w:p>
        </w:tc>
      </w:tr>
    </w:tbl>
    <w:p>
      <w:r>
        <w:rPr>
          <w:rFonts w:cstheme="minorHAnsi"/>
          <w:color w:val="000000"/>
        </w:rPr>
        <w:t>供应商：（</w:t>
      </w:r>
      <w:r>
        <w:rPr>
          <w:rFonts w:cstheme="minorHAnsi"/>
          <w:i/>
          <w:color w:val="7030A0"/>
        </w:rPr>
        <w:t>供应商全称并加盖公章</w:t>
      </w:r>
      <w:r>
        <w:rPr>
          <w:rFonts w:cstheme="minorHAnsi"/>
          <w:color w:val="000000"/>
        </w:rPr>
        <w:t>）</w:t>
      </w:r>
    </w:p>
    <w:p>
      <w:pPr>
        <w:spacing w:before="230" w:beforeLines="50"/>
        <w:jc w:val="both"/>
        <w:rPr>
          <w:kern w:val="24"/>
        </w:rPr>
      </w:pPr>
    </w:p>
    <w:p>
      <w:pPr>
        <w:jc w:val="both"/>
        <w:rPr>
          <w:kern w:val="24"/>
        </w:rPr>
      </w:pPr>
      <w:r>
        <w:rPr>
          <w:kern w:val="24"/>
        </w:rPr>
        <w:t>〖注〗以下情况按无效投标处理：</w:t>
      </w:r>
    </w:p>
    <w:p>
      <w:pPr>
        <w:ind w:firstLine="480" w:firstLineChars="200"/>
        <w:jc w:val="both"/>
        <w:rPr>
          <w:kern w:val="24"/>
        </w:rPr>
      </w:pPr>
      <w:r>
        <w:rPr>
          <w:kern w:val="24"/>
        </w:rPr>
        <w:t>1．A栏未按阿拉伯小写金额样式填写，B栏未填写</w:t>
      </w:r>
      <w:r>
        <w:rPr>
          <w:rFonts w:hint="eastAsia"/>
          <w:kern w:val="24"/>
        </w:rPr>
        <w:t>服务</w:t>
      </w:r>
      <w:r>
        <w:rPr>
          <w:kern w:val="24"/>
        </w:rPr>
        <w:t>期。</w:t>
      </w:r>
    </w:p>
    <w:p>
      <w:pPr>
        <w:ind w:firstLine="480" w:firstLineChars="200"/>
        <w:jc w:val="both"/>
        <w:rPr>
          <w:kern w:val="24"/>
        </w:rPr>
      </w:pPr>
      <w:r>
        <w:rPr>
          <w:kern w:val="24"/>
        </w:rPr>
        <w:t>2．本表A栏值与分项报价表中的“合计”值不一致的。</w:t>
      </w:r>
    </w:p>
    <w:p>
      <w:pPr>
        <w:ind w:firstLine="480" w:firstLineChars="200"/>
        <w:jc w:val="both"/>
        <w:rPr>
          <w:kern w:val="24"/>
        </w:rPr>
      </w:pPr>
      <w:r>
        <w:rPr>
          <w:kern w:val="24"/>
        </w:rPr>
        <w:t>3．合计超过本</w:t>
      </w:r>
      <w:r>
        <w:rPr>
          <w:rFonts w:hint="eastAsia"/>
          <w:kern w:val="24"/>
        </w:rPr>
        <w:t>采购包/项目</w:t>
      </w:r>
      <w:r>
        <w:rPr>
          <w:kern w:val="24"/>
        </w:rPr>
        <w:t>预算的。</w:t>
      </w:r>
    </w:p>
    <w:p>
      <w:pPr>
        <w:pStyle w:val="40"/>
        <w:jc w:val="both"/>
        <w:rPr>
          <w:rFonts w:hAnsi="华文仿宋"/>
        </w:rPr>
      </w:pPr>
    </w:p>
    <w:p>
      <w:pPr>
        <w:pStyle w:val="40"/>
        <w:ind w:firstLine="560" w:firstLineChars="200"/>
        <w:jc w:val="both"/>
        <w:rPr>
          <w:rFonts w:hAnsi="华文仿宋"/>
        </w:rPr>
        <w:sectPr>
          <w:footerReference r:id="rId21" w:type="default"/>
          <w:footerReference r:id="rId22" w:type="even"/>
          <w:pgSz w:w="11906" w:h="16838"/>
          <w:pgMar w:top="1418" w:right="1418" w:bottom="1418" w:left="1418" w:header="851" w:footer="992" w:gutter="0"/>
          <w:cols w:space="425" w:num="1"/>
          <w:docGrid w:type="linesAndChars" w:linePitch="460" w:charSpace="0"/>
        </w:sectPr>
      </w:pPr>
    </w:p>
    <w:p>
      <w:pPr>
        <w:jc w:val="center"/>
        <w:outlineLvl w:val="2"/>
        <w:rPr>
          <w:rFonts w:ascii="黑体" w:hAnsi="黑体" w:eastAsia="黑体" w:cs="Calibri Light"/>
          <w:color w:val="1F4E79"/>
          <w:sz w:val="32"/>
          <w:szCs w:val="36"/>
        </w:rPr>
      </w:pPr>
      <w:r>
        <w:rPr>
          <w:rFonts w:hint="eastAsia" w:ascii="黑体" w:hAnsi="黑体" w:eastAsia="黑体" w:cs="Calibri Light"/>
          <w:color w:val="1F4E79"/>
          <w:sz w:val="32"/>
          <w:szCs w:val="36"/>
        </w:rPr>
        <w:t>分项报价</w:t>
      </w:r>
      <w:r>
        <w:rPr>
          <w:rFonts w:ascii="黑体" w:hAnsi="黑体" w:eastAsia="黑体" w:cs="Calibri Light"/>
          <w:color w:val="1F4E79"/>
          <w:sz w:val="32"/>
          <w:szCs w:val="36"/>
        </w:rPr>
        <w:t>表</w:t>
      </w:r>
    </w:p>
    <w:p>
      <w:pPr>
        <w:jc w:val="both"/>
        <w:rPr>
          <w:rFonts w:cs="Calibri Light"/>
          <w:b/>
          <w:color w:val="000000"/>
        </w:rPr>
      </w:pPr>
      <w:r>
        <w:rPr>
          <w:rFonts w:hint="eastAsia" w:cstheme="minorHAnsi"/>
          <w:color w:val="C00000"/>
        </w:rPr>
        <w:t>采购包</w:t>
      </w:r>
      <w:r>
        <w:rPr>
          <w:rFonts w:cstheme="minorHAnsi"/>
          <w:color w:val="C00000"/>
        </w:rPr>
        <w:t>［___］</w:t>
      </w:r>
    </w:p>
    <w:tbl>
      <w:tblPr>
        <w:tblStyle w:val="24"/>
        <w:tblW w:w="942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06"/>
        <w:gridCol w:w="1985"/>
        <w:gridCol w:w="3827"/>
        <w:gridCol w:w="992"/>
        <w:gridCol w:w="851"/>
        <w:gridCol w:w="106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0" w:hRule="atLeast"/>
          <w:jc w:val="center"/>
        </w:trPr>
        <w:tc>
          <w:tcPr>
            <w:tcW w:w="706" w:type="dxa"/>
            <w:shd w:val="clear" w:color="auto" w:fill="D8D8D8" w:themeFill="background1" w:themeFillShade="D9"/>
            <w:noWrap/>
            <w:tcMar>
              <w:top w:w="20" w:type="dxa"/>
              <w:left w:w="20" w:type="dxa"/>
              <w:bottom w:w="0" w:type="dxa"/>
              <w:right w:w="20" w:type="dxa"/>
            </w:tcMar>
            <w:vAlign w:val="center"/>
          </w:tcPr>
          <w:p>
            <w:pPr>
              <w:spacing w:line="320" w:lineRule="exact"/>
              <w:jc w:val="center"/>
              <w:rPr>
                <w:rFonts w:cs="Calibri Light"/>
                <w:b/>
                <w:color w:val="000000"/>
                <w:sz w:val="21"/>
                <w:szCs w:val="21"/>
              </w:rPr>
            </w:pPr>
            <w:r>
              <w:rPr>
                <w:rFonts w:cs="Calibri Light"/>
                <w:b/>
                <w:color w:val="000000"/>
                <w:sz w:val="21"/>
                <w:szCs w:val="21"/>
              </w:rPr>
              <w:t>序号</w:t>
            </w:r>
          </w:p>
        </w:tc>
        <w:tc>
          <w:tcPr>
            <w:tcW w:w="1985" w:type="dxa"/>
            <w:shd w:val="clear" w:color="auto" w:fill="D8D8D8" w:themeFill="background1" w:themeFillShade="D9"/>
            <w:noWrap/>
            <w:tcMar>
              <w:top w:w="20" w:type="dxa"/>
              <w:left w:w="20" w:type="dxa"/>
              <w:bottom w:w="0" w:type="dxa"/>
              <w:right w:w="20" w:type="dxa"/>
            </w:tcMar>
            <w:vAlign w:val="center"/>
          </w:tcPr>
          <w:p>
            <w:pPr>
              <w:spacing w:line="320" w:lineRule="exact"/>
              <w:jc w:val="center"/>
              <w:rPr>
                <w:rFonts w:cs="Calibri Light"/>
                <w:b/>
                <w:color w:val="000000"/>
                <w:sz w:val="21"/>
                <w:szCs w:val="21"/>
              </w:rPr>
            </w:pPr>
            <w:r>
              <w:rPr>
                <w:rFonts w:cs="Calibri Light"/>
                <w:b/>
                <w:color w:val="000000"/>
                <w:sz w:val="21"/>
                <w:szCs w:val="21"/>
              </w:rPr>
              <w:t>费用名称</w:t>
            </w:r>
          </w:p>
        </w:tc>
        <w:tc>
          <w:tcPr>
            <w:tcW w:w="3827" w:type="dxa"/>
            <w:shd w:val="clear" w:color="auto" w:fill="D8D8D8" w:themeFill="background1" w:themeFillShade="D9"/>
            <w:noWrap/>
            <w:tcMar>
              <w:top w:w="20" w:type="dxa"/>
              <w:left w:w="20" w:type="dxa"/>
              <w:bottom w:w="0" w:type="dxa"/>
              <w:right w:w="20" w:type="dxa"/>
            </w:tcMar>
            <w:vAlign w:val="center"/>
          </w:tcPr>
          <w:p>
            <w:pPr>
              <w:spacing w:line="320" w:lineRule="exact"/>
              <w:jc w:val="center"/>
              <w:rPr>
                <w:rFonts w:cs="Calibri Light"/>
                <w:b/>
                <w:color w:val="000000"/>
                <w:sz w:val="21"/>
                <w:szCs w:val="21"/>
              </w:rPr>
            </w:pPr>
            <w:r>
              <w:rPr>
                <w:rFonts w:cs="Calibri Light"/>
                <w:b/>
                <w:color w:val="000000"/>
                <w:sz w:val="21"/>
                <w:szCs w:val="21"/>
              </w:rPr>
              <w:t>费用描述</w:t>
            </w:r>
          </w:p>
        </w:tc>
        <w:tc>
          <w:tcPr>
            <w:tcW w:w="992" w:type="dxa"/>
            <w:shd w:val="clear" w:color="auto" w:fill="D8D8D8" w:themeFill="background1" w:themeFillShade="D9"/>
            <w:noWrap/>
            <w:tcMar>
              <w:top w:w="20" w:type="dxa"/>
              <w:left w:w="20" w:type="dxa"/>
              <w:bottom w:w="0" w:type="dxa"/>
              <w:right w:w="20" w:type="dxa"/>
            </w:tcMar>
            <w:vAlign w:val="center"/>
          </w:tcPr>
          <w:p>
            <w:pPr>
              <w:spacing w:line="320" w:lineRule="exact"/>
              <w:jc w:val="center"/>
              <w:rPr>
                <w:rFonts w:cs="Calibri Light"/>
                <w:b/>
                <w:color w:val="000000"/>
                <w:sz w:val="21"/>
                <w:szCs w:val="21"/>
              </w:rPr>
            </w:pPr>
            <w:r>
              <w:rPr>
                <w:rFonts w:cs="Calibri Light"/>
                <w:b/>
                <w:color w:val="000000"/>
                <w:sz w:val="21"/>
                <w:szCs w:val="21"/>
              </w:rPr>
              <w:t>数量</w:t>
            </w:r>
          </w:p>
        </w:tc>
        <w:tc>
          <w:tcPr>
            <w:tcW w:w="851" w:type="dxa"/>
            <w:shd w:val="clear" w:color="auto" w:fill="D8D8D8" w:themeFill="background1" w:themeFillShade="D9"/>
            <w:noWrap/>
            <w:tcMar>
              <w:top w:w="20" w:type="dxa"/>
              <w:left w:w="20" w:type="dxa"/>
              <w:bottom w:w="0" w:type="dxa"/>
              <w:right w:w="20" w:type="dxa"/>
            </w:tcMar>
            <w:vAlign w:val="center"/>
          </w:tcPr>
          <w:p>
            <w:pPr>
              <w:spacing w:line="320" w:lineRule="exact"/>
              <w:jc w:val="center"/>
              <w:rPr>
                <w:rFonts w:cs="Calibri Light"/>
                <w:b/>
                <w:color w:val="000000"/>
                <w:sz w:val="21"/>
                <w:szCs w:val="21"/>
              </w:rPr>
            </w:pPr>
            <w:r>
              <w:rPr>
                <w:rFonts w:cs="Calibri Light"/>
                <w:b/>
                <w:color w:val="000000"/>
                <w:sz w:val="21"/>
                <w:szCs w:val="21"/>
              </w:rPr>
              <w:t>单价</w:t>
            </w:r>
          </w:p>
        </w:tc>
        <w:tc>
          <w:tcPr>
            <w:tcW w:w="1068" w:type="dxa"/>
            <w:shd w:val="clear" w:color="auto" w:fill="D8D8D8" w:themeFill="background1" w:themeFillShade="D9"/>
            <w:vAlign w:val="center"/>
          </w:tcPr>
          <w:p>
            <w:pPr>
              <w:spacing w:line="320" w:lineRule="exact"/>
              <w:jc w:val="center"/>
              <w:rPr>
                <w:rFonts w:cs="Calibri Light"/>
                <w:b/>
                <w:color w:val="000000"/>
                <w:sz w:val="21"/>
                <w:szCs w:val="21"/>
              </w:rPr>
            </w:pPr>
            <w:r>
              <w:rPr>
                <w:rFonts w:cs="Calibri Light"/>
                <w:b/>
                <w:color w:val="000000"/>
                <w:sz w:val="21"/>
                <w:szCs w:val="21"/>
              </w:rPr>
              <w:t>总价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06"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985"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3827"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992"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851" w:type="dxa"/>
            <w:noWrap/>
            <w:tcMar>
              <w:top w:w="20" w:type="dxa"/>
              <w:left w:w="20" w:type="dxa"/>
              <w:bottom w:w="0" w:type="dxa"/>
              <w:right w:w="20" w:type="dxa"/>
            </w:tcMar>
            <w:vAlign w:val="center"/>
          </w:tcPr>
          <w:p>
            <w:pPr>
              <w:spacing w:line="440" w:lineRule="exact"/>
              <w:jc w:val="center"/>
              <w:rPr>
                <w:rFonts w:cs="Calibri Light"/>
                <w:b/>
                <w:bCs/>
                <w:color w:val="000000"/>
                <w:sz w:val="21"/>
                <w:szCs w:val="21"/>
              </w:rPr>
            </w:pPr>
          </w:p>
        </w:tc>
        <w:tc>
          <w:tcPr>
            <w:tcW w:w="1068" w:type="dxa"/>
            <w:vAlign w:val="center"/>
          </w:tcPr>
          <w:p>
            <w:pPr>
              <w:spacing w:line="440" w:lineRule="exact"/>
              <w:jc w:val="center"/>
              <w:rPr>
                <w:rFonts w:cs="Calibri Light"/>
                <w:b/>
                <w:bCs/>
                <w:color w:val="00000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8361" w:type="dxa"/>
            <w:gridSpan w:val="5"/>
            <w:noWrap/>
            <w:tcMar>
              <w:top w:w="20" w:type="dxa"/>
              <w:left w:w="20" w:type="dxa"/>
              <w:bottom w:w="0" w:type="dxa"/>
              <w:right w:w="20" w:type="dxa"/>
            </w:tcMar>
            <w:vAlign w:val="center"/>
          </w:tcPr>
          <w:p>
            <w:pPr>
              <w:spacing w:line="440" w:lineRule="exact"/>
              <w:jc w:val="center"/>
              <w:rPr>
                <w:rFonts w:cs="Calibri Light"/>
                <w:b/>
                <w:bCs/>
                <w:color w:val="000000"/>
                <w:sz w:val="21"/>
                <w:szCs w:val="21"/>
              </w:rPr>
            </w:pPr>
            <w:r>
              <w:rPr>
                <w:rFonts w:cs="Calibri Light"/>
                <w:b/>
                <w:bCs/>
                <w:color w:val="000000"/>
                <w:sz w:val="21"/>
                <w:szCs w:val="21"/>
              </w:rPr>
              <w:t>合计</w:t>
            </w:r>
          </w:p>
        </w:tc>
        <w:tc>
          <w:tcPr>
            <w:tcW w:w="1068" w:type="dxa"/>
            <w:vAlign w:val="center"/>
          </w:tcPr>
          <w:p>
            <w:pPr>
              <w:spacing w:line="440" w:lineRule="exact"/>
              <w:jc w:val="center"/>
              <w:rPr>
                <w:rFonts w:cs="Calibri Light"/>
                <w:b/>
                <w:bCs/>
                <w:color w:val="000000"/>
                <w:sz w:val="21"/>
                <w:szCs w:val="21"/>
              </w:rPr>
            </w:pPr>
          </w:p>
        </w:tc>
      </w:tr>
    </w:tbl>
    <w:p>
      <w:pPr>
        <w:tabs>
          <w:tab w:val="right" w:pos="9070"/>
        </w:tabs>
        <w:spacing w:line="440" w:lineRule="exact"/>
        <w:jc w:val="both"/>
        <w:rPr>
          <w:rFonts w:cs="Calibri Light"/>
          <w:bCs/>
        </w:rPr>
      </w:pPr>
      <w:r>
        <w:rPr>
          <w:rFonts w:cs="Calibri Light"/>
          <w:bCs/>
        </w:rPr>
        <w:t>供应商：（</w:t>
      </w:r>
      <w:r>
        <w:rPr>
          <w:rFonts w:cs="Calibri Light"/>
          <w:bCs/>
          <w:i/>
          <w:color w:val="7030A0"/>
        </w:rPr>
        <w:t>供应商全称并加盖公章</w:t>
      </w:r>
      <w:r>
        <w:rPr>
          <w:rFonts w:cs="Calibri Light"/>
          <w:bCs/>
        </w:rPr>
        <w:t>）</w:t>
      </w:r>
    </w:p>
    <w:p>
      <w:pPr>
        <w:tabs>
          <w:tab w:val="right" w:pos="9070"/>
        </w:tabs>
        <w:spacing w:line="440" w:lineRule="exact"/>
        <w:jc w:val="both"/>
        <w:rPr>
          <w:rFonts w:cs="Calibri Light"/>
          <w:bCs/>
        </w:rPr>
      </w:pPr>
    </w:p>
    <w:p>
      <w:pPr>
        <w:wordWrap w:val="0"/>
        <w:spacing w:line="400" w:lineRule="exact"/>
        <w:jc w:val="both"/>
      </w:pPr>
      <w:r>
        <w:t>说明：1．此表各项费用由供应商自行列支；</w:t>
      </w:r>
    </w:p>
    <w:p>
      <w:pPr>
        <w:tabs>
          <w:tab w:val="right" w:pos="9070"/>
        </w:tabs>
        <w:spacing w:line="440" w:lineRule="exact"/>
        <w:ind w:firstLine="720" w:firstLineChars="300"/>
      </w:pPr>
      <w:r>
        <w:t>2．表格空间不足时，可以自行扩展。</w:t>
      </w:r>
    </w:p>
    <w:p>
      <w:pPr>
        <w:jc w:val="both"/>
        <w:sectPr>
          <w:footerReference r:id="rId23" w:type="default"/>
          <w:footerReference r:id="rId24" w:type="even"/>
          <w:pgSz w:w="11906" w:h="16838"/>
          <w:pgMar w:top="1418" w:right="1418" w:bottom="1418" w:left="1418" w:header="851" w:footer="992" w:gutter="0"/>
          <w:cols w:space="425" w:num="1"/>
          <w:docGrid w:type="linesAndChars" w:linePitch="460" w:charSpace="0"/>
        </w:sectPr>
      </w:pPr>
    </w:p>
    <w:p>
      <w:pPr>
        <w:keepNext/>
        <w:spacing w:before="230" w:beforeLines="50" w:after="230" w:afterLines="50"/>
        <w:jc w:val="center"/>
        <w:outlineLvl w:val="1"/>
        <w:rPr>
          <w:rFonts w:ascii="Calibri" w:hAnsi="Calibri" w:eastAsia="黑体"/>
          <w:kern w:val="32"/>
          <w:sz w:val="32"/>
        </w:rPr>
      </w:pPr>
      <w:r>
        <w:rPr>
          <w:rFonts w:ascii="Calibri" w:hAnsi="Calibri" w:eastAsia="黑体"/>
          <w:kern w:val="32"/>
          <w:sz w:val="32"/>
        </w:rPr>
        <w:t>第三部分</w:t>
      </w:r>
      <w:r>
        <w:rPr>
          <w:rFonts w:hint="eastAsia" w:ascii="Calibri" w:hAnsi="Calibri" w:eastAsia="黑体"/>
          <w:kern w:val="32"/>
          <w:sz w:val="32"/>
        </w:rPr>
        <w:t>　</w:t>
      </w:r>
      <w:r>
        <w:rPr>
          <w:rFonts w:ascii="Calibri" w:hAnsi="Calibri" w:eastAsia="黑体"/>
          <w:kern w:val="32"/>
          <w:sz w:val="32"/>
        </w:rPr>
        <w:t>资格证明文件</w:t>
      </w:r>
    </w:p>
    <w:p>
      <w:pPr>
        <w:keepNext/>
        <w:spacing w:before="120" w:after="60"/>
        <w:outlineLvl w:val="2"/>
        <w:rPr>
          <w:rFonts w:ascii="Calibri" w:hAnsi="Calibri" w:eastAsia="黑体"/>
          <w:kern w:val="28"/>
          <w:sz w:val="28"/>
        </w:rPr>
      </w:pPr>
      <w:r>
        <w:rPr>
          <w:rFonts w:ascii="Calibri" w:hAnsi="Calibri" w:eastAsia="黑体"/>
          <w:kern w:val="28"/>
          <w:sz w:val="28"/>
        </w:rPr>
        <w:t>（一）基本资格条件</w:t>
      </w:r>
    </w:p>
    <w:p>
      <w:pPr>
        <w:keepNext/>
        <w:spacing w:before="120" w:after="60"/>
        <w:outlineLvl w:val="3"/>
        <w:rPr>
          <w:b/>
          <w:kern w:val="28"/>
        </w:rPr>
      </w:pPr>
      <w:r>
        <w:rPr>
          <w:b/>
          <w:kern w:val="28"/>
        </w:rPr>
        <w:t>1．有效的注册登记证明文件</w:t>
      </w:r>
    </w:p>
    <w:p>
      <w:pPr>
        <w:ind w:firstLine="480" w:firstLineChars="200"/>
        <w:jc w:val="both"/>
        <w:rPr>
          <w:rFonts w:cstheme="minorHAnsi"/>
          <w:color w:val="000000"/>
          <w:kern w:val="24"/>
        </w:rPr>
      </w:pPr>
    </w:p>
    <w:p>
      <w:pPr>
        <w:ind w:firstLine="480" w:firstLineChars="200"/>
        <w:jc w:val="both"/>
        <w:rPr>
          <w:rFonts w:cstheme="minorHAnsi"/>
          <w:color w:val="000000"/>
          <w:kern w:val="24"/>
        </w:rPr>
      </w:pPr>
    </w:p>
    <w:p>
      <w:pPr>
        <w:ind w:firstLine="480" w:firstLineChars="200"/>
        <w:jc w:val="both"/>
        <w:rPr>
          <w:rFonts w:cstheme="minorHAnsi"/>
          <w:color w:val="000000"/>
          <w:kern w:val="24"/>
        </w:rPr>
      </w:pPr>
    </w:p>
    <w:p>
      <w:pPr>
        <w:keepNext/>
        <w:spacing w:before="120" w:after="60"/>
        <w:outlineLvl w:val="3"/>
        <w:rPr>
          <w:b/>
          <w:kern w:val="28"/>
        </w:rPr>
      </w:pPr>
      <w:r>
        <w:rPr>
          <w:b/>
          <w:kern w:val="28"/>
        </w:rPr>
        <w:t>2．财务状况报告</w:t>
      </w:r>
    </w:p>
    <w:p>
      <w:pPr>
        <w:ind w:firstLine="480" w:firstLineChars="200"/>
        <w:jc w:val="both"/>
        <w:rPr>
          <w:rFonts w:cstheme="minorHAnsi"/>
          <w:i/>
          <w:color w:val="7030A0"/>
          <w:kern w:val="24"/>
        </w:rPr>
      </w:pPr>
      <w:r>
        <w:rPr>
          <w:rFonts w:cstheme="minorHAnsi"/>
          <w:i/>
          <w:color w:val="7030A0"/>
          <w:kern w:val="24"/>
        </w:rPr>
        <w:t>说明：两种形式任选一种，其中采用第二种形式的</w:t>
      </w:r>
      <w:r>
        <w:rPr>
          <w:rFonts w:hint="eastAsia" w:cstheme="minorHAnsi"/>
          <w:i/>
          <w:color w:val="7030A0"/>
          <w:kern w:val="24"/>
        </w:rPr>
        <w:t>供应商</w:t>
      </w:r>
      <w:r>
        <w:rPr>
          <w:rFonts w:cstheme="minorHAnsi"/>
          <w:i/>
          <w:color w:val="7030A0"/>
          <w:kern w:val="24"/>
        </w:rPr>
        <w:t>须按下方给定格式</w:t>
      </w:r>
      <w:r>
        <w:rPr>
          <w:rFonts w:hint="eastAsia" w:cstheme="minorHAnsi"/>
          <w:i/>
          <w:color w:val="7030A0"/>
          <w:kern w:val="24"/>
        </w:rPr>
        <w:t>自行</w:t>
      </w:r>
      <w:r>
        <w:rPr>
          <w:rFonts w:cstheme="minorHAnsi"/>
          <w:i/>
          <w:color w:val="7030A0"/>
          <w:kern w:val="24"/>
        </w:rPr>
        <w:t>填写基本存款账户信息。</w:t>
      </w:r>
    </w:p>
    <w:p>
      <w:pPr>
        <w:spacing w:before="230" w:beforeLines="50"/>
        <w:jc w:val="center"/>
        <w:rPr>
          <w:rFonts w:cs="Calibri Light"/>
          <w:b/>
          <w:color w:val="1F4E79"/>
          <w:sz w:val="28"/>
        </w:rPr>
      </w:pPr>
      <w:r>
        <w:rPr>
          <w:rFonts w:cs="Calibri Light"/>
          <w:b/>
          <w:color w:val="1F4E79"/>
          <w:sz w:val="28"/>
        </w:rPr>
        <w:t>『基本存款账户信息』</w:t>
      </w:r>
    </w:p>
    <w:p>
      <w:pPr>
        <w:ind w:firstLine="480" w:firstLineChars="200"/>
        <w:jc w:val="both"/>
        <w:rPr>
          <w:rFonts w:cstheme="minorHAnsi"/>
          <w:color w:val="000000"/>
          <w:kern w:val="24"/>
        </w:rPr>
      </w:pPr>
      <w:r>
        <w:rPr>
          <w:rFonts w:cstheme="minorHAnsi"/>
          <w:color w:val="000000"/>
          <w:kern w:val="24"/>
        </w:rPr>
        <w:t>账户名称：</w:t>
      </w:r>
    </w:p>
    <w:p>
      <w:pPr>
        <w:ind w:firstLine="480" w:firstLineChars="200"/>
        <w:jc w:val="both"/>
        <w:rPr>
          <w:rFonts w:cstheme="minorHAnsi"/>
          <w:color w:val="000000"/>
          <w:kern w:val="24"/>
        </w:rPr>
      </w:pPr>
      <w:r>
        <w:rPr>
          <w:rFonts w:cstheme="minorHAnsi"/>
          <w:color w:val="000000"/>
          <w:kern w:val="24"/>
        </w:rPr>
        <w:t>账户号码：</w:t>
      </w:r>
    </w:p>
    <w:p>
      <w:pPr>
        <w:ind w:firstLine="480" w:firstLineChars="200"/>
        <w:jc w:val="both"/>
        <w:rPr>
          <w:rFonts w:cstheme="minorHAnsi"/>
          <w:color w:val="000000"/>
          <w:kern w:val="24"/>
        </w:rPr>
      </w:pPr>
      <w:r>
        <w:rPr>
          <w:rFonts w:cstheme="minorHAnsi"/>
          <w:color w:val="000000"/>
          <w:kern w:val="24"/>
        </w:rPr>
        <w:t>开户银行：</w:t>
      </w:r>
    </w:p>
    <w:p>
      <w:pPr>
        <w:ind w:firstLine="480" w:firstLineChars="200"/>
        <w:jc w:val="both"/>
        <w:rPr>
          <w:rFonts w:cstheme="minorHAnsi"/>
          <w:color w:val="000000"/>
          <w:kern w:val="24"/>
        </w:rPr>
      </w:pPr>
      <w:r>
        <w:rPr>
          <w:rFonts w:cstheme="minorHAnsi"/>
          <w:color w:val="000000"/>
          <w:kern w:val="24"/>
        </w:rPr>
        <w:t>法定代表人</w:t>
      </w:r>
      <w:r>
        <w:rPr>
          <w:rFonts w:hint="eastAsia" w:cstheme="minorHAnsi"/>
          <w:color w:val="000000"/>
          <w:kern w:val="24"/>
        </w:rPr>
        <w:t>（或</w:t>
      </w:r>
      <w:r>
        <w:rPr>
          <w:rFonts w:cstheme="minorHAnsi"/>
          <w:color w:val="000000"/>
          <w:kern w:val="24"/>
        </w:rPr>
        <w:t>负责人</w:t>
      </w:r>
      <w:r>
        <w:rPr>
          <w:rFonts w:hint="eastAsia" w:cstheme="minorHAnsi"/>
          <w:color w:val="000000"/>
          <w:kern w:val="24"/>
        </w:rPr>
        <w:t>）</w:t>
      </w:r>
      <w:r>
        <w:rPr>
          <w:rFonts w:cstheme="minorHAnsi"/>
          <w:color w:val="000000"/>
          <w:kern w:val="24"/>
        </w:rPr>
        <w:t>：（</w:t>
      </w:r>
      <w:r>
        <w:rPr>
          <w:rFonts w:cstheme="minorHAnsi"/>
          <w:i/>
          <w:color w:val="7030A0"/>
          <w:kern w:val="24"/>
        </w:rPr>
        <w:t>签字或盖章</w:t>
      </w:r>
      <w:r>
        <w:rPr>
          <w:rFonts w:cstheme="minorHAnsi"/>
          <w:color w:val="000000"/>
          <w:kern w:val="24"/>
        </w:rPr>
        <w:t>）</w:t>
      </w:r>
    </w:p>
    <w:p>
      <w:pPr>
        <w:ind w:firstLine="480" w:firstLineChars="200"/>
        <w:jc w:val="both"/>
        <w:rPr>
          <w:rFonts w:cstheme="minorHAnsi"/>
          <w:color w:val="000000"/>
          <w:kern w:val="24"/>
        </w:rPr>
      </w:pPr>
      <w:r>
        <w:rPr>
          <w:rFonts w:cstheme="minorHAnsi"/>
          <w:color w:val="000000"/>
          <w:kern w:val="24"/>
        </w:rPr>
        <w:t>基本存款账户编号：（</w:t>
      </w:r>
      <w:r>
        <w:rPr>
          <w:rFonts w:cstheme="minorHAnsi"/>
          <w:i/>
          <w:color w:val="7030A0"/>
          <w:kern w:val="24"/>
        </w:rPr>
        <w:t>请向开户银行进行询问</w:t>
      </w:r>
      <w:r>
        <w:rPr>
          <w:rFonts w:cstheme="minorHAnsi"/>
          <w:color w:val="000000"/>
          <w:kern w:val="24"/>
        </w:rPr>
        <w:t>）</w:t>
      </w:r>
    </w:p>
    <w:p>
      <w:pPr>
        <w:ind w:firstLine="480" w:firstLineChars="200"/>
        <w:jc w:val="both"/>
        <w:rPr>
          <w:rFonts w:cstheme="minorHAnsi"/>
          <w:color w:val="000000"/>
          <w:kern w:val="24"/>
        </w:rPr>
      </w:pPr>
      <w:r>
        <w:rPr>
          <w:rFonts w:cstheme="minorHAnsi"/>
          <w:color w:val="000000"/>
          <w:kern w:val="24"/>
        </w:rPr>
        <w:t>供应商：（</w:t>
      </w:r>
      <w:r>
        <w:rPr>
          <w:rFonts w:cstheme="minorHAnsi"/>
          <w:i/>
          <w:color w:val="7030A0"/>
          <w:kern w:val="24"/>
        </w:rPr>
        <w:t>供应商全称并加盖公章</w:t>
      </w:r>
      <w:r>
        <w:rPr>
          <w:rFonts w:cstheme="minorHAnsi"/>
          <w:color w:val="000000"/>
          <w:kern w:val="24"/>
        </w:rPr>
        <w:t>）</w:t>
      </w:r>
    </w:p>
    <w:p>
      <w:pPr>
        <w:ind w:firstLine="480" w:firstLineChars="200"/>
        <w:jc w:val="both"/>
        <w:rPr>
          <w:rFonts w:cstheme="minorHAnsi"/>
          <w:color w:val="000000"/>
          <w:kern w:val="24"/>
        </w:rPr>
      </w:pPr>
      <w:r>
        <w:rPr>
          <w:rFonts w:cstheme="minorHAnsi"/>
          <w:color w:val="000000"/>
          <w:kern w:val="24"/>
        </w:rPr>
        <w:t>日期：　　年　月　日</w:t>
      </w:r>
    </w:p>
    <w:p>
      <w:pPr>
        <w:ind w:firstLine="480" w:firstLineChars="200"/>
        <w:jc w:val="both"/>
        <w:rPr>
          <w:rFonts w:cstheme="minorHAnsi"/>
          <w:color w:val="000000"/>
          <w:kern w:val="24"/>
        </w:rPr>
      </w:pPr>
    </w:p>
    <w:p>
      <w:pPr>
        <w:ind w:firstLine="480" w:firstLineChars="200"/>
        <w:jc w:val="both"/>
        <w:rPr>
          <w:rFonts w:cstheme="minorHAnsi"/>
          <w:color w:val="000000"/>
          <w:kern w:val="24"/>
        </w:rPr>
      </w:pPr>
    </w:p>
    <w:p>
      <w:pPr>
        <w:keepNext/>
        <w:spacing w:before="120" w:after="60"/>
        <w:outlineLvl w:val="3"/>
        <w:rPr>
          <w:b/>
          <w:kern w:val="28"/>
        </w:rPr>
      </w:pPr>
      <w:r>
        <w:rPr>
          <w:b/>
          <w:kern w:val="28"/>
        </w:rPr>
        <w:t>3．社会保障资金缴纳证明</w:t>
      </w:r>
    </w:p>
    <w:p>
      <w:pPr>
        <w:ind w:firstLine="480" w:firstLineChars="200"/>
        <w:jc w:val="both"/>
        <w:rPr>
          <w:rFonts w:cstheme="minorHAnsi"/>
          <w:color w:val="000000"/>
          <w:kern w:val="24"/>
        </w:rPr>
      </w:pPr>
    </w:p>
    <w:p>
      <w:pPr>
        <w:ind w:firstLine="480" w:firstLineChars="200"/>
        <w:jc w:val="both"/>
        <w:rPr>
          <w:rFonts w:cstheme="minorHAnsi"/>
          <w:color w:val="000000"/>
          <w:kern w:val="24"/>
        </w:rPr>
      </w:pPr>
    </w:p>
    <w:p>
      <w:pPr>
        <w:ind w:firstLine="480" w:firstLineChars="200"/>
        <w:jc w:val="both"/>
        <w:rPr>
          <w:rFonts w:cstheme="minorHAnsi"/>
          <w:color w:val="000000"/>
          <w:kern w:val="24"/>
        </w:rPr>
      </w:pPr>
    </w:p>
    <w:p>
      <w:pPr>
        <w:keepNext/>
        <w:spacing w:before="120" w:after="60"/>
        <w:outlineLvl w:val="3"/>
        <w:rPr>
          <w:b/>
          <w:kern w:val="28"/>
        </w:rPr>
      </w:pPr>
      <w:r>
        <w:rPr>
          <w:b/>
          <w:kern w:val="28"/>
        </w:rPr>
        <w:t>4．税收缴纳证明</w:t>
      </w:r>
    </w:p>
    <w:p>
      <w:pPr>
        <w:ind w:firstLine="480" w:firstLineChars="200"/>
        <w:jc w:val="both"/>
        <w:rPr>
          <w:rFonts w:cstheme="minorHAnsi"/>
          <w:color w:val="000000"/>
          <w:kern w:val="24"/>
        </w:rPr>
      </w:pPr>
    </w:p>
    <w:p>
      <w:pPr>
        <w:ind w:firstLine="480" w:firstLineChars="200"/>
        <w:jc w:val="both"/>
        <w:rPr>
          <w:rFonts w:cstheme="minorHAnsi"/>
          <w:color w:val="000000"/>
          <w:kern w:val="24"/>
        </w:rPr>
      </w:pPr>
    </w:p>
    <w:p>
      <w:pPr>
        <w:keepNext/>
        <w:spacing w:before="120" w:after="60"/>
        <w:outlineLvl w:val="3"/>
        <w:rPr>
          <w:b/>
          <w:kern w:val="28"/>
        </w:rPr>
      </w:pPr>
      <w:r>
        <w:rPr>
          <w:b/>
          <w:kern w:val="28"/>
        </w:rPr>
        <w:t>5．无重大违法记录声明</w:t>
      </w:r>
    </w:p>
    <w:p>
      <w:pPr>
        <w:ind w:firstLine="480" w:firstLineChars="200"/>
        <w:jc w:val="both"/>
        <w:rPr>
          <w:rFonts w:cstheme="minorHAnsi"/>
          <w:i/>
          <w:color w:val="7030A0"/>
          <w:kern w:val="24"/>
        </w:rPr>
      </w:pPr>
      <w:r>
        <w:rPr>
          <w:rFonts w:cstheme="minorHAnsi"/>
          <w:i/>
          <w:color w:val="7030A0"/>
          <w:kern w:val="24"/>
        </w:rPr>
        <w:t>说明：按下方给定格式进行填写</w:t>
      </w:r>
    </w:p>
    <w:p>
      <w:pPr>
        <w:ind w:firstLine="480" w:firstLineChars="200"/>
        <w:jc w:val="both"/>
        <w:rPr>
          <w:rFonts w:cstheme="minorHAnsi"/>
          <w:i/>
          <w:color w:val="7030A0"/>
          <w:kern w:val="24"/>
        </w:rPr>
      </w:pPr>
      <w:r>
        <w:rPr>
          <w:rFonts w:cstheme="minorHAnsi"/>
          <w:i/>
          <w:color w:val="7030A0"/>
          <w:kern w:val="24"/>
        </w:rPr>
        <w:t>（1）供应商可通过【信用中国】（www.creditchina.gov.cn）、【中国政府采购网】（www.ccgp.gov.cn）网站对自身信用记录进行自查。</w:t>
      </w:r>
    </w:p>
    <w:p>
      <w:pPr>
        <w:ind w:firstLine="480" w:firstLineChars="200"/>
        <w:jc w:val="both"/>
        <w:rPr>
          <w:rFonts w:cstheme="minorHAnsi"/>
          <w:i/>
          <w:color w:val="7030A0"/>
          <w:kern w:val="24"/>
        </w:rPr>
      </w:pPr>
      <w:r>
        <w:rPr>
          <w:rFonts w:cstheme="minorHAnsi"/>
          <w:i/>
          <w:color w:val="7030A0"/>
          <w:kern w:val="24"/>
        </w:rPr>
        <w:t>（2）供应商在参加政府采购活动前三年内因违法经营被禁止在一定期限内参加政府采购活动，期限届满的，可以参加政府采购活动，但应提供期限届满的证明材料。</w:t>
      </w:r>
    </w:p>
    <w:p>
      <w:pPr>
        <w:spacing w:before="230" w:beforeLines="50"/>
        <w:jc w:val="center"/>
        <w:rPr>
          <w:rFonts w:cs="Calibri Light"/>
          <w:b/>
          <w:color w:val="1F4E79"/>
          <w:sz w:val="28"/>
        </w:rPr>
      </w:pPr>
      <w:r>
        <w:rPr>
          <w:rFonts w:cs="Calibri Light"/>
          <w:b/>
          <w:color w:val="1F4E79"/>
          <w:sz w:val="28"/>
        </w:rPr>
        <w:t>『无重大违法记录声明』</w:t>
      </w:r>
    </w:p>
    <w:p>
      <w:pPr>
        <w:jc w:val="both"/>
        <w:rPr>
          <w:rFonts w:cstheme="minorHAnsi"/>
          <w:color w:val="000000"/>
          <w:kern w:val="24"/>
        </w:rPr>
      </w:pPr>
      <w:r>
        <w:rPr>
          <w:rFonts w:cstheme="minorHAnsi"/>
          <w:kern w:val="24"/>
        </w:rPr>
        <w:t>西安市市级单位政府采购中心</w:t>
      </w:r>
      <w:r>
        <w:rPr>
          <w:rFonts w:cstheme="minorHAnsi"/>
          <w:color w:val="000000"/>
          <w:kern w:val="24"/>
        </w:rPr>
        <w:t>：</w:t>
      </w:r>
    </w:p>
    <w:p>
      <w:pPr>
        <w:ind w:firstLine="480" w:firstLineChars="200"/>
        <w:jc w:val="both"/>
        <w:rPr>
          <w:rFonts w:cstheme="minorHAnsi"/>
          <w:color w:val="000000"/>
          <w:kern w:val="24"/>
        </w:rPr>
      </w:pPr>
      <w:r>
        <w:rPr>
          <w:rFonts w:cstheme="minorHAnsi"/>
          <w:color w:val="000000"/>
          <w:kern w:val="24"/>
        </w:rPr>
        <w:t>我方作为</w:t>
      </w:r>
      <w:r>
        <w:rPr>
          <w:rFonts w:cstheme="minorHAnsi"/>
          <w:color w:val="C00000"/>
        </w:rPr>
        <w:t>［</w:t>
      </w:r>
      <w:r>
        <w:rPr>
          <w:rFonts w:cstheme="minorHAnsi"/>
          <w:color w:val="C00000"/>
          <w:u w:val="single"/>
        </w:rPr>
        <w:t>项目名称</w:t>
      </w:r>
      <w:r>
        <w:rPr>
          <w:rFonts w:cstheme="minorHAnsi"/>
          <w:color w:val="C00000"/>
        </w:rPr>
        <w:t>］</w:t>
      </w:r>
      <w:r>
        <w:rPr>
          <w:rFonts w:cstheme="minorHAnsi"/>
          <w:color w:val="000000"/>
          <w:kern w:val="24"/>
        </w:rPr>
        <w:t>（项目编号：</w:t>
      </w:r>
      <w:r>
        <w:rPr>
          <w:rFonts w:cstheme="minorHAnsi"/>
          <w:color w:val="C00000"/>
        </w:rPr>
        <w:t>［</w:t>
      </w:r>
      <w:r>
        <w:rPr>
          <w:rFonts w:cstheme="minorHAnsi"/>
          <w:color w:val="C00000"/>
          <w:u w:val="single"/>
        </w:rPr>
        <w:t>项目编号</w:t>
      </w:r>
      <w:r>
        <w:rPr>
          <w:rFonts w:cstheme="minorHAnsi"/>
          <w:color w:val="C00000"/>
        </w:rPr>
        <w:t>］</w:t>
      </w:r>
      <w:r>
        <w:rPr>
          <w:rFonts w:cstheme="minorHAnsi"/>
          <w:color w:val="000000"/>
          <w:kern w:val="24"/>
        </w:rPr>
        <w:t>）</w:t>
      </w:r>
      <w:r>
        <w:rPr>
          <w:rFonts w:hint="eastAsia" w:cstheme="minorHAnsi"/>
          <w:color w:val="C00000"/>
        </w:rPr>
        <w:t>采购包</w:t>
      </w:r>
      <w:r>
        <w:rPr>
          <w:rFonts w:cstheme="minorHAnsi"/>
          <w:color w:val="C00000"/>
        </w:rPr>
        <w:t>［___］</w:t>
      </w:r>
      <w:r>
        <w:rPr>
          <w:rFonts w:cstheme="minorHAnsi"/>
          <w:color w:val="000000"/>
          <w:kern w:val="24"/>
        </w:rPr>
        <w:t>的投标供应商，在此郑重声明：</w:t>
      </w:r>
    </w:p>
    <w:p>
      <w:pPr>
        <w:ind w:firstLine="480" w:firstLineChars="200"/>
        <w:jc w:val="both"/>
        <w:rPr>
          <w:rFonts w:cstheme="minorHAnsi"/>
          <w:color w:val="000000"/>
          <w:kern w:val="24"/>
        </w:rPr>
      </w:pPr>
      <w:r>
        <w:rPr>
          <w:rFonts w:cstheme="minorHAnsi"/>
          <w:color w:val="000000"/>
          <w:kern w:val="24"/>
        </w:rPr>
        <w:t>1．在参加本次政府采购活动前3年内的经营活动中</w:t>
      </w:r>
      <w:r>
        <w:rPr>
          <w:rFonts w:cstheme="minorHAnsi"/>
          <w:color w:val="C00000"/>
          <w:kern w:val="24"/>
        </w:rPr>
        <w:t>［___］</w:t>
      </w:r>
      <w:r>
        <w:rPr>
          <w:rFonts w:cstheme="minorHAnsi"/>
          <w:color w:val="000000"/>
          <w:kern w:val="24"/>
        </w:rPr>
        <w:t>（填“没有”或“有”）重大违法记录。</w:t>
      </w:r>
    </w:p>
    <w:p>
      <w:pPr>
        <w:ind w:firstLine="480" w:firstLineChars="200"/>
        <w:jc w:val="both"/>
        <w:rPr>
          <w:rFonts w:cstheme="minorHAnsi"/>
          <w:color w:val="000000"/>
          <w:kern w:val="24"/>
        </w:rPr>
      </w:pPr>
      <w:r>
        <w:rPr>
          <w:rFonts w:cstheme="minorHAnsi"/>
          <w:color w:val="000000"/>
          <w:kern w:val="24"/>
        </w:rPr>
        <w:t>2．我方</w:t>
      </w:r>
      <w:r>
        <w:rPr>
          <w:rFonts w:cstheme="minorHAnsi"/>
          <w:color w:val="C00000"/>
          <w:kern w:val="24"/>
        </w:rPr>
        <w:t>［___］</w:t>
      </w:r>
      <w:r>
        <w:rPr>
          <w:rFonts w:cstheme="minorHAnsi"/>
          <w:color w:val="000000"/>
          <w:kern w:val="24"/>
        </w:rPr>
        <w:t>（填“未被列入”或“被列入”）失信被执行人名单。</w:t>
      </w:r>
    </w:p>
    <w:p>
      <w:pPr>
        <w:ind w:firstLine="480" w:firstLineChars="200"/>
        <w:jc w:val="both"/>
        <w:rPr>
          <w:rFonts w:cstheme="minorHAnsi"/>
          <w:color w:val="000000"/>
          <w:kern w:val="24"/>
        </w:rPr>
      </w:pPr>
      <w:r>
        <w:rPr>
          <w:rFonts w:cstheme="minorHAnsi"/>
          <w:color w:val="000000"/>
          <w:kern w:val="24"/>
        </w:rPr>
        <w:t>3．我方</w:t>
      </w:r>
      <w:r>
        <w:rPr>
          <w:rFonts w:cstheme="minorHAnsi"/>
          <w:color w:val="C00000"/>
          <w:kern w:val="24"/>
        </w:rPr>
        <w:t>［___］</w:t>
      </w:r>
      <w:r>
        <w:rPr>
          <w:rFonts w:cstheme="minorHAnsi"/>
          <w:color w:val="000000"/>
          <w:kern w:val="24"/>
        </w:rPr>
        <w:t>（填“未被列入”或“被列入”）重大税收违法案件当事人名单。</w:t>
      </w:r>
    </w:p>
    <w:p>
      <w:pPr>
        <w:ind w:firstLine="480" w:firstLineChars="200"/>
        <w:jc w:val="both"/>
        <w:rPr>
          <w:rFonts w:cstheme="minorHAnsi"/>
          <w:color w:val="000000"/>
          <w:kern w:val="24"/>
        </w:rPr>
      </w:pPr>
      <w:r>
        <w:rPr>
          <w:rFonts w:cstheme="minorHAnsi"/>
          <w:color w:val="000000"/>
          <w:kern w:val="24"/>
        </w:rPr>
        <w:t>4．我方</w:t>
      </w:r>
      <w:r>
        <w:rPr>
          <w:rFonts w:cstheme="minorHAnsi"/>
          <w:color w:val="C00000"/>
          <w:kern w:val="24"/>
        </w:rPr>
        <w:t>［___］</w:t>
      </w:r>
      <w:r>
        <w:rPr>
          <w:rFonts w:cstheme="minorHAnsi"/>
          <w:color w:val="000000"/>
          <w:kern w:val="24"/>
        </w:rPr>
        <w:t>（填“未被列入”或“被列入”）政府采购严重违法失信行为记录名单。</w:t>
      </w:r>
    </w:p>
    <w:p>
      <w:pPr>
        <w:ind w:firstLine="480" w:firstLineChars="200"/>
        <w:jc w:val="both"/>
        <w:rPr>
          <w:rFonts w:cstheme="minorHAnsi"/>
          <w:color w:val="000000"/>
          <w:kern w:val="24"/>
        </w:rPr>
      </w:pPr>
      <w:r>
        <w:rPr>
          <w:rFonts w:cstheme="minorHAnsi"/>
          <w:color w:val="000000"/>
          <w:kern w:val="24"/>
        </w:rPr>
        <w:t>如有不实，我方将无条件地退出本项目的采购活动，并遵照《政府采购法》有关“提供虚假材料的规定”接受处罚。</w:t>
      </w:r>
    </w:p>
    <w:p>
      <w:pPr>
        <w:ind w:firstLine="480" w:firstLineChars="200"/>
        <w:jc w:val="both"/>
        <w:rPr>
          <w:rFonts w:cstheme="minorHAnsi"/>
          <w:color w:val="000000"/>
          <w:kern w:val="24"/>
        </w:rPr>
      </w:pPr>
      <w:r>
        <w:rPr>
          <w:rFonts w:cstheme="minorHAnsi"/>
          <w:color w:val="000000"/>
          <w:kern w:val="24"/>
        </w:rPr>
        <w:t>特此声明。</w:t>
      </w:r>
    </w:p>
    <w:p>
      <w:pPr>
        <w:tabs>
          <w:tab w:val="center" w:pos="5812"/>
        </w:tabs>
        <w:jc w:val="both"/>
        <w:rPr>
          <w:rFonts w:cstheme="minorHAnsi"/>
          <w:color w:val="000000"/>
          <w:kern w:val="24"/>
        </w:rPr>
      </w:pPr>
      <w:r>
        <w:rPr>
          <w:rFonts w:cstheme="minorHAnsi"/>
          <w:color w:val="000000"/>
          <w:kern w:val="24"/>
        </w:rPr>
        <w:tab/>
      </w:r>
      <w:r>
        <w:rPr>
          <w:rFonts w:cstheme="minorHAnsi"/>
          <w:color w:val="000000"/>
          <w:kern w:val="24"/>
        </w:rPr>
        <w:t>供应商：（</w:t>
      </w:r>
      <w:r>
        <w:rPr>
          <w:rFonts w:cstheme="minorHAnsi"/>
          <w:i/>
          <w:color w:val="7030A0"/>
          <w:kern w:val="24"/>
        </w:rPr>
        <w:t>供应商全称并加盖公章</w:t>
      </w:r>
      <w:r>
        <w:rPr>
          <w:rFonts w:cstheme="minorHAnsi"/>
          <w:color w:val="000000"/>
          <w:kern w:val="24"/>
        </w:rPr>
        <w:t>）</w:t>
      </w:r>
    </w:p>
    <w:p>
      <w:pPr>
        <w:tabs>
          <w:tab w:val="center" w:pos="5812"/>
        </w:tabs>
        <w:jc w:val="both"/>
        <w:rPr>
          <w:rFonts w:cstheme="minorHAnsi"/>
          <w:color w:val="000000"/>
          <w:kern w:val="24"/>
        </w:rPr>
      </w:pPr>
      <w:r>
        <w:rPr>
          <w:rFonts w:cstheme="minorHAnsi"/>
          <w:color w:val="000000"/>
          <w:kern w:val="24"/>
        </w:rPr>
        <w:tab/>
      </w:r>
      <w:r>
        <w:rPr>
          <w:rFonts w:cstheme="minorHAnsi"/>
          <w:color w:val="000000"/>
          <w:kern w:val="24"/>
        </w:rPr>
        <w:t>日　期：　　年　月　日</w:t>
      </w:r>
    </w:p>
    <w:p>
      <w:pPr>
        <w:tabs>
          <w:tab w:val="center" w:pos="6663"/>
        </w:tabs>
        <w:spacing w:line="400" w:lineRule="exact"/>
        <w:rPr>
          <w:rFonts w:cs="Calibri Light"/>
        </w:rPr>
      </w:pPr>
      <w:r>
        <w:rPr>
          <w:rFonts w:cs="Calibri Light"/>
        </w:rPr>
        <w:br w:type="page"/>
      </w:r>
    </w:p>
    <w:p>
      <w:pPr>
        <w:keepNext/>
        <w:spacing w:before="120" w:after="60"/>
        <w:outlineLvl w:val="3"/>
        <w:rPr>
          <w:b/>
          <w:kern w:val="28"/>
        </w:rPr>
      </w:pPr>
      <w:r>
        <w:rPr>
          <w:b/>
          <w:kern w:val="28"/>
        </w:rPr>
        <w:t>6．法定代表人（负责人）委托授权书\身份证明</w:t>
      </w:r>
    </w:p>
    <w:p>
      <w:pPr>
        <w:rPr>
          <w:rFonts w:ascii="黑体" w:hAnsi="黑体" w:cstheme="minorHAnsi"/>
          <w:i/>
          <w:color w:val="7030A0"/>
        </w:rPr>
      </w:pPr>
      <w:r>
        <w:rPr>
          <w:rFonts w:ascii="黑体" w:hAnsi="黑体" w:cstheme="minorHAnsi"/>
          <w:i/>
          <w:color w:val="7030A0"/>
        </w:rPr>
        <w:t>说明：</w:t>
      </w:r>
      <w:r>
        <w:rPr>
          <w:rFonts w:hint="eastAsia" w:ascii="黑体" w:hAnsi="黑体" w:cstheme="minorHAnsi"/>
          <w:i/>
          <w:color w:val="7030A0"/>
        </w:rPr>
        <w:t>按下方给定格式进行填写</w:t>
      </w:r>
    </w:p>
    <w:p>
      <w:pPr>
        <w:ind w:firstLine="480" w:firstLineChars="200"/>
        <w:rPr>
          <w:rFonts w:ascii="Calibri" w:hAnsi="华文仿宋"/>
          <w:i/>
          <w:color w:val="7030A0"/>
        </w:rPr>
      </w:pPr>
      <w:r>
        <w:rPr>
          <w:rFonts w:hint="eastAsia" w:ascii="Calibri" w:hAnsi="华文仿宋"/>
          <w:i/>
          <w:color w:val="7030A0"/>
        </w:rPr>
        <w:t>（1）法定代表人（负责人）包括：①企业法人的法定代表人；②个人独资企业的投资人；③分支机构的负责人；④合伙企业的执行事务合伙人（委派代表）；⑤个体工商户业主；⑥农民专业合作社的法定代表人。</w:t>
      </w:r>
    </w:p>
    <w:p>
      <w:pPr>
        <w:ind w:firstLine="480" w:firstLineChars="200"/>
        <w:rPr>
          <w:rFonts w:ascii="黑体" w:hAnsi="黑体" w:cstheme="minorHAnsi"/>
          <w:b/>
          <w:i/>
        </w:rPr>
      </w:pPr>
      <w:r>
        <w:rPr>
          <w:rFonts w:ascii="Calibri" w:hAnsi="华文仿宋"/>
          <w:i/>
          <w:color w:val="7030A0"/>
        </w:rPr>
        <w:t>（</w:t>
      </w:r>
      <w:r>
        <w:rPr>
          <w:rFonts w:hint="eastAsia" w:ascii="Calibri" w:hAnsi="华文仿宋"/>
          <w:i/>
          <w:color w:val="7030A0"/>
        </w:rPr>
        <w:t>2</w:t>
      </w:r>
      <w:r>
        <w:rPr>
          <w:rFonts w:ascii="Calibri" w:hAnsi="华文仿宋"/>
          <w:i/>
          <w:color w:val="7030A0"/>
        </w:rPr>
        <w:t>）</w:t>
      </w:r>
      <w:r>
        <w:rPr>
          <w:rFonts w:hint="eastAsia" w:ascii="Calibri" w:hAnsi="华文仿宋"/>
          <w:i/>
          <w:color w:val="7030A0"/>
        </w:rPr>
        <w:t>委托授权书\</w:t>
      </w:r>
      <w:r>
        <w:rPr>
          <w:rFonts w:ascii="Calibri" w:hAnsi="华文仿宋"/>
          <w:i/>
          <w:color w:val="7030A0"/>
        </w:rPr>
        <w:t>身份证明</w:t>
      </w:r>
      <w:r>
        <w:rPr>
          <w:rFonts w:hint="eastAsia" w:ascii="Calibri" w:hAnsi="华文仿宋"/>
          <w:i/>
          <w:color w:val="7030A0"/>
        </w:rPr>
        <w:t>（</w:t>
      </w:r>
      <w:r>
        <w:rPr>
          <w:rFonts w:ascii="Calibri" w:hAnsi="华文仿宋"/>
          <w:i/>
          <w:color w:val="7030A0"/>
        </w:rPr>
        <w:t>二选一</w:t>
      </w:r>
      <w:r>
        <w:rPr>
          <w:rFonts w:hint="eastAsia" w:ascii="Calibri" w:hAnsi="华文仿宋"/>
          <w:i/>
          <w:color w:val="7030A0"/>
        </w:rPr>
        <w:t>）</w:t>
      </w:r>
      <w:r>
        <w:rPr>
          <w:rFonts w:ascii="Calibri" w:hAnsi="华文仿宋"/>
          <w:i/>
          <w:color w:val="7030A0"/>
        </w:rPr>
        <w:t>：</w:t>
      </w:r>
      <w:r>
        <w:rPr>
          <w:rFonts w:hint="eastAsia" w:ascii="Calibri" w:hAnsi="华文仿宋"/>
          <w:i/>
          <w:color w:val="7030A0"/>
        </w:rPr>
        <w:t>法定代表人（负责人）委托代理人参加投标时，仅须提供法定代表人（负责人）委托授权书；法定代表人（负责人）亲自参加投标时，仅须提供法定代表人（负责人）身份证明。</w:t>
      </w:r>
    </w:p>
    <w:p>
      <w:pPr>
        <w:spacing w:before="230" w:beforeLines="50"/>
        <w:jc w:val="center"/>
        <w:rPr>
          <w:rFonts w:cs="Calibri Light"/>
          <w:b/>
          <w:color w:val="1F4E79"/>
          <w:sz w:val="28"/>
        </w:rPr>
      </w:pPr>
      <w:r>
        <w:rPr>
          <w:rFonts w:cs="Calibri Light"/>
          <w:b/>
          <w:color w:val="1F4E79"/>
          <w:sz w:val="28"/>
        </w:rPr>
        <w:t>『法定代表人（负责人）身份证明』（格式）</w:t>
      </w:r>
    </w:p>
    <w:p>
      <w:r>
        <w:t>西安市市级单位政府采购中心</w:t>
      </w:r>
      <w:r>
        <w:rPr>
          <w:rFonts w:cstheme="minorHAnsi"/>
          <w:color w:val="000000"/>
        </w:rPr>
        <w:t>：</w:t>
      </w:r>
    </w:p>
    <w:p>
      <w:pPr>
        <w:spacing w:after="230" w:afterLines="50"/>
        <w:ind w:firstLine="480" w:firstLineChars="200"/>
      </w:pPr>
      <w:r>
        <w:rPr>
          <w:rFonts w:cstheme="minorHAnsi"/>
          <w:color w:val="C00000"/>
        </w:rPr>
        <w:t>［</w:t>
      </w:r>
      <w:r>
        <w:rPr>
          <w:rFonts w:cstheme="minorHAnsi"/>
          <w:color w:val="C00000"/>
          <w:u w:val="single"/>
        </w:rPr>
        <w:t>法定代表人（负责人）姓名</w:t>
      </w:r>
      <w:r>
        <w:rPr>
          <w:rFonts w:cstheme="minorHAnsi"/>
          <w:color w:val="C00000"/>
        </w:rPr>
        <w:t>］</w:t>
      </w:r>
      <w:r>
        <w:t>系</w:t>
      </w:r>
      <w:r>
        <w:rPr>
          <w:rFonts w:cstheme="minorHAnsi"/>
          <w:color w:val="C00000"/>
        </w:rPr>
        <w:t>［</w:t>
      </w:r>
      <w:r>
        <w:rPr>
          <w:rFonts w:cstheme="minorHAnsi"/>
          <w:color w:val="C00000"/>
          <w:u w:val="single"/>
        </w:rPr>
        <w:t>供应商全称</w:t>
      </w:r>
      <w:r>
        <w:rPr>
          <w:rFonts w:cstheme="minorHAnsi"/>
          <w:color w:val="C00000"/>
        </w:rPr>
        <w:t>］</w:t>
      </w:r>
      <w:r>
        <w:t>的法定代表人（负责人），特此证明。</w:t>
      </w:r>
    </w:p>
    <w:tbl>
      <w:tblPr>
        <w:tblStyle w:val="24"/>
        <w:tblW w:w="905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05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77" w:hRule="atLeast"/>
          <w:jc w:val="center"/>
        </w:trPr>
        <w:tc>
          <w:tcPr>
            <w:tcW w:w="9057" w:type="dxa"/>
            <w:vAlign w:val="center"/>
          </w:tcPr>
          <w:p>
            <w:pPr>
              <w:spacing w:after="690" w:afterLines="150"/>
              <w:ind w:firstLine="15" w:firstLineChars="3"/>
              <w:jc w:val="center"/>
              <w:rPr>
                <w:rFonts w:ascii="黑体" w:hAnsi="黑体" w:eastAsia="黑体" w:cstheme="minorHAnsi"/>
                <w:color w:val="A6A6A6" w:themeColor="background1" w:themeShade="A6"/>
              </w:rPr>
            </w:pPr>
            <w:r>
              <w:rPr>
                <w:rFonts w:ascii="黑体" w:hAnsi="黑体" w:eastAsia="黑体" w:cstheme="minorHAnsi"/>
                <w:color w:val="A6A6A6" w:themeColor="background1" w:themeShade="A6"/>
                <w:sz w:val="52"/>
              </w:rPr>
              <w:t>法定代表人（负责人）</w:t>
            </w:r>
          </w:p>
          <w:p>
            <w:pPr>
              <w:ind w:firstLine="7" w:firstLineChars="3"/>
              <w:jc w:val="center"/>
              <w:rPr>
                <w:rFonts w:cstheme="minorHAnsi"/>
                <w:color w:val="000000"/>
              </w:rPr>
            </w:pPr>
            <w:r>
              <w:rPr>
                <w:rFonts w:cstheme="minorHAnsi"/>
                <w:color w:val="000000"/>
              </w:rPr>
              <w:t>身份证正反面（扫描件）</w:t>
            </w:r>
          </w:p>
          <w:p>
            <w:pPr>
              <w:ind w:firstLine="7" w:firstLineChars="3"/>
              <w:jc w:val="center"/>
              <w:rPr>
                <w:rFonts w:cstheme="minorHAnsi"/>
                <w:color w:val="000000"/>
              </w:rPr>
            </w:pPr>
            <w:r>
              <w:rPr>
                <w:rFonts w:cstheme="minorHAnsi"/>
                <w:color w:val="000000"/>
              </w:rPr>
              <w:t>或护照资料页（扫描件）</w:t>
            </w:r>
          </w:p>
        </w:tc>
      </w:tr>
    </w:tbl>
    <w:p>
      <w:pPr>
        <w:ind w:firstLine="480" w:firstLineChars="200"/>
        <w:rPr>
          <w:rFonts w:eastAsiaTheme="majorEastAsia" w:cstheme="minorHAnsi"/>
          <w:color w:val="000000"/>
        </w:rPr>
      </w:pPr>
      <w:r>
        <w:rPr>
          <w:rFonts w:eastAsiaTheme="majorEastAsia" w:cstheme="minorHAnsi"/>
          <w:color w:val="000000"/>
        </w:rPr>
        <w:t>供应商：（</w:t>
      </w:r>
      <w:r>
        <w:rPr>
          <w:rFonts w:eastAsiaTheme="majorEastAsia" w:cstheme="minorHAnsi"/>
          <w:i/>
          <w:color w:val="7030A0"/>
        </w:rPr>
        <w:t>供应商全称并加盖公章</w:t>
      </w:r>
      <w:r>
        <w:rPr>
          <w:rFonts w:eastAsiaTheme="majorEastAsia" w:cstheme="minorHAnsi"/>
          <w:color w:val="000000"/>
        </w:rPr>
        <w:t>）</w:t>
      </w:r>
    </w:p>
    <w:p>
      <w:pPr>
        <w:ind w:firstLine="480" w:firstLineChars="200"/>
        <w:rPr>
          <w:rFonts w:eastAsiaTheme="majorEastAsia" w:cstheme="minorHAnsi"/>
          <w:color w:val="000000"/>
        </w:rPr>
      </w:pPr>
      <w:r>
        <w:rPr>
          <w:rFonts w:eastAsiaTheme="majorEastAsia" w:cstheme="minorHAnsi"/>
          <w:color w:val="000000"/>
        </w:rPr>
        <w:t>日期：　　　年　月　日</w:t>
      </w:r>
    </w:p>
    <w:p>
      <w:pPr>
        <w:ind w:firstLine="480" w:firstLineChars="200"/>
        <w:rPr>
          <w:rFonts w:ascii="黑体" w:hAnsi="黑体" w:cstheme="minorHAnsi"/>
        </w:rPr>
      </w:pPr>
      <w:r>
        <w:rPr>
          <w:rFonts w:ascii="黑体" w:hAnsi="黑体" w:cstheme="minorHAnsi"/>
        </w:rPr>
        <w:br w:type="page"/>
      </w:r>
    </w:p>
    <w:p>
      <w:pPr>
        <w:spacing w:before="230" w:beforeLines="50"/>
        <w:jc w:val="center"/>
        <w:rPr>
          <w:rFonts w:cs="Calibri Light"/>
          <w:b/>
          <w:color w:val="1F4E79"/>
          <w:sz w:val="28"/>
          <w:szCs w:val="36"/>
        </w:rPr>
      </w:pPr>
      <w:r>
        <w:rPr>
          <w:rFonts w:cs="Calibri Light"/>
          <w:b/>
          <w:color w:val="1F4E79"/>
          <w:sz w:val="28"/>
          <w:szCs w:val="36"/>
        </w:rPr>
        <w:t>『法定代表人（负责人）委托授权书』（格式）</w:t>
      </w:r>
    </w:p>
    <w:p>
      <w:pPr>
        <w:jc w:val="both"/>
        <w:rPr>
          <w:rFonts w:ascii="Calibri" w:hAnsi="Calibri" w:eastAsia="宋体" w:cstheme="minorHAnsi"/>
          <w:color w:val="000000"/>
          <w:kern w:val="24"/>
        </w:rPr>
      </w:pPr>
      <w:r>
        <w:rPr>
          <w:rFonts w:hint="eastAsia" w:ascii="Calibri" w:hAnsi="Calibri" w:eastAsia="宋体" w:cstheme="minorHAnsi"/>
          <w:kern w:val="24"/>
        </w:rPr>
        <w:t>西安市市级单位政府采购中心</w:t>
      </w:r>
      <w:r>
        <w:rPr>
          <w:rFonts w:ascii="Calibri" w:hAnsi="Calibri" w:eastAsia="宋体" w:cstheme="minorHAnsi"/>
          <w:color w:val="000000"/>
          <w:kern w:val="24"/>
        </w:rPr>
        <w:t>：</w:t>
      </w:r>
    </w:p>
    <w:p>
      <w:pPr>
        <w:ind w:firstLine="480" w:firstLineChars="200"/>
        <w:jc w:val="both"/>
        <w:rPr>
          <w:rFonts w:cstheme="minorHAnsi"/>
          <w:color w:val="000000"/>
          <w:kern w:val="24"/>
        </w:rPr>
      </w:pPr>
      <w:r>
        <w:rPr>
          <w:rFonts w:cstheme="minorHAnsi"/>
          <w:color w:val="000000"/>
          <w:kern w:val="24"/>
        </w:rPr>
        <w:t>现委托</w:t>
      </w:r>
      <w:r>
        <w:rPr>
          <w:rFonts w:cstheme="minorHAnsi"/>
          <w:color w:val="C00000"/>
          <w:kern w:val="24"/>
        </w:rPr>
        <w:t>［授权代表</w:t>
      </w:r>
      <w:r>
        <w:rPr>
          <w:rFonts w:cstheme="minorHAnsi"/>
          <w:color w:val="C00000"/>
          <w:kern w:val="24"/>
          <w:u w:val="single"/>
        </w:rPr>
        <w:t>姓名</w:t>
      </w:r>
      <w:r>
        <w:rPr>
          <w:rFonts w:cstheme="minorHAnsi"/>
          <w:color w:val="C00000"/>
          <w:kern w:val="24"/>
        </w:rPr>
        <w:t>］</w:t>
      </w:r>
      <w:r>
        <w:rPr>
          <w:rFonts w:cstheme="minorHAnsi"/>
          <w:color w:val="000000"/>
          <w:kern w:val="24"/>
        </w:rPr>
        <w:t>代表我方参加贵中心组织的</w:t>
      </w:r>
      <w:r>
        <w:rPr>
          <w:rFonts w:cstheme="minorHAnsi"/>
          <w:color w:val="C00000"/>
        </w:rPr>
        <w:t>［</w:t>
      </w:r>
      <w:r>
        <w:rPr>
          <w:rFonts w:cstheme="minorHAnsi"/>
          <w:color w:val="C00000"/>
          <w:u w:val="single"/>
        </w:rPr>
        <w:t>项目名称</w:t>
      </w:r>
      <w:r>
        <w:rPr>
          <w:rFonts w:cstheme="minorHAnsi"/>
          <w:color w:val="C00000"/>
        </w:rPr>
        <w:t>］</w:t>
      </w:r>
      <w:r>
        <w:rPr>
          <w:rFonts w:cstheme="minorHAnsi"/>
          <w:color w:val="000000"/>
          <w:kern w:val="24"/>
        </w:rPr>
        <w:t>（项目编号：</w:t>
      </w:r>
      <w:r>
        <w:rPr>
          <w:rFonts w:cstheme="minorHAnsi"/>
          <w:color w:val="C00000"/>
          <w:kern w:val="24"/>
        </w:rPr>
        <w:t>［项目编号］</w:t>
      </w:r>
      <w:r>
        <w:rPr>
          <w:rFonts w:cstheme="minorHAnsi"/>
          <w:color w:val="000000"/>
          <w:kern w:val="24"/>
        </w:rPr>
        <w:t>）</w:t>
      </w:r>
      <w:r>
        <w:rPr>
          <w:rFonts w:hint="eastAsia" w:cstheme="minorHAnsi"/>
          <w:color w:val="C00000"/>
        </w:rPr>
        <w:t>采购包</w:t>
      </w:r>
      <w:r>
        <w:rPr>
          <w:rFonts w:cstheme="minorHAnsi"/>
          <w:color w:val="C00000"/>
        </w:rPr>
        <w:t>［___］</w:t>
      </w:r>
      <w:r>
        <w:rPr>
          <w:rFonts w:cstheme="minorHAnsi"/>
        </w:rPr>
        <w:t>的</w:t>
      </w:r>
      <w:r>
        <w:rPr>
          <w:rFonts w:cstheme="minorHAnsi"/>
          <w:color w:val="000000"/>
          <w:kern w:val="24"/>
        </w:rPr>
        <w:t>政府采购活动，以我方名义签署、澄清、确认、递交、撤回、修改投标文件，签订合同和全权处理一切与之有关的事宜，其法律后果由我方承担。</w:t>
      </w:r>
    </w:p>
    <w:p>
      <w:pPr>
        <w:ind w:firstLine="480" w:firstLineChars="200"/>
        <w:jc w:val="both"/>
        <w:rPr>
          <w:rFonts w:ascii="Calibri" w:hAnsi="Calibri" w:eastAsia="宋体" w:cstheme="minorHAnsi"/>
          <w:color w:val="000000"/>
          <w:kern w:val="24"/>
        </w:rPr>
      </w:pPr>
      <w:r>
        <w:rPr>
          <w:rFonts w:cstheme="minorHAnsi"/>
          <w:color w:val="000000"/>
          <w:kern w:val="24"/>
        </w:rPr>
        <w:t>本授权有效期与投标文件有效期一致。授权代表无转委托权。</w:t>
      </w:r>
    </w:p>
    <w:p>
      <w:pPr>
        <w:tabs>
          <w:tab w:val="left" w:pos="5387"/>
        </w:tabs>
        <w:spacing w:before="230" w:beforeLines="50"/>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授权代表姓名：_________________________</w:t>
      </w:r>
      <w:r>
        <w:rPr>
          <w:rFonts w:ascii="Calibri" w:hAnsi="Calibri" w:eastAsia="宋体" w:cstheme="minorHAnsi"/>
          <w:color w:val="000000"/>
          <w:kern w:val="24"/>
        </w:rPr>
        <w:tab/>
      </w:r>
      <w:r>
        <w:rPr>
          <w:rFonts w:ascii="Calibri" w:hAnsi="Calibri" w:eastAsia="宋体" w:cstheme="minorHAnsi"/>
          <w:color w:val="000000"/>
          <w:kern w:val="24"/>
        </w:rPr>
        <w:t>联系电话：______________</w:t>
      </w:r>
    </w:p>
    <w:p>
      <w:pPr>
        <w:tabs>
          <w:tab w:val="left" w:pos="5387"/>
        </w:tabs>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身份证</w:t>
      </w:r>
      <w:r>
        <w:rPr>
          <w:rFonts w:hint="eastAsia" w:ascii="Calibri" w:hAnsi="Calibri" w:eastAsia="宋体" w:cstheme="minorHAnsi"/>
          <w:color w:val="000000"/>
          <w:kern w:val="24"/>
        </w:rPr>
        <w:t>（护照）</w:t>
      </w:r>
      <w:r>
        <w:rPr>
          <w:rFonts w:ascii="Calibri" w:hAnsi="Calibri" w:eastAsia="宋体" w:cstheme="minorHAnsi"/>
          <w:color w:val="000000"/>
          <w:kern w:val="24"/>
        </w:rPr>
        <w:t>号码：_________________</w:t>
      </w:r>
      <w:r>
        <w:rPr>
          <w:rFonts w:ascii="Calibri" w:hAnsi="Calibri" w:eastAsia="宋体" w:cstheme="minorHAnsi"/>
          <w:color w:val="000000"/>
          <w:kern w:val="24"/>
        </w:rPr>
        <w:tab/>
      </w:r>
      <w:r>
        <w:rPr>
          <w:rFonts w:ascii="Calibri" w:hAnsi="Calibri" w:eastAsia="宋体" w:cstheme="minorHAnsi"/>
          <w:color w:val="000000"/>
          <w:kern w:val="24"/>
        </w:rPr>
        <w:t>职务：__________________</w:t>
      </w:r>
    </w:p>
    <w:p>
      <w:pPr>
        <w:tabs>
          <w:tab w:val="left" w:pos="4395"/>
        </w:tabs>
        <w:spacing w:after="230" w:afterLines="50"/>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通讯地址：_______________________________________________________</w:t>
      </w:r>
    </w:p>
    <w:tbl>
      <w:tblPr>
        <w:tblStyle w:val="2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7"/>
        <w:gridCol w:w="236"/>
        <w:gridCol w:w="4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jc w:val="center"/>
        </w:trPr>
        <w:tc>
          <w:tcPr>
            <w:tcW w:w="4717" w:type="dxa"/>
            <w:tcBorders>
              <w:top w:val="single" w:color="auto" w:sz="12" w:space="0"/>
              <w:left w:val="single" w:color="auto" w:sz="12" w:space="0"/>
              <w:bottom w:val="dashSmallGap" w:color="auto" w:sz="4" w:space="0"/>
              <w:right w:val="single" w:color="auto" w:sz="12" w:space="0"/>
            </w:tcBorders>
            <w:vAlign w:val="bottom"/>
          </w:tcPr>
          <w:p>
            <w:pPr>
              <w:spacing w:after="690" w:afterLines="150"/>
              <w:ind w:firstLine="10" w:firstLineChars="3"/>
              <w:jc w:val="center"/>
              <w:rPr>
                <w:rFonts w:ascii="黑体" w:hAnsi="黑体" w:eastAsia="黑体" w:cstheme="minorHAnsi"/>
                <w:color w:val="A6A6A6" w:themeColor="background1" w:themeShade="A6"/>
                <w:sz w:val="12"/>
              </w:rPr>
            </w:pPr>
            <w:r>
              <w:rPr>
                <w:rFonts w:ascii="黑体" w:hAnsi="黑体" w:eastAsia="黑体" w:cstheme="minorHAnsi"/>
                <w:color w:val="A6A6A6" w:themeColor="background1" w:themeShade="A6"/>
                <w:sz w:val="36"/>
              </w:rPr>
              <w:t>法定代表人（负责人）</w:t>
            </w:r>
          </w:p>
          <w:p>
            <w:pPr>
              <w:ind w:firstLine="7" w:firstLineChars="3"/>
              <w:jc w:val="center"/>
              <w:rPr>
                <w:rFonts w:cstheme="minorHAnsi"/>
                <w:color w:val="000000"/>
              </w:rPr>
            </w:pPr>
            <w:r>
              <w:rPr>
                <w:rFonts w:cstheme="minorHAnsi"/>
                <w:color w:val="000000"/>
              </w:rPr>
              <w:t>身份证正反面（扫描件）</w:t>
            </w:r>
          </w:p>
        </w:tc>
        <w:tc>
          <w:tcPr>
            <w:tcW w:w="236" w:type="dxa"/>
            <w:tcBorders>
              <w:top w:val="nil"/>
              <w:left w:val="single" w:color="auto" w:sz="12" w:space="0"/>
              <w:bottom w:val="nil"/>
              <w:right w:val="single" w:color="auto" w:sz="12" w:space="0"/>
            </w:tcBorders>
          </w:tcPr>
          <w:p>
            <w:pPr>
              <w:jc w:val="center"/>
              <w:rPr>
                <w:rFonts w:cstheme="minorHAnsi"/>
                <w:color w:val="000000"/>
              </w:rPr>
            </w:pPr>
          </w:p>
        </w:tc>
        <w:tc>
          <w:tcPr>
            <w:tcW w:w="4686" w:type="dxa"/>
            <w:tcBorders>
              <w:top w:val="single" w:color="auto" w:sz="12" w:space="0"/>
              <w:left w:val="single" w:color="auto" w:sz="12" w:space="0"/>
              <w:bottom w:val="dashSmallGap" w:color="auto" w:sz="4" w:space="0"/>
              <w:right w:val="single" w:color="auto" w:sz="12" w:space="0"/>
            </w:tcBorders>
            <w:vAlign w:val="bottom"/>
          </w:tcPr>
          <w:p>
            <w:pPr>
              <w:spacing w:after="690" w:afterLines="150"/>
              <w:ind w:firstLine="10" w:firstLineChars="3"/>
              <w:jc w:val="center"/>
              <w:rPr>
                <w:rFonts w:ascii="黑体" w:hAnsi="黑体" w:eastAsia="黑体" w:cstheme="minorHAnsi"/>
                <w:color w:val="A6A6A6" w:themeColor="background1" w:themeShade="A6"/>
                <w:sz w:val="36"/>
                <w:szCs w:val="44"/>
              </w:rPr>
            </w:pPr>
            <w:r>
              <w:rPr>
                <w:rFonts w:ascii="黑体" w:hAnsi="黑体" w:eastAsia="黑体" w:cstheme="minorHAnsi"/>
                <w:color w:val="A6A6A6" w:themeColor="background1" w:themeShade="A6"/>
                <w:sz w:val="36"/>
                <w:szCs w:val="44"/>
              </w:rPr>
              <w:t>授权代表</w:t>
            </w:r>
          </w:p>
          <w:p>
            <w:pPr>
              <w:jc w:val="center"/>
              <w:rPr>
                <w:rFonts w:cstheme="minorHAnsi"/>
                <w:color w:val="000000"/>
              </w:rPr>
            </w:pPr>
            <w:r>
              <w:rPr>
                <w:rFonts w:cstheme="minorHAnsi"/>
                <w:color w:val="000000"/>
              </w:rPr>
              <w:t>身份证正反面（扫描件）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jc w:val="center"/>
        </w:trPr>
        <w:tc>
          <w:tcPr>
            <w:tcW w:w="4717" w:type="dxa"/>
            <w:tcBorders>
              <w:top w:val="dashSmallGap" w:color="auto" w:sz="4" w:space="0"/>
              <w:left w:val="single" w:color="auto" w:sz="12" w:space="0"/>
              <w:bottom w:val="single" w:color="auto" w:sz="12" w:space="0"/>
              <w:right w:val="single" w:color="auto" w:sz="12" w:space="0"/>
            </w:tcBorders>
          </w:tcPr>
          <w:p>
            <w:pPr>
              <w:jc w:val="center"/>
              <w:rPr>
                <w:rFonts w:cstheme="minorHAnsi"/>
                <w:color w:val="000000"/>
              </w:rPr>
            </w:pPr>
            <w:r>
              <w:rPr>
                <w:rFonts w:cstheme="minorHAnsi"/>
                <w:color w:val="000000"/>
              </w:rPr>
              <w:t>或护照资料页（扫描件）</w:t>
            </w:r>
          </w:p>
        </w:tc>
        <w:tc>
          <w:tcPr>
            <w:tcW w:w="236" w:type="dxa"/>
            <w:tcBorders>
              <w:top w:val="nil"/>
              <w:left w:val="single" w:color="auto" w:sz="12" w:space="0"/>
              <w:bottom w:val="nil"/>
              <w:right w:val="single" w:color="auto" w:sz="12" w:space="0"/>
            </w:tcBorders>
          </w:tcPr>
          <w:p>
            <w:pPr>
              <w:jc w:val="center"/>
              <w:rPr>
                <w:rFonts w:cstheme="minorHAnsi"/>
                <w:color w:val="000000"/>
              </w:rPr>
            </w:pPr>
          </w:p>
        </w:tc>
        <w:tc>
          <w:tcPr>
            <w:tcW w:w="4686" w:type="dxa"/>
            <w:tcBorders>
              <w:top w:val="dashSmallGap" w:color="auto" w:sz="4" w:space="0"/>
              <w:left w:val="single" w:color="auto" w:sz="12" w:space="0"/>
              <w:bottom w:val="single" w:color="auto" w:sz="12" w:space="0"/>
              <w:right w:val="single" w:color="auto" w:sz="12" w:space="0"/>
            </w:tcBorders>
          </w:tcPr>
          <w:p>
            <w:pPr>
              <w:jc w:val="center"/>
              <w:rPr>
                <w:rFonts w:cstheme="minorHAnsi"/>
                <w:color w:val="000000"/>
              </w:rPr>
            </w:pPr>
            <w:r>
              <w:rPr>
                <w:rFonts w:cstheme="minorHAnsi"/>
                <w:color w:val="000000"/>
              </w:rPr>
              <w:t>或护照资料页（扫描件）</w:t>
            </w:r>
          </w:p>
        </w:tc>
      </w:tr>
    </w:tbl>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法定代表人（负责人）：（</w:t>
      </w:r>
      <w:r>
        <w:rPr>
          <w:rFonts w:ascii="Calibri" w:hAnsi="Calibri" w:eastAsia="宋体" w:cstheme="minorHAnsi"/>
          <w:i/>
          <w:color w:val="7030A0"/>
          <w:kern w:val="24"/>
        </w:rPr>
        <w:t>签字或盖章</w:t>
      </w:r>
      <w:r>
        <w:rPr>
          <w:rFonts w:ascii="Calibri" w:hAnsi="Calibri" w:eastAsia="宋体" w:cstheme="minorHAnsi"/>
          <w:color w:val="000000"/>
          <w:kern w:val="24"/>
        </w:rPr>
        <w:t>）</w:t>
      </w:r>
    </w:p>
    <w:p>
      <w:pPr>
        <w:ind w:firstLine="480" w:firstLineChars="200"/>
        <w:jc w:val="both"/>
        <w:rPr>
          <w:rFonts w:ascii="Calibri" w:hAnsi="Calibri" w:eastAsiaTheme="majorEastAsia" w:cstheme="minorHAnsi"/>
          <w:color w:val="000000"/>
          <w:kern w:val="24"/>
        </w:rPr>
      </w:pPr>
      <w:r>
        <w:rPr>
          <w:rFonts w:hint="eastAsia" w:ascii="Calibri" w:hAnsi="Calibri" w:eastAsiaTheme="majorEastAsia" w:cstheme="minorHAnsi"/>
          <w:color w:val="000000"/>
          <w:kern w:val="24"/>
        </w:rPr>
        <w:t>供应商</w:t>
      </w:r>
      <w:r>
        <w:rPr>
          <w:rFonts w:ascii="Calibri" w:hAnsi="Calibri" w:eastAsiaTheme="majorEastAsia" w:cstheme="minorHAnsi"/>
          <w:color w:val="000000"/>
          <w:kern w:val="24"/>
        </w:rPr>
        <w:t>：（</w:t>
      </w:r>
      <w:r>
        <w:rPr>
          <w:rFonts w:hint="eastAsia" w:ascii="Calibri" w:hAnsi="Calibri" w:eastAsiaTheme="majorEastAsia" w:cstheme="minorHAnsi"/>
          <w:i/>
          <w:color w:val="7030A0"/>
          <w:kern w:val="24"/>
        </w:rPr>
        <w:t>供应商</w:t>
      </w:r>
      <w:r>
        <w:rPr>
          <w:rFonts w:ascii="Calibri" w:hAnsi="Calibri" w:eastAsiaTheme="majorEastAsia" w:cstheme="minorHAnsi"/>
          <w:i/>
          <w:color w:val="7030A0"/>
          <w:kern w:val="24"/>
        </w:rPr>
        <w:t>全称并加盖公章</w:t>
      </w:r>
      <w:r>
        <w:rPr>
          <w:rFonts w:ascii="Calibri" w:hAnsi="Calibri" w:eastAsiaTheme="majorEastAsia" w:cstheme="minorHAnsi"/>
          <w:color w:val="000000"/>
          <w:kern w:val="24"/>
        </w:rPr>
        <w:t>）</w:t>
      </w:r>
    </w:p>
    <w:p>
      <w:pPr>
        <w:ind w:firstLine="480" w:firstLineChars="200"/>
        <w:jc w:val="both"/>
        <w:rPr>
          <w:rFonts w:ascii="Calibri" w:hAnsi="Calibri" w:eastAsia="宋体" w:cstheme="minorHAnsi"/>
          <w:color w:val="000000"/>
          <w:kern w:val="24"/>
        </w:rPr>
      </w:pPr>
      <w:r>
        <w:rPr>
          <w:rFonts w:ascii="Calibri" w:hAnsi="Calibri" w:eastAsiaTheme="majorEastAsia" w:cstheme="minorHAnsi"/>
          <w:color w:val="000000"/>
          <w:kern w:val="24"/>
        </w:rPr>
        <w:t>授权日期：</w:t>
      </w:r>
      <w:r>
        <w:rPr>
          <w:rFonts w:ascii="Calibri" w:hAnsi="Calibri" w:eastAsia="宋体" w:cstheme="minorHAnsi"/>
          <w:color w:val="000000"/>
          <w:kern w:val="24"/>
        </w:rPr>
        <w:t>　　　年　月　日</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br w:type="page"/>
      </w:r>
    </w:p>
    <w:p>
      <w:pPr>
        <w:keepNext/>
        <w:spacing w:before="120" w:after="60"/>
        <w:jc w:val="both"/>
        <w:outlineLvl w:val="2"/>
        <w:rPr>
          <w:rFonts w:ascii="Calibri" w:hAnsi="Calibri" w:eastAsia="黑体"/>
          <w:kern w:val="28"/>
          <w:sz w:val="28"/>
        </w:rPr>
      </w:pPr>
      <w:r>
        <w:rPr>
          <w:rFonts w:ascii="Calibri" w:hAnsi="Calibri" w:eastAsia="黑体"/>
          <w:kern w:val="28"/>
          <w:sz w:val="28"/>
        </w:rPr>
        <w:t>（</w:t>
      </w:r>
      <w:r>
        <w:rPr>
          <w:rFonts w:hint="eastAsia" w:ascii="Calibri" w:hAnsi="Calibri" w:eastAsia="黑体"/>
          <w:kern w:val="28"/>
          <w:sz w:val="28"/>
        </w:rPr>
        <w:t>二</w:t>
      </w:r>
      <w:r>
        <w:rPr>
          <w:rFonts w:ascii="Calibri" w:hAnsi="Calibri" w:eastAsia="黑体"/>
          <w:kern w:val="28"/>
          <w:sz w:val="28"/>
        </w:rPr>
        <w:t>）</w:t>
      </w:r>
      <w:r>
        <w:rPr>
          <w:rFonts w:hint="eastAsia" w:ascii="Calibri" w:hAnsi="Calibri" w:eastAsia="黑体"/>
          <w:kern w:val="28"/>
          <w:sz w:val="28"/>
        </w:rPr>
        <w:t>落实政府采购政策需要满足的资格条件</w:t>
      </w:r>
    </w:p>
    <w:p>
      <w:pPr>
        <w:spacing w:line="440" w:lineRule="exact"/>
        <w:ind w:firstLine="480" w:firstLineChars="200"/>
        <w:jc w:val="both"/>
        <w:rPr>
          <w:rFonts w:cstheme="minorHAnsi"/>
          <w:color w:val="000000"/>
        </w:rPr>
      </w:pPr>
      <w:r>
        <w:t>无</w:t>
      </w:r>
    </w:p>
    <w:p>
      <w:pPr>
        <w:rPr>
          <w:rFonts w:cstheme="minorHAnsi"/>
          <w:color w:val="000000"/>
        </w:rPr>
      </w:pPr>
      <w:r>
        <w:rPr>
          <w:rFonts w:cstheme="minorHAnsi"/>
          <w:color w:val="000000"/>
        </w:rPr>
        <w:br w:type="page"/>
      </w:r>
    </w:p>
    <w:p>
      <w:pPr>
        <w:keepNext/>
        <w:spacing w:before="120" w:after="60"/>
        <w:outlineLvl w:val="2"/>
        <w:rPr>
          <w:rFonts w:ascii="黑体" w:hAnsi="黑体" w:eastAsia="黑体"/>
          <w:kern w:val="28"/>
          <w:sz w:val="28"/>
          <w:szCs w:val="28"/>
        </w:rPr>
      </w:pPr>
      <w:r>
        <w:rPr>
          <w:rFonts w:ascii="黑体" w:hAnsi="黑体" w:eastAsia="黑体"/>
          <w:kern w:val="28"/>
          <w:sz w:val="28"/>
          <w:szCs w:val="28"/>
        </w:rPr>
        <w:t>（</w:t>
      </w:r>
      <w:r>
        <w:rPr>
          <w:rFonts w:hint="eastAsia" w:ascii="黑体" w:hAnsi="黑体" w:eastAsia="黑体"/>
          <w:kern w:val="28"/>
          <w:sz w:val="28"/>
          <w:szCs w:val="28"/>
        </w:rPr>
        <w:t>三</w:t>
      </w:r>
      <w:r>
        <w:rPr>
          <w:rFonts w:ascii="黑体" w:hAnsi="黑体" w:eastAsia="黑体"/>
          <w:kern w:val="28"/>
          <w:sz w:val="28"/>
          <w:szCs w:val="28"/>
        </w:rPr>
        <w:t>）特定资格条件（如有）</w:t>
      </w:r>
    </w:p>
    <w:p>
      <w:pPr>
        <w:spacing w:line="440" w:lineRule="exact"/>
        <w:ind w:firstLine="480" w:firstLineChars="200"/>
        <w:jc w:val="both"/>
        <w:rPr>
          <w:rFonts w:cstheme="minorHAnsi"/>
          <w:color w:val="000000"/>
        </w:rPr>
      </w:pPr>
    </w:p>
    <w:p>
      <w:pPr>
        <w:jc w:val="both"/>
        <w:rPr>
          <w:rFonts w:ascii="Calibri" w:hAnsi="Calibri" w:eastAsia="黑体"/>
          <w:kern w:val="28"/>
          <w:sz w:val="28"/>
        </w:rPr>
      </w:pPr>
    </w:p>
    <w:p>
      <w:pPr>
        <w:jc w:val="both"/>
        <w:rPr>
          <w:rFonts w:ascii="Calibri" w:hAnsi="Calibri" w:eastAsia="黑体"/>
          <w:kern w:val="28"/>
          <w:sz w:val="28"/>
        </w:rPr>
        <w:sectPr>
          <w:footerReference r:id="rId25" w:type="default"/>
          <w:footerReference r:id="rId26" w:type="even"/>
          <w:pgSz w:w="11906" w:h="16838"/>
          <w:pgMar w:top="1418" w:right="1418" w:bottom="1418" w:left="1418" w:header="851" w:footer="992" w:gutter="0"/>
          <w:cols w:space="425" w:num="1"/>
          <w:docGrid w:type="linesAndChars" w:linePitch="460" w:charSpace="0"/>
        </w:sectPr>
      </w:pPr>
    </w:p>
    <w:p>
      <w:pPr>
        <w:keepNext/>
        <w:spacing w:before="230" w:beforeLines="50" w:after="230" w:afterLines="50"/>
        <w:jc w:val="center"/>
        <w:outlineLvl w:val="1"/>
        <w:rPr>
          <w:rFonts w:ascii="Calibri" w:hAnsi="Calibri" w:eastAsia="黑体" w:cstheme="majorBidi"/>
          <w:sz w:val="32"/>
        </w:rPr>
      </w:pPr>
      <w:r>
        <w:rPr>
          <w:rFonts w:ascii="Calibri" w:hAnsi="Calibri" w:eastAsia="黑体" w:cstheme="majorBidi"/>
          <w:sz w:val="32"/>
        </w:rPr>
        <w:t>第四部分</w:t>
      </w:r>
      <w:r>
        <w:rPr>
          <w:rFonts w:hint="eastAsia" w:ascii="Calibri" w:hAnsi="Calibri" w:eastAsia="黑体" w:cstheme="majorBidi"/>
          <w:sz w:val="32"/>
        </w:rPr>
        <w:t>　实质性条款</w:t>
      </w:r>
      <w:r>
        <w:rPr>
          <w:rFonts w:ascii="Calibri" w:hAnsi="Calibri" w:eastAsia="黑体" w:cstheme="majorBidi"/>
          <w:sz w:val="32"/>
        </w:rPr>
        <w:t>响应</w:t>
      </w:r>
    </w:p>
    <w:p>
      <w:pPr>
        <w:ind w:firstLine="480" w:firstLineChars="200"/>
        <w:jc w:val="both"/>
        <w:rPr>
          <w:rFonts w:ascii="Calibri" w:hAnsi="Calibri" w:eastAsia="宋体" w:cstheme="minorHAnsi"/>
          <w:i/>
          <w:color w:val="7030A0"/>
          <w:kern w:val="24"/>
        </w:rPr>
      </w:pPr>
      <w:r>
        <w:rPr>
          <w:rFonts w:ascii="Calibri" w:hAnsi="Calibri" w:eastAsia="宋体" w:cstheme="minorHAnsi"/>
          <w:i/>
          <w:color w:val="7030A0"/>
          <w:kern w:val="24"/>
        </w:rPr>
        <w:t>说明：对第三章“招标内容及要求”中</w:t>
      </w:r>
      <w:r>
        <w:rPr>
          <w:rFonts w:ascii="Calibri" w:hAnsi="Calibri" w:eastAsia="宋体" w:cstheme="minorHAnsi"/>
          <w:i/>
          <w:color w:val="C00000"/>
          <w:kern w:val="24"/>
          <w:u w:val="single"/>
        </w:rPr>
        <w:t>标注“</w:t>
      </w:r>
      <w:r>
        <w:rPr>
          <w:rFonts w:ascii="Segoe UI Symbol" w:hAnsi="Segoe UI Symbol" w:eastAsia="宋体" w:cs="Segoe UI Symbol"/>
          <w:i/>
          <w:color w:val="C00000"/>
          <w:kern w:val="24"/>
          <w:u w:val="single"/>
        </w:rPr>
        <w:t>★</w:t>
      </w:r>
      <w:r>
        <w:rPr>
          <w:rFonts w:ascii="Calibri" w:hAnsi="Calibri" w:eastAsia="宋体" w:cs="Calibri"/>
          <w:i/>
          <w:color w:val="C00000"/>
          <w:kern w:val="24"/>
          <w:u w:val="single"/>
        </w:rPr>
        <w:t>”</w:t>
      </w:r>
      <w:r>
        <w:rPr>
          <w:rFonts w:ascii="Calibri" w:hAnsi="Calibri" w:eastAsia="宋体" w:cstheme="minorHAnsi"/>
          <w:i/>
          <w:color w:val="C00000"/>
          <w:kern w:val="24"/>
          <w:u w:val="single"/>
        </w:rPr>
        <w:t>的各项实质性条款</w:t>
      </w:r>
      <w:r>
        <w:rPr>
          <w:rFonts w:ascii="Calibri" w:hAnsi="Calibri" w:eastAsia="宋体" w:cstheme="minorHAnsi"/>
          <w:i/>
          <w:color w:val="7030A0"/>
          <w:kern w:val="24"/>
        </w:rPr>
        <w:t>作出响应，若招标文件未设置实质性条款，则请忽略此表。</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3"/>
        <w:gridCol w:w="3283"/>
        <w:gridCol w:w="3276"/>
        <w:gridCol w:w="1458"/>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853" w:type="dxa"/>
            <w:vMerge w:val="restart"/>
            <w:shd w:val="clear" w:color="auto" w:fill="F1F1F1" w:themeFill="background1" w:themeFillShade="F2"/>
            <w:vAlign w:val="center"/>
          </w:tcPr>
          <w:p>
            <w:pPr>
              <w:spacing w:line="320" w:lineRule="exact"/>
              <w:jc w:val="center"/>
              <w:rPr>
                <w:rFonts w:ascii="Calibri" w:hAnsi="宋体" w:eastAsia="宋体" w:cstheme="minorHAnsi"/>
                <w:b/>
                <w:sz w:val="21"/>
              </w:rPr>
            </w:pPr>
            <w:r>
              <w:rPr>
                <w:rFonts w:ascii="Calibri" w:hAnsi="宋体" w:eastAsia="宋体" w:cstheme="minorHAnsi"/>
                <w:b/>
                <w:sz w:val="21"/>
              </w:rPr>
              <w:t>序号</w:t>
            </w:r>
          </w:p>
        </w:tc>
        <w:tc>
          <w:tcPr>
            <w:tcW w:w="3283" w:type="dxa"/>
            <w:shd w:val="clear" w:color="auto" w:fill="F1F1F1" w:themeFill="background1" w:themeFillShade="F2"/>
            <w:vAlign w:val="center"/>
          </w:tcPr>
          <w:p>
            <w:pPr>
              <w:spacing w:line="320" w:lineRule="exact"/>
              <w:jc w:val="center"/>
              <w:rPr>
                <w:rFonts w:ascii="Calibri" w:hAnsi="宋体" w:eastAsia="宋体" w:cstheme="minorHAnsi"/>
                <w:b/>
                <w:sz w:val="21"/>
              </w:rPr>
            </w:pPr>
            <w:r>
              <w:rPr>
                <w:rFonts w:ascii="Calibri" w:hAnsi="宋体" w:eastAsia="宋体" w:cstheme="minorHAnsi"/>
                <w:b/>
                <w:sz w:val="21"/>
              </w:rPr>
              <w:t>招标文件</w:t>
            </w:r>
          </w:p>
        </w:tc>
        <w:tc>
          <w:tcPr>
            <w:tcW w:w="3276" w:type="dxa"/>
            <w:shd w:val="clear" w:color="auto" w:fill="F1F1F1" w:themeFill="background1" w:themeFillShade="F2"/>
            <w:vAlign w:val="center"/>
          </w:tcPr>
          <w:p>
            <w:pPr>
              <w:spacing w:line="320" w:lineRule="exact"/>
              <w:jc w:val="center"/>
              <w:rPr>
                <w:rFonts w:ascii="Calibri" w:hAnsi="宋体" w:eastAsia="宋体" w:cstheme="minorHAnsi"/>
                <w:b/>
                <w:sz w:val="21"/>
              </w:rPr>
            </w:pPr>
            <w:r>
              <w:rPr>
                <w:rFonts w:ascii="Calibri" w:hAnsi="宋体" w:eastAsia="宋体" w:cstheme="minorHAnsi"/>
                <w:b/>
                <w:sz w:val="21"/>
              </w:rPr>
              <w:t>投标文件</w:t>
            </w:r>
          </w:p>
        </w:tc>
        <w:tc>
          <w:tcPr>
            <w:tcW w:w="1458" w:type="dxa"/>
            <w:vMerge w:val="restart"/>
            <w:shd w:val="clear" w:color="auto" w:fill="F1F1F1" w:themeFill="background1" w:themeFillShade="F2"/>
            <w:vAlign w:val="center"/>
          </w:tcPr>
          <w:p>
            <w:pPr>
              <w:spacing w:line="320" w:lineRule="exact"/>
              <w:jc w:val="center"/>
              <w:rPr>
                <w:rFonts w:ascii="Calibri" w:hAnsi="宋体" w:eastAsia="宋体" w:cstheme="minorHAnsi"/>
                <w:b/>
                <w:sz w:val="21"/>
              </w:rPr>
            </w:pPr>
            <w:r>
              <w:rPr>
                <w:rFonts w:ascii="Calibri" w:hAnsi="宋体" w:eastAsia="宋体" w:cstheme="minorHAnsi"/>
                <w:b/>
                <w:sz w:val="21"/>
              </w:rPr>
              <w:t>响</w:t>
            </w:r>
            <w:r>
              <w:rPr>
                <w:rFonts w:ascii="Calibri" w:hAnsi="宋体" w:eastAsia="宋体" w:cstheme="minorHAnsi"/>
                <w:b/>
                <w:w w:val="1"/>
                <w:sz w:val="21"/>
              </w:rPr>
              <w:t xml:space="preserve"> </w:t>
            </w:r>
            <w:r>
              <w:rPr>
                <w:rFonts w:ascii="Calibri" w:hAnsi="宋体" w:eastAsia="宋体" w:cstheme="minorHAnsi"/>
                <w:b/>
                <w:sz w:val="21"/>
              </w:rPr>
              <w:t>应说明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53" w:type="dxa"/>
            <w:vMerge w:val="continue"/>
            <w:shd w:val="clear" w:color="auto" w:fill="F1F1F1" w:themeFill="background1" w:themeFillShade="F2"/>
            <w:vAlign w:val="center"/>
          </w:tcPr>
          <w:p>
            <w:pPr>
              <w:spacing w:line="320" w:lineRule="exact"/>
              <w:jc w:val="center"/>
              <w:rPr>
                <w:rFonts w:ascii="Calibri" w:hAnsi="宋体" w:eastAsia="宋体" w:cstheme="minorHAnsi"/>
                <w:b/>
                <w:sz w:val="21"/>
              </w:rPr>
            </w:pPr>
          </w:p>
        </w:tc>
        <w:tc>
          <w:tcPr>
            <w:tcW w:w="3283" w:type="dxa"/>
            <w:shd w:val="clear" w:color="auto" w:fill="F1F1F1" w:themeFill="background1" w:themeFillShade="F2"/>
            <w:vAlign w:val="center"/>
          </w:tcPr>
          <w:p>
            <w:pPr>
              <w:spacing w:line="320" w:lineRule="exact"/>
              <w:jc w:val="center"/>
              <w:rPr>
                <w:rFonts w:ascii="Calibri" w:hAnsi="宋体" w:eastAsia="宋体" w:cstheme="minorHAnsi"/>
                <w:b/>
                <w:sz w:val="21"/>
              </w:rPr>
            </w:pPr>
            <w:r>
              <w:rPr>
                <w:rFonts w:ascii="Calibri" w:hAnsi="宋体" w:eastAsia="宋体" w:cstheme="minorHAnsi"/>
                <w:b/>
                <w:sz w:val="21"/>
              </w:rPr>
              <w:t>实质性条款</w:t>
            </w:r>
          </w:p>
        </w:tc>
        <w:tc>
          <w:tcPr>
            <w:tcW w:w="3276" w:type="dxa"/>
            <w:shd w:val="clear" w:color="auto" w:fill="F1F1F1" w:themeFill="background1" w:themeFillShade="F2"/>
            <w:vAlign w:val="center"/>
          </w:tcPr>
          <w:p>
            <w:pPr>
              <w:spacing w:line="320" w:lineRule="exact"/>
              <w:jc w:val="center"/>
              <w:rPr>
                <w:rFonts w:ascii="Calibri" w:hAnsi="宋体" w:eastAsia="宋体" w:cstheme="minorHAnsi"/>
                <w:b/>
                <w:sz w:val="21"/>
              </w:rPr>
            </w:pPr>
            <w:r>
              <w:rPr>
                <w:rFonts w:ascii="Calibri" w:hAnsi="宋体" w:eastAsia="宋体" w:cstheme="minorHAnsi"/>
                <w:b/>
                <w:sz w:val="21"/>
              </w:rPr>
              <w:t>响</w:t>
            </w:r>
            <w:r>
              <w:rPr>
                <w:rFonts w:hint="eastAsia" w:ascii="Calibri" w:hAnsi="宋体" w:eastAsia="宋体" w:cstheme="minorHAnsi"/>
                <w:b/>
                <w:w w:val="1"/>
                <w:sz w:val="21"/>
              </w:rPr>
              <w:t xml:space="preserve"> </w:t>
            </w:r>
            <w:r>
              <w:rPr>
                <w:rFonts w:ascii="Calibri" w:hAnsi="宋体" w:eastAsia="宋体" w:cstheme="minorHAnsi"/>
                <w:b/>
                <w:sz w:val="21"/>
              </w:rPr>
              <w:t>应内容或索引</w:t>
            </w:r>
          </w:p>
        </w:tc>
        <w:tc>
          <w:tcPr>
            <w:tcW w:w="1458" w:type="dxa"/>
            <w:vMerge w:val="continue"/>
            <w:shd w:val="clear" w:color="auto" w:fill="F1F1F1" w:themeFill="background1" w:themeFillShade="F2"/>
            <w:vAlign w:val="center"/>
          </w:tcPr>
          <w:p>
            <w:pPr>
              <w:spacing w:line="320" w:lineRule="exact"/>
              <w:jc w:val="center"/>
              <w:rPr>
                <w:rFonts w:ascii="Calibri" w:hAnsi="宋体" w:eastAsia="宋体" w:cstheme="minorHAnsi"/>
                <w:b/>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r>
              <w:rPr>
                <w:rFonts w:eastAsia="宋体" w:asciiTheme="majorHAnsi" w:hAnsiTheme="majorHAnsi" w:cstheme="minorHAnsi"/>
                <w:sz w:val="21"/>
              </w:rPr>
              <w:t>示例：</w:t>
            </w:r>
          </w:p>
        </w:tc>
        <w:tc>
          <w:tcPr>
            <w:tcW w:w="3283" w:type="dxa"/>
            <w:shd w:val="clear" w:color="auto" w:fill="auto"/>
            <w:vAlign w:val="center"/>
          </w:tcPr>
          <w:p>
            <w:pPr>
              <w:spacing w:line="320" w:lineRule="exact"/>
              <w:rPr>
                <w:rFonts w:eastAsia="宋体" w:asciiTheme="majorHAnsi" w:hAnsiTheme="majorHAnsi" w:cstheme="minorHAnsi"/>
                <w:sz w:val="21"/>
              </w:rPr>
            </w:pPr>
            <w:r>
              <w:rPr>
                <w:rFonts w:eastAsia="宋体" w:asciiTheme="majorHAnsi" w:hAnsiTheme="majorHAnsi" w:cstheme="minorHAnsi"/>
                <w:sz w:val="21"/>
              </w:rPr>
              <w:t>某单位购买扫描设备</w:t>
            </w: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r>
              <w:rPr>
                <w:rFonts w:hint="eastAsia" w:eastAsia="宋体" w:asciiTheme="majorHAnsi" w:hAnsiTheme="majorHAnsi" w:cstheme="minorHAnsi"/>
                <w:sz w:val="21"/>
              </w:rPr>
              <w:t>1</w:t>
            </w:r>
          </w:p>
        </w:tc>
        <w:tc>
          <w:tcPr>
            <w:tcW w:w="3283" w:type="dxa"/>
            <w:shd w:val="clear" w:color="auto" w:fill="auto"/>
            <w:vAlign w:val="center"/>
          </w:tcPr>
          <w:p>
            <w:pPr>
              <w:spacing w:line="320" w:lineRule="exact"/>
              <w:rPr>
                <w:rFonts w:eastAsia="宋体" w:asciiTheme="majorHAnsi" w:hAnsiTheme="majorHAnsi" w:cstheme="minorHAnsi"/>
                <w:sz w:val="21"/>
              </w:rPr>
            </w:pPr>
            <w:r>
              <w:rPr>
                <w:rFonts w:ascii="Segoe UI Symbol" w:hAnsi="Segoe UI Symbol" w:eastAsia="宋体" w:cs="Segoe UI Symbol"/>
                <w:sz w:val="21"/>
              </w:rPr>
              <w:t>★</w:t>
            </w:r>
            <w:r>
              <w:rPr>
                <w:rFonts w:eastAsia="宋体" w:asciiTheme="majorHAnsi" w:hAnsiTheme="majorHAnsi" w:cstheme="minorHAnsi"/>
                <w:sz w:val="21"/>
              </w:rPr>
              <w:t>平均无故障时间：≥500小时</w:t>
            </w:r>
          </w:p>
        </w:tc>
        <w:tc>
          <w:tcPr>
            <w:tcW w:w="3276" w:type="dxa"/>
            <w:shd w:val="clear" w:color="auto" w:fill="auto"/>
            <w:vAlign w:val="center"/>
          </w:tcPr>
          <w:p>
            <w:pPr>
              <w:spacing w:line="320" w:lineRule="exact"/>
              <w:rPr>
                <w:rFonts w:eastAsia="宋体" w:asciiTheme="majorHAnsi" w:hAnsiTheme="majorHAnsi" w:cstheme="minorHAnsi"/>
                <w:sz w:val="21"/>
              </w:rPr>
            </w:pPr>
            <w:r>
              <w:rPr>
                <w:rFonts w:eastAsia="宋体" w:asciiTheme="majorHAnsi" w:hAnsiTheme="majorHAnsi" w:cstheme="minorHAnsi"/>
                <w:sz w:val="21"/>
              </w:rPr>
              <w:t>平均无故障时间：</w:t>
            </w:r>
            <w:r>
              <w:rPr>
                <w:rFonts w:hint="eastAsia" w:eastAsia="宋体" w:asciiTheme="majorHAnsi" w:hAnsiTheme="majorHAnsi" w:cstheme="minorHAnsi"/>
                <w:sz w:val="21"/>
              </w:rPr>
              <w:t>600小时</w:t>
            </w:r>
          </w:p>
        </w:tc>
        <w:tc>
          <w:tcPr>
            <w:tcW w:w="1458" w:type="dxa"/>
            <w:shd w:val="clear" w:color="auto" w:fill="auto"/>
            <w:vAlign w:val="center"/>
          </w:tcPr>
          <w:p>
            <w:pPr>
              <w:spacing w:line="320" w:lineRule="exact"/>
              <w:jc w:val="center"/>
              <w:rPr>
                <w:rFonts w:eastAsia="宋体" w:asciiTheme="majorHAnsi" w:hAnsiTheme="majorHAnsi" w:cstheme="minorHAnsi"/>
                <w:sz w:val="21"/>
              </w:rPr>
            </w:pPr>
            <w:r>
              <w:rPr>
                <w:rFonts w:eastAsia="宋体" w:asciiTheme="majorHAnsi" w:hAnsiTheme="majorHAnsi" w:cstheme="minorHAnsi"/>
                <w:sz w:val="21"/>
              </w:rPr>
              <w:t>优于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r>
              <w:rPr>
                <w:rFonts w:hint="eastAsia" w:eastAsia="宋体" w:asciiTheme="majorHAnsi" w:hAnsiTheme="majorHAnsi" w:cstheme="minorHAnsi"/>
                <w:sz w:val="21"/>
              </w:rPr>
              <w:t>2</w:t>
            </w:r>
          </w:p>
        </w:tc>
        <w:tc>
          <w:tcPr>
            <w:tcW w:w="3283" w:type="dxa"/>
            <w:shd w:val="clear" w:color="auto" w:fill="auto"/>
            <w:vAlign w:val="center"/>
          </w:tcPr>
          <w:p>
            <w:pPr>
              <w:spacing w:line="320" w:lineRule="exact"/>
              <w:rPr>
                <w:rFonts w:eastAsia="宋体" w:asciiTheme="majorHAnsi" w:hAnsiTheme="majorHAnsi" w:cstheme="minorHAnsi"/>
                <w:sz w:val="21"/>
              </w:rPr>
            </w:pPr>
            <w:r>
              <w:rPr>
                <w:rFonts w:ascii="Segoe UI Symbol" w:hAnsi="Segoe UI Symbol" w:eastAsia="宋体" w:cs="Segoe UI Symbol"/>
                <w:sz w:val="21"/>
              </w:rPr>
              <w:t>★</w:t>
            </w:r>
            <w:r>
              <w:rPr>
                <w:rFonts w:eastAsia="宋体" w:asciiTheme="majorHAnsi" w:hAnsiTheme="majorHAnsi" w:cstheme="minorHAnsi"/>
                <w:sz w:val="21"/>
              </w:rPr>
              <w:t>扫描速度：每分钟</w:t>
            </w:r>
            <w:r>
              <w:rPr>
                <w:rFonts w:hint="eastAsia" w:eastAsia="宋体" w:asciiTheme="majorHAnsi" w:hAnsiTheme="majorHAnsi" w:cstheme="minorHAnsi"/>
                <w:sz w:val="21"/>
              </w:rPr>
              <w:t>25页以上</w:t>
            </w:r>
          </w:p>
        </w:tc>
        <w:tc>
          <w:tcPr>
            <w:tcW w:w="3276" w:type="dxa"/>
            <w:shd w:val="clear" w:color="auto" w:fill="auto"/>
            <w:vAlign w:val="center"/>
          </w:tcPr>
          <w:p>
            <w:pPr>
              <w:spacing w:line="320" w:lineRule="exact"/>
              <w:rPr>
                <w:rFonts w:eastAsia="宋体" w:asciiTheme="majorHAnsi" w:hAnsiTheme="majorHAnsi" w:cstheme="minorHAnsi"/>
                <w:sz w:val="21"/>
              </w:rPr>
            </w:pPr>
            <w:r>
              <w:rPr>
                <w:rFonts w:eastAsia="宋体" w:asciiTheme="majorHAnsi" w:hAnsiTheme="majorHAnsi" w:cstheme="minorHAnsi"/>
                <w:sz w:val="21"/>
              </w:rPr>
              <w:t>扫描速度：每分钟</w:t>
            </w:r>
            <w:r>
              <w:rPr>
                <w:rFonts w:hint="eastAsia" w:eastAsia="宋体" w:asciiTheme="majorHAnsi" w:hAnsiTheme="majorHAnsi" w:cstheme="minorHAnsi"/>
                <w:sz w:val="21"/>
              </w:rPr>
              <w:t>25页</w:t>
            </w:r>
          </w:p>
        </w:tc>
        <w:tc>
          <w:tcPr>
            <w:tcW w:w="1458" w:type="dxa"/>
            <w:shd w:val="clear" w:color="auto" w:fill="auto"/>
            <w:vAlign w:val="center"/>
          </w:tcPr>
          <w:p>
            <w:pPr>
              <w:spacing w:line="320" w:lineRule="exact"/>
              <w:jc w:val="center"/>
              <w:rPr>
                <w:rFonts w:eastAsia="宋体" w:asciiTheme="majorHAnsi" w:hAnsiTheme="majorHAnsi" w:cstheme="minorHAnsi"/>
                <w:sz w:val="21"/>
              </w:rPr>
            </w:pPr>
            <w:r>
              <w:rPr>
                <w:rFonts w:eastAsia="宋体" w:asciiTheme="majorHAnsi" w:hAnsiTheme="majorHAnsi" w:cstheme="minorHAnsi"/>
                <w:sz w:val="21"/>
              </w:rPr>
              <w:t>符合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r>
              <w:rPr>
                <w:rFonts w:hint="eastAsia" w:eastAsia="宋体" w:asciiTheme="majorHAnsi" w:hAnsiTheme="majorHAnsi" w:cstheme="minorHAnsi"/>
                <w:sz w:val="21"/>
              </w:rPr>
              <w:t>3</w:t>
            </w:r>
          </w:p>
        </w:tc>
        <w:tc>
          <w:tcPr>
            <w:tcW w:w="3283" w:type="dxa"/>
            <w:shd w:val="clear" w:color="auto" w:fill="auto"/>
            <w:vAlign w:val="center"/>
          </w:tcPr>
          <w:p>
            <w:pPr>
              <w:spacing w:line="320" w:lineRule="exact"/>
              <w:rPr>
                <w:rFonts w:eastAsia="宋体" w:asciiTheme="majorHAnsi" w:hAnsiTheme="majorHAnsi" w:cstheme="minorHAnsi"/>
                <w:sz w:val="21"/>
              </w:rPr>
            </w:pPr>
            <w:r>
              <w:rPr>
                <w:rFonts w:ascii="Segoe UI Symbol" w:hAnsi="Segoe UI Symbol" w:eastAsia="宋体" w:cs="Segoe UI Symbol"/>
                <w:sz w:val="21"/>
              </w:rPr>
              <w:t>★</w:t>
            </w:r>
            <w:r>
              <w:rPr>
                <w:rFonts w:eastAsia="宋体" w:asciiTheme="majorHAnsi" w:hAnsiTheme="majorHAnsi" w:cstheme="minorHAnsi"/>
                <w:sz w:val="21"/>
              </w:rPr>
              <w:t>扫描方式：</w:t>
            </w:r>
            <w:r>
              <w:rPr>
                <w:rFonts w:hint="eastAsia" w:eastAsia="宋体" w:asciiTheme="majorHAnsi" w:hAnsiTheme="majorHAnsi" w:cstheme="minorHAnsi"/>
                <w:sz w:val="21"/>
              </w:rPr>
              <w:t>双面高速扫描</w:t>
            </w:r>
          </w:p>
        </w:tc>
        <w:tc>
          <w:tcPr>
            <w:tcW w:w="3276" w:type="dxa"/>
            <w:shd w:val="clear" w:color="auto" w:fill="auto"/>
            <w:vAlign w:val="center"/>
          </w:tcPr>
          <w:p>
            <w:pPr>
              <w:spacing w:line="320" w:lineRule="exact"/>
              <w:rPr>
                <w:rFonts w:eastAsia="宋体" w:asciiTheme="majorHAnsi" w:hAnsiTheme="majorHAnsi" w:cstheme="minorHAnsi"/>
                <w:sz w:val="21"/>
              </w:rPr>
            </w:pPr>
            <w:r>
              <w:rPr>
                <w:rFonts w:eastAsia="宋体" w:asciiTheme="majorHAnsi" w:hAnsiTheme="majorHAnsi" w:cstheme="minorHAnsi"/>
                <w:sz w:val="21"/>
              </w:rPr>
              <w:t>扫描方式：单面高速扫描</w:t>
            </w:r>
          </w:p>
        </w:tc>
        <w:tc>
          <w:tcPr>
            <w:tcW w:w="1458" w:type="dxa"/>
            <w:shd w:val="clear" w:color="auto" w:fill="auto"/>
            <w:vAlign w:val="center"/>
          </w:tcPr>
          <w:p>
            <w:pPr>
              <w:spacing w:line="320" w:lineRule="exact"/>
              <w:jc w:val="center"/>
              <w:rPr>
                <w:rFonts w:eastAsia="宋体" w:asciiTheme="majorHAnsi" w:hAnsiTheme="majorHAnsi" w:cstheme="minorHAnsi"/>
                <w:sz w:val="21"/>
              </w:rPr>
            </w:pPr>
            <w:r>
              <w:rPr>
                <w:rFonts w:eastAsia="宋体" w:asciiTheme="majorHAnsi" w:hAnsiTheme="majorHAnsi" w:cstheme="minorHAnsi"/>
                <w:sz w:val="21"/>
              </w:rPr>
              <w:t>负偏离</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r>
              <w:rPr>
                <w:rFonts w:eastAsia="宋体" w:asciiTheme="majorHAnsi" w:hAnsiTheme="majorHAnsi" w:cstheme="minorHAnsi"/>
                <w:sz w:val="21"/>
              </w:rPr>
              <w:t>…</w:t>
            </w:r>
          </w:p>
        </w:tc>
        <w:tc>
          <w:tcPr>
            <w:tcW w:w="3283" w:type="dxa"/>
            <w:shd w:val="clear" w:color="auto" w:fill="auto"/>
            <w:vAlign w:val="center"/>
          </w:tcPr>
          <w:p>
            <w:pPr>
              <w:spacing w:line="320" w:lineRule="exact"/>
              <w:rPr>
                <w:rFonts w:eastAsia="宋体" w:asciiTheme="majorHAnsi" w:hAnsiTheme="majorHAnsi" w:cstheme="minorHAnsi"/>
                <w:sz w:val="21"/>
              </w:rPr>
            </w:pP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p>
        </w:tc>
        <w:tc>
          <w:tcPr>
            <w:tcW w:w="3283" w:type="dxa"/>
            <w:shd w:val="clear" w:color="auto" w:fill="auto"/>
            <w:vAlign w:val="center"/>
          </w:tcPr>
          <w:p>
            <w:pPr>
              <w:spacing w:line="320" w:lineRule="exact"/>
              <w:rPr>
                <w:rFonts w:eastAsia="宋体" w:asciiTheme="majorHAnsi" w:hAnsiTheme="majorHAnsi" w:cstheme="minorHAnsi"/>
                <w:sz w:val="21"/>
              </w:rPr>
            </w:pP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p>
        </w:tc>
        <w:tc>
          <w:tcPr>
            <w:tcW w:w="3283" w:type="dxa"/>
            <w:shd w:val="clear" w:color="auto" w:fill="auto"/>
            <w:vAlign w:val="center"/>
          </w:tcPr>
          <w:p>
            <w:pPr>
              <w:spacing w:line="320" w:lineRule="exact"/>
              <w:rPr>
                <w:rFonts w:eastAsia="宋体" w:asciiTheme="majorHAnsi" w:hAnsiTheme="majorHAnsi" w:cstheme="minorHAnsi"/>
                <w:sz w:val="21"/>
              </w:rPr>
            </w:pP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r>
              <w:rPr>
                <w:rFonts w:eastAsia="宋体" w:asciiTheme="majorHAnsi" w:hAnsiTheme="majorHAnsi" w:cstheme="minorHAnsi"/>
                <w:sz w:val="21"/>
              </w:rPr>
              <w:t>…</w:t>
            </w:r>
          </w:p>
        </w:tc>
        <w:tc>
          <w:tcPr>
            <w:tcW w:w="3283" w:type="dxa"/>
            <w:shd w:val="clear" w:color="auto" w:fill="auto"/>
            <w:vAlign w:val="center"/>
          </w:tcPr>
          <w:p>
            <w:pPr>
              <w:spacing w:line="320" w:lineRule="exact"/>
              <w:rPr>
                <w:rFonts w:eastAsia="宋体" w:asciiTheme="majorHAnsi" w:hAnsiTheme="majorHAnsi" w:cstheme="minorHAnsi"/>
                <w:sz w:val="21"/>
              </w:rPr>
            </w:pP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p>
        </w:tc>
        <w:tc>
          <w:tcPr>
            <w:tcW w:w="3283" w:type="dxa"/>
            <w:shd w:val="clear" w:color="auto" w:fill="auto"/>
            <w:vAlign w:val="center"/>
          </w:tcPr>
          <w:p>
            <w:pPr>
              <w:spacing w:line="320" w:lineRule="exact"/>
              <w:rPr>
                <w:rFonts w:eastAsia="宋体" w:asciiTheme="majorHAnsi" w:hAnsiTheme="majorHAnsi" w:cstheme="minorHAnsi"/>
                <w:sz w:val="21"/>
              </w:rPr>
            </w:pP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eastAsia="宋体" w:asciiTheme="majorHAnsi" w:hAnsiTheme="majorHAnsi" w:cstheme="minorHAnsi"/>
                <w:sz w:val="21"/>
              </w:rPr>
            </w:pPr>
          </w:p>
        </w:tc>
        <w:tc>
          <w:tcPr>
            <w:tcW w:w="3283" w:type="dxa"/>
            <w:shd w:val="clear" w:color="auto" w:fill="auto"/>
            <w:vAlign w:val="center"/>
          </w:tcPr>
          <w:p>
            <w:pPr>
              <w:spacing w:line="320" w:lineRule="exact"/>
              <w:rPr>
                <w:rFonts w:eastAsia="宋体" w:asciiTheme="majorHAnsi" w:hAnsiTheme="majorHAnsi" w:cstheme="minorHAnsi"/>
                <w:sz w:val="21"/>
              </w:rPr>
            </w:pPr>
          </w:p>
        </w:tc>
        <w:tc>
          <w:tcPr>
            <w:tcW w:w="3276" w:type="dxa"/>
            <w:shd w:val="clear" w:color="auto" w:fill="auto"/>
            <w:vAlign w:val="center"/>
          </w:tcPr>
          <w:p>
            <w:pPr>
              <w:spacing w:line="320" w:lineRule="exact"/>
              <w:rPr>
                <w:rFonts w:eastAsia="宋体" w:asciiTheme="majorHAnsi" w:hAnsiTheme="majorHAnsi" w:cstheme="minorHAnsi"/>
                <w:sz w:val="21"/>
              </w:rPr>
            </w:pPr>
          </w:p>
        </w:tc>
        <w:tc>
          <w:tcPr>
            <w:tcW w:w="1458" w:type="dxa"/>
            <w:shd w:val="clear" w:color="auto" w:fill="auto"/>
            <w:vAlign w:val="center"/>
          </w:tcPr>
          <w:p>
            <w:pPr>
              <w:spacing w:line="320" w:lineRule="exact"/>
              <w:jc w:val="center"/>
              <w:rPr>
                <w:rFonts w:eastAsia="宋体" w:asciiTheme="majorHAnsi" w:hAnsiTheme="majorHAnsi" w:cstheme="minorHAnsi"/>
                <w:sz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3" w:type="dxa"/>
            <w:shd w:val="clear" w:color="auto" w:fill="auto"/>
            <w:vAlign w:val="center"/>
          </w:tcPr>
          <w:p>
            <w:pPr>
              <w:spacing w:line="320" w:lineRule="exact"/>
              <w:jc w:val="center"/>
              <w:rPr>
                <w:rFonts w:ascii="Calibri" w:hAnsi="宋体" w:eastAsia="宋体" w:cstheme="minorHAnsi"/>
                <w:sz w:val="21"/>
              </w:rPr>
            </w:pPr>
            <w:r>
              <w:rPr>
                <w:rFonts w:ascii="Calibri" w:hAnsi="宋体" w:eastAsia="宋体" w:cstheme="minorHAnsi"/>
                <w:sz w:val="21"/>
              </w:rPr>
              <w:t>备注</w:t>
            </w:r>
          </w:p>
        </w:tc>
        <w:tc>
          <w:tcPr>
            <w:tcW w:w="8017" w:type="dxa"/>
            <w:gridSpan w:val="3"/>
            <w:shd w:val="clear" w:color="auto" w:fill="auto"/>
            <w:vAlign w:val="center"/>
          </w:tcPr>
          <w:p>
            <w:pPr>
              <w:spacing w:line="320" w:lineRule="exact"/>
              <w:ind w:left="284" w:hanging="284"/>
              <w:jc w:val="both"/>
              <w:rPr>
                <w:rFonts w:ascii="Calibri" w:hAnsi="宋体" w:eastAsia="宋体" w:cstheme="minorHAnsi"/>
                <w:sz w:val="21"/>
              </w:rPr>
            </w:pPr>
            <w:r>
              <w:rPr>
                <w:rFonts w:ascii="Calibri" w:hAnsi="宋体" w:eastAsia="宋体" w:cstheme="minorHAnsi"/>
                <w:sz w:val="21"/>
              </w:rPr>
              <w:t>① 表格行数不够时，请自行扩展。</w:t>
            </w:r>
          </w:p>
          <w:p>
            <w:pPr>
              <w:spacing w:line="320" w:lineRule="exact"/>
              <w:ind w:left="284" w:hanging="284"/>
              <w:jc w:val="both"/>
              <w:rPr>
                <w:rFonts w:ascii="Calibri" w:hAnsi="宋体" w:eastAsia="宋体" w:cstheme="minorHAnsi"/>
                <w:sz w:val="21"/>
              </w:rPr>
            </w:pPr>
            <w:r>
              <w:rPr>
                <w:rFonts w:ascii="Calibri" w:hAnsi="宋体" w:eastAsia="宋体" w:cstheme="minorHAnsi"/>
                <w:sz w:val="21"/>
              </w:rPr>
              <w:t>② 因单元格空间有限，不足以容纳响</w:t>
            </w:r>
            <w:r>
              <w:rPr>
                <w:rFonts w:hint="eastAsia" w:ascii="Calibri" w:hAnsi="宋体" w:eastAsia="宋体" w:cstheme="minorHAnsi"/>
                <w:w w:val="1"/>
                <w:sz w:val="21"/>
              </w:rPr>
              <w:t xml:space="preserve"> </w:t>
            </w:r>
            <w:r>
              <w:rPr>
                <w:rFonts w:ascii="Calibri" w:hAnsi="宋体" w:eastAsia="宋体" w:cstheme="minorHAnsi"/>
                <w:sz w:val="21"/>
              </w:rPr>
              <w:t>应内容（如用于证明产品性能、</w:t>
            </w:r>
            <w:r>
              <w:rPr>
                <w:rFonts w:hint="eastAsia" w:ascii="Calibri" w:hAnsi="宋体" w:eastAsia="宋体" w:cstheme="minorHAnsi"/>
                <w:sz w:val="21"/>
              </w:rPr>
              <w:t>功能</w:t>
            </w:r>
            <w:r>
              <w:rPr>
                <w:rFonts w:ascii="Calibri" w:hAnsi="宋体" w:eastAsia="宋体" w:cstheme="minorHAnsi"/>
                <w:sz w:val="21"/>
              </w:rPr>
              <w:t>的图、表、认证证书、检测报告等）时，</w:t>
            </w:r>
            <w:r>
              <w:rPr>
                <w:rFonts w:hint="eastAsia" w:ascii="Calibri" w:hAnsi="宋体" w:eastAsia="宋体" w:cstheme="minorHAnsi"/>
                <w:sz w:val="21"/>
              </w:rPr>
              <w:t>允许在本表下方另附，但须在“响应内容或索引”中注明引用位置，如“见本表下方</w:t>
            </w:r>
            <w:r>
              <w:rPr>
                <w:rFonts w:hint="eastAsia" w:ascii="Calibri" w:hAnsi="宋体" w:eastAsia="宋体" w:cstheme="minorHAnsi"/>
                <w:i/>
                <w:sz w:val="21"/>
              </w:rPr>
              <w:t>4</w:t>
            </w:r>
            <w:r>
              <w:rPr>
                <w:rFonts w:ascii="Calibri" w:hAnsi="宋体" w:eastAsia="宋体" w:cstheme="minorHAnsi"/>
                <w:i/>
                <w:sz w:val="21"/>
              </w:rPr>
              <w:t>.1 表题</w:t>
            </w:r>
            <w:r>
              <w:rPr>
                <w:rFonts w:hint="eastAsia" w:ascii="Calibri" w:hAnsi="宋体" w:eastAsia="宋体" w:cstheme="minorHAnsi"/>
                <w:sz w:val="21"/>
              </w:rPr>
              <w:t>”或“见本表下方</w:t>
            </w:r>
            <w:r>
              <w:rPr>
                <w:rFonts w:hint="eastAsia" w:ascii="Calibri" w:hAnsi="宋体" w:eastAsia="宋体" w:cstheme="minorHAnsi"/>
                <w:i/>
                <w:sz w:val="21"/>
              </w:rPr>
              <w:t>4-</w:t>
            </w:r>
            <w:r>
              <w:rPr>
                <w:rFonts w:ascii="Calibri" w:hAnsi="宋体" w:eastAsia="宋体" w:cstheme="minorHAnsi"/>
                <w:i/>
                <w:sz w:val="21"/>
              </w:rPr>
              <w:t>1 图题</w:t>
            </w:r>
            <w:r>
              <w:rPr>
                <w:rFonts w:hint="eastAsia" w:ascii="Calibri" w:hAnsi="宋体" w:eastAsia="宋体" w:cstheme="minorHAnsi"/>
                <w:sz w:val="21"/>
              </w:rPr>
              <w:t>”（可自行编号，并确保上下文一致，因引用位置错误引起的不良后果由供应商自行承担）。</w:t>
            </w:r>
          </w:p>
          <w:p>
            <w:pPr>
              <w:spacing w:line="320" w:lineRule="exact"/>
              <w:ind w:left="284" w:hanging="284"/>
              <w:jc w:val="both"/>
              <w:rPr>
                <w:rFonts w:ascii="Calibri" w:hAnsi="宋体" w:eastAsia="宋体" w:cstheme="minorHAnsi"/>
                <w:sz w:val="21"/>
              </w:rPr>
            </w:pPr>
            <w:r>
              <w:rPr>
                <w:rFonts w:ascii="Calibri" w:hAnsi="宋体" w:eastAsia="宋体" w:cstheme="minorHAnsi"/>
                <w:sz w:val="21"/>
              </w:rPr>
              <w:t>③ “响</w:t>
            </w:r>
            <w:r>
              <w:rPr>
                <w:rFonts w:hint="eastAsia" w:ascii="Calibri" w:hAnsi="宋体" w:eastAsia="宋体" w:cstheme="minorHAnsi"/>
                <w:w w:val="1"/>
                <w:sz w:val="21"/>
              </w:rPr>
              <w:t xml:space="preserve"> </w:t>
            </w:r>
            <w:r>
              <w:rPr>
                <w:rFonts w:ascii="Calibri" w:hAnsi="宋体" w:eastAsia="宋体" w:cstheme="minorHAnsi"/>
                <w:sz w:val="21"/>
              </w:rPr>
              <w:t>应说明”应根据实际响</w:t>
            </w:r>
            <w:r>
              <w:rPr>
                <w:rFonts w:hint="eastAsia" w:ascii="Calibri" w:hAnsi="宋体" w:eastAsia="宋体" w:cstheme="minorHAnsi"/>
                <w:w w:val="1"/>
                <w:sz w:val="21"/>
              </w:rPr>
              <w:t xml:space="preserve"> </w:t>
            </w:r>
            <w:r>
              <w:rPr>
                <w:rFonts w:ascii="Calibri" w:hAnsi="宋体" w:eastAsia="宋体" w:cstheme="minorHAnsi"/>
                <w:sz w:val="21"/>
              </w:rPr>
              <w:t>应程度填写“优于”、“符合”、“负偏离”，</w:t>
            </w:r>
            <w:r>
              <w:rPr>
                <w:rFonts w:ascii="Calibri" w:hAnsi="宋体" w:eastAsia="宋体" w:cstheme="minorHAnsi"/>
                <w:color w:val="C00000"/>
                <w:sz w:val="21"/>
              </w:rPr>
              <w:t>对</w:t>
            </w:r>
            <w:r>
              <w:rPr>
                <w:rFonts w:hint="eastAsia" w:ascii="Calibri" w:hAnsi="宋体" w:eastAsia="宋体" w:cstheme="minorHAnsi"/>
                <w:color w:val="C00000"/>
                <w:sz w:val="21"/>
              </w:rPr>
              <w:t>实质性条款的响应出现负偏离的，按无效投标处理</w:t>
            </w:r>
            <w:r>
              <w:rPr>
                <w:rFonts w:hint="eastAsia" w:ascii="Calibri" w:hAnsi="宋体" w:eastAsia="宋体" w:cstheme="minorHAnsi"/>
                <w:sz w:val="21"/>
              </w:rPr>
              <w:t>。</w:t>
            </w:r>
          </w:p>
          <w:p>
            <w:pPr>
              <w:spacing w:line="320" w:lineRule="exact"/>
              <w:ind w:left="158" w:hanging="158"/>
              <w:jc w:val="both"/>
              <w:rPr>
                <w:rFonts w:ascii="Calibri" w:hAnsi="宋体" w:eastAsia="宋体" w:cstheme="minorHAnsi"/>
                <w:sz w:val="21"/>
              </w:rPr>
            </w:pPr>
            <w:r>
              <w:rPr>
                <w:rFonts w:hint="eastAsia" w:ascii="Calibri" w:hAnsi="宋体" w:eastAsia="宋体" w:cstheme="minorHAnsi"/>
                <w:sz w:val="21"/>
              </w:rPr>
              <w:t>④ 表格中“示例”部分仅供参考，供应商在响应时请自行清除。</w:t>
            </w:r>
          </w:p>
        </w:tc>
      </w:tr>
    </w:tbl>
    <w:p>
      <w:pPr>
        <w:tabs>
          <w:tab w:val="center" w:pos="4395"/>
        </w:tabs>
        <w:spacing w:before="230" w:beforeLines="50"/>
        <w:rPr>
          <w:rFonts w:cstheme="minorHAnsi"/>
          <w:b/>
          <w:color w:val="C00000"/>
        </w:rPr>
      </w:pPr>
      <w:r>
        <w:rPr>
          <w:rFonts w:cstheme="minorHAnsi"/>
          <w:b/>
          <w:color w:val="C00000"/>
        </w:rPr>
        <w:t>附：</w:t>
      </w:r>
      <w:r>
        <w:rPr>
          <w:rFonts w:cstheme="minorHAnsi"/>
          <w:b/>
          <w:color w:val="C00000"/>
        </w:rPr>
        <w:tab/>
      </w:r>
      <w:r>
        <w:rPr>
          <w:rFonts w:cstheme="minorHAnsi"/>
          <w:b/>
          <w:color w:val="C00000"/>
        </w:rPr>
        <w:t>实质性响应材料</w:t>
      </w:r>
    </w:p>
    <w:p>
      <w:pPr>
        <w:rPr>
          <w:rFonts w:cstheme="minorHAnsi"/>
        </w:rPr>
      </w:pPr>
    </w:p>
    <w:p>
      <w:pPr>
        <w:rPr>
          <w:rFonts w:cstheme="minorHAnsi"/>
        </w:rPr>
      </w:pPr>
    </w:p>
    <w:p>
      <w:pPr>
        <w:rPr>
          <w:rFonts w:cstheme="minorHAnsi"/>
        </w:rPr>
      </w:pPr>
    </w:p>
    <w:p>
      <w:pPr>
        <w:rPr>
          <w:rFonts w:cstheme="minorHAnsi"/>
        </w:rPr>
        <w:sectPr>
          <w:footerReference r:id="rId27" w:type="default"/>
          <w:footerReference r:id="rId28" w:type="even"/>
          <w:pgSz w:w="11906" w:h="16838"/>
          <w:pgMar w:top="1418" w:right="1418" w:bottom="1418" w:left="1418" w:header="851" w:footer="992" w:gutter="0"/>
          <w:cols w:space="425" w:num="1"/>
          <w:docGrid w:type="linesAndChars" w:linePitch="460" w:charSpace="0"/>
        </w:sectPr>
      </w:pPr>
    </w:p>
    <w:p>
      <w:pPr>
        <w:keepNext/>
        <w:spacing w:before="230" w:beforeLines="50" w:after="230" w:afterLines="50"/>
        <w:jc w:val="center"/>
        <w:outlineLvl w:val="1"/>
        <w:rPr>
          <w:rFonts w:ascii="Calibri" w:hAnsi="Calibri" w:eastAsia="黑体" w:cstheme="minorHAnsi"/>
          <w:kern w:val="32"/>
          <w:sz w:val="32"/>
        </w:rPr>
      </w:pPr>
      <w:r>
        <w:rPr>
          <w:rFonts w:ascii="Calibri" w:hAnsi="Calibri" w:eastAsia="黑体"/>
          <w:kern w:val="32"/>
          <w:sz w:val="32"/>
        </w:rPr>
        <w:t>第五部分</w:t>
      </w:r>
      <w:r>
        <w:rPr>
          <w:rFonts w:hint="eastAsia" w:ascii="Calibri" w:hAnsi="Calibri" w:eastAsia="黑体"/>
          <w:kern w:val="32"/>
          <w:sz w:val="32"/>
        </w:rPr>
        <w:t>　投标</w:t>
      </w:r>
      <w:r>
        <w:rPr>
          <w:rFonts w:ascii="Calibri" w:hAnsi="Calibri" w:eastAsia="黑体"/>
          <w:kern w:val="32"/>
          <w:sz w:val="32"/>
        </w:rPr>
        <w:t>方案</w:t>
      </w:r>
    </w:p>
    <w:p>
      <w:pPr>
        <w:outlineLvl w:val="2"/>
        <w:rPr>
          <w:rFonts w:ascii="黑体" w:hAnsi="黑体" w:eastAsia="黑体"/>
          <w:sz w:val="28"/>
          <w:szCs w:val="28"/>
        </w:rPr>
      </w:pPr>
      <w:r>
        <w:rPr>
          <w:rFonts w:ascii="黑体" w:hAnsi="黑体" w:eastAsia="黑体"/>
          <w:sz w:val="28"/>
          <w:szCs w:val="28"/>
        </w:rPr>
        <w:t>（一）技术（服务）条款响应（暗标盲评部分）</w:t>
      </w:r>
    </w:p>
    <w:p>
      <w:pPr>
        <w:ind w:firstLine="480" w:firstLineChars="200"/>
        <w:rPr>
          <w:rFonts w:asciiTheme="minorEastAsia" w:hAnsiTheme="minorEastAsia"/>
        </w:rPr>
      </w:pPr>
      <w:r>
        <w:rPr>
          <w:rFonts w:asciiTheme="minorEastAsia" w:hAnsiTheme="minorEastAsia"/>
        </w:rPr>
        <w:t>特别提醒：</w:t>
      </w:r>
    </w:p>
    <w:p>
      <w:pPr>
        <w:ind w:firstLine="480" w:firstLineChars="200"/>
        <w:rPr>
          <w:rFonts w:asciiTheme="minorEastAsia" w:hAnsiTheme="minorEastAsia"/>
        </w:rPr>
      </w:pPr>
      <w:r>
        <w:rPr>
          <w:rFonts w:hint="eastAsia" w:asciiTheme="minorEastAsia" w:hAnsiTheme="minorEastAsia"/>
        </w:rPr>
        <w:t>①请按照招标文件第二章“评审方法和程序”的“（二）评标形式”中的暗标盲评部分的响应要求进行编制，否则，其投标视为无效。</w:t>
      </w:r>
    </w:p>
    <w:p>
      <w:pPr>
        <w:ind w:firstLine="480" w:firstLineChars="200"/>
        <w:rPr>
          <w:rFonts w:asciiTheme="minorEastAsia" w:hAnsiTheme="minorEastAsia"/>
        </w:rPr>
      </w:pPr>
      <w:r>
        <w:rPr>
          <w:rFonts w:hint="eastAsia" w:asciiTheme="minorEastAsia" w:hAnsiTheme="minorEastAsia"/>
        </w:rPr>
        <w:t>②暗标盲评部分的响应内容必须在“（一）技术条款响应”下完整体现，不允许引用其他响应部分的内容。</w:t>
      </w:r>
    </w:p>
    <w:p>
      <w:pPr>
        <w:ind w:firstLine="480" w:firstLineChars="200"/>
        <w:rPr>
          <w:rFonts w:asciiTheme="minorEastAsia" w:hAnsiTheme="minorEastAsia"/>
        </w:rPr>
      </w:pPr>
    </w:p>
    <w:p>
      <w:pPr>
        <w:jc w:val="center"/>
        <w:rPr>
          <w:rFonts w:cstheme="minorHAnsi"/>
          <w:b/>
        </w:rPr>
      </w:pPr>
      <w:r>
        <w:rPr>
          <w:rFonts w:hint="eastAsia" w:cstheme="minorHAnsi"/>
          <w:b/>
        </w:rPr>
        <w:t>技术（服务）响应方案</w:t>
      </w:r>
    </w:p>
    <w:p>
      <w:r>
        <w:rPr>
          <w:rFonts w:hint="eastAsia"/>
        </w:rPr>
        <w:t>供应商结合第三章《招标内容及要求》相关要求及第二章《评审要素及分值一览表》暗标部分中各评审要素逐项编写方案。</w:t>
      </w:r>
    </w:p>
    <w:p>
      <w:pPr>
        <w:rPr>
          <w:i/>
          <w:color w:val="C00000"/>
        </w:rPr>
      </w:pPr>
    </w:p>
    <w:p>
      <w:r>
        <w:rPr>
          <w:rFonts w:hint="eastAsia"/>
        </w:rPr>
        <w:t>示例：</w:t>
      </w:r>
    </w:p>
    <w:p>
      <w:pPr>
        <w:rPr>
          <w:rFonts w:asciiTheme="minorEastAsia" w:hAnsiTheme="minorEastAsia"/>
        </w:rPr>
      </w:pPr>
      <w:r>
        <w:rPr>
          <w:rFonts w:hint="eastAsia" w:asciiTheme="minorEastAsia" w:hAnsiTheme="minorEastAsia"/>
        </w:rPr>
        <w:t>1．总体服务方案（监理服务方案）</w:t>
      </w:r>
    </w:p>
    <w:p>
      <w:pPr>
        <w:rPr>
          <w:rFonts w:cstheme="minorHAnsi"/>
          <w:b/>
          <w:color w:val="C00000"/>
          <w:sz w:val="28"/>
          <w:szCs w:val="28"/>
        </w:rPr>
      </w:pPr>
      <w:r>
        <w:rPr>
          <w:rFonts w:cstheme="minorHAnsi"/>
          <w:b/>
          <w:color w:val="C00000"/>
          <w:sz w:val="28"/>
          <w:szCs w:val="28"/>
        </w:rPr>
        <w:br w:type="page"/>
      </w:r>
    </w:p>
    <w:p>
      <w:pPr>
        <w:keepNext/>
        <w:spacing w:before="120" w:after="60"/>
        <w:outlineLvl w:val="2"/>
        <w:rPr>
          <w:rFonts w:ascii="黑体" w:hAnsi="黑体" w:eastAsia="黑体"/>
          <w:kern w:val="28"/>
          <w:sz w:val="28"/>
          <w:szCs w:val="28"/>
        </w:rPr>
      </w:pPr>
      <w:r>
        <w:rPr>
          <w:rFonts w:ascii="黑体" w:hAnsi="黑体" w:eastAsia="黑体"/>
          <w:kern w:val="28"/>
          <w:sz w:val="28"/>
          <w:szCs w:val="28"/>
        </w:rPr>
        <w:t>（二）商务条款响应</w:t>
      </w:r>
    </w:p>
    <w:p>
      <w:pPr>
        <w:jc w:val="center"/>
        <w:rPr>
          <w:rFonts w:ascii="Calibri" w:hAnsi="Calibri" w:eastAsia="宋体" w:cstheme="minorHAnsi"/>
          <w:b/>
          <w:color w:val="000000"/>
          <w:kern w:val="24"/>
        </w:rPr>
      </w:pPr>
      <w:r>
        <w:rPr>
          <w:rFonts w:hint="eastAsia" w:ascii="Calibri" w:hAnsi="Calibri" w:eastAsia="宋体" w:cstheme="minorHAnsi"/>
          <w:b/>
          <w:color w:val="000000"/>
          <w:kern w:val="24"/>
        </w:rPr>
        <w:t>1.商务要求（非实质性）条款偏差表</w:t>
      </w:r>
    </w:p>
    <w:tbl>
      <w:tblPr>
        <w:tblStyle w:val="24"/>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3126"/>
        <w:gridCol w:w="3432"/>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Merge w:val="restart"/>
            <w:shd w:val="clear" w:color="auto" w:fill="F1F1F1" w:themeFill="background1" w:themeFillShade="F2"/>
            <w:vAlign w:val="center"/>
          </w:tcPr>
          <w:p>
            <w:pPr>
              <w:jc w:val="center"/>
              <w:rPr>
                <w:sz w:val="21"/>
                <w:szCs w:val="21"/>
              </w:rPr>
            </w:pPr>
            <w:r>
              <w:rPr>
                <w:sz w:val="21"/>
                <w:szCs w:val="21"/>
              </w:rPr>
              <w:t>序号</w:t>
            </w:r>
          </w:p>
        </w:tc>
        <w:tc>
          <w:tcPr>
            <w:tcW w:w="3126" w:type="dxa"/>
            <w:shd w:val="clear" w:color="auto" w:fill="F1F1F1" w:themeFill="background1" w:themeFillShade="F2"/>
            <w:vAlign w:val="center"/>
          </w:tcPr>
          <w:p>
            <w:pPr>
              <w:jc w:val="center"/>
              <w:rPr>
                <w:sz w:val="21"/>
                <w:szCs w:val="21"/>
              </w:rPr>
            </w:pPr>
            <w:r>
              <w:rPr>
                <w:rFonts w:hint="eastAsia"/>
                <w:sz w:val="21"/>
                <w:szCs w:val="21"/>
              </w:rPr>
              <w:t>招标</w:t>
            </w:r>
            <w:r>
              <w:rPr>
                <w:sz w:val="21"/>
                <w:szCs w:val="21"/>
              </w:rPr>
              <w:t>文件</w:t>
            </w:r>
          </w:p>
        </w:tc>
        <w:tc>
          <w:tcPr>
            <w:tcW w:w="3432" w:type="dxa"/>
            <w:shd w:val="clear" w:color="auto" w:fill="F1F1F1" w:themeFill="background1" w:themeFillShade="F2"/>
            <w:vAlign w:val="center"/>
          </w:tcPr>
          <w:p>
            <w:pPr>
              <w:jc w:val="center"/>
              <w:rPr>
                <w:sz w:val="21"/>
                <w:szCs w:val="21"/>
              </w:rPr>
            </w:pPr>
            <w:r>
              <w:rPr>
                <w:rFonts w:hint="eastAsia"/>
                <w:sz w:val="21"/>
                <w:szCs w:val="21"/>
              </w:rPr>
              <w:t>投标</w:t>
            </w:r>
            <w:r>
              <w:rPr>
                <w:sz w:val="21"/>
                <w:szCs w:val="21"/>
              </w:rPr>
              <w:t>文件</w:t>
            </w:r>
          </w:p>
        </w:tc>
        <w:tc>
          <w:tcPr>
            <w:tcW w:w="1823" w:type="dxa"/>
            <w:vMerge w:val="restart"/>
            <w:shd w:val="clear" w:color="auto" w:fill="F1F1F1" w:themeFill="background1" w:themeFillShade="F2"/>
            <w:vAlign w:val="center"/>
          </w:tcPr>
          <w:p>
            <w:pPr>
              <w:jc w:val="center"/>
              <w:rPr>
                <w:sz w:val="21"/>
                <w:szCs w:val="21"/>
              </w:rPr>
            </w:pPr>
            <w:r>
              <w:rPr>
                <w:sz w:val="21"/>
                <w:szCs w:val="21"/>
              </w:rPr>
              <w:t>响应说明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Merge w:val="continue"/>
            <w:shd w:val="clear" w:color="auto" w:fill="F1F1F1" w:themeFill="background1" w:themeFillShade="F2"/>
            <w:vAlign w:val="center"/>
          </w:tcPr>
          <w:p>
            <w:pPr>
              <w:jc w:val="center"/>
              <w:rPr>
                <w:sz w:val="21"/>
                <w:szCs w:val="21"/>
              </w:rPr>
            </w:pPr>
          </w:p>
        </w:tc>
        <w:tc>
          <w:tcPr>
            <w:tcW w:w="3126" w:type="dxa"/>
            <w:shd w:val="clear" w:color="auto" w:fill="F1F1F1" w:themeFill="background1" w:themeFillShade="F2"/>
            <w:vAlign w:val="center"/>
          </w:tcPr>
          <w:p>
            <w:pPr>
              <w:jc w:val="center"/>
              <w:rPr>
                <w:sz w:val="21"/>
                <w:szCs w:val="21"/>
              </w:rPr>
            </w:pPr>
            <w:r>
              <w:rPr>
                <w:rFonts w:hint="eastAsia"/>
                <w:sz w:val="21"/>
                <w:szCs w:val="21"/>
              </w:rPr>
              <w:t>商务要求</w:t>
            </w:r>
            <w:r>
              <w:rPr>
                <w:sz w:val="21"/>
                <w:szCs w:val="21"/>
              </w:rPr>
              <w:t>非实质性条款</w:t>
            </w:r>
          </w:p>
        </w:tc>
        <w:tc>
          <w:tcPr>
            <w:tcW w:w="3432" w:type="dxa"/>
            <w:shd w:val="clear" w:color="auto" w:fill="F1F1F1" w:themeFill="background1" w:themeFillShade="F2"/>
            <w:vAlign w:val="center"/>
          </w:tcPr>
          <w:p>
            <w:pPr>
              <w:jc w:val="center"/>
              <w:rPr>
                <w:sz w:val="21"/>
                <w:szCs w:val="21"/>
              </w:rPr>
            </w:pPr>
            <w:r>
              <w:rPr>
                <w:rFonts w:hint="eastAsia"/>
                <w:sz w:val="21"/>
                <w:szCs w:val="21"/>
              </w:rPr>
              <w:t>商务要求响应内容或索引</w:t>
            </w:r>
          </w:p>
        </w:tc>
        <w:tc>
          <w:tcPr>
            <w:tcW w:w="1823" w:type="dxa"/>
            <w:vMerge w:val="continue"/>
            <w:shd w:val="clear" w:color="auto" w:fill="F1F1F1" w:themeFill="background1" w:themeFillShade="F2"/>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p>
        </w:tc>
        <w:tc>
          <w:tcPr>
            <w:tcW w:w="3126" w:type="dxa"/>
            <w:vAlign w:val="center"/>
          </w:tcPr>
          <w:p>
            <w:pPr>
              <w:rPr>
                <w:sz w:val="21"/>
                <w:szCs w:val="21"/>
              </w:rPr>
            </w:pPr>
          </w:p>
        </w:tc>
        <w:tc>
          <w:tcPr>
            <w:tcW w:w="3432" w:type="dxa"/>
            <w:vAlign w:val="center"/>
          </w:tcPr>
          <w:p>
            <w:pPr>
              <w:rPr>
                <w:sz w:val="21"/>
                <w:szCs w:val="21"/>
              </w:rPr>
            </w:pPr>
          </w:p>
        </w:tc>
        <w:tc>
          <w:tcPr>
            <w:tcW w:w="1823"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pPr>
              <w:rPr>
                <w:sz w:val="21"/>
                <w:szCs w:val="21"/>
              </w:rPr>
            </w:pPr>
            <w:r>
              <w:rPr>
                <w:sz w:val="21"/>
                <w:szCs w:val="21"/>
              </w:rPr>
              <w:t>备注</w:t>
            </w:r>
          </w:p>
        </w:tc>
        <w:tc>
          <w:tcPr>
            <w:tcW w:w="8381" w:type="dxa"/>
            <w:gridSpan w:val="3"/>
            <w:vAlign w:val="center"/>
          </w:tcPr>
          <w:p>
            <w:pPr>
              <w:jc w:val="both"/>
              <w:rPr>
                <w:rFonts w:asciiTheme="minorEastAsia" w:hAnsiTheme="minorEastAsia"/>
                <w:sz w:val="21"/>
                <w:szCs w:val="21"/>
              </w:rPr>
            </w:pPr>
            <w:r>
              <w:rPr>
                <w:rFonts w:asciiTheme="minorEastAsia" w:hAnsiTheme="minorEastAsia"/>
                <w:sz w:val="21"/>
                <w:szCs w:val="21"/>
              </w:rPr>
              <w:t xml:space="preserve">① </w:t>
            </w:r>
            <w:r>
              <w:rPr>
                <w:rFonts w:hint="eastAsia" w:asciiTheme="minorEastAsia" w:hAnsiTheme="minorEastAsia"/>
                <w:sz w:val="21"/>
                <w:szCs w:val="21"/>
              </w:rPr>
              <w:t>只需对第三章商务要求中的非实质性条款（未标注★的）作出响应。</w:t>
            </w:r>
            <w:r>
              <w:rPr>
                <w:rFonts w:asciiTheme="minorEastAsia" w:hAnsiTheme="minorEastAsia"/>
                <w:sz w:val="21"/>
                <w:szCs w:val="21"/>
              </w:rPr>
              <w:t>表格行数不够时，请自行扩展。</w:t>
            </w:r>
          </w:p>
          <w:p>
            <w:pPr>
              <w:jc w:val="both"/>
              <w:rPr>
                <w:rFonts w:asciiTheme="minorEastAsia" w:hAnsiTheme="minorEastAsia"/>
                <w:sz w:val="21"/>
                <w:szCs w:val="21"/>
              </w:rPr>
            </w:pPr>
            <w:r>
              <w:rPr>
                <w:rFonts w:asciiTheme="minorEastAsia" w:hAnsiTheme="minorEastAsia"/>
                <w:sz w:val="21"/>
                <w:szCs w:val="21"/>
              </w:rPr>
              <w:t>② 因单元格空间有限，不足以容纳响应内容时，</w:t>
            </w:r>
            <w:r>
              <w:rPr>
                <w:rFonts w:hint="eastAsia" w:asciiTheme="minorEastAsia" w:hAnsiTheme="minorEastAsia"/>
                <w:sz w:val="21"/>
                <w:szCs w:val="21"/>
              </w:rPr>
              <w:t>允许在本表下方另附，但须在“响应内容或索引”中注明引用位置，如“见本表下方</w:t>
            </w:r>
            <w:r>
              <w:rPr>
                <w:rFonts w:asciiTheme="minorEastAsia" w:hAnsiTheme="minorEastAsia"/>
                <w:sz w:val="21"/>
                <w:szCs w:val="21"/>
              </w:rPr>
              <w:t>5.2.1 表题</w:t>
            </w:r>
            <w:r>
              <w:rPr>
                <w:rFonts w:hint="eastAsia" w:asciiTheme="minorEastAsia" w:hAnsiTheme="minorEastAsia"/>
                <w:sz w:val="21"/>
                <w:szCs w:val="21"/>
              </w:rPr>
              <w:t>”或“见本表下方</w:t>
            </w:r>
            <w:r>
              <w:rPr>
                <w:rFonts w:asciiTheme="minorEastAsia" w:hAnsiTheme="minorEastAsia"/>
                <w:sz w:val="21"/>
                <w:szCs w:val="21"/>
              </w:rPr>
              <w:t>5</w:t>
            </w:r>
            <w:r>
              <w:rPr>
                <w:rFonts w:hint="eastAsia" w:asciiTheme="minorEastAsia" w:hAnsiTheme="minorEastAsia"/>
                <w:sz w:val="21"/>
                <w:szCs w:val="21"/>
              </w:rPr>
              <w:t>-</w:t>
            </w:r>
            <w:r>
              <w:rPr>
                <w:rFonts w:asciiTheme="minorEastAsia" w:hAnsiTheme="minorEastAsia"/>
                <w:sz w:val="21"/>
                <w:szCs w:val="21"/>
              </w:rPr>
              <w:t>2-1 图题</w:t>
            </w:r>
            <w:r>
              <w:rPr>
                <w:rFonts w:hint="eastAsia" w:asciiTheme="minorEastAsia" w:hAnsiTheme="minorEastAsia"/>
                <w:sz w:val="21"/>
                <w:szCs w:val="21"/>
              </w:rPr>
              <w:t>”（可自行编号，并确保上下文一致，因引用位置错误引起的不良后果由供应商自行承担）。</w:t>
            </w:r>
          </w:p>
          <w:p>
            <w:pPr>
              <w:jc w:val="both"/>
              <w:rPr>
                <w:rFonts w:asciiTheme="minorEastAsia" w:hAnsiTheme="minorEastAsia"/>
                <w:sz w:val="21"/>
                <w:szCs w:val="21"/>
              </w:rPr>
            </w:pPr>
            <w:r>
              <w:rPr>
                <w:rFonts w:asciiTheme="minorEastAsia" w:hAnsiTheme="minorEastAsia"/>
                <w:sz w:val="21"/>
                <w:szCs w:val="21"/>
              </w:rPr>
              <w:t>③ “响应说明”应根据实际响应程度填写“优于”、“符合”、“负偏离”</w:t>
            </w:r>
            <w:r>
              <w:rPr>
                <w:rFonts w:hint="eastAsia" w:asciiTheme="minorEastAsia" w:hAnsiTheme="minorEastAsia"/>
                <w:sz w:val="21"/>
                <w:szCs w:val="21"/>
              </w:rPr>
              <w:t>。</w:t>
            </w:r>
          </w:p>
          <w:p>
            <w:pPr>
              <w:jc w:val="both"/>
              <w:rPr>
                <w:sz w:val="21"/>
                <w:szCs w:val="21"/>
              </w:rPr>
            </w:pPr>
            <w:r>
              <w:rPr>
                <w:rFonts w:hint="eastAsia" w:asciiTheme="minorEastAsia" w:hAnsiTheme="minorEastAsia"/>
                <w:sz w:val="21"/>
                <w:szCs w:val="21"/>
              </w:rPr>
              <w:t>④ 表格中“示例”部分仅供参考，供应商在响应时请自行清除。</w:t>
            </w:r>
          </w:p>
        </w:tc>
      </w:tr>
    </w:tbl>
    <w:p>
      <w:pPr>
        <w:rPr>
          <w:rFonts w:asciiTheme="minorEastAsia" w:hAnsiTheme="minorEastAsia" w:cstheme="minorHAnsi"/>
          <w:b/>
          <w:color w:val="000000"/>
          <w:kern w:val="24"/>
        </w:rPr>
      </w:pPr>
    </w:p>
    <w:p>
      <w:pPr>
        <w:jc w:val="center"/>
        <w:rPr>
          <w:rFonts w:cstheme="minorHAnsi"/>
          <w:b/>
        </w:rPr>
      </w:pPr>
      <w:r>
        <w:rPr>
          <w:rFonts w:cstheme="minorHAnsi"/>
          <w:b/>
        </w:rPr>
        <w:t>2</w:t>
      </w:r>
      <w:r>
        <w:rPr>
          <w:rFonts w:hint="eastAsia" w:cstheme="minorHAnsi"/>
          <w:b/>
        </w:rPr>
        <w:t>.商务评审部分响应方案</w:t>
      </w:r>
    </w:p>
    <w:p>
      <w:pPr>
        <w:tabs>
          <w:tab w:val="center" w:pos="4395"/>
        </w:tabs>
        <w:rPr>
          <w:i/>
          <w:color w:val="C00000"/>
        </w:rPr>
      </w:pPr>
      <w:r>
        <w:rPr>
          <w:rFonts w:hint="eastAsia"/>
          <w:i/>
          <w:color w:val="C00000"/>
        </w:rPr>
        <w:t>供应商结合第三章《招标内容及要求》相关要求及第二章《评审要素及分值一览表》商务评审部分中各评审要素逐项编写方案。</w:t>
      </w:r>
    </w:p>
    <w:p>
      <w:pPr>
        <w:tabs>
          <w:tab w:val="center" w:pos="4395"/>
        </w:tabs>
        <w:rPr>
          <w:i/>
          <w:color w:val="C00000"/>
        </w:rPr>
      </w:pPr>
    </w:p>
    <w:p>
      <w:pPr>
        <w:rPr>
          <w:i/>
          <w:color w:val="C00000"/>
        </w:rPr>
      </w:pPr>
      <w:r>
        <w:rPr>
          <w:rFonts w:hint="eastAsia"/>
          <w:i/>
          <w:color w:val="C00000"/>
        </w:rPr>
        <w:t>示例：</w:t>
      </w:r>
    </w:p>
    <w:p>
      <w:pPr>
        <w:pStyle w:val="68"/>
        <w:numPr>
          <w:ilvl w:val="0"/>
          <w:numId w:val="4"/>
        </w:numPr>
        <w:rPr>
          <w:rFonts w:asciiTheme="minorEastAsia" w:hAnsiTheme="minorEastAsia" w:cstheme="minorHAnsi"/>
          <w:b/>
          <w:color w:val="000000"/>
          <w:kern w:val="24"/>
        </w:rPr>
      </w:pPr>
      <w:r>
        <w:rPr>
          <w:rFonts w:hint="eastAsia" w:asciiTheme="minorEastAsia" w:hAnsiTheme="minorEastAsia" w:cstheme="minorHAnsi"/>
          <w:b/>
          <w:color w:val="000000"/>
          <w:kern w:val="24"/>
        </w:rPr>
        <w:t>技术指标要求</w:t>
      </w:r>
    </w:p>
    <w:p>
      <w:pPr>
        <w:rPr>
          <w:rFonts w:asciiTheme="minorEastAsia" w:hAnsiTheme="minorEastAsia" w:cstheme="minorHAnsi"/>
          <w:b/>
          <w:color w:val="000000"/>
          <w:kern w:val="24"/>
        </w:rPr>
      </w:pPr>
      <w:r>
        <w:rPr>
          <w:rFonts w:asciiTheme="minorEastAsia" w:hAnsiTheme="minorEastAsia" w:cstheme="minorHAnsi"/>
          <w:color w:val="C00000"/>
          <w:kern w:val="24"/>
        </w:rPr>
        <w:t>附：承诺函或证明材料</w:t>
      </w:r>
    </w:p>
    <w:p>
      <w:pPr>
        <w:rPr>
          <w:rFonts w:asciiTheme="minorEastAsia" w:hAnsiTheme="minorEastAsia" w:cstheme="minorHAnsi"/>
          <w:b/>
          <w:color w:val="000000"/>
          <w:kern w:val="24"/>
        </w:rPr>
      </w:pPr>
    </w:p>
    <w:p>
      <w:pPr>
        <w:rPr>
          <w:rFonts w:asciiTheme="minorEastAsia" w:hAnsiTheme="minorEastAsia" w:cstheme="minorHAnsi"/>
          <w:b/>
          <w:color w:val="000000"/>
          <w:kern w:val="24"/>
        </w:rPr>
      </w:pPr>
      <w:r>
        <w:rPr>
          <w:rFonts w:asciiTheme="minorEastAsia" w:hAnsiTheme="minorEastAsia" w:cstheme="minorHAnsi"/>
          <w:b/>
          <w:color w:val="000000"/>
          <w:kern w:val="24"/>
        </w:rPr>
        <w:t>2</w:t>
      </w:r>
      <w:r>
        <w:rPr>
          <w:rFonts w:hint="eastAsia" w:asciiTheme="minorEastAsia" w:hAnsiTheme="minorEastAsia" w:cstheme="minorHAnsi"/>
          <w:b/>
          <w:color w:val="000000"/>
          <w:kern w:val="24"/>
        </w:rPr>
        <w:t>．组织实施方案</w:t>
      </w:r>
    </w:p>
    <w:p>
      <w:pPr>
        <w:rPr>
          <w:rFonts w:cstheme="minorHAnsi"/>
          <w:b/>
        </w:rPr>
      </w:pPr>
      <w:r>
        <w:rPr>
          <w:rFonts w:cstheme="minorHAnsi"/>
          <w:b/>
        </w:rPr>
        <w:br w:type="page"/>
      </w:r>
    </w:p>
    <w:p>
      <w:pPr>
        <w:keepNext/>
        <w:spacing w:before="120" w:after="60"/>
        <w:outlineLvl w:val="2"/>
        <w:rPr>
          <w:rFonts w:ascii="黑体" w:hAnsi="黑体" w:eastAsia="黑体"/>
          <w:kern w:val="28"/>
          <w:sz w:val="28"/>
          <w:szCs w:val="28"/>
        </w:rPr>
      </w:pPr>
      <w:r>
        <w:rPr>
          <w:rFonts w:ascii="黑体" w:hAnsi="黑体" w:eastAsia="黑体"/>
          <w:kern w:val="28"/>
          <w:sz w:val="28"/>
          <w:szCs w:val="28"/>
        </w:rPr>
        <w:t>（三）合同条款响应</w:t>
      </w:r>
    </w:p>
    <w:tbl>
      <w:tblPr>
        <w:tblStyle w:val="24"/>
        <w:tblW w:w="9082"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03"/>
        <w:gridCol w:w="1361"/>
        <w:gridCol w:w="1758"/>
        <w:gridCol w:w="2070"/>
        <w:gridCol w:w="1701"/>
        <w:gridCol w:w="1389"/>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9082" w:type="dxa"/>
            <w:gridSpan w:val="6"/>
            <w:tcBorders>
              <w:bottom w:val="single" w:color="auto" w:sz="4" w:space="0"/>
            </w:tcBorders>
            <w:shd w:val="clear" w:color="auto" w:fill="auto"/>
            <w:vAlign w:val="center"/>
          </w:tcPr>
          <w:p>
            <w:pPr>
              <w:jc w:val="both"/>
              <w:rPr>
                <w:rFonts w:asciiTheme="minorEastAsia" w:hAnsiTheme="minorEastAsia"/>
                <w:b/>
                <w:color w:val="000000"/>
                <w:sz w:val="21"/>
              </w:rPr>
            </w:pPr>
            <w:r>
              <w:rPr>
                <w:rFonts w:asciiTheme="minorEastAsia" w:hAnsiTheme="minorEastAsia"/>
                <w:b/>
                <w:color w:val="000000"/>
                <w:sz w:val="21"/>
              </w:rPr>
              <w:t>对本</w:t>
            </w:r>
            <w:r>
              <w:rPr>
                <w:rFonts w:hint="eastAsia" w:asciiTheme="minorEastAsia" w:hAnsiTheme="minorEastAsia"/>
                <w:b/>
                <w:color w:val="000000"/>
                <w:sz w:val="21"/>
              </w:rPr>
              <w:t>项目</w:t>
            </w:r>
            <w:r>
              <w:rPr>
                <w:rFonts w:asciiTheme="minorEastAsia" w:hAnsiTheme="minorEastAsia"/>
                <w:b/>
                <w:color w:val="000000"/>
                <w:sz w:val="21"/>
              </w:rPr>
              <w:t>合同条款的偏离情况（</w:t>
            </w:r>
            <w:r>
              <w:rPr>
                <w:rFonts w:asciiTheme="minorEastAsia" w:hAnsiTheme="minorEastAsia"/>
                <w:b/>
                <w:i/>
                <w:color w:val="7030A0"/>
                <w:sz w:val="21"/>
              </w:rPr>
              <w:t>请进行勾选</w:t>
            </w:r>
            <w:r>
              <w:rPr>
                <w:rFonts w:ascii="Segoe UI Symbol" w:hAnsi="Segoe UI Symbol"/>
                <w:i/>
                <w:color w:val="7030A0"/>
                <w:sz w:val="21"/>
              </w:rPr>
              <w:t>☑：</w:t>
            </w:r>
            <w:r>
              <w:rPr>
                <w:rFonts w:asciiTheme="minorEastAsia" w:hAnsiTheme="minorEastAsia"/>
                <w:b/>
                <w:i/>
                <w:color w:val="7030A0"/>
                <w:sz w:val="21"/>
              </w:rPr>
              <w:t>Alt+小键盘</w:t>
            </w:r>
            <w:r>
              <w:rPr>
                <w:rFonts w:hint="eastAsia" w:asciiTheme="minorEastAsia" w:hAnsiTheme="minorEastAsia"/>
                <w:b/>
                <w:i/>
                <w:color w:val="7030A0"/>
                <w:sz w:val="21"/>
              </w:rPr>
              <w:t>9745</w:t>
            </w:r>
            <w:r>
              <w:rPr>
                <w:rFonts w:asciiTheme="minorEastAsia" w:hAnsiTheme="minorEastAsia"/>
                <w:b/>
                <w:color w:val="000000"/>
                <w:sz w:val="21"/>
              </w:rPr>
              <w:t>）：</w:t>
            </w:r>
          </w:p>
          <w:p>
            <w:pPr>
              <w:jc w:val="both"/>
              <w:rPr>
                <w:rFonts w:asciiTheme="minorEastAsia" w:hAnsiTheme="minorEastAsia"/>
                <w:b/>
                <w:color w:val="000000"/>
                <w:sz w:val="21"/>
              </w:rPr>
            </w:pPr>
            <w:r>
              <w:rPr>
                <w:rFonts w:asciiTheme="minorEastAsia" w:hAnsiTheme="minorEastAsia"/>
                <w:b/>
                <w:color w:val="000000"/>
                <w:sz w:val="21"/>
              </w:rPr>
              <w:t>□无偏离</w:t>
            </w:r>
            <w:r>
              <w:rPr>
                <w:rFonts w:asciiTheme="minorEastAsia" w:hAnsiTheme="minorEastAsia"/>
                <w:color w:val="000000"/>
                <w:sz w:val="21"/>
              </w:rPr>
              <w:t>（</w:t>
            </w:r>
            <w:r>
              <w:rPr>
                <w:rFonts w:asciiTheme="minorEastAsia" w:hAnsiTheme="minorEastAsia"/>
                <w:color w:val="000000"/>
                <w:sz w:val="21"/>
                <w:szCs w:val="21"/>
              </w:rPr>
              <w:t>如无偏离，仅勾选无偏离即可</w:t>
            </w:r>
            <w:r>
              <w:rPr>
                <w:rFonts w:asciiTheme="minorEastAsia" w:hAnsiTheme="minorEastAsia"/>
                <w:color w:val="000000"/>
                <w:sz w:val="21"/>
              </w:rPr>
              <w:t>）</w:t>
            </w:r>
          </w:p>
          <w:p>
            <w:pPr>
              <w:jc w:val="both"/>
              <w:rPr>
                <w:rFonts w:asciiTheme="minorEastAsia" w:hAnsiTheme="minorEastAsia"/>
                <w:color w:val="000000"/>
                <w:sz w:val="21"/>
              </w:rPr>
            </w:pPr>
            <w:r>
              <w:rPr>
                <w:rFonts w:asciiTheme="minorEastAsia" w:hAnsiTheme="minorEastAsia"/>
                <w:b/>
                <w:color w:val="000000"/>
                <w:sz w:val="21"/>
              </w:rPr>
              <w:t>□有偏离</w:t>
            </w:r>
            <w:r>
              <w:rPr>
                <w:rFonts w:asciiTheme="minorEastAsia" w:hAnsiTheme="minorEastAsia"/>
                <w:color w:val="000000"/>
                <w:sz w:val="21"/>
              </w:rPr>
              <w:t>（</w:t>
            </w:r>
            <w:r>
              <w:rPr>
                <w:rFonts w:asciiTheme="minorEastAsia" w:hAnsiTheme="minorEastAsia"/>
                <w:color w:val="000000"/>
                <w:sz w:val="21"/>
                <w:szCs w:val="21"/>
              </w:rPr>
              <w:t>如有偏离，</w:t>
            </w:r>
            <w:r>
              <w:rPr>
                <w:rFonts w:asciiTheme="minorEastAsia" w:hAnsiTheme="minorEastAsia"/>
                <w:color w:val="000000"/>
                <w:sz w:val="21"/>
              </w:rPr>
              <w:t>则</w:t>
            </w:r>
            <w:r>
              <w:rPr>
                <w:rFonts w:hint="eastAsia" w:asciiTheme="minorEastAsia" w:hAnsiTheme="minorEastAsia"/>
                <w:color w:val="000000"/>
                <w:sz w:val="21"/>
              </w:rPr>
              <w:t>应</w:t>
            </w:r>
            <w:r>
              <w:rPr>
                <w:rFonts w:asciiTheme="minorEastAsia" w:hAnsiTheme="minorEastAsia"/>
                <w:color w:val="000000"/>
                <w:sz w:val="21"/>
              </w:rPr>
              <w:t>在本表中对偏离项逐一列明）</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803" w:type="dxa"/>
            <w:tcBorders>
              <w:right w:val="single" w:color="auto" w:sz="4" w:space="0"/>
            </w:tcBorders>
            <w:shd w:val="clear" w:color="auto" w:fill="F1F1F1" w:themeFill="background1" w:themeFillShade="F2"/>
            <w:vAlign w:val="center"/>
          </w:tcPr>
          <w:p>
            <w:pPr>
              <w:jc w:val="both"/>
              <w:rPr>
                <w:rFonts w:asciiTheme="minorEastAsia" w:hAnsiTheme="minorEastAsia"/>
                <w:color w:val="000000"/>
                <w:sz w:val="21"/>
              </w:rPr>
            </w:pPr>
            <w:r>
              <w:rPr>
                <w:rFonts w:asciiTheme="minorEastAsia" w:hAnsiTheme="minorEastAsia"/>
                <w:color w:val="000000"/>
                <w:sz w:val="21"/>
              </w:rPr>
              <w:t>序号</w:t>
            </w:r>
          </w:p>
        </w:tc>
        <w:tc>
          <w:tcPr>
            <w:tcW w:w="1361" w:type="dxa"/>
            <w:tcBorders>
              <w:left w:val="single" w:color="auto" w:sz="4" w:space="0"/>
              <w:right w:val="single" w:color="auto" w:sz="4" w:space="0"/>
            </w:tcBorders>
            <w:shd w:val="clear" w:color="auto" w:fill="F1F1F1" w:themeFill="background1" w:themeFillShade="F2"/>
            <w:vAlign w:val="center"/>
          </w:tcPr>
          <w:p>
            <w:pPr>
              <w:jc w:val="both"/>
              <w:rPr>
                <w:rFonts w:asciiTheme="minorEastAsia" w:hAnsiTheme="minorEastAsia"/>
                <w:color w:val="000000"/>
                <w:sz w:val="21"/>
              </w:rPr>
            </w:pPr>
            <w:r>
              <w:rPr>
                <w:rFonts w:asciiTheme="minorEastAsia" w:hAnsiTheme="minorEastAsia"/>
                <w:color w:val="000000"/>
                <w:sz w:val="21"/>
              </w:rPr>
              <w:t>合同主条款</w:t>
            </w:r>
          </w:p>
        </w:tc>
        <w:tc>
          <w:tcPr>
            <w:tcW w:w="1758" w:type="dxa"/>
            <w:tcBorders>
              <w:left w:val="single" w:color="auto" w:sz="4" w:space="0"/>
              <w:right w:val="single" w:color="auto" w:sz="4" w:space="0"/>
            </w:tcBorders>
            <w:shd w:val="clear" w:color="auto" w:fill="F1F1F1" w:themeFill="background1" w:themeFillShade="F2"/>
            <w:vAlign w:val="center"/>
          </w:tcPr>
          <w:p>
            <w:pPr>
              <w:jc w:val="center"/>
              <w:rPr>
                <w:rFonts w:asciiTheme="minorEastAsia" w:hAnsiTheme="minorEastAsia"/>
                <w:color w:val="000000"/>
                <w:sz w:val="21"/>
              </w:rPr>
            </w:pPr>
            <w:r>
              <w:rPr>
                <w:rFonts w:asciiTheme="minorEastAsia" w:hAnsiTheme="minorEastAsia"/>
                <w:color w:val="000000"/>
                <w:sz w:val="21"/>
              </w:rPr>
              <w:t>合同条款明细</w:t>
            </w:r>
          </w:p>
        </w:tc>
        <w:tc>
          <w:tcPr>
            <w:tcW w:w="2070" w:type="dxa"/>
            <w:tcBorders>
              <w:left w:val="single" w:color="auto" w:sz="4" w:space="0"/>
              <w:right w:val="single" w:color="auto" w:sz="4" w:space="0"/>
            </w:tcBorders>
            <w:shd w:val="clear" w:color="auto" w:fill="F1F1F1" w:themeFill="background1" w:themeFillShade="F2"/>
            <w:vAlign w:val="center"/>
          </w:tcPr>
          <w:p>
            <w:pPr>
              <w:jc w:val="center"/>
              <w:rPr>
                <w:rFonts w:asciiTheme="minorEastAsia" w:hAnsiTheme="minorEastAsia"/>
                <w:color w:val="000000"/>
                <w:sz w:val="21"/>
              </w:rPr>
            </w:pPr>
            <w:r>
              <w:rPr>
                <w:rFonts w:asciiTheme="minorEastAsia" w:hAnsiTheme="minorEastAsia"/>
                <w:color w:val="000000"/>
                <w:sz w:val="21"/>
              </w:rPr>
              <w:t>投标文件响应内容</w:t>
            </w:r>
          </w:p>
        </w:tc>
        <w:tc>
          <w:tcPr>
            <w:tcW w:w="1701" w:type="dxa"/>
            <w:tcBorders>
              <w:left w:val="single" w:color="auto" w:sz="4" w:space="0"/>
              <w:right w:val="single" w:color="auto" w:sz="4" w:space="0"/>
            </w:tcBorders>
            <w:shd w:val="clear" w:color="auto" w:fill="F1F1F1" w:themeFill="background1" w:themeFillShade="F2"/>
            <w:vAlign w:val="center"/>
          </w:tcPr>
          <w:p>
            <w:pPr>
              <w:jc w:val="center"/>
              <w:rPr>
                <w:rFonts w:asciiTheme="minorEastAsia" w:hAnsiTheme="minorEastAsia"/>
                <w:color w:val="000000"/>
                <w:sz w:val="21"/>
              </w:rPr>
            </w:pPr>
            <w:r>
              <w:rPr>
                <w:rFonts w:asciiTheme="minorEastAsia" w:hAnsiTheme="minorEastAsia"/>
                <w:color w:val="000000"/>
                <w:sz w:val="21"/>
              </w:rPr>
              <w:t>偏离情况</w:t>
            </w:r>
          </w:p>
        </w:tc>
        <w:tc>
          <w:tcPr>
            <w:tcW w:w="1389" w:type="dxa"/>
            <w:tcBorders>
              <w:left w:val="single" w:color="auto" w:sz="4" w:space="0"/>
            </w:tcBorders>
            <w:shd w:val="clear" w:color="auto" w:fill="F1F1F1" w:themeFill="background1" w:themeFillShade="F2"/>
            <w:vAlign w:val="center"/>
          </w:tcPr>
          <w:p>
            <w:pPr>
              <w:jc w:val="center"/>
              <w:rPr>
                <w:rFonts w:asciiTheme="minorEastAsia" w:hAnsiTheme="minorEastAsia"/>
                <w:color w:val="000000"/>
                <w:sz w:val="21"/>
              </w:rPr>
            </w:pPr>
            <w:r>
              <w:rPr>
                <w:rFonts w:asciiTheme="minorEastAsia" w:hAnsiTheme="minorEastAsia"/>
                <w:color w:val="000000"/>
                <w:sz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803" w:type="dxa"/>
            <w:tcBorders>
              <w:right w:val="single" w:color="auto" w:sz="4" w:space="0"/>
            </w:tcBorders>
            <w:shd w:val="clear" w:color="auto" w:fill="auto"/>
            <w:vAlign w:val="center"/>
          </w:tcPr>
          <w:p>
            <w:pPr>
              <w:jc w:val="both"/>
              <w:rPr>
                <w:rFonts w:asciiTheme="minorEastAsia" w:hAnsiTheme="minorEastAsia"/>
                <w:color w:val="000000"/>
                <w:sz w:val="21"/>
              </w:rPr>
            </w:pPr>
          </w:p>
        </w:tc>
        <w:tc>
          <w:tcPr>
            <w:tcW w:w="136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58"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2070"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0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389" w:type="dxa"/>
            <w:tcBorders>
              <w:left w:val="single" w:color="auto" w:sz="4" w:space="0"/>
            </w:tcBorders>
            <w:shd w:val="clear" w:color="auto" w:fill="auto"/>
            <w:vAlign w:val="center"/>
          </w:tcPr>
          <w:p>
            <w:pPr>
              <w:jc w:val="both"/>
              <w:rPr>
                <w:rFonts w:asciiTheme="minorEastAsia" w:hAnsiTheme="minorEastAsia"/>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803" w:type="dxa"/>
            <w:tcBorders>
              <w:right w:val="single" w:color="auto" w:sz="4" w:space="0"/>
            </w:tcBorders>
            <w:shd w:val="clear" w:color="auto" w:fill="auto"/>
            <w:vAlign w:val="center"/>
          </w:tcPr>
          <w:p>
            <w:pPr>
              <w:jc w:val="both"/>
              <w:rPr>
                <w:rFonts w:asciiTheme="minorEastAsia" w:hAnsiTheme="minorEastAsia"/>
                <w:color w:val="000000"/>
                <w:sz w:val="21"/>
              </w:rPr>
            </w:pPr>
          </w:p>
        </w:tc>
        <w:tc>
          <w:tcPr>
            <w:tcW w:w="136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58"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2070"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0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389" w:type="dxa"/>
            <w:tcBorders>
              <w:left w:val="single" w:color="auto" w:sz="4" w:space="0"/>
            </w:tcBorders>
            <w:shd w:val="clear" w:color="auto" w:fill="auto"/>
            <w:vAlign w:val="center"/>
          </w:tcPr>
          <w:p>
            <w:pPr>
              <w:jc w:val="both"/>
              <w:rPr>
                <w:rFonts w:asciiTheme="minorEastAsia" w:hAnsiTheme="minorEastAsia"/>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803" w:type="dxa"/>
            <w:tcBorders>
              <w:right w:val="single" w:color="auto" w:sz="4" w:space="0"/>
            </w:tcBorders>
            <w:shd w:val="clear" w:color="auto" w:fill="auto"/>
            <w:vAlign w:val="center"/>
          </w:tcPr>
          <w:p>
            <w:pPr>
              <w:jc w:val="both"/>
              <w:rPr>
                <w:rFonts w:asciiTheme="minorEastAsia" w:hAnsiTheme="minorEastAsia"/>
                <w:color w:val="000000"/>
                <w:sz w:val="21"/>
              </w:rPr>
            </w:pPr>
          </w:p>
        </w:tc>
        <w:tc>
          <w:tcPr>
            <w:tcW w:w="136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58"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2070"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0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389" w:type="dxa"/>
            <w:tcBorders>
              <w:left w:val="single" w:color="auto" w:sz="4" w:space="0"/>
            </w:tcBorders>
            <w:shd w:val="clear" w:color="auto" w:fill="auto"/>
            <w:vAlign w:val="center"/>
          </w:tcPr>
          <w:p>
            <w:pPr>
              <w:jc w:val="both"/>
              <w:rPr>
                <w:rFonts w:asciiTheme="minorEastAsia" w:hAnsiTheme="minorEastAsia"/>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803" w:type="dxa"/>
            <w:tcBorders>
              <w:right w:val="single" w:color="auto" w:sz="4" w:space="0"/>
            </w:tcBorders>
            <w:shd w:val="clear" w:color="auto" w:fill="auto"/>
            <w:vAlign w:val="center"/>
          </w:tcPr>
          <w:p>
            <w:pPr>
              <w:jc w:val="both"/>
              <w:rPr>
                <w:rFonts w:asciiTheme="minorEastAsia" w:hAnsiTheme="minorEastAsia"/>
                <w:color w:val="000000"/>
                <w:sz w:val="21"/>
              </w:rPr>
            </w:pPr>
          </w:p>
        </w:tc>
        <w:tc>
          <w:tcPr>
            <w:tcW w:w="136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58"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2070"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701" w:type="dxa"/>
            <w:tcBorders>
              <w:left w:val="single" w:color="auto" w:sz="4" w:space="0"/>
              <w:right w:val="single" w:color="auto" w:sz="4" w:space="0"/>
            </w:tcBorders>
            <w:shd w:val="clear" w:color="auto" w:fill="auto"/>
            <w:vAlign w:val="center"/>
          </w:tcPr>
          <w:p>
            <w:pPr>
              <w:jc w:val="both"/>
              <w:rPr>
                <w:rFonts w:asciiTheme="minorEastAsia" w:hAnsiTheme="minorEastAsia"/>
                <w:color w:val="000000"/>
                <w:sz w:val="21"/>
              </w:rPr>
            </w:pPr>
          </w:p>
        </w:tc>
        <w:tc>
          <w:tcPr>
            <w:tcW w:w="1389" w:type="dxa"/>
            <w:tcBorders>
              <w:left w:val="single" w:color="auto" w:sz="4" w:space="0"/>
            </w:tcBorders>
            <w:shd w:val="clear" w:color="auto" w:fill="auto"/>
            <w:vAlign w:val="center"/>
          </w:tcPr>
          <w:p>
            <w:pPr>
              <w:jc w:val="both"/>
              <w:rPr>
                <w:rFonts w:asciiTheme="minorEastAsia" w:hAnsiTheme="minorEastAsia"/>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7" w:hRule="atLeast"/>
          <w:jc w:val="center"/>
        </w:trPr>
        <w:tc>
          <w:tcPr>
            <w:tcW w:w="803" w:type="dxa"/>
            <w:tcBorders>
              <w:right w:val="single" w:color="auto" w:sz="4" w:space="0"/>
            </w:tcBorders>
            <w:shd w:val="clear" w:color="auto" w:fill="auto"/>
            <w:vAlign w:val="center"/>
          </w:tcPr>
          <w:p>
            <w:pPr>
              <w:jc w:val="center"/>
              <w:rPr>
                <w:rFonts w:asciiTheme="minorEastAsia" w:hAnsiTheme="minorEastAsia"/>
                <w:color w:val="000000"/>
                <w:sz w:val="21"/>
              </w:rPr>
            </w:pPr>
            <w:r>
              <w:rPr>
                <w:rFonts w:asciiTheme="minorEastAsia" w:hAnsiTheme="minorEastAsia"/>
                <w:color w:val="000000"/>
                <w:sz w:val="21"/>
              </w:rPr>
              <w:t>备注</w:t>
            </w:r>
          </w:p>
        </w:tc>
        <w:tc>
          <w:tcPr>
            <w:tcW w:w="8279" w:type="dxa"/>
            <w:gridSpan w:val="5"/>
            <w:tcBorders>
              <w:left w:val="single" w:color="auto" w:sz="4" w:space="0"/>
            </w:tcBorders>
            <w:shd w:val="clear" w:color="auto" w:fill="auto"/>
            <w:vAlign w:val="center"/>
          </w:tcPr>
          <w:p>
            <w:pPr>
              <w:ind w:left="315" w:hanging="315" w:hangingChars="150"/>
              <w:jc w:val="both"/>
              <w:rPr>
                <w:rFonts w:asciiTheme="minorEastAsia" w:hAnsiTheme="minorEastAsia" w:cstheme="minorHAnsi"/>
                <w:sz w:val="21"/>
              </w:rPr>
            </w:pPr>
            <w:r>
              <w:rPr>
                <w:rFonts w:hint="eastAsia" w:asciiTheme="minorEastAsia" w:hAnsiTheme="minorEastAsia"/>
                <w:color w:val="000000"/>
                <w:sz w:val="21"/>
              </w:rPr>
              <w:t xml:space="preserve">① </w:t>
            </w:r>
            <w:r>
              <w:rPr>
                <w:rFonts w:asciiTheme="minorEastAsia" w:hAnsiTheme="minorEastAsia" w:cstheme="minorHAnsi"/>
                <w:sz w:val="21"/>
              </w:rPr>
              <w:t>表格行数不够时，请自行扩展。</w:t>
            </w:r>
          </w:p>
          <w:p>
            <w:pPr>
              <w:ind w:left="315" w:hanging="315" w:hangingChars="150"/>
              <w:jc w:val="both"/>
              <w:rPr>
                <w:rFonts w:asciiTheme="minorEastAsia" w:hAnsiTheme="minorEastAsia"/>
                <w:color w:val="000000"/>
                <w:sz w:val="21"/>
              </w:rPr>
            </w:pPr>
            <w:r>
              <w:rPr>
                <w:rFonts w:asciiTheme="minorEastAsia" w:hAnsiTheme="minorEastAsia" w:cstheme="minorHAnsi"/>
                <w:sz w:val="21"/>
              </w:rPr>
              <w:t xml:space="preserve">② </w:t>
            </w:r>
            <w:r>
              <w:rPr>
                <w:rFonts w:hint="eastAsia" w:asciiTheme="minorEastAsia" w:hAnsiTheme="minorEastAsia"/>
                <w:color w:val="000000"/>
                <w:sz w:val="21"/>
              </w:rPr>
              <w:t>对合同条款中的所有要求，除本表所列明的所有偏离外，均视作供应商已对之理解和响应。</w:t>
            </w:r>
          </w:p>
          <w:p>
            <w:pPr>
              <w:ind w:left="315" w:hanging="315" w:hangingChars="150"/>
              <w:jc w:val="both"/>
              <w:rPr>
                <w:rFonts w:asciiTheme="minorEastAsia" w:hAnsiTheme="minorEastAsia"/>
                <w:color w:val="000000"/>
                <w:sz w:val="21"/>
              </w:rPr>
            </w:pPr>
            <w:r>
              <w:rPr>
                <w:rFonts w:hint="eastAsia" w:asciiTheme="minorEastAsia" w:hAnsiTheme="minorEastAsia"/>
                <w:color w:val="000000"/>
                <w:sz w:val="21"/>
              </w:rPr>
              <w:t>③ “偏离情况”列应据实填写“正偏离”或“负偏离”。</w:t>
            </w:r>
          </w:p>
        </w:tc>
      </w:tr>
    </w:tbl>
    <w:p>
      <w:pPr>
        <w:rPr>
          <w:rFonts w:cstheme="minorHAnsi"/>
          <w:color w:val="1F4E79" w:themeColor="accent1" w:themeShade="80"/>
          <w:sz w:val="32"/>
          <w:szCs w:val="36"/>
        </w:rPr>
      </w:pPr>
      <w:r>
        <w:rPr>
          <w:rFonts w:cstheme="minorHAnsi"/>
          <w:color w:val="1F4E79" w:themeColor="accent1" w:themeShade="80"/>
          <w:sz w:val="32"/>
          <w:szCs w:val="36"/>
        </w:rPr>
        <w:br w:type="page"/>
      </w:r>
    </w:p>
    <w:p>
      <w:pPr>
        <w:keepNext/>
        <w:spacing w:before="120" w:after="60"/>
        <w:outlineLvl w:val="2"/>
        <w:rPr>
          <w:rFonts w:ascii="黑体" w:hAnsi="黑体" w:eastAsia="黑体"/>
          <w:kern w:val="28"/>
          <w:sz w:val="28"/>
          <w:szCs w:val="28"/>
        </w:rPr>
      </w:pPr>
      <w:r>
        <w:rPr>
          <w:rFonts w:ascii="黑体" w:hAnsi="黑体" w:eastAsia="黑体"/>
          <w:kern w:val="28"/>
          <w:sz w:val="28"/>
          <w:szCs w:val="28"/>
        </w:rPr>
        <w:t>（四）其他需要提供的资料</w:t>
      </w:r>
    </w:p>
    <w:p>
      <w:pPr>
        <w:rPr>
          <w:rFonts w:ascii="Calibri" w:hAnsi="华文仿宋"/>
          <w:b/>
        </w:rPr>
      </w:pPr>
    </w:p>
    <w:p>
      <w:pPr>
        <w:rPr>
          <w:rFonts w:cstheme="minorHAnsi"/>
        </w:rPr>
      </w:pPr>
    </w:p>
    <w:p>
      <w:pPr>
        <w:rPr>
          <w:rFonts w:cstheme="minorHAnsi"/>
        </w:rPr>
        <w:sectPr>
          <w:footerReference r:id="rId29" w:type="default"/>
          <w:footerReference r:id="rId30" w:type="even"/>
          <w:pgSz w:w="11906" w:h="16838"/>
          <w:pgMar w:top="1418" w:right="1418" w:bottom="1418" w:left="1418" w:header="851" w:footer="992" w:gutter="0"/>
          <w:cols w:space="425" w:num="1"/>
          <w:docGrid w:type="linesAndChars" w:linePitch="460" w:charSpace="0"/>
        </w:sectPr>
      </w:pPr>
    </w:p>
    <w:p>
      <w:pPr>
        <w:keepNext/>
        <w:spacing w:before="230" w:beforeLines="50" w:after="230" w:afterLines="50"/>
        <w:jc w:val="center"/>
        <w:outlineLvl w:val="1"/>
        <w:rPr>
          <w:rFonts w:ascii="Calibri" w:hAnsi="Calibri" w:eastAsia="黑体"/>
          <w:kern w:val="32"/>
          <w:sz w:val="32"/>
        </w:rPr>
      </w:pPr>
      <w:r>
        <w:rPr>
          <w:rFonts w:ascii="Calibri" w:hAnsi="Calibri" w:eastAsia="黑体"/>
          <w:kern w:val="32"/>
          <w:sz w:val="32"/>
        </w:rPr>
        <w:t>第六部分</w:t>
      </w:r>
      <w:r>
        <w:rPr>
          <w:rFonts w:hint="eastAsia" w:ascii="Calibri" w:hAnsi="Calibri" w:eastAsia="黑体"/>
          <w:kern w:val="32"/>
          <w:sz w:val="32"/>
        </w:rPr>
        <w:t>　</w:t>
      </w:r>
      <w:r>
        <w:rPr>
          <w:rFonts w:ascii="Calibri" w:hAnsi="Calibri" w:eastAsia="黑体"/>
          <w:kern w:val="32"/>
          <w:sz w:val="32"/>
        </w:rPr>
        <w:t>供应商概况</w:t>
      </w:r>
    </w:p>
    <w:p>
      <w:pPr>
        <w:keepNext/>
        <w:spacing w:before="120" w:after="60"/>
        <w:outlineLvl w:val="2"/>
        <w:rPr>
          <w:rFonts w:ascii="Calibri" w:hAnsi="Calibri" w:eastAsia="黑体"/>
          <w:kern w:val="28"/>
          <w:sz w:val="28"/>
        </w:rPr>
      </w:pPr>
      <w:r>
        <w:rPr>
          <w:rFonts w:ascii="Calibri" w:hAnsi="Calibri" w:eastAsia="黑体"/>
          <w:kern w:val="28"/>
          <w:sz w:val="28"/>
        </w:rPr>
        <w:t>（一）供应商基本信息</w:t>
      </w:r>
    </w:p>
    <w:tbl>
      <w:tblPr>
        <w:tblStyle w:val="24"/>
        <w:tblW w:w="9180"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559"/>
        <w:gridCol w:w="1159"/>
        <w:gridCol w:w="1701"/>
        <w:gridCol w:w="1275"/>
        <w:gridCol w:w="151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180" w:type="dxa"/>
            <w:gridSpan w:val="6"/>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单位基本情况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供应商全称</w:t>
            </w:r>
          </w:p>
        </w:tc>
        <w:tc>
          <w:tcPr>
            <w:tcW w:w="7210" w:type="dxa"/>
            <w:gridSpan w:val="5"/>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注册地址</w:t>
            </w: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成立时间</w:t>
            </w: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统一社会信用代码</w:t>
            </w: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单位性质</w:t>
            </w: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法定代表人</w:t>
            </w:r>
            <w:r>
              <w:rPr>
                <w:rFonts w:cstheme="minorHAnsi"/>
                <w:sz w:val="21"/>
                <w:szCs w:val="21"/>
              </w:rPr>
              <w:br w:type="textWrapping"/>
            </w:r>
            <w:r>
              <w:rPr>
                <w:rFonts w:cstheme="minorHAnsi"/>
                <w:sz w:val="21"/>
                <w:szCs w:val="21"/>
              </w:rPr>
              <w:t>（负责人）</w:t>
            </w: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所属行业</w:t>
            </w: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基本存款账户</w:t>
            </w:r>
            <w:r>
              <w:rPr>
                <w:rFonts w:cstheme="minorHAnsi"/>
                <w:sz w:val="21"/>
                <w:szCs w:val="21"/>
              </w:rPr>
              <w:br w:type="textWrapping"/>
            </w:r>
            <w:r>
              <w:rPr>
                <w:rFonts w:cstheme="minorHAnsi"/>
                <w:sz w:val="21"/>
                <w:szCs w:val="21"/>
              </w:rPr>
              <w:t>开户银行</w:t>
            </w: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基本存款</w:t>
            </w:r>
            <w:r>
              <w:rPr>
                <w:rFonts w:cstheme="minorHAnsi"/>
                <w:sz w:val="21"/>
                <w:szCs w:val="21"/>
              </w:rPr>
              <w:br w:type="textWrapping"/>
            </w:r>
            <w:r>
              <w:rPr>
                <w:rFonts w:cstheme="minorHAnsi"/>
                <w:sz w:val="21"/>
                <w:szCs w:val="21"/>
              </w:rPr>
              <w:t>账户账号</w:t>
            </w: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上年度营业收入*</w:t>
            </w: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资产总额</w:t>
            </w: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经营范围</w:t>
            </w:r>
          </w:p>
        </w:tc>
        <w:tc>
          <w:tcPr>
            <w:tcW w:w="7210" w:type="dxa"/>
            <w:gridSpan w:val="5"/>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资质证书名称</w:t>
            </w:r>
          </w:p>
        </w:tc>
        <w:tc>
          <w:tcPr>
            <w:tcW w:w="2718" w:type="dxa"/>
            <w:gridSpan w:val="2"/>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证书号</w:t>
            </w:r>
          </w:p>
        </w:tc>
        <w:tc>
          <w:tcPr>
            <w:tcW w:w="1701" w:type="dxa"/>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等级</w:t>
            </w:r>
          </w:p>
        </w:tc>
        <w:tc>
          <w:tcPr>
            <w:tcW w:w="2791" w:type="dxa"/>
            <w:gridSpan w:val="2"/>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类型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p>
        </w:tc>
        <w:tc>
          <w:tcPr>
            <w:tcW w:w="2718" w:type="dxa"/>
            <w:gridSpan w:val="2"/>
            <w:shd w:val="clear" w:color="auto" w:fill="auto"/>
            <w:vAlign w:val="center"/>
          </w:tcPr>
          <w:p>
            <w:pPr>
              <w:autoSpaceDE w:val="0"/>
              <w:autoSpaceDN w:val="0"/>
              <w:adjustRightInd w:val="0"/>
              <w:spacing w:line="320" w:lineRule="exact"/>
              <w:jc w:val="center"/>
              <w:rPr>
                <w:rFonts w:cstheme="minorHAnsi"/>
                <w:sz w:val="21"/>
                <w:szCs w:val="21"/>
              </w:rPr>
            </w:pP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p>
        </w:tc>
        <w:tc>
          <w:tcPr>
            <w:tcW w:w="2791" w:type="dxa"/>
            <w:gridSpan w:val="2"/>
            <w:shd w:val="clear" w:color="auto" w:fill="auto"/>
            <w:vAlign w:val="center"/>
          </w:tcPr>
          <w:p>
            <w:pPr>
              <w:autoSpaceDE w:val="0"/>
              <w:autoSpaceDN w:val="0"/>
              <w:adjustRightInd w:val="0"/>
              <w:spacing w:line="320" w:lineRule="exact"/>
              <w:jc w:val="center"/>
              <w:rPr>
                <w:rFonts w:cstheme="minorHAnsi"/>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180" w:type="dxa"/>
            <w:gridSpan w:val="6"/>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从业人员情况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vMerge w:val="restart"/>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从业人员总数</w:t>
            </w:r>
          </w:p>
        </w:tc>
        <w:tc>
          <w:tcPr>
            <w:tcW w:w="1559" w:type="dxa"/>
            <w:vMerge w:val="restart"/>
            <w:shd w:val="clear" w:color="auto" w:fill="auto"/>
            <w:vAlign w:val="center"/>
          </w:tcPr>
          <w:p>
            <w:pPr>
              <w:autoSpaceDE w:val="0"/>
              <w:autoSpaceDN w:val="0"/>
              <w:adjustRightInd w:val="0"/>
              <w:spacing w:line="320" w:lineRule="exact"/>
              <w:jc w:val="center"/>
              <w:rPr>
                <w:rFonts w:cstheme="minorHAnsi"/>
                <w:sz w:val="21"/>
                <w:szCs w:val="21"/>
              </w:rPr>
            </w:pPr>
            <w:r>
              <w:rPr>
                <w:rFonts w:hint="eastAsia" w:cstheme="minorHAnsi"/>
                <w:sz w:val="21"/>
                <w:szCs w:val="21"/>
              </w:rPr>
              <w:t>　　（人）</w:t>
            </w:r>
          </w:p>
        </w:tc>
        <w:tc>
          <w:tcPr>
            <w:tcW w:w="1159"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管理人员</w:t>
            </w: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hint="eastAsia" w:cstheme="minorHAnsi"/>
                <w:sz w:val="21"/>
                <w:szCs w:val="21"/>
              </w:rPr>
              <w:t>　　（人）</w:t>
            </w:r>
          </w:p>
        </w:tc>
        <w:tc>
          <w:tcPr>
            <w:tcW w:w="1275"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专业技术</w:t>
            </w:r>
          </w:p>
        </w:tc>
        <w:tc>
          <w:tcPr>
            <w:tcW w:w="1516" w:type="dxa"/>
            <w:shd w:val="clear" w:color="auto" w:fill="auto"/>
            <w:vAlign w:val="center"/>
          </w:tcPr>
          <w:p>
            <w:pPr>
              <w:autoSpaceDE w:val="0"/>
              <w:autoSpaceDN w:val="0"/>
              <w:adjustRightInd w:val="0"/>
              <w:spacing w:line="320" w:lineRule="exact"/>
              <w:jc w:val="center"/>
              <w:rPr>
                <w:rFonts w:cstheme="minorHAnsi"/>
                <w:bCs/>
                <w:sz w:val="21"/>
                <w:szCs w:val="21"/>
              </w:rPr>
            </w:pPr>
            <w:r>
              <w:rPr>
                <w:rFonts w:hint="eastAsia" w:cstheme="minorHAnsi"/>
                <w:sz w:val="21"/>
                <w:szCs w:val="21"/>
              </w:rPr>
              <w:t>　　（人）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vMerge w:val="continue"/>
            <w:shd w:val="clear" w:color="auto" w:fill="auto"/>
            <w:vAlign w:val="center"/>
          </w:tcPr>
          <w:p>
            <w:pPr>
              <w:autoSpaceDE w:val="0"/>
              <w:autoSpaceDN w:val="0"/>
              <w:adjustRightInd w:val="0"/>
              <w:spacing w:line="320" w:lineRule="exact"/>
              <w:jc w:val="center"/>
              <w:rPr>
                <w:rFonts w:cstheme="minorHAnsi"/>
                <w:sz w:val="21"/>
                <w:szCs w:val="21"/>
              </w:rPr>
            </w:pPr>
          </w:p>
        </w:tc>
        <w:tc>
          <w:tcPr>
            <w:tcW w:w="1559" w:type="dxa"/>
            <w:vMerge w:val="continue"/>
            <w:shd w:val="clear" w:color="auto" w:fill="auto"/>
            <w:vAlign w:val="center"/>
          </w:tcPr>
          <w:p>
            <w:pPr>
              <w:autoSpaceDE w:val="0"/>
              <w:autoSpaceDN w:val="0"/>
              <w:adjustRightInd w:val="0"/>
              <w:spacing w:line="320" w:lineRule="exact"/>
              <w:jc w:val="center"/>
              <w:rPr>
                <w:rFonts w:cstheme="minorHAnsi"/>
                <w:sz w:val="21"/>
                <w:szCs w:val="21"/>
              </w:rPr>
            </w:pPr>
          </w:p>
        </w:tc>
        <w:tc>
          <w:tcPr>
            <w:tcW w:w="1159"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残疾人</w:t>
            </w:r>
          </w:p>
        </w:tc>
        <w:tc>
          <w:tcPr>
            <w:tcW w:w="1701" w:type="dxa"/>
            <w:shd w:val="clear" w:color="auto" w:fill="auto"/>
            <w:vAlign w:val="center"/>
          </w:tcPr>
          <w:p>
            <w:pPr>
              <w:autoSpaceDE w:val="0"/>
              <w:autoSpaceDN w:val="0"/>
              <w:adjustRightInd w:val="0"/>
              <w:spacing w:line="320" w:lineRule="exact"/>
              <w:jc w:val="center"/>
              <w:rPr>
                <w:rFonts w:cstheme="minorHAnsi"/>
                <w:sz w:val="21"/>
                <w:szCs w:val="21"/>
              </w:rPr>
            </w:pPr>
            <w:r>
              <w:rPr>
                <w:rFonts w:hint="eastAsia" w:cstheme="minorHAnsi"/>
                <w:sz w:val="21"/>
                <w:szCs w:val="21"/>
              </w:rPr>
              <w:t>　　（人）</w:t>
            </w:r>
          </w:p>
        </w:tc>
        <w:tc>
          <w:tcPr>
            <w:tcW w:w="1275"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少数民族</w:t>
            </w:r>
          </w:p>
        </w:tc>
        <w:tc>
          <w:tcPr>
            <w:tcW w:w="1516" w:type="dxa"/>
            <w:shd w:val="clear" w:color="auto" w:fill="auto"/>
            <w:vAlign w:val="center"/>
          </w:tcPr>
          <w:p>
            <w:pPr>
              <w:autoSpaceDE w:val="0"/>
              <w:autoSpaceDN w:val="0"/>
              <w:adjustRightInd w:val="0"/>
              <w:spacing w:line="320" w:lineRule="exact"/>
              <w:jc w:val="center"/>
              <w:rPr>
                <w:rFonts w:cstheme="minorHAnsi"/>
                <w:bCs/>
                <w:sz w:val="21"/>
                <w:szCs w:val="21"/>
              </w:rPr>
            </w:pPr>
            <w:r>
              <w:rPr>
                <w:rFonts w:hint="eastAsia" w:cstheme="minorHAnsi"/>
                <w:sz w:val="21"/>
                <w:szCs w:val="21"/>
              </w:rPr>
              <w:t>　　（人）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180" w:type="dxa"/>
            <w:gridSpan w:val="6"/>
            <w:shd w:val="clear" w:color="auto" w:fill="F1F1F1" w:themeFill="background1" w:themeFillShade="F2"/>
            <w:vAlign w:val="center"/>
          </w:tcPr>
          <w:p>
            <w:pPr>
              <w:autoSpaceDE w:val="0"/>
              <w:autoSpaceDN w:val="0"/>
              <w:adjustRightInd w:val="0"/>
              <w:spacing w:line="320" w:lineRule="exact"/>
              <w:jc w:val="center"/>
              <w:rPr>
                <w:rFonts w:cstheme="minorHAnsi"/>
                <w:b/>
                <w:sz w:val="21"/>
                <w:szCs w:val="21"/>
              </w:rPr>
            </w:pPr>
            <w:r>
              <w:rPr>
                <w:rFonts w:cstheme="minorHAnsi"/>
                <w:b/>
                <w:sz w:val="21"/>
                <w:szCs w:val="21"/>
              </w:rPr>
              <w:t>存在直接控股、管理关系的相关供应商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bCs/>
                <w:sz w:val="21"/>
                <w:szCs w:val="21"/>
              </w:rPr>
              <w:t>关系</w:t>
            </w:r>
          </w:p>
        </w:tc>
        <w:tc>
          <w:tcPr>
            <w:tcW w:w="7210" w:type="dxa"/>
            <w:gridSpan w:val="5"/>
            <w:shd w:val="clear" w:color="auto" w:fill="auto"/>
            <w:vAlign w:val="center"/>
          </w:tcPr>
          <w:p>
            <w:pPr>
              <w:autoSpaceDE w:val="0"/>
              <w:autoSpaceDN w:val="0"/>
              <w:adjustRightInd w:val="0"/>
              <w:spacing w:line="320" w:lineRule="exact"/>
              <w:jc w:val="center"/>
              <w:rPr>
                <w:rFonts w:cstheme="minorHAnsi"/>
                <w:bCs/>
                <w:sz w:val="21"/>
                <w:szCs w:val="21"/>
              </w:rPr>
            </w:pPr>
            <w:r>
              <w:rPr>
                <w:rFonts w:cstheme="minorHAnsi"/>
                <w:bCs/>
                <w:sz w:val="21"/>
                <w:szCs w:val="21"/>
              </w:rPr>
              <w:t>供应商名称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p>
        </w:tc>
        <w:tc>
          <w:tcPr>
            <w:tcW w:w="7210" w:type="dxa"/>
            <w:gridSpan w:val="5"/>
            <w:shd w:val="clear" w:color="auto" w:fill="auto"/>
            <w:vAlign w:val="center"/>
          </w:tcPr>
          <w:p>
            <w:pPr>
              <w:autoSpaceDE w:val="0"/>
              <w:autoSpaceDN w:val="0"/>
              <w:adjustRightInd w:val="0"/>
              <w:spacing w:line="320" w:lineRule="exact"/>
              <w:rPr>
                <w:rFonts w:cstheme="minorHAnsi"/>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p>
        </w:tc>
        <w:tc>
          <w:tcPr>
            <w:tcW w:w="7210" w:type="dxa"/>
            <w:gridSpan w:val="5"/>
            <w:shd w:val="clear" w:color="auto" w:fill="auto"/>
            <w:vAlign w:val="center"/>
          </w:tcPr>
          <w:p>
            <w:pPr>
              <w:autoSpaceDE w:val="0"/>
              <w:autoSpaceDN w:val="0"/>
              <w:adjustRightInd w:val="0"/>
              <w:spacing w:line="320" w:lineRule="exact"/>
              <w:rPr>
                <w:rFonts w:cstheme="minorHAnsi"/>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970" w:type="dxa"/>
            <w:shd w:val="clear" w:color="auto" w:fill="auto"/>
            <w:vAlign w:val="center"/>
          </w:tcPr>
          <w:p>
            <w:pPr>
              <w:autoSpaceDE w:val="0"/>
              <w:autoSpaceDN w:val="0"/>
              <w:adjustRightInd w:val="0"/>
              <w:spacing w:line="320" w:lineRule="exact"/>
              <w:jc w:val="center"/>
              <w:rPr>
                <w:rFonts w:cstheme="minorHAnsi"/>
                <w:sz w:val="21"/>
                <w:szCs w:val="21"/>
              </w:rPr>
            </w:pPr>
            <w:r>
              <w:rPr>
                <w:rFonts w:cstheme="minorHAnsi"/>
                <w:sz w:val="21"/>
                <w:szCs w:val="21"/>
              </w:rPr>
              <w:t>说明</w:t>
            </w:r>
          </w:p>
        </w:tc>
        <w:tc>
          <w:tcPr>
            <w:tcW w:w="7210" w:type="dxa"/>
            <w:gridSpan w:val="5"/>
            <w:shd w:val="clear" w:color="auto" w:fill="auto"/>
            <w:vAlign w:val="center"/>
          </w:tcPr>
          <w:p>
            <w:pPr>
              <w:spacing w:line="320" w:lineRule="exact"/>
              <w:ind w:left="284" w:hanging="284"/>
              <w:rPr>
                <w:rFonts w:asciiTheme="minorEastAsia" w:hAnsiTheme="minorEastAsia" w:cstheme="minorHAnsi"/>
                <w:color w:val="000000"/>
                <w:sz w:val="21"/>
                <w:szCs w:val="21"/>
              </w:rPr>
            </w:pPr>
            <w:r>
              <w:rPr>
                <w:rFonts w:asciiTheme="minorEastAsia" w:hAnsiTheme="minorEastAsia" w:cstheme="minorHAnsi"/>
                <w:color w:val="000000"/>
                <w:sz w:val="21"/>
                <w:szCs w:val="21"/>
              </w:rPr>
              <w:t>① 成立时间至提交投标文件截止时间不足一年的可不填写</w:t>
            </w:r>
            <w:r>
              <w:rPr>
                <w:rFonts w:hint="eastAsia" w:asciiTheme="minorEastAsia" w:hAnsiTheme="minorEastAsia" w:cstheme="minorHAnsi"/>
                <w:color w:val="000000"/>
                <w:sz w:val="21"/>
                <w:szCs w:val="21"/>
              </w:rPr>
              <w:t>“上年度营业收入”；</w:t>
            </w:r>
          </w:p>
          <w:p>
            <w:pPr>
              <w:spacing w:line="320" w:lineRule="exact"/>
              <w:ind w:left="284" w:hanging="284"/>
              <w:rPr>
                <w:rFonts w:asciiTheme="minorEastAsia" w:hAnsiTheme="minorEastAsia" w:cstheme="minorHAnsi"/>
                <w:color w:val="000000"/>
                <w:sz w:val="21"/>
                <w:szCs w:val="21"/>
              </w:rPr>
            </w:pPr>
            <w:r>
              <w:rPr>
                <w:rFonts w:hint="eastAsia" w:asciiTheme="minorEastAsia" w:hAnsiTheme="minorEastAsia" w:cstheme="minorHAnsi"/>
                <w:color w:val="000000"/>
                <w:sz w:val="21"/>
                <w:szCs w:val="21"/>
              </w:rPr>
              <w:t xml:space="preserve">② </w:t>
            </w:r>
            <w:r>
              <w:rPr>
                <w:rFonts w:asciiTheme="minorEastAsia" w:hAnsiTheme="minorEastAsia" w:cstheme="minorHAnsi"/>
                <w:color w:val="000000"/>
                <w:sz w:val="21"/>
                <w:szCs w:val="21"/>
              </w:rPr>
              <w:t>招标文件接受联合体的，联合体各方均应提供；</w:t>
            </w:r>
          </w:p>
          <w:p>
            <w:pPr>
              <w:spacing w:line="320" w:lineRule="exact"/>
              <w:ind w:left="284" w:hanging="284"/>
              <w:rPr>
                <w:rFonts w:cstheme="minorHAnsi"/>
                <w:sz w:val="21"/>
                <w:szCs w:val="21"/>
              </w:rPr>
            </w:pPr>
            <w:r>
              <w:rPr>
                <w:rFonts w:asciiTheme="minorEastAsia" w:hAnsiTheme="minorEastAsia" w:cstheme="minorHAnsi"/>
                <w:color w:val="000000"/>
                <w:sz w:val="21"/>
                <w:szCs w:val="21"/>
              </w:rPr>
              <w:t>③ 表格空间不足时，请自行扩展。</w:t>
            </w:r>
          </w:p>
        </w:tc>
      </w:tr>
    </w:tbl>
    <w:p>
      <w:pPr>
        <w:rPr>
          <w:rFonts w:ascii="Calibri Light" w:hAnsi="Calibri Light" w:eastAsia="华文仿宋" w:cs="Calibri Light"/>
          <w:color w:val="000000"/>
          <w:sz w:val="28"/>
          <w:szCs w:val="28"/>
        </w:rPr>
      </w:pPr>
      <w:r>
        <w:rPr>
          <w:rFonts w:ascii="Calibri Light" w:hAnsi="Calibri Light" w:eastAsia="华文仿宋" w:cs="Calibri Light"/>
          <w:color w:val="000000"/>
          <w:sz w:val="28"/>
          <w:szCs w:val="28"/>
        </w:rPr>
        <w:br w:type="page"/>
      </w:r>
    </w:p>
    <w:p>
      <w:pPr>
        <w:keepNext/>
        <w:spacing w:before="120" w:after="60"/>
        <w:outlineLvl w:val="2"/>
        <w:rPr>
          <w:rFonts w:ascii="Calibri" w:hAnsi="Calibri" w:eastAsia="黑体"/>
          <w:kern w:val="28"/>
          <w:sz w:val="28"/>
        </w:rPr>
      </w:pPr>
      <w:r>
        <w:rPr>
          <w:rFonts w:ascii="Calibri" w:hAnsi="Calibri" w:eastAsia="黑体"/>
          <w:kern w:val="28"/>
          <w:sz w:val="28"/>
        </w:rPr>
        <w:t>（</w:t>
      </w:r>
      <w:r>
        <w:rPr>
          <w:rFonts w:hint="eastAsia" w:ascii="Calibri" w:hAnsi="Calibri" w:eastAsia="黑体"/>
          <w:kern w:val="28"/>
          <w:sz w:val="28"/>
        </w:rPr>
        <w:t>二</w:t>
      </w:r>
      <w:r>
        <w:rPr>
          <w:rFonts w:ascii="Calibri" w:hAnsi="Calibri" w:eastAsia="黑体"/>
          <w:kern w:val="28"/>
          <w:sz w:val="28"/>
        </w:rPr>
        <w:t>）供应商参加政府采购活动承诺书</w:t>
      </w:r>
    </w:p>
    <w:p>
      <w:pPr>
        <w:pStyle w:val="81"/>
        <w:ind w:firstLine="480"/>
        <w:rPr>
          <w:i/>
          <w:color w:val="7030A0"/>
        </w:rPr>
      </w:pPr>
      <w:r>
        <w:rPr>
          <w:i/>
          <w:color w:val="7030A0"/>
        </w:rPr>
        <w:t>未签署下列承诺书的，将被视为无效投标，其责任由供应商自行承担。</w:t>
      </w:r>
    </w:p>
    <w:p>
      <w:pPr>
        <w:spacing w:line="480" w:lineRule="exact"/>
        <w:rPr>
          <w:rFonts w:ascii="黑体" w:hAnsi="黑体" w:cstheme="minorHAnsi"/>
          <w:b/>
        </w:rPr>
      </w:pPr>
      <w:r>
        <w:rPr>
          <w:rFonts w:ascii="黑体" w:hAnsi="黑体" w:cstheme="minorHAnsi"/>
          <w:b/>
        </w:rPr>
        <w:t>1</w:t>
      </w:r>
      <w:r>
        <w:rPr>
          <w:rFonts w:hint="eastAsia" w:ascii="黑体" w:hAnsi="黑体" w:cstheme="minorHAnsi"/>
          <w:b/>
        </w:rPr>
        <w:t>．</w:t>
      </w:r>
      <w:r>
        <w:rPr>
          <w:rFonts w:ascii="黑体" w:hAnsi="黑体" w:cstheme="minorHAnsi"/>
          <w:b/>
        </w:rPr>
        <w:t>质量安全责任承诺书</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为保证本采购项目顺利进行，作为参与本次采购活动的供应商，现郑重承诺：</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1</w:t>
      </w:r>
      <w:r>
        <w:rPr>
          <w:rFonts w:ascii="Calibri" w:hAnsi="Calibri" w:eastAsia="宋体" w:cstheme="minorHAnsi"/>
          <w:color w:val="000000"/>
          <w:kern w:val="24"/>
        </w:rPr>
        <w:t>）我方所投产品的生产（包括设计、制造、安装、改造、维修等）、投入使用的材料等均完全符合国家现行质量、安全、环保标准和要求。</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2</w:t>
      </w:r>
      <w:r>
        <w:rPr>
          <w:rFonts w:ascii="Calibri" w:hAnsi="Calibri" w:eastAsia="宋体" w:cstheme="minorHAnsi"/>
          <w:color w:val="000000"/>
          <w:kern w:val="24"/>
        </w:rPr>
        <w:t>）我方将严格按照国家现行相关储存、运输、安装调试技术标准及规范、服务标准及规范、施工标准及规范，在规定的时限内，保质、保量完成项目全部内容，并向采购人交付合格产品。</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3</w:t>
      </w:r>
      <w:r>
        <w:rPr>
          <w:rFonts w:ascii="Calibri" w:hAnsi="Calibri" w:eastAsia="宋体" w:cstheme="minorHAnsi"/>
          <w:color w:val="000000"/>
          <w:kern w:val="24"/>
        </w:rPr>
        <w:t>）对于因产品生产质量以及储存、运输、安装调试、服务、施工等过程中产生的任何安全事故，我方承担全部责任。</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4</w:t>
      </w:r>
      <w:r>
        <w:rPr>
          <w:rFonts w:ascii="Calibri" w:hAnsi="Calibri" w:eastAsia="宋体" w:cstheme="minorHAnsi"/>
          <w:color w:val="000000"/>
          <w:kern w:val="24"/>
        </w:rPr>
        <w:t>）我方提供的货物、工程、服务等符合现行的国家、行业、地区、企业标准及要求，标准不一致的，以更为严格的为准，我方对提供的货物、工程、服务等的质量、安全、环保等承担全部责任。</w:t>
      </w:r>
    </w:p>
    <w:p>
      <w:pPr>
        <w:ind w:firstLine="480" w:firstLineChars="200"/>
        <w:jc w:val="both"/>
        <w:rPr>
          <w:rFonts w:ascii="Calibri" w:hAnsi="Calibri" w:eastAsia="宋体" w:cstheme="minorHAnsi"/>
          <w:color w:val="000000"/>
          <w:kern w:val="24"/>
        </w:rPr>
      </w:pPr>
      <w:r>
        <w:rPr>
          <w:rFonts w:hint="eastAsia" w:ascii="Calibri" w:hAnsi="Calibri" w:eastAsia="宋体" w:cstheme="minorHAnsi"/>
          <w:color w:val="000000"/>
          <w:kern w:val="24"/>
        </w:rPr>
        <w:t>（5）若我方所投</w:t>
      </w:r>
      <w:r>
        <w:rPr>
          <w:rFonts w:ascii="Calibri" w:hAnsi="Calibri" w:eastAsia="宋体" w:cstheme="minorHAnsi"/>
          <w:color w:val="000000"/>
          <w:kern w:val="24"/>
        </w:rPr>
        <w:t>产品</w:t>
      </w:r>
      <w:r>
        <w:rPr>
          <w:rFonts w:hint="eastAsia" w:ascii="Calibri" w:hAnsi="Calibri" w:eastAsia="宋体" w:cstheme="minorHAnsi"/>
          <w:color w:val="000000"/>
          <w:kern w:val="24"/>
        </w:rPr>
        <w:t>或原材料</w:t>
      </w:r>
      <w:r>
        <w:rPr>
          <w:rFonts w:ascii="Calibri" w:hAnsi="Calibri" w:eastAsia="宋体" w:cstheme="minorHAnsi"/>
          <w:color w:val="000000"/>
          <w:kern w:val="24"/>
        </w:rPr>
        <w:t>属于</w:t>
      </w:r>
      <w:r>
        <w:rPr>
          <w:rFonts w:hint="eastAsia" w:ascii="Calibri" w:hAnsi="Calibri" w:eastAsia="宋体" w:cstheme="minorHAnsi"/>
          <w:color w:val="000000"/>
          <w:kern w:val="24"/>
        </w:rPr>
        <w:t>强制性产品认证目录内</w:t>
      </w:r>
      <w:r>
        <w:rPr>
          <w:rFonts w:ascii="Calibri" w:hAnsi="Calibri" w:eastAsia="宋体" w:cstheme="minorHAnsi"/>
          <w:color w:val="000000"/>
          <w:kern w:val="24"/>
        </w:rPr>
        <w:t>品目</w:t>
      </w:r>
      <w:r>
        <w:rPr>
          <w:rFonts w:hint="eastAsia" w:ascii="Calibri" w:hAnsi="Calibri" w:eastAsia="宋体" w:cstheme="minorHAnsi"/>
          <w:color w:val="000000"/>
          <w:kern w:val="24"/>
        </w:rPr>
        <w:t>，我方承诺该产品或</w:t>
      </w:r>
      <w:r>
        <w:rPr>
          <w:rFonts w:ascii="Calibri" w:hAnsi="Calibri" w:eastAsia="宋体" w:cstheme="minorHAnsi"/>
          <w:color w:val="000000"/>
          <w:kern w:val="24"/>
        </w:rPr>
        <w:t>原材料</w:t>
      </w:r>
      <w:r>
        <w:rPr>
          <w:rFonts w:hint="eastAsia" w:ascii="Calibri" w:hAnsi="Calibri" w:eastAsia="宋体" w:cstheme="minorHAnsi"/>
          <w:color w:val="000000"/>
          <w:kern w:val="24"/>
        </w:rPr>
        <w:t>满足国家强制性产品认证要求，具备“中国国家强制性产品认证证书”。</w:t>
      </w:r>
    </w:p>
    <w:p>
      <w:pPr>
        <w:ind w:firstLine="480" w:firstLineChars="200"/>
        <w:jc w:val="both"/>
        <w:rPr>
          <w:rFonts w:ascii="Calibri" w:hAnsi="Calibri" w:eastAsia="宋体" w:cstheme="minorHAnsi"/>
          <w:color w:val="000000"/>
          <w:kern w:val="24"/>
        </w:rPr>
      </w:pP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供应商：（</w:t>
      </w:r>
      <w:r>
        <w:rPr>
          <w:rFonts w:ascii="Calibri" w:hAnsi="Calibri" w:eastAsia="宋体" w:cstheme="minorHAnsi"/>
          <w:i/>
          <w:color w:val="7030A0"/>
          <w:kern w:val="24"/>
        </w:rPr>
        <w:t>供应商全称并加盖公章</w:t>
      </w:r>
      <w:r>
        <w:rPr>
          <w:rFonts w:ascii="Calibri" w:hAnsi="Calibri" w:eastAsia="宋体" w:cstheme="minorHAnsi"/>
          <w:color w:val="000000"/>
          <w:kern w:val="24"/>
        </w:rPr>
        <w:t>）</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日</w:t>
      </w:r>
      <w:r>
        <w:rPr>
          <w:rFonts w:hint="eastAsia" w:ascii="Calibri" w:hAnsi="Calibri" w:eastAsia="宋体" w:cstheme="minorHAnsi"/>
          <w:color w:val="000000"/>
          <w:kern w:val="24"/>
        </w:rPr>
        <w:t>　</w:t>
      </w:r>
      <w:r>
        <w:rPr>
          <w:rFonts w:ascii="Calibri" w:hAnsi="Calibri" w:eastAsia="宋体" w:cstheme="minorHAnsi"/>
          <w:color w:val="000000"/>
          <w:kern w:val="24"/>
        </w:rPr>
        <w:t>期：　　年　月　日</w:t>
      </w:r>
    </w:p>
    <w:p>
      <w:pPr>
        <w:ind w:firstLine="480" w:firstLineChars="200"/>
        <w:jc w:val="both"/>
        <w:rPr>
          <w:rFonts w:ascii="Calibri" w:hAnsi="Calibri" w:eastAsia="宋体" w:cstheme="minorHAnsi"/>
          <w:color w:val="000000"/>
          <w:kern w:val="24"/>
        </w:rPr>
      </w:pPr>
    </w:p>
    <w:p>
      <w:pPr>
        <w:spacing w:line="480" w:lineRule="exact"/>
        <w:rPr>
          <w:rFonts w:ascii="黑体" w:hAnsi="黑体" w:cstheme="minorHAnsi"/>
          <w:b/>
        </w:rPr>
      </w:pPr>
      <w:r>
        <w:rPr>
          <w:rFonts w:ascii="黑体" w:hAnsi="黑体" w:cstheme="minorHAnsi"/>
          <w:b/>
        </w:rPr>
        <w:t>2</w:t>
      </w:r>
      <w:r>
        <w:rPr>
          <w:rFonts w:hint="eastAsia" w:ascii="黑体" w:hAnsi="黑体" w:eastAsia="黑体" w:cs="黑体"/>
          <w:b/>
        </w:rPr>
        <w:t>．</w:t>
      </w:r>
      <w:r>
        <w:rPr>
          <w:rFonts w:ascii="黑体" w:hAnsi="黑体" w:cstheme="minorHAnsi"/>
          <w:b/>
        </w:rPr>
        <w:t>参加政府采购活动行为自律承诺书</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作为参加本次政府采购项目的供应商，我方郑重承诺在参与政府采购活动中遵纪守法、公平竞争、诚实守信，如有违反愿承担一切责任及后果：</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1</w:t>
      </w:r>
      <w:r>
        <w:rPr>
          <w:rFonts w:ascii="Calibri" w:hAnsi="Calibri" w:eastAsia="宋体" w:cstheme="minorHAnsi"/>
          <w:color w:val="000000"/>
          <w:kern w:val="24"/>
        </w:rPr>
        <w:t>）不与采购人、采购代理机构、政府采购评审专家恶意串通，不向其行贿或提供其他不正当利益；</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2</w:t>
      </w:r>
      <w:r>
        <w:rPr>
          <w:rFonts w:ascii="Calibri" w:hAnsi="Calibri" w:eastAsia="宋体" w:cstheme="minorHAnsi"/>
          <w:color w:val="000000"/>
          <w:kern w:val="24"/>
        </w:rPr>
        <w:t>）不与其他供应商恶意串通，采取“围标、串标、陪标”等商业欺诈手段谋取中</w:t>
      </w:r>
      <w:r>
        <w:rPr>
          <w:rFonts w:ascii="Calibri" w:hAnsi="Calibri" w:eastAsia="宋体" w:cstheme="minorHAnsi"/>
          <w:color w:val="000000"/>
          <w:w w:val="1"/>
          <w:kern w:val="24"/>
        </w:rPr>
        <w:t xml:space="preserve"> </w:t>
      </w:r>
      <w:r>
        <w:rPr>
          <w:rFonts w:ascii="Calibri" w:hAnsi="Calibri" w:eastAsia="宋体" w:cstheme="minorHAnsi"/>
          <w:color w:val="000000"/>
          <w:kern w:val="24"/>
        </w:rPr>
        <w:t>标、成</w:t>
      </w:r>
      <w:r>
        <w:rPr>
          <w:rFonts w:ascii="Calibri" w:hAnsi="Calibri" w:eastAsia="宋体" w:cstheme="minorHAnsi"/>
          <w:color w:val="000000"/>
          <w:w w:val="1"/>
          <w:kern w:val="24"/>
        </w:rPr>
        <w:t xml:space="preserve"> </w:t>
      </w:r>
      <w:r>
        <w:rPr>
          <w:rFonts w:ascii="Calibri" w:hAnsi="Calibri" w:eastAsia="宋体" w:cstheme="minorHAnsi"/>
          <w:color w:val="000000"/>
          <w:kern w:val="24"/>
        </w:rPr>
        <w:t>交；</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3</w:t>
      </w:r>
      <w:r>
        <w:rPr>
          <w:rFonts w:ascii="Calibri" w:hAnsi="Calibri" w:eastAsia="宋体" w:cstheme="minorHAnsi"/>
          <w:color w:val="000000"/>
          <w:kern w:val="24"/>
        </w:rPr>
        <w:t>）不提供虚假或无效证明文件（包括但不限于资格证明文件、合同及验收文件、检验检测报告、从业人员资格证书、机构或所投产品的各类认证证书等）或虚假材料谋取中</w:t>
      </w:r>
      <w:r>
        <w:rPr>
          <w:rFonts w:ascii="Calibri" w:hAnsi="Calibri" w:eastAsia="宋体" w:cstheme="minorHAnsi"/>
          <w:color w:val="000000"/>
          <w:w w:val="1"/>
          <w:kern w:val="24"/>
        </w:rPr>
        <w:t xml:space="preserve"> </w:t>
      </w:r>
      <w:r>
        <w:rPr>
          <w:rFonts w:ascii="Calibri" w:hAnsi="Calibri" w:eastAsia="宋体" w:cstheme="minorHAnsi"/>
          <w:color w:val="000000"/>
          <w:kern w:val="24"/>
        </w:rPr>
        <w:t>标、成</w:t>
      </w:r>
      <w:r>
        <w:rPr>
          <w:rFonts w:ascii="Calibri" w:hAnsi="Calibri" w:eastAsia="宋体" w:cstheme="minorHAnsi"/>
          <w:color w:val="000000"/>
          <w:w w:val="1"/>
          <w:kern w:val="24"/>
        </w:rPr>
        <w:t xml:space="preserve"> </w:t>
      </w:r>
      <w:r>
        <w:rPr>
          <w:rFonts w:ascii="Calibri" w:hAnsi="Calibri" w:eastAsia="宋体" w:cstheme="minorHAnsi"/>
          <w:color w:val="000000"/>
          <w:kern w:val="24"/>
        </w:rPr>
        <w:t>交；</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4</w:t>
      </w:r>
      <w:r>
        <w:rPr>
          <w:rFonts w:ascii="Calibri" w:hAnsi="Calibri" w:eastAsia="宋体" w:cstheme="minorHAnsi"/>
          <w:color w:val="000000"/>
          <w:kern w:val="24"/>
        </w:rPr>
        <w:t>）不采取不正当手段诋毁、排挤其他供应商；</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5</w:t>
      </w:r>
      <w:r>
        <w:rPr>
          <w:rFonts w:ascii="Calibri" w:hAnsi="Calibri" w:eastAsia="宋体" w:cstheme="minorHAnsi"/>
          <w:color w:val="000000"/>
          <w:kern w:val="24"/>
        </w:rPr>
        <w:t>）不以不正当理由拒不与采购人签订政府采购合同，或逾期签订政府采购合同，或不按照采购文件确定的事项签订政府采购合同；</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6</w:t>
      </w:r>
      <w:r>
        <w:rPr>
          <w:rFonts w:ascii="Calibri" w:hAnsi="Calibri" w:eastAsia="宋体" w:cstheme="minorHAnsi"/>
          <w:color w:val="000000"/>
          <w:kern w:val="24"/>
        </w:rPr>
        <w:t>）不以不正当理由拒绝履行合同义务，不会擅自变更、中止或者终止政府采购合同或将政府采购合同转包；</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7</w:t>
      </w:r>
      <w:r>
        <w:rPr>
          <w:rFonts w:ascii="Calibri" w:hAnsi="Calibri" w:eastAsia="宋体" w:cstheme="minorHAnsi"/>
          <w:color w:val="000000"/>
          <w:kern w:val="24"/>
        </w:rPr>
        <w:t>）不在提供商品、服务或工程施工过程中提供假冒伪劣产品，损害采购人的合法权益或公共利益；</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8</w:t>
      </w:r>
      <w:r>
        <w:rPr>
          <w:rFonts w:ascii="Calibri" w:hAnsi="Calibri" w:eastAsia="宋体" w:cstheme="minorHAnsi"/>
          <w:color w:val="000000"/>
          <w:kern w:val="24"/>
        </w:rPr>
        <w:t>）不采取捏造事实、提供虚假材料或者以非法手段取得证明材料进行质疑和投诉；</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9</w:t>
      </w:r>
      <w:r>
        <w:rPr>
          <w:rFonts w:ascii="Calibri" w:hAnsi="Calibri" w:eastAsia="宋体" w:cstheme="minorHAnsi"/>
          <w:color w:val="000000"/>
          <w:kern w:val="24"/>
        </w:rPr>
        <w:t>）不发生其他有悖于政府采购公开、公平、公正和诚信原则的行为。</w:t>
      </w: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w:t>
      </w:r>
      <w:r>
        <w:rPr>
          <w:rFonts w:hint="eastAsia" w:ascii="Calibri" w:hAnsi="Calibri" w:eastAsia="宋体" w:cstheme="minorHAnsi"/>
          <w:color w:val="000000"/>
          <w:kern w:val="24"/>
        </w:rPr>
        <w:t>10</w:t>
      </w:r>
      <w:r>
        <w:rPr>
          <w:rFonts w:ascii="Calibri" w:hAnsi="Calibri" w:eastAsia="宋体" w:cstheme="minorHAnsi"/>
          <w:color w:val="000000"/>
          <w:kern w:val="24"/>
        </w:rPr>
        <w:t>）尊重和接受政府采购监督管理部门的监督和采购人、采购代理机构的政府采购工作要求，愿意承担因违约行为给采购人造成的损失。</w:t>
      </w:r>
    </w:p>
    <w:p>
      <w:pPr>
        <w:ind w:firstLine="480" w:firstLineChars="200"/>
        <w:jc w:val="both"/>
        <w:rPr>
          <w:rFonts w:ascii="Calibri" w:hAnsi="Calibri" w:eastAsia="宋体" w:cstheme="minorHAnsi"/>
          <w:color w:val="000000"/>
          <w:kern w:val="24"/>
        </w:rPr>
      </w:pPr>
    </w:p>
    <w:p>
      <w:pPr>
        <w:ind w:firstLine="480" w:firstLineChars="200"/>
        <w:jc w:val="both"/>
        <w:rPr>
          <w:rFonts w:ascii="Calibri" w:hAnsi="Calibri" w:eastAsia="宋体" w:cstheme="minorHAnsi"/>
          <w:color w:val="000000"/>
          <w:kern w:val="24"/>
        </w:rPr>
      </w:pPr>
      <w:r>
        <w:rPr>
          <w:rFonts w:ascii="Calibri" w:hAnsi="Calibri" w:eastAsia="宋体" w:cstheme="minorHAnsi"/>
          <w:color w:val="000000"/>
          <w:kern w:val="24"/>
        </w:rPr>
        <w:t>供应商：（</w:t>
      </w:r>
      <w:r>
        <w:rPr>
          <w:rFonts w:ascii="Calibri" w:hAnsi="Calibri" w:eastAsia="宋体" w:cstheme="minorHAnsi"/>
          <w:i/>
          <w:color w:val="C00000"/>
          <w:kern w:val="24"/>
        </w:rPr>
        <w:t>供应商全称并加盖公章</w:t>
      </w:r>
      <w:r>
        <w:rPr>
          <w:rFonts w:ascii="Calibri" w:hAnsi="Calibri" w:eastAsia="宋体" w:cstheme="minorHAnsi"/>
          <w:color w:val="000000"/>
          <w:kern w:val="24"/>
        </w:rPr>
        <w:t>）</w:t>
      </w:r>
    </w:p>
    <w:p>
      <w:pPr>
        <w:ind w:firstLine="480" w:firstLineChars="200"/>
        <w:jc w:val="both"/>
        <w:rPr>
          <w:rFonts w:ascii="Calibri Light" w:hAnsi="Calibri Light" w:eastAsia="华文仿宋" w:cs="Calibri Light"/>
          <w:color w:val="000000"/>
          <w:sz w:val="28"/>
          <w:szCs w:val="28"/>
        </w:rPr>
      </w:pPr>
      <w:r>
        <w:rPr>
          <w:rFonts w:ascii="Calibri" w:hAnsi="Calibri" w:eastAsia="宋体" w:cstheme="minorHAnsi"/>
          <w:color w:val="000000"/>
          <w:kern w:val="24"/>
        </w:rPr>
        <w:t>日</w:t>
      </w:r>
      <w:r>
        <w:rPr>
          <w:rFonts w:hint="eastAsia" w:ascii="Calibri" w:hAnsi="Calibri" w:eastAsia="宋体" w:cstheme="minorHAnsi"/>
          <w:color w:val="000000"/>
          <w:kern w:val="24"/>
        </w:rPr>
        <w:t>　</w:t>
      </w:r>
      <w:r>
        <w:rPr>
          <w:rFonts w:ascii="Calibri" w:hAnsi="Calibri" w:eastAsia="宋体" w:cstheme="minorHAnsi"/>
          <w:color w:val="000000"/>
          <w:kern w:val="24"/>
        </w:rPr>
        <w:t>期：　　年　月　日</w:t>
      </w:r>
    </w:p>
    <w:p>
      <w:pPr>
        <w:rPr>
          <w:rFonts w:ascii="Calibri Light" w:hAnsi="Calibri Light" w:eastAsia="华文仿宋" w:cs="Calibri Light"/>
          <w:color w:val="000000"/>
          <w:sz w:val="28"/>
          <w:szCs w:val="28"/>
        </w:rPr>
        <w:sectPr>
          <w:footerReference r:id="rId31" w:type="default"/>
          <w:footerReference r:id="rId32" w:type="even"/>
          <w:pgSz w:w="11906" w:h="16838"/>
          <w:pgMar w:top="1418" w:right="1418" w:bottom="1418" w:left="1418" w:header="851" w:footer="992" w:gutter="0"/>
          <w:cols w:space="425" w:num="1"/>
          <w:docGrid w:type="linesAndChars" w:linePitch="460" w:charSpace="0"/>
        </w:sectPr>
      </w:pPr>
    </w:p>
    <w:p>
      <w:pPr>
        <w:keepNext/>
        <w:spacing w:before="120" w:after="60"/>
        <w:jc w:val="both"/>
        <w:outlineLvl w:val="2"/>
        <w:rPr>
          <w:rFonts w:ascii="Calibri" w:hAnsi="Calibri" w:eastAsia="黑体"/>
          <w:kern w:val="28"/>
          <w:sz w:val="28"/>
        </w:rPr>
      </w:pPr>
      <w:r>
        <w:rPr>
          <w:rFonts w:ascii="Calibri" w:hAnsi="Calibri" w:eastAsia="黑体"/>
          <w:kern w:val="28"/>
          <w:sz w:val="28"/>
        </w:rPr>
        <w:t>（</w:t>
      </w:r>
      <w:r>
        <w:rPr>
          <w:rFonts w:hint="eastAsia" w:ascii="Calibri" w:hAnsi="Calibri" w:eastAsia="黑体"/>
          <w:kern w:val="28"/>
          <w:sz w:val="28"/>
        </w:rPr>
        <w:t>三</w:t>
      </w:r>
      <w:r>
        <w:rPr>
          <w:rFonts w:ascii="Calibri" w:hAnsi="Calibri" w:eastAsia="黑体"/>
          <w:kern w:val="28"/>
          <w:sz w:val="28"/>
        </w:rPr>
        <w:t>）</w:t>
      </w:r>
      <w:r>
        <w:rPr>
          <w:rFonts w:ascii="Calibri" w:hAnsi="Calibri" w:eastAsia="黑体"/>
          <w:spacing w:val="-12"/>
          <w:kern w:val="28"/>
          <w:sz w:val="28"/>
        </w:rPr>
        <w:t>享受</w:t>
      </w:r>
      <w:r>
        <w:rPr>
          <w:rFonts w:hint="eastAsia" w:ascii="Calibri" w:hAnsi="Calibri" w:eastAsia="黑体"/>
          <w:spacing w:val="-12"/>
          <w:kern w:val="28"/>
          <w:sz w:val="28"/>
        </w:rPr>
        <w:t>政府采购优惠政策需要提供的资料</w:t>
      </w:r>
    </w:p>
    <w:p>
      <w:pPr>
        <w:ind w:firstLine="480" w:firstLineChars="200"/>
        <w:jc w:val="both"/>
        <w:rPr>
          <w:color w:val="C00000"/>
        </w:rPr>
      </w:pPr>
      <w:r>
        <w:rPr>
          <w:rFonts w:hint="eastAsia"/>
        </w:rPr>
        <w:t>供应商为中小企业或残疾人福利性单位的，按下文给定格式填写声明函（给定格式）；供应商为监狱企业的，提供由省级以上监狱管理局、戒毒管理局（含新疆生产建设兵团）出具的属于监狱企业的证明函（格式不限）。</w:t>
      </w:r>
      <w:r>
        <w:rPr>
          <w:rFonts w:hint="eastAsia"/>
          <w:color w:val="C00000"/>
        </w:rPr>
        <w:t>未按要求提供的，将不享受招标文件</w:t>
      </w:r>
      <w:r>
        <w:rPr>
          <w:color w:val="C00000"/>
        </w:rPr>
        <w:t>规定的</w:t>
      </w:r>
      <w:r>
        <w:rPr>
          <w:rFonts w:hint="eastAsia"/>
          <w:color w:val="C00000"/>
        </w:rPr>
        <w:t>价格扣除，但不影响投标文件的有效性。</w:t>
      </w:r>
    </w:p>
    <w:p>
      <w:pPr>
        <w:ind w:firstLine="480" w:firstLineChars="200"/>
        <w:jc w:val="both"/>
        <w:rPr>
          <w:color w:val="C00000"/>
        </w:rPr>
      </w:pPr>
      <w:r>
        <w:rPr>
          <w:rFonts w:hint="eastAsia"/>
          <w:color w:val="00B050"/>
        </w:rPr>
        <w:t>联合体各方均为中小企业的，联合体视同中小企业。其中，联合体各方均为小微企业的，联合体视同小微企业。</w:t>
      </w:r>
    </w:p>
    <w:p>
      <w:pPr>
        <w:ind w:firstLine="480" w:firstLineChars="200"/>
        <w:jc w:val="both"/>
      </w:pPr>
      <w:r>
        <w:rPr>
          <w:rFonts w:hint="eastAsia"/>
        </w:rPr>
        <w:t>中标供应商享受了政府采购优惠政策的，将随中标结果公开其声明函\证明函，接受社会监督。</w:t>
      </w:r>
    </w:p>
    <w:p>
      <w:pPr>
        <w:keepNext/>
        <w:spacing w:before="120" w:after="60"/>
        <w:jc w:val="both"/>
        <w:outlineLvl w:val="3"/>
        <w:rPr>
          <w:rFonts w:ascii="Calibri" w:hAnsi="Calibri" w:eastAsia="黑体"/>
          <w:kern w:val="28"/>
          <w:sz w:val="28"/>
        </w:rPr>
      </w:pPr>
      <w:r>
        <w:rPr>
          <w:rFonts w:hint="eastAsia" w:ascii="Calibri" w:hAnsi="Calibri" w:eastAsia="黑体"/>
          <w:kern w:val="28"/>
          <w:sz w:val="28"/>
        </w:rPr>
        <w:t>1．中小企业声明函</w:t>
      </w:r>
    </w:p>
    <w:p>
      <w:pPr>
        <w:pStyle w:val="40"/>
        <w:wordWrap/>
        <w:spacing w:line="240" w:lineRule="auto"/>
        <w:ind w:firstLine="480" w:firstLineChars="200"/>
        <w:jc w:val="both"/>
        <w:rPr>
          <w:rFonts w:ascii="Calibri" w:hAnsi="Calibri" w:eastAsia="宋体"/>
          <w:i/>
          <w:color w:val="7030A0"/>
          <w:sz w:val="24"/>
          <w:szCs w:val="24"/>
        </w:rPr>
      </w:pPr>
      <w:r>
        <w:rPr>
          <w:rFonts w:hint="eastAsia" w:ascii="Calibri" w:hAnsi="Calibri" w:eastAsia="宋体"/>
          <w:i/>
          <w:color w:val="7030A0"/>
          <w:sz w:val="24"/>
          <w:szCs w:val="24"/>
        </w:rPr>
        <w:t>说明：</w:t>
      </w:r>
    </w:p>
    <w:p>
      <w:pPr>
        <w:pStyle w:val="40"/>
        <w:wordWrap/>
        <w:spacing w:line="240" w:lineRule="auto"/>
        <w:ind w:firstLine="480" w:firstLineChars="200"/>
        <w:jc w:val="both"/>
        <w:rPr>
          <w:rFonts w:asciiTheme="minorEastAsia" w:hAnsiTheme="minorEastAsia" w:eastAsiaTheme="minorEastAsia"/>
          <w:color w:val="7030A0"/>
          <w:sz w:val="24"/>
          <w:szCs w:val="24"/>
        </w:rPr>
      </w:pPr>
      <w:r>
        <w:rPr>
          <w:rFonts w:asciiTheme="minorEastAsia" w:hAnsiTheme="minorEastAsia" w:eastAsiaTheme="minorEastAsia"/>
          <w:color w:val="7030A0"/>
          <w:sz w:val="24"/>
          <w:szCs w:val="24"/>
        </w:rPr>
        <w:t xml:space="preserve">① </w:t>
      </w:r>
      <w:r>
        <w:rPr>
          <w:rFonts w:hint="eastAsia" w:asciiTheme="minorEastAsia" w:hAnsiTheme="minorEastAsia" w:eastAsiaTheme="minorEastAsia"/>
          <w:i/>
          <w:color w:val="7030A0"/>
          <w:sz w:val="24"/>
          <w:szCs w:val="24"/>
        </w:rPr>
        <w:t>声明函中的中小企业指的是货物制造商、工程承建商或服务承接商。特别地，对于货物类项目，供应商希望获得政府采购优惠政策支持的，应从制造商处获得充分、准确的信息。</w:t>
      </w:r>
    </w:p>
    <w:p>
      <w:pPr>
        <w:pStyle w:val="40"/>
        <w:wordWrap/>
        <w:spacing w:line="240" w:lineRule="auto"/>
        <w:ind w:firstLine="480" w:firstLineChars="200"/>
        <w:jc w:val="both"/>
        <w:rPr>
          <w:rFonts w:asciiTheme="minorEastAsia" w:hAnsiTheme="minorEastAsia" w:eastAsiaTheme="minorEastAsia"/>
          <w:color w:val="7030A0"/>
          <w:sz w:val="24"/>
          <w:szCs w:val="24"/>
        </w:rPr>
      </w:pPr>
      <w:r>
        <w:rPr>
          <w:rFonts w:asciiTheme="minorEastAsia" w:hAnsiTheme="minorEastAsia" w:eastAsiaTheme="minorEastAsia"/>
          <w:color w:val="7030A0"/>
          <w:sz w:val="24"/>
          <w:szCs w:val="24"/>
        </w:rPr>
        <w:t xml:space="preserve">② </w:t>
      </w:r>
      <w:r>
        <w:rPr>
          <w:rFonts w:asciiTheme="minorEastAsia" w:hAnsiTheme="minorEastAsia" w:eastAsiaTheme="minorEastAsia"/>
          <w:i/>
          <w:color w:val="7030A0"/>
          <w:sz w:val="24"/>
          <w:szCs w:val="24"/>
        </w:rPr>
        <w:t>声明函中“从业人员”、“营业收入”、“资产总额”填报上一年度数据，无上一年度数据的新成立企业可不填报。</w:t>
      </w:r>
    </w:p>
    <w:p>
      <w:pPr>
        <w:pStyle w:val="40"/>
        <w:wordWrap/>
        <w:spacing w:line="240" w:lineRule="auto"/>
        <w:ind w:firstLine="480" w:firstLineChars="200"/>
        <w:jc w:val="both"/>
      </w:pPr>
      <w:r>
        <w:rPr>
          <w:rFonts w:asciiTheme="minorEastAsia" w:hAnsiTheme="minorEastAsia" w:eastAsiaTheme="minorEastAsia"/>
          <w:color w:val="7030A0"/>
          <w:sz w:val="24"/>
          <w:szCs w:val="24"/>
        </w:rPr>
        <w:t xml:space="preserve">③ </w:t>
      </w:r>
      <w:r>
        <w:rPr>
          <w:rFonts w:asciiTheme="minorHAnsi" w:hAnsiTheme="minorHAnsi" w:eastAsiaTheme="minorEastAsia"/>
          <w:i/>
          <w:color w:val="7030A0"/>
          <w:sz w:val="24"/>
          <w:szCs w:val="24"/>
        </w:rPr>
        <w:t>本项目采购标的对应的中小企业划分标准所属行业：见第二章「前附表」。</w:t>
      </w:r>
    </w:p>
    <w:p>
      <w:pPr>
        <w:tabs>
          <w:tab w:val="left" w:pos="5670"/>
        </w:tabs>
        <w:jc w:val="center"/>
        <w:rPr>
          <w:rFonts w:cs="Calibri Light"/>
          <w:b/>
          <w:color w:val="1F4E79"/>
          <w:sz w:val="28"/>
          <w:szCs w:val="36"/>
        </w:rPr>
      </w:pPr>
      <w:r>
        <w:rPr>
          <w:rFonts w:cs="Calibri Light"/>
          <w:b/>
          <w:color w:val="1F4E79"/>
          <w:sz w:val="28"/>
          <w:szCs w:val="36"/>
        </w:rPr>
        <w:t>『中小企业声明函』（服务类格式）</w:t>
      </w:r>
    </w:p>
    <w:p>
      <w:pPr>
        <w:pStyle w:val="40"/>
        <w:wordWrap/>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本公司（联合体）郑重声明，根据《政府采购促进中小企业发展管理办法》（财库〔2020〕46号）的规定，本公司（联合体）参加</w:t>
      </w:r>
      <w:r>
        <w:rPr>
          <w:rFonts w:asciiTheme="minorHAnsi" w:hAnsiTheme="minorHAnsi" w:eastAsiaTheme="minorEastAsia" w:cstheme="minorHAnsi"/>
          <w:color w:val="C00000"/>
          <w:sz w:val="24"/>
          <w:szCs w:val="24"/>
        </w:rPr>
        <w:t>［</w:t>
      </w:r>
      <w:r>
        <w:rPr>
          <w:rFonts w:asciiTheme="minorHAnsi" w:hAnsiTheme="minorHAnsi" w:eastAsiaTheme="minorEastAsia" w:cstheme="minorHAnsi"/>
          <w:color w:val="C00000"/>
          <w:sz w:val="24"/>
          <w:szCs w:val="24"/>
          <w:u w:val="single"/>
        </w:rPr>
        <w:t>项目名称</w:t>
      </w:r>
      <w:r>
        <w:rPr>
          <w:rFonts w:asciiTheme="minorHAnsi" w:hAnsiTheme="minorHAnsi" w:eastAsiaTheme="minorEastAsia" w:cstheme="minorHAnsi"/>
          <w:color w:val="C00000"/>
          <w:sz w:val="24"/>
          <w:szCs w:val="24"/>
        </w:rPr>
        <w:t>］</w:t>
      </w:r>
      <w:r>
        <w:rPr>
          <w:rFonts w:asciiTheme="minorHAnsi" w:hAnsiTheme="minorHAnsi" w:eastAsiaTheme="minorEastAsia" w:cstheme="minorHAnsi"/>
          <w:sz w:val="24"/>
          <w:szCs w:val="24"/>
        </w:rPr>
        <w:t>（项目编号：</w:t>
      </w:r>
      <w:r>
        <w:rPr>
          <w:rFonts w:asciiTheme="minorHAnsi" w:hAnsiTheme="minorHAnsi" w:eastAsiaTheme="minorEastAsia" w:cstheme="minorHAnsi"/>
          <w:color w:val="C00000"/>
          <w:sz w:val="24"/>
          <w:szCs w:val="24"/>
        </w:rPr>
        <w:t>［</w:t>
      </w:r>
      <w:r>
        <w:rPr>
          <w:rFonts w:asciiTheme="minorHAnsi" w:hAnsiTheme="minorHAnsi" w:eastAsiaTheme="minorEastAsia" w:cstheme="minorHAnsi"/>
          <w:color w:val="C00000"/>
          <w:sz w:val="24"/>
          <w:szCs w:val="24"/>
          <w:u w:val="single"/>
        </w:rPr>
        <w:t>项目编号</w:t>
      </w:r>
      <w:r>
        <w:rPr>
          <w:rFonts w:asciiTheme="minorHAnsi" w:hAnsiTheme="minorHAnsi" w:eastAsiaTheme="minorEastAsia" w:cstheme="minorHAnsi"/>
          <w:color w:val="C00000"/>
          <w:sz w:val="24"/>
          <w:szCs w:val="24"/>
        </w:rPr>
        <w:t>］</w:t>
      </w:r>
      <w:r>
        <w:rPr>
          <w:rFonts w:asciiTheme="minorHAnsi" w:hAnsiTheme="minorHAnsi" w:eastAsiaTheme="minorEastAsia" w:cstheme="minorHAnsi"/>
          <w:sz w:val="24"/>
          <w:szCs w:val="24"/>
        </w:rPr>
        <w:t>）</w:t>
      </w:r>
      <w:r>
        <w:rPr>
          <w:rFonts w:hint="eastAsia" w:asciiTheme="minorHAnsi" w:hAnsiTheme="minorHAnsi" w:eastAsiaTheme="minorEastAsia" w:cstheme="minorHAnsi"/>
          <w:color w:val="C00000"/>
          <w:sz w:val="24"/>
          <w:szCs w:val="24"/>
        </w:rPr>
        <w:t>采购包［___］</w:t>
      </w:r>
      <w:r>
        <w:rPr>
          <w:rFonts w:asciiTheme="minorHAnsi" w:hAnsiTheme="minorHAnsi" w:eastAsiaTheme="minorEastAsia"/>
          <w:sz w:val="24"/>
          <w:szCs w:val="24"/>
        </w:rPr>
        <w:t>的采购活动，服务全部由符合政策要求的中小企业承接。相关企业（含联合体中的中小企业、签订分包意向协议的中小企业）的具体情况如下：</w:t>
      </w:r>
    </w:p>
    <w:p>
      <w:pPr>
        <w:pStyle w:val="40"/>
        <w:wordWrap/>
        <w:spacing w:line="240" w:lineRule="auto"/>
        <w:ind w:firstLine="480" w:firstLineChars="200"/>
        <w:jc w:val="both"/>
        <w:rPr>
          <w:rFonts w:asciiTheme="minorHAnsi" w:hAnsiTheme="minorHAnsi" w:eastAsiaTheme="minorEastAsia"/>
          <w:sz w:val="24"/>
          <w:szCs w:val="24"/>
          <w:u w:color="000000" w:themeColor="text1"/>
        </w:rPr>
      </w:pPr>
      <w:r>
        <w:rPr>
          <w:rFonts w:asciiTheme="minorHAnsi" w:hAnsiTheme="minorHAnsi" w:eastAsiaTheme="minorEastAsia" w:cstheme="minorHAnsi"/>
          <w:kern w:val="24"/>
          <w:sz w:val="24"/>
          <w:szCs w:val="24"/>
        </w:rPr>
        <w:t>（1）</w:t>
      </w:r>
      <w:r>
        <w:rPr>
          <w:rFonts w:asciiTheme="minorHAnsi" w:hAnsiTheme="minorHAnsi" w:eastAsiaTheme="minorEastAsia" w:cstheme="minorHAnsi"/>
          <w:color w:val="C00000"/>
          <w:kern w:val="24"/>
          <w:sz w:val="24"/>
          <w:szCs w:val="24"/>
        </w:rPr>
        <w:t>［</w:t>
      </w:r>
      <w:r>
        <w:rPr>
          <w:rFonts w:asciiTheme="minorHAnsi" w:hAnsiTheme="minorHAnsi" w:eastAsiaTheme="minorEastAsia" w:cstheme="minorHAnsi"/>
          <w:color w:val="C00000"/>
          <w:kern w:val="24"/>
          <w:sz w:val="24"/>
          <w:szCs w:val="24"/>
          <w:u w:val="single" w:color="C00000"/>
        </w:rPr>
        <w:t>标的名称</w:t>
      </w:r>
      <w:r>
        <w:rPr>
          <w:rFonts w:asciiTheme="minorHAnsi" w:hAnsiTheme="minorHAnsi" w:eastAsiaTheme="minorEastAsia" w:cstheme="minorHAnsi"/>
          <w:color w:val="C00000"/>
          <w:kern w:val="24"/>
          <w:sz w:val="24"/>
          <w:szCs w:val="24"/>
        </w:rPr>
        <w:t>］</w:t>
      </w:r>
      <w:r>
        <w:rPr>
          <w:rFonts w:asciiTheme="minorHAnsi" w:hAnsiTheme="minorHAnsi" w:eastAsiaTheme="minorEastAsia"/>
          <w:sz w:val="24"/>
          <w:szCs w:val="24"/>
          <w:u w:color="000000" w:themeColor="text1"/>
        </w:rPr>
        <w:t>，属于</w:t>
      </w:r>
      <w:r>
        <w:rPr>
          <w:rFonts w:asciiTheme="minorHAnsi" w:hAnsiTheme="minorHAnsi" w:eastAsiaTheme="minorEastAsia" w:cstheme="minorHAnsi"/>
          <w:color w:val="C00000"/>
          <w:kern w:val="24"/>
          <w:sz w:val="24"/>
          <w:szCs w:val="24"/>
        </w:rPr>
        <w:t>［</w:t>
      </w:r>
      <w:r>
        <w:rPr>
          <w:rFonts w:asciiTheme="minorHAnsi" w:hAnsiTheme="minorHAnsi" w:eastAsiaTheme="minorEastAsia" w:cstheme="minorHAnsi"/>
          <w:color w:val="C00000"/>
          <w:kern w:val="24"/>
          <w:sz w:val="24"/>
          <w:szCs w:val="24"/>
          <w:u w:val="single" w:color="C00000"/>
        </w:rPr>
        <w:t>采购文件中明确的所属行业</w:t>
      </w:r>
      <w:r>
        <w:rPr>
          <w:rFonts w:asciiTheme="minorHAnsi" w:hAnsiTheme="minorHAnsi" w:eastAsiaTheme="minorEastAsia" w:cstheme="minorHAnsi"/>
          <w:color w:val="C00000"/>
          <w:kern w:val="24"/>
          <w:sz w:val="24"/>
          <w:szCs w:val="24"/>
        </w:rPr>
        <w:t>］</w:t>
      </w:r>
      <w:r>
        <w:rPr>
          <w:rFonts w:asciiTheme="minorHAnsi" w:hAnsiTheme="minorHAnsi" w:eastAsiaTheme="minorEastAsia"/>
          <w:sz w:val="24"/>
          <w:szCs w:val="24"/>
          <w:u w:color="000000" w:themeColor="text1"/>
        </w:rPr>
        <w:t>；承接企业为</w:t>
      </w:r>
      <w:r>
        <w:rPr>
          <w:rFonts w:asciiTheme="minorHAnsi" w:hAnsiTheme="minorHAnsi" w:eastAsiaTheme="minorEastAsia" w:cstheme="minorHAnsi"/>
          <w:color w:val="C00000"/>
          <w:kern w:val="24"/>
          <w:sz w:val="24"/>
          <w:szCs w:val="24"/>
        </w:rPr>
        <w:t>［</w:t>
      </w:r>
      <w:r>
        <w:rPr>
          <w:rFonts w:asciiTheme="minorHAnsi" w:hAnsiTheme="minorHAnsi" w:eastAsiaTheme="minorEastAsia" w:cstheme="minorHAnsi"/>
          <w:color w:val="C00000"/>
          <w:kern w:val="24"/>
          <w:sz w:val="24"/>
          <w:szCs w:val="24"/>
          <w:u w:val="single" w:color="C00000"/>
        </w:rPr>
        <w:t>企业名称</w:t>
      </w:r>
      <w:r>
        <w:rPr>
          <w:rFonts w:asciiTheme="minorHAnsi" w:hAnsiTheme="minorHAnsi" w:eastAsiaTheme="minorEastAsia" w:cstheme="minorHAnsi"/>
          <w:color w:val="C00000"/>
          <w:kern w:val="24"/>
          <w:sz w:val="24"/>
          <w:szCs w:val="24"/>
        </w:rPr>
        <w:t>］</w:t>
      </w:r>
      <w:r>
        <w:rPr>
          <w:rFonts w:asciiTheme="minorHAnsi" w:hAnsiTheme="minorHAnsi" w:eastAsiaTheme="minorEastAsia"/>
          <w:sz w:val="24"/>
          <w:szCs w:val="24"/>
          <w:u w:color="000000" w:themeColor="text1"/>
        </w:rPr>
        <w:t>，从业人员</w:t>
      </w:r>
      <w:r>
        <w:rPr>
          <w:rFonts w:asciiTheme="minorHAnsi" w:hAnsiTheme="minorHAnsi" w:eastAsiaTheme="minorEastAsia" w:cstheme="minorHAnsi"/>
          <w:color w:val="C00000"/>
          <w:sz w:val="24"/>
          <w:szCs w:val="24"/>
        </w:rPr>
        <w:t>［___］</w:t>
      </w:r>
      <w:r>
        <w:rPr>
          <w:rFonts w:asciiTheme="minorHAnsi" w:hAnsiTheme="minorHAnsi" w:eastAsiaTheme="minorEastAsia"/>
          <w:sz w:val="24"/>
          <w:szCs w:val="24"/>
          <w:u w:color="000000" w:themeColor="text1"/>
        </w:rPr>
        <w:t>人，营业收入为</w:t>
      </w:r>
      <w:r>
        <w:rPr>
          <w:rFonts w:asciiTheme="minorHAnsi" w:hAnsiTheme="minorHAnsi" w:eastAsiaTheme="minorEastAsia" w:cstheme="minorHAnsi"/>
          <w:color w:val="C00000"/>
          <w:sz w:val="24"/>
          <w:szCs w:val="24"/>
        </w:rPr>
        <w:t>［___］</w:t>
      </w:r>
      <w:r>
        <w:rPr>
          <w:rFonts w:asciiTheme="minorHAnsi" w:hAnsiTheme="minorHAnsi" w:eastAsiaTheme="minorEastAsia"/>
          <w:sz w:val="24"/>
          <w:szCs w:val="24"/>
          <w:u w:color="000000" w:themeColor="text1"/>
        </w:rPr>
        <w:t>万元，资产总额为</w:t>
      </w:r>
      <w:r>
        <w:rPr>
          <w:rFonts w:asciiTheme="minorHAnsi" w:hAnsiTheme="minorHAnsi" w:eastAsiaTheme="minorEastAsia" w:cstheme="minorHAnsi"/>
          <w:color w:val="C00000"/>
          <w:sz w:val="24"/>
          <w:szCs w:val="24"/>
        </w:rPr>
        <w:t>［___］</w:t>
      </w:r>
      <w:r>
        <w:rPr>
          <w:rFonts w:asciiTheme="minorHAnsi" w:hAnsiTheme="minorHAnsi" w:eastAsiaTheme="minorEastAsia"/>
          <w:sz w:val="24"/>
          <w:szCs w:val="24"/>
          <w:u w:color="000000" w:themeColor="text1"/>
        </w:rPr>
        <w:t>万元，属于</w:t>
      </w:r>
      <w:r>
        <w:rPr>
          <w:rFonts w:asciiTheme="minorHAnsi" w:hAnsiTheme="minorHAnsi" w:eastAsiaTheme="minorEastAsia" w:cstheme="minorHAnsi"/>
          <w:color w:val="C00000"/>
          <w:sz w:val="24"/>
          <w:szCs w:val="24"/>
        </w:rPr>
        <w:t>［___</w:t>
      </w:r>
      <w:r>
        <w:rPr>
          <w:rFonts w:asciiTheme="minorHAnsi" w:hAnsiTheme="minorHAnsi" w:eastAsiaTheme="minorEastAsia" w:cstheme="minorHAnsi"/>
          <w:color w:val="C00000"/>
          <w:sz w:val="24"/>
          <w:szCs w:val="24"/>
          <w:u w:val="single"/>
        </w:rPr>
        <w:t>企业</w:t>
      </w:r>
      <w:r>
        <w:rPr>
          <w:rFonts w:asciiTheme="minorHAnsi" w:hAnsiTheme="minorHAnsi" w:eastAsiaTheme="minorEastAsia" w:cstheme="minorHAnsi"/>
          <w:color w:val="C00000"/>
          <w:sz w:val="24"/>
          <w:szCs w:val="24"/>
        </w:rPr>
        <w:t>］</w:t>
      </w:r>
      <w:r>
        <w:rPr>
          <w:rFonts w:asciiTheme="minorHAnsi" w:hAnsiTheme="minorHAnsi" w:eastAsiaTheme="minorEastAsia"/>
          <w:sz w:val="24"/>
          <w:szCs w:val="24"/>
          <w:u w:color="000000" w:themeColor="text1"/>
        </w:rPr>
        <w:t>（</w:t>
      </w:r>
      <w:r>
        <w:rPr>
          <w:rFonts w:asciiTheme="minorHAnsi" w:hAnsiTheme="minorHAnsi" w:eastAsiaTheme="minorEastAsia"/>
          <w:i/>
          <w:color w:val="7030A0"/>
          <w:sz w:val="24"/>
          <w:szCs w:val="24"/>
          <w:u w:color="000000" w:themeColor="text1"/>
        </w:rPr>
        <w:t>选填中型企业、小型企业、微型企业</w:t>
      </w:r>
      <w:r>
        <w:rPr>
          <w:rFonts w:asciiTheme="minorHAnsi" w:hAnsiTheme="minorHAnsi" w:eastAsiaTheme="minorEastAsia"/>
          <w:sz w:val="24"/>
          <w:szCs w:val="24"/>
          <w:u w:color="000000" w:themeColor="text1"/>
        </w:rPr>
        <w:t>）；</w:t>
      </w:r>
    </w:p>
    <w:p>
      <w:pPr>
        <w:pStyle w:val="40"/>
        <w:wordWrap/>
        <w:spacing w:line="240" w:lineRule="auto"/>
        <w:ind w:firstLine="480" w:firstLineChars="200"/>
        <w:jc w:val="both"/>
        <w:rPr>
          <w:rFonts w:asciiTheme="minorHAnsi" w:hAnsiTheme="minorHAnsi" w:eastAsiaTheme="minorEastAsia"/>
          <w:sz w:val="24"/>
          <w:szCs w:val="24"/>
          <w:u w:color="000000" w:themeColor="text1"/>
        </w:rPr>
      </w:pPr>
      <w:r>
        <w:rPr>
          <w:rFonts w:asciiTheme="minorHAnsi" w:hAnsiTheme="minorHAnsi" w:eastAsiaTheme="minorEastAsia"/>
          <w:sz w:val="24"/>
          <w:szCs w:val="24"/>
          <w:u w:color="000000" w:themeColor="text1"/>
        </w:rPr>
        <w:t>（2）</w:t>
      </w:r>
      <w:r>
        <w:rPr>
          <w:rFonts w:asciiTheme="minorHAnsi" w:hAnsiTheme="minorHAnsi" w:eastAsiaTheme="minorEastAsia" w:cstheme="minorHAnsi"/>
          <w:color w:val="C00000"/>
          <w:kern w:val="24"/>
          <w:sz w:val="24"/>
          <w:szCs w:val="24"/>
        </w:rPr>
        <w:t>［</w:t>
      </w:r>
      <w:r>
        <w:rPr>
          <w:rFonts w:asciiTheme="minorHAnsi" w:hAnsiTheme="minorHAnsi" w:eastAsiaTheme="minorEastAsia" w:cstheme="minorHAnsi"/>
          <w:color w:val="C00000"/>
          <w:kern w:val="24"/>
          <w:sz w:val="24"/>
          <w:szCs w:val="24"/>
          <w:u w:val="single" w:color="C00000"/>
        </w:rPr>
        <w:t>标的名称</w:t>
      </w:r>
      <w:r>
        <w:rPr>
          <w:rFonts w:asciiTheme="minorHAnsi" w:hAnsiTheme="minorHAnsi" w:eastAsiaTheme="minorEastAsia" w:cstheme="minorHAnsi"/>
          <w:color w:val="C00000"/>
          <w:kern w:val="24"/>
          <w:sz w:val="24"/>
          <w:szCs w:val="24"/>
        </w:rPr>
        <w:t>］</w:t>
      </w:r>
      <w:r>
        <w:rPr>
          <w:rFonts w:asciiTheme="minorHAnsi" w:hAnsiTheme="minorHAnsi" w:eastAsiaTheme="minorEastAsia"/>
          <w:sz w:val="24"/>
          <w:szCs w:val="24"/>
          <w:u w:color="000000" w:themeColor="text1"/>
        </w:rPr>
        <w:t>，属于</w:t>
      </w:r>
      <w:r>
        <w:rPr>
          <w:rFonts w:asciiTheme="minorHAnsi" w:hAnsiTheme="minorHAnsi" w:eastAsiaTheme="minorEastAsia" w:cstheme="minorHAnsi"/>
          <w:color w:val="C00000"/>
          <w:kern w:val="24"/>
          <w:sz w:val="24"/>
          <w:szCs w:val="24"/>
        </w:rPr>
        <w:t>［</w:t>
      </w:r>
      <w:r>
        <w:rPr>
          <w:rFonts w:asciiTheme="minorHAnsi" w:hAnsiTheme="minorHAnsi" w:eastAsiaTheme="minorEastAsia" w:cstheme="minorHAnsi"/>
          <w:color w:val="C00000"/>
          <w:kern w:val="24"/>
          <w:sz w:val="24"/>
          <w:szCs w:val="24"/>
          <w:u w:val="single" w:color="C00000"/>
        </w:rPr>
        <w:t>采购文件中明确的所属行业</w:t>
      </w:r>
      <w:r>
        <w:rPr>
          <w:rFonts w:asciiTheme="minorHAnsi" w:hAnsiTheme="minorHAnsi" w:eastAsiaTheme="minorEastAsia" w:cstheme="minorHAnsi"/>
          <w:color w:val="C00000"/>
          <w:kern w:val="24"/>
          <w:sz w:val="24"/>
          <w:szCs w:val="24"/>
        </w:rPr>
        <w:t>］</w:t>
      </w:r>
      <w:r>
        <w:rPr>
          <w:rFonts w:asciiTheme="minorHAnsi" w:hAnsiTheme="minorHAnsi" w:eastAsiaTheme="minorEastAsia"/>
          <w:sz w:val="24"/>
          <w:szCs w:val="24"/>
          <w:u w:color="000000" w:themeColor="text1"/>
        </w:rPr>
        <w:t>；承接企业为</w:t>
      </w:r>
      <w:r>
        <w:rPr>
          <w:rFonts w:asciiTheme="minorHAnsi" w:hAnsiTheme="minorHAnsi" w:eastAsiaTheme="minorEastAsia" w:cstheme="minorHAnsi"/>
          <w:color w:val="C00000"/>
          <w:kern w:val="24"/>
          <w:sz w:val="24"/>
          <w:szCs w:val="24"/>
        </w:rPr>
        <w:t>［</w:t>
      </w:r>
      <w:r>
        <w:rPr>
          <w:rFonts w:asciiTheme="minorHAnsi" w:hAnsiTheme="minorHAnsi" w:eastAsiaTheme="minorEastAsia" w:cstheme="minorHAnsi"/>
          <w:color w:val="C00000"/>
          <w:kern w:val="24"/>
          <w:sz w:val="24"/>
          <w:szCs w:val="24"/>
          <w:u w:val="single" w:color="C00000"/>
        </w:rPr>
        <w:t>企业名称</w:t>
      </w:r>
      <w:r>
        <w:rPr>
          <w:rFonts w:asciiTheme="minorHAnsi" w:hAnsiTheme="minorHAnsi" w:eastAsiaTheme="minorEastAsia" w:cstheme="minorHAnsi"/>
          <w:color w:val="C00000"/>
          <w:kern w:val="24"/>
          <w:sz w:val="24"/>
          <w:szCs w:val="24"/>
        </w:rPr>
        <w:t>］</w:t>
      </w:r>
      <w:r>
        <w:rPr>
          <w:rFonts w:asciiTheme="minorHAnsi" w:hAnsiTheme="minorHAnsi" w:eastAsiaTheme="minorEastAsia"/>
          <w:sz w:val="24"/>
          <w:szCs w:val="24"/>
          <w:u w:color="000000" w:themeColor="text1"/>
        </w:rPr>
        <w:t>，从业人员</w:t>
      </w:r>
      <w:r>
        <w:rPr>
          <w:rFonts w:asciiTheme="minorHAnsi" w:hAnsiTheme="minorHAnsi" w:eastAsiaTheme="minorEastAsia" w:cstheme="minorHAnsi"/>
          <w:color w:val="C00000"/>
          <w:sz w:val="24"/>
          <w:szCs w:val="24"/>
        </w:rPr>
        <w:t>［___］</w:t>
      </w:r>
      <w:r>
        <w:rPr>
          <w:rFonts w:asciiTheme="minorHAnsi" w:hAnsiTheme="minorHAnsi" w:eastAsiaTheme="minorEastAsia"/>
          <w:sz w:val="24"/>
          <w:szCs w:val="24"/>
          <w:u w:color="000000" w:themeColor="text1"/>
        </w:rPr>
        <w:t>人，营业收入为</w:t>
      </w:r>
      <w:r>
        <w:rPr>
          <w:rFonts w:asciiTheme="minorHAnsi" w:hAnsiTheme="minorHAnsi" w:eastAsiaTheme="minorEastAsia" w:cstheme="minorHAnsi"/>
          <w:color w:val="C00000"/>
          <w:sz w:val="24"/>
          <w:szCs w:val="24"/>
        </w:rPr>
        <w:t>［___］</w:t>
      </w:r>
      <w:r>
        <w:rPr>
          <w:rFonts w:asciiTheme="minorHAnsi" w:hAnsiTheme="minorHAnsi" w:eastAsiaTheme="minorEastAsia"/>
          <w:sz w:val="24"/>
          <w:szCs w:val="24"/>
          <w:u w:color="000000" w:themeColor="text1"/>
        </w:rPr>
        <w:t>万元，资产总额为</w:t>
      </w:r>
      <w:r>
        <w:rPr>
          <w:rFonts w:asciiTheme="minorHAnsi" w:hAnsiTheme="minorHAnsi" w:eastAsiaTheme="minorEastAsia" w:cstheme="minorHAnsi"/>
          <w:color w:val="C00000"/>
          <w:sz w:val="24"/>
          <w:szCs w:val="24"/>
        </w:rPr>
        <w:t>［___］</w:t>
      </w:r>
      <w:r>
        <w:rPr>
          <w:rFonts w:asciiTheme="minorHAnsi" w:hAnsiTheme="minorHAnsi" w:eastAsiaTheme="minorEastAsia"/>
          <w:sz w:val="24"/>
          <w:szCs w:val="24"/>
          <w:u w:color="000000" w:themeColor="text1"/>
        </w:rPr>
        <w:t>万元，属于</w:t>
      </w:r>
      <w:r>
        <w:rPr>
          <w:rFonts w:asciiTheme="minorHAnsi" w:hAnsiTheme="minorHAnsi" w:eastAsiaTheme="minorEastAsia" w:cstheme="minorHAnsi"/>
          <w:color w:val="C00000"/>
          <w:sz w:val="24"/>
          <w:szCs w:val="24"/>
        </w:rPr>
        <w:t>［___</w:t>
      </w:r>
      <w:r>
        <w:rPr>
          <w:rFonts w:asciiTheme="minorHAnsi" w:hAnsiTheme="minorHAnsi" w:eastAsiaTheme="minorEastAsia" w:cstheme="minorHAnsi"/>
          <w:color w:val="C00000"/>
          <w:sz w:val="24"/>
          <w:szCs w:val="24"/>
          <w:u w:val="single"/>
        </w:rPr>
        <w:t>企业</w:t>
      </w:r>
      <w:r>
        <w:rPr>
          <w:rFonts w:asciiTheme="minorHAnsi" w:hAnsiTheme="minorHAnsi" w:eastAsiaTheme="minorEastAsia" w:cstheme="minorHAnsi"/>
          <w:color w:val="C00000"/>
          <w:sz w:val="24"/>
          <w:szCs w:val="24"/>
        </w:rPr>
        <w:t>］</w:t>
      </w:r>
      <w:r>
        <w:rPr>
          <w:rFonts w:asciiTheme="minorHAnsi" w:hAnsiTheme="minorHAnsi" w:eastAsiaTheme="minorEastAsia"/>
          <w:sz w:val="24"/>
          <w:szCs w:val="24"/>
          <w:u w:color="000000" w:themeColor="text1"/>
        </w:rPr>
        <w:t>（</w:t>
      </w:r>
      <w:r>
        <w:rPr>
          <w:rFonts w:asciiTheme="minorHAnsi" w:hAnsiTheme="minorHAnsi" w:eastAsiaTheme="minorEastAsia"/>
          <w:i/>
          <w:color w:val="7030A0"/>
          <w:sz w:val="24"/>
          <w:szCs w:val="24"/>
          <w:u w:color="000000" w:themeColor="text1"/>
        </w:rPr>
        <w:t>选填中型企业、小型企业、微型企业</w:t>
      </w:r>
      <w:r>
        <w:rPr>
          <w:rFonts w:asciiTheme="minorHAnsi" w:hAnsiTheme="minorHAnsi" w:eastAsiaTheme="minorEastAsia"/>
          <w:sz w:val="24"/>
          <w:szCs w:val="24"/>
          <w:u w:color="000000" w:themeColor="text1"/>
        </w:rPr>
        <w:t>）；</w:t>
      </w:r>
    </w:p>
    <w:p>
      <w:pPr>
        <w:pStyle w:val="40"/>
        <w:wordWrap/>
        <w:spacing w:line="240" w:lineRule="auto"/>
        <w:ind w:firstLine="480" w:firstLineChars="200"/>
        <w:jc w:val="both"/>
        <w:rPr>
          <w:rFonts w:asciiTheme="minorHAnsi" w:hAnsiTheme="minorHAnsi" w:eastAsiaTheme="minorEastAsia"/>
          <w:sz w:val="24"/>
          <w:szCs w:val="24"/>
        </w:rPr>
      </w:pPr>
      <w:r>
        <w:rPr>
          <w:rFonts w:asciiTheme="minorHAnsi" w:hAnsiTheme="minorHAnsi" w:eastAsiaTheme="minorEastAsia"/>
          <w:sz w:val="24"/>
          <w:szCs w:val="24"/>
        </w:rPr>
        <w:t>……</w:t>
      </w:r>
    </w:p>
    <w:p>
      <w:pPr>
        <w:ind w:firstLine="480" w:firstLineChars="200"/>
        <w:jc w:val="both"/>
      </w:pPr>
      <w:r>
        <w:t>以上企业，不属于大企业的分支机构，不存在控股股东为大企业的情形，也不存在与大企业的负责人为同一人的情形。</w:t>
      </w:r>
    </w:p>
    <w:p>
      <w:pPr>
        <w:ind w:firstLine="480" w:firstLineChars="200"/>
        <w:jc w:val="both"/>
      </w:pPr>
      <w:r>
        <w:t>本企业对上述声明内容的真实性负责。如有虚假，将依法承担相应责任。</w:t>
      </w:r>
    </w:p>
    <w:p>
      <w:pPr>
        <w:ind w:firstLine="480" w:firstLineChars="200"/>
        <w:jc w:val="both"/>
      </w:pPr>
    </w:p>
    <w:p>
      <w:pPr>
        <w:tabs>
          <w:tab w:val="left" w:pos="5670"/>
        </w:tabs>
        <w:ind w:firstLine="480" w:firstLineChars="200"/>
        <w:jc w:val="both"/>
        <w:rPr>
          <w:rFonts w:cs="Calibri Light"/>
          <w:color w:val="000000"/>
        </w:rPr>
      </w:pPr>
      <w:r>
        <w:rPr>
          <w:color w:val="000000"/>
        </w:rPr>
        <w:t>供应商：（</w:t>
      </w:r>
      <w:r>
        <w:rPr>
          <w:i/>
          <w:color w:val="7030A0"/>
        </w:rPr>
        <w:t>供应商全称并加盖公章</w:t>
      </w:r>
      <w:r>
        <w:rPr>
          <w:color w:val="000000"/>
        </w:rPr>
        <w:t>）</w:t>
      </w:r>
    </w:p>
    <w:p>
      <w:pPr>
        <w:tabs>
          <w:tab w:val="left" w:pos="5670"/>
        </w:tabs>
        <w:ind w:firstLine="480" w:firstLineChars="200"/>
        <w:jc w:val="both"/>
        <w:rPr>
          <w:rFonts w:cs="Calibri Light"/>
          <w:color w:val="000000"/>
        </w:rPr>
      </w:pPr>
      <w:r>
        <w:rPr>
          <w:rFonts w:cs="Calibri Light"/>
          <w:color w:val="000000"/>
        </w:rPr>
        <w:t>日　期：　　年　月　日</w:t>
      </w:r>
    </w:p>
    <w:p>
      <w:pPr>
        <w:tabs>
          <w:tab w:val="left" w:pos="5670"/>
        </w:tabs>
        <w:ind w:firstLine="480" w:firstLineChars="200"/>
        <w:jc w:val="both"/>
        <w:rPr>
          <w:rFonts w:cs="Calibri Light"/>
          <w:color w:val="000000"/>
        </w:rPr>
      </w:pPr>
    </w:p>
    <w:p>
      <w:pPr>
        <w:keepNext/>
        <w:spacing w:before="120" w:after="60"/>
        <w:jc w:val="both"/>
        <w:outlineLvl w:val="3"/>
        <w:rPr>
          <w:rFonts w:ascii="Calibri" w:hAnsi="Calibri" w:eastAsia="黑体"/>
          <w:kern w:val="28"/>
          <w:sz w:val="28"/>
        </w:rPr>
      </w:pPr>
      <w:r>
        <w:rPr>
          <w:rFonts w:hint="eastAsia" w:ascii="Calibri" w:hAnsi="Calibri" w:eastAsia="黑体"/>
          <w:kern w:val="28"/>
          <w:sz w:val="28"/>
        </w:rPr>
        <w:t>2．残疾人福利性单位声明函</w:t>
      </w:r>
    </w:p>
    <w:p>
      <w:pPr>
        <w:tabs>
          <w:tab w:val="left" w:pos="5670"/>
        </w:tabs>
        <w:ind w:firstLine="480" w:firstLineChars="200"/>
        <w:jc w:val="both"/>
        <w:rPr>
          <w:rFonts w:ascii="黑体" w:hAnsi="黑体" w:eastAsia="黑体" w:cs="Calibri Light"/>
          <w:i/>
          <w:color w:val="1F4E79"/>
          <w:sz w:val="28"/>
          <w:szCs w:val="36"/>
        </w:rPr>
      </w:pPr>
      <w:r>
        <w:rPr>
          <w:rFonts w:cstheme="minorHAnsi"/>
          <w:i/>
          <w:color w:val="7030A0"/>
        </w:rPr>
        <w:t>说明：供应商在填报前请认真阅读《财政部、民政部、中国残疾人联合会关于促进残疾人就业政府采购政策的通知》</w:t>
      </w:r>
      <w:r>
        <w:rPr>
          <w:rFonts w:hint="eastAsia"/>
          <w:i/>
          <w:color w:val="7030A0"/>
        </w:rPr>
        <w:t>（财库〔2017〕141号）</w:t>
      </w:r>
      <w:r>
        <w:rPr>
          <w:rFonts w:cstheme="minorHAnsi"/>
          <w:i/>
          <w:color w:val="7030A0"/>
        </w:rPr>
        <w:t>。</w:t>
      </w:r>
    </w:p>
    <w:p>
      <w:pPr>
        <w:jc w:val="center"/>
        <w:rPr>
          <w:rFonts w:cs="Calibri Light"/>
          <w:b/>
          <w:color w:val="1F4E79"/>
          <w:sz w:val="28"/>
          <w:szCs w:val="36"/>
        </w:rPr>
      </w:pPr>
      <w:r>
        <w:rPr>
          <w:rFonts w:cs="Calibri Light"/>
          <w:b/>
          <w:color w:val="1F4E79"/>
          <w:sz w:val="28"/>
          <w:szCs w:val="36"/>
        </w:rPr>
        <w:t>『残疾人福利性单位声明函』（格式）</w:t>
      </w:r>
    </w:p>
    <w:p>
      <w:pPr>
        <w:ind w:firstLine="480" w:firstLineChars="200"/>
        <w:jc w:val="both"/>
        <w:rPr>
          <w:rFonts w:cstheme="minorHAnsi"/>
          <w:color w:val="000000"/>
        </w:rPr>
      </w:pPr>
      <w:r>
        <w:rPr>
          <w:rFonts w:cstheme="minorHAnsi"/>
          <w:color w:val="000000"/>
        </w:rPr>
        <w:t>本单位郑重声明，根据《财政部 民政部 中国残疾人联合会关于促进残疾人就业政府采购政策的通知》（财库〔2017〕141号）的规定，本单位为符合条件的残疾人福利性单位，且本单位参加</w:t>
      </w:r>
      <w:r>
        <w:rPr>
          <w:rFonts w:cstheme="minorHAnsi"/>
          <w:color w:val="C00000"/>
        </w:rPr>
        <w:t>［</w:t>
      </w:r>
      <w:r>
        <w:rPr>
          <w:rFonts w:cstheme="minorHAnsi"/>
          <w:color w:val="C00000"/>
          <w:u w:val="single"/>
        </w:rPr>
        <w:t>项目名称</w:t>
      </w:r>
      <w:r>
        <w:rPr>
          <w:rFonts w:cstheme="minorHAnsi"/>
          <w:color w:val="C00000"/>
        </w:rPr>
        <w:t>］</w:t>
      </w:r>
      <w:r>
        <w:rPr>
          <w:rFonts w:cstheme="minorHAnsi"/>
        </w:rPr>
        <w:t>（项目编号：</w:t>
      </w:r>
      <w:r>
        <w:rPr>
          <w:rFonts w:cstheme="minorHAnsi"/>
          <w:color w:val="C00000"/>
        </w:rPr>
        <w:t>［</w:t>
      </w:r>
      <w:r>
        <w:rPr>
          <w:rFonts w:cstheme="minorHAnsi"/>
          <w:color w:val="C00000"/>
          <w:u w:val="single"/>
        </w:rPr>
        <w:t>项目编号</w:t>
      </w:r>
      <w:r>
        <w:rPr>
          <w:rFonts w:cstheme="minorHAnsi"/>
          <w:color w:val="C00000"/>
        </w:rPr>
        <w:t>］</w:t>
      </w:r>
      <w:r>
        <w:rPr>
          <w:rFonts w:cstheme="minorHAnsi"/>
        </w:rPr>
        <w:t>）</w:t>
      </w:r>
      <w:r>
        <w:rPr>
          <w:rFonts w:hint="eastAsia" w:cstheme="minorHAnsi"/>
          <w:color w:val="C00000"/>
        </w:rPr>
        <w:t>采购包</w:t>
      </w:r>
      <w:r>
        <w:rPr>
          <w:rFonts w:cstheme="minorHAnsi"/>
          <w:color w:val="C00000"/>
        </w:rPr>
        <w:t>［___］</w:t>
      </w:r>
      <w:r>
        <w:rPr>
          <w:rFonts w:cstheme="minorHAnsi"/>
          <w:color w:val="000000"/>
        </w:rPr>
        <w:t>的采购活动提供本单位制造的货物（由本单位承担工程/提供服务），或者提供其他残疾人福利性单位制造的货物（不包括使用非残疾人福利性单位注册商标的货物）。</w:t>
      </w:r>
    </w:p>
    <w:p>
      <w:pPr>
        <w:ind w:firstLine="480" w:firstLineChars="200"/>
        <w:jc w:val="both"/>
        <w:rPr>
          <w:rFonts w:cstheme="minorHAnsi"/>
          <w:color w:val="000000"/>
        </w:rPr>
      </w:pPr>
      <w:r>
        <w:rPr>
          <w:rFonts w:cstheme="minorHAnsi"/>
          <w:color w:val="000000"/>
        </w:rPr>
        <w:t>本单位对上述声明的真实性负责。如有虚假，将依法承担相应责任。</w:t>
      </w:r>
    </w:p>
    <w:p>
      <w:pPr>
        <w:ind w:firstLine="480" w:firstLineChars="200"/>
        <w:jc w:val="both"/>
        <w:rPr>
          <w:rFonts w:cstheme="minorHAnsi"/>
          <w:color w:val="000000"/>
        </w:rPr>
      </w:pPr>
    </w:p>
    <w:p>
      <w:pPr>
        <w:ind w:firstLine="480" w:firstLineChars="200"/>
        <w:jc w:val="both"/>
        <w:rPr>
          <w:rFonts w:cstheme="minorHAnsi"/>
        </w:rPr>
      </w:pPr>
      <w:r>
        <w:rPr>
          <w:rFonts w:cstheme="minorHAnsi"/>
          <w:color w:val="000000"/>
        </w:rPr>
        <w:t>供应商：（</w:t>
      </w:r>
      <w:r>
        <w:rPr>
          <w:rFonts w:cstheme="minorHAnsi"/>
          <w:i/>
          <w:color w:val="7030A0"/>
        </w:rPr>
        <w:t>供应商全称并加盖公章</w:t>
      </w:r>
      <w:r>
        <w:rPr>
          <w:rFonts w:cstheme="minorHAnsi"/>
          <w:color w:val="000000"/>
        </w:rPr>
        <w:t>）</w:t>
      </w:r>
    </w:p>
    <w:p>
      <w:pPr>
        <w:tabs>
          <w:tab w:val="left" w:pos="5670"/>
        </w:tabs>
        <w:ind w:firstLine="480" w:firstLineChars="200"/>
        <w:jc w:val="both"/>
        <w:rPr>
          <w:rFonts w:cstheme="minorHAnsi"/>
          <w:color w:val="000000"/>
        </w:rPr>
      </w:pPr>
      <w:r>
        <w:rPr>
          <w:rFonts w:cstheme="minorHAnsi"/>
          <w:color w:val="000000"/>
        </w:rPr>
        <w:t>日　期：　　年　月　日</w:t>
      </w:r>
    </w:p>
    <w:p>
      <w:pPr>
        <w:tabs>
          <w:tab w:val="left" w:pos="5670"/>
        </w:tabs>
        <w:jc w:val="both"/>
        <w:rPr>
          <w:rFonts w:cstheme="minorHAnsi"/>
          <w:color w:val="000000"/>
        </w:rPr>
      </w:pPr>
    </w:p>
    <w:p>
      <w:pPr>
        <w:keepNext/>
        <w:spacing w:before="120" w:after="60"/>
        <w:jc w:val="both"/>
        <w:outlineLvl w:val="3"/>
        <w:rPr>
          <w:rFonts w:cstheme="minorHAnsi"/>
          <w:color w:val="000000"/>
        </w:rPr>
      </w:pPr>
      <w:r>
        <w:rPr>
          <w:rFonts w:hint="eastAsia" w:ascii="Calibri" w:hAnsi="Calibri" w:eastAsia="黑体"/>
          <w:kern w:val="28"/>
          <w:sz w:val="28"/>
        </w:rPr>
        <w:t>3．监狱企业证明函</w:t>
      </w:r>
    </w:p>
    <w:p>
      <w:pPr>
        <w:ind w:firstLine="480" w:firstLineChars="200"/>
        <w:rPr>
          <w:rFonts w:ascii="黑体" w:hAnsi="黑体" w:eastAsia="黑体" w:cs="Calibri Light"/>
          <w:i/>
          <w:color w:val="1F4E79"/>
          <w:sz w:val="28"/>
          <w:szCs w:val="36"/>
        </w:rPr>
      </w:pPr>
      <w:r>
        <w:rPr>
          <w:rFonts w:cstheme="minorHAnsi"/>
          <w:i/>
          <w:color w:val="7030A0"/>
        </w:rPr>
        <w:t>说明：供应商在填报前请认真阅读</w:t>
      </w:r>
      <w:r>
        <w:rPr>
          <w:rFonts w:hint="eastAsia"/>
          <w:i/>
          <w:color w:val="7030A0"/>
        </w:rPr>
        <w:t>《关于政府采购支持监狱企业发展有关问题的通知》（财库〔2014〕68号）。</w:t>
      </w:r>
    </w:p>
    <w:p>
      <w:pPr>
        <w:jc w:val="center"/>
        <w:rPr>
          <w:rFonts w:cs="Calibri Light"/>
          <w:b/>
          <w:color w:val="1F4E79"/>
          <w:sz w:val="28"/>
          <w:szCs w:val="36"/>
        </w:rPr>
      </w:pPr>
      <w:r>
        <w:rPr>
          <w:rFonts w:cs="Calibri Light"/>
          <w:b/>
          <w:color w:val="1F4E79"/>
          <w:sz w:val="28"/>
          <w:szCs w:val="36"/>
        </w:rPr>
        <w:t>『监狱企业证明函』</w:t>
      </w:r>
    </w:p>
    <w:p>
      <w:pPr>
        <w:ind w:firstLine="480" w:firstLineChars="200"/>
        <w:jc w:val="both"/>
        <w:rPr>
          <w:rFonts w:cstheme="minorHAnsi"/>
          <w:color w:val="000000"/>
        </w:rPr>
      </w:pPr>
      <w:r>
        <w:rPr>
          <w:rFonts w:cstheme="minorHAnsi"/>
          <w:color w:val="000000"/>
        </w:rPr>
        <w:t>根据财政部、司法部《关于政府采购支持监狱企业发展有关问题的通知》（财库〔2014〕68号）的规定，</w:t>
      </w:r>
      <w:r>
        <w:rPr>
          <w:rFonts w:cstheme="minorHAnsi"/>
          <w:color w:val="C00000"/>
        </w:rPr>
        <w:t>监狱企业</w:t>
      </w:r>
      <w:r>
        <w:rPr>
          <w:rFonts w:cstheme="minorHAnsi"/>
          <w:color w:val="000000"/>
        </w:rPr>
        <w:t>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ind w:firstLine="480" w:firstLineChars="200"/>
        <w:jc w:val="both"/>
        <w:rPr>
          <w:rFonts w:ascii="Calibri" w:hAnsi="Calibri" w:eastAsia="宋体" w:cstheme="minorHAnsi"/>
          <w:color w:val="000000"/>
          <w:kern w:val="24"/>
        </w:rPr>
      </w:pPr>
      <w:r>
        <w:rPr>
          <w:rFonts w:cstheme="minorHAnsi"/>
          <w:color w:val="000000"/>
        </w:rPr>
        <w:t>监狱企业参加政府采购活动时，应当提供由省级以上监狱管理局、戒毒管理局（含新疆生产建设兵团）出具的属于监狱企业的证明文件。</w:t>
      </w:r>
    </w:p>
    <w:sectPr>
      <w:footerReference r:id="rId33" w:type="default"/>
      <w:footerReference r:id="rId34" w:type="even"/>
      <w:pgSz w:w="11906" w:h="16838"/>
      <w:pgMar w:top="1418" w:right="1418" w:bottom="1418" w:left="1418" w:header="851" w:footer="992" w:gutter="0"/>
      <w:cols w:space="425" w:num="1"/>
      <w:docGrid w:type="linesAndChars" w:linePitch="4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lear" w:pos="4153"/>
        <w:tab w:val="clear" w:pos="8306"/>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63</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65</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63</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64</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66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64</w:t>
    </w:r>
    <w:r>
      <w:rPr>
        <w:rFonts w:ascii="宋体" w:hAnsi="宋体" w:eastAsia="宋体"/>
      </w:rPr>
      <w:fldChar w:fldCharType="end"/>
    </w:r>
    <w:r>
      <w:rPr>
        <w:rFonts w:ascii="宋体" w:hAnsi="宋体" w:eastAsia="宋体"/>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65</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67</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65</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34</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35</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66</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68</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66</w:t>
    </w:r>
    <w:r>
      <w:rPr>
        <w:rFonts w:ascii="宋体" w:hAnsi="宋体" w:eastAsia="宋体"/>
      </w:rPr>
      <w:fldChar w:fldCharType="end"/>
    </w:r>
    <w:r>
      <w:rPr>
        <w:rFonts w:ascii="宋体" w:hAnsi="宋体" w:eastAsia="宋体"/>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67</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69</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67</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34</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73</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75</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73</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72</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74</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72</w:t>
    </w:r>
    <w:r>
      <w:rPr>
        <w:rFonts w:ascii="宋体" w:hAnsi="宋体" w:eastAsia="宋体"/>
      </w:rPr>
      <w:fldChar w:fldCharType="end"/>
    </w:r>
    <w:r>
      <w:rPr>
        <w:rFonts w:ascii="宋体" w:hAnsi="宋体" w:eastAsia="宋体"/>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lear" w:pos="4153"/>
        <w:tab w:val="clear" w:pos="8306"/>
      </w:tabs>
      <w:jc w:val="center"/>
      <w:rPr>
        <w:rFonts w:ascii="宋体" w:hAnsi="宋体" w:eastAsia="宋体"/>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35</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74</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76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74</w:t>
    </w:r>
    <w:r>
      <w:rPr>
        <w:rFonts w:ascii="宋体" w:hAnsi="宋体" w:eastAsia="宋体"/>
      </w:rPr>
      <w:fldChar w:fldCharType="end"/>
    </w:r>
    <w:r>
      <w:rPr>
        <w:rFonts w:ascii="宋体" w:hAnsi="宋体" w:eastAsia="宋体"/>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77</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79</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77</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78</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80</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78</w:t>
    </w:r>
    <w:r>
      <w:rPr>
        <w:rFonts w:ascii="宋体" w:hAnsi="宋体" w:eastAsia="宋体"/>
      </w:rPr>
      <w:fldChar w:fldCharType="end"/>
    </w:r>
    <w:r>
      <w:rPr>
        <w:rFonts w:ascii="宋体" w:hAnsi="宋体" w:eastAsia="宋体"/>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81</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83</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81</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80</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82</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80</w:t>
    </w:r>
    <w:r>
      <w:rPr>
        <w:rFonts w:ascii="宋体" w:hAnsi="宋体" w:eastAsia="宋体"/>
      </w:rPr>
      <w:fldChar w:fldCharType="end"/>
    </w:r>
    <w:r>
      <w:rPr>
        <w:rFonts w:ascii="宋体" w:hAnsi="宋体" w:eastAsia="宋体"/>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83</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85</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83</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19</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18</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86</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84</w:t>
    </w:r>
    <w:r>
      <w:rPr>
        <w:rFonts w:ascii="宋体" w:hAnsi="宋体" w:eastAsia="宋体"/>
      </w:rPr>
      <w:fldChar w:fldCharType="end"/>
    </w:r>
    <w:r>
      <w:rPr>
        <w:rFonts w:ascii="宋体" w:hAnsi="宋体" w:eastAsia="宋体"/>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47</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49</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47</w:t>
    </w:r>
    <w:r>
      <w:rPr>
        <w:rFonts w:ascii="宋体" w:hAnsi="宋体" w:eastAsia="宋体"/>
      </w:rPr>
      <w:fldChar w:fldCharType="end"/>
    </w:r>
    <w:r>
      <w:rPr>
        <w:rFonts w:ascii="宋体" w:hAnsi="宋体" w:eastAsia="宋体"/>
      </w:rPr>
      <w:t>页</w:t>
    </w:r>
    <w:r>
      <w:rPr>
        <w:rFonts w:ascii="宋体" w:hAnsi="宋体" w:eastAsia="宋体"/>
      </w:rPr>
      <w:tab/>
    </w:r>
    <w:r>
      <w:rPr>
        <w:rFonts w:ascii="宋体" w:hAnsi="宋体" w:eastAsia="宋体"/>
      </w:rPr>
      <w:t>西安市市级单位政府采购中心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enter" w:pos="4535"/>
        <w:tab w:val="right" w:pos="9070"/>
        <w:tab w:val="clear" w:pos="4153"/>
        <w:tab w:val="clear" w:pos="8306"/>
      </w:tabs>
      <w:rPr>
        <w:rFonts w:ascii="宋体" w:hAnsi="宋体" w:eastAsia="宋体"/>
      </w:rPr>
    </w:pPr>
    <w:r>
      <w:rPr>
        <w:rFonts w:hint="eastAsia" w:ascii="宋体" w:hAnsi="宋体" w:eastAsia="宋体"/>
      </w:rPr>
      <w:t>西安市市级单位政府采购中心</w:t>
    </w:r>
    <w:r>
      <w:rPr>
        <w:rFonts w:ascii="宋体" w:hAnsi="宋体" w:eastAsia="宋体"/>
      </w:rPr>
      <w:tab/>
    </w:r>
    <w:r>
      <w:rPr>
        <w:rFonts w:ascii="宋体" w:hAnsi="宋体" w:eastAsia="宋体"/>
      </w:rPr>
      <w:t>第</w:t>
    </w: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48</w:t>
    </w:r>
    <w:r>
      <w:rPr>
        <w:rFonts w:ascii="宋体" w:hAnsi="宋体" w:eastAsia="宋体"/>
      </w:rPr>
      <w:fldChar w:fldCharType="end"/>
    </w:r>
    <w:r>
      <w:rPr>
        <w:rFonts w:ascii="宋体" w:hAnsi="宋体" w:eastAsia="宋体"/>
      </w:rPr>
      <w:t>页　共</w:t>
    </w:r>
    <w:r>
      <w:rPr>
        <w:rFonts w:ascii="宋体" w:hAnsi="宋体" w:eastAsia="宋体"/>
      </w:rPr>
      <w:fldChar w:fldCharType="begin"/>
    </w:r>
    <w:r>
      <w:rPr>
        <w:rFonts w:ascii="宋体" w:hAnsi="宋体" w:eastAsia="宋体"/>
      </w:rPr>
      <w:instrText xml:space="preserve"> =</w:instrText>
    </w:r>
    <w:r>
      <w:rPr>
        <w:rFonts w:ascii="宋体" w:hAnsi="宋体" w:eastAsia="宋体"/>
      </w:rPr>
      <w:fldChar w:fldCharType="begin"/>
    </w:r>
    <w:r>
      <w:rPr>
        <w:rFonts w:ascii="宋体" w:hAnsi="宋体" w:eastAsia="宋体"/>
      </w:rPr>
      <w:instrText xml:space="preserve"> NUMPAGES  \* MERGEFORMAT </w:instrText>
    </w:r>
    <w:r>
      <w:rPr>
        <w:rFonts w:ascii="宋体" w:hAnsi="宋体" w:eastAsia="宋体"/>
      </w:rPr>
      <w:fldChar w:fldCharType="separate"/>
    </w:r>
    <w:r>
      <w:rPr>
        <w:rFonts w:ascii="宋体" w:hAnsi="宋体" w:eastAsia="宋体"/>
      </w:rPr>
      <w:instrText xml:space="preserve">50</w:instrText>
    </w:r>
    <w:r>
      <w:rPr>
        <w:rFonts w:ascii="宋体" w:hAnsi="宋体" w:eastAsia="宋体"/>
      </w:rPr>
      <w:fldChar w:fldCharType="end"/>
    </w:r>
    <w:r>
      <w:rPr>
        <w:rFonts w:ascii="宋体" w:hAnsi="宋体" w:eastAsia="宋体"/>
      </w:rPr>
      <w:instrText xml:space="preserve">-2 \* MERGEFORMAT </w:instrText>
    </w:r>
    <w:r>
      <w:rPr>
        <w:rFonts w:ascii="宋体" w:hAnsi="宋体" w:eastAsia="宋体"/>
      </w:rPr>
      <w:fldChar w:fldCharType="separate"/>
    </w:r>
    <w:r>
      <w:rPr>
        <w:rFonts w:ascii="宋体" w:hAnsi="宋体" w:eastAsia="宋体"/>
      </w:rPr>
      <w:t>48</w:t>
    </w:r>
    <w:r>
      <w:rPr>
        <w:rFonts w:ascii="宋体" w:hAnsi="宋体" w:eastAsia="宋体"/>
      </w:rPr>
      <w:fldChar w:fldCharType="end"/>
    </w:r>
    <w:r>
      <w:rPr>
        <w:rFonts w:ascii="宋体" w:hAnsi="宋体" w:eastAsia="宋体"/>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1"/>
      </w:pBdr>
      <w:tabs>
        <w:tab w:val="clear" w:pos="4153"/>
        <w:tab w:val="clear" w:pos="8306"/>
      </w:tabs>
      <w:jc w:val="left"/>
      <w:rPr>
        <w:rFonts w:ascii="宋体" w:hAnsi="宋体" w:eastAsia="宋体"/>
      </w:rPr>
    </w:pPr>
    <w:r>
      <w:rPr>
        <w:rFonts w:hint="eastAsia" w:ascii="宋体" w:hAnsi="宋体" w:eastAsia="宋体"/>
      </w:rPr>
      <w:t>西安市电子政务网专线接入服务项目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1"/>
      </w:pBdr>
      <w:tabs>
        <w:tab w:val="clear" w:pos="4153"/>
        <w:tab w:val="clear" w:pos="8306"/>
      </w:tabs>
      <w:jc w:val="right"/>
      <w:rPr>
        <w:rFonts w:ascii="宋体" w:hAnsi="宋体" w:eastAsia="宋体"/>
      </w:rPr>
    </w:pPr>
    <w:r>
      <w:rPr>
        <w:rFonts w:hint="eastAsia" w:ascii="宋体" w:hAnsi="宋体" w:eastAsia="宋体"/>
      </w:rPr>
      <w:t>西安市电子政务网专线接入服务项目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1"/>
      </w:pBdr>
      <w:tabs>
        <w:tab w:val="clear" w:pos="4153"/>
        <w:tab w:val="clear" w:pos="8306"/>
      </w:tabs>
      <w:jc w:val="left"/>
      <w:rPr>
        <w:rFonts w:ascii="宋体" w:hAnsi="宋体" w:eastAsia="宋体"/>
      </w:rPr>
    </w:pPr>
    <w:r>
      <w:rPr>
        <w:rFonts w:hint="eastAsia" w:ascii="宋体" w:hAnsi="宋体" w:eastAsia="宋体"/>
      </w:rPr>
      <w:t>西安市电子政务网专线接入服务项目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402DFD"/>
    <w:multiLevelType w:val="multilevel"/>
    <w:tmpl w:val="3F402DFD"/>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0AC295F"/>
    <w:multiLevelType w:val="multilevel"/>
    <w:tmpl w:val="50AC295F"/>
    <w:lvl w:ilvl="0" w:tentative="0">
      <w:start w:val="1"/>
      <w:numFmt w:val="none"/>
      <w:pStyle w:val="98"/>
      <w:suff w:val="nothing"/>
      <w:lvlText w:val=""/>
      <w:lvlJc w:val="center"/>
      <w:pPr>
        <w:ind w:left="0" w:firstLine="0"/>
      </w:pPr>
      <w:rPr>
        <w:rFonts w:hint="default" w:ascii="Calibri" w:hAnsi="Calibri" w:eastAsia="黑体"/>
        <w:b w:val="0"/>
        <w:i w:val="0"/>
        <w:caps w:val="0"/>
        <w:strike w:val="0"/>
        <w:dstrike w:val="0"/>
        <w:snapToGrid/>
        <w:vanish w:val="0"/>
        <w:spacing w:val="0"/>
        <w:w w:val="100"/>
        <w:kern w:val="44"/>
        <w:position w:val="0"/>
        <w:sz w:val="32"/>
        <w:vertAlign w:val="baseline"/>
        <w14:cntxtalts w14:val="0"/>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572627A7"/>
    <w:multiLevelType w:val="multilevel"/>
    <w:tmpl w:val="572627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4132C2"/>
    <w:multiLevelType w:val="multilevel"/>
    <w:tmpl w:val="6D4132C2"/>
    <w:lvl w:ilvl="0" w:tentative="0">
      <w:start w:val="1"/>
      <w:numFmt w:val="none"/>
      <w:pStyle w:val="2"/>
      <w:suff w:val="nothing"/>
      <w:lvlText w:val=""/>
      <w:lvlJc w:val="center"/>
      <w:pPr>
        <w:ind w:left="0" w:firstLine="0"/>
      </w:pPr>
      <w:rPr>
        <w:rFonts w:hint="default" w:ascii="Calibri" w:hAnsi="Calibri" w:eastAsia="黑体"/>
        <w:b w:val="0"/>
        <w:i w:val="0"/>
        <w:caps w:val="0"/>
        <w:strike w:val="0"/>
        <w:dstrike w:val="0"/>
        <w:snapToGrid/>
        <w:vanish w:val="0"/>
        <w:spacing w:val="0"/>
        <w:w w:val="100"/>
        <w:kern w:val="44"/>
        <w:position w:val="0"/>
        <w:sz w:val="32"/>
        <w:vertAlign w:val="baseline"/>
        <w14:cntxtalts w14:val="0"/>
      </w:rPr>
    </w:lvl>
    <w:lvl w:ilvl="1" w:tentative="0">
      <w:start w:val="1"/>
      <w:numFmt w:val="none"/>
      <w:pStyle w:val="3"/>
      <w:suff w:val="nothing"/>
      <w:lvlText w:val=""/>
      <w:lvlJc w:val="left"/>
      <w:pPr>
        <w:ind w:left="0" w:firstLine="0"/>
      </w:pPr>
      <w:rPr>
        <w:rFonts w:hint="default" w:ascii="Calibri" w:hAnsi="Calibri" w:eastAsia="黑体"/>
        <w:b w:val="0"/>
        <w:i w:val="0"/>
        <w:caps w:val="0"/>
        <w:strike w:val="0"/>
        <w:dstrike w:val="0"/>
        <w:snapToGrid/>
        <w:vanish w:val="0"/>
        <w:spacing w:val="0"/>
        <w:w w:val="100"/>
        <w:kern w:val="32"/>
        <w:position w:val="0"/>
        <w:sz w:val="32"/>
        <w:vertAlign w:val="baseline"/>
        <w14:cntxtalts w14:val="0"/>
      </w:rPr>
    </w:lvl>
    <w:lvl w:ilvl="2" w:tentative="0">
      <w:start w:val="1"/>
      <w:numFmt w:val="none"/>
      <w:pStyle w:val="4"/>
      <w:suff w:val="nothing"/>
      <w:lvlText w:val=""/>
      <w:lvlJc w:val="left"/>
      <w:pPr>
        <w:ind w:left="0" w:firstLine="289"/>
      </w:pPr>
      <w:rPr>
        <w:rFonts w:hint="default" w:ascii="Calibri Light" w:hAnsi="Calibri Light" w:eastAsia="宋体"/>
        <w:b/>
        <w:i w:val="0"/>
        <w:caps w:val="0"/>
        <w:strike w:val="0"/>
        <w:dstrike w:val="0"/>
        <w:snapToGrid/>
        <w:vanish w:val="0"/>
        <w:spacing w:val="0"/>
        <w:w w:val="100"/>
        <w:kern w:val="30"/>
        <w:position w:val="0"/>
        <w:sz w:val="30"/>
        <w:vertAlign w:val="baseline"/>
        <w14:cntxtalts w14:val="0"/>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hideSpellingErrors/>
  <w:attachedTemplate r:id="rId1"/>
  <w:documentProtection w:enforcement="0"/>
  <w:defaultTabStop w:val="420"/>
  <w:evenAndOddHeaders w:val="1"/>
  <w:drawingGridHorizontalSpacing w:val="120"/>
  <w:drawingGridVerticalSpacing w:val="23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72D"/>
    <w:rsid w:val="0000159C"/>
    <w:rsid w:val="000019FA"/>
    <w:rsid w:val="0000231F"/>
    <w:rsid w:val="0000292C"/>
    <w:rsid w:val="00002BB3"/>
    <w:rsid w:val="00003B6F"/>
    <w:rsid w:val="00003F53"/>
    <w:rsid w:val="0000473B"/>
    <w:rsid w:val="00004F9A"/>
    <w:rsid w:val="00005E26"/>
    <w:rsid w:val="00006A52"/>
    <w:rsid w:val="0000732D"/>
    <w:rsid w:val="00010323"/>
    <w:rsid w:val="00010FED"/>
    <w:rsid w:val="00012137"/>
    <w:rsid w:val="00012844"/>
    <w:rsid w:val="00012B34"/>
    <w:rsid w:val="00012F9B"/>
    <w:rsid w:val="0001350D"/>
    <w:rsid w:val="00013929"/>
    <w:rsid w:val="00014DAF"/>
    <w:rsid w:val="00015802"/>
    <w:rsid w:val="00016042"/>
    <w:rsid w:val="000162A2"/>
    <w:rsid w:val="00017463"/>
    <w:rsid w:val="00021AF9"/>
    <w:rsid w:val="0002264A"/>
    <w:rsid w:val="00022A4E"/>
    <w:rsid w:val="00022F41"/>
    <w:rsid w:val="00023261"/>
    <w:rsid w:val="000234CF"/>
    <w:rsid w:val="000235C8"/>
    <w:rsid w:val="000251DF"/>
    <w:rsid w:val="00025FD4"/>
    <w:rsid w:val="000260EB"/>
    <w:rsid w:val="00026583"/>
    <w:rsid w:val="0002669B"/>
    <w:rsid w:val="00027B08"/>
    <w:rsid w:val="00027E6B"/>
    <w:rsid w:val="000307EC"/>
    <w:rsid w:val="00031691"/>
    <w:rsid w:val="0003251F"/>
    <w:rsid w:val="00032BB4"/>
    <w:rsid w:val="00032BD1"/>
    <w:rsid w:val="00032CC1"/>
    <w:rsid w:val="00033096"/>
    <w:rsid w:val="00033377"/>
    <w:rsid w:val="00033B5A"/>
    <w:rsid w:val="000343E1"/>
    <w:rsid w:val="00035CCD"/>
    <w:rsid w:val="00036142"/>
    <w:rsid w:val="0003765D"/>
    <w:rsid w:val="00037B29"/>
    <w:rsid w:val="00037F2F"/>
    <w:rsid w:val="00037FD3"/>
    <w:rsid w:val="000403A2"/>
    <w:rsid w:val="0004041F"/>
    <w:rsid w:val="00040799"/>
    <w:rsid w:val="000408F3"/>
    <w:rsid w:val="00040973"/>
    <w:rsid w:val="000434BD"/>
    <w:rsid w:val="00043830"/>
    <w:rsid w:val="000440AF"/>
    <w:rsid w:val="00044F32"/>
    <w:rsid w:val="00045D18"/>
    <w:rsid w:val="00047455"/>
    <w:rsid w:val="00051EF3"/>
    <w:rsid w:val="00052177"/>
    <w:rsid w:val="0005253E"/>
    <w:rsid w:val="00052922"/>
    <w:rsid w:val="00052AF5"/>
    <w:rsid w:val="000543B4"/>
    <w:rsid w:val="00054879"/>
    <w:rsid w:val="00054FF3"/>
    <w:rsid w:val="000556F1"/>
    <w:rsid w:val="00055939"/>
    <w:rsid w:val="00055F81"/>
    <w:rsid w:val="000568CC"/>
    <w:rsid w:val="0005692F"/>
    <w:rsid w:val="00060D11"/>
    <w:rsid w:val="00061066"/>
    <w:rsid w:val="00061213"/>
    <w:rsid w:val="00061A13"/>
    <w:rsid w:val="00061B0D"/>
    <w:rsid w:val="0006226C"/>
    <w:rsid w:val="00062828"/>
    <w:rsid w:val="00062D84"/>
    <w:rsid w:val="00063EEF"/>
    <w:rsid w:val="00064071"/>
    <w:rsid w:val="00064386"/>
    <w:rsid w:val="00066950"/>
    <w:rsid w:val="00067A39"/>
    <w:rsid w:val="00067D44"/>
    <w:rsid w:val="0007053B"/>
    <w:rsid w:val="00070AA6"/>
    <w:rsid w:val="00070DC6"/>
    <w:rsid w:val="00072084"/>
    <w:rsid w:val="00073A16"/>
    <w:rsid w:val="00074562"/>
    <w:rsid w:val="00074C86"/>
    <w:rsid w:val="0007534F"/>
    <w:rsid w:val="000770B7"/>
    <w:rsid w:val="00077B80"/>
    <w:rsid w:val="00080A57"/>
    <w:rsid w:val="00081001"/>
    <w:rsid w:val="000815B4"/>
    <w:rsid w:val="00084264"/>
    <w:rsid w:val="00084335"/>
    <w:rsid w:val="00084E44"/>
    <w:rsid w:val="000857F2"/>
    <w:rsid w:val="00085999"/>
    <w:rsid w:val="00085CA2"/>
    <w:rsid w:val="0008603F"/>
    <w:rsid w:val="00086D2C"/>
    <w:rsid w:val="00087175"/>
    <w:rsid w:val="00090002"/>
    <w:rsid w:val="00090278"/>
    <w:rsid w:val="000906B5"/>
    <w:rsid w:val="000911CC"/>
    <w:rsid w:val="00092417"/>
    <w:rsid w:val="00093AD5"/>
    <w:rsid w:val="000951C6"/>
    <w:rsid w:val="000952F2"/>
    <w:rsid w:val="000953D8"/>
    <w:rsid w:val="00095A8D"/>
    <w:rsid w:val="00096428"/>
    <w:rsid w:val="00096A52"/>
    <w:rsid w:val="00097CDB"/>
    <w:rsid w:val="000A0237"/>
    <w:rsid w:val="000A0EFD"/>
    <w:rsid w:val="000A159C"/>
    <w:rsid w:val="000A1B38"/>
    <w:rsid w:val="000A1F6A"/>
    <w:rsid w:val="000A2583"/>
    <w:rsid w:val="000A2B11"/>
    <w:rsid w:val="000A7A6A"/>
    <w:rsid w:val="000A7C9A"/>
    <w:rsid w:val="000B129A"/>
    <w:rsid w:val="000B2043"/>
    <w:rsid w:val="000B4360"/>
    <w:rsid w:val="000B5741"/>
    <w:rsid w:val="000B5ACF"/>
    <w:rsid w:val="000B5DE5"/>
    <w:rsid w:val="000B6858"/>
    <w:rsid w:val="000B7806"/>
    <w:rsid w:val="000B7B93"/>
    <w:rsid w:val="000C048C"/>
    <w:rsid w:val="000C078B"/>
    <w:rsid w:val="000C21A4"/>
    <w:rsid w:val="000C22A9"/>
    <w:rsid w:val="000C3ADC"/>
    <w:rsid w:val="000C4C29"/>
    <w:rsid w:val="000C538D"/>
    <w:rsid w:val="000C59A5"/>
    <w:rsid w:val="000C774E"/>
    <w:rsid w:val="000D0345"/>
    <w:rsid w:val="000D0AF3"/>
    <w:rsid w:val="000D0DE1"/>
    <w:rsid w:val="000D1277"/>
    <w:rsid w:val="000D12BE"/>
    <w:rsid w:val="000D159C"/>
    <w:rsid w:val="000D282D"/>
    <w:rsid w:val="000D4097"/>
    <w:rsid w:val="000D4B5B"/>
    <w:rsid w:val="000D7A53"/>
    <w:rsid w:val="000D7EAE"/>
    <w:rsid w:val="000E0A97"/>
    <w:rsid w:val="000E1433"/>
    <w:rsid w:val="000E17C6"/>
    <w:rsid w:val="000E3C31"/>
    <w:rsid w:val="000E3FB5"/>
    <w:rsid w:val="000E49C1"/>
    <w:rsid w:val="000E5C68"/>
    <w:rsid w:val="000E5DED"/>
    <w:rsid w:val="000E6AE7"/>
    <w:rsid w:val="000E6B6A"/>
    <w:rsid w:val="000F0A67"/>
    <w:rsid w:val="000F0C8A"/>
    <w:rsid w:val="000F1A9A"/>
    <w:rsid w:val="000F2036"/>
    <w:rsid w:val="000F27AD"/>
    <w:rsid w:val="000F2BEC"/>
    <w:rsid w:val="000F35AB"/>
    <w:rsid w:val="000F3645"/>
    <w:rsid w:val="000F476D"/>
    <w:rsid w:val="000F499A"/>
    <w:rsid w:val="000F4ECB"/>
    <w:rsid w:val="000F4FAD"/>
    <w:rsid w:val="000F5172"/>
    <w:rsid w:val="000F56A5"/>
    <w:rsid w:val="000F66C8"/>
    <w:rsid w:val="000F66FE"/>
    <w:rsid w:val="000F6831"/>
    <w:rsid w:val="000F6A10"/>
    <w:rsid w:val="000F735B"/>
    <w:rsid w:val="000F7883"/>
    <w:rsid w:val="000F7C85"/>
    <w:rsid w:val="000F7DA6"/>
    <w:rsid w:val="00100C1B"/>
    <w:rsid w:val="001018B6"/>
    <w:rsid w:val="00102167"/>
    <w:rsid w:val="00103379"/>
    <w:rsid w:val="00103D6B"/>
    <w:rsid w:val="00104D98"/>
    <w:rsid w:val="0010513F"/>
    <w:rsid w:val="001059A0"/>
    <w:rsid w:val="00105F44"/>
    <w:rsid w:val="00106530"/>
    <w:rsid w:val="001067F9"/>
    <w:rsid w:val="0010742F"/>
    <w:rsid w:val="00107B8A"/>
    <w:rsid w:val="00107BFB"/>
    <w:rsid w:val="001101BD"/>
    <w:rsid w:val="0011093D"/>
    <w:rsid w:val="001118A7"/>
    <w:rsid w:val="00111F0F"/>
    <w:rsid w:val="001131D6"/>
    <w:rsid w:val="00113B9B"/>
    <w:rsid w:val="001141B6"/>
    <w:rsid w:val="00116102"/>
    <w:rsid w:val="00116EFB"/>
    <w:rsid w:val="001173C5"/>
    <w:rsid w:val="0012085C"/>
    <w:rsid w:val="0012177E"/>
    <w:rsid w:val="00121FC0"/>
    <w:rsid w:val="001221AC"/>
    <w:rsid w:val="0012269C"/>
    <w:rsid w:val="00122D76"/>
    <w:rsid w:val="001232DE"/>
    <w:rsid w:val="001232E1"/>
    <w:rsid w:val="001240BB"/>
    <w:rsid w:val="00124260"/>
    <w:rsid w:val="001257D4"/>
    <w:rsid w:val="001260D2"/>
    <w:rsid w:val="00127C95"/>
    <w:rsid w:val="0013005B"/>
    <w:rsid w:val="0013015E"/>
    <w:rsid w:val="0013081C"/>
    <w:rsid w:val="001315EA"/>
    <w:rsid w:val="00131904"/>
    <w:rsid w:val="0013342E"/>
    <w:rsid w:val="0013373F"/>
    <w:rsid w:val="001338D9"/>
    <w:rsid w:val="00133ADB"/>
    <w:rsid w:val="00134EE2"/>
    <w:rsid w:val="001351E3"/>
    <w:rsid w:val="00135637"/>
    <w:rsid w:val="00135AA2"/>
    <w:rsid w:val="00136D4A"/>
    <w:rsid w:val="0013712F"/>
    <w:rsid w:val="00137CD5"/>
    <w:rsid w:val="00137E7B"/>
    <w:rsid w:val="00140177"/>
    <w:rsid w:val="00142244"/>
    <w:rsid w:val="001454AD"/>
    <w:rsid w:val="001455F6"/>
    <w:rsid w:val="001456C7"/>
    <w:rsid w:val="00145DA0"/>
    <w:rsid w:val="0014649B"/>
    <w:rsid w:val="00146648"/>
    <w:rsid w:val="00152476"/>
    <w:rsid w:val="001534EC"/>
    <w:rsid w:val="0015361E"/>
    <w:rsid w:val="00156ED5"/>
    <w:rsid w:val="0015782A"/>
    <w:rsid w:val="00157BBC"/>
    <w:rsid w:val="00157FB1"/>
    <w:rsid w:val="00160A34"/>
    <w:rsid w:val="0016196F"/>
    <w:rsid w:val="00162008"/>
    <w:rsid w:val="00162710"/>
    <w:rsid w:val="001630D0"/>
    <w:rsid w:val="00163752"/>
    <w:rsid w:val="00163F04"/>
    <w:rsid w:val="00164101"/>
    <w:rsid w:val="00164EE1"/>
    <w:rsid w:val="001664B2"/>
    <w:rsid w:val="00166804"/>
    <w:rsid w:val="001668AF"/>
    <w:rsid w:val="00166FD9"/>
    <w:rsid w:val="00167674"/>
    <w:rsid w:val="00167ECE"/>
    <w:rsid w:val="0017054A"/>
    <w:rsid w:val="00171A61"/>
    <w:rsid w:val="00173749"/>
    <w:rsid w:val="00173A35"/>
    <w:rsid w:val="0017410F"/>
    <w:rsid w:val="00174285"/>
    <w:rsid w:val="00175756"/>
    <w:rsid w:val="00176CF3"/>
    <w:rsid w:val="00176F0E"/>
    <w:rsid w:val="0018044D"/>
    <w:rsid w:val="00180E39"/>
    <w:rsid w:val="00182728"/>
    <w:rsid w:val="00182C33"/>
    <w:rsid w:val="0018316D"/>
    <w:rsid w:val="0018493A"/>
    <w:rsid w:val="00184A1D"/>
    <w:rsid w:val="00184DE0"/>
    <w:rsid w:val="00184F72"/>
    <w:rsid w:val="00187440"/>
    <w:rsid w:val="00187846"/>
    <w:rsid w:val="00191693"/>
    <w:rsid w:val="00191834"/>
    <w:rsid w:val="00191A7E"/>
    <w:rsid w:val="00191DD9"/>
    <w:rsid w:val="001925F4"/>
    <w:rsid w:val="00193B5F"/>
    <w:rsid w:val="001947E8"/>
    <w:rsid w:val="00194890"/>
    <w:rsid w:val="00195399"/>
    <w:rsid w:val="0019564E"/>
    <w:rsid w:val="00196A1C"/>
    <w:rsid w:val="00196DD9"/>
    <w:rsid w:val="0019707F"/>
    <w:rsid w:val="00197C5C"/>
    <w:rsid w:val="00197D89"/>
    <w:rsid w:val="001A0376"/>
    <w:rsid w:val="001A0C97"/>
    <w:rsid w:val="001A10FD"/>
    <w:rsid w:val="001A127F"/>
    <w:rsid w:val="001A2103"/>
    <w:rsid w:val="001A373A"/>
    <w:rsid w:val="001A5309"/>
    <w:rsid w:val="001A5764"/>
    <w:rsid w:val="001B0699"/>
    <w:rsid w:val="001B0C7B"/>
    <w:rsid w:val="001B15EA"/>
    <w:rsid w:val="001B1A06"/>
    <w:rsid w:val="001B2019"/>
    <w:rsid w:val="001B3CB7"/>
    <w:rsid w:val="001B3EB7"/>
    <w:rsid w:val="001B49FD"/>
    <w:rsid w:val="001B5302"/>
    <w:rsid w:val="001B6115"/>
    <w:rsid w:val="001C051F"/>
    <w:rsid w:val="001C0A0A"/>
    <w:rsid w:val="001C0BA3"/>
    <w:rsid w:val="001C0BBD"/>
    <w:rsid w:val="001C1076"/>
    <w:rsid w:val="001C25ED"/>
    <w:rsid w:val="001C2D05"/>
    <w:rsid w:val="001C4AFC"/>
    <w:rsid w:val="001C51A3"/>
    <w:rsid w:val="001C5BE5"/>
    <w:rsid w:val="001C607B"/>
    <w:rsid w:val="001C732E"/>
    <w:rsid w:val="001D1356"/>
    <w:rsid w:val="001D1423"/>
    <w:rsid w:val="001D1BCB"/>
    <w:rsid w:val="001D22C0"/>
    <w:rsid w:val="001D2541"/>
    <w:rsid w:val="001D2CE5"/>
    <w:rsid w:val="001D3803"/>
    <w:rsid w:val="001D4171"/>
    <w:rsid w:val="001D4442"/>
    <w:rsid w:val="001D576E"/>
    <w:rsid w:val="001D70BC"/>
    <w:rsid w:val="001E00CB"/>
    <w:rsid w:val="001E0215"/>
    <w:rsid w:val="001E0376"/>
    <w:rsid w:val="001E0768"/>
    <w:rsid w:val="001E0C4B"/>
    <w:rsid w:val="001E1DFE"/>
    <w:rsid w:val="001E2911"/>
    <w:rsid w:val="001E2BB9"/>
    <w:rsid w:val="001E3E6D"/>
    <w:rsid w:val="001E568C"/>
    <w:rsid w:val="001E6560"/>
    <w:rsid w:val="001E6A70"/>
    <w:rsid w:val="001E6F99"/>
    <w:rsid w:val="001E7761"/>
    <w:rsid w:val="001E790E"/>
    <w:rsid w:val="001F0A60"/>
    <w:rsid w:val="001F2059"/>
    <w:rsid w:val="001F23C9"/>
    <w:rsid w:val="001F2A6A"/>
    <w:rsid w:val="001F42F8"/>
    <w:rsid w:val="001F4827"/>
    <w:rsid w:val="001F49A1"/>
    <w:rsid w:val="001F4ACC"/>
    <w:rsid w:val="001F5599"/>
    <w:rsid w:val="001F56A2"/>
    <w:rsid w:val="001F5903"/>
    <w:rsid w:val="001F7532"/>
    <w:rsid w:val="001F779A"/>
    <w:rsid w:val="001F7B5A"/>
    <w:rsid w:val="00200E55"/>
    <w:rsid w:val="00201795"/>
    <w:rsid w:val="002017D8"/>
    <w:rsid w:val="00201E3A"/>
    <w:rsid w:val="002027F6"/>
    <w:rsid w:val="002039B1"/>
    <w:rsid w:val="0020498C"/>
    <w:rsid w:val="002051A7"/>
    <w:rsid w:val="0020566D"/>
    <w:rsid w:val="002064EF"/>
    <w:rsid w:val="00207790"/>
    <w:rsid w:val="00210476"/>
    <w:rsid w:val="00210CFC"/>
    <w:rsid w:val="00210FBE"/>
    <w:rsid w:val="002111A6"/>
    <w:rsid w:val="00212328"/>
    <w:rsid w:val="002125C8"/>
    <w:rsid w:val="002126E5"/>
    <w:rsid w:val="00213205"/>
    <w:rsid w:val="002137AF"/>
    <w:rsid w:val="002174B0"/>
    <w:rsid w:val="002201A0"/>
    <w:rsid w:val="00220787"/>
    <w:rsid w:val="002209DE"/>
    <w:rsid w:val="00221727"/>
    <w:rsid w:val="00223AA8"/>
    <w:rsid w:val="00223E30"/>
    <w:rsid w:val="00223EFE"/>
    <w:rsid w:val="00224257"/>
    <w:rsid w:val="00224D12"/>
    <w:rsid w:val="00224DA1"/>
    <w:rsid w:val="00226069"/>
    <w:rsid w:val="00226A70"/>
    <w:rsid w:val="002270A9"/>
    <w:rsid w:val="00227188"/>
    <w:rsid w:val="0023021B"/>
    <w:rsid w:val="0023070C"/>
    <w:rsid w:val="00230C6A"/>
    <w:rsid w:val="00232737"/>
    <w:rsid w:val="00232797"/>
    <w:rsid w:val="00232A7D"/>
    <w:rsid w:val="0023300C"/>
    <w:rsid w:val="00233517"/>
    <w:rsid w:val="00233D53"/>
    <w:rsid w:val="002345B9"/>
    <w:rsid w:val="00234BF8"/>
    <w:rsid w:val="00235ECB"/>
    <w:rsid w:val="002378CD"/>
    <w:rsid w:val="00237A3F"/>
    <w:rsid w:val="00237A4A"/>
    <w:rsid w:val="00237C8C"/>
    <w:rsid w:val="00240CD3"/>
    <w:rsid w:val="0024210D"/>
    <w:rsid w:val="00243009"/>
    <w:rsid w:val="00244703"/>
    <w:rsid w:val="00244752"/>
    <w:rsid w:val="00244C29"/>
    <w:rsid w:val="00244DB8"/>
    <w:rsid w:val="00244FE4"/>
    <w:rsid w:val="00246EAC"/>
    <w:rsid w:val="00247B11"/>
    <w:rsid w:val="00250468"/>
    <w:rsid w:val="00250A0D"/>
    <w:rsid w:val="00250A61"/>
    <w:rsid w:val="00250B6E"/>
    <w:rsid w:val="002512DB"/>
    <w:rsid w:val="002519B6"/>
    <w:rsid w:val="00252050"/>
    <w:rsid w:val="00253B74"/>
    <w:rsid w:val="00254492"/>
    <w:rsid w:val="002547E0"/>
    <w:rsid w:val="00255DBC"/>
    <w:rsid w:val="00256AC1"/>
    <w:rsid w:val="00257517"/>
    <w:rsid w:val="0025777A"/>
    <w:rsid w:val="00257B25"/>
    <w:rsid w:val="00260306"/>
    <w:rsid w:val="002604AB"/>
    <w:rsid w:val="00261898"/>
    <w:rsid w:val="002621C5"/>
    <w:rsid w:val="00264014"/>
    <w:rsid w:val="0026501F"/>
    <w:rsid w:val="0026534B"/>
    <w:rsid w:val="00266611"/>
    <w:rsid w:val="00267AE5"/>
    <w:rsid w:val="00267C8A"/>
    <w:rsid w:val="00267FDD"/>
    <w:rsid w:val="00271136"/>
    <w:rsid w:val="00271ED3"/>
    <w:rsid w:val="00272146"/>
    <w:rsid w:val="002721CB"/>
    <w:rsid w:val="00272337"/>
    <w:rsid w:val="002724F0"/>
    <w:rsid w:val="00272DAF"/>
    <w:rsid w:val="00272E7E"/>
    <w:rsid w:val="00273219"/>
    <w:rsid w:val="00273A93"/>
    <w:rsid w:val="00273F51"/>
    <w:rsid w:val="002742EA"/>
    <w:rsid w:val="0027449B"/>
    <w:rsid w:val="00274AFC"/>
    <w:rsid w:val="0027517E"/>
    <w:rsid w:val="00275284"/>
    <w:rsid w:val="00275C8F"/>
    <w:rsid w:val="00276641"/>
    <w:rsid w:val="00276659"/>
    <w:rsid w:val="00276A1C"/>
    <w:rsid w:val="00276C8A"/>
    <w:rsid w:val="002771C6"/>
    <w:rsid w:val="0028033D"/>
    <w:rsid w:val="0028114A"/>
    <w:rsid w:val="00282837"/>
    <w:rsid w:val="00282CF7"/>
    <w:rsid w:val="002836B6"/>
    <w:rsid w:val="00283DD5"/>
    <w:rsid w:val="002848E9"/>
    <w:rsid w:val="00285A8D"/>
    <w:rsid w:val="00286179"/>
    <w:rsid w:val="00291777"/>
    <w:rsid w:val="0029384E"/>
    <w:rsid w:val="00294428"/>
    <w:rsid w:val="00294633"/>
    <w:rsid w:val="002961E2"/>
    <w:rsid w:val="00296372"/>
    <w:rsid w:val="0029748B"/>
    <w:rsid w:val="00297703"/>
    <w:rsid w:val="002977DC"/>
    <w:rsid w:val="00297866"/>
    <w:rsid w:val="002A26D5"/>
    <w:rsid w:val="002A2BA1"/>
    <w:rsid w:val="002A3B25"/>
    <w:rsid w:val="002A3C6E"/>
    <w:rsid w:val="002A4387"/>
    <w:rsid w:val="002A4D3C"/>
    <w:rsid w:val="002A62BF"/>
    <w:rsid w:val="002A6815"/>
    <w:rsid w:val="002A6BFB"/>
    <w:rsid w:val="002A703D"/>
    <w:rsid w:val="002A7B39"/>
    <w:rsid w:val="002A7BB1"/>
    <w:rsid w:val="002A7FF7"/>
    <w:rsid w:val="002B009B"/>
    <w:rsid w:val="002B0F05"/>
    <w:rsid w:val="002B12E1"/>
    <w:rsid w:val="002B35C4"/>
    <w:rsid w:val="002B36C2"/>
    <w:rsid w:val="002B59BE"/>
    <w:rsid w:val="002B5B32"/>
    <w:rsid w:val="002B60BE"/>
    <w:rsid w:val="002B65AB"/>
    <w:rsid w:val="002B696D"/>
    <w:rsid w:val="002B69BA"/>
    <w:rsid w:val="002C03FE"/>
    <w:rsid w:val="002C05A3"/>
    <w:rsid w:val="002C402B"/>
    <w:rsid w:val="002C4511"/>
    <w:rsid w:val="002C45C3"/>
    <w:rsid w:val="002C4DAE"/>
    <w:rsid w:val="002C552D"/>
    <w:rsid w:val="002C6405"/>
    <w:rsid w:val="002C6442"/>
    <w:rsid w:val="002C6F4A"/>
    <w:rsid w:val="002D1AEB"/>
    <w:rsid w:val="002D2B5F"/>
    <w:rsid w:val="002D2BB9"/>
    <w:rsid w:val="002D327B"/>
    <w:rsid w:val="002D41DD"/>
    <w:rsid w:val="002D5205"/>
    <w:rsid w:val="002D65D4"/>
    <w:rsid w:val="002D7418"/>
    <w:rsid w:val="002D7AA4"/>
    <w:rsid w:val="002E1283"/>
    <w:rsid w:val="002E128E"/>
    <w:rsid w:val="002E1660"/>
    <w:rsid w:val="002E1D18"/>
    <w:rsid w:val="002E1D4D"/>
    <w:rsid w:val="002E379C"/>
    <w:rsid w:val="002E43F6"/>
    <w:rsid w:val="002E44F8"/>
    <w:rsid w:val="002E4813"/>
    <w:rsid w:val="002E4D7B"/>
    <w:rsid w:val="002E609B"/>
    <w:rsid w:val="002E7C3E"/>
    <w:rsid w:val="002F074B"/>
    <w:rsid w:val="002F0D5D"/>
    <w:rsid w:val="002F1C19"/>
    <w:rsid w:val="002F1C7D"/>
    <w:rsid w:val="002F1EC9"/>
    <w:rsid w:val="002F25EC"/>
    <w:rsid w:val="002F2A10"/>
    <w:rsid w:val="002F2EAB"/>
    <w:rsid w:val="002F30DD"/>
    <w:rsid w:val="002F3224"/>
    <w:rsid w:val="002F3350"/>
    <w:rsid w:val="002F3812"/>
    <w:rsid w:val="002F5198"/>
    <w:rsid w:val="002F5EB9"/>
    <w:rsid w:val="002F6A46"/>
    <w:rsid w:val="002F7D7D"/>
    <w:rsid w:val="00300067"/>
    <w:rsid w:val="00300B27"/>
    <w:rsid w:val="0030123B"/>
    <w:rsid w:val="00301303"/>
    <w:rsid w:val="00301E0D"/>
    <w:rsid w:val="00301FAE"/>
    <w:rsid w:val="003024CF"/>
    <w:rsid w:val="00302E0F"/>
    <w:rsid w:val="00304831"/>
    <w:rsid w:val="003051C7"/>
    <w:rsid w:val="003061B0"/>
    <w:rsid w:val="00306470"/>
    <w:rsid w:val="00307F20"/>
    <w:rsid w:val="00311862"/>
    <w:rsid w:val="00312811"/>
    <w:rsid w:val="00312CBD"/>
    <w:rsid w:val="00313793"/>
    <w:rsid w:val="0031443D"/>
    <w:rsid w:val="0031590A"/>
    <w:rsid w:val="00316961"/>
    <w:rsid w:val="00316D60"/>
    <w:rsid w:val="003172BB"/>
    <w:rsid w:val="00317D2F"/>
    <w:rsid w:val="00317F17"/>
    <w:rsid w:val="0032058F"/>
    <w:rsid w:val="0032080F"/>
    <w:rsid w:val="003216C3"/>
    <w:rsid w:val="0032203C"/>
    <w:rsid w:val="00322208"/>
    <w:rsid w:val="00322600"/>
    <w:rsid w:val="003231CF"/>
    <w:rsid w:val="00323283"/>
    <w:rsid w:val="003245F8"/>
    <w:rsid w:val="00324B69"/>
    <w:rsid w:val="00325042"/>
    <w:rsid w:val="00325C77"/>
    <w:rsid w:val="00325D47"/>
    <w:rsid w:val="00325EF1"/>
    <w:rsid w:val="00326169"/>
    <w:rsid w:val="0032696A"/>
    <w:rsid w:val="00326B69"/>
    <w:rsid w:val="00327A6B"/>
    <w:rsid w:val="00327F7D"/>
    <w:rsid w:val="003302D2"/>
    <w:rsid w:val="00330EA4"/>
    <w:rsid w:val="0033167F"/>
    <w:rsid w:val="00332A7C"/>
    <w:rsid w:val="00335C58"/>
    <w:rsid w:val="00337288"/>
    <w:rsid w:val="00337CFC"/>
    <w:rsid w:val="0034052E"/>
    <w:rsid w:val="003406B1"/>
    <w:rsid w:val="00340B2C"/>
    <w:rsid w:val="00342995"/>
    <w:rsid w:val="00343305"/>
    <w:rsid w:val="00343FF8"/>
    <w:rsid w:val="003443D3"/>
    <w:rsid w:val="00344A2C"/>
    <w:rsid w:val="003450CD"/>
    <w:rsid w:val="00345F35"/>
    <w:rsid w:val="00346A88"/>
    <w:rsid w:val="00346D43"/>
    <w:rsid w:val="00346E08"/>
    <w:rsid w:val="00347675"/>
    <w:rsid w:val="0035004F"/>
    <w:rsid w:val="003509CA"/>
    <w:rsid w:val="003511FC"/>
    <w:rsid w:val="00351734"/>
    <w:rsid w:val="00354AF4"/>
    <w:rsid w:val="00354FCF"/>
    <w:rsid w:val="003551E0"/>
    <w:rsid w:val="003552C3"/>
    <w:rsid w:val="0035572B"/>
    <w:rsid w:val="00357EC3"/>
    <w:rsid w:val="00360830"/>
    <w:rsid w:val="00361AF7"/>
    <w:rsid w:val="00362F20"/>
    <w:rsid w:val="00363C14"/>
    <w:rsid w:val="00363FDC"/>
    <w:rsid w:val="00364896"/>
    <w:rsid w:val="00365985"/>
    <w:rsid w:val="00366A2C"/>
    <w:rsid w:val="003704E3"/>
    <w:rsid w:val="00370C75"/>
    <w:rsid w:val="00371456"/>
    <w:rsid w:val="00373297"/>
    <w:rsid w:val="00373AE9"/>
    <w:rsid w:val="003743E0"/>
    <w:rsid w:val="00374506"/>
    <w:rsid w:val="0037495D"/>
    <w:rsid w:val="0037515A"/>
    <w:rsid w:val="0037531B"/>
    <w:rsid w:val="00375819"/>
    <w:rsid w:val="00375C89"/>
    <w:rsid w:val="00375CC2"/>
    <w:rsid w:val="00376DAF"/>
    <w:rsid w:val="0037759F"/>
    <w:rsid w:val="00377B5E"/>
    <w:rsid w:val="00380B76"/>
    <w:rsid w:val="0038204A"/>
    <w:rsid w:val="00382469"/>
    <w:rsid w:val="003833FB"/>
    <w:rsid w:val="00383F8F"/>
    <w:rsid w:val="00384CD5"/>
    <w:rsid w:val="00385D52"/>
    <w:rsid w:val="003872CB"/>
    <w:rsid w:val="00387AFC"/>
    <w:rsid w:val="00390290"/>
    <w:rsid w:val="00390DBE"/>
    <w:rsid w:val="00390FC4"/>
    <w:rsid w:val="003918A5"/>
    <w:rsid w:val="0039216D"/>
    <w:rsid w:val="00392EBD"/>
    <w:rsid w:val="00393459"/>
    <w:rsid w:val="003943D1"/>
    <w:rsid w:val="0039449C"/>
    <w:rsid w:val="00395695"/>
    <w:rsid w:val="0039665F"/>
    <w:rsid w:val="003966C3"/>
    <w:rsid w:val="00396863"/>
    <w:rsid w:val="00396E70"/>
    <w:rsid w:val="00397EEA"/>
    <w:rsid w:val="003A0002"/>
    <w:rsid w:val="003A00F1"/>
    <w:rsid w:val="003A0295"/>
    <w:rsid w:val="003A0D83"/>
    <w:rsid w:val="003A0DC6"/>
    <w:rsid w:val="003A0E76"/>
    <w:rsid w:val="003A192D"/>
    <w:rsid w:val="003A2A14"/>
    <w:rsid w:val="003A3CB1"/>
    <w:rsid w:val="003B086A"/>
    <w:rsid w:val="003B0D75"/>
    <w:rsid w:val="003B1140"/>
    <w:rsid w:val="003B1E26"/>
    <w:rsid w:val="003B25DE"/>
    <w:rsid w:val="003B2AF6"/>
    <w:rsid w:val="003B3207"/>
    <w:rsid w:val="003B35A9"/>
    <w:rsid w:val="003B39CA"/>
    <w:rsid w:val="003B4D0C"/>
    <w:rsid w:val="003C3325"/>
    <w:rsid w:val="003C4A2A"/>
    <w:rsid w:val="003C61F3"/>
    <w:rsid w:val="003C6AB2"/>
    <w:rsid w:val="003C6CC8"/>
    <w:rsid w:val="003C7C29"/>
    <w:rsid w:val="003D0275"/>
    <w:rsid w:val="003D03E1"/>
    <w:rsid w:val="003D0435"/>
    <w:rsid w:val="003D0D2A"/>
    <w:rsid w:val="003D18B9"/>
    <w:rsid w:val="003D2606"/>
    <w:rsid w:val="003D2DAB"/>
    <w:rsid w:val="003D3266"/>
    <w:rsid w:val="003D39C7"/>
    <w:rsid w:val="003D3A50"/>
    <w:rsid w:val="003D45F5"/>
    <w:rsid w:val="003D4976"/>
    <w:rsid w:val="003D552D"/>
    <w:rsid w:val="003D5A2E"/>
    <w:rsid w:val="003D6B60"/>
    <w:rsid w:val="003D6C18"/>
    <w:rsid w:val="003E010E"/>
    <w:rsid w:val="003E0A2C"/>
    <w:rsid w:val="003E1503"/>
    <w:rsid w:val="003E1D81"/>
    <w:rsid w:val="003E2F34"/>
    <w:rsid w:val="003E5BF5"/>
    <w:rsid w:val="003E5CDB"/>
    <w:rsid w:val="003E5CFF"/>
    <w:rsid w:val="003E6507"/>
    <w:rsid w:val="003E7874"/>
    <w:rsid w:val="003E7DCF"/>
    <w:rsid w:val="003F0E1D"/>
    <w:rsid w:val="003F1C2D"/>
    <w:rsid w:val="003F328C"/>
    <w:rsid w:val="003F3882"/>
    <w:rsid w:val="003F3F0B"/>
    <w:rsid w:val="003F60A3"/>
    <w:rsid w:val="003F7185"/>
    <w:rsid w:val="003F7C8E"/>
    <w:rsid w:val="004001BE"/>
    <w:rsid w:val="0040124D"/>
    <w:rsid w:val="004017C8"/>
    <w:rsid w:val="0040181A"/>
    <w:rsid w:val="00401D26"/>
    <w:rsid w:val="004024C2"/>
    <w:rsid w:val="00403FBB"/>
    <w:rsid w:val="00404A7B"/>
    <w:rsid w:val="00405285"/>
    <w:rsid w:val="00406631"/>
    <w:rsid w:val="004068A7"/>
    <w:rsid w:val="00406C11"/>
    <w:rsid w:val="00407BBB"/>
    <w:rsid w:val="004106B2"/>
    <w:rsid w:val="00411AA1"/>
    <w:rsid w:val="00411C65"/>
    <w:rsid w:val="00412CBC"/>
    <w:rsid w:val="00413A77"/>
    <w:rsid w:val="00414039"/>
    <w:rsid w:val="00414D38"/>
    <w:rsid w:val="004155E3"/>
    <w:rsid w:val="004155E5"/>
    <w:rsid w:val="004156E2"/>
    <w:rsid w:val="00415AB5"/>
    <w:rsid w:val="00416311"/>
    <w:rsid w:val="00416478"/>
    <w:rsid w:val="004173E5"/>
    <w:rsid w:val="0041776D"/>
    <w:rsid w:val="0041787E"/>
    <w:rsid w:val="00417AAE"/>
    <w:rsid w:val="00420875"/>
    <w:rsid w:val="00421EBB"/>
    <w:rsid w:val="00422EB1"/>
    <w:rsid w:val="0042388D"/>
    <w:rsid w:val="00423987"/>
    <w:rsid w:val="00423A23"/>
    <w:rsid w:val="00423EB7"/>
    <w:rsid w:val="00425038"/>
    <w:rsid w:val="004257B7"/>
    <w:rsid w:val="0042688F"/>
    <w:rsid w:val="00427ABD"/>
    <w:rsid w:val="00430409"/>
    <w:rsid w:val="0043159B"/>
    <w:rsid w:val="004317AB"/>
    <w:rsid w:val="00431DBF"/>
    <w:rsid w:val="00431DD7"/>
    <w:rsid w:val="00432E60"/>
    <w:rsid w:val="00433512"/>
    <w:rsid w:val="0043432D"/>
    <w:rsid w:val="004369C6"/>
    <w:rsid w:val="00437842"/>
    <w:rsid w:val="0044122A"/>
    <w:rsid w:val="004415D9"/>
    <w:rsid w:val="0044180B"/>
    <w:rsid w:val="00441977"/>
    <w:rsid w:val="00441D7B"/>
    <w:rsid w:val="00442041"/>
    <w:rsid w:val="00443691"/>
    <w:rsid w:val="00444250"/>
    <w:rsid w:val="00444298"/>
    <w:rsid w:val="00444474"/>
    <w:rsid w:val="0044514F"/>
    <w:rsid w:val="004456C5"/>
    <w:rsid w:val="004474B0"/>
    <w:rsid w:val="004535B6"/>
    <w:rsid w:val="00454666"/>
    <w:rsid w:val="004547F6"/>
    <w:rsid w:val="004549DF"/>
    <w:rsid w:val="004550FE"/>
    <w:rsid w:val="004556E4"/>
    <w:rsid w:val="00455F40"/>
    <w:rsid w:val="004574A4"/>
    <w:rsid w:val="00460822"/>
    <w:rsid w:val="00463236"/>
    <w:rsid w:val="00463834"/>
    <w:rsid w:val="004657D3"/>
    <w:rsid w:val="0046630E"/>
    <w:rsid w:val="00466895"/>
    <w:rsid w:val="0046690A"/>
    <w:rsid w:val="0046782F"/>
    <w:rsid w:val="00471E1E"/>
    <w:rsid w:val="00471F0F"/>
    <w:rsid w:val="0047278F"/>
    <w:rsid w:val="00473CE1"/>
    <w:rsid w:val="0047566E"/>
    <w:rsid w:val="0047590B"/>
    <w:rsid w:val="0047799A"/>
    <w:rsid w:val="00480CD4"/>
    <w:rsid w:val="00484665"/>
    <w:rsid w:val="004846F1"/>
    <w:rsid w:val="00484A3E"/>
    <w:rsid w:val="00485D5D"/>
    <w:rsid w:val="00487FE6"/>
    <w:rsid w:val="00490F43"/>
    <w:rsid w:val="00490F98"/>
    <w:rsid w:val="00491349"/>
    <w:rsid w:val="00492A13"/>
    <w:rsid w:val="00492F9F"/>
    <w:rsid w:val="00493684"/>
    <w:rsid w:val="00493DFE"/>
    <w:rsid w:val="00493E1E"/>
    <w:rsid w:val="00493E48"/>
    <w:rsid w:val="004966D8"/>
    <w:rsid w:val="004968C7"/>
    <w:rsid w:val="00496ACE"/>
    <w:rsid w:val="00497411"/>
    <w:rsid w:val="00497530"/>
    <w:rsid w:val="004A00FD"/>
    <w:rsid w:val="004A0307"/>
    <w:rsid w:val="004A570C"/>
    <w:rsid w:val="004A5782"/>
    <w:rsid w:val="004A5A7A"/>
    <w:rsid w:val="004A5CFF"/>
    <w:rsid w:val="004A61D7"/>
    <w:rsid w:val="004A699E"/>
    <w:rsid w:val="004A6B5A"/>
    <w:rsid w:val="004A7113"/>
    <w:rsid w:val="004B1026"/>
    <w:rsid w:val="004B13F6"/>
    <w:rsid w:val="004B3327"/>
    <w:rsid w:val="004B4DD1"/>
    <w:rsid w:val="004B532B"/>
    <w:rsid w:val="004B5992"/>
    <w:rsid w:val="004B6259"/>
    <w:rsid w:val="004B6DC3"/>
    <w:rsid w:val="004B756B"/>
    <w:rsid w:val="004C093C"/>
    <w:rsid w:val="004C0B7A"/>
    <w:rsid w:val="004C0CA0"/>
    <w:rsid w:val="004C17C1"/>
    <w:rsid w:val="004C17D4"/>
    <w:rsid w:val="004C48B9"/>
    <w:rsid w:val="004C5B48"/>
    <w:rsid w:val="004C6493"/>
    <w:rsid w:val="004C7371"/>
    <w:rsid w:val="004D04C7"/>
    <w:rsid w:val="004D11A6"/>
    <w:rsid w:val="004D2147"/>
    <w:rsid w:val="004D26C2"/>
    <w:rsid w:val="004D2BAF"/>
    <w:rsid w:val="004D2D8E"/>
    <w:rsid w:val="004D2F54"/>
    <w:rsid w:val="004D3590"/>
    <w:rsid w:val="004D4879"/>
    <w:rsid w:val="004D64C5"/>
    <w:rsid w:val="004D6A1A"/>
    <w:rsid w:val="004D7112"/>
    <w:rsid w:val="004D7397"/>
    <w:rsid w:val="004D7C23"/>
    <w:rsid w:val="004D7F2C"/>
    <w:rsid w:val="004E07B6"/>
    <w:rsid w:val="004E0B6D"/>
    <w:rsid w:val="004E1FD6"/>
    <w:rsid w:val="004E2550"/>
    <w:rsid w:val="004E4F56"/>
    <w:rsid w:val="004E5196"/>
    <w:rsid w:val="004E5422"/>
    <w:rsid w:val="004E63AF"/>
    <w:rsid w:val="004E69D9"/>
    <w:rsid w:val="004E7520"/>
    <w:rsid w:val="004F01A5"/>
    <w:rsid w:val="004F04DD"/>
    <w:rsid w:val="004F08ED"/>
    <w:rsid w:val="004F2CC5"/>
    <w:rsid w:val="004F3096"/>
    <w:rsid w:val="004F3159"/>
    <w:rsid w:val="004F32CF"/>
    <w:rsid w:val="004F411F"/>
    <w:rsid w:val="004F60D3"/>
    <w:rsid w:val="004F6E7E"/>
    <w:rsid w:val="004F7234"/>
    <w:rsid w:val="004F7D8F"/>
    <w:rsid w:val="00500B15"/>
    <w:rsid w:val="0050182A"/>
    <w:rsid w:val="00501CED"/>
    <w:rsid w:val="00501F56"/>
    <w:rsid w:val="0050264E"/>
    <w:rsid w:val="00502DB5"/>
    <w:rsid w:val="0050431E"/>
    <w:rsid w:val="005053C1"/>
    <w:rsid w:val="00506ECC"/>
    <w:rsid w:val="00507ABD"/>
    <w:rsid w:val="00510062"/>
    <w:rsid w:val="00510D3F"/>
    <w:rsid w:val="00511E18"/>
    <w:rsid w:val="00512B77"/>
    <w:rsid w:val="00512C56"/>
    <w:rsid w:val="00515ADE"/>
    <w:rsid w:val="00515E63"/>
    <w:rsid w:val="005176F4"/>
    <w:rsid w:val="005203BA"/>
    <w:rsid w:val="00521222"/>
    <w:rsid w:val="005220F8"/>
    <w:rsid w:val="00522932"/>
    <w:rsid w:val="005232C9"/>
    <w:rsid w:val="00524E3C"/>
    <w:rsid w:val="0052539A"/>
    <w:rsid w:val="005309DD"/>
    <w:rsid w:val="005316AC"/>
    <w:rsid w:val="005330CB"/>
    <w:rsid w:val="0053320F"/>
    <w:rsid w:val="0053357B"/>
    <w:rsid w:val="005340C0"/>
    <w:rsid w:val="00534E45"/>
    <w:rsid w:val="00534E48"/>
    <w:rsid w:val="00535E64"/>
    <w:rsid w:val="00535F18"/>
    <w:rsid w:val="0053651B"/>
    <w:rsid w:val="00537136"/>
    <w:rsid w:val="005406CD"/>
    <w:rsid w:val="005412C1"/>
    <w:rsid w:val="00542742"/>
    <w:rsid w:val="005427F5"/>
    <w:rsid w:val="0054287D"/>
    <w:rsid w:val="00542A4A"/>
    <w:rsid w:val="00543027"/>
    <w:rsid w:val="0054390D"/>
    <w:rsid w:val="00544037"/>
    <w:rsid w:val="00544FDF"/>
    <w:rsid w:val="0054537C"/>
    <w:rsid w:val="00545E64"/>
    <w:rsid w:val="00546348"/>
    <w:rsid w:val="00547AD0"/>
    <w:rsid w:val="0055098B"/>
    <w:rsid w:val="005509F0"/>
    <w:rsid w:val="00551012"/>
    <w:rsid w:val="00553778"/>
    <w:rsid w:val="00553AC5"/>
    <w:rsid w:val="00554646"/>
    <w:rsid w:val="00554791"/>
    <w:rsid w:val="005555A0"/>
    <w:rsid w:val="00556E32"/>
    <w:rsid w:val="00557224"/>
    <w:rsid w:val="005576E1"/>
    <w:rsid w:val="00557D72"/>
    <w:rsid w:val="0056006F"/>
    <w:rsid w:val="0056050F"/>
    <w:rsid w:val="00560BBE"/>
    <w:rsid w:val="0056216F"/>
    <w:rsid w:val="005627E9"/>
    <w:rsid w:val="0056358D"/>
    <w:rsid w:val="0056377F"/>
    <w:rsid w:val="005641AB"/>
    <w:rsid w:val="005642D3"/>
    <w:rsid w:val="00564524"/>
    <w:rsid w:val="005668B8"/>
    <w:rsid w:val="005676F6"/>
    <w:rsid w:val="005715AF"/>
    <w:rsid w:val="00571AC3"/>
    <w:rsid w:val="005722F7"/>
    <w:rsid w:val="00572506"/>
    <w:rsid w:val="00572F26"/>
    <w:rsid w:val="00573AC9"/>
    <w:rsid w:val="00573DAE"/>
    <w:rsid w:val="00575980"/>
    <w:rsid w:val="00576346"/>
    <w:rsid w:val="00576819"/>
    <w:rsid w:val="0057772D"/>
    <w:rsid w:val="00577DC0"/>
    <w:rsid w:val="005801CF"/>
    <w:rsid w:val="005812BF"/>
    <w:rsid w:val="00581303"/>
    <w:rsid w:val="00581DBA"/>
    <w:rsid w:val="00581F60"/>
    <w:rsid w:val="005829C2"/>
    <w:rsid w:val="00582A46"/>
    <w:rsid w:val="0058322B"/>
    <w:rsid w:val="00583A5C"/>
    <w:rsid w:val="00583BCE"/>
    <w:rsid w:val="0058471F"/>
    <w:rsid w:val="0058487A"/>
    <w:rsid w:val="00584C91"/>
    <w:rsid w:val="00584CA1"/>
    <w:rsid w:val="0058509C"/>
    <w:rsid w:val="00585877"/>
    <w:rsid w:val="00585E3F"/>
    <w:rsid w:val="005866B9"/>
    <w:rsid w:val="00587094"/>
    <w:rsid w:val="005919EF"/>
    <w:rsid w:val="00592CFD"/>
    <w:rsid w:val="00592FFD"/>
    <w:rsid w:val="0059300F"/>
    <w:rsid w:val="00593C8A"/>
    <w:rsid w:val="00594375"/>
    <w:rsid w:val="00594467"/>
    <w:rsid w:val="00594F66"/>
    <w:rsid w:val="005960B9"/>
    <w:rsid w:val="00596DDA"/>
    <w:rsid w:val="0059709D"/>
    <w:rsid w:val="005A07DE"/>
    <w:rsid w:val="005A1693"/>
    <w:rsid w:val="005A1806"/>
    <w:rsid w:val="005A20E0"/>
    <w:rsid w:val="005A24F4"/>
    <w:rsid w:val="005A32F2"/>
    <w:rsid w:val="005A3DFC"/>
    <w:rsid w:val="005A4337"/>
    <w:rsid w:val="005A43AB"/>
    <w:rsid w:val="005A5A7B"/>
    <w:rsid w:val="005A5B0F"/>
    <w:rsid w:val="005A5C13"/>
    <w:rsid w:val="005A69F8"/>
    <w:rsid w:val="005A6B45"/>
    <w:rsid w:val="005A7B9D"/>
    <w:rsid w:val="005B0579"/>
    <w:rsid w:val="005B1890"/>
    <w:rsid w:val="005B1C32"/>
    <w:rsid w:val="005B2863"/>
    <w:rsid w:val="005B314D"/>
    <w:rsid w:val="005B353B"/>
    <w:rsid w:val="005B3CE3"/>
    <w:rsid w:val="005B4718"/>
    <w:rsid w:val="005B51A3"/>
    <w:rsid w:val="005B547C"/>
    <w:rsid w:val="005B556C"/>
    <w:rsid w:val="005B65A5"/>
    <w:rsid w:val="005B67BE"/>
    <w:rsid w:val="005B6F3F"/>
    <w:rsid w:val="005B7116"/>
    <w:rsid w:val="005C03AE"/>
    <w:rsid w:val="005C0DB6"/>
    <w:rsid w:val="005C1784"/>
    <w:rsid w:val="005C281B"/>
    <w:rsid w:val="005C3D94"/>
    <w:rsid w:val="005C5002"/>
    <w:rsid w:val="005C50A4"/>
    <w:rsid w:val="005C50D1"/>
    <w:rsid w:val="005C6C4F"/>
    <w:rsid w:val="005D000E"/>
    <w:rsid w:val="005D035F"/>
    <w:rsid w:val="005D14E2"/>
    <w:rsid w:val="005D1B7E"/>
    <w:rsid w:val="005D2327"/>
    <w:rsid w:val="005D2A79"/>
    <w:rsid w:val="005D3C04"/>
    <w:rsid w:val="005D5E30"/>
    <w:rsid w:val="005D62E5"/>
    <w:rsid w:val="005D7216"/>
    <w:rsid w:val="005E032C"/>
    <w:rsid w:val="005E12F7"/>
    <w:rsid w:val="005E37E1"/>
    <w:rsid w:val="005E51CD"/>
    <w:rsid w:val="005E548A"/>
    <w:rsid w:val="005E5BCC"/>
    <w:rsid w:val="005E5CCE"/>
    <w:rsid w:val="005E6CCC"/>
    <w:rsid w:val="005F0292"/>
    <w:rsid w:val="005F1247"/>
    <w:rsid w:val="005F19BB"/>
    <w:rsid w:val="005F3B5B"/>
    <w:rsid w:val="005F4346"/>
    <w:rsid w:val="005F67A9"/>
    <w:rsid w:val="005F6909"/>
    <w:rsid w:val="005F6C88"/>
    <w:rsid w:val="005F6EE4"/>
    <w:rsid w:val="0060005D"/>
    <w:rsid w:val="00600093"/>
    <w:rsid w:val="00601037"/>
    <w:rsid w:val="006022C0"/>
    <w:rsid w:val="00602E42"/>
    <w:rsid w:val="00603331"/>
    <w:rsid w:val="00603657"/>
    <w:rsid w:val="00603BB4"/>
    <w:rsid w:val="00604448"/>
    <w:rsid w:val="0060479B"/>
    <w:rsid w:val="00604E75"/>
    <w:rsid w:val="0060559A"/>
    <w:rsid w:val="006056FC"/>
    <w:rsid w:val="00606969"/>
    <w:rsid w:val="00606A55"/>
    <w:rsid w:val="00611427"/>
    <w:rsid w:val="00611AC2"/>
    <w:rsid w:val="00611FFE"/>
    <w:rsid w:val="00612626"/>
    <w:rsid w:val="00613BB6"/>
    <w:rsid w:val="0061418C"/>
    <w:rsid w:val="006154BE"/>
    <w:rsid w:val="0061572C"/>
    <w:rsid w:val="00615E79"/>
    <w:rsid w:val="00616D0D"/>
    <w:rsid w:val="0061777B"/>
    <w:rsid w:val="006211BA"/>
    <w:rsid w:val="00623A3D"/>
    <w:rsid w:val="00624066"/>
    <w:rsid w:val="0062454A"/>
    <w:rsid w:val="00624588"/>
    <w:rsid w:val="00624620"/>
    <w:rsid w:val="006247E0"/>
    <w:rsid w:val="00624946"/>
    <w:rsid w:val="00624E60"/>
    <w:rsid w:val="00625173"/>
    <w:rsid w:val="00630CCB"/>
    <w:rsid w:val="00631043"/>
    <w:rsid w:val="00631E71"/>
    <w:rsid w:val="0063350A"/>
    <w:rsid w:val="006340A0"/>
    <w:rsid w:val="00634651"/>
    <w:rsid w:val="00634FB6"/>
    <w:rsid w:val="0063581A"/>
    <w:rsid w:val="00635F4A"/>
    <w:rsid w:val="0063628D"/>
    <w:rsid w:val="00636BF4"/>
    <w:rsid w:val="00637FE9"/>
    <w:rsid w:val="0064101A"/>
    <w:rsid w:val="00641B1A"/>
    <w:rsid w:val="00641E56"/>
    <w:rsid w:val="00642CB1"/>
    <w:rsid w:val="00642DD8"/>
    <w:rsid w:val="006431A9"/>
    <w:rsid w:val="0064508B"/>
    <w:rsid w:val="006457A9"/>
    <w:rsid w:val="006460E3"/>
    <w:rsid w:val="006466DF"/>
    <w:rsid w:val="00647100"/>
    <w:rsid w:val="006518D0"/>
    <w:rsid w:val="00651A0E"/>
    <w:rsid w:val="00652156"/>
    <w:rsid w:val="00652393"/>
    <w:rsid w:val="006535E4"/>
    <w:rsid w:val="00656003"/>
    <w:rsid w:val="00657150"/>
    <w:rsid w:val="006571DD"/>
    <w:rsid w:val="00657598"/>
    <w:rsid w:val="0065774D"/>
    <w:rsid w:val="0065792C"/>
    <w:rsid w:val="00657BDD"/>
    <w:rsid w:val="006618F8"/>
    <w:rsid w:val="00661AA7"/>
    <w:rsid w:val="00661E21"/>
    <w:rsid w:val="00662E32"/>
    <w:rsid w:val="0066347C"/>
    <w:rsid w:val="00664343"/>
    <w:rsid w:val="006650FC"/>
    <w:rsid w:val="0066668A"/>
    <w:rsid w:val="006670D6"/>
    <w:rsid w:val="00667CAB"/>
    <w:rsid w:val="00670BE1"/>
    <w:rsid w:val="006741A2"/>
    <w:rsid w:val="00674641"/>
    <w:rsid w:val="00675065"/>
    <w:rsid w:val="00675563"/>
    <w:rsid w:val="00675AAC"/>
    <w:rsid w:val="00675DAD"/>
    <w:rsid w:val="0067776D"/>
    <w:rsid w:val="006777F8"/>
    <w:rsid w:val="00681B5F"/>
    <w:rsid w:val="00682389"/>
    <w:rsid w:val="00682CBA"/>
    <w:rsid w:val="00682FD8"/>
    <w:rsid w:val="006834DA"/>
    <w:rsid w:val="00683A85"/>
    <w:rsid w:val="0068482C"/>
    <w:rsid w:val="00685346"/>
    <w:rsid w:val="00685B24"/>
    <w:rsid w:val="0068677F"/>
    <w:rsid w:val="006870E8"/>
    <w:rsid w:val="006879AE"/>
    <w:rsid w:val="00690BC5"/>
    <w:rsid w:val="00690C8E"/>
    <w:rsid w:val="00691341"/>
    <w:rsid w:val="00691D24"/>
    <w:rsid w:val="006933DD"/>
    <w:rsid w:val="0069378C"/>
    <w:rsid w:val="0069471D"/>
    <w:rsid w:val="0069553A"/>
    <w:rsid w:val="00695670"/>
    <w:rsid w:val="00695B4C"/>
    <w:rsid w:val="00695E20"/>
    <w:rsid w:val="00696F5B"/>
    <w:rsid w:val="00697CAC"/>
    <w:rsid w:val="006A2505"/>
    <w:rsid w:val="006A298B"/>
    <w:rsid w:val="006A2D90"/>
    <w:rsid w:val="006A3763"/>
    <w:rsid w:val="006A3BA0"/>
    <w:rsid w:val="006A4EC6"/>
    <w:rsid w:val="006A5F86"/>
    <w:rsid w:val="006A6B87"/>
    <w:rsid w:val="006A6DF3"/>
    <w:rsid w:val="006A7769"/>
    <w:rsid w:val="006B14B7"/>
    <w:rsid w:val="006B20D5"/>
    <w:rsid w:val="006B34F6"/>
    <w:rsid w:val="006B4952"/>
    <w:rsid w:val="006B59AB"/>
    <w:rsid w:val="006B5EA1"/>
    <w:rsid w:val="006B62C2"/>
    <w:rsid w:val="006B6316"/>
    <w:rsid w:val="006B6C2F"/>
    <w:rsid w:val="006B7F10"/>
    <w:rsid w:val="006C042B"/>
    <w:rsid w:val="006C22AE"/>
    <w:rsid w:val="006C2543"/>
    <w:rsid w:val="006C2A45"/>
    <w:rsid w:val="006C4042"/>
    <w:rsid w:val="006C56D9"/>
    <w:rsid w:val="006C5AB4"/>
    <w:rsid w:val="006C6C85"/>
    <w:rsid w:val="006C700A"/>
    <w:rsid w:val="006C7C59"/>
    <w:rsid w:val="006D0312"/>
    <w:rsid w:val="006D05B4"/>
    <w:rsid w:val="006D06D5"/>
    <w:rsid w:val="006D06E5"/>
    <w:rsid w:val="006D1E3D"/>
    <w:rsid w:val="006D1EAD"/>
    <w:rsid w:val="006D214E"/>
    <w:rsid w:val="006D2DEA"/>
    <w:rsid w:val="006D2E9C"/>
    <w:rsid w:val="006D30BC"/>
    <w:rsid w:val="006D32F5"/>
    <w:rsid w:val="006D7F19"/>
    <w:rsid w:val="006E1A0E"/>
    <w:rsid w:val="006E1ECB"/>
    <w:rsid w:val="006E2DF5"/>
    <w:rsid w:val="006E2F77"/>
    <w:rsid w:val="006E3179"/>
    <w:rsid w:val="006E6241"/>
    <w:rsid w:val="006E6E8B"/>
    <w:rsid w:val="006E7C76"/>
    <w:rsid w:val="006F024F"/>
    <w:rsid w:val="006F04CD"/>
    <w:rsid w:val="006F07C9"/>
    <w:rsid w:val="006F0A6B"/>
    <w:rsid w:val="006F0F75"/>
    <w:rsid w:val="006F2D05"/>
    <w:rsid w:val="006F3496"/>
    <w:rsid w:val="006F4633"/>
    <w:rsid w:val="006F5AC8"/>
    <w:rsid w:val="006F5F50"/>
    <w:rsid w:val="006F71FE"/>
    <w:rsid w:val="006F721C"/>
    <w:rsid w:val="006F7237"/>
    <w:rsid w:val="006F7A75"/>
    <w:rsid w:val="0070080E"/>
    <w:rsid w:val="007019E2"/>
    <w:rsid w:val="007022FB"/>
    <w:rsid w:val="00703572"/>
    <w:rsid w:val="00703F7A"/>
    <w:rsid w:val="00704218"/>
    <w:rsid w:val="0070472C"/>
    <w:rsid w:val="007048B7"/>
    <w:rsid w:val="00704A0B"/>
    <w:rsid w:val="00706102"/>
    <w:rsid w:val="00706B38"/>
    <w:rsid w:val="007077F6"/>
    <w:rsid w:val="00711356"/>
    <w:rsid w:val="007139A9"/>
    <w:rsid w:val="00713D33"/>
    <w:rsid w:val="0071422B"/>
    <w:rsid w:val="00716375"/>
    <w:rsid w:val="007170E9"/>
    <w:rsid w:val="00717126"/>
    <w:rsid w:val="00717B21"/>
    <w:rsid w:val="00717B56"/>
    <w:rsid w:val="00717C81"/>
    <w:rsid w:val="007204B3"/>
    <w:rsid w:val="0072115F"/>
    <w:rsid w:val="00721876"/>
    <w:rsid w:val="00723928"/>
    <w:rsid w:val="007240F9"/>
    <w:rsid w:val="00724763"/>
    <w:rsid w:val="007303C2"/>
    <w:rsid w:val="0073139F"/>
    <w:rsid w:val="00731987"/>
    <w:rsid w:val="00732226"/>
    <w:rsid w:val="007324E2"/>
    <w:rsid w:val="007326D4"/>
    <w:rsid w:val="00733D26"/>
    <w:rsid w:val="00733E96"/>
    <w:rsid w:val="00733F1D"/>
    <w:rsid w:val="00733FC0"/>
    <w:rsid w:val="0073403F"/>
    <w:rsid w:val="00734154"/>
    <w:rsid w:val="00734B25"/>
    <w:rsid w:val="00734BE2"/>
    <w:rsid w:val="00734DBA"/>
    <w:rsid w:val="00735305"/>
    <w:rsid w:val="007357E3"/>
    <w:rsid w:val="0073652C"/>
    <w:rsid w:val="007405AB"/>
    <w:rsid w:val="00740862"/>
    <w:rsid w:val="00740ED2"/>
    <w:rsid w:val="0074169B"/>
    <w:rsid w:val="00741C13"/>
    <w:rsid w:val="00742326"/>
    <w:rsid w:val="007426D7"/>
    <w:rsid w:val="00743F8B"/>
    <w:rsid w:val="0074622A"/>
    <w:rsid w:val="007473F8"/>
    <w:rsid w:val="00747EE2"/>
    <w:rsid w:val="007535D8"/>
    <w:rsid w:val="00753A95"/>
    <w:rsid w:val="007552A7"/>
    <w:rsid w:val="007566E2"/>
    <w:rsid w:val="00757FC1"/>
    <w:rsid w:val="00760265"/>
    <w:rsid w:val="00760F95"/>
    <w:rsid w:val="00761357"/>
    <w:rsid w:val="00761C27"/>
    <w:rsid w:val="00762202"/>
    <w:rsid w:val="00763522"/>
    <w:rsid w:val="00763B46"/>
    <w:rsid w:val="00764A6D"/>
    <w:rsid w:val="00764D01"/>
    <w:rsid w:val="0076550E"/>
    <w:rsid w:val="007656CB"/>
    <w:rsid w:val="00765B85"/>
    <w:rsid w:val="00766E1C"/>
    <w:rsid w:val="00767121"/>
    <w:rsid w:val="00770983"/>
    <w:rsid w:val="00770A23"/>
    <w:rsid w:val="00770D89"/>
    <w:rsid w:val="00771FBD"/>
    <w:rsid w:val="00772751"/>
    <w:rsid w:val="00772BFA"/>
    <w:rsid w:val="007732E5"/>
    <w:rsid w:val="007735B6"/>
    <w:rsid w:val="007735B7"/>
    <w:rsid w:val="00773A1F"/>
    <w:rsid w:val="00773B81"/>
    <w:rsid w:val="00773D80"/>
    <w:rsid w:val="007747FE"/>
    <w:rsid w:val="007750D4"/>
    <w:rsid w:val="00775725"/>
    <w:rsid w:val="00775864"/>
    <w:rsid w:val="00775A52"/>
    <w:rsid w:val="00775D3B"/>
    <w:rsid w:val="00776280"/>
    <w:rsid w:val="00781030"/>
    <w:rsid w:val="0078129F"/>
    <w:rsid w:val="00781798"/>
    <w:rsid w:val="00781A2A"/>
    <w:rsid w:val="0078431B"/>
    <w:rsid w:val="00787ABB"/>
    <w:rsid w:val="00787AE5"/>
    <w:rsid w:val="0079003B"/>
    <w:rsid w:val="00791F35"/>
    <w:rsid w:val="0079398D"/>
    <w:rsid w:val="00795734"/>
    <w:rsid w:val="00796382"/>
    <w:rsid w:val="0079669C"/>
    <w:rsid w:val="00797854"/>
    <w:rsid w:val="00797959"/>
    <w:rsid w:val="007A0298"/>
    <w:rsid w:val="007A07F3"/>
    <w:rsid w:val="007A0EED"/>
    <w:rsid w:val="007A1F61"/>
    <w:rsid w:val="007A2D00"/>
    <w:rsid w:val="007A3344"/>
    <w:rsid w:val="007A3355"/>
    <w:rsid w:val="007A3396"/>
    <w:rsid w:val="007A3433"/>
    <w:rsid w:val="007A4657"/>
    <w:rsid w:val="007A494D"/>
    <w:rsid w:val="007A5B38"/>
    <w:rsid w:val="007A5FCD"/>
    <w:rsid w:val="007A6F8A"/>
    <w:rsid w:val="007A77C7"/>
    <w:rsid w:val="007A7AC5"/>
    <w:rsid w:val="007B0FCA"/>
    <w:rsid w:val="007B1707"/>
    <w:rsid w:val="007B1F48"/>
    <w:rsid w:val="007B2016"/>
    <w:rsid w:val="007B2234"/>
    <w:rsid w:val="007B2451"/>
    <w:rsid w:val="007B29C8"/>
    <w:rsid w:val="007B3AF9"/>
    <w:rsid w:val="007B4190"/>
    <w:rsid w:val="007B5761"/>
    <w:rsid w:val="007B5A22"/>
    <w:rsid w:val="007B6123"/>
    <w:rsid w:val="007B7795"/>
    <w:rsid w:val="007C1E2E"/>
    <w:rsid w:val="007C1FAF"/>
    <w:rsid w:val="007C2A5B"/>
    <w:rsid w:val="007C2F2F"/>
    <w:rsid w:val="007C32E6"/>
    <w:rsid w:val="007C35AC"/>
    <w:rsid w:val="007C4071"/>
    <w:rsid w:val="007C551E"/>
    <w:rsid w:val="007C6103"/>
    <w:rsid w:val="007C7079"/>
    <w:rsid w:val="007C745E"/>
    <w:rsid w:val="007C7E4A"/>
    <w:rsid w:val="007D1827"/>
    <w:rsid w:val="007D20D8"/>
    <w:rsid w:val="007D249E"/>
    <w:rsid w:val="007D2AE7"/>
    <w:rsid w:val="007D2E9B"/>
    <w:rsid w:val="007D2EE8"/>
    <w:rsid w:val="007D39B9"/>
    <w:rsid w:val="007D4745"/>
    <w:rsid w:val="007D5763"/>
    <w:rsid w:val="007D596E"/>
    <w:rsid w:val="007D6288"/>
    <w:rsid w:val="007D7193"/>
    <w:rsid w:val="007D7781"/>
    <w:rsid w:val="007D7958"/>
    <w:rsid w:val="007D7D00"/>
    <w:rsid w:val="007E0778"/>
    <w:rsid w:val="007E0A87"/>
    <w:rsid w:val="007E0EF3"/>
    <w:rsid w:val="007E1576"/>
    <w:rsid w:val="007E1F6F"/>
    <w:rsid w:val="007E2BD2"/>
    <w:rsid w:val="007E5F41"/>
    <w:rsid w:val="007E6311"/>
    <w:rsid w:val="007E6CF2"/>
    <w:rsid w:val="007E75D9"/>
    <w:rsid w:val="007F0BE0"/>
    <w:rsid w:val="007F1C98"/>
    <w:rsid w:val="007F1EB4"/>
    <w:rsid w:val="007F304C"/>
    <w:rsid w:val="007F5493"/>
    <w:rsid w:val="007F575C"/>
    <w:rsid w:val="007F599D"/>
    <w:rsid w:val="007F5B53"/>
    <w:rsid w:val="007F60D5"/>
    <w:rsid w:val="007F6DC7"/>
    <w:rsid w:val="0080075E"/>
    <w:rsid w:val="00802948"/>
    <w:rsid w:val="00802AAC"/>
    <w:rsid w:val="008060FA"/>
    <w:rsid w:val="00806FED"/>
    <w:rsid w:val="008103CB"/>
    <w:rsid w:val="0081048E"/>
    <w:rsid w:val="00811115"/>
    <w:rsid w:val="008122DE"/>
    <w:rsid w:val="00812F64"/>
    <w:rsid w:val="008134C7"/>
    <w:rsid w:val="008138F9"/>
    <w:rsid w:val="008139EB"/>
    <w:rsid w:val="00813D5F"/>
    <w:rsid w:val="00814CAE"/>
    <w:rsid w:val="008150A6"/>
    <w:rsid w:val="008151E2"/>
    <w:rsid w:val="00815807"/>
    <w:rsid w:val="00816091"/>
    <w:rsid w:val="00816182"/>
    <w:rsid w:val="00816710"/>
    <w:rsid w:val="00817477"/>
    <w:rsid w:val="00817ADF"/>
    <w:rsid w:val="00817C93"/>
    <w:rsid w:val="00820427"/>
    <w:rsid w:val="0082111F"/>
    <w:rsid w:val="008216A5"/>
    <w:rsid w:val="00821BA2"/>
    <w:rsid w:val="00822824"/>
    <w:rsid w:val="008228B9"/>
    <w:rsid w:val="00824639"/>
    <w:rsid w:val="00826479"/>
    <w:rsid w:val="0082672E"/>
    <w:rsid w:val="00826A0B"/>
    <w:rsid w:val="00826C95"/>
    <w:rsid w:val="00826CD6"/>
    <w:rsid w:val="008270F2"/>
    <w:rsid w:val="0082787B"/>
    <w:rsid w:val="008300CC"/>
    <w:rsid w:val="00830864"/>
    <w:rsid w:val="00830C3A"/>
    <w:rsid w:val="00830FB7"/>
    <w:rsid w:val="00831387"/>
    <w:rsid w:val="00832019"/>
    <w:rsid w:val="00832985"/>
    <w:rsid w:val="00832F44"/>
    <w:rsid w:val="008332CE"/>
    <w:rsid w:val="008345B9"/>
    <w:rsid w:val="008345BB"/>
    <w:rsid w:val="00835449"/>
    <w:rsid w:val="008354ED"/>
    <w:rsid w:val="00835955"/>
    <w:rsid w:val="00835D73"/>
    <w:rsid w:val="00835DAD"/>
    <w:rsid w:val="00836FBF"/>
    <w:rsid w:val="008376EF"/>
    <w:rsid w:val="00837760"/>
    <w:rsid w:val="00837F02"/>
    <w:rsid w:val="008405BF"/>
    <w:rsid w:val="00840BA4"/>
    <w:rsid w:val="00840EF2"/>
    <w:rsid w:val="00841C09"/>
    <w:rsid w:val="00842D6E"/>
    <w:rsid w:val="0084344E"/>
    <w:rsid w:val="00843A87"/>
    <w:rsid w:val="00843C41"/>
    <w:rsid w:val="00843DDE"/>
    <w:rsid w:val="0084500E"/>
    <w:rsid w:val="00845138"/>
    <w:rsid w:val="008455FB"/>
    <w:rsid w:val="0084584F"/>
    <w:rsid w:val="008479F5"/>
    <w:rsid w:val="00847DB4"/>
    <w:rsid w:val="00850403"/>
    <w:rsid w:val="00850BC8"/>
    <w:rsid w:val="00850E33"/>
    <w:rsid w:val="00851243"/>
    <w:rsid w:val="00851525"/>
    <w:rsid w:val="0085172A"/>
    <w:rsid w:val="00856715"/>
    <w:rsid w:val="0085674D"/>
    <w:rsid w:val="00856DC0"/>
    <w:rsid w:val="008607CA"/>
    <w:rsid w:val="00861CE7"/>
    <w:rsid w:val="00862E46"/>
    <w:rsid w:val="00863F4F"/>
    <w:rsid w:val="008643E8"/>
    <w:rsid w:val="00864D01"/>
    <w:rsid w:val="00865BFC"/>
    <w:rsid w:val="00865F55"/>
    <w:rsid w:val="00870585"/>
    <w:rsid w:val="00872291"/>
    <w:rsid w:val="0087254B"/>
    <w:rsid w:val="00872837"/>
    <w:rsid w:val="0087394A"/>
    <w:rsid w:val="00873EAC"/>
    <w:rsid w:val="00874D32"/>
    <w:rsid w:val="00880D1C"/>
    <w:rsid w:val="00880EB6"/>
    <w:rsid w:val="0088102F"/>
    <w:rsid w:val="0088104B"/>
    <w:rsid w:val="008819B8"/>
    <w:rsid w:val="00881B84"/>
    <w:rsid w:val="00882D57"/>
    <w:rsid w:val="00883B00"/>
    <w:rsid w:val="00885CC3"/>
    <w:rsid w:val="00886362"/>
    <w:rsid w:val="008876A3"/>
    <w:rsid w:val="00887DFB"/>
    <w:rsid w:val="00891F76"/>
    <w:rsid w:val="008924AA"/>
    <w:rsid w:val="0089283A"/>
    <w:rsid w:val="00892ADC"/>
    <w:rsid w:val="008931DF"/>
    <w:rsid w:val="008933EA"/>
    <w:rsid w:val="00893813"/>
    <w:rsid w:val="00893C4C"/>
    <w:rsid w:val="008957F7"/>
    <w:rsid w:val="0089658C"/>
    <w:rsid w:val="00897000"/>
    <w:rsid w:val="008A06A4"/>
    <w:rsid w:val="008A0739"/>
    <w:rsid w:val="008A2458"/>
    <w:rsid w:val="008A2AAD"/>
    <w:rsid w:val="008A324F"/>
    <w:rsid w:val="008A3682"/>
    <w:rsid w:val="008A5D30"/>
    <w:rsid w:val="008A5E6D"/>
    <w:rsid w:val="008A66B8"/>
    <w:rsid w:val="008A7EED"/>
    <w:rsid w:val="008B25E6"/>
    <w:rsid w:val="008B2B1D"/>
    <w:rsid w:val="008B3358"/>
    <w:rsid w:val="008B5009"/>
    <w:rsid w:val="008B5D80"/>
    <w:rsid w:val="008B619E"/>
    <w:rsid w:val="008B6C0C"/>
    <w:rsid w:val="008B6F0F"/>
    <w:rsid w:val="008B7C8C"/>
    <w:rsid w:val="008B7E45"/>
    <w:rsid w:val="008C0552"/>
    <w:rsid w:val="008C1237"/>
    <w:rsid w:val="008C129A"/>
    <w:rsid w:val="008C1D9E"/>
    <w:rsid w:val="008C2981"/>
    <w:rsid w:val="008C3037"/>
    <w:rsid w:val="008C3A1C"/>
    <w:rsid w:val="008C3B98"/>
    <w:rsid w:val="008C410F"/>
    <w:rsid w:val="008C64FB"/>
    <w:rsid w:val="008C771B"/>
    <w:rsid w:val="008C77A4"/>
    <w:rsid w:val="008D0DB7"/>
    <w:rsid w:val="008D103D"/>
    <w:rsid w:val="008D1374"/>
    <w:rsid w:val="008D2DAF"/>
    <w:rsid w:val="008D4EEC"/>
    <w:rsid w:val="008D4FC1"/>
    <w:rsid w:val="008D5B0C"/>
    <w:rsid w:val="008D5BFC"/>
    <w:rsid w:val="008E1018"/>
    <w:rsid w:val="008E1C91"/>
    <w:rsid w:val="008E29CB"/>
    <w:rsid w:val="008E2EFF"/>
    <w:rsid w:val="008E3B9E"/>
    <w:rsid w:val="008E4A9F"/>
    <w:rsid w:val="008E4AFF"/>
    <w:rsid w:val="008E4E0F"/>
    <w:rsid w:val="008E5935"/>
    <w:rsid w:val="008E725C"/>
    <w:rsid w:val="008E738E"/>
    <w:rsid w:val="008F01D9"/>
    <w:rsid w:val="008F0A84"/>
    <w:rsid w:val="008F0CC3"/>
    <w:rsid w:val="008F175B"/>
    <w:rsid w:val="008F2F09"/>
    <w:rsid w:val="008F44C7"/>
    <w:rsid w:val="008F46A2"/>
    <w:rsid w:val="008F5035"/>
    <w:rsid w:val="008F5056"/>
    <w:rsid w:val="008F5A80"/>
    <w:rsid w:val="008F6954"/>
    <w:rsid w:val="008F721D"/>
    <w:rsid w:val="008F7E0B"/>
    <w:rsid w:val="00900C2F"/>
    <w:rsid w:val="0090408F"/>
    <w:rsid w:val="009066DC"/>
    <w:rsid w:val="00906F8A"/>
    <w:rsid w:val="009104E4"/>
    <w:rsid w:val="00910A37"/>
    <w:rsid w:val="00910FFE"/>
    <w:rsid w:val="00911C4C"/>
    <w:rsid w:val="00913EA0"/>
    <w:rsid w:val="00914AF5"/>
    <w:rsid w:val="00915570"/>
    <w:rsid w:val="0091611D"/>
    <w:rsid w:val="00916267"/>
    <w:rsid w:val="00917373"/>
    <w:rsid w:val="009173A3"/>
    <w:rsid w:val="00917762"/>
    <w:rsid w:val="00917B62"/>
    <w:rsid w:val="0092016A"/>
    <w:rsid w:val="0092091C"/>
    <w:rsid w:val="00920CEB"/>
    <w:rsid w:val="00921082"/>
    <w:rsid w:val="0092225B"/>
    <w:rsid w:val="00922A4F"/>
    <w:rsid w:val="00922DE7"/>
    <w:rsid w:val="00922EFB"/>
    <w:rsid w:val="00923A6C"/>
    <w:rsid w:val="00923B78"/>
    <w:rsid w:val="009249B4"/>
    <w:rsid w:val="009249C8"/>
    <w:rsid w:val="00925816"/>
    <w:rsid w:val="0093115A"/>
    <w:rsid w:val="00931671"/>
    <w:rsid w:val="0093212A"/>
    <w:rsid w:val="00933F00"/>
    <w:rsid w:val="00935401"/>
    <w:rsid w:val="00935BE0"/>
    <w:rsid w:val="00936A9D"/>
    <w:rsid w:val="0094003A"/>
    <w:rsid w:val="0094004A"/>
    <w:rsid w:val="00940404"/>
    <w:rsid w:val="0094102C"/>
    <w:rsid w:val="009414BA"/>
    <w:rsid w:val="00941868"/>
    <w:rsid w:val="00942976"/>
    <w:rsid w:val="0094298F"/>
    <w:rsid w:val="00942FCD"/>
    <w:rsid w:val="0094338B"/>
    <w:rsid w:val="009453D0"/>
    <w:rsid w:val="00945AFA"/>
    <w:rsid w:val="0094638E"/>
    <w:rsid w:val="00946A82"/>
    <w:rsid w:val="0095071A"/>
    <w:rsid w:val="00950CC9"/>
    <w:rsid w:val="00951071"/>
    <w:rsid w:val="0095158B"/>
    <w:rsid w:val="0095333C"/>
    <w:rsid w:val="00953610"/>
    <w:rsid w:val="009544D9"/>
    <w:rsid w:val="00955186"/>
    <w:rsid w:val="00955282"/>
    <w:rsid w:val="00956990"/>
    <w:rsid w:val="00956EE8"/>
    <w:rsid w:val="00956F8B"/>
    <w:rsid w:val="009570F6"/>
    <w:rsid w:val="00960E6D"/>
    <w:rsid w:val="00961028"/>
    <w:rsid w:val="0096331A"/>
    <w:rsid w:val="009642DA"/>
    <w:rsid w:val="0096484B"/>
    <w:rsid w:val="00965C09"/>
    <w:rsid w:val="00966B06"/>
    <w:rsid w:val="00966B6A"/>
    <w:rsid w:val="0096711A"/>
    <w:rsid w:val="009704FE"/>
    <w:rsid w:val="0097057C"/>
    <w:rsid w:val="00970C2C"/>
    <w:rsid w:val="00971419"/>
    <w:rsid w:val="009715C5"/>
    <w:rsid w:val="00971AF2"/>
    <w:rsid w:val="00971C9C"/>
    <w:rsid w:val="009723B8"/>
    <w:rsid w:val="00972647"/>
    <w:rsid w:val="00973264"/>
    <w:rsid w:val="00975BF0"/>
    <w:rsid w:val="00975CD0"/>
    <w:rsid w:val="00976502"/>
    <w:rsid w:val="00976A7D"/>
    <w:rsid w:val="00980819"/>
    <w:rsid w:val="00980E70"/>
    <w:rsid w:val="009817A0"/>
    <w:rsid w:val="00981AF7"/>
    <w:rsid w:val="0098281C"/>
    <w:rsid w:val="009833A0"/>
    <w:rsid w:val="00983C0B"/>
    <w:rsid w:val="0098423D"/>
    <w:rsid w:val="00984871"/>
    <w:rsid w:val="00984A53"/>
    <w:rsid w:val="009850E9"/>
    <w:rsid w:val="00985DFA"/>
    <w:rsid w:val="00986315"/>
    <w:rsid w:val="00986617"/>
    <w:rsid w:val="0098696B"/>
    <w:rsid w:val="00987809"/>
    <w:rsid w:val="009911E3"/>
    <w:rsid w:val="00991869"/>
    <w:rsid w:val="00992201"/>
    <w:rsid w:val="00992BCA"/>
    <w:rsid w:val="00993C0B"/>
    <w:rsid w:val="00993E24"/>
    <w:rsid w:val="00994416"/>
    <w:rsid w:val="0099454D"/>
    <w:rsid w:val="00994A56"/>
    <w:rsid w:val="00994B4C"/>
    <w:rsid w:val="00994E42"/>
    <w:rsid w:val="00995178"/>
    <w:rsid w:val="00995343"/>
    <w:rsid w:val="009960E6"/>
    <w:rsid w:val="00996184"/>
    <w:rsid w:val="00997850"/>
    <w:rsid w:val="009A04EC"/>
    <w:rsid w:val="009A0911"/>
    <w:rsid w:val="009A1519"/>
    <w:rsid w:val="009A1A57"/>
    <w:rsid w:val="009A1C33"/>
    <w:rsid w:val="009A1F25"/>
    <w:rsid w:val="009A2439"/>
    <w:rsid w:val="009A2868"/>
    <w:rsid w:val="009A2BFF"/>
    <w:rsid w:val="009A5BD6"/>
    <w:rsid w:val="009A6D30"/>
    <w:rsid w:val="009B01A8"/>
    <w:rsid w:val="009B039A"/>
    <w:rsid w:val="009B15C9"/>
    <w:rsid w:val="009B206F"/>
    <w:rsid w:val="009B32A8"/>
    <w:rsid w:val="009B5F6F"/>
    <w:rsid w:val="009B7A7F"/>
    <w:rsid w:val="009B7A90"/>
    <w:rsid w:val="009B7BA4"/>
    <w:rsid w:val="009B7F07"/>
    <w:rsid w:val="009C0189"/>
    <w:rsid w:val="009C1007"/>
    <w:rsid w:val="009C124E"/>
    <w:rsid w:val="009C1F6E"/>
    <w:rsid w:val="009C2514"/>
    <w:rsid w:val="009C27BC"/>
    <w:rsid w:val="009C29E2"/>
    <w:rsid w:val="009C3C03"/>
    <w:rsid w:val="009C3C6C"/>
    <w:rsid w:val="009C3EBA"/>
    <w:rsid w:val="009C4C61"/>
    <w:rsid w:val="009C5377"/>
    <w:rsid w:val="009C58A2"/>
    <w:rsid w:val="009C7BA0"/>
    <w:rsid w:val="009C7C48"/>
    <w:rsid w:val="009D0EFF"/>
    <w:rsid w:val="009D1B51"/>
    <w:rsid w:val="009D2D85"/>
    <w:rsid w:val="009D2F3C"/>
    <w:rsid w:val="009D3369"/>
    <w:rsid w:val="009D41EB"/>
    <w:rsid w:val="009D426B"/>
    <w:rsid w:val="009D52BF"/>
    <w:rsid w:val="009D5349"/>
    <w:rsid w:val="009D551D"/>
    <w:rsid w:val="009D6255"/>
    <w:rsid w:val="009D652B"/>
    <w:rsid w:val="009D6DD3"/>
    <w:rsid w:val="009D6E7D"/>
    <w:rsid w:val="009E0560"/>
    <w:rsid w:val="009E3F57"/>
    <w:rsid w:val="009E4F8A"/>
    <w:rsid w:val="009E6471"/>
    <w:rsid w:val="009E6771"/>
    <w:rsid w:val="009E67E4"/>
    <w:rsid w:val="009E6897"/>
    <w:rsid w:val="009E71D4"/>
    <w:rsid w:val="009E754B"/>
    <w:rsid w:val="009E78C4"/>
    <w:rsid w:val="009E7F8A"/>
    <w:rsid w:val="009F0511"/>
    <w:rsid w:val="009F092A"/>
    <w:rsid w:val="009F1DBD"/>
    <w:rsid w:val="009F22FE"/>
    <w:rsid w:val="009F410E"/>
    <w:rsid w:val="009F4EBF"/>
    <w:rsid w:val="009F5D47"/>
    <w:rsid w:val="009F68EB"/>
    <w:rsid w:val="009F750B"/>
    <w:rsid w:val="00A00435"/>
    <w:rsid w:val="00A00A4D"/>
    <w:rsid w:val="00A010FA"/>
    <w:rsid w:val="00A01FCD"/>
    <w:rsid w:val="00A025E8"/>
    <w:rsid w:val="00A03071"/>
    <w:rsid w:val="00A03D6B"/>
    <w:rsid w:val="00A044F0"/>
    <w:rsid w:val="00A04764"/>
    <w:rsid w:val="00A0582B"/>
    <w:rsid w:val="00A05B11"/>
    <w:rsid w:val="00A0600A"/>
    <w:rsid w:val="00A06B7F"/>
    <w:rsid w:val="00A06FBD"/>
    <w:rsid w:val="00A078A5"/>
    <w:rsid w:val="00A07D9C"/>
    <w:rsid w:val="00A109CC"/>
    <w:rsid w:val="00A118D2"/>
    <w:rsid w:val="00A1224F"/>
    <w:rsid w:val="00A13EDB"/>
    <w:rsid w:val="00A143B5"/>
    <w:rsid w:val="00A14C4D"/>
    <w:rsid w:val="00A14C72"/>
    <w:rsid w:val="00A15504"/>
    <w:rsid w:val="00A15845"/>
    <w:rsid w:val="00A16B48"/>
    <w:rsid w:val="00A17B52"/>
    <w:rsid w:val="00A200FF"/>
    <w:rsid w:val="00A2021A"/>
    <w:rsid w:val="00A20958"/>
    <w:rsid w:val="00A21110"/>
    <w:rsid w:val="00A2141C"/>
    <w:rsid w:val="00A21B16"/>
    <w:rsid w:val="00A22D76"/>
    <w:rsid w:val="00A2438C"/>
    <w:rsid w:val="00A24D47"/>
    <w:rsid w:val="00A2556C"/>
    <w:rsid w:val="00A25EAE"/>
    <w:rsid w:val="00A271E8"/>
    <w:rsid w:val="00A27EF7"/>
    <w:rsid w:val="00A30370"/>
    <w:rsid w:val="00A31242"/>
    <w:rsid w:val="00A31E1E"/>
    <w:rsid w:val="00A32017"/>
    <w:rsid w:val="00A328C9"/>
    <w:rsid w:val="00A335F7"/>
    <w:rsid w:val="00A3527C"/>
    <w:rsid w:val="00A352E6"/>
    <w:rsid w:val="00A35CB4"/>
    <w:rsid w:val="00A36E1D"/>
    <w:rsid w:val="00A377D5"/>
    <w:rsid w:val="00A37D3A"/>
    <w:rsid w:val="00A37E7E"/>
    <w:rsid w:val="00A4093C"/>
    <w:rsid w:val="00A4098F"/>
    <w:rsid w:val="00A4193A"/>
    <w:rsid w:val="00A41E41"/>
    <w:rsid w:val="00A4279E"/>
    <w:rsid w:val="00A42D4A"/>
    <w:rsid w:val="00A43947"/>
    <w:rsid w:val="00A451FE"/>
    <w:rsid w:val="00A45ABE"/>
    <w:rsid w:val="00A45C6F"/>
    <w:rsid w:val="00A46DCC"/>
    <w:rsid w:val="00A47B0A"/>
    <w:rsid w:val="00A5014E"/>
    <w:rsid w:val="00A510D9"/>
    <w:rsid w:val="00A528A8"/>
    <w:rsid w:val="00A533DF"/>
    <w:rsid w:val="00A55DD6"/>
    <w:rsid w:val="00A562E3"/>
    <w:rsid w:val="00A569D3"/>
    <w:rsid w:val="00A56D15"/>
    <w:rsid w:val="00A5706D"/>
    <w:rsid w:val="00A604EF"/>
    <w:rsid w:val="00A6062B"/>
    <w:rsid w:val="00A60A9E"/>
    <w:rsid w:val="00A60DAF"/>
    <w:rsid w:val="00A60E41"/>
    <w:rsid w:val="00A62089"/>
    <w:rsid w:val="00A62DA5"/>
    <w:rsid w:val="00A63264"/>
    <w:rsid w:val="00A6353E"/>
    <w:rsid w:val="00A63FED"/>
    <w:rsid w:val="00A64500"/>
    <w:rsid w:val="00A64C2B"/>
    <w:rsid w:val="00A654EF"/>
    <w:rsid w:val="00A658F2"/>
    <w:rsid w:val="00A65AFD"/>
    <w:rsid w:val="00A66B78"/>
    <w:rsid w:val="00A66EAE"/>
    <w:rsid w:val="00A670DF"/>
    <w:rsid w:val="00A673A2"/>
    <w:rsid w:val="00A6769B"/>
    <w:rsid w:val="00A677C6"/>
    <w:rsid w:val="00A67B0E"/>
    <w:rsid w:val="00A67E25"/>
    <w:rsid w:val="00A72C38"/>
    <w:rsid w:val="00A72FD2"/>
    <w:rsid w:val="00A7404B"/>
    <w:rsid w:val="00A7420A"/>
    <w:rsid w:val="00A74D3C"/>
    <w:rsid w:val="00A7550A"/>
    <w:rsid w:val="00A75DB1"/>
    <w:rsid w:val="00A760CB"/>
    <w:rsid w:val="00A761C2"/>
    <w:rsid w:val="00A76BBD"/>
    <w:rsid w:val="00A76D29"/>
    <w:rsid w:val="00A77253"/>
    <w:rsid w:val="00A81335"/>
    <w:rsid w:val="00A816A1"/>
    <w:rsid w:val="00A816E2"/>
    <w:rsid w:val="00A81ADF"/>
    <w:rsid w:val="00A82026"/>
    <w:rsid w:val="00A82952"/>
    <w:rsid w:val="00A82ABC"/>
    <w:rsid w:val="00A83B44"/>
    <w:rsid w:val="00A84BC9"/>
    <w:rsid w:val="00A859B1"/>
    <w:rsid w:val="00A86383"/>
    <w:rsid w:val="00A86960"/>
    <w:rsid w:val="00A869B7"/>
    <w:rsid w:val="00A86B01"/>
    <w:rsid w:val="00A91267"/>
    <w:rsid w:val="00A91782"/>
    <w:rsid w:val="00A91A54"/>
    <w:rsid w:val="00A91B7E"/>
    <w:rsid w:val="00A94247"/>
    <w:rsid w:val="00A96F13"/>
    <w:rsid w:val="00AA00E5"/>
    <w:rsid w:val="00AA1080"/>
    <w:rsid w:val="00AA16D3"/>
    <w:rsid w:val="00AA18CA"/>
    <w:rsid w:val="00AA1D98"/>
    <w:rsid w:val="00AA3063"/>
    <w:rsid w:val="00AA3BFA"/>
    <w:rsid w:val="00AA4BCE"/>
    <w:rsid w:val="00AA5A0A"/>
    <w:rsid w:val="00AA5E84"/>
    <w:rsid w:val="00AA6C71"/>
    <w:rsid w:val="00AA725C"/>
    <w:rsid w:val="00AA7339"/>
    <w:rsid w:val="00AB02D5"/>
    <w:rsid w:val="00AB187F"/>
    <w:rsid w:val="00AB18DF"/>
    <w:rsid w:val="00AB25B5"/>
    <w:rsid w:val="00AB3274"/>
    <w:rsid w:val="00AB3E05"/>
    <w:rsid w:val="00AB5373"/>
    <w:rsid w:val="00AB6831"/>
    <w:rsid w:val="00AB7A0E"/>
    <w:rsid w:val="00AC0409"/>
    <w:rsid w:val="00AC0C60"/>
    <w:rsid w:val="00AC178D"/>
    <w:rsid w:val="00AC1897"/>
    <w:rsid w:val="00AC1A52"/>
    <w:rsid w:val="00AC2E63"/>
    <w:rsid w:val="00AC2EA5"/>
    <w:rsid w:val="00AC3A70"/>
    <w:rsid w:val="00AC63F8"/>
    <w:rsid w:val="00AC6600"/>
    <w:rsid w:val="00AC7144"/>
    <w:rsid w:val="00AC71E3"/>
    <w:rsid w:val="00AC75AF"/>
    <w:rsid w:val="00AC7AD3"/>
    <w:rsid w:val="00AD00DB"/>
    <w:rsid w:val="00AD1D31"/>
    <w:rsid w:val="00AD340C"/>
    <w:rsid w:val="00AD3849"/>
    <w:rsid w:val="00AD3D18"/>
    <w:rsid w:val="00AD494E"/>
    <w:rsid w:val="00AD4D41"/>
    <w:rsid w:val="00AD4DD2"/>
    <w:rsid w:val="00AD5667"/>
    <w:rsid w:val="00AD6114"/>
    <w:rsid w:val="00AD74EC"/>
    <w:rsid w:val="00AD7CA4"/>
    <w:rsid w:val="00AE01B3"/>
    <w:rsid w:val="00AE046A"/>
    <w:rsid w:val="00AE0CFD"/>
    <w:rsid w:val="00AE16D0"/>
    <w:rsid w:val="00AE1978"/>
    <w:rsid w:val="00AE1C72"/>
    <w:rsid w:val="00AE1DA8"/>
    <w:rsid w:val="00AE2F40"/>
    <w:rsid w:val="00AE4D94"/>
    <w:rsid w:val="00AE5612"/>
    <w:rsid w:val="00AE5C6B"/>
    <w:rsid w:val="00AE6664"/>
    <w:rsid w:val="00AE6A4B"/>
    <w:rsid w:val="00AE6EED"/>
    <w:rsid w:val="00AE74AC"/>
    <w:rsid w:val="00AE7F1F"/>
    <w:rsid w:val="00AF11E6"/>
    <w:rsid w:val="00AF2614"/>
    <w:rsid w:val="00AF4155"/>
    <w:rsid w:val="00AF702A"/>
    <w:rsid w:val="00AF78B2"/>
    <w:rsid w:val="00B005A5"/>
    <w:rsid w:val="00B01853"/>
    <w:rsid w:val="00B0186D"/>
    <w:rsid w:val="00B02758"/>
    <w:rsid w:val="00B02B5A"/>
    <w:rsid w:val="00B0302F"/>
    <w:rsid w:val="00B036CF"/>
    <w:rsid w:val="00B03790"/>
    <w:rsid w:val="00B03C45"/>
    <w:rsid w:val="00B03CDC"/>
    <w:rsid w:val="00B04B22"/>
    <w:rsid w:val="00B04B8A"/>
    <w:rsid w:val="00B04BFB"/>
    <w:rsid w:val="00B07B2B"/>
    <w:rsid w:val="00B104AA"/>
    <w:rsid w:val="00B10972"/>
    <w:rsid w:val="00B11872"/>
    <w:rsid w:val="00B13758"/>
    <w:rsid w:val="00B13979"/>
    <w:rsid w:val="00B150D8"/>
    <w:rsid w:val="00B15E4F"/>
    <w:rsid w:val="00B1747E"/>
    <w:rsid w:val="00B2012B"/>
    <w:rsid w:val="00B202CE"/>
    <w:rsid w:val="00B204EF"/>
    <w:rsid w:val="00B20B29"/>
    <w:rsid w:val="00B20CB9"/>
    <w:rsid w:val="00B20D52"/>
    <w:rsid w:val="00B2167C"/>
    <w:rsid w:val="00B22598"/>
    <w:rsid w:val="00B24691"/>
    <w:rsid w:val="00B246D3"/>
    <w:rsid w:val="00B25104"/>
    <w:rsid w:val="00B25171"/>
    <w:rsid w:val="00B256EC"/>
    <w:rsid w:val="00B2604A"/>
    <w:rsid w:val="00B262C9"/>
    <w:rsid w:val="00B26A2C"/>
    <w:rsid w:val="00B26BDA"/>
    <w:rsid w:val="00B30526"/>
    <w:rsid w:val="00B3125B"/>
    <w:rsid w:val="00B31B0D"/>
    <w:rsid w:val="00B32F9A"/>
    <w:rsid w:val="00B32FCD"/>
    <w:rsid w:val="00B34577"/>
    <w:rsid w:val="00B34E07"/>
    <w:rsid w:val="00B34ED0"/>
    <w:rsid w:val="00B35897"/>
    <w:rsid w:val="00B35F9C"/>
    <w:rsid w:val="00B412DD"/>
    <w:rsid w:val="00B41965"/>
    <w:rsid w:val="00B41FF2"/>
    <w:rsid w:val="00B4240C"/>
    <w:rsid w:val="00B426A8"/>
    <w:rsid w:val="00B4289E"/>
    <w:rsid w:val="00B4334F"/>
    <w:rsid w:val="00B43464"/>
    <w:rsid w:val="00B45223"/>
    <w:rsid w:val="00B45C7D"/>
    <w:rsid w:val="00B461F3"/>
    <w:rsid w:val="00B46548"/>
    <w:rsid w:val="00B47DA1"/>
    <w:rsid w:val="00B47EFD"/>
    <w:rsid w:val="00B50C36"/>
    <w:rsid w:val="00B50D11"/>
    <w:rsid w:val="00B51C5E"/>
    <w:rsid w:val="00B52083"/>
    <w:rsid w:val="00B52525"/>
    <w:rsid w:val="00B52A88"/>
    <w:rsid w:val="00B52B44"/>
    <w:rsid w:val="00B52D72"/>
    <w:rsid w:val="00B52FF1"/>
    <w:rsid w:val="00B53D82"/>
    <w:rsid w:val="00B53FA1"/>
    <w:rsid w:val="00B55F20"/>
    <w:rsid w:val="00B5645C"/>
    <w:rsid w:val="00B56BAC"/>
    <w:rsid w:val="00B571F4"/>
    <w:rsid w:val="00B573B4"/>
    <w:rsid w:val="00B61F86"/>
    <w:rsid w:val="00B620C8"/>
    <w:rsid w:val="00B63341"/>
    <w:rsid w:val="00B63B3C"/>
    <w:rsid w:val="00B64780"/>
    <w:rsid w:val="00B6494B"/>
    <w:rsid w:val="00B64BD5"/>
    <w:rsid w:val="00B64D7D"/>
    <w:rsid w:val="00B658BB"/>
    <w:rsid w:val="00B65E8E"/>
    <w:rsid w:val="00B6622F"/>
    <w:rsid w:val="00B6752F"/>
    <w:rsid w:val="00B67926"/>
    <w:rsid w:val="00B679FA"/>
    <w:rsid w:val="00B71DDB"/>
    <w:rsid w:val="00B72032"/>
    <w:rsid w:val="00B72B4C"/>
    <w:rsid w:val="00B74829"/>
    <w:rsid w:val="00B75DE1"/>
    <w:rsid w:val="00B7676E"/>
    <w:rsid w:val="00B76B7E"/>
    <w:rsid w:val="00B76EAC"/>
    <w:rsid w:val="00B81B80"/>
    <w:rsid w:val="00B81D7F"/>
    <w:rsid w:val="00B81ECA"/>
    <w:rsid w:val="00B830E9"/>
    <w:rsid w:val="00B838D7"/>
    <w:rsid w:val="00B83DCC"/>
    <w:rsid w:val="00B83F53"/>
    <w:rsid w:val="00B85358"/>
    <w:rsid w:val="00B85ABC"/>
    <w:rsid w:val="00B86A3E"/>
    <w:rsid w:val="00B87299"/>
    <w:rsid w:val="00B87B51"/>
    <w:rsid w:val="00B903B2"/>
    <w:rsid w:val="00B90AEF"/>
    <w:rsid w:val="00B9113C"/>
    <w:rsid w:val="00B91DE8"/>
    <w:rsid w:val="00B92CD2"/>
    <w:rsid w:val="00B93ECE"/>
    <w:rsid w:val="00B94367"/>
    <w:rsid w:val="00B94B9D"/>
    <w:rsid w:val="00B95ED9"/>
    <w:rsid w:val="00B96111"/>
    <w:rsid w:val="00B96D38"/>
    <w:rsid w:val="00B975ED"/>
    <w:rsid w:val="00B979E2"/>
    <w:rsid w:val="00B97D1F"/>
    <w:rsid w:val="00B97E9D"/>
    <w:rsid w:val="00BA1740"/>
    <w:rsid w:val="00BA25DB"/>
    <w:rsid w:val="00BA38E0"/>
    <w:rsid w:val="00BA4649"/>
    <w:rsid w:val="00BA51C2"/>
    <w:rsid w:val="00BA619F"/>
    <w:rsid w:val="00BA6D10"/>
    <w:rsid w:val="00BA7D43"/>
    <w:rsid w:val="00BB02EB"/>
    <w:rsid w:val="00BB08FA"/>
    <w:rsid w:val="00BB0940"/>
    <w:rsid w:val="00BB096F"/>
    <w:rsid w:val="00BB0A6C"/>
    <w:rsid w:val="00BB17F3"/>
    <w:rsid w:val="00BB2DBC"/>
    <w:rsid w:val="00BB4AC7"/>
    <w:rsid w:val="00BB4CD0"/>
    <w:rsid w:val="00BB4F92"/>
    <w:rsid w:val="00BB5320"/>
    <w:rsid w:val="00BB61C1"/>
    <w:rsid w:val="00BB6B4A"/>
    <w:rsid w:val="00BB6B8D"/>
    <w:rsid w:val="00BB7024"/>
    <w:rsid w:val="00BB70CE"/>
    <w:rsid w:val="00BB7E90"/>
    <w:rsid w:val="00BC03CC"/>
    <w:rsid w:val="00BC0AB7"/>
    <w:rsid w:val="00BC0D92"/>
    <w:rsid w:val="00BC11D7"/>
    <w:rsid w:val="00BC1B9C"/>
    <w:rsid w:val="00BC2C14"/>
    <w:rsid w:val="00BC31EE"/>
    <w:rsid w:val="00BC3C19"/>
    <w:rsid w:val="00BC4501"/>
    <w:rsid w:val="00BC4B27"/>
    <w:rsid w:val="00BC4BC8"/>
    <w:rsid w:val="00BC5C23"/>
    <w:rsid w:val="00BC71FD"/>
    <w:rsid w:val="00BD085D"/>
    <w:rsid w:val="00BD15BE"/>
    <w:rsid w:val="00BD1FC1"/>
    <w:rsid w:val="00BD2E19"/>
    <w:rsid w:val="00BD3BF3"/>
    <w:rsid w:val="00BD5316"/>
    <w:rsid w:val="00BD5BE0"/>
    <w:rsid w:val="00BD645D"/>
    <w:rsid w:val="00BD6613"/>
    <w:rsid w:val="00BD6787"/>
    <w:rsid w:val="00BD7A29"/>
    <w:rsid w:val="00BE08A2"/>
    <w:rsid w:val="00BE1F49"/>
    <w:rsid w:val="00BE23FF"/>
    <w:rsid w:val="00BE41BE"/>
    <w:rsid w:val="00BE4EBB"/>
    <w:rsid w:val="00BE599F"/>
    <w:rsid w:val="00BE6034"/>
    <w:rsid w:val="00BE6F8C"/>
    <w:rsid w:val="00BE735F"/>
    <w:rsid w:val="00BF0B0F"/>
    <w:rsid w:val="00BF150A"/>
    <w:rsid w:val="00BF30A5"/>
    <w:rsid w:val="00BF3210"/>
    <w:rsid w:val="00BF3B09"/>
    <w:rsid w:val="00BF449C"/>
    <w:rsid w:val="00BF47BB"/>
    <w:rsid w:val="00BF4A06"/>
    <w:rsid w:val="00BF4B27"/>
    <w:rsid w:val="00BF4DD9"/>
    <w:rsid w:val="00BF641C"/>
    <w:rsid w:val="00BF6721"/>
    <w:rsid w:val="00C02DA8"/>
    <w:rsid w:val="00C03270"/>
    <w:rsid w:val="00C03937"/>
    <w:rsid w:val="00C039C6"/>
    <w:rsid w:val="00C03D8E"/>
    <w:rsid w:val="00C044EA"/>
    <w:rsid w:val="00C048FB"/>
    <w:rsid w:val="00C04CFA"/>
    <w:rsid w:val="00C0514C"/>
    <w:rsid w:val="00C06650"/>
    <w:rsid w:val="00C06A23"/>
    <w:rsid w:val="00C07250"/>
    <w:rsid w:val="00C074A8"/>
    <w:rsid w:val="00C076EF"/>
    <w:rsid w:val="00C07F2A"/>
    <w:rsid w:val="00C1262A"/>
    <w:rsid w:val="00C1444A"/>
    <w:rsid w:val="00C144BA"/>
    <w:rsid w:val="00C15CDB"/>
    <w:rsid w:val="00C15E59"/>
    <w:rsid w:val="00C15E84"/>
    <w:rsid w:val="00C16C84"/>
    <w:rsid w:val="00C17537"/>
    <w:rsid w:val="00C20AF6"/>
    <w:rsid w:val="00C20D1A"/>
    <w:rsid w:val="00C21DB4"/>
    <w:rsid w:val="00C224CD"/>
    <w:rsid w:val="00C22AEC"/>
    <w:rsid w:val="00C2549F"/>
    <w:rsid w:val="00C25539"/>
    <w:rsid w:val="00C25B4A"/>
    <w:rsid w:val="00C25B82"/>
    <w:rsid w:val="00C25C2B"/>
    <w:rsid w:val="00C2744F"/>
    <w:rsid w:val="00C31B63"/>
    <w:rsid w:val="00C33D5F"/>
    <w:rsid w:val="00C3443C"/>
    <w:rsid w:val="00C34648"/>
    <w:rsid w:val="00C34717"/>
    <w:rsid w:val="00C34D95"/>
    <w:rsid w:val="00C34F84"/>
    <w:rsid w:val="00C35598"/>
    <w:rsid w:val="00C357EB"/>
    <w:rsid w:val="00C359C0"/>
    <w:rsid w:val="00C363FF"/>
    <w:rsid w:val="00C37015"/>
    <w:rsid w:val="00C37F14"/>
    <w:rsid w:val="00C40072"/>
    <w:rsid w:val="00C408BD"/>
    <w:rsid w:val="00C40CA2"/>
    <w:rsid w:val="00C4213E"/>
    <w:rsid w:val="00C434BB"/>
    <w:rsid w:val="00C438D5"/>
    <w:rsid w:val="00C45741"/>
    <w:rsid w:val="00C4699F"/>
    <w:rsid w:val="00C4711A"/>
    <w:rsid w:val="00C472A3"/>
    <w:rsid w:val="00C50C4A"/>
    <w:rsid w:val="00C515CB"/>
    <w:rsid w:val="00C51FCD"/>
    <w:rsid w:val="00C524B1"/>
    <w:rsid w:val="00C53D6E"/>
    <w:rsid w:val="00C544EF"/>
    <w:rsid w:val="00C54FB4"/>
    <w:rsid w:val="00C56B9D"/>
    <w:rsid w:val="00C56D79"/>
    <w:rsid w:val="00C60706"/>
    <w:rsid w:val="00C61A1B"/>
    <w:rsid w:val="00C6464D"/>
    <w:rsid w:val="00C6491B"/>
    <w:rsid w:val="00C64FE6"/>
    <w:rsid w:val="00C66713"/>
    <w:rsid w:val="00C67BE9"/>
    <w:rsid w:val="00C70E74"/>
    <w:rsid w:val="00C71217"/>
    <w:rsid w:val="00C72672"/>
    <w:rsid w:val="00C72DBC"/>
    <w:rsid w:val="00C73800"/>
    <w:rsid w:val="00C74041"/>
    <w:rsid w:val="00C74594"/>
    <w:rsid w:val="00C75F5C"/>
    <w:rsid w:val="00C769AA"/>
    <w:rsid w:val="00C76B39"/>
    <w:rsid w:val="00C76F57"/>
    <w:rsid w:val="00C77891"/>
    <w:rsid w:val="00C8081E"/>
    <w:rsid w:val="00C80BCD"/>
    <w:rsid w:val="00C8194B"/>
    <w:rsid w:val="00C831A1"/>
    <w:rsid w:val="00C84ACF"/>
    <w:rsid w:val="00C8510F"/>
    <w:rsid w:val="00C856C4"/>
    <w:rsid w:val="00C8634C"/>
    <w:rsid w:val="00C86F92"/>
    <w:rsid w:val="00C87FD1"/>
    <w:rsid w:val="00C90072"/>
    <w:rsid w:val="00C906D0"/>
    <w:rsid w:val="00C9169F"/>
    <w:rsid w:val="00C91B57"/>
    <w:rsid w:val="00C9533B"/>
    <w:rsid w:val="00C95A92"/>
    <w:rsid w:val="00C97A10"/>
    <w:rsid w:val="00CA058E"/>
    <w:rsid w:val="00CA14A2"/>
    <w:rsid w:val="00CA2995"/>
    <w:rsid w:val="00CA5311"/>
    <w:rsid w:val="00CA597B"/>
    <w:rsid w:val="00CA618E"/>
    <w:rsid w:val="00CA6E89"/>
    <w:rsid w:val="00CB0748"/>
    <w:rsid w:val="00CB18BD"/>
    <w:rsid w:val="00CB1B09"/>
    <w:rsid w:val="00CB232C"/>
    <w:rsid w:val="00CB27C6"/>
    <w:rsid w:val="00CB2D79"/>
    <w:rsid w:val="00CB2E90"/>
    <w:rsid w:val="00CB31D0"/>
    <w:rsid w:val="00CB3AE6"/>
    <w:rsid w:val="00CB4405"/>
    <w:rsid w:val="00CB4EF4"/>
    <w:rsid w:val="00CB51F6"/>
    <w:rsid w:val="00CB5BD0"/>
    <w:rsid w:val="00CB63F6"/>
    <w:rsid w:val="00CB6CF9"/>
    <w:rsid w:val="00CB717B"/>
    <w:rsid w:val="00CB7AE1"/>
    <w:rsid w:val="00CC042F"/>
    <w:rsid w:val="00CC11D6"/>
    <w:rsid w:val="00CC1A2E"/>
    <w:rsid w:val="00CC237A"/>
    <w:rsid w:val="00CC50D8"/>
    <w:rsid w:val="00CC5447"/>
    <w:rsid w:val="00CC5D7B"/>
    <w:rsid w:val="00CD055C"/>
    <w:rsid w:val="00CD0AEC"/>
    <w:rsid w:val="00CD2332"/>
    <w:rsid w:val="00CD2668"/>
    <w:rsid w:val="00CD2FAC"/>
    <w:rsid w:val="00CD361B"/>
    <w:rsid w:val="00CD3879"/>
    <w:rsid w:val="00CD495B"/>
    <w:rsid w:val="00CD525F"/>
    <w:rsid w:val="00CD5C64"/>
    <w:rsid w:val="00CD611F"/>
    <w:rsid w:val="00CD6818"/>
    <w:rsid w:val="00CD7C0B"/>
    <w:rsid w:val="00CD7C6C"/>
    <w:rsid w:val="00CE0A54"/>
    <w:rsid w:val="00CE2AC5"/>
    <w:rsid w:val="00CE338D"/>
    <w:rsid w:val="00CE3B3F"/>
    <w:rsid w:val="00CE3BDB"/>
    <w:rsid w:val="00CE4305"/>
    <w:rsid w:val="00CE44AB"/>
    <w:rsid w:val="00CE4BC6"/>
    <w:rsid w:val="00CE4CB4"/>
    <w:rsid w:val="00CE52BF"/>
    <w:rsid w:val="00CE698A"/>
    <w:rsid w:val="00CE70DB"/>
    <w:rsid w:val="00CE7D62"/>
    <w:rsid w:val="00CF001E"/>
    <w:rsid w:val="00CF0A85"/>
    <w:rsid w:val="00CF2651"/>
    <w:rsid w:val="00CF3031"/>
    <w:rsid w:val="00CF363A"/>
    <w:rsid w:val="00CF50D5"/>
    <w:rsid w:val="00CF5C9B"/>
    <w:rsid w:val="00CF5CAA"/>
    <w:rsid w:val="00CF5E0B"/>
    <w:rsid w:val="00CF6662"/>
    <w:rsid w:val="00D01058"/>
    <w:rsid w:val="00D01136"/>
    <w:rsid w:val="00D01432"/>
    <w:rsid w:val="00D01BB1"/>
    <w:rsid w:val="00D03474"/>
    <w:rsid w:val="00D03476"/>
    <w:rsid w:val="00D03C0F"/>
    <w:rsid w:val="00D04372"/>
    <w:rsid w:val="00D0488C"/>
    <w:rsid w:val="00D04C9A"/>
    <w:rsid w:val="00D04FB0"/>
    <w:rsid w:val="00D04FD4"/>
    <w:rsid w:val="00D06998"/>
    <w:rsid w:val="00D06B71"/>
    <w:rsid w:val="00D06DC1"/>
    <w:rsid w:val="00D105D9"/>
    <w:rsid w:val="00D11197"/>
    <w:rsid w:val="00D11FB0"/>
    <w:rsid w:val="00D125FE"/>
    <w:rsid w:val="00D129B0"/>
    <w:rsid w:val="00D1422B"/>
    <w:rsid w:val="00D15219"/>
    <w:rsid w:val="00D16C9F"/>
    <w:rsid w:val="00D1756F"/>
    <w:rsid w:val="00D2026C"/>
    <w:rsid w:val="00D20BC2"/>
    <w:rsid w:val="00D2100C"/>
    <w:rsid w:val="00D21893"/>
    <w:rsid w:val="00D23183"/>
    <w:rsid w:val="00D23A71"/>
    <w:rsid w:val="00D23B6E"/>
    <w:rsid w:val="00D23DB6"/>
    <w:rsid w:val="00D242FC"/>
    <w:rsid w:val="00D24F90"/>
    <w:rsid w:val="00D25E13"/>
    <w:rsid w:val="00D26400"/>
    <w:rsid w:val="00D264F9"/>
    <w:rsid w:val="00D26E9A"/>
    <w:rsid w:val="00D270C3"/>
    <w:rsid w:val="00D27C7D"/>
    <w:rsid w:val="00D31768"/>
    <w:rsid w:val="00D32729"/>
    <w:rsid w:val="00D329F3"/>
    <w:rsid w:val="00D330DB"/>
    <w:rsid w:val="00D33C2D"/>
    <w:rsid w:val="00D34190"/>
    <w:rsid w:val="00D344FD"/>
    <w:rsid w:val="00D355B3"/>
    <w:rsid w:val="00D35965"/>
    <w:rsid w:val="00D35E6A"/>
    <w:rsid w:val="00D361F7"/>
    <w:rsid w:val="00D367A3"/>
    <w:rsid w:val="00D36F7E"/>
    <w:rsid w:val="00D379C7"/>
    <w:rsid w:val="00D37A4D"/>
    <w:rsid w:val="00D37BDA"/>
    <w:rsid w:val="00D4015C"/>
    <w:rsid w:val="00D41D8D"/>
    <w:rsid w:val="00D42370"/>
    <w:rsid w:val="00D42755"/>
    <w:rsid w:val="00D46FE0"/>
    <w:rsid w:val="00D5033A"/>
    <w:rsid w:val="00D51C08"/>
    <w:rsid w:val="00D51F3E"/>
    <w:rsid w:val="00D52B8F"/>
    <w:rsid w:val="00D54E2F"/>
    <w:rsid w:val="00D55090"/>
    <w:rsid w:val="00D55586"/>
    <w:rsid w:val="00D55644"/>
    <w:rsid w:val="00D559B2"/>
    <w:rsid w:val="00D55D74"/>
    <w:rsid w:val="00D5619F"/>
    <w:rsid w:val="00D568D6"/>
    <w:rsid w:val="00D571E1"/>
    <w:rsid w:val="00D6016F"/>
    <w:rsid w:val="00D613B2"/>
    <w:rsid w:val="00D61D4F"/>
    <w:rsid w:val="00D621FB"/>
    <w:rsid w:val="00D62526"/>
    <w:rsid w:val="00D62CEA"/>
    <w:rsid w:val="00D646C0"/>
    <w:rsid w:val="00D65B3B"/>
    <w:rsid w:val="00D66284"/>
    <w:rsid w:val="00D6655A"/>
    <w:rsid w:val="00D66E7E"/>
    <w:rsid w:val="00D70144"/>
    <w:rsid w:val="00D719EA"/>
    <w:rsid w:val="00D738F3"/>
    <w:rsid w:val="00D73BEF"/>
    <w:rsid w:val="00D7504B"/>
    <w:rsid w:val="00D75375"/>
    <w:rsid w:val="00D75DD7"/>
    <w:rsid w:val="00D75F4C"/>
    <w:rsid w:val="00D7704E"/>
    <w:rsid w:val="00D77785"/>
    <w:rsid w:val="00D7787A"/>
    <w:rsid w:val="00D80DD2"/>
    <w:rsid w:val="00D8461E"/>
    <w:rsid w:val="00D848AF"/>
    <w:rsid w:val="00D84ADA"/>
    <w:rsid w:val="00D84D41"/>
    <w:rsid w:val="00D85867"/>
    <w:rsid w:val="00D867FA"/>
    <w:rsid w:val="00D90438"/>
    <w:rsid w:val="00D90F7C"/>
    <w:rsid w:val="00D91BBB"/>
    <w:rsid w:val="00D92A95"/>
    <w:rsid w:val="00D93BBB"/>
    <w:rsid w:val="00D93EB7"/>
    <w:rsid w:val="00D9483F"/>
    <w:rsid w:val="00D957E5"/>
    <w:rsid w:val="00D959B0"/>
    <w:rsid w:val="00D95A7F"/>
    <w:rsid w:val="00D9612C"/>
    <w:rsid w:val="00D963A4"/>
    <w:rsid w:val="00D96B41"/>
    <w:rsid w:val="00DA02CE"/>
    <w:rsid w:val="00DA0A9B"/>
    <w:rsid w:val="00DA0DFD"/>
    <w:rsid w:val="00DA26D1"/>
    <w:rsid w:val="00DA7EC9"/>
    <w:rsid w:val="00DB18FC"/>
    <w:rsid w:val="00DB19E6"/>
    <w:rsid w:val="00DB1DFA"/>
    <w:rsid w:val="00DB240D"/>
    <w:rsid w:val="00DB2769"/>
    <w:rsid w:val="00DB4762"/>
    <w:rsid w:val="00DB4E58"/>
    <w:rsid w:val="00DB51D0"/>
    <w:rsid w:val="00DB630A"/>
    <w:rsid w:val="00DB6473"/>
    <w:rsid w:val="00DB6F6B"/>
    <w:rsid w:val="00DB70D9"/>
    <w:rsid w:val="00DC1D60"/>
    <w:rsid w:val="00DC1FC6"/>
    <w:rsid w:val="00DC3ED2"/>
    <w:rsid w:val="00DC4AE1"/>
    <w:rsid w:val="00DC5939"/>
    <w:rsid w:val="00DC6B38"/>
    <w:rsid w:val="00DC767D"/>
    <w:rsid w:val="00DC7A15"/>
    <w:rsid w:val="00DD0CDD"/>
    <w:rsid w:val="00DD100D"/>
    <w:rsid w:val="00DD26EA"/>
    <w:rsid w:val="00DD2A54"/>
    <w:rsid w:val="00DD2FC8"/>
    <w:rsid w:val="00DD35BB"/>
    <w:rsid w:val="00DD5EDD"/>
    <w:rsid w:val="00DD6247"/>
    <w:rsid w:val="00DD6551"/>
    <w:rsid w:val="00DD6935"/>
    <w:rsid w:val="00DD6B34"/>
    <w:rsid w:val="00DD7198"/>
    <w:rsid w:val="00DE10B2"/>
    <w:rsid w:val="00DE1F15"/>
    <w:rsid w:val="00DE3B48"/>
    <w:rsid w:val="00DE766D"/>
    <w:rsid w:val="00DF06D5"/>
    <w:rsid w:val="00DF06E1"/>
    <w:rsid w:val="00DF08AE"/>
    <w:rsid w:val="00DF0FF1"/>
    <w:rsid w:val="00DF1557"/>
    <w:rsid w:val="00DF1F59"/>
    <w:rsid w:val="00DF253B"/>
    <w:rsid w:val="00DF4505"/>
    <w:rsid w:val="00DF49C5"/>
    <w:rsid w:val="00DF6B72"/>
    <w:rsid w:val="00DF7223"/>
    <w:rsid w:val="00DF749E"/>
    <w:rsid w:val="00DF77DC"/>
    <w:rsid w:val="00DF7988"/>
    <w:rsid w:val="00E000AF"/>
    <w:rsid w:val="00E0112E"/>
    <w:rsid w:val="00E01664"/>
    <w:rsid w:val="00E01F3A"/>
    <w:rsid w:val="00E02056"/>
    <w:rsid w:val="00E036A6"/>
    <w:rsid w:val="00E037D5"/>
    <w:rsid w:val="00E046DC"/>
    <w:rsid w:val="00E05F80"/>
    <w:rsid w:val="00E070FA"/>
    <w:rsid w:val="00E07564"/>
    <w:rsid w:val="00E07EB9"/>
    <w:rsid w:val="00E10A87"/>
    <w:rsid w:val="00E114BC"/>
    <w:rsid w:val="00E11D50"/>
    <w:rsid w:val="00E12434"/>
    <w:rsid w:val="00E126BB"/>
    <w:rsid w:val="00E13609"/>
    <w:rsid w:val="00E138AE"/>
    <w:rsid w:val="00E14B3C"/>
    <w:rsid w:val="00E16067"/>
    <w:rsid w:val="00E163A8"/>
    <w:rsid w:val="00E212E3"/>
    <w:rsid w:val="00E21EB3"/>
    <w:rsid w:val="00E22317"/>
    <w:rsid w:val="00E22505"/>
    <w:rsid w:val="00E227F4"/>
    <w:rsid w:val="00E2372E"/>
    <w:rsid w:val="00E23903"/>
    <w:rsid w:val="00E2465F"/>
    <w:rsid w:val="00E2575E"/>
    <w:rsid w:val="00E25B15"/>
    <w:rsid w:val="00E25E0D"/>
    <w:rsid w:val="00E2723D"/>
    <w:rsid w:val="00E27DAA"/>
    <w:rsid w:val="00E27FDC"/>
    <w:rsid w:val="00E30199"/>
    <w:rsid w:val="00E303C9"/>
    <w:rsid w:val="00E30627"/>
    <w:rsid w:val="00E30E7D"/>
    <w:rsid w:val="00E31BA9"/>
    <w:rsid w:val="00E332F8"/>
    <w:rsid w:val="00E33659"/>
    <w:rsid w:val="00E33B96"/>
    <w:rsid w:val="00E33F7C"/>
    <w:rsid w:val="00E40872"/>
    <w:rsid w:val="00E41594"/>
    <w:rsid w:val="00E423C2"/>
    <w:rsid w:val="00E4296F"/>
    <w:rsid w:val="00E44D88"/>
    <w:rsid w:val="00E45177"/>
    <w:rsid w:val="00E46034"/>
    <w:rsid w:val="00E46A08"/>
    <w:rsid w:val="00E46B81"/>
    <w:rsid w:val="00E47BE1"/>
    <w:rsid w:val="00E518FB"/>
    <w:rsid w:val="00E51911"/>
    <w:rsid w:val="00E558EF"/>
    <w:rsid w:val="00E560EE"/>
    <w:rsid w:val="00E56FE8"/>
    <w:rsid w:val="00E57C5E"/>
    <w:rsid w:val="00E57FE6"/>
    <w:rsid w:val="00E6057C"/>
    <w:rsid w:val="00E607A7"/>
    <w:rsid w:val="00E60C5E"/>
    <w:rsid w:val="00E61396"/>
    <w:rsid w:val="00E627B3"/>
    <w:rsid w:val="00E632AB"/>
    <w:rsid w:val="00E637C3"/>
    <w:rsid w:val="00E63BD1"/>
    <w:rsid w:val="00E6435C"/>
    <w:rsid w:val="00E6467D"/>
    <w:rsid w:val="00E65AC4"/>
    <w:rsid w:val="00E66BCF"/>
    <w:rsid w:val="00E7076B"/>
    <w:rsid w:val="00E71342"/>
    <w:rsid w:val="00E71C55"/>
    <w:rsid w:val="00E7277A"/>
    <w:rsid w:val="00E728E4"/>
    <w:rsid w:val="00E741AA"/>
    <w:rsid w:val="00E74627"/>
    <w:rsid w:val="00E7538A"/>
    <w:rsid w:val="00E755BA"/>
    <w:rsid w:val="00E76175"/>
    <w:rsid w:val="00E77471"/>
    <w:rsid w:val="00E777FC"/>
    <w:rsid w:val="00E77878"/>
    <w:rsid w:val="00E803E4"/>
    <w:rsid w:val="00E807FB"/>
    <w:rsid w:val="00E80B1D"/>
    <w:rsid w:val="00E8258E"/>
    <w:rsid w:val="00E82651"/>
    <w:rsid w:val="00E8291E"/>
    <w:rsid w:val="00E838CB"/>
    <w:rsid w:val="00E83915"/>
    <w:rsid w:val="00E83B54"/>
    <w:rsid w:val="00E83DB2"/>
    <w:rsid w:val="00E840FB"/>
    <w:rsid w:val="00E8555A"/>
    <w:rsid w:val="00E85DAF"/>
    <w:rsid w:val="00E86A39"/>
    <w:rsid w:val="00E8703F"/>
    <w:rsid w:val="00E87864"/>
    <w:rsid w:val="00E90EE7"/>
    <w:rsid w:val="00E91684"/>
    <w:rsid w:val="00E9170D"/>
    <w:rsid w:val="00E9198A"/>
    <w:rsid w:val="00E929DA"/>
    <w:rsid w:val="00E92C29"/>
    <w:rsid w:val="00E931C1"/>
    <w:rsid w:val="00E93398"/>
    <w:rsid w:val="00E93508"/>
    <w:rsid w:val="00E93D1C"/>
    <w:rsid w:val="00E93D73"/>
    <w:rsid w:val="00E94BE1"/>
    <w:rsid w:val="00E94BFD"/>
    <w:rsid w:val="00E94E0E"/>
    <w:rsid w:val="00E95AB2"/>
    <w:rsid w:val="00E97186"/>
    <w:rsid w:val="00E97F6C"/>
    <w:rsid w:val="00EA04D2"/>
    <w:rsid w:val="00EA4BDA"/>
    <w:rsid w:val="00EA6401"/>
    <w:rsid w:val="00EA68DB"/>
    <w:rsid w:val="00EA6B0B"/>
    <w:rsid w:val="00EA7277"/>
    <w:rsid w:val="00EA7FFB"/>
    <w:rsid w:val="00EB0764"/>
    <w:rsid w:val="00EB1322"/>
    <w:rsid w:val="00EB1A62"/>
    <w:rsid w:val="00EB36C6"/>
    <w:rsid w:val="00EB4FC8"/>
    <w:rsid w:val="00EB538F"/>
    <w:rsid w:val="00EB7672"/>
    <w:rsid w:val="00EB7A4C"/>
    <w:rsid w:val="00EB7FC5"/>
    <w:rsid w:val="00EC0DD8"/>
    <w:rsid w:val="00EC1729"/>
    <w:rsid w:val="00EC1F1E"/>
    <w:rsid w:val="00EC2A66"/>
    <w:rsid w:val="00EC3672"/>
    <w:rsid w:val="00EC44FF"/>
    <w:rsid w:val="00EC6AE8"/>
    <w:rsid w:val="00ED0960"/>
    <w:rsid w:val="00ED16DF"/>
    <w:rsid w:val="00ED3632"/>
    <w:rsid w:val="00ED3782"/>
    <w:rsid w:val="00ED56C1"/>
    <w:rsid w:val="00ED5C6D"/>
    <w:rsid w:val="00ED5F7C"/>
    <w:rsid w:val="00ED6961"/>
    <w:rsid w:val="00ED7CED"/>
    <w:rsid w:val="00ED7D80"/>
    <w:rsid w:val="00EE08BA"/>
    <w:rsid w:val="00EE1F49"/>
    <w:rsid w:val="00EE1F87"/>
    <w:rsid w:val="00EE3720"/>
    <w:rsid w:val="00EE3F92"/>
    <w:rsid w:val="00EE4E4F"/>
    <w:rsid w:val="00EE589C"/>
    <w:rsid w:val="00EE68DF"/>
    <w:rsid w:val="00EE7634"/>
    <w:rsid w:val="00EF08C2"/>
    <w:rsid w:val="00EF1AA0"/>
    <w:rsid w:val="00EF1C30"/>
    <w:rsid w:val="00EF2095"/>
    <w:rsid w:val="00EF271D"/>
    <w:rsid w:val="00EF4228"/>
    <w:rsid w:val="00EF473E"/>
    <w:rsid w:val="00EF4DC8"/>
    <w:rsid w:val="00EF4F46"/>
    <w:rsid w:val="00EF59D7"/>
    <w:rsid w:val="00EF659E"/>
    <w:rsid w:val="00EF6A13"/>
    <w:rsid w:val="00EF7FD6"/>
    <w:rsid w:val="00F01751"/>
    <w:rsid w:val="00F023A7"/>
    <w:rsid w:val="00F02CF2"/>
    <w:rsid w:val="00F0385A"/>
    <w:rsid w:val="00F04ADF"/>
    <w:rsid w:val="00F078C6"/>
    <w:rsid w:val="00F1070F"/>
    <w:rsid w:val="00F13BB5"/>
    <w:rsid w:val="00F14992"/>
    <w:rsid w:val="00F15079"/>
    <w:rsid w:val="00F16A50"/>
    <w:rsid w:val="00F21456"/>
    <w:rsid w:val="00F21D20"/>
    <w:rsid w:val="00F22013"/>
    <w:rsid w:val="00F22674"/>
    <w:rsid w:val="00F22B78"/>
    <w:rsid w:val="00F244F9"/>
    <w:rsid w:val="00F25220"/>
    <w:rsid w:val="00F25309"/>
    <w:rsid w:val="00F25320"/>
    <w:rsid w:val="00F26726"/>
    <w:rsid w:val="00F26FA6"/>
    <w:rsid w:val="00F27FAB"/>
    <w:rsid w:val="00F306D7"/>
    <w:rsid w:val="00F308B7"/>
    <w:rsid w:val="00F31501"/>
    <w:rsid w:val="00F3188A"/>
    <w:rsid w:val="00F31BE1"/>
    <w:rsid w:val="00F31CAB"/>
    <w:rsid w:val="00F31ECE"/>
    <w:rsid w:val="00F31FF7"/>
    <w:rsid w:val="00F32A46"/>
    <w:rsid w:val="00F32CCE"/>
    <w:rsid w:val="00F3528C"/>
    <w:rsid w:val="00F3540D"/>
    <w:rsid w:val="00F36EF4"/>
    <w:rsid w:val="00F37170"/>
    <w:rsid w:val="00F37314"/>
    <w:rsid w:val="00F37ED5"/>
    <w:rsid w:val="00F416A4"/>
    <w:rsid w:val="00F42A8F"/>
    <w:rsid w:val="00F43040"/>
    <w:rsid w:val="00F436A2"/>
    <w:rsid w:val="00F44520"/>
    <w:rsid w:val="00F44E00"/>
    <w:rsid w:val="00F44EC3"/>
    <w:rsid w:val="00F459DC"/>
    <w:rsid w:val="00F46AFA"/>
    <w:rsid w:val="00F46B72"/>
    <w:rsid w:val="00F46DD6"/>
    <w:rsid w:val="00F473AB"/>
    <w:rsid w:val="00F474AB"/>
    <w:rsid w:val="00F476F6"/>
    <w:rsid w:val="00F47930"/>
    <w:rsid w:val="00F47A28"/>
    <w:rsid w:val="00F5050C"/>
    <w:rsid w:val="00F50725"/>
    <w:rsid w:val="00F5134E"/>
    <w:rsid w:val="00F528DD"/>
    <w:rsid w:val="00F52A18"/>
    <w:rsid w:val="00F52C68"/>
    <w:rsid w:val="00F53BEC"/>
    <w:rsid w:val="00F53CC6"/>
    <w:rsid w:val="00F5601F"/>
    <w:rsid w:val="00F564CD"/>
    <w:rsid w:val="00F61702"/>
    <w:rsid w:val="00F62E71"/>
    <w:rsid w:val="00F63011"/>
    <w:rsid w:val="00F6306C"/>
    <w:rsid w:val="00F630C8"/>
    <w:rsid w:val="00F639B9"/>
    <w:rsid w:val="00F63A32"/>
    <w:rsid w:val="00F64363"/>
    <w:rsid w:val="00F64C12"/>
    <w:rsid w:val="00F64D11"/>
    <w:rsid w:val="00F6552D"/>
    <w:rsid w:val="00F6573B"/>
    <w:rsid w:val="00F667F5"/>
    <w:rsid w:val="00F67278"/>
    <w:rsid w:val="00F67ABE"/>
    <w:rsid w:val="00F70F4C"/>
    <w:rsid w:val="00F710E9"/>
    <w:rsid w:val="00F718E6"/>
    <w:rsid w:val="00F733F0"/>
    <w:rsid w:val="00F75E36"/>
    <w:rsid w:val="00F75F28"/>
    <w:rsid w:val="00F76771"/>
    <w:rsid w:val="00F76A72"/>
    <w:rsid w:val="00F77340"/>
    <w:rsid w:val="00F8042D"/>
    <w:rsid w:val="00F81938"/>
    <w:rsid w:val="00F85256"/>
    <w:rsid w:val="00F863E0"/>
    <w:rsid w:val="00F8751C"/>
    <w:rsid w:val="00F87572"/>
    <w:rsid w:val="00F877B9"/>
    <w:rsid w:val="00F87CA2"/>
    <w:rsid w:val="00F87FF7"/>
    <w:rsid w:val="00F911A7"/>
    <w:rsid w:val="00F91976"/>
    <w:rsid w:val="00F92BF3"/>
    <w:rsid w:val="00F92C8D"/>
    <w:rsid w:val="00F92D86"/>
    <w:rsid w:val="00F931AD"/>
    <w:rsid w:val="00F95902"/>
    <w:rsid w:val="00F95FE5"/>
    <w:rsid w:val="00F96238"/>
    <w:rsid w:val="00F96E61"/>
    <w:rsid w:val="00F9741A"/>
    <w:rsid w:val="00FA0E94"/>
    <w:rsid w:val="00FA1393"/>
    <w:rsid w:val="00FA18B4"/>
    <w:rsid w:val="00FA1F53"/>
    <w:rsid w:val="00FA2095"/>
    <w:rsid w:val="00FA244D"/>
    <w:rsid w:val="00FA2668"/>
    <w:rsid w:val="00FA7224"/>
    <w:rsid w:val="00FB1215"/>
    <w:rsid w:val="00FB2935"/>
    <w:rsid w:val="00FB3D8E"/>
    <w:rsid w:val="00FB4CB0"/>
    <w:rsid w:val="00FB608E"/>
    <w:rsid w:val="00FB6392"/>
    <w:rsid w:val="00FB63A7"/>
    <w:rsid w:val="00FB6B49"/>
    <w:rsid w:val="00FC0A59"/>
    <w:rsid w:val="00FC149A"/>
    <w:rsid w:val="00FC2142"/>
    <w:rsid w:val="00FC254C"/>
    <w:rsid w:val="00FC25B1"/>
    <w:rsid w:val="00FC3953"/>
    <w:rsid w:val="00FC39BA"/>
    <w:rsid w:val="00FC3DAC"/>
    <w:rsid w:val="00FC43A1"/>
    <w:rsid w:val="00FC5864"/>
    <w:rsid w:val="00FC7C3D"/>
    <w:rsid w:val="00FD0A83"/>
    <w:rsid w:val="00FD1428"/>
    <w:rsid w:val="00FD20C5"/>
    <w:rsid w:val="00FD20F9"/>
    <w:rsid w:val="00FD2761"/>
    <w:rsid w:val="00FD2AA0"/>
    <w:rsid w:val="00FD3730"/>
    <w:rsid w:val="00FD37B5"/>
    <w:rsid w:val="00FD3BFE"/>
    <w:rsid w:val="00FD4568"/>
    <w:rsid w:val="00FD5B5E"/>
    <w:rsid w:val="00FD613E"/>
    <w:rsid w:val="00FD68A9"/>
    <w:rsid w:val="00FD6F4D"/>
    <w:rsid w:val="00FD728F"/>
    <w:rsid w:val="00FE0559"/>
    <w:rsid w:val="00FE05A0"/>
    <w:rsid w:val="00FE12FC"/>
    <w:rsid w:val="00FE16E0"/>
    <w:rsid w:val="00FE3537"/>
    <w:rsid w:val="00FE3884"/>
    <w:rsid w:val="00FE3FCF"/>
    <w:rsid w:val="00FE4338"/>
    <w:rsid w:val="00FF025A"/>
    <w:rsid w:val="00FF161C"/>
    <w:rsid w:val="00FF1685"/>
    <w:rsid w:val="00FF2C7E"/>
    <w:rsid w:val="00FF2E19"/>
    <w:rsid w:val="00FF43BD"/>
    <w:rsid w:val="00FF568F"/>
    <w:rsid w:val="00FF636E"/>
    <w:rsid w:val="00FF756F"/>
    <w:rsid w:val="0F7B5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56"/>
    <w:qFormat/>
    <w:uiPriority w:val="9"/>
    <w:pPr>
      <w:keepNext/>
      <w:numPr>
        <w:ilvl w:val="0"/>
        <w:numId w:val="1"/>
      </w:numPr>
      <w:spacing w:before="50" w:beforeLines="50" w:after="50" w:afterLines="50"/>
      <w:jc w:val="center"/>
      <w:outlineLvl w:val="0"/>
    </w:pPr>
    <w:rPr>
      <w:rFonts w:ascii="Calibri" w:hAnsi="Calibri" w:eastAsia="黑体"/>
      <w:bCs/>
      <w:kern w:val="36"/>
      <w:sz w:val="32"/>
      <w:szCs w:val="32"/>
    </w:rPr>
  </w:style>
  <w:style w:type="paragraph" w:styleId="3">
    <w:name w:val="heading 2"/>
    <w:basedOn w:val="1"/>
    <w:next w:val="1"/>
    <w:link w:val="57"/>
    <w:unhideWhenUsed/>
    <w:qFormat/>
    <w:uiPriority w:val="9"/>
    <w:pPr>
      <w:keepNext/>
      <w:numPr>
        <w:ilvl w:val="1"/>
        <w:numId w:val="1"/>
      </w:numPr>
      <w:spacing w:before="120" w:after="60"/>
      <w:outlineLvl w:val="1"/>
    </w:pPr>
    <w:rPr>
      <w:rFonts w:ascii="Calibri" w:hAnsi="Calibri" w:eastAsia="黑体" w:cstheme="majorBidi"/>
      <w:bCs/>
      <w:iCs/>
      <w:kern w:val="32"/>
      <w:sz w:val="28"/>
      <w:szCs w:val="28"/>
    </w:rPr>
  </w:style>
  <w:style w:type="paragraph" w:styleId="4">
    <w:name w:val="heading 3"/>
    <w:basedOn w:val="1"/>
    <w:next w:val="1"/>
    <w:link w:val="58"/>
    <w:unhideWhenUsed/>
    <w:qFormat/>
    <w:uiPriority w:val="9"/>
    <w:pPr>
      <w:keepNext/>
      <w:numPr>
        <w:ilvl w:val="2"/>
        <w:numId w:val="1"/>
      </w:numPr>
      <w:spacing w:before="60" w:after="60"/>
      <w:outlineLvl w:val="2"/>
    </w:pPr>
    <w:rPr>
      <w:rFonts w:ascii="Calibri Light" w:hAnsi="Calibri Light" w:eastAsia="宋体"/>
      <w:b/>
      <w:bCs/>
      <w:kern w:val="30"/>
      <w:szCs w:val="26"/>
    </w:rPr>
  </w:style>
  <w:style w:type="paragraph" w:styleId="5">
    <w:name w:val="heading 4"/>
    <w:basedOn w:val="1"/>
    <w:next w:val="1"/>
    <w:link w:val="59"/>
    <w:semiHidden/>
    <w:unhideWhenUsed/>
    <w:qFormat/>
    <w:uiPriority w:val="9"/>
    <w:pPr>
      <w:keepNext/>
      <w:numPr>
        <w:ilvl w:val="3"/>
        <w:numId w:val="1"/>
      </w:numPr>
      <w:spacing w:before="240" w:after="60"/>
      <w:outlineLvl w:val="3"/>
    </w:pPr>
    <w:rPr>
      <w:rFonts w:cstheme="majorBidi"/>
      <w:b/>
      <w:bCs/>
      <w:sz w:val="28"/>
      <w:szCs w:val="28"/>
    </w:rPr>
  </w:style>
  <w:style w:type="paragraph" w:styleId="6">
    <w:name w:val="heading 5"/>
    <w:basedOn w:val="1"/>
    <w:next w:val="1"/>
    <w:link w:val="60"/>
    <w:semiHidden/>
    <w:unhideWhenUsed/>
    <w:qFormat/>
    <w:uiPriority w:val="9"/>
    <w:pPr>
      <w:numPr>
        <w:ilvl w:val="4"/>
        <w:numId w:val="1"/>
      </w:numPr>
      <w:spacing w:before="240" w:after="60"/>
      <w:outlineLvl w:val="4"/>
    </w:pPr>
    <w:rPr>
      <w:b/>
      <w:bCs/>
      <w:i/>
      <w:iCs/>
      <w:sz w:val="26"/>
      <w:szCs w:val="26"/>
    </w:rPr>
  </w:style>
  <w:style w:type="paragraph" w:styleId="7">
    <w:name w:val="heading 6"/>
    <w:basedOn w:val="1"/>
    <w:next w:val="1"/>
    <w:link w:val="61"/>
    <w:semiHidden/>
    <w:unhideWhenUsed/>
    <w:qFormat/>
    <w:uiPriority w:val="9"/>
    <w:pPr>
      <w:numPr>
        <w:ilvl w:val="5"/>
        <w:numId w:val="1"/>
      </w:numPr>
      <w:spacing w:before="240" w:after="60"/>
      <w:outlineLvl w:val="5"/>
    </w:pPr>
    <w:rPr>
      <w:rFonts w:cstheme="majorBidi"/>
      <w:b/>
      <w:bCs/>
      <w:sz w:val="22"/>
      <w:szCs w:val="22"/>
    </w:rPr>
  </w:style>
  <w:style w:type="paragraph" w:styleId="8">
    <w:name w:val="heading 7"/>
    <w:basedOn w:val="1"/>
    <w:next w:val="1"/>
    <w:link w:val="62"/>
    <w:semiHidden/>
    <w:unhideWhenUsed/>
    <w:qFormat/>
    <w:uiPriority w:val="9"/>
    <w:pPr>
      <w:numPr>
        <w:ilvl w:val="6"/>
        <w:numId w:val="1"/>
      </w:numPr>
      <w:spacing w:before="240" w:after="60"/>
      <w:outlineLvl w:val="6"/>
    </w:pPr>
  </w:style>
  <w:style w:type="paragraph" w:styleId="9">
    <w:name w:val="heading 8"/>
    <w:basedOn w:val="1"/>
    <w:next w:val="1"/>
    <w:link w:val="63"/>
    <w:semiHidden/>
    <w:unhideWhenUsed/>
    <w:qFormat/>
    <w:uiPriority w:val="9"/>
    <w:pPr>
      <w:numPr>
        <w:ilvl w:val="7"/>
        <w:numId w:val="1"/>
      </w:numPr>
      <w:spacing w:before="240" w:after="60"/>
      <w:outlineLvl w:val="7"/>
    </w:pPr>
    <w:rPr>
      <w:rFonts w:cstheme="majorBidi"/>
      <w:i/>
      <w:iCs/>
    </w:rPr>
  </w:style>
  <w:style w:type="paragraph" w:styleId="10">
    <w:name w:val="heading 9"/>
    <w:basedOn w:val="1"/>
    <w:next w:val="1"/>
    <w:link w:val="64"/>
    <w:semiHidden/>
    <w:unhideWhenUsed/>
    <w:qFormat/>
    <w:uiPriority w:val="9"/>
    <w:pPr>
      <w:numPr>
        <w:ilvl w:val="8"/>
        <w:numId w:val="1"/>
      </w:numPr>
      <w:spacing w:before="240" w:after="60"/>
      <w:outlineLvl w:val="8"/>
    </w:pPr>
    <w:rPr>
      <w:rFonts w:asciiTheme="majorHAnsi" w:hAnsiTheme="majorHAnsi" w:eastAsiaTheme="majorEastAsia" w:cstheme="majorBidi"/>
      <w:sz w:val="22"/>
      <w:szCs w:val="2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rFonts w:eastAsia="黑体" w:asciiTheme="majorHAnsi" w:hAnsiTheme="majorHAnsi" w:cstheme="majorBidi"/>
      <w:sz w:val="20"/>
      <w:szCs w:val="20"/>
    </w:rPr>
  </w:style>
  <w:style w:type="paragraph" w:styleId="12">
    <w:name w:val="Document Map"/>
    <w:basedOn w:val="1"/>
    <w:link w:val="88"/>
    <w:semiHidden/>
    <w:unhideWhenUsed/>
    <w:qFormat/>
    <w:uiPriority w:val="99"/>
    <w:pPr>
      <w:spacing w:line="400" w:lineRule="exact"/>
      <w:jc w:val="both"/>
    </w:pPr>
    <w:rPr>
      <w:rFonts w:ascii="宋体" w:hAnsi="Calibri Light" w:eastAsia="宋体" w:cs="Calibri Light"/>
      <w:kern w:val="2"/>
      <w:sz w:val="18"/>
      <w:szCs w:val="18"/>
    </w:rPr>
  </w:style>
  <w:style w:type="paragraph" w:styleId="13">
    <w:name w:val="annotation text"/>
    <w:basedOn w:val="1"/>
    <w:link w:val="80"/>
    <w:unhideWhenUsed/>
    <w:qFormat/>
    <w:uiPriority w:val="99"/>
    <w:pPr>
      <w:spacing w:line="400" w:lineRule="exact"/>
    </w:pPr>
    <w:rPr>
      <w:rFonts w:ascii="Calibri Light" w:hAnsi="Calibri Light" w:eastAsia="华文仿宋" w:cs="Calibri Light"/>
      <w:kern w:val="2"/>
      <w:sz w:val="28"/>
      <w:szCs w:val="28"/>
    </w:rPr>
  </w:style>
  <w:style w:type="paragraph" w:styleId="14">
    <w:name w:val="Plain Text"/>
    <w:basedOn w:val="1"/>
    <w:link w:val="92"/>
    <w:unhideWhenUsed/>
    <w:qFormat/>
    <w:uiPriority w:val="0"/>
    <w:rPr>
      <w:rFonts w:ascii="宋体" w:hAnsi="Courier New" w:eastAsia="宋体" w:cs="Courier New"/>
      <w:sz w:val="21"/>
      <w:szCs w:val="21"/>
    </w:rPr>
  </w:style>
  <w:style w:type="paragraph" w:styleId="15">
    <w:name w:val="Date"/>
    <w:basedOn w:val="1"/>
    <w:next w:val="1"/>
    <w:link w:val="53"/>
    <w:semiHidden/>
    <w:unhideWhenUsed/>
    <w:qFormat/>
    <w:uiPriority w:val="99"/>
    <w:pPr>
      <w:ind w:left="100" w:leftChars="2500"/>
    </w:pPr>
  </w:style>
  <w:style w:type="paragraph" w:styleId="16">
    <w:name w:val="Balloon Text"/>
    <w:basedOn w:val="1"/>
    <w:link w:val="79"/>
    <w:semiHidden/>
    <w:unhideWhenUsed/>
    <w:qFormat/>
    <w:uiPriority w:val="99"/>
    <w:rPr>
      <w:sz w:val="18"/>
      <w:szCs w:val="18"/>
    </w:rPr>
  </w:style>
  <w:style w:type="paragraph" w:styleId="17">
    <w:name w:val="footer"/>
    <w:basedOn w:val="1"/>
    <w:link w:val="55"/>
    <w:unhideWhenUsed/>
    <w:qFormat/>
    <w:uiPriority w:val="99"/>
    <w:pPr>
      <w:tabs>
        <w:tab w:val="center" w:pos="4153"/>
        <w:tab w:val="right" w:pos="8306"/>
      </w:tabs>
      <w:snapToGrid w:val="0"/>
      <w:spacing w:line="240" w:lineRule="atLeast"/>
    </w:pPr>
    <w:rPr>
      <w:sz w:val="18"/>
      <w:szCs w:val="18"/>
    </w:rPr>
  </w:style>
  <w:style w:type="paragraph" w:styleId="18">
    <w:name w:val="header"/>
    <w:basedOn w:val="1"/>
    <w:link w:val="54"/>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9">
    <w:name w:val="toc 1"/>
    <w:basedOn w:val="1"/>
    <w:next w:val="1"/>
    <w:unhideWhenUsed/>
    <w:qFormat/>
    <w:uiPriority w:val="39"/>
    <w:pPr>
      <w:spacing w:before="100" w:beforeLines="100" w:after="100" w:afterLines="100"/>
    </w:pPr>
    <w:rPr>
      <w:rFonts w:ascii="Calibri" w:hAnsi="Calibri" w:eastAsia="宋体"/>
      <w:kern w:val="32"/>
      <w:sz w:val="32"/>
    </w:rPr>
  </w:style>
  <w:style w:type="paragraph" w:styleId="20">
    <w:name w:val="Subtitle"/>
    <w:basedOn w:val="1"/>
    <w:next w:val="1"/>
    <w:link w:val="66"/>
    <w:qFormat/>
    <w:uiPriority w:val="11"/>
    <w:pPr>
      <w:keepNext/>
      <w:spacing w:before="50" w:beforeLines="50" w:after="50" w:afterLines="50"/>
      <w:jc w:val="center"/>
      <w:outlineLvl w:val="1"/>
    </w:pPr>
    <w:rPr>
      <w:rFonts w:ascii="Calibri" w:hAnsi="Calibri" w:eastAsia="黑体" w:cstheme="majorBidi"/>
      <w:sz w:val="32"/>
    </w:rPr>
  </w:style>
  <w:style w:type="paragraph" w:styleId="21">
    <w:name w:val="Normal (Web)"/>
    <w:basedOn w:val="1"/>
    <w:qFormat/>
    <w:uiPriority w:val="0"/>
  </w:style>
  <w:style w:type="paragraph" w:styleId="22">
    <w:name w:val="Title"/>
    <w:basedOn w:val="1"/>
    <w:next w:val="1"/>
    <w:link w:val="65"/>
    <w:qFormat/>
    <w:uiPriority w:val="10"/>
    <w:pPr>
      <w:spacing w:before="240" w:after="60"/>
      <w:jc w:val="center"/>
      <w:outlineLvl w:val="0"/>
    </w:pPr>
    <w:rPr>
      <w:rFonts w:asciiTheme="majorHAnsi" w:hAnsiTheme="majorHAnsi" w:eastAsiaTheme="majorEastAsia" w:cstheme="majorBidi"/>
      <w:b/>
      <w:bCs/>
      <w:kern w:val="28"/>
      <w:sz w:val="32"/>
      <w:szCs w:val="32"/>
    </w:rPr>
  </w:style>
  <w:style w:type="paragraph" w:styleId="23">
    <w:name w:val="annotation subject"/>
    <w:basedOn w:val="13"/>
    <w:next w:val="13"/>
    <w:link w:val="87"/>
    <w:semiHidden/>
    <w:unhideWhenUsed/>
    <w:qFormat/>
    <w:uiPriority w:val="99"/>
    <w:rPr>
      <w:b/>
      <w:bCs/>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page number"/>
    <w:qFormat/>
    <w:uiPriority w:val="0"/>
    <w:rPr>
      <w:rFonts w:ascii="Times New Roman" w:hAnsi="Times New Roman" w:eastAsia="宋体" w:cs="Times New Roman"/>
    </w:rPr>
  </w:style>
  <w:style w:type="character" w:styleId="29">
    <w:name w:val="FollowedHyperlink"/>
    <w:basedOn w:val="26"/>
    <w:semiHidden/>
    <w:unhideWhenUsed/>
    <w:qFormat/>
    <w:uiPriority w:val="99"/>
    <w:rPr>
      <w:color w:val="954F72" w:themeColor="followedHyperlink"/>
      <w:u w:val="single"/>
      <w14:textFill>
        <w14:solidFill>
          <w14:schemeClr w14:val="folHlink"/>
        </w14:solidFill>
      </w14:textFill>
    </w:rPr>
  </w:style>
  <w:style w:type="character" w:styleId="30">
    <w:name w:val="Emphasis"/>
    <w:basedOn w:val="26"/>
    <w:qFormat/>
    <w:uiPriority w:val="20"/>
    <w:rPr>
      <w:rFonts w:asciiTheme="minorHAnsi" w:hAnsiTheme="minorHAnsi"/>
      <w:b/>
      <w:i/>
      <w:iCs/>
    </w:rPr>
  </w:style>
  <w:style w:type="character" w:styleId="31">
    <w:name w:val="Hyperlink"/>
    <w:basedOn w:val="26"/>
    <w:unhideWhenUsed/>
    <w:qFormat/>
    <w:uiPriority w:val="99"/>
    <w:rPr>
      <w:color w:val="0563C1" w:themeColor="hyperlink"/>
      <w:u w:val="single"/>
      <w14:textFill>
        <w14:solidFill>
          <w14:schemeClr w14:val="hlink"/>
        </w14:solidFill>
      </w14:textFill>
    </w:rPr>
  </w:style>
  <w:style w:type="character" w:styleId="32">
    <w:name w:val="annotation reference"/>
    <w:basedOn w:val="26"/>
    <w:semiHidden/>
    <w:unhideWhenUsed/>
    <w:qFormat/>
    <w:uiPriority w:val="99"/>
    <w:rPr>
      <w:sz w:val="21"/>
      <w:szCs w:val="21"/>
    </w:rPr>
  </w:style>
  <w:style w:type="paragraph" w:customStyle="1" w:styleId="33">
    <w:name w:val="※封面大标题"/>
    <w:basedOn w:val="1"/>
    <w:next w:val="1"/>
    <w:qFormat/>
    <w:uiPriority w:val="0"/>
    <w:pPr>
      <w:jc w:val="center"/>
    </w:pPr>
    <w:rPr>
      <w:rFonts w:ascii="华文中宋" w:hAnsi="华文中宋" w:eastAsia="华文中宋"/>
      <w:sz w:val="96"/>
      <w:szCs w:val="96"/>
    </w:rPr>
  </w:style>
  <w:style w:type="paragraph" w:customStyle="1" w:styleId="34">
    <w:name w:val="※封面题颌"/>
    <w:basedOn w:val="1"/>
    <w:next w:val="1"/>
    <w:qFormat/>
    <w:uiPriority w:val="0"/>
    <w:pPr>
      <w:jc w:val="center"/>
    </w:pPr>
    <w:rPr>
      <w:rFonts w:ascii="Calibri Light" w:hAnsi="Calibri Light" w:eastAsia="华文仿宋"/>
      <w:sz w:val="36"/>
      <w:szCs w:val="36"/>
    </w:rPr>
  </w:style>
  <w:style w:type="paragraph" w:customStyle="1" w:styleId="35">
    <w:name w:val="※封面题眉"/>
    <w:basedOn w:val="1"/>
    <w:next w:val="33"/>
    <w:qFormat/>
    <w:uiPriority w:val="0"/>
    <w:pPr>
      <w:jc w:val="center"/>
    </w:pPr>
    <w:rPr>
      <w:rFonts w:ascii="华文仿宋" w:hAnsi="华文仿宋" w:eastAsia="华文仿宋"/>
      <w:sz w:val="52"/>
      <w:szCs w:val="28"/>
    </w:rPr>
  </w:style>
  <w:style w:type="paragraph" w:customStyle="1" w:styleId="36">
    <w:name w:val="※封面题须"/>
    <w:basedOn w:val="1"/>
    <w:qFormat/>
    <w:uiPriority w:val="0"/>
    <w:pPr>
      <w:ind w:left="850" w:leftChars="350" w:right="250" w:rightChars="250" w:hanging="500" w:hangingChars="500"/>
    </w:pPr>
    <w:rPr>
      <w:rFonts w:ascii="Calibri" w:hAnsi="Calibri" w:eastAsia="宋体"/>
      <w:sz w:val="36"/>
      <w:szCs w:val="36"/>
    </w:rPr>
  </w:style>
  <w:style w:type="paragraph" w:customStyle="1" w:styleId="37">
    <w:name w:val="※目录（次）"/>
    <w:basedOn w:val="1"/>
    <w:qFormat/>
    <w:uiPriority w:val="0"/>
    <w:pPr>
      <w:tabs>
        <w:tab w:val="right" w:leader="hyphen" w:pos="8400"/>
      </w:tabs>
      <w:wordWrap w:val="0"/>
      <w:ind w:left="700" w:leftChars="200" w:right="300" w:rightChars="300" w:hanging="500" w:hangingChars="500"/>
    </w:pPr>
    <w:rPr>
      <w:rFonts w:ascii="Calibri Light" w:hAnsi="Calibri Light" w:eastAsia="华文仿宋"/>
      <w:sz w:val="36"/>
      <w:szCs w:val="28"/>
    </w:rPr>
  </w:style>
  <w:style w:type="paragraph" w:customStyle="1" w:styleId="38">
    <w:name w:val="※目录（主）"/>
    <w:basedOn w:val="1"/>
    <w:qFormat/>
    <w:uiPriority w:val="0"/>
    <w:pPr>
      <w:tabs>
        <w:tab w:val="right" w:leader="hyphen" w:pos="8400"/>
      </w:tabs>
      <w:spacing w:after="100" w:afterLines="100" w:line="400" w:lineRule="exact"/>
      <w:ind w:left="200" w:leftChars="200" w:right="200" w:rightChars="200" w:hanging="499" w:hangingChars="400"/>
    </w:pPr>
    <w:rPr>
      <w:rFonts w:ascii="Calibri Light" w:hAnsi="Calibri Light" w:eastAsia="华文仿宋"/>
      <w:sz w:val="36"/>
      <w:szCs w:val="36"/>
    </w:rPr>
  </w:style>
  <w:style w:type="paragraph" w:customStyle="1" w:styleId="39">
    <w:name w:val="※小标题 1"/>
    <w:basedOn w:val="1"/>
    <w:next w:val="1"/>
    <w:qFormat/>
    <w:uiPriority w:val="0"/>
    <w:pPr>
      <w:wordWrap w:val="0"/>
      <w:spacing w:before="20" w:after="20" w:line="400" w:lineRule="exact"/>
      <w:ind w:firstLine="200" w:firstLineChars="200"/>
      <w:outlineLvl w:val="4"/>
    </w:pPr>
    <w:rPr>
      <w:rFonts w:ascii="Calibri Light" w:hAnsi="Calibri Light" w:eastAsia="华文仿宋"/>
      <w:b/>
      <w:sz w:val="28"/>
      <w:szCs w:val="28"/>
    </w:rPr>
  </w:style>
  <w:style w:type="paragraph" w:customStyle="1" w:styleId="40">
    <w:name w:val="※正文"/>
    <w:basedOn w:val="1"/>
    <w:next w:val="1"/>
    <w:qFormat/>
    <w:uiPriority w:val="0"/>
    <w:pPr>
      <w:wordWrap w:val="0"/>
      <w:spacing w:line="400" w:lineRule="exact"/>
    </w:pPr>
    <w:rPr>
      <w:rFonts w:ascii="Calibri Light" w:hAnsi="Calibri Light" w:eastAsia="华文仿宋"/>
      <w:sz w:val="28"/>
      <w:szCs w:val="28"/>
    </w:rPr>
  </w:style>
  <w:style w:type="paragraph" w:customStyle="1" w:styleId="41">
    <w:name w:val="※小标题 一"/>
    <w:basedOn w:val="40"/>
    <w:next w:val="40"/>
    <w:qFormat/>
    <w:uiPriority w:val="0"/>
    <w:pPr>
      <w:spacing w:before="120" w:line="240" w:lineRule="auto"/>
      <w:outlineLvl w:val="2"/>
    </w:pPr>
    <w:rPr>
      <w:b/>
      <w:color w:val="203864" w:themeColor="accent5" w:themeShade="80"/>
      <w:sz w:val="32"/>
    </w:rPr>
  </w:style>
  <w:style w:type="paragraph" w:customStyle="1" w:styleId="42">
    <w:name w:val="※小标题（1）"/>
    <w:basedOn w:val="1"/>
    <w:next w:val="40"/>
    <w:qFormat/>
    <w:uiPriority w:val="0"/>
    <w:pPr>
      <w:wordWrap w:val="0"/>
      <w:spacing w:line="400" w:lineRule="exact"/>
      <w:ind w:firstLine="200" w:firstLineChars="200"/>
      <w:outlineLvl w:val="5"/>
    </w:pPr>
    <w:rPr>
      <w:rFonts w:ascii="Calibri Light" w:hAnsi="Calibri Light" w:eastAsia="华文仿宋"/>
      <w:b/>
      <w:sz w:val="28"/>
      <w:szCs w:val="28"/>
    </w:rPr>
  </w:style>
  <w:style w:type="paragraph" w:customStyle="1" w:styleId="43">
    <w:name w:val="※小标题（一）"/>
    <w:basedOn w:val="1"/>
    <w:next w:val="40"/>
    <w:qFormat/>
    <w:uiPriority w:val="0"/>
    <w:pPr>
      <w:wordWrap w:val="0"/>
      <w:spacing w:before="60" w:after="60" w:line="400" w:lineRule="exact"/>
      <w:ind w:firstLine="200" w:firstLineChars="200"/>
      <w:outlineLvl w:val="3"/>
    </w:pPr>
    <w:rPr>
      <w:rFonts w:ascii="Calibri Light" w:hAnsi="Calibri Light" w:eastAsia="华文仿宋"/>
      <w:b/>
      <w:sz w:val="28"/>
      <w:szCs w:val="28"/>
    </w:rPr>
  </w:style>
  <w:style w:type="paragraph" w:customStyle="1" w:styleId="44">
    <w:name w:val="※页脚（横屏）"/>
    <w:basedOn w:val="1"/>
    <w:qFormat/>
    <w:uiPriority w:val="0"/>
    <w:pPr>
      <w:tabs>
        <w:tab w:val="center" w:pos="7000"/>
      </w:tabs>
      <w:wordWrap w:val="0"/>
      <w:spacing w:line="240" w:lineRule="atLeast"/>
    </w:pPr>
    <w:rPr>
      <w:rFonts w:ascii="宋体" w:hAnsi="宋体" w:eastAsia="宋体"/>
      <w:sz w:val="18"/>
      <w:szCs w:val="18"/>
    </w:rPr>
  </w:style>
  <w:style w:type="paragraph" w:customStyle="1" w:styleId="45">
    <w:name w:val="※页脚（竖屏）"/>
    <w:basedOn w:val="1"/>
    <w:qFormat/>
    <w:uiPriority w:val="0"/>
    <w:pPr>
      <w:tabs>
        <w:tab w:val="center" w:pos="4536"/>
      </w:tabs>
      <w:wordWrap w:val="0"/>
      <w:spacing w:line="240" w:lineRule="atLeast"/>
    </w:pPr>
    <w:rPr>
      <w:rFonts w:ascii="宋体" w:hAnsi="宋体" w:eastAsia="宋体"/>
      <w:sz w:val="18"/>
      <w:szCs w:val="18"/>
    </w:rPr>
  </w:style>
  <w:style w:type="paragraph" w:customStyle="1" w:styleId="46">
    <w:name w:val="※页眉"/>
    <w:basedOn w:val="40"/>
    <w:qFormat/>
    <w:uiPriority w:val="0"/>
    <w:pPr>
      <w:pBdr>
        <w:bottom w:val="single" w:color="auto" w:sz="4" w:space="1"/>
      </w:pBdr>
      <w:spacing w:line="240" w:lineRule="atLeast"/>
      <w:jc w:val="right"/>
    </w:pPr>
    <w:rPr>
      <w:rFonts w:ascii="宋体" w:hAnsi="宋体" w:eastAsia="宋体"/>
      <w:sz w:val="18"/>
    </w:rPr>
  </w:style>
  <w:style w:type="paragraph" w:customStyle="1" w:styleId="47">
    <w:name w:val="※章节标题（第X章）"/>
    <w:basedOn w:val="1"/>
    <w:qFormat/>
    <w:uiPriority w:val="0"/>
    <w:pPr>
      <w:jc w:val="center"/>
      <w:outlineLvl w:val="0"/>
    </w:pPr>
    <w:rPr>
      <w:rFonts w:ascii="Calibri Light" w:hAnsi="Calibri Light" w:eastAsia="黑体"/>
      <w:sz w:val="36"/>
      <w:szCs w:val="28"/>
    </w:rPr>
  </w:style>
  <w:style w:type="paragraph" w:customStyle="1" w:styleId="48">
    <w:name w:val="※章节标题（第Y部分）"/>
    <w:basedOn w:val="1"/>
    <w:next w:val="1"/>
    <w:qFormat/>
    <w:uiPriority w:val="0"/>
    <w:pPr>
      <w:jc w:val="center"/>
      <w:outlineLvl w:val="1"/>
    </w:pPr>
    <w:rPr>
      <w:rFonts w:ascii="Calibri Light" w:hAnsi="Calibri Light" w:eastAsia="黑体"/>
      <w:color w:val="1F4E79" w:themeColor="accent1" w:themeShade="80"/>
      <w:sz w:val="32"/>
      <w:szCs w:val="36"/>
    </w:rPr>
  </w:style>
  <w:style w:type="paragraph" w:customStyle="1" w:styleId="49">
    <w:name w:val="※章节标题（第Z部分分项）"/>
    <w:basedOn w:val="48"/>
    <w:qFormat/>
    <w:uiPriority w:val="0"/>
    <w:pPr>
      <w:outlineLvl w:val="2"/>
    </w:pPr>
  </w:style>
  <w:style w:type="paragraph" w:customStyle="1" w:styleId="50">
    <w:name w:val="※正文（落款）"/>
    <w:basedOn w:val="1"/>
    <w:qFormat/>
    <w:uiPriority w:val="0"/>
    <w:pPr>
      <w:tabs>
        <w:tab w:val="center" w:pos="6663"/>
      </w:tabs>
      <w:wordWrap w:val="0"/>
      <w:spacing w:line="240" w:lineRule="atLeast"/>
    </w:pPr>
    <w:rPr>
      <w:rFonts w:ascii="Calibri Light" w:hAnsi="Calibri Light" w:eastAsia="华文仿宋"/>
      <w:sz w:val="28"/>
      <w:szCs w:val="28"/>
    </w:rPr>
  </w:style>
  <w:style w:type="paragraph" w:customStyle="1" w:styleId="51">
    <w:name w:val="※正文（缩进2）"/>
    <w:basedOn w:val="40"/>
    <w:qFormat/>
    <w:uiPriority w:val="0"/>
    <w:pPr>
      <w:ind w:firstLine="200" w:firstLineChars="200"/>
    </w:pPr>
  </w:style>
  <w:style w:type="paragraph" w:customStyle="1" w:styleId="52">
    <w:name w:val="※正文（缩进4）"/>
    <w:basedOn w:val="40"/>
    <w:qFormat/>
    <w:uiPriority w:val="0"/>
    <w:pPr>
      <w:ind w:firstLine="400" w:firstLineChars="400"/>
    </w:pPr>
  </w:style>
  <w:style w:type="character" w:customStyle="1" w:styleId="53">
    <w:name w:val="日期 Char"/>
    <w:basedOn w:val="26"/>
    <w:link w:val="15"/>
    <w:semiHidden/>
    <w:qFormat/>
    <w:uiPriority w:val="99"/>
    <w:rPr>
      <w:rFonts w:ascii="华文仿宋" w:hAnsi="华文仿宋" w:eastAsia="华文仿宋"/>
      <w:sz w:val="28"/>
      <w:szCs w:val="28"/>
    </w:rPr>
  </w:style>
  <w:style w:type="character" w:customStyle="1" w:styleId="54">
    <w:name w:val="页眉 Char"/>
    <w:basedOn w:val="26"/>
    <w:link w:val="18"/>
    <w:qFormat/>
    <w:uiPriority w:val="0"/>
    <w:rPr>
      <w:rFonts w:ascii="华文仿宋" w:hAnsi="华文仿宋" w:eastAsia="华文仿宋"/>
      <w:sz w:val="18"/>
      <w:szCs w:val="18"/>
    </w:rPr>
  </w:style>
  <w:style w:type="character" w:customStyle="1" w:styleId="55">
    <w:name w:val="页脚 Char"/>
    <w:basedOn w:val="26"/>
    <w:link w:val="17"/>
    <w:qFormat/>
    <w:uiPriority w:val="99"/>
    <w:rPr>
      <w:rFonts w:ascii="华文仿宋" w:hAnsi="华文仿宋" w:eastAsia="华文仿宋"/>
      <w:sz w:val="18"/>
      <w:szCs w:val="18"/>
    </w:rPr>
  </w:style>
  <w:style w:type="character" w:customStyle="1" w:styleId="56">
    <w:name w:val="标题 1 Char"/>
    <w:basedOn w:val="26"/>
    <w:link w:val="2"/>
    <w:qFormat/>
    <w:uiPriority w:val="9"/>
    <w:rPr>
      <w:rFonts w:ascii="Calibri" w:hAnsi="Calibri" w:eastAsia="黑体"/>
      <w:bCs/>
      <w:kern w:val="36"/>
      <w:sz w:val="32"/>
      <w:szCs w:val="32"/>
    </w:rPr>
  </w:style>
  <w:style w:type="character" w:customStyle="1" w:styleId="57">
    <w:name w:val="标题 2 Char"/>
    <w:basedOn w:val="26"/>
    <w:link w:val="3"/>
    <w:qFormat/>
    <w:uiPriority w:val="9"/>
    <w:rPr>
      <w:rFonts w:ascii="Calibri" w:hAnsi="Calibri" w:eastAsia="黑体" w:cstheme="majorBidi"/>
      <w:bCs/>
      <w:iCs/>
      <w:kern w:val="32"/>
      <w:sz w:val="28"/>
      <w:szCs w:val="28"/>
    </w:rPr>
  </w:style>
  <w:style w:type="character" w:customStyle="1" w:styleId="58">
    <w:name w:val="标题 3 Char"/>
    <w:basedOn w:val="26"/>
    <w:link w:val="4"/>
    <w:qFormat/>
    <w:uiPriority w:val="9"/>
    <w:rPr>
      <w:rFonts w:ascii="Calibri Light" w:hAnsi="Calibri Light" w:eastAsia="宋体"/>
      <w:b/>
      <w:bCs/>
      <w:kern w:val="30"/>
      <w:sz w:val="24"/>
      <w:szCs w:val="26"/>
    </w:rPr>
  </w:style>
  <w:style w:type="character" w:customStyle="1" w:styleId="59">
    <w:name w:val="标题 4 Char"/>
    <w:basedOn w:val="26"/>
    <w:link w:val="5"/>
    <w:semiHidden/>
    <w:qFormat/>
    <w:uiPriority w:val="9"/>
    <w:rPr>
      <w:rFonts w:cstheme="majorBidi"/>
      <w:b/>
      <w:bCs/>
      <w:sz w:val="28"/>
      <w:szCs w:val="28"/>
    </w:rPr>
  </w:style>
  <w:style w:type="character" w:customStyle="1" w:styleId="60">
    <w:name w:val="标题 5 Char"/>
    <w:basedOn w:val="26"/>
    <w:link w:val="6"/>
    <w:semiHidden/>
    <w:qFormat/>
    <w:uiPriority w:val="9"/>
    <w:rPr>
      <w:b/>
      <w:bCs/>
      <w:i/>
      <w:iCs/>
      <w:sz w:val="26"/>
      <w:szCs w:val="26"/>
    </w:rPr>
  </w:style>
  <w:style w:type="character" w:customStyle="1" w:styleId="61">
    <w:name w:val="标题 6 Char"/>
    <w:basedOn w:val="26"/>
    <w:link w:val="7"/>
    <w:semiHidden/>
    <w:qFormat/>
    <w:uiPriority w:val="9"/>
    <w:rPr>
      <w:rFonts w:cstheme="majorBidi"/>
      <w:b/>
      <w:bCs/>
    </w:rPr>
  </w:style>
  <w:style w:type="character" w:customStyle="1" w:styleId="62">
    <w:name w:val="标题 7 Char"/>
    <w:basedOn w:val="26"/>
    <w:link w:val="8"/>
    <w:semiHidden/>
    <w:qFormat/>
    <w:uiPriority w:val="9"/>
    <w:rPr>
      <w:sz w:val="24"/>
      <w:szCs w:val="24"/>
    </w:rPr>
  </w:style>
  <w:style w:type="character" w:customStyle="1" w:styleId="63">
    <w:name w:val="标题 8 Char"/>
    <w:basedOn w:val="26"/>
    <w:link w:val="9"/>
    <w:semiHidden/>
    <w:qFormat/>
    <w:uiPriority w:val="9"/>
    <w:rPr>
      <w:rFonts w:cstheme="majorBidi"/>
      <w:i/>
      <w:iCs/>
      <w:sz w:val="24"/>
      <w:szCs w:val="24"/>
    </w:rPr>
  </w:style>
  <w:style w:type="character" w:customStyle="1" w:styleId="64">
    <w:name w:val="标题 9 Char"/>
    <w:basedOn w:val="26"/>
    <w:link w:val="10"/>
    <w:semiHidden/>
    <w:qFormat/>
    <w:uiPriority w:val="9"/>
    <w:rPr>
      <w:rFonts w:asciiTheme="majorHAnsi" w:hAnsiTheme="majorHAnsi" w:eastAsiaTheme="majorEastAsia" w:cstheme="majorBidi"/>
    </w:rPr>
  </w:style>
  <w:style w:type="character" w:customStyle="1" w:styleId="65">
    <w:name w:val="标题 Char"/>
    <w:basedOn w:val="26"/>
    <w:link w:val="22"/>
    <w:qFormat/>
    <w:uiPriority w:val="10"/>
    <w:rPr>
      <w:rFonts w:asciiTheme="majorHAnsi" w:hAnsiTheme="majorHAnsi" w:eastAsiaTheme="majorEastAsia" w:cstheme="majorBidi"/>
      <w:b/>
      <w:bCs/>
      <w:kern w:val="28"/>
      <w:sz w:val="32"/>
      <w:szCs w:val="32"/>
    </w:rPr>
  </w:style>
  <w:style w:type="character" w:customStyle="1" w:styleId="66">
    <w:name w:val="副标题 Char"/>
    <w:basedOn w:val="26"/>
    <w:link w:val="20"/>
    <w:qFormat/>
    <w:uiPriority w:val="11"/>
    <w:rPr>
      <w:rFonts w:ascii="Calibri" w:hAnsi="Calibri" w:eastAsia="黑体" w:cstheme="majorBidi"/>
      <w:sz w:val="32"/>
      <w:szCs w:val="24"/>
    </w:rPr>
  </w:style>
  <w:style w:type="paragraph" w:styleId="67">
    <w:name w:val="No Spacing"/>
    <w:basedOn w:val="1"/>
    <w:qFormat/>
    <w:uiPriority w:val="1"/>
    <w:rPr>
      <w:szCs w:val="32"/>
    </w:rPr>
  </w:style>
  <w:style w:type="paragraph" w:styleId="68">
    <w:name w:val="List Paragraph"/>
    <w:basedOn w:val="1"/>
    <w:qFormat/>
    <w:uiPriority w:val="0"/>
    <w:pPr>
      <w:ind w:left="720"/>
      <w:contextualSpacing/>
    </w:pPr>
  </w:style>
  <w:style w:type="paragraph" w:styleId="69">
    <w:name w:val="Quote"/>
    <w:basedOn w:val="1"/>
    <w:next w:val="1"/>
    <w:link w:val="70"/>
    <w:qFormat/>
    <w:uiPriority w:val="29"/>
    <w:rPr>
      <w:i/>
    </w:rPr>
  </w:style>
  <w:style w:type="character" w:customStyle="1" w:styleId="70">
    <w:name w:val="引用 Char"/>
    <w:basedOn w:val="26"/>
    <w:link w:val="69"/>
    <w:qFormat/>
    <w:uiPriority w:val="29"/>
    <w:rPr>
      <w:i/>
      <w:sz w:val="24"/>
      <w:szCs w:val="24"/>
    </w:rPr>
  </w:style>
  <w:style w:type="paragraph" w:styleId="71">
    <w:name w:val="Intense Quote"/>
    <w:basedOn w:val="1"/>
    <w:next w:val="1"/>
    <w:link w:val="72"/>
    <w:qFormat/>
    <w:uiPriority w:val="30"/>
    <w:pPr>
      <w:ind w:left="720" w:right="720"/>
    </w:pPr>
    <w:rPr>
      <w:b/>
      <w:i/>
      <w:szCs w:val="22"/>
    </w:rPr>
  </w:style>
  <w:style w:type="character" w:customStyle="1" w:styleId="72">
    <w:name w:val="明显引用 Char"/>
    <w:basedOn w:val="26"/>
    <w:link w:val="71"/>
    <w:qFormat/>
    <w:uiPriority w:val="30"/>
    <w:rPr>
      <w:b/>
      <w:i/>
      <w:sz w:val="24"/>
    </w:rPr>
  </w:style>
  <w:style w:type="character" w:customStyle="1" w:styleId="73">
    <w:name w:val="Subtle Emphasis"/>
    <w:qFormat/>
    <w:uiPriority w:val="19"/>
    <w:rPr>
      <w:i/>
      <w:color w:val="595959" w:themeColor="text1" w:themeTint="A6"/>
      <w14:textFill>
        <w14:solidFill>
          <w14:schemeClr w14:val="tx1">
            <w14:lumMod w14:val="65000"/>
            <w14:lumOff w14:val="35000"/>
          </w14:schemeClr>
        </w14:solidFill>
      </w14:textFill>
    </w:rPr>
  </w:style>
  <w:style w:type="character" w:customStyle="1" w:styleId="74">
    <w:name w:val="Intense Emphasis"/>
    <w:basedOn w:val="26"/>
    <w:qFormat/>
    <w:uiPriority w:val="21"/>
    <w:rPr>
      <w:b/>
      <w:i/>
      <w:sz w:val="24"/>
      <w:szCs w:val="24"/>
      <w:u w:val="single"/>
    </w:rPr>
  </w:style>
  <w:style w:type="character" w:customStyle="1" w:styleId="75">
    <w:name w:val="Subtle Reference"/>
    <w:basedOn w:val="26"/>
    <w:qFormat/>
    <w:uiPriority w:val="31"/>
    <w:rPr>
      <w:sz w:val="24"/>
      <w:szCs w:val="24"/>
      <w:u w:val="single"/>
    </w:rPr>
  </w:style>
  <w:style w:type="character" w:customStyle="1" w:styleId="76">
    <w:name w:val="Intense Reference"/>
    <w:basedOn w:val="26"/>
    <w:qFormat/>
    <w:uiPriority w:val="32"/>
    <w:rPr>
      <w:b/>
      <w:sz w:val="24"/>
      <w:u w:val="single"/>
    </w:rPr>
  </w:style>
  <w:style w:type="character" w:customStyle="1" w:styleId="77">
    <w:name w:val="Book Title"/>
    <w:basedOn w:val="26"/>
    <w:qFormat/>
    <w:uiPriority w:val="33"/>
    <w:rPr>
      <w:rFonts w:asciiTheme="majorHAnsi" w:hAnsiTheme="majorHAnsi" w:eastAsiaTheme="majorEastAsia"/>
      <w:b/>
      <w:i/>
      <w:sz w:val="24"/>
      <w:szCs w:val="24"/>
    </w:rPr>
  </w:style>
  <w:style w:type="paragraph" w:customStyle="1" w:styleId="78">
    <w:name w:val="TOC Heading"/>
    <w:basedOn w:val="2"/>
    <w:next w:val="1"/>
    <w:semiHidden/>
    <w:unhideWhenUsed/>
    <w:qFormat/>
    <w:uiPriority w:val="39"/>
    <w:pPr>
      <w:outlineLvl w:val="9"/>
    </w:pPr>
  </w:style>
  <w:style w:type="character" w:customStyle="1" w:styleId="79">
    <w:name w:val="批注框文本 Char"/>
    <w:basedOn w:val="26"/>
    <w:link w:val="16"/>
    <w:semiHidden/>
    <w:qFormat/>
    <w:uiPriority w:val="99"/>
    <w:rPr>
      <w:sz w:val="18"/>
      <w:szCs w:val="18"/>
    </w:rPr>
  </w:style>
  <w:style w:type="character" w:customStyle="1" w:styleId="80">
    <w:name w:val="批注文字 Char"/>
    <w:basedOn w:val="26"/>
    <w:link w:val="13"/>
    <w:qFormat/>
    <w:uiPriority w:val="99"/>
    <w:rPr>
      <w:rFonts w:ascii="Calibri Light" w:hAnsi="Calibri Light" w:eastAsia="华文仿宋" w:cs="Calibri Light"/>
      <w:kern w:val="2"/>
      <w:sz w:val="28"/>
      <w:szCs w:val="28"/>
    </w:rPr>
  </w:style>
  <w:style w:type="paragraph" w:customStyle="1" w:styleId="81">
    <w:name w:val="@正文"/>
    <w:basedOn w:val="40"/>
    <w:qFormat/>
    <w:uiPriority w:val="0"/>
    <w:pPr>
      <w:wordWrap/>
      <w:spacing w:line="240" w:lineRule="auto"/>
      <w:ind w:firstLine="200" w:firstLineChars="200"/>
      <w:jc w:val="both"/>
    </w:pPr>
    <w:rPr>
      <w:rFonts w:ascii="Calibri" w:hAnsi="Calibri" w:eastAsia="宋体" w:cstheme="minorHAnsi"/>
      <w:color w:val="000000"/>
      <w:kern w:val="24"/>
      <w:sz w:val="24"/>
      <w:szCs w:val="24"/>
    </w:rPr>
  </w:style>
  <w:style w:type="paragraph" w:customStyle="1" w:styleId="82">
    <w:name w:val="@一级小标题"/>
    <w:basedOn w:val="1"/>
    <w:next w:val="81"/>
    <w:qFormat/>
    <w:uiPriority w:val="0"/>
    <w:pPr>
      <w:keepNext/>
      <w:spacing w:before="120" w:after="60"/>
      <w:outlineLvl w:val="2"/>
    </w:pPr>
    <w:rPr>
      <w:rFonts w:ascii="Calibri" w:hAnsi="Calibri" w:eastAsia="黑体"/>
      <w:kern w:val="28"/>
      <w:sz w:val="28"/>
    </w:rPr>
  </w:style>
  <w:style w:type="paragraph" w:customStyle="1" w:styleId="83">
    <w:name w:val="@标题"/>
    <w:basedOn w:val="1"/>
    <w:next w:val="81"/>
    <w:qFormat/>
    <w:uiPriority w:val="0"/>
    <w:pPr>
      <w:keepNext/>
      <w:spacing w:before="50" w:beforeLines="50" w:after="50" w:afterLines="50"/>
      <w:jc w:val="center"/>
      <w:outlineLvl w:val="1"/>
    </w:pPr>
    <w:rPr>
      <w:rFonts w:ascii="Calibri" w:hAnsi="Calibri" w:eastAsia="黑体"/>
      <w:kern w:val="32"/>
      <w:sz w:val="32"/>
    </w:rPr>
  </w:style>
  <w:style w:type="table" w:customStyle="1" w:styleId="84">
    <w:name w:val="网格型1"/>
    <w:basedOn w:val="24"/>
    <w:qFormat/>
    <w:uiPriority w:val="39"/>
    <w:pPr>
      <w:ind w:firstLine="200"/>
    </w:pPr>
    <w:rPr>
      <w:rFonts w:ascii="Calibri Light" w:hAnsi="Calibri Light" w:eastAsia="华文仿宋"/>
      <w:kern w:val="2"/>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5">
    <w:name w:val="页眉 Char1"/>
    <w:basedOn w:val="26"/>
    <w:semiHidden/>
    <w:qFormat/>
    <w:uiPriority w:val="99"/>
    <w:rPr>
      <w:rFonts w:cs="Calibri Light"/>
      <w:sz w:val="18"/>
      <w:szCs w:val="18"/>
    </w:rPr>
  </w:style>
  <w:style w:type="character" w:customStyle="1" w:styleId="86">
    <w:name w:val="页脚 Char1"/>
    <w:basedOn w:val="26"/>
    <w:semiHidden/>
    <w:qFormat/>
    <w:uiPriority w:val="99"/>
    <w:rPr>
      <w:rFonts w:cs="Calibri Light"/>
      <w:sz w:val="18"/>
      <w:szCs w:val="18"/>
    </w:rPr>
  </w:style>
  <w:style w:type="character" w:customStyle="1" w:styleId="87">
    <w:name w:val="批注主题 Char"/>
    <w:basedOn w:val="80"/>
    <w:link w:val="23"/>
    <w:semiHidden/>
    <w:qFormat/>
    <w:uiPriority w:val="99"/>
    <w:rPr>
      <w:rFonts w:ascii="Calibri Light" w:hAnsi="Calibri Light" w:eastAsia="华文仿宋" w:cs="Calibri Light"/>
      <w:b/>
      <w:bCs/>
      <w:kern w:val="2"/>
      <w:sz w:val="28"/>
      <w:szCs w:val="28"/>
    </w:rPr>
  </w:style>
  <w:style w:type="character" w:customStyle="1" w:styleId="88">
    <w:name w:val="文档结构图 Char"/>
    <w:basedOn w:val="26"/>
    <w:link w:val="12"/>
    <w:semiHidden/>
    <w:qFormat/>
    <w:uiPriority w:val="99"/>
    <w:rPr>
      <w:rFonts w:ascii="宋体" w:hAnsi="Calibri Light" w:eastAsia="宋体" w:cs="Calibri Light"/>
      <w:kern w:val="2"/>
      <w:sz w:val="18"/>
      <w:szCs w:val="18"/>
    </w:rPr>
  </w:style>
  <w:style w:type="character" w:styleId="89">
    <w:name w:val="Placeholder Text"/>
    <w:basedOn w:val="26"/>
    <w:semiHidden/>
    <w:qFormat/>
    <w:uiPriority w:val="99"/>
    <w:rPr>
      <w:color w:val="808080"/>
    </w:rPr>
  </w:style>
  <w:style w:type="table" w:customStyle="1" w:styleId="90">
    <w:name w:val="网格型11"/>
    <w:basedOn w:val="24"/>
    <w:qFormat/>
    <w:uiPriority w:val="39"/>
    <w:pPr>
      <w:ind w:firstLine="200"/>
    </w:pPr>
    <w:rPr>
      <w:rFonts w:ascii="Calibri Light" w:hAnsi="Calibri Light" w:eastAsia="华文仿宋"/>
      <w:kern w:val="2"/>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
    <w:name w:val="网格型2"/>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2">
    <w:name w:val="纯文本 Char"/>
    <w:basedOn w:val="26"/>
    <w:link w:val="14"/>
    <w:qFormat/>
    <w:uiPriority w:val="0"/>
    <w:rPr>
      <w:rFonts w:ascii="宋体" w:hAnsi="Courier New" w:eastAsia="宋体" w:cs="Courier New"/>
      <w:sz w:val="21"/>
      <w:szCs w:val="21"/>
    </w:rPr>
  </w:style>
  <w:style w:type="character" w:customStyle="1" w:styleId="93">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94">
    <w:name w:val="明显强调1"/>
    <w:basedOn w:val="26"/>
    <w:qFormat/>
    <w:uiPriority w:val="21"/>
    <w:rPr>
      <w:b/>
      <w:i/>
      <w:sz w:val="24"/>
      <w:szCs w:val="24"/>
      <w:u w:val="single"/>
    </w:rPr>
  </w:style>
  <w:style w:type="character" w:customStyle="1" w:styleId="95">
    <w:name w:val="不明显参考1"/>
    <w:basedOn w:val="26"/>
    <w:qFormat/>
    <w:uiPriority w:val="31"/>
    <w:rPr>
      <w:sz w:val="24"/>
      <w:szCs w:val="24"/>
      <w:u w:val="single"/>
    </w:rPr>
  </w:style>
  <w:style w:type="character" w:customStyle="1" w:styleId="96">
    <w:name w:val="明显参考1"/>
    <w:basedOn w:val="26"/>
    <w:qFormat/>
    <w:uiPriority w:val="32"/>
    <w:rPr>
      <w:b/>
      <w:sz w:val="24"/>
      <w:u w:val="single"/>
    </w:rPr>
  </w:style>
  <w:style w:type="character" w:customStyle="1" w:styleId="97">
    <w:name w:val="书籍标题1"/>
    <w:basedOn w:val="26"/>
    <w:qFormat/>
    <w:uiPriority w:val="33"/>
    <w:rPr>
      <w:rFonts w:asciiTheme="majorHAnsi" w:hAnsiTheme="majorHAnsi" w:eastAsiaTheme="majorEastAsia"/>
      <w:b/>
      <w:i/>
      <w:sz w:val="24"/>
      <w:szCs w:val="24"/>
    </w:rPr>
  </w:style>
  <w:style w:type="paragraph" w:customStyle="1" w:styleId="98">
    <w:name w:val="TOC 标题1"/>
    <w:basedOn w:val="2"/>
    <w:next w:val="1"/>
    <w:semiHidden/>
    <w:unhideWhenUsed/>
    <w:qFormat/>
    <w:uiPriority w:val="39"/>
    <w:pPr>
      <w:numPr>
        <w:numId w:val="2"/>
      </w:numPr>
      <w:outlineLvl w:val="9"/>
    </w:pPr>
  </w:style>
  <w:style w:type="paragraph" w:customStyle="1" w:styleId="99">
    <w:name w:val="样式1"/>
    <w:basedOn w:val="1"/>
    <w:qFormat/>
    <w:uiPriority w:val="0"/>
    <w:pPr>
      <w:widowControl w:val="0"/>
      <w:adjustRightInd w:val="0"/>
      <w:jc w:val="both"/>
      <w:textAlignment w:val="baseline"/>
    </w:pPr>
    <w:rPr>
      <w:rFonts w:ascii="宋体" w:hAnsi="Times New Roman"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0" Type="http://schemas.openxmlformats.org/officeDocument/2006/relationships/glossaryDocument" Target="glossary/document.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numbering" Target="numbering.xml"/><Relationship Id="rId36" Type="http://schemas.openxmlformats.org/officeDocument/2006/relationships/image" Target="media/image1.jpeg"/><Relationship Id="rId35" Type="http://schemas.openxmlformats.org/officeDocument/2006/relationships/theme" Target="theme/theme1.xml"/><Relationship Id="rId34" Type="http://schemas.openxmlformats.org/officeDocument/2006/relationships/footer" Target="footer27.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header" Target="header1.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3&#29256;&#20844;&#24320;&#25307;&#26631;&#25991;&#20214;&#65288;&#36135;&#29289;&#21644;&#26381;&#21153;&#65292;&#26263;&#26631;&#30450;&#35780;&#65289;.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E144EFA519D4C9FA390E1330E3F5185"/>
        <w:style w:val=""/>
        <w:category>
          <w:name w:val="常规"/>
          <w:gallery w:val="placeholder"/>
        </w:category>
        <w:types>
          <w:type w:val="bbPlcHdr"/>
        </w:types>
        <w:behaviors>
          <w:behavior w:val="content"/>
        </w:behaviors>
        <w:description w:val=""/>
        <w:guid w:val="{4B73F3D8-85DA-41FE-950F-026FA1B13AF8}"/>
      </w:docPartPr>
      <w:docPartBody>
        <w:p>
          <w:pPr>
            <w:pStyle w:val="8"/>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99"/>
    <w:rsid w:val="00036F4B"/>
    <w:rsid w:val="00046E3E"/>
    <w:rsid w:val="000755CD"/>
    <w:rsid w:val="000D34F1"/>
    <w:rsid w:val="00117274"/>
    <w:rsid w:val="00117AA1"/>
    <w:rsid w:val="0016149B"/>
    <w:rsid w:val="00193516"/>
    <w:rsid w:val="001C56D8"/>
    <w:rsid w:val="001E1C14"/>
    <w:rsid w:val="001E6767"/>
    <w:rsid w:val="00203DA1"/>
    <w:rsid w:val="00206ACB"/>
    <w:rsid w:val="00211A06"/>
    <w:rsid w:val="00274A31"/>
    <w:rsid w:val="003326D5"/>
    <w:rsid w:val="00387F4C"/>
    <w:rsid w:val="003C3F85"/>
    <w:rsid w:val="003C7EB3"/>
    <w:rsid w:val="0043533C"/>
    <w:rsid w:val="00443B9D"/>
    <w:rsid w:val="00454061"/>
    <w:rsid w:val="00580B99"/>
    <w:rsid w:val="005A21BF"/>
    <w:rsid w:val="005C5C9B"/>
    <w:rsid w:val="005E51DE"/>
    <w:rsid w:val="00603607"/>
    <w:rsid w:val="0061457B"/>
    <w:rsid w:val="00616529"/>
    <w:rsid w:val="00626103"/>
    <w:rsid w:val="00636120"/>
    <w:rsid w:val="006362A6"/>
    <w:rsid w:val="00653AFD"/>
    <w:rsid w:val="00664BA5"/>
    <w:rsid w:val="006D613E"/>
    <w:rsid w:val="006E4CF7"/>
    <w:rsid w:val="006F4890"/>
    <w:rsid w:val="0072520E"/>
    <w:rsid w:val="007269F0"/>
    <w:rsid w:val="00734F84"/>
    <w:rsid w:val="00756673"/>
    <w:rsid w:val="007844C0"/>
    <w:rsid w:val="00792F70"/>
    <w:rsid w:val="00797A13"/>
    <w:rsid w:val="00797D3D"/>
    <w:rsid w:val="007B6484"/>
    <w:rsid w:val="008C0F26"/>
    <w:rsid w:val="008C25B5"/>
    <w:rsid w:val="008D3AEC"/>
    <w:rsid w:val="008E12FD"/>
    <w:rsid w:val="008E2BB4"/>
    <w:rsid w:val="00901E75"/>
    <w:rsid w:val="0091562D"/>
    <w:rsid w:val="00921D95"/>
    <w:rsid w:val="009344E5"/>
    <w:rsid w:val="00946FAF"/>
    <w:rsid w:val="00963C6B"/>
    <w:rsid w:val="009913AD"/>
    <w:rsid w:val="00992D87"/>
    <w:rsid w:val="009A1BF6"/>
    <w:rsid w:val="009C0A4E"/>
    <w:rsid w:val="009D73E7"/>
    <w:rsid w:val="009E1D2C"/>
    <w:rsid w:val="009F2A1D"/>
    <w:rsid w:val="009F6A20"/>
    <w:rsid w:val="00A057F0"/>
    <w:rsid w:val="00A12E5E"/>
    <w:rsid w:val="00A36E62"/>
    <w:rsid w:val="00A5728D"/>
    <w:rsid w:val="00A96CE4"/>
    <w:rsid w:val="00AC3820"/>
    <w:rsid w:val="00AD148E"/>
    <w:rsid w:val="00B22452"/>
    <w:rsid w:val="00BB518A"/>
    <w:rsid w:val="00BD6ED3"/>
    <w:rsid w:val="00BF29FE"/>
    <w:rsid w:val="00C04372"/>
    <w:rsid w:val="00CB0283"/>
    <w:rsid w:val="00CE439C"/>
    <w:rsid w:val="00CF08BA"/>
    <w:rsid w:val="00D031D8"/>
    <w:rsid w:val="00D938D8"/>
    <w:rsid w:val="00D93CA3"/>
    <w:rsid w:val="00DA7ECB"/>
    <w:rsid w:val="00DD1067"/>
    <w:rsid w:val="00DD6CE7"/>
    <w:rsid w:val="00DE5ECF"/>
    <w:rsid w:val="00E514DC"/>
    <w:rsid w:val="00E9317C"/>
    <w:rsid w:val="00EF03E4"/>
    <w:rsid w:val="00EF3722"/>
    <w:rsid w:val="00F000CF"/>
    <w:rsid w:val="00F049F8"/>
    <w:rsid w:val="00F17FC6"/>
    <w:rsid w:val="00F6101C"/>
    <w:rsid w:val="00F66849"/>
    <w:rsid w:val="00F95D89"/>
    <w:rsid w:val="00FD380C"/>
    <w:rsid w:val="00FD6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879AFC6845D4354980BCB52055BC28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4879AFC6845D4354980BCB52055BC2841"/>
    <w:qFormat/>
    <w:uiPriority w:val="0"/>
    <w:rPr>
      <w:rFonts w:cs="Times New Roman" w:asciiTheme="minorHAnsi" w:hAnsiTheme="minorHAnsi" w:eastAsiaTheme="minorEastAsia"/>
      <w:kern w:val="0"/>
      <w:sz w:val="24"/>
      <w:szCs w:val="24"/>
      <w:lang w:val="en-US" w:eastAsia="zh-CN" w:bidi="ar-SA"/>
    </w:rPr>
  </w:style>
  <w:style w:type="paragraph" w:customStyle="1" w:styleId="7">
    <w:name w:val="CF80FDE9826E4517B8C173999F8F68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9E144EFA519D4C9FA390E1330E3F518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8CC4A953F13E4EBFA383E2DDE1751A8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6CE8F2E56944CFB94E66680D18D6A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37ED85DAEEB44B39A5BD1DCFEBF112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33245411B104B0B8BEF5F51314681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A9DBE5B4C39F40119658CD34DAEA5F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AABF4D41E2FE4060A35C87C19281B1C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8D10CFE3CEDB436B8AB09F24BAB40BC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EF4BC-A5BD-47C9-9B7E-392A4C9DF59E}">
  <ds:schemaRefs/>
</ds:datastoreItem>
</file>

<file path=docProps/app.xml><?xml version="1.0" encoding="utf-8"?>
<Properties xmlns="http://schemas.openxmlformats.org/officeDocument/2006/extended-properties" xmlns:vt="http://schemas.openxmlformats.org/officeDocument/2006/docPropsVTypes">
  <Template>2023版公开招标文件（货物和服务，暗标盲评）</Template>
  <Company>Lenovo</Company>
  <Pages>86</Pages>
  <Words>7664</Words>
  <Characters>43685</Characters>
  <Lines>364</Lines>
  <Paragraphs>102</Paragraphs>
  <TotalTime>258</TotalTime>
  <ScaleCrop>false</ScaleCrop>
  <LinksUpToDate>false</LinksUpToDate>
  <CharactersWithSpaces>51247</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2026-03-24T02:55:00Z</dcterms:created>
  <dc:creator>admin</dc:creator>
  <cp:lastModifiedBy>趋之若鹜</cp:lastModifiedBy>
  <cp:lastPrinted>2026-04-20T02:19:00Z</cp:lastPrinted>
  <dcterms:modified xsi:type="dcterms:W3CDTF">2026-05-14T07:34:44Z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72FFF0EA0E5B442AAA13599BA6903692</vt:lpwstr>
  </property>
</Properties>
</file>