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7FBB1">
      <w:pPr>
        <w:jc w:val="center"/>
        <w:rPr>
          <w:rFonts w:hint="eastAsia" w:ascii="宋体" w:hAnsi="宋体" w:eastAsia="宋体" w:cs="宋体"/>
          <w:b/>
          <w:i w:val="0"/>
          <w:iCs w:val="0"/>
          <w:color w:val="auto"/>
          <w:kern w:val="0"/>
          <w:sz w:val="72"/>
          <w:szCs w:val="72"/>
        </w:rPr>
      </w:pPr>
      <w:r>
        <w:rPr>
          <w:rFonts w:hint="eastAsia" w:ascii="宋体" w:hAnsi="宋体" w:eastAsia="宋体" w:cs="宋体"/>
          <w:b/>
          <w:i w:val="0"/>
          <w:iCs w:val="0"/>
          <w:color w:val="auto"/>
          <w:kern w:val="0"/>
          <w:sz w:val="72"/>
          <w:szCs w:val="72"/>
        </w:rPr>
        <w:tab/>
      </w:r>
    </w:p>
    <w:p w14:paraId="69015BDC">
      <w:pPr>
        <w:spacing w:line="276" w:lineRule="auto"/>
        <w:jc w:val="center"/>
        <w:rPr>
          <w:rFonts w:hint="eastAsia" w:ascii="宋体" w:hAnsi="宋体" w:cs="宋体"/>
          <w:b/>
          <w:bCs w:val="0"/>
          <w:i w:val="0"/>
          <w:iCs w:val="0"/>
          <w:color w:val="auto"/>
          <w:sz w:val="52"/>
          <w:szCs w:val="52"/>
          <w:lang w:eastAsia="zh-CN"/>
        </w:rPr>
      </w:pPr>
      <w:r>
        <w:rPr>
          <w:rFonts w:hint="eastAsia" w:ascii="宋体" w:hAnsi="宋体" w:cs="宋体"/>
          <w:b/>
          <w:bCs w:val="0"/>
          <w:i w:val="0"/>
          <w:iCs w:val="0"/>
          <w:color w:val="auto"/>
          <w:sz w:val="52"/>
          <w:szCs w:val="52"/>
          <w:lang w:eastAsia="zh-CN"/>
        </w:rPr>
        <w:t>延安市机关事务服务中心机关食堂</w:t>
      </w:r>
    </w:p>
    <w:p w14:paraId="557EF63E">
      <w:pPr>
        <w:spacing w:line="276" w:lineRule="auto"/>
        <w:jc w:val="center"/>
        <w:rPr>
          <w:rFonts w:hint="eastAsia" w:ascii="宋体" w:hAnsi="宋体" w:eastAsia="宋体" w:cs="宋体"/>
          <w:b w:val="0"/>
          <w:bCs/>
          <w:i w:val="0"/>
          <w:iCs w:val="0"/>
          <w:color w:val="auto"/>
          <w:sz w:val="48"/>
          <w:szCs w:val="48"/>
          <w:lang w:eastAsia="zh-CN"/>
        </w:rPr>
      </w:pPr>
      <w:r>
        <w:rPr>
          <w:rFonts w:hint="eastAsia" w:ascii="宋体" w:hAnsi="宋体" w:cs="宋体"/>
          <w:b/>
          <w:bCs w:val="0"/>
          <w:i w:val="0"/>
          <w:iCs w:val="0"/>
          <w:color w:val="auto"/>
          <w:sz w:val="52"/>
          <w:szCs w:val="52"/>
          <w:lang w:eastAsia="zh-CN"/>
        </w:rPr>
        <w:t>托管企业采购项目</w:t>
      </w:r>
    </w:p>
    <w:p w14:paraId="5EB88474">
      <w:pPr>
        <w:spacing w:line="276" w:lineRule="auto"/>
        <w:jc w:val="center"/>
        <w:rPr>
          <w:rFonts w:hint="eastAsia" w:ascii="宋体" w:hAnsi="宋体" w:eastAsia="宋体" w:cs="宋体"/>
          <w:b/>
          <w:i w:val="0"/>
          <w:iCs w:val="0"/>
          <w:color w:val="auto"/>
          <w:sz w:val="44"/>
          <w:szCs w:val="44"/>
        </w:rPr>
      </w:pPr>
    </w:p>
    <w:p w14:paraId="01859259">
      <w:pPr>
        <w:pStyle w:val="16"/>
        <w:rPr>
          <w:rFonts w:hint="eastAsia" w:ascii="宋体" w:hAnsi="宋体" w:eastAsia="宋体" w:cs="宋体"/>
          <w:b/>
          <w:i w:val="0"/>
          <w:iCs w:val="0"/>
          <w:color w:val="auto"/>
          <w:sz w:val="44"/>
          <w:szCs w:val="44"/>
        </w:rPr>
      </w:pPr>
    </w:p>
    <w:p w14:paraId="24CFDC90">
      <w:pPr>
        <w:pStyle w:val="16"/>
        <w:rPr>
          <w:rFonts w:hint="eastAsia" w:ascii="宋体" w:hAnsi="宋体" w:eastAsia="宋体" w:cs="宋体"/>
          <w:b/>
          <w:i w:val="0"/>
          <w:iCs w:val="0"/>
          <w:color w:val="auto"/>
          <w:sz w:val="44"/>
          <w:szCs w:val="44"/>
        </w:rPr>
      </w:pPr>
    </w:p>
    <w:p w14:paraId="28AFBED4">
      <w:pPr>
        <w:spacing w:line="276" w:lineRule="auto"/>
        <w:jc w:val="center"/>
        <w:rPr>
          <w:rFonts w:hint="eastAsia" w:ascii="宋体" w:hAnsi="宋体" w:eastAsia="宋体" w:cs="宋体"/>
          <w:b/>
          <w:i w:val="0"/>
          <w:iCs w:val="0"/>
          <w:color w:val="auto"/>
          <w:sz w:val="44"/>
          <w:szCs w:val="44"/>
        </w:rPr>
      </w:pPr>
    </w:p>
    <w:p w14:paraId="0547FAE8">
      <w:pPr>
        <w:spacing w:line="276" w:lineRule="auto"/>
        <w:jc w:val="center"/>
        <w:rPr>
          <w:rFonts w:hint="eastAsia" w:ascii="宋体" w:hAnsi="宋体" w:eastAsia="宋体" w:cs="宋体"/>
          <w:b/>
          <w:i w:val="0"/>
          <w:iCs w:val="0"/>
          <w:color w:val="auto"/>
          <w:sz w:val="32"/>
          <w:szCs w:val="32"/>
        </w:rPr>
      </w:pPr>
      <w:r>
        <w:rPr>
          <w:rFonts w:hint="eastAsia" w:ascii="宋体" w:hAnsi="宋体" w:eastAsia="宋体" w:cs="宋体"/>
          <w:b/>
          <w:i w:val="0"/>
          <w:iCs w:val="0"/>
          <w:color w:val="auto"/>
          <w:sz w:val="84"/>
          <w:szCs w:val="84"/>
        </w:rPr>
        <w:t>招标文件</w:t>
      </w:r>
    </w:p>
    <w:p w14:paraId="3C10E985">
      <w:pPr>
        <w:keepNext w:val="0"/>
        <w:keepLines w:val="0"/>
        <w:pageBreakBefore w:val="0"/>
        <w:widowControl w:val="0"/>
        <w:kinsoku/>
        <w:wordWrap/>
        <w:overflowPunct/>
        <w:topLinePunct w:val="0"/>
        <w:autoSpaceDE/>
        <w:autoSpaceDN/>
        <w:bidi w:val="0"/>
        <w:adjustRightInd/>
        <w:snapToGrid/>
        <w:spacing w:before="313" w:beforeLines="100" w:line="276" w:lineRule="auto"/>
        <w:jc w:val="center"/>
        <w:textAlignment w:val="auto"/>
        <w:rPr>
          <w:rFonts w:hint="default" w:ascii="宋体" w:hAnsi="宋体" w:eastAsia="宋体" w:cs="宋体"/>
          <w:b/>
          <w:i w:val="0"/>
          <w:iCs w:val="0"/>
          <w:color w:val="auto"/>
          <w:sz w:val="32"/>
          <w:szCs w:val="32"/>
          <w:lang w:val="en-US" w:eastAsia="zh-CN"/>
        </w:rPr>
      </w:pPr>
      <w:r>
        <w:rPr>
          <w:rFonts w:hint="eastAsia" w:ascii="宋体" w:hAnsi="宋体" w:eastAsia="宋体" w:cs="宋体"/>
          <w:b/>
          <w:i w:val="0"/>
          <w:iCs w:val="0"/>
          <w:color w:val="auto"/>
          <w:sz w:val="32"/>
          <w:szCs w:val="32"/>
        </w:rPr>
        <w:t>采购项目编号：HDCGDL-ZC202</w:t>
      </w:r>
      <w:r>
        <w:rPr>
          <w:rFonts w:hint="eastAsia" w:ascii="宋体" w:hAnsi="宋体" w:cs="宋体"/>
          <w:b/>
          <w:i w:val="0"/>
          <w:iCs w:val="0"/>
          <w:color w:val="auto"/>
          <w:sz w:val="32"/>
          <w:szCs w:val="32"/>
          <w:lang w:val="en-US" w:eastAsia="zh-CN"/>
        </w:rPr>
        <w:t>6</w:t>
      </w:r>
      <w:r>
        <w:rPr>
          <w:rFonts w:hint="eastAsia" w:ascii="宋体" w:hAnsi="宋体" w:eastAsia="宋体" w:cs="宋体"/>
          <w:b/>
          <w:i w:val="0"/>
          <w:iCs w:val="0"/>
          <w:color w:val="auto"/>
          <w:sz w:val="32"/>
          <w:szCs w:val="32"/>
        </w:rPr>
        <w:t>-</w:t>
      </w:r>
      <w:r>
        <w:rPr>
          <w:rFonts w:hint="eastAsia" w:ascii="宋体" w:hAnsi="宋体" w:cs="宋体"/>
          <w:b/>
          <w:i w:val="0"/>
          <w:iCs w:val="0"/>
          <w:color w:val="auto"/>
          <w:sz w:val="32"/>
          <w:szCs w:val="32"/>
          <w:lang w:val="en-US" w:eastAsia="zh-CN"/>
        </w:rPr>
        <w:t>045</w:t>
      </w:r>
    </w:p>
    <w:p w14:paraId="22854205">
      <w:pPr>
        <w:spacing w:line="276" w:lineRule="auto"/>
        <w:jc w:val="center"/>
        <w:rPr>
          <w:rFonts w:hint="eastAsia" w:ascii="宋体" w:hAnsi="宋体" w:eastAsia="宋体" w:cs="宋体"/>
          <w:b/>
          <w:i w:val="0"/>
          <w:iCs w:val="0"/>
          <w:color w:val="auto"/>
          <w:sz w:val="28"/>
          <w:szCs w:val="28"/>
          <w:u w:val="single"/>
        </w:rPr>
      </w:pPr>
    </w:p>
    <w:p w14:paraId="6C3BE60B">
      <w:pPr>
        <w:spacing w:line="276" w:lineRule="auto"/>
        <w:ind w:left="2213" w:leftChars="197" w:hanging="1799" w:hangingChars="640"/>
        <w:jc w:val="center"/>
        <w:rPr>
          <w:rFonts w:hint="eastAsia" w:ascii="宋体" w:hAnsi="宋体" w:eastAsia="宋体" w:cs="宋体"/>
          <w:b/>
          <w:i w:val="0"/>
          <w:iCs w:val="0"/>
          <w:color w:val="auto"/>
          <w:sz w:val="28"/>
          <w:szCs w:val="28"/>
          <w:u w:val="single"/>
        </w:rPr>
      </w:pPr>
    </w:p>
    <w:p w14:paraId="7988B89F">
      <w:pPr>
        <w:spacing w:line="276" w:lineRule="auto"/>
        <w:ind w:left="2213" w:leftChars="197" w:hanging="1799" w:hangingChars="640"/>
        <w:jc w:val="center"/>
        <w:rPr>
          <w:rFonts w:hint="eastAsia" w:ascii="宋体" w:hAnsi="宋体" w:eastAsia="宋体" w:cs="宋体"/>
          <w:b/>
          <w:i w:val="0"/>
          <w:iCs w:val="0"/>
          <w:color w:val="auto"/>
          <w:sz w:val="28"/>
          <w:szCs w:val="28"/>
          <w:u w:val="single"/>
        </w:rPr>
      </w:pPr>
    </w:p>
    <w:p w14:paraId="6ED6D93C">
      <w:pPr>
        <w:spacing w:line="276" w:lineRule="auto"/>
        <w:ind w:left="2213" w:leftChars="197" w:hanging="1799" w:hangingChars="640"/>
        <w:jc w:val="center"/>
        <w:rPr>
          <w:rFonts w:hint="eastAsia" w:ascii="宋体" w:hAnsi="宋体" w:eastAsia="宋体" w:cs="宋体"/>
          <w:b/>
          <w:i w:val="0"/>
          <w:iCs w:val="0"/>
          <w:color w:val="auto"/>
          <w:sz w:val="28"/>
          <w:szCs w:val="28"/>
          <w:u w:val="single"/>
        </w:rPr>
      </w:pPr>
    </w:p>
    <w:p w14:paraId="0EDC98EE">
      <w:pPr>
        <w:spacing w:line="276" w:lineRule="auto"/>
        <w:ind w:left="2213" w:leftChars="197" w:hanging="1799" w:hangingChars="640"/>
        <w:jc w:val="center"/>
        <w:rPr>
          <w:rFonts w:hint="eastAsia" w:ascii="宋体" w:hAnsi="宋体" w:eastAsia="宋体" w:cs="宋体"/>
          <w:b/>
          <w:i w:val="0"/>
          <w:iCs w:val="0"/>
          <w:color w:val="auto"/>
          <w:sz w:val="28"/>
          <w:szCs w:val="28"/>
          <w:u w:val="single"/>
        </w:rPr>
      </w:pPr>
    </w:p>
    <w:p w14:paraId="7A1C95E1">
      <w:pPr>
        <w:pStyle w:val="16"/>
        <w:rPr>
          <w:rFonts w:hint="eastAsia" w:ascii="宋体" w:hAnsi="宋体" w:eastAsia="宋体" w:cs="宋体"/>
          <w:b/>
          <w:i w:val="0"/>
          <w:iCs w:val="0"/>
          <w:color w:val="auto"/>
          <w:sz w:val="28"/>
          <w:szCs w:val="28"/>
          <w:u w:val="single"/>
        </w:rPr>
      </w:pPr>
    </w:p>
    <w:p w14:paraId="649D40D5">
      <w:pPr>
        <w:spacing w:line="360" w:lineRule="auto"/>
        <w:jc w:val="left"/>
        <w:rPr>
          <w:rFonts w:hint="eastAsia" w:ascii="宋体" w:hAnsi="宋体" w:eastAsia="宋体" w:cs="宋体"/>
          <w:b/>
          <w:i w:val="0"/>
          <w:iCs w:val="0"/>
          <w:color w:val="auto"/>
          <w:sz w:val="28"/>
        </w:rPr>
      </w:pPr>
    </w:p>
    <w:p w14:paraId="2B4ED56A">
      <w:pPr>
        <w:spacing w:line="360" w:lineRule="auto"/>
        <w:rPr>
          <w:rFonts w:hint="eastAsia" w:ascii="宋体" w:hAnsi="宋体" w:eastAsia="宋体" w:cs="宋体"/>
          <w:b/>
          <w:i w:val="0"/>
          <w:iCs w:val="0"/>
          <w:color w:val="auto"/>
          <w:sz w:val="36"/>
          <w:szCs w:val="32"/>
          <w:lang w:eastAsia="zh-CN"/>
        </w:rPr>
      </w:pPr>
      <w:r>
        <w:rPr>
          <w:rFonts w:hint="eastAsia" w:ascii="宋体" w:hAnsi="宋体" w:eastAsia="宋体" w:cs="宋体"/>
          <w:b/>
          <w:i w:val="0"/>
          <w:iCs w:val="0"/>
          <w:color w:val="auto"/>
          <w:sz w:val="36"/>
          <w:szCs w:val="32"/>
        </w:rPr>
        <w:t>采购人：</w:t>
      </w:r>
      <w:r>
        <w:rPr>
          <w:rFonts w:hint="eastAsia" w:ascii="宋体" w:hAnsi="宋体" w:cs="宋体"/>
          <w:b/>
          <w:i w:val="0"/>
          <w:iCs w:val="0"/>
          <w:color w:val="auto"/>
          <w:sz w:val="36"/>
          <w:szCs w:val="32"/>
          <w:lang w:eastAsia="zh-CN"/>
        </w:rPr>
        <w:t>延安市机关事务服务中心</w:t>
      </w:r>
    </w:p>
    <w:p w14:paraId="1EE1E41D">
      <w:pPr>
        <w:spacing w:line="360" w:lineRule="auto"/>
        <w:rPr>
          <w:rFonts w:hint="eastAsia" w:ascii="宋体" w:hAnsi="宋体" w:eastAsia="宋体" w:cs="宋体"/>
          <w:b/>
          <w:i w:val="0"/>
          <w:iCs w:val="0"/>
          <w:color w:val="auto"/>
          <w:sz w:val="36"/>
          <w:szCs w:val="32"/>
        </w:rPr>
      </w:pPr>
    </w:p>
    <w:p w14:paraId="648238F7">
      <w:pPr>
        <w:spacing w:line="360" w:lineRule="auto"/>
        <w:jc w:val="both"/>
        <w:rPr>
          <w:rFonts w:hint="eastAsia" w:ascii="宋体" w:hAnsi="宋体" w:eastAsia="宋体" w:cs="宋体"/>
          <w:b/>
          <w:i w:val="0"/>
          <w:iCs w:val="0"/>
          <w:color w:val="auto"/>
          <w:sz w:val="36"/>
          <w:szCs w:val="32"/>
          <w:lang w:eastAsia="zh-CN"/>
        </w:rPr>
      </w:pPr>
      <w:r>
        <w:rPr>
          <w:rFonts w:hint="eastAsia" w:ascii="宋体" w:hAnsi="宋体" w:eastAsia="宋体" w:cs="宋体"/>
          <w:b/>
          <w:i w:val="0"/>
          <w:iCs w:val="0"/>
          <w:color w:val="auto"/>
          <w:sz w:val="36"/>
          <w:szCs w:val="32"/>
        </w:rPr>
        <w:t>采购代理机构：</w:t>
      </w:r>
      <w:r>
        <w:rPr>
          <w:rFonts w:hint="eastAsia" w:ascii="宋体" w:hAnsi="宋体" w:cs="宋体"/>
          <w:b/>
          <w:i w:val="0"/>
          <w:iCs w:val="0"/>
          <w:color w:val="auto"/>
          <w:sz w:val="36"/>
          <w:szCs w:val="32"/>
          <w:lang w:eastAsia="zh-CN"/>
        </w:rPr>
        <w:t>华鼎工程咨询集团有限公司</w:t>
      </w:r>
    </w:p>
    <w:p w14:paraId="062A9049">
      <w:pPr>
        <w:spacing w:line="360" w:lineRule="auto"/>
        <w:jc w:val="center"/>
        <w:rPr>
          <w:rFonts w:hint="eastAsia" w:ascii="宋体" w:hAnsi="宋体" w:eastAsia="宋体" w:cs="宋体"/>
          <w:b/>
          <w:i w:val="0"/>
          <w:iCs w:val="0"/>
          <w:color w:val="auto"/>
          <w:sz w:val="36"/>
          <w:szCs w:val="32"/>
        </w:rPr>
      </w:pPr>
    </w:p>
    <w:p w14:paraId="334FDE80">
      <w:pPr>
        <w:spacing w:line="360" w:lineRule="auto"/>
        <w:jc w:val="center"/>
        <w:rPr>
          <w:rFonts w:hint="eastAsia" w:ascii="宋体" w:hAnsi="宋体" w:eastAsia="宋体" w:cs="宋体"/>
          <w:b/>
          <w:bCs/>
          <w:i w:val="0"/>
          <w:iCs w:val="0"/>
          <w:color w:val="auto"/>
          <w:sz w:val="36"/>
          <w:szCs w:val="32"/>
        </w:rPr>
        <w:sectPr>
          <w:headerReference r:id="rId4" w:type="first"/>
          <w:headerReference r:id="rId3" w:type="even"/>
          <w:footerReference r:id="rId5" w:type="even"/>
          <w:pgSz w:w="11906" w:h="16838"/>
          <w:pgMar w:top="1440" w:right="1826" w:bottom="1440" w:left="1701" w:header="851" w:footer="992" w:gutter="0"/>
          <w:cols w:space="720" w:num="1"/>
          <w:titlePg/>
          <w:docGrid w:linePitch="312" w:charSpace="0"/>
        </w:sectPr>
      </w:pPr>
      <w:r>
        <w:rPr>
          <w:rFonts w:hint="eastAsia" w:ascii="宋体" w:hAnsi="宋体" w:eastAsia="宋体" w:cs="宋体"/>
          <w:b/>
          <w:i w:val="0"/>
          <w:iCs w:val="0"/>
          <w:color w:val="auto"/>
          <w:sz w:val="36"/>
          <w:szCs w:val="32"/>
        </w:rPr>
        <w:t>日期：202</w:t>
      </w:r>
      <w:r>
        <w:rPr>
          <w:rFonts w:hint="eastAsia" w:ascii="宋体" w:hAnsi="宋体" w:cs="宋体"/>
          <w:b/>
          <w:i w:val="0"/>
          <w:iCs w:val="0"/>
          <w:color w:val="auto"/>
          <w:sz w:val="36"/>
          <w:szCs w:val="32"/>
          <w:lang w:val="en-US" w:eastAsia="zh-CN"/>
        </w:rPr>
        <w:t>6</w:t>
      </w:r>
      <w:r>
        <w:rPr>
          <w:rFonts w:hint="eastAsia" w:ascii="宋体" w:hAnsi="宋体" w:eastAsia="宋体" w:cs="宋体"/>
          <w:b/>
          <w:i w:val="0"/>
          <w:iCs w:val="0"/>
          <w:color w:val="auto"/>
          <w:sz w:val="36"/>
          <w:szCs w:val="32"/>
        </w:rPr>
        <w:t>年</w:t>
      </w:r>
      <w:r>
        <w:rPr>
          <w:rFonts w:hint="eastAsia" w:ascii="宋体" w:hAnsi="宋体" w:cs="宋体"/>
          <w:b/>
          <w:i w:val="0"/>
          <w:iCs w:val="0"/>
          <w:color w:val="auto"/>
          <w:sz w:val="36"/>
          <w:szCs w:val="32"/>
          <w:lang w:val="en-US" w:eastAsia="zh-CN"/>
        </w:rPr>
        <w:t>4</w:t>
      </w:r>
      <w:r>
        <w:rPr>
          <w:rFonts w:hint="eastAsia" w:ascii="宋体" w:hAnsi="宋体" w:eastAsia="宋体" w:cs="宋体"/>
          <w:b/>
          <w:i w:val="0"/>
          <w:iCs w:val="0"/>
          <w:color w:val="auto"/>
          <w:sz w:val="36"/>
          <w:szCs w:val="32"/>
        </w:rPr>
        <w:t>月</w:t>
      </w:r>
    </w:p>
    <w:p w14:paraId="4F68ACB5">
      <w:pPr>
        <w:pStyle w:val="19"/>
        <w:tabs>
          <w:tab w:val="right" w:leader="dot" w:pos="8379"/>
        </w:tabs>
        <w:spacing w:line="480" w:lineRule="auto"/>
      </w:pPr>
      <w:r>
        <w:rPr>
          <w:rFonts w:hint="eastAsia" w:ascii="宋体" w:hAnsi="宋体" w:eastAsia="宋体" w:cs="宋体"/>
          <w:bCs w:val="0"/>
          <w:i w:val="0"/>
          <w:iCs w:val="0"/>
          <w:color w:val="auto"/>
          <w:sz w:val="24"/>
          <w:szCs w:val="24"/>
        </w:rPr>
        <w:fldChar w:fldCharType="begin"/>
      </w:r>
      <w:r>
        <w:rPr>
          <w:rFonts w:hint="eastAsia" w:ascii="宋体" w:hAnsi="宋体" w:eastAsia="宋体" w:cs="宋体"/>
          <w:bCs w:val="0"/>
          <w:i w:val="0"/>
          <w:iCs w:val="0"/>
          <w:color w:val="auto"/>
          <w:sz w:val="24"/>
          <w:szCs w:val="24"/>
        </w:rPr>
        <w:instrText xml:space="preserve"> TOC \o "1-3" \h \z \u </w:instrText>
      </w:r>
      <w:r>
        <w:rPr>
          <w:rFonts w:hint="eastAsia" w:ascii="宋体" w:hAnsi="宋体" w:eastAsia="宋体" w:cs="宋体"/>
          <w:bCs w:val="0"/>
          <w:i w:val="0"/>
          <w:iCs w:val="0"/>
          <w:color w:val="auto"/>
          <w:sz w:val="24"/>
          <w:szCs w:val="24"/>
        </w:rPr>
        <w:fldChar w:fldCharType="separate"/>
      </w:r>
    </w:p>
    <w:sdt>
      <w:sdtPr>
        <w:rPr>
          <w:rFonts w:hint="eastAsia" w:ascii="宋体" w:hAnsi="宋体" w:eastAsia="宋体" w:cs="宋体"/>
          <w:kern w:val="2"/>
          <w:sz w:val="24"/>
          <w:szCs w:val="24"/>
          <w:lang w:val="en-US" w:eastAsia="zh-CN" w:bidi="ar-SA"/>
        </w:rPr>
        <w:id w:val="147480709"/>
        <w15:color w:val="DBDBDB"/>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14:paraId="606B9411">
          <w:pPr>
            <w:pStyle w:val="19"/>
            <w:tabs>
              <w:tab w:val="right" w:leader="dot" w:pos="8379"/>
            </w:tabs>
            <w:spacing w:line="480" w:lineRule="auto"/>
            <w:ind w:firstLine="241" w:firstLineChars="100"/>
            <w:jc w:val="center"/>
            <w:rPr>
              <w:rFonts w:hint="eastAsia" w:ascii="宋体" w:hAnsi="宋体" w:eastAsia="宋体" w:cs="宋体"/>
              <w:sz w:val="24"/>
              <w:szCs w:val="24"/>
            </w:rPr>
          </w:pPr>
          <w:r>
            <w:rPr>
              <w:rFonts w:hint="eastAsia" w:ascii="宋体" w:hAnsi="宋体" w:eastAsia="宋体" w:cs="宋体"/>
              <w:sz w:val="24"/>
              <w:szCs w:val="24"/>
            </w:rPr>
            <w:t>目录</w:t>
          </w:r>
        </w:p>
        <w:p w14:paraId="60CF7B25">
          <w:pPr>
            <w:pStyle w:val="19"/>
            <w:tabs>
              <w:tab w:val="right" w:leader="dot" w:pos="837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_Toc632 </w:instrText>
          </w:r>
          <w:r>
            <w:rPr>
              <w:rFonts w:hint="eastAsia" w:ascii="宋体" w:hAnsi="宋体" w:eastAsia="宋体" w:cs="宋体"/>
              <w:sz w:val="24"/>
              <w:szCs w:val="24"/>
            </w:rPr>
            <w:fldChar w:fldCharType="separate"/>
          </w:r>
          <w:r>
            <w:rPr>
              <w:rFonts w:hint="eastAsia" w:ascii="宋体" w:hAnsi="宋体" w:eastAsia="宋体" w:cs="宋体"/>
              <w:bCs w:val="0"/>
              <w:i w:val="0"/>
              <w:iCs/>
              <w:sz w:val="24"/>
              <w:szCs w:val="24"/>
            </w:rPr>
            <w:t>第一章招标公告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788426">
          <w:pPr>
            <w:pStyle w:val="19"/>
            <w:tabs>
              <w:tab w:val="right" w:leader="dot" w:pos="837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_Toc5052 </w:instrText>
          </w:r>
          <w:r>
            <w:rPr>
              <w:rFonts w:hint="eastAsia" w:ascii="宋体" w:hAnsi="宋体" w:eastAsia="宋体" w:cs="宋体"/>
              <w:sz w:val="24"/>
              <w:szCs w:val="24"/>
            </w:rPr>
            <w:fldChar w:fldCharType="separate"/>
          </w:r>
          <w:r>
            <w:rPr>
              <w:rFonts w:hint="eastAsia" w:ascii="宋体" w:hAnsi="宋体" w:eastAsia="宋体" w:cs="宋体"/>
              <w:i w:val="0"/>
              <w:iCs/>
              <w:sz w:val="24"/>
              <w:szCs w:val="24"/>
            </w:rPr>
            <w:t>第二章投标须知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_Toc5052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B106BF">
          <w:pPr>
            <w:pStyle w:val="19"/>
            <w:tabs>
              <w:tab w:val="right" w:leader="dot" w:pos="837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_Toc17414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highlight w:val="none"/>
            </w:rPr>
            <w:t>第三章合同格式及合同条款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_Toc17414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789039">
          <w:pPr>
            <w:pStyle w:val="19"/>
            <w:tabs>
              <w:tab w:val="right" w:leader="dot" w:pos="837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_Toc10905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第四章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_Toc10905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8787C1">
          <w:pPr>
            <w:pStyle w:val="19"/>
            <w:tabs>
              <w:tab w:val="right" w:leader="dot" w:pos="837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_Toc25982 </w:instrText>
          </w:r>
          <w:r>
            <w:rPr>
              <w:rFonts w:hint="eastAsia" w:ascii="宋体" w:hAnsi="宋体" w:eastAsia="宋体" w:cs="宋体"/>
              <w:sz w:val="24"/>
              <w:szCs w:val="24"/>
            </w:rPr>
            <w:fldChar w:fldCharType="separate"/>
          </w:r>
          <w:r>
            <w:rPr>
              <w:rFonts w:hint="eastAsia" w:ascii="宋体" w:hAnsi="宋体" w:eastAsia="宋体" w:cs="宋体"/>
              <w:i w:val="0"/>
              <w:iCs w:val="0"/>
              <w:sz w:val="24"/>
              <w:szCs w:val="24"/>
            </w:rPr>
            <w:t>第</w:t>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rPr>
            <w:t>章评标标准和方法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_Toc25982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2E7FB5">
          <w:pPr>
            <w:pStyle w:val="19"/>
            <w:tabs>
              <w:tab w:val="right" w:leader="dot" w:pos="837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_Toc10787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lang w:val="en-US" w:eastAsia="zh-CN"/>
            </w:rPr>
            <w:t>第六章</w:t>
          </w:r>
          <w:r>
            <w:rPr>
              <w:rFonts w:hint="eastAsia" w:ascii="宋体" w:hAnsi="宋体" w:eastAsia="宋体" w:cs="宋体"/>
              <w:bCs/>
              <w:i w:val="0"/>
              <w:iCs w:val="0"/>
              <w:sz w:val="24"/>
              <w:szCs w:val="24"/>
            </w:rPr>
            <w:t>投标文件及格式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_Toc10787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74F5C1">
          <w:pPr>
            <w:pStyle w:val="19"/>
            <w:tabs>
              <w:tab w:val="right" w:leader="dot" w:pos="8379"/>
            </w:tabs>
            <w:rPr>
              <w:rFonts w:hint="eastAsia" w:ascii="宋体" w:hAnsi="宋体" w:eastAsia="宋体" w:cs="宋体"/>
              <w:sz w:val="24"/>
              <w:szCs w:val="24"/>
            </w:rPr>
          </w:pPr>
        </w:p>
        <w:p w14:paraId="2B3645BF">
          <w:r>
            <w:rPr>
              <w:rFonts w:hint="eastAsia" w:ascii="宋体" w:hAnsi="宋体" w:eastAsia="宋体" w:cs="宋体"/>
              <w:sz w:val="24"/>
              <w:szCs w:val="24"/>
            </w:rPr>
            <w:fldChar w:fldCharType="end"/>
          </w:r>
        </w:p>
      </w:sdtContent>
    </w:sdt>
    <w:p w14:paraId="120E39C7"/>
    <w:p w14:paraId="1BF2E531">
      <w:pPr>
        <w:pStyle w:val="19"/>
        <w:tabs>
          <w:tab w:val="right" w:leader="dot" w:pos="8369"/>
        </w:tabs>
        <w:spacing w:line="276" w:lineRule="auto"/>
        <w:rPr>
          <w:rFonts w:hint="eastAsia" w:ascii="宋体" w:hAnsi="宋体" w:eastAsia="宋体" w:cs="宋体"/>
          <w:b w:val="0"/>
          <w:bCs w:val="0"/>
          <w:i w:val="0"/>
          <w:iCs w:val="0"/>
          <w:color w:val="auto"/>
          <w:szCs w:val="28"/>
        </w:rPr>
      </w:pPr>
      <w:r>
        <w:rPr>
          <w:rFonts w:hint="eastAsia" w:ascii="宋体" w:hAnsi="宋体" w:eastAsia="宋体" w:cs="宋体"/>
          <w:bCs w:val="0"/>
          <w:i w:val="0"/>
          <w:iCs w:val="0"/>
          <w:color w:val="auto"/>
          <w:sz w:val="24"/>
          <w:szCs w:val="24"/>
        </w:rPr>
        <w:fldChar w:fldCharType="end"/>
      </w:r>
    </w:p>
    <w:p w14:paraId="3368BE44">
      <w:pPr>
        <w:rPr>
          <w:rFonts w:hint="eastAsia" w:ascii="宋体" w:hAnsi="宋体" w:eastAsia="宋体" w:cs="宋体"/>
          <w:i w:val="0"/>
          <w:iCs w:val="0"/>
          <w:color w:val="auto"/>
        </w:rPr>
      </w:pPr>
    </w:p>
    <w:p w14:paraId="1517FB81">
      <w:pPr>
        <w:rPr>
          <w:rFonts w:hint="eastAsia" w:ascii="宋体" w:hAnsi="宋体" w:eastAsia="宋体" w:cs="宋体"/>
          <w:i w:val="0"/>
          <w:iCs w:val="0"/>
          <w:color w:val="auto"/>
        </w:rPr>
      </w:pPr>
    </w:p>
    <w:p w14:paraId="52632345">
      <w:pPr>
        <w:rPr>
          <w:rFonts w:hint="eastAsia" w:ascii="宋体" w:hAnsi="宋体" w:eastAsia="宋体" w:cs="宋体"/>
          <w:i w:val="0"/>
          <w:iCs w:val="0"/>
          <w:color w:val="auto"/>
        </w:rPr>
      </w:pPr>
    </w:p>
    <w:p w14:paraId="1975AC1A">
      <w:pPr>
        <w:jc w:val="right"/>
        <w:rPr>
          <w:rFonts w:hint="eastAsia" w:ascii="宋体" w:hAnsi="宋体" w:eastAsia="宋体" w:cs="宋体"/>
          <w:i w:val="0"/>
          <w:iCs w:val="0"/>
          <w:color w:val="auto"/>
        </w:rPr>
      </w:pPr>
    </w:p>
    <w:p w14:paraId="02273114">
      <w:pPr>
        <w:rPr>
          <w:rFonts w:hint="eastAsia" w:ascii="宋体" w:hAnsi="宋体" w:eastAsia="宋体" w:cs="宋体"/>
          <w:i w:val="0"/>
          <w:iCs w:val="0"/>
          <w:color w:val="auto"/>
        </w:rPr>
      </w:pPr>
    </w:p>
    <w:p w14:paraId="1972E909">
      <w:pPr>
        <w:rPr>
          <w:rFonts w:hint="eastAsia" w:ascii="宋体" w:hAnsi="宋体" w:eastAsia="宋体" w:cs="宋体"/>
          <w:i w:val="0"/>
          <w:iCs w:val="0"/>
          <w:color w:val="auto"/>
        </w:rPr>
      </w:pPr>
    </w:p>
    <w:p w14:paraId="2BB74589">
      <w:pPr>
        <w:rPr>
          <w:rFonts w:hint="eastAsia" w:ascii="宋体" w:hAnsi="宋体" w:eastAsia="宋体" w:cs="宋体"/>
          <w:i w:val="0"/>
          <w:iCs w:val="0"/>
          <w:color w:val="auto"/>
        </w:rPr>
      </w:pPr>
    </w:p>
    <w:p w14:paraId="2F97907A">
      <w:pPr>
        <w:rPr>
          <w:rFonts w:hint="eastAsia" w:ascii="宋体" w:hAnsi="宋体" w:eastAsia="宋体" w:cs="宋体"/>
          <w:i w:val="0"/>
          <w:iCs w:val="0"/>
          <w:color w:val="auto"/>
        </w:rPr>
      </w:pPr>
    </w:p>
    <w:p w14:paraId="2CB867C4">
      <w:pPr>
        <w:rPr>
          <w:rFonts w:hint="eastAsia" w:ascii="宋体" w:hAnsi="宋体" w:eastAsia="宋体" w:cs="宋体"/>
          <w:i w:val="0"/>
          <w:iCs w:val="0"/>
          <w:color w:val="auto"/>
        </w:rPr>
      </w:pPr>
    </w:p>
    <w:p w14:paraId="6EF49DE2">
      <w:pPr>
        <w:rPr>
          <w:rFonts w:hint="eastAsia" w:ascii="宋体" w:hAnsi="宋体" w:eastAsia="宋体" w:cs="宋体"/>
          <w:i w:val="0"/>
          <w:iCs w:val="0"/>
          <w:color w:val="auto"/>
        </w:rPr>
      </w:pPr>
    </w:p>
    <w:p w14:paraId="46533F5B">
      <w:pPr>
        <w:rPr>
          <w:rFonts w:hint="eastAsia" w:ascii="宋体" w:hAnsi="宋体" w:eastAsia="宋体" w:cs="宋体"/>
          <w:i w:val="0"/>
          <w:iCs w:val="0"/>
          <w:color w:val="auto"/>
        </w:rPr>
      </w:pPr>
    </w:p>
    <w:p w14:paraId="43CF095C">
      <w:pPr>
        <w:rPr>
          <w:rFonts w:hint="eastAsia" w:ascii="宋体" w:hAnsi="宋体" w:eastAsia="宋体" w:cs="宋体"/>
          <w:i w:val="0"/>
          <w:iCs w:val="0"/>
          <w:color w:val="auto"/>
        </w:rPr>
      </w:pPr>
    </w:p>
    <w:p w14:paraId="04F30871">
      <w:pPr>
        <w:rPr>
          <w:rFonts w:hint="eastAsia" w:ascii="宋体" w:hAnsi="宋体" w:eastAsia="宋体" w:cs="宋体"/>
          <w:i w:val="0"/>
          <w:iCs w:val="0"/>
          <w:color w:val="auto"/>
        </w:rPr>
      </w:pPr>
    </w:p>
    <w:p w14:paraId="4FDE438A">
      <w:pPr>
        <w:rPr>
          <w:rFonts w:hint="eastAsia" w:ascii="宋体" w:hAnsi="宋体" w:eastAsia="宋体" w:cs="宋体"/>
          <w:i w:val="0"/>
          <w:iCs w:val="0"/>
          <w:color w:val="auto"/>
        </w:rPr>
      </w:pPr>
    </w:p>
    <w:p w14:paraId="49795C53">
      <w:pPr>
        <w:rPr>
          <w:rFonts w:hint="eastAsia" w:ascii="宋体" w:hAnsi="宋体" w:eastAsia="宋体" w:cs="宋体"/>
          <w:i w:val="0"/>
          <w:iCs w:val="0"/>
          <w:color w:val="auto"/>
        </w:rPr>
      </w:pPr>
    </w:p>
    <w:p w14:paraId="42B548DC">
      <w:pPr>
        <w:rPr>
          <w:rFonts w:hint="eastAsia" w:ascii="宋体" w:hAnsi="宋体" w:eastAsia="宋体" w:cs="宋体"/>
          <w:i w:val="0"/>
          <w:iCs w:val="0"/>
          <w:color w:val="auto"/>
        </w:rPr>
      </w:pPr>
    </w:p>
    <w:p w14:paraId="774B4DE0">
      <w:pPr>
        <w:rPr>
          <w:rFonts w:hint="eastAsia" w:ascii="宋体" w:hAnsi="宋体" w:eastAsia="宋体" w:cs="宋体"/>
          <w:i w:val="0"/>
          <w:iCs w:val="0"/>
          <w:color w:val="auto"/>
        </w:rPr>
      </w:pPr>
    </w:p>
    <w:p w14:paraId="003B04FA">
      <w:pPr>
        <w:rPr>
          <w:rFonts w:hint="eastAsia" w:ascii="宋体" w:hAnsi="宋体" w:eastAsia="宋体" w:cs="宋体"/>
          <w:i w:val="0"/>
          <w:iCs w:val="0"/>
          <w:color w:val="auto"/>
        </w:rPr>
      </w:pPr>
    </w:p>
    <w:p w14:paraId="7E612F38">
      <w:pPr>
        <w:rPr>
          <w:rFonts w:hint="eastAsia" w:ascii="宋体" w:hAnsi="宋体" w:eastAsia="宋体" w:cs="宋体"/>
          <w:i w:val="0"/>
          <w:iCs w:val="0"/>
          <w:color w:val="auto"/>
        </w:rPr>
      </w:pPr>
    </w:p>
    <w:p w14:paraId="1873A4D9">
      <w:pPr>
        <w:rPr>
          <w:rFonts w:hint="eastAsia" w:ascii="宋体" w:hAnsi="宋体" w:eastAsia="宋体" w:cs="宋体"/>
          <w:i w:val="0"/>
          <w:iCs w:val="0"/>
          <w:color w:val="auto"/>
        </w:rPr>
      </w:pPr>
    </w:p>
    <w:p w14:paraId="2FF80379">
      <w:pPr>
        <w:rPr>
          <w:rFonts w:hint="eastAsia" w:ascii="宋体" w:hAnsi="宋体" w:eastAsia="宋体" w:cs="宋体"/>
          <w:i w:val="0"/>
          <w:iCs w:val="0"/>
          <w:color w:val="auto"/>
        </w:rPr>
      </w:pPr>
    </w:p>
    <w:p w14:paraId="29241B05">
      <w:pPr>
        <w:rPr>
          <w:rFonts w:hint="eastAsia" w:ascii="宋体" w:hAnsi="宋体" w:eastAsia="宋体" w:cs="宋体"/>
          <w:i w:val="0"/>
          <w:iCs w:val="0"/>
          <w:color w:val="auto"/>
        </w:rPr>
      </w:pPr>
    </w:p>
    <w:p w14:paraId="3732A71D">
      <w:pPr>
        <w:rPr>
          <w:rFonts w:hint="eastAsia" w:ascii="宋体" w:hAnsi="宋体" w:eastAsia="宋体" w:cs="宋体"/>
          <w:i w:val="0"/>
          <w:iCs w:val="0"/>
          <w:color w:val="auto"/>
        </w:rPr>
      </w:pPr>
    </w:p>
    <w:p w14:paraId="29F242DC">
      <w:pPr>
        <w:rPr>
          <w:rFonts w:hint="eastAsia" w:ascii="宋体" w:hAnsi="宋体" w:eastAsia="宋体" w:cs="宋体"/>
          <w:i w:val="0"/>
          <w:iCs w:val="0"/>
          <w:color w:val="auto"/>
        </w:rPr>
      </w:pPr>
    </w:p>
    <w:p w14:paraId="2DB5697F">
      <w:pPr>
        <w:rPr>
          <w:rFonts w:hint="eastAsia" w:ascii="宋体" w:hAnsi="宋体" w:eastAsia="宋体" w:cs="宋体"/>
          <w:i w:val="0"/>
          <w:iCs w:val="0"/>
          <w:color w:val="auto"/>
        </w:rPr>
      </w:pPr>
    </w:p>
    <w:p w14:paraId="09AC98EF">
      <w:pPr>
        <w:rPr>
          <w:rFonts w:hint="eastAsia" w:ascii="宋体" w:hAnsi="宋体" w:eastAsia="宋体" w:cs="宋体"/>
          <w:i w:val="0"/>
          <w:iCs w:val="0"/>
          <w:color w:val="auto"/>
        </w:rPr>
      </w:pPr>
    </w:p>
    <w:p w14:paraId="40A091C3">
      <w:pPr>
        <w:rPr>
          <w:rFonts w:hint="eastAsia" w:ascii="宋体" w:hAnsi="宋体" w:eastAsia="宋体" w:cs="宋体"/>
          <w:i w:val="0"/>
          <w:iCs w:val="0"/>
          <w:color w:val="auto"/>
        </w:rPr>
      </w:pPr>
    </w:p>
    <w:p w14:paraId="4F4C653C">
      <w:pPr>
        <w:rPr>
          <w:rFonts w:hint="eastAsia" w:ascii="宋体" w:hAnsi="宋体" w:eastAsia="宋体" w:cs="宋体"/>
          <w:i w:val="0"/>
          <w:iCs w:val="0"/>
          <w:color w:val="auto"/>
        </w:rPr>
      </w:pPr>
    </w:p>
    <w:p w14:paraId="663638EF">
      <w:pPr>
        <w:rPr>
          <w:rFonts w:hint="eastAsia" w:ascii="宋体" w:hAnsi="宋体" w:eastAsia="宋体" w:cs="宋体"/>
          <w:i w:val="0"/>
          <w:iCs w:val="0"/>
          <w:color w:val="auto"/>
        </w:rPr>
      </w:pPr>
    </w:p>
    <w:p w14:paraId="375CE057">
      <w:pPr>
        <w:pStyle w:val="2"/>
        <w:spacing w:before="240" w:beforeLines="100" w:line="360" w:lineRule="auto"/>
        <w:jc w:val="center"/>
        <w:rPr>
          <w:rFonts w:hint="eastAsia" w:ascii="宋体" w:hAnsi="宋体" w:eastAsia="宋体" w:cs="宋体"/>
          <w:bCs/>
          <w:i w:val="0"/>
          <w:iCs w:val="0"/>
          <w:color w:val="auto"/>
          <w:sz w:val="36"/>
          <w:szCs w:val="36"/>
        </w:rPr>
        <w:sectPr>
          <w:headerReference r:id="rId6" w:type="first"/>
          <w:footerReference r:id="rId8" w:type="first"/>
          <w:footerReference r:id="rId7" w:type="default"/>
          <w:pgSz w:w="11906" w:h="16838"/>
          <w:pgMar w:top="1440" w:right="1826" w:bottom="1440" w:left="1701" w:header="851" w:footer="992" w:gutter="0"/>
          <w:pgNumType w:fmt="decimal" w:start="1"/>
          <w:cols w:space="720" w:num="1"/>
          <w:titlePg/>
          <w:docGrid w:linePitch="312" w:charSpace="0"/>
        </w:sectPr>
      </w:pPr>
      <w:bookmarkStart w:id="0" w:name="_Toc20652"/>
      <w:bookmarkStart w:id="1" w:name="_Toc20858"/>
      <w:bookmarkStart w:id="2" w:name="_Toc5293"/>
      <w:bookmarkStart w:id="3" w:name="_Toc492048526"/>
      <w:bookmarkStart w:id="4" w:name="_Toc389582033"/>
      <w:bookmarkStart w:id="5" w:name="_Toc19886"/>
      <w:bookmarkStart w:id="6" w:name="_Toc21518"/>
      <w:bookmarkStart w:id="7" w:name="_Toc16218"/>
      <w:bookmarkStart w:id="8" w:name="_Toc1009"/>
    </w:p>
    <w:bookmarkEnd w:id="0"/>
    <w:bookmarkEnd w:id="1"/>
    <w:bookmarkEnd w:id="2"/>
    <w:bookmarkEnd w:id="3"/>
    <w:bookmarkEnd w:id="4"/>
    <w:bookmarkEnd w:id="5"/>
    <w:bookmarkEnd w:id="6"/>
    <w:bookmarkEnd w:id="7"/>
    <w:bookmarkEnd w:id="8"/>
    <w:p w14:paraId="6D929C6D">
      <w:pPr>
        <w:pStyle w:val="2"/>
        <w:keepNext/>
        <w:keepLines/>
        <w:pageBreakBefore w:val="0"/>
        <w:widowControl/>
        <w:kinsoku/>
        <w:wordWrap/>
        <w:overflowPunct/>
        <w:topLinePunct w:val="0"/>
        <w:autoSpaceDE/>
        <w:autoSpaceDN/>
        <w:bidi w:val="0"/>
        <w:adjustRightInd/>
        <w:snapToGrid/>
        <w:spacing w:before="0" w:after="0" w:line="360" w:lineRule="auto"/>
        <w:ind w:left="431" w:hanging="431"/>
        <w:jc w:val="center"/>
        <w:textAlignment w:val="auto"/>
        <w:rPr>
          <w:rFonts w:hint="eastAsia" w:ascii="宋体" w:hAnsi="宋体" w:eastAsia="宋体" w:cs="宋体"/>
          <w:b/>
          <w:bCs/>
          <w:i w:val="0"/>
          <w:iCs w:val="0"/>
          <w:color w:val="auto"/>
          <w:kern w:val="44"/>
          <w:szCs w:val="36"/>
        </w:rPr>
      </w:pPr>
      <w:bookmarkStart w:id="9" w:name="_Toc632"/>
      <w:bookmarkStart w:id="10" w:name="_Toc274911092"/>
      <w:bookmarkStart w:id="11" w:name="_Toc3016"/>
      <w:bookmarkStart w:id="12" w:name="_Toc350345664"/>
      <w:bookmarkStart w:id="13" w:name="_Toc496191660"/>
      <w:bookmarkStart w:id="14" w:name="_Toc496191617"/>
      <w:bookmarkStart w:id="15" w:name="_Toc358557636"/>
      <w:r>
        <w:rPr>
          <w:rFonts w:hint="eastAsia"/>
          <w:b/>
          <w:bCs w:val="0"/>
          <w:i w:val="0"/>
          <w:iCs/>
          <w:sz w:val="44"/>
          <w:szCs w:val="16"/>
        </w:rPr>
        <w:t>第一章招标公告</w:t>
      </w:r>
      <w:bookmarkEnd w:id="9"/>
    </w:p>
    <w:p w14:paraId="4591BA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20" w:lineRule="exact"/>
        <w:ind w:left="0"/>
        <w:jc w:val="center"/>
        <w:textAlignment w:val="auto"/>
        <w:rPr>
          <w:rFonts w:hint="eastAsia" w:asciiTheme="minorEastAsia" w:hAnsiTheme="minorEastAsia" w:eastAsiaTheme="minorEastAsia" w:cstheme="minorEastAsia"/>
          <w:b/>
          <w:bCs/>
          <w:kern w:val="0"/>
          <w:sz w:val="32"/>
          <w:szCs w:val="32"/>
          <w:lang w:val="en-US" w:eastAsia="zh-CN" w:bidi="ar"/>
        </w:rPr>
      </w:pPr>
      <w:bookmarkStart w:id="16" w:name="_Toc5052"/>
      <w:r>
        <w:rPr>
          <w:rFonts w:hint="eastAsia" w:asciiTheme="minorEastAsia" w:hAnsiTheme="minorEastAsia" w:eastAsiaTheme="minorEastAsia" w:cstheme="minorEastAsia"/>
          <w:b/>
          <w:bCs/>
          <w:kern w:val="0"/>
          <w:sz w:val="32"/>
          <w:szCs w:val="32"/>
          <w:lang w:val="en-US" w:eastAsia="zh-CN" w:bidi="ar"/>
        </w:rPr>
        <w:t>延安市机关事务服务中心机关食堂托管企业采购项目</w:t>
      </w:r>
    </w:p>
    <w:p w14:paraId="30714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20" w:lineRule="exact"/>
        <w:ind w:left="0"/>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kern w:val="0"/>
          <w:sz w:val="32"/>
          <w:szCs w:val="32"/>
          <w:lang w:val="en-US" w:eastAsia="zh-CN" w:bidi="ar"/>
        </w:rPr>
        <w:t>招标公告</w:t>
      </w:r>
    </w:p>
    <w:p w14:paraId="37BB53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jc w:val="left"/>
        <w:textAlignment w:val="auto"/>
        <w:rPr>
          <w:rFonts w:hint="eastAsia" w:asciiTheme="minorEastAsia" w:hAnsiTheme="minorEastAsia" w:eastAsiaTheme="minorEastAsia" w:cstheme="minorEastAsia"/>
          <w:b w:val="0"/>
          <w:bCs w:val="0"/>
          <w:sz w:val="21"/>
          <w:szCs w:val="21"/>
        </w:rPr>
      </w:pPr>
      <w:r>
        <w:rPr>
          <w:rStyle w:val="25"/>
          <w:rFonts w:hint="eastAsia" w:asciiTheme="minorEastAsia" w:hAnsiTheme="minorEastAsia" w:eastAsiaTheme="minorEastAsia" w:cstheme="minorEastAsia"/>
          <w:b/>
          <w:bCs/>
          <w:i w:val="0"/>
          <w:iCs w:val="0"/>
          <w:caps w:val="0"/>
          <w:color w:val="333333"/>
          <w:spacing w:val="0"/>
          <w:sz w:val="21"/>
          <w:szCs w:val="21"/>
          <w:shd w:val="clear" w:fill="FFFFFF"/>
        </w:rPr>
        <w:t>项目概况</w:t>
      </w:r>
    </w:p>
    <w:p w14:paraId="3DCAA16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机关食堂托管企业采购项目招标项目的潜在投标人应在全国公共资源交易平台（陕西省·延安市）获取招标文件，并于2026年05月14日 09时00分（北京时间）前递交投标文件。</w:t>
      </w:r>
    </w:p>
    <w:p w14:paraId="77BC60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25"/>
          <w:rFonts w:hint="eastAsia" w:asciiTheme="minorEastAsia" w:hAnsiTheme="minorEastAsia" w:eastAsiaTheme="minorEastAsia" w:cstheme="minorEastAsia"/>
          <w:b/>
          <w:bCs/>
          <w:i w:val="0"/>
          <w:iCs w:val="0"/>
          <w:caps w:val="0"/>
          <w:color w:val="333333"/>
          <w:spacing w:val="0"/>
          <w:sz w:val="21"/>
          <w:szCs w:val="21"/>
          <w:shd w:val="clear" w:fill="FFFFFF"/>
        </w:rPr>
        <w:t>一、项目基本情况</w:t>
      </w:r>
    </w:p>
    <w:p w14:paraId="20DA7BD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项目编号：HDCGDL-ZC2026-045</w:t>
      </w:r>
    </w:p>
    <w:p w14:paraId="7C18676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项目名称：机关食堂托管企业采购项目</w:t>
      </w:r>
    </w:p>
    <w:p w14:paraId="0A29BD4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采购方式：公开招标</w:t>
      </w:r>
    </w:p>
    <w:p w14:paraId="14B7878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预算金额：7,000,000.00元</w:t>
      </w:r>
    </w:p>
    <w:p w14:paraId="3DEC391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采购需求：</w:t>
      </w:r>
    </w:p>
    <w:p w14:paraId="4D1773F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合同包1(机关食堂托管企业采购项目):</w:t>
      </w:r>
    </w:p>
    <w:p w14:paraId="11B569D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合同包预算金额：7,000,000.00元</w:t>
      </w:r>
    </w:p>
    <w:p w14:paraId="558CA5A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合同包最高限价：7,000,000.00元</w:t>
      </w:r>
    </w:p>
    <w:tbl>
      <w:tblPr>
        <w:tblStyle w:val="22"/>
        <w:tblW w:w="88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9"/>
        <w:gridCol w:w="1116"/>
        <w:gridCol w:w="2976"/>
        <w:gridCol w:w="804"/>
        <w:gridCol w:w="1492"/>
        <w:gridCol w:w="1631"/>
      </w:tblGrid>
      <w:tr w14:paraId="789C1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0" w:hRule="atLeast"/>
          <w:tblHeader/>
        </w:trPr>
        <w:tc>
          <w:tcPr>
            <w:tcW w:w="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4DBF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品目号</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CCC1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品目名称</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EEC36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采购标的</w:t>
            </w:r>
          </w:p>
        </w:tc>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D605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数量（单位）</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B093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技术规格、参数及要求</w:t>
            </w:r>
          </w:p>
        </w:tc>
        <w:tc>
          <w:tcPr>
            <w:tcW w:w="16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06C0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品目预算(元)</w:t>
            </w:r>
          </w:p>
        </w:tc>
      </w:tr>
      <w:tr w14:paraId="7BA0C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76" w:hRule="atLeast"/>
        </w:trPr>
        <w:tc>
          <w:tcPr>
            <w:tcW w:w="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79F0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1-1</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0219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餐饮服务</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F6B1D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延安市机关事务服务中心机关食堂托管企业采购项目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A542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F2568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45D06">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right="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7,000,000.00</w:t>
            </w:r>
          </w:p>
        </w:tc>
      </w:tr>
    </w:tbl>
    <w:p w14:paraId="376E176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本合同包不接受联合体投标</w:t>
      </w:r>
    </w:p>
    <w:p w14:paraId="0B9C547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合同履行期限：两年，合同一年一签</w:t>
      </w:r>
    </w:p>
    <w:p w14:paraId="09F8B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25"/>
          <w:rFonts w:hint="eastAsia" w:asciiTheme="minorEastAsia" w:hAnsiTheme="minorEastAsia" w:eastAsiaTheme="minorEastAsia" w:cstheme="minorEastAsia"/>
          <w:b/>
          <w:bCs/>
          <w:i w:val="0"/>
          <w:iCs w:val="0"/>
          <w:caps w:val="0"/>
          <w:color w:val="333333"/>
          <w:spacing w:val="0"/>
          <w:sz w:val="21"/>
          <w:szCs w:val="21"/>
          <w:shd w:val="clear" w:fill="FFFFFF"/>
        </w:rPr>
        <w:t>二、申请人的资格要求：</w:t>
      </w:r>
    </w:p>
    <w:p w14:paraId="0100F57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1.满足《中华人民共和国政府采购法》第二十二条规定;</w:t>
      </w:r>
    </w:p>
    <w:p w14:paraId="211E169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2.落实政府采购政策需满足的资格要求：</w:t>
      </w:r>
    </w:p>
    <w:p w14:paraId="19F0748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合同包1(机关食堂托管企业采购项目)落实政府采购政策需满足的资格要求如下:</w:t>
      </w:r>
    </w:p>
    <w:p w14:paraId="649C5FF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630" w:firstLineChars="3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①《财政部工业和信息化部关于印发〈政府采购促进中小企业发展管理办法〉的通知》（财库〔2020〕46号）；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1"/>
          <w:szCs w:val="21"/>
          <w:shd w:val="clear" w:fill="FFFFFF"/>
        </w:rPr>
        <w:t>②《财政部司法部关于政府采购支持监狱企业发展有关问题的通知》（财库〔2014〕68号）；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1"/>
          <w:szCs w:val="21"/>
          <w:shd w:val="clear" w:fill="FFFFFF"/>
        </w:rPr>
        <w:t>③《三部门联合发布关于促进残疾人就业政府采购政策的通知》（财库〔2017〕141号）；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1"/>
          <w:szCs w:val="21"/>
          <w:shd w:val="clear" w:fill="FFFFFF"/>
        </w:rPr>
        <w:t>④陕西省财政厅关于印发《陕西省中小企业政府采购信用融资办法》（陕财办采〔2018〕23号）；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1"/>
          <w:szCs w:val="21"/>
          <w:shd w:val="clear" w:fill="FFFFFF"/>
        </w:rPr>
        <w:t>⑤本项目不专门面向中小企业采购。</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1"/>
          <w:szCs w:val="21"/>
          <w:shd w:val="clear" w:fill="FFFFFF"/>
        </w:rPr>
        <w:t>⑥其他需要落实的政府采购政策。</w:t>
      </w:r>
    </w:p>
    <w:p w14:paraId="5B6D3AD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3.本项目的特定资格要求：</w:t>
      </w:r>
    </w:p>
    <w:p w14:paraId="0FFDB8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合同包1(机关食堂托管企业采购项目)特定资格要求如下:</w:t>
      </w:r>
    </w:p>
    <w:p w14:paraId="2F3E7F5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   ①投标人须具有独立承担民事责任能力的法人或其他组织，具有合法有效的营业执照、组织机构代码证、税务登记证（或统一社会信用代码的营业执照）、开户许可证（或基本账户信息证明）；</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②法定代表人授权书（附法定代表人身份证复印件）及被授权人身份证；（法定代表人直接参加只须提供法定代表人身份证）；</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③投标人须提供经会计事务所或具有财务审计资质的单位出具的2024年度财务审计报告或其开标前三个月内银行出具的资信证明；</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④投标人须提供2025年10月至今已缴纳的至少一个月的纳税证明或完税证明，依法免税的单位应提供相关证明材料；</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⑤投标人须提供2025年10月至今已缴存的至少一个月的社会保障资金缴存单据或社保机构开具的社会保险参保缴费情况证明，依法不需要缴纳社会保障资金的单位应提供相关证明材料；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⑥投标人未被列入“信用中国”重大税收违法失信主体名单，“中国执行信息公开网”网站未被列为失信被执行人，不得为中国政府采购网政府采购严重违法失信行为记录名单中被财政部门禁止参加政府采购活动的投标人(资格审查时现场核查)；</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⑦投标人应出具参加政府采购活动前3年内在经营活动中没有重大违法记录的书面声明；</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⑧单位负责人为同一人或者存在直接控股、管理关系的不同投标人，不得参加同一项目的采购活动；</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   ⑨本项目不接受联合体参与投标。</w:t>
      </w:r>
    </w:p>
    <w:p w14:paraId="38ADFA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25"/>
          <w:rFonts w:hint="eastAsia" w:asciiTheme="minorEastAsia" w:hAnsiTheme="minorEastAsia" w:eastAsiaTheme="minorEastAsia" w:cstheme="minorEastAsia"/>
          <w:b/>
          <w:bCs/>
          <w:i w:val="0"/>
          <w:iCs w:val="0"/>
          <w:caps w:val="0"/>
          <w:color w:val="333333"/>
          <w:spacing w:val="0"/>
          <w:sz w:val="21"/>
          <w:szCs w:val="21"/>
          <w:shd w:val="clear" w:fill="FFFFFF"/>
        </w:rPr>
        <w:t>三、获取招标文件</w:t>
      </w:r>
    </w:p>
    <w:p w14:paraId="29B74FC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 2026年04月23日 至 2026年04月29日 ，每天上午 08:30:00 至 12:00:00 ，下午 12:00:00 至 18:00:00 （北京时间）</w:t>
      </w:r>
    </w:p>
    <w:p w14:paraId="75C102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途径：全国公共资源交易平台（陕西省·延安市）</w:t>
      </w:r>
    </w:p>
    <w:p w14:paraId="77DF45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方式：在线获取</w:t>
      </w:r>
    </w:p>
    <w:p w14:paraId="188CF9F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售价： 0元</w:t>
      </w:r>
    </w:p>
    <w:p w14:paraId="12794B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25"/>
          <w:rFonts w:hint="eastAsia" w:asciiTheme="minorEastAsia" w:hAnsiTheme="minorEastAsia" w:eastAsiaTheme="minorEastAsia" w:cstheme="minorEastAsia"/>
          <w:b/>
          <w:bCs/>
          <w:i w:val="0"/>
          <w:iCs w:val="0"/>
          <w:caps w:val="0"/>
          <w:color w:val="333333"/>
          <w:spacing w:val="0"/>
          <w:sz w:val="21"/>
          <w:szCs w:val="21"/>
          <w:shd w:val="clear" w:fill="FFFFFF"/>
        </w:rPr>
        <w:t>四、提交投标文件截止时间、开标时间和地点</w:t>
      </w:r>
    </w:p>
    <w:p w14:paraId="35176D4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 2026年05月14日 09时00分00秒 （北京时间）</w:t>
      </w:r>
    </w:p>
    <w:p w14:paraId="2D57DD3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提交投标文件地点：延安市公共资源交易中心一厅</w:t>
      </w:r>
    </w:p>
    <w:p w14:paraId="787974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开标地点：延安市公共资源交易中心一厅</w:t>
      </w:r>
    </w:p>
    <w:p w14:paraId="3C6548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25"/>
          <w:rFonts w:hint="eastAsia" w:asciiTheme="minorEastAsia" w:hAnsiTheme="minorEastAsia" w:eastAsiaTheme="minorEastAsia" w:cstheme="minorEastAsia"/>
          <w:b/>
          <w:bCs/>
          <w:i w:val="0"/>
          <w:iCs w:val="0"/>
          <w:caps w:val="0"/>
          <w:color w:val="333333"/>
          <w:spacing w:val="0"/>
          <w:sz w:val="21"/>
          <w:szCs w:val="21"/>
          <w:shd w:val="clear" w:fill="FFFFFF"/>
        </w:rPr>
        <w:t>五、公告期限</w:t>
      </w:r>
    </w:p>
    <w:p w14:paraId="4ED1745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自本公告发布之日起5个工作日。</w:t>
      </w:r>
    </w:p>
    <w:p w14:paraId="09D6CB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25"/>
          <w:rFonts w:hint="eastAsia" w:asciiTheme="minorEastAsia" w:hAnsiTheme="minorEastAsia" w:eastAsiaTheme="minorEastAsia" w:cstheme="minorEastAsia"/>
          <w:b/>
          <w:bCs/>
          <w:i w:val="0"/>
          <w:iCs w:val="0"/>
          <w:caps w:val="0"/>
          <w:color w:val="333333"/>
          <w:spacing w:val="0"/>
          <w:sz w:val="21"/>
          <w:szCs w:val="21"/>
          <w:shd w:val="clear" w:fill="FFFFFF"/>
        </w:rPr>
        <w:t>六、其他补充事宜</w:t>
      </w:r>
    </w:p>
    <w:p w14:paraId="4ED8958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本项目开标地点：延安市公共资源交易中心</w:t>
      </w:r>
    </w:p>
    <w:p w14:paraId="310D0D3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1.报名登记：投标人使用捆绑CA证书登录全国公共资源交易平台（陕西省·延安市）延安市公共资源交易中心，选择电子交易平台中的陕西政府采购交易系统进行登录，登录后选择“交易乙方”身份进入供应商界面进行报名。</w:t>
      </w:r>
    </w:p>
    <w:p w14:paraId="4D80463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2.下载文件：投标人登录延安市公共资源交易中心，选择“交易乙方”身份进入供应商界面下载招标文件。</w:t>
      </w:r>
    </w:p>
    <w:p w14:paraId="66CE92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3.请投标人按照陕西省财政厅关于政府采购供应商注册登记有关事项的通知中的要求，通过陕西省政府采购网注册登记加入陕西省政府采购供应商库。</w:t>
      </w:r>
    </w:p>
    <w:p w14:paraId="24D4133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4.每年预算700万元，两年1400万元。</w:t>
      </w:r>
    </w:p>
    <w:p w14:paraId="0DFC63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25"/>
          <w:rFonts w:hint="eastAsia" w:asciiTheme="minorEastAsia" w:hAnsiTheme="minorEastAsia" w:eastAsiaTheme="minorEastAsia" w:cstheme="minorEastAsia"/>
          <w:b/>
          <w:bCs/>
          <w:i w:val="0"/>
          <w:iCs w:val="0"/>
          <w:caps w:val="0"/>
          <w:color w:val="333333"/>
          <w:spacing w:val="0"/>
          <w:sz w:val="21"/>
          <w:szCs w:val="21"/>
          <w:shd w:val="clear" w:fill="FFFFFF"/>
        </w:rPr>
        <w:t>七、对本次招标提出询问，请按以下方式联系。</w:t>
      </w:r>
    </w:p>
    <w:p w14:paraId="15628B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1150" w:leftChars="100" w:right="0" w:hanging="940" w:hangingChars="448"/>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1.采购人信息</w:t>
      </w:r>
    </w:p>
    <w:p w14:paraId="02F621B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名称：延安市机关事务服务中心</w:t>
      </w:r>
    </w:p>
    <w:p w14:paraId="7E6DB88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地址：陕西省延安市新区为民服务中心7号楼A座</w:t>
      </w:r>
    </w:p>
    <w:p w14:paraId="4D67F0B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联系方式：候延斌 0911-7090117</w:t>
      </w:r>
    </w:p>
    <w:p w14:paraId="1169C6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1150" w:leftChars="100" w:right="0" w:hanging="940" w:hangingChars="448"/>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2.采购代理机构信息</w:t>
      </w:r>
    </w:p>
    <w:p w14:paraId="5341019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名称：华鼎工程咨询集团有限公司</w:t>
      </w:r>
    </w:p>
    <w:p w14:paraId="4D8D2E0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地址：延安市枣园路圣都花园10楼</w:t>
      </w:r>
    </w:p>
    <w:p w14:paraId="79F4F9B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联系方式：18109118505</w:t>
      </w:r>
    </w:p>
    <w:p w14:paraId="306182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1150" w:leftChars="100" w:right="0" w:hanging="940" w:hangingChars="448"/>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3.项目联系方式</w:t>
      </w:r>
    </w:p>
    <w:p w14:paraId="343326D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项目联系人：罗瑞梅</w:t>
      </w:r>
    </w:p>
    <w:p w14:paraId="483DF31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电话：18109118505</w:t>
      </w:r>
    </w:p>
    <w:p w14:paraId="0BB41426">
      <w:pPr>
        <w:keepNext w:val="0"/>
        <w:keepLines w:val="0"/>
        <w:pageBreakBefore w:val="0"/>
        <w:widowControl/>
        <w:suppressLineNumbers w:val="0"/>
        <w:kinsoku/>
        <w:wordWrap w:val="0"/>
        <w:overflowPunct/>
        <w:topLinePunct w:val="0"/>
        <w:autoSpaceDE/>
        <w:autoSpaceDN/>
        <w:bidi w:val="0"/>
        <w:adjustRightInd/>
        <w:snapToGrid/>
        <w:spacing w:line="420" w:lineRule="exact"/>
        <w:ind w:left="0"/>
        <w:jc w:val="both"/>
        <w:textAlignment w:val="auto"/>
        <w:rPr>
          <w:rFonts w:hint="eastAsia" w:asciiTheme="minorEastAsia" w:hAnsiTheme="minorEastAsia" w:eastAsiaTheme="minorEastAsia" w:cstheme="minorEastAsia"/>
          <w:sz w:val="21"/>
          <w:szCs w:val="21"/>
        </w:rPr>
      </w:pPr>
    </w:p>
    <w:p w14:paraId="16180662">
      <w:pPr>
        <w:keepNext w:val="0"/>
        <w:keepLines w:val="0"/>
        <w:pageBreakBefore w:val="0"/>
        <w:kinsoku/>
        <w:overflowPunct/>
        <w:topLinePunct w:val="0"/>
        <w:autoSpaceDE/>
        <w:autoSpaceDN/>
        <w:bidi w:val="0"/>
        <w:adjustRightInd/>
        <w:snapToGrid/>
        <w:spacing w:line="420" w:lineRule="exact"/>
        <w:ind w:left="0"/>
        <w:textAlignment w:val="auto"/>
        <w:rPr>
          <w:rFonts w:hint="eastAsia" w:asciiTheme="minorEastAsia" w:hAnsiTheme="minorEastAsia" w:eastAsiaTheme="minorEastAsia" w:cstheme="minorEastAsia"/>
        </w:rPr>
      </w:pPr>
    </w:p>
    <w:p w14:paraId="2333B8D9">
      <w:pPr>
        <w:pStyle w:val="2"/>
        <w:keepNext/>
        <w:keepLines/>
        <w:pageBreakBefore w:val="0"/>
        <w:widowControl/>
        <w:kinsoku/>
        <w:wordWrap/>
        <w:overflowPunct/>
        <w:topLinePunct w:val="0"/>
        <w:autoSpaceDE/>
        <w:autoSpaceDN/>
        <w:bidi w:val="0"/>
        <w:adjustRightInd/>
        <w:snapToGrid/>
        <w:spacing w:before="0" w:after="0" w:line="360" w:lineRule="auto"/>
        <w:ind w:left="0" w:hanging="431"/>
        <w:jc w:val="center"/>
        <w:textAlignment w:val="auto"/>
        <w:rPr>
          <w:rFonts w:hint="eastAsia" w:ascii="宋体" w:hAnsi="宋体" w:eastAsia="宋体" w:cs="宋体"/>
          <w:b/>
          <w:bCs/>
          <w:i w:val="0"/>
          <w:iCs w:val="0"/>
          <w:color w:val="auto"/>
          <w:kern w:val="44"/>
          <w:szCs w:val="36"/>
        </w:rPr>
      </w:pPr>
      <w:r>
        <w:rPr>
          <w:rFonts w:hint="eastAsia" w:ascii="宋体" w:hAnsi="宋体" w:eastAsia="宋体" w:cs="宋体"/>
          <w:b/>
          <w:bCs/>
          <w:i w:val="0"/>
          <w:iCs w:val="0"/>
          <w:color w:val="auto"/>
          <w:kern w:val="44"/>
          <w:szCs w:val="36"/>
        </w:rPr>
        <w:br w:type="column"/>
      </w:r>
      <w:r>
        <w:rPr>
          <w:rFonts w:hint="eastAsia"/>
          <w:i w:val="0"/>
          <w:iCs/>
          <w:sz w:val="44"/>
          <w:szCs w:val="16"/>
        </w:rPr>
        <w:t>第二章投标须知</w:t>
      </w:r>
      <w:bookmarkEnd w:id="10"/>
      <w:bookmarkEnd w:id="11"/>
      <w:bookmarkEnd w:id="12"/>
      <w:bookmarkEnd w:id="13"/>
      <w:bookmarkEnd w:id="14"/>
      <w:bookmarkEnd w:id="15"/>
      <w:bookmarkEnd w:id="16"/>
    </w:p>
    <w:p w14:paraId="0EE1B20A">
      <w:pPr>
        <w:pStyle w:val="3"/>
        <w:keepNext/>
        <w:pageBreakBefore w:val="0"/>
        <w:widowControl/>
        <w:numPr>
          <w:ilvl w:val="1"/>
          <w:numId w:val="0"/>
        </w:numP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i w:val="0"/>
          <w:iCs w:val="0"/>
          <w:color w:val="auto"/>
          <w:sz w:val="32"/>
        </w:rPr>
      </w:pPr>
      <w:bookmarkStart w:id="17" w:name="_Toc496617061"/>
      <w:bookmarkStart w:id="18" w:name="_Toc274911093"/>
      <w:bookmarkStart w:id="19" w:name="_Toc17216785"/>
      <w:bookmarkStart w:id="20" w:name="_Toc350345665"/>
      <w:bookmarkStart w:id="21" w:name="_Toc358557637"/>
      <w:bookmarkStart w:id="22" w:name="_Toc520985197"/>
      <w:bookmarkStart w:id="23" w:name="_Toc24045"/>
      <w:bookmarkStart w:id="24" w:name="_Toc29392"/>
      <w:bookmarkStart w:id="25" w:name="_Toc26537"/>
      <w:r>
        <w:rPr>
          <w:rFonts w:hint="eastAsia" w:ascii="宋体" w:hAnsi="宋体" w:eastAsia="宋体" w:cs="宋体"/>
          <w:bCs/>
          <w:i w:val="0"/>
          <w:iCs w:val="0"/>
          <w:color w:val="auto"/>
          <w:sz w:val="32"/>
        </w:rPr>
        <w:t>投标须知前附表</w:t>
      </w:r>
      <w:bookmarkEnd w:id="17"/>
      <w:bookmarkEnd w:id="18"/>
      <w:bookmarkEnd w:id="19"/>
      <w:bookmarkEnd w:id="20"/>
      <w:bookmarkEnd w:id="21"/>
      <w:bookmarkEnd w:id="22"/>
      <w:bookmarkEnd w:id="23"/>
      <w:bookmarkEnd w:id="24"/>
      <w:bookmarkEnd w:id="25"/>
    </w:p>
    <w:tbl>
      <w:tblPr>
        <w:tblStyle w:val="22"/>
        <w:tblW w:w="9429"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575"/>
        <w:gridCol w:w="6898"/>
        <w:gridCol w:w="236"/>
      </w:tblGrid>
      <w:tr w14:paraId="399FC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8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FA94547">
            <w:pPr>
              <w:ind w:left="-107" w:leftChars="-51" w:right="-358" w:firstLine="108" w:firstLineChars="45"/>
              <w:jc w:val="left"/>
              <w:rPr>
                <w:rFonts w:hint="eastAsia" w:ascii="宋体" w:hAnsi="宋体" w:eastAsia="宋体" w:cs="宋体"/>
                <w:b/>
                <w:i w:val="0"/>
                <w:iCs w:val="0"/>
                <w:color w:val="auto"/>
                <w:sz w:val="24"/>
              </w:rPr>
            </w:pPr>
            <w:r>
              <w:rPr>
                <w:rFonts w:hint="eastAsia" w:ascii="宋体" w:hAnsi="宋体" w:eastAsia="宋体" w:cs="宋体"/>
                <w:b/>
                <w:i w:val="0"/>
                <w:iCs w:val="0"/>
                <w:color w:val="auto"/>
                <w:sz w:val="24"/>
              </w:rPr>
              <w:t>序号</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0FCE376">
            <w:pPr>
              <w:jc w:val="center"/>
              <w:rPr>
                <w:rFonts w:hint="eastAsia" w:ascii="宋体" w:hAnsi="宋体" w:eastAsia="宋体" w:cs="宋体"/>
                <w:b/>
                <w:i w:val="0"/>
                <w:iCs w:val="0"/>
                <w:color w:val="auto"/>
                <w:sz w:val="24"/>
              </w:rPr>
            </w:pPr>
            <w:r>
              <w:rPr>
                <w:rFonts w:hint="eastAsia" w:ascii="宋体" w:hAnsi="宋体" w:eastAsia="宋体" w:cs="宋体"/>
                <w:b/>
                <w:i w:val="0"/>
                <w:iCs w:val="0"/>
                <w:color w:val="auto"/>
                <w:sz w:val="24"/>
              </w:rPr>
              <w:t>内容</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4BF4697B">
            <w:pPr>
              <w:tabs>
                <w:tab w:val="left" w:pos="1180"/>
              </w:tabs>
              <w:jc w:val="center"/>
              <w:rPr>
                <w:rFonts w:hint="eastAsia" w:ascii="宋体" w:hAnsi="宋体" w:eastAsia="宋体" w:cs="宋体"/>
                <w:b/>
                <w:i w:val="0"/>
                <w:iCs w:val="0"/>
                <w:color w:val="auto"/>
                <w:sz w:val="24"/>
              </w:rPr>
            </w:pPr>
            <w:r>
              <w:rPr>
                <w:rFonts w:hint="eastAsia" w:ascii="宋体" w:hAnsi="宋体" w:eastAsia="宋体" w:cs="宋体"/>
                <w:b/>
                <w:i w:val="0"/>
                <w:iCs w:val="0"/>
                <w:color w:val="auto"/>
                <w:sz w:val="24"/>
              </w:rPr>
              <w:t>说明与要求</w:t>
            </w:r>
          </w:p>
        </w:tc>
      </w:tr>
      <w:tr w14:paraId="30D4E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84E4BDC">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202317A">
            <w:pPr>
              <w:jc w:val="both"/>
              <w:rPr>
                <w:rFonts w:hint="eastAsia" w:ascii="宋体" w:hAnsi="宋体" w:eastAsia="宋体" w:cs="宋体"/>
                <w:i w:val="0"/>
                <w:iCs w:val="0"/>
                <w:color w:val="auto"/>
                <w:sz w:val="24"/>
              </w:rPr>
            </w:pPr>
            <w:r>
              <w:rPr>
                <w:rFonts w:hint="eastAsia" w:ascii="宋体" w:hAnsi="宋体" w:eastAsia="宋体" w:cs="宋体"/>
                <w:i w:val="0"/>
                <w:iCs w:val="0"/>
                <w:color w:val="auto"/>
                <w:sz w:val="24"/>
              </w:rPr>
              <w:t>采购项目名称</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327E866C">
            <w:pPr>
              <w:spacing w:line="360" w:lineRule="auto"/>
              <w:jc w:val="both"/>
              <w:rPr>
                <w:rFonts w:hint="eastAsia" w:ascii="宋体" w:hAnsi="宋体" w:eastAsia="宋体" w:cs="宋体"/>
                <w:i w:val="0"/>
                <w:iCs w:val="0"/>
                <w:color w:val="auto"/>
                <w:kern w:val="0"/>
                <w:sz w:val="24"/>
                <w:szCs w:val="20"/>
              </w:rPr>
            </w:pPr>
            <w:r>
              <w:rPr>
                <w:rFonts w:hint="eastAsia" w:asciiTheme="minorEastAsia" w:hAnsiTheme="minorEastAsia" w:eastAsiaTheme="minorEastAsia" w:cstheme="minorEastAsia"/>
                <w:i w:val="0"/>
                <w:iCs w:val="0"/>
                <w:caps w:val="0"/>
                <w:color w:val="000000" w:themeColor="text1"/>
                <w:spacing w:val="0"/>
                <w:sz w:val="24"/>
                <w:szCs w:val="24"/>
                <w:shd w:val="clear" w:fill="FFFFFF"/>
                <w:lang w:eastAsia="zh-CN"/>
                <w14:textFill>
                  <w14:solidFill>
                    <w14:schemeClr w14:val="tx1"/>
                  </w14:solidFill>
                </w14:textFill>
              </w:rPr>
              <w:t>延安市机关事务服务中心机关食堂托管企业采购项目</w:t>
            </w:r>
          </w:p>
        </w:tc>
      </w:tr>
      <w:tr w14:paraId="7DE62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0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6885B66">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1065AE">
            <w:pPr>
              <w:jc w:val="both"/>
              <w:rPr>
                <w:rFonts w:hint="eastAsia" w:ascii="宋体" w:hAnsi="宋体" w:eastAsia="宋体" w:cs="宋体"/>
                <w:i w:val="0"/>
                <w:iCs w:val="0"/>
                <w:color w:val="auto"/>
                <w:sz w:val="24"/>
              </w:rPr>
            </w:pPr>
            <w:r>
              <w:rPr>
                <w:rFonts w:hint="eastAsia" w:ascii="宋体" w:hAnsi="宋体" w:eastAsia="宋体" w:cs="宋体"/>
                <w:i w:val="0"/>
                <w:iCs w:val="0"/>
                <w:color w:val="auto"/>
                <w:sz w:val="24"/>
              </w:rPr>
              <w:t>项目地点</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51B46AF2">
            <w:pPr>
              <w:spacing w:line="360" w:lineRule="auto"/>
              <w:jc w:val="both"/>
              <w:rPr>
                <w:rFonts w:hint="eastAsia" w:ascii="宋体" w:hAnsi="宋体" w:eastAsia="宋体" w:cs="宋体"/>
                <w:i w:val="0"/>
                <w:iCs w:val="0"/>
                <w:color w:val="auto"/>
                <w:kern w:val="0"/>
                <w:sz w:val="24"/>
              </w:rPr>
            </w:pPr>
            <w:r>
              <w:rPr>
                <w:rFonts w:hint="eastAsia" w:ascii="宋体" w:hAnsi="宋体" w:cs="宋体"/>
                <w:i w:val="0"/>
                <w:iCs w:val="0"/>
                <w:color w:val="auto"/>
                <w:kern w:val="0"/>
                <w:sz w:val="24"/>
                <w:lang w:eastAsia="zh-CN"/>
              </w:rPr>
              <w:t>延安市机关事务服务中心</w:t>
            </w:r>
          </w:p>
        </w:tc>
      </w:tr>
      <w:tr w14:paraId="7CFC5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52402D1">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D53F142">
            <w:pPr>
              <w:jc w:val="both"/>
              <w:rPr>
                <w:rFonts w:hint="eastAsia" w:ascii="宋体" w:hAnsi="宋体" w:eastAsia="宋体" w:cs="宋体"/>
                <w:i w:val="0"/>
                <w:iCs w:val="0"/>
                <w:color w:val="auto"/>
                <w:sz w:val="24"/>
              </w:rPr>
            </w:pPr>
            <w:r>
              <w:rPr>
                <w:rFonts w:hint="eastAsia" w:ascii="宋体" w:hAnsi="宋体" w:eastAsia="宋体" w:cs="宋体"/>
                <w:i w:val="0"/>
                <w:iCs w:val="0"/>
                <w:color w:val="auto"/>
                <w:sz w:val="24"/>
              </w:rPr>
              <w:t>项目概况</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102B6A2F">
            <w:pPr>
              <w:spacing w:line="360" w:lineRule="auto"/>
              <w:jc w:val="both"/>
              <w:rPr>
                <w:rFonts w:hint="eastAsia" w:ascii="宋体" w:hAnsi="宋体" w:eastAsia="宋体" w:cs="宋体"/>
                <w:i w:val="0"/>
                <w:iCs w:val="0"/>
                <w:color w:val="auto"/>
                <w:kern w:val="0"/>
                <w:sz w:val="24"/>
              </w:rPr>
            </w:pPr>
            <w:r>
              <w:rPr>
                <w:rFonts w:hint="eastAsia" w:ascii="宋体" w:hAnsi="宋体" w:cs="宋体"/>
                <w:i w:val="0"/>
                <w:iCs w:val="0"/>
                <w:color w:val="auto"/>
                <w:kern w:val="0"/>
                <w:sz w:val="24"/>
                <w:lang w:eastAsia="zh-CN"/>
              </w:rPr>
              <w:t>详见第四章采购需求</w:t>
            </w:r>
            <w:r>
              <w:rPr>
                <w:rFonts w:hint="eastAsia" w:ascii="宋体" w:hAnsi="宋体" w:eastAsia="宋体" w:cs="宋体"/>
                <w:i w:val="0"/>
                <w:iCs w:val="0"/>
                <w:color w:val="auto"/>
                <w:kern w:val="0"/>
                <w:sz w:val="24"/>
              </w:rPr>
              <w:t>。</w:t>
            </w:r>
          </w:p>
        </w:tc>
      </w:tr>
      <w:tr w14:paraId="2B86C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61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20A5446">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4</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708429F">
            <w:pPr>
              <w:jc w:val="both"/>
              <w:rPr>
                <w:rFonts w:hint="eastAsia" w:ascii="宋体" w:hAnsi="宋体" w:eastAsia="宋体" w:cs="宋体"/>
                <w:i w:val="0"/>
                <w:iCs w:val="0"/>
                <w:color w:val="auto"/>
                <w:sz w:val="24"/>
              </w:rPr>
            </w:pPr>
            <w:r>
              <w:rPr>
                <w:rFonts w:hint="eastAsia" w:ascii="宋体" w:hAnsi="宋体" w:eastAsia="宋体" w:cs="宋体"/>
                <w:i w:val="0"/>
                <w:iCs w:val="0"/>
                <w:color w:val="auto"/>
                <w:sz w:val="24"/>
              </w:rPr>
              <w:t>采购人及采购代理机构</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08F887D8">
            <w:pPr>
              <w:spacing w:line="360" w:lineRule="auto"/>
              <w:jc w:val="both"/>
              <w:rPr>
                <w:rFonts w:hint="eastAsia" w:ascii="宋体" w:hAnsi="宋体" w:eastAsia="宋体" w:cs="宋体"/>
                <w:i w:val="0"/>
                <w:iCs w:val="0"/>
                <w:color w:val="auto"/>
                <w:kern w:val="0"/>
                <w:sz w:val="24"/>
                <w:lang w:eastAsia="zh-CN"/>
              </w:rPr>
            </w:pPr>
            <w:r>
              <w:rPr>
                <w:rFonts w:hint="eastAsia" w:ascii="宋体" w:hAnsi="宋体" w:eastAsia="宋体" w:cs="宋体"/>
                <w:i w:val="0"/>
                <w:iCs w:val="0"/>
                <w:color w:val="auto"/>
                <w:kern w:val="0"/>
                <w:sz w:val="24"/>
              </w:rPr>
              <w:t>采购人名称：</w:t>
            </w:r>
            <w:r>
              <w:rPr>
                <w:rFonts w:hint="eastAsia" w:ascii="宋体" w:hAnsi="宋体" w:cs="宋体"/>
                <w:i w:val="0"/>
                <w:iCs w:val="0"/>
                <w:color w:val="auto"/>
                <w:kern w:val="0"/>
                <w:sz w:val="24"/>
                <w:lang w:eastAsia="zh-CN"/>
              </w:rPr>
              <w:t>延安市机关事务服务中心</w:t>
            </w:r>
          </w:p>
          <w:p w14:paraId="0E921A06">
            <w:pPr>
              <w:spacing w:line="360" w:lineRule="auto"/>
              <w:jc w:val="both"/>
              <w:rPr>
                <w:rFonts w:hint="eastAsia" w:ascii="宋体" w:hAnsi="宋体" w:eastAsia="宋体" w:cs="宋体"/>
                <w:i w:val="0"/>
                <w:iCs w:val="0"/>
                <w:color w:val="auto"/>
                <w:kern w:val="0"/>
                <w:sz w:val="24"/>
                <w:lang w:eastAsia="zh-CN"/>
              </w:rPr>
            </w:pPr>
            <w:r>
              <w:rPr>
                <w:rFonts w:hint="eastAsia" w:ascii="宋体" w:hAnsi="宋体" w:eastAsia="宋体" w:cs="宋体"/>
                <w:i w:val="0"/>
                <w:iCs w:val="0"/>
                <w:color w:val="auto"/>
                <w:kern w:val="0"/>
                <w:sz w:val="24"/>
              </w:rPr>
              <w:t>地址：</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陕西省延安市新区 为民服务中心7号楼A座</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宋体" w:hAnsi="宋体" w:cs="宋体"/>
                <w:i w:val="0"/>
                <w:iCs w:val="0"/>
                <w:color w:val="auto"/>
                <w:kern w:val="0"/>
                <w:sz w:val="24"/>
                <w:lang w:val="en-US" w:eastAsia="zh-CN"/>
              </w:rPr>
              <w:t xml:space="preserve"> </w:t>
            </w:r>
          </w:p>
          <w:p w14:paraId="48F1047E">
            <w:pPr>
              <w:spacing w:line="360" w:lineRule="auto"/>
              <w:jc w:val="both"/>
              <w:rPr>
                <w:rFonts w:hint="eastAsia" w:ascii="宋体" w:hAnsi="宋体" w:eastAsia="宋体" w:cs="宋体"/>
                <w:i w:val="0"/>
                <w:iCs w:val="0"/>
                <w:color w:val="auto"/>
                <w:kern w:val="0"/>
                <w:sz w:val="24"/>
                <w:highlight w:val="yellow"/>
                <w:lang w:val="en-US" w:eastAsia="zh-CN"/>
              </w:rPr>
            </w:pPr>
            <w:r>
              <w:rPr>
                <w:rFonts w:hint="eastAsia" w:ascii="宋体" w:hAnsi="宋体" w:eastAsia="宋体" w:cs="宋体"/>
                <w:i w:val="0"/>
                <w:iCs w:val="0"/>
                <w:color w:val="auto"/>
                <w:kern w:val="0"/>
                <w:sz w:val="24"/>
                <w:lang w:val="en-US" w:eastAsia="zh-CN"/>
              </w:rPr>
              <w:t>联系人：</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候延斌  0911-7090117</w:t>
            </w:r>
            <w:r>
              <w:rPr>
                <w:rFonts w:hint="eastAsia" w:ascii="宋体" w:hAnsi="宋体" w:cs="宋体"/>
                <w:i w:val="0"/>
                <w:iCs w:val="0"/>
                <w:color w:val="auto"/>
                <w:kern w:val="0"/>
                <w:sz w:val="24"/>
                <w:lang w:val="en-US" w:eastAsia="zh-CN"/>
              </w:rPr>
              <w:t xml:space="preserve"> </w:t>
            </w:r>
          </w:p>
          <w:p w14:paraId="373BCBCB">
            <w:pPr>
              <w:spacing w:line="360" w:lineRule="auto"/>
              <w:jc w:val="both"/>
              <w:rPr>
                <w:rFonts w:hint="eastAsia" w:ascii="宋体" w:hAnsi="宋体" w:eastAsia="宋体" w:cs="宋体"/>
                <w:i w:val="0"/>
                <w:iCs w:val="0"/>
                <w:color w:val="auto"/>
                <w:kern w:val="0"/>
                <w:sz w:val="24"/>
                <w:lang w:eastAsia="zh-CN"/>
              </w:rPr>
            </w:pPr>
            <w:r>
              <w:rPr>
                <w:rFonts w:hint="eastAsia" w:ascii="宋体" w:hAnsi="宋体" w:eastAsia="宋体" w:cs="宋体"/>
                <w:i w:val="0"/>
                <w:iCs w:val="0"/>
                <w:color w:val="auto"/>
                <w:kern w:val="0"/>
                <w:sz w:val="24"/>
              </w:rPr>
              <w:t>采购代理机构：</w:t>
            </w:r>
            <w:r>
              <w:rPr>
                <w:rFonts w:hint="eastAsia" w:ascii="宋体" w:hAnsi="宋体" w:cs="宋体"/>
                <w:i w:val="0"/>
                <w:iCs w:val="0"/>
                <w:color w:val="auto"/>
                <w:kern w:val="0"/>
                <w:sz w:val="24"/>
                <w:lang w:eastAsia="zh-CN"/>
              </w:rPr>
              <w:t>华鼎工程咨询集团有限公司</w:t>
            </w:r>
          </w:p>
          <w:p w14:paraId="5911E61D">
            <w:pPr>
              <w:spacing w:line="360" w:lineRule="auto"/>
              <w:jc w:val="both"/>
              <w:rPr>
                <w:rFonts w:hint="default" w:ascii="宋体" w:hAnsi="宋体" w:eastAsia="宋体" w:cs="宋体"/>
                <w:i w:val="0"/>
                <w:iCs w:val="0"/>
                <w:color w:val="auto"/>
                <w:kern w:val="0"/>
                <w:sz w:val="24"/>
                <w:lang w:val="en-US" w:eastAsia="zh-CN"/>
              </w:rPr>
            </w:pPr>
            <w:r>
              <w:rPr>
                <w:rFonts w:hint="eastAsia" w:ascii="宋体" w:hAnsi="宋体" w:eastAsia="宋体" w:cs="宋体"/>
                <w:i w:val="0"/>
                <w:iCs w:val="0"/>
                <w:color w:val="auto"/>
                <w:kern w:val="0"/>
                <w:sz w:val="24"/>
              </w:rPr>
              <w:t>联系人：</w:t>
            </w:r>
            <w:r>
              <w:rPr>
                <w:rFonts w:hint="eastAsia" w:ascii="宋体" w:hAnsi="宋体" w:cs="宋体"/>
                <w:i w:val="0"/>
                <w:iCs w:val="0"/>
                <w:color w:val="auto"/>
                <w:kern w:val="0"/>
                <w:sz w:val="24"/>
                <w:lang w:val="en-US" w:eastAsia="zh-CN"/>
              </w:rPr>
              <w:t>罗瑞梅18109118505</w:t>
            </w:r>
          </w:p>
        </w:tc>
      </w:tr>
      <w:tr w14:paraId="50E5D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3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50F8F20">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5E64DA2">
            <w:pPr>
              <w:jc w:val="both"/>
              <w:rPr>
                <w:rFonts w:hint="eastAsia" w:ascii="宋体" w:hAnsi="宋体" w:eastAsia="宋体" w:cs="宋体"/>
                <w:i w:val="0"/>
                <w:iCs w:val="0"/>
                <w:color w:val="auto"/>
                <w:sz w:val="24"/>
              </w:rPr>
            </w:pPr>
            <w:r>
              <w:rPr>
                <w:rFonts w:hint="eastAsia" w:ascii="宋体" w:hAnsi="宋体" w:eastAsia="宋体" w:cs="宋体"/>
                <w:i w:val="0"/>
                <w:iCs w:val="0"/>
                <w:color w:val="auto"/>
                <w:sz w:val="24"/>
              </w:rPr>
              <w:t>招标周期</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16D31AC3">
            <w:pPr>
              <w:spacing w:line="360" w:lineRule="auto"/>
              <w:jc w:val="both"/>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招标文件发售时间：</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04</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23</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日至202</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04</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29</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日，每天上午08:</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0:00至12:00:00，下午12:00:00至18:00:00（北京时间）</w:t>
            </w:r>
          </w:p>
          <w:p w14:paraId="5F3C3471">
            <w:pPr>
              <w:spacing w:line="360" w:lineRule="auto"/>
              <w:jc w:val="both"/>
              <w:rPr>
                <w:rFonts w:hint="eastAsia" w:ascii="宋体" w:hAnsi="宋体" w:eastAsia="宋体" w:cs="宋体"/>
                <w:i w:val="0"/>
                <w:iCs w:val="0"/>
                <w:color w:val="auto"/>
                <w:sz w:val="24"/>
              </w:rPr>
            </w:pPr>
            <w:r>
              <w:rPr>
                <w:rFonts w:hint="eastAsia" w:ascii="宋体" w:hAnsi="宋体" w:eastAsia="宋体" w:cs="宋体"/>
                <w:i w:val="0"/>
                <w:iCs w:val="0"/>
                <w:color w:val="auto"/>
                <w:kern w:val="0"/>
                <w:sz w:val="24"/>
              </w:rPr>
              <w:t>开标时间：</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05</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14</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09</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时</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00</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分00秒</w:t>
            </w:r>
            <w:r>
              <w:rPr>
                <w:rFonts w:hint="eastAsia" w:ascii="宋体" w:hAnsi="宋体" w:eastAsia="宋体" w:cs="宋体"/>
                <w:i w:val="0"/>
                <w:iCs w:val="0"/>
                <w:color w:val="auto"/>
                <w:kern w:val="0"/>
                <w:sz w:val="24"/>
              </w:rPr>
              <w:t>（北京时间）</w:t>
            </w:r>
          </w:p>
        </w:tc>
      </w:tr>
      <w:tr w14:paraId="6CACF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A0BABA6">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95044A5">
            <w:pPr>
              <w:jc w:val="both"/>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采购</w:t>
            </w:r>
            <w:r>
              <w:rPr>
                <w:rFonts w:hint="eastAsia" w:ascii="宋体" w:hAnsi="宋体" w:cs="宋体"/>
                <w:i w:val="0"/>
                <w:iCs w:val="0"/>
                <w:color w:val="auto"/>
                <w:sz w:val="24"/>
                <w:highlight w:val="none"/>
                <w:lang w:val="en-US" w:eastAsia="zh-CN"/>
              </w:rPr>
              <w:t>内容</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1D673CEE">
            <w:pPr>
              <w:spacing w:line="360" w:lineRule="auto"/>
              <w:jc w:val="both"/>
              <w:rPr>
                <w:rFonts w:hint="default" w:ascii="宋体" w:hAnsi="宋体" w:eastAsia="宋体" w:cs="宋体"/>
                <w:i w:val="0"/>
                <w:iCs w:val="0"/>
                <w:color w:val="auto"/>
                <w:kern w:val="0"/>
                <w:sz w:val="24"/>
                <w:szCs w:val="20"/>
                <w:highlight w:val="none"/>
                <w:lang w:val="en-US" w:eastAsia="zh-CN"/>
              </w:rPr>
            </w:pPr>
            <w:r>
              <w:rPr>
                <w:rFonts w:hint="eastAsia" w:ascii="宋体" w:hAnsi="宋体" w:cs="宋体"/>
                <w:i w:val="0"/>
                <w:iCs w:val="0"/>
                <w:color w:val="auto"/>
                <w:kern w:val="0"/>
                <w:sz w:val="24"/>
                <w:szCs w:val="20"/>
                <w:highlight w:val="none"/>
                <w:lang w:eastAsia="zh-CN"/>
              </w:rPr>
              <w:t>详见</w:t>
            </w:r>
            <w:r>
              <w:rPr>
                <w:rFonts w:hint="eastAsia" w:ascii="宋体" w:hAnsi="宋体" w:cs="宋体"/>
                <w:i w:val="0"/>
                <w:iCs w:val="0"/>
                <w:color w:val="auto"/>
                <w:kern w:val="0"/>
                <w:sz w:val="24"/>
                <w:szCs w:val="20"/>
                <w:highlight w:val="none"/>
                <w:lang w:val="en-US" w:eastAsia="zh-CN"/>
              </w:rPr>
              <w:t>第四章采购需求。</w:t>
            </w:r>
          </w:p>
        </w:tc>
      </w:tr>
      <w:tr w14:paraId="45378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2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A1CF3F1">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E18BC91">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投标人资质要求</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40CEE404">
            <w:pPr>
              <w:spacing w:line="360" w:lineRule="auto"/>
              <w:ind w:firstLine="55" w:firstLineChars="23"/>
              <w:rPr>
                <w:rFonts w:hint="eastAsia" w:ascii="宋体" w:hAnsi="宋体" w:eastAsia="宋体" w:cs="宋体"/>
                <w:i w:val="0"/>
                <w:iCs w:val="0"/>
                <w:color w:val="auto"/>
                <w:kern w:val="0"/>
                <w:sz w:val="24"/>
                <w:szCs w:val="20"/>
              </w:rPr>
            </w:pPr>
            <w:r>
              <w:rPr>
                <w:rFonts w:hint="eastAsia" w:ascii="宋体" w:hAnsi="宋体" w:eastAsia="宋体" w:cs="宋体"/>
                <w:i w:val="0"/>
                <w:iCs w:val="0"/>
                <w:color w:val="auto"/>
                <w:kern w:val="0"/>
                <w:sz w:val="24"/>
                <w:szCs w:val="20"/>
              </w:rPr>
              <w:t>1.满足《中华人民共和国政府采购法》第二十二条规定;</w:t>
            </w:r>
          </w:p>
          <w:p w14:paraId="73736F47">
            <w:pPr>
              <w:spacing w:line="360" w:lineRule="auto"/>
              <w:ind w:firstLine="55" w:firstLineChars="23"/>
              <w:rPr>
                <w:rFonts w:hint="eastAsia" w:ascii="宋体" w:hAnsi="宋体" w:eastAsia="宋体" w:cs="宋体"/>
                <w:i w:val="0"/>
                <w:iCs w:val="0"/>
                <w:color w:val="auto"/>
                <w:kern w:val="0"/>
                <w:sz w:val="24"/>
                <w:szCs w:val="20"/>
              </w:rPr>
            </w:pPr>
            <w:r>
              <w:rPr>
                <w:rFonts w:hint="eastAsia" w:ascii="宋体" w:hAnsi="宋体" w:eastAsia="宋体" w:cs="宋体"/>
                <w:i w:val="0"/>
                <w:iCs w:val="0"/>
                <w:color w:val="auto"/>
                <w:kern w:val="0"/>
                <w:sz w:val="24"/>
                <w:szCs w:val="20"/>
              </w:rPr>
              <w:t>2.落实政府采购政策需满足的资格要求：</w:t>
            </w:r>
          </w:p>
          <w:p w14:paraId="3C60697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①《财政部工业和信息化部关于印发〈政府采购促进中小企业发展管理办法〉的通知》（财库〔2020〕46号）；</w:t>
            </w:r>
          </w:p>
          <w:p w14:paraId="7C30007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②《财政部司法部关于政府采购支持监狱企业发展有关问题的通知》（财库〔2014〕68号）；</w:t>
            </w:r>
          </w:p>
          <w:p w14:paraId="00294C9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③《三部门联合发布关于促进残疾人就业政府采购政策的通知》（财库〔2017〕141号）；</w:t>
            </w:r>
          </w:p>
          <w:p w14:paraId="3EDBA76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④陕西省财政厅关于印发《陕西省中小企业政府采购信用融资办法》（陕财办采〔2018〕23号）；</w:t>
            </w:r>
          </w:p>
          <w:p w14:paraId="2D3A29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⑤</w:t>
            </w:r>
            <w:r>
              <w:rPr>
                <w:rFonts w:hint="eastAsia" w:ascii="宋体" w:hAnsi="宋体" w:eastAsia="宋体" w:cs="宋体"/>
                <w:i w:val="0"/>
                <w:iCs w:val="0"/>
                <w:caps w:val="0"/>
                <w:color w:val="auto"/>
                <w:spacing w:val="0"/>
                <w:sz w:val="24"/>
                <w:szCs w:val="24"/>
                <w:shd w:val="clear" w:color="auto" w:fill="FFFFFF"/>
              </w:rPr>
              <w:t>本项目不专门面向中小企业采购</w:t>
            </w:r>
            <w:r>
              <w:rPr>
                <w:rFonts w:hint="eastAsia" w:cs="宋体"/>
                <w:i w:val="0"/>
                <w:iCs w:val="0"/>
                <w:caps w:val="0"/>
                <w:color w:val="auto"/>
                <w:spacing w:val="0"/>
                <w:sz w:val="24"/>
                <w:szCs w:val="24"/>
                <w:shd w:val="clear" w:color="auto" w:fill="FFFFFF"/>
                <w:lang w:eastAsia="zh-CN"/>
              </w:rPr>
              <w:t>；</w:t>
            </w:r>
          </w:p>
          <w:p w14:paraId="1E24F95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shd w:val="clear" w:color="auto" w:fill="FFFFFF"/>
              </w:rPr>
              <w:t>⑥</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其他需要落实的政府采购政策。</w:t>
            </w:r>
          </w:p>
          <w:p w14:paraId="245F9AE3">
            <w:pPr>
              <w:spacing w:line="360" w:lineRule="auto"/>
              <w:ind w:firstLine="55" w:firstLineChars="23"/>
              <w:rPr>
                <w:rFonts w:hint="eastAsia" w:ascii="宋体" w:hAnsi="宋体" w:eastAsia="宋体" w:cs="宋体"/>
                <w:i w:val="0"/>
                <w:iCs w:val="0"/>
                <w:color w:val="auto"/>
                <w:kern w:val="0"/>
                <w:sz w:val="24"/>
                <w:szCs w:val="20"/>
              </w:rPr>
            </w:pPr>
            <w:r>
              <w:rPr>
                <w:rFonts w:hint="eastAsia" w:ascii="宋体" w:hAnsi="宋体" w:eastAsia="宋体" w:cs="宋体"/>
                <w:i w:val="0"/>
                <w:iCs w:val="0"/>
                <w:color w:val="auto"/>
                <w:kern w:val="0"/>
                <w:sz w:val="24"/>
                <w:szCs w:val="20"/>
              </w:rPr>
              <w:t>3.本项目的特定资格要求：</w:t>
            </w:r>
          </w:p>
          <w:p w14:paraId="3EC858AA">
            <w:pPr>
              <w:keepNext w:val="0"/>
              <w:keepLines w:val="0"/>
              <w:pageBreakBefore w:val="0"/>
              <w:widowControl w:val="0"/>
              <w:kinsoku/>
              <w:wordWrap/>
              <w:overflowPunct/>
              <w:topLinePunct w:val="0"/>
              <w:autoSpaceDE/>
              <w:autoSpaceDN/>
              <w:bidi w:val="0"/>
              <w:snapToGrid w:val="0"/>
              <w:spacing w:line="360" w:lineRule="auto"/>
              <w:ind w:right="0" w:rightChars="0"/>
              <w:textAlignment w:val="auto"/>
              <w:rPr>
                <w:rFonts w:hint="eastAsia" w:ascii="宋体" w:hAnsi="宋体" w:eastAsia="宋体" w:cs="宋体"/>
                <w:i w:val="0"/>
                <w:iCs w:val="0"/>
                <w:color w:val="auto"/>
                <w:kern w:val="0"/>
                <w:sz w:val="24"/>
                <w:szCs w:val="20"/>
              </w:rPr>
            </w:pPr>
            <w:r>
              <w:rPr>
                <w:rFonts w:hint="eastAsia" w:ascii="宋体" w:hAnsi="宋体" w:eastAsia="宋体" w:cs="宋体"/>
                <w:i w:val="0"/>
                <w:iCs w:val="0"/>
                <w:color w:val="auto"/>
                <w:kern w:val="0"/>
                <w:sz w:val="24"/>
                <w:szCs w:val="20"/>
                <w:lang w:val="en-US" w:eastAsia="zh-CN"/>
              </w:rPr>
              <w:t>①投标人须具有独立承担民事责任能力的法人或其他组织，具有合法有效的营业执照、组织机构代码证、税务登记证（或统一社会信用代码的营业执照）、开户许可证（或基本账户信息证明）；</w:t>
            </w:r>
            <w:r>
              <w:rPr>
                <w:rFonts w:hint="eastAsia" w:ascii="宋体" w:hAnsi="宋体" w:eastAsia="宋体" w:cs="宋体"/>
                <w:i w:val="0"/>
                <w:iCs w:val="0"/>
                <w:color w:val="auto"/>
                <w:kern w:val="0"/>
                <w:sz w:val="24"/>
                <w:szCs w:val="20"/>
                <w:lang w:val="en-US" w:eastAsia="zh-CN"/>
              </w:rPr>
              <w:br w:type="textWrapping"/>
            </w:r>
            <w:r>
              <w:rPr>
                <w:rFonts w:hint="eastAsia" w:ascii="宋体" w:hAnsi="宋体" w:eastAsia="宋体" w:cs="宋体"/>
                <w:i w:val="0"/>
                <w:iCs w:val="0"/>
                <w:color w:val="auto"/>
                <w:kern w:val="0"/>
                <w:sz w:val="24"/>
                <w:szCs w:val="20"/>
                <w:lang w:val="en-US" w:eastAsia="zh-CN"/>
              </w:rPr>
              <w:t>②法定代表人授权书（附法定代表人身份证复印件）及被授权人身份证；（法定代表人直接参加只须提供法定代表人身份证）；</w:t>
            </w:r>
            <w:r>
              <w:rPr>
                <w:rFonts w:hint="eastAsia" w:ascii="宋体" w:hAnsi="宋体" w:eastAsia="宋体" w:cs="宋体"/>
                <w:i w:val="0"/>
                <w:iCs w:val="0"/>
                <w:color w:val="auto"/>
                <w:kern w:val="0"/>
                <w:sz w:val="24"/>
                <w:szCs w:val="20"/>
                <w:lang w:val="en-US" w:eastAsia="zh-CN"/>
              </w:rPr>
              <w:br w:type="textWrapping"/>
            </w:r>
            <w:r>
              <w:rPr>
                <w:rFonts w:hint="eastAsia" w:ascii="宋体" w:hAnsi="宋体" w:eastAsia="宋体" w:cs="宋体"/>
                <w:i w:val="0"/>
                <w:iCs w:val="0"/>
                <w:color w:val="auto"/>
                <w:kern w:val="0"/>
                <w:sz w:val="24"/>
                <w:szCs w:val="20"/>
                <w:lang w:val="en-US" w:eastAsia="zh-CN"/>
              </w:rPr>
              <w:t>③投标人须提供经会计事务所或具有财务审计资质的单位出具的2024年度财务审计报告或其开标前三个月内银行出具的资信证明；</w:t>
            </w:r>
            <w:r>
              <w:rPr>
                <w:rFonts w:hint="eastAsia" w:ascii="宋体" w:hAnsi="宋体" w:eastAsia="宋体" w:cs="宋体"/>
                <w:i w:val="0"/>
                <w:iCs w:val="0"/>
                <w:color w:val="auto"/>
                <w:kern w:val="0"/>
                <w:sz w:val="24"/>
                <w:szCs w:val="20"/>
                <w:lang w:val="en-US" w:eastAsia="zh-CN"/>
              </w:rPr>
              <w:br w:type="textWrapping"/>
            </w:r>
            <w:r>
              <w:rPr>
                <w:rFonts w:hint="eastAsia" w:ascii="宋体" w:hAnsi="宋体" w:eastAsia="宋体" w:cs="宋体"/>
                <w:i w:val="0"/>
                <w:iCs w:val="0"/>
                <w:color w:val="auto"/>
                <w:kern w:val="0"/>
                <w:sz w:val="24"/>
                <w:szCs w:val="20"/>
                <w:lang w:val="en-US" w:eastAsia="zh-CN"/>
              </w:rPr>
              <w:t>④投标人须提供2025年10月至今已缴纳的至少一个月的纳税证明或完税证明，依法免税的单位应提供相关证明材料；</w:t>
            </w:r>
            <w:r>
              <w:rPr>
                <w:rFonts w:hint="eastAsia" w:ascii="宋体" w:hAnsi="宋体" w:eastAsia="宋体" w:cs="宋体"/>
                <w:i w:val="0"/>
                <w:iCs w:val="0"/>
                <w:color w:val="auto"/>
                <w:kern w:val="0"/>
                <w:sz w:val="24"/>
                <w:szCs w:val="20"/>
                <w:lang w:val="en-US" w:eastAsia="zh-CN"/>
              </w:rPr>
              <w:br w:type="textWrapping"/>
            </w:r>
            <w:r>
              <w:rPr>
                <w:rFonts w:hint="eastAsia" w:ascii="宋体" w:hAnsi="宋体" w:eastAsia="宋体" w:cs="宋体"/>
                <w:i w:val="0"/>
                <w:iCs w:val="0"/>
                <w:color w:val="auto"/>
                <w:kern w:val="0"/>
                <w:sz w:val="24"/>
                <w:szCs w:val="20"/>
                <w:lang w:val="en-US" w:eastAsia="zh-CN"/>
              </w:rPr>
              <w:t>⑤投标人须提供2025年10月至今已缴存的至少一个月的社会保障资金缴存单据或社保机构开具的社会保险参保缴费情况证明，依法不需要缴纳社会保障资金的单位应提供相关证明材料；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olor w:val="auto"/>
                <w:kern w:val="0"/>
                <w:sz w:val="24"/>
                <w:szCs w:val="20"/>
                <w:lang w:val="en-US" w:eastAsia="zh-CN"/>
              </w:rPr>
              <w:br w:type="textWrapping"/>
            </w:r>
            <w:r>
              <w:rPr>
                <w:rFonts w:hint="eastAsia" w:ascii="宋体" w:hAnsi="宋体" w:eastAsia="宋体" w:cs="宋体"/>
                <w:i w:val="0"/>
                <w:iCs w:val="0"/>
                <w:color w:val="auto"/>
                <w:kern w:val="0"/>
                <w:sz w:val="24"/>
                <w:szCs w:val="20"/>
                <w:lang w:val="en-US" w:eastAsia="zh-CN"/>
              </w:rPr>
              <w:t>⑥投标人未被列入“信用中国”重大税收违法失信主体名单，“中国执行信息公开网”网站未被列为失信被执行人，不得为中国政府采购网政府采购严重违法失信行为记录名单中被财政部门禁止参加政府采购活动的投标人(资格审查时现场核查)；</w:t>
            </w:r>
            <w:r>
              <w:rPr>
                <w:rFonts w:hint="eastAsia" w:ascii="宋体" w:hAnsi="宋体" w:eastAsia="宋体" w:cs="宋体"/>
                <w:i w:val="0"/>
                <w:iCs w:val="0"/>
                <w:color w:val="auto"/>
                <w:kern w:val="0"/>
                <w:sz w:val="24"/>
                <w:szCs w:val="20"/>
                <w:lang w:val="en-US" w:eastAsia="zh-CN"/>
              </w:rPr>
              <w:br w:type="textWrapping"/>
            </w:r>
            <w:r>
              <w:rPr>
                <w:rFonts w:hint="eastAsia" w:ascii="宋体" w:hAnsi="宋体" w:eastAsia="宋体" w:cs="宋体"/>
                <w:i w:val="0"/>
                <w:iCs w:val="0"/>
                <w:color w:val="auto"/>
                <w:kern w:val="0"/>
                <w:sz w:val="24"/>
                <w:szCs w:val="20"/>
                <w:lang w:val="en-US" w:eastAsia="zh-CN"/>
              </w:rPr>
              <w:t>⑦投标人应出具参加政府采购活动前3年内在经营活动中没有重大违法记录的书面声明；</w:t>
            </w:r>
            <w:r>
              <w:rPr>
                <w:rFonts w:hint="eastAsia" w:ascii="宋体" w:hAnsi="宋体" w:eastAsia="宋体" w:cs="宋体"/>
                <w:i w:val="0"/>
                <w:iCs w:val="0"/>
                <w:color w:val="auto"/>
                <w:kern w:val="0"/>
                <w:sz w:val="24"/>
                <w:szCs w:val="20"/>
                <w:lang w:val="en-US" w:eastAsia="zh-CN"/>
              </w:rPr>
              <w:br w:type="textWrapping"/>
            </w:r>
            <w:r>
              <w:rPr>
                <w:rFonts w:hint="eastAsia" w:ascii="宋体" w:hAnsi="宋体" w:eastAsia="宋体" w:cs="宋体"/>
                <w:i w:val="0"/>
                <w:iCs w:val="0"/>
                <w:color w:val="auto"/>
                <w:kern w:val="0"/>
                <w:sz w:val="24"/>
                <w:szCs w:val="20"/>
                <w:lang w:val="en-US" w:eastAsia="zh-CN"/>
              </w:rPr>
              <w:t>⑧单位负责人为同一人或者存在直接控股、管理关系的不同投标人，不得参加同一项目的采购活动；</w:t>
            </w:r>
            <w:r>
              <w:rPr>
                <w:rFonts w:hint="eastAsia" w:ascii="宋体" w:hAnsi="宋体" w:eastAsia="宋体" w:cs="宋体"/>
                <w:i w:val="0"/>
                <w:iCs w:val="0"/>
                <w:color w:val="auto"/>
                <w:kern w:val="0"/>
                <w:sz w:val="24"/>
                <w:szCs w:val="20"/>
                <w:lang w:val="en-US" w:eastAsia="zh-CN"/>
              </w:rPr>
              <w:br w:type="textWrapping"/>
            </w:r>
            <w:r>
              <w:rPr>
                <w:rFonts w:hint="eastAsia" w:ascii="宋体" w:hAnsi="宋体" w:eastAsia="宋体" w:cs="宋体"/>
                <w:i w:val="0"/>
                <w:iCs w:val="0"/>
                <w:color w:val="auto"/>
                <w:kern w:val="0"/>
                <w:sz w:val="24"/>
                <w:szCs w:val="20"/>
                <w:lang w:val="en-US" w:eastAsia="zh-CN"/>
              </w:rPr>
              <w:t>⑨本项目不接受联合体参与投标。</w:t>
            </w:r>
          </w:p>
        </w:tc>
      </w:tr>
      <w:tr w14:paraId="7B64B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4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8A45FA8">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F39A174">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投标文件份数、签字或盖章要求</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31A8DE12">
            <w:pPr>
              <w:spacing w:before="72" w:beforeLines="30"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1、投标文件正本壹份、副本贰份，电子文件</w:t>
            </w:r>
            <w:r>
              <w:rPr>
                <w:rFonts w:hint="eastAsia" w:ascii="宋体" w:hAnsi="宋体" w:eastAsia="宋体" w:cs="宋体"/>
                <w:i w:val="0"/>
                <w:iCs w:val="0"/>
                <w:color w:val="auto"/>
                <w:sz w:val="24"/>
                <w:lang w:eastAsia="zh-CN"/>
              </w:rPr>
              <w:t>叁</w:t>
            </w:r>
            <w:r>
              <w:rPr>
                <w:rFonts w:hint="eastAsia" w:ascii="宋体" w:hAnsi="宋体" w:eastAsia="宋体" w:cs="宋体"/>
                <w:i w:val="0"/>
                <w:iCs w:val="0"/>
                <w:color w:val="auto"/>
                <w:sz w:val="24"/>
              </w:rPr>
              <w:t>份(加盖公章及签字后的扫描PDF版U盘)；</w:t>
            </w:r>
          </w:p>
          <w:p w14:paraId="7B9BC244">
            <w:pPr>
              <w:pStyle w:val="21"/>
              <w:spacing w:before="0" w:beforeAutospacing="0" w:after="0" w:afterAutospacing="0" w:line="360" w:lineRule="auto"/>
              <w:jc w:val="both"/>
              <w:rPr>
                <w:rFonts w:hint="eastAsia" w:ascii="宋体" w:hAnsi="宋体" w:eastAsia="宋体" w:cs="宋体"/>
                <w:i w:val="0"/>
                <w:iCs w:val="0"/>
                <w:color w:val="auto"/>
                <w:kern w:val="2"/>
              </w:rPr>
            </w:pPr>
            <w:r>
              <w:rPr>
                <w:rFonts w:hint="eastAsia" w:ascii="宋体" w:hAnsi="宋体" w:eastAsia="宋体" w:cs="宋体"/>
                <w:i w:val="0"/>
                <w:iCs w:val="0"/>
                <w:color w:val="auto"/>
                <w:kern w:val="2"/>
              </w:rPr>
              <w:t>2、正本与副本应分别胶装成册，并编制目录；</w:t>
            </w:r>
          </w:p>
          <w:p w14:paraId="6E5A874A">
            <w:pPr>
              <w:pStyle w:val="21"/>
              <w:spacing w:before="0" w:beforeAutospacing="0" w:after="0" w:afterAutospacing="0" w:line="360" w:lineRule="auto"/>
              <w:jc w:val="both"/>
              <w:rPr>
                <w:rFonts w:hint="eastAsia" w:ascii="宋体" w:hAnsi="宋体" w:eastAsia="宋体" w:cs="宋体"/>
                <w:i w:val="0"/>
                <w:iCs w:val="0"/>
                <w:color w:val="auto"/>
              </w:rPr>
            </w:pPr>
            <w:r>
              <w:rPr>
                <w:rFonts w:hint="eastAsia" w:ascii="宋体" w:hAnsi="宋体" w:eastAsia="宋体" w:cs="宋体"/>
                <w:i w:val="0"/>
                <w:iCs w:val="0"/>
                <w:color w:val="auto"/>
                <w:kern w:val="2"/>
              </w:rPr>
              <w:t>3、</w:t>
            </w:r>
            <w:r>
              <w:rPr>
                <w:rFonts w:hint="eastAsia" w:ascii="宋体" w:hAnsi="宋体" w:eastAsia="宋体" w:cs="宋体"/>
                <w:i w:val="0"/>
                <w:iCs w:val="0"/>
                <w:color w:val="auto"/>
              </w:rPr>
              <w:t>投标文件</w:t>
            </w:r>
            <w:r>
              <w:rPr>
                <w:rFonts w:hint="eastAsia" w:ascii="宋体" w:hAnsi="宋体" w:eastAsia="宋体" w:cs="宋体"/>
                <w:i w:val="0"/>
                <w:iCs w:val="0"/>
                <w:color w:val="auto"/>
                <w:kern w:val="2"/>
              </w:rPr>
              <w:t>纸质版正副本分开密封，正本一个封袋，副本一个封袋，电子文件</w:t>
            </w:r>
            <w:r>
              <w:rPr>
                <w:rFonts w:hint="eastAsia" w:cs="宋体"/>
                <w:i w:val="0"/>
                <w:iCs w:val="0"/>
                <w:color w:val="auto"/>
                <w:kern w:val="2"/>
                <w:lang w:eastAsia="zh-CN"/>
              </w:rPr>
              <w:t>密封在正本里</w:t>
            </w:r>
            <w:r>
              <w:rPr>
                <w:rFonts w:hint="eastAsia" w:ascii="宋体" w:hAnsi="宋体" w:eastAsia="宋体" w:cs="宋体"/>
                <w:i w:val="0"/>
                <w:iCs w:val="0"/>
                <w:color w:val="auto"/>
                <w:kern w:val="2"/>
              </w:rPr>
              <w:t>。在密封袋的封口处加贴封条，并加盖投标人公章及法人代表人或其委托代理人签字或盖章。</w:t>
            </w:r>
          </w:p>
          <w:p w14:paraId="6C7972B7">
            <w:pPr>
              <w:spacing w:before="72" w:beforeLines="30"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、本项目为电子投标项目，</w:t>
            </w:r>
            <w:r>
              <w:rPr>
                <w:rFonts w:hint="eastAsia" w:ascii="宋体" w:hAnsi="宋体" w:cs="宋体"/>
                <w:color w:val="000000"/>
                <w:sz w:val="24"/>
                <w:szCs w:val="24"/>
                <w:lang w:val="en-US" w:eastAsia="zh-CN"/>
              </w:rPr>
              <w:t>投标人</w:t>
            </w:r>
            <w:r>
              <w:rPr>
                <w:rFonts w:hint="eastAsia" w:ascii="宋体" w:hAnsi="宋体" w:eastAsia="宋体" w:cs="宋体"/>
                <w:color w:val="000000"/>
                <w:sz w:val="24"/>
                <w:szCs w:val="24"/>
                <w:lang w:val="en-US" w:eastAsia="zh-CN"/>
              </w:rPr>
              <w:t>在投标截止时间前登录全国公共资源交易平台（陕西省·延安市）</w:t>
            </w:r>
            <w:r>
              <w:rPr>
                <w:rFonts w:hint="eastAsia" w:ascii="宋体" w:hAnsi="宋体" w:cs="宋体"/>
                <w:color w:val="000000"/>
                <w:sz w:val="24"/>
                <w:szCs w:val="24"/>
                <w:lang w:val="en-US" w:eastAsia="zh-CN"/>
              </w:rPr>
              <w:t>按要求</w:t>
            </w:r>
            <w:r>
              <w:rPr>
                <w:rFonts w:hint="eastAsia" w:ascii="宋体" w:hAnsi="宋体" w:eastAsia="宋体" w:cs="宋体"/>
                <w:color w:val="000000"/>
                <w:sz w:val="24"/>
                <w:szCs w:val="24"/>
                <w:lang w:val="en-US" w:eastAsia="zh-CN"/>
              </w:rPr>
              <w:t>提交</w:t>
            </w:r>
            <w:r>
              <w:rPr>
                <w:rFonts w:hint="eastAsia" w:ascii="宋体" w:hAnsi="宋体" w:cs="宋体"/>
                <w:color w:val="000000"/>
                <w:sz w:val="24"/>
                <w:szCs w:val="24"/>
                <w:lang w:val="en-US" w:eastAsia="zh-CN"/>
              </w:rPr>
              <w:t>投标</w:t>
            </w:r>
            <w:r>
              <w:rPr>
                <w:rFonts w:hint="eastAsia" w:ascii="宋体" w:hAnsi="宋体" w:eastAsia="宋体" w:cs="宋体"/>
                <w:color w:val="000000"/>
                <w:sz w:val="24"/>
                <w:szCs w:val="24"/>
                <w:lang w:val="en-US" w:eastAsia="zh-CN"/>
              </w:rPr>
              <w:t>文件；</w:t>
            </w:r>
          </w:p>
          <w:p w14:paraId="3F4FE957">
            <w:pPr>
              <w:spacing w:before="72" w:beforeLines="30" w:line="360" w:lineRule="auto"/>
              <w:rPr>
                <w:rFonts w:hint="eastAsia" w:ascii="宋体" w:hAnsi="宋体" w:eastAsia="宋体" w:cs="宋体"/>
                <w:i w:val="0"/>
                <w:iCs w:val="0"/>
                <w:color w:val="auto"/>
                <w:sz w:val="24"/>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w:t>
            </w:r>
            <w:r>
              <w:rPr>
                <w:rFonts w:hint="eastAsia" w:ascii="宋体" w:hAnsi="宋体" w:eastAsia="宋体" w:cs="宋体"/>
                <w:i w:val="0"/>
                <w:iCs w:val="0"/>
                <w:caps w:val="0"/>
                <w:color w:val="auto"/>
                <w:spacing w:val="0"/>
                <w:sz w:val="24"/>
                <w:szCs w:val="24"/>
                <w:shd w:val="clear" w:color="auto" w:fill="FFFFFF"/>
                <w:lang w:eastAsia="zh-CN"/>
              </w:rPr>
              <w:t>本项目为</w:t>
            </w:r>
            <w:r>
              <w:rPr>
                <w:rFonts w:hint="eastAsia" w:ascii="宋体" w:hAnsi="宋体" w:cs="宋体"/>
                <w:i w:val="0"/>
                <w:iCs w:val="0"/>
                <w:caps w:val="0"/>
                <w:color w:val="auto"/>
                <w:spacing w:val="0"/>
                <w:sz w:val="24"/>
                <w:szCs w:val="24"/>
                <w:shd w:val="clear" w:color="auto" w:fill="FFFFFF"/>
                <w:lang w:val="en-US" w:eastAsia="zh-CN"/>
              </w:rPr>
              <w:t>不</w:t>
            </w:r>
            <w:r>
              <w:rPr>
                <w:rFonts w:hint="eastAsia" w:ascii="宋体" w:hAnsi="宋体" w:eastAsia="宋体" w:cs="宋体"/>
                <w:i w:val="0"/>
                <w:iCs w:val="0"/>
                <w:caps w:val="0"/>
                <w:color w:val="auto"/>
                <w:spacing w:val="0"/>
                <w:sz w:val="24"/>
                <w:szCs w:val="24"/>
                <w:shd w:val="clear" w:color="auto" w:fill="FFFFFF"/>
                <w:lang w:eastAsia="zh-CN"/>
              </w:rPr>
              <w:t>见面开标，供应商应在开标时间持</w:t>
            </w:r>
            <w:r>
              <w:rPr>
                <w:rFonts w:hint="eastAsia" w:ascii="宋体" w:hAnsi="宋体" w:eastAsia="宋体" w:cs="宋体"/>
                <w:i w:val="0"/>
                <w:iCs w:val="0"/>
                <w:caps w:val="0"/>
                <w:color w:val="auto"/>
                <w:spacing w:val="0"/>
                <w:sz w:val="24"/>
                <w:szCs w:val="24"/>
                <w:shd w:val="clear" w:color="auto" w:fill="FFFFFF"/>
                <w:lang w:val="en-US" w:eastAsia="zh-CN"/>
              </w:rPr>
              <w:t>CA锁</w:t>
            </w:r>
            <w:r>
              <w:rPr>
                <w:rFonts w:hint="eastAsia" w:ascii="宋体" w:hAnsi="宋体" w:cs="宋体"/>
                <w:i w:val="0"/>
                <w:iCs w:val="0"/>
                <w:caps w:val="0"/>
                <w:color w:val="auto"/>
                <w:spacing w:val="0"/>
                <w:sz w:val="24"/>
                <w:szCs w:val="24"/>
                <w:shd w:val="clear" w:color="auto" w:fill="FFFFFF"/>
                <w:lang w:val="en-US" w:eastAsia="zh-CN"/>
              </w:rPr>
              <w:t>在不见面开标大厅</w:t>
            </w:r>
            <w:r>
              <w:rPr>
                <w:rFonts w:hint="eastAsia" w:ascii="宋体" w:hAnsi="宋体" w:eastAsia="宋体" w:cs="宋体"/>
                <w:i w:val="0"/>
                <w:iCs w:val="0"/>
                <w:caps w:val="0"/>
                <w:color w:val="auto"/>
                <w:spacing w:val="0"/>
                <w:sz w:val="24"/>
                <w:szCs w:val="24"/>
                <w:shd w:val="clear" w:color="auto" w:fill="FFFFFF"/>
                <w:lang w:val="en-US" w:eastAsia="zh-CN"/>
              </w:rPr>
              <w:t>解密</w:t>
            </w:r>
            <w:r>
              <w:rPr>
                <w:rFonts w:hint="eastAsia" w:ascii="宋体" w:hAnsi="宋体" w:cs="宋体"/>
                <w:color w:val="000000"/>
                <w:sz w:val="24"/>
                <w:szCs w:val="24"/>
                <w:lang w:val="en-US" w:eastAsia="zh-CN"/>
              </w:rPr>
              <w:t>。</w:t>
            </w:r>
          </w:p>
        </w:tc>
      </w:tr>
      <w:tr w14:paraId="18BB5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D731751">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9</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296B4C9">
            <w:pPr>
              <w:spacing w:before="72" w:beforeLines="30"/>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资格符合性审查</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49BA17CC">
            <w:pPr>
              <w:spacing w:before="72" w:beforeLines="30"/>
              <w:rPr>
                <w:rFonts w:hint="eastAsia" w:ascii="宋体" w:hAnsi="宋体" w:eastAsia="宋体" w:cs="宋体"/>
                <w:i w:val="0"/>
                <w:iCs w:val="0"/>
                <w:color w:val="auto"/>
                <w:sz w:val="24"/>
              </w:rPr>
            </w:pPr>
            <w:r>
              <w:rPr>
                <w:rFonts w:hint="eastAsia" w:ascii="宋体" w:hAnsi="宋体" w:eastAsia="宋体" w:cs="宋体"/>
                <w:i w:val="0"/>
                <w:iCs w:val="0"/>
                <w:color w:val="auto"/>
                <w:sz w:val="24"/>
              </w:rPr>
              <w:t>资格采用符合性审查方式</w:t>
            </w:r>
          </w:p>
        </w:tc>
      </w:tr>
      <w:tr w14:paraId="33CD9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31F32F3">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6BD4CD9">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踏勘现场</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6E30C1E4">
            <w:pPr>
              <w:spacing w:before="120" w:beforeLines="50"/>
              <w:rPr>
                <w:rFonts w:hint="eastAsia" w:ascii="宋体" w:hAnsi="宋体" w:eastAsia="宋体" w:cs="宋体"/>
                <w:i w:val="0"/>
                <w:iCs w:val="0"/>
                <w:color w:val="auto"/>
                <w:sz w:val="24"/>
              </w:rPr>
            </w:pPr>
            <w:r>
              <w:rPr>
                <w:rFonts w:hint="eastAsia" w:ascii="宋体" w:hAnsi="宋体" w:eastAsia="宋体" w:cs="宋体"/>
                <w:i w:val="0"/>
                <w:iCs w:val="0"/>
                <w:color w:val="auto"/>
                <w:sz w:val="24"/>
              </w:rPr>
              <w:t>不组织</w:t>
            </w:r>
          </w:p>
        </w:tc>
      </w:tr>
      <w:tr w14:paraId="6E6B2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1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574C22A">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C391354">
            <w:pPr>
              <w:jc w:val="center"/>
              <w:rPr>
                <w:rFonts w:hint="eastAsia" w:ascii="宋体" w:hAnsi="宋体" w:eastAsia="宋体" w:cs="宋体"/>
                <w:i w:val="0"/>
                <w:iCs w:val="0"/>
                <w:color w:val="auto"/>
                <w:spacing w:val="-10"/>
                <w:sz w:val="24"/>
              </w:rPr>
            </w:pPr>
            <w:r>
              <w:rPr>
                <w:rFonts w:hint="eastAsia" w:ascii="宋体" w:hAnsi="宋体" w:eastAsia="宋体" w:cs="宋体"/>
                <w:i w:val="0"/>
                <w:iCs w:val="0"/>
                <w:color w:val="auto"/>
                <w:spacing w:val="-10"/>
                <w:sz w:val="24"/>
              </w:rPr>
              <w:t>投标预备会议</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2402984C">
            <w:pPr>
              <w:rPr>
                <w:rFonts w:hint="eastAsia" w:ascii="宋体" w:hAnsi="宋体" w:eastAsia="宋体" w:cs="宋体"/>
                <w:i w:val="0"/>
                <w:iCs w:val="0"/>
                <w:color w:val="auto"/>
                <w:sz w:val="24"/>
              </w:rPr>
            </w:pPr>
            <w:r>
              <w:rPr>
                <w:rFonts w:hint="eastAsia" w:ascii="宋体" w:hAnsi="宋体" w:eastAsia="宋体" w:cs="宋体"/>
                <w:i w:val="0"/>
                <w:iCs w:val="0"/>
                <w:color w:val="auto"/>
                <w:sz w:val="24"/>
              </w:rPr>
              <w:t>无</w:t>
            </w:r>
          </w:p>
        </w:tc>
      </w:tr>
      <w:tr w14:paraId="10230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1D0B160">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A4EDC0B">
            <w:pPr>
              <w:jc w:val="center"/>
              <w:rPr>
                <w:rFonts w:hint="eastAsia" w:ascii="宋体" w:hAnsi="宋体" w:eastAsia="宋体" w:cs="宋体"/>
                <w:b/>
                <w:bCs/>
                <w:i w:val="0"/>
                <w:iCs w:val="0"/>
                <w:color w:val="auto"/>
                <w:sz w:val="24"/>
              </w:rPr>
            </w:pPr>
            <w:r>
              <w:rPr>
                <w:rFonts w:hint="eastAsia" w:ascii="宋体" w:hAnsi="宋体" w:eastAsia="宋体" w:cs="宋体"/>
                <w:b w:val="0"/>
                <w:bCs w:val="0"/>
                <w:i w:val="0"/>
                <w:iCs w:val="0"/>
                <w:color w:val="auto"/>
                <w:sz w:val="24"/>
              </w:rPr>
              <w:t>报价</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60B6E933">
            <w:pPr>
              <w:spacing w:before="72" w:beforeLines="30" w:line="360" w:lineRule="auto"/>
              <w:rPr>
                <w:rFonts w:hint="eastAsia" w:ascii="宋体" w:hAnsi="宋体" w:eastAsia="宋体" w:cs="宋体"/>
                <w:b w:val="0"/>
                <w:bCs w:val="0"/>
                <w:i w:val="0"/>
                <w:iCs w:val="0"/>
                <w:color w:val="auto"/>
                <w:sz w:val="24"/>
                <w:lang w:val="en-US" w:eastAsia="zh-CN"/>
              </w:rPr>
            </w:pPr>
            <w:r>
              <w:rPr>
                <w:rFonts w:hint="eastAsia" w:ascii="宋体" w:hAnsi="宋体" w:cs="宋体"/>
                <w:b w:val="0"/>
                <w:bCs w:val="0"/>
                <w:i w:val="0"/>
                <w:iCs w:val="0"/>
                <w:color w:val="auto"/>
                <w:sz w:val="24"/>
                <w:lang w:val="en-US" w:eastAsia="zh-CN"/>
              </w:rPr>
              <w:t>托管费</w:t>
            </w:r>
            <w:r>
              <w:rPr>
                <w:rFonts w:hint="eastAsia" w:ascii="宋体" w:hAnsi="宋体" w:eastAsia="宋体" w:cs="宋体"/>
                <w:b w:val="0"/>
                <w:bCs w:val="0"/>
                <w:i w:val="0"/>
                <w:iCs w:val="0"/>
                <w:color w:val="auto"/>
                <w:sz w:val="24"/>
                <w:lang w:val="en-US" w:eastAsia="zh-CN"/>
              </w:rPr>
              <w:t>最高限价</w:t>
            </w:r>
            <w:r>
              <w:rPr>
                <w:rFonts w:hint="eastAsia" w:ascii="宋体" w:hAnsi="宋体" w:cs="宋体"/>
                <w:b w:val="0"/>
                <w:bCs w:val="0"/>
                <w:i w:val="0"/>
                <w:iCs w:val="0"/>
                <w:color w:val="auto"/>
                <w:sz w:val="24"/>
                <w:lang w:val="en-US" w:eastAsia="zh-CN"/>
              </w:rPr>
              <w:t>总价</w:t>
            </w:r>
            <w:r>
              <w:rPr>
                <w:rFonts w:hint="eastAsia" w:ascii="宋体" w:hAnsi="宋体" w:eastAsia="宋体" w:cs="宋体"/>
                <w:b w:val="0"/>
                <w:bCs w:val="0"/>
                <w:i w:val="0"/>
                <w:iCs w:val="0"/>
                <w:color w:val="auto"/>
                <w:sz w:val="24"/>
              </w:rPr>
              <w:t>:</w:t>
            </w:r>
            <w:r>
              <w:rPr>
                <w:rFonts w:hint="eastAsia" w:ascii="宋体" w:hAnsi="宋体" w:cs="宋体"/>
                <w:b w:val="0"/>
                <w:bCs w:val="0"/>
                <w:i w:val="0"/>
                <w:iCs w:val="0"/>
                <w:color w:val="auto"/>
                <w:sz w:val="24"/>
                <w:lang w:val="en-US" w:eastAsia="zh-CN"/>
              </w:rPr>
              <w:t>14000000.00元，其中最高限价7000000.00</w:t>
            </w:r>
            <w:r>
              <w:rPr>
                <w:rFonts w:hint="eastAsia" w:ascii="宋体" w:hAnsi="宋体" w:eastAsia="宋体" w:cs="宋体"/>
                <w:b w:val="0"/>
                <w:bCs w:val="0"/>
                <w:i w:val="0"/>
                <w:iCs w:val="0"/>
                <w:color w:val="auto"/>
                <w:sz w:val="24"/>
              </w:rPr>
              <w:t>元</w:t>
            </w:r>
            <w:r>
              <w:rPr>
                <w:rFonts w:hint="eastAsia" w:ascii="宋体" w:hAnsi="宋体" w:cs="宋体"/>
                <w:b w:val="0"/>
                <w:bCs w:val="0"/>
                <w:i w:val="0"/>
                <w:iCs w:val="0"/>
                <w:color w:val="auto"/>
                <w:sz w:val="24"/>
                <w:lang w:val="en-US" w:eastAsia="zh-CN"/>
              </w:rPr>
              <w:t>/年</w:t>
            </w:r>
            <w:r>
              <w:rPr>
                <w:rFonts w:hint="eastAsia" w:ascii="宋体" w:hAnsi="宋体" w:cs="宋体"/>
                <w:b w:val="0"/>
                <w:bCs w:val="0"/>
                <w:i w:val="0"/>
                <w:iCs w:val="0"/>
                <w:color w:val="auto"/>
                <w:sz w:val="24"/>
                <w:lang w:eastAsia="zh-CN"/>
              </w:rPr>
              <w:t>。</w:t>
            </w:r>
          </w:p>
          <w:p w14:paraId="225C324E">
            <w:pPr>
              <w:spacing w:before="72" w:beforeLines="30"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干部职工餐厅托管费投标报价范围：早餐在5</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元/人次之内,午餐8</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元/人次之内，晚餐在3</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元/人次之内；无年固定劳务补贴。</w:t>
            </w:r>
          </w:p>
          <w:p w14:paraId="770B8192">
            <w:pPr>
              <w:spacing w:before="72" w:beforeLines="30"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县级餐厅托管费投标报价范围，早餐在6.</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元/人次之内,午餐12.</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元/人次之内，晚餐在3.</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元/人次之内；年固定劳务费补助报价在60万元之内。</w:t>
            </w:r>
          </w:p>
          <w:p w14:paraId="4BCA06AF">
            <w:pPr>
              <w:spacing w:before="72" w:beforeLines="30"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厅级餐厅托管费投标报价范围，早餐在10.</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元/人次之内,午餐21.</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元/人次之内，晚餐在9.</w:t>
            </w:r>
            <w:r>
              <w:rPr>
                <w:rFonts w:hint="eastAsia" w:ascii="宋体" w:hAnsi="宋体" w:eastAsia="宋体" w:cs="宋体"/>
                <w:b w:val="0"/>
                <w:bCs w:val="0"/>
                <w:color w:val="auto"/>
                <w:sz w:val="24"/>
                <w:szCs w:val="24"/>
                <w:lang w:val="en" w:eastAsia="zh-CN"/>
              </w:rPr>
              <w:t>0</w:t>
            </w:r>
            <w:r>
              <w:rPr>
                <w:rFonts w:hint="eastAsia" w:ascii="宋体" w:hAnsi="宋体" w:eastAsia="宋体" w:cs="宋体"/>
                <w:b w:val="0"/>
                <w:bCs w:val="0"/>
                <w:color w:val="auto"/>
                <w:sz w:val="24"/>
                <w:szCs w:val="24"/>
                <w:lang w:val="en-US" w:eastAsia="zh-CN"/>
              </w:rPr>
              <w:t>元/人次之内；年固定劳务费补助报价在87万元之内。</w:t>
            </w:r>
          </w:p>
          <w:p w14:paraId="0155AAAD">
            <w:pPr>
              <w:spacing w:before="72" w:beforeLines="30" w:line="360" w:lineRule="auto"/>
              <w:rPr>
                <w:rFonts w:hint="eastAsia" w:ascii="宋体" w:hAnsi="宋体" w:eastAsia="宋体" w:cs="宋体"/>
                <w:b/>
                <w:bCs/>
                <w:i w:val="0"/>
                <w:iCs w:val="0"/>
                <w:color w:val="auto"/>
                <w:sz w:val="24"/>
              </w:rPr>
            </w:pPr>
            <w:r>
              <w:rPr>
                <w:rFonts w:hint="eastAsia" w:ascii="宋体" w:hAnsi="宋体" w:eastAsia="宋体" w:cs="宋体"/>
                <w:b w:val="0"/>
                <w:bCs w:val="0"/>
                <w:color w:val="auto"/>
                <w:sz w:val="24"/>
                <w:szCs w:val="24"/>
                <w:lang w:val="en-US" w:eastAsia="zh-CN"/>
              </w:rPr>
              <w:t>超出上述范围的报价为无效报价。</w:t>
            </w:r>
          </w:p>
        </w:tc>
      </w:tr>
      <w:tr w14:paraId="04971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2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272A9F7">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9661BBE">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报价采用的币种</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6F12B1DD">
            <w:pPr>
              <w:rPr>
                <w:rFonts w:hint="eastAsia" w:ascii="宋体" w:hAnsi="宋体" w:eastAsia="宋体" w:cs="宋体"/>
                <w:i w:val="0"/>
                <w:iCs w:val="0"/>
                <w:color w:val="auto"/>
                <w:sz w:val="24"/>
              </w:rPr>
            </w:pPr>
            <w:r>
              <w:rPr>
                <w:rFonts w:hint="eastAsia" w:ascii="宋体" w:hAnsi="宋体" w:eastAsia="宋体" w:cs="宋体"/>
                <w:i w:val="0"/>
                <w:iCs w:val="0"/>
                <w:color w:val="auto"/>
                <w:sz w:val="24"/>
              </w:rPr>
              <w:t>人民币</w:t>
            </w:r>
          </w:p>
        </w:tc>
      </w:tr>
      <w:tr w14:paraId="45DC8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2AC99F8">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14</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A40BA96">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投标有效期</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3082B3E6">
            <w:pPr>
              <w:rPr>
                <w:rFonts w:hint="eastAsia" w:ascii="宋体" w:hAnsi="宋体" w:eastAsia="宋体" w:cs="宋体"/>
                <w:i w:val="0"/>
                <w:iCs w:val="0"/>
                <w:color w:val="auto"/>
                <w:sz w:val="24"/>
              </w:rPr>
            </w:pPr>
            <w:r>
              <w:rPr>
                <w:rFonts w:hint="eastAsia" w:ascii="宋体" w:hAnsi="宋体" w:eastAsia="宋体" w:cs="宋体"/>
                <w:i w:val="0"/>
                <w:iCs w:val="0"/>
                <w:color w:val="auto"/>
                <w:sz w:val="24"/>
              </w:rPr>
              <w:t>从投标截止之日起90日历天</w:t>
            </w:r>
          </w:p>
        </w:tc>
        <w:tc>
          <w:tcPr>
            <w:tcW w:w="236" w:type="dxa"/>
            <w:tcBorders>
              <w:top w:val="nil"/>
              <w:left w:val="single" w:color="auto" w:sz="4" w:space="0"/>
              <w:bottom w:val="nil"/>
              <w:right w:val="nil"/>
            </w:tcBorders>
            <w:noWrap w:val="0"/>
            <w:vAlign w:val="center"/>
          </w:tcPr>
          <w:p w14:paraId="6C9DF398">
            <w:pPr>
              <w:ind w:left="-29" w:hanging="145"/>
              <w:rPr>
                <w:rFonts w:hint="eastAsia" w:ascii="宋体" w:hAnsi="宋体" w:eastAsia="宋体" w:cs="宋体"/>
                <w:i w:val="0"/>
                <w:iCs w:val="0"/>
                <w:color w:val="auto"/>
                <w:sz w:val="24"/>
              </w:rPr>
            </w:pPr>
          </w:p>
        </w:tc>
      </w:tr>
      <w:tr w14:paraId="51434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550660A">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F7AD78F">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投标人的备选方案</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43F17D51">
            <w:pPr>
              <w:rPr>
                <w:rFonts w:hint="eastAsia" w:ascii="宋体" w:hAnsi="宋体" w:eastAsia="宋体" w:cs="宋体"/>
                <w:i w:val="0"/>
                <w:iCs w:val="0"/>
                <w:color w:val="auto"/>
                <w:sz w:val="24"/>
              </w:rPr>
            </w:pPr>
            <w:r>
              <w:rPr>
                <w:rFonts w:hint="eastAsia" w:ascii="宋体" w:hAnsi="宋体" w:eastAsia="宋体" w:cs="宋体"/>
                <w:i w:val="0"/>
                <w:iCs w:val="0"/>
                <w:color w:val="auto"/>
                <w:sz w:val="24"/>
              </w:rPr>
              <w:t>本项目不允许备选方案</w:t>
            </w:r>
          </w:p>
        </w:tc>
      </w:tr>
      <w:tr w14:paraId="01CDD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474AFDF">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5258E86">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投标文件提交地点及截止时间</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26ECA249">
            <w:pPr>
              <w:spacing w:before="72" w:beforeLines="30"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时间：</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05</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14</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09</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时</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00</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分00秒</w:t>
            </w:r>
            <w:r>
              <w:rPr>
                <w:rFonts w:hint="eastAsia" w:ascii="宋体" w:hAnsi="宋体" w:eastAsia="宋体" w:cs="宋体"/>
                <w:i w:val="0"/>
                <w:iCs w:val="0"/>
                <w:color w:val="auto"/>
                <w:sz w:val="24"/>
              </w:rPr>
              <w:t>（北京时间）</w:t>
            </w:r>
          </w:p>
          <w:p w14:paraId="0D48E543">
            <w:pPr>
              <w:spacing w:before="72" w:beforeLines="30"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地点：延安市公共资源交易中心交易</w:t>
            </w:r>
            <w:r>
              <w:rPr>
                <w:rFonts w:hint="eastAsia" w:ascii="宋体" w:hAnsi="宋体" w:cs="宋体"/>
                <w:i w:val="0"/>
                <w:iCs w:val="0"/>
                <w:color w:val="auto"/>
                <w:sz w:val="24"/>
                <w:lang w:val="en-US" w:eastAsia="zh-CN"/>
              </w:rPr>
              <w:t>一</w:t>
            </w:r>
            <w:r>
              <w:rPr>
                <w:rFonts w:hint="eastAsia" w:ascii="宋体" w:hAnsi="宋体" w:eastAsia="宋体" w:cs="宋体"/>
                <w:i w:val="0"/>
                <w:iCs w:val="0"/>
                <w:color w:val="auto"/>
                <w:sz w:val="24"/>
                <w:highlight w:val="none"/>
              </w:rPr>
              <w:t>厅</w:t>
            </w:r>
          </w:p>
        </w:tc>
      </w:tr>
      <w:tr w14:paraId="66C22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5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7B9E263">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4C2BCDB">
            <w:pPr>
              <w:spacing w:before="72" w:beforeLines="30" w:line="360"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开标</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17DF1928">
            <w:pPr>
              <w:spacing w:before="72" w:beforeLines="30" w:line="360" w:lineRule="auto"/>
              <w:ind w:left="-107" w:leftChars="-51"/>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开标时间：</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05</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14</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09</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时</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00</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分00秒</w:t>
            </w:r>
            <w:r>
              <w:rPr>
                <w:rFonts w:hint="eastAsia" w:ascii="宋体" w:hAnsi="宋体" w:eastAsia="宋体" w:cs="宋体"/>
                <w:i w:val="0"/>
                <w:iCs w:val="0"/>
                <w:color w:val="auto"/>
                <w:sz w:val="24"/>
                <w:highlight w:val="none"/>
              </w:rPr>
              <w:t>（北京时间）</w:t>
            </w:r>
          </w:p>
          <w:p w14:paraId="1BCF0DD1">
            <w:pPr>
              <w:spacing w:before="72" w:beforeLines="30" w:line="360" w:lineRule="auto"/>
              <w:ind w:left="-107" w:leftChars="-51"/>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开标</w:t>
            </w:r>
            <w:r>
              <w:rPr>
                <w:rFonts w:hint="eastAsia" w:ascii="宋体" w:hAnsi="宋体" w:eastAsia="宋体" w:cs="宋体"/>
                <w:i w:val="0"/>
                <w:iCs w:val="0"/>
                <w:color w:val="auto"/>
                <w:sz w:val="24"/>
                <w:highlight w:val="none"/>
                <w:lang w:eastAsia="zh-CN"/>
              </w:rPr>
              <w:t>地点</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rPr>
              <w:t>延安市公共资源交易中心交易</w:t>
            </w:r>
            <w:r>
              <w:rPr>
                <w:rFonts w:hint="eastAsia" w:ascii="宋体" w:hAnsi="宋体" w:cs="宋体"/>
                <w:i w:val="0"/>
                <w:iCs w:val="0"/>
                <w:color w:val="auto"/>
                <w:sz w:val="24"/>
                <w:lang w:val="en-US" w:eastAsia="zh-CN"/>
              </w:rPr>
              <w:t>一</w:t>
            </w:r>
            <w:r>
              <w:rPr>
                <w:rFonts w:hint="eastAsia" w:ascii="宋体" w:hAnsi="宋体" w:eastAsia="宋体" w:cs="宋体"/>
                <w:i w:val="0"/>
                <w:iCs w:val="0"/>
                <w:color w:val="auto"/>
                <w:sz w:val="24"/>
                <w:highlight w:val="none"/>
              </w:rPr>
              <w:t>厅</w:t>
            </w:r>
          </w:p>
        </w:tc>
      </w:tr>
      <w:tr w14:paraId="5D919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00562C3">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7C26CC4">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评标方法及标准</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2DA210FB">
            <w:pPr>
              <w:rPr>
                <w:rFonts w:hint="eastAsia" w:ascii="宋体" w:hAnsi="宋体" w:eastAsia="宋体" w:cs="宋体"/>
                <w:i w:val="0"/>
                <w:iCs w:val="0"/>
                <w:color w:val="auto"/>
                <w:sz w:val="24"/>
              </w:rPr>
            </w:pPr>
            <w:r>
              <w:rPr>
                <w:rFonts w:hint="eastAsia" w:ascii="宋体" w:hAnsi="宋体" w:eastAsia="宋体" w:cs="宋体"/>
                <w:i w:val="0"/>
                <w:iCs w:val="0"/>
                <w:color w:val="auto"/>
                <w:sz w:val="24"/>
              </w:rPr>
              <w:t>详见第六章“评标标准和方法”。</w:t>
            </w:r>
          </w:p>
        </w:tc>
      </w:tr>
      <w:tr w14:paraId="18711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D0BEBAF">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19</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4034FD0">
            <w:pPr>
              <w:jc w:val="center"/>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lang w:val="en-US" w:eastAsia="zh-CN"/>
              </w:rPr>
              <w:t>提交投标文件</w:t>
            </w:r>
            <w:r>
              <w:rPr>
                <w:rFonts w:hint="eastAsia" w:ascii="宋体" w:hAnsi="宋体" w:eastAsia="宋体" w:cs="宋体"/>
                <w:i w:val="0"/>
                <w:iCs w:val="0"/>
                <w:color w:val="auto"/>
                <w:sz w:val="24"/>
              </w:rPr>
              <w:t>需携带</w:t>
            </w:r>
            <w:r>
              <w:rPr>
                <w:rFonts w:hint="eastAsia" w:ascii="宋体" w:hAnsi="宋体" w:eastAsia="宋体" w:cs="宋体"/>
                <w:i w:val="0"/>
                <w:iCs w:val="0"/>
                <w:color w:val="auto"/>
                <w:sz w:val="24"/>
                <w:lang w:val="en-US" w:eastAsia="zh-CN"/>
              </w:rPr>
              <w:t>资料</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2D526D89">
            <w:pPr>
              <w:spacing w:before="72" w:beforeLines="30" w:line="360" w:lineRule="auto"/>
              <w:rPr>
                <w:rFonts w:hint="default" w:ascii="宋体" w:hAnsi="宋体" w:eastAsia="宋体" w:cs="宋体"/>
                <w:i w:val="0"/>
                <w:iCs w:val="0"/>
                <w:color w:val="auto"/>
                <w:sz w:val="24"/>
                <w:lang w:val="en-US" w:eastAsia="zh-CN"/>
              </w:rPr>
            </w:pPr>
            <w:r>
              <w:rPr>
                <w:rFonts w:hint="eastAsia" w:ascii="宋体" w:hAnsi="宋体" w:cs="宋体"/>
                <w:i w:val="0"/>
                <w:iCs w:val="0"/>
                <w:color w:val="auto"/>
                <w:sz w:val="24"/>
                <w:lang w:eastAsia="zh-CN"/>
              </w:rPr>
              <w:t>投标人</w:t>
            </w:r>
            <w:r>
              <w:rPr>
                <w:rFonts w:hint="eastAsia" w:ascii="宋体" w:hAnsi="宋体" w:eastAsia="宋体" w:cs="宋体"/>
                <w:i w:val="0"/>
                <w:iCs w:val="0"/>
                <w:color w:val="auto"/>
                <w:sz w:val="24"/>
              </w:rPr>
              <w:t>需在投标截止时间前</w:t>
            </w:r>
            <w:r>
              <w:rPr>
                <w:rFonts w:hint="eastAsia" w:ascii="宋体" w:hAnsi="宋体" w:eastAsia="宋体" w:cs="宋体"/>
                <w:i w:val="0"/>
                <w:iCs w:val="0"/>
                <w:color w:val="auto"/>
                <w:sz w:val="24"/>
                <w:lang w:val="en-US" w:eastAsia="zh-CN"/>
              </w:rPr>
              <w:t>携带</w:t>
            </w:r>
            <w:r>
              <w:rPr>
                <w:rFonts w:hint="eastAsia" w:ascii="宋体" w:hAnsi="宋体" w:eastAsia="宋体" w:cs="宋体"/>
                <w:i w:val="0"/>
                <w:iCs w:val="0"/>
                <w:color w:val="auto"/>
                <w:sz w:val="24"/>
              </w:rPr>
              <w:t>法定代表人授权委托书原件及被委托人身份证原件（法定代表人（负责人）亲自参加的须提供法定代表人（负责人）身份证明书原件及法定代表人（负责人）身份证原件）</w:t>
            </w:r>
            <w:r>
              <w:rPr>
                <w:rFonts w:hint="eastAsia" w:ascii="宋体" w:hAnsi="宋体" w:cs="宋体"/>
                <w:i w:val="0"/>
                <w:iCs w:val="0"/>
                <w:color w:val="auto"/>
                <w:sz w:val="24"/>
                <w:lang w:val="en-US" w:eastAsia="zh-CN"/>
              </w:rPr>
              <w:t>及保证金回单。</w:t>
            </w:r>
          </w:p>
        </w:tc>
      </w:tr>
      <w:tr w14:paraId="36211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ED5BE70">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88620F3">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付款方式</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33ACC5E5">
            <w:pPr>
              <w:snapToGrid w:val="0"/>
              <w:rPr>
                <w:rFonts w:hint="eastAsia" w:ascii="宋体" w:hAnsi="宋体" w:eastAsia="宋体" w:cs="宋体"/>
                <w:i w:val="0"/>
                <w:iCs w:val="0"/>
                <w:color w:val="auto"/>
                <w:sz w:val="24"/>
              </w:rPr>
            </w:pPr>
            <w:r>
              <w:rPr>
                <w:rFonts w:hint="eastAsia" w:ascii="宋体" w:hAnsi="宋体" w:eastAsia="宋体" w:cs="宋体"/>
                <w:i w:val="0"/>
                <w:iCs w:val="0"/>
                <w:color w:val="auto"/>
                <w:sz w:val="24"/>
              </w:rPr>
              <w:t>详见合同条款。</w:t>
            </w:r>
          </w:p>
        </w:tc>
      </w:tr>
      <w:tr w14:paraId="3D056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B538ABC">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F0EEE26">
            <w:pPr>
              <w:jc w:val="center"/>
              <w:rPr>
                <w:rFonts w:hint="eastAsia" w:ascii="宋体" w:hAnsi="宋体" w:eastAsia="宋体" w:cs="宋体"/>
                <w:b w:val="0"/>
                <w:bCs w:val="0"/>
                <w:i w:val="0"/>
                <w:iCs w:val="0"/>
                <w:color w:val="auto"/>
                <w:sz w:val="24"/>
              </w:rPr>
            </w:pPr>
            <w:r>
              <w:rPr>
                <w:rFonts w:hint="eastAsia" w:ascii="宋体" w:hAnsi="宋体" w:cs="宋体"/>
                <w:b w:val="0"/>
                <w:bCs w:val="0"/>
                <w:i w:val="0"/>
                <w:iCs w:val="0"/>
                <w:color w:val="auto"/>
                <w:sz w:val="24"/>
                <w:lang w:eastAsia="zh-CN"/>
              </w:rPr>
              <w:t>服务期</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225370C2">
            <w:pPr>
              <w:jc w:val="left"/>
              <w:rPr>
                <w:rFonts w:hint="default" w:ascii="宋体" w:hAnsi="宋体" w:eastAsia="宋体" w:cs="宋体"/>
                <w:b w:val="0"/>
                <w:bCs w:val="0"/>
                <w:i w:val="0"/>
                <w:iCs w:val="0"/>
                <w:color w:val="auto"/>
                <w:sz w:val="24"/>
                <w:lang w:val="en-US" w:eastAsia="zh-CN"/>
              </w:rPr>
            </w:pPr>
            <w:r>
              <w:rPr>
                <w:rFonts w:hint="eastAsia" w:ascii="宋体" w:hAnsi="宋体" w:cs="宋体"/>
                <w:b w:val="0"/>
                <w:bCs w:val="0"/>
                <w:i w:val="0"/>
                <w:iCs w:val="0"/>
                <w:color w:val="auto"/>
                <w:sz w:val="24"/>
                <w:highlight w:val="none"/>
                <w:lang w:val="en-US" w:eastAsia="zh-CN"/>
              </w:rPr>
              <w:t>两年，合同一年一签</w:t>
            </w:r>
          </w:p>
        </w:tc>
      </w:tr>
      <w:tr w14:paraId="64B8A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54EC7A7">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8C6E8CF">
            <w:pPr>
              <w:jc w:val="center"/>
              <w:rPr>
                <w:rFonts w:hint="eastAsia" w:ascii="宋体" w:hAnsi="宋体" w:eastAsia="宋体" w:cs="宋体"/>
                <w:i w:val="0"/>
                <w:iCs w:val="0"/>
                <w:color w:val="auto"/>
                <w:spacing w:val="-10"/>
                <w:sz w:val="24"/>
              </w:rPr>
            </w:pPr>
            <w:r>
              <w:rPr>
                <w:rFonts w:hint="eastAsia" w:ascii="宋体" w:hAnsi="宋体" w:eastAsia="宋体" w:cs="宋体"/>
                <w:i w:val="0"/>
                <w:iCs w:val="0"/>
                <w:color w:val="auto"/>
                <w:spacing w:val="-10"/>
                <w:sz w:val="24"/>
              </w:rPr>
              <w:t>质量</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4323C71A">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满足国家及行业标准要求</w:t>
            </w:r>
          </w:p>
        </w:tc>
      </w:tr>
      <w:tr w14:paraId="59D0D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DD191B3">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1D4B0B7">
            <w:pPr>
              <w:jc w:val="center"/>
              <w:rPr>
                <w:rFonts w:hint="eastAsia" w:ascii="宋体" w:hAnsi="宋体" w:eastAsia="宋体" w:cs="宋体"/>
                <w:i w:val="0"/>
                <w:iCs w:val="0"/>
                <w:color w:val="auto"/>
                <w:spacing w:val="-10"/>
                <w:sz w:val="24"/>
                <w:highlight w:val="none"/>
              </w:rPr>
            </w:pPr>
            <w:r>
              <w:rPr>
                <w:rFonts w:hint="eastAsia" w:ascii="宋体" w:hAnsi="宋体" w:eastAsia="宋体" w:cs="宋体"/>
                <w:i w:val="0"/>
                <w:iCs w:val="0"/>
                <w:color w:val="auto"/>
                <w:spacing w:val="-10"/>
                <w:sz w:val="24"/>
                <w:highlight w:val="none"/>
              </w:rPr>
              <w:t>资金来源</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239E8A8B">
            <w:pPr>
              <w:spacing w:line="360" w:lineRule="auto"/>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财政拨款</w:t>
            </w:r>
          </w:p>
        </w:tc>
      </w:tr>
      <w:tr w14:paraId="71CB1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27BABC3">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24</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C2DCC4">
            <w:pPr>
              <w:jc w:val="center"/>
              <w:rPr>
                <w:rFonts w:hint="eastAsia" w:ascii="宋体" w:hAnsi="宋体" w:eastAsia="宋体" w:cs="宋体"/>
                <w:i w:val="0"/>
                <w:iCs w:val="0"/>
                <w:color w:val="auto"/>
                <w:spacing w:val="-10"/>
                <w:sz w:val="24"/>
              </w:rPr>
            </w:pPr>
            <w:r>
              <w:rPr>
                <w:rFonts w:hint="eastAsia" w:ascii="宋体" w:hAnsi="宋体" w:eastAsia="宋体" w:cs="宋体"/>
                <w:i w:val="0"/>
                <w:iCs w:val="0"/>
                <w:color w:val="auto"/>
                <w:spacing w:val="-10"/>
                <w:sz w:val="24"/>
              </w:rPr>
              <w:t>资金落实情况</w:t>
            </w:r>
          </w:p>
        </w:tc>
        <w:tc>
          <w:tcPr>
            <w:tcW w:w="6898" w:type="dxa"/>
            <w:tcBorders>
              <w:top w:val="single" w:color="auto" w:sz="4" w:space="0"/>
              <w:left w:val="single" w:color="auto" w:sz="4" w:space="0"/>
              <w:bottom w:val="single" w:color="auto" w:sz="4" w:space="0"/>
              <w:right w:val="single" w:color="auto" w:sz="4" w:space="0"/>
            </w:tcBorders>
            <w:noWrap w:val="0"/>
            <w:vAlign w:val="bottom"/>
          </w:tcPr>
          <w:p w14:paraId="1C7AA137">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资金已落实</w:t>
            </w:r>
          </w:p>
        </w:tc>
      </w:tr>
      <w:tr w14:paraId="46579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4D74F30">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2D4709D">
            <w:pPr>
              <w:jc w:val="center"/>
              <w:rPr>
                <w:rFonts w:hint="eastAsia" w:ascii="宋体" w:hAnsi="宋体" w:eastAsia="宋体" w:cs="宋体"/>
                <w:i w:val="0"/>
                <w:iCs w:val="0"/>
                <w:color w:val="auto"/>
                <w:spacing w:val="-10"/>
                <w:sz w:val="24"/>
              </w:rPr>
            </w:pPr>
            <w:r>
              <w:rPr>
                <w:rFonts w:hint="eastAsia" w:ascii="宋体" w:hAnsi="宋体" w:eastAsia="宋体" w:cs="宋体"/>
                <w:i w:val="0"/>
                <w:iCs w:val="0"/>
                <w:color w:val="auto"/>
                <w:spacing w:val="-10"/>
                <w:sz w:val="24"/>
              </w:rPr>
              <w:t>采购方式</w:t>
            </w:r>
          </w:p>
        </w:tc>
        <w:tc>
          <w:tcPr>
            <w:tcW w:w="6898" w:type="dxa"/>
            <w:tcBorders>
              <w:top w:val="single" w:color="auto" w:sz="4" w:space="0"/>
              <w:left w:val="single" w:color="auto" w:sz="4" w:space="0"/>
              <w:bottom w:val="single" w:color="auto" w:sz="4" w:space="0"/>
              <w:right w:val="single" w:color="auto" w:sz="4" w:space="0"/>
            </w:tcBorders>
            <w:noWrap w:val="0"/>
            <w:vAlign w:val="bottom"/>
          </w:tcPr>
          <w:p w14:paraId="37C7F990">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公开招标</w:t>
            </w:r>
          </w:p>
        </w:tc>
      </w:tr>
      <w:tr w14:paraId="55023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987E3CE">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71637BA">
            <w:pPr>
              <w:jc w:val="center"/>
              <w:rPr>
                <w:rFonts w:hint="eastAsia" w:ascii="宋体" w:hAnsi="宋体" w:eastAsia="宋体" w:cs="宋体"/>
                <w:i w:val="0"/>
                <w:iCs w:val="0"/>
                <w:color w:val="auto"/>
                <w:spacing w:val="-10"/>
                <w:sz w:val="24"/>
              </w:rPr>
            </w:pPr>
            <w:r>
              <w:rPr>
                <w:rFonts w:hint="eastAsia" w:ascii="宋体" w:hAnsi="宋体" w:eastAsia="宋体" w:cs="宋体"/>
                <w:i w:val="0"/>
                <w:iCs w:val="0"/>
                <w:color w:val="auto"/>
                <w:spacing w:val="-10"/>
                <w:sz w:val="24"/>
              </w:rPr>
              <w:t>评标办法</w:t>
            </w:r>
          </w:p>
        </w:tc>
        <w:tc>
          <w:tcPr>
            <w:tcW w:w="6898" w:type="dxa"/>
            <w:tcBorders>
              <w:top w:val="single" w:color="auto" w:sz="4" w:space="0"/>
              <w:left w:val="single" w:color="auto" w:sz="4" w:space="0"/>
              <w:bottom w:val="single" w:color="auto" w:sz="4" w:space="0"/>
              <w:right w:val="single" w:color="auto" w:sz="4" w:space="0"/>
            </w:tcBorders>
            <w:noWrap w:val="0"/>
            <w:vAlign w:val="bottom"/>
          </w:tcPr>
          <w:p w14:paraId="73384079">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采用综合评分法</w:t>
            </w:r>
          </w:p>
        </w:tc>
      </w:tr>
      <w:tr w14:paraId="72ECB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1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352E23B">
            <w:pPr>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8B4F7C4">
            <w:pPr>
              <w:jc w:val="center"/>
              <w:rPr>
                <w:rFonts w:hint="eastAsia" w:ascii="宋体" w:hAnsi="宋体" w:eastAsia="宋体" w:cs="宋体"/>
                <w:i w:val="0"/>
                <w:iCs w:val="0"/>
                <w:color w:val="auto"/>
                <w:spacing w:val="-20"/>
                <w:sz w:val="24"/>
              </w:rPr>
            </w:pPr>
            <w:r>
              <w:rPr>
                <w:rFonts w:hint="eastAsia" w:ascii="宋体" w:hAnsi="宋体" w:eastAsia="宋体" w:cs="宋体"/>
                <w:i w:val="0"/>
                <w:iCs w:val="0"/>
                <w:color w:val="auto"/>
                <w:sz w:val="24"/>
              </w:rPr>
              <w:t>质疑</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05B7F5E5">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质疑内容要求：</w:t>
            </w:r>
          </w:p>
          <w:p w14:paraId="4BD934F2">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投标人提出质疑应当有明确的请求和必要的证明材料，代理机构不接受传真、电子邮件、复印件等形式的质疑材料。</w:t>
            </w:r>
          </w:p>
          <w:p w14:paraId="3621638E">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质疑函应当包括下列内容：</w:t>
            </w:r>
          </w:p>
          <w:p w14:paraId="292A17C3">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（1）投标人的姓名或者名称、地址、邮编、联系人及联系电话；</w:t>
            </w:r>
          </w:p>
          <w:p w14:paraId="78FBD285">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（2）质疑项目的名称、编号；</w:t>
            </w:r>
          </w:p>
          <w:p w14:paraId="732C3506">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（3）具体、明确的质疑事项与质疑事项相关的请求；</w:t>
            </w:r>
          </w:p>
          <w:p w14:paraId="025725F9">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（4）事实依据；</w:t>
            </w:r>
          </w:p>
          <w:p w14:paraId="30DB6FEC">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（5）提出质疑的日期；</w:t>
            </w:r>
          </w:p>
          <w:p w14:paraId="38D2008E">
            <w:pPr>
              <w:spacing w:line="360" w:lineRule="auto"/>
              <w:ind w:right="-126" w:rightChars="-60"/>
              <w:rPr>
                <w:rFonts w:hint="eastAsia" w:ascii="宋体" w:hAnsi="宋体" w:eastAsia="宋体" w:cs="宋体"/>
                <w:i w:val="0"/>
                <w:iCs w:val="0"/>
                <w:color w:val="auto"/>
                <w:sz w:val="24"/>
              </w:rPr>
            </w:pPr>
            <w:r>
              <w:rPr>
                <w:rFonts w:hint="eastAsia" w:ascii="宋体" w:hAnsi="宋体" w:eastAsia="宋体" w:cs="宋体"/>
                <w:i w:val="0"/>
                <w:iCs w:val="0"/>
                <w:color w:val="auto"/>
                <w:sz w:val="24"/>
              </w:rPr>
              <w:t>质疑函应当由法定代表人、主要负责人或授权代理人(附法人授权委托书）签字或盖章，并加盖单位公章。</w:t>
            </w:r>
          </w:p>
          <w:p w14:paraId="6FD46F37">
            <w:pPr>
              <w:spacing w:line="360" w:lineRule="auto"/>
              <w:ind w:right="-126" w:rightChars="-60"/>
              <w:rPr>
                <w:rFonts w:hint="eastAsia" w:ascii="宋体" w:hAnsi="宋体" w:eastAsia="宋体" w:cs="宋体"/>
                <w:i w:val="0"/>
                <w:iCs w:val="0"/>
                <w:color w:val="auto"/>
                <w:lang w:val="en-US" w:eastAsia="zh-CN"/>
              </w:rPr>
            </w:pPr>
            <w:r>
              <w:rPr>
                <w:rFonts w:hint="eastAsia" w:ascii="宋体" w:hAnsi="宋体" w:eastAsia="宋体" w:cs="宋体"/>
                <w:i w:val="0"/>
                <w:iCs w:val="0"/>
                <w:color w:val="auto"/>
                <w:sz w:val="24"/>
                <w:lang w:val="en-US" w:eastAsia="zh-CN"/>
              </w:rPr>
              <w:t>具体内容详见《政府采购质疑和投诉办法》（财政部令第94号）</w:t>
            </w:r>
          </w:p>
        </w:tc>
      </w:tr>
      <w:tr w14:paraId="706A0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3DFC321">
            <w:pPr>
              <w:jc w:val="center"/>
              <w:rPr>
                <w:rFonts w:hint="default" w:ascii="宋体" w:hAnsi="宋体" w:eastAsia="宋体" w:cs="宋体"/>
                <w:i w:val="0"/>
                <w:iCs w:val="0"/>
                <w:color w:val="auto"/>
                <w:sz w:val="24"/>
                <w:lang w:val="en-US" w:eastAsia="zh-CN"/>
              </w:rPr>
            </w:pPr>
            <w:r>
              <w:rPr>
                <w:rFonts w:hint="eastAsia" w:ascii="宋体" w:hAnsi="宋体" w:cs="宋体"/>
                <w:i w:val="0"/>
                <w:iCs w:val="0"/>
                <w:color w:val="auto"/>
                <w:sz w:val="24"/>
                <w:lang w:val="en-US" w:eastAsia="zh-CN"/>
              </w:rPr>
              <w:t>28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39FA73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采购标的</w:t>
            </w:r>
          </w:p>
          <w:p w14:paraId="420FF7C5">
            <w:pPr>
              <w:jc w:val="center"/>
              <w:rPr>
                <w:rFonts w:hint="eastAsia" w:ascii="宋体" w:hAnsi="宋体" w:eastAsia="宋体" w:cs="宋体"/>
                <w:i w:val="0"/>
                <w:iCs w:val="0"/>
                <w:color w:val="auto"/>
                <w:sz w:val="24"/>
              </w:rPr>
            </w:pPr>
            <w:r>
              <w:rPr>
                <w:rFonts w:hint="eastAsia" w:ascii="宋体" w:hAnsi="宋体" w:eastAsia="宋体" w:cs="宋体"/>
                <w:color w:val="auto"/>
                <w:sz w:val="24"/>
                <w:szCs w:val="24"/>
                <w:lang w:eastAsia="zh-CN"/>
              </w:rPr>
              <w:t>所属行业</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59FD1166">
            <w:pPr>
              <w:tabs>
                <w:tab w:val="left" w:pos="6439"/>
                <w:tab w:val="right" w:pos="6779"/>
              </w:tabs>
              <w:snapToGrid w:val="0"/>
              <w:spacing w:line="360" w:lineRule="auto"/>
              <w:ind w:right="88" w:rightChars="42"/>
              <w:jc w:val="left"/>
              <w:rPr>
                <w:rFonts w:hint="default" w:ascii="宋体" w:hAnsi="宋体" w:eastAsia="宋体" w:cs="宋体"/>
                <w:i w:val="0"/>
                <w:iCs w:val="0"/>
                <w:color w:val="auto"/>
                <w:sz w:val="24"/>
                <w:lang w:val="en-US" w:eastAsia="zh-CN"/>
              </w:rPr>
            </w:pPr>
            <w:r>
              <w:rPr>
                <w:rFonts w:hint="eastAsia" w:ascii="宋体" w:hAnsi="宋体" w:eastAsia="宋体" w:cs="宋体"/>
                <w:b w:val="0"/>
                <w:bCs w:val="0"/>
                <w:color w:val="auto"/>
                <w:sz w:val="24"/>
                <w:szCs w:val="24"/>
                <w:lang w:val="en-US" w:eastAsia="zh-CN"/>
              </w:rPr>
              <w:t>本项目采购标的对应的中小企业划分标准所属行业为</w:t>
            </w:r>
            <w:r>
              <w:rPr>
                <w:rFonts w:hint="eastAsia" w:ascii="宋体" w:hAnsi="宋体" w:cs="宋体"/>
                <w:b w:val="0"/>
                <w:bCs w:val="0"/>
                <w:color w:val="auto"/>
                <w:sz w:val="24"/>
                <w:szCs w:val="24"/>
                <w:lang w:val="en-US" w:eastAsia="zh-CN"/>
              </w:rPr>
              <w:t>餐饮业</w:t>
            </w:r>
          </w:p>
        </w:tc>
      </w:tr>
      <w:tr w14:paraId="715FA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9" w:hRule="atLeast"/>
        </w:trPr>
        <w:tc>
          <w:tcPr>
            <w:tcW w:w="9193" w:type="dxa"/>
            <w:gridSpan w:val="3"/>
            <w:tcBorders>
              <w:top w:val="single" w:color="auto" w:sz="4" w:space="0"/>
              <w:left w:val="single" w:color="auto" w:sz="4" w:space="0"/>
              <w:bottom w:val="single" w:color="auto" w:sz="4" w:space="0"/>
              <w:right w:val="single" w:color="auto" w:sz="4" w:space="0"/>
            </w:tcBorders>
            <w:noWrap w:val="0"/>
            <w:vAlign w:val="center"/>
          </w:tcPr>
          <w:p w14:paraId="16FE644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i w:val="0"/>
                <w:iCs w:val="0"/>
                <w:color w:val="auto"/>
                <w:sz w:val="24"/>
              </w:rPr>
            </w:pPr>
            <w:r>
              <w:rPr>
                <w:rFonts w:hint="eastAsia" w:ascii="宋体" w:hAnsi="宋体" w:eastAsia="宋体" w:cs="宋体"/>
                <w:i w:val="0"/>
                <w:iCs w:val="0"/>
                <w:color w:val="auto"/>
                <w:sz w:val="24"/>
              </w:rPr>
              <w:t>注：1、供应商需在在投标截止时间前上传电子版投标文件，逾期提交的，系统将会拒收；2、延安市公共资源交易中心电子化政府采购系统技术支持（软件开发商）</w:t>
            </w:r>
          </w:p>
          <w:p w14:paraId="059A0128">
            <w:pPr>
              <w:adjustRightInd w:val="0"/>
              <w:snapToGrid w:val="0"/>
              <w:spacing w:line="360" w:lineRule="auto"/>
              <w:ind w:left="706" w:leftChars="-1" w:hanging="708" w:hangingChars="295"/>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国泰新点软件股份有限公司</w:t>
            </w:r>
          </w:p>
          <w:p w14:paraId="1D1D3AEA">
            <w:pPr>
              <w:adjustRightInd w:val="0"/>
              <w:snapToGrid w:val="0"/>
              <w:spacing w:line="360" w:lineRule="auto"/>
              <w:ind w:left="706" w:leftChars="-1" w:hanging="708" w:hangingChars="295"/>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技术支持热线：400-998-0000/400-928-0095</w:t>
            </w:r>
          </w:p>
          <w:p w14:paraId="100B7048">
            <w:pPr>
              <w:adjustRightInd w:val="0"/>
              <w:snapToGrid w:val="0"/>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rPr>
              <w:t>驻场技术人员：029-86510166/86510167转80310</w:t>
            </w:r>
          </w:p>
        </w:tc>
      </w:tr>
      <w:tr w14:paraId="73352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42" w:hRule="atLeast"/>
        </w:trPr>
        <w:tc>
          <w:tcPr>
            <w:tcW w:w="9193" w:type="dxa"/>
            <w:gridSpan w:val="3"/>
            <w:tcBorders>
              <w:top w:val="single" w:color="auto" w:sz="4" w:space="0"/>
              <w:left w:val="single" w:color="auto" w:sz="4" w:space="0"/>
              <w:bottom w:val="single" w:color="auto" w:sz="4" w:space="0"/>
              <w:right w:val="single" w:color="auto" w:sz="4" w:space="0"/>
            </w:tcBorders>
            <w:noWrap w:val="0"/>
            <w:vAlign w:val="center"/>
          </w:tcPr>
          <w:p w14:paraId="095483D6">
            <w:pPr>
              <w:spacing w:line="360" w:lineRule="auto"/>
              <w:rPr>
                <w:rFonts w:hint="eastAsia" w:ascii="宋体" w:hAnsi="宋体" w:eastAsia="宋体" w:cs="宋体"/>
                <w:b/>
                <w:i w:val="0"/>
                <w:iCs w:val="0"/>
                <w:color w:val="auto"/>
                <w:sz w:val="24"/>
              </w:rPr>
            </w:pPr>
            <w:r>
              <w:rPr>
                <w:rFonts w:hint="eastAsia" w:ascii="宋体" w:hAnsi="宋体" w:eastAsia="宋体" w:cs="宋体"/>
                <w:b/>
                <w:i w:val="0"/>
                <w:iCs w:val="0"/>
                <w:color w:val="auto"/>
                <w:sz w:val="24"/>
              </w:rPr>
              <w:t>注：本项目采购完成后与</w:t>
            </w:r>
            <w:r>
              <w:rPr>
                <w:rFonts w:hint="eastAsia" w:ascii="宋体" w:hAnsi="宋体" w:cs="宋体"/>
                <w:b/>
                <w:bCs/>
                <w:i w:val="0"/>
                <w:iCs w:val="0"/>
                <w:caps w:val="0"/>
                <w:color w:val="auto"/>
                <w:spacing w:val="0"/>
                <w:sz w:val="24"/>
                <w:szCs w:val="24"/>
                <w:shd w:val="clear" w:color="auto" w:fill="FFFFFF"/>
                <w:lang w:eastAsia="zh-CN"/>
              </w:rPr>
              <w:t>延安市机关事务服务中心</w:t>
            </w:r>
            <w:r>
              <w:rPr>
                <w:rFonts w:hint="eastAsia" w:ascii="宋体" w:hAnsi="宋体" w:eastAsia="宋体" w:cs="宋体"/>
                <w:b/>
                <w:i w:val="0"/>
                <w:iCs w:val="0"/>
                <w:color w:val="auto"/>
                <w:sz w:val="24"/>
              </w:rPr>
              <w:t>签订合同。</w:t>
            </w:r>
          </w:p>
        </w:tc>
      </w:tr>
    </w:tbl>
    <w:p w14:paraId="164B3959">
      <w:pPr>
        <w:pStyle w:val="3"/>
        <w:numPr>
          <w:ilvl w:val="1"/>
          <w:numId w:val="0"/>
        </w:numPr>
        <w:spacing w:line="360" w:lineRule="auto"/>
        <w:jc w:val="center"/>
        <w:rPr>
          <w:rFonts w:hint="eastAsia" w:ascii="宋体" w:hAnsi="宋体" w:eastAsia="宋体" w:cs="宋体"/>
          <w:bCs/>
          <w:i w:val="0"/>
          <w:iCs w:val="0"/>
          <w:color w:val="auto"/>
          <w:sz w:val="32"/>
        </w:rPr>
      </w:pPr>
      <w:bookmarkStart w:id="26" w:name="_Toc358557638"/>
      <w:bookmarkStart w:id="27" w:name="_Toc4975"/>
      <w:bookmarkStart w:id="28" w:name="_Toc520985198"/>
      <w:bookmarkStart w:id="29" w:name="_Toc350345666"/>
      <w:bookmarkStart w:id="30" w:name="_Toc24985"/>
      <w:bookmarkStart w:id="31" w:name="_Toc12403"/>
      <w:bookmarkStart w:id="32" w:name="_Toc274911094"/>
      <w:bookmarkStart w:id="33" w:name="_Toc496617062"/>
      <w:r>
        <w:rPr>
          <w:rFonts w:hint="eastAsia" w:ascii="宋体" w:hAnsi="宋体" w:eastAsia="宋体" w:cs="宋体"/>
          <w:bCs/>
          <w:i w:val="0"/>
          <w:iCs w:val="0"/>
          <w:color w:val="auto"/>
          <w:sz w:val="32"/>
        </w:rPr>
        <w:br w:type="page"/>
      </w:r>
      <w:r>
        <w:rPr>
          <w:rFonts w:hint="eastAsia" w:ascii="宋体" w:hAnsi="宋体" w:eastAsia="宋体" w:cs="宋体"/>
          <w:bCs/>
          <w:i w:val="0"/>
          <w:iCs w:val="0"/>
          <w:color w:val="auto"/>
          <w:sz w:val="32"/>
        </w:rPr>
        <w:t>投标须知</w:t>
      </w:r>
      <w:bookmarkEnd w:id="26"/>
      <w:bookmarkEnd w:id="27"/>
      <w:bookmarkEnd w:id="28"/>
      <w:bookmarkEnd w:id="29"/>
      <w:bookmarkEnd w:id="30"/>
      <w:bookmarkEnd w:id="31"/>
      <w:bookmarkEnd w:id="32"/>
      <w:bookmarkEnd w:id="33"/>
    </w:p>
    <w:p w14:paraId="066E8A49">
      <w:pPr>
        <w:snapToGrid w:val="0"/>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本项目招标依据为《中华人民共和国政府采购法》等有关法律法规及规定。</w:t>
      </w:r>
    </w:p>
    <w:p w14:paraId="15DF1D03">
      <w:pPr>
        <w:pStyle w:val="3"/>
        <w:numPr>
          <w:ilvl w:val="1"/>
          <w:numId w:val="0"/>
        </w:numPr>
        <w:snapToGrid w:val="0"/>
        <w:spacing w:line="360" w:lineRule="auto"/>
        <w:jc w:val="both"/>
        <w:rPr>
          <w:rFonts w:hint="eastAsia" w:ascii="宋体" w:hAnsi="宋体" w:eastAsia="宋体" w:cs="宋体"/>
          <w:i w:val="0"/>
          <w:iCs w:val="0"/>
          <w:color w:val="auto"/>
          <w:szCs w:val="28"/>
        </w:rPr>
      </w:pPr>
      <w:bookmarkStart w:id="34" w:name="_Toc25596"/>
      <w:bookmarkStart w:id="35" w:name="_Toc520985199"/>
      <w:bookmarkStart w:id="36" w:name="_Toc3120"/>
      <w:bookmarkStart w:id="37" w:name="_Toc496617063"/>
      <w:bookmarkStart w:id="38" w:name="_Toc22283"/>
      <w:r>
        <w:rPr>
          <w:rFonts w:hint="eastAsia" w:ascii="宋体" w:hAnsi="宋体" w:eastAsia="宋体" w:cs="宋体"/>
          <w:i w:val="0"/>
          <w:iCs w:val="0"/>
          <w:color w:val="auto"/>
          <w:szCs w:val="28"/>
        </w:rPr>
        <w:t>1、项目概况及招标范围</w:t>
      </w:r>
      <w:bookmarkEnd w:id="34"/>
      <w:bookmarkEnd w:id="35"/>
      <w:bookmarkEnd w:id="36"/>
      <w:bookmarkEnd w:id="37"/>
      <w:bookmarkEnd w:id="38"/>
    </w:p>
    <w:p w14:paraId="0A5B529D">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1.1采购项目名称：见投标须知前附表。</w:t>
      </w:r>
    </w:p>
    <w:p w14:paraId="7F69DE00">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1.2项目地点：见投标须知前附表。</w:t>
      </w:r>
    </w:p>
    <w:p w14:paraId="303974C5">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1.3项目概况：见投标须知前附表。</w:t>
      </w:r>
    </w:p>
    <w:p w14:paraId="12CC7FD2">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1.4采购人：见投标须知前附表。</w:t>
      </w:r>
    </w:p>
    <w:p w14:paraId="1D640DF2">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1.5采购代理机构：见投标须知前附表。</w:t>
      </w:r>
    </w:p>
    <w:p w14:paraId="06E2968D">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1.6资金来源：见投标须知前附表。</w:t>
      </w:r>
    </w:p>
    <w:p w14:paraId="0168871D">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1.7资金落实情况：见投标须知前附表。</w:t>
      </w:r>
    </w:p>
    <w:p w14:paraId="51AB9986">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1.8采购方式：见投标须知前附表。</w:t>
      </w:r>
    </w:p>
    <w:p w14:paraId="3EC46DD3">
      <w:pPr>
        <w:pStyle w:val="3"/>
        <w:numPr>
          <w:ilvl w:val="1"/>
          <w:numId w:val="0"/>
        </w:numPr>
        <w:snapToGrid w:val="0"/>
        <w:spacing w:line="360" w:lineRule="auto"/>
        <w:jc w:val="both"/>
        <w:rPr>
          <w:rFonts w:hint="eastAsia" w:ascii="宋体" w:hAnsi="宋体" w:eastAsia="宋体" w:cs="宋体"/>
          <w:i w:val="0"/>
          <w:iCs w:val="0"/>
          <w:color w:val="auto"/>
          <w:szCs w:val="28"/>
        </w:rPr>
      </w:pPr>
      <w:bookmarkStart w:id="39" w:name="_Toc520985200"/>
      <w:bookmarkStart w:id="40" w:name="_Toc13437"/>
      <w:bookmarkStart w:id="41" w:name="_Toc496617064"/>
      <w:bookmarkStart w:id="42" w:name="_Toc12223"/>
      <w:bookmarkStart w:id="43" w:name="_Toc26347"/>
      <w:r>
        <w:rPr>
          <w:rFonts w:hint="eastAsia" w:ascii="宋体" w:hAnsi="宋体" w:eastAsia="宋体" w:cs="宋体"/>
          <w:i w:val="0"/>
          <w:iCs w:val="0"/>
          <w:color w:val="auto"/>
          <w:szCs w:val="28"/>
        </w:rPr>
        <w:t>2、资格合格的投标人</w:t>
      </w:r>
      <w:bookmarkEnd w:id="39"/>
      <w:bookmarkEnd w:id="40"/>
      <w:bookmarkEnd w:id="41"/>
      <w:bookmarkEnd w:id="42"/>
      <w:bookmarkEnd w:id="43"/>
    </w:p>
    <w:p w14:paraId="2A22E7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szCs w:val="20"/>
        </w:rPr>
      </w:pPr>
      <w:r>
        <w:rPr>
          <w:rFonts w:hint="eastAsia" w:ascii="宋体" w:hAnsi="宋体" w:eastAsia="宋体" w:cs="宋体"/>
          <w:i w:val="0"/>
          <w:iCs w:val="0"/>
          <w:color w:val="auto"/>
          <w:kern w:val="0"/>
          <w:sz w:val="24"/>
          <w:szCs w:val="20"/>
        </w:rPr>
        <w:t>2.1投标人应符合下列全部条件：</w:t>
      </w:r>
    </w:p>
    <w:p w14:paraId="1F670F3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bookmarkStart w:id="44" w:name="_Toc17216792"/>
      <w:r>
        <w:rPr>
          <w:rFonts w:hint="eastAsia" w:ascii="宋体" w:hAnsi="宋体" w:eastAsia="宋体" w:cs="宋体"/>
          <w:i w:val="0"/>
          <w:iCs w:val="0"/>
          <w:color w:val="auto"/>
          <w:kern w:val="0"/>
          <w:sz w:val="24"/>
        </w:rPr>
        <w:t>1.满足《中华人民共和国政府采购法》第二十二条规定;</w:t>
      </w:r>
    </w:p>
    <w:p w14:paraId="09B155D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2.落实政府采购政策需满足的资格要求：</w:t>
      </w:r>
    </w:p>
    <w:p w14:paraId="402450F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①《财政部工业和信息化部关于印发〈政府采购促进中小企业发展管理办法〉的通知》（财库〔2020〕46号）；</w:t>
      </w:r>
    </w:p>
    <w:p w14:paraId="2286D97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②《财政部司法部关于政府采购支持监狱企业发展有关问题的通知》（财库〔2014〕68号）；</w:t>
      </w:r>
    </w:p>
    <w:p w14:paraId="5AD0ED7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③《三部门联合发布关于促进残疾人就业政府采购政策的通知》（财库〔2017〕141号）；</w:t>
      </w:r>
    </w:p>
    <w:p w14:paraId="3D479D7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④陕西省财政厅关于印发《陕西省中小企业政府采购信用融资办法》（陕财办采〔2018〕23号）；</w:t>
      </w:r>
    </w:p>
    <w:p w14:paraId="250B18A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olor w:val="auto"/>
          <w:kern w:val="0"/>
          <w:sz w:val="24"/>
        </w:rPr>
        <w:t>⑤</w:t>
      </w:r>
      <w:r>
        <w:rPr>
          <w:rFonts w:hint="eastAsia" w:ascii="宋体" w:hAnsi="宋体" w:eastAsia="宋体" w:cs="宋体"/>
          <w:i w:val="0"/>
          <w:iCs w:val="0"/>
          <w:caps w:val="0"/>
          <w:color w:val="auto"/>
          <w:spacing w:val="0"/>
          <w:sz w:val="24"/>
          <w:szCs w:val="24"/>
          <w:shd w:val="clear" w:color="auto" w:fill="FFFFFF"/>
        </w:rPr>
        <w:t>本项目不专门面向中小企业采购</w:t>
      </w:r>
      <w:r>
        <w:rPr>
          <w:rFonts w:hint="eastAsia" w:cs="宋体"/>
          <w:i w:val="0"/>
          <w:iCs w:val="0"/>
          <w:caps w:val="0"/>
          <w:color w:val="auto"/>
          <w:spacing w:val="0"/>
          <w:sz w:val="24"/>
          <w:szCs w:val="24"/>
          <w:shd w:val="clear" w:color="auto" w:fill="FFFFFF"/>
          <w:lang w:eastAsia="zh-CN"/>
        </w:rPr>
        <w:t>；</w:t>
      </w:r>
    </w:p>
    <w:p w14:paraId="6212FF0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olor w:val="auto"/>
          <w:kern w:val="0"/>
          <w:sz w:val="24"/>
        </w:rPr>
      </w:pPr>
      <w:r>
        <w:rPr>
          <w:rFonts w:hint="eastAsia" w:ascii="宋体" w:hAnsi="宋体" w:eastAsia="宋体" w:cs="宋体"/>
          <w:i w:val="0"/>
          <w:iCs w:val="0"/>
          <w:caps w:val="0"/>
          <w:color w:val="auto"/>
          <w:spacing w:val="0"/>
          <w:sz w:val="24"/>
          <w:szCs w:val="24"/>
          <w:shd w:val="clear" w:color="auto" w:fill="FFFFFF"/>
        </w:rPr>
        <w:t>⑥</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其他需要落实的政府采购政策。</w:t>
      </w:r>
    </w:p>
    <w:p w14:paraId="6A653AA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rPr>
      </w:pPr>
      <w:r>
        <w:rPr>
          <w:rFonts w:hint="eastAsia" w:ascii="宋体" w:hAnsi="宋体" w:eastAsia="宋体" w:cs="宋体"/>
          <w:i w:val="0"/>
          <w:iCs w:val="0"/>
          <w:color w:val="auto"/>
          <w:kern w:val="0"/>
          <w:sz w:val="24"/>
        </w:rPr>
        <w:t>3.本项目的特定资格要求：</w:t>
      </w:r>
    </w:p>
    <w:p w14:paraId="0F954E5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lang w:val="en-US" w:eastAsia="zh-CN"/>
        </w:rPr>
      </w:pPr>
      <w:r>
        <w:rPr>
          <w:rFonts w:hint="eastAsia" w:ascii="宋体" w:hAnsi="宋体" w:eastAsia="宋体" w:cs="宋体"/>
          <w:i w:val="0"/>
          <w:iCs w:val="0"/>
          <w:color w:val="auto"/>
          <w:kern w:val="0"/>
          <w:sz w:val="24"/>
          <w:lang w:val="en-US" w:eastAsia="zh-CN"/>
        </w:rPr>
        <w:t>①投标人须具有独立承担民事责任能力的法人或其他组织，具有合法有效的营业执照、组织机构代码证、税务登记证（或统一社会信用代码的营业执照）、开户许可证（或基本账户信息证明）；</w:t>
      </w:r>
      <w:r>
        <w:rPr>
          <w:rFonts w:hint="eastAsia" w:ascii="宋体" w:hAnsi="宋体" w:eastAsia="宋体" w:cs="宋体"/>
          <w:i w:val="0"/>
          <w:iCs w:val="0"/>
          <w:color w:val="auto"/>
          <w:kern w:val="0"/>
          <w:sz w:val="24"/>
          <w:lang w:val="en-US" w:eastAsia="zh-CN"/>
        </w:rPr>
        <w:br w:type="textWrapping"/>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②法定代表人授权书（附法定代表人身份证复印件）及被授权人身份证；（法定代表人直接参加只须提供法定代表人身份证）；</w:t>
      </w:r>
      <w:r>
        <w:rPr>
          <w:rFonts w:hint="eastAsia" w:ascii="宋体" w:hAnsi="宋体" w:eastAsia="宋体" w:cs="宋体"/>
          <w:i w:val="0"/>
          <w:iCs w:val="0"/>
          <w:color w:val="auto"/>
          <w:kern w:val="0"/>
          <w:sz w:val="24"/>
          <w:lang w:val="en-US" w:eastAsia="zh-CN"/>
        </w:rPr>
        <w:br w:type="textWrapping"/>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③投标人须提供经会计事务所或具有财务审计资质的单位出具的2024年度财务审计报告或其开标前三个月内银行出具的资信证明；</w:t>
      </w:r>
      <w:r>
        <w:rPr>
          <w:rFonts w:hint="eastAsia" w:ascii="宋体" w:hAnsi="宋体" w:eastAsia="宋体" w:cs="宋体"/>
          <w:i w:val="0"/>
          <w:iCs w:val="0"/>
          <w:color w:val="auto"/>
          <w:kern w:val="0"/>
          <w:sz w:val="24"/>
          <w:lang w:val="en-US" w:eastAsia="zh-CN"/>
        </w:rPr>
        <w:br w:type="textWrapping"/>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④投标人须提供2025年10月至今已缴纳的至少一个月的纳税证明或完税证明，依法免税的单位应提供相关证明材料；</w:t>
      </w:r>
      <w:r>
        <w:rPr>
          <w:rFonts w:hint="eastAsia" w:ascii="宋体" w:hAnsi="宋体" w:eastAsia="宋体" w:cs="宋体"/>
          <w:i w:val="0"/>
          <w:iCs w:val="0"/>
          <w:color w:val="auto"/>
          <w:kern w:val="0"/>
          <w:sz w:val="24"/>
          <w:lang w:val="en-US" w:eastAsia="zh-CN"/>
        </w:rPr>
        <w:br w:type="textWrapping"/>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⑤投标人须提供2025年10月至今已缴存的至少一个月的社会保障资金缴存单据或社保机构开具的社会保险参保缴费情况证明，依法不需要缴纳社会保障资金的单位应提供相关证明材料；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olor w:val="auto"/>
          <w:kern w:val="0"/>
          <w:sz w:val="24"/>
          <w:lang w:val="en-US" w:eastAsia="zh-CN"/>
        </w:rPr>
        <w:br w:type="textWrapping"/>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⑥投标人未被列入“信用中国”重大税收违法失信主体名单，“中国执行信息公开网”网站未被列为失信被执行人，不得为中国政府采购网政府采购严重违法失信行为记录名单中</w:t>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被财政部门禁止参加政府采购活动的投标人(资格审查时现场核查)；</w:t>
      </w:r>
      <w:r>
        <w:rPr>
          <w:rFonts w:hint="eastAsia" w:ascii="宋体" w:hAnsi="宋体" w:eastAsia="宋体" w:cs="宋体"/>
          <w:i w:val="0"/>
          <w:iCs w:val="0"/>
          <w:color w:val="auto"/>
          <w:kern w:val="0"/>
          <w:sz w:val="24"/>
          <w:lang w:val="en-US" w:eastAsia="zh-CN"/>
        </w:rPr>
        <w:br w:type="textWrapping"/>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⑦投标人应出具参加政府采购活动前3年内在经营活动中没有重大违法记录的书面声明；</w:t>
      </w:r>
      <w:r>
        <w:rPr>
          <w:rFonts w:hint="eastAsia" w:ascii="宋体" w:hAnsi="宋体" w:eastAsia="宋体" w:cs="宋体"/>
          <w:i w:val="0"/>
          <w:iCs w:val="0"/>
          <w:color w:val="auto"/>
          <w:kern w:val="0"/>
          <w:sz w:val="24"/>
          <w:lang w:val="en-US" w:eastAsia="zh-CN"/>
        </w:rPr>
        <w:br w:type="textWrapping"/>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⑧单位负责人为同一人或者存在直接控股、管理关系的不同投标人，不得参加同一项目的采购活动；</w:t>
      </w:r>
      <w:r>
        <w:rPr>
          <w:rFonts w:hint="eastAsia" w:ascii="宋体" w:hAnsi="宋体" w:eastAsia="宋体" w:cs="宋体"/>
          <w:i w:val="0"/>
          <w:iCs w:val="0"/>
          <w:color w:val="auto"/>
          <w:kern w:val="0"/>
          <w:sz w:val="24"/>
          <w:lang w:val="en-US" w:eastAsia="zh-CN"/>
        </w:rPr>
        <w:br w:type="textWrapping"/>
      </w:r>
      <w:r>
        <w:rPr>
          <w:rFonts w:hint="eastAsia" w:ascii="宋体" w:hAnsi="宋体" w:cs="宋体"/>
          <w:i w:val="0"/>
          <w:iCs w:val="0"/>
          <w:color w:val="auto"/>
          <w:kern w:val="0"/>
          <w:sz w:val="24"/>
          <w:lang w:val="en-US" w:eastAsia="zh-CN"/>
        </w:rPr>
        <w:t xml:space="preserve">   </w:t>
      </w:r>
      <w:r>
        <w:rPr>
          <w:rFonts w:hint="eastAsia" w:ascii="宋体" w:hAnsi="宋体" w:eastAsia="宋体" w:cs="宋体"/>
          <w:i w:val="0"/>
          <w:iCs w:val="0"/>
          <w:color w:val="auto"/>
          <w:kern w:val="0"/>
          <w:sz w:val="24"/>
          <w:lang w:val="en-US" w:eastAsia="zh-CN"/>
        </w:rPr>
        <w:t>⑨本项目不接受联合体参与投标。</w:t>
      </w:r>
    </w:p>
    <w:p w14:paraId="2A7633F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textAlignment w:val="auto"/>
        <w:rPr>
          <w:rFonts w:hint="eastAsia" w:ascii="宋体" w:hAnsi="宋体" w:eastAsia="宋体" w:cs="宋体"/>
          <w:i w:val="0"/>
          <w:iCs w:val="0"/>
          <w:color w:val="auto"/>
          <w:kern w:val="0"/>
          <w:sz w:val="24"/>
          <w:szCs w:val="20"/>
        </w:rPr>
      </w:pPr>
      <w:r>
        <w:rPr>
          <w:rFonts w:hint="eastAsia" w:ascii="宋体" w:hAnsi="宋体" w:eastAsia="宋体" w:cs="宋体"/>
          <w:i w:val="0"/>
          <w:iCs w:val="0"/>
          <w:color w:val="auto"/>
          <w:kern w:val="0"/>
          <w:sz w:val="24"/>
          <w:szCs w:val="20"/>
        </w:rPr>
        <w:t>2.2投标人资格审查方式：符合性审查</w:t>
      </w:r>
    </w:p>
    <w:p w14:paraId="7D42F74D">
      <w:pPr>
        <w:pStyle w:val="3"/>
        <w:numPr>
          <w:ilvl w:val="1"/>
          <w:numId w:val="0"/>
        </w:numPr>
        <w:snapToGrid w:val="0"/>
        <w:spacing w:line="360" w:lineRule="auto"/>
        <w:jc w:val="both"/>
        <w:rPr>
          <w:rFonts w:hint="eastAsia" w:ascii="宋体" w:hAnsi="宋体" w:eastAsia="宋体" w:cs="宋体"/>
          <w:i w:val="0"/>
          <w:iCs w:val="0"/>
          <w:color w:val="auto"/>
          <w:szCs w:val="28"/>
        </w:rPr>
      </w:pPr>
      <w:bookmarkStart w:id="45" w:name="_Toc496617065"/>
      <w:bookmarkStart w:id="46" w:name="_Toc28621"/>
      <w:bookmarkStart w:id="47" w:name="_Toc10424"/>
      <w:bookmarkStart w:id="48" w:name="_Toc520985201"/>
      <w:bookmarkStart w:id="49" w:name="_Toc16184"/>
      <w:r>
        <w:rPr>
          <w:rFonts w:hint="eastAsia" w:ascii="宋体" w:hAnsi="宋体" w:eastAsia="宋体" w:cs="宋体"/>
          <w:i w:val="0"/>
          <w:iCs w:val="0"/>
          <w:color w:val="auto"/>
          <w:szCs w:val="28"/>
        </w:rPr>
        <w:t>3、现场踏勘</w:t>
      </w:r>
      <w:bookmarkEnd w:id="44"/>
      <w:bookmarkEnd w:id="45"/>
      <w:bookmarkEnd w:id="46"/>
      <w:bookmarkEnd w:id="47"/>
      <w:bookmarkEnd w:id="48"/>
      <w:bookmarkEnd w:id="49"/>
    </w:p>
    <w:p w14:paraId="41E4D923">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3.1本项目不组织现场踏勘。</w:t>
      </w:r>
    </w:p>
    <w:p w14:paraId="09EEA1B6">
      <w:pPr>
        <w:pStyle w:val="3"/>
        <w:numPr>
          <w:ilvl w:val="1"/>
          <w:numId w:val="0"/>
        </w:numPr>
        <w:snapToGrid w:val="0"/>
        <w:spacing w:line="360" w:lineRule="auto"/>
        <w:jc w:val="both"/>
        <w:rPr>
          <w:rFonts w:hint="eastAsia" w:ascii="宋体" w:hAnsi="宋体" w:eastAsia="宋体" w:cs="宋体"/>
          <w:i w:val="0"/>
          <w:iCs w:val="0"/>
          <w:color w:val="auto"/>
          <w:szCs w:val="28"/>
        </w:rPr>
      </w:pPr>
      <w:bookmarkStart w:id="50" w:name="_Toc496617066"/>
      <w:bookmarkStart w:id="51" w:name="_Toc520985202"/>
      <w:bookmarkStart w:id="52" w:name="_Toc25998"/>
      <w:bookmarkStart w:id="53" w:name="_Toc4549"/>
      <w:bookmarkStart w:id="54" w:name="_Toc13825"/>
      <w:r>
        <w:rPr>
          <w:rFonts w:hint="eastAsia" w:ascii="宋体" w:hAnsi="宋体" w:eastAsia="宋体" w:cs="宋体"/>
          <w:i w:val="0"/>
          <w:iCs w:val="0"/>
          <w:color w:val="auto"/>
          <w:szCs w:val="28"/>
        </w:rPr>
        <w:t>4、招标文件的组成</w:t>
      </w:r>
      <w:bookmarkEnd w:id="50"/>
      <w:bookmarkEnd w:id="51"/>
      <w:bookmarkEnd w:id="52"/>
      <w:bookmarkEnd w:id="53"/>
      <w:bookmarkEnd w:id="54"/>
    </w:p>
    <w:p w14:paraId="2EE6A18E">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4.1本招标文件包括以下内容：</w:t>
      </w:r>
    </w:p>
    <w:p w14:paraId="7B0805DA">
      <w:pPr>
        <w:snapToGrid w:val="0"/>
        <w:spacing w:line="360" w:lineRule="auto"/>
        <w:ind w:left="420" w:firstLine="571"/>
        <w:rPr>
          <w:rFonts w:hint="eastAsia" w:ascii="宋体" w:hAnsi="宋体" w:eastAsia="宋体" w:cs="宋体"/>
          <w:i w:val="0"/>
          <w:iCs w:val="0"/>
          <w:color w:val="auto"/>
          <w:sz w:val="24"/>
        </w:rPr>
      </w:pPr>
      <w:r>
        <w:rPr>
          <w:rFonts w:hint="eastAsia" w:ascii="宋体" w:hAnsi="宋体" w:eastAsia="宋体" w:cs="宋体"/>
          <w:i w:val="0"/>
          <w:iCs w:val="0"/>
          <w:color w:val="auto"/>
          <w:sz w:val="24"/>
        </w:rPr>
        <w:t>第一章招标公告</w:t>
      </w:r>
    </w:p>
    <w:p w14:paraId="060D2EAD">
      <w:pPr>
        <w:snapToGrid w:val="0"/>
        <w:spacing w:line="360" w:lineRule="auto"/>
        <w:ind w:left="420" w:firstLine="571"/>
        <w:rPr>
          <w:rFonts w:hint="eastAsia" w:ascii="宋体" w:hAnsi="宋体" w:eastAsia="宋体" w:cs="宋体"/>
          <w:i w:val="0"/>
          <w:iCs w:val="0"/>
          <w:color w:val="auto"/>
          <w:sz w:val="24"/>
        </w:rPr>
      </w:pPr>
      <w:r>
        <w:rPr>
          <w:rFonts w:hint="eastAsia" w:ascii="宋体" w:hAnsi="宋体" w:eastAsia="宋体" w:cs="宋体"/>
          <w:i w:val="0"/>
          <w:iCs w:val="0"/>
          <w:color w:val="auto"/>
          <w:sz w:val="24"/>
        </w:rPr>
        <w:t>第二章投标须知</w:t>
      </w:r>
    </w:p>
    <w:p w14:paraId="18554159">
      <w:pPr>
        <w:snapToGrid w:val="0"/>
        <w:spacing w:line="360" w:lineRule="auto"/>
        <w:ind w:left="420" w:firstLine="571"/>
        <w:rPr>
          <w:rFonts w:hint="eastAsia" w:ascii="宋体" w:hAnsi="宋体" w:eastAsia="宋体" w:cs="宋体"/>
          <w:i w:val="0"/>
          <w:iCs w:val="0"/>
          <w:color w:val="auto"/>
          <w:sz w:val="24"/>
        </w:rPr>
      </w:pPr>
      <w:r>
        <w:rPr>
          <w:rFonts w:hint="eastAsia" w:ascii="宋体" w:hAnsi="宋体" w:eastAsia="宋体" w:cs="宋体"/>
          <w:i w:val="0"/>
          <w:iCs w:val="0"/>
          <w:color w:val="auto"/>
          <w:sz w:val="24"/>
        </w:rPr>
        <w:t>第三章合同格式</w:t>
      </w:r>
      <w:r>
        <w:rPr>
          <w:rFonts w:hint="eastAsia" w:ascii="宋体" w:hAnsi="宋体" w:eastAsia="宋体" w:cs="宋体"/>
          <w:i w:val="0"/>
          <w:iCs w:val="0"/>
          <w:color w:val="auto"/>
          <w:sz w:val="24"/>
          <w:lang w:val="en-US" w:eastAsia="zh-CN"/>
        </w:rPr>
        <w:t>及合同条款</w:t>
      </w:r>
    </w:p>
    <w:p w14:paraId="7E202476">
      <w:pPr>
        <w:snapToGrid w:val="0"/>
        <w:spacing w:line="360" w:lineRule="auto"/>
        <w:ind w:left="420" w:firstLine="571"/>
        <w:rPr>
          <w:rFonts w:hint="eastAsia" w:ascii="宋体" w:hAnsi="宋体" w:eastAsia="宋体" w:cs="宋体"/>
          <w:i w:val="0"/>
          <w:iCs w:val="0"/>
          <w:color w:val="auto"/>
          <w:sz w:val="24"/>
        </w:rPr>
      </w:pPr>
      <w:r>
        <w:rPr>
          <w:rFonts w:hint="eastAsia" w:ascii="宋体" w:hAnsi="宋体" w:eastAsia="宋体" w:cs="宋体"/>
          <w:i w:val="0"/>
          <w:iCs w:val="0"/>
          <w:color w:val="auto"/>
          <w:sz w:val="24"/>
        </w:rPr>
        <w:t>第四章采购需求</w:t>
      </w:r>
    </w:p>
    <w:p w14:paraId="732B4871">
      <w:pPr>
        <w:snapToGrid w:val="0"/>
        <w:spacing w:line="360" w:lineRule="auto"/>
        <w:ind w:firstLine="994"/>
        <w:rPr>
          <w:rFonts w:hint="eastAsia" w:ascii="宋体" w:hAnsi="宋体" w:eastAsia="宋体" w:cs="宋体"/>
          <w:i w:val="0"/>
          <w:iCs w:val="0"/>
          <w:color w:val="auto"/>
          <w:sz w:val="24"/>
        </w:rPr>
      </w:pPr>
      <w:r>
        <w:rPr>
          <w:rFonts w:hint="eastAsia" w:ascii="宋体" w:hAnsi="宋体" w:eastAsia="宋体" w:cs="宋体"/>
          <w:i w:val="0"/>
          <w:iCs w:val="0"/>
          <w:color w:val="auto"/>
          <w:sz w:val="24"/>
        </w:rPr>
        <w:t>第五章评标标准和方法</w:t>
      </w:r>
    </w:p>
    <w:p w14:paraId="29B18F2C">
      <w:pPr>
        <w:snapToGrid w:val="0"/>
        <w:spacing w:line="360" w:lineRule="auto"/>
        <w:ind w:firstLine="960" w:firstLineChars="400"/>
        <w:rPr>
          <w:rFonts w:hint="eastAsia" w:ascii="宋体" w:hAnsi="宋体" w:eastAsia="宋体" w:cs="宋体"/>
          <w:i w:val="0"/>
          <w:iCs w:val="0"/>
          <w:color w:val="auto"/>
          <w:sz w:val="24"/>
        </w:rPr>
      </w:pPr>
      <w:r>
        <w:rPr>
          <w:rFonts w:hint="eastAsia" w:ascii="宋体" w:hAnsi="宋体" w:eastAsia="宋体" w:cs="宋体"/>
          <w:i w:val="0"/>
          <w:iCs w:val="0"/>
          <w:color w:val="auto"/>
          <w:sz w:val="24"/>
        </w:rPr>
        <w:t>第六章投标文件及格式</w:t>
      </w:r>
    </w:p>
    <w:p w14:paraId="7A8C2D71">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4.2投标人获取招标文件后，应仔细检查招标文件的所有内容，如有残缺等问题应及时向采购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bookmarkStart w:id="55" w:name="_Toc17216796"/>
    </w:p>
    <w:p w14:paraId="17D72AC1">
      <w:pPr>
        <w:pStyle w:val="3"/>
        <w:numPr>
          <w:ilvl w:val="1"/>
          <w:numId w:val="0"/>
        </w:numPr>
        <w:snapToGrid w:val="0"/>
        <w:spacing w:line="480" w:lineRule="exact"/>
        <w:jc w:val="both"/>
        <w:rPr>
          <w:rFonts w:hint="eastAsia" w:ascii="宋体" w:hAnsi="宋体" w:eastAsia="宋体" w:cs="宋体"/>
          <w:i w:val="0"/>
          <w:iCs w:val="0"/>
          <w:color w:val="auto"/>
          <w:szCs w:val="28"/>
        </w:rPr>
      </w:pPr>
      <w:bookmarkStart w:id="56" w:name="_Toc24821"/>
      <w:bookmarkStart w:id="57" w:name="_Toc32684"/>
      <w:bookmarkStart w:id="58" w:name="_Toc496617067"/>
      <w:bookmarkStart w:id="59" w:name="_Toc19512"/>
      <w:bookmarkStart w:id="60" w:name="_Toc520985203"/>
      <w:r>
        <w:rPr>
          <w:rFonts w:hint="eastAsia" w:ascii="宋体" w:hAnsi="宋体" w:eastAsia="宋体" w:cs="宋体"/>
          <w:i w:val="0"/>
          <w:iCs w:val="0"/>
          <w:color w:val="auto"/>
          <w:szCs w:val="28"/>
        </w:rPr>
        <w:t>5、招标文件的澄清</w:t>
      </w:r>
      <w:bookmarkEnd w:id="55"/>
      <w:bookmarkEnd w:id="56"/>
      <w:bookmarkEnd w:id="57"/>
      <w:bookmarkEnd w:id="58"/>
      <w:bookmarkEnd w:id="59"/>
      <w:bookmarkEnd w:id="60"/>
    </w:p>
    <w:p w14:paraId="0C74CBEF">
      <w:pPr>
        <w:pStyle w:val="14"/>
        <w:snapToGrid w:val="0"/>
        <w:spacing w:line="480" w:lineRule="exact"/>
        <w:ind w:left="105" w:leftChars="50" w:firstLine="480" w:firstLineChars="200"/>
        <w:rPr>
          <w:rFonts w:hint="eastAsia" w:ascii="宋体" w:hAnsi="宋体" w:eastAsia="宋体" w:cs="宋体"/>
          <w:i w:val="0"/>
          <w:iCs w:val="0"/>
          <w:color w:val="auto"/>
          <w:sz w:val="24"/>
        </w:rPr>
      </w:pPr>
      <w:bookmarkStart w:id="61" w:name="_Toc17216797"/>
      <w:r>
        <w:rPr>
          <w:rFonts w:hint="eastAsia" w:ascii="宋体" w:hAnsi="宋体" w:eastAsia="宋体" w:cs="宋体"/>
          <w:i w:val="0"/>
          <w:iCs w:val="0"/>
          <w:color w:val="auto"/>
          <w:sz w:val="24"/>
        </w:rPr>
        <w:t>任何要求对招标文件澄清的投标人，均应以书面形式（包括传真）通知采购代理机构。采购代理机构将视情况确定采用适当方式予以澄清或以书面形式予以答复，并在其认为必要时，将书面答复发放给每个领取招标文件的投标人。</w:t>
      </w:r>
    </w:p>
    <w:p w14:paraId="2D5D2125">
      <w:pPr>
        <w:pStyle w:val="3"/>
        <w:numPr>
          <w:ilvl w:val="1"/>
          <w:numId w:val="0"/>
        </w:numPr>
        <w:snapToGrid w:val="0"/>
        <w:spacing w:line="480" w:lineRule="exact"/>
        <w:jc w:val="both"/>
        <w:rPr>
          <w:rFonts w:hint="eastAsia" w:ascii="宋体" w:hAnsi="宋体" w:eastAsia="宋体" w:cs="宋体"/>
          <w:i w:val="0"/>
          <w:iCs w:val="0"/>
          <w:color w:val="auto"/>
          <w:szCs w:val="28"/>
        </w:rPr>
      </w:pPr>
      <w:bookmarkStart w:id="62" w:name="_Toc520985204"/>
      <w:bookmarkStart w:id="63" w:name="_Toc496617068"/>
      <w:bookmarkStart w:id="64" w:name="_Toc10210"/>
      <w:bookmarkStart w:id="65" w:name="_Toc21330"/>
      <w:bookmarkStart w:id="66" w:name="_Toc6990"/>
      <w:r>
        <w:rPr>
          <w:rFonts w:hint="eastAsia" w:ascii="宋体" w:hAnsi="宋体" w:eastAsia="宋体" w:cs="宋体"/>
          <w:i w:val="0"/>
          <w:iCs w:val="0"/>
          <w:color w:val="auto"/>
          <w:szCs w:val="28"/>
        </w:rPr>
        <w:t>6、招标文件的修改</w:t>
      </w:r>
      <w:bookmarkEnd w:id="61"/>
      <w:bookmarkEnd w:id="62"/>
      <w:bookmarkEnd w:id="63"/>
      <w:bookmarkEnd w:id="64"/>
      <w:bookmarkEnd w:id="65"/>
      <w:bookmarkEnd w:id="66"/>
    </w:p>
    <w:p w14:paraId="5B965161">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6.1在投标截止期前，无论出于何种原因，采购人可主动地或在解答投标人要求澄清的问题时对招标文件进行修改。</w:t>
      </w:r>
    </w:p>
    <w:p w14:paraId="1CD91755">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6.2招标文件的修改将以书面形式通知所有招标文件的收受人，投标人在收到该通知后应立即以传真的形式予以确认。</w:t>
      </w:r>
    </w:p>
    <w:p w14:paraId="64BAEAED">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6.3为使投标人在准备投标文件时，有充分的时间对招标文件的修改进行研究考虑，采购人可自行决定，酌情推迟报价截止日期，并以书面形式通知所有已领取招标文件的投标人。</w:t>
      </w:r>
    </w:p>
    <w:p w14:paraId="68761324">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6.4招标件的修改书将构成招标文件的一部分，对采购人和投标人都具有约束力。</w:t>
      </w:r>
    </w:p>
    <w:p w14:paraId="67A1C266">
      <w:pPr>
        <w:pStyle w:val="3"/>
        <w:numPr>
          <w:ilvl w:val="1"/>
          <w:numId w:val="0"/>
        </w:numPr>
        <w:snapToGrid w:val="0"/>
        <w:spacing w:line="480" w:lineRule="exact"/>
        <w:jc w:val="both"/>
        <w:rPr>
          <w:rFonts w:hint="eastAsia" w:ascii="宋体" w:hAnsi="宋体" w:eastAsia="宋体" w:cs="宋体"/>
          <w:i w:val="0"/>
          <w:iCs w:val="0"/>
          <w:color w:val="auto"/>
          <w:szCs w:val="28"/>
        </w:rPr>
      </w:pPr>
      <w:bookmarkStart w:id="67" w:name="_Toc7904"/>
      <w:bookmarkStart w:id="68" w:name="_Toc13450"/>
      <w:bookmarkStart w:id="69" w:name="_Toc21051"/>
      <w:bookmarkStart w:id="70" w:name="_Toc520985205"/>
      <w:bookmarkStart w:id="71" w:name="_Toc496617069"/>
      <w:bookmarkStart w:id="72" w:name="_Toc389620176"/>
      <w:bookmarkStart w:id="73" w:name="_Toc385992337"/>
      <w:r>
        <w:rPr>
          <w:rFonts w:hint="eastAsia" w:ascii="宋体" w:hAnsi="宋体" w:eastAsia="宋体" w:cs="宋体"/>
          <w:i w:val="0"/>
          <w:iCs w:val="0"/>
          <w:color w:val="auto"/>
          <w:szCs w:val="28"/>
        </w:rPr>
        <w:t>7、投标语言</w:t>
      </w:r>
      <w:bookmarkEnd w:id="67"/>
      <w:bookmarkEnd w:id="68"/>
      <w:bookmarkEnd w:id="69"/>
      <w:bookmarkEnd w:id="70"/>
      <w:bookmarkEnd w:id="71"/>
    </w:p>
    <w:p w14:paraId="78565E08">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投标文件、投标交换的文件和往来信件应以中文书写。</w:t>
      </w:r>
    </w:p>
    <w:bookmarkEnd w:id="72"/>
    <w:bookmarkEnd w:id="73"/>
    <w:p w14:paraId="5D59B208">
      <w:pPr>
        <w:pStyle w:val="3"/>
        <w:numPr>
          <w:ilvl w:val="1"/>
          <w:numId w:val="0"/>
        </w:numPr>
        <w:snapToGrid w:val="0"/>
        <w:spacing w:line="480" w:lineRule="exact"/>
        <w:jc w:val="both"/>
        <w:rPr>
          <w:rFonts w:hint="eastAsia" w:ascii="宋体" w:hAnsi="宋体" w:eastAsia="宋体" w:cs="宋体"/>
          <w:i w:val="0"/>
          <w:iCs w:val="0"/>
          <w:color w:val="auto"/>
          <w:szCs w:val="28"/>
        </w:rPr>
      </w:pPr>
      <w:bookmarkStart w:id="74" w:name="_Toc19701"/>
      <w:bookmarkStart w:id="75" w:name="_Toc496617070"/>
      <w:bookmarkStart w:id="76" w:name="_Toc520985206"/>
      <w:bookmarkStart w:id="77" w:name="_Toc25163"/>
      <w:bookmarkStart w:id="78" w:name="_Toc5681"/>
      <w:r>
        <w:rPr>
          <w:rFonts w:hint="eastAsia" w:ascii="宋体" w:hAnsi="宋体" w:eastAsia="宋体" w:cs="宋体"/>
          <w:i w:val="0"/>
          <w:iCs w:val="0"/>
          <w:color w:val="auto"/>
          <w:szCs w:val="28"/>
        </w:rPr>
        <w:t>8、计量单位</w:t>
      </w:r>
      <w:bookmarkEnd w:id="74"/>
      <w:bookmarkEnd w:id="75"/>
      <w:bookmarkEnd w:id="76"/>
      <w:bookmarkEnd w:id="77"/>
      <w:bookmarkEnd w:id="78"/>
    </w:p>
    <w:p w14:paraId="2FFCE361">
      <w:pPr>
        <w:snapToGrid w:val="0"/>
        <w:spacing w:line="480" w:lineRule="exact"/>
        <w:ind w:left="441"/>
        <w:rPr>
          <w:rFonts w:hint="eastAsia" w:ascii="宋体" w:hAnsi="宋体" w:eastAsia="宋体" w:cs="宋体"/>
          <w:i w:val="0"/>
          <w:iCs w:val="0"/>
          <w:color w:val="auto"/>
          <w:sz w:val="24"/>
        </w:rPr>
      </w:pPr>
      <w:r>
        <w:rPr>
          <w:rFonts w:hint="eastAsia" w:ascii="宋体" w:hAnsi="宋体" w:eastAsia="宋体" w:cs="宋体"/>
          <w:i w:val="0"/>
          <w:iCs w:val="0"/>
          <w:color w:val="auto"/>
          <w:sz w:val="24"/>
        </w:rPr>
        <w:t>除项目规范中另有规定外，投标文件使用的度量衡单位，均应使用中华人民共和国法定计量单位。</w:t>
      </w:r>
      <w:bookmarkStart w:id="79" w:name="_Toc385992338"/>
      <w:bookmarkStart w:id="80" w:name="_Toc389620177"/>
    </w:p>
    <w:bookmarkEnd w:id="79"/>
    <w:bookmarkEnd w:id="80"/>
    <w:p w14:paraId="648E8972">
      <w:pPr>
        <w:pStyle w:val="3"/>
        <w:numPr>
          <w:ilvl w:val="1"/>
          <w:numId w:val="0"/>
        </w:numPr>
        <w:snapToGrid w:val="0"/>
        <w:spacing w:line="480" w:lineRule="exact"/>
        <w:jc w:val="both"/>
        <w:rPr>
          <w:rFonts w:hint="eastAsia" w:ascii="宋体" w:hAnsi="宋体" w:eastAsia="宋体" w:cs="宋体"/>
          <w:i w:val="0"/>
          <w:iCs w:val="0"/>
          <w:color w:val="auto"/>
          <w:szCs w:val="28"/>
        </w:rPr>
      </w:pPr>
      <w:bookmarkStart w:id="81" w:name="_Toc26223"/>
      <w:bookmarkStart w:id="82" w:name="_Toc1498"/>
      <w:bookmarkStart w:id="83" w:name="_Toc496617071"/>
      <w:bookmarkStart w:id="84" w:name="_Toc520985207"/>
      <w:bookmarkStart w:id="85" w:name="_Toc15741"/>
      <w:r>
        <w:rPr>
          <w:rFonts w:hint="eastAsia" w:ascii="宋体" w:hAnsi="宋体" w:eastAsia="宋体" w:cs="宋体"/>
          <w:i w:val="0"/>
          <w:iCs w:val="0"/>
          <w:color w:val="auto"/>
          <w:szCs w:val="28"/>
        </w:rPr>
        <w:t>9、投标文件的组成</w:t>
      </w:r>
      <w:bookmarkEnd w:id="81"/>
      <w:bookmarkEnd w:id="82"/>
      <w:bookmarkEnd w:id="83"/>
      <w:bookmarkEnd w:id="84"/>
      <w:bookmarkEnd w:id="85"/>
    </w:p>
    <w:p w14:paraId="72613371">
      <w:pPr>
        <w:snapToGrid w:val="0"/>
        <w:spacing w:line="480" w:lineRule="exact"/>
        <w:ind w:left="441"/>
        <w:rPr>
          <w:rFonts w:hint="eastAsia" w:ascii="宋体" w:hAnsi="宋体" w:eastAsia="宋体" w:cs="宋体"/>
          <w:i w:val="0"/>
          <w:iCs w:val="0"/>
          <w:color w:val="auto"/>
          <w:sz w:val="24"/>
        </w:rPr>
      </w:pPr>
      <w:bookmarkStart w:id="86" w:name="_Toc17216800"/>
      <w:r>
        <w:rPr>
          <w:rFonts w:hint="eastAsia" w:ascii="宋体" w:hAnsi="宋体" w:eastAsia="宋体" w:cs="宋体"/>
          <w:i w:val="0"/>
          <w:iCs w:val="0"/>
          <w:color w:val="auto"/>
          <w:sz w:val="24"/>
        </w:rPr>
        <w:t>投标文件由以下内容组成。</w:t>
      </w:r>
    </w:p>
    <w:p w14:paraId="54F33A21">
      <w:pPr>
        <w:snapToGrid w:val="0"/>
        <w:spacing w:line="480" w:lineRule="exact"/>
        <w:ind w:firstLine="480" w:firstLineChars="200"/>
        <w:jc w:val="left"/>
        <w:rPr>
          <w:rFonts w:hint="eastAsia" w:ascii="宋体" w:hAnsi="宋体" w:eastAsia="宋体" w:cs="宋体"/>
          <w:i w:val="0"/>
          <w:iCs w:val="0"/>
          <w:color w:val="auto"/>
          <w:sz w:val="24"/>
          <w:lang w:val="en-US" w:eastAsia="zh-CN"/>
        </w:rPr>
      </w:pPr>
      <w:bookmarkStart w:id="87" w:name="_Toc496617072"/>
      <w:bookmarkStart w:id="88" w:name="_Toc2341"/>
      <w:bookmarkStart w:id="89" w:name="_Toc31108"/>
      <w:bookmarkStart w:id="90" w:name="_Toc520985208"/>
      <w:bookmarkStart w:id="91" w:name="_Toc27907"/>
      <w:r>
        <w:rPr>
          <w:rFonts w:hint="eastAsia" w:ascii="宋体" w:hAnsi="宋体" w:eastAsia="宋体" w:cs="宋体"/>
          <w:i w:val="0"/>
          <w:iCs w:val="0"/>
          <w:color w:val="auto"/>
          <w:sz w:val="24"/>
          <w:lang w:val="en-US" w:eastAsia="zh-CN"/>
        </w:rPr>
        <w:t>一、投标函及投标函附录</w:t>
      </w:r>
    </w:p>
    <w:p w14:paraId="6CDA20A8">
      <w:pPr>
        <w:snapToGrid w:val="0"/>
        <w:spacing w:line="480" w:lineRule="exact"/>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二、法定代表人身份证明及法定代表人授权委托书</w:t>
      </w:r>
    </w:p>
    <w:p w14:paraId="45B460B6">
      <w:pPr>
        <w:snapToGrid w:val="0"/>
        <w:spacing w:line="480" w:lineRule="exact"/>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三、服务响应偏离表</w:t>
      </w:r>
    </w:p>
    <w:p w14:paraId="56D2F012">
      <w:pPr>
        <w:snapToGrid w:val="0"/>
        <w:spacing w:line="480" w:lineRule="exact"/>
        <w:ind w:firstLine="480" w:firstLineChars="200"/>
        <w:jc w:val="left"/>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四、合同主要条款响应说明</w:t>
      </w:r>
    </w:p>
    <w:p w14:paraId="3E6DE00D">
      <w:pPr>
        <w:snapToGrid w:val="0"/>
        <w:spacing w:line="480" w:lineRule="exact"/>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五、资格证明资料</w:t>
      </w:r>
    </w:p>
    <w:p w14:paraId="61A54A95">
      <w:pPr>
        <w:snapToGrid w:val="0"/>
        <w:spacing w:line="480" w:lineRule="exact"/>
        <w:ind w:firstLine="480" w:firstLineChars="200"/>
        <w:jc w:val="left"/>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六、商务部分</w:t>
      </w:r>
    </w:p>
    <w:p w14:paraId="44EE44EC">
      <w:pPr>
        <w:snapToGrid w:val="0"/>
        <w:spacing w:line="480" w:lineRule="exact"/>
        <w:ind w:firstLine="480" w:firstLineChars="200"/>
        <w:jc w:val="left"/>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七、技术部分</w:t>
      </w:r>
    </w:p>
    <w:p w14:paraId="0CECC8CB">
      <w:pPr>
        <w:snapToGrid w:val="0"/>
        <w:spacing w:line="480" w:lineRule="exact"/>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八、投标保证金</w:t>
      </w:r>
    </w:p>
    <w:p w14:paraId="13959AD9">
      <w:pPr>
        <w:snapToGrid w:val="0"/>
        <w:spacing w:line="480" w:lineRule="exact"/>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九、其他资料（投标人认为有必要的其他资料）</w:t>
      </w:r>
    </w:p>
    <w:p w14:paraId="1B6474AC">
      <w:pPr>
        <w:pStyle w:val="3"/>
        <w:numPr>
          <w:ilvl w:val="1"/>
          <w:numId w:val="0"/>
        </w:numPr>
        <w:snapToGrid w:val="0"/>
        <w:spacing w:line="480" w:lineRule="exact"/>
        <w:jc w:val="both"/>
        <w:rPr>
          <w:rFonts w:hint="eastAsia" w:ascii="宋体" w:hAnsi="宋体" w:eastAsia="宋体" w:cs="宋体"/>
          <w:b w:val="0"/>
          <w:i w:val="0"/>
          <w:iCs w:val="0"/>
          <w:color w:val="auto"/>
          <w:sz w:val="30"/>
        </w:rPr>
      </w:pPr>
      <w:r>
        <w:rPr>
          <w:rFonts w:hint="eastAsia" w:ascii="宋体" w:hAnsi="宋体" w:eastAsia="宋体" w:cs="宋体"/>
          <w:i w:val="0"/>
          <w:iCs w:val="0"/>
          <w:color w:val="auto"/>
          <w:szCs w:val="28"/>
        </w:rPr>
        <w:t>10、投标文件格式</w:t>
      </w:r>
      <w:bookmarkEnd w:id="86"/>
      <w:bookmarkEnd w:id="87"/>
      <w:bookmarkEnd w:id="88"/>
      <w:bookmarkEnd w:id="89"/>
      <w:bookmarkEnd w:id="90"/>
      <w:bookmarkEnd w:id="91"/>
    </w:p>
    <w:p w14:paraId="6055746C">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投标文件包括本须知第9条中的全部内容。投标人提交的投标文件应当使用招标文件所提供的投标文件全部格式（表格可以按同样格式扩展）。</w:t>
      </w:r>
    </w:p>
    <w:p w14:paraId="38FEFE95">
      <w:pPr>
        <w:pStyle w:val="3"/>
        <w:numPr>
          <w:ilvl w:val="1"/>
          <w:numId w:val="0"/>
        </w:numPr>
        <w:snapToGrid w:val="0"/>
        <w:spacing w:line="480" w:lineRule="exact"/>
        <w:jc w:val="both"/>
        <w:rPr>
          <w:rFonts w:hint="eastAsia" w:ascii="宋体" w:hAnsi="宋体" w:eastAsia="宋体" w:cs="宋体"/>
          <w:i w:val="0"/>
          <w:iCs w:val="0"/>
          <w:color w:val="auto"/>
          <w:szCs w:val="28"/>
        </w:rPr>
      </w:pPr>
      <w:bookmarkStart w:id="92" w:name="_Toc6155"/>
      <w:bookmarkStart w:id="93" w:name="_Toc17216801"/>
      <w:bookmarkStart w:id="94" w:name="_Toc26032"/>
      <w:bookmarkStart w:id="95" w:name="_Toc496617073"/>
      <w:bookmarkStart w:id="96" w:name="_Toc19804"/>
      <w:bookmarkStart w:id="97" w:name="_Toc520985209"/>
      <w:r>
        <w:rPr>
          <w:rFonts w:hint="eastAsia" w:ascii="宋体" w:hAnsi="宋体" w:eastAsia="宋体" w:cs="宋体"/>
          <w:i w:val="0"/>
          <w:iCs w:val="0"/>
          <w:color w:val="auto"/>
          <w:szCs w:val="28"/>
        </w:rPr>
        <w:t>11、投标报价</w:t>
      </w:r>
      <w:bookmarkEnd w:id="92"/>
      <w:bookmarkEnd w:id="93"/>
      <w:bookmarkEnd w:id="94"/>
      <w:bookmarkEnd w:id="95"/>
      <w:bookmarkEnd w:id="96"/>
      <w:bookmarkEnd w:id="97"/>
    </w:p>
    <w:p w14:paraId="7C3C7904">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11.1投标报价：投标人应结合市场价，按照招标文件的规定和要求报价，任何不符合报价要求的投标将按照无效投标处理。</w:t>
      </w:r>
    </w:p>
    <w:p w14:paraId="37E61AB6">
      <w:pPr>
        <w:pStyle w:val="42"/>
        <w:shd w:val="clear" w:color="auto" w:fill="auto"/>
        <w:spacing w:line="480" w:lineRule="exact"/>
        <w:ind w:firstLine="420"/>
        <w:jc w:val="left"/>
        <w:rPr>
          <w:rFonts w:asciiTheme="minorEastAsia" w:hAnsiTheme="minorEastAsia" w:eastAsiaTheme="minorEastAsia" w:cstheme="minorEastAsia"/>
          <w:color w:val="auto"/>
          <w:sz w:val="24"/>
          <w:szCs w:val="24"/>
          <w:highlight w:val="none"/>
        </w:rPr>
      </w:pPr>
      <w:r>
        <w:rPr>
          <w:rFonts w:hint="eastAsia" w:ascii="宋体" w:hAnsi="宋体" w:eastAsia="宋体" w:cs="宋体"/>
          <w:i w:val="0"/>
          <w:iCs w:val="0"/>
          <w:color w:val="auto"/>
          <w:sz w:val="24"/>
          <w:highlight w:val="none"/>
        </w:rPr>
        <w:t>11.2</w:t>
      </w:r>
      <w:r>
        <w:rPr>
          <w:rFonts w:hint="eastAsia" w:cs="宋体"/>
          <w:i w:val="0"/>
          <w:iCs w:val="0"/>
          <w:color w:val="auto"/>
          <w:sz w:val="24"/>
          <w:highlight w:val="none"/>
          <w:lang w:val="en-US" w:eastAsia="zh-CN"/>
        </w:rPr>
        <w:t>投标</w:t>
      </w:r>
      <w:r>
        <w:rPr>
          <w:rFonts w:hint="eastAsia" w:ascii="宋体" w:hAnsi="宋体" w:eastAsia="宋体" w:cs="宋体"/>
          <w:i w:val="0"/>
          <w:iCs w:val="0"/>
          <w:color w:val="auto"/>
          <w:sz w:val="24"/>
          <w:highlight w:val="none"/>
        </w:rPr>
        <w:t>报价</w:t>
      </w:r>
      <w:r>
        <w:rPr>
          <w:rFonts w:hint="eastAsia" w:asciiTheme="minorEastAsia" w:hAnsiTheme="minorEastAsia" w:eastAsiaTheme="minorEastAsia" w:cstheme="minorEastAsia"/>
          <w:color w:val="auto"/>
          <w:sz w:val="24"/>
          <w:szCs w:val="24"/>
          <w:highlight w:val="none"/>
        </w:rPr>
        <w:t>包括完成该服务项目的管理费、技术费、办公费、劳务费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卫生保洁费、利润、税金、保险费以及合同明示或暗示的所有风险、责任和义务等全部费用。</w:t>
      </w:r>
    </w:p>
    <w:p w14:paraId="1A830873">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任何有选择的报价将视为无效投标。</w:t>
      </w:r>
    </w:p>
    <w:p w14:paraId="755CA2E7">
      <w:pPr>
        <w:spacing w:line="480" w:lineRule="exact"/>
        <w:ind w:left="959" w:leftChars="228" w:hanging="480" w:hangingChars="200"/>
        <w:rPr>
          <w:rFonts w:hint="eastAsia" w:ascii="宋体" w:hAnsi="宋体" w:eastAsia="宋体" w:cs="宋体"/>
          <w:b w:val="0"/>
          <w:bCs/>
          <w:i w:val="0"/>
          <w:iCs w:val="0"/>
          <w:color w:val="auto"/>
          <w:sz w:val="24"/>
        </w:rPr>
      </w:pPr>
      <w:r>
        <w:rPr>
          <w:rFonts w:hint="eastAsia" w:ascii="宋体" w:hAnsi="宋体" w:eastAsia="宋体" w:cs="宋体"/>
          <w:b w:val="0"/>
          <w:bCs/>
          <w:i w:val="0"/>
          <w:iCs w:val="0"/>
          <w:color w:val="auto"/>
          <w:sz w:val="24"/>
        </w:rPr>
        <w:t>11.2本项目招标最高限价详见投标须知前附表。</w:t>
      </w:r>
    </w:p>
    <w:p w14:paraId="2574BB00">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11.3投标人须将其投标报价填写在投标报价函的相应位置。</w:t>
      </w:r>
    </w:p>
    <w:p w14:paraId="6B1721E2">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11.4投标报价为投标人在投标文件中提出的各项支付金额的总和。详见投标须知前附表。(投标报价应采用投标报价函及其附表规定的格式)。</w:t>
      </w:r>
    </w:p>
    <w:p w14:paraId="5FC9F669">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11.5投标人的投标报价，应是完成项目中的规划要求和合同条款上所列招标范围的全部，不得以任何理由予以重复，作为投标人计算单价或总价的依据。除非采购人对招标文件予以修改，投标人应按本招标文件及采购人提供的技术资料进行报价。</w:t>
      </w:r>
    </w:p>
    <w:p w14:paraId="23B6EF51">
      <w:pPr>
        <w:snapToGrid w:val="0"/>
        <w:spacing w:line="480" w:lineRule="exact"/>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11.6、</w:t>
      </w:r>
      <w:r>
        <w:rPr>
          <w:rFonts w:hint="eastAsia" w:ascii="宋体" w:hAnsi="宋体" w:cs="宋体"/>
          <w:i w:val="0"/>
          <w:iCs w:val="0"/>
          <w:color w:val="auto"/>
          <w:sz w:val="24"/>
          <w:lang w:val="en-US" w:eastAsia="zh-CN"/>
        </w:rPr>
        <w:t>投标人</w:t>
      </w:r>
      <w:r>
        <w:rPr>
          <w:rFonts w:hint="eastAsia" w:ascii="宋体" w:hAnsi="宋体" w:eastAsia="宋体" w:cs="宋体"/>
          <w:i w:val="0"/>
          <w:iCs w:val="0"/>
          <w:color w:val="auto"/>
          <w:sz w:val="24"/>
          <w:lang w:val="en-US" w:eastAsia="zh-CN"/>
        </w:rPr>
        <w:t>不得以低于成本的报价参加投标。当评标委员会认为某个</w:t>
      </w:r>
      <w:r>
        <w:rPr>
          <w:rFonts w:hint="eastAsia" w:ascii="宋体" w:hAnsi="宋体" w:cs="宋体"/>
          <w:i w:val="0"/>
          <w:iCs w:val="0"/>
          <w:color w:val="auto"/>
          <w:sz w:val="24"/>
          <w:lang w:val="en-US" w:eastAsia="zh-CN"/>
        </w:rPr>
        <w:t>投标人</w:t>
      </w:r>
      <w:r>
        <w:rPr>
          <w:rFonts w:hint="eastAsia" w:ascii="宋体" w:hAnsi="宋体" w:eastAsia="宋体" w:cs="宋体"/>
          <w:i w:val="0"/>
          <w:iCs w:val="0"/>
          <w:color w:val="auto"/>
          <w:sz w:val="24"/>
          <w:lang w:val="en-US" w:eastAsia="zh-CN"/>
        </w:rPr>
        <w:t>的投标价或者某些分项报价明显不合理或者低于成本，有可能影响设备质量和不能诚信履约的，可要求该</w:t>
      </w:r>
      <w:r>
        <w:rPr>
          <w:rFonts w:hint="eastAsia" w:ascii="宋体" w:hAnsi="宋体" w:cs="宋体"/>
          <w:i w:val="0"/>
          <w:iCs w:val="0"/>
          <w:color w:val="auto"/>
          <w:sz w:val="24"/>
          <w:lang w:val="en-US" w:eastAsia="zh-CN"/>
        </w:rPr>
        <w:t>投标人</w:t>
      </w:r>
      <w:r>
        <w:rPr>
          <w:rFonts w:hint="eastAsia" w:ascii="宋体" w:hAnsi="宋体" w:eastAsia="宋体" w:cs="宋体"/>
          <w:i w:val="0"/>
          <w:iCs w:val="0"/>
          <w:color w:val="auto"/>
          <w:sz w:val="24"/>
          <w:lang w:val="en-US" w:eastAsia="zh-CN"/>
        </w:rPr>
        <w:t>在规定的期限内提供书面文件予以解释说明，并提交相关证明材料；否则，评标委员会认定该</w:t>
      </w:r>
      <w:r>
        <w:rPr>
          <w:rFonts w:hint="eastAsia" w:ascii="宋体" w:hAnsi="宋体" w:cs="宋体"/>
          <w:i w:val="0"/>
          <w:iCs w:val="0"/>
          <w:color w:val="auto"/>
          <w:sz w:val="24"/>
          <w:lang w:val="en-US" w:eastAsia="zh-CN"/>
        </w:rPr>
        <w:t>投标人</w:t>
      </w:r>
      <w:r>
        <w:rPr>
          <w:rFonts w:hint="eastAsia" w:ascii="宋体" w:hAnsi="宋体" w:eastAsia="宋体" w:cs="宋体"/>
          <w:i w:val="0"/>
          <w:iCs w:val="0"/>
          <w:color w:val="auto"/>
          <w:sz w:val="24"/>
          <w:lang w:val="en-US" w:eastAsia="zh-CN"/>
        </w:rPr>
        <w:t>以低于成本报价竞标，其投标应作废标处理。</w:t>
      </w:r>
    </w:p>
    <w:p w14:paraId="6DB5FA16">
      <w:pPr>
        <w:snapToGrid w:val="0"/>
        <w:spacing w:line="480" w:lineRule="exact"/>
        <w:ind w:firstLine="480" w:firstLineChars="200"/>
        <w:jc w:val="left"/>
        <w:rPr>
          <w:rFonts w:hint="default" w:ascii="宋体" w:hAnsi="宋体" w:cs="宋体"/>
          <w:i w:val="0"/>
          <w:iCs w:val="0"/>
          <w:color w:val="auto"/>
          <w:sz w:val="24"/>
          <w:lang w:val="en-US" w:eastAsia="zh-CN"/>
        </w:rPr>
      </w:pPr>
      <w:r>
        <w:rPr>
          <w:rFonts w:hint="eastAsia" w:ascii="宋体" w:hAnsi="宋体" w:cs="宋体"/>
          <w:i w:val="0"/>
          <w:iCs w:val="0"/>
          <w:color w:val="auto"/>
          <w:sz w:val="24"/>
          <w:lang w:val="en-US" w:eastAsia="zh-CN"/>
        </w:rPr>
        <w:t>11.7 异常低价处理：</w:t>
      </w:r>
    </w:p>
    <w:p w14:paraId="5B5441E5">
      <w:pPr>
        <w:snapToGrid w:val="0"/>
        <w:spacing w:line="480" w:lineRule="exact"/>
        <w:ind w:firstLine="480" w:firstLineChars="200"/>
        <w:jc w:val="left"/>
        <w:rPr>
          <w:rFonts w:hint="eastAsia" w:ascii="宋体" w:hAnsi="宋体" w:cs="宋体"/>
          <w:i w:val="0"/>
          <w:iCs w:val="0"/>
          <w:color w:val="auto"/>
          <w:sz w:val="24"/>
          <w:lang w:val="en-US" w:eastAsia="zh-CN"/>
        </w:rPr>
      </w:pPr>
      <w:r>
        <w:rPr>
          <w:rFonts w:hint="eastAsia" w:ascii="宋体" w:hAnsi="宋体" w:cs="宋体"/>
          <w:i w:val="0"/>
          <w:iCs w:val="0"/>
          <w:color w:val="auto"/>
          <w:sz w:val="24"/>
          <w:lang w:val="en-US" w:eastAsia="zh-CN"/>
        </w:rPr>
        <w:t>根据财政部文件《财政部关于推动解决政府采购异常低价问题的通知》（财库〔2026〕2号）文件规定，评标委员会应当启动异常低价投标（响应）审查程序：</w:t>
      </w:r>
    </w:p>
    <w:p w14:paraId="589539F6">
      <w:pPr>
        <w:snapToGrid w:val="0"/>
        <w:spacing w:line="480" w:lineRule="exact"/>
        <w:ind w:firstLine="480" w:firstLineChars="200"/>
        <w:jc w:val="left"/>
        <w:rPr>
          <w:rFonts w:hint="eastAsia" w:ascii="宋体" w:hAnsi="宋体" w:cs="宋体"/>
          <w:i w:val="0"/>
          <w:iCs w:val="0"/>
          <w:color w:val="auto"/>
          <w:sz w:val="24"/>
          <w:lang w:val="en-US" w:eastAsia="zh-CN"/>
        </w:rPr>
      </w:pPr>
      <w:r>
        <w:rPr>
          <w:rFonts w:hint="eastAsia" w:ascii="宋体" w:hAnsi="宋体" w:cs="宋体"/>
          <w:i w:val="0"/>
          <w:iCs w:val="0"/>
          <w:color w:val="auto"/>
          <w:sz w:val="24"/>
          <w:lang w:val="en-US" w:eastAsia="zh-CN"/>
        </w:rPr>
        <w:t>1.投标（响应）报价低于全部通过符合性审查供应商投标（响应）报价平均值50%的，即投标（响应）报价＜全部通过符合性审查供应商投标（响应）报价平均值×50%；</w:t>
      </w:r>
    </w:p>
    <w:p w14:paraId="70D8EEDB">
      <w:pPr>
        <w:snapToGrid w:val="0"/>
        <w:spacing w:line="480" w:lineRule="exact"/>
        <w:ind w:firstLine="480" w:firstLineChars="200"/>
        <w:jc w:val="left"/>
        <w:rPr>
          <w:rFonts w:hint="eastAsia" w:ascii="宋体" w:hAnsi="宋体" w:cs="宋体"/>
          <w:i w:val="0"/>
          <w:iCs w:val="0"/>
          <w:color w:val="auto"/>
          <w:sz w:val="24"/>
          <w:lang w:val="en-US" w:eastAsia="zh-CN"/>
        </w:rPr>
      </w:pPr>
      <w:r>
        <w:rPr>
          <w:rFonts w:hint="eastAsia" w:ascii="宋体" w:hAnsi="宋体" w:cs="宋体"/>
          <w:i w:val="0"/>
          <w:iCs w:val="0"/>
          <w:color w:val="auto"/>
          <w:sz w:val="24"/>
          <w:lang w:val="en-US" w:eastAsia="zh-CN"/>
        </w:rPr>
        <w:t>2投标（响应）报价低于通过符合性审查的次低报价供应商投标（响应）报价50%，即投标（响应）报价＜通过符合性审查的次低报价供应商投标（响应）报价×50%；</w:t>
      </w:r>
    </w:p>
    <w:p w14:paraId="35CC3CCE">
      <w:pPr>
        <w:snapToGrid w:val="0"/>
        <w:spacing w:line="480" w:lineRule="exact"/>
        <w:ind w:firstLine="480" w:firstLineChars="200"/>
        <w:jc w:val="left"/>
        <w:rPr>
          <w:rFonts w:hint="eastAsia" w:ascii="宋体" w:hAnsi="宋体" w:cs="宋体"/>
          <w:i w:val="0"/>
          <w:iCs w:val="0"/>
          <w:color w:val="auto"/>
          <w:sz w:val="24"/>
          <w:lang w:val="en-US" w:eastAsia="zh-CN"/>
        </w:rPr>
      </w:pPr>
      <w:r>
        <w:rPr>
          <w:rFonts w:hint="eastAsia" w:ascii="宋体" w:hAnsi="宋体" w:cs="宋体"/>
          <w:i w:val="0"/>
          <w:iCs w:val="0"/>
          <w:color w:val="auto"/>
          <w:sz w:val="24"/>
          <w:lang w:val="en-US" w:eastAsia="zh-CN"/>
        </w:rPr>
        <w:t>3.投标（响应）报价低于采购项目最高限价45%的，即投标（响应）报价＜采购项目最高限价×45%；</w:t>
      </w:r>
    </w:p>
    <w:p w14:paraId="169FBF71">
      <w:pPr>
        <w:snapToGrid w:val="0"/>
        <w:spacing w:line="480" w:lineRule="exact"/>
        <w:ind w:firstLine="480" w:firstLineChars="200"/>
        <w:jc w:val="left"/>
        <w:rPr>
          <w:rFonts w:hint="eastAsia" w:ascii="宋体" w:hAnsi="宋体" w:cs="宋体"/>
          <w:i w:val="0"/>
          <w:iCs w:val="0"/>
          <w:color w:val="auto"/>
          <w:sz w:val="24"/>
          <w:lang w:val="en-US" w:eastAsia="zh-CN"/>
        </w:rPr>
      </w:pPr>
      <w:r>
        <w:rPr>
          <w:rFonts w:hint="eastAsia" w:ascii="宋体" w:hAnsi="宋体" w:cs="宋体"/>
          <w:i w:val="0"/>
          <w:iCs w:val="0"/>
          <w:color w:val="auto"/>
          <w:sz w:val="24"/>
          <w:lang w:val="en-US" w:eastAsia="zh-CN"/>
        </w:rPr>
        <w:t>4.评审委员会基于专业判断，认为供应商报价过低，有可能影响产品质量或者不能诚信履约的其他情形。</w:t>
      </w:r>
    </w:p>
    <w:p w14:paraId="63853EF4">
      <w:pPr>
        <w:snapToGrid w:val="0"/>
        <w:spacing w:line="480" w:lineRule="exact"/>
        <w:ind w:firstLine="480" w:firstLineChars="200"/>
        <w:jc w:val="left"/>
        <w:rPr>
          <w:rFonts w:hint="eastAsia" w:ascii="宋体" w:hAnsi="宋体" w:cs="宋体"/>
          <w:i w:val="0"/>
          <w:iCs w:val="0"/>
          <w:color w:val="auto"/>
          <w:sz w:val="24"/>
          <w:lang w:val="en-US" w:eastAsia="zh-CN"/>
        </w:rPr>
      </w:pPr>
      <w:r>
        <w:rPr>
          <w:rFonts w:hint="eastAsia" w:ascii="宋体" w:hAnsi="宋体" w:cs="宋体"/>
          <w:i w:val="0"/>
          <w:iCs w:val="0"/>
          <w:color w:val="auto"/>
          <w:sz w:val="24"/>
          <w:lang w:val="en-US" w:eastAsia="zh-CN"/>
        </w:rPr>
        <w:t>相关法律法规对供应商报价有规定的，从其规定。</w:t>
      </w:r>
    </w:p>
    <w:p w14:paraId="74127FAA">
      <w:pPr>
        <w:snapToGrid w:val="0"/>
        <w:spacing w:line="480" w:lineRule="exact"/>
        <w:ind w:firstLine="480" w:firstLineChars="200"/>
        <w:jc w:val="left"/>
        <w:rPr>
          <w:rFonts w:hint="eastAsia" w:ascii="宋体" w:hAnsi="宋体" w:cs="宋体"/>
          <w:i w:val="0"/>
          <w:iCs w:val="0"/>
          <w:color w:val="auto"/>
          <w:sz w:val="24"/>
          <w:lang w:val="en-US" w:eastAsia="zh-CN"/>
        </w:rPr>
      </w:pPr>
      <w:r>
        <w:rPr>
          <w:rFonts w:hint="eastAsia" w:ascii="宋体" w:hAnsi="宋体" w:cs="宋体"/>
          <w:i w:val="0"/>
          <w:iCs w:val="0"/>
          <w:color w:val="auto"/>
          <w:sz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接到通知后30分钟）。其中，属于第3项情形，供应商已随投标(响应)文件一并提交相关书面说明及必要的证明材料的，在评审现场可不再重复提交。</w:t>
      </w:r>
    </w:p>
    <w:p w14:paraId="3E011706">
      <w:pPr>
        <w:snapToGrid w:val="0"/>
        <w:spacing w:line="480" w:lineRule="exact"/>
        <w:ind w:firstLine="480" w:firstLineChars="200"/>
        <w:jc w:val="left"/>
        <w:rPr>
          <w:rFonts w:hint="default" w:eastAsia="宋体"/>
          <w:lang w:val="en-US" w:eastAsia="zh-CN"/>
        </w:rPr>
      </w:pPr>
      <w:r>
        <w:rPr>
          <w:rFonts w:hint="eastAsia" w:ascii="宋体" w:hAnsi="宋体" w:cs="宋体"/>
          <w:i w:val="0"/>
          <w:iCs w:val="0"/>
          <w:color w:val="auto"/>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40C869">
      <w:pPr>
        <w:pStyle w:val="3"/>
        <w:numPr>
          <w:ilvl w:val="1"/>
          <w:numId w:val="0"/>
        </w:numPr>
        <w:snapToGrid w:val="0"/>
        <w:spacing w:line="480" w:lineRule="exact"/>
        <w:jc w:val="both"/>
        <w:rPr>
          <w:rFonts w:hint="eastAsia" w:ascii="宋体" w:hAnsi="宋体" w:eastAsia="宋体" w:cs="宋体"/>
          <w:i w:val="0"/>
          <w:iCs w:val="0"/>
          <w:color w:val="auto"/>
          <w:szCs w:val="28"/>
        </w:rPr>
      </w:pPr>
      <w:bookmarkStart w:id="98" w:name="_Toc14586"/>
      <w:bookmarkStart w:id="99" w:name="_Toc8443"/>
      <w:bookmarkStart w:id="100" w:name="_Toc1569"/>
      <w:bookmarkStart w:id="101" w:name="_Toc496617074"/>
      <w:bookmarkStart w:id="102" w:name="_Toc520985210"/>
      <w:bookmarkStart w:id="103" w:name="_Toc17216802"/>
      <w:r>
        <w:rPr>
          <w:rFonts w:hint="eastAsia" w:ascii="宋体" w:hAnsi="宋体" w:eastAsia="宋体" w:cs="宋体"/>
          <w:i w:val="0"/>
          <w:iCs w:val="0"/>
          <w:color w:val="auto"/>
          <w:szCs w:val="28"/>
        </w:rPr>
        <w:t>12、投标货币</w:t>
      </w:r>
      <w:bookmarkEnd w:id="98"/>
      <w:bookmarkEnd w:id="99"/>
      <w:bookmarkEnd w:id="100"/>
      <w:bookmarkEnd w:id="101"/>
      <w:bookmarkEnd w:id="102"/>
      <w:bookmarkEnd w:id="103"/>
    </w:p>
    <w:p w14:paraId="5AD7DDF6">
      <w:pPr>
        <w:snapToGrid w:val="0"/>
        <w:spacing w:line="480" w:lineRule="exact"/>
        <w:ind w:left="1090" w:hanging="523"/>
        <w:rPr>
          <w:rFonts w:hint="eastAsia" w:ascii="宋体" w:hAnsi="宋体" w:eastAsia="宋体" w:cs="宋体"/>
          <w:i w:val="0"/>
          <w:iCs w:val="0"/>
          <w:color w:val="auto"/>
          <w:sz w:val="24"/>
        </w:rPr>
      </w:pPr>
      <w:r>
        <w:rPr>
          <w:rFonts w:hint="eastAsia" w:ascii="宋体" w:hAnsi="宋体" w:eastAsia="宋体" w:cs="宋体"/>
          <w:i w:val="0"/>
          <w:iCs w:val="0"/>
          <w:color w:val="auto"/>
          <w:sz w:val="24"/>
        </w:rPr>
        <w:t>本投标报价采用的币种见投标须知前附表。</w:t>
      </w:r>
      <w:bookmarkStart w:id="104" w:name="_Toc17216803"/>
    </w:p>
    <w:p w14:paraId="4D75E9B9">
      <w:pPr>
        <w:pStyle w:val="3"/>
        <w:numPr>
          <w:ilvl w:val="1"/>
          <w:numId w:val="0"/>
        </w:numPr>
        <w:snapToGrid w:val="0"/>
        <w:spacing w:line="480" w:lineRule="exact"/>
        <w:jc w:val="both"/>
        <w:rPr>
          <w:rFonts w:hint="eastAsia" w:ascii="宋体" w:hAnsi="宋体" w:eastAsia="宋体" w:cs="宋体"/>
          <w:i w:val="0"/>
          <w:iCs w:val="0"/>
          <w:color w:val="auto"/>
          <w:szCs w:val="28"/>
        </w:rPr>
      </w:pPr>
      <w:bookmarkStart w:id="105" w:name="_Toc496617075"/>
      <w:bookmarkStart w:id="106" w:name="_Toc520985211"/>
      <w:bookmarkStart w:id="107" w:name="_Toc25978"/>
      <w:bookmarkStart w:id="108" w:name="_Toc17364"/>
      <w:bookmarkStart w:id="109" w:name="_Toc13911"/>
      <w:r>
        <w:rPr>
          <w:rFonts w:hint="eastAsia" w:ascii="宋体" w:hAnsi="宋体" w:eastAsia="宋体" w:cs="宋体"/>
          <w:i w:val="0"/>
          <w:iCs w:val="0"/>
          <w:color w:val="auto"/>
          <w:szCs w:val="28"/>
        </w:rPr>
        <w:t>13、投标有效期</w:t>
      </w:r>
      <w:bookmarkEnd w:id="104"/>
      <w:bookmarkEnd w:id="105"/>
      <w:bookmarkEnd w:id="106"/>
      <w:bookmarkEnd w:id="107"/>
      <w:bookmarkEnd w:id="108"/>
      <w:bookmarkEnd w:id="109"/>
    </w:p>
    <w:p w14:paraId="542F368F">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13.1投标有效期见投标须知前附表，在此期限内，凡符合本招标文件要求的投标文件均保持有效。</w:t>
      </w:r>
    </w:p>
    <w:p w14:paraId="371FE1CB">
      <w:pPr>
        <w:snapToGrid w:val="0"/>
        <w:spacing w:line="480" w:lineRule="exact"/>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13.2在特殊情况下，采购人和采购代理机构在原定投标有效期内，可以根据需要以书面形式向投标人提出延长投标有效期的要求，对此要求投标人须以书面形式予以答复。投标人可以拒绝采购人这种要求。同意延长投标有效期的投标人既不能要求也不允许修改其投标文件，但需要相应的延长投标担保的有效期，在延长的投标有效期内本须知关于投标担保的退还与没收的规定仍然适用。</w:t>
      </w:r>
      <w:bookmarkStart w:id="110" w:name="_Toc17216804"/>
    </w:p>
    <w:p w14:paraId="04CCEC62">
      <w:pPr>
        <w:pStyle w:val="3"/>
        <w:numPr>
          <w:ilvl w:val="1"/>
          <w:numId w:val="0"/>
        </w:numPr>
        <w:snapToGrid w:val="0"/>
        <w:spacing w:line="360" w:lineRule="auto"/>
        <w:jc w:val="both"/>
        <w:rPr>
          <w:rFonts w:hint="eastAsia" w:ascii="宋体" w:hAnsi="宋体" w:eastAsia="宋体" w:cs="宋体"/>
          <w:i w:val="0"/>
          <w:iCs w:val="0"/>
          <w:color w:val="auto"/>
          <w:szCs w:val="28"/>
        </w:rPr>
      </w:pPr>
      <w:bookmarkStart w:id="111" w:name="_Toc496617076"/>
      <w:bookmarkStart w:id="112" w:name="_Toc7750"/>
      <w:bookmarkStart w:id="113" w:name="_Toc2431"/>
      <w:bookmarkStart w:id="114" w:name="_Toc520985212"/>
      <w:bookmarkStart w:id="115" w:name="_Toc8348"/>
      <w:r>
        <w:rPr>
          <w:rFonts w:hint="eastAsia" w:ascii="宋体" w:hAnsi="宋体" w:eastAsia="宋体" w:cs="宋体"/>
          <w:i w:val="0"/>
          <w:iCs w:val="0"/>
          <w:color w:val="auto"/>
          <w:szCs w:val="28"/>
        </w:rPr>
        <w:t>14、</w:t>
      </w:r>
      <w:bookmarkEnd w:id="110"/>
      <w:r>
        <w:rPr>
          <w:rFonts w:hint="eastAsia" w:ascii="宋体" w:hAnsi="宋体" w:eastAsia="宋体" w:cs="宋体"/>
          <w:i w:val="0"/>
          <w:iCs w:val="0"/>
          <w:color w:val="auto"/>
          <w:szCs w:val="28"/>
        </w:rPr>
        <w:t>投标保证金</w:t>
      </w:r>
      <w:bookmarkEnd w:id="111"/>
      <w:bookmarkEnd w:id="112"/>
      <w:bookmarkEnd w:id="113"/>
      <w:bookmarkEnd w:id="114"/>
      <w:bookmarkEnd w:id="115"/>
    </w:p>
    <w:p w14:paraId="3D2A6979">
      <w:pPr>
        <w:snapToGrid w:val="0"/>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为了确保开标活动顺利进行，各投标人须向代理机构递交人民币</w:t>
      </w:r>
      <w:r>
        <w:rPr>
          <w:rFonts w:hint="eastAsia" w:ascii="宋体" w:hAnsi="宋体" w:cs="宋体"/>
          <w:b/>
          <w:bCs/>
          <w:i w:val="0"/>
          <w:iCs w:val="0"/>
          <w:color w:val="auto"/>
          <w:sz w:val="24"/>
          <w:lang w:val="en-US" w:eastAsia="zh-CN"/>
        </w:rPr>
        <w:t>伍万</w:t>
      </w:r>
      <w:r>
        <w:rPr>
          <w:rFonts w:hint="eastAsia" w:ascii="宋体" w:hAnsi="宋体" w:cs="宋体"/>
          <w:b/>
          <w:bCs/>
          <w:i w:val="0"/>
          <w:iCs w:val="0"/>
          <w:color w:val="auto"/>
          <w:sz w:val="24"/>
          <w:highlight w:val="none"/>
          <w:lang w:val="en-US" w:eastAsia="zh-CN"/>
        </w:rPr>
        <w:t>元整</w:t>
      </w:r>
      <w:r>
        <w:rPr>
          <w:rFonts w:hint="eastAsia" w:ascii="宋体" w:hAnsi="宋体" w:eastAsia="宋体" w:cs="宋体"/>
          <w:b/>
          <w:bCs/>
          <w:i w:val="0"/>
          <w:iCs w:val="0"/>
          <w:color w:val="auto"/>
          <w:sz w:val="24"/>
          <w:highlight w:val="none"/>
        </w:rPr>
        <w:t>（￥</w:t>
      </w:r>
      <w:r>
        <w:rPr>
          <w:rFonts w:hint="eastAsia" w:ascii="宋体" w:hAnsi="宋体" w:cs="宋体"/>
          <w:b/>
          <w:bCs/>
          <w:i w:val="0"/>
          <w:iCs w:val="0"/>
          <w:color w:val="auto"/>
          <w:sz w:val="24"/>
          <w:highlight w:val="none"/>
          <w:lang w:val="en-US" w:eastAsia="zh-CN"/>
        </w:rPr>
        <w:t>5</w:t>
      </w:r>
      <w:r>
        <w:rPr>
          <w:rFonts w:hint="eastAsia" w:ascii="宋体" w:hAnsi="宋体" w:eastAsia="宋体" w:cs="宋体"/>
          <w:b/>
          <w:bCs/>
          <w:i w:val="0"/>
          <w:iCs w:val="0"/>
          <w:color w:val="auto"/>
          <w:sz w:val="24"/>
          <w:highlight w:val="none"/>
        </w:rPr>
        <w:t>000</w:t>
      </w:r>
      <w:r>
        <w:rPr>
          <w:rFonts w:hint="eastAsia" w:ascii="宋体" w:hAnsi="宋体" w:cs="宋体"/>
          <w:b/>
          <w:bCs/>
          <w:i w:val="0"/>
          <w:iCs w:val="0"/>
          <w:color w:val="auto"/>
          <w:sz w:val="24"/>
          <w:highlight w:val="none"/>
          <w:lang w:val="en-US" w:eastAsia="zh-CN"/>
        </w:rPr>
        <w:t>0</w:t>
      </w:r>
      <w:r>
        <w:rPr>
          <w:rFonts w:hint="eastAsia" w:ascii="宋体" w:hAnsi="宋体" w:eastAsia="宋体" w:cs="宋体"/>
          <w:b/>
          <w:bCs/>
          <w:i w:val="0"/>
          <w:iCs w:val="0"/>
          <w:color w:val="auto"/>
          <w:sz w:val="24"/>
          <w:highlight w:val="none"/>
        </w:rPr>
        <w:t>.00元）</w:t>
      </w:r>
      <w:r>
        <w:rPr>
          <w:rFonts w:hint="eastAsia" w:ascii="宋体" w:hAnsi="宋体" w:eastAsia="宋体" w:cs="宋体"/>
          <w:i w:val="0"/>
          <w:iCs w:val="0"/>
          <w:color w:val="auto"/>
          <w:sz w:val="24"/>
        </w:rPr>
        <w:t>的投标保证金，投标保证金应在开标截止时间前到账。</w:t>
      </w:r>
    </w:p>
    <w:p w14:paraId="146EB097">
      <w:pPr>
        <w:snapToGrid w:val="0"/>
        <w:spacing w:line="360" w:lineRule="auto"/>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color w:val="000000"/>
          <w:sz w:val="24"/>
          <w:szCs w:val="24"/>
          <w:lang w:val="en-US" w:eastAsia="zh-CN"/>
        </w:rPr>
        <w:t>投标保证金采用支票、汇票、本票、保函等非现金形式的，将支票、汇票、本票、保函等非现金形式的文件复印件放入响应文件中</w:t>
      </w:r>
      <w:r>
        <w:rPr>
          <w:rFonts w:hint="eastAsia" w:ascii="宋体" w:hAnsi="宋体" w:eastAsia="宋体" w:cs="宋体"/>
          <w:b w:val="0"/>
          <w:bCs w:val="0"/>
          <w:color w:val="000000"/>
          <w:sz w:val="24"/>
          <w:szCs w:val="24"/>
          <w:lang w:val="en-US" w:eastAsia="zh-CN"/>
        </w:rPr>
        <w:t>，投标保证金采用转账形式的，将转入以下账户。</w:t>
      </w:r>
    </w:p>
    <w:p w14:paraId="2EDF438C">
      <w:pPr>
        <w:snapToGrid w:val="0"/>
        <w:spacing w:line="360" w:lineRule="auto"/>
        <w:ind w:firstLine="480" w:firstLineChars="200"/>
        <w:rPr>
          <w:rFonts w:hint="eastAsia" w:ascii="宋体" w:hAnsi="宋体" w:eastAsia="宋体" w:cs="宋体"/>
          <w:b w:val="0"/>
          <w:bCs w:val="0"/>
          <w:i w:val="0"/>
          <w:iCs w:val="0"/>
          <w:color w:val="auto"/>
          <w:sz w:val="24"/>
          <w:lang w:eastAsia="zh-CN"/>
        </w:rPr>
      </w:pPr>
      <w:r>
        <w:rPr>
          <w:rFonts w:hint="eastAsia" w:ascii="宋体" w:hAnsi="宋体" w:eastAsia="宋体" w:cs="宋体"/>
          <w:b w:val="0"/>
          <w:bCs w:val="0"/>
          <w:i w:val="0"/>
          <w:iCs w:val="0"/>
          <w:color w:val="auto"/>
          <w:sz w:val="24"/>
        </w:rPr>
        <w:t>账户名称：</w:t>
      </w:r>
      <w:r>
        <w:rPr>
          <w:rFonts w:hint="eastAsia" w:ascii="宋体" w:hAnsi="宋体" w:cs="宋体"/>
          <w:b w:val="0"/>
          <w:bCs w:val="0"/>
          <w:i w:val="0"/>
          <w:iCs w:val="0"/>
          <w:color w:val="auto"/>
          <w:sz w:val="24"/>
          <w:lang w:eastAsia="zh-CN"/>
        </w:rPr>
        <w:t>华鼎工程咨询集团有限公司</w:t>
      </w:r>
    </w:p>
    <w:p w14:paraId="1C658A70">
      <w:pPr>
        <w:snapToGrid w:val="0"/>
        <w:spacing w:line="360" w:lineRule="auto"/>
        <w:ind w:firstLine="480" w:firstLineChars="200"/>
        <w:rPr>
          <w:rFonts w:hint="eastAsia" w:ascii="宋体" w:hAnsi="宋体" w:eastAsia="宋体" w:cs="宋体"/>
          <w:b w:val="0"/>
          <w:bCs w:val="0"/>
          <w:i w:val="0"/>
          <w:iCs w:val="0"/>
          <w:color w:val="auto"/>
          <w:sz w:val="24"/>
        </w:rPr>
      </w:pPr>
      <w:r>
        <w:rPr>
          <w:rFonts w:hint="eastAsia" w:ascii="宋体" w:hAnsi="宋体" w:eastAsia="宋体" w:cs="宋体"/>
          <w:b w:val="0"/>
          <w:bCs w:val="0"/>
          <w:i w:val="0"/>
          <w:iCs w:val="0"/>
          <w:color w:val="auto"/>
          <w:sz w:val="24"/>
        </w:rPr>
        <w:t>开户银行：工行延安分行兰家坪支行</w:t>
      </w:r>
    </w:p>
    <w:p w14:paraId="5CE1872B">
      <w:pPr>
        <w:snapToGrid w:val="0"/>
        <w:spacing w:line="360" w:lineRule="auto"/>
        <w:ind w:firstLine="480" w:firstLineChars="200"/>
        <w:rPr>
          <w:rFonts w:hint="eastAsia" w:ascii="宋体" w:hAnsi="宋体" w:eastAsia="宋体" w:cs="宋体"/>
          <w:b w:val="0"/>
          <w:bCs w:val="0"/>
          <w:i w:val="0"/>
          <w:iCs w:val="0"/>
          <w:color w:val="auto"/>
          <w:sz w:val="24"/>
        </w:rPr>
      </w:pPr>
      <w:r>
        <w:rPr>
          <w:rFonts w:hint="eastAsia" w:ascii="宋体" w:hAnsi="宋体" w:eastAsia="宋体" w:cs="宋体"/>
          <w:b w:val="0"/>
          <w:bCs w:val="0"/>
          <w:i w:val="0"/>
          <w:iCs w:val="0"/>
          <w:color w:val="auto"/>
          <w:sz w:val="24"/>
        </w:rPr>
        <w:t>帐号：2609011719280016380</w:t>
      </w:r>
    </w:p>
    <w:p w14:paraId="44245FE6">
      <w:pPr>
        <w:snapToGrid w:val="0"/>
        <w:spacing w:line="360" w:lineRule="auto"/>
        <w:ind w:firstLine="480" w:firstLineChars="200"/>
        <w:rPr>
          <w:rFonts w:hint="eastAsia" w:ascii="宋体" w:hAnsi="宋体" w:eastAsia="宋体" w:cs="宋体"/>
          <w:b w:val="0"/>
          <w:bCs w:val="0"/>
          <w:i w:val="0"/>
          <w:iCs w:val="0"/>
          <w:color w:val="auto"/>
          <w:sz w:val="24"/>
        </w:rPr>
      </w:pPr>
      <w:r>
        <w:rPr>
          <w:rFonts w:hint="eastAsia" w:ascii="宋体" w:hAnsi="宋体" w:eastAsia="宋体" w:cs="宋体"/>
          <w:b w:val="0"/>
          <w:bCs w:val="0"/>
          <w:i w:val="0"/>
          <w:iCs w:val="0"/>
          <w:color w:val="auto"/>
          <w:sz w:val="24"/>
        </w:rPr>
        <w:t>联系电话:0911-8269168</w:t>
      </w:r>
    </w:p>
    <w:p w14:paraId="66D8A6DA">
      <w:pPr>
        <w:pStyle w:val="14"/>
        <w:ind w:left="0" w:leftChars="0" w:firstLine="480" w:firstLineChars="200"/>
        <w:rPr>
          <w:rFonts w:hint="eastAsia" w:ascii="宋体" w:hAnsi="宋体" w:eastAsia="宋体" w:cs="宋体"/>
          <w:i w:val="0"/>
          <w:iCs w:val="0"/>
          <w:color w:val="0000FF"/>
          <w:lang w:val="en-US" w:eastAsia="zh-CN"/>
        </w:rPr>
      </w:pPr>
      <w:r>
        <w:rPr>
          <w:rFonts w:hint="eastAsia" w:ascii="宋体" w:hAnsi="宋体" w:eastAsia="宋体" w:cs="宋体"/>
          <w:b w:val="0"/>
          <w:bCs w:val="0"/>
          <w:i w:val="0"/>
          <w:iCs w:val="0"/>
          <w:color w:val="auto"/>
          <w:sz w:val="24"/>
          <w:lang w:val="en-US" w:eastAsia="zh-CN"/>
        </w:rPr>
        <w:t>备注：“</w:t>
      </w:r>
      <w:r>
        <w:rPr>
          <w:rFonts w:hint="eastAsia" w:hAnsi="宋体" w:cs="宋体"/>
          <w:b w:val="0"/>
          <w:bCs w:val="0"/>
          <w:i w:val="0"/>
          <w:iCs w:val="0"/>
          <w:color w:val="auto"/>
          <w:sz w:val="24"/>
          <w:lang w:val="en-US" w:eastAsia="zh-CN"/>
        </w:rPr>
        <w:t>机关食堂托管企业采购项目</w:t>
      </w:r>
      <w:r>
        <w:rPr>
          <w:rFonts w:hint="eastAsia" w:ascii="宋体" w:hAnsi="宋体" w:eastAsia="宋体" w:cs="宋体"/>
          <w:b w:val="0"/>
          <w:bCs w:val="0"/>
          <w:i w:val="0"/>
          <w:iCs w:val="0"/>
          <w:color w:val="auto"/>
          <w:sz w:val="24"/>
          <w:lang w:val="en-US" w:eastAsia="zh-CN"/>
        </w:rPr>
        <w:t>”</w:t>
      </w:r>
      <w:r>
        <w:rPr>
          <w:rFonts w:hint="eastAsia" w:hAnsi="宋体" w:cs="宋体"/>
          <w:b w:val="0"/>
          <w:bCs w:val="0"/>
          <w:i w:val="0"/>
          <w:iCs w:val="0"/>
          <w:color w:val="auto"/>
          <w:sz w:val="24"/>
          <w:lang w:val="en-US" w:eastAsia="zh-CN"/>
        </w:rPr>
        <w:t>投标</w:t>
      </w:r>
      <w:r>
        <w:rPr>
          <w:rFonts w:hint="eastAsia" w:ascii="宋体" w:hAnsi="宋体" w:eastAsia="宋体" w:cs="宋体"/>
          <w:b w:val="0"/>
          <w:bCs w:val="0"/>
          <w:i w:val="0"/>
          <w:iCs w:val="0"/>
          <w:color w:val="auto"/>
          <w:sz w:val="24"/>
          <w:lang w:val="en-US" w:eastAsia="zh-CN"/>
        </w:rPr>
        <w:t>保证金。</w:t>
      </w:r>
    </w:p>
    <w:p w14:paraId="250C7052">
      <w:pPr>
        <w:pStyle w:val="3"/>
        <w:numPr>
          <w:ilvl w:val="1"/>
          <w:numId w:val="0"/>
        </w:numPr>
        <w:snapToGrid w:val="0"/>
        <w:spacing w:line="360" w:lineRule="auto"/>
        <w:jc w:val="both"/>
        <w:rPr>
          <w:rFonts w:hint="eastAsia" w:ascii="宋体" w:hAnsi="宋体" w:eastAsia="宋体" w:cs="宋体"/>
          <w:i w:val="0"/>
          <w:iCs w:val="0"/>
          <w:color w:val="auto"/>
          <w:szCs w:val="28"/>
        </w:rPr>
      </w:pPr>
      <w:bookmarkStart w:id="116" w:name="_Toc13616"/>
      <w:bookmarkStart w:id="117" w:name="_Toc17216805"/>
      <w:bookmarkStart w:id="118" w:name="_Toc520985213"/>
      <w:bookmarkStart w:id="119" w:name="_Toc496617077"/>
      <w:bookmarkStart w:id="120" w:name="_Toc23192"/>
      <w:bookmarkStart w:id="121" w:name="_Toc7935"/>
      <w:r>
        <w:rPr>
          <w:rFonts w:hint="eastAsia" w:ascii="宋体" w:hAnsi="宋体" w:eastAsia="宋体" w:cs="宋体"/>
          <w:i w:val="0"/>
          <w:iCs w:val="0"/>
          <w:color w:val="auto"/>
          <w:szCs w:val="28"/>
        </w:rPr>
        <w:t>15、投标人的备选方案</w:t>
      </w:r>
      <w:bookmarkEnd w:id="116"/>
      <w:bookmarkEnd w:id="117"/>
      <w:bookmarkEnd w:id="118"/>
      <w:bookmarkEnd w:id="119"/>
      <w:bookmarkEnd w:id="120"/>
      <w:bookmarkEnd w:id="121"/>
    </w:p>
    <w:p w14:paraId="279EDF05">
      <w:pPr>
        <w:snapToGrid w:val="0"/>
        <w:spacing w:line="360" w:lineRule="auto"/>
        <w:ind w:left="942" w:leftChars="277" w:hanging="360" w:hangingChars="150"/>
        <w:rPr>
          <w:rFonts w:hint="eastAsia" w:ascii="宋体" w:hAnsi="宋体" w:eastAsia="宋体" w:cs="宋体"/>
          <w:i w:val="0"/>
          <w:iCs w:val="0"/>
          <w:color w:val="auto"/>
          <w:sz w:val="22"/>
        </w:rPr>
      </w:pPr>
      <w:bookmarkStart w:id="122" w:name="_Toc17216806"/>
      <w:r>
        <w:rPr>
          <w:rFonts w:hint="eastAsia" w:ascii="宋体" w:hAnsi="宋体" w:eastAsia="宋体" w:cs="宋体"/>
          <w:i w:val="0"/>
          <w:iCs w:val="0"/>
          <w:color w:val="auto"/>
          <w:sz w:val="24"/>
        </w:rPr>
        <w:t>本项目不接受备选方案。</w:t>
      </w:r>
    </w:p>
    <w:bookmarkEnd w:id="122"/>
    <w:p w14:paraId="6B4787F2">
      <w:pPr>
        <w:pStyle w:val="3"/>
        <w:numPr>
          <w:ilvl w:val="1"/>
          <w:numId w:val="0"/>
        </w:numPr>
        <w:snapToGrid w:val="0"/>
        <w:spacing w:line="360" w:lineRule="auto"/>
        <w:jc w:val="both"/>
        <w:rPr>
          <w:rFonts w:hint="eastAsia" w:ascii="宋体" w:hAnsi="宋体" w:eastAsia="宋体" w:cs="宋体"/>
          <w:i w:val="0"/>
          <w:iCs w:val="0"/>
          <w:color w:val="auto"/>
          <w:szCs w:val="28"/>
        </w:rPr>
      </w:pPr>
      <w:bookmarkStart w:id="123" w:name="_Toc520985214"/>
      <w:bookmarkStart w:id="124" w:name="_Toc30610"/>
      <w:bookmarkStart w:id="125" w:name="_Toc17092"/>
      <w:bookmarkStart w:id="126" w:name="_Toc496617078"/>
      <w:bookmarkStart w:id="127" w:name="_Toc6911"/>
      <w:r>
        <w:rPr>
          <w:rFonts w:hint="eastAsia" w:ascii="宋体" w:hAnsi="宋体" w:eastAsia="宋体" w:cs="宋体"/>
          <w:i w:val="0"/>
          <w:iCs w:val="0"/>
          <w:color w:val="auto"/>
          <w:szCs w:val="28"/>
        </w:rPr>
        <w:t>16、投标文件的份数和签署</w:t>
      </w:r>
      <w:bookmarkEnd w:id="123"/>
      <w:bookmarkEnd w:id="124"/>
      <w:bookmarkEnd w:id="125"/>
      <w:bookmarkEnd w:id="126"/>
      <w:bookmarkEnd w:id="127"/>
    </w:p>
    <w:p w14:paraId="6C50F36C">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16.1投标人应按投标须知前附表要求提供投标文件的份数。</w:t>
      </w:r>
    </w:p>
    <w:p w14:paraId="29A9F80B">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16.2投标文件的正本和副本均需打印或使用不褪色的蓝、黑墨水笔书写，字迹应清晰易于辨认，并应在投标文件封面的右上角清楚地注明“正本”或“副本”。正本和副本如有不一致之处，以正本为准。</w:t>
      </w:r>
    </w:p>
    <w:p w14:paraId="18E9AD05">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16.3投标文件中要求加盖投标人公章或要求法定代表人及其授权代表签字的地方均应盖章或签字。由授权代表签字或盖章的在投标文件中须同时提交投标文件签署授权委托书。投标文件签署授权委托书格式、签字、盖章及内容均应符合要求，否则投标文件签署授权委托书无效。</w:t>
      </w:r>
    </w:p>
    <w:p w14:paraId="0C803456">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16.4投标人如对投标文件有修改，修改处应由投标人加盖投标人的印章或由法定代表人或其授权代表签字或盖章。</w:t>
      </w:r>
    </w:p>
    <w:p w14:paraId="5AEDC920">
      <w:pPr>
        <w:pStyle w:val="3"/>
        <w:numPr>
          <w:ilvl w:val="1"/>
          <w:numId w:val="0"/>
        </w:numPr>
        <w:snapToGrid w:val="0"/>
        <w:spacing w:line="360" w:lineRule="auto"/>
        <w:jc w:val="both"/>
        <w:rPr>
          <w:rFonts w:hint="eastAsia" w:ascii="宋体" w:hAnsi="宋体" w:eastAsia="宋体" w:cs="宋体"/>
          <w:i w:val="0"/>
          <w:iCs w:val="0"/>
          <w:color w:val="auto"/>
          <w:szCs w:val="28"/>
        </w:rPr>
      </w:pPr>
      <w:bookmarkStart w:id="128" w:name="_Toc31955"/>
      <w:bookmarkStart w:id="129" w:name="_Toc520985215"/>
      <w:bookmarkStart w:id="130" w:name="_Toc26072"/>
      <w:bookmarkStart w:id="131" w:name="_Toc496617079"/>
      <w:bookmarkStart w:id="132" w:name="_Toc32521"/>
      <w:r>
        <w:rPr>
          <w:rFonts w:hint="eastAsia" w:ascii="宋体" w:hAnsi="宋体" w:eastAsia="宋体" w:cs="宋体"/>
          <w:i w:val="0"/>
          <w:iCs w:val="0"/>
          <w:color w:val="auto"/>
          <w:szCs w:val="28"/>
        </w:rPr>
        <w:t>17、投标文件的装订、密封和标记</w:t>
      </w:r>
      <w:bookmarkEnd w:id="128"/>
      <w:bookmarkEnd w:id="129"/>
      <w:bookmarkEnd w:id="130"/>
      <w:bookmarkEnd w:id="131"/>
      <w:bookmarkEnd w:id="132"/>
    </w:p>
    <w:p w14:paraId="67D78C7B">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17.1投标文件的装订要求，按第16条装订。</w:t>
      </w:r>
    </w:p>
    <w:p w14:paraId="3FB424F6">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17.2投标文件必须密封递交。投标文件须胶装。投标文件的密封见招标文件前附表第8条规定，密封袋正面和投标文件封面须标明“正本”“副本”字样。</w:t>
      </w:r>
    </w:p>
    <w:p w14:paraId="0036B259">
      <w:pPr>
        <w:snapToGrid w:val="0"/>
        <w:spacing w:line="360" w:lineRule="auto"/>
        <w:ind w:firstLine="480"/>
        <w:rPr>
          <w:rFonts w:hint="eastAsia" w:ascii="宋体" w:hAnsi="宋体" w:eastAsia="宋体" w:cs="宋体"/>
          <w:i w:val="0"/>
          <w:iCs w:val="0"/>
          <w:color w:val="auto"/>
          <w:sz w:val="24"/>
        </w:rPr>
      </w:pPr>
      <w:r>
        <w:rPr>
          <w:rFonts w:hint="eastAsia" w:ascii="宋体" w:hAnsi="宋体" w:eastAsia="宋体" w:cs="宋体"/>
          <w:i w:val="0"/>
          <w:iCs w:val="0"/>
          <w:color w:val="auto"/>
          <w:sz w:val="24"/>
        </w:rPr>
        <w:t>17.3投标文件密封袋上均应：</w:t>
      </w:r>
    </w:p>
    <w:p w14:paraId="7867FA55">
      <w:pPr>
        <w:snapToGrid w:val="0"/>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注明下列识别标记：</w:t>
      </w:r>
    </w:p>
    <w:p w14:paraId="35C02074">
      <w:pPr>
        <w:pStyle w:val="13"/>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i w:val="0"/>
          <w:iCs w:val="0"/>
          <w:color w:val="auto"/>
          <w:kern w:val="0"/>
          <w:sz w:val="24"/>
          <w:szCs w:val="24"/>
        </w:rPr>
      </w:pPr>
      <w:r>
        <w:rPr>
          <w:rFonts w:hint="eastAsia" w:ascii="宋体" w:hAnsi="宋体" w:eastAsia="宋体" w:cs="宋体"/>
          <w:b w:val="0"/>
          <w:bCs/>
          <w:i w:val="0"/>
          <w:iCs w:val="0"/>
          <w:color w:val="auto"/>
          <w:sz w:val="24"/>
          <w:szCs w:val="24"/>
        </w:rPr>
        <w:t>（1）</w:t>
      </w:r>
      <w:r>
        <w:rPr>
          <w:rFonts w:hint="eastAsia" w:ascii="宋体" w:hAnsi="宋体" w:eastAsia="宋体" w:cs="宋体"/>
          <w:b w:val="0"/>
          <w:bCs/>
          <w:i w:val="0"/>
          <w:iCs w:val="0"/>
          <w:color w:val="auto"/>
          <w:kern w:val="0"/>
          <w:sz w:val="24"/>
          <w:szCs w:val="24"/>
        </w:rPr>
        <w:t>采购项目名称</w:t>
      </w:r>
    </w:p>
    <w:p w14:paraId="1129F457">
      <w:pPr>
        <w:pStyle w:val="13"/>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i w:val="0"/>
          <w:iCs w:val="0"/>
          <w:color w:val="auto"/>
          <w:kern w:val="0"/>
          <w:sz w:val="24"/>
          <w:szCs w:val="24"/>
        </w:rPr>
      </w:pPr>
      <w:r>
        <w:rPr>
          <w:rFonts w:hint="eastAsia" w:ascii="宋体" w:hAnsi="宋体" w:eastAsia="宋体" w:cs="宋体"/>
          <w:b w:val="0"/>
          <w:bCs/>
          <w:i w:val="0"/>
          <w:iCs w:val="0"/>
          <w:color w:val="auto"/>
          <w:kern w:val="0"/>
          <w:sz w:val="24"/>
          <w:szCs w:val="24"/>
        </w:rPr>
        <w:t>（2）采购项目编号</w:t>
      </w:r>
    </w:p>
    <w:p w14:paraId="64716691">
      <w:pPr>
        <w:pStyle w:val="13"/>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i w:val="0"/>
          <w:iCs w:val="0"/>
          <w:color w:val="auto"/>
          <w:kern w:val="0"/>
          <w:sz w:val="24"/>
          <w:szCs w:val="24"/>
        </w:rPr>
      </w:pPr>
      <w:r>
        <w:rPr>
          <w:rFonts w:hint="eastAsia" w:ascii="宋体" w:hAnsi="宋体" w:eastAsia="宋体" w:cs="宋体"/>
          <w:b w:val="0"/>
          <w:bCs/>
          <w:i w:val="0"/>
          <w:iCs w:val="0"/>
          <w:color w:val="auto"/>
          <w:kern w:val="0"/>
          <w:sz w:val="24"/>
          <w:szCs w:val="24"/>
        </w:rPr>
        <w:t>（3）投标人名称</w:t>
      </w:r>
    </w:p>
    <w:p w14:paraId="77A4D612">
      <w:pPr>
        <w:pStyle w:val="13"/>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i w:val="0"/>
          <w:iCs w:val="0"/>
          <w:color w:val="auto"/>
          <w:kern w:val="0"/>
          <w:sz w:val="24"/>
          <w:szCs w:val="24"/>
        </w:rPr>
      </w:pPr>
      <w:r>
        <w:rPr>
          <w:rFonts w:hint="eastAsia" w:ascii="宋体" w:hAnsi="宋体" w:eastAsia="宋体" w:cs="宋体"/>
          <w:b w:val="0"/>
          <w:bCs/>
          <w:i w:val="0"/>
          <w:iCs w:val="0"/>
          <w:color w:val="auto"/>
          <w:kern w:val="0"/>
          <w:sz w:val="24"/>
          <w:szCs w:val="24"/>
        </w:rPr>
        <w:t>（4）</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202</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05</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14</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09</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时</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00</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分00秒</w:t>
      </w:r>
      <w:r>
        <w:rPr>
          <w:rFonts w:hint="eastAsia" w:ascii="宋体" w:hAnsi="宋体" w:eastAsia="宋体" w:cs="宋体"/>
          <w:b w:val="0"/>
          <w:bCs/>
          <w:i w:val="0"/>
          <w:iCs w:val="0"/>
          <w:color w:val="auto"/>
          <w:kern w:val="0"/>
          <w:sz w:val="24"/>
          <w:szCs w:val="24"/>
        </w:rPr>
        <w:t>开标，此时间以前不得开封。</w:t>
      </w:r>
    </w:p>
    <w:p w14:paraId="42220608">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17.4除了按本须知第17.2款和第17.3款所要求的识别字样外，在投标文件密封袋上还应写明投标人的名称，以便本须知第18.2条规定情况发生时，采购人可按密封袋上标明的投标人名称将投标文件原封退回。</w:t>
      </w:r>
    </w:p>
    <w:p w14:paraId="7717F459">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17.5如果投标文件没有按本投标须知第17.1款、第17.2款和第17.3款的规定装订和注明标记及密封，采购人将不承担投标文件提前开封的责任。对由此造成提前开封的投标文件将予以拒绝。</w:t>
      </w:r>
    </w:p>
    <w:p w14:paraId="043AE347">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17.6所有投标文件的密封袋的封口处应加盖投标人印章、法人或授权代表签字或盖章。</w:t>
      </w:r>
    </w:p>
    <w:p w14:paraId="6AE4035F">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17.7投标文件的编制应按有关格式及要求填报。</w:t>
      </w:r>
    </w:p>
    <w:p w14:paraId="1A846613">
      <w:pPr>
        <w:pStyle w:val="3"/>
        <w:numPr>
          <w:ilvl w:val="1"/>
          <w:numId w:val="0"/>
        </w:numPr>
        <w:snapToGrid w:val="0"/>
        <w:spacing w:line="360" w:lineRule="auto"/>
        <w:jc w:val="both"/>
        <w:rPr>
          <w:rFonts w:hint="eastAsia" w:ascii="宋体" w:hAnsi="宋体" w:eastAsia="宋体" w:cs="宋体"/>
          <w:i w:val="0"/>
          <w:iCs w:val="0"/>
          <w:color w:val="auto"/>
          <w:szCs w:val="28"/>
        </w:rPr>
      </w:pPr>
      <w:bookmarkStart w:id="133" w:name="_Toc496617080"/>
      <w:bookmarkStart w:id="134" w:name="_Toc520985216"/>
      <w:bookmarkStart w:id="135" w:name="_Toc5713"/>
      <w:bookmarkStart w:id="136" w:name="_Toc17216809"/>
      <w:bookmarkStart w:id="137" w:name="_Toc23726"/>
      <w:bookmarkStart w:id="138" w:name="_Toc24979"/>
      <w:r>
        <w:rPr>
          <w:rFonts w:hint="eastAsia" w:ascii="宋体" w:hAnsi="宋体" w:eastAsia="宋体" w:cs="宋体"/>
          <w:i w:val="0"/>
          <w:iCs w:val="0"/>
          <w:color w:val="auto"/>
          <w:szCs w:val="28"/>
        </w:rPr>
        <w:t>18、投标文件的提交</w:t>
      </w:r>
      <w:bookmarkEnd w:id="133"/>
      <w:bookmarkEnd w:id="134"/>
      <w:bookmarkEnd w:id="135"/>
      <w:bookmarkEnd w:id="136"/>
      <w:bookmarkEnd w:id="137"/>
      <w:bookmarkEnd w:id="138"/>
    </w:p>
    <w:p w14:paraId="702A238E">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18.1投标人应按投标须知前附表所规定的地点，于投标截止时间前提交投标文件。</w:t>
      </w:r>
      <w:bookmarkStart w:id="139" w:name="_Toc17216810"/>
    </w:p>
    <w:bookmarkEnd w:id="139"/>
    <w:p w14:paraId="38C26834">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18.2投标文件的截止时间见投标须知前附表规定，投标截止时间以后的投标文件，将被拒绝。</w:t>
      </w:r>
    </w:p>
    <w:p w14:paraId="6453B821">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18.3采购人可按本须知第6条规定以修改补充通知的方式，酌情延长提交投标文件的截止时间。在此情况下，投标人的所有权利和义务以及投标人受制约的截止时间，均以延长后新的投标截止时间为准。</w:t>
      </w:r>
    </w:p>
    <w:p w14:paraId="2D065C26">
      <w:pPr>
        <w:pStyle w:val="3"/>
        <w:numPr>
          <w:ilvl w:val="1"/>
          <w:numId w:val="0"/>
        </w:numPr>
        <w:snapToGrid w:val="0"/>
        <w:spacing w:line="360" w:lineRule="auto"/>
        <w:jc w:val="both"/>
        <w:rPr>
          <w:rFonts w:hint="eastAsia" w:ascii="宋体" w:hAnsi="宋体" w:eastAsia="宋体" w:cs="宋体"/>
          <w:i w:val="0"/>
          <w:iCs w:val="0"/>
          <w:color w:val="auto"/>
          <w:szCs w:val="28"/>
        </w:rPr>
      </w:pPr>
      <w:bookmarkStart w:id="140" w:name="_Toc19836"/>
      <w:bookmarkStart w:id="141" w:name="_Toc496617081"/>
      <w:bookmarkStart w:id="142" w:name="_Toc11488"/>
      <w:bookmarkStart w:id="143" w:name="_Toc520985217"/>
      <w:bookmarkStart w:id="144" w:name="_Toc12666"/>
      <w:bookmarkStart w:id="145" w:name="_Toc17216812"/>
      <w:r>
        <w:rPr>
          <w:rFonts w:hint="eastAsia" w:ascii="宋体" w:hAnsi="宋体" w:eastAsia="宋体" w:cs="宋体"/>
          <w:i w:val="0"/>
          <w:iCs w:val="0"/>
          <w:color w:val="auto"/>
          <w:szCs w:val="28"/>
        </w:rPr>
        <w:t>19、投标文件的补充、修改与撤回</w:t>
      </w:r>
      <w:bookmarkEnd w:id="140"/>
      <w:bookmarkEnd w:id="141"/>
      <w:bookmarkEnd w:id="142"/>
      <w:bookmarkEnd w:id="143"/>
      <w:bookmarkEnd w:id="144"/>
      <w:bookmarkEnd w:id="145"/>
    </w:p>
    <w:p w14:paraId="6E2B70D8">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19.1投标人在提交投标文件以后，在规定的投标截止时间之前，可以书面形式补充修改或撤回已提交的投标文件，并以书面形式通知采购代理机构。补充、修改的内容为投标文件的组成部分。</w:t>
      </w:r>
    </w:p>
    <w:p w14:paraId="0C658B51">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19.2投标人对投标文件的补充、修改，应按本须知第17条有关规定密封、标记和提交，并在投标文件密封袋上清楚标明“补充、修改”或“撤回”字样。</w:t>
      </w:r>
    </w:p>
    <w:p w14:paraId="6D4743C5">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19.3在投标截止时间之后，投标人不得补充、修改投标文件。</w:t>
      </w:r>
    </w:p>
    <w:p w14:paraId="033C5331">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19.4在投标截止时间至投标有效期满之前，投标人不得撤回其投标文件。</w:t>
      </w:r>
    </w:p>
    <w:p w14:paraId="172B70A5">
      <w:pPr>
        <w:pStyle w:val="3"/>
        <w:numPr>
          <w:ilvl w:val="1"/>
          <w:numId w:val="0"/>
        </w:numPr>
        <w:snapToGrid w:val="0"/>
        <w:spacing w:line="360" w:lineRule="auto"/>
        <w:jc w:val="both"/>
        <w:rPr>
          <w:rFonts w:hint="eastAsia" w:ascii="宋体" w:hAnsi="宋体" w:eastAsia="宋体" w:cs="宋体"/>
          <w:i w:val="0"/>
          <w:iCs w:val="0"/>
          <w:color w:val="auto"/>
          <w:szCs w:val="28"/>
        </w:rPr>
      </w:pPr>
      <w:bookmarkStart w:id="146" w:name="_Toc29763"/>
      <w:bookmarkStart w:id="147" w:name="_Toc17216814"/>
      <w:bookmarkStart w:id="148" w:name="_Toc520985218"/>
      <w:bookmarkStart w:id="149" w:name="_Toc496617082"/>
      <w:bookmarkStart w:id="150" w:name="_Toc10451"/>
      <w:bookmarkStart w:id="151" w:name="_Toc20976"/>
      <w:r>
        <w:rPr>
          <w:rFonts w:hint="eastAsia" w:ascii="宋体" w:hAnsi="宋体" w:eastAsia="宋体" w:cs="宋体"/>
          <w:i w:val="0"/>
          <w:iCs w:val="0"/>
          <w:color w:val="auto"/>
          <w:szCs w:val="28"/>
        </w:rPr>
        <w:t>20、开标</w:t>
      </w:r>
      <w:bookmarkEnd w:id="146"/>
      <w:bookmarkEnd w:id="147"/>
      <w:bookmarkEnd w:id="148"/>
      <w:bookmarkEnd w:id="149"/>
      <w:bookmarkEnd w:id="150"/>
      <w:bookmarkEnd w:id="151"/>
    </w:p>
    <w:p w14:paraId="5412D07F">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cs="宋体"/>
          <w:i w:val="0"/>
          <w:iCs w:val="0"/>
          <w:color w:val="auto"/>
          <w:sz w:val="24"/>
          <w:lang w:val="en-US" w:eastAsia="zh-CN"/>
        </w:rPr>
        <w:t>20.</w:t>
      </w:r>
      <w:r>
        <w:rPr>
          <w:rFonts w:hint="eastAsia" w:ascii="宋体" w:hAnsi="宋体" w:eastAsia="宋体" w:cs="宋体"/>
          <w:i w:val="0"/>
          <w:iCs w:val="0"/>
          <w:color w:val="auto"/>
          <w:sz w:val="24"/>
        </w:rPr>
        <w:t>1、开标</w:t>
      </w:r>
    </w:p>
    <w:p w14:paraId="6CCA082F">
      <w:pPr>
        <w:snapToGrid w:val="0"/>
        <w:spacing w:line="360" w:lineRule="auto"/>
        <w:ind w:firstLine="480" w:firstLineChars="200"/>
        <w:jc w:val="left"/>
        <w:rPr>
          <w:rFonts w:hint="eastAsia" w:ascii="宋体" w:hAnsi="宋体" w:eastAsia="宋体" w:cs="宋体"/>
          <w:i w:val="0"/>
          <w:iCs w:val="0"/>
          <w:color w:val="auto"/>
          <w:sz w:val="24"/>
          <w:lang w:eastAsia="zh-CN"/>
        </w:rPr>
      </w:pPr>
      <w:r>
        <w:rPr>
          <w:rFonts w:hint="eastAsia" w:ascii="宋体" w:hAnsi="宋体" w:cs="宋体"/>
          <w:i w:val="0"/>
          <w:iCs w:val="0"/>
          <w:color w:val="auto"/>
          <w:sz w:val="24"/>
          <w:lang w:val="en-US" w:eastAsia="zh-CN"/>
        </w:rPr>
        <w:t>20.1.1</w:t>
      </w:r>
      <w:r>
        <w:rPr>
          <w:rFonts w:hint="eastAsia" w:ascii="宋体" w:hAnsi="宋体" w:eastAsia="宋体" w:cs="宋体"/>
          <w:i w:val="0"/>
          <w:iCs w:val="0"/>
          <w:color w:val="auto"/>
          <w:sz w:val="24"/>
        </w:rPr>
        <w:t>、本项目采用不见面开标方式。供应商须使用数字认证证书（CA锁）对电子投标文件进行签章、加密、递交及开标时解密等相关招投标事宜。开标前，供应商需登录网络开标大厅。开标时，按照全国公共资源交易平台（陕西省·延安市）-电子交易平台-政府采购交易系统要求进行远程解密，如因供应商自身原因造成无法解密投标文件，按无效投标对待。</w:t>
      </w:r>
      <w:r>
        <w:rPr>
          <w:rFonts w:hint="eastAsia" w:ascii="宋体" w:hAnsi="宋体" w:eastAsia="宋体" w:cs="宋体"/>
          <w:i w:val="0"/>
          <w:iCs w:val="0"/>
          <w:color w:val="auto"/>
          <w:sz w:val="24"/>
          <w:lang w:val="en-US" w:eastAsia="zh-CN"/>
        </w:rPr>
        <w:t>网投项目</w:t>
      </w:r>
      <w:r>
        <w:rPr>
          <w:rFonts w:hint="eastAsia" w:ascii="宋体" w:hAnsi="宋体" w:eastAsia="宋体" w:cs="宋体"/>
          <w:i w:val="0"/>
          <w:iCs w:val="0"/>
          <w:color w:val="auto"/>
          <w:sz w:val="24"/>
        </w:rPr>
        <w:t>网上开启的开始时间为</w:t>
      </w:r>
      <w:r>
        <w:rPr>
          <w:rFonts w:hint="eastAsia" w:ascii="宋体" w:hAnsi="宋体" w:eastAsia="宋体" w:cs="宋体"/>
          <w:i w:val="0"/>
          <w:iCs w:val="0"/>
          <w:color w:val="auto"/>
          <w:sz w:val="24"/>
          <w:lang w:val="en-US" w:eastAsia="zh-CN"/>
        </w:rPr>
        <w:t>投标</w:t>
      </w:r>
      <w:r>
        <w:rPr>
          <w:rFonts w:hint="eastAsia" w:ascii="宋体" w:hAnsi="宋体" w:eastAsia="宋体" w:cs="宋体"/>
          <w:i w:val="0"/>
          <w:iCs w:val="0"/>
          <w:color w:val="auto"/>
          <w:sz w:val="24"/>
        </w:rPr>
        <w:t>文件提交截止时间。成功提交或解密电子响应文件的供应商不足3家的，不予开启，采购人或代理机构将终止采购活动。其他操作详见全国公共资源交易平台(陕西省·延安市)&gt;服务指南 &gt;下载专区“延安市公共资源交易中心政府采购电子招投标全流程操作手册”</w:t>
      </w:r>
      <w:r>
        <w:rPr>
          <w:rFonts w:hint="eastAsia" w:ascii="宋体" w:hAnsi="宋体" w:eastAsia="宋体" w:cs="宋体"/>
          <w:i w:val="0"/>
          <w:iCs w:val="0"/>
          <w:color w:val="auto"/>
          <w:sz w:val="24"/>
          <w:lang w:eastAsia="zh-CN"/>
        </w:rPr>
        <w:t>。</w:t>
      </w:r>
    </w:p>
    <w:p w14:paraId="7B098BAD">
      <w:pPr>
        <w:snapToGrid w:val="0"/>
        <w:spacing w:line="360" w:lineRule="auto"/>
        <w:ind w:firstLine="480" w:firstLineChars="200"/>
        <w:jc w:val="left"/>
        <w:rPr>
          <w:rFonts w:hint="eastAsia" w:ascii="宋体" w:hAnsi="宋体" w:eastAsia="宋体" w:cs="宋体"/>
          <w:i w:val="0"/>
          <w:iCs w:val="0"/>
          <w:color w:val="auto"/>
          <w:sz w:val="24"/>
          <w:lang w:val="en-US" w:eastAsia="zh-CN"/>
        </w:rPr>
      </w:pPr>
      <w:r>
        <w:rPr>
          <w:rFonts w:hint="eastAsia" w:ascii="宋体" w:hAnsi="宋体" w:cs="宋体"/>
          <w:i w:val="0"/>
          <w:iCs w:val="0"/>
          <w:color w:val="auto"/>
          <w:sz w:val="24"/>
          <w:lang w:val="en-US" w:eastAsia="zh-CN"/>
        </w:rPr>
        <w:t>20.1.2</w:t>
      </w:r>
      <w:r>
        <w:rPr>
          <w:rFonts w:hint="eastAsia" w:ascii="宋体" w:hAnsi="宋体" w:eastAsia="宋体" w:cs="宋体"/>
          <w:i w:val="0"/>
          <w:iCs w:val="0"/>
          <w:color w:val="auto"/>
          <w:sz w:val="24"/>
        </w:rPr>
        <w:t>、</w:t>
      </w:r>
      <w:r>
        <w:rPr>
          <w:rFonts w:hint="eastAsia" w:ascii="宋体" w:hAnsi="宋体" w:eastAsia="宋体" w:cs="宋体"/>
          <w:i w:val="0"/>
          <w:iCs w:val="0"/>
          <w:color w:val="auto"/>
          <w:sz w:val="24"/>
          <w:lang w:val="en-US" w:eastAsia="zh-CN"/>
        </w:rPr>
        <w:t>电子标开启准备工作</w:t>
      </w:r>
    </w:p>
    <w:p w14:paraId="0D8D9E87">
      <w:pPr>
        <w:snapToGrid w:val="0"/>
        <w:spacing w:line="360" w:lineRule="auto"/>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rPr>
        <w:t>（1）</w:t>
      </w:r>
      <w:r>
        <w:rPr>
          <w:rFonts w:hint="eastAsia" w:ascii="宋体" w:hAnsi="宋体" w:eastAsia="宋体" w:cs="宋体"/>
          <w:i w:val="0"/>
          <w:iCs w:val="0"/>
          <w:color w:val="auto"/>
          <w:sz w:val="24"/>
          <w:lang w:val="en-US" w:eastAsia="zh-CN"/>
        </w:rPr>
        <w:t>开标/开启前30分钟内，供应商需登录项目电子化交易系统-“供应商开标大厅”-进入开标选择对应项目包组操作签到，签到完成后等待代理机构开标/开启。</w:t>
      </w:r>
    </w:p>
    <w:p w14:paraId="62734987">
      <w:pPr>
        <w:snapToGrid w:val="0"/>
        <w:spacing w:line="360" w:lineRule="auto"/>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rPr>
        <w:t>（2）</w:t>
      </w:r>
      <w:r>
        <w:rPr>
          <w:rFonts w:hint="eastAsia" w:ascii="宋体" w:hAnsi="宋体" w:eastAsia="宋体" w:cs="宋体"/>
          <w:i w:val="0"/>
          <w:iCs w:val="0"/>
          <w:color w:val="auto"/>
          <w:sz w:val="24"/>
          <w:lang w:val="en-US" w:eastAsia="zh-CN"/>
        </w:rPr>
        <w:t>解密响应文件（实质性要求）</w:t>
      </w:r>
    </w:p>
    <w:p w14:paraId="00C23571">
      <w:pPr>
        <w:snapToGrid w:val="0"/>
        <w:spacing w:line="360" w:lineRule="auto"/>
        <w:ind w:firstLine="480" w:firstLineChars="200"/>
        <w:jc w:val="left"/>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响应文件提交截止时间后，成功提交响应文件的供应商符合响应文件规定数量的，代理机构将启动响应文件解密程序，解密时间为30分钟；供应商应在规定的解密时间内，使用互认的证书及签章通过项目电子化交易系统进行响应文件解密。供应商未在规定的解密时间内完成解密的，按无效响应处理。</w:t>
      </w:r>
    </w:p>
    <w:p w14:paraId="788CC078">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14:paraId="41C25706">
      <w:pPr>
        <w:pStyle w:val="3"/>
        <w:numPr>
          <w:ilvl w:val="1"/>
          <w:numId w:val="0"/>
        </w:numPr>
        <w:snapToGrid w:val="0"/>
        <w:spacing w:line="360" w:lineRule="auto"/>
        <w:jc w:val="both"/>
        <w:rPr>
          <w:rFonts w:hint="eastAsia" w:ascii="宋体" w:hAnsi="宋体" w:eastAsia="宋体" w:cs="宋体"/>
          <w:i w:val="0"/>
          <w:iCs w:val="0"/>
          <w:color w:val="auto"/>
          <w:szCs w:val="28"/>
        </w:rPr>
      </w:pPr>
      <w:bookmarkStart w:id="152" w:name="_Toc17532"/>
      <w:bookmarkStart w:id="153" w:name="_Toc496617083"/>
      <w:bookmarkStart w:id="154" w:name="_Toc19874"/>
      <w:bookmarkStart w:id="155" w:name="_Toc520985219"/>
      <w:bookmarkStart w:id="156" w:name="_Toc28348"/>
      <w:bookmarkStart w:id="157" w:name="_Toc389620189"/>
      <w:bookmarkStart w:id="158" w:name="_Toc385992350"/>
      <w:r>
        <w:rPr>
          <w:rFonts w:hint="eastAsia" w:ascii="宋体" w:hAnsi="宋体" w:eastAsia="宋体" w:cs="宋体"/>
          <w:i w:val="0"/>
          <w:iCs w:val="0"/>
          <w:color w:val="auto"/>
          <w:szCs w:val="28"/>
        </w:rPr>
        <w:t>21、评标委员会与评标</w:t>
      </w:r>
      <w:bookmarkEnd w:id="152"/>
      <w:bookmarkEnd w:id="153"/>
      <w:bookmarkEnd w:id="154"/>
      <w:bookmarkEnd w:id="155"/>
      <w:bookmarkEnd w:id="156"/>
    </w:p>
    <w:p w14:paraId="6C6DAC70">
      <w:pPr>
        <w:snapToGrid w:val="0"/>
        <w:spacing w:line="360" w:lineRule="auto"/>
        <w:ind w:firstLine="480" w:firstLineChars="200"/>
        <w:jc w:val="left"/>
        <w:rPr>
          <w:rFonts w:hint="default" w:ascii="宋体" w:hAnsi="宋体" w:eastAsia="宋体" w:cs="宋体"/>
          <w:i w:val="0"/>
          <w:iCs w:val="0"/>
          <w:color w:val="auto"/>
          <w:sz w:val="24"/>
          <w:lang w:val="en-US" w:eastAsia="zh-CN"/>
        </w:rPr>
      </w:pPr>
      <w:r>
        <w:rPr>
          <w:rFonts w:hint="eastAsia" w:ascii="宋体" w:hAnsi="宋体" w:eastAsia="宋体" w:cs="宋体"/>
          <w:i w:val="0"/>
          <w:iCs w:val="0"/>
          <w:color w:val="auto"/>
          <w:sz w:val="24"/>
        </w:rPr>
        <w:t>21.1采购代理机构根据《中华人民共和国政府采购法</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中华人民共和国政府采购法实施条例》和“财政部第18号部长令”的规定，依法组建评标委员会。评标委员会由采购人代表和评标专家共</w:t>
      </w:r>
      <w:r>
        <w:rPr>
          <w:rFonts w:hint="eastAsia" w:ascii="宋体" w:hAnsi="宋体" w:cs="宋体"/>
          <w:i w:val="0"/>
          <w:iCs w:val="0"/>
          <w:color w:val="auto"/>
          <w:sz w:val="24"/>
          <w:lang w:val="en-US" w:eastAsia="zh-CN"/>
        </w:rPr>
        <w:t>7</w:t>
      </w:r>
      <w:r>
        <w:rPr>
          <w:rFonts w:hint="eastAsia" w:ascii="宋体" w:hAnsi="宋体" w:eastAsia="宋体" w:cs="宋体"/>
          <w:i w:val="0"/>
          <w:iCs w:val="0"/>
          <w:color w:val="auto"/>
          <w:sz w:val="24"/>
        </w:rPr>
        <w:t>人组成</w:t>
      </w:r>
      <w:r>
        <w:rPr>
          <w:rFonts w:hint="eastAsia" w:ascii="宋体" w:hAnsi="宋体" w:cs="宋体"/>
          <w:i w:val="0"/>
          <w:iCs w:val="0"/>
          <w:color w:val="auto"/>
          <w:sz w:val="24"/>
          <w:lang w:eastAsia="zh-CN"/>
        </w:rPr>
        <w:t>，</w:t>
      </w:r>
      <w:r>
        <w:rPr>
          <w:rFonts w:hint="eastAsia" w:ascii="宋体" w:hAnsi="宋体" w:cs="宋体"/>
          <w:i w:val="0"/>
          <w:iCs w:val="0"/>
          <w:color w:val="auto"/>
          <w:sz w:val="24"/>
          <w:lang w:val="en-US" w:eastAsia="zh-CN"/>
        </w:rPr>
        <w:t>其中招标人代表2人，专家5人</w:t>
      </w:r>
      <w:r>
        <w:rPr>
          <w:rFonts w:hint="eastAsia" w:ascii="宋体" w:hAnsi="宋体" w:eastAsia="宋体" w:cs="宋体"/>
          <w:i w:val="0"/>
          <w:iCs w:val="0"/>
          <w:color w:val="auto"/>
          <w:sz w:val="24"/>
        </w:rPr>
        <w:t>。</w:t>
      </w:r>
      <w:r>
        <w:rPr>
          <w:rFonts w:hint="eastAsia" w:ascii="宋体" w:hAnsi="宋体" w:cs="宋体"/>
          <w:i w:val="0"/>
          <w:iCs w:val="0"/>
          <w:color w:val="auto"/>
          <w:sz w:val="24"/>
          <w:lang w:val="en-US" w:eastAsia="zh-CN"/>
        </w:rPr>
        <w:t>专家从陕西省政府采购评标专家库中随机抽取。</w:t>
      </w:r>
    </w:p>
    <w:p w14:paraId="4534BA61">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21.2评标委员会负责对投标文件进行审查、质疑、评估和比较。</w:t>
      </w:r>
    </w:p>
    <w:p w14:paraId="5D5641CA">
      <w:pPr>
        <w:pStyle w:val="3"/>
        <w:numPr>
          <w:ilvl w:val="1"/>
          <w:numId w:val="0"/>
        </w:numPr>
        <w:snapToGrid w:val="0"/>
        <w:spacing w:line="360" w:lineRule="auto"/>
        <w:jc w:val="both"/>
        <w:rPr>
          <w:rFonts w:hint="eastAsia" w:ascii="宋体" w:hAnsi="宋体" w:eastAsia="宋体" w:cs="宋体"/>
          <w:i w:val="0"/>
          <w:iCs w:val="0"/>
          <w:color w:val="auto"/>
          <w:szCs w:val="28"/>
        </w:rPr>
      </w:pPr>
      <w:bookmarkStart w:id="159" w:name="_Toc937"/>
      <w:bookmarkStart w:id="160" w:name="_Toc28869"/>
      <w:bookmarkStart w:id="161" w:name="_Toc520985220"/>
      <w:bookmarkStart w:id="162" w:name="_Toc25042"/>
      <w:bookmarkStart w:id="163" w:name="_Toc496617084"/>
      <w:r>
        <w:rPr>
          <w:rFonts w:hint="eastAsia" w:ascii="宋体" w:hAnsi="宋体" w:eastAsia="宋体" w:cs="宋体"/>
          <w:i w:val="0"/>
          <w:iCs w:val="0"/>
          <w:color w:val="auto"/>
          <w:szCs w:val="28"/>
        </w:rPr>
        <w:t>22、评审的内容与程序</w:t>
      </w:r>
      <w:bookmarkEnd w:id="159"/>
      <w:bookmarkEnd w:id="160"/>
      <w:bookmarkEnd w:id="161"/>
      <w:bookmarkEnd w:id="162"/>
      <w:bookmarkEnd w:id="163"/>
    </w:p>
    <w:p w14:paraId="76213ED1">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22.1评审的内容包括对投标人符合性进行审查、对技术部分和价格部分进行评审和比较。</w:t>
      </w:r>
    </w:p>
    <w:p w14:paraId="1E282548">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22.2评审程序如下：</w:t>
      </w:r>
    </w:p>
    <w:p w14:paraId="6B59964E">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b w:val="0"/>
          <w:bCs w:val="0"/>
          <w:i w:val="0"/>
          <w:iCs w:val="0"/>
          <w:color w:val="auto"/>
          <w:sz w:val="24"/>
        </w:rPr>
        <w:t>评标委员会进行符合性审查、详细评标、完成评标报告。评标委员会按照本办法</w:t>
      </w:r>
      <w:r>
        <w:rPr>
          <w:rFonts w:hint="eastAsia" w:ascii="宋体" w:hAnsi="宋体" w:eastAsia="宋体" w:cs="宋体"/>
          <w:i w:val="0"/>
          <w:iCs w:val="0"/>
          <w:color w:val="auto"/>
          <w:sz w:val="24"/>
        </w:rPr>
        <w:t>对进入资格合格的投标文件进行独立评标打分，按评标委员会成员分值算术计算出的数值即为技术部分的得分，再根据评标办法中的价格评审标准对投标报价进行评审，</w:t>
      </w:r>
      <w:r>
        <w:rPr>
          <w:rFonts w:hint="eastAsia" w:ascii="宋体" w:hAnsi="宋体" w:eastAsia="宋体" w:cs="宋体"/>
          <w:i w:val="0"/>
          <w:iCs w:val="0"/>
          <w:color w:val="auto"/>
          <w:sz w:val="24"/>
          <w:lang w:val="en-US" w:eastAsia="zh-CN"/>
        </w:rPr>
        <w:t>根据评标办法中的商务标准计算出商务部分的得分，</w:t>
      </w:r>
      <w:r>
        <w:rPr>
          <w:rFonts w:hint="eastAsia" w:ascii="宋体" w:hAnsi="宋体" w:eastAsia="宋体" w:cs="宋体"/>
          <w:i w:val="0"/>
          <w:iCs w:val="0"/>
          <w:color w:val="auto"/>
          <w:sz w:val="24"/>
        </w:rPr>
        <w:t>依据投标人技术部分</w:t>
      </w:r>
      <w:r>
        <w:rPr>
          <w:rFonts w:hint="eastAsia" w:ascii="宋体" w:hAnsi="宋体" w:eastAsia="宋体" w:cs="宋体"/>
          <w:i w:val="0"/>
          <w:iCs w:val="0"/>
          <w:color w:val="auto"/>
          <w:sz w:val="24"/>
          <w:lang w:eastAsia="zh-CN"/>
        </w:rPr>
        <w:t>、</w:t>
      </w:r>
      <w:r>
        <w:rPr>
          <w:rFonts w:hint="eastAsia" w:ascii="宋体" w:hAnsi="宋体" w:eastAsia="宋体" w:cs="宋体"/>
          <w:i w:val="0"/>
          <w:iCs w:val="0"/>
          <w:color w:val="auto"/>
          <w:sz w:val="24"/>
        </w:rPr>
        <w:t>价格部分</w:t>
      </w:r>
      <w:r>
        <w:rPr>
          <w:rFonts w:hint="eastAsia" w:ascii="宋体" w:hAnsi="宋体" w:eastAsia="宋体" w:cs="宋体"/>
          <w:i w:val="0"/>
          <w:iCs w:val="0"/>
          <w:color w:val="auto"/>
          <w:sz w:val="24"/>
          <w:lang w:val="en-US" w:eastAsia="zh-CN"/>
        </w:rPr>
        <w:t>和商务部分</w:t>
      </w:r>
      <w:r>
        <w:rPr>
          <w:rFonts w:hint="eastAsia" w:ascii="宋体" w:hAnsi="宋体" w:eastAsia="宋体" w:cs="宋体"/>
          <w:i w:val="0"/>
          <w:iCs w:val="0"/>
          <w:color w:val="auto"/>
          <w:sz w:val="24"/>
        </w:rPr>
        <w:t>得分多少确定其排名次序。</w:t>
      </w:r>
    </w:p>
    <w:p w14:paraId="28CB5F8E">
      <w:pPr>
        <w:pStyle w:val="3"/>
        <w:numPr>
          <w:ilvl w:val="1"/>
          <w:numId w:val="0"/>
        </w:numPr>
        <w:snapToGrid w:val="0"/>
        <w:spacing w:line="360" w:lineRule="auto"/>
        <w:jc w:val="both"/>
        <w:rPr>
          <w:rFonts w:hint="eastAsia" w:ascii="宋体" w:hAnsi="宋体" w:eastAsia="宋体" w:cs="宋体"/>
          <w:i w:val="0"/>
          <w:iCs w:val="0"/>
          <w:color w:val="auto"/>
          <w:szCs w:val="28"/>
        </w:rPr>
      </w:pPr>
      <w:bookmarkStart w:id="164" w:name="_Toc31816"/>
      <w:bookmarkStart w:id="165" w:name="_Toc496617085"/>
      <w:bookmarkStart w:id="166" w:name="_Toc32280"/>
      <w:bookmarkStart w:id="167" w:name="_Toc9168"/>
      <w:bookmarkStart w:id="168" w:name="_Toc520985221"/>
      <w:r>
        <w:rPr>
          <w:rFonts w:hint="eastAsia" w:ascii="宋体" w:hAnsi="宋体" w:eastAsia="宋体" w:cs="宋体"/>
          <w:i w:val="0"/>
          <w:iCs w:val="0"/>
          <w:color w:val="auto"/>
          <w:szCs w:val="28"/>
        </w:rPr>
        <w:t>23、投标及投标文件的有效性</w:t>
      </w:r>
      <w:bookmarkEnd w:id="164"/>
      <w:bookmarkEnd w:id="165"/>
      <w:bookmarkEnd w:id="166"/>
      <w:bookmarkEnd w:id="167"/>
      <w:bookmarkEnd w:id="168"/>
    </w:p>
    <w:p w14:paraId="3EF71EB1">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23.1评审过程中，投标文件出现下列情形之一的，将作为无效投标文件（废标），不再进入详细评标：</w:t>
      </w:r>
    </w:p>
    <w:p w14:paraId="10F5450A">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23.1.1未按招标文件要求提交投标保证金的；</w:t>
      </w:r>
    </w:p>
    <w:p w14:paraId="54D947FF">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23.1.2投标文件有关内容未按规定加盖投标人印章或未经法定代表人或其授权代表签字或盖章的，或有授权代表签字或盖章的，但未随投标文件一起提交有效的“授权委托书”原件的；</w:t>
      </w:r>
    </w:p>
    <w:p w14:paraId="62AF1694">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23.1.3未</w:t>
      </w:r>
      <w:r>
        <w:rPr>
          <w:rFonts w:hint="eastAsia" w:ascii="宋体" w:hAnsi="宋体" w:eastAsia="宋体" w:cs="宋体"/>
          <w:i w:val="0"/>
          <w:iCs w:val="0"/>
          <w:color w:val="auto"/>
          <w:sz w:val="24"/>
          <w:lang w:val="en-US" w:eastAsia="zh-CN"/>
        </w:rPr>
        <w:t>响应</w:t>
      </w:r>
      <w:r>
        <w:rPr>
          <w:rFonts w:hint="eastAsia" w:ascii="宋体" w:hAnsi="宋体" w:eastAsia="宋体" w:cs="宋体"/>
          <w:i w:val="0"/>
          <w:iCs w:val="0"/>
          <w:color w:val="auto"/>
          <w:sz w:val="24"/>
        </w:rPr>
        <w:t>投标文件的实质性要求和条件；</w:t>
      </w:r>
    </w:p>
    <w:p w14:paraId="38399CB6">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23.1.4投标文件的关键内容字迹模糊、无法辨认的；</w:t>
      </w:r>
    </w:p>
    <w:p w14:paraId="11784B25">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23.1.5与其他投标人相互串通报价，或者与采购人串通投标的；</w:t>
      </w:r>
    </w:p>
    <w:p w14:paraId="4B0C913C">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23.1.6以向采购人或评标委员会成员行贿的手段谋取成交的；</w:t>
      </w:r>
    </w:p>
    <w:bookmarkEnd w:id="157"/>
    <w:bookmarkEnd w:id="158"/>
    <w:p w14:paraId="32DFB22C">
      <w:pPr>
        <w:snapToGrid w:val="0"/>
        <w:spacing w:line="360" w:lineRule="auto"/>
        <w:ind w:firstLine="480" w:firstLineChars="200"/>
        <w:jc w:val="left"/>
        <w:rPr>
          <w:rFonts w:hint="eastAsia" w:ascii="宋体" w:hAnsi="宋体" w:eastAsia="宋体" w:cs="宋体"/>
          <w:i w:val="0"/>
          <w:iCs w:val="0"/>
          <w:color w:val="auto"/>
          <w:sz w:val="24"/>
        </w:rPr>
      </w:pPr>
      <w:bookmarkStart w:id="169" w:name="_Toc389620193"/>
      <w:bookmarkStart w:id="170" w:name="_Toc385992354"/>
      <w:r>
        <w:rPr>
          <w:rFonts w:hint="eastAsia" w:ascii="宋体" w:hAnsi="宋体" w:eastAsia="宋体" w:cs="宋体"/>
          <w:i w:val="0"/>
          <w:iCs w:val="0"/>
          <w:color w:val="auto"/>
          <w:sz w:val="24"/>
        </w:rPr>
        <w:t>23.1.7以他人名义投标，或者以其他方式弄虚作假；</w:t>
      </w:r>
    </w:p>
    <w:p w14:paraId="7BC49A12">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23.1.8投标人未能通过资格符合性审查的；</w:t>
      </w:r>
    </w:p>
    <w:p w14:paraId="52684FD4">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23.1.9投标报价超过项目采购预算的；</w:t>
      </w:r>
    </w:p>
    <w:p w14:paraId="14101A80">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23.1.10法律法规规定的其他情况。</w:t>
      </w:r>
    </w:p>
    <w:bookmarkEnd w:id="169"/>
    <w:bookmarkEnd w:id="170"/>
    <w:p w14:paraId="4CED6CD9">
      <w:pPr>
        <w:pStyle w:val="3"/>
        <w:numPr>
          <w:ilvl w:val="1"/>
          <w:numId w:val="0"/>
        </w:numPr>
        <w:snapToGrid w:val="0"/>
        <w:spacing w:line="360" w:lineRule="auto"/>
        <w:jc w:val="both"/>
        <w:rPr>
          <w:rFonts w:hint="eastAsia" w:ascii="宋体" w:hAnsi="宋体" w:eastAsia="宋体" w:cs="宋体"/>
          <w:i w:val="0"/>
          <w:iCs w:val="0"/>
          <w:color w:val="auto"/>
          <w:szCs w:val="28"/>
        </w:rPr>
      </w:pPr>
      <w:bookmarkStart w:id="171" w:name="_Toc13032"/>
      <w:bookmarkStart w:id="172" w:name="_Toc25858"/>
      <w:bookmarkStart w:id="173" w:name="_Toc496617086"/>
      <w:bookmarkStart w:id="174" w:name="_Toc23450"/>
      <w:bookmarkStart w:id="175" w:name="_Toc520985222"/>
      <w:r>
        <w:rPr>
          <w:rFonts w:hint="eastAsia" w:ascii="宋体" w:hAnsi="宋体" w:eastAsia="宋体" w:cs="宋体"/>
          <w:i w:val="0"/>
          <w:iCs w:val="0"/>
          <w:color w:val="auto"/>
          <w:szCs w:val="28"/>
        </w:rPr>
        <w:t>24、对投标文件的审查和响应性的确定</w:t>
      </w:r>
      <w:bookmarkEnd w:id="171"/>
      <w:bookmarkEnd w:id="172"/>
      <w:bookmarkEnd w:id="173"/>
      <w:bookmarkEnd w:id="174"/>
      <w:bookmarkEnd w:id="175"/>
    </w:p>
    <w:p w14:paraId="72BF0875">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24.1评标委员会将组织审查投标文件是否完整，文件是否恰当地签署。</w:t>
      </w:r>
    </w:p>
    <w:p w14:paraId="7749DFFB">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24.2评标委员会将确定每一投标人是否对招标文件的要求作出了实质性的响应，而没有重大偏离。实质性响应的投标是指投标符合招标文件的所有条款、条件和规定且没有重大偏离或保留。或影响到招标文件规定的服务范围、质量和要求，或限制了采购人的权利和投标人的义务的规定，而纠正这些偏离将影响到提交实质性响应投标的投标人的公平竞争地位。</w:t>
      </w:r>
    </w:p>
    <w:p w14:paraId="127D3613">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24.3评标委员会判断投标文件的响应性仅基于投标文件本身而不靠外部证据。</w:t>
      </w:r>
    </w:p>
    <w:p w14:paraId="3471E502">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24.4评标委员会有权拒绝被确定为非实质性响应的投标，投标人不能通过修正或撤回不符合之处而使其投标成为实质性响应的投标。</w:t>
      </w:r>
    </w:p>
    <w:p w14:paraId="47583229">
      <w:pPr>
        <w:pStyle w:val="3"/>
        <w:numPr>
          <w:ilvl w:val="1"/>
          <w:numId w:val="0"/>
        </w:numPr>
        <w:snapToGrid w:val="0"/>
        <w:spacing w:line="360" w:lineRule="auto"/>
        <w:jc w:val="both"/>
        <w:rPr>
          <w:rFonts w:hint="eastAsia" w:ascii="宋体" w:hAnsi="宋体" w:eastAsia="宋体" w:cs="宋体"/>
          <w:i w:val="0"/>
          <w:iCs w:val="0"/>
          <w:color w:val="auto"/>
          <w:szCs w:val="28"/>
        </w:rPr>
      </w:pPr>
      <w:bookmarkStart w:id="176" w:name="_Toc496617087"/>
      <w:bookmarkStart w:id="177" w:name="_Toc7103"/>
      <w:bookmarkStart w:id="178" w:name="_Toc16020"/>
      <w:bookmarkStart w:id="179" w:name="_Toc16666"/>
      <w:bookmarkStart w:id="180" w:name="_Toc520985223"/>
      <w:r>
        <w:rPr>
          <w:rFonts w:hint="eastAsia" w:ascii="宋体" w:hAnsi="宋体" w:eastAsia="宋体" w:cs="宋体"/>
          <w:i w:val="0"/>
          <w:iCs w:val="0"/>
          <w:color w:val="auto"/>
          <w:szCs w:val="28"/>
        </w:rPr>
        <w:t>25、投标文件的陈述与澄清</w:t>
      </w:r>
      <w:bookmarkEnd w:id="176"/>
      <w:bookmarkEnd w:id="177"/>
      <w:bookmarkEnd w:id="178"/>
      <w:bookmarkEnd w:id="179"/>
      <w:bookmarkEnd w:id="180"/>
    </w:p>
    <w:p w14:paraId="60BAB619">
      <w:pPr>
        <w:snapToGrid w:val="0"/>
        <w:spacing w:line="360" w:lineRule="auto"/>
        <w:ind w:firstLine="480" w:firstLineChars="200"/>
        <w:rPr>
          <w:rFonts w:hint="eastAsia" w:ascii="宋体" w:hAnsi="宋体" w:eastAsia="宋体" w:cs="宋体"/>
          <w:i w:val="0"/>
          <w:iCs w:val="0"/>
          <w:color w:val="auto"/>
          <w:sz w:val="24"/>
        </w:rPr>
      </w:pPr>
      <w:bookmarkStart w:id="181" w:name="_Toc385992357"/>
      <w:bookmarkStart w:id="182" w:name="_Toc389620196"/>
      <w:r>
        <w:rPr>
          <w:rFonts w:hint="eastAsia" w:ascii="宋体" w:hAnsi="宋体" w:eastAsia="宋体" w:cs="宋体"/>
          <w:i w:val="0"/>
          <w:iCs w:val="0"/>
          <w:color w:val="auto"/>
          <w:sz w:val="24"/>
        </w:rPr>
        <w:t>如评标委员会对投标文件有疑问，可以向投标人发出书面质疑函。投标人应对质疑函中的问题进行逐一书面解答，并由投标人授权代表签字，按照评标委员会要求的时间提交。如投标人不提交对质疑函的书面解答或其书面解答不为评标委员会接受，其投标有可能被拒绝。</w:t>
      </w:r>
      <w:bookmarkEnd w:id="181"/>
      <w:bookmarkEnd w:id="182"/>
    </w:p>
    <w:p w14:paraId="3738DE37">
      <w:pPr>
        <w:pStyle w:val="3"/>
        <w:numPr>
          <w:ilvl w:val="1"/>
          <w:numId w:val="0"/>
        </w:numPr>
        <w:snapToGrid w:val="0"/>
        <w:spacing w:line="360" w:lineRule="auto"/>
        <w:jc w:val="both"/>
        <w:rPr>
          <w:rFonts w:hint="eastAsia" w:ascii="宋体" w:hAnsi="宋体" w:eastAsia="宋体" w:cs="宋体"/>
          <w:i w:val="0"/>
          <w:iCs w:val="0"/>
          <w:color w:val="auto"/>
          <w:szCs w:val="28"/>
        </w:rPr>
      </w:pPr>
      <w:bookmarkStart w:id="183" w:name="_Toc15701"/>
      <w:bookmarkStart w:id="184" w:name="_Toc12934"/>
      <w:bookmarkStart w:id="185" w:name="_Toc28219"/>
      <w:bookmarkStart w:id="186" w:name="_Toc496617088"/>
      <w:bookmarkStart w:id="187" w:name="_Toc520985224"/>
      <w:r>
        <w:rPr>
          <w:rFonts w:hint="eastAsia" w:ascii="宋体" w:hAnsi="宋体" w:eastAsia="宋体" w:cs="宋体"/>
          <w:i w:val="0"/>
          <w:iCs w:val="0"/>
          <w:color w:val="auto"/>
          <w:szCs w:val="28"/>
        </w:rPr>
        <w:t>26、投标文件的评估和比较</w:t>
      </w:r>
      <w:bookmarkEnd w:id="183"/>
      <w:bookmarkEnd w:id="184"/>
      <w:bookmarkEnd w:id="185"/>
      <w:bookmarkEnd w:id="186"/>
      <w:bookmarkEnd w:id="187"/>
    </w:p>
    <w:p w14:paraId="7A3DB045">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26.1对所有实质性投标文件要求的投标文件，评标委员会将采用相同的程序和标准，遵循公平、公正、科学和择优的原则，按综合评分法进行评审，确定投标人的排名。</w:t>
      </w:r>
    </w:p>
    <w:p w14:paraId="16D6265A">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26.2</w:t>
      </w:r>
      <w:bookmarkStart w:id="188" w:name="_Toc385992359"/>
      <w:bookmarkStart w:id="189" w:name="_Toc389620198"/>
      <w:r>
        <w:rPr>
          <w:rFonts w:hint="eastAsia" w:ascii="宋体" w:hAnsi="宋体" w:eastAsia="宋体" w:cs="宋体"/>
          <w:i w:val="0"/>
          <w:iCs w:val="0"/>
          <w:color w:val="auto"/>
          <w:sz w:val="24"/>
        </w:rPr>
        <w:t>评标标准和方法详见本招标文件第</w:t>
      </w:r>
      <w:r>
        <w:rPr>
          <w:rFonts w:hint="eastAsia" w:ascii="宋体" w:hAnsi="宋体" w:cs="宋体"/>
          <w:i w:val="0"/>
          <w:iCs w:val="0"/>
          <w:color w:val="auto"/>
          <w:sz w:val="24"/>
          <w:lang w:val="en-US" w:eastAsia="zh-CN"/>
        </w:rPr>
        <w:t>五</w:t>
      </w:r>
      <w:r>
        <w:rPr>
          <w:rFonts w:hint="eastAsia" w:ascii="宋体" w:hAnsi="宋体" w:eastAsia="宋体" w:cs="宋体"/>
          <w:i w:val="0"/>
          <w:iCs w:val="0"/>
          <w:color w:val="auto"/>
          <w:sz w:val="24"/>
        </w:rPr>
        <w:t>章“评标标准和方法”。</w:t>
      </w:r>
    </w:p>
    <w:p w14:paraId="1657D2C8">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26.3评标委员会依据本招标文件第</w:t>
      </w:r>
      <w:r>
        <w:rPr>
          <w:rFonts w:hint="eastAsia" w:ascii="宋体" w:hAnsi="宋体" w:cs="宋体"/>
          <w:i w:val="0"/>
          <w:iCs w:val="0"/>
          <w:color w:val="auto"/>
          <w:sz w:val="24"/>
          <w:lang w:val="en-US" w:eastAsia="zh-CN"/>
        </w:rPr>
        <w:t>五</w:t>
      </w:r>
      <w:r>
        <w:rPr>
          <w:rFonts w:hint="eastAsia" w:ascii="宋体" w:hAnsi="宋体" w:eastAsia="宋体" w:cs="宋体"/>
          <w:i w:val="0"/>
          <w:iCs w:val="0"/>
          <w:color w:val="auto"/>
          <w:sz w:val="24"/>
        </w:rPr>
        <w:t>章“评标标准和方法”，对投标文件进行评审和比较，向采购人提出书面评标报告，并依次评审情况，推荐前3名合格投标人为中标候选人。</w:t>
      </w:r>
    </w:p>
    <w:p w14:paraId="177A9536">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26.4采购人根据评标委员会提出的书面评标报告和推荐的中标候选人，依据国家和地方现行法规确定中标人。</w:t>
      </w:r>
    </w:p>
    <w:p w14:paraId="56AE41C8">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26.5评标委员会经评审，认为所有投标都不符合招标文件要求的，可以否决所有投标。所有投标被否决后，采购人将依法重新招标。</w:t>
      </w:r>
    </w:p>
    <w:bookmarkEnd w:id="188"/>
    <w:bookmarkEnd w:id="189"/>
    <w:p w14:paraId="131F533F">
      <w:pPr>
        <w:pStyle w:val="3"/>
        <w:numPr>
          <w:ilvl w:val="1"/>
          <w:numId w:val="0"/>
        </w:numPr>
        <w:snapToGrid w:val="0"/>
        <w:spacing w:line="360" w:lineRule="auto"/>
        <w:jc w:val="both"/>
        <w:rPr>
          <w:rFonts w:hint="eastAsia" w:ascii="宋体" w:hAnsi="宋体" w:eastAsia="宋体" w:cs="宋体"/>
          <w:i w:val="0"/>
          <w:iCs w:val="0"/>
          <w:color w:val="auto"/>
          <w:szCs w:val="28"/>
        </w:rPr>
      </w:pPr>
      <w:bookmarkStart w:id="190" w:name="_Toc15224"/>
      <w:bookmarkStart w:id="191" w:name="_Toc335"/>
      <w:bookmarkStart w:id="192" w:name="_Toc21505"/>
      <w:bookmarkStart w:id="193" w:name="_Toc520985225"/>
      <w:bookmarkStart w:id="194" w:name="_Toc496617089"/>
      <w:r>
        <w:rPr>
          <w:rFonts w:hint="eastAsia" w:ascii="宋体" w:hAnsi="宋体" w:eastAsia="宋体" w:cs="宋体"/>
          <w:i w:val="0"/>
          <w:iCs w:val="0"/>
          <w:color w:val="auto"/>
          <w:szCs w:val="28"/>
        </w:rPr>
        <w:t>27、评标过程的保密</w:t>
      </w:r>
      <w:bookmarkEnd w:id="190"/>
      <w:bookmarkEnd w:id="191"/>
      <w:bookmarkEnd w:id="192"/>
      <w:bookmarkEnd w:id="193"/>
      <w:bookmarkEnd w:id="194"/>
    </w:p>
    <w:p w14:paraId="3D247873">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27.1开标后直至授予成交人合同为止，评标委员会成员和与评标工作有关的工作人员不得透露对投标文件的评审和比较、中标候选人的推荐情况以及与评标有关的其他情况。</w:t>
      </w:r>
    </w:p>
    <w:p w14:paraId="164947CC">
      <w:pPr>
        <w:snapToGrid w:val="0"/>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27.2在投标文件的评审和比较、中标候选人推荐以及授予合同的过程中，投标人向采购人和评标委员会施加影响的任何行为，都将会导致其投标被拒绝。</w:t>
      </w:r>
    </w:p>
    <w:p w14:paraId="77C20571">
      <w:pPr>
        <w:snapToGrid w:val="0"/>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27.3中标人确定后，采购人不对未中标人就评标过程以及未能成交原因作出任何解释。未中标人不得向评标委员会组成人员或其他有关人员索问评审过程的情况和材料。</w:t>
      </w:r>
    </w:p>
    <w:p w14:paraId="1A686420">
      <w:pPr>
        <w:pStyle w:val="3"/>
        <w:numPr>
          <w:ilvl w:val="1"/>
          <w:numId w:val="0"/>
        </w:numPr>
        <w:snapToGrid w:val="0"/>
        <w:spacing w:line="360" w:lineRule="auto"/>
        <w:jc w:val="both"/>
        <w:rPr>
          <w:rFonts w:hint="eastAsia" w:ascii="宋体" w:hAnsi="宋体" w:eastAsia="宋体" w:cs="宋体"/>
          <w:i w:val="0"/>
          <w:iCs w:val="0"/>
          <w:color w:val="auto"/>
          <w:szCs w:val="28"/>
        </w:rPr>
      </w:pPr>
      <w:bookmarkStart w:id="195" w:name="_Toc496617090"/>
      <w:bookmarkStart w:id="196" w:name="_Toc15752"/>
      <w:bookmarkStart w:id="197" w:name="_Toc520985226"/>
      <w:bookmarkStart w:id="198" w:name="_Toc17216817"/>
      <w:bookmarkStart w:id="199" w:name="_Toc28943"/>
      <w:bookmarkStart w:id="200" w:name="_Toc7322"/>
      <w:r>
        <w:rPr>
          <w:rFonts w:hint="eastAsia" w:ascii="宋体" w:hAnsi="宋体" w:eastAsia="宋体" w:cs="宋体"/>
          <w:i w:val="0"/>
          <w:iCs w:val="0"/>
          <w:color w:val="auto"/>
          <w:szCs w:val="28"/>
        </w:rPr>
        <w:t>28、采购人拒绝投标的权力</w:t>
      </w:r>
      <w:bookmarkEnd w:id="195"/>
      <w:bookmarkEnd w:id="196"/>
      <w:bookmarkEnd w:id="197"/>
      <w:bookmarkEnd w:id="198"/>
      <w:bookmarkEnd w:id="199"/>
      <w:bookmarkEnd w:id="200"/>
    </w:p>
    <w:p w14:paraId="24B5A3EF">
      <w:pPr>
        <w:snapToGrid w:val="0"/>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采购人不承诺将合同授予报价最低的投标人。采购人在采购代理机构发出中标通知书前，有权依据评标委员会的评标报告拒绝不合格的投标。</w:t>
      </w:r>
      <w:bookmarkStart w:id="201" w:name="_Toc17216818"/>
    </w:p>
    <w:p w14:paraId="673C62F1">
      <w:pPr>
        <w:pStyle w:val="3"/>
        <w:numPr>
          <w:ilvl w:val="1"/>
          <w:numId w:val="0"/>
        </w:numPr>
        <w:snapToGrid w:val="0"/>
        <w:spacing w:line="360" w:lineRule="auto"/>
        <w:jc w:val="both"/>
        <w:rPr>
          <w:rFonts w:hint="eastAsia" w:ascii="宋体" w:hAnsi="宋体" w:eastAsia="宋体" w:cs="宋体"/>
          <w:i w:val="0"/>
          <w:iCs w:val="0"/>
          <w:color w:val="auto"/>
          <w:szCs w:val="28"/>
        </w:rPr>
      </w:pPr>
      <w:bookmarkStart w:id="202" w:name="_Toc520985227"/>
      <w:bookmarkStart w:id="203" w:name="_Toc16089"/>
      <w:bookmarkStart w:id="204" w:name="_Toc496617091"/>
      <w:bookmarkStart w:id="205" w:name="_Toc15509"/>
      <w:bookmarkStart w:id="206" w:name="_Toc8531"/>
      <w:r>
        <w:rPr>
          <w:rFonts w:hint="eastAsia" w:ascii="宋体" w:hAnsi="宋体" w:eastAsia="宋体" w:cs="宋体"/>
          <w:i w:val="0"/>
          <w:iCs w:val="0"/>
          <w:color w:val="auto"/>
          <w:szCs w:val="28"/>
        </w:rPr>
        <w:t>29、中标通知书</w:t>
      </w:r>
      <w:bookmarkEnd w:id="201"/>
      <w:bookmarkEnd w:id="202"/>
      <w:bookmarkEnd w:id="203"/>
      <w:bookmarkEnd w:id="204"/>
      <w:bookmarkEnd w:id="205"/>
      <w:bookmarkEnd w:id="206"/>
    </w:p>
    <w:p w14:paraId="409D77C5">
      <w:pPr>
        <w:snapToGrid w:val="0"/>
        <w:spacing w:line="360" w:lineRule="auto"/>
        <w:ind w:left="1046" w:hanging="569"/>
        <w:rPr>
          <w:rFonts w:hint="eastAsia" w:ascii="宋体" w:hAnsi="宋体" w:eastAsia="宋体" w:cs="宋体"/>
          <w:i w:val="0"/>
          <w:iCs w:val="0"/>
          <w:color w:val="auto"/>
          <w:sz w:val="24"/>
        </w:rPr>
      </w:pPr>
      <w:r>
        <w:rPr>
          <w:rFonts w:hint="eastAsia" w:ascii="宋体" w:hAnsi="宋体" w:eastAsia="宋体" w:cs="宋体"/>
          <w:i w:val="0"/>
          <w:iCs w:val="0"/>
          <w:color w:val="auto"/>
          <w:sz w:val="24"/>
        </w:rPr>
        <w:t>采购代理机构向中标人发出中标通知书。</w:t>
      </w:r>
    </w:p>
    <w:p w14:paraId="07E5E10D">
      <w:pPr>
        <w:pStyle w:val="3"/>
        <w:numPr>
          <w:ilvl w:val="1"/>
          <w:numId w:val="0"/>
        </w:numPr>
        <w:snapToGrid w:val="0"/>
        <w:spacing w:line="360" w:lineRule="auto"/>
        <w:jc w:val="both"/>
        <w:rPr>
          <w:rFonts w:hint="eastAsia" w:ascii="宋体" w:hAnsi="宋体" w:eastAsia="宋体" w:cs="宋体"/>
          <w:i w:val="0"/>
          <w:iCs w:val="0"/>
          <w:color w:val="auto"/>
          <w:szCs w:val="28"/>
        </w:rPr>
      </w:pPr>
      <w:bookmarkStart w:id="207" w:name="_Toc21195"/>
      <w:bookmarkStart w:id="208" w:name="_Toc520985228"/>
      <w:bookmarkStart w:id="209" w:name="_Toc17216819"/>
      <w:bookmarkStart w:id="210" w:name="_Toc28053"/>
      <w:bookmarkStart w:id="211" w:name="_Toc15458"/>
      <w:bookmarkStart w:id="212" w:name="_Toc496617092"/>
      <w:r>
        <w:rPr>
          <w:rFonts w:hint="eastAsia" w:ascii="宋体" w:hAnsi="宋体" w:eastAsia="宋体" w:cs="宋体"/>
          <w:i w:val="0"/>
          <w:iCs w:val="0"/>
          <w:color w:val="auto"/>
          <w:szCs w:val="28"/>
        </w:rPr>
        <w:t>30、合同的签订</w:t>
      </w:r>
      <w:bookmarkEnd w:id="207"/>
      <w:bookmarkEnd w:id="208"/>
      <w:bookmarkEnd w:id="209"/>
      <w:bookmarkEnd w:id="210"/>
      <w:bookmarkEnd w:id="211"/>
      <w:bookmarkEnd w:id="212"/>
    </w:p>
    <w:p w14:paraId="47331968">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30.1采购人与中标人将于中标通知书发出之日起</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5</w:t>
      </w:r>
      <w:r>
        <w:rPr>
          <w:rFonts w:hint="eastAsia" w:ascii="宋体" w:hAnsi="宋体" w:eastAsia="宋体" w:cs="宋体"/>
          <w:b w:val="0"/>
          <w:bCs w:val="0"/>
          <w:i w:val="0"/>
          <w:iCs w:val="0"/>
          <w:color w:val="auto"/>
          <w:sz w:val="24"/>
        </w:rPr>
        <w:t>日内</w:t>
      </w:r>
      <w:r>
        <w:rPr>
          <w:rFonts w:hint="eastAsia" w:ascii="宋体" w:hAnsi="宋体" w:eastAsia="宋体" w:cs="宋体"/>
          <w:i w:val="0"/>
          <w:iCs w:val="0"/>
          <w:color w:val="auto"/>
          <w:sz w:val="24"/>
        </w:rPr>
        <w:t>，按照招标文件和中标人的投标文件订立书面合同。</w:t>
      </w:r>
    </w:p>
    <w:p w14:paraId="7711BE0E">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30.2中标人如因自身原因不按本投标须知第30.1款的规定与采购人订立合同，则采购人将废除授标，给采购人造成的损失应当予以赔偿，同时依法承担相应法律责任。</w:t>
      </w:r>
    </w:p>
    <w:p w14:paraId="4B8350A8">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30.3中标人应当按照合同约定履行义务，完成中标项目的服务任务，不得将中标项目转让（转包）给他人。</w:t>
      </w:r>
      <w:bookmarkStart w:id="213" w:name="_Toc17216820"/>
    </w:p>
    <w:bookmarkEnd w:id="213"/>
    <w:p w14:paraId="5B42012B">
      <w:pPr>
        <w:pStyle w:val="3"/>
        <w:numPr>
          <w:ilvl w:val="1"/>
          <w:numId w:val="0"/>
        </w:numPr>
        <w:snapToGrid w:val="0"/>
        <w:spacing w:line="360" w:lineRule="auto"/>
        <w:jc w:val="both"/>
        <w:rPr>
          <w:rFonts w:hint="eastAsia" w:ascii="宋体" w:hAnsi="宋体" w:eastAsia="宋体" w:cs="宋体"/>
          <w:i w:val="0"/>
          <w:iCs w:val="0"/>
          <w:color w:val="auto"/>
          <w:szCs w:val="28"/>
          <w:highlight w:val="none"/>
        </w:rPr>
      </w:pPr>
      <w:bookmarkStart w:id="214" w:name="_Toc30345"/>
      <w:bookmarkStart w:id="215" w:name="_Toc29996"/>
      <w:bookmarkStart w:id="216" w:name="_Toc520985229"/>
      <w:bookmarkStart w:id="217" w:name="_Toc11718"/>
      <w:bookmarkStart w:id="218" w:name="_Toc496617093"/>
      <w:r>
        <w:rPr>
          <w:rFonts w:hint="eastAsia" w:ascii="宋体" w:hAnsi="宋体" w:eastAsia="宋体" w:cs="宋体"/>
          <w:i w:val="0"/>
          <w:iCs w:val="0"/>
          <w:color w:val="auto"/>
          <w:szCs w:val="28"/>
          <w:highlight w:val="none"/>
        </w:rPr>
        <w:t>31投标费用及招标代理服务费</w:t>
      </w:r>
      <w:bookmarkEnd w:id="214"/>
      <w:bookmarkEnd w:id="215"/>
      <w:bookmarkEnd w:id="216"/>
      <w:bookmarkEnd w:id="217"/>
      <w:bookmarkEnd w:id="218"/>
    </w:p>
    <w:p w14:paraId="63268667">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31.1投标人应承担其参加本招标活动自身所发生的费用。</w:t>
      </w:r>
    </w:p>
    <w:p w14:paraId="7CDADA31">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31.2招标代理服务费参考国家发展和改革委员会发改价格【2011】534号、计价格【2002】1980号文件收费标准计取。</w:t>
      </w:r>
      <w:r>
        <w:rPr>
          <w:rFonts w:hint="eastAsia" w:ascii="宋体" w:hAnsi="宋体" w:eastAsia="宋体" w:cs="宋体"/>
          <w:b w:val="0"/>
          <w:bCs w:val="0"/>
          <w:i w:val="0"/>
          <w:iCs w:val="0"/>
          <w:color w:val="auto"/>
          <w:sz w:val="24"/>
        </w:rPr>
        <w:t>由</w:t>
      </w:r>
      <w:r>
        <w:rPr>
          <w:rFonts w:hint="eastAsia" w:ascii="宋体" w:hAnsi="宋体" w:cs="宋体"/>
          <w:b w:val="0"/>
          <w:bCs w:val="0"/>
          <w:i w:val="0"/>
          <w:iCs w:val="0"/>
          <w:color w:val="auto"/>
          <w:sz w:val="24"/>
          <w:lang w:val="en-US" w:eastAsia="zh-CN"/>
        </w:rPr>
        <w:t>中标单位</w:t>
      </w:r>
      <w:r>
        <w:rPr>
          <w:rFonts w:hint="eastAsia" w:ascii="宋体" w:hAnsi="宋体" w:eastAsia="宋体" w:cs="宋体"/>
          <w:b w:val="0"/>
          <w:bCs w:val="0"/>
          <w:i w:val="0"/>
          <w:iCs w:val="0"/>
          <w:color w:val="auto"/>
          <w:sz w:val="24"/>
        </w:rPr>
        <w:t>向采购代理机构支付。</w:t>
      </w:r>
    </w:p>
    <w:p w14:paraId="4D366210">
      <w:pPr>
        <w:snapToGrid w:val="0"/>
        <w:spacing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31.3招标代理服务费的交纳方式：在领取《中标通知书》前按31.2的规定，向采购代理机构直接交纳采购代理服务费，采用现金或转账方式一次性交纳。</w:t>
      </w:r>
      <w:bookmarkStart w:id="219" w:name="_Toc464655401"/>
    </w:p>
    <w:p w14:paraId="0A294F12">
      <w:pPr>
        <w:pStyle w:val="3"/>
        <w:numPr>
          <w:ilvl w:val="1"/>
          <w:numId w:val="0"/>
        </w:numPr>
        <w:snapToGrid w:val="0"/>
        <w:spacing w:line="360" w:lineRule="auto"/>
        <w:jc w:val="both"/>
        <w:rPr>
          <w:rFonts w:hint="eastAsia" w:ascii="宋体" w:hAnsi="宋体" w:eastAsia="宋体" w:cs="宋体"/>
          <w:i w:val="0"/>
          <w:iCs w:val="0"/>
          <w:color w:val="auto"/>
          <w:szCs w:val="28"/>
        </w:rPr>
      </w:pPr>
      <w:bookmarkStart w:id="220" w:name="_Toc18586"/>
      <w:bookmarkStart w:id="221" w:name="_Toc520985230"/>
      <w:bookmarkStart w:id="222" w:name="_Toc496617094"/>
      <w:bookmarkStart w:id="223" w:name="_Toc6837"/>
      <w:bookmarkStart w:id="224" w:name="_Toc14680"/>
      <w:r>
        <w:rPr>
          <w:rFonts w:hint="eastAsia" w:ascii="宋体" w:hAnsi="宋体" w:eastAsia="宋体" w:cs="宋体"/>
          <w:i w:val="0"/>
          <w:iCs w:val="0"/>
          <w:color w:val="auto"/>
          <w:szCs w:val="28"/>
        </w:rPr>
        <w:t>32重新招标或变更采购方式</w:t>
      </w:r>
      <w:bookmarkEnd w:id="219"/>
      <w:bookmarkEnd w:id="220"/>
      <w:bookmarkEnd w:id="221"/>
      <w:bookmarkEnd w:id="222"/>
      <w:bookmarkEnd w:id="223"/>
      <w:bookmarkEnd w:id="224"/>
    </w:p>
    <w:p w14:paraId="406CD398">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出现以上情形时，按政府采购相关原则处理或由采购人申请，相关部门批准变更采购方式：</w:t>
      </w:r>
    </w:p>
    <w:p w14:paraId="62CFC8F3">
      <w:pPr>
        <w:spacing w:line="360" w:lineRule="auto"/>
        <w:ind w:firstLine="482"/>
        <w:rPr>
          <w:rFonts w:hint="eastAsia" w:ascii="宋体" w:hAnsi="宋体" w:eastAsia="宋体" w:cs="宋体"/>
          <w:i w:val="0"/>
          <w:iCs w:val="0"/>
          <w:color w:val="auto"/>
          <w:sz w:val="24"/>
        </w:rPr>
      </w:pPr>
      <w:r>
        <w:rPr>
          <w:rFonts w:hint="eastAsia" w:ascii="宋体" w:hAnsi="宋体" w:eastAsia="宋体" w:cs="宋体"/>
          <w:i w:val="0"/>
          <w:iCs w:val="0"/>
          <w:color w:val="auto"/>
          <w:sz w:val="24"/>
        </w:rPr>
        <w:t>（1）投标截止时间结束后参加投标的投标人不足三家；</w:t>
      </w:r>
    </w:p>
    <w:p w14:paraId="7F53893D">
      <w:pPr>
        <w:spacing w:line="360" w:lineRule="auto"/>
        <w:ind w:firstLine="482"/>
        <w:rPr>
          <w:rFonts w:hint="eastAsia" w:ascii="宋体" w:hAnsi="宋体" w:eastAsia="宋体" w:cs="宋体"/>
          <w:i w:val="0"/>
          <w:iCs w:val="0"/>
          <w:color w:val="auto"/>
          <w:sz w:val="24"/>
        </w:rPr>
      </w:pPr>
      <w:r>
        <w:rPr>
          <w:rFonts w:hint="eastAsia" w:ascii="宋体" w:hAnsi="宋体" w:eastAsia="宋体" w:cs="宋体"/>
          <w:i w:val="0"/>
          <w:iCs w:val="0"/>
          <w:color w:val="auto"/>
          <w:sz w:val="24"/>
        </w:rPr>
        <w:t>（2）在评标期间，出现符合条件的投标投标人不足三家；</w:t>
      </w:r>
    </w:p>
    <w:p w14:paraId="6F7CD14E">
      <w:pPr>
        <w:spacing w:line="360" w:lineRule="auto"/>
        <w:ind w:firstLine="482"/>
        <w:rPr>
          <w:rFonts w:hint="eastAsia" w:ascii="宋体" w:hAnsi="宋体" w:eastAsia="宋体" w:cs="宋体"/>
          <w:i w:val="0"/>
          <w:iCs w:val="0"/>
          <w:color w:val="auto"/>
          <w:sz w:val="24"/>
        </w:rPr>
      </w:pPr>
      <w:r>
        <w:rPr>
          <w:rFonts w:hint="eastAsia" w:ascii="宋体" w:hAnsi="宋体" w:eastAsia="宋体" w:cs="宋体"/>
          <w:i w:val="0"/>
          <w:iCs w:val="0"/>
          <w:color w:val="auto"/>
          <w:sz w:val="24"/>
        </w:rPr>
        <w:t>（3）对招标文件实质响应的投标投标人不足三家。</w:t>
      </w:r>
      <w:bookmarkStart w:id="225" w:name="_Toc350345675"/>
      <w:bookmarkStart w:id="226" w:name="_Toc274911103"/>
      <w:bookmarkStart w:id="227" w:name="_Toc358557639"/>
    </w:p>
    <w:bookmarkEnd w:id="225"/>
    <w:bookmarkEnd w:id="226"/>
    <w:bookmarkEnd w:id="227"/>
    <w:p w14:paraId="0201DD3A">
      <w:pPr>
        <w:spacing w:line="600" w:lineRule="exact"/>
        <w:ind w:firstLine="141" w:firstLineChars="50"/>
        <w:rPr>
          <w:rFonts w:hint="eastAsia" w:ascii="宋体" w:hAnsi="宋体" w:eastAsia="宋体" w:cs="宋体"/>
          <w:b/>
          <w:i w:val="0"/>
          <w:iCs w:val="0"/>
          <w:color w:val="auto"/>
          <w:kern w:val="0"/>
          <w:sz w:val="28"/>
          <w:szCs w:val="28"/>
          <w:lang w:val="en-US" w:eastAsia="zh-CN" w:bidi="ar-SA"/>
        </w:rPr>
      </w:pPr>
      <w:bookmarkStart w:id="228" w:name="_Toc31657"/>
      <w:bookmarkStart w:id="229" w:name="_Toc26834"/>
      <w:bookmarkStart w:id="230" w:name="_Toc192405236"/>
      <w:bookmarkStart w:id="231" w:name="_Toc192405075"/>
      <w:bookmarkStart w:id="232" w:name="_Toc192405685"/>
      <w:bookmarkStart w:id="233" w:name="_Toc192405346"/>
      <w:r>
        <w:rPr>
          <w:rFonts w:hint="eastAsia" w:ascii="宋体" w:hAnsi="宋体" w:eastAsia="宋体" w:cs="宋体"/>
          <w:b/>
          <w:i w:val="0"/>
          <w:iCs w:val="0"/>
          <w:color w:val="auto"/>
          <w:kern w:val="0"/>
          <w:sz w:val="28"/>
          <w:szCs w:val="28"/>
          <w:lang w:val="en-US" w:eastAsia="zh-CN" w:bidi="ar-SA"/>
        </w:rPr>
        <w:t>33政策性优惠</w:t>
      </w:r>
    </w:p>
    <w:p w14:paraId="159769C3">
      <w:pPr>
        <w:spacing w:line="600" w:lineRule="exact"/>
        <w:ind w:firstLine="482" w:firstLineChars="200"/>
        <w:rPr>
          <w:rFonts w:hint="eastAsia" w:ascii="宋体" w:hAnsi="宋体" w:eastAsia="宋体" w:cs="宋体"/>
          <w:b/>
          <w:i w:val="0"/>
          <w:iCs w:val="0"/>
          <w:color w:val="auto"/>
        </w:rPr>
      </w:pPr>
      <w:r>
        <w:rPr>
          <w:rFonts w:hint="eastAsia" w:ascii="宋体" w:hAnsi="宋体" w:eastAsia="宋体" w:cs="宋体"/>
          <w:b/>
          <w:i w:val="0"/>
          <w:iCs w:val="0"/>
          <w:color w:val="auto"/>
          <w:kern w:val="0"/>
          <w:sz w:val="24"/>
          <w:lang w:bidi="ar"/>
        </w:rPr>
        <w:t>1、政策性</w:t>
      </w:r>
      <w:r>
        <w:rPr>
          <w:rFonts w:hint="eastAsia" w:ascii="宋体" w:hAnsi="宋体" w:eastAsia="宋体" w:cs="宋体"/>
          <w:b/>
          <w:i w:val="0"/>
          <w:iCs w:val="0"/>
          <w:color w:val="auto"/>
          <w:kern w:val="0"/>
          <w:sz w:val="24"/>
          <w:lang w:val="en-US" w:bidi="ar"/>
        </w:rPr>
        <w:t>优惠条</w:t>
      </w:r>
      <w:r>
        <w:rPr>
          <w:rFonts w:hint="eastAsia" w:ascii="宋体" w:hAnsi="宋体" w:eastAsia="宋体" w:cs="宋体"/>
          <w:b/>
          <w:i w:val="0"/>
          <w:iCs w:val="0"/>
          <w:color w:val="auto"/>
          <w:kern w:val="0"/>
          <w:sz w:val="24"/>
          <w:lang w:bidi="ar"/>
        </w:rPr>
        <w:t>件</w:t>
      </w:r>
    </w:p>
    <w:p w14:paraId="7B9CF7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rPr>
      </w:pPr>
      <w:r>
        <w:rPr>
          <w:rFonts w:hint="eastAsia" w:ascii="宋体" w:hAnsi="宋体" w:eastAsia="宋体" w:cs="宋体"/>
          <w:i w:val="0"/>
          <w:iCs w:val="0"/>
          <w:color w:val="auto"/>
          <w:kern w:val="0"/>
          <w:sz w:val="24"/>
          <w:lang w:bidi="ar"/>
        </w:rPr>
        <w:t>供应商符合小型、微型企业或监狱企业、残疾人福利性单位条件的，其报价价格评审时将按相应比例进行扣除。</w:t>
      </w:r>
    </w:p>
    <w:p w14:paraId="6154145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lang w:bidi="ar"/>
        </w:rPr>
        <w:t>1.1</w:t>
      </w:r>
      <w:r>
        <w:rPr>
          <w:rFonts w:hint="eastAsia" w:ascii="宋体" w:hAnsi="宋体" w:eastAsia="宋体" w:cs="宋体"/>
          <w:i w:val="0"/>
          <w:iCs w:val="0"/>
          <w:color w:val="auto"/>
          <w:kern w:val="0"/>
          <w:sz w:val="24"/>
          <w:lang w:val="en-US" w:eastAsia="zh-CN" w:bidi="ar"/>
        </w:rPr>
        <w:t>根据</w:t>
      </w:r>
      <w:r>
        <w:rPr>
          <w:rFonts w:hint="eastAsia" w:ascii="宋体" w:hAnsi="宋体" w:eastAsia="宋体" w:cs="宋体"/>
          <w:i w:val="0"/>
          <w:iCs w:val="0"/>
          <w:color w:val="auto"/>
          <w:kern w:val="0"/>
          <w:sz w:val="24"/>
          <w:lang w:bidi="ar"/>
        </w:rPr>
        <w:t>&lt;关于印发《政府采购促进中小企业发展管理办法》的通知&gt;（财库〔2020〕46号）的规定，</w:t>
      </w:r>
      <w:r>
        <w:rPr>
          <w:rFonts w:hint="eastAsia" w:ascii="宋体" w:hAnsi="宋体" w:eastAsia="宋体" w:cs="宋体"/>
          <w:i w:val="0"/>
          <w:iCs w:val="0"/>
          <w:color w:val="auto"/>
          <w:sz w:val="24"/>
          <w:szCs w:val="24"/>
        </w:rPr>
        <w:t>在政府采购活动中，供应商提供的货物、工程或者服务符合下列情形的，享受中小企业扶持政策：</w:t>
      </w:r>
    </w:p>
    <w:p w14:paraId="44B23CB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（一）在货物采购项目中，货物由中小企业制造，即货物由中小企业生产且使用该中小企业商号或者注册商标；</w:t>
      </w:r>
    </w:p>
    <w:p w14:paraId="584BCDC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（二）在工程采购项目中，工程由中小企业承建，即工程施工单位为中小企业；</w:t>
      </w:r>
    </w:p>
    <w:p w14:paraId="09EEE9C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（三）在服务采购项目中，服务由中小企业承接，即提供服务的人员为中小企业依照《中华人民共和国劳动合同法》订立劳动合同的从业人员。</w:t>
      </w:r>
    </w:p>
    <w:p w14:paraId="359C0A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在货物采购项目中，供应商提供的货物既有中小企业制造货物，也有大型企业制造货物的，不享受中小企业扶持政策。</w:t>
      </w:r>
    </w:p>
    <w:p w14:paraId="7D78E4C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以联合体形式参加政府采购活动，联合体各方均为中小企业的，联合体视同中小企业。其中，联合体各方均为小微企业的，联合体视同小微企业。</w:t>
      </w:r>
    </w:p>
    <w:p w14:paraId="17A9F6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rPr>
      </w:pPr>
      <w:r>
        <w:rPr>
          <w:rFonts w:hint="eastAsia" w:ascii="宋体" w:hAnsi="宋体" w:eastAsia="宋体" w:cs="宋体"/>
          <w:i w:val="0"/>
          <w:iCs w:val="0"/>
          <w:color w:val="auto"/>
          <w:kern w:val="0"/>
          <w:sz w:val="24"/>
          <w:lang w:bidi="ar"/>
        </w:rPr>
        <w:t>中小企业划分标准详见《关于印发中小企业划型标准规定的通知》</w:t>
      </w:r>
      <w:r>
        <w:rPr>
          <w:rFonts w:hint="eastAsia" w:ascii="宋体" w:hAnsi="宋体" w:eastAsia="宋体" w:cs="宋体"/>
          <w:i w:val="0"/>
          <w:iCs w:val="0"/>
          <w:color w:val="auto"/>
          <w:kern w:val="0"/>
          <w:sz w:val="24"/>
          <w:lang w:eastAsia="zh-CN" w:bidi="ar"/>
        </w:rPr>
        <w:t>（</w:t>
      </w:r>
      <w:r>
        <w:rPr>
          <w:rFonts w:hint="eastAsia" w:ascii="宋体" w:hAnsi="宋体" w:eastAsia="宋体" w:cs="宋体"/>
          <w:i w:val="0"/>
          <w:iCs w:val="0"/>
          <w:color w:val="auto"/>
          <w:kern w:val="0"/>
          <w:sz w:val="24"/>
          <w:lang w:bidi="ar"/>
        </w:rPr>
        <w:t>工信部联企业〔2011〕300号）</w:t>
      </w:r>
      <w:r>
        <w:rPr>
          <w:rFonts w:hint="eastAsia" w:ascii="宋体" w:hAnsi="宋体" w:eastAsia="宋体" w:cs="宋体"/>
          <w:i w:val="0"/>
          <w:iCs w:val="0"/>
          <w:color w:val="auto"/>
          <w:kern w:val="0"/>
          <w:sz w:val="24"/>
          <w:lang w:eastAsia="zh-CN" w:bidi="ar"/>
        </w:rPr>
        <w:t>，</w:t>
      </w:r>
      <w:r>
        <w:rPr>
          <w:rFonts w:hint="eastAsia" w:ascii="宋体" w:hAnsi="宋体" w:eastAsia="宋体" w:cs="宋体"/>
          <w:i w:val="0"/>
          <w:iCs w:val="0"/>
          <w:color w:val="auto"/>
          <w:kern w:val="0"/>
          <w:sz w:val="24"/>
          <w:lang w:val="en-US" w:eastAsia="zh-CN" w:bidi="ar"/>
        </w:rPr>
        <w:t>但</w:t>
      </w:r>
      <w:r>
        <w:rPr>
          <w:rFonts w:hint="eastAsia" w:ascii="宋体" w:hAnsi="宋体" w:eastAsia="宋体" w:cs="宋体"/>
          <w:i w:val="0"/>
          <w:iCs w:val="0"/>
          <w:color w:val="auto"/>
          <w:sz w:val="24"/>
          <w:szCs w:val="24"/>
        </w:rPr>
        <w:t>与大企业的负责人为同一人，或者与大企业存在直接控股、管理关系的除外</w:t>
      </w:r>
      <w:r>
        <w:rPr>
          <w:rFonts w:hint="eastAsia" w:ascii="宋体" w:hAnsi="宋体" w:eastAsia="宋体" w:cs="宋体"/>
          <w:i w:val="0"/>
          <w:iCs w:val="0"/>
          <w:color w:val="auto"/>
          <w:kern w:val="0"/>
          <w:sz w:val="24"/>
          <w:lang w:bidi="ar"/>
        </w:rPr>
        <w:t>。</w:t>
      </w:r>
      <w:r>
        <w:rPr>
          <w:rFonts w:hint="eastAsia" w:ascii="宋体" w:hAnsi="宋体" w:eastAsia="宋体" w:cs="宋体"/>
          <w:i w:val="0"/>
          <w:iCs w:val="0"/>
          <w:color w:val="auto"/>
          <w:sz w:val="24"/>
          <w:szCs w:val="24"/>
        </w:rPr>
        <w:t>符合中小企业划分标准的个体工商户，在政府采购活动中视同中小企业。</w:t>
      </w:r>
    </w:p>
    <w:p w14:paraId="290E3B3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1.2</w:t>
      </w:r>
      <w:r>
        <w:rPr>
          <w:rFonts w:hint="eastAsia" w:ascii="宋体" w:hAnsi="宋体" w:eastAsia="宋体" w:cs="宋体"/>
          <w:i w:val="0"/>
          <w:iCs w:val="0"/>
          <w:color w:val="auto"/>
          <w:sz w:val="24"/>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6A69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rPr>
      </w:pPr>
      <w:r>
        <w:rPr>
          <w:rFonts w:hint="eastAsia" w:ascii="宋体" w:hAnsi="宋体" w:eastAsia="宋体" w:cs="宋体"/>
          <w:i w:val="0"/>
          <w:iCs w:val="0"/>
          <w:color w:val="auto"/>
          <w:kern w:val="0"/>
          <w:sz w:val="24"/>
          <w:lang w:bidi="ar"/>
        </w:rPr>
        <w:t>监狱企业参加政府采购活动时，应当提供由省级以上监狱管理局、戒毒管理局(含新疆生产建设兵团)出具的属于监狱企业的证明文件。</w:t>
      </w:r>
      <w:r>
        <w:rPr>
          <w:rFonts w:hint="eastAsia" w:ascii="宋体" w:hAnsi="宋体" w:eastAsia="宋体" w:cs="宋体"/>
          <w:i w:val="0"/>
          <w:iCs w:val="0"/>
          <w:color w:val="auto"/>
          <w:kern w:val="0"/>
          <w:sz w:val="24"/>
          <w:szCs w:val="20"/>
          <w:lang w:bidi="ar"/>
        </w:rPr>
        <w:t>监狱企业参加政府采购活动时，视同小型、微型企业。</w:t>
      </w:r>
    </w:p>
    <w:p w14:paraId="3BF026B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1.3残疾人福利性单位应当同时满足以下条件：</w:t>
      </w:r>
    </w:p>
    <w:p w14:paraId="2A154E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（1）安置的残疾人占本单位在职职工人数的比例不低于25%（含25%），并且安置的残疾人人数不少于10人（含10人）；</w:t>
      </w:r>
    </w:p>
    <w:p w14:paraId="5A9B79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（2）依法与安置的每位残疾人签订了一年以上（含一年）的劳动合同或服务协议；</w:t>
      </w:r>
    </w:p>
    <w:p w14:paraId="589FAF9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（3）为安置的每位残疾人按月足额缴纳了基本养老保险、基本医疗保险、失业保险、工伤保险和生育保险等社会保险费；</w:t>
      </w:r>
    </w:p>
    <w:p w14:paraId="58BA5C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（4）通过银行等金融机构向安置的每位残疾人，按月支付了不低于单位所在区县适用的经省级人民政府批准的月最低工资标准的工资；</w:t>
      </w:r>
    </w:p>
    <w:p w14:paraId="69E4535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（5）提供本单位制造的货物、承担的工程或者服务（以下简称产品），或者提供其他残疾人福利性单位制造的货物（不包括使用非残疾人福利性单位注册商标的货物）。</w:t>
      </w:r>
    </w:p>
    <w:p w14:paraId="19B5741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F40431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rPr>
      </w:pPr>
      <w:r>
        <w:rPr>
          <w:rFonts w:hint="eastAsia" w:ascii="宋体" w:hAnsi="宋体" w:eastAsia="宋体" w:cs="宋体"/>
          <w:i w:val="0"/>
          <w:iCs w:val="0"/>
          <w:color w:val="auto"/>
          <w:kern w:val="0"/>
          <w:sz w:val="24"/>
          <w:lang w:bidi="ar"/>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i w:val="0"/>
          <w:iCs w:val="0"/>
          <w:color w:val="auto"/>
          <w:kern w:val="0"/>
          <w:sz w:val="24"/>
          <w:szCs w:val="20"/>
          <w:lang w:bidi="ar"/>
        </w:rPr>
        <w:t>参加政府采购活动时，视同小型、微型企业；</w:t>
      </w:r>
      <w:r>
        <w:rPr>
          <w:rFonts w:hint="eastAsia" w:ascii="宋体" w:hAnsi="宋体" w:eastAsia="宋体" w:cs="宋体"/>
          <w:i w:val="0"/>
          <w:iCs w:val="0"/>
          <w:color w:val="auto"/>
          <w:kern w:val="0"/>
          <w:sz w:val="24"/>
          <w:lang w:bidi="ar"/>
        </w:rPr>
        <w:t>残疾人福利性单位属于小型、微型企业的，不重复享受政策。</w:t>
      </w:r>
    </w:p>
    <w:p w14:paraId="23376D6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sz w:val="24"/>
        </w:rPr>
      </w:pPr>
      <w:r>
        <w:rPr>
          <w:rFonts w:hint="eastAsia" w:ascii="宋体" w:hAnsi="宋体" w:eastAsia="宋体" w:cs="宋体"/>
          <w:i w:val="0"/>
          <w:iCs w:val="0"/>
          <w:color w:val="auto"/>
          <w:sz w:val="24"/>
        </w:rPr>
        <w:t>供应商提供的</w:t>
      </w:r>
      <w:r>
        <w:rPr>
          <w:rFonts w:hint="eastAsia" w:ascii="宋体" w:hAnsi="宋体" w:eastAsia="宋体" w:cs="宋体"/>
          <w:i w:val="0"/>
          <w:iCs w:val="0"/>
          <w:color w:val="auto"/>
          <w:kern w:val="0"/>
          <w:sz w:val="24"/>
          <w:lang w:bidi="ar"/>
        </w:rPr>
        <w:t>中小企业声明函、</w:t>
      </w:r>
      <w:r>
        <w:rPr>
          <w:rFonts w:hint="eastAsia" w:ascii="宋体" w:hAnsi="宋体" w:eastAsia="宋体" w:cs="宋体"/>
          <w:i w:val="0"/>
          <w:iCs w:val="0"/>
          <w:color w:val="auto"/>
          <w:sz w:val="24"/>
        </w:rPr>
        <w:t>残疾人福利性单位声明函或监狱证明，与事实不符的，依照《政府采购法》第七十七条的相关规定追究法律责任。</w:t>
      </w:r>
    </w:p>
    <w:p w14:paraId="37D7FD7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i w:val="0"/>
          <w:iCs w:val="0"/>
          <w:color w:val="auto"/>
        </w:rPr>
      </w:pPr>
      <w:r>
        <w:rPr>
          <w:rFonts w:hint="eastAsia" w:ascii="宋体" w:hAnsi="宋体" w:eastAsia="宋体" w:cs="宋体"/>
          <w:b/>
          <w:i w:val="0"/>
          <w:iCs w:val="0"/>
          <w:color w:val="auto"/>
          <w:kern w:val="0"/>
          <w:sz w:val="24"/>
          <w:lang w:bidi="ar"/>
        </w:rPr>
        <w:t>2、政策性扣除比例：</w:t>
      </w:r>
    </w:p>
    <w:p w14:paraId="4CA0A8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auto"/>
          <w:kern w:val="0"/>
          <w:sz w:val="24"/>
          <w:lang w:bidi="ar"/>
        </w:rPr>
      </w:pPr>
      <w:r>
        <w:rPr>
          <w:rFonts w:hint="eastAsia" w:ascii="宋体" w:hAnsi="宋体" w:eastAsia="宋体" w:cs="宋体"/>
          <w:i w:val="0"/>
          <w:iCs w:val="0"/>
          <w:color w:val="auto"/>
          <w:kern w:val="0"/>
          <w:sz w:val="24"/>
          <w:lang w:bidi="ar"/>
        </w:rPr>
        <w:t>供应商符合小微型企业、监狱企业、残疾人福利性单位条件的，并提供中小企业声明函、残疾人福利性单位声明函或监狱企业证明，符合其中任意一种情形的，则在报价的基础上，按“报价×</w:t>
      </w:r>
      <w:r>
        <w:rPr>
          <w:rFonts w:hint="eastAsia" w:ascii="宋体" w:hAnsi="宋体" w:eastAsia="宋体" w:cs="宋体"/>
          <w:i w:val="0"/>
          <w:iCs w:val="0"/>
          <w:color w:val="auto"/>
          <w:kern w:val="0"/>
          <w:sz w:val="24"/>
          <w:lang w:val="en-US" w:eastAsia="zh-CN" w:bidi="ar"/>
        </w:rPr>
        <w:t>10</w:t>
      </w:r>
      <w:r>
        <w:rPr>
          <w:rFonts w:hint="eastAsia" w:ascii="宋体" w:hAnsi="宋体" w:eastAsia="宋体" w:cs="宋体"/>
          <w:i w:val="0"/>
          <w:iCs w:val="0"/>
          <w:color w:val="auto"/>
          <w:kern w:val="0"/>
          <w:sz w:val="24"/>
          <w:highlight w:val="none"/>
          <w:lang w:bidi="ar"/>
        </w:rPr>
        <w:t>%</w:t>
      </w:r>
      <w:r>
        <w:rPr>
          <w:rFonts w:hint="eastAsia" w:ascii="宋体" w:hAnsi="宋体" w:eastAsia="宋体" w:cs="宋体"/>
          <w:i w:val="0"/>
          <w:iCs w:val="0"/>
          <w:color w:val="auto"/>
          <w:kern w:val="0"/>
          <w:sz w:val="24"/>
          <w:lang w:bidi="ar"/>
        </w:rPr>
        <w:t>”进行价格扣除，以扣除后的价格参与评审；符合两种及以上情形的，不累加计算扣除价格。</w:t>
      </w:r>
    </w:p>
    <w:bookmarkEnd w:id="228"/>
    <w:bookmarkEnd w:id="229"/>
    <w:p w14:paraId="23FE9BB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i w:val="0"/>
          <w:iCs w:val="0"/>
          <w:color w:val="auto"/>
          <w:kern w:val="0"/>
          <w:sz w:val="24"/>
          <w:lang w:bidi="ar"/>
        </w:rPr>
      </w:pPr>
      <w:bookmarkStart w:id="234" w:name="_Toc54598004"/>
      <w:bookmarkStart w:id="235" w:name="_Toc9912_WPSOffice_Level1"/>
      <w:bookmarkStart w:id="236" w:name="_Toc10120"/>
      <w:r>
        <w:rPr>
          <w:rFonts w:hint="eastAsia" w:ascii="宋体" w:hAnsi="宋体" w:cs="宋体"/>
          <w:b/>
          <w:i w:val="0"/>
          <w:iCs w:val="0"/>
          <w:color w:val="auto"/>
          <w:kern w:val="0"/>
          <w:sz w:val="24"/>
          <w:lang w:val="en-US" w:eastAsia="zh-CN" w:bidi="ar"/>
        </w:rPr>
        <w:t>34</w:t>
      </w:r>
      <w:r>
        <w:rPr>
          <w:rFonts w:hint="eastAsia" w:ascii="宋体" w:hAnsi="宋体" w:eastAsia="宋体" w:cs="宋体"/>
          <w:b/>
          <w:i w:val="0"/>
          <w:iCs w:val="0"/>
          <w:color w:val="auto"/>
          <w:kern w:val="0"/>
          <w:sz w:val="24"/>
          <w:lang w:bidi="ar"/>
        </w:rPr>
        <w:t>供应商信用融资</w:t>
      </w:r>
    </w:p>
    <w:p w14:paraId="3DC92B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i w:val="0"/>
          <w:iCs w:val="0"/>
          <w:color w:val="auto"/>
          <w:kern w:val="0"/>
          <w:sz w:val="24"/>
          <w:lang w:eastAsia="zh-CN" w:bidi="ar"/>
        </w:rPr>
      </w:pPr>
      <w:r>
        <w:rPr>
          <w:rFonts w:hint="eastAsia" w:ascii="宋体" w:hAnsi="宋体" w:eastAsia="宋体" w:cs="宋体"/>
          <w:i w:val="0"/>
          <w:iCs w:val="0"/>
          <w:color w:val="auto"/>
          <w:kern w:val="0"/>
          <w:sz w:val="24"/>
          <w:lang w:eastAsia="zh-CN" w:bidi="ar"/>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釆购网—陕西省政府采购金融服务平台（http://www.ccgp-shaanxi.gov.cn/zcdservice/zcd/shanxi/），选择符合自身情况的“政采贷”银行及其产品，凭项目成交结果、成交通知书等信息在线向银行提出贷款意向申请、查看贷款审批情况等。</w:t>
      </w:r>
    </w:p>
    <w:p w14:paraId="59BF94F8">
      <w:pPr>
        <w:rPr>
          <w:rFonts w:hint="eastAsia" w:ascii="宋体" w:hAnsi="宋体" w:eastAsia="宋体" w:cs="宋体"/>
          <w:bCs/>
          <w:i w:val="0"/>
          <w:iCs w:val="0"/>
          <w:color w:val="auto"/>
          <w:sz w:val="36"/>
          <w:szCs w:val="36"/>
          <w:highlight w:val="none"/>
        </w:rPr>
      </w:pPr>
      <w:r>
        <w:rPr>
          <w:rFonts w:hint="eastAsia" w:ascii="宋体" w:hAnsi="宋体" w:eastAsia="宋体" w:cs="宋体"/>
          <w:bCs/>
          <w:i w:val="0"/>
          <w:iCs w:val="0"/>
          <w:color w:val="auto"/>
          <w:sz w:val="36"/>
          <w:szCs w:val="36"/>
          <w:highlight w:val="none"/>
        </w:rPr>
        <w:br w:type="page"/>
      </w:r>
    </w:p>
    <w:p w14:paraId="1408DB20">
      <w:pPr>
        <w:pStyle w:val="2"/>
        <w:spacing w:before="240" w:beforeLines="100" w:line="360" w:lineRule="auto"/>
        <w:jc w:val="center"/>
        <w:rPr>
          <w:rFonts w:hint="eastAsia" w:asciiTheme="minorEastAsia" w:hAnsiTheme="minorEastAsia" w:eastAsiaTheme="minorEastAsia" w:cstheme="minorEastAsia"/>
          <w:i w:val="0"/>
          <w:iCs w:val="0"/>
          <w:color w:val="auto"/>
          <w:sz w:val="32"/>
          <w:szCs w:val="32"/>
          <w:highlight w:val="none"/>
        </w:rPr>
      </w:pPr>
      <w:bookmarkStart w:id="237" w:name="_Toc17414"/>
      <w:r>
        <w:rPr>
          <w:rFonts w:hint="eastAsia" w:asciiTheme="minorEastAsia" w:hAnsiTheme="minorEastAsia" w:eastAsiaTheme="minorEastAsia" w:cstheme="minorEastAsia"/>
          <w:bCs/>
          <w:i w:val="0"/>
          <w:iCs w:val="0"/>
          <w:color w:val="auto"/>
          <w:sz w:val="32"/>
          <w:szCs w:val="32"/>
          <w:highlight w:val="none"/>
        </w:rPr>
        <w:t>第三章</w:t>
      </w:r>
      <w:bookmarkEnd w:id="234"/>
      <w:bookmarkEnd w:id="235"/>
      <w:bookmarkStart w:id="238" w:name="_Toc6170"/>
      <w:bookmarkStart w:id="239" w:name="_Toc531075011"/>
      <w:bookmarkStart w:id="240" w:name="_Toc5805"/>
      <w:bookmarkStart w:id="241" w:name="_Toc532543567"/>
      <w:r>
        <w:rPr>
          <w:rFonts w:hint="eastAsia" w:asciiTheme="minorEastAsia" w:hAnsiTheme="minorEastAsia" w:eastAsiaTheme="minorEastAsia" w:cstheme="minorEastAsia"/>
          <w:bCs/>
          <w:i w:val="0"/>
          <w:iCs w:val="0"/>
          <w:color w:val="auto"/>
          <w:sz w:val="32"/>
          <w:szCs w:val="32"/>
          <w:highlight w:val="none"/>
        </w:rPr>
        <w:t>合同格式及合同条款</w:t>
      </w:r>
      <w:bookmarkEnd w:id="237"/>
      <w:bookmarkEnd w:id="238"/>
      <w:bookmarkEnd w:id="239"/>
      <w:bookmarkEnd w:id="240"/>
      <w:bookmarkEnd w:id="241"/>
    </w:p>
    <w:p w14:paraId="0295C491">
      <w:pPr>
        <w:spacing w:line="360" w:lineRule="auto"/>
        <w:jc w:val="center"/>
        <w:rPr>
          <w:rFonts w:hint="eastAsia" w:asciiTheme="minorEastAsia" w:hAnsiTheme="minorEastAsia" w:eastAsiaTheme="minorEastAsia" w:cstheme="minorEastAsia"/>
          <w:color w:val="000000" w:themeColor="text1"/>
          <w:spacing w:val="-21"/>
          <w:kern w:val="0"/>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1"/>
          <w:kern w:val="0"/>
          <w:sz w:val="32"/>
          <w:szCs w:val="32"/>
          <w:lang w:eastAsia="zh-CN"/>
          <w14:textFill>
            <w14:solidFill>
              <w14:schemeClr w14:val="tx1"/>
            </w14:solidFill>
          </w14:textFill>
        </w:rPr>
        <w:t>延安市机关事务服务中心</w:t>
      </w:r>
    </w:p>
    <w:p w14:paraId="402A4389">
      <w:pPr>
        <w:spacing w:line="360" w:lineRule="auto"/>
        <w:jc w:val="cente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1"/>
          <w:kern w:val="0"/>
          <w:sz w:val="32"/>
          <w:szCs w:val="32"/>
          <w:lang w:eastAsia="zh-CN"/>
          <w14:textFill>
            <w14:solidFill>
              <w14:schemeClr w14:val="tx1"/>
            </w14:solidFill>
          </w14:textFill>
        </w:rPr>
        <w:t>机关食堂托管企业采购项目</w:t>
      </w:r>
      <w:r>
        <w:rPr>
          <w:rFonts w:hint="eastAsia" w:asciiTheme="minorEastAsia" w:hAnsiTheme="minorEastAsia" w:eastAsiaTheme="minorEastAsia" w:cstheme="minorEastAsia"/>
          <w:color w:val="000000" w:themeColor="text1"/>
          <w:spacing w:val="-21"/>
          <w:kern w:val="0"/>
          <w:sz w:val="32"/>
          <w:szCs w:val="32"/>
          <w:lang w:val="en-US" w:eastAsia="zh-CN"/>
          <w14:textFill>
            <w14:solidFill>
              <w14:schemeClr w14:val="tx1"/>
            </w14:solidFill>
          </w14:textFill>
        </w:rPr>
        <w:t>合同</w:t>
      </w:r>
    </w:p>
    <w:p w14:paraId="7F9FCD1E">
      <w:pPr>
        <w:pStyle w:val="42"/>
        <w:shd w:val="clear" w:color="auto" w:fill="auto"/>
        <w:tabs>
          <w:tab w:val="left" w:pos="5736"/>
        </w:tabs>
        <w:spacing w:line="480" w:lineRule="exact"/>
        <w:ind w:firstLine="560" w:firstLineChars="200"/>
        <w:jc w:val="left"/>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1BA7BD5E">
      <w:pPr>
        <w:keepNext w:val="0"/>
        <w:keepLines w:val="0"/>
        <w:pageBreakBefore w:val="0"/>
        <w:widowControl w:val="0"/>
        <w:kinsoku/>
        <w:wordWrap/>
        <w:overflowPunct/>
        <w:topLinePunct w:val="0"/>
        <w:autoSpaceDE/>
        <w:autoSpaceDN/>
        <w:bidi w:val="0"/>
        <w:adjustRightInd/>
        <w:snapToGrid/>
        <w:spacing w:line="560" w:lineRule="exact"/>
        <w:ind w:right="-16" w:firstLine="240" w:firstLineChars="100"/>
        <w:rPr>
          <w:rFonts w:hint="eastAsia" w:asciiTheme="minorEastAsia" w:hAnsiTheme="minorEastAsia" w:eastAsiaTheme="minorEastAsia" w:cstheme="minorEastAsia"/>
          <w:color w:val="auto"/>
          <w:sz w:val="24"/>
          <w:szCs w:val="24"/>
          <w:lang w:val="zh-CN"/>
        </w:rPr>
      </w:pPr>
      <w:bookmarkStart w:id="242" w:name="bookmark5"/>
      <w:bookmarkStart w:id="243" w:name="bookmark4"/>
      <w:r>
        <w:rPr>
          <w:rFonts w:hint="eastAsia" w:asciiTheme="minorEastAsia" w:hAnsiTheme="minorEastAsia" w:eastAsiaTheme="minorEastAsia" w:cstheme="minorEastAsia"/>
          <w:color w:val="auto"/>
          <w:sz w:val="24"/>
          <w:szCs w:val="24"/>
          <w:lang w:val="en-US" w:eastAsia="zh-CN"/>
        </w:rPr>
        <w:t>采购人（以下简称：甲方）</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zh-CN" w:eastAsia="zh-CN"/>
        </w:rPr>
        <w:t>延安市机关事务服务中心</w:t>
      </w:r>
      <w:r>
        <w:rPr>
          <w:rFonts w:hint="eastAsia" w:asciiTheme="minorEastAsia" w:hAnsiTheme="minorEastAsia" w:eastAsiaTheme="minorEastAsia" w:cstheme="minorEastAsia"/>
          <w:color w:val="auto"/>
          <w:sz w:val="24"/>
          <w:szCs w:val="24"/>
          <w:lang w:val="zh-CN"/>
        </w:rPr>
        <w:t xml:space="preserve"> </w:t>
      </w:r>
      <w:r>
        <w:rPr>
          <w:rFonts w:hint="eastAsia" w:asciiTheme="minorEastAsia" w:hAnsiTheme="minorEastAsia" w:eastAsiaTheme="minorEastAsia" w:cstheme="minorEastAsia"/>
          <w:color w:val="auto"/>
          <w:sz w:val="24"/>
          <w:szCs w:val="24"/>
          <w:lang w:val="en-US" w:eastAsia="zh-CN"/>
        </w:rPr>
        <w:t xml:space="preserve">              </w:t>
      </w:r>
    </w:p>
    <w:p w14:paraId="72373559">
      <w:pPr>
        <w:keepNext w:val="0"/>
        <w:keepLines w:val="0"/>
        <w:pageBreakBefore w:val="0"/>
        <w:widowControl w:val="0"/>
        <w:kinsoku/>
        <w:wordWrap/>
        <w:overflowPunct/>
        <w:topLinePunct w:val="0"/>
        <w:autoSpaceDE/>
        <w:autoSpaceDN/>
        <w:bidi w:val="0"/>
        <w:adjustRightInd/>
        <w:snapToGrid/>
        <w:spacing w:line="560" w:lineRule="exact"/>
        <w:ind w:left="5818" w:leftChars="142" w:hanging="5520" w:hangingChars="2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z w:val="24"/>
          <w:szCs w:val="24"/>
          <w:lang w:val="en-US" w:eastAsia="zh-CN"/>
        </w:rPr>
        <w:t>商（以下简称：乙方）</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 xml:space="preserve">  </w:t>
      </w:r>
    </w:p>
    <w:p w14:paraId="049BBD41">
      <w:pPr>
        <w:keepNext w:val="0"/>
        <w:keepLines w:val="0"/>
        <w:pageBreakBefore w:val="0"/>
        <w:widowControl w:val="0"/>
        <w:kinsoku/>
        <w:wordWrap/>
        <w:overflowPunct/>
        <w:topLinePunct w:val="0"/>
        <w:bidi w:val="0"/>
        <w:snapToGrid/>
        <w:spacing w:line="560" w:lineRule="exact"/>
        <w:ind w:firstLine="240" w:firstLineChars="1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使用方（以下简称：丙方）：</w:t>
      </w:r>
      <w:r>
        <w:rPr>
          <w:rFonts w:hint="eastAsia" w:asciiTheme="minorEastAsia" w:hAnsiTheme="minorEastAsia" w:eastAsiaTheme="minorEastAsia" w:cstheme="minorEastAsia"/>
          <w:color w:val="auto"/>
          <w:sz w:val="24"/>
          <w:szCs w:val="24"/>
          <w:lang w:val="zh-CN"/>
        </w:rPr>
        <w:t xml:space="preserve"> </w:t>
      </w:r>
      <w:r>
        <w:rPr>
          <w:rFonts w:hint="eastAsia" w:asciiTheme="minorEastAsia" w:hAnsiTheme="minorEastAsia" w:eastAsiaTheme="minorEastAsia" w:cstheme="minorEastAsia"/>
          <w:color w:val="auto"/>
          <w:sz w:val="24"/>
          <w:szCs w:val="24"/>
          <w:lang w:eastAsia="zh-CN"/>
        </w:rPr>
        <w:t>市公安局、市检察院、市法院、市司法局</w:t>
      </w:r>
    </w:p>
    <w:p w14:paraId="0897E8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z w:val="24"/>
          <w:szCs w:val="24"/>
          <w:lang w:val="zh-CN"/>
        </w:rPr>
        <w:t>根据《中华人民共和国政府采购法》、《中华人民共和国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lang w:val="zh-CN"/>
        </w:rPr>
        <w:t>》及相关规定，确定乙方为</w:t>
      </w:r>
      <w:r>
        <w:rPr>
          <w:rFonts w:hint="eastAsia" w:asciiTheme="minorEastAsia" w:hAnsiTheme="minorEastAsia" w:eastAsiaTheme="minorEastAsia" w:cstheme="minorEastAsia"/>
          <w:color w:val="auto"/>
          <w:sz w:val="24"/>
          <w:szCs w:val="24"/>
          <w:lang w:val="zh-CN" w:eastAsia="zh-CN"/>
        </w:rPr>
        <w:t>延安市机关事务服务中心机关食堂托管企业采购项目</w:t>
      </w:r>
      <w:r>
        <w:rPr>
          <w:rFonts w:hint="eastAsia" w:asciiTheme="minorEastAsia" w:hAnsiTheme="minorEastAsia" w:eastAsiaTheme="minorEastAsia" w:cstheme="minorEastAsia"/>
          <w:color w:val="auto"/>
          <w:sz w:val="24"/>
          <w:szCs w:val="24"/>
          <w:lang w:val="zh-CN"/>
        </w:rPr>
        <w:t>政府采购项目集中办公区和</w:t>
      </w:r>
      <w:r>
        <w:rPr>
          <w:rFonts w:hint="eastAsia" w:asciiTheme="minorEastAsia" w:hAnsiTheme="minorEastAsia" w:eastAsiaTheme="minorEastAsia" w:cstheme="minorEastAsia"/>
          <w:color w:val="auto"/>
          <w:sz w:val="24"/>
          <w:szCs w:val="24"/>
          <w:lang w:val="en-US" w:eastAsia="zh-CN"/>
        </w:rPr>
        <w:t>分散办公区的中标</w:t>
      </w:r>
      <w:r>
        <w:rPr>
          <w:rFonts w:hint="eastAsia" w:asciiTheme="minorEastAsia" w:hAnsiTheme="minorEastAsia" w:eastAsiaTheme="minorEastAsia" w:cstheme="minorEastAsia"/>
          <w:color w:val="auto"/>
          <w:sz w:val="24"/>
          <w:szCs w:val="24"/>
          <w:lang w:val="zh-CN"/>
        </w:rPr>
        <w:t xml:space="preserve">供应商。为明确甲、乙、丙方责任，特订立本合同，以便共同遵守                             </w:t>
      </w:r>
      <w:r>
        <w:rPr>
          <w:rFonts w:hint="eastAsia" w:asciiTheme="minorEastAsia" w:hAnsiTheme="minorEastAsia" w:eastAsiaTheme="minorEastAsia" w:cstheme="minorEastAsia"/>
          <w:b/>
          <w:bCs/>
          <w:color w:val="auto"/>
          <w:spacing w:val="14"/>
          <w:sz w:val="24"/>
          <w:szCs w:val="24"/>
        </w:rPr>
        <w:t xml:space="preserve">   </w:t>
      </w:r>
      <w:r>
        <w:rPr>
          <w:rFonts w:hint="eastAsia" w:asciiTheme="minorEastAsia" w:hAnsiTheme="minorEastAsia" w:eastAsiaTheme="minorEastAsia" w:cstheme="minorEastAsia"/>
          <w:color w:val="auto"/>
          <w:spacing w:val="14"/>
          <w:sz w:val="24"/>
          <w:szCs w:val="24"/>
        </w:rPr>
        <w:t xml:space="preserve">  </w:t>
      </w:r>
    </w:p>
    <w:p w14:paraId="385C2031">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color w:val="auto"/>
          <w:spacing w:val="10"/>
          <w:sz w:val="24"/>
          <w:szCs w:val="24"/>
          <w:lang w:val="zh-CN"/>
        </w:rPr>
      </w:pPr>
      <w:r>
        <w:rPr>
          <w:rFonts w:hint="eastAsia" w:asciiTheme="minorEastAsia" w:hAnsiTheme="minorEastAsia" w:eastAsiaTheme="minorEastAsia" w:cstheme="minorEastAsia"/>
          <w:color w:val="auto"/>
          <w:spacing w:val="10"/>
          <w:sz w:val="24"/>
          <w:szCs w:val="24"/>
          <w:lang w:val="zh-CN" w:eastAsia="zh-CN"/>
        </w:rPr>
        <w:t>（</w:t>
      </w:r>
      <w:r>
        <w:rPr>
          <w:rFonts w:hint="eastAsia" w:asciiTheme="minorEastAsia" w:hAnsiTheme="minorEastAsia" w:eastAsiaTheme="minorEastAsia" w:cstheme="minorEastAsia"/>
          <w:color w:val="auto"/>
          <w:spacing w:val="10"/>
          <w:sz w:val="24"/>
          <w:szCs w:val="24"/>
          <w:lang w:val="en-US" w:eastAsia="zh-CN"/>
        </w:rPr>
        <w:t>一</w:t>
      </w:r>
      <w:r>
        <w:rPr>
          <w:rFonts w:hint="eastAsia" w:asciiTheme="minorEastAsia" w:hAnsiTheme="minorEastAsia" w:eastAsiaTheme="minorEastAsia" w:cstheme="minorEastAsia"/>
          <w:color w:val="auto"/>
          <w:spacing w:val="10"/>
          <w:sz w:val="24"/>
          <w:szCs w:val="24"/>
          <w:lang w:val="zh-CN" w:eastAsia="zh-CN"/>
        </w:rPr>
        <w:t>）</w:t>
      </w:r>
      <w:r>
        <w:rPr>
          <w:rFonts w:hint="eastAsia" w:asciiTheme="minorEastAsia" w:hAnsiTheme="minorEastAsia" w:eastAsiaTheme="minorEastAsia" w:cstheme="minorEastAsia"/>
          <w:color w:val="auto"/>
          <w:spacing w:val="10"/>
          <w:sz w:val="24"/>
          <w:szCs w:val="24"/>
          <w:lang w:val="zh-CN"/>
        </w:rPr>
        <w:t>功能布局</w:t>
      </w:r>
    </w:p>
    <w:p w14:paraId="094942D4">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en-US" w:eastAsia="zh-CN"/>
        </w:rPr>
      </w:pPr>
      <w:r>
        <w:rPr>
          <w:rFonts w:hint="eastAsia" w:asciiTheme="minorEastAsia" w:hAnsiTheme="minorEastAsia" w:eastAsiaTheme="minorEastAsia" w:cstheme="minorEastAsia"/>
          <w:b w:val="0"/>
          <w:bCs w:val="0"/>
          <w:color w:val="auto"/>
          <w:spacing w:val="10"/>
          <w:sz w:val="24"/>
          <w:szCs w:val="24"/>
          <w:lang w:val="en-US" w:eastAsia="zh-CN"/>
        </w:rPr>
        <w:t>1.集中办公区</w:t>
      </w:r>
    </w:p>
    <w:p w14:paraId="01A01DD9">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zh-CN"/>
        </w:rPr>
      </w:pPr>
      <w:r>
        <w:rPr>
          <w:rFonts w:hint="eastAsia" w:asciiTheme="minorEastAsia" w:hAnsiTheme="minorEastAsia" w:eastAsiaTheme="minorEastAsia" w:cstheme="minorEastAsia"/>
          <w:b w:val="0"/>
          <w:bCs w:val="0"/>
          <w:color w:val="auto"/>
          <w:spacing w:val="10"/>
          <w:sz w:val="24"/>
          <w:szCs w:val="24"/>
          <w:lang w:val="en-US" w:eastAsia="zh-CN"/>
        </w:rPr>
        <w:t>（1）</w:t>
      </w:r>
      <w:r>
        <w:rPr>
          <w:rFonts w:hint="eastAsia" w:asciiTheme="minorEastAsia" w:hAnsiTheme="minorEastAsia" w:eastAsiaTheme="minorEastAsia" w:cstheme="minorEastAsia"/>
          <w:b w:val="0"/>
          <w:bCs w:val="0"/>
          <w:color w:val="auto"/>
          <w:spacing w:val="10"/>
          <w:sz w:val="24"/>
          <w:szCs w:val="24"/>
          <w:lang w:val="zh-CN"/>
        </w:rPr>
        <w:t>为民服务中心机关食堂，按照建筑设计，划分为六个就餐场地：</w:t>
      </w:r>
    </w:p>
    <w:p w14:paraId="7B8965E6">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zh-CN"/>
        </w:rPr>
      </w:pPr>
      <w:r>
        <w:rPr>
          <w:rFonts w:hint="eastAsia" w:asciiTheme="minorEastAsia" w:hAnsiTheme="minorEastAsia" w:eastAsiaTheme="minorEastAsia" w:cstheme="minorEastAsia"/>
          <w:b w:val="0"/>
          <w:bCs w:val="0"/>
          <w:color w:val="auto"/>
          <w:spacing w:val="10"/>
          <w:sz w:val="24"/>
          <w:szCs w:val="24"/>
          <w:lang w:val="en-US" w:eastAsia="zh-CN"/>
        </w:rPr>
        <w:t>1</w:t>
      </w:r>
      <w:r>
        <w:rPr>
          <w:rFonts w:hint="eastAsia" w:asciiTheme="minorEastAsia" w:hAnsiTheme="minorEastAsia" w:eastAsiaTheme="minorEastAsia" w:cstheme="minorEastAsia"/>
          <w:b w:val="0"/>
          <w:bCs w:val="0"/>
          <w:color w:val="auto"/>
          <w:spacing w:val="10"/>
          <w:sz w:val="24"/>
          <w:szCs w:val="24"/>
          <w:lang w:val="zh-CN"/>
        </w:rPr>
        <w:t>号餐厅在综合办公楼北地下一层，就餐场所使用面积2700㎡，供入驻单位干部职工就餐，同时，承担各类大型会议用餐；</w:t>
      </w:r>
    </w:p>
    <w:p w14:paraId="4D88C41A">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zh-CN" w:eastAsia="zh-CN"/>
        </w:rPr>
      </w:pPr>
      <w:r>
        <w:rPr>
          <w:rFonts w:hint="eastAsia" w:asciiTheme="minorEastAsia" w:hAnsiTheme="minorEastAsia" w:eastAsiaTheme="minorEastAsia" w:cstheme="minorEastAsia"/>
          <w:b w:val="0"/>
          <w:bCs w:val="0"/>
          <w:color w:val="auto"/>
          <w:spacing w:val="10"/>
          <w:sz w:val="24"/>
          <w:szCs w:val="24"/>
          <w:lang w:val="zh-CN" w:eastAsia="zh-CN"/>
        </w:rPr>
        <w:t>2号餐厅设在市政府办公楼B段，就餐场所使用面积333㎡，为入驻单位县级及以上干部就餐场所，同时，承担市级部分接待任务；</w:t>
      </w:r>
    </w:p>
    <w:p w14:paraId="477D358A">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zh-CN" w:eastAsia="zh-CN"/>
        </w:rPr>
      </w:pPr>
      <w:r>
        <w:rPr>
          <w:rFonts w:hint="eastAsia" w:asciiTheme="minorEastAsia" w:hAnsiTheme="minorEastAsia" w:eastAsiaTheme="minorEastAsia" w:cstheme="minorEastAsia"/>
          <w:b w:val="0"/>
          <w:bCs w:val="0"/>
          <w:color w:val="auto"/>
          <w:spacing w:val="10"/>
          <w:sz w:val="24"/>
          <w:szCs w:val="24"/>
          <w:lang w:val="zh-CN" w:eastAsia="zh-CN"/>
        </w:rPr>
        <w:t>3号餐厅设在市委办公楼B段，就餐场所使用面积268㎡，为市级领导就餐场所，承担市委、市政府部分接待任务；</w:t>
      </w:r>
    </w:p>
    <w:p w14:paraId="1398CB55">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zh-CN" w:eastAsia="zh-CN"/>
        </w:rPr>
      </w:pPr>
      <w:r>
        <w:rPr>
          <w:rFonts w:hint="eastAsia" w:asciiTheme="minorEastAsia" w:hAnsiTheme="minorEastAsia" w:eastAsiaTheme="minorEastAsia" w:cstheme="minorEastAsia"/>
          <w:b w:val="0"/>
          <w:bCs w:val="0"/>
          <w:color w:val="auto"/>
          <w:spacing w:val="10"/>
          <w:sz w:val="24"/>
          <w:szCs w:val="24"/>
          <w:lang w:val="zh-CN" w:eastAsia="zh-CN"/>
        </w:rPr>
        <w:t>4号餐厅设在市政协办公楼一楼，就餐场所使用面积327㎡，为入驻单位县级及以上干部就餐场所，同时，承担市级部分接待任务；</w:t>
      </w:r>
    </w:p>
    <w:p w14:paraId="31DD9F00">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zh-CN" w:eastAsia="zh-CN"/>
        </w:rPr>
      </w:pPr>
      <w:r>
        <w:rPr>
          <w:rFonts w:hint="eastAsia" w:asciiTheme="minorEastAsia" w:hAnsiTheme="minorEastAsia" w:eastAsiaTheme="minorEastAsia" w:cstheme="minorEastAsia"/>
          <w:b w:val="0"/>
          <w:bCs w:val="0"/>
          <w:color w:val="auto"/>
          <w:spacing w:val="10"/>
          <w:sz w:val="24"/>
          <w:szCs w:val="24"/>
          <w:lang w:val="zh-CN" w:eastAsia="zh-CN"/>
        </w:rPr>
        <w:t>5号餐厅设在市人大办公楼一楼，就餐场所使用面积327㎡，为入驻单位县级及以上干部就餐场所，同时，承担市级部分接待任务；</w:t>
      </w:r>
    </w:p>
    <w:p w14:paraId="44FB9BC3">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zh-CN" w:eastAsia="zh-CN"/>
        </w:rPr>
      </w:pPr>
      <w:r>
        <w:rPr>
          <w:rFonts w:hint="eastAsia" w:asciiTheme="minorEastAsia" w:hAnsiTheme="minorEastAsia" w:eastAsiaTheme="minorEastAsia" w:cstheme="minorEastAsia"/>
          <w:b w:val="0"/>
          <w:bCs w:val="0"/>
          <w:color w:val="auto"/>
          <w:spacing w:val="10"/>
          <w:sz w:val="24"/>
          <w:szCs w:val="24"/>
          <w:lang w:val="zh-CN" w:eastAsia="zh-CN"/>
        </w:rPr>
        <w:t>6号餐厅在为民服务中心南区地下一层，就餐场所使用面积1494㎡，供入驻单位干部职工的就餐。</w:t>
      </w:r>
    </w:p>
    <w:p w14:paraId="71C67203">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en-US" w:eastAsia="zh-CN"/>
        </w:rPr>
      </w:pPr>
      <w:r>
        <w:rPr>
          <w:rFonts w:hint="eastAsia" w:asciiTheme="minorEastAsia" w:hAnsiTheme="minorEastAsia" w:eastAsiaTheme="minorEastAsia" w:cstheme="minorEastAsia"/>
          <w:b w:val="0"/>
          <w:bCs w:val="0"/>
          <w:color w:val="auto"/>
          <w:spacing w:val="10"/>
          <w:sz w:val="24"/>
          <w:szCs w:val="24"/>
          <w:lang w:val="en-US" w:eastAsia="zh-CN"/>
        </w:rPr>
        <w:t>（2）新洲小镇市政府综合办公楼机关食堂</w:t>
      </w:r>
    </w:p>
    <w:p w14:paraId="38215C39">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b w:val="0"/>
          <w:bCs w:val="0"/>
          <w:color w:val="auto"/>
          <w:spacing w:val="10"/>
          <w:sz w:val="24"/>
          <w:szCs w:val="24"/>
          <w:lang w:val="en-US" w:eastAsia="zh-CN"/>
        </w:rPr>
      </w:pPr>
      <w:r>
        <w:rPr>
          <w:rFonts w:hint="eastAsia" w:asciiTheme="minorEastAsia" w:hAnsiTheme="minorEastAsia" w:eastAsiaTheme="minorEastAsia" w:cstheme="minorEastAsia"/>
          <w:b w:val="0"/>
          <w:bCs w:val="0"/>
          <w:color w:val="auto"/>
          <w:spacing w:val="10"/>
          <w:sz w:val="24"/>
          <w:szCs w:val="24"/>
          <w:lang w:val="en-US" w:eastAsia="zh-CN"/>
        </w:rPr>
        <w:t>使用面积约400㎡，设县级餐厅和干部职工餐厅，能同时容纳500人就餐。</w:t>
      </w:r>
    </w:p>
    <w:p w14:paraId="1FA6BD3D">
      <w:pPr>
        <w:pStyle w:val="4"/>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spacing w:val="10"/>
          <w:sz w:val="24"/>
          <w:szCs w:val="24"/>
          <w:lang w:val="en-US" w:eastAsia="zh-CN"/>
        </w:rPr>
        <w:t>2.分散办公区，均为干部职工餐厅</w:t>
      </w:r>
    </w:p>
    <w:p w14:paraId="64233229">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市</w:t>
      </w:r>
      <w:r>
        <w:rPr>
          <w:rFonts w:hint="eastAsia" w:asciiTheme="minorEastAsia" w:hAnsiTheme="minorEastAsia" w:eastAsiaTheme="minorEastAsia" w:cstheme="minorEastAsia"/>
          <w:color w:val="auto"/>
          <w:sz w:val="24"/>
          <w:szCs w:val="24"/>
          <w:lang w:eastAsia="zh-CN"/>
        </w:rPr>
        <w:t>公安局食堂</w:t>
      </w:r>
      <w:r>
        <w:rPr>
          <w:rFonts w:hint="eastAsia" w:asciiTheme="minorEastAsia" w:hAnsiTheme="minorEastAsia" w:eastAsiaTheme="minorEastAsia" w:cstheme="minorEastAsia"/>
          <w:color w:val="auto"/>
          <w:sz w:val="24"/>
          <w:szCs w:val="24"/>
          <w:lang w:val="en-US" w:eastAsia="zh-CN"/>
        </w:rPr>
        <w:t>使用</w:t>
      </w:r>
      <w:r>
        <w:rPr>
          <w:rFonts w:hint="eastAsia" w:asciiTheme="minorEastAsia" w:hAnsiTheme="minorEastAsia" w:eastAsiaTheme="minorEastAsia" w:cstheme="minorEastAsia"/>
          <w:color w:val="auto"/>
          <w:sz w:val="24"/>
          <w:szCs w:val="24"/>
          <w:lang w:eastAsia="zh-CN"/>
        </w:rPr>
        <w:t>面积约</w:t>
      </w:r>
      <w:r>
        <w:rPr>
          <w:rFonts w:hint="eastAsia" w:asciiTheme="minorEastAsia" w:hAnsiTheme="minorEastAsia" w:eastAsiaTheme="minorEastAsia" w:cstheme="minorEastAsia"/>
          <w:color w:val="auto"/>
          <w:sz w:val="24"/>
          <w:szCs w:val="24"/>
          <w:lang w:val="en-US" w:eastAsia="zh-CN"/>
        </w:rPr>
        <w:t>468</w:t>
      </w:r>
      <w:r>
        <w:rPr>
          <w:rFonts w:hint="eastAsia" w:asciiTheme="minorEastAsia" w:hAnsiTheme="minorEastAsia" w:eastAsiaTheme="minorEastAsia" w:cstheme="minorEastAsia"/>
          <w:color w:val="auto"/>
          <w:sz w:val="24"/>
          <w:szCs w:val="24"/>
          <w:lang w:eastAsia="zh-CN"/>
        </w:rPr>
        <w:t>㎡，能</w:t>
      </w:r>
      <w:r>
        <w:rPr>
          <w:rFonts w:hint="eastAsia" w:asciiTheme="minorEastAsia" w:hAnsiTheme="minorEastAsia" w:eastAsiaTheme="minorEastAsia" w:cstheme="minorEastAsia"/>
          <w:color w:val="auto"/>
          <w:sz w:val="24"/>
          <w:szCs w:val="24"/>
          <w:lang w:val="en-US" w:eastAsia="zh-CN"/>
        </w:rPr>
        <w:t>同时</w:t>
      </w:r>
      <w:r>
        <w:rPr>
          <w:rFonts w:hint="eastAsia" w:asciiTheme="minorEastAsia" w:hAnsiTheme="minorEastAsia" w:eastAsiaTheme="minorEastAsia" w:cstheme="minorEastAsia"/>
          <w:color w:val="auto"/>
          <w:sz w:val="24"/>
          <w:szCs w:val="24"/>
          <w:lang w:eastAsia="zh-CN"/>
        </w:rPr>
        <w:t>容纳</w:t>
      </w:r>
      <w:r>
        <w:rPr>
          <w:rFonts w:hint="eastAsia" w:asciiTheme="minorEastAsia" w:hAnsiTheme="minorEastAsia" w:eastAsiaTheme="minorEastAsia" w:cstheme="minorEastAsia"/>
          <w:color w:val="auto"/>
          <w:sz w:val="24"/>
          <w:szCs w:val="24"/>
          <w:lang w:val="en-US" w:eastAsia="zh-CN"/>
        </w:rPr>
        <w:t>300人就餐，设有接待餐厅；</w:t>
      </w:r>
    </w:p>
    <w:p w14:paraId="2C3619B2">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市检察院食堂使用面积</w:t>
      </w:r>
      <w:r>
        <w:rPr>
          <w:rFonts w:hint="eastAsia" w:asciiTheme="minorEastAsia" w:hAnsiTheme="minorEastAsia" w:eastAsiaTheme="minorEastAsia" w:cstheme="minorEastAsia"/>
          <w:color w:val="auto"/>
          <w:sz w:val="24"/>
          <w:szCs w:val="24"/>
          <w:lang w:eastAsia="zh-CN"/>
        </w:rPr>
        <w:t>约</w:t>
      </w:r>
      <w:r>
        <w:rPr>
          <w:rFonts w:hint="eastAsia" w:asciiTheme="minorEastAsia" w:hAnsiTheme="minorEastAsia" w:eastAsiaTheme="minorEastAsia" w:cstheme="minorEastAsia"/>
          <w:color w:val="auto"/>
          <w:sz w:val="24"/>
          <w:szCs w:val="24"/>
          <w:lang w:val="en-US" w:eastAsia="zh-CN"/>
        </w:rPr>
        <w:t>200</w:t>
      </w:r>
      <w:r>
        <w:rPr>
          <w:rFonts w:hint="eastAsia" w:asciiTheme="minorEastAsia" w:hAnsiTheme="minorEastAsia" w:eastAsiaTheme="minorEastAsia" w:cstheme="minorEastAsia"/>
          <w:color w:val="auto"/>
          <w:sz w:val="24"/>
          <w:szCs w:val="24"/>
          <w:lang w:eastAsia="zh-CN"/>
        </w:rPr>
        <w:t>㎡，能</w:t>
      </w:r>
      <w:r>
        <w:rPr>
          <w:rFonts w:hint="eastAsia" w:asciiTheme="minorEastAsia" w:hAnsiTheme="minorEastAsia" w:eastAsiaTheme="minorEastAsia" w:cstheme="minorEastAsia"/>
          <w:color w:val="auto"/>
          <w:sz w:val="24"/>
          <w:szCs w:val="24"/>
          <w:lang w:val="en-US" w:eastAsia="zh-CN"/>
        </w:rPr>
        <w:t>同时</w:t>
      </w:r>
      <w:r>
        <w:rPr>
          <w:rFonts w:hint="eastAsia" w:asciiTheme="minorEastAsia" w:hAnsiTheme="minorEastAsia" w:eastAsiaTheme="minorEastAsia" w:cstheme="minorEastAsia"/>
          <w:color w:val="auto"/>
          <w:sz w:val="24"/>
          <w:szCs w:val="24"/>
          <w:lang w:eastAsia="zh-CN"/>
        </w:rPr>
        <w:t>容纳</w:t>
      </w:r>
      <w:r>
        <w:rPr>
          <w:rFonts w:hint="eastAsia" w:asciiTheme="minorEastAsia" w:hAnsiTheme="minorEastAsia" w:eastAsiaTheme="minorEastAsia" w:cstheme="minorEastAsia"/>
          <w:color w:val="auto"/>
          <w:sz w:val="24"/>
          <w:szCs w:val="24"/>
          <w:lang w:val="en-US" w:eastAsia="zh-CN"/>
        </w:rPr>
        <w:t>100人就餐，设有接待餐厅；</w:t>
      </w:r>
    </w:p>
    <w:p w14:paraId="2D85A2DF">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市法院食堂使用面积</w:t>
      </w:r>
      <w:r>
        <w:rPr>
          <w:rFonts w:hint="eastAsia" w:asciiTheme="minorEastAsia" w:hAnsiTheme="minorEastAsia" w:eastAsiaTheme="minorEastAsia" w:cstheme="minorEastAsia"/>
          <w:color w:val="auto"/>
          <w:sz w:val="24"/>
          <w:szCs w:val="24"/>
          <w:lang w:eastAsia="zh-CN"/>
        </w:rPr>
        <w:t>约</w:t>
      </w:r>
      <w:r>
        <w:rPr>
          <w:rFonts w:hint="eastAsia" w:asciiTheme="minorEastAsia" w:hAnsiTheme="minorEastAsia" w:eastAsiaTheme="minorEastAsia" w:cstheme="minorEastAsia"/>
          <w:color w:val="auto"/>
          <w:sz w:val="24"/>
          <w:szCs w:val="24"/>
          <w:lang w:val="en-US" w:eastAsia="zh-CN"/>
        </w:rPr>
        <w:t>600</w:t>
      </w:r>
      <w:r>
        <w:rPr>
          <w:rFonts w:hint="eastAsia" w:asciiTheme="minorEastAsia" w:hAnsiTheme="minorEastAsia" w:eastAsiaTheme="minorEastAsia" w:cstheme="minorEastAsia"/>
          <w:color w:val="auto"/>
          <w:sz w:val="24"/>
          <w:szCs w:val="24"/>
          <w:lang w:eastAsia="zh-CN"/>
        </w:rPr>
        <w:t>㎡，能</w:t>
      </w:r>
      <w:r>
        <w:rPr>
          <w:rFonts w:hint="eastAsia" w:asciiTheme="minorEastAsia" w:hAnsiTheme="minorEastAsia" w:eastAsiaTheme="minorEastAsia" w:cstheme="minorEastAsia"/>
          <w:color w:val="auto"/>
          <w:sz w:val="24"/>
          <w:szCs w:val="24"/>
          <w:lang w:val="en-US" w:eastAsia="zh-CN"/>
        </w:rPr>
        <w:t>同时</w:t>
      </w:r>
      <w:r>
        <w:rPr>
          <w:rFonts w:hint="eastAsia" w:asciiTheme="minorEastAsia" w:hAnsiTheme="minorEastAsia" w:eastAsiaTheme="minorEastAsia" w:cstheme="minorEastAsia"/>
          <w:color w:val="auto"/>
          <w:sz w:val="24"/>
          <w:szCs w:val="24"/>
          <w:lang w:eastAsia="zh-CN"/>
        </w:rPr>
        <w:t>容纳</w:t>
      </w:r>
      <w:r>
        <w:rPr>
          <w:rFonts w:hint="eastAsia" w:asciiTheme="minorEastAsia" w:hAnsiTheme="minorEastAsia" w:eastAsiaTheme="minorEastAsia" w:cstheme="minorEastAsia"/>
          <w:color w:val="auto"/>
          <w:sz w:val="24"/>
          <w:szCs w:val="24"/>
          <w:lang w:val="en-US" w:eastAsia="zh-CN"/>
        </w:rPr>
        <w:t>150人就餐，设有接待餐厅；</w:t>
      </w:r>
    </w:p>
    <w:p w14:paraId="15E5E5D6">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市司法局食堂使用面积</w:t>
      </w:r>
      <w:r>
        <w:rPr>
          <w:rFonts w:hint="eastAsia" w:asciiTheme="minorEastAsia" w:hAnsiTheme="minorEastAsia" w:eastAsiaTheme="minorEastAsia" w:cstheme="minorEastAsia"/>
          <w:color w:val="auto"/>
          <w:sz w:val="24"/>
          <w:szCs w:val="24"/>
          <w:lang w:eastAsia="zh-CN"/>
        </w:rPr>
        <w:t>约</w:t>
      </w:r>
      <w:r>
        <w:rPr>
          <w:rFonts w:hint="eastAsia" w:asciiTheme="minorEastAsia" w:hAnsiTheme="minorEastAsia" w:eastAsiaTheme="minorEastAsia" w:cstheme="minorEastAsia"/>
          <w:color w:val="auto"/>
          <w:sz w:val="24"/>
          <w:szCs w:val="24"/>
          <w:lang w:val="en-US" w:eastAsia="zh-CN"/>
        </w:rPr>
        <w:t>100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,能同时容纳50人就餐，设有接待餐厅。</w:t>
      </w:r>
    </w:p>
    <w:p w14:paraId="171FE61E">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eastAsia="zh-CN"/>
        </w:rPr>
        <w:t>）托管方式</w:t>
      </w:r>
    </w:p>
    <w:p w14:paraId="0946EC78">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w:t>
      </w:r>
      <w:r>
        <w:rPr>
          <w:rFonts w:hint="eastAsia" w:asciiTheme="minorEastAsia" w:hAnsiTheme="minorEastAsia" w:eastAsiaTheme="minorEastAsia" w:cstheme="minorEastAsia"/>
          <w:color w:val="auto"/>
          <w:sz w:val="24"/>
          <w:szCs w:val="24"/>
          <w:lang w:val="en-US" w:eastAsia="zh-CN"/>
        </w:rPr>
        <w:t>一家专业团餐企业对集中办公区和分散办公区机关食堂经营管理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集中办公区由乙方、分散办公区由实际丙方</w:t>
      </w:r>
      <w:r>
        <w:rPr>
          <w:rFonts w:hint="eastAsia" w:asciiTheme="minorEastAsia" w:hAnsiTheme="minorEastAsia" w:eastAsiaTheme="minorEastAsia" w:cstheme="minorEastAsia"/>
          <w:color w:val="auto"/>
          <w:sz w:val="24"/>
          <w:szCs w:val="24"/>
          <w:lang w:eastAsia="zh-CN"/>
        </w:rPr>
        <w:t>对供应商实施日常监督、考核和管理，甲方</w:t>
      </w:r>
      <w:r>
        <w:rPr>
          <w:rFonts w:hint="eastAsia" w:asciiTheme="minorEastAsia" w:hAnsiTheme="minorEastAsia" w:eastAsiaTheme="minorEastAsia" w:cstheme="minorEastAsia"/>
          <w:color w:val="auto"/>
          <w:sz w:val="24"/>
          <w:szCs w:val="24"/>
          <w:lang w:val="en-US" w:eastAsia="zh-CN"/>
        </w:rPr>
        <w:t>按考核</w:t>
      </w:r>
      <w:r>
        <w:rPr>
          <w:rFonts w:hint="eastAsia" w:asciiTheme="minorEastAsia" w:hAnsiTheme="minorEastAsia" w:eastAsiaTheme="minorEastAsia" w:cstheme="minorEastAsia"/>
          <w:color w:val="auto"/>
          <w:sz w:val="24"/>
          <w:szCs w:val="24"/>
          <w:lang w:eastAsia="zh-CN"/>
        </w:rPr>
        <w:t>结果、中标价</w:t>
      </w:r>
      <w:r>
        <w:rPr>
          <w:rFonts w:hint="eastAsia" w:asciiTheme="minorEastAsia" w:hAnsiTheme="minorEastAsia" w:eastAsiaTheme="minorEastAsia" w:cstheme="minorEastAsia"/>
          <w:color w:val="auto"/>
          <w:sz w:val="24"/>
          <w:szCs w:val="24"/>
        </w:rPr>
        <w:t>结合当月</w:t>
      </w:r>
      <w:r>
        <w:rPr>
          <w:rFonts w:hint="eastAsia" w:asciiTheme="minorEastAsia" w:hAnsiTheme="minorEastAsia" w:eastAsiaTheme="minorEastAsia" w:cstheme="minorEastAsia"/>
          <w:color w:val="auto"/>
          <w:sz w:val="24"/>
          <w:szCs w:val="24"/>
          <w:lang w:eastAsia="zh-CN"/>
        </w:rPr>
        <w:t>每餐</w:t>
      </w:r>
      <w:r>
        <w:rPr>
          <w:rFonts w:hint="eastAsia" w:asciiTheme="minorEastAsia" w:hAnsiTheme="minorEastAsia" w:eastAsiaTheme="minorEastAsia" w:cstheme="minorEastAsia"/>
          <w:color w:val="auto"/>
          <w:sz w:val="24"/>
          <w:szCs w:val="24"/>
        </w:rPr>
        <w:t>实际就餐人数支付托管费用。</w:t>
      </w:r>
      <w:r>
        <w:rPr>
          <w:rFonts w:hint="eastAsia" w:asciiTheme="minorEastAsia" w:hAnsiTheme="minorEastAsia" w:eastAsiaTheme="minorEastAsia" w:cstheme="minorEastAsia"/>
          <w:color w:val="auto"/>
          <w:sz w:val="24"/>
          <w:szCs w:val="24"/>
          <w:lang w:eastAsia="zh-CN"/>
        </w:rPr>
        <w:t>干部职工就餐按每餐就餐价格</w:t>
      </w:r>
      <w:r>
        <w:rPr>
          <w:rFonts w:hint="eastAsia" w:asciiTheme="minorEastAsia" w:hAnsiTheme="minorEastAsia" w:eastAsiaTheme="minorEastAsia" w:cstheme="minorEastAsia"/>
          <w:color w:val="auto"/>
          <w:sz w:val="24"/>
          <w:szCs w:val="24"/>
        </w:rPr>
        <w:t>，通过“智慧餐厅”系统</w:t>
      </w:r>
      <w:r>
        <w:rPr>
          <w:rFonts w:hint="eastAsia" w:asciiTheme="minorEastAsia" w:hAnsiTheme="minorEastAsia" w:eastAsiaTheme="minorEastAsia" w:cstheme="minorEastAsia"/>
          <w:color w:val="auto"/>
          <w:sz w:val="24"/>
          <w:szCs w:val="24"/>
          <w:lang w:eastAsia="zh-CN"/>
        </w:rPr>
        <w:t>支付就餐费用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各机关食堂通过“智慧餐厅”系统互联互通，服务保障范围内的干部职工可自主选择在各机关食堂就餐。</w:t>
      </w:r>
    </w:p>
    <w:p w14:paraId="19B70936">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乙方在集中办公区</w:t>
      </w:r>
      <w:r>
        <w:rPr>
          <w:rFonts w:hint="eastAsia" w:asciiTheme="minorEastAsia" w:hAnsiTheme="minorEastAsia" w:eastAsiaTheme="minorEastAsia" w:cstheme="minorEastAsia"/>
          <w:color w:val="auto"/>
          <w:sz w:val="24"/>
          <w:szCs w:val="24"/>
          <w:lang w:val="en-US" w:eastAsia="zh-CN"/>
        </w:rPr>
        <w:t>由甲方、分散办公区由丙方</w:t>
      </w:r>
      <w:r>
        <w:rPr>
          <w:rFonts w:hint="eastAsia" w:asciiTheme="minorEastAsia" w:hAnsiTheme="minorEastAsia" w:eastAsiaTheme="minorEastAsia" w:cstheme="minorEastAsia"/>
          <w:color w:val="auto"/>
          <w:sz w:val="24"/>
          <w:szCs w:val="24"/>
          <w:lang w:eastAsia="zh-CN"/>
        </w:rPr>
        <w:t>免费提供生产经营场地以及优惠政策前提下</w:t>
      </w:r>
      <w:r>
        <w:rPr>
          <w:rFonts w:hint="eastAsia" w:asciiTheme="minorEastAsia" w:hAnsiTheme="minorEastAsia" w:eastAsiaTheme="minorEastAsia" w:cstheme="minorEastAsia"/>
          <w:color w:val="auto"/>
          <w:sz w:val="24"/>
          <w:szCs w:val="24"/>
        </w:rPr>
        <w:t>实行自主经营，独立核算，自负盈亏。</w:t>
      </w: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在确保干部职工就餐需要的前提下，可</w:t>
      </w:r>
      <w:r>
        <w:rPr>
          <w:rFonts w:hint="eastAsia" w:asciiTheme="minorEastAsia" w:hAnsiTheme="minorEastAsia" w:eastAsiaTheme="minorEastAsia" w:cstheme="minorEastAsia"/>
          <w:color w:val="auto"/>
          <w:kern w:val="0"/>
          <w:sz w:val="24"/>
          <w:szCs w:val="24"/>
        </w:rPr>
        <w:t>利用节假日对外营业、承办婚宴，</w:t>
      </w:r>
      <w:r>
        <w:rPr>
          <w:rFonts w:hint="eastAsia" w:asciiTheme="minorEastAsia" w:hAnsiTheme="minorEastAsia" w:eastAsiaTheme="minorEastAsia" w:cstheme="minorEastAsia"/>
          <w:color w:val="auto"/>
          <w:sz w:val="24"/>
          <w:szCs w:val="24"/>
        </w:rPr>
        <w:t>也可对外销售</w:t>
      </w:r>
      <w:r>
        <w:rPr>
          <w:rFonts w:hint="eastAsia" w:asciiTheme="minorEastAsia" w:hAnsiTheme="minorEastAsia" w:eastAsiaTheme="minorEastAsia" w:cstheme="minorEastAsia"/>
          <w:color w:val="auto"/>
          <w:kern w:val="0"/>
          <w:sz w:val="24"/>
          <w:szCs w:val="24"/>
        </w:rPr>
        <w:t>加工熟食或举办超市</w:t>
      </w:r>
      <w:r>
        <w:rPr>
          <w:rFonts w:hint="eastAsia" w:asciiTheme="minorEastAsia" w:hAnsiTheme="minorEastAsia" w:eastAsiaTheme="minorEastAsia" w:cstheme="minorEastAsia"/>
          <w:color w:val="auto"/>
          <w:sz w:val="24"/>
          <w:szCs w:val="24"/>
        </w:rPr>
        <w:t>。</w:t>
      </w:r>
    </w:p>
    <w:p w14:paraId="74CE7F83">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集中办公区的由甲方、分散办公区的由丙方</w:t>
      </w:r>
      <w:r>
        <w:rPr>
          <w:rFonts w:hint="eastAsia" w:asciiTheme="minorEastAsia" w:hAnsiTheme="minorEastAsia" w:eastAsiaTheme="minorEastAsia" w:cstheme="minorEastAsia"/>
          <w:color w:val="auto"/>
          <w:sz w:val="24"/>
          <w:szCs w:val="24"/>
          <w:lang w:eastAsia="zh-CN"/>
        </w:rPr>
        <w:t>对乙方的生产经营实施日常监督、考核和管理，甲方</w:t>
      </w:r>
      <w:r>
        <w:rPr>
          <w:rFonts w:hint="eastAsia" w:asciiTheme="minorEastAsia" w:hAnsiTheme="minorEastAsia" w:eastAsiaTheme="minorEastAsia" w:cstheme="minorEastAsia"/>
          <w:color w:val="auto"/>
          <w:sz w:val="24"/>
          <w:szCs w:val="24"/>
          <w:lang w:val="en-US" w:eastAsia="zh-CN"/>
        </w:rPr>
        <w:t>按考核</w:t>
      </w:r>
      <w:r>
        <w:rPr>
          <w:rFonts w:hint="eastAsia" w:asciiTheme="minorEastAsia" w:hAnsiTheme="minorEastAsia" w:eastAsiaTheme="minorEastAsia" w:cstheme="minorEastAsia"/>
          <w:color w:val="auto"/>
          <w:sz w:val="24"/>
          <w:szCs w:val="24"/>
          <w:lang w:eastAsia="zh-CN"/>
        </w:rPr>
        <w:t>结果、中标价</w:t>
      </w:r>
      <w:r>
        <w:rPr>
          <w:rFonts w:hint="eastAsia" w:asciiTheme="minorEastAsia" w:hAnsiTheme="minorEastAsia" w:eastAsiaTheme="minorEastAsia" w:cstheme="minorEastAsia"/>
          <w:color w:val="auto"/>
          <w:sz w:val="24"/>
          <w:szCs w:val="24"/>
        </w:rPr>
        <w:t>结合当月</w:t>
      </w:r>
      <w:r>
        <w:rPr>
          <w:rFonts w:hint="eastAsia" w:asciiTheme="minorEastAsia" w:hAnsiTheme="minorEastAsia" w:eastAsiaTheme="minorEastAsia" w:cstheme="minorEastAsia"/>
          <w:color w:val="auto"/>
          <w:sz w:val="24"/>
          <w:szCs w:val="24"/>
          <w:lang w:eastAsia="zh-CN"/>
        </w:rPr>
        <w:t>每餐</w:t>
      </w:r>
      <w:r>
        <w:rPr>
          <w:rFonts w:hint="eastAsia" w:asciiTheme="minorEastAsia" w:hAnsiTheme="minorEastAsia" w:eastAsiaTheme="minorEastAsia" w:cstheme="minorEastAsia"/>
          <w:color w:val="auto"/>
          <w:sz w:val="24"/>
          <w:szCs w:val="24"/>
        </w:rPr>
        <w:t>实际就餐人数支付</w:t>
      </w:r>
      <w:r>
        <w:rPr>
          <w:rFonts w:hint="eastAsia" w:asciiTheme="minorEastAsia" w:hAnsiTheme="minorEastAsia" w:eastAsiaTheme="minorEastAsia" w:cstheme="minorEastAsia"/>
          <w:color w:val="auto"/>
          <w:sz w:val="24"/>
          <w:szCs w:val="24"/>
          <w:lang w:eastAsia="zh-CN"/>
        </w:rPr>
        <w:t>加减考核奖惩金额</w:t>
      </w:r>
      <w:r>
        <w:rPr>
          <w:rFonts w:hint="eastAsia" w:asciiTheme="minorEastAsia" w:hAnsiTheme="minorEastAsia" w:eastAsiaTheme="minorEastAsia" w:cstheme="minorEastAsia"/>
          <w:color w:val="auto"/>
          <w:sz w:val="24"/>
          <w:szCs w:val="24"/>
        </w:rPr>
        <w:t>托管费用。</w:t>
      </w:r>
    </w:p>
    <w:p w14:paraId="43564170">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baseline"/>
        <w:rPr>
          <w:rFonts w:hint="eastAsia" w:asciiTheme="minorEastAsia" w:hAnsiTheme="minorEastAsia" w:eastAsiaTheme="minorEastAsia" w:cstheme="minorEastAsia"/>
          <w:color w:val="auto"/>
          <w:spacing w:val="10"/>
          <w:sz w:val="24"/>
          <w:szCs w:val="24"/>
          <w:lang w:val="zh-CN"/>
        </w:rPr>
      </w:pPr>
      <w:r>
        <w:rPr>
          <w:rFonts w:hint="eastAsia" w:asciiTheme="minorEastAsia" w:hAnsiTheme="minorEastAsia" w:eastAsiaTheme="minorEastAsia" w:cstheme="minorEastAsia"/>
          <w:color w:val="auto"/>
          <w:spacing w:val="10"/>
          <w:sz w:val="24"/>
          <w:szCs w:val="24"/>
          <w:lang w:val="zh-CN" w:eastAsia="zh-CN"/>
        </w:rPr>
        <w:t>干部职工就餐个人支付部分，按每餐标准</w:t>
      </w:r>
      <w:r>
        <w:rPr>
          <w:rFonts w:hint="eastAsia" w:asciiTheme="minorEastAsia" w:hAnsiTheme="minorEastAsia" w:eastAsiaTheme="minorEastAsia" w:cstheme="minorEastAsia"/>
          <w:color w:val="auto"/>
          <w:spacing w:val="10"/>
          <w:sz w:val="24"/>
          <w:szCs w:val="24"/>
          <w:lang w:val="zh-CN"/>
        </w:rPr>
        <w:t>（不含托管费用），通过“智慧餐厅”系统，</w:t>
      </w:r>
      <w:r>
        <w:rPr>
          <w:rFonts w:hint="eastAsia" w:asciiTheme="minorEastAsia" w:hAnsiTheme="minorEastAsia" w:eastAsiaTheme="minorEastAsia" w:cstheme="minorEastAsia"/>
          <w:color w:val="auto"/>
          <w:spacing w:val="10"/>
          <w:sz w:val="24"/>
          <w:szCs w:val="24"/>
          <w:lang w:val="zh-CN" w:eastAsia="zh-CN"/>
        </w:rPr>
        <w:t>实时支付</w:t>
      </w:r>
      <w:r>
        <w:rPr>
          <w:rFonts w:hint="eastAsia" w:asciiTheme="minorEastAsia" w:hAnsiTheme="minorEastAsia" w:eastAsiaTheme="minorEastAsia" w:cstheme="minorEastAsia"/>
          <w:color w:val="auto"/>
          <w:spacing w:val="10"/>
          <w:sz w:val="24"/>
          <w:szCs w:val="24"/>
          <w:lang w:val="zh-CN"/>
        </w:rPr>
        <w:t>。</w:t>
      </w:r>
    </w:p>
    <w:p w14:paraId="4A8AAC53">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lang w:eastAsia="zh-CN"/>
        </w:rPr>
        <w:t>）费用承担</w:t>
      </w:r>
    </w:p>
    <w:p w14:paraId="736094A1">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集中办公区由甲方、分散办公区由丙方</w:t>
      </w:r>
      <w:r>
        <w:rPr>
          <w:rFonts w:hint="eastAsia" w:asciiTheme="minorEastAsia" w:hAnsiTheme="minorEastAsia" w:eastAsiaTheme="minorEastAsia" w:cstheme="minorEastAsia"/>
          <w:color w:val="auto"/>
          <w:sz w:val="24"/>
          <w:szCs w:val="24"/>
        </w:rPr>
        <w:t>免费为</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提供经营场所和设施、设备。</w:t>
      </w:r>
    </w:p>
    <w:p w14:paraId="185FDAD6">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2.餐厅所产生的水、电、气费用，</w:t>
      </w:r>
      <w:r>
        <w:rPr>
          <w:rFonts w:hint="eastAsia" w:asciiTheme="minorEastAsia" w:hAnsiTheme="minorEastAsia" w:eastAsiaTheme="minorEastAsia" w:cstheme="minorEastAsia"/>
          <w:color w:val="auto"/>
          <w:sz w:val="24"/>
          <w:szCs w:val="24"/>
          <w:lang w:val="en-US" w:eastAsia="zh-CN"/>
        </w:rPr>
        <w:t>集中办公区由甲方、分散办公区由丙方</w:t>
      </w:r>
      <w:r>
        <w:rPr>
          <w:rFonts w:hint="eastAsia" w:asciiTheme="minorEastAsia" w:hAnsiTheme="minorEastAsia" w:eastAsiaTheme="minorEastAsia" w:cstheme="minorEastAsia"/>
          <w:color w:val="auto"/>
          <w:sz w:val="24"/>
          <w:szCs w:val="24"/>
        </w:rPr>
        <w:t>免费承担95%、</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承担5%。</w:t>
      </w:r>
    </w:p>
    <w:p w14:paraId="2FA53821">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480" w:firstLineChars="200"/>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US" w:eastAsia="zh-CN"/>
        </w:rPr>
        <w:t>3.增购和更新餐具等低值易耗品费用：</w:t>
      </w: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u w:val="none" w:color="auto"/>
          <w:lang w:val="en-US" w:eastAsia="zh-CN"/>
        </w:rPr>
        <w:t>在一个合同期内，合同初期一个月，在餐厅现有餐具等低值易耗品存量基础上，根据需要，提出整体的配置计划，</w:t>
      </w:r>
      <w:r>
        <w:rPr>
          <w:rFonts w:hint="eastAsia" w:asciiTheme="minorEastAsia" w:hAnsiTheme="minorEastAsia" w:eastAsiaTheme="minorEastAsia" w:cstheme="minorEastAsia"/>
          <w:color w:val="auto"/>
          <w:sz w:val="24"/>
          <w:szCs w:val="24"/>
          <w:lang w:val="en-US" w:eastAsia="zh-CN"/>
        </w:rPr>
        <w:t>集中办公区由甲方、分散办公区由丙方</w:t>
      </w:r>
      <w:r>
        <w:rPr>
          <w:rFonts w:hint="eastAsia" w:asciiTheme="minorEastAsia" w:hAnsiTheme="minorEastAsia" w:eastAsiaTheme="minorEastAsia" w:cstheme="minorEastAsia"/>
          <w:color w:val="auto"/>
          <w:sz w:val="24"/>
          <w:szCs w:val="24"/>
          <w:u w:val="none" w:color="auto"/>
          <w:lang w:val="en-US" w:eastAsia="zh-CN"/>
        </w:rPr>
        <w:t>审核后，</w:t>
      </w:r>
      <w:r>
        <w:rPr>
          <w:rFonts w:hint="eastAsia" w:asciiTheme="minorEastAsia" w:hAnsiTheme="minorEastAsia" w:eastAsiaTheme="minorEastAsia" w:cstheme="minorEastAsia"/>
          <w:color w:val="auto"/>
          <w:sz w:val="24"/>
          <w:szCs w:val="24"/>
          <w:lang w:val="en-US" w:eastAsia="zh-CN"/>
        </w:rPr>
        <w:t>集中办公区由甲方、分散办公区由丙方</w:t>
      </w:r>
      <w:r>
        <w:rPr>
          <w:rFonts w:hint="eastAsia" w:asciiTheme="minorEastAsia" w:hAnsiTheme="minorEastAsia" w:eastAsiaTheme="minorEastAsia" w:cstheme="minorEastAsia"/>
          <w:color w:val="auto"/>
          <w:sz w:val="24"/>
          <w:szCs w:val="24"/>
          <w:u w:val="none" w:color="auto"/>
          <w:lang w:val="en-US" w:eastAsia="zh-CN"/>
        </w:rPr>
        <w:t>依据审定的更新计划进行采购，</w:t>
      </w:r>
      <w:r>
        <w:rPr>
          <w:rFonts w:hint="eastAsia" w:asciiTheme="minorEastAsia" w:hAnsiTheme="minorEastAsia" w:eastAsiaTheme="minorEastAsia" w:cstheme="minorEastAsia"/>
          <w:color w:val="auto"/>
          <w:sz w:val="24"/>
          <w:szCs w:val="24"/>
          <w:lang w:val="en-US" w:eastAsia="zh-CN"/>
        </w:rPr>
        <w:t>集中办公区由甲方、分散办公区由丙方</w:t>
      </w:r>
      <w:r>
        <w:rPr>
          <w:rFonts w:hint="eastAsia" w:asciiTheme="minorEastAsia" w:hAnsiTheme="minorEastAsia" w:eastAsiaTheme="minorEastAsia" w:cstheme="minorEastAsia"/>
          <w:color w:val="auto"/>
          <w:sz w:val="24"/>
          <w:szCs w:val="24"/>
          <w:u w:val="none" w:color="auto"/>
          <w:lang w:val="en-US" w:eastAsia="zh-CN"/>
        </w:rPr>
        <w:t>承担；后期在实际使用过程中，按照交旧换新原则，由乙方负责更新，费用由乙方承担，</w:t>
      </w:r>
      <w:r>
        <w:rPr>
          <w:rFonts w:hint="eastAsia" w:asciiTheme="minorEastAsia" w:hAnsiTheme="minorEastAsia" w:eastAsiaTheme="minorEastAsia" w:cstheme="minorEastAsia"/>
          <w:color w:val="auto"/>
          <w:sz w:val="24"/>
          <w:szCs w:val="24"/>
          <w:lang w:val="en-US" w:eastAsia="zh-CN"/>
        </w:rPr>
        <w:t>集中办公区报甲方、分散办公区报丙方</w:t>
      </w:r>
      <w:r>
        <w:rPr>
          <w:rFonts w:hint="eastAsia" w:asciiTheme="minorEastAsia" w:hAnsiTheme="minorEastAsia" w:eastAsiaTheme="minorEastAsia" w:cstheme="minorEastAsia"/>
          <w:color w:val="auto"/>
          <w:sz w:val="24"/>
          <w:szCs w:val="24"/>
          <w:u w:val="none" w:color="auto"/>
          <w:lang w:val="en-US" w:eastAsia="zh-CN"/>
        </w:rPr>
        <w:t>备案。经营过程中，如原有餐具用具不能满足需要，需要增加配置的，</w:t>
      </w:r>
      <w:r>
        <w:rPr>
          <w:rFonts w:hint="eastAsia" w:asciiTheme="minorEastAsia" w:hAnsiTheme="minorEastAsia" w:eastAsiaTheme="minorEastAsia" w:cstheme="minorEastAsia"/>
          <w:color w:val="auto"/>
          <w:sz w:val="24"/>
          <w:szCs w:val="24"/>
          <w:lang w:val="en-US" w:eastAsia="zh-CN"/>
        </w:rPr>
        <w:t>集中办公区由甲方、分散办公区由丙方</w:t>
      </w:r>
      <w:r>
        <w:rPr>
          <w:rFonts w:hint="eastAsia" w:asciiTheme="minorEastAsia" w:hAnsiTheme="minorEastAsia" w:eastAsiaTheme="minorEastAsia" w:cstheme="minorEastAsia"/>
          <w:color w:val="auto"/>
          <w:sz w:val="24"/>
          <w:szCs w:val="24"/>
          <w:u w:val="none" w:color="auto"/>
          <w:lang w:val="en-US" w:eastAsia="zh-CN"/>
        </w:rPr>
        <w:t>负责配置，费用</w:t>
      </w:r>
      <w:r>
        <w:rPr>
          <w:rFonts w:hint="eastAsia" w:asciiTheme="minorEastAsia" w:hAnsiTheme="minorEastAsia" w:eastAsiaTheme="minorEastAsia" w:cstheme="minorEastAsia"/>
          <w:color w:val="auto"/>
          <w:sz w:val="24"/>
          <w:szCs w:val="24"/>
          <w:lang w:val="en-US" w:eastAsia="zh-CN"/>
        </w:rPr>
        <w:t>集中办公区由甲方、分散办公区由丙方</w:t>
      </w:r>
      <w:r>
        <w:rPr>
          <w:rFonts w:hint="eastAsia" w:asciiTheme="minorEastAsia" w:hAnsiTheme="minorEastAsia" w:eastAsiaTheme="minorEastAsia" w:cstheme="minorEastAsia"/>
          <w:color w:val="auto"/>
          <w:sz w:val="24"/>
          <w:szCs w:val="24"/>
          <w:u w:val="none" w:color="auto"/>
          <w:lang w:val="en-US" w:eastAsia="zh-CN"/>
        </w:rPr>
        <w:t>承担。接待用餐的餐具、消毒柜以及餐桌（椅）及其台布及饰品由</w:t>
      </w:r>
      <w:r>
        <w:rPr>
          <w:rFonts w:hint="eastAsia" w:asciiTheme="minorEastAsia" w:hAnsiTheme="minorEastAsia" w:eastAsiaTheme="minorEastAsia" w:cstheme="minorEastAsia"/>
          <w:color w:val="auto"/>
          <w:sz w:val="24"/>
          <w:szCs w:val="24"/>
          <w:lang w:val="en-US" w:eastAsia="zh-CN"/>
        </w:rPr>
        <w:t>集中办公区由甲方、分散办公区由丙方</w:t>
      </w:r>
      <w:r>
        <w:rPr>
          <w:rFonts w:hint="eastAsia" w:asciiTheme="minorEastAsia" w:hAnsiTheme="minorEastAsia" w:eastAsiaTheme="minorEastAsia" w:cstheme="minorEastAsia"/>
          <w:color w:val="auto"/>
          <w:sz w:val="24"/>
          <w:szCs w:val="24"/>
          <w:u w:val="none" w:color="auto"/>
          <w:lang w:val="en-US" w:eastAsia="zh-CN"/>
        </w:rPr>
        <w:t>采购，清洗费由乙方承担。</w:t>
      </w:r>
    </w:p>
    <w:p w14:paraId="2CD07C70">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.除上述以外的</w:t>
      </w:r>
      <w:r>
        <w:rPr>
          <w:rFonts w:hint="eastAsia" w:asciiTheme="minorEastAsia" w:hAnsiTheme="minorEastAsia" w:eastAsiaTheme="minorEastAsia" w:cstheme="minorEastAsia"/>
          <w:color w:val="auto"/>
          <w:sz w:val="24"/>
          <w:szCs w:val="24"/>
          <w:u w:val="none" w:color="auto"/>
          <w:lang w:val="en-US" w:eastAsia="zh-CN"/>
        </w:rPr>
        <w:t>在经营过程中使用的食材、调味用品以及清洁剂、消毒剂、杀虫剂、扫帚、拖把、抹布、钢丝球、手纸、口巾、湿巾、手套、口罩、卫生球等</w:t>
      </w:r>
      <w:r>
        <w:rPr>
          <w:rFonts w:hint="eastAsia" w:asciiTheme="minorEastAsia" w:hAnsiTheme="minorEastAsia" w:eastAsiaTheme="minorEastAsia" w:cstheme="minorEastAsia"/>
          <w:color w:val="auto"/>
          <w:sz w:val="24"/>
          <w:szCs w:val="24"/>
        </w:rPr>
        <w:t>一切</w:t>
      </w:r>
      <w:r>
        <w:rPr>
          <w:rFonts w:hint="eastAsia" w:asciiTheme="minorEastAsia" w:hAnsiTheme="minorEastAsia" w:eastAsiaTheme="minorEastAsia" w:cstheme="minorEastAsia"/>
          <w:color w:val="auto"/>
          <w:sz w:val="24"/>
          <w:szCs w:val="24"/>
          <w:lang w:eastAsia="zh-CN"/>
        </w:rPr>
        <w:t>事项及</w:t>
      </w:r>
      <w:r>
        <w:rPr>
          <w:rFonts w:hint="eastAsia" w:asciiTheme="minorEastAsia" w:hAnsiTheme="minorEastAsia" w:eastAsiaTheme="minorEastAsia" w:cstheme="minorEastAsia"/>
          <w:color w:val="auto"/>
          <w:sz w:val="24"/>
          <w:szCs w:val="24"/>
        </w:rPr>
        <w:t>费用均由</w:t>
      </w: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u w:val="none" w:color="auto"/>
          <w:lang w:val="en-US" w:eastAsia="zh-CN"/>
        </w:rPr>
        <w:t>采购和</w:t>
      </w:r>
      <w:r>
        <w:rPr>
          <w:rFonts w:hint="eastAsia" w:asciiTheme="minorEastAsia" w:hAnsiTheme="minorEastAsia" w:eastAsiaTheme="minorEastAsia" w:cstheme="minorEastAsia"/>
          <w:color w:val="auto"/>
          <w:sz w:val="24"/>
          <w:szCs w:val="24"/>
        </w:rPr>
        <w:t>承担。</w:t>
      </w:r>
    </w:p>
    <w:p w14:paraId="2BEA12AE">
      <w:pPr>
        <w:pStyle w:val="10"/>
        <w:keepNext w:val="0"/>
        <w:keepLines w:val="0"/>
        <w:pageBreakBefore w:val="0"/>
        <w:widowControl w:val="0"/>
        <w:kinsoku/>
        <w:wordWrap/>
        <w:overflowPunct/>
        <w:topLinePunct w:val="0"/>
        <w:autoSpaceDE/>
        <w:autoSpaceDN/>
        <w:bidi w:val="0"/>
        <w:adjustRightInd/>
        <w:snapToGrid/>
        <w:spacing w:afterLines="0" w:line="56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5.经营过程中，产生的消防安全、食品安全措施（除基础设施设备外），措施费用由乙方承担。</w:t>
      </w:r>
    </w:p>
    <w:p w14:paraId="4ABBEF5B">
      <w:pPr>
        <w:pStyle w:val="10"/>
        <w:keepNext w:val="0"/>
        <w:keepLines w:val="0"/>
        <w:pageBreakBefore w:val="0"/>
        <w:widowControl w:val="0"/>
        <w:kinsoku/>
        <w:wordWrap/>
        <w:overflowPunct/>
        <w:topLinePunct w:val="0"/>
        <w:autoSpaceDE/>
        <w:autoSpaceDN/>
        <w:bidi w:val="0"/>
        <w:adjustRightInd/>
        <w:snapToGrid/>
        <w:spacing w:afterLines="0"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6.6.厨房</w:t>
      </w:r>
      <w:r>
        <w:rPr>
          <w:rFonts w:hint="eastAsia" w:asciiTheme="minorEastAsia" w:hAnsiTheme="minorEastAsia" w:eastAsiaTheme="minorEastAsia" w:cstheme="minorEastAsia"/>
          <w:sz w:val="24"/>
          <w:szCs w:val="24"/>
        </w:rPr>
        <w:t>设施设备维修维护工作</w:t>
      </w:r>
      <w:r>
        <w:rPr>
          <w:rFonts w:hint="eastAsia" w:asciiTheme="minorEastAsia" w:hAnsiTheme="minorEastAsia" w:eastAsiaTheme="minorEastAsia" w:cstheme="minorEastAsia"/>
          <w:sz w:val="24"/>
          <w:szCs w:val="24"/>
          <w:lang w:eastAsia="zh-CN"/>
        </w:rPr>
        <w:t>，集中办公区的</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eastAsia="zh-CN"/>
        </w:rPr>
        <w:t>甲方、分散办公区的由丙方</w:t>
      </w:r>
      <w:r>
        <w:rPr>
          <w:rFonts w:hint="eastAsia" w:asciiTheme="minorEastAsia" w:hAnsiTheme="minorEastAsia" w:eastAsiaTheme="minorEastAsia" w:cstheme="minorEastAsia"/>
          <w:sz w:val="24"/>
          <w:szCs w:val="24"/>
        </w:rPr>
        <w:t>组织实施，其中，厨房设施更换零配件费用</w:t>
      </w:r>
      <w:r>
        <w:rPr>
          <w:rFonts w:hint="eastAsia" w:asciiTheme="minorEastAsia" w:hAnsiTheme="minorEastAsia" w:eastAsiaTheme="minorEastAsia" w:cstheme="minorEastAsia"/>
          <w:sz w:val="24"/>
          <w:szCs w:val="24"/>
          <w:lang w:eastAsia="zh-CN"/>
        </w:rPr>
        <w:t>，集中办公区的</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eastAsia="zh-CN"/>
        </w:rPr>
        <w:t>甲方、分散办公区的由丙方</w:t>
      </w:r>
      <w:r>
        <w:rPr>
          <w:rFonts w:hint="eastAsia" w:asciiTheme="minorEastAsia" w:hAnsiTheme="minorEastAsia" w:eastAsiaTheme="minorEastAsia" w:cstheme="minorEastAsia"/>
          <w:sz w:val="24"/>
          <w:szCs w:val="24"/>
        </w:rPr>
        <w:t>承担80%</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承担20%。</w:t>
      </w:r>
    </w:p>
    <w:p w14:paraId="2F71C16E">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lang w:eastAsia="zh-CN"/>
        </w:rPr>
        <w:t>用餐模式</w:t>
      </w:r>
    </w:p>
    <w:p w14:paraId="259B8BDC">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干部职工餐厅，三餐均供应自助餐。并搭配羊肉面、南泥湾香菇面、老胡家肉夹馍、驴肉盖米饭、小炒肉盖米饭等延安地方特色美食。</w:t>
      </w:r>
    </w:p>
    <w:p w14:paraId="4F38DAFC">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lang w:eastAsia="zh-CN"/>
        </w:rPr>
        <w:t>用餐标准</w:t>
      </w:r>
    </w:p>
    <w:p w14:paraId="60C53793">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乙方供应的</w:t>
      </w:r>
      <w:r>
        <w:rPr>
          <w:rFonts w:hint="eastAsia" w:asciiTheme="minorEastAsia" w:hAnsiTheme="minorEastAsia" w:eastAsiaTheme="minorEastAsia" w:cstheme="minorEastAsia"/>
          <w:color w:val="auto"/>
          <w:sz w:val="24"/>
          <w:szCs w:val="24"/>
        </w:rPr>
        <w:t>每周食谱不得重复，每天食谱要严格按配伍禁忌要求科学</w:t>
      </w:r>
      <w:r>
        <w:rPr>
          <w:rFonts w:hint="eastAsia" w:asciiTheme="minorEastAsia" w:hAnsiTheme="minorEastAsia" w:eastAsiaTheme="minorEastAsia" w:cstheme="minorEastAsia"/>
          <w:color w:val="auto"/>
          <w:sz w:val="24"/>
          <w:szCs w:val="24"/>
          <w:lang w:eastAsia="zh-CN"/>
        </w:rPr>
        <w:t>营养</w:t>
      </w:r>
      <w:r>
        <w:rPr>
          <w:rFonts w:hint="eastAsia" w:asciiTheme="minorEastAsia" w:hAnsiTheme="minorEastAsia" w:eastAsiaTheme="minorEastAsia" w:cstheme="minorEastAsia"/>
          <w:color w:val="auto"/>
          <w:sz w:val="24"/>
          <w:szCs w:val="24"/>
        </w:rPr>
        <w:t>搭配。每餐要新鲜可口、花样翻新、营养搭配好，做到基本上满足就餐人员需求。</w:t>
      </w: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需提前一周安排下一周食谱，由</w:t>
      </w: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的营养师</w:t>
      </w:r>
      <w:r>
        <w:rPr>
          <w:rFonts w:hint="eastAsia" w:asciiTheme="minorEastAsia" w:hAnsiTheme="minorEastAsia" w:eastAsiaTheme="minorEastAsia" w:cstheme="minorEastAsia"/>
          <w:color w:val="auto"/>
          <w:sz w:val="24"/>
          <w:szCs w:val="24"/>
          <w:lang w:eastAsia="zh-CN"/>
        </w:rPr>
        <w:t>审核</w:t>
      </w:r>
      <w:r>
        <w:rPr>
          <w:rFonts w:hint="eastAsia" w:asciiTheme="minorEastAsia" w:hAnsiTheme="minorEastAsia" w:eastAsiaTheme="minorEastAsia" w:cstheme="minorEastAsia"/>
          <w:color w:val="auto"/>
          <w:sz w:val="24"/>
          <w:szCs w:val="24"/>
        </w:rPr>
        <w:t>签字盖章，</w:t>
      </w:r>
      <w:r>
        <w:rPr>
          <w:rFonts w:hint="eastAsia" w:asciiTheme="minorEastAsia" w:hAnsiTheme="minorEastAsia" w:eastAsiaTheme="minorEastAsia" w:cstheme="minorEastAsia"/>
          <w:color w:val="auto"/>
          <w:sz w:val="24"/>
          <w:szCs w:val="24"/>
          <w:lang w:val="en-US" w:eastAsia="zh-CN"/>
        </w:rPr>
        <w:t>集中办公区报甲方、分散办公区报丙方</w:t>
      </w:r>
      <w:r>
        <w:rPr>
          <w:rFonts w:hint="eastAsia" w:asciiTheme="minorEastAsia" w:hAnsiTheme="minorEastAsia" w:eastAsiaTheme="minorEastAsia" w:cstheme="minorEastAsia"/>
          <w:color w:val="auto"/>
          <w:sz w:val="24"/>
          <w:szCs w:val="24"/>
        </w:rPr>
        <w:t>审核后实施。</w:t>
      </w:r>
    </w:p>
    <w:p w14:paraId="2A262C5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实物标准</w:t>
      </w:r>
    </w:p>
    <w:p w14:paraId="0D5EAA4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（1）厅级餐厅（仅限为民服务中心）</w:t>
      </w:r>
    </w:p>
    <w:p w14:paraId="361EF5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早餐：共24个品种，其中2种开胃小菜，4种凉菜，4种热菜，3种主食，2种稀饭，2种点心，2种小吃，1种堂作，2种水果，纯牛奶，鸡蛋。</w:t>
      </w:r>
    </w:p>
    <w:p w14:paraId="1C6C071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午餐：共24个品种，其中2种开胃小菜，4种凉菜，6种热菜（3荤3素），3种主食，2种小吃，1种杂粮，1种堂作，2种汤，2种水果，酸奶。</w:t>
      </w:r>
    </w:p>
    <w:p w14:paraId="2385DB9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晚餐：共17个品种，其中4种凉菜，4种热菜，2种主食，2种小吃，1种杂粮，1种稀饭，2种水果，酸奶。</w:t>
      </w:r>
    </w:p>
    <w:p w14:paraId="1B6B07C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（2）县级餐厅（仅限集中办公区）</w:t>
      </w:r>
    </w:p>
    <w:p w14:paraId="2F423FE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早餐：共18个品种，其中1种开胃小菜，2种凉菜，4种热菜，3种主食（2种包子荤素），2种稀饭，1种小吃，1种堂作，1种油炸，1种水果，酸奶，鸡蛋（煮或煎）。</w:t>
      </w:r>
    </w:p>
    <w:p w14:paraId="769A619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午餐：共22个品种，其中2种凉菜，6种热菜（3荤3素，其中1种纯肉菜），4种主食（馍、花卷、饼子、米饭），1种面食（现煮），2种杂粮，2种小吃，1种蒸菜，2种汤（稀饭和汤），2种水果（冬季1种）。</w:t>
      </w:r>
    </w:p>
    <w:p w14:paraId="4FEFE18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晚餐：共13个品种，其中2种凉菜，4种热菜（2荤2素），2种主食（馍、米饭可炒），1种面食，2种小吃，1种稀饭，1种水果。</w:t>
      </w:r>
    </w:p>
    <w:p w14:paraId="039D4D0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（3）干部职工餐厅</w:t>
      </w:r>
    </w:p>
    <w:p w14:paraId="0417CD6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早餐：共16个品种，其中2种凉菜，3种热菜，3种主食（馍、花卷、包子），1种杂粮，1种小吃，1种油炸，2种稀饭，豆浆，1种面食，鸡蛋。</w:t>
      </w:r>
    </w:p>
    <w:p w14:paraId="14B4A41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午餐：共18个品种，其中2种凉菜，6种热菜（3荤3素，其中一个纯肉菜），3种主食（馍、米饭、饼子），1种杂粮，2种小吃，1种面食，2种汤（稀饭和汤），1种水果。</w:t>
      </w:r>
    </w:p>
    <w:p w14:paraId="48BFF86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晚餐：共11个品种，其中2种凉菜，3种热菜，2种主食（馍、米饭），2种小吃，1种面食，1种稀饭。</w:t>
      </w:r>
    </w:p>
    <w:p w14:paraId="731FC775">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2.价格标准</w:t>
      </w:r>
    </w:p>
    <w:p w14:paraId="3E498119">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（1）就餐价格</w:t>
      </w:r>
    </w:p>
    <w:p w14:paraId="5B42A93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厅级餐厅，早餐5元、午餐9元、晚餐6元；</w:t>
      </w:r>
    </w:p>
    <w:p w14:paraId="1083270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县级餐厅，早餐4元、午餐9元、晚餐6元；</w:t>
      </w:r>
    </w:p>
    <w:p w14:paraId="018C7A7E">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干部职工餐厅，早餐3元、午餐8元、晚餐5元；</w:t>
      </w:r>
    </w:p>
    <w:p w14:paraId="2F5ADD3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以上餐厅就餐人员再次消费的，按照每餐销售单价加上变动托管费中标价结算。</w:t>
      </w:r>
    </w:p>
    <w:p w14:paraId="466928EE">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（2）托管费用。为乙方的投标报价（每餐托管费单价和年固定劳务补助）。</w:t>
      </w:r>
    </w:p>
    <w:p w14:paraId="1904DF2D">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（3）公务用餐。执行公务用餐有关规定。</w:t>
      </w:r>
      <w:r>
        <w:rPr>
          <w:rFonts w:hint="eastAsia" w:asciiTheme="minorEastAsia" w:hAnsiTheme="minorEastAsia" w:eastAsiaTheme="minorEastAsia" w:cstheme="minorEastAsia"/>
          <w:color w:val="auto"/>
          <w:sz w:val="24"/>
          <w:szCs w:val="24"/>
          <w:lang w:eastAsia="zh-CN"/>
        </w:rPr>
        <w:t>各入驻单位来客在干部职工自助餐厅就餐且无提高标准要求的，按照每餐就餐价加上相应托管费中标单价</w:t>
      </w:r>
      <w:r>
        <w:rPr>
          <w:rFonts w:hint="eastAsia" w:asciiTheme="minorEastAsia" w:hAnsiTheme="minorEastAsia" w:eastAsiaTheme="minorEastAsia" w:cstheme="minorEastAsia"/>
          <w:color w:val="auto"/>
          <w:sz w:val="24"/>
          <w:szCs w:val="24"/>
        </w:rPr>
        <w:t>用POS机</w:t>
      </w:r>
      <w:r>
        <w:rPr>
          <w:rFonts w:hint="eastAsia" w:asciiTheme="minorEastAsia" w:hAnsiTheme="minorEastAsia" w:eastAsiaTheme="minorEastAsia" w:cstheme="minorEastAsia"/>
          <w:color w:val="auto"/>
          <w:sz w:val="24"/>
          <w:szCs w:val="24"/>
          <w:lang w:eastAsia="zh-CN"/>
        </w:rPr>
        <w:t>或“二维码”</w:t>
      </w:r>
      <w:r>
        <w:rPr>
          <w:rFonts w:hint="eastAsia" w:asciiTheme="minorEastAsia" w:hAnsiTheme="minorEastAsia" w:eastAsiaTheme="minorEastAsia" w:cstheme="minorEastAsia"/>
          <w:color w:val="auto"/>
          <w:sz w:val="24"/>
          <w:szCs w:val="24"/>
        </w:rPr>
        <w:t>结算，由</w:t>
      </w: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出具餐饮发票</w:t>
      </w:r>
      <w:r>
        <w:rPr>
          <w:rFonts w:hint="eastAsia" w:asciiTheme="minorEastAsia" w:hAnsiTheme="minorEastAsia" w:eastAsiaTheme="minorEastAsia" w:cstheme="minorEastAsia"/>
          <w:color w:val="auto"/>
          <w:sz w:val="24"/>
          <w:szCs w:val="24"/>
          <w:lang w:eastAsia="zh-CN"/>
        </w:rPr>
        <w:t>。公务餐改革政策出台后，按照改革政策要求执行</w:t>
      </w:r>
      <w:r>
        <w:rPr>
          <w:rFonts w:hint="eastAsia" w:asciiTheme="minorEastAsia" w:hAnsiTheme="minorEastAsia" w:eastAsiaTheme="minorEastAsia" w:cstheme="minorEastAsia"/>
          <w:color w:val="auto"/>
          <w:sz w:val="24"/>
          <w:szCs w:val="24"/>
        </w:rPr>
        <w:t>。</w:t>
      </w:r>
    </w:p>
    <w:p w14:paraId="61DD9F51">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lang w:val="zh-CN" w:eastAsia="zh-CN"/>
        </w:rPr>
        <w:t>）开餐时间</w:t>
      </w: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857"/>
        <w:gridCol w:w="1643"/>
        <w:gridCol w:w="1730"/>
        <w:gridCol w:w="2030"/>
      </w:tblGrid>
      <w:tr w14:paraId="6EE2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0" w:type="dxa"/>
            <w:vAlign w:val="center"/>
          </w:tcPr>
          <w:p w14:paraId="3331F7E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标段</w:t>
            </w:r>
          </w:p>
        </w:tc>
        <w:tc>
          <w:tcPr>
            <w:tcW w:w="2857" w:type="dxa"/>
            <w:vAlign w:val="center"/>
          </w:tcPr>
          <w:p w14:paraId="76C8DE2B">
            <w:pPr>
              <w:keepNext w:val="0"/>
              <w:keepLines w:val="0"/>
              <w:pageBreakBefore w:val="0"/>
              <w:widowControl w:val="0"/>
              <w:kinsoku/>
              <w:wordWrap/>
              <w:overflowPunct/>
              <w:topLinePunct w:val="0"/>
              <w:autoSpaceDE w:val="0"/>
              <w:autoSpaceDN w:val="0"/>
              <w:bidi w:val="0"/>
              <w:adjustRightInd w:val="0"/>
              <w:snapToGrid/>
              <w:spacing w:line="400" w:lineRule="exact"/>
              <w:ind w:firstLine="960" w:firstLineChars="4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位置</w:t>
            </w:r>
          </w:p>
        </w:tc>
        <w:tc>
          <w:tcPr>
            <w:tcW w:w="1643" w:type="dxa"/>
            <w:vAlign w:val="center"/>
          </w:tcPr>
          <w:p w14:paraId="628CE707">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早餐时间</w:t>
            </w:r>
          </w:p>
        </w:tc>
        <w:tc>
          <w:tcPr>
            <w:tcW w:w="1730" w:type="dxa"/>
            <w:vAlign w:val="center"/>
          </w:tcPr>
          <w:p w14:paraId="7242C5EE">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午餐时间</w:t>
            </w:r>
          </w:p>
        </w:tc>
        <w:tc>
          <w:tcPr>
            <w:tcW w:w="2030" w:type="dxa"/>
            <w:vAlign w:val="center"/>
          </w:tcPr>
          <w:p w14:paraId="1D416385">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晚餐时间</w:t>
            </w:r>
          </w:p>
        </w:tc>
      </w:tr>
      <w:tr w14:paraId="1786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40" w:type="dxa"/>
            <w:vMerge w:val="restart"/>
            <w:vAlign w:val="center"/>
          </w:tcPr>
          <w:p w14:paraId="4788C4E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集中办公区</w:t>
            </w:r>
          </w:p>
        </w:tc>
        <w:tc>
          <w:tcPr>
            <w:tcW w:w="2857" w:type="dxa"/>
            <w:vAlign w:val="center"/>
          </w:tcPr>
          <w:p w14:paraId="1C9EE39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为民服务中心机关食堂</w:t>
            </w:r>
          </w:p>
        </w:tc>
        <w:tc>
          <w:tcPr>
            <w:tcW w:w="1643" w:type="dxa"/>
            <w:vAlign w:val="center"/>
          </w:tcPr>
          <w:p w14:paraId="36C5873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7:00-9:00</w:t>
            </w:r>
          </w:p>
        </w:tc>
        <w:tc>
          <w:tcPr>
            <w:tcW w:w="1730" w:type="dxa"/>
            <w:vAlign w:val="center"/>
          </w:tcPr>
          <w:p w14:paraId="480DF28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11:40-13:00</w:t>
            </w:r>
          </w:p>
        </w:tc>
        <w:tc>
          <w:tcPr>
            <w:tcW w:w="2030" w:type="dxa"/>
            <w:vAlign w:val="center"/>
          </w:tcPr>
          <w:p w14:paraId="6D0121B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17:00-18:00</w:t>
            </w:r>
          </w:p>
        </w:tc>
      </w:tr>
      <w:tr w14:paraId="6246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0" w:type="dxa"/>
            <w:vMerge w:val="continue"/>
            <w:vAlign w:val="center"/>
          </w:tcPr>
          <w:p w14:paraId="2ECDAEA9">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857" w:type="dxa"/>
            <w:vAlign w:val="center"/>
          </w:tcPr>
          <w:p w14:paraId="1AF9F82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新洲小镇机关食堂</w:t>
            </w:r>
          </w:p>
        </w:tc>
        <w:tc>
          <w:tcPr>
            <w:tcW w:w="1643" w:type="dxa"/>
            <w:vAlign w:val="center"/>
          </w:tcPr>
          <w:p w14:paraId="1F9DB84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7:30-8:50</w:t>
            </w:r>
          </w:p>
        </w:tc>
        <w:tc>
          <w:tcPr>
            <w:tcW w:w="1730" w:type="dxa"/>
            <w:vAlign w:val="center"/>
          </w:tcPr>
          <w:p w14:paraId="442E047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11:40-13:00</w:t>
            </w:r>
          </w:p>
        </w:tc>
        <w:tc>
          <w:tcPr>
            <w:tcW w:w="2030" w:type="dxa"/>
            <w:vAlign w:val="center"/>
          </w:tcPr>
          <w:p w14:paraId="19C0EC0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17:00-18:00</w:t>
            </w:r>
          </w:p>
        </w:tc>
      </w:tr>
      <w:tr w14:paraId="34BB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0" w:type="dxa"/>
            <w:vMerge w:val="restart"/>
            <w:vAlign w:val="center"/>
          </w:tcPr>
          <w:p w14:paraId="0003405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分散办公区</w:t>
            </w:r>
          </w:p>
        </w:tc>
        <w:tc>
          <w:tcPr>
            <w:tcW w:w="2857" w:type="dxa"/>
            <w:vAlign w:val="center"/>
          </w:tcPr>
          <w:p w14:paraId="20F030F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市公安局机关食堂</w:t>
            </w:r>
          </w:p>
        </w:tc>
        <w:tc>
          <w:tcPr>
            <w:tcW w:w="1643" w:type="dxa"/>
            <w:vMerge w:val="restart"/>
            <w:vAlign w:val="center"/>
          </w:tcPr>
          <w:p w14:paraId="28E6C17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rPr>
            </w:pPr>
            <w:r>
              <w:rPr>
                <w:rFonts w:hint="eastAsia" w:asciiTheme="minorEastAsia" w:hAnsiTheme="minorEastAsia" w:eastAsiaTheme="minorEastAsia" w:cstheme="minorEastAsia"/>
                <w:color w:val="auto"/>
                <w:sz w:val="24"/>
                <w:szCs w:val="24"/>
              </w:rPr>
              <w:t>7:00—8:00</w:t>
            </w:r>
          </w:p>
        </w:tc>
        <w:tc>
          <w:tcPr>
            <w:tcW w:w="1730" w:type="dxa"/>
            <w:vMerge w:val="restart"/>
            <w:vAlign w:val="center"/>
          </w:tcPr>
          <w:p w14:paraId="4A061E5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rPr>
            </w:pPr>
            <w:r>
              <w:rPr>
                <w:rFonts w:hint="eastAsia" w:asciiTheme="minorEastAsia" w:hAnsiTheme="minorEastAsia" w:eastAsiaTheme="minorEastAsia" w:cstheme="minorEastAsia"/>
                <w:color w:val="auto"/>
                <w:sz w:val="24"/>
                <w:szCs w:val="24"/>
              </w:rPr>
              <w:t>11:40—13:00</w:t>
            </w:r>
          </w:p>
        </w:tc>
        <w:tc>
          <w:tcPr>
            <w:tcW w:w="2030" w:type="dxa"/>
            <w:vMerge w:val="restart"/>
            <w:vAlign w:val="center"/>
          </w:tcPr>
          <w:p w14:paraId="3F11912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rPr>
            </w:pPr>
            <w:r>
              <w:rPr>
                <w:rFonts w:hint="eastAsia" w:asciiTheme="minorEastAsia" w:hAnsiTheme="minorEastAsia" w:eastAsiaTheme="minorEastAsia" w:cstheme="minorEastAsia"/>
                <w:color w:val="auto"/>
                <w:sz w:val="24"/>
                <w:szCs w:val="24"/>
              </w:rPr>
              <w:t>17:40—19:00</w:t>
            </w:r>
          </w:p>
        </w:tc>
      </w:tr>
      <w:tr w14:paraId="77DF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3088948F">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857" w:type="dxa"/>
            <w:vAlign w:val="center"/>
          </w:tcPr>
          <w:p w14:paraId="13BFDBB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r>
              <w:rPr>
                <w:rFonts w:hint="eastAsia" w:asciiTheme="minorEastAsia" w:hAnsiTheme="minorEastAsia" w:eastAsiaTheme="minorEastAsia" w:cstheme="minorEastAsia"/>
                <w:b w:val="0"/>
                <w:bCs w:val="0"/>
                <w:color w:val="auto"/>
                <w:sz w:val="24"/>
                <w:szCs w:val="24"/>
                <w:vertAlign w:val="baseline"/>
                <w:lang w:val="en-US" w:eastAsia="zh-CN"/>
              </w:rPr>
              <w:t>市检察院机关食堂</w:t>
            </w:r>
          </w:p>
        </w:tc>
        <w:tc>
          <w:tcPr>
            <w:tcW w:w="1643" w:type="dxa"/>
            <w:vMerge w:val="continue"/>
            <w:vAlign w:val="center"/>
          </w:tcPr>
          <w:p w14:paraId="31BD699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c>
          <w:tcPr>
            <w:tcW w:w="1730" w:type="dxa"/>
            <w:vMerge w:val="continue"/>
            <w:vAlign w:val="center"/>
          </w:tcPr>
          <w:p w14:paraId="72B1A80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c>
          <w:tcPr>
            <w:tcW w:w="2030" w:type="dxa"/>
            <w:vMerge w:val="continue"/>
            <w:vAlign w:val="center"/>
          </w:tcPr>
          <w:p w14:paraId="701F34D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r>
      <w:tr w14:paraId="7518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2E15694B">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857" w:type="dxa"/>
            <w:vAlign w:val="center"/>
          </w:tcPr>
          <w:p w14:paraId="434B62D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r>
              <w:rPr>
                <w:rFonts w:hint="eastAsia" w:asciiTheme="minorEastAsia" w:hAnsiTheme="minorEastAsia" w:eastAsiaTheme="minorEastAsia" w:cstheme="minorEastAsia"/>
                <w:b w:val="0"/>
                <w:bCs w:val="0"/>
                <w:color w:val="auto"/>
                <w:sz w:val="24"/>
                <w:szCs w:val="24"/>
                <w:vertAlign w:val="baseline"/>
                <w:lang w:val="en-US" w:eastAsia="zh-CN"/>
              </w:rPr>
              <w:t>市法院机关食堂</w:t>
            </w:r>
          </w:p>
        </w:tc>
        <w:tc>
          <w:tcPr>
            <w:tcW w:w="1643" w:type="dxa"/>
            <w:vMerge w:val="continue"/>
            <w:vAlign w:val="center"/>
          </w:tcPr>
          <w:p w14:paraId="24B3369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c>
          <w:tcPr>
            <w:tcW w:w="1730" w:type="dxa"/>
            <w:vMerge w:val="continue"/>
            <w:vAlign w:val="center"/>
          </w:tcPr>
          <w:p w14:paraId="624A4A8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c>
          <w:tcPr>
            <w:tcW w:w="2030" w:type="dxa"/>
            <w:vMerge w:val="continue"/>
            <w:vAlign w:val="center"/>
          </w:tcPr>
          <w:p w14:paraId="7C4A9DC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r>
      <w:tr w14:paraId="2DC8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45E3228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857" w:type="dxa"/>
            <w:vAlign w:val="center"/>
          </w:tcPr>
          <w:p w14:paraId="71E1C82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r>
              <w:rPr>
                <w:rFonts w:hint="eastAsia" w:asciiTheme="minorEastAsia" w:hAnsiTheme="minorEastAsia" w:eastAsiaTheme="minorEastAsia" w:cstheme="minorEastAsia"/>
                <w:b w:val="0"/>
                <w:bCs w:val="0"/>
                <w:color w:val="auto"/>
                <w:sz w:val="24"/>
                <w:szCs w:val="24"/>
                <w:vertAlign w:val="baseline"/>
                <w:lang w:val="en-US" w:eastAsia="zh-CN"/>
              </w:rPr>
              <w:t>市司法局机关食堂</w:t>
            </w:r>
          </w:p>
        </w:tc>
        <w:tc>
          <w:tcPr>
            <w:tcW w:w="1643" w:type="dxa"/>
            <w:vMerge w:val="continue"/>
            <w:vAlign w:val="center"/>
          </w:tcPr>
          <w:p w14:paraId="7806E63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730" w:type="dxa"/>
            <w:vMerge w:val="continue"/>
            <w:vAlign w:val="center"/>
          </w:tcPr>
          <w:p w14:paraId="1E05580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030" w:type="dxa"/>
            <w:vMerge w:val="continue"/>
            <w:vAlign w:val="center"/>
          </w:tcPr>
          <w:p w14:paraId="31FCC3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sz w:val="24"/>
                <w:szCs w:val="24"/>
              </w:rPr>
            </w:pPr>
          </w:p>
        </w:tc>
      </w:tr>
    </w:tbl>
    <w:p w14:paraId="79EBC7E5">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eastAsia="zh-CN"/>
        </w:rPr>
        <w:t>就</w:t>
      </w:r>
      <w:r>
        <w:rPr>
          <w:rFonts w:hint="eastAsia" w:asciiTheme="minorEastAsia" w:hAnsiTheme="minorEastAsia" w:eastAsiaTheme="minorEastAsia" w:cstheme="minorEastAsia"/>
          <w:color w:val="auto"/>
          <w:sz w:val="24"/>
          <w:szCs w:val="24"/>
        </w:rPr>
        <w:t>餐时间</w:t>
      </w:r>
      <w:r>
        <w:rPr>
          <w:rFonts w:hint="eastAsia" w:asciiTheme="minorEastAsia" w:hAnsiTheme="minorEastAsia" w:eastAsiaTheme="minorEastAsia" w:cstheme="minorEastAsia"/>
          <w:color w:val="auto"/>
          <w:sz w:val="24"/>
          <w:szCs w:val="24"/>
          <w:lang w:eastAsia="zh-CN"/>
        </w:rPr>
        <w:t>如有调整，</w:t>
      </w:r>
      <w:r>
        <w:rPr>
          <w:rFonts w:hint="eastAsia" w:asciiTheme="minorEastAsia" w:hAnsiTheme="minorEastAsia" w:eastAsiaTheme="minorEastAsia" w:cstheme="minorEastAsia"/>
          <w:color w:val="auto"/>
          <w:sz w:val="24"/>
          <w:szCs w:val="24"/>
          <w:lang w:val="en-US" w:eastAsia="zh-CN"/>
        </w:rPr>
        <w:t>按照集中办公区按甲方、分散办公区按丙方</w:t>
      </w:r>
      <w:r>
        <w:rPr>
          <w:rFonts w:hint="eastAsia" w:asciiTheme="minorEastAsia" w:hAnsiTheme="minorEastAsia" w:eastAsiaTheme="minorEastAsia" w:cstheme="minorEastAsia"/>
          <w:color w:val="auto"/>
          <w:sz w:val="24"/>
          <w:szCs w:val="24"/>
        </w:rPr>
        <w:t>通知要求</w:t>
      </w:r>
      <w:r>
        <w:rPr>
          <w:rFonts w:hint="eastAsia" w:asciiTheme="minorEastAsia" w:hAnsiTheme="minorEastAsia" w:eastAsiaTheme="minorEastAsia" w:cstheme="minorEastAsia"/>
          <w:color w:val="auto"/>
          <w:sz w:val="24"/>
          <w:szCs w:val="24"/>
          <w:lang w:eastAsia="zh-CN"/>
        </w:rPr>
        <w:t>执行。</w:t>
      </w:r>
      <w:r>
        <w:rPr>
          <w:rFonts w:hint="eastAsia" w:asciiTheme="minorEastAsia" w:hAnsiTheme="minorEastAsia" w:eastAsiaTheme="minorEastAsia" w:cstheme="minorEastAsia"/>
          <w:color w:val="auto"/>
          <w:sz w:val="24"/>
          <w:szCs w:val="24"/>
        </w:rPr>
        <w:t>节假日期间，</w:t>
      </w:r>
      <w:r>
        <w:rPr>
          <w:rFonts w:hint="eastAsia" w:asciiTheme="minorEastAsia" w:hAnsiTheme="minorEastAsia" w:eastAsiaTheme="minorEastAsia" w:cstheme="minorEastAsia"/>
          <w:color w:val="auto"/>
          <w:sz w:val="24"/>
          <w:szCs w:val="24"/>
          <w:lang w:eastAsia="zh-CN"/>
        </w:rPr>
        <w:t>开设值班餐厅</w:t>
      </w:r>
      <w:r>
        <w:rPr>
          <w:rFonts w:hint="eastAsia" w:asciiTheme="minorEastAsia" w:hAnsiTheme="minorEastAsia" w:eastAsiaTheme="minorEastAsia" w:cstheme="minorEastAsia"/>
          <w:color w:val="auto"/>
          <w:sz w:val="24"/>
          <w:szCs w:val="24"/>
        </w:rPr>
        <w:t>。餐厅如有接待任务，须做好保障服务</w:t>
      </w:r>
      <w:r>
        <w:rPr>
          <w:rFonts w:hint="eastAsia" w:asciiTheme="minorEastAsia" w:hAnsiTheme="minorEastAsia" w:eastAsiaTheme="minorEastAsia" w:cstheme="minorEastAsia"/>
          <w:color w:val="auto"/>
          <w:sz w:val="24"/>
          <w:szCs w:val="24"/>
          <w:lang w:eastAsia="zh-CN"/>
        </w:rPr>
        <w:t>。</w:t>
      </w:r>
    </w:p>
    <w:p w14:paraId="1A845C2D">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（七）服务期限</w:t>
      </w:r>
    </w:p>
    <w:p w14:paraId="3F81B1EA">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合同签订之日起两年。合同期首年经考核达到合同约定标准的，合同顺延；未达到合同约定标准的，首年期满后合同自动解除。</w:t>
      </w:r>
    </w:p>
    <w:p w14:paraId="3F3DE7CC">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（八）服务措施</w:t>
      </w:r>
    </w:p>
    <w:p w14:paraId="42CBAE6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eastAsiaTheme="minorEastAsia" w:cstheme="minorEastAsia"/>
          <w:color w:val="auto"/>
          <w:sz w:val="24"/>
          <w:szCs w:val="24"/>
          <w:lang w:val="zh-CN" w:eastAsia="zh-CN"/>
        </w:rPr>
        <w:t>必须保证委托经营管理质量和交货时间，不得擅自改变委托经营管理要求。所有经营管理内容给予保密，不得外泄。</w:t>
      </w: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eastAsiaTheme="minorEastAsia" w:cstheme="minorEastAsia"/>
          <w:color w:val="auto"/>
          <w:sz w:val="24"/>
          <w:szCs w:val="24"/>
          <w:lang w:val="zh-CN" w:eastAsia="zh-CN"/>
        </w:rPr>
        <w:t>应对上述服务进行承诺，认真履行，如违反服务承诺将取消中标资格。</w:t>
      </w:r>
    </w:p>
    <w:p w14:paraId="3A640AAE">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（九）托管要求</w:t>
      </w:r>
    </w:p>
    <w:p w14:paraId="60C86040">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vertAlign w:val="baseline"/>
          <w:lang w:eastAsia="zh-CN"/>
        </w:rPr>
      </w:pP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必须严格遵守</w:t>
      </w:r>
      <w:r>
        <w:rPr>
          <w:rFonts w:hint="eastAsia" w:asciiTheme="minorEastAsia" w:hAnsiTheme="minorEastAsia" w:eastAsiaTheme="minorEastAsia" w:cstheme="minorEastAsia"/>
          <w:color w:val="auto"/>
          <w:sz w:val="24"/>
          <w:szCs w:val="24"/>
          <w:lang w:val="en-US" w:eastAsia="zh-CN"/>
        </w:rPr>
        <w:t>《中华人民共和国食品安全法》《中华人民共和国反食品浪费法》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中华人民共和国环境保护法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《餐饮服务食品安全监督管理办法》《陕西省机关食堂反食品浪费工作成效评价标准》</w:t>
      </w:r>
      <w:r>
        <w:rPr>
          <w:rFonts w:hint="eastAsia" w:asciiTheme="minorEastAsia" w:hAnsiTheme="minorEastAsia" w:eastAsiaTheme="minorEastAsia" w:cstheme="minorEastAsia"/>
          <w:color w:val="auto"/>
          <w:sz w:val="24"/>
          <w:szCs w:val="24"/>
        </w:rPr>
        <w:t>和有关集体用餐卫生管理等相关规定。</w:t>
      </w:r>
      <w:r>
        <w:rPr>
          <w:rFonts w:hint="eastAsia" w:asciiTheme="minorEastAsia" w:hAnsiTheme="minorEastAsia" w:eastAsiaTheme="minorEastAsia" w:cstheme="minorEastAsia"/>
          <w:color w:val="auto"/>
          <w:sz w:val="24"/>
          <w:szCs w:val="24"/>
          <w:lang w:eastAsia="zh-CN"/>
        </w:rPr>
        <w:t>必须严格按照（</w:t>
      </w:r>
      <w:r>
        <w:rPr>
          <w:rFonts w:hint="eastAsia" w:asciiTheme="minorEastAsia" w:hAnsiTheme="minorEastAsia" w:eastAsiaTheme="minorEastAsia" w:cstheme="minorEastAsia"/>
          <w:color w:val="auto"/>
          <w:sz w:val="24"/>
          <w:szCs w:val="24"/>
          <w:lang w:val="en-US" w:eastAsia="zh-CN"/>
        </w:rPr>
        <w:t>GB/T19001－2016/ISO9001：2015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餐饮服务类质量管理体系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ISO22000：2018</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食品安全管理体系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GB/T45001－2020/ISO45001：2018</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职业健康安全管理体系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GB/T24001－2016/ISO14001：2015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餐饮服务类环境管理体系认证</w:t>
      </w:r>
      <w:r>
        <w:rPr>
          <w:rFonts w:hint="eastAsia" w:asciiTheme="minorEastAsia" w:hAnsiTheme="minorEastAsia" w:eastAsiaTheme="minorEastAsia" w:cstheme="minorEastAsia"/>
          <w:color w:val="auto"/>
          <w:sz w:val="24"/>
          <w:szCs w:val="24"/>
          <w:lang w:eastAsia="zh-CN"/>
        </w:rPr>
        <w:t>标准组织生产经营活动。</w:t>
      </w:r>
      <w:r>
        <w:rPr>
          <w:rFonts w:hint="eastAsia" w:asciiTheme="minorEastAsia" w:hAnsiTheme="minorEastAsia" w:eastAsiaTheme="minorEastAsia" w:cstheme="minorEastAsia"/>
          <w:color w:val="auto"/>
          <w:sz w:val="24"/>
          <w:szCs w:val="24"/>
        </w:rPr>
        <w:t>严格遵守</w:t>
      </w:r>
      <w:r>
        <w:rPr>
          <w:rFonts w:hint="eastAsia" w:asciiTheme="minorEastAsia" w:hAnsiTheme="minorEastAsia" w:eastAsiaTheme="minorEastAsia" w:cstheme="minorEastAsia"/>
          <w:color w:val="auto"/>
          <w:sz w:val="24"/>
          <w:szCs w:val="24"/>
          <w:lang w:val="en-US" w:eastAsia="zh-CN"/>
        </w:rPr>
        <w:t>甲方、丙方的使用方</w:t>
      </w:r>
      <w:r>
        <w:rPr>
          <w:rFonts w:hint="eastAsia" w:asciiTheme="minorEastAsia" w:hAnsiTheme="minorEastAsia" w:eastAsiaTheme="minorEastAsia" w:cstheme="minorEastAsia"/>
          <w:color w:val="auto"/>
          <w:sz w:val="24"/>
          <w:szCs w:val="24"/>
        </w:rPr>
        <w:t>规章制度并自觉接受机关干部职工对餐厅饭菜、服务质量的监督和评估。合同期内，餐厅的消防</w:t>
      </w:r>
      <w:r>
        <w:rPr>
          <w:rFonts w:hint="eastAsia" w:asciiTheme="minorEastAsia" w:hAnsiTheme="minorEastAsia" w:eastAsiaTheme="minorEastAsia" w:cstheme="minorEastAsia"/>
          <w:color w:val="auto"/>
          <w:sz w:val="24"/>
          <w:szCs w:val="24"/>
          <w:lang w:eastAsia="zh-CN"/>
        </w:rPr>
        <w:t>安全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食品</w:t>
      </w:r>
      <w:r>
        <w:rPr>
          <w:rFonts w:hint="eastAsia" w:asciiTheme="minorEastAsia" w:hAnsiTheme="minorEastAsia" w:eastAsiaTheme="minorEastAsia" w:cstheme="minorEastAsia"/>
          <w:color w:val="auto"/>
          <w:sz w:val="24"/>
          <w:szCs w:val="24"/>
        </w:rPr>
        <w:t>安全、</w:t>
      </w:r>
      <w:r>
        <w:rPr>
          <w:rFonts w:hint="eastAsia" w:asciiTheme="minorEastAsia" w:hAnsiTheme="minorEastAsia" w:eastAsiaTheme="minorEastAsia" w:cstheme="minorEastAsia"/>
          <w:color w:val="auto"/>
          <w:sz w:val="24"/>
          <w:szCs w:val="24"/>
          <w:lang w:eastAsia="zh-CN"/>
        </w:rPr>
        <w:t>食品和环境</w:t>
      </w:r>
      <w:r>
        <w:rPr>
          <w:rFonts w:hint="eastAsia" w:asciiTheme="minorEastAsia" w:hAnsiTheme="minorEastAsia" w:eastAsiaTheme="minorEastAsia" w:cstheme="minorEastAsia"/>
          <w:color w:val="auto"/>
          <w:sz w:val="24"/>
          <w:szCs w:val="24"/>
        </w:rPr>
        <w:t>卫生、环境建设由</w:t>
      </w: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负责</w:t>
      </w:r>
      <w:r>
        <w:rPr>
          <w:rFonts w:hint="eastAsia" w:asciiTheme="minorEastAsia" w:hAnsiTheme="minorEastAsia" w:eastAsiaTheme="minorEastAsia" w:cstheme="minorEastAsia"/>
          <w:color w:val="auto"/>
          <w:sz w:val="24"/>
          <w:szCs w:val="24"/>
          <w:lang w:eastAsia="zh-CN"/>
        </w:rPr>
        <w:t>，在职责范围内履行反食品浪费、创建健康餐厅、创建安全文明餐厅等职责。</w:t>
      </w:r>
    </w:p>
    <w:p w14:paraId="4A8E951E">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US" w:eastAsia="zh-CN"/>
        </w:rPr>
        <w:t>1.人员配备及管理：乙方必须按照《餐厅定岗定员一览表》配足配齐配优各餐厅从业人员，</w:t>
      </w:r>
      <w:r>
        <w:rPr>
          <w:rFonts w:hint="eastAsia" w:asciiTheme="minorEastAsia" w:hAnsiTheme="minorEastAsia" w:eastAsiaTheme="minorEastAsia" w:cstheme="minorEastAsia"/>
          <w:color w:val="auto"/>
          <w:sz w:val="24"/>
          <w:szCs w:val="24"/>
          <w:lang w:val="en-US" w:eastAsia="zh-CN"/>
        </w:rPr>
        <w:t>集中办公区报甲方、分散办公区报丙方</w:t>
      </w:r>
      <w:r>
        <w:rPr>
          <w:rFonts w:hint="eastAsia" w:asciiTheme="minorEastAsia" w:hAnsiTheme="minorEastAsia" w:eastAsiaTheme="minorEastAsia" w:cstheme="minorEastAsia"/>
          <w:color w:val="auto"/>
          <w:sz w:val="24"/>
          <w:szCs w:val="24"/>
          <w:u w:val="none" w:color="auto"/>
          <w:lang w:val="en-US" w:eastAsia="zh-CN"/>
        </w:rPr>
        <w:t>备案。</w:t>
      </w:r>
      <w:r>
        <w:rPr>
          <w:rFonts w:hint="eastAsia" w:asciiTheme="minorEastAsia" w:hAnsiTheme="minorEastAsia" w:eastAsiaTheme="minorEastAsia" w:cstheme="minorEastAsia"/>
          <w:color w:val="auto"/>
          <w:sz w:val="24"/>
          <w:szCs w:val="24"/>
          <w:u w:val="none" w:color="auto"/>
        </w:rPr>
        <w:t>所有工作人员必须持有效的健康证</w:t>
      </w:r>
      <w:r>
        <w:rPr>
          <w:rFonts w:hint="eastAsia" w:asciiTheme="minorEastAsia" w:hAnsiTheme="minorEastAsia" w:eastAsia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sz w:val="24"/>
          <w:szCs w:val="24"/>
          <w:u w:val="none" w:color="auto"/>
          <w:lang w:val="en-US" w:eastAsia="zh-CN"/>
        </w:rPr>
        <w:t>提供无犯罪记录证明</w:t>
      </w:r>
      <w:r>
        <w:rPr>
          <w:rFonts w:hint="eastAsia" w:asciiTheme="minorEastAsia" w:hAnsiTheme="minorEastAsia" w:eastAsiaTheme="minorEastAsia" w:cstheme="minorEastAsia"/>
          <w:color w:val="auto"/>
          <w:sz w:val="24"/>
          <w:szCs w:val="24"/>
          <w:u w:val="none" w:color="auto"/>
        </w:rPr>
        <w:t>方能上岗</w:t>
      </w:r>
      <w:r>
        <w:rPr>
          <w:rFonts w:hint="eastAsia" w:asciiTheme="minorEastAsia" w:hAnsiTheme="minorEastAsia" w:eastAsiaTheme="minorEastAsia" w:cstheme="minorEastAsia"/>
          <w:color w:val="auto"/>
          <w:sz w:val="24"/>
          <w:szCs w:val="24"/>
          <w:u w:val="none" w:color="auto"/>
          <w:lang w:eastAsia="zh-CN"/>
        </w:rPr>
        <w:t>。厨师、营</w:t>
      </w:r>
      <w:r>
        <w:rPr>
          <w:rFonts w:hint="eastAsia" w:asciiTheme="minorEastAsia" w:hAnsiTheme="minorEastAsia" w:eastAsiaTheme="minorEastAsia" w:cstheme="minorEastAsia"/>
          <w:color w:val="auto"/>
          <w:sz w:val="24"/>
          <w:szCs w:val="24"/>
          <w:u w:val="none" w:color="auto"/>
          <w:lang w:val="en-US" w:eastAsia="zh-CN"/>
        </w:rPr>
        <w:t>养师、</w:t>
      </w:r>
      <w:r>
        <w:rPr>
          <w:rFonts w:hint="eastAsia" w:asciiTheme="minorEastAsia" w:hAnsiTheme="minorEastAsia" w:eastAsiaTheme="minorEastAsia" w:cstheme="minorEastAsia"/>
          <w:color w:val="auto"/>
          <w:sz w:val="24"/>
          <w:szCs w:val="24"/>
          <w:u w:val="none" w:color="auto"/>
          <w:lang w:eastAsia="zh-CN"/>
        </w:rPr>
        <w:t>安全员须持</w:t>
      </w:r>
      <w:r>
        <w:rPr>
          <w:rFonts w:hint="eastAsia" w:asciiTheme="minorEastAsia" w:hAnsiTheme="minorEastAsia" w:eastAsiaTheme="minorEastAsia" w:cstheme="minorEastAsia"/>
          <w:color w:val="auto"/>
          <w:sz w:val="24"/>
          <w:szCs w:val="24"/>
          <w:u w:val="none" w:color="auto"/>
          <w:lang w:val="en-US" w:eastAsia="zh-CN"/>
        </w:rPr>
        <w:t>有相应的劳动技能等级证或证书。</w:t>
      </w:r>
      <w:r>
        <w:rPr>
          <w:rFonts w:hint="eastAsia" w:asciiTheme="minorEastAsia" w:hAnsiTheme="minorEastAsia" w:eastAsiaTheme="minorEastAsia" w:cstheme="minorEastAsia"/>
          <w:b w:val="0"/>
          <w:bCs w:val="0"/>
          <w:color w:val="auto"/>
          <w:kern w:val="0"/>
          <w:sz w:val="24"/>
          <w:szCs w:val="24"/>
          <w:lang w:val="en-US" w:eastAsia="zh-CN" w:bidi="ar"/>
        </w:rPr>
        <w:t>实际驻场的经理或总管（厨师长）具有营养师资格证的，可兼职负责本项目的营养膳食工作。前厅服务人员年龄不超过45岁，其他人员年龄，男的不超过55岁、女的不超过50岁。乙方必须对新进服务人员进行培训考核，在确认其具备基本的服务礼仪和能力时方可安排岗位，每季度至少对服务人员培训1次，并留存培训内容待查；厨师每季度采用“走出去或请进来”进行厨艺交流学习，提高技能水平。</w:t>
      </w:r>
      <w:r>
        <w:rPr>
          <w:rFonts w:hint="eastAsia" w:asciiTheme="minorEastAsia" w:hAnsiTheme="minorEastAsia" w:eastAsiaTheme="minorEastAsia" w:cstheme="minorEastAsia"/>
          <w:color w:val="auto"/>
          <w:sz w:val="24"/>
          <w:szCs w:val="24"/>
          <w:u w:val="none" w:color="auto"/>
          <w:lang w:val="en-US" w:eastAsia="zh-CN"/>
        </w:rPr>
        <w:t>应配备专业财务人员，指定专人负责在每月月初及时办理上月营业收入支付手续。严格落实员工备案制，及时向</w:t>
      </w:r>
      <w:r>
        <w:rPr>
          <w:rFonts w:hint="eastAsia" w:asciiTheme="minorEastAsia" w:hAnsiTheme="minorEastAsia" w:eastAsiaTheme="minorEastAsia" w:cstheme="minorEastAsia"/>
          <w:color w:val="auto"/>
          <w:sz w:val="24"/>
          <w:szCs w:val="24"/>
          <w:lang w:val="en-US" w:eastAsia="zh-CN"/>
        </w:rPr>
        <w:t>集中办公区报甲方、分散办公区报丙方</w:t>
      </w:r>
      <w:r>
        <w:rPr>
          <w:rFonts w:hint="eastAsia" w:asciiTheme="minorEastAsia" w:hAnsiTheme="minorEastAsia" w:eastAsiaTheme="minorEastAsia" w:cstheme="minorEastAsia"/>
          <w:color w:val="auto"/>
          <w:sz w:val="24"/>
          <w:szCs w:val="24"/>
          <w:u w:val="none" w:color="auto"/>
          <w:lang w:val="en-US" w:eastAsia="zh-CN"/>
        </w:rPr>
        <w:t>员工基本情况和人员变动情况。要严格落实国家关于支付劳动报酬的有关政策，按月向员工及时足额支付工资。</w:t>
      </w:r>
    </w:p>
    <w:p w14:paraId="5D3CA815">
      <w:pPr>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560" w:lineRule="exact"/>
        <w:ind w:left="210" w:leftChars="100" w:right="210" w:rightChars="100" w:firstLine="2400" w:firstLineChars="1000"/>
        <w:jc w:val="both"/>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US" w:eastAsia="zh-CN"/>
        </w:rPr>
        <w:t>餐厅定岗定员一览表</w:t>
      </w:r>
    </w:p>
    <w:p w14:paraId="762023B7">
      <w:pPr>
        <w:keepNext w:val="0"/>
        <w:keepLines w:val="0"/>
        <w:pageBreakBefore w:val="0"/>
        <w:widowControl w:val="0"/>
        <w:numPr>
          <w:ilvl w:val="0"/>
          <w:numId w:val="0"/>
        </w:numPr>
        <w:wordWrap/>
        <w:overflowPunct/>
        <w:topLinePunct w:val="0"/>
        <w:autoSpaceDE w:val="0"/>
        <w:autoSpaceDN w:val="0"/>
        <w:bidi w:val="0"/>
        <w:adjustRightInd w:val="0"/>
        <w:spacing w:line="560" w:lineRule="exact"/>
        <w:ind w:firstLine="240" w:firstLineChars="1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（1）集中办公区：</w:t>
      </w:r>
    </w:p>
    <w:tbl>
      <w:tblPr>
        <w:tblStyle w:val="23"/>
        <w:tblpPr w:leftFromText="180" w:rightFromText="180" w:vertAnchor="text" w:horzAnchor="page" w:tblpX="1725" w:tblpY="10"/>
        <w:tblOverlap w:val="never"/>
        <w:tblW w:w="47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880"/>
        <w:gridCol w:w="1080"/>
        <w:gridCol w:w="1010"/>
        <w:gridCol w:w="990"/>
        <w:gridCol w:w="980"/>
        <w:gridCol w:w="1000"/>
        <w:gridCol w:w="1140"/>
      </w:tblGrid>
      <w:tr w14:paraId="6182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vMerge w:val="restart"/>
            <w:noWrap w:val="0"/>
            <w:vAlign w:val="center"/>
          </w:tcPr>
          <w:p w14:paraId="3287E65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人员配置</w:t>
            </w:r>
          </w:p>
        </w:tc>
        <w:tc>
          <w:tcPr>
            <w:tcW w:w="479" w:type="pct"/>
            <w:vMerge w:val="restart"/>
            <w:noWrap w:val="0"/>
            <w:vAlign w:val="center"/>
          </w:tcPr>
          <w:p w14:paraId="1AE92BA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新洲小镇</w:t>
            </w:r>
          </w:p>
        </w:tc>
        <w:tc>
          <w:tcPr>
            <w:tcW w:w="3378" w:type="pct"/>
            <w:gridSpan w:val="6"/>
            <w:noWrap w:val="0"/>
            <w:vAlign w:val="center"/>
          </w:tcPr>
          <w:p w14:paraId="799C72A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为民服务中心</w:t>
            </w:r>
          </w:p>
        </w:tc>
      </w:tr>
      <w:tr w14:paraId="13E5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vMerge w:val="continue"/>
            <w:noWrap w:val="0"/>
            <w:vAlign w:val="center"/>
          </w:tcPr>
          <w:p w14:paraId="0ABC103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479" w:type="pct"/>
            <w:vMerge w:val="continue"/>
            <w:noWrap w:val="0"/>
            <w:vAlign w:val="center"/>
          </w:tcPr>
          <w:p w14:paraId="2E854BB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p>
        </w:tc>
        <w:tc>
          <w:tcPr>
            <w:tcW w:w="588" w:type="pct"/>
            <w:noWrap w:val="0"/>
            <w:vAlign w:val="center"/>
          </w:tcPr>
          <w:p w14:paraId="0FAABBC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1号</w:t>
            </w:r>
          </w:p>
        </w:tc>
        <w:tc>
          <w:tcPr>
            <w:tcW w:w="550" w:type="pct"/>
            <w:noWrap w:val="0"/>
            <w:vAlign w:val="center"/>
          </w:tcPr>
          <w:p w14:paraId="7A68A87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6号</w:t>
            </w:r>
          </w:p>
        </w:tc>
        <w:tc>
          <w:tcPr>
            <w:tcW w:w="539" w:type="pct"/>
            <w:noWrap w:val="0"/>
            <w:vAlign w:val="center"/>
          </w:tcPr>
          <w:p w14:paraId="622BDBD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2号</w:t>
            </w:r>
          </w:p>
        </w:tc>
        <w:tc>
          <w:tcPr>
            <w:tcW w:w="533" w:type="pct"/>
            <w:noWrap w:val="0"/>
            <w:vAlign w:val="center"/>
          </w:tcPr>
          <w:p w14:paraId="6DF764F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4号</w:t>
            </w:r>
          </w:p>
        </w:tc>
        <w:tc>
          <w:tcPr>
            <w:tcW w:w="544" w:type="pct"/>
            <w:noWrap w:val="0"/>
            <w:vAlign w:val="center"/>
          </w:tcPr>
          <w:p w14:paraId="0ED8B31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5号</w:t>
            </w:r>
          </w:p>
        </w:tc>
        <w:tc>
          <w:tcPr>
            <w:tcW w:w="621" w:type="pct"/>
            <w:noWrap w:val="0"/>
            <w:vAlign w:val="center"/>
          </w:tcPr>
          <w:p w14:paraId="1C6850F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3号</w:t>
            </w:r>
          </w:p>
        </w:tc>
      </w:tr>
      <w:tr w14:paraId="7D9A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6D07F1E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经理</w:t>
            </w:r>
          </w:p>
        </w:tc>
        <w:tc>
          <w:tcPr>
            <w:tcW w:w="479" w:type="pct"/>
            <w:vMerge w:val="restart"/>
            <w:noWrap w:val="0"/>
            <w:vAlign w:val="center"/>
          </w:tcPr>
          <w:p w14:paraId="5F0B009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3378" w:type="pct"/>
            <w:gridSpan w:val="6"/>
            <w:noWrap w:val="0"/>
            <w:vAlign w:val="center"/>
          </w:tcPr>
          <w:p w14:paraId="1880502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2067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0D9DFB5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总管（厨师长）</w:t>
            </w:r>
          </w:p>
        </w:tc>
        <w:tc>
          <w:tcPr>
            <w:tcW w:w="479" w:type="pct"/>
            <w:vMerge w:val="continue"/>
            <w:noWrap w:val="0"/>
            <w:vAlign w:val="center"/>
          </w:tcPr>
          <w:p w14:paraId="25C2AC3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588" w:type="pct"/>
            <w:noWrap w:val="0"/>
            <w:vAlign w:val="center"/>
          </w:tcPr>
          <w:p w14:paraId="3FEF663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50" w:type="pct"/>
            <w:noWrap w:val="0"/>
            <w:vAlign w:val="center"/>
          </w:tcPr>
          <w:p w14:paraId="14AA343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9" w:type="pct"/>
            <w:noWrap w:val="0"/>
            <w:vAlign w:val="center"/>
          </w:tcPr>
          <w:p w14:paraId="5B3F97A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19917C8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38D3701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03A0C17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7CB9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4CC7B8F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前厅（服务员）</w:t>
            </w:r>
          </w:p>
        </w:tc>
        <w:tc>
          <w:tcPr>
            <w:tcW w:w="479" w:type="pct"/>
            <w:noWrap w:val="0"/>
            <w:vAlign w:val="center"/>
          </w:tcPr>
          <w:p w14:paraId="6981AE0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5</w:t>
            </w:r>
          </w:p>
        </w:tc>
        <w:tc>
          <w:tcPr>
            <w:tcW w:w="588" w:type="pct"/>
            <w:noWrap w:val="0"/>
            <w:vAlign w:val="center"/>
          </w:tcPr>
          <w:p w14:paraId="154E296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9</w:t>
            </w:r>
          </w:p>
        </w:tc>
        <w:tc>
          <w:tcPr>
            <w:tcW w:w="550" w:type="pct"/>
            <w:noWrap w:val="0"/>
            <w:vAlign w:val="center"/>
          </w:tcPr>
          <w:p w14:paraId="69D58E3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6</w:t>
            </w:r>
          </w:p>
        </w:tc>
        <w:tc>
          <w:tcPr>
            <w:tcW w:w="539" w:type="pct"/>
            <w:noWrap w:val="0"/>
            <w:vAlign w:val="center"/>
          </w:tcPr>
          <w:p w14:paraId="23F16FA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533" w:type="pct"/>
            <w:noWrap w:val="0"/>
            <w:vAlign w:val="center"/>
          </w:tcPr>
          <w:p w14:paraId="310A788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544" w:type="pct"/>
            <w:noWrap w:val="0"/>
            <w:vAlign w:val="center"/>
          </w:tcPr>
          <w:p w14:paraId="750D792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621" w:type="pct"/>
            <w:noWrap w:val="0"/>
            <w:vAlign w:val="center"/>
          </w:tcPr>
          <w:p w14:paraId="2360B4C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r>
      <w:tr w14:paraId="1E06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41D64BC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凉菜（厨师）</w:t>
            </w:r>
          </w:p>
        </w:tc>
        <w:tc>
          <w:tcPr>
            <w:tcW w:w="479" w:type="pct"/>
            <w:noWrap w:val="0"/>
            <w:vAlign w:val="center"/>
          </w:tcPr>
          <w:p w14:paraId="7D2B298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88" w:type="pct"/>
            <w:noWrap w:val="0"/>
            <w:vAlign w:val="center"/>
          </w:tcPr>
          <w:p w14:paraId="275923D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50" w:type="pct"/>
            <w:noWrap w:val="0"/>
            <w:vAlign w:val="center"/>
          </w:tcPr>
          <w:p w14:paraId="037140B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w:t>
            </w:r>
          </w:p>
        </w:tc>
        <w:tc>
          <w:tcPr>
            <w:tcW w:w="539" w:type="pct"/>
            <w:noWrap w:val="0"/>
            <w:vAlign w:val="center"/>
          </w:tcPr>
          <w:p w14:paraId="46925EA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4B89422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3994C1B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41934E6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63D8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0019BFC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热菜（厨师）</w:t>
            </w:r>
          </w:p>
        </w:tc>
        <w:tc>
          <w:tcPr>
            <w:tcW w:w="479" w:type="pct"/>
            <w:noWrap w:val="0"/>
            <w:vAlign w:val="center"/>
          </w:tcPr>
          <w:p w14:paraId="3EB6E74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88" w:type="pct"/>
            <w:noWrap w:val="0"/>
            <w:vAlign w:val="center"/>
          </w:tcPr>
          <w:p w14:paraId="00841B6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4</w:t>
            </w:r>
          </w:p>
        </w:tc>
        <w:tc>
          <w:tcPr>
            <w:tcW w:w="550" w:type="pct"/>
            <w:noWrap w:val="0"/>
            <w:vAlign w:val="center"/>
          </w:tcPr>
          <w:p w14:paraId="6D0FAA7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539" w:type="pct"/>
            <w:noWrap w:val="0"/>
            <w:vAlign w:val="center"/>
          </w:tcPr>
          <w:p w14:paraId="098571F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32E64A6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3D00C87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34373D0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w:t>
            </w:r>
          </w:p>
        </w:tc>
      </w:tr>
      <w:tr w14:paraId="01BF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7C3F4C7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面点（厨师）</w:t>
            </w:r>
          </w:p>
        </w:tc>
        <w:tc>
          <w:tcPr>
            <w:tcW w:w="479" w:type="pct"/>
            <w:noWrap w:val="0"/>
            <w:vAlign w:val="center"/>
          </w:tcPr>
          <w:p w14:paraId="23AF077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88" w:type="pct"/>
            <w:noWrap w:val="0"/>
            <w:vAlign w:val="center"/>
          </w:tcPr>
          <w:p w14:paraId="304CB1E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6</w:t>
            </w:r>
          </w:p>
        </w:tc>
        <w:tc>
          <w:tcPr>
            <w:tcW w:w="550" w:type="pct"/>
            <w:noWrap w:val="0"/>
            <w:vAlign w:val="center"/>
          </w:tcPr>
          <w:p w14:paraId="1DCC08A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4</w:t>
            </w:r>
          </w:p>
        </w:tc>
        <w:tc>
          <w:tcPr>
            <w:tcW w:w="539" w:type="pct"/>
            <w:noWrap w:val="0"/>
            <w:vAlign w:val="center"/>
          </w:tcPr>
          <w:p w14:paraId="6359538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77123FD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1F0495C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45EE8BB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47C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584AEF5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面点辅工</w:t>
            </w:r>
          </w:p>
        </w:tc>
        <w:tc>
          <w:tcPr>
            <w:tcW w:w="479" w:type="pct"/>
            <w:noWrap w:val="0"/>
            <w:vAlign w:val="center"/>
          </w:tcPr>
          <w:p w14:paraId="06CE15C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88" w:type="pct"/>
            <w:noWrap w:val="0"/>
            <w:vAlign w:val="center"/>
          </w:tcPr>
          <w:p w14:paraId="185B370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50" w:type="pct"/>
            <w:noWrap w:val="0"/>
            <w:vAlign w:val="center"/>
          </w:tcPr>
          <w:p w14:paraId="0D86224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9" w:type="pct"/>
            <w:noWrap w:val="0"/>
            <w:vAlign w:val="center"/>
          </w:tcPr>
          <w:p w14:paraId="771E78C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7B3D582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68DC723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5EA7178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458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16BA58A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切配（厨师）</w:t>
            </w:r>
          </w:p>
        </w:tc>
        <w:tc>
          <w:tcPr>
            <w:tcW w:w="479" w:type="pct"/>
            <w:noWrap w:val="0"/>
            <w:vAlign w:val="center"/>
          </w:tcPr>
          <w:p w14:paraId="70FA6C2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88" w:type="pct"/>
            <w:noWrap w:val="0"/>
            <w:vAlign w:val="center"/>
          </w:tcPr>
          <w:p w14:paraId="44AB00D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5</w:t>
            </w:r>
          </w:p>
        </w:tc>
        <w:tc>
          <w:tcPr>
            <w:tcW w:w="550" w:type="pct"/>
            <w:noWrap w:val="0"/>
            <w:vAlign w:val="center"/>
          </w:tcPr>
          <w:p w14:paraId="0535694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4</w:t>
            </w:r>
          </w:p>
        </w:tc>
        <w:tc>
          <w:tcPr>
            <w:tcW w:w="539" w:type="pct"/>
            <w:noWrap w:val="0"/>
            <w:vAlign w:val="center"/>
          </w:tcPr>
          <w:p w14:paraId="2B3BEEC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641D38A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72E9173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7702C17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70AF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5B63A2F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洗碗工</w:t>
            </w:r>
          </w:p>
        </w:tc>
        <w:tc>
          <w:tcPr>
            <w:tcW w:w="479" w:type="pct"/>
            <w:noWrap w:val="0"/>
            <w:vAlign w:val="center"/>
          </w:tcPr>
          <w:p w14:paraId="57147A2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88" w:type="pct"/>
            <w:noWrap w:val="0"/>
            <w:vAlign w:val="center"/>
          </w:tcPr>
          <w:p w14:paraId="76C4683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4</w:t>
            </w:r>
          </w:p>
        </w:tc>
        <w:tc>
          <w:tcPr>
            <w:tcW w:w="550" w:type="pct"/>
            <w:noWrap w:val="0"/>
            <w:vAlign w:val="center"/>
          </w:tcPr>
          <w:p w14:paraId="125B547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539" w:type="pct"/>
            <w:noWrap w:val="0"/>
            <w:vAlign w:val="center"/>
          </w:tcPr>
          <w:p w14:paraId="78BB463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376C7D7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1FA5905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443229B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DEA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6A464AC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小计</w:t>
            </w:r>
          </w:p>
        </w:tc>
        <w:tc>
          <w:tcPr>
            <w:tcW w:w="479" w:type="pct"/>
            <w:noWrap w:val="0"/>
            <w:vAlign w:val="center"/>
          </w:tcPr>
          <w:p w14:paraId="7332210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16</w:t>
            </w:r>
          </w:p>
        </w:tc>
        <w:tc>
          <w:tcPr>
            <w:tcW w:w="588" w:type="pct"/>
            <w:noWrap w:val="0"/>
            <w:vAlign w:val="center"/>
          </w:tcPr>
          <w:p w14:paraId="251E823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33</w:t>
            </w:r>
          </w:p>
        </w:tc>
        <w:tc>
          <w:tcPr>
            <w:tcW w:w="550" w:type="pct"/>
            <w:noWrap w:val="0"/>
            <w:vAlign w:val="center"/>
          </w:tcPr>
          <w:p w14:paraId="0527173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24</w:t>
            </w:r>
          </w:p>
        </w:tc>
        <w:tc>
          <w:tcPr>
            <w:tcW w:w="539" w:type="pct"/>
            <w:noWrap w:val="0"/>
            <w:vAlign w:val="center"/>
          </w:tcPr>
          <w:p w14:paraId="6B42F66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10</w:t>
            </w:r>
          </w:p>
        </w:tc>
        <w:tc>
          <w:tcPr>
            <w:tcW w:w="533" w:type="pct"/>
            <w:noWrap w:val="0"/>
            <w:vAlign w:val="center"/>
          </w:tcPr>
          <w:p w14:paraId="06622A1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10</w:t>
            </w:r>
          </w:p>
        </w:tc>
        <w:tc>
          <w:tcPr>
            <w:tcW w:w="544" w:type="pct"/>
            <w:noWrap w:val="0"/>
            <w:vAlign w:val="center"/>
          </w:tcPr>
          <w:p w14:paraId="10F1806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10</w:t>
            </w:r>
          </w:p>
        </w:tc>
        <w:tc>
          <w:tcPr>
            <w:tcW w:w="621" w:type="pct"/>
            <w:noWrap w:val="0"/>
            <w:vAlign w:val="center"/>
          </w:tcPr>
          <w:p w14:paraId="1DD351E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10</w:t>
            </w:r>
          </w:p>
        </w:tc>
      </w:tr>
      <w:tr w14:paraId="639A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834" w:type="pct"/>
            <w:gridSpan w:val="6"/>
            <w:noWrap w:val="0"/>
            <w:vAlign w:val="center"/>
          </w:tcPr>
          <w:p w14:paraId="4C3BB3D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080" w:firstLineChars="17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可兼职岗位</w:t>
            </w:r>
          </w:p>
        </w:tc>
        <w:tc>
          <w:tcPr>
            <w:tcW w:w="544" w:type="pct"/>
            <w:noWrap w:val="0"/>
            <w:vAlign w:val="center"/>
          </w:tcPr>
          <w:p w14:paraId="6EB5C86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080" w:firstLineChars="17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621" w:type="pct"/>
            <w:noWrap w:val="0"/>
            <w:vAlign w:val="center"/>
          </w:tcPr>
          <w:p w14:paraId="38FD642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080" w:firstLineChars="17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r>
      <w:tr w14:paraId="1762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6F9A71F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安全员</w:t>
            </w:r>
          </w:p>
        </w:tc>
        <w:tc>
          <w:tcPr>
            <w:tcW w:w="479" w:type="pct"/>
            <w:noWrap w:val="0"/>
            <w:vAlign w:val="center"/>
          </w:tcPr>
          <w:p w14:paraId="11AA0D8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88" w:type="pct"/>
            <w:noWrap w:val="0"/>
            <w:vAlign w:val="center"/>
          </w:tcPr>
          <w:p w14:paraId="7F108D3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50" w:type="pct"/>
            <w:noWrap w:val="0"/>
            <w:vAlign w:val="center"/>
          </w:tcPr>
          <w:p w14:paraId="390552D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9" w:type="pct"/>
            <w:noWrap w:val="0"/>
            <w:vAlign w:val="center"/>
          </w:tcPr>
          <w:p w14:paraId="0972204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3EE8B6D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4B9F344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31BD5D2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18F2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0125161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反食品浪费岗</w:t>
            </w:r>
          </w:p>
        </w:tc>
        <w:tc>
          <w:tcPr>
            <w:tcW w:w="479" w:type="pct"/>
            <w:noWrap w:val="0"/>
            <w:vAlign w:val="center"/>
          </w:tcPr>
          <w:p w14:paraId="3E23C29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88" w:type="pct"/>
            <w:noWrap w:val="0"/>
            <w:vAlign w:val="center"/>
          </w:tcPr>
          <w:p w14:paraId="4AB38F2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50" w:type="pct"/>
            <w:noWrap w:val="0"/>
            <w:vAlign w:val="center"/>
          </w:tcPr>
          <w:p w14:paraId="68D2F14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9" w:type="pct"/>
            <w:noWrap w:val="0"/>
            <w:vAlign w:val="center"/>
          </w:tcPr>
          <w:p w14:paraId="078CD0D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139C30C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3C28104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0F06A31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95A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3B24049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eastAsia="zh-CN"/>
              </w:rPr>
              <w:t>资产管理员</w:t>
            </w:r>
          </w:p>
        </w:tc>
        <w:tc>
          <w:tcPr>
            <w:tcW w:w="479" w:type="pct"/>
            <w:noWrap w:val="0"/>
            <w:vAlign w:val="center"/>
          </w:tcPr>
          <w:p w14:paraId="1420562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3378" w:type="pct"/>
            <w:gridSpan w:val="6"/>
            <w:noWrap w:val="0"/>
            <w:vAlign w:val="center"/>
          </w:tcPr>
          <w:p w14:paraId="507C68A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C24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05588E7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营养师</w:t>
            </w:r>
          </w:p>
        </w:tc>
        <w:tc>
          <w:tcPr>
            <w:tcW w:w="479" w:type="pct"/>
            <w:noWrap w:val="0"/>
            <w:vAlign w:val="center"/>
          </w:tcPr>
          <w:p w14:paraId="42B938F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1138" w:type="pct"/>
            <w:gridSpan w:val="2"/>
            <w:noWrap w:val="0"/>
            <w:vAlign w:val="center"/>
          </w:tcPr>
          <w:p w14:paraId="4E54FE2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618" w:type="pct"/>
            <w:gridSpan w:val="3"/>
            <w:noWrap w:val="0"/>
            <w:vAlign w:val="center"/>
          </w:tcPr>
          <w:p w14:paraId="74AFE6D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060F5E4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9C5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03F641F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库管</w:t>
            </w:r>
          </w:p>
        </w:tc>
        <w:tc>
          <w:tcPr>
            <w:tcW w:w="479" w:type="pct"/>
            <w:noWrap w:val="0"/>
            <w:vAlign w:val="center"/>
          </w:tcPr>
          <w:p w14:paraId="26A7A0B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88" w:type="pct"/>
            <w:noWrap w:val="0"/>
            <w:vAlign w:val="center"/>
          </w:tcPr>
          <w:p w14:paraId="61B722D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50" w:type="pct"/>
            <w:noWrap w:val="0"/>
            <w:vAlign w:val="center"/>
          </w:tcPr>
          <w:p w14:paraId="5D9BD88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9" w:type="pct"/>
            <w:noWrap w:val="0"/>
            <w:vAlign w:val="center"/>
          </w:tcPr>
          <w:p w14:paraId="550BB0E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047919B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616E994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3CFDB76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6AB5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2" w:type="pct"/>
            <w:noWrap w:val="0"/>
            <w:vAlign w:val="center"/>
          </w:tcPr>
          <w:p w14:paraId="17D0CBE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检验员</w:t>
            </w:r>
          </w:p>
        </w:tc>
        <w:tc>
          <w:tcPr>
            <w:tcW w:w="479" w:type="pct"/>
            <w:noWrap w:val="0"/>
            <w:vAlign w:val="center"/>
          </w:tcPr>
          <w:p w14:paraId="0FB553B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88" w:type="pct"/>
            <w:noWrap w:val="0"/>
            <w:vAlign w:val="center"/>
          </w:tcPr>
          <w:p w14:paraId="20192BB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50" w:type="pct"/>
            <w:noWrap w:val="0"/>
            <w:vAlign w:val="center"/>
          </w:tcPr>
          <w:p w14:paraId="6B3DA79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9" w:type="pct"/>
            <w:noWrap w:val="0"/>
            <w:vAlign w:val="center"/>
          </w:tcPr>
          <w:p w14:paraId="4942533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33" w:type="pct"/>
            <w:noWrap w:val="0"/>
            <w:vAlign w:val="center"/>
          </w:tcPr>
          <w:p w14:paraId="61B1735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44" w:type="pct"/>
            <w:noWrap w:val="0"/>
            <w:vAlign w:val="center"/>
          </w:tcPr>
          <w:p w14:paraId="68FD25E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621" w:type="pct"/>
            <w:noWrap w:val="0"/>
            <w:vAlign w:val="center"/>
          </w:tcPr>
          <w:p w14:paraId="23440A1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bl>
    <w:p w14:paraId="146653E5">
      <w:pPr>
        <w:keepNext w:val="0"/>
        <w:keepLines w:val="0"/>
        <w:pageBreakBefore w:val="0"/>
        <w:widowControl w:val="0"/>
        <w:numPr>
          <w:ilvl w:val="0"/>
          <w:numId w:val="0"/>
        </w:numPr>
        <w:wordWrap/>
        <w:overflowPunct/>
        <w:topLinePunct w:val="0"/>
        <w:autoSpaceDE w:val="0"/>
        <w:autoSpaceDN w:val="0"/>
        <w:bidi w:val="0"/>
        <w:adjustRightInd w:val="0"/>
        <w:spacing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（2）分散办公区：</w:t>
      </w:r>
    </w:p>
    <w:tbl>
      <w:tblPr>
        <w:tblStyle w:val="23"/>
        <w:tblpPr w:leftFromText="180" w:rightFromText="180" w:vertAnchor="text" w:horzAnchor="page" w:tblpX="1725" w:tblpY="10"/>
        <w:tblOverlap w:val="never"/>
        <w:tblW w:w="47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1822"/>
        <w:gridCol w:w="1512"/>
        <w:gridCol w:w="1535"/>
        <w:gridCol w:w="1937"/>
      </w:tblGrid>
      <w:tr w14:paraId="1BF1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28" w:type="pct"/>
            <w:noWrap w:val="0"/>
            <w:vAlign w:val="center"/>
          </w:tcPr>
          <w:p w14:paraId="0FFB720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人员配置</w:t>
            </w:r>
          </w:p>
        </w:tc>
        <w:tc>
          <w:tcPr>
            <w:tcW w:w="983" w:type="pct"/>
            <w:noWrap w:val="0"/>
            <w:vAlign w:val="center"/>
          </w:tcPr>
          <w:p w14:paraId="5D38F60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市公安局</w:t>
            </w:r>
          </w:p>
        </w:tc>
        <w:tc>
          <w:tcPr>
            <w:tcW w:w="816" w:type="pct"/>
            <w:noWrap w:val="0"/>
            <w:vAlign w:val="center"/>
          </w:tcPr>
          <w:p w14:paraId="1BFF02E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市检察院</w:t>
            </w:r>
          </w:p>
        </w:tc>
        <w:tc>
          <w:tcPr>
            <w:tcW w:w="828" w:type="pct"/>
            <w:noWrap w:val="0"/>
            <w:vAlign w:val="center"/>
          </w:tcPr>
          <w:p w14:paraId="32F17F4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市法院</w:t>
            </w:r>
          </w:p>
        </w:tc>
        <w:tc>
          <w:tcPr>
            <w:tcW w:w="1042" w:type="pct"/>
            <w:noWrap w:val="0"/>
            <w:vAlign w:val="center"/>
          </w:tcPr>
          <w:p w14:paraId="0653C46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市司法局</w:t>
            </w:r>
          </w:p>
        </w:tc>
      </w:tr>
      <w:tr w14:paraId="3B24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28" w:type="pct"/>
            <w:noWrap w:val="0"/>
            <w:vAlign w:val="center"/>
          </w:tcPr>
          <w:p w14:paraId="09BDD78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经理</w:t>
            </w:r>
          </w:p>
        </w:tc>
        <w:tc>
          <w:tcPr>
            <w:tcW w:w="983" w:type="pct"/>
            <w:vMerge w:val="restart"/>
            <w:noWrap w:val="0"/>
            <w:vAlign w:val="center"/>
          </w:tcPr>
          <w:p w14:paraId="0AE9F08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vMerge w:val="restart"/>
            <w:noWrap w:val="0"/>
            <w:vAlign w:val="center"/>
          </w:tcPr>
          <w:p w14:paraId="204C5E5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vMerge w:val="restart"/>
            <w:noWrap w:val="0"/>
            <w:vAlign w:val="center"/>
          </w:tcPr>
          <w:p w14:paraId="34F6DF5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vMerge w:val="restart"/>
            <w:noWrap w:val="0"/>
            <w:vAlign w:val="center"/>
          </w:tcPr>
          <w:p w14:paraId="75E2851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75E0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28" w:type="pct"/>
            <w:noWrap w:val="0"/>
            <w:vAlign w:val="center"/>
          </w:tcPr>
          <w:p w14:paraId="5000EA7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总管（厨师长）</w:t>
            </w:r>
          </w:p>
        </w:tc>
        <w:tc>
          <w:tcPr>
            <w:tcW w:w="983" w:type="pct"/>
            <w:vMerge w:val="continue"/>
            <w:noWrap w:val="0"/>
            <w:vAlign w:val="center"/>
          </w:tcPr>
          <w:p w14:paraId="03A6ACD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816" w:type="pct"/>
            <w:vMerge w:val="continue"/>
            <w:noWrap w:val="0"/>
            <w:vAlign w:val="center"/>
          </w:tcPr>
          <w:p w14:paraId="1C786AC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828" w:type="pct"/>
            <w:vMerge w:val="continue"/>
            <w:noWrap w:val="0"/>
            <w:vAlign w:val="center"/>
          </w:tcPr>
          <w:p w14:paraId="6B68462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1042" w:type="pct"/>
            <w:vMerge w:val="continue"/>
            <w:noWrap w:val="0"/>
            <w:vAlign w:val="center"/>
          </w:tcPr>
          <w:p w14:paraId="1076B7D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r>
      <w:tr w14:paraId="7B67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28" w:type="pct"/>
            <w:noWrap w:val="0"/>
            <w:vAlign w:val="center"/>
          </w:tcPr>
          <w:p w14:paraId="3B8FD89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前厅（服务员）</w:t>
            </w:r>
          </w:p>
        </w:tc>
        <w:tc>
          <w:tcPr>
            <w:tcW w:w="983" w:type="pct"/>
            <w:noWrap w:val="0"/>
            <w:vAlign w:val="center"/>
          </w:tcPr>
          <w:p w14:paraId="4B2B07E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4</w:t>
            </w:r>
          </w:p>
        </w:tc>
        <w:tc>
          <w:tcPr>
            <w:tcW w:w="816" w:type="pct"/>
            <w:noWrap w:val="0"/>
            <w:vAlign w:val="center"/>
          </w:tcPr>
          <w:p w14:paraId="73A2E4D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70E41E9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w:t>
            </w:r>
          </w:p>
        </w:tc>
        <w:tc>
          <w:tcPr>
            <w:tcW w:w="1042" w:type="pct"/>
            <w:noWrap w:val="0"/>
            <w:vAlign w:val="center"/>
          </w:tcPr>
          <w:p w14:paraId="37FFC66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r>
      <w:tr w14:paraId="69C8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28" w:type="pct"/>
            <w:noWrap w:val="0"/>
            <w:vAlign w:val="center"/>
          </w:tcPr>
          <w:p w14:paraId="76D8931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凉菜（厨师）</w:t>
            </w:r>
          </w:p>
        </w:tc>
        <w:tc>
          <w:tcPr>
            <w:tcW w:w="983" w:type="pct"/>
            <w:noWrap w:val="0"/>
            <w:vAlign w:val="center"/>
          </w:tcPr>
          <w:p w14:paraId="1F7F435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816" w:type="pct"/>
            <w:noWrap w:val="0"/>
            <w:vAlign w:val="center"/>
          </w:tcPr>
          <w:p w14:paraId="0949EEC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c>
          <w:tcPr>
            <w:tcW w:w="828" w:type="pct"/>
            <w:noWrap w:val="0"/>
            <w:vAlign w:val="center"/>
          </w:tcPr>
          <w:p w14:paraId="2FCF87F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c>
          <w:tcPr>
            <w:tcW w:w="1042" w:type="pct"/>
            <w:noWrap w:val="0"/>
            <w:vAlign w:val="center"/>
          </w:tcPr>
          <w:p w14:paraId="61ECC4C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561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28" w:type="pct"/>
            <w:noWrap w:val="0"/>
            <w:vAlign w:val="center"/>
          </w:tcPr>
          <w:p w14:paraId="63251EE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热菜（厨师）</w:t>
            </w:r>
          </w:p>
        </w:tc>
        <w:tc>
          <w:tcPr>
            <w:tcW w:w="983" w:type="pct"/>
            <w:noWrap w:val="0"/>
            <w:vAlign w:val="center"/>
          </w:tcPr>
          <w:p w14:paraId="7F2193B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816" w:type="pct"/>
            <w:noWrap w:val="0"/>
            <w:vAlign w:val="center"/>
          </w:tcPr>
          <w:p w14:paraId="7AB98B0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19B2400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w:t>
            </w:r>
          </w:p>
        </w:tc>
        <w:tc>
          <w:tcPr>
            <w:tcW w:w="1042" w:type="pct"/>
            <w:noWrap w:val="0"/>
            <w:vAlign w:val="center"/>
          </w:tcPr>
          <w:p w14:paraId="37EDBC1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7F34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28" w:type="pct"/>
            <w:noWrap w:val="0"/>
            <w:vAlign w:val="center"/>
          </w:tcPr>
          <w:p w14:paraId="6965FC3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面点（厨师）</w:t>
            </w:r>
          </w:p>
        </w:tc>
        <w:tc>
          <w:tcPr>
            <w:tcW w:w="983" w:type="pct"/>
            <w:noWrap w:val="0"/>
            <w:vAlign w:val="center"/>
          </w:tcPr>
          <w:p w14:paraId="07C1F6C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816" w:type="pct"/>
            <w:noWrap w:val="0"/>
            <w:vAlign w:val="center"/>
          </w:tcPr>
          <w:p w14:paraId="35E59DF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0A2F4BD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63714F1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33D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28" w:type="pct"/>
            <w:noWrap w:val="0"/>
            <w:vAlign w:val="center"/>
          </w:tcPr>
          <w:p w14:paraId="262220D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面点辅工</w:t>
            </w:r>
          </w:p>
        </w:tc>
        <w:tc>
          <w:tcPr>
            <w:tcW w:w="983" w:type="pct"/>
            <w:noWrap w:val="0"/>
            <w:vAlign w:val="center"/>
          </w:tcPr>
          <w:p w14:paraId="5F65926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816" w:type="pct"/>
            <w:noWrap w:val="0"/>
            <w:vAlign w:val="center"/>
          </w:tcPr>
          <w:p w14:paraId="7D28670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c>
          <w:tcPr>
            <w:tcW w:w="828" w:type="pct"/>
            <w:noWrap w:val="0"/>
            <w:vAlign w:val="center"/>
          </w:tcPr>
          <w:p w14:paraId="5223FEA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0232D1E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r>
      <w:tr w14:paraId="6D9B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28" w:type="pct"/>
            <w:noWrap w:val="0"/>
            <w:vAlign w:val="center"/>
          </w:tcPr>
          <w:p w14:paraId="615EAC6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切配（厨师）</w:t>
            </w:r>
          </w:p>
        </w:tc>
        <w:tc>
          <w:tcPr>
            <w:tcW w:w="983" w:type="pct"/>
            <w:noWrap w:val="0"/>
            <w:vAlign w:val="center"/>
          </w:tcPr>
          <w:p w14:paraId="0B16263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816" w:type="pct"/>
            <w:noWrap w:val="0"/>
            <w:vAlign w:val="center"/>
          </w:tcPr>
          <w:p w14:paraId="0EEF9A5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c>
          <w:tcPr>
            <w:tcW w:w="828" w:type="pct"/>
            <w:noWrap w:val="0"/>
            <w:vAlign w:val="center"/>
          </w:tcPr>
          <w:p w14:paraId="2DAD379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43A4682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4575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8" w:type="pct"/>
            <w:noWrap w:val="0"/>
            <w:vAlign w:val="center"/>
          </w:tcPr>
          <w:p w14:paraId="2B8CFF9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洗碗工</w:t>
            </w:r>
          </w:p>
        </w:tc>
        <w:tc>
          <w:tcPr>
            <w:tcW w:w="983" w:type="pct"/>
            <w:noWrap w:val="0"/>
            <w:vAlign w:val="center"/>
          </w:tcPr>
          <w:p w14:paraId="492DCC0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816" w:type="pct"/>
            <w:noWrap w:val="0"/>
            <w:vAlign w:val="center"/>
          </w:tcPr>
          <w:p w14:paraId="48B6EA7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7EA6852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1402D3D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r>
      <w:tr w14:paraId="51DB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28" w:type="pct"/>
            <w:noWrap w:val="0"/>
            <w:vAlign w:val="center"/>
          </w:tcPr>
          <w:p w14:paraId="27E935B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小计</w:t>
            </w:r>
          </w:p>
        </w:tc>
        <w:tc>
          <w:tcPr>
            <w:tcW w:w="983" w:type="pct"/>
            <w:noWrap w:val="0"/>
            <w:vAlign w:val="center"/>
          </w:tcPr>
          <w:p w14:paraId="129B929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15</w:t>
            </w:r>
          </w:p>
        </w:tc>
        <w:tc>
          <w:tcPr>
            <w:tcW w:w="816" w:type="pct"/>
            <w:noWrap w:val="0"/>
            <w:vAlign w:val="center"/>
          </w:tcPr>
          <w:p w14:paraId="049608C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5</w:t>
            </w:r>
          </w:p>
        </w:tc>
        <w:tc>
          <w:tcPr>
            <w:tcW w:w="828" w:type="pct"/>
            <w:noWrap w:val="0"/>
            <w:vAlign w:val="center"/>
          </w:tcPr>
          <w:p w14:paraId="31E2419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9</w:t>
            </w:r>
          </w:p>
        </w:tc>
        <w:tc>
          <w:tcPr>
            <w:tcW w:w="1042" w:type="pct"/>
            <w:noWrap w:val="0"/>
            <w:vAlign w:val="center"/>
          </w:tcPr>
          <w:p w14:paraId="3C56D16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5</w:t>
            </w:r>
          </w:p>
        </w:tc>
      </w:tr>
      <w:tr w14:paraId="1A21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000" w:type="pct"/>
            <w:gridSpan w:val="5"/>
            <w:noWrap w:val="0"/>
            <w:vAlign w:val="center"/>
          </w:tcPr>
          <w:p w14:paraId="45B081B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可兼职岗位</w:t>
            </w:r>
          </w:p>
        </w:tc>
      </w:tr>
      <w:tr w14:paraId="18B9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0F21413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安全员</w:t>
            </w:r>
          </w:p>
        </w:tc>
        <w:tc>
          <w:tcPr>
            <w:tcW w:w="983" w:type="pct"/>
            <w:noWrap w:val="0"/>
            <w:vAlign w:val="center"/>
          </w:tcPr>
          <w:p w14:paraId="0C92337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6599AB3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343D353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444A8CB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56C6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0E6772E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反食品浪费岗</w:t>
            </w:r>
          </w:p>
        </w:tc>
        <w:tc>
          <w:tcPr>
            <w:tcW w:w="983" w:type="pct"/>
            <w:noWrap w:val="0"/>
            <w:vAlign w:val="center"/>
          </w:tcPr>
          <w:p w14:paraId="36FD6E5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34A1E97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0D4887F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0217A66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5F2C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110C887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eastAsia="zh-CN"/>
              </w:rPr>
              <w:t>资产管理员</w:t>
            </w:r>
          </w:p>
        </w:tc>
        <w:tc>
          <w:tcPr>
            <w:tcW w:w="983" w:type="pct"/>
            <w:noWrap w:val="0"/>
            <w:vAlign w:val="center"/>
          </w:tcPr>
          <w:p w14:paraId="2CF44C1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6FEBD35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6E76165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782D6B9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4EA1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70917CB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营养师</w:t>
            </w:r>
          </w:p>
        </w:tc>
        <w:tc>
          <w:tcPr>
            <w:tcW w:w="983" w:type="pct"/>
            <w:noWrap w:val="0"/>
            <w:vAlign w:val="center"/>
          </w:tcPr>
          <w:p w14:paraId="21EE5DE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02E2DCB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1C27C95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36501CE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258F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754627D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库管</w:t>
            </w:r>
          </w:p>
        </w:tc>
        <w:tc>
          <w:tcPr>
            <w:tcW w:w="983" w:type="pct"/>
            <w:noWrap w:val="0"/>
            <w:vAlign w:val="center"/>
          </w:tcPr>
          <w:p w14:paraId="3D6DE3C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4CE8AEB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07E94BD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17D1FCA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3698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28" w:type="pct"/>
            <w:noWrap w:val="0"/>
            <w:vAlign w:val="center"/>
          </w:tcPr>
          <w:p w14:paraId="55EC9DD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检验员</w:t>
            </w:r>
          </w:p>
        </w:tc>
        <w:tc>
          <w:tcPr>
            <w:tcW w:w="983" w:type="pct"/>
            <w:noWrap w:val="0"/>
            <w:vAlign w:val="center"/>
          </w:tcPr>
          <w:p w14:paraId="3F870F0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7039C24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778A2BF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3D83F9C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bl>
    <w:p w14:paraId="3B48ED3C">
      <w:pPr>
        <w:keepNext w:val="0"/>
        <w:keepLines w:val="0"/>
        <w:pageBreakBefore w:val="0"/>
        <w:widowControl w:val="0"/>
        <w:numPr>
          <w:ilvl w:val="0"/>
          <w:numId w:val="0"/>
        </w:numPr>
        <w:wordWrap/>
        <w:overflowPunct/>
        <w:topLinePunct w:val="0"/>
        <w:autoSpaceDE w:val="0"/>
        <w:autoSpaceDN w:val="0"/>
        <w:bidi w:val="0"/>
        <w:adjustRightInd w:val="0"/>
        <w:spacing w:line="56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2.食品安全：乙方须依照法律、法规和食品安全标准从事生产经营活动。乙方对其生产经营的食品安全负责，对社会和公众负责，承担社会责任。要建立健全食品安全管理制度，全面落实餐饮服务食品安全操作规范。要严格执行“日管控，周排查，月调度”有关规定，设立食品质量安全管理岗位，配备专业技术人员，加强食品安全管理。要积极投保食品安全责任保险，采取有效管理措施，保证食品安全。托管合同签订之日起四个月内，所经营机关食堂须取得食品安全量化动态管理B级及以上资质，一年后1个月内须取得年度食品安全餐饮服务等级A级。</w:t>
      </w:r>
    </w:p>
    <w:p w14:paraId="2FE5ADC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（1）原材料采购</w:t>
      </w:r>
    </w:p>
    <w:p w14:paraId="1E8DA80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乙方选择的供货者应具有相关合法资质，原则上应为知名度和信誉度较高的商家，建立供货者评价和退出机制，自行或委托第三方机构定期（一个季度至少1次）对供货者的食品安全状况进行评价，及时更换不符合要求的供货者。尽可能采购绿色、有机食品，所采购的食品及原料必须符合国家有关食品安全卫生标准和规定，加强肉、蛋、奶等高风险食品采购管理。严格按照餐饮行业规范要求建立食品台账，确保每次采购的食材都能溯源。</w:t>
      </w:r>
    </w:p>
    <w:p w14:paraId="60E87DB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积极巩固脱贫攻坚成果，同等条件下，优先通过“扶贫832平台”购买延安贫困地区、贫困户农副产品，年购置额需占年购置总金额的10%及以上。</w:t>
      </w:r>
    </w:p>
    <w:p w14:paraId="4F43056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（2）原料运输</w:t>
      </w:r>
    </w:p>
    <w:p w14:paraId="2408A2A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乙方自行运输或第三方配送过程中须做好防尘、防水、食品与非食品、不同类型的食品原料（动物性食品、植物性食品、水产品）应分隔，包装完整、清洁，防止食品受到污染，不得与有毒有害物品混装，车辆不得混用。</w:t>
      </w:r>
    </w:p>
    <w:p w14:paraId="267BE80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（3）进货查验</w:t>
      </w:r>
    </w:p>
    <w:p w14:paraId="582E00B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乙方须做好随货证明文件查验和留存待查工作，从食品生产者采购食品的，查验并留存其食品生产许可证和产品合格证明文件等；采购食品添加剂、食品相关产品的，查验并留存其营业执照和产品合格证明文件等。从食品销售者（商场、超市、便利店等）采购食品的，查验并留存其食品经营许可证等；采购食品添加剂、食品相关产品的，查验并留存其营业执照等。从食用农产品个体生产者直接采购食用农产品的，查验并留存其有效身份证明材料等。从食用农产品生产企业和农民专业合作经济组织采购食用农产品的，查验并留存其社会信用代码和产品合格证明文件。从集中交易市场采购食用农产品的，索取并留存市场管理部门或经营者加盖公章（或负责人签字）的购货凭证。采购畜禽肉类的，除上述证明资料外还需查验并留存动物产品检疫合格证明；采购猪肉的，还应查验并留存肉品品质检验合格证明。</w:t>
      </w:r>
    </w:p>
    <w:p w14:paraId="1D8D041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实行统一配送经营方式的，可由乙方统一查验供货者的相关资质证明及产品合格证明文件，留存每笔购物或送货凭证。</w:t>
      </w:r>
    </w:p>
    <w:p w14:paraId="2C149F3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4）原料贮存。乙方须按照食品安全要求分区、分架、分类、离墙、离地存放食品；在散装食品（食用农产品除外）贮存位置，应标明食品的名称、生产日期或者生产批号、使用期限等内容；有明确的保存条件和特殊要求的，应按规定贮存；遵循先进、先出、先用原则，及时清理腐败变质等感官性状异常、超保质期等的食品原料、食品添加剂、食品相关产品。</w:t>
      </w:r>
      <w:r>
        <w:rPr>
          <w:rFonts w:hint="eastAsia" w:asciiTheme="minorEastAsia" w:hAnsiTheme="minorEastAsia" w:eastAsiaTheme="minorEastAsia" w:cstheme="minorEastAsia"/>
          <w:color w:val="auto"/>
          <w:sz w:val="24"/>
          <w:szCs w:val="24"/>
          <w:u w:val="none" w:color="auto"/>
        </w:rPr>
        <w:t>冰箱冷库不得存入变质、有味、污染不洁的食品，严禁存放化肥、农药、杀虫剂等有毒有害物品。</w:t>
      </w:r>
    </w:p>
    <w:p w14:paraId="45B93C8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5）加工制作。乙方应按照行业规范加强操作流程监管，避免食品在加工过程中受到交叉污染，不同类型的食品原料、不同存在形式的食品（原料、半成品、成品）分开存放，盛放容器和加工制作工具分类管理、分开使用，定位存放。食品处理区不得从事可能污染食品的活动；辅助区（卫生间、更衣间等）内不得加工制作食品、清洗消毒餐饮具；服务场所不得饲养和宰杀禽、畜等动物。禁止使用非食品原料加工制作食品；禁止在食品中添加食品添加剂以外的化学物质和其他可能危害人体健康的物质；禁止使用回收食品作为原料，再次加工制作食品；禁止使用超过保质期的食品、食品添加剂；禁止超范围、超限量使用食品添加剂；禁止使用腐败变质、油脂酸败、霉变生虫、污秽不洁、混有异物、掺假掺杂或者感官性状异常的食品、食品添加剂；禁止使用被包装材料、容器、运输工具等污染的食品、食品添加剂；禁止使用无标签的预包装食品、食品添加剂；禁止使用国家为防病等特殊需要明令禁止经营的食品（如织纹螺等）；禁止在食品中添加药品（按照传统既是食品又是中药材的物质除外）；不得出现法律法规禁止的其他加工制作行为。</w:t>
      </w:r>
    </w:p>
    <w:p w14:paraId="02C9165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（6）食品添加剂使用。乙方应按照GB2760《食品安全国家标准 食品添加剂使用标准》规定的食品添加剂品种、范围、计量使用食品添加剂；不得采购、贮存、使用亚硝酸盐（包括亚硝酸钠、亚硝酸钾）。食品添加剂实行专柜（位）存放，并标注“食品添加剂”字样，使用容器盛放拆包后的食品添加剂的，应在盛放容器上标明食品添加剂名称，并保留原包装。应专册记录使用的食品添加剂名称、生产日期或批号、添加的食品品种、添加量、添加时间、操作人员等信息，GB2760中有“最大使用量”规定的，应精准称量使用。</w:t>
      </w:r>
    </w:p>
    <w:p w14:paraId="31373EA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7）食品留样。乙方应做到每餐留样并与当日食谱相符，将留样食品按照品种分别盛放于清洗消毒后的专用密闭容器内，在专用冷藏设备中冷藏存放48小时以上；每个品种的留样量应能满足检验检测需要，且不少于200g；由专人管理留样食品、记录留样情况，记录内容包括留样食品名称、留样时间（月、日、时、分）、留样人员等。食品留样工作须在菜肴制作完成后及出餐前完成，以确保其准确性。不同时段留样食品应隔离存放，并注明餐别；留样时间满48小时后可作废弃处理，时间不到或有特殊情况需保留或延长存放时间时应遵守规定，不得私自处理。</w:t>
      </w:r>
    </w:p>
    <w:p w14:paraId="753E485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（8）清洗消毒。乙方须按照GB14934《食品安全国家标准 消毒餐（饮）具》规定对餐用具清洗消毒，餐用具使用后应及时按照一刷、二洗、三冲、四消毒、五保洁的程序操作。餐饮具、盛放或接触直接入口食品的容器和工具使用前应消毒；采用化学消毒的（不鼓励），消毒剂应符合GB 14930.2-2012《食品安全国家标准 消毒剂》的要求，消毒剂的标签说明书还应符合GB 38598-2020《消毒产品标签说明书通用要求》的要求，消毒液应现用现配，并定时测量消毒液的消毒浓度，由专人做好使用及检测记录；采用煮沸消毒的，餐饮具需完全浸没在水中，温度一般控制在100℃，保持10分钟以上，必要时，配备闹铃等计时工具以确保有效的消毒时长；从业人员佩戴手套清洗消毒餐用具的，接触消毒后的餐用具前应更换手套；使用抹布擦干的，抹布应专用，并经清洗消毒后方可使用；消毒后的餐具必须储存在餐具专用保洁柜内备用，已消毒和未消毒的餐具应分开存放，并做好标记。</w:t>
      </w:r>
    </w:p>
    <w:p w14:paraId="0638045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9）专间使用。乙方应严格落实专间使用管理要求，专间内温度不得高于25℃；每餐（或每次）使用前，应在无人加工制作时使用紫外线灯对专间空气进行消毒30分钟以上并做好记录；进入专间前，加工制作人员应严格清洗消毒手部，更换专用的工作衣帽并佩戴口罩，非专间加工制作人员不得擅自进入专间；专间内使用专用工具、容器、设备，不得与其他区域混用，使用前进行清洗消毒并保持清洁；及时关闭专间的门和食品传递窗口；蔬菜、水果、生食或海产品等食品原料应清洗处理干净后，方可传递进专间，预包装食品和一次性餐饮具应去除外层包装并保持最小包装清洁后，方可传递进专间；加工制作好的成品应当餐供应；不得在专间内从事非清洁操作区的加工制作活动。</w:t>
      </w:r>
    </w:p>
    <w:p w14:paraId="3C9A6F3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（10）环境卫生。乙方须按照GB 31654-2021《食品安全国家标准 餐饮服务通用卫生规范》的要求，做好餐厅室内外（包括单独院落）的环境清洁工作。每餐前，做好开窗通风工作，保持餐厅及后厨空气新鲜无异味；每餐后及时清洁食品处理区、就餐区的设施、设备，保持地面无垃圾、无积水、无油渍，墙壁和门窗无污渍、无灰尘，天花板无霉斑。定期清洁卫生间设施设备，保持地面、洗手池及台面无积水、无污物、无垃圾，便池内外无污物、无积垢、卫生纸充足等，营业期间，开启排风装置，保持室内空气无异味。每周进行一次彻底清洗，对碗柜及餐具进行二次清洁消毒。</w:t>
      </w:r>
    </w:p>
    <w:p w14:paraId="121BEC0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 w:eastAsia="zh-CN"/>
        </w:rPr>
      </w:pPr>
      <w:r>
        <w:rPr>
          <w:rFonts w:hint="eastAsia" w:asciiTheme="minorEastAsia" w:hAnsiTheme="minorEastAsia" w:eastAsiaTheme="minorEastAsia" w:cstheme="minorEastAsia"/>
          <w:b w:val="0"/>
          <w:bCs w:val="0"/>
          <w:color w:val="auto"/>
          <w:sz w:val="24"/>
          <w:szCs w:val="24"/>
          <w:u w:val="none" w:color="auto"/>
          <w:lang w:val="en-US" w:eastAsia="zh-CN"/>
        </w:rPr>
        <w:t>（11）病媒生物防治。乙方须按照集中供餐单位餐厅病媒生物防治工作规定，自行或委托第三方做好餐厅病媒生物防治工作，及时清理“四害”垃圾，机关食堂应做到无蚊虫、无蚊蝇、无蟑螂、无老鼠。</w:t>
      </w:r>
    </w:p>
    <w:p w14:paraId="7E3C7BD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val="en" w:eastAsia="zh-CN"/>
        </w:rPr>
        <w:t>3</w:t>
      </w:r>
      <w:r>
        <w:rPr>
          <w:rFonts w:hint="eastAsia" w:asciiTheme="minorEastAsia" w:hAnsiTheme="minorEastAsia" w:eastAsiaTheme="minorEastAsia" w:cstheme="minorEastAsia"/>
          <w:color w:val="auto"/>
          <w:sz w:val="24"/>
          <w:szCs w:val="24"/>
          <w:u w:val="none" w:color="auto"/>
          <w:lang w:val="en-US" w:eastAsia="zh-CN"/>
        </w:rPr>
        <w:t>.</w:t>
      </w:r>
      <w:r>
        <w:rPr>
          <w:rFonts w:hint="eastAsia" w:asciiTheme="minorEastAsia" w:hAnsiTheme="minorEastAsia" w:eastAsiaTheme="minorEastAsia" w:cstheme="minorEastAsia"/>
          <w:color w:val="auto"/>
          <w:sz w:val="24"/>
          <w:szCs w:val="24"/>
          <w:u w:val="none" w:color="auto"/>
        </w:rPr>
        <w:t>饭菜质量：</w:t>
      </w:r>
      <w:r>
        <w:rPr>
          <w:rFonts w:hint="eastAsia" w:asciiTheme="minorEastAsia" w:hAnsiTheme="minorEastAsia" w:eastAsiaTheme="minorEastAsia" w:cstheme="minorEastAsia"/>
          <w:b w:val="0"/>
          <w:bCs w:val="0"/>
          <w:color w:val="auto"/>
          <w:sz w:val="24"/>
          <w:szCs w:val="24"/>
          <w:u w:val="none" w:color="auto"/>
          <w:lang w:val="en-US" w:eastAsia="zh-CN"/>
        </w:rPr>
        <w:t>乙方</w:t>
      </w:r>
      <w:r>
        <w:rPr>
          <w:rFonts w:hint="eastAsia" w:asciiTheme="minorEastAsia" w:hAnsiTheme="minorEastAsia" w:eastAsiaTheme="minorEastAsia" w:cstheme="minorEastAsia"/>
          <w:color w:val="auto"/>
          <w:sz w:val="24"/>
          <w:szCs w:val="24"/>
          <w:u w:val="none" w:color="auto"/>
        </w:rPr>
        <w:t>应以有效的举措保障每餐安全达标、营养均衡、品质稳定，</w:t>
      </w:r>
      <w:r>
        <w:rPr>
          <w:rFonts w:hint="eastAsia" w:asciiTheme="minorEastAsia" w:hAnsiTheme="minorEastAsia" w:eastAsiaTheme="minorEastAsia" w:cstheme="minorEastAsia"/>
          <w:color w:val="auto"/>
          <w:sz w:val="24"/>
          <w:szCs w:val="24"/>
          <w:u w:val="none" w:color="auto"/>
          <w:lang w:eastAsia="zh-CN"/>
        </w:rPr>
        <w:t>以有力有效措施推动</w:t>
      </w:r>
      <w:r>
        <w:rPr>
          <w:rFonts w:hint="eastAsia" w:asciiTheme="minorEastAsia" w:hAnsiTheme="minorEastAsia" w:eastAsiaTheme="minorEastAsia" w:cstheme="minorEastAsia"/>
          <w:color w:val="auto"/>
          <w:sz w:val="24"/>
          <w:szCs w:val="24"/>
          <w:u w:val="none" w:color="auto"/>
          <w:lang w:val="en-US" w:eastAsia="zh-CN"/>
        </w:rPr>
        <w:t>《健康中国行动》（2019-2030年）和《国民营养计划》（2017-2030年）在机关食堂落实。每周食谱须由营养师审核签字后集中办公区提交至甲方、分散办公区提交丙方审核备案。餐厅须根据大多数就餐者的饮食习惯每月推陈出新一道菜品；</w:t>
      </w:r>
      <w:r>
        <w:rPr>
          <w:rFonts w:hint="eastAsia" w:asciiTheme="minorEastAsia" w:hAnsiTheme="minorEastAsia" w:eastAsiaTheme="minorEastAsia" w:cstheme="minorEastAsia"/>
          <w:color w:val="auto"/>
          <w:sz w:val="24"/>
          <w:szCs w:val="24"/>
          <w:u w:val="none" w:color="auto"/>
        </w:rPr>
        <w:t>食堂销售的食品，</w:t>
      </w:r>
      <w:r>
        <w:rPr>
          <w:rFonts w:hint="eastAsia" w:asciiTheme="minorEastAsia" w:hAnsiTheme="minorEastAsia" w:eastAsiaTheme="minorEastAsia" w:cstheme="minorEastAsia"/>
          <w:color w:val="auto"/>
          <w:sz w:val="24"/>
          <w:szCs w:val="24"/>
          <w:u w:val="none" w:color="auto"/>
          <w:lang w:val="en-US" w:eastAsia="zh-CN"/>
        </w:rPr>
        <w:t>不得</w:t>
      </w:r>
      <w:r>
        <w:rPr>
          <w:rFonts w:hint="eastAsia" w:asciiTheme="minorEastAsia" w:hAnsiTheme="minorEastAsia" w:eastAsiaTheme="minorEastAsia" w:cstheme="minorEastAsia"/>
          <w:color w:val="auto"/>
          <w:sz w:val="24"/>
          <w:szCs w:val="24"/>
          <w:u w:val="none" w:color="auto"/>
        </w:rPr>
        <w:t>添加任何有毒、有害物质，必须符合规定的质量标准，做到质高、量足，确保热菜、热饭。</w:t>
      </w:r>
      <w:r>
        <w:rPr>
          <w:rFonts w:hint="eastAsia" w:asciiTheme="minorEastAsia" w:hAnsiTheme="minorEastAsia" w:eastAsiaTheme="minorEastAsia" w:cstheme="minorEastAsia"/>
          <w:color w:val="auto"/>
          <w:sz w:val="24"/>
          <w:szCs w:val="24"/>
          <w:u w:val="none" w:color="auto"/>
          <w:lang w:eastAsia="zh-CN"/>
        </w:rPr>
        <w:t>落实落细《中国居民膳食指南（2022）》，</w:t>
      </w:r>
      <w:r>
        <w:rPr>
          <w:rFonts w:hint="eastAsia" w:asciiTheme="minorEastAsia" w:hAnsiTheme="minorEastAsia" w:eastAsiaTheme="minorEastAsia" w:cstheme="minorEastAsia"/>
          <w:color w:val="auto"/>
          <w:sz w:val="24"/>
          <w:szCs w:val="24"/>
          <w:u w:val="none" w:color="auto"/>
        </w:rPr>
        <w:t>注重食品的营养搭配，</w:t>
      </w:r>
      <w:r>
        <w:rPr>
          <w:rFonts w:hint="eastAsia" w:asciiTheme="minorEastAsia" w:hAnsiTheme="minorEastAsia" w:eastAsiaTheme="minorEastAsia" w:cstheme="minorEastAsia"/>
          <w:color w:val="auto"/>
          <w:sz w:val="24"/>
          <w:szCs w:val="24"/>
          <w:u w:val="none" w:color="auto"/>
          <w:lang w:eastAsia="zh-CN"/>
        </w:rPr>
        <w:t>推行营养配餐，结合中医药膳理论，讲究凉热搭配、荤素搭配、粗细搭配，注重营养均衡，并聘请营养师制定健康菜谱。</w:t>
      </w:r>
      <w:r>
        <w:rPr>
          <w:rFonts w:hint="eastAsia" w:asciiTheme="minorEastAsia" w:hAnsiTheme="minorEastAsia" w:eastAsiaTheme="minorEastAsia" w:cstheme="minorEastAsia"/>
          <w:color w:val="auto"/>
          <w:sz w:val="24"/>
          <w:szCs w:val="24"/>
          <w:u w:val="none" w:color="auto"/>
        </w:rPr>
        <w:t>努力提高烹调质量</w:t>
      </w:r>
      <w:r>
        <w:rPr>
          <w:rFonts w:hint="eastAsia" w:asciiTheme="minorEastAsia" w:hAnsiTheme="minorEastAsia" w:eastAsiaTheme="minorEastAsia" w:cstheme="minorEastAsia"/>
          <w:color w:val="auto"/>
          <w:sz w:val="24"/>
          <w:szCs w:val="24"/>
          <w:u w:val="none" w:color="auto"/>
          <w:lang w:eastAsia="zh-CN"/>
        </w:rPr>
        <w:t>。</w:t>
      </w:r>
    </w:p>
    <w:p w14:paraId="4ED6E02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color="auto"/>
          <w:lang w:val="en" w:eastAsia="zh-CN"/>
        </w:rPr>
        <w:t>4</w:t>
      </w:r>
      <w:r>
        <w:rPr>
          <w:rFonts w:hint="eastAsia" w:asciiTheme="minorEastAsia" w:hAnsiTheme="minorEastAsia" w:eastAsiaTheme="minorEastAsia" w:cstheme="minorEastAsia"/>
          <w:color w:val="auto"/>
          <w:sz w:val="24"/>
          <w:szCs w:val="24"/>
          <w:u w:val="none" w:color="auto"/>
          <w:lang w:val="en-US" w:eastAsia="zh-CN"/>
        </w:rPr>
        <w:t>.垃圾管理:</w:t>
      </w:r>
      <w:r>
        <w:rPr>
          <w:rFonts w:hint="eastAsia" w:asciiTheme="minorEastAsia" w:hAnsiTheme="minorEastAsia" w:eastAsiaTheme="minorEastAsia" w:cstheme="minorEastAsia"/>
          <w:b w:val="0"/>
          <w:bCs w:val="0"/>
          <w:color w:val="auto"/>
          <w:sz w:val="24"/>
          <w:szCs w:val="24"/>
          <w:u w:val="none" w:color="auto"/>
          <w:lang w:val="en-US" w:eastAsia="zh-CN"/>
        </w:rPr>
        <w:t>乙方</w:t>
      </w:r>
      <w:r>
        <w:rPr>
          <w:rFonts w:hint="eastAsia" w:asciiTheme="minorEastAsia" w:hAnsiTheme="minorEastAsia" w:eastAsiaTheme="minorEastAsia" w:cstheme="minorEastAsia"/>
          <w:b w:val="0"/>
          <w:bCs w:val="0"/>
          <w:color w:val="auto"/>
          <w:kern w:val="0"/>
          <w:sz w:val="24"/>
          <w:szCs w:val="24"/>
          <w:lang w:val="en-US" w:eastAsia="zh-CN" w:bidi="ar"/>
        </w:rPr>
        <w:t>须按照中、省、市有关垃圾分类的要求，设立垃圾管理岗（可兼职），由掌握相关知识的人员负责，在指定的餐厅外区域设置完好的垃圾分类容器并分类投放。餐厨垃圾应干湿分离、分类放置、及时清理，建立餐厨垃圾处置台账，详细记录处置时间、种类、数量、收运者信息等。垃圾投放区域应保持清洁，地面无污水、污渍、无异味、无蚊蝇滋生、无散积垃圾等，每天对餐厨垃圾区域进行一次消毒。禁止将餐厨垃圾交给未经相关部门许可或备案的餐厨垃圾收运、处理单位或个人处理。</w:t>
      </w:r>
    </w:p>
    <w:p w14:paraId="554360F6">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val="en" w:eastAsia="zh-CN"/>
        </w:rPr>
        <w:t>5</w:t>
      </w:r>
      <w:r>
        <w:rPr>
          <w:rFonts w:hint="eastAsia" w:asciiTheme="minorEastAsia" w:hAnsiTheme="minorEastAsia" w:eastAsiaTheme="minorEastAsia" w:cstheme="minorEastAsia"/>
          <w:color w:val="auto"/>
          <w:sz w:val="24"/>
          <w:szCs w:val="24"/>
          <w:u w:val="none" w:color="auto"/>
        </w:rPr>
        <w:t>.</w:t>
      </w:r>
      <w:r>
        <w:rPr>
          <w:rFonts w:hint="eastAsia" w:asciiTheme="minorEastAsia" w:hAnsiTheme="minorEastAsia" w:eastAsiaTheme="minorEastAsia" w:cstheme="minorEastAsia"/>
          <w:color w:val="auto"/>
          <w:sz w:val="24"/>
          <w:szCs w:val="24"/>
          <w:u w:val="none" w:color="auto"/>
          <w:lang w:eastAsia="zh-CN"/>
        </w:rPr>
        <w:t>厉行节约：</w:t>
      </w:r>
      <w:r>
        <w:rPr>
          <w:rFonts w:hint="eastAsia" w:asciiTheme="minorEastAsia" w:hAnsiTheme="minorEastAsia" w:eastAsiaTheme="minorEastAsia" w:cstheme="minorEastAsia"/>
          <w:b w:val="0"/>
          <w:bCs w:val="0"/>
          <w:color w:val="auto"/>
          <w:sz w:val="24"/>
          <w:szCs w:val="24"/>
          <w:u w:val="none" w:color="auto"/>
          <w:lang w:val="en-US" w:eastAsia="zh-CN"/>
        </w:rPr>
        <w:t>乙方</w:t>
      </w:r>
      <w:r>
        <w:rPr>
          <w:rFonts w:hint="eastAsia" w:asciiTheme="minorEastAsia" w:hAnsiTheme="minorEastAsia" w:eastAsiaTheme="minorEastAsia" w:cstheme="minorEastAsia"/>
          <w:color w:val="auto"/>
          <w:sz w:val="24"/>
          <w:szCs w:val="24"/>
          <w:u w:val="none" w:color="auto"/>
          <w:lang w:eastAsia="zh-CN"/>
        </w:rPr>
        <w:t>须按照《党政机关厉行节约反对浪费条例》规定，对照《陕西省机关食堂反食品浪费工作成效评价标准》要求，落实</w:t>
      </w:r>
      <w:r>
        <w:rPr>
          <w:rFonts w:hint="eastAsia" w:asciiTheme="minorEastAsia" w:hAnsiTheme="minorEastAsia" w:eastAsiaTheme="minorEastAsia" w:cstheme="minorEastAsia"/>
          <w:color w:val="auto"/>
          <w:sz w:val="24"/>
          <w:szCs w:val="24"/>
          <w:u w:val="none" w:color="auto"/>
          <w:lang w:val="en-US" w:eastAsia="zh-CN"/>
        </w:rPr>
        <w:t>计划、</w:t>
      </w:r>
      <w:r>
        <w:rPr>
          <w:rFonts w:hint="eastAsia" w:asciiTheme="minorEastAsia" w:hAnsiTheme="minorEastAsia" w:eastAsiaTheme="minorEastAsia" w:cstheme="minorEastAsia"/>
          <w:color w:val="auto"/>
          <w:sz w:val="24"/>
          <w:szCs w:val="24"/>
          <w:u w:val="none" w:color="auto"/>
          <w:lang w:eastAsia="zh-CN"/>
        </w:rPr>
        <w:t>采购、加工、</w:t>
      </w:r>
      <w:r>
        <w:rPr>
          <w:rFonts w:hint="eastAsia" w:asciiTheme="minorEastAsia" w:hAnsiTheme="minorEastAsia" w:eastAsiaTheme="minorEastAsia" w:cstheme="minorEastAsia"/>
          <w:color w:val="auto"/>
          <w:sz w:val="24"/>
          <w:szCs w:val="24"/>
          <w:u w:val="none" w:color="auto"/>
          <w:lang w:val="en-US" w:eastAsia="zh-CN"/>
        </w:rPr>
        <w:t>台账管理、食品检测、成品</w:t>
      </w:r>
      <w:r>
        <w:rPr>
          <w:rFonts w:hint="eastAsia" w:asciiTheme="minorEastAsia" w:hAnsiTheme="minorEastAsia" w:eastAsiaTheme="minorEastAsia" w:cstheme="minorEastAsia"/>
          <w:color w:val="auto"/>
          <w:sz w:val="24"/>
          <w:szCs w:val="24"/>
          <w:u w:val="none" w:color="auto"/>
          <w:lang w:eastAsia="zh-CN"/>
        </w:rPr>
        <w:t>制作、贮存、留样、防鼠防虫等全环节的反食品浪费措施。</w:t>
      </w:r>
      <w:r>
        <w:rPr>
          <w:rFonts w:hint="eastAsia" w:asciiTheme="minorEastAsia" w:hAnsiTheme="minorEastAsia" w:eastAsiaTheme="minorEastAsia" w:cstheme="minorEastAsia"/>
          <w:color w:val="auto"/>
          <w:sz w:val="24"/>
          <w:szCs w:val="24"/>
          <w:u w:val="none" w:color="auto"/>
          <w:lang w:val="en-US" w:eastAsia="zh-CN"/>
        </w:rPr>
        <w:t>每天</w:t>
      </w:r>
      <w:r>
        <w:rPr>
          <w:rFonts w:hint="eastAsia" w:asciiTheme="minorEastAsia" w:hAnsiTheme="minorEastAsia" w:eastAsiaTheme="minorEastAsia" w:cstheme="minorEastAsia"/>
          <w:color w:val="auto"/>
          <w:sz w:val="24"/>
          <w:szCs w:val="24"/>
          <w:u w:val="none" w:color="auto"/>
          <w:lang w:eastAsia="zh-CN"/>
        </w:rPr>
        <w:t>每餐对餐厨垃圾称重，计算垃圾系数并记录台账。“光盘”和“剩餐”是乙方</w:t>
      </w:r>
      <w:r>
        <w:rPr>
          <w:rFonts w:hint="eastAsia" w:asciiTheme="minorEastAsia" w:hAnsiTheme="minorEastAsia" w:eastAsiaTheme="minorEastAsia" w:cstheme="minorEastAsia"/>
          <w:color w:val="auto"/>
          <w:sz w:val="24"/>
          <w:szCs w:val="24"/>
          <w:u w:val="none" w:color="auto"/>
          <w:lang w:val="en-US" w:eastAsia="zh-CN"/>
        </w:rPr>
        <w:t>经营和服务</w:t>
      </w:r>
      <w:r>
        <w:rPr>
          <w:rFonts w:hint="eastAsia" w:asciiTheme="minorEastAsia" w:hAnsiTheme="minorEastAsia" w:eastAsiaTheme="minorEastAsia" w:cstheme="minorEastAsia"/>
          <w:color w:val="auto"/>
          <w:sz w:val="24"/>
          <w:szCs w:val="24"/>
          <w:u w:val="none" w:color="auto"/>
          <w:lang w:eastAsia="zh-CN"/>
        </w:rPr>
        <w:t>水平的集中反映，</w:t>
      </w:r>
      <w:r>
        <w:rPr>
          <w:rFonts w:hint="eastAsia" w:asciiTheme="minorEastAsia" w:hAnsiTheme="minorEastAsia" w:eastAsiaTheme="minorEastAsia" w:cstheme="minorEastAsia"/>
          <w:color w:val="auto"/>
          <w:sz w:val="24"/>
          <w:szCs w:val="24"/>
          <w:u w:val="none" w:color="auto"/>
          <w:lang w:val="en-US" w:eastAsia="zh-CN"/>
        </w:rPr>
        <w:t>集中办公区的由</w:t>
      </w:r>
      <w:r>
        <w:rPr>
          <w:rFonts w:hint="eastAsia" w:asciiTheme="minorEastAsia" w:hAnsiTheme="minorEastAsia" w:eastAsiaTheme="minorEastAsia" w:cstheme="minorEastAsia"/>
          <w:color w:val="auto"/>
          <w:sz w:val="24"/>
          <w:szCs w:val="24"/>
          <w:u w:val="none" w:color="auto"/>
          <w:lang w:eastAsia="zh-CN"/>
        </w:rPr>
        <w:t>甲方、</w:t>
      </w:r>
      <w:r>
        <w:rPr>
          <w:rFonts w:hint="eastAsia" w:asciiTheme="minorEastAsia" w:hAnsiTheme="minorEastAsia" w:eastAsiaTheme="minorEastAsia" w:cstheme="minorEastAsia"/>
          <w:color w:val="auto"/>
          <w:sz w:val="24"/>
          <w:szCs w:val="24"/>
          <w:u w:val="none" w:color="auto"/>
          <w:lang w:val="en-US" w:eastAsia="zh-CN"/>
        </w:rPr>
        <w:t>分散办公区的由</w:t>
      </w:r>
      <w:r>
        <w:rPr>
          <w:rFonts w:hint="eastAsia" w:asciiTheme="minorEastAsia" w:hAnsiTheme="minorEastAsia" w:eastAsiaTheme="minorEastAsia" w:cstheme="minorEastAsia"/>
          <w:color w:val="auto"/>
          <w:sz w:val="24"/>
          <w:szCs w:val="24"/>
          <w:u w:val="none" w:color="auto"/>
          <w:lang w:eastAsia="zh-CN"/>
        </w:rPr>
        <w:t>丙方对“剩餐”现象进行严格考核，杜绝因饭菜质量不佳导致的餐饮浪费现象。</w:t>
      </w:r>
    </w:p>
    <w:p w14:paraId="0BF99CDE">
      <w:pPr>
        <w:keepNext w:val="0"/>
        <w:keepLines w:val="0"/>
        <w:pageBreakBefore w:val="0"/>
        <w:widowControl w:val="0"/>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u w:val="none" w:color="auto"/>
          <w:lang w:val="en" w:eastAsia="zh-CN"/>
        </w:rPr>
        <w:t>6</w:t>
      </w:r>
      <w:r>
        <w:rPr>
          <w:rFonts w:hint="eastAsia" w:asciiTheme="minorEastAsia" w:hAnsiTheme="minorEastAsia" w:eastAsiaTheme="minorEastAsia" w:cstheme="minorEastAsia"/>
          <w:color w:val="auto"/>
          <w:sz w:val="24"/>
          <w:szCs w:val="24"/>
          <w:u w:val="none" w:color="auto"/>
        </w:rPr>
        <w:t>.设施设备管理：</w:t>
      </w:r>
      <w:r>
        <w:rPr>
          <w:rFonts w:hint="eastAsia" w:asciiTheme="minorEastAsia" w:hAnsiTheme="minorEastAsia" w:eastAsiaTheme="minorEastAsia" w:cstheme="minorEastAsia"/>
          <w:b w:val="0"/>
          <w:bCs w:val="0"/>
          <w:color w:val="auto"/>
          <w:sz w:val="24"/>
          <w:szCs w:val="24"/>
          <w:u w:val="none" w:color="auto"/>
          <w:lang w:val="en-US" w:eastAsia="zh-CN"/>
        </w:rPr>
        <w:t>乙方</w:t>
      </w:r>
      <w:r>
        <w:rPr>
          <w:rFonts w:hint="eastAsia" w:asciiTheme="minorEastAsia" w:hAnsiTheme="minorEastAsia" w:eastAsiaTheme="minorEastAsia" w:cstheme="minorEastAsia"/>
          <w:color w:val="auto"/>
          <w:sz w:val="24"/>
          <w:szCs w:val="24"/>
          <w:u w:val="none" w:color="auto"/>
        </w:rPr>
        <w:t>要加强餐厨设备、餐厅公共设施的管理，</w:t>
      </w:r>
      <w:r>
        <w:rPr>
          <w:rFonts w:hint="eastAsia" w:asciiTheme="minorEastAsia" w:hAnsiTheme="minorEastAsia" w:eastAsiaTheme="minorEastAsia" w:cstheme="minorEastAsia"/>
          <w:color w:val="auto"/>
          <w:sz w:val="24"/>
          <w:szCs w:val="24"/>
          <w:u w:val="none" w:color="auto"/>
          <w:lang w:eastAsia="zh-CN"/>
        </w:rPr>
        <w:t>爱惜厨房设施设备，</w:t>
      </w:r>
      <w:r>
        <w:rPr>
          <w:rFonts w:hint="eastAsia" w:asciiTheme="minorEastAsia" w:hAnsiTheme="minorEastAsia" w:eastAsiaTheme="minorEastAsia" w:cstheme="minorEastAsia"/>
          <w:color w:val="auto"/>
          <w:sz w:val="24"/>
          <w:szCs w:val="24"/>
          <w:u w:val="none" w:color="auto"/>
        </w:rPr>
        <w:t>确保</w:t>
      </w:r>
      <w:r>
        <w:rPr>
          <w:rFonts w:hint="eastAsia" w:asciiTheme="minorEastAsia" w:hAnsiTheme="minorEastAsia" w:eastAsiaTheme="minorEastAsia" w:cstheme="minorEastAsia"/>
          <w:color w:val="auto"/>
          <w:sz w:val="24"/>
          <w:szCs w:val="24"/>
          <w:u w:val="none" w:color="auto"/>
          <w:lang w:val="en-US" w:eastAsia="zh-CN"/>
        </w:rPr>
        <w:t>设施</w:t>
      </w:r>
      <w:r>
        <w:rPr>
          <w:rFonts w:hint="eastAsia" w:asciiTheme="minorEastAsia" w:hAnsiTheme="minorEastAsia" w:eastAsiaTheme="minorEastAsia" w:cstheme="minorEastAsia"/>
          <w:color w:val="auto"/>
          <w:sz w:val="24"/>
          <w:szCs w:val="24"/>
          <w:u w:val="none" w:color="auto"/>
        </w:rPr>
        <w:t>设备安全完整，提高使用寿命。</w:t>
      </w:r>
      <w:r>
        <w:rPr>
          <w:rFonts w:hint="eastAsia" w:asciiTheme="minorEastAsia" w:hAnsiTheme="minorEastAsia" w:eastAsiaTheme="minorEastAsia" w:cstheme="minorEastAsia"/>
          <w:color w:val="auto"/>
          <w:sz w:val="24"/>
          <w:szCs w:val="24"/>
          <w:u w:val="none" w:color="auto"/>
          <w:lang w:eastAsia="zh-CN"/>
        </w:rPr>
        <w:t>如果发现人为损坏，应照价赔偿。</w:t>
      </w:r>
      <w:r>
        <w:rPr>
          <w:rFonts w:hint="eastAsia" w:asciiTheme="minorEastAsia" w:hAnsiTheme="minorEastAsia" w:eastAsiaTheme="minorEastAsia" w:cstheme="minorEastAsia"/>
          <w:color w:val="auto"/>
          <w:sz w:val="24"/>
          <w:szCs w:val="24"/>
          <w:u w:val="none" w:color="auto"/>
        </w:rPr>
        <w:t>建立厨房设施设备台账，定期核对和清点，确保设施设备完整；及时清理设施设备上摆放的杂物以及浮尘、油渍等污染物，确保设施设备干净整洁；及时清理排污、排水等管道，确保管道畅通；严格按操作规程使用和保养设施设备，确保安全规范使用。</w:t>
      </w:r>
      <w:r>
        <w:rPr>
          <w:rFonts w:hint="eastAsia" w:asciiTheme="minorEastAsia" w:hAnsiTheme="minorEastAsia" w:eastAsiaTheme="minorEastAsia" w:cstheme="minorEastAsia"/>
          <w:color w:val="auto"/>
          <w:sz w:val="24"/>
          <w:szCs w:val="24"/>
          <w:u w:val="none" w:color="auto"/>
          <w:lang w:eastAsia="zh-CN"/>
        </w:rPr>
        <w:t>各灶设施设备不得随意挪用，如需转移，</w:t>
      </w:r>
      <w:r>
        <w:rPr>
          <w:rFonts w:hint="eastAsia" w:asciiTheme="minorEastAsia" w:hAnsiTheme="minorEastAsia" w:eastAsiaTheme="minorEastAsia" w:cstheme="minorEastAsia"/>
          <w:color w:val="auto"/>
          <w:sz w:val="24"/>
          <w:szCs w:val="24"/>
          <w:u w:val="none" w:color="auto"/>
          <w:lang w:val="en-US" w:eastAsia="zh-CN"/>
        </w:rPr>
        <w:t>集中办公区的由</w:t>
      </w:r>
      <w:r>
        <w:rPr>
          <w:rFonts w:hint="eastAsia" w:asciiTheme="minorEastAsia" w:hAnsiTheme="minorEastAsia" w:eastAsiaTheme="minorEastAsia" w:cstheme="minorEastAsia"/>
          <w:color w:val="auto"/>
          <w:sz w:val="24"/>
          <w:szCs w:val="24"/>
          <w:u w:val="none" w:color="auto"/>
          <w:lang w:eastAsia="zh-CN"/>
        </w:rPr>
        <w:t>甲方、</w:t>
      </w:r>
      <w:r>
        <w:rPr>
          <w:rFonts w:hint="eastAsia" w:asciiTheme="minorEastAsia" w:hAnsiTheme="minorEastAsia" w:eastAsiaTheme="minorEastAsia" w:cstheme="minorEastAsia"/>
          <w:color w:val="auto"/>
          <w:sz w:val="24"/>
          <w:szCs w:val="24"/>
          <w:u w:val="none" w:color="auto"/>
          <w:lang w:val="en-US" w:eastAsia="zh-CN"/>
        </w:rPr>
        <w:t>分散办公区的由</w:t>
      </w:r>
      <w:r>
        <w:rPr>
          <w:rFonts w:hint="eastAsia" w:asciiTheme="minorEastAsia" w:hAnsiTheme="minorEastAsia" w:eastAsiaTheme="minorEastAsia" w:cstheme="minorEastAsia"/>
          <w:color w:val="auto"/>
          <w:sz w:val="24"/>
          <w:szCs w:val="24"/>
          <w:u w:val="none" w:color="auto"/>
          <w:lang w:eastAsia="zh-CN"/>
        </w:rPr>
        <w:t>丙方同意后，方可挪用。</w:t>
      </w:r>
    </w:p>
    <w:p w14:paraId="4DF39327">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z w:val="24"/>
          <w:szCs w:val="24"/>
          <w:u w:val="none" w:color="auto"/>
          <w:lang w:val="en" w:eastAsia="zh-CN"/>
        </w:rPr>
        <w:t>7</w:t>
      </w:r>
      <w:r>
        <w:rPr>
          <w:rFonts w:hint="eastAsia" w:asciiTheme="minorEastAsia" w:hAnsiTheme="minorEastAsia" w:eastAsiaTheme="minorEastAsia" w:cstheme="minorEastAsia"/>
          <w:color w:val="auto"/>
          <w:sz w:val="24"/>
          <w:szCs w:val="24"/>
          <w:u w:val="none" w:color="auto"/>
          <w:lang w:val="en-US" w:eastAsia="zh-CN"/>
        </w:rPr>
        <w:t>.厨具及低值易耗品管理：按照谁投资购买，产权归谁的原则，分类管理。后期由乙方投资购买的，产权归乙方。在合同期内，各方进行产权管理和登记，并负责监督；乙方负责使用管理，对厨具用具的完好状态负责，最大限度的提高使用寿命。乙方投资购买属于新增的，集中办公区的报</w:t>
      </w:r>
      <w:r>
        <w:rPr>
          <w:rFonts w:hint="eastAsia" w:asciiTheme="minorEastAsia" w:hAnsiTheme="minorEastAsia" w:eastAsiaTheme="minorEastAsia" w:cstheme="minorEastAsia"/>
          <w:color w:val="auto"/>
          <w:sz w:val="24"/>
          <w:szCs w:val="24"/>
          <w:u w:val="none" w:color="auto"/>
          <w:lang w:eastAsia="zh-CN"/>
        </w:rPr>
        <w:t>甲方、</w:t>
      </w:r>
      <w:r>
        <w:rPr>
          <w:rFonts w:hint="eastAsia" w:asciiTheme="minorEastAsia" w:hAnsiTheme="minorEastAsia" w:eastAsiaTheme="minorEastAsia" w:cstheme="minorEastAsia"/>
          <w:color w:val="auto"/>
          <w:sz w:val="24"/>
          <w:szCs w:val="24"/>
          <w:u w:val="none" w:color="auto"/>
          <w:lang w:val="en-US" w:eastAsia="zh-CN"/>
        </w:rPr>
        <w:t>分散办公区的报</w:t>
      </w:r>
      <w:r>
        <w:rPr>
          <w:rFonts w:hint="eastAsia" w:asciiTheme="minorEastAsia" w:hAnsiTheme="minorEastAsia" w:eastAsiaTheme="minorEastAsia" w:cstheme="minorEastAsia"/>
          <w:color w:val="auto"/>
          <w:sz w:val="24"/>
          <w:szCs w:val="24"/>
          <w:u w:val="none" w:color="auto"/>
          <w:lang w:eastAsia="zh-CN"/>
        </w:rPr>
        <w:t>丙方</w:t>
      </w:r>
      <w:r>
        <w:rPr>
          <w:rFonts w:hint="eastAsia" w:asciiTheme="minorEastAsia" w:hAnsiTheme="minorEastAsia" w:eastAsiaTheme="minorEastAsia" w:cstheme="minorEastAsia"/>
          <w:color w:val="auto"/>
          <w:sz w:val="24"/>
          <w:szCs w:val="24"/>
          <w:u w:val="none" w:color="auto"/>
          <w:lang w:val="en-US" w:eastAsia="zh-CN"/>
        </w:rPr>
        <w:t>备案登记；属于更新的，须按照交旧购新的原则集中办公区的报</w:t>
      </w:r>
      <w:r>
        <w:rPr>
          <w:rFonts w:hint="eastAsia" w:asciiTheme="minorEastAsia" w:hAnsiTheme="minorEastAsia" w:eastAsiaTheme="minorEastAsia" w:cstheme="minorEastAsia"/>
          <w:color w:val="auto"/>
          <w:sz w:val="24"/>
          <w:szCs w:val="24"/>
          <w:u w:val="none" w:color="auto"/>
          <w:lang w:eastAsia="zh-CN"/>
        </w:rPr>
        <w:t>甲方、</w:t>
      </w:r>
      <w:r>
        <w:rPr>
          <w:rFonts w:hint="eastAsia" w:asciiTheme="minorEastAsia" w:hAnsiTheme="minorEastAsia" w:eastAsiaTheme="minorEastAsia" w:cstheme="minorEastAsia"/>
          <w:color w:val="auto"/>
          <w:sz w:val="24"/>
          <w:szCs w:val="24"/>
          <w:u w:val="none" w:color="auto"/>
          <w:lang w:val="en-US" w:eastAsia="zh-CN"/>
        </w:rPr>
        <w:t>分散办公区的报</w:t>
      </w:r>
      <w:r>
        <w:rPr>
          <w:rFonts w:hint="eastAsia" w:asciiTheme="minorEastAsia" w:hAnsiTheme="minorEastAsia" w:eastAsiaTheme="minorEastAsia" w:cstheme="minorEastAsia"/>
          <w:color w:val="auto"/>
          <w:sz w:val="24"/>
          <w:szCs w:val="24"/>
          <w:u w:val="none" w:color="auto"/>
          <w:lang w:eastAsia="zh-CN"/>
        </w:rPr>
        <w:t>丙方</w:t>
      </w:r>
      <w:r>
        <w:rPr>
          <w:rFonts w:hint="eastAsia" w:asciiTheme="minorEastAsia" w:hAnsiTheme="minorEastAsia" w:eastAsiaTheme="minorEastAsia" w:cstheme="minorEastAsia"/>
          <w:color w:val="auto"/>
          <w:sz w:val="24"/>
          <w:szCs w:val="24"/>
          <w:u w:val="none" w:color="auto"/>
          <w:lang w:val="en-US" w:eastAsia="zh-CN"/>
        </w:rPr>
        <w:t>备案登记。双方每月至少进行一次账账、账实核对，确保资产安全完整、产权清晰。</w:t>
      </w:r>
      <w:r>
        <w:rPr>
          <w:rFonts w:hint="eastAsia" w:asciiTheme="minorEastAsia" w:hAnsiTheme="minorEastAsia" w:eastAsiaTheme="minorEastAsia" w:cstheme="minorEastAsia"/>
          <w:color w:val="auto"/>
          <w:spacing w:val="10"/>
          <w:kern w:val="2"/>
          <w:sz w:val="24"/>
          <w:szCs w:val="24"/>
          <w:lang w:val="en-US" w:eastAsia="zh-CN" w:bidi="ar-SA"/>
        </w:rPr>
        <w:t>合同期满后，乙方须按照最新资产台账完好如数交回厨具及低值易耗品（年损耗≤15%属正常现象），如年损耗＞15%的，应补齐超出部分的损耗，否则</w:t>
      </w:r>
      <w:r>
        <w:rPr>
          <w:rFonts w:hint="eastAsia" w:asciiTheme="minorEastAsia" w:hAnsiTheme="minorEastAsia" w:eastAsiaTheme="minorEastAsia" w:cstheme="minorEastAsia"/>
          <w:color w:val="auto"/>
          <w:sz w:val="24"/>
          <w:szCs w:val="24"/>
          <w:u w:val="none" w:color="auto"/>
          <w:lang w:val="en-US" w:eastAsia="zh-CN"/>
        </w:rPr>
        <w:t>集中办公区的由</w:t>
      </w:r>
      <w:r>
        <w:rPr>
          <w:rFonts w:hint="eastAsia" w:asciiTheme="minorEastAsia" w:hAnsiTheme="minorEastAsia" w:eastAsiaTheme="minorEastAsia" w:cstheme="minorEastAsia"/>
          <w:color w:val="auto"/>
          <w:sz w:val="24"/>
          <w:szCs w:val="24"/>
          <w:u w:val="none" w:color="auto"/>
          <w:lang w:eastAsia="zh-CN"/>
        </w:rPr>
        <w:t>甲方、</w:t>
      </w:r>
      <w:r>
        <w:rPr>
          <w:rFonts w:hint="eastAsia" w:asciiTheme="minorEastAsia" w:hAnsiTheme="minorEastAsia" w:eastAsiaTheme="minorEastAsia" w:cstheme="minorEastAsia"/>
          <w:color w:val="auto"/>
          <w:sz w:val="24"/>
          <w:szCs w:val="24"/>
          <w:u w:val="none" w:color="auto"/>
          <w:lang w:val="en-US" w:eastAsia="zh-CN"/>
        </w:rPr>
        <w:t>分散办公区的由</w:t>
      </w:r>
      <w:r>
        <w:rPr>
          <w:rFonts w:hint="eastAsia" w:asciiTheme="minorEastAsia" w:hAnsiTheme="minorEastAsia" w:eastAsiaTheme="minorEastAsia" w:cstheme="minorEastAsia"/>
          <w:color w:val="auto"/>
          <w:sz w:val="24"/>
          <w:szCs w:val="24"/>
          <w:u w:val="none" w:color="auto"/>
          <w:lang w:eastAsia="zh-CN"/>
        </w:rPr>
        <w:t>丙方</w:t>
      </w:r>
      <w:r>
        <w:rPr>
          <w:rFonts w:hint="eastAsia" w:asciiTheme="minorEastAsia" w:hAnsiTheme="minorEastAsia" w:eastAsiaTheme="minorEastAsia" w:cstheme="minorEastAsia"/>
          <w:color w:val="auto"/>
          <w:spacing w:val="10"/>
          <w:kern w:val="2"/>
          <w:sz w:val="24"/>
          <w:szCs w:val="24"/>
          <w:lang w:val="en-US" w:eastAsia="zh-CN" w:bidi="ar-SA"/>
        </w:rPr>
        <w:t>将按照市场价从托管费中扣除相应费用。</w:t>
      </w:r>
    </w:p>
    <w:p w14:paraId="70CEA5E0">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pacing w:val="10"/>
          <w:kern w:val="2"/>
          <w:sz w:val="24"/>
          <w:szCs w:val="24"/>
          <w:lang w:val="en-US" w:eastAsia="zh-CN" w:bidi="ar-SA"/>
        </w:rPr>
        <w:t>禁止采购不合格的餐厨具；禁止“拆东墙补西墙”互相借用餐厨具；如出现因餐厨具等低值易耗品而影响供餐保障的现象，</w:t>
      </w:r>
      <w:r>
        <w:rPr>
          <w:rFonts w:hint="eastAsia" w:asciiTheme="minorEastAsia" w:hAnsiTheme="minorEastAsia" w:eastAsiaTheme="minorEastAsia" w:cstheme="minorEastAsia"/>
          <w:color w:val="auto"/>
          <w:sz w:val="24"/>
          <w:szCs w:val="24"/>
          <w:u w:val="none" w:color="auto"/>
          <w:lang w:val="en-US" w:eastAsia="zh-CN"/>
        </w:rPr>
        <w:t>集中办公区的由</w:t>
      </w:r>
      <w:r>
        <w:rPr>
          <w:rFonts w:hint="eastAsia" w:asciiTheme="minorEastAsia" w:hAnsiTheme="minorEastAsia" w:eastAsiaTheme="minorEastAsia" w:cstheme="minorEastAsia"/>
          <w:color w:val="auto"/>
          <w:sz w:val="24"/>
          <w:szCs w:val="24"/>
          <w:u w:val="none" w:color="auto"/>
          <w:lang w:eastAsia="zh-CN"/>
        </w:rPr>
        <w:t>甲方、</w:t>
      </w:r>
      <w:r>
        <w:rPr>
          <w:rFonts w:hint="eastAsia" w:asciiTheme="minorEastAsia" w:hAnsiTheme="minorEastAsia" w:eastAsiaTheme="minorEastAsia" w:cstheme="minorEastAsia"/>
          <w:color w:val="auto"/>
          <w:sz w:val="24"/>
          <w:szCs w:val="24"/>
          <w:u w:val="none" w:color="auto"/>
          <w:lang w:val="en-US" w:eastAsia="zh-CN"/>
        </w:rPr>
        <w:t>分散办公区的由</w:t>
      </w:r>
      <w:r>
        <w:rPr>
          <w:rFonts w:hint="eastAsia" w:asciiTheme="minorEastAsia" w:hAnsiTheme="minorEastAsia" w:eastAsiaTheme="minorEastAsia" w:cstheme="minorEastAsia"/>
          <w:color w:val="auto"/>
          <w:sz w:val="24"/>
          <w:szCs w:val="24"/>
          <w:u w:val="none" w:color="auto"/>
          <w:lang w:eastAsia="zh-CN"/>
        </w:rPr>
        <w:t>丙方</w:t>
      </w:r>
      <w:r>
        <w:rPr>
          <w:rFonts w:hint="eastAsia" w:asciiTheme="minorEastAsia" w:hAnsiTheme="minorEastAsia" w:eastAsiaTheme="minorEastAsia" w:cstheme="minorEastAsia"/>
          <w:color w:val="auto"/>
          <w:spacing w:val="10"/>
          <w:kern w:val="2"/>
          <w:sz w:val="24"/>
          <w:szCs w:val="24"/>
          <w:lang w:val="en-US" w:eastAsia="zh-CN" w:bidi="ar-SA"/>
        </w:rPr>
        <w:t>自行采购并按市场价从托管费中扣除相应费用，其产权归甲方所有。</w:t>
      </w:r>
    </w:p>
    <w:p w14:paraId="2DC9ACE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 w:eastAsia="zh-CN"/>
        </w:rPr>
        <w:t>8</w:t>
      </w:r>
      <w:r>
        <w:rPr>
          <w:rFonts w:hint="eastAsia" w:asciiTheme="minorEastAsia" w:hAnsiTheme="minorEastAsia" w:eastAsiaTheme="minorEastAsia" w:cstheme="minorEastAsia"/>
          <w:color w:val="auto"/>
          <w:sz w:val="24"/>
          <w:szCs w:val="24"/>
          <w:u w:val="none" w:color="auto"/>
          <w:lang w:val="en-US" w:eastAsia="zh-CN"/>
        </w:rPr>
        <w:t>.实现公平竞争：乙方通过“智慧餐厅”APP，提前一周公布下一周经营养师签字审定的菜单，于每餐开餐前10分钟，向干部职工发布成品及当餐菜单。要自觉接受群众监督，听取群众意见，对群众反映属实的管理不到位的事项，限期整改；对群众提出的有利于提高餐饮保障和服务水平的建设性意见，要认真采纳。</w:t>
      </w:r>
    </w:p>
    <w:p w14:paraId="1B950476">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 w:eastAsia="zh-CN"/>
        </w:rPr>
        <w:t>9</w:t>
      </w:r>
      <w:r>
        <w:rPr>
          <w:rFonts w:hint="eastAsia" w:asciiTheme="minorEastAsia" w:hAnsiTheme="minorEastAsia" w:eastAsiaTheme="minorEastAsia" w:cstheme="minorEastAsia"/>
          <w:color w:val="auto"/>
          <w:sz w:val="24"/>
          <w:szCs w:val="24"/>
          <w:u w:val="none" w:color="auto"/>
          <w:lang w:val="en-US" w:eastAsia="zh-CN"/>
        </w:rPr>
        <w:t>.配合智慧化管理：乙方需按照“i延安”APP建设要求，在宝塔区农村商业银行股份有限公司开设结算账户，确保消费资金和托管费用及时准确得到结算。要及时关注“i延安”APP“食堂菜谱”中的意见建议，向就餐者做好解释工作，并以问题为导向改进落实。要及时回应社会关切，解决好“12345”热线反映的关于机关食堂的所有问题。</w:t>
      </w:r>
    </w:p>
    <w:p w14:paraId="4EAACFB0">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val="en-US" w:eastAsia="zh-CN"/>
        </w:rPr>
        <w:t>1</w:t>
      </w:r>
      <w:r>
        <w:rPr>
          <w:rFonts w:hint="eastAsia" w:asciiTheme="minorEastAsia" w:hAnsiTheme="minorEastAsia" w:eastAsiaTheme="minorEastAsia" w:cstheme="minorEastAsia"/>
          <w:color w:val="auto"/>
          <w:sz w:val="24"/>
          <w:szCs w:val="24"/>
          <w:u w:val="none" w:color="auto"/>
          <w:lang w:val="en" w:eastAsia="zh-CN"/>
        </w:rPr>
        <w:t>0</w:t>
      </w:r>
      <w:r>
        <w:rPr>
          <w:rFonts w:hint="eastAsia" w:asciiTheme="minorEastAsia" w:hAnsiTheme="minorEastAsia" w:eastAsiaTheme="minorEastAsia" w:cstheme="minorEastAsia"/>
          <w:color w:val="auto"/>
          <w:sz w:val="24"/>
          <w:szCs w:val="24"/>
          <w:u w:val="none" w:color="auto"/>
        </w:rPr>
        <w:t>.应急保障：</w:t>
      </w:r>
      <w:r>
        <w:rPr>
          <w:rFonts w:hint="eastAsia" w:asciiTheme="minorEastAsia" w:hAnsiTheme="minorEastAsia" w:eastAsiaTheme="minorEastAsia" w:cstheme="minorEastAsia"/>
          <w:color w:val="auto"/>
          <w:sz w:val="24"/>
          <w:szCs w:val="24"/>
          <w:u w:val="none" w:color="auto"/>
          <w:lang w:val="en-US" w:eastAsia="zh-CN"/>
        </w:rPr>
        <w:t>乙方</w:t>
      </w:r>
      <w:r>
        <w:rPr>
          <w:rFonts w:hint="eastAsia" w:asciiTheme="minorEastAsia" w:hAnsiTheme="minorEastAsia" w:eastAsiaTheme="minorEastAsia" w:cstheme="minorEastAsia"/>
          <w:color w:val="auto"/>
          <w:sz w:val="24"/>
          <w:szCs w:val="24"/>
          <w:u w:val="none" w:color="auto"/>
        </w:rPr>
        <w:t>必须有科学、完善、合理的应急预案</w:t>
      </w:r>
      <w:r>
        <w:rPr>
          <w:rFonts w:hint="eastAsia" w:asciiTheme="minorEastAsia" w:hAnsiTheme="minorEastAsia" w:eastAsia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sz w:val="24"/>
          <w:szCs w:val="24"/>
          <w:u w:val="none" w:color="auto"/>
        </w:rPr>
        <w:t>对停水、停电、停气等</w:t>
      </w:r>
      <w:r>
        <w:rPr>
          <w:rFonts w:hint="eastAsia" w:asciiTheme="minorEastAsia" w:hAnsiTheme="minorEastAsia" w:eastAsiaTheme="minorEastAsia" w:cstheme="minorEastAsia"/>
          <w:color w:val="auto"/>
          <w:sz w:val="24"/>
          <w:szCs w:val="24"/>
          <w:u w:val="none" w:color="auto"/>
          <w:lang w:eastAsia="zh-CN"/>
        </w:rPr>
        <w:t>特殊</w:t>
      </w:r>
      <w:r>
        <w:rPr>
          <w:rFonts w:hint="eastAsia" w:asciiTheme="minorEastAsia" w:hAnsiTheme="minorEastAsia" w:eastAsiaTheme="minorEastAsia" w:cstheme="minorEastAsia"/>
          <w:color w:val="auto"/>
          <w:sz w:val="24"/>
          <w:szCs w:val="24"/>
          <w:u w:val="none" w:color="auto"/>
        </w:rPr>
        <w:t>情况</w:t>
      </w:r>
      <w:r>
        <w:rPr>
          <w:rFonts w:hint="eastAsia" w:asciiTheme="minorEastAsia" w:hAnsiTheme="minorEastAsia" w:eastAsiaTheme="minorEastAsia" w:cstheme="minorEastAsia"/>
          <w:color w:val="auto"/>
          <w:sz w:val="24"/>
          <w:szCs w:val="24"/>
          <w:u w:val="none" w:color="auto"/>
          <w:lang w:eastAsia="zh-CN"/>
        </w:rPr>
        <w:t>要</w:t>
      </w:r>
      <w:r>
        <w:rPr>
          <w:rFonts w:hint="eastAsia" w:asciiTheme="minorEastAsia" w:hAnsiTheme="minorEastAsia" w:eastAsiaTheme="minorEastAsia" w:cstheme="minorEastAsia"/>
          <w:color w:val="auto"/>
          <w:sz w:val="24"/>
          <w:szCs w:val="24"/>
          <w:u w:val="none" w:color="auto"/>
        </w:rPr>
        <w:t>有应对措施</w:t>
      </w:r>
      <w:r>
        <w:rPr>
          <w:rFonts w:hint="eastAsia" w:asciiTheme="minorEastAsia" w:hAnsiTheme="minorEastAsia" w:eastAsiaTheme="minorEastAsia" w:cstheme="minorEastAsia"/>
          <w:color w:val="auto"/>
          <w:sz w:val="24"/>
          <w:szCs w:val="24"/>
          <w:u w:val="none" w:color="auto"/>
          <w:lang w:eastAsia="zh-CN"/>
        </w:rPr>
        <w:t>，对疫情防控及处置要有应急保障措施，对火灾、漏电等突发事件要有应对措施。要建立有效的食品安全应急处置措施，确保饮食安全。</w:t>
      </w:r>
    </w:p>
    <w:p w14:paraId="22CC4414">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rPr>
          <w:rFonts w:hint="eastAsia" w:asciiTheme="minorEastAsia" w:hAnsiTheme="minorEastAsia" w:eastAsiaTheme="minorEastAsia" w:cstheme="minorEastAsia"/>
          <w:color w:val="auto"/>
          <w:spacing w:val="10"/>
          <w:kern w:val="2"/>
          <w:sz w:val="24"/>
          <w:szCs w:val="24"/>
          <w:lang w:val="zh-CN" w:eastAsia="zh-CN" w:bidi="ar-SA"/>
        </w:rPr>
      </w:pPr>
      <w:r>
        <w:rPr>
          <w:rFonts w:hint="eastAsia" w:asciiTheme="minorEastAsia" w:hAnsiTheme="minorEastAsia" w:eastAsiaTheme="minorEastAsia" w:cstheme="minorEastAsia"/>
          <w:color w:val="auto"/>
          <w:sz w:val="24"/>
          <w:szCs w:val="24"/>
          <w:u w:val="none" w:color="auto"/>
          <w:lang w:val="en-US" w:eastAsia="zh-CN"/>
        </w:rPr>
        <w:t>1</w:t>
      </w:r>
      <w:r>
        <w:rPr>
          <w:rFonts w:hint="eastAsia" w:asciiTheme="minorEastAsia" w:hAnsiTheme="minorEastAsia" w:eastAsiaTheme="minorEastAsia" w:cstheme="minorEastAsia"/>
          <w:color w:val="auto"/>
          <w:sz w:val="24"/>
          <w:szCs w:val="24"/>
          <w:u w:val="none" w:color="auto"/>
          <w:lang w:val="en" w:eastAsia="zh-CN"/>
        </w:rPr>
        <w:t>1</w:t>
      </w:r>
      <w:r>
        <w:rPr>
          <w:rFonts w:hint="eastAsia" w:asciiTheme="minorEastAsia" w:hAnsiTheme="minorEastAsia" w:eastAsiaTheme="minorEastAsia" w:cstheme="minorEastAsia"/>
          <w:color w:val="auto"/>
          <w:sz w:val="24"/>
          <w:szCs w:val="24"/>
          <w:u w:val="none" w:color="auto"/>
        </w:rPr>
        <w:t>.</w:t>
      </w:r>
      <w:r>
        <w:rPr>
          <w:rFonts w:hint="eastAsia" w:asciiTheme="minorEastAsia" w:hAnsiTheme="minorEastAsia" w:eastAsiaTheme="minorEastAsia" w:cstheme="minorEastAsia"/>
          <w:color w:val="auto"/>
          <w:sz w:val="24"/>
          <w:szCs w:val="24"/>
          <w:u w:val="none" w:color="auto"/>
          <w:lang w:eastAsia="zh-CN"/>
        </w:rPr>
        <w:t>其他事项：托管期内，未经同意，投标人不得私自转包，一经发现取消其经营资格。</w:t>
      </w:r>
      <w:r>
        <w:rPr>
          <w:rFonts w:hint="eastAsia" w:asciiTheme="minorEastAsia" w:hAnsiTheme="minorEastAsia" w:eastAsiaTheme="minorEastAsia" w:cstheme="minorEastAsia"/>
          <w:color w:val="auto"/>
          <w:spacing w:val="10"/>
          <w:kern w:val="2"/>
          <w:sz w:val="24"/>
          <w:szCs w:val="24"/>
          <w:lang w:val="en-US" w:eastAsia="zh-CN" w:bidi="ar-SA"/>
        </w:rPr>
        <w:t>（十）</w:t>
      </w:r>
      <w:r>
        <w:rPr>
          <w:rFonts w:hint="eastAsia" w:asciiTheme="minorEastAsia" w:hAnsiTheme="minorEastAsia" w:eastAsiaTheme="minorEastAsia" w:cstheme="minorEastAsia"/>
          <w:color w:val="auto"/>
          <w:spacing w:val="10"/>
          <w:kern w:val="2"/>
          <w:sz w:val="24"/>
          <w:szCs w:val="24"/>
          <w:lang w:val="zh-CN" w:eastAsia="zh-CN" w:bidi="ar-SA"/>
        </w:rPr>
        <w:t>合同价款</w:t>
      </w:r>
    </w:p>
    <w:p w14:paraId="2583FB7C">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kern w:val="2"/>
          <w:sz w:val="24"/>
          <w:szCs w:val="24"/>
          <w:u w:val="none" w:color="auto"/>
          <w:lang w:val="zh-CN" w:eastAsia="zh-CN" w:bidi="ar-SA"/>
        </w:rPr>
      </w:pPr>
      <w:r>
        <w:rPr>
          <w:rFonts w:hint="eastAsia" w:asciiTheme="minorEastAsia" w:hAnsiTheme="minorEastAsia" w:eastAsiaTheme="minorEastAsia" w:cstheme="minorEastAsia"/>
          <w:color w:val="auto"/>
          <w:kern w:val="2"/>
          <w:sz w:val="24"/>
          <w:szCs w:val="24"/>
          <w:u w:val="none" w:color="auto"/>
          <w:lang w:val="en-US" w:eastAsia="zh-CN" w:bidi="ar-SA"/>
        </w:rPr>
        <w:t>每年</w:t>
      </w:r>
      <w:r>
        <w:rPr>
          <w:rFonts w:hint="eastAsia" w:asciiTheme="minorEastAsia" w:hAnsiTheme="minorEastAsia" w:eastAsiaTheme="minorEastAsia" w:cstheme="minorEastAsia"/>
          <w:color w:val="auto"/>
          <w:kern w:val="2"/>
          <w:sz w:val="24"/>
          <w:szCs w:val="24"/>
          <w:u w:val="none" w:color="auto"/>
          <w:lang w:val="zh-CN" w:eastAsia="zh-CN" w:bidi="ar-SA"/>
        </w:rPr>
        <w:t>合同总价：人民币（大写）</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u w:val="none" w:color="auto"/>
          <w:lang w:val="zh-CN" w:eastAsia="zh-CN" w:bidi="ar-SA"/>
        </w:rPr>
        <w:t>元整（￥</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u w:val="none" w:color="auto"/>
          <w:lang w:val="zh-CN" w:eastAsia="zh-CN" w:bidi="ar-SA"/>
        </w:rPr>
        <w:t>元）。</w:t>
      </w:r>
    </w:p>
    <w:p w14:paraId="15C03CED">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zh-CN" w:eastAsia="zh-CN" w:bidi="ar-SA"/>
        </w:rPr>
      </w:pPr>
      <w:r>
        <w:rPr>
          <w:rFonts w:hint="eastAsia" w:asciiTheme="minorEastAsia" w:hAnsiTheme="minorEastAsia" w:eastAsiaTheme="minorEastAsia" w:cstheme="minorEastAsia"/>
          <w:color w:val="auto"/>
          <w:spacing w:val="10"/>
          <w:kern w:val="2"/>
          <w:sz w:val="24"/>
          <w:szCs w:val="24"/>
          <w:lang w:val="zh-CN" w:eastAsia="zh-CN" w:bidi="ar-SA"/>
        </w:rPr>
        <w:t>中标单价：</w:t>
      </w:r>
    </w:p>
    <w:tbl>
      <w:tblPr>
        <w:tblStyle w:val="23"/>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099"/>
        <w:gridCol w:w="1515"/>
        <w:gridCol w:w="1160"/>
        <w:gridCol w:w="1210"/>
        <w:gridCol w:w="1220"/>
        <w:gridCol w:w="1366"/>
      </w:tblGrid>
      <w:tr w14:paraId="72CE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941" w:type="dxa"/>
            <w:gridSpan w:val="3"/>
            <w:tcBorders>
              <w:tl2br w:val="single" w:color="auto" w:sz="4" w:space="0"/>
            </w:tcBorders>
            <w:noWrap w:val="0"/>
            <w:vAlign w:val="center"/>
          </w:tcPr>
          <w:p w14:paraId="212472C8">
            <w:pPr>
              <w:keepNext/>
              <w:keepLines w:val="0"/>
              <w:pageBreakBefore w:val="0"/>
              <w:widowControl w:val="0"/>
              <w:kinsoku w:val="0"/>
              <w:wordWrap/>
              <w:overflowPunct w:val="0"/>
              <w:topLinePunct w:val="0"/>
              <w:autoSpaceDE w:val="0"/>
              <w:autoSpaceDN w:val="0"/>
              <w:bidi w:val="0"/>
              <w:adjustRightInd/>
              <w:snapToGrid/>
              <w:spacing w:line="320" w:lineRule="exact"/>
              <w:ind w:firstLine="1440" w:firstLineChars="6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中标单价</w:t>
            </w:r>
          </w:p>
          <w:p w14:paraId="3BCEEA72">
            <w:pPr>
              <w:keepNext/>
              <w:keepLines w:val="0"/>
              <w:pageBreakBefore w:val="0"/>
              <w:widowControl w:val="0"/>
              <w:kinsoku w:val="0"/>
              <w:wordWrap/>
              <w:overflowPunct w:val="0"/>
              <w:topLinePunct w:val="0"/>
              <w:autoSpaceDE w:val="0"/>
              <w:autoSpaceDN w:val="0"/>
              <w:bidi w:val="0"/>
              <w:adjustRightInd/>
              <w:snapToGrid/>
              <w:spacing w:line="320" w:lineRule="exact"/>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餐厅名称</w:t>
            </w:r>
          </w:p>
        </w:tc>
        <w:tc>
          <w:tcPr>
            <w:tcW w:w="1160" w:type="dxa"/>
            <w:noWrap w:val="0"/>
            <w:vAlign w:val="center"/>
          </w:tcPr>
          <w:p w14:paraId="64E850C1">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早餐/人次（元）</w:t>
            </w:r>
          </w:p>
        </w:tc>
        <w:tc>
          <w:tcPr>
            <w:tcW w:w="1210" w:type="dxa"/>
            <w:noWrap w:val="0"/>
            <w:vAlign w:val="center"/>
          </w:tcPr>
          <w:p w14:paraId="1AAEB42E">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午餐/人次（元）</w:t>
            </w:r>
          </w:p>
        </w:tc>
        <w:tc>
          <w:tcPr>
            <w:tcW w:w="1220" w:type="dxa"/>
            <w:noWrap w:val="0"/>
            <w:vAlign w:val="center"/>
          </w:tcPr>
          <w:p w14:paraId="35947169">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晚餐/人次（元）</w:t>
            </w:r>
          </w:p>
        </w:tc>
        <w:tc>
          <w:tcPr>
            <w:tcW w:w="1366" w:type="dxa"/>
            <w:noWrap w:val="0"/>
            <w:vAlign w:val="center"/>
          </w:tcPr>
          <w:p w14:paraId="261A1FE7">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年固定劳务补助（元）</w:t>
            </w:r>
          </w:p>
        </w:tc>
      </w:tr>
      <w:tr w14:paraId="6066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27" w:type="dxa"/>
            <w:vMerge w:val="restart"/>
            <w:noWrap w:val="0"/>
            <w:vAlign w:val="center"/>
          </w:tcPr>
          <w:p w14:paraId="52F9CE21">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集中办公区</w:t>
            </w:r>
          </w:p>
        </w:tc>
        <w:tc>
          <w:tcPr>
            <w:tcW w:w="1099" w:type="dxa"/>
            <w:vMerge w:val="restart"/>
            <w:noWrap w:val="0"/>
            <w:vAlign w:val="center"/>
          </w:tcPr>
          <w:p w14:paraId="53D31F19">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为民服务中心机关食堂</w:t>
            </w:r>
          </w:p>
        </w:tc>
        <w:tc>
          <w:tcPr>
            <w:tcW w:w="1515" w:type="dxa"/>
            <w:noWrap w:val="0"/>
            <w:vAlign w:val="center"/>
          </w:tcPr>
          <w:p w14:paraId="5B8803BE">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干部职工餐厅</w:t>
            </w:r>
          </w:p>
        </w:tc>
        <w:tc>
          <w:tcPr>
            <w:tcW w:w="1160" w:type="dxa"/>
            <w:noWrap w:val="0"/>
            <w:vAlign w:val="center"/>
          </w:tcPr>
          <w:p w14:paraId="0FACA7F5">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1B6C35F2">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52EDBB71">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05871DC8">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p>
        </w:tc>
      </w:tr>
      <w:tr w14:paraId="5C1B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27" w:type="dxa"/>
            <w:vMerge w:val="continue"/>
            <w:noWrap w:val="0"/>
            <w:vAlign w:val="center"/>
          </w:tcPr>
          <w:p w14:paraId="4BDD0F54">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099" w:type="dxa"/>
            <w:vMerge w:val="continue"/>
            <w:noWrap w:val="0"/>
            <w:vAlign w:val="center"/>
          </w:tcPr>
          <w:p w14:paraId="05365A6F">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515" w:type="dxa"/>
            <w:noWrap w:val="0"/>
            <w:vAlign w:val="center"/>
          </w:tcPr>
          <w:p w14:paraId="6EB449D5">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县级餐厅</w:t>
            </w:r>
          </w:p>
        </w:tc>
        <w:tc>
          <w:tcPr>
            <w:tcW w:w="1160" w:type="dxa"/>
            <w:noWrap w:val="0"/>
            <w:vAlign w:val="center"/>
          </w:tcPr>
          <w:p w14:paraId="2A071FA6">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22A04FCC">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1A293B12">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15261256">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039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27" w:type="dxa"/>
            <w:vMerge w:val="continue"/>
            <w:noWrap w:val="0"/>
            <w:vAlign w:val="center"/>
          </w:tcPr>
          <w:p w14:paraId="669620EE">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1099" w:type="dxa"/>
            <w:vMerge w:val="continue"/>
            <w:noWrap w:val="0"/>
            <w:vAlign w:val="center"/>
          </w:tcPr>
          <w:p w14:paraId="347A26B9">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515" w:type="dxa"/>
            <w:noWrap w:val="0"/>
            <w:vAlign w:val="center"/>
          </w:tcPr>
          <w:p w14:paraId="7B51EFDA">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厅级餐厅</w:t>
            </w:r>
          </w:p>
        </w:tc>
        <w:tc>
          <w:tcPr>
            <w:tcW w:w="1160" w:type="dxa"/>
            <w:noWrap w:val="0"/>
            <w:vAlign w:val="center"/>
          </w:tcPr>
          <w:p w14:paraId="61BBBD06">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39DFC5C6">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27B23EBD">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7E90B801">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r>
      <w:tr w14:paraId="6536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27" w:type="dxa"/>
            <w:vMerge w:val="continue"/>
            <w:noWrap w:val="0"/>
            <w:vAlign w:val="center"/>
          </w:tcPr>
          <w:p w14:paraId="6020A50E">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099" w:type="dxa"/>
            <w:vMerge w:val="restart"/>
            <w:noWrap w:val="0"/>
            <w:vAlign w:val="center"/>
          </w:tcPr>
          <w:p w14:paraId="45987F4F">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新洲小镇</w:t>
            </w:r>
            <w:r>
              <w:rPr>
                <w:rFonts w:hint="eastAsia" w:asciiTheme="minorEastAsia" w:hAnsiTheme="minorEastAsia" w:eastAsiaTheme="minorEastAsia" w:cstheme="minorEastAsia"/>
                <w:color w:val="auto"/>
                <w:sz w:val="24"/>
                <w:szCs w:val="24"/>
                <w:lang w:eastAsia="zh-CN"/>
              </w:rPr>
              <w:t>机关食堂</w:t>
            </w:r>
          </w:p>
        </w:tc>
        <w:tc>
          <w:tcPr>
            <w:tcW w:w="1515" w:type="dxa"/>
            <w:noWrap w:val="0"/>
            <w:vAlign w:val="center"/>
          </w:tcPr>
          <w:p w14:paraId="01D76193">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干部职工餐厅</w:t>
            </w:r>
          </w:p>
        </w:tc>
        <w:tc>
          <w:tcPr>
            <w:tcW w:w="1160" w:type="dxa"/>
            <w:noWrap w:val="0"/>
            <w:vAlign w:val="center"/>
          </w:tcPr>
          <w:p w14:paraId="760E71B3">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37B237FF">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6B6BF598">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0710A115">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r>
      <w:tr w14:paraId="1528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27" w:type="dxa"/>
            <w:vMerge w:val="continue"/>
            <w:noWrap w:val="0"/>
            <w:vAlign w:val="center"/>
          </w:tcPr>
          <w:p w14:paraId="7C36BDF9">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1099" w:type="dxa"/>
            <w:vMerge w:val="continue"/>
            <w:noWrap w:val="0"/>
            <w:vAlign w:val="center"/>
          </w:tcPr>
          <w:p w14:paraId="542FB6E2">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515" w:type="dxa"/>
            <w:noWrap w:val="0"/>
            <w:vAlign w:val="center"/>
          </w:tcPr>
          <w:p w14:paraId="16D53FC0">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县级餐厅</w:t>
            </w:r>
          </w:p>
        </w:tc>
        <w:tc>
          <w:tcPr>
            <w:tcW w:w="1160" w:type="dxa"/>
            <w:noWrap w:val="0"/>
            <w:vAlign w:val="center"/>
          </w:tcPr>
          <w:p w14:paraId="3B0CD534">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1F3BD59A">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020F68BA">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6E867DE1">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r>
      <w:tr w14:paraId="4288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27" w:type="dxa"/>
            <w:noWrap w:val="0"/>
            <w:vAlign w:val="center"/>
          </w:tcPr>
          <w:p w14:paraId="21D0B925">
            <w:pPr>
              <w:keepNext/>
              <w:keepLines w:val="0"/>
              <w:pageBreakBefore w:val="0"/>
              <w:widowControl w:val="0"/>
              <w:kinsoku w:val="0"/>
              <w:wordWrap/>
              <w:overflowPunct w:val="0"/>
              <w:topLinePunct w:val="0"/>
              <w:autoSpaceDE w:val="0"/>
              <w:autoSpaceDN w:val="0"/>
              <w:bidi w:val="0"/>
              <w:adjustRightInd/>
              <w:snapToGrid/>
              <w:spacing w:line="320" w:lineRule="exact"/>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分散办公区</w:t>
            </w:r>
          </w:p>
        </w:tc>
        <w:tc>
          <w:tcPr>
            <w:tcW w:w="2614" w:type="dxa"/>
            <w:gridSpan w:val="2"/>
            <w:noWrap w:val="0"/>
            <w:vAlign w:val="center"/>
          </w:tcPr>
          <w:p w14:paraId="7A838B70">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干部职工餐厅</w:t>
            </w:r>
          </w:p>
        </w:tc>
        <w:tc>
          <w:tcPr>
            <w:tcW w:w="1160" w:type="dxa"/>
            <w:noWrap w:val="0"/>
            <w:vAlign w:val="center"/>
          </w:tcPr>
          <w:p w14:paraId="6053D5B1">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425EDACC">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0A82CCEE">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613D75CB">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r>
      <w:tr w14:paraId="44DA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27" w:type="dxa"/>
            <w:noWrap w:val="0"/>
            <w:vAlign w:val="center"/>
          </w:tcPr>
          <w:p w14:paraId="6ACE7E37">
            <w:pPr>
              <w:keepNext/>
              <w:keepLines w:val="0"/>
              <w:pageBreakBefore w:val="0"/>
              <w:widowControl w:val="0"/>
              <w:kinsoku w:val="0"/>
              <w:wordWrap/>
              <w:overflowPunct w:val="0"/>
              <w:topLinePunct w:val="0"/>
              <w:autoSpaceDE w:val="0"/>
              <w:autoSpaceDN w:val="0"/>
              <w:bidi w:val="0"/>
              <w:adjustRightInd/>
              <w:snapToGrid/>
              <w:spacing w:line="320" w:lineRule="exact"/>
              <w:ind w:firstLine="480" w:firstLineChars="200"/>
              <w:jc w:val="center"/>
              <w:textAlignment w:val="auto"/>
              <w:rPr>
                <w:rFonts w:hint="eastAsia" w:asciiTheme="minorEastAsia" w:hAnsiTheme="minorEastAsia" w:eastAsiaTheme="minorEastAsia" w:cstheme="minorEastAsia"/>
                <w:color w:val="auto"/>
                <w:sz w:val="24"/>
                <w:szCs w:val="24"/>
              </w:rPr>
            </w:pPr>
          </w:p>
        </w:tc>
        <w:tc>
          <w:tcPr>
            <w:tcW w:w="7570" w:type="dxa"/>
            <w:gridSpan w:val="6"/>
            <w:noWrap w:val="0"/>
            <w:vAlign w:val="center"/>
          </w:tcPr>
          <w:p w14:paraId="78C26F51">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每年</w:t>
            </w: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eastAsiaTheme="minorEastAsia" w:cstheme="minorEastAsia"/>
                <w:color w:val="auto"/>
                <w:sz w:val="24"/>
                <w:szCs w:val="24"/>
              </w:rPr>
              <w:t>价（大写）：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tc>
      </w:tr>
    </w:tbl>
    <w:p w14:paraId="289FA553">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最终合同价款，按乙方对各就餐区域每餐每人次托管费用投标报价乘以实际就餐人数加上年固定劳务补助计算确定。</w:t>
      </w:r>
      <w:r>
        <w:rPr>
          <w:rFonts w:hint="eastAsia" w:asciiTheme="minorEastAsia" w:hAnsiTheme="minorEastAsia" w:eastAsiaTheme="minorEastAsia" w:cstheme="minorEastAsia"/>
          <w:color w:val="auto"/>
          <w:sz w:val="24"/>
          <w:szCs w:val="24"/>
        </w:rPr>
        <w:t>最终合同价款=早餐年实际就餐人次×早餐每人次的托管费用报价+午餐年实际就餐人次×午餐每人次的托管费用报价+晚餐年实际就餐人次×晚餐每人次的托管费用报价</w:t>
      </w:r>
      <w:r>
        <w:rPr>
          <w:rFonts w:hint="eastAsia" w:asciiTheme="minorEastAsia" w:hAnsiTheme="minorEastAsia" w:eastAsiaTheme="minorEastAsia" w:cstheme="minorEastAsia"/>
          <w:color w:val="auto"/>
          <w:sz w:val="24"/>
          <w:szCs w:val="24"/>
          <w:lang w:val="en-US" w:eastAsia="zh-CN"/>
        </w:rPr>
        <w:t>+固定劳务补助用-考核扣减金额</w:t>
      </w:r>
      <w:r>
        <w:rPr>
          <w:rFonts w:hint="eastAsia" w:asciiTheme="minorEastAsia" w:hAnsiTheme="minorEastAsia" w:eastAsiaTheme="minorEastAsia" w:cstheme="minorEastAsia"/>
          <w:color w:val="auto"/>
          <w:sz w:val="24"/>
          <w:szCs w:val="24"/>
          <w:lang w:eastAsia="zh-CN"/>
        </w:rPr>
        <w:t>。</w:t>
      </w:r>
    </w:p>
    <w:p w14:paraId="33CC6F4D">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合同总价、投标单价包括完成该服务项目的原辅食材费、调料费、管理费、技术费、设施设备维保费、低值易耗品购置费、办公费、劳务费、卫生保洁费、利润、税金、保险费以及合同明示或暗示的所有风险、责任和义务等全部费用。</w:t>
      </w:r>
    </w:p>
    <w:p w14:paraId="4EB13CB3">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投标单价不受市场价格变化因素的影响。</w:t>
      </w:r>
    </w:p>
    <w:p w14:paraId="60727A8A">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（十一）合同价款结算</w:t>
      </w:r>
    </w:p>
    <w:p w14:paraId="0E1AAC67">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0"/>
          <w:kern w:val="2"/>
          <w:sz w:val="24"/>
          <w:szCs w:val="24"/>
          <w:lang w:val="en-US" w:eastAsia="zh-CN" w:bidi="ar-SA"/>
        </w:rPr>
        <w:t>按月结算，</w:t>
      </w:r>
      <w:r>
        <w:rPr>
          <w:rFonts w:hint="eastAsia" w:asciiTheme="minorEastAsia" w:hAnsiTheme="minorEastAsia" w:eastAsiaTheme="minorEastAsia" w:cstheme="minorEastAsia"/>
          <w:color w:val="auto"/>
          <w:sz w:val="24"/>
          <w:szCs w:val="24"/>
        </w:rPr>
        <w:t>最终合同价款=早餐年实际就餐人次×早餐每人次的托管费用报价+午餐年实际就餐人次×午餐每人次的托管费用报价+晚餐年实际就餐人次×晚餐每人次的托管费用报价</w:t>
      </w:r>
      <w:r>
        <w:rPr>
          <w:rFonts w:hint="eastAsia" w:asciiTheme="minorEastAsia" w:hAnsiTheme="minorEastAsia" w:eastAsiaTheme="minorEastAsia" w:cstheme="minorEastAsia"/>
          <w:color w:val="auto"/>
          <w:sz w:val="24"/>
          <w:szCs w:val="24"/>
          <w:lang w:val="en-US" w:eastAsia="zh-CN"/>
        </w:rPr>
        <w:t>+固定劳务补助用-考核扣减金额</w:t>
      </w:r>
      <w:r>
        <w:rPr>
          <w:rFonts w:hint="eastAsia" w:asciiTheme="minorEastAsia" w:hAnsiTheme="minorEastAsia" w:eastAsiaTheme="minorEastAsia" w:cstheme="minorEastAsia"/>
          <w:color w:val="auto"/>
          <w:sz w:val="24"/>
          <w:szCs w:val="24"/>
          <w:lang w:eastAsia="zh-CN"/>
        </w:rPr>
        <w:t>。</w:t>
      </w:r>
    </w:p>
    <w:p w14:paraId="400DEF25">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根据合同价款计算规则核定后，集中办公区的由乙方向甲方开具税务发票，由丙方于次月10日前报甲方结算；分散办公区的由乙方开具税务发票，经丙方审核后，报甲方结算。</w:t>
      </w:r>
    </w:p>
    <w:p w14:paraId="72305192">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（十二）各方权利义务</w:t>
      </w:r>
    </w:p>
    <w:p w14:paraId="37DA7601">
      <w:pPr>
        <w:pStyle w:val="20"/>
        <w:keepNext w:val="0"/>
        <w:keepLines w:val="0"/>
        <w:pageBreakBefore w:val="0"/>
        <w:widowControl w:val="0"/>
        <w:kinsoku/>
        <w:wordWrap/>
        <w:overflowPunct/>
        <w:topLinePunct w:val="0"/>
        <w:autoSpaceDE/>
        <w:autoSpaceDN/>
        <w:bidi w:val="0"/>
        <w:adjustRightInd/>
        <w:snapToGrid/>
        <w:spacing w:line="560" w:lineRule="exact"/>
        <w:ind w:firstLine="260" w:firstLineChars="1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1.甲方权利义务</w:t>
      </w:r>
    </w:p>
    <w:p w14:paraId="58BFDEA4">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（1）甲方有权升级和利用“I延安APP”调取丙方就餐信息数据，并按照管理需要设定管理权限；</w:t>
      </w:r>
    </w:p>
    <w:p w14:paraId="38F84FBD">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（2）集中办公区的由甲方、分散办公区的由丙方负责对乙方的履约情况进行全过程、各环节的日常管理、考核和监督。</w:t>
      </w:r>
    </w:p>
    <w:p w14:paraId="6BAE63D8">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（3）甲方有权要求乙方、丙方落实市委、市政府以及相关工作部门要求；</w:t>
      </w:r>
    </w:p>
    <w:p w14:paraId="2BE7697A">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（4）按照合同约定，集中办公区的由甲方、分散办公区的由丙为乙方提供生产经营场所，并为乙方的生产经营提供后勤保障。</w:t>
      </w:r>
    </w:p>
    <w:p w14:paraId="379C7C14">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0"/>
          <w:kern w:val="2"/>
          <w:sz w:val="24"/>
          <w:szCs w:val="24"/>
          <w:lang w:val="en-US" w:eastAsia="zh-CN" w:bidi="ar-SA"/>
        </w:rPr>
        <w:t>（5）合同期内，甲方有权调整各机关食堂功能，有权完善管理制度和经营方案。</w:t>
      </w:r>
    </w:p>
    <w:p w14:paraId="63BE3020">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（6）甲方按照考核结果和合同约定支付托管费。</w:t>
      </w:r>
    </w:p>
    <w:p w14:paraId="64F066D3">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2.乙方的权利义务</w:t>
      </w:r>
    </w:p>
    <w:p w14:paraId="1DE9EA36">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（1）有权要求集中办公区由甲方、分散办公区的由丙方按照合同约定提供生产经营场所和设施设备；</w:t>
      </w:r>
    </w:p>
    <w:p w14:paraId="7BFF032D">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（2）有权要求按期结算委托管理费用；</w:t>
      </w:r>
    </w:p>
    <w:p w14:paraId="1A1ECEBA">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（3）自觉接受甲方、丙方的日常管理、考核、监督和处罚。</w:t>
      </w:r>
    </w:p>
    <w:p w14:paraId="098B4BC9">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（4）对考核结果有异议的，可在收到考核结果后3个工作日内集中办公区的向甲方、分散办公区的向丙方提出书面申诉，并附相关证据，本着诚信原则协商解决。</w:t>
      </w:r>
    </w:p>
    <w:p w14:paraId="70BC5D5B">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3.丙方权利义务</w:t>
      </w:r>
    </w:p>
    <w:p w14:paraId="619E01F7">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（1）丙方负责对乙方的履约情况进行日常管理、考核和监督，并承担日常管理、考核和监督不到位产生的相应责任；</w:t>
      </w:r>
    </w:p>
    <w:p w14:paraId="270E35DD">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（2）须建立托管费用结算审核机制，对应支付托管费的真实性、准确性、完整性负责，按月向甲方报账；</w:t>
      </w:r>
    </w:p>
    <w:p w14:paraId="2216589D">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（3）落实甲方“I延安APP”系统管理的有关要求；</w:t>
      </w:r>
    </w:p>
    <w:p w14:paraId="3F708F6D">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（4）落实甲方分解的市委、市政府以及相关工作部门的工作任务；落实甲方关于就餐权限、就餐价格等有关要求；</w:t>
      </w:r>
    </w:p>
    <w:p w14:paraId="53C873F4">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0"/>
          <w:kern w:val="2"/>
          <w:sz w:val="24"/>
          <w:szCs w:val="24"/>
          <w:lang w:val="en-US" w:eastAsia="zh-CN" w:bidi="ar-SA"/>
        </w:rPr>
        <w:t>（5）按照合同约定为乙方提供符合标准的生产经营场所。</w:t>
      </w:r>
    </w:p>
    <w:p w14:paraId="0C77C5E4">
      <w:pPr>
        <w:pStyle w:val="20"/>
        <w:keepNext w:val="0"/>
        <w:keepLines w:val="0"/>
        <w:pageBreakBefore w:val="0"/>
        <w:widowControl w:val="0"/>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（十三）监督考核</w:t>
      </w:r>
    </w:p>
    <w:p w14:paraId="3B8D87A0">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乙方所经营的机关食堂，在对就餐人员满意度测评中应得到满意等次。集中办公区由甲方、分散办公区由丙方每月25-28日通过延安智慧平台12345，为民服务中心、新洲小镇市政府综合办公楼、市公安局、市检察院、市法院、市司法局机关食堂分别按照150、50、50、20、30、10名的标准随机抽取就餐人员进行满意度调查。满意度调查分为不满意、基本满意、满意、非常满意四个等次。调查结果为不满意，按当月累计用餐人数以每人1元的标准扣除当月应付托管费；调查结果达到基本满意，按当月累计用餐人数以每人0.5元的标准扣除当月应付托管费。达到满意及以上层次，视为符合合同约定。当月累计用餐人数=（∑当月每餐就餐人数×相应每餐餐饮标准）/每人每天餐饮标准（下同）。</w:t>
      </w:r>
    </w:p>
    <w:p w14:paraId="1B7EB40A">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2.就餐人数变动管理考核</w:t>
      </w:r>
    </w:p>
    <w:p w14:paraId="1A5A5BA2">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就餐人数变化情况是机关食堂服务保障质量的“晴雨表”，餐厅每月每餐累计就餐人数应至少达到上年同期的累计就餐人数。当月每餐累计用餐人次较上年同期每餐累计用餐人次减少幅度超过5%（含5%），分别按当月早晚餐累计就餐人次每人次0.5元、中餐每人次1元的标准扣除当月应付托管费；当月每餐累计用餐人次较上年同期每餐累计用餐人次减少幅度在0-5%（含0%），分别按当月早晚餐累计就餐人次每人次0.3元、午餐每人次0.4元的标准扣除当月应付托管费。当月每餐累计用餐人次较上年同期每餐累计用餐人次增长幅度超过0%的，视为达到合同约定要求。</w:t>
      </w:r>
    </w:p>
    <w:p w14:paraId="72BBCF97">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3.综合管理考核</w:t>
      </w:r>
    </w:p>
    <w:p w14:paraId="33671F28">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集中办公区由甲方、分散办公区由丙方，对餐饮的安全生产、食品卫生、接待用餐、服务质量等进行综合考核，综合考核分值应达到70分以上（不含70分）。线下日常考核每月不低于4次，每月针对就餐者线上反馈的频次达到两次和一次关于食品安全的意见，立即开展专项考核，并将专项考核结果与全面考核的相应类别得分进行加权平均。综合考核采用百分倒扣制（即综合分值=100分减去扣分项总和），综合分值低于60分以内的，按当月累计用餐人数以每人2元的标准扣除当月应付托管费；在60-70分之间的（含70分），按当月累计用餐人数以每人1元的标准扣除当月应付托管费；在70分以上的，视为符合合同约定。（附：机关食堂线下考核表）</w:t>
      </w:r>
    </w:p>
    <w:p w14:paraId="336E9113">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（十四）违约责任</w:t>
      </w:r>
    </w:p>
    <w:p w14:paraId="2793AB06">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在合同期内，乙方违反合同约定，集中办公区的由甲方负责处罚，分散办公区的由丙方负责处罚；甲方或丙方违约的，各自承担相应的违约责任。具体违约责任如下：</w:t>
      </w:r>
    </w:p>
    <w:p w14:paraId="2EC46324">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乙方必须自觉接受市场监管、卫生、税务等有关部门监督，依法依规经营。经营过程中，执法部门在检查中发现问题，企业应承担一切后果，如果产生罚款，集中办公区的由甲方、分散办公区的由丙方加倍处罚餐饮企业。</w:t>
      </w:r>
    </w:p>
    <w:p w14:paraId="6DFD2E89">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 w:eastAsia="zh-CN" w:bidi="ar-SA"/>
        </w:rPr>
      </w:pPr>
      <w:r>
        <w:rPr>
          <w:rFonts w:hint="eastAsia" w:asciiTheme="minorEastAsia" w:hAnsiTheme="minorEastAsia" w:eastAsiaTheme="minorEastAsia" w:cstheme="minorEastAsia"/>
          <w:color w:val="auto"/>
          <w:spacing w:val="10"/>
          <w:kern w:val="2"/>
          <w:sz w:val="24"/>
          <w:szCs w:val="24"/>
          <w:lang w:val="en-US" w:eastAsia="zh-CN" w:bidi="ar-SA"/>
        </w:rPr>
        <w:t>2.食品安全事故实行一票否决。乙方在经营期内出现食品安全事故，自动解除合同并承担相应责任；造成严重后果的，追究刑事责任。积极推动食品安全量化分级认定，托管合同签订之日起无故没有按规定进行量化分级认定，且动态和年度评定没有达到约定等级的，自动解除合同。</w:t>
      </w:r>
    </w:p>
    <w:p w14:paraId="74987926">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3.乙方违反本合同第九条中</w:t>
      </w:r>
      <w:r>
        <w:rPr>
          <w:rFonts w:hint="eastAsia" w:asciiTheme="minorEastAsia" w:hAnsiTheme="minorEastAsia" w:eastAsiaTheme="minorEastAsia" w:cstheme="minorEastAsia"/>
          <w:color w:val="auto"/>
          <w:spacing w:val="10"/>
          <w:kern w:val="2"/>
          <w:sz w:val="24"/>
          <w:szCs w:val="24"/>
          <w:lang w:val="zh-CN" w:eastAsia="zh-CN" w:bidi="ar-SA"/>
        </w:rPr>
        <w:t>人员配备</w:t>
      </w:r>
      <w:r>
        <w:rPr>
          <w:rFonts w:hint="eastAsia" w:asciiTheme="minorEastAsia" w:hAnsiTheme="minorEastAsia" w:eastAsiaTheme="minorEastAsia" w:cstheme="minorEastAsia"/>
          <w:color w:val="auto"/>
          <w:spacing w:val="10"/>
          <w:kern w:val="2"/>
          <w:sz w:val="24"/>
          <w:szCs w:val="24"/>
          <w:lang w:val="en-US" w:eastAsia="zh-CN" w:bidi="ar-SA"/>
        </w:rPr>
        <w:t>要求</w:t>
      </w:r>
      <w:r>
        <w:rPr>
          <w:rFonts w:hint="eastAsia" w:asciiTheme="minorEastAsia" w:hAnsiTheme="minorEastAsia" w:eastAsiaTheme="minorEastAsia" w:cstheme="minorEastAsia"/>
          <w:color w:val="auto"/>
          <w:spacing w:val="10"/>
          <w:kern w:val="2"/>
          <w:sz w:val="24"/>
          <w:szCs w:val="24"/>
          <w:lang w:val="zh-CN" w:eastAsia="zh-CN" w:bidi="ar-SA"/>
        </w:rPr>
        <w:t>的，</w:t>
      </w:r>
      <w:r>
        <w:rPr>
          <w:rFonts w:hint="eastAsia" w:asciiTheme="minorEastAsia" w:hAnsiTheme="minorEastAsia" w:eastAsiaTheme="minorEastAsia" w:cstheme="minorEastAsia"/>
          <w:color w:val="auto"/>
          <w:spacing w:val="10"/>
          <w:kern w:val="2"/>
          <w:sz w:val="24"/>
          <w:szCs w:val="24"/>
          <w:lang w:val="en-US" w:eastAsia="zh-CN" w:bidi="ar-SA"/>
        </w:rPr>
        <w:t>集中办公区的由甲方、分散办公区的由丙方</w:t>
      </w:r>
      <w:r>
        <w:rPr>
          <w:rFonts w:hint="eastAsia" w:asciiTheme="minorEastAsia" w:hAnsiTheme="minorEastAsia" w:eastAsiaTheme="minorEastAsia" w:cstheme="minorEastAsia"/>
          <w:color w:val="auto"/>
          <w:spacing w:val="10"/>
          <w:kern w:val="2"/>
          <w:sz w:val="24"/>
          <w:szCs w:val="24"/>
          <w:lang w:val="zh-CN" w:eastAsia="zh-CN" w:bidi="ar-SA"/>
        </w:rPr>
        <w:t>按以下情形处罚：</w:t>
      </w:r>
      <w:r>
        <w:rPr>
          <w:rFonts w:hint="eastAsia" w:asciiTheme="minorEastAsia" w:hAnsiTheme="minorEastAsia" w:eastAsiaTheme="minorEastAsia" w:cstheme="minorEastAsia"/>
          <w:color w:val="auto"/>
          <w:spacing w:val="10"/>
          <w:kern w:val="2"/>
          <w:sz w:val="24"/>
          <w:szCs w:val="24"/>
          <w:lang w:val="en-US" w:eastAsia="zh-CN" w:bidi="ar-SA"/>
        </w:rPr>
        <w:t>每少1人，从当月托管费中扣3000元；须持证上岗但无相关证书的，每少1个，从当月托管费中扣1000元；未按规定开展培训的，每出现一次，从当月托管费中扣1000元；未按规定进行厨艺交流的，每出现一次，从当月托管费中扣2000元；未按规定给员工缴纳社保、支付劳动报酬等，每出现一次，按应缴未缴额和劳动报酬总额从当月托管费中扣回。</w:t>
      </w:r>
    </w:p>
    <w:p w14:paraId="7F6A87B5">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4.乙方违反本合同第九条中食品安全要求的，每发现一次，集中办公区的由甲方、分散办公区的由丙方视情节从当月托管费中扣500-2000元，并责令整改，对情节严重的交由相关部门处理。“扶贫832平台”任务未完成，从托管费中扣回差额。</w:t>
      </w:r>
    </w:p>
    <w:p w14:paraId="400C67BB">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5.乙方违反本合同第九条中</w:t>
      </w:r>
      <w:r>
        <w:rPr>
          <w:rFonts w:hint="eastAsia" w:asciiTheme="minorEastAsia" w:hAnsiTheme="minorEastAsia" w:eastAsiaTheme="minorEastAsia" w:cstheme="minorEastAsia"/>
          <w:color w:val="auto"/>
          <w:spacing w:val="10"/>
          <w:kern w:val="2"/>
          <w:sz w:val="24"/>
          <w:szCs w:val="24"/>
          <w:lang w:val="zh-CN" w:eastAsia="zh-CN" w:bidi="ar-SA"/>
        </w:rPr>
        <w:t>饭菜质量</w:t>
      </w:r>
      <w:r>
        <w:rPr>
          <w:rFonts w:hint="eastAsia" w:asciiTheme="minorEastAsia" w:hAnsiTheme="minorEastAsia" w:eastAsiaTheme="minorEastAsia" w:cstheme="minorEastAsia"/>
          <w:color w:val="auto"/>
          <w:spacing w:val="10"/>
          <w:kern w:val="2"/>
          <w:sz w:val="24"/>
          <w:szCs w:val="24"/>
          <w:lang w:val="en-US" w:eastAsia="zh-CN" w:bidi="ar-SA"/>
        </w:rPr>
        <w:t>托管要求</w:t>
      </w:r>
      <w:r>
        <w:rPr>
          <w:rFonts w:hint="eastAsia" w:asciiTheme="minorEastAsia" w:hAnsiTheme="minorEastAsia" w:eastAsiaTheme="minorEastAsia" w:cstheme="minorEastAsia"/>
          <w:color w:val="auto"/>
          <w:spacing w:val="10"/>
          <w:kern w:val="2"/>
          <w:sz w:val="24"/>
          <w:szCs w:val="24"/>
          <w:lang w:val="zh-CN" w:eastAsia="zh-CN" w:bidi="ar-SA"/>
        </w:rPr>
        <w:t>的，按以下情形处罚：</w:t>
      </w:r>
      <w:r>
        <w:rPr>
          <w:rFonts w:hint="eastAsia" w:asciiTheme="minorEastAsia" w:hAnsiTheme="minorEastAsia" w:eastAsiaTheme="minorEastAsia" w:cstheme="minorEastAsia"/>
          <w:color w:val="auto"/>
          <w:spacing w:val="10"/>
          <w:kern w:val="2"/>
          <w:sz w:val="24"/>
          <w:szCs w:val="24"/>
          <w:lang w:val="en-US" w:eastAsia="zh-CN" w:bidi="ar-SA"/>
        </w:rPr>
        <w:t>所提供食谱未经有资质的营养师审核的，每出现一次，集中办公区的由甲方、分散办公区的由丙方从当月托管费中扣2000元；每月未推出1道新菜品的，每次从当月托管费中扣1000元；未按接待菜单供餐或接到接待部门投诉的，每出现一次，从当月托管费中扣2000元。</w:t>
      </w:r>
    </w:p>
    <w:p w14:paraId="3E2B8F56">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6.乙方违反本合同第九条中</w:t>
      </w:r>
      <w:r>
        <w:rPr>
          <w:rFonts w:hint="eastAsia" w:asciiTheme="minorEastAsia" w:hAnsiTheme="minorEastAsia" w:eastAsiaTheme="minorEastAsia" w:cstheme="minorEastAsia"/>
          <w:color w:val="auto"/>
          <w:spacing w:val="10"/>
          <w:kern w:val="2"/>
          <w:sz w:val="24"/>
          <w:szCs w:val="24"/>
          <w:lang w:val="zh-CN" w:eastAsia="zh-CN" w:bidi="ar-SA"/>
        </w:rPr>
        <w:t>厉行节约</w:t>
      </w:r>
      <w:r>
        <w:rPr>
          <w:rFonts w:hint="eastAsia" w:asciiTheme="minorEastAsia" w:hAnsiTheme="minorEastAsia" w:eastAsiaTheme="minorEastAsia" w:cstheme="minorEastAsia"/>
          <w:color w:val="auto"/>
          <w:spacing w:val="10"/>
          <w:kern w:val="2"/>
          <w:sz w:val="24"/>
          <w:szCs w:val="24"/>
          <w:lang w:val="en-US" w:eastAsia="zh-CN" w:bidi="ar-SA"/>
        </w:rPr>
        <w:t>托管要求的，若因餐饮企业供餐原因导致“剩餐”现象严重的</w:t>
      </w:r>
      <w:r>
        <w:rPr>
          <w:rFonts w:hint="eastAsia" w:asciiTheme="minorEastAsia" w:hAnsiTheme="minorEastAsia" w:eastAsiaTheme="minorEastAsia" w:cstheme="minorEastAsia"/>
          <w:color w:val="auto"/>
          <w:spacing w:val="10"/>
          <w:kern w:val="2"/>
          <w:sz w:val="24"/>
          <w:szCs w:val="24"/>
          <w:lang w:val="zh-CN" w:eastAsia="zh-CN" w:bidi="ar-SA"/>
        </w:rPr>
        <w:t>，即剩餐率＞</w:t>
      </w:r>
      <w:r>
        <w:rPr>
          <w:rFonts w:hint="eastAsia" w:asciiTheme="minorEastAsia" w:hAnsiTheme="minorEastAsia" w:eastAsiaTheme="minorEastAsia" w:cstheme="minorEastAsia"/>
          <w:color w:val="auto"/>
          <w:spacing w:val="10"/>
          <w:kern w:val="2"/>
          <w:sz w:val="24"/>
          <w:szCs w:val="24"/>
          <w:lang w:val="en-US" w:eastAsia="zh-CN" w:bidi="ar-SA"/>
        </w:rPr>
        <w:t>10%（</w:t>
      </w:r>
      <w:r>
        <w:rPr>
          <w:rFonts w:hint="eastAsia" w:asciiTheme="minorEastAsia" w:hAnsiTheme="minorEastAsia" w:eastAsiaTheme="minorEastAsia" w:cstheme="minorEastAsia"/>
          <w:color w:val="auto"/>
          <w:spacing w:val="10"/>
          <w:kern w:val="2"/>
          <w:sz w:val="24"/>
          <w:szCs w:val="24"/>
          <w:lang w:val="zh-CN" w:eastAsia="zh-CN" w:bidi="ar-SA"/>
        </w:rPr>
        <w:t>剩餐率</w:t>
      </w:r>
      <w:r>
        <w:rPr>
          <w:rFonts w:hint="eastAsia" w:asciiTheme="minorEastAsia" w:hAnsiTheme="minorEastAsia" w:eastAsiaTheme="minorEastAsia" w:cstheme="minorEastAsia"/>
          <w:color w:val="auto"/>
          <w:spacing w:val="10"/>
          <w:kern w:val="2"/>
          <w:sz w:val="24"/>
          <w:szCs w:val="24"/>
          <w:lang w:val="en-US" w:eastAsia="zh-CN" w:bidi="ar-SA"/>
        </w:rPr>
        <w:t>=当餐总剩餐量÷当餐总供应量×100%）或平均每人剩餐量＞0.5kg（平均每人剩餐量=当餐剩餐总量÷当餐就餐总人数）的，每出现一次，集中办公区的由甲方、分散办公区的由丙方从当月托管费中扣2000元。</w:t>
      </w:r>
    </w:p>
    <w:p w14:paraId="5FAD5FA1">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7.乙方违反本合同第九条中</w:t>
      </w:r>
      <w:r>
        <w:rPr>
          <w:rFonts w:hint="eastAsia" w:asciiTheme="minorEastAsia" w:hAnsiTheme="minorEastAsia" w:eastAsiaTheme="minorEastAsia" w:cstheme="minorEastAsia"/>
          <w:color w:val="auto"/>
          <w:spacing w:val="10"/>
          <w:kern w:val="2"/>
          <w:sz w:val="24"/>
          <w:szCs w:val="24"/>
          <w:lang w:val="zh-CN" w:eastAsia="zh-CN" w:bidi="ar-SA"/>
        </w:rPr>
        <w:t>垃圾管理</w:t>
      </w:r>
      <w:r>
        <w:rPr>
          <w:rFonts w:hint="eastAsia" w:asciiTheme="minorEastAsia" w:hAnsiTheme="minorEastAsia" w:eastAsiaTheme="minorEastAsia" w:cstheme="minorEastAsia"/>
          <w:color w:val="auto"/>
          <w:spacing w:val="10"/>
          <w:kern w:val="2"/>
          <w:sz w:val="24"/>
          <w:szCs w:val="24"/>
          <w:lang w:val="en-US" w:eastAsia="zh-CN" w:bidi="ar-SA"/>
        </w:rPr>
        <w:t>托管要求的，集中办公区的由甲方、分散办公区的由丙方</w:t>
      </w:r>
      <w:r>
        <w:rPr>
          <w:rFonts w:hint="eastAsia" w:asciiTheme="minorEastAsia" w:hAnsiTheme="minorEastAsia" w:eastAsiaTheme="minorEastAsia" w:cstheme="minorEastAsia"/>
          <w:color w:val="auto"/>
          <w:spacing w:val="10"/>
          <w:kern w:val="2"/>
          <w:sz w:val="24"/>
          <w:szCs w:val="24"/>
          <w:lang w:val="zh-CN" w:eastAsia="zh-CN" w:bidi="ar-SA"/>
        </w:rPr>
        <w:t>按以下情形处罚：</w:t>
      </w:r>
      <w:r>
        <w:rPr>
          <w:rFonts w:hint="eastAsia" w:asciiTheme="minorEastAsia" w:hAnsiTheme="minorEastAsia" w:eastAsiaTheme="minorEastAsia" w:cstheme="minorEastAsia"/>
          <w:color w:val="auto"/>
          <w:spacing w:val="10"/>
          <w:kern w:val="2"/>
          <w:sz w:val="24"/>
          <w:szCs w:val="24"/>
          <w:lang w:val="en-US" w:eastAsia="zh-CN" w:bidi="ar-SA"/>
        </w:rPr>
        <w:t>餐厨垃圾未干湿分离、分类放置、及时清理的，每出现一次，从当月托管费中扣500元；将餐厨垃圾交给未经相关部门许可或备案的餐厨垃圾收运、处理单位或个人处理的，发现一次，从当月托管费中扣1000元，另外行业主管部门有明确处罚规定的，从其规定。</w:t>
      </w:r>
    </w:p>
    <w:p w14:paraId="15480B4C">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8.乙方违反本合同第九条中</w:t>
      </w:r>
      <w:r>
        <w:rPr>
          <w:rFonts w:hint="eastAsia" w:asciiTheme="minorEastAsia" w:hAnsiTheme="minorEastAsia" w:eastAsiaTheme="minorEastAsia" w:cstheme="minorEastAsia"/>
          <w:color w:val="auto"/>
          <w:spacing w:val="10"/>
          <w:kern w:val="2"/>
          <w:sz w:val="24"/>
          <w:szCs w:val="24"/>
          <w:lang w:val="zh-CN" w:eastAsia="zh-CN" w:bidi="ar-SA"/>
        </w:rPr>
        <w:t>设施设备管理</w:t>
      </w:r>
      <w:r>
        <w:rPr>
          <w:rFonts w:hint="eastAsia" w:asciiTheme="minorEastAsia" w:hAnsiTheme="minorEastAsia" w:eastAsiaTheme="minorEastAsia" w:cstheme="minorEastAsia"/>
          <w:color w:val="auto"/>
          <w:spacing w:val="10"/>
          <w:kern w:val="2"/>
          <w:sz w:val="24"/>
          <w:szCs w:val="24"/>
          <w:lang w:val="en-US" w:eastAsia="zh-CN" w:bidi="ar-SA"/>
        </w:rPr>
        <w:t>托管要求的，集中办公区的由甲方、分散办公区的由丙方视情节从当月托管费中扣500-2000元，并责令整改；未按要求维保、检修设施设备的，甲方有权聘请第三方进行维保、检修，所产生费用从当月托管费中扣除。对违规使用、恶意损坏设施设备等，除照价赔偿外追究刑事责任。（甲方所聘请的第三方，无须经过餐饮企业认可，但其费用须符合市场均价）</w:t>
      </w:r>
    </w:p>
    <w:p w14:paraId="0356E52C">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9.乙方违反本合同第九条中厨具及低值易耗品管理托管要求的，集中办公区的由甲方、分散办公区的由丙方视情节从当月托管费中扣500-1000元，并责令整改。</w:t>
      </w:r>
    </w:p>
    <w:p w14:paraId="1249325D">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10.乙方违反本合同第九条中应急保障托管要求的，集中办公区的由甲方、分散办公区的由丙方按以下情形处罚：未制定应急预案的，从当月托管费中扣1000元，直至预案制定；预案实施中出现重大漏洞的，从当月托管费中扣2000元。</w:t>
      </w:r>
    </w:p>
    <w:p w14:paraId="557DDA28">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11.乙方违反本合同第九条中</w:t>
      </w:r>
      <w:r>
        <w:rPr>
          <w:rFonts w:hint="eastAsia" w:asciiTheme="minorEastAsia" w:hAnsiTheme="minorEastAsia" w:eastAsiaTheme="minorEastAsia" w:cstheme="minorEastAsia"/>
          <w:color w:val="auto"/>
          <w:spacing w:val="10"/>
          <w:kern w:val="2"/>
          <w:sz w:val="24"/>
          <w:szCs w:val="24"/>
          <w:lang w:val="zh-CN" w:eastAsia="zh-CN" w:bidi="ar-SA"/>
        </w:rPr>
        <w:t>智慧化管理</w:t>
      </w:r>
      <w:r>
        <w:rPr>
          <w:rFonts w:hint="eastAsia" w:asciiTheme="minorEastAsia" w:hAnsiTheme="minorEastAsia" w:eastAsiaTheme="minorEastAsia" w:cstheme="minorEastAsia"/>
          <w:color w:val="auto"/>
          <w:spacing w:val="10"/>
          <w:kern w:val="2"/>
          <w:sz w:val="24"/>
          <w:szCs w:val="24"/>
          <w:lang w:val="en-US" w:eastAsia="zh-CN" w:bidi="ar-SA"/>
        </w:rPr>
        <w:t>托管要求的，每发现一次，集中办公区的由甲方、分散办公区的由丙方从托管费中扣100元。若因系统原因造成多刷卡扣费情况，餐饮企业负责向就餐者退还。对就餐者反映属实问题，3日内不整改，从托管费中扣500元，直至整改完成。</w:t>
      </w:r>
    </w:p>
    <w:p w14:paraId="6D7C2070">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12.乙方违反本合同第九条中</w:t>
      </w:r>
      <w:r>
        <w:rPr>
          <w:rFonts w:hint="eastAsia" w:asciiTheme="minorEastAsia" w:hAnsiTheme="minorEastAsia" w:eastAsiaTheme="minorEastAsia" w:cstheme="minorEastAsia"/>
          <w:color w:val="auto"/>
          <w:spacing w:val="10"/>
          <w:kern w:val="2"/>
          <w:sz w:val="24"/>
          <w:szCs w:val="24"/>
          <w:lang w:val="zh-CN" w:eastAsia="zh-CN" w:bidi="ar-SA"/>
        </w:rPr>
        <w:t>其他事项</w:t>
      </w:r>
      <w:r>
        <w:rPr>
          <w:rFonts w:hint="eastAsia" w:asciiTheme="minorEastAsia" w:hAnsiTheme="minorEastAsia" w:eastAsiaTheme="minorEastAsia" w:cstheme="minorEastAsia"/>
          <w:color w:val="auto"/>
          <w:spacing w:val="10"/>
          <w:kern w:val="2"/>
          <w:sz w:val="24"/>
          <w:szCs w:val="24"/>
          <w:lang w:val="en-US" w:eastAsia="zh-CN" w:bidi="ar-SA"/>
        </w:rPr>
        <w:t>托管要求的，集中办公区的由甲方、分散办公区的由丙方解除合同。</w:t>
      </w:r>
    </w:p>
    <w:p w14:paraId="15981033">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13.甲方无故延迟支付托管费用或丙方无故拖延向甲方报送结算票据的，超过10个工作日后，每延迟一日，按应付未付款额×年利率10%的标准向餐饮企业支付利息。</w:t>
      </w:r>
    </w:p>
    <w:p w14:paraId="5CB6B890">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14.乙方严禁向甲方和丙方人员赠送礼品、礼金、土特产等；严禁免费为甲方和丙方提供就餐服务。一经发现，将移交有关部门依规依纪处理。</w:t>
      </w:r>
    </w:p>
    <w:p w14:paraId="6A52771E">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15.乙方因故中途停止合作，须提前3个月函告甲方和丙方。</w:t>
      </w:r>
    </w:p>
    <w:p w14:paraId="566DBEB3">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16.乙方出现严重违约行为，甲方或丙方有权单方终止合同，并根据《中华人民共和国政府采购法》及相关政策视情形对乙方进行处罚，并依据《中华人民共和国民法典》追究其法律责任。</w:t>
      </w:r>
    </w:p>
    <w:p w14:paraId="69BB1BDC">
      <w:pPr>
        <w:pStyle w:val="20"/>
        <w:keepNext w:val="0"/>
        <w:keepLines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spacing w:val="10"/>
          <w:kern w:val="2"/>
          <w:sz w:val="24"/>
          <w:szCs w:val="24"/>
          <w:lang w:val="en-US" w:eastAsia="zh-CN" w:bidi="ar-SA"/>
        </w:rPr>
      </w:pPr>
      <w:r>
        <w:rPr>
          <w:rFonts w:hint="eastAsia" w:asciiTheme="minorEastAsia" w:hAnsiTheme="minorEastAsia" w:eastAsiaTheme="minorEastAsia" w:cstheme="minorEastAsia"/>
          <w:spacing w:val="10"/>
          <w:kern w:val="2"/>
          <w:sz w:val="24"/>
          <w:szCs w:val="24"/>
          <w:lang w:val="en-US" w:eastAsia="zh-CN" w:bidi="ar-SA"/>
        </w:rPr>
        <w:t>（十五）押金</w:t>
      </w:r>
    </w:p>
    <w:p w14:paraId="2CE26494">
      <w:pPr>
        <w:pStyle w:val="20"/>
        <w:keepNext w:val="0"/>
        <w:keepLines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0"/>
          <w:kern w:val="2"/>
          <w:sz w:val="24"/>
          <w:szCs w:val="24"/>
          <w:lang w:val="en-US" w:eastAsia="zh-CN" w:bidi="ar-SA"/>
        </w:rPr>
        <w:t>为了确保乙方能依据合同规定履行义务，确保食品卫生安全和餐厅设施设备的安全完整，提供更好的就餐服务，集中办公区的，乙方须向甲方缴纳5万元的食品安全和设施设备押金；分散办公区的，乙方须向丙方缴纳2万元的食品安全和设施设备押金。合同期满，设备移交完结、合同期内无重大食品安全事故和各项费用结算完成后10个工作日内支付给乙方。</w:t>
      </w:r>
    </w:p>
    <w:p w14:paraId="5E56F066">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（十六）免责条件</w:t>
      </w:r>
    </w:p>
    <w:p w14:paraId="22C091AD">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1.因不可抗力等原因导致餐饮企业经营受损的，各方互不承担责任。本合同所指不可抗力是指国家公布的特大地震、地质灾害、洪水等。</w:t>
      </w:r>
    </w:p>
    <w:p w14:paraId="7EBF9C8D">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2.本合同如遇国家策变化时，互不追究违约责任。</w:t>
      </w:r>
    </w:p>
    <w:p w14:paraId="111A579A">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（十七）合同争议的解决</w:t>
      </w:r>
    </w:p>
    <w:p w14:paraId="00F6B749">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1.合同争议的解决。合同执行中发生争议的，当事人双方应协商解决，协商无果时，可向甲方所在地的人民法院提请诉讼。</w:t>
      </w:r>
    </w:p>
    <w:p w14:paraId="3CC369F5">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2.在诉讼期间，除有争议的部分外，本合同其他部分仍然有效，各方应继续履行。</w:t>
      </w:r>
    </w:p>
    <w:p w14:paraId="59107219">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十八）招投标文件、报价文件、成交通知书、成交乙方承诺书是本合同不可分割的组成部分，对甲方、乙方、丙方均具有法律效力。合同一经签订，不得擅自变更、中止或者终止合同。对确需变更、调整或者中止、终止合同的，应按规定履行相应的手续。</w:t>
      </w:r>
    </w:p>
    <w:p w14:paraId="7ABA7D5D">
      <w:pPr>
        <w:keepNext w:val="0"/>
        <w:keepLines w:val="0"/>
        <w:pageBreakBefore w:val="0"/>
        <w:widowControl w:val="0"/>
        <w:kinsoku/>
        <w:wordWrap/>
        <w:overflowPunct/>
        <w:topLinePunct w:val="0"/>
        <w:autoSpaceDE/>
        <w:autoSpaceDN/>
        <w:bidi w:val="0"/>
        <w:adjustRightInd/>
        <w:snapToGrid/>
        <w:spacing w:line="560" w:lineRule="exact"/>
        <w:ind w:left="0" w:leftChars="0" w:firstLine="522"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b/>
          <w:bCs/>
          <w:color w:val="auto"/>
          <w:spacing w:val="10"/>
          <w:kern w:val="2"/>
          <w:sz w:val="24"/>
          <w:szCs w:val="24"/>
          <w:lang w:val="en-US" w:eastAsia="zh-CN" w:bidi="ar-SA"/>
        </w:rPr>
        <w:t>（十九）</w:t>
      </w:r>
      <w:r>
        <w:rPr>
          <w:rFonts w:hint="eastAsia" w:asciiTheme="minorEastAsia" w:hAnsiTheme="minorEastAsia" w:eastAsiaTheme="minorEastAsia" w:cstheme="minorEastAsia"/>
          <w:color w:val="auto"/>
          <w:spacing w:val="10"/>
          <w:kern w:val="2"/>
          <w:sz w:val="24"/>
          <w:szCs w:val="24"/>
          <w:lang w:val="en-US" w:eastAsia="zh-CN" w:bidi="ar-SA"/>
        </w:rPr>
        <w:t>本合同须经采购代理机构确认，否则无效。</w:t>
      </w:r>
    </w:p>
    <w:p w14:paraId="54686ED0">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本合同从签订之日起生效，合同规定的全部事宜和程序结束后终止。集中办公区的合同一式六份，甲方三份，乙方一份，采购代理机构一份，分散办公区的一式六份，甲方三份，乙方一份，采购代理机构一份，延安市财政局政府采购管理科备案一份。</w:t>
      </w:r>
    </w:p>
    <w:p w14:paraId="6DD93F65">
      <w:pPr>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jc w:val="both"/>
        <w:rPr>
          <w:rFonts w:hint="eastAsia" w:asciiTheme="minorEastAsia" w:hAnsiTheme="minorEastAsia" w:eastAsiaTheme="minorEastAsia" w:cstheme="minorEastAsia"/>
          <w:color w:val="auto"/>
          <w:spacing w:val="10"/>
          <w:sz w:val="24"/>
          <w:szCs w:val="24"/>
        </w:rPr>
      </w:pPr>
      <w:r>
        <w:rPr>
          <w:rFonts w:hint="eastAsia" w:asciiTheme="minorEastAsia" w:hAnsiTheme="minorEastAsia" w:eastAsiaTheme="minorEastAsia" w:cstheme="minorEastAsia"/>
          <w:color w:val="auto"/>
          <w:spacing w:val="10"/>
          <w:kern w:val="2"/>
          <w:sz w:val="24"/>
          <w:szCs w:val="24"/>
          <w:lang w:val="en-US" w:eastAsia="zh-CN" w:bidi="ar-SA"/>
        </w:rPr>
        <w:t>附件：机关餐厅线下考核表</w:t>
      </w:r>
    </w:p>
    <w:p w14:paraId="2FA3F948">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510"/>
          <w:kern w:val="0"/>
          <w:sz w:val="24"/>
          <w:szCs w:val="24"/>
          <w:fitText w:val="1500" w:id="1432180387"/>
        </w:rPr>
        <w:t>甲</w:t>
      </w:r>
      <w:r>
        <w:rPr>
          <w:rFonts w:hint="eastAsia" w:asciiTheme="minorEastAsia" w:hAnsiTheme="minorEastAsia" w:eastAsiaTheme="minorEastAsia" w:cstheme="minorEastAsia"/>
          <w:color w:val="auto"/>
          <w:spacing w:val="0"/>
          <w:kern w:val="0"/>
          <w:sz w:val="24"/>
          <w:szCs w:val="24"/>
          <w:fitText w:val="1500" w:id="1432180387"/>
        </w:rPr>
        <w:t>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r>
        <w:rPr>
          <w:rFonts w:hint="eastAsia" w:asciiTheme="minorEastAsia" w:hAnsiTheme="minorEastAsia" w:eastAsiaTheme="minorEastAsia" w:cstheme="minorEastAsia"/>
          <w:color w:val="auto"/>
          <w:sz w:val="24"/>
          <w:szCs w:val="24"/>
          <w:lang w:val="en-US" w:eastAsia="zh-CN"/>
        </w:rPr>
        <w:t>（盖章）</w:t>
      </w:r>
    </w:p>
    <w:p w14:paraId="164A4002">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95"/>
          <w:kern w:val="0"/>
          <w:sz w:val="24"/>
          <w:szCs w:val="24"/>
          <w:fitText w:val="1500" w:id="1451181278"/>
        </w:rPr>
        <w:t>负责</w:t>
      </w:r>
      <w:r>
        <w:rPr>
          <w:rFonts w:hint="eastAsia" w:asciiTheme="minorEastAsia" w:hAnsiTheme="minorEastAsia" w:eastAsiaTheme="minorEastAsia" w:cstheme="minorEastAsia"/>
          <w:color w:val="auto"/>
          <w:spacing w:val="0"/>
          <w:kern w:val="0"/>
          <w:sz w:val="24"/>
          <w:szCs w:val="24"/>
          <w:fitText w:val="1500" w:id="1451181278"/>
        </w:rPr>
        <w:t>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r>
        <w:rPr>
          <w:rFonts w:hint="eastAsia" w:asciiTheme="minorEastAsia" w:hAnsiTheme="minorEastAsia" w:eastAsiaTheme="minorEastAsia" w:cstheme="minorEastAsia"/>
          <w:color w:val="auto"/>
          <w:sz w:val="24"/>
          <w:szCs w:val="24"/>
          <w:lang w:val="en-US" w:eastAsia="zh-CN"/>
        </w:rPr>
        <w:t>（签字）</w:t>
      </w:r>
    </w:p>
    <w:p w14:paraId="3040B846">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510"/>
          <w:kern w:val="0"/>
          <w:sz w:val="24"/>
          <w:szCs w:val="24"/>
          <w:fitText w:val="1500" w:id="1859213219"/>
          <w:lang w:eastAsia="zh-CN"/>
        </w:rPr>
        <w:t>地</w:t>
      </w:r>
      <w:r>
        <w:rPr>
          <w:rFonts w:hint="eastAsia" w:asciiTheme="minorEastAsia" w:hAnsiTheme="minorEastAsia" w:eastAsiaTheme="minorEastAsia" w:cstheme="minorEastAsia"/>
          <w:color w:val="auto"/>
          <w:spacing w:val="0"/>
          <w:kern w:val="0"/>
          <w:sz w:val="24"/>
          <w:szCs w:val="24"/>
          <w:fitText w:val="1500" w:id="1859213219"/>
        </w:rPr>
        <w:t>址</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p>
    <w:p w14:paraId="1E48852B">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95"/>
          <w:kern w:val="0"/>
          <w:sz w:val="24"/>
          <w:szCs w:val="24"/>
          <w:fitText w:val="1500" w:id="2036687722"/>
        </w:rPr>
        <w:t>联系</w:t>
      </w:r>
      <w:r>
        <w:rPr>
          <w:rFonts w:hint="eastAsia" w:asciiTheme="minorEastAsia" w:hAnsiTheme="minorEastAsia" w:eastAsiaTheme="minorEastAsia" w:cstheme="minorEastAsia"/>
          <w:color w:val="auto"/>
          <w:spacing w:val="0"/>
          <w:kern w:val="0"/>
          <w:sz w:val="24"/>
          <w:szCs w:val="24"/>
          <w:fitText w:val="1500" w:id="2036687722"/>
        </w:rPr>
        <w:t>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p>
    <w:p w14:paraId="690E1E16">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90"/>
          <w:kern w:val="0"/>
          <w:sz w:val="24"/>
          <w:szCs w:val="24"/>
          <w:fitText w:val="1500" w:id="980825486"/>
        </w:rPr>
        <w:t>联系电</w:t>
      </w:r>
      <w:r>
        <w:rPr>
          <w:rFonts w:hint="eastAsia" w:asciiTheme="minorEastAsia" w:hAnsiTheme="minorEastAsia" w:eastAsiaTheme="minorEastAsia" w:cstheme="minorEastAsia"/>
          <w:color w:val="auto"/>
          <w:spacing w:val="0"/>
          <w:kern w:val="0"/>
          <w:sz w:val="24"/>
          <w:szCs w:val="24"/>
          <w:fitText w:val="1500" w:id="980825486"/>
        </w:rPr>
        <w:t>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p>
    <w:p w14:paraId="4CAE7025">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pacing w:val="1260"/>
          <w:kern w:val="0"/>
          <w:sz w:val="24"/>
          <w:szCs w:val="24"/>
          <w:fitText w:val="1500" w:id="1341369631"/>
        </w:rPr>
      </w:pPr>
    </w:p>
    <w:p w14:paraId="2E063403">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510"/>
          <w:kern w:val="0"/>
          <w:sz w:val="24"/>
          <w:szCs w:val="24"/>
          <w:fitText w:val="1500" w:id="1296376962"/>
        </w:rPr>
        <w:t>乙</w:t>
      </w:r>
      <w:r>
        <w:rPr>
          <w:rFonts w:hint="eastAsia" w:asciiTheme="minorEastAsia" w:hAnsiTheme="minorEastAsia" w:eastAsiaTheme="minorEastAsia" w:cstheme="minorEastAsia"/>
          <w:color w:val="auto"/>
          <w:spacing w:val="0"/>
          <w:kern w:val="0"/>
          <w:sz w:val="24"/>
          <w:szCs w:val="24"/>
          <w:fitText w:val="1500" w:id="1296376962"/>
        </w:rPr>
        <w:t>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r>
        <w:rPr>
          <w:rFonts w:hint="eastAsia" w:asciiTheme="minorEastAsia" w:hAnsiTheme="minorEastAsia" w:eastAsiaTheme="minorEastAsia" w:cstheme="minorEastAsia"/>
          <w:color w:val="auto"/>
          <w:sz w:val="24"/>
          <w:szCs w:val="24"/>
          <w:lang w:val="en-US" w:eastAsia="zh-CN"/>
        </w:rPr>
        <w:t>（盖章）</w:t>
      </w:r>
    </w:p>
    <w:p w14:paraId="35477560">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37"/>
          <w:w w:val="100"/>
          <w:kern w:val="0"/>
          <w:sz w:val="24"/>
          <w:szCs w:val="24"/>
          <w:fitText w:val="1500" w:id="636709556"/>
        </w:rPr>
        <w:t>法定代表</w:t>
      </w:r>
      <w:r>
        <w:rPr>
          <w:rFonts w:hint="eastAsia" w:asciiTheme="minorEastAsia" w:hAnsiTheme="minorEastAsia" w:eastAsiaTheme="minorEastAsia" w:cstheme="minorEastAsia"/>
          <w:color w:val="auto"/>
          <w:spacing w:val="2"/>
          <w:w w:val="100"/>
          <w:kern w:val="0"/>
          <w:sz w:val="24"/>
          <w:szCs w:val="24"/>
          <w:fitText w:val="1500" w:id="636709556"/>
        </w:rPr>
        <w:t>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r>
        <w:rPr>
          <w:rFonts w:hint="eastAsia" w:asciiTheme="minorEastAsia" w:hAnsiTheme="minorEastAsia" w:eastAsiaTheme="minorEastAsia" w:cstheme="minorEastAsia"/>
          <w:color w:val="auto"/>
          <w:sz w:val="24"/>
          <w:szCs w:val="24"/>
          <w:lang w:val="en-US" w:eastAsia="zh-CN"/>
        </w:rPr>
        <w:t>（签字）</w:t>
      </w:r>
    </w:p>
    <w:p w14:paraId="7B88C833">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510"/>
          <w:kern w:val="0"/>
          <w:sz w:val="24"/>
          <w:szCs w:val="24"/>
          <w:fitText w:val="1500" w:id="1863936387"/>
          <w:lang w:eastAsia="zh-CN"/>
        </w:rPr>
        <w:t>地</w:t>
      </w:r>
      <w:r>
        <w:rPr>
          <w:rFonts w:hint="eastAsia" w:asciiTheme="minorEastAsia" w:hAnsiTheme="minorEastAsia" w:eastAsiaTheme="minorEastAsia" w:cstheme="minorEastAsia"/>
          <w:color w:val="auto"/>
          <w:spacing w:val="0"/>
          <w:kern w:val="0"/>
          <w:sz w:val="24"/>
          <w:szCs w:val="24"/>
          <w:fitText w:val="1500" w:id="1863936387"/>
        </w:rPr>
        <w:t>址</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p>
    <w:p w14:paraId="03CA1614">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95"/>
          <w:kern w:val="0"/>
          <w:sz w:val="24"/>
          <w:szCs w:val="24"/>
          <w:fitText w:val="1500" w:id="153689336"/>
        </w:rPr>
        <w:t>联系</w:t>
      </w:r>
      <w:r>
        <w:rPr>
          <w:rFonts w:hint="eastAsia" w:asciiTheme="minorEastAsia" w:hAnsiTheme="minorEastAsia" w:eastAsiaTheme="minorEastAsia" w:cstheme="minorEastAsia"/>
          <w:color w:val="auto"/>
          <w:spacing w:val="0"/>
          <w:kern w:val="0"/>
          <w:sz w:val="24"/>
          <w:szCs w:val="24"/>
          <w:fitText w:val="1500" w:id="153689336"/>
        </w:rPr>
        <w:t>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p>
    <w:p w14:paraId="3A4B3004">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90"/>
          <w:kern w:val="0"/>
          <w:sz w:val="24"/>
          <w:szCs w:val="24"/>
          <w:fitText w:val="1500" w:id="1642401306"/>
        </w:rPr>
        <w:t>联系电</w:t>
      </w:r>
      <w:r>
        <w:rPr>
          <w:rFonts w:hint="eastAsia" w:asciiTheme="minorEastAsia" w:hAnsiTheme="minorEastAsia" w:eastAsiaTheme="minorEastAsia" w:cstheme="minorEastAsia"/>
          <w:color w:val="auto"/>
          <w:spacing w:val="0"/>
          <w:kern w:val="0"/>
          <w:sz w:val="24"/>
          <w:szCs w:val="24"/>
          <w:fitText w:val="1500" w:id="1642401306"/>
        </w:rPr>
        <w:t>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p>
    <w:p w14:paraId="29BD4B12">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90"/>
          <w:kern w:val="0"/>
          <w:sz w:val="24"/>
          <w:szCs w:val="24"/>
          <w:fitText w:val="1500" w:id="1281835291"/>
        </w:rPr>
        <w:t>开户银</w:t>
      </w:r>
      <w:r>
        <w:rPr>
          <w:rFonts w:hint="eastAsia" w:asciiTheme="minorEastAsia" w:hAnsiTheme="minorEastAsia" w:eastAsiaTheme="minorEastAsia" w:cstheme="minorEastAsia"/>
          <w:color w:val="auto"/>
          <w:spacing w:val="0"/>
          <w:kern w:val="0"/>
          <w:sz w:val="24"/>
          <w:szCs w:val="24"/>
          <w:fitText w:val="1500" w:id="1281835291"/>
        </w:rPr>
        <w:t>行</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p>
    <w:p w14:paraId="79BECF5D">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510"/>
          <w:kern w:val="0"/>
          <w:sz w:val="24"/>
          <w:szCs w:val="24"/>
          <w:fitText w:val="1500" w:id="110118316"/>
          <w:lang w:val="en-US" w:eastAsia="zh-CN"/>
        </w:rPr>
        <w:t>账</w:t>
      </w:r>
      <w:r>
        <w:rPr>
          <w:rFonts w:hint="eastAsia" w:asciiTheme="minorEastAsia" w:hAnsiTheme="minorEastAsia" w:eastAsiaTheme="minorEastAsia" w:cstheme="minorEastAsia"/>
          <w:color w:val="auto"/>
          <w:spacing w:val="0"/>
          <w:kern w:val="0"/>
          <w:sz w:val="24"/>
          <w:szCs w:val="24"/>
          <w:fitText w:val="1500" w:id="110118316"/>
        </w:rPr>
        <w:t>号</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ab/>
      </w:r>
    </w:p>
    <w:p w14:paraId="7A5405A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Theme="minorEastAsia" w:hAnsiTheme="minorEastAsia" w:eastAsiaTheme="minorEastAsia" w:cstheme="minorEastAsia"/>
          <w:color w:val="auto"/>
          <w:spacing w:val="10"/>
          <w:sz w:val="24"/>
          <w:szCs w:val="24"/>
        </w:rPr>
      </w:pPr>
    </w:p>
    <w:p w14:paraId="52AA4ABC">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丙</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 xml:space="preserve">      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（盖章）</w:t>
      </w:r>
    </w:p>
    <w:p w14:paraId="3DAE083B">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7"/>
          <w:w w:val="100"/>
          <w:kern w:val="0"/>
          <w:sz w:val="24"/>
          <w:szCs w:val="24"/>
          <w:fitText w:val="1500" w:id="1054671677"/>
          <w14:textFill>
            <w14:solidFill>
              <w14:schemeClr w14:val="tx1"/>
            </w14:solidFill>
          </w14:textFill>
        </w:rPr>
        <w:t>法定代表</w:t>
      </w:r>
      <w:r>
        <w:rPr>
          <w:rFonts w:hint="eastAsia" w:asciiTheme="minorEastAsia" w:hAnsiTheme="minorEastAsia" w:eastAsiaTheme="minorEastAsia" w:cstheme="minorEastAsia"/>
          <w:color w:val="000000" w:themeColor="text1"/>
          <w:spacing w:val="2"/>
          <w:w w:val="100"/>
          <w:kern w:val="0"/>
          <w:sz w:val="24"/>
          <w:szCs w:val="24"/>
          <w:fitText w:val="1500" w:id="1054671677"/>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（签字）</w:t>
      </w:r>
    </w:p>
    <w:p w14:paraId="3E582EA9">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10"/>
          <w:kern w:val="0"/>
          <w:sz w:val="24"/>
          <w:szCs w:val="24"/>
          <w:fitText w:val="1500" w:id="1173514229"/>
          <w:lang w:eastAsia="zh-CN"/>
          <w14:textFill>
            <w14:solidFill>
              <w14:schemeClr w14:val="tx1"/>
            </w14:solidFill>
          </w14:textFill>
        </w:rPr>
        <w:t>地</w:t>
      </w:r>
      <w:r>
        <w:rPr>
          <w:rFonts w:hint="eastAsia" w:asciiTheme="minorEastAsia" w:hAnsiTheme="minorEastAsia" w:eastAsiaTheme="minorEastAsia" w:cstheme="minorEastAsia"/>
          <w:color w:val="000000" w:themeColor="text1"/>
          <w:spacing w:val="0"/>
          <w:kern w:val="0"/>
          <w:sz w:val="24"/>
          <w:szCs w:val="24"/>
          <w:fitText w:val="1500" w:id="1173514229"/>
          <w14:textFill>
            <w14:solidFill>
              <w14:schemeClr w14:val="tx1"/>
            </w14:solidFill>
          </w14:textFill>
        </w:rPr>
        <w:t>址</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ab/>
      </w:r>
    </w:p>
    <w:p w14:paraId="6CCEB7F7">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95"/>
          <w:kern w:val="0"/>
          <w:sz w:val="24"/>
          <w:szCs w:val="24"/>
          <w:fitText w:val="1500" w:id="827594912"/>
          <w14:textFill>
            <w14:solidFill>
              <w14:schemeClr w14:val="tx1"/>
            </w14:solidFill>
          </w14:textFill>
        </w:rPr>
        <w:t>联系</w:t>
      </w:r>
      <w:r>
        <w:rPr>
          <w:rFonts w:hint="eastAsia" w:asciiTheme="minorEastAsia" w:hAnsiTheme="minorEastAsia" w:eastAsiaTheme="minorEastAsia" w:cstheme="minorEastAsia"/>
          <w:color w:val="000000" w:themeColor="text1"/>
          <w:spacing w:val="0"/>
          <w:kern w:val="0"/>
          <w:sz w:val="24"/>
          <w:szCs w:val="24"/>
          <w:fitText w:val="1500" w:id="827594912"/>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ab/>
      </w:r>
    </w:p>
    <w:p w14:paraId="438728CD">
      <w:pPr>
        <w:keepNext w:val="0"/>
        <w:keepLines w:val="0"/>
        <w:pageBreakBefore w:val="0"/>
        <w:widowControl w:val="0"/>
        <w:tabs>
          <w:tab w:val="left" w:leader="underscore" w:pos="5250"/>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0"/>
          <w:kern w:val="0"/>
          <w:sz w:val="24"/>
          <w:szCs w:val="24"/>
          <w:fitText w:val="1500" w:id="556691695"/>
          <w14:textFill>
            <w14:solidFill>
              <w14:schemeClr w14:val="tx1"/>
            </w14:solidFill>
          </w14:textFill>
        </w:rPr>
        <w:t>联系电</w:t>
      </w:r>
      <w:r>
        <w:rPr>
          <w:rFonts w:hint="eastAsia" w:asciiTheme="minorEastAsia" w:hAnsiTheme="minorEastAsia" w:eastAsiaTheme="minorEastAsia" w:cstheme="minorEastAsia"/>
          <w:color w:val="000000" w:themeColor="text1"/>
          <w:spacing w:val="0"/>
          <w:kern w:val="0"/>
          <w:sz w:val="24"/>
          <w:szCs w:val="24"/>
          <w:fitText w:val="1500" w:id="556691695"/>
          <w14:textFill>
            <w14:solidFill>
              <w14:schemeClr w14:val="tx1"/>
            </w14:solidFill>
          </w14:textFill>
        </w:rPr>
        <w:t>话</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ab/>
      </w:r>
    </w:p>
    <w:p w14:paraId="31AFE5F7">
      <w:pPr>
        <w:keepNext w:val="0"/>
        <w:keepLines w:val="0"/>
        <w:pageBreakBefore w:val="0"/>
        <w:widowControl w:val="0"/>
        <w:tabs>
          <w:tab w:val="left" w:leader="underscore" w:pos="3150"/>
        </w:tabs>
        <w:kinsoku/>
        <w:wordWrap/>
        <w:overflowPunct/>
        <w:topLinePunct w:val="0"/>
        <w:autoSpaceDE/>
        <w:autoSpaceDN/>
        <w:bidi w:val="0"/>
        <w:adjustRightInd/>
        <w:snapToGrid/>
        <w:spacing w:line="520" w:lineRule="exact"/>
        <w:textAlignment w:val="baseline"/>
        <w:rPr>
          <w:rFonts w:hint="eastAsia" w:asciiTheme="minorEastAsia" w:hAnsiTheme="minorEastAsia" w:eastAsiaTheme="minorEastAsia" w:cstheme="minorEastAsia"/>
          <w:color w:val="000000" w:themeColor="text1"/>
          <w:spacing w:val="10"/>
          <w:sz w:val="24"/>
          <w:szCs w:val="24"/>
          <w:lang w:val="zh-CN" w:eastAsia="zh-CN"/>
          <w14:textFill>
            <w14:solidFill>
              <w14:schemeClr w14:val="tx1"/>
            </w14:solidFill>
          </w14:textFill>
        </w:rPr>
      </w:pPr>
    </w:p>
    <w:p w14:paraId="3B2B825B">
      <w:pPr>
        <w:keepNext w:val="0"/>
        <w:keepLines w:val="0"/>
        <w:pageBreakBefore w:val="0"/>
        <w:widowControl w:val="0"/>
        <w:tabs>
          <w:tab w:val="left" w:leader="underscore" w:pos="3150"/>
        </w:tabs>
        <w:kinsoku/>
        <w:wordWrap/>
        <w:overflowPunct/>
        <w:topLinePunct w:val="0"/>
        <w:autoSpaceDE/>
        <w:autoSpaceDN/>
        <w:bidi w:val="0"/>
        <w:adjustRightInd/>
        <w:snapToGrid/>
        <w:spacing w:line="520" w:lineRule="exact"/>
        <w:textAlignment w:val="baseline"/>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lang w:val="zh-CN" w:eastAsia="zh-CN"/>
          <w14:textFill>
            <w14:solidFill>
              <w14:schemeClr w14:val="tx1"/>
            </w14:solidFill>
          </w14:textFill>
        </w:rPr>
        <w:t>采购代理机构</w:t>
      </w:r>
    </w:p>
    <w:p w14:paraId="5EAFC14D">
      <w:pPr>
        <w:keepNext w:val="0"/>
        <w:keepLines w:val="0"/>
        <w:pageBreakBefore w:val="0"/>
        <w:widowControl w:val="0"/>
        <w:tabs>
          <w:tab w:val="left" w:leader="underscore" w:pos="3150"/>
        </w:tabs>
        <w:kinsoku/>
        <w:wordWrap/>
        <w:overflowPunct/>
        <w:topLinePunct w:val="0"/>
        <w:autoSpaceDE/>
        <w:autoSpaceDN/>
        <w:bidi w:val="0"/>
        <w:adjustRightInd/>
        <w:snapToGrid/>
        <w:spacing w:line="520" w:lineRule="exact"/>
        <w:textAlignment w:val="baseline"/>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 xml:space="preserve">负责人: </w:t>
      </w:r>
      <w:r>
        <w:rPr>
          <w:rFonts w:hint="eastAsia" w:asciiTheme="minorEastAsia" w:hAnsiTheme="minorEastAsia" w:eastAsiaTheme="minorEastAsia" w:cstheme="minorEastAsia"/>
          <w:color w:val="000000" w:themeColor="text1"/>
          <w:spacing w:val="1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 xml:space="preserve">                    </w:t>
      </w:r>
    </w:p>
    <w:p w14:paraId="3EFB1D2C">
      <w:pPr>
        <w:keepNext w:val="0"/>
        <w:keepLines w:val="0"/>
        <w:pageBreakBefore w:val="0"/>
        <w:widowControl w:val="0"/>
        <w:kinsoku/>
        <w:wordWrap/>
        <w:overflowPunct/>
        <w:topLinePunct w:val="0"/>
        <w:autoSpaceDE/>
        <w:autoSpaceDN/>
        <w:bidi w:val="0"/>
        <w:adjustRightInd/>
        <w:snapToGrid/>
        <w:spacing w:line="560" w:lineRule="exact"/>
        <w:ind w:left="0" w:leftChars="0" w:right="703" w:rightChars="335" w:firstLine="650" w:firstLineChars="25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pacing w:val="10"/>
          <w:kern w:val="2"/>
          <w:sz w:val="24"/>
          <w:szCs w:val="24"/>
          <w:lang w:val="en-US" w:eastAsia="zh-CN" w:bidi="ar-SA"/>
        </w:rPr>
        <w:t xml:space="preserve">           　　　 </w:t>
      </w:r>
    </w:p>
    <w:p w14:paraId="0AFE7727">
      <w:pPr>
        <w:keepNext w:val="0"/>
        <w:keepLines w:val="0"/>
        <w:pageBreakBefore w:val="0"/>
        <w:widowControl w:val="0"/>
        <w:kinsoku/>
        <w:wordWrap/>
        <w:overflowPunct/>
        <w:topLinePunct w:val="0"/>
        <w:autoSpaceDE/>
        <w:autoSpaceDN/>
        <w:bidi w:val="0"/>
        <w:adjustRightInd/>
        <w:snapToGrid/>
        <w:spacing w:line="560" w:lineRule="exact"/>
        <w:ind w:left="0" w:leftChars="0" w:right="703" w:rightChars="335" w:firstLine="650" w:firstLineChars="250"/>
        <w:rPr>
          <w:rFonts w:hint="eastAsia" w:asciiTheme="minorEastAsia" w:hAnsiTheme="minorEastAsia" w:eastAsiaTheme="minorEastAsia" w:cstheme="minorEastAsia"/>
          <w:color w:val="auto"/>
          <w:spacing w:val="10"/>
          <w:sz w:val="24"/>
          <w:szCs w:val="24"/>
        </w:rPr>
        <w:sectPr>
          <w:footerReference r:id="rId9" w:type="default"/>
          <w:pgSz w:w="11906" w:h="16838"/>
          <w:pgMar w:top="1440" w:right="1191" w:bottom="1440" w:left="1191" w:header="851" w:footer="992" w:gutter="0"/>
          <w:pgNumType w:fmt="decimal" w:start="1"/>
          <w:cols w:space="720" w:num="1"/>
          <w:docGrid w:type="lines" w:linePitch="312" w:charSpace="0"/>
        </w:sectPr>
      </w:pPr>
      <w:r>
        <w:rPr>
          <w:rFonts w:hint="eastAsia" w:asciiTheme="minorEastAsia" w:hAnsiTheme="minorEastAsia" w:eastAsiaTheme="minorEastAsia" w:cstheme="minorEastAsia"/>
          <w:color w:val="auto"/>
          <w:spacing w:val="10"/>
          <w:kern w:val="2"/>
          <w:sz w:val="24"/>
          <w:szCs w:val="24"/>
          <w:lang w:val="en-US" w:eastAsia="zh-CN" w:bidi="ar-SA"/>
        </w:rPr>
        <w:t xml:space="preserve">合同签订日期: </w:t>
      </w:r>
      <w:r>
        <w:rPr>
          <w:rFonts w:hint="eastAsia" w:asciiTheme="minorEastAsia" w:hAnsiTheme="minorEastAsia" w:eastAsiaTheme="minorEastAsia" w:cstheme="minorEastAsia"/>
          <w:color w:val="auto"/>
          <w:spacing w:val="10"/>
          <w:kern w:val="2"/>
          <w:sz w:val="24"/>
          <w:szCs w:val="24"/>
          <w:u w:val="single"/>
          <w:lang w:val="en-US" w:eastAsia="zh-CN" w:bidi="ar-SA"/>
        </w:rPr>
        <w:t xml:space="preserve">     </w:t>
      </w:r>
      <w:r>
        <w:rPr>
          <w:rFonts w:hint="eastAsia" w:asciiTheme="minorEastAsia" w:hAnsiTheme="minorEastAsia" w:eastAsiaTheme="minorEastAsia" w:cstheme="minorEastAsia"/>
          <w:color w:val="auto"/>
          <w:spacing w:val="10"/>
          <w:kern w:val="2"/>
          <w:sz w:val="24"/>
          <w:szCs w:val="24"/>
          <w:lang w:val="en-US" w:eastAsia="zh-CN" w:bidi="ar-SA"/>
        </w:rPr>
        <w:t>年</w:t>
      </w:r>
      <w:r>
        <w:rPr>
          <w:rFonts w:hint="eastAsia" w:asciiTheme="minorEastAsia" w:hAnsiTheme="minorEastAsia" w:eastAsiaTheme="minorEastAsia" w:cstheme="minorEastAsia"/>
          <w:color w:val="auto"/>
          <w:spacing w:val="10"/>
          <w:kern w:val="2"/>
          <w:sz w:val="24"/>
          <w:szCs w:val="24"/>
          <w:u w:val="single"/>
          <w:lang w:val="en-US" w:eastAsia="zh-CN" w:bidi="ar-SA"/>
        </w:rPr>
        <w:t xml:space="preserve">   </w:t>
      </w:r>
      <w:r>
        <w:rPr>
          <w:rFonts w:hint="eastAsia" w:asciiTheme="minorEastAsia" w:hAnsiTheme="minorEastAsia" w:eastAsiaTheme="minorEastAsia" w:cstheme="minorEastAsia"/>
          <w:color w:val="auto"/>
          <w:spacing w:val="10"/>
          <w:kern w:val="2"/>
          <w:sz w:val="24"/>
          <w:szCs w:val="24"/>
          <w:lang w:val="en-US" w:eastAsia="zh-CN" w:bidi="ar-SA"/>
        </w:rPr>
        <w:t>月</w:t>
      </w:r>
      <w:r>
        <w:rPr>
          <w:rFonts w:hint="eastAsia" w:asciiTheme="minorEastAsia" w:hAnsiTheme="minorEastAsia" w:eastAsiaTheme="minorEastAsia" w:cstheme="minorEastAsia"/>
          <w:color w:val="auto"/>
          <w:spacing w:val="10"/>
          <w:kern w:val="2"/>
          <w:sz w:val="24"/>
          <w:szCs w:val="24"/>
          <w:u w:val="single"/>
          <w:lang w:val="en-US" w:eastAsia="zh-CN" w:bidi="ar-SA"/>
        </w:rPr>
        <w:t xml:space="preserve">   </w:t>
      </w:r>
      <w:r>
        <w:rPr>
          <w:rFonts w:hint="eastAsia" w:asciiTheme="minorEastAsia" w:hAnsiTheme="minorEastAsia" w:eastAsiaTheme="minorEastAsia" w:cstheme="minorEastAsia"/>
          <w:color w:val="auto"/>
          <w:spacing w:val="10"/>
          <w:kern w:val="2"/>
          <w:sz w:val="24"/>
          <w:szCs w:val="24"/>
          <w:lang w:val="en-US" w:eastAsia="zh-CN" w:bidi="ar-SA"/>
        </w:rPr>
        <w:t>日</w:t>
      </w:r>
    </w:p>
    <w:bookmarkEnd w:id="236"/>
    <w:bookmarkEnd w:id="242"/>
    <w:bookmarkEnd w:id="243"/>
    <w:p w14:paraId="61096354">
      <w:pPr>
        <w:pStyle w:val="2"/>
        <w:numPr>
          <w:ilvl w:val="0"/>
          <w:numId w:val="2"/>
        </w:numPr>
        <w:spacing w:before="240" w:beforeLines="100" w:after="120" w:line="480" w:lineRule="exact"/>
        <w:ind w:left="431" w:hanging="431"/>
        <w:jc w:val="center"/>
        <w:rPr>
          <w:rFonts w:hint="eastAsia" w:ascii="宋体" w:hAnsi="宋体" w:eastAsia="宋体" w:cs="宋体"/>
          <w:bCs/>
          <w:i w:val="0"/>
          <w:iCs w:val="0"/>
          <w:color w:val="auto"/>
          <w:sz w:val="36"/>
          <w:szCs w:val="36"/>
        </w:rPr>
      </w:pPr>
      <w:bookmarkStart w:id="244" w:name="_Toc10905"/>
      <w:bookmarkStart w:id="245" w:name="_Toc24095"/>
      <w:r>
        <w:rPr>
          <w:rFonts w:hint="eastAsia" w:ascii="宋体" w:hAnsi="宋体" w:eastAsia="宋体" w:cs="宋体"/>
          <w:bCs/>
          <w:i w:val="0"/>
          <w:iCs w:val="0"/>
          <w:color w:val="auto"/>
          <w:sz w:val="36"/>
          <w:szCs w:val="36"/>
        </w:rPr>
        <w:t>采购需求</w:t>
      </w:r>
      <w:bookmarkEnd w:id="244"/>
    </w:p>
    <w:p w14:paraId="7A753B08">
      <w:pPr>
        <w:spacing w:line="48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、服务期限</w:t>
      </w:r>
    </w:p>
    <w:p w14:paraId="11EB789F">
      <w:pPr>
        <w:numPr>
          <w:ilvl w:val="0"/>
          <w:numId w:val="0"/>
        </w:numPr>
        <w:spacing w:line="480" w:lineRule="exact"/>
        <w:ind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服务期两年，合同一年一签。</w:t>
      </w:r>
    </w:p>
    <w:p w14:paraId="74392054">
      <w:pPr>
        <w:spacing w:before="72" w:beforeLines="30" w:line="360" w:lineRule="auto"/>
        <w:ind w:firstLine="482" w:firstLineChars="200"/>
        <w:rPr>
          <w:rFonts w:hint="eastAsia" w:ascii="宋体" w:hAnsi="宋体" w:eastAsia="宋体" w:cs="宋体"/>
          <w:b/>
          <w:bCs/>
          <w:i w:val="0"/>
          <w:iCs w:val="0"/>
          <w:color w:val="auto"/>
          <w:sz w:val="24"/>
          <w:lang w:val="en-US" w:eastAsia="zh-CN"/>
        </w:rPr>
      </w:pPr>
      <w:r>
        <w:rPr>
          <w:rFonts w:hint="eastAsia" w:asciiTheme="minorEastAsia" w:hAnsiTheme="minorEastAsia" w:eastAsiaTheme="minorEastAsia" w:cstheme="minorEastAsia"/>
          <w:b/>
          <w:bCs/>
          <w:color w:val="auto"/>
          <w:sz w:val="24"/>
          <w:szCs w:val="24"/>
          <w:lang w:val="en-US" w:eastAsia="zh-CN"/>
        </w:rPr>
        <w:t>二、</w:t>
      </w:r>
      <w:r>
        <w:rPr>
          <w:rFonts w:hint="eastAsia" w:ascii="宋体" w:hAnsi="宋体" w:cs="宋体"/>
          <w:b/>
          <w:bCs/>
          <w:i w:val="0"/>
          <w:iCs w:val="0"/>
          <w:color w:val="auto"/>
          <w:sz w:val="24"/>
          <w:lang w:val="en-US" w:eastAsia="zh-CN"/>
        </w:rPr>
        <w:t>总</w:t>
      </w:r>
      <w:r>
        <w:rPr>
          <w:rFonts w:hint="eastAsia" w:ascii="宋体" w:hAnsi="宋体" w:eastAsia="宋体" w:cs="宋体"/>
          <w:b/>
          <w:bCs/>
          <w:i w:val="0"/>
          <w:iCs w:val="0"/>
          <w:color w:val="auto"/>
          <w:sz w:val="24"/>
          <w:lang w:val="en-US" w:eastAsia="zh-CN"/>
        </w:rPr>
        <w:t>最高限价</w:t>
      </w:r>
      <w:r>
        <w:rPr>
          <w:rFonts w:hint="eastAsia" w:ascii="宋体" w:hAnsi="宋体" w:eastAsia="宋体" w:cs="宋体"/>
          <w:b/>
          <w:bCs/>
          <w:i w:val="0"/>
          <w:iCs w:val="0"/>
          <w:color w:val="auto"/>
          <w:sz w:val="24"/>
        </w:rPr>
        <w:t>:</w:t>
      </w:r>
      <w:r>
        <w:rPr>
          <w:rFonts w:hint="eastAsia" w:ascii="宋体" w:hAnsi="宋体" w:cs="宋体"/>
          <w:b/>
          <w:bCs/>
          <w:i w:val="0"/>
          <w:iCs w:val="0"/>
          <w:color w:val="auto"/>
          <w:sz w:val="24"/>
          <w:lang w:val="en-US" w:eastAsia="zh-CN"/>
        </w:rPr>
        <w:t>14000000.00元，每年最高限价7000000.00</w:t>
      </w:r>
      <w:r>
        <w:rPr>
          <w:rFonts w:hint="eastAsia" w:ascii="宋体" w:hAnsi="宋体" w:eastAsia="宋体" w:cs="宋体"/>
          <w:b/>
          <w:bCs/>
          <w:i w:val="0"/>
          <w:iCs w:val="0"/>
          <w:color w:val="auto"/>
          <w:sz w:val="24"/>
        </w:rPr>
        <w:t>元</w:t>
      </w:r>
      <w:r>
        <w:rPr>
          <w:rFonts w:hint="eastAsia" w:ascii="宋体" w:hAnsi="宋体" w:cs="宋体"/>
          <w:b/>
          <w:bCs/>
          <w:i w:val="0"/>
          <w:iCs w:val="0"/>
          <w:color w:val="auto"/>
          <w:sz w:val="24"/>
          <w:lang w:eastAsia="zh-CN"/>
        </w:rPr>
        <w:t>。</w:t>
      </w:r>
    </w:p>
    <w:p w14:paraId="76EB2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lang w:val="en-US" w:eastAsia="zh-CN"/>
          <w14:textFill>
            <w14:solidFill>
              <w14:schemeClr w14:val="tx1"/>
            </w14:solidFill>
          </w14:textFill>
        </w:rPr>
        <w:t>注</w:t>
      </w:r>
      <w:r>
        <w:rPr>
          <w:rFonts w:hint="eastAsia" w:ascii="宋体" w:hAnsi="宋体" w:eastAsia="宋体" w:cs="宋体"/>
          <w:b w:val="0"/>
          <w:bCs w:val="0"/>
          <w:color w:val="000000" w:themeColor="text1"/>
          <w:sz w:val="24"/>
          <w:szCs w:val="24"/>
          <w:lang w:val="en-US" w:eastAsia="zh-CN"/>
          <w14:textFill>
            <w14:solidFill>
              <w14:schemeClr w14:val="tx1"/>
            </w14:solidFill>
          </w14:textFill>
        </w:rPr>
        <w:t>：干部职工餐厅托管费投标报价范围：早餐在5</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元/人次之内,午餐8</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元/人次之内，晚餐在3</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元/人次之内；无年固定劳务补贴。</w:t>
      </w:r>
    </w:p>
    <w:p w14:paraId="370EBF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县级餐厅托管费投标报价范围，早餐在6.</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元/人次之内,午餐12.</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元/人次之内，晚餐在3.</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元/人次之内；年固定劳务费补助报价在60万元之内。</w:t>
      </w:r>
    </w:p>
    <w:p w14:paraId="10C94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厅级餐厅托管费投标报价范围，早餐在10.</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元/人次之内,午餐21.</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元/人次之内，晚餐在9.</w:t>
      </w:r>
      <w:r>
        <w:rPr>
          <w:rFonts w:hint="eastAsia" w:ascii="宋体" w:hAnsi="宋体" w:eastAsia="宋体" w:cs="宋体"/>
          <w:b w:val="0"/>
          <w:bCs w:val="0"/>
          <w:color w:val="000000" w:themeColor="text1"/>
          <w:sz w:val="24"/>
          <w:szCs w:val="24"/>
          <w:lang w:val="en" w:eastAsia="zh-CN"/>
          <w14:textFill>
            <w14:solidFill>
              <w14:schemeClr w14:val="tx1"/>
            </w14:solidFill>
          </w14:textFill>
        </w:rPr>
        <w:t>0</w:t>
      </w:r>
      <w:r>
        <w:rPr>
          <w:rFonts w:hint="eastAsia" w:ascii="宋体" w:hAnsi="宋体" w:eastAsia="宋体" w:cs="宋体"/>
          <w:b w:val="0"/>
          <w:bCs w:val="0"/>
          <w:color w:val="000000" w:themeColor="text1"/>
          <w:sz w:val="24"/>
          <w:szCs w:val="24"/>
          <w:lang w:val="en-US" w:eastAsia="zh-CN"/>
          <w14:textFill>
            <w14:solidFill>
              <w14:schemeClr w14:val="tx1"/>
            </w14:solidFill>
          </w14:textFill>
        </w:rPr>
        <w:t>元/人次之内；年固定劳务费补助报价在87万元之内。</w:t>
      </w:r>
    </w:p>
    <w:p w14:paraId="3E3BB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超出上述范围的报价为无效报价。</w:t>
      </w:r>
    </w:p>
    <w:p w14:paraId="341F3C4E">
      <w:pPr>
        <w:keepNext w:val="0"/>
        <w:keepLines w:val="0"/>
        <w:pageBreakBefore w:val="0"/>
        <w:widowControl w:val="0"/>
        <w:numPr>
          <w:ilvl w:val="0"/>
          <w:numId w:val="0"/>
        </w:numPr>
        <w:kinsoku/>
        <w:wordWrap/>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kern w:val="0"/>
          <w:sz w:val="24"/>
          <w:szCs w:val="24"/>
          <w:lang w:val="zh-CN"/>
        </w:rPr>
      </w:pPr>
      <w:r>
        <w:rPr>
          <w:rFonts w:hint="eastAsia" w:asciiTheme="minorEastAsia" w:hAnsiTheme="minorEastAsia" w:eastAsiaTheme="minorEastAsia" w:cstheme="minorEastAsia"/>
          <w:b/>
          <w:bCs/>
          <w:color w:val="auto"/>
          <w:kern w:val="0"/>
          <w:sz w:val="24"/>
          <w:szCs w:val="24"/>
          <w:lang w:val="en-US" w:eastAsia="zh-CN"/>
        </w:rPr>
        <w:t>三、</w:t>
      </w:r>
      <w:r>
        <w:rPr>
          <w:rFonts w:hint="eastAsia" w:asciiTheme="minorEastAsia" w:hAnsiTheme="minorEastAsia" w:eastAsiaTheme="minorEastAsia" w:cstheme="minorEastAsia"/>
          <w:b/>
          <w:bCs/>
          <w:color w:val="auto"/>
          <w:kern w:val="0"/>
          <w:sz w:val="24"/>
          <w:szCs w:val="24"/>
          <w:lang w:val="zh-CN"/>
        </w:rPr>
        <w:t>基本情况</w:t>
      </w:r>
    </w:p>
    <w:p w14:paraId="5712BB7D">
      <w:pPr>
        <w:keepNext w:val="0"/>
        <w:keepLines w:val="0"/>
        <w:pageBreakBefore w:val="0"/>
        <w:widowControl w:val="0"/>
        <w:numPr>
          <w:ilvl w:val="0"/>
          <w:numId w:val="3"/>
        </w:numPr>
        <w:kinsoku/>
        <w:wordWrap/>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功能布局</w:t>
      </w:r>
    </w:p>
    <w:p w14:paraId="7A6A0D3B">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1.集中办公区</w:t>
      </w:r>
    </w:p>
    <w:p w14:paraId="66137FA7">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为民服务中心</w:t>
      </w:r>
    </w:p>
    <w:p w14:paraId="03D641A5">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eastAsia="zh-CN"/>
        </w:rPr>
        <w:t>设</w:t>
      </w:r>
      <w:r>
        <w:rPr>
          <w:rFonts w:hint="eastAsia" w:asciiTheme="minorEastAsia" w:hAnsiTheme="minorEastAsia" w:eastAsiaTheme="minorEastAsia" w:cstheme="minorEastAsia"/>
          <w:b w:val="0"/>
          <w:bCs/>
          <w:color w:val="auto"/>
          <w:sz w:val="24"/>
          <w:szCs w:val="24"/>
        </w:rPr>
        <w:t>两个干部职工餐厅</w:t>
      </w:r>
      <w:r>
        <w:rPr>
          <w:rFonts w:hint="eastAsia" w:asciiTheme="minorEastAsia" w:hAnsiTheme="minorEastAsia" w:eastAsiaTheme="minorEastAsia" w:cstheme="minorEastAsia"/>
          <w:b w:val="0"/>
          <w:bCs/>
          <w:color w:val="auto"/>
          <w:sz w:val="24"/>
          <w:szCs w:val="24"/>
          <w:lang w:eastAsia="zh-CN"/>
        </w:rPr>
        <w:t>，分别为</w:t>
      </w:r>
      <w:r>
        <w:rPr>
          <w:rFonts w:hint="eastAsia" w:asciiTheme="minorEastAsia" w:hAnsiTheme="minorEastAsia" w:eastAsiaTheme="minorEastAsia" w:cstheme="minorEastAsia"/>
          <w:b w:val="0"/>
          <w:bCs/>
          <w:color w:val="auto"/>
          <w:sz w:val="24"/>
          <w:szCs w:val="24"/>
          <w:lang w:val="en-US" w:eastAsia="zh-CN"/>
        </w:rPr>
        <w:t>1号和6号。1号餐厅使用面积2700㎡，可容纳1480人同时就餐；6号餐厅使用面积1494㎡，可容纳500人同时就餐；</w:t>
      </w:r>
    </w:p>
    <w:p w14:paraId="7AE3749E">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设</w:t>
      </w:r>
      <w:r>
        <w:rPr>
          <w:rFonts w:hint="eastAsia" w:asciiTheme="minorEastAsia" w:hAnsiTheme="minorEastAsia" w:eastAsiaTheme="minorEastAsia" w:cstheme="minorEastAsia"/>
          <w:b w:val="0"/>
          <w:bCs/>
          <w:color w:val="auto"/>
          <w:sz w:val="24"/>
          <w:szCs w:val="24"/>
        </w:rPr>
        <w:t>三个县级领导餐厅</w:t>
      </w:r>
      <w:r>
        <w:rPr>
          <w:rFonts w:hint="eastAsia" w:asciiTheme="minorEastAsia" w:hAnsiTheme="minorEastAsia" w:eastAsiaTheme="minorEastAsia" w:cstheme="minorEastAsia"/>
          <w:b w:val="0"/>
          <w:bCs/>
          <w:color w:val="auto"/>
          <w:sz w:val="24"/>
          <w:szCs w:val="24"/>
          <w:lang w:eastAsia="zh-CN"/>
        </w:rPr>
        <w:t>，分别为</w:t>
      </w:r>
      <w:r>
        <w:rPr>
          <w:rFonts w:hint="eastAsia" w:asciiTheme="minorEastAsia" w:hAnsiTheme="minorEastAsia" w:eastAsiaTheme="minorEastAsia" w:cstheme="minorEastAsia"/>
          <w:b w:val="0"/>
          <w:bCs/>
          <w:color w:val="auto"/>
          <w:sz w:val="24"/>
          <w:szCs w:val="24"/>
          <w:lang w:val="en-US" w:eastAsia="zh-CN"/>
        </w:rPr>
        <w:t>2、4、5号。每个餐厅使用面积300㎡左右，各设包间2个，可容纳120人同时就餐）；</w:t>
      </w:r>
    </w:p>
    <w:p w14:paraId="5EB4C59B">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设</w:t>
      </w:r>
      <w:r>
        <w:rPr>
          <w:rFonts w:hint="eastAsia" w:asciiTheme="minorEastAsia" w:hAnsiTheme="minorEastAsia" w:eastAsiaTheme="minorEastAsia" w:cstheme="minorEastAsia"/>
          <w:b w:val="0"/>
          <w:bCs/>
          <w:color w:val="auto"/>
          <w:sz w:val="24"/>
          <w:szCs w:val="24"/>
        </w:rPr>
        <w:t>一个厅级领导餐厅</w:t>
      </w:r>
      <w:r>
        <w:rPr>
          <w:rFonts w:hint="eastAsia" w:asciiTheme="minorEastAsia" w:hAnsiTheme="minorEastAsia" w:eastAsiaTheme="minorEastAsia" w:cstheme="minorEastAsia"/>
          <w:b w:val="0"/>
          <w:bCs/>
          <w:color w:val="auto"/>
          <w:sz w:val="24"/>
          <w:szCs w:val="24"/>
          <w:lang w:eastAsia="zh-CN"/>
        </w:rPr>
        <w:t>，为</w:t>
      </w:r>
      <w:r>
        <w:rPr>
          <w:rFonts w:hint="eastAsia" w:asciiTheme="minorEastAsia" w:hAnsiTheme="minorEastAsia" w:eastAsiaTheme="minorEastAsia" w:cstheme="minorEastAsia"/>
          <w:b w:val="0"/>
          <w:bCs/>
          <w:color w:val="auto"/>
          <w:sz w:val="24"/>
          <w:szCs w:val="24"/>
          <w:lang w:val="en-US" w:eastAsia="zh-CN"/>
        </w:rPr>
        <w:t>3号灶（使用面积268㎡，可容纳30人同时就餐，设包间1间）。</w:t>
      </w:r>
    </w:p>
    <w:p w14:paraId="3AB4B986">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lang w:eastAsia="zh-CN"/>
        </w:rPr>
        <w:t>新洲小镇食堂</w:t>
      </w:r>
      <w:r>
        <w:rPr>
          <w:rFonts w:hint="eastAsia" w:asciiTheme="minorEastAsia" w:hAnsiTheme="minorEastAsia" w:eastAsiaTheme="minorEastAsia" w:cstheme="minorEastAsia"/>
          <w:b w:val="0"/>
          <w:bCs/>
          <w:color w:val="auto"/>
          <w:sz w:val="24"/>
          <w:szCs w:val="24"/>
          <w:lang w:val="en-US" w:eastAsia="zh-CN"/>
        </w:rPr>
        <w:t>使用面积400㎡，设县级餐厅和干部职工餐厅，能同时容纳500人就餐。</w:t>
      </w:r>
    </w:p>
    <w:p w14:paraId="43A190BB">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color w:val="auto"/>
          <w:sz w:val="24"/>
          <w:szCs w:val="24"/>
          <w:lang w:val="en-US" w:eastAsia="zh-CN"/>
        </w:rPr>
        <w:t>2.分散办公区</w:t>
      </w:r>
    </w:p>
    <w:p w14:paraId="0F28A2FE">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（1）市</w:t>
      </w:r>
      <w:r>
        <w:rPr>
          <w:rFonts w:hint="eastAsia" w:asciiTheme="minorEastAsia" w:hAnsiTheme="minorEastAsia" w:eastAsiaTheme="minorEastAsia" w:cstheme="minorEastAsia"/>
          <w:b w:val="0"/>
          <w:bCs/>
          <w:color w:val="auto"/>
          <w:sz w:val="24"/>
          <w:szCs w:val="24"/>
          <w:lang w:eastAsia="zh-CN"/>
        </w:rPr>
        <w:t>公安局食堂</w:t>
      </w:r>
      <w:r>
        <w:rPr>
          <w:rFonts w:hint="eastAsia" w:asciiTheme="minorEastAsia" w:hAnsiTheme="minorEastAsia" w:eastAsiaTheme="minorEastAsia" w:cstheme="minorEastAsia"/>
          <w:b w:val="0"/>
          <w:bCs/>
          <w:color w:val="auto"/>
          <w:sz w:val="24"/>
          <w:szCs w:val="24"/>
          <w:lang w:val="en-US" w:eastAsia="zh-CN"/>
        </w:rPr>
        <w:t>使用</w:t>
      </w:r>
      <w:r>
        <w:rPr>
          <w:rFonts w:hint="eastAsia" w:asciiTheme="minorEastAsia" w:hAnsiTheme="minorEastAsia" w:eastAsiaTheme="minorEastAsia" w:cstheme="minorEastAsia"/>
          <w:b w:val="0"/>
          <w:bCs/>
          <w:color w:val="auto"/>
          <w:sz w:val="24"/>
          <w:szCs w:val="24"/>
          <w:lang w:eastAsia="zh-CN"/>
        </w:rPr>
        <w:t>面积约</w:t>
      </w:r>
      <w:r>
        <w:rPr>
          <w:rFonts w:hint="eastAsia" w:asciiTheme="minorEastAsia" w:hAnsiTheme="minorEastAsia" w:eastAsiaTheme="minorEastAsia" w:cstheme="minorEastAsia"/>
          <w:b w:val="0"/>
          <w:bCs/>
          <w:color w:val="auto"/>
          <w:sz w:val="24"/>
          <w:szCs w:val="24"/>
          <w:lang w:val="en-US" w:eastAsia="zh-CN"/>
        </w:rPr>
        <w:t>468</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eastAsia="zh-CN"/>
        </w:rPr>
        <w:t>能</w:t>
      </w:r>
      <w:r>
        <w:rPr>
          <w:rFonts w:hint="eastAsia" w:asciiTheme="minorEastAsia" w:hAnsiTheme="minorEastAsia" w:eastAsiaTheme="minorEastAsia" w:cstheme="minorEastAsia"/>
          <w:b w:val="0"/>
          <w:bCs/>
          <w:color w:val="auto"/>
          <w:sz w:val="24"/>
          <w:szCs w:val="24"/>
          <w:lang w:val="en-US" w:eastAsia="zh-CN"/>
        </w:rPr>
        <w:t>同时</w:t>
      </w:r>
      <w:r>
        <w:rPr>
          <w:rFonts w:hint="eastAsia" w:asciiTheme="minorEastAsia" w:hAnsiTheme="minorEastAsia" w:eastAsiaTheme="minorEastAsia" w:cstheme="minorEastAsia"/>
          <w:b w:val="0"/>
          <w:bCs/>
          <w:color w:val="auto"/>
          <w:sz w:val="24"/>
          <w:szCs w:val="24"/>
          <w:lang w:eastAsia="zh-CN"/>
        </w:rPr>
        <w:t>容纳</w:t>
      </w:r>
      <w:r>
        <w:rPr>
          <w:rFonts w:hint="eastAsia" w:asciiTheme="minorEastAsia" w:hAnsiTheme="minorEastAsia" w:eastAsiaTheme="minorEastAsia" w:cstheme="minorEastAsia"/>
          <w:b w:val="0"/>
          <w:bCs/>
          <w:color w:val="auto"/>
          <w:sz w:val="24"/>
          <w:szCs w:val="24"/>
          <w:lang w:val="en-US" w:eastAsia="zh-CN"/>
        </w:rPr>
        <w:t>300人就餐；</w:t>
      </w:r>
    </w:p>
    <w:p w14:paraId="3CC1E4B3">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（2）市检察院食堂使用面积</w:t>
      </w:r>
      <w:r>
        <w:rPr>
          <w:rFonts w:hint="eastAsia" w:asciiTheme="minorEastAsia" w:hAnsiTheme="minorEastAsia" w:eastAsiaTheme="minorEastAsia" w:cstheme="minorEastAsia"/>
          <w:b w:val="0"/>
          <w:bCs/>
          <w:color w:val="auto"/>
          <w:sz w:val="24"/>
          <w:szCs w:val="24"/>
          <w:lang w:eastAsia="zh-CN"/>
        </w:rPr>
        <w:t>约</w:t>
      </w:r>
      <w:r>
        <w:rPr>
          <w:rFonts w:hint="eastAsia" w:asciiTheme="minorEastAsia" w:hAnsiTheme="minorEastAsia" w:eastAsiaTheme="minorEastAsia" w:cstheme="minorEastAsia"/>
          <w:b w:val="0"/>
          <w:bCs/>
          <w:color w:val="auto"/>
          <w:sz w:val="24"/>
          <w:szCs w:val="24"/>
          <w:lang w:val="en-US" w:eastAsia="zh-CN"/>
        </w:rPr>
        <w:t>200</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eastAsia="zh-CN"/>
        </w:rPr>
        <w:t>，能</w:t>
      </w:r>
      <w:r>
        <w:rPr>
          <w:rFonts w:hint="eastAsia" w:asciiTheme="minorEastAsia" w:hAnsiTheme="minorEastAsia" w:eastAsiaTheme="minorEastAsia" w:cstheme="minorEastAsia"/>
          <w:b w:val="0"/>
          <w:bCs/>
          <w:color w:val="auto"/>
          <w:sz w:val="24"/>
          <w:szCs w:val="24"/>
          <w:lang w:val="en-US" w:eastAsia="zh-CN"/>
        </w:rPr>
        <w:t>同时</w:t>
      </w:r>
      <w:r>
        <w:rPr>
          <w:rFonts w:hint="eastAsia" w:asciiTheme="minorEastAsia" w:hAnsiTheme="minorEastAsia" w:eastAsiaTheme="minorEastAsia" w:cstheme="minorEastAsia"/>
          <w:b w:val="0"/>
          <w:bCs/>
          <w:color w:val="auto"/>
          <w:sz w:val="24"/>
          <w:szCs w:val="24"/>
          <w:lang w:eastAsia="zh-CN"/>
        </w:rPr>
        <w:t>容纳</w:t>
      </w:r>
      <w:r>
        <w:rPr>
          <w:rFonts w:hint="eastAsia" w:asciiTheme="minorEastAsia" w:hAnsiTheme="minorEastAsia" w:eastAsiaTheme="minorEastAsia" w:cstheme="minorEastAsia"/>
          <w:b w:val="0"/>
          <w:bCs/>
          <w:color w:val="auto"/>
          <w:sz w:val="24"/>
          <w:szCs w:val="24"/>
          <w:lang w:val="en-US" w:eastAsia="zh-CN"/>
        </w:rPr>
        <w:t>100人就餐；</w:t>
      </w:r>
    </w:p>
    <w:p w14:paraId="67D18962">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（3）市法院食堂使用面积</w:t>
      </w:r>
      <w:r>
        <w:rPr>
          <w:rFonts w:hint="eastAsia" w:asciiTheme="minorEastAsia" w:hAnsiTheme="minorEastAsia" w:eastAsiaTheme="minorEastAsia" w:cstheme="minorEastAsia"/>
          <w:b w:val="0"/>
          <w:bCs/>
          <w:color w:val="auto"/>
          <w:sz w:val="24"/>
          <w:szCs w:val="24"/>
          <w:lang w:eastAsia="zh-CN"/>
        </w:rPr>
        <w:t>约</w:t>
      </w:r>
      <w:r>
        <w:rPr>
          <w:rFonts w:hint="eastAsia" w:asciiTheme="minorEastAsia" w:hAnsiTheme="minorEastAsia" w:eastAsiaTheme="minorEastAsia" w:cstheme="minorEastAsia"/>
          <w:b w:val="0"/>
          <w:bCs/>
          <w:color w:val="auto"/>
          <w:sz w:val="24"/>
          <w:szCs w:val="24"/>
          <w:lang w:val="en-US" w:eastAsia="zh-CN"/>
        </w:rPr>
        <w:t>600</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eastAsia="zh-CN"/>
        </w:rPr>
        <w:t>，能</w:t>
      </w:r>
      <w:r>
        <w:rPr>
          <w:rFonts w:hint="eastAsia" w:asciiTheme="minorEastAsia" w:hAnsiTheme="minorEastAsia" w:eastAsiaTheme="minorEastAsia" w:cstheme="minorEastAsia"/>
          <w:b w:val="0"/>
          <w:bCs/>
          <w:color w:val="auto"/>
          <w:sz w:val="24"/>
          <w:szCs w:val="24"/>
          <w:lang w:val="en-US" w:eastAsia="zh-CN"/>
        </w:rPr>
        <w:t>同时</w:t>
      </w:r>
      <w:r>
        <w:rPr>
          <w:rFonts w:hint="eastAsia" w:asciiTheme="minorEastAsia" w:hAnsiTheme="minorEastAsia" w:eastAsiaTheme="minorEastAsia" w:cstheme="minorEastAsia"/>
          <w:b w:val="0"/>
          <w:bCs/>
          <w:color w:val="auto"/>
          <w:sz w:val="24"/>
          <w:szCs w:val="24"/>
          <w:lang w:eastAsia="zh-CN"/>
        </w:rPr>
        <w:t>容纳</w:t>
      </w:r>
      <w:r>
        <w:rPr>
          <w:rFonts w:hint="eastAsia" w:asciiTheme="minorEastAsia" w:hAnsiTheme="minorEastAsia" w:eastAsiaTheme="minorEastAsia" w:cstheme="minorEastAsia"/>
          <w:b w:val="0"/>
          <w:bCs/>
          <w:color w:val="auto"/>
          <w:sz w:val="24"/>
          <w:szCs w:val="24"/>
          <w:lang w:val="en-US" w:eastAsia="zh-CN"/>
        </w:rPr>
        <w:t>150人就餐；</w:t>
      </w:r>
    </w:p>
    <w:p w14:paraId="23AC8554">
      <w:pPr>
        <w:pageBreakBefore w:val="0"/>
        <w:numPr>
          <w:ilvl w:val="0"/>
          <w:numId w:val="0"/>
        </w:numPr>
        <w:topLinePunct w:val="0"/>
        <w:bidi w:val="0"/>
        <w:spacing w:line="560" w:lineRule="exact"/>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color w:val="auto"/>
          <w:sz w:val="24"/>
          <w:szCs w:val="24"/>
          <w:lang w:val="en-US" w:eastAsia="zh-CN"/>
        </w:rPr>
        <w:t>（4）市司法局食堂使用面积</w:t>
      </w:r>
      <w:r>
        <w:rPr>
          <w:rFonts w:hint="eastAsia" w:asciiTheme="minorEastAsia" w:hAnsiTheme="minorEastAsia" w:eastAsiaTheme="minorEastAsia" w:cstheme="minorEastAsia"/>
          <w:b w:val="0"/>
          <w:bCs/>
          <w:color w:val="auto"/>
          <w:sz w:val="24"/>
          <w:szCs w:val="24"/>
          <w:lang w:eastAsia="zh-CN"/>
        </w:rPr>
        <w:t>约</w:t>
      </w:r>
      <w:r>
        <w:rPr>
          <w:rFonts w:hint="eastAsia" w:asciiTheme="minorEastAsia" w:hAnsiTheme="minorEastAsia" w:eastAsiaTheme="minorEastAsia" w:cstheme="minorEastAsia"/>
          <w:b w:val="0"/>
          <w:bCs/>
          <w:color w:val="auto"/>
          <w:sz w:val="24"/>
          <w:szCs w:val="24"/>
          <w:lang w:val="en-US" w:eastAsia="zh-CN"/>
        </w:rPr>
        <w:t>100</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val="en-US" w:eastAsia="zh-CN"/>
        </w:rPr>
        <w:t>,能同时容纳50人就餐。</w:t>
      </w:r>
    </w:p>
    <w:p w14:paraId="5E3FEC18">
      <w:pPr>
        <w:keepNext w:val="0"/>
        <w:keepLines w:val="0"/>
        <w:pageBreakBefore w:val="0"/>
        <w:widowControl w:val="0"/>
        <w:kinsoku/>
        <w:wordWrap/>
        <w:overflowPunct/>
        <w:topLinePunct w:val="0"/>
        <w:bidi w:val="0"/>
        <w:spacing w:line="56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）托管方式</w:t>
      </w:r>
    </w:p>
    <w:p w14:paraId="5FFDC3C6">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委托经营管理</w:t>
      </w:r>
      <w:r>
        <w:rPr>
          <w:rFonts w:hint="eastAsia" w:asciiTheme="minorEastAsia" w:hAnsiTheme="minorEastAsia" w:eastAsiaTheme="minorEastAsia" w:cstheme="minorEastAsia"/>
          <w:color w:val="auto"/>
          <w:sz w:val="24"/>
          <w:szCs w:val="24"/>
          <w:lang w:val="en-US" w:eastAsia="zh-CN"/>
        </w:rPr>
        <w:t>模式，由市机关事务服务中心（以下简称：采购人）</w:t>
      </w:r>
      <w:r>
        <w:rPr>
          <w:rFonts w:hint="eastAsia" w:asciiTheme="minorEastAsia" w:hAnsiTheme="minorEastAsia" w:eastAsiaTheme="minorEastAsia" w:cstheme="minorEastAsia"/>
          <w:color w:val="auto"/>
          <w:sz w:val="24"/>
          <w:szCs w:val="24"/>
        </w:rPr>
        <w:t>委托</w:t>
      </w:r>
      <w:r>
        <w:rPr>
          <w:rFonts w:hint="eastAsia" w:asciiTheme="minorEastAsia" w:hAnsiTheme="minorEastAsia" w:eastAsiaTheme="minorEastAsia" w:cstheme="minorEastAsia"/>
          <w:color w:val="auto"/>
          <w:sz w:val="24"/>
          <w:szCs w:val="24"/>
          <w:lang w:val="en-US" w:eastAsia="zh-CN"/>
        </w:rPr>
        <w:t>一家专业团餐企业对集中办公区和分散办公区机关食堂经营管理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集中办公区由采购人、分散办公区由实际使用方市公安局、市检察院、市法院、市司法局</w:t>
      </w:r>
      <w:r>
        <w:rPr>
          <w:rFonts w:hint="eastAsia" w:asciiTheme="minorEastAsia" w:hAnsiTheme="minorEastAsia" w:eastAsiaTheme="minorEastAsia" w:cstheme="minorEastAsia"/>
          <w:color w:val="auto"/>
          <w:sz w:val="24"/>
          <w:szCs w:val="24"/>
          <w:lang w:eastAsia="zh-CN"/>
        </w:rPr>
        <w:t>对供应商实施日常监督、考核和管理，采购人</w:t>
      </w:r>
      <w:r>
        <w:rPr>
          <w:rFonts w:hint="eastAsia" w:asciiTheme="minorEastAsia" w:hAnsiTheme="minorEastAsia" w:eastAsiaTheme="minorEastAsia" w:cstheme="minorEastAsia"/>
          <w:color w:val="auto"/>
          <w:sz w:val="24"/>
          <w:szCs w:val="24"/>
          <w:lang w:val="en-US" w:eastAsia="zh-CN"/>
        </w:rPr>
        <w:t>按考核</w:t>
      </w:r>
      <w:r>
        <w:rPr>
          <w:rFonts w:hint="eastAsia" w:asciiTheme="minorEastAsia" w:hAnsiTheme="minorEastAsia" w:eastAsiaTheme="minorEastAsia" w:cstheme="minorEastAsia"/>
          <w:color w:val="auto"/>
          <w:sz w:val="24"/>
          <w:szCs w:val="24"/>
          <w:lang w:eastAsia="zh-CN"/>
        </w:rPr>
        <w:t>结果、中标价</w:t>
      </w:r>
      <w:r>
        <w:rPr>
          <w:rFonts w:hint="eastAsia" w:asciiTheme="minorEastAsia" w:hAnsiTheme="minorEastAsia" w:eastAsiaTheme="minorEastAsia" w:cstheme="minorEastAsia"/>
          <w:color w:val="auto"/>
          <w:sz w:val="24"/>
          <w:szCs w:val="24"/>
        </w:rPr>
        <w:t>结合当月</w:t>
      </w:r>
      <w:r>
        <w:rPr>
          <w:rFonts w:hint="eastAsia" w:asciiTheme="minorEastAsia" w:hAnsiTheme="minorEastAsia" w:eastAsiaTheme="minorEastAsia" w:cstheme="minorEastAsia"/>
          <w:color w:val="auto"/>
          <w:sz w:val="24"/>
          <w:szCs w:val="24"/>
          <w:lang w:eastAsia="zh-CN"/>
        </w:rPr>
        <w:t>每餐</w:t>
      </w:r>
      <w:r>
        <w:rPr>
          <w:rFonts w:hint="eastAsia" w:asciiTheme="minorEastAsia" w:hAnsiTheme="minorEastAsia" w:eastAsiaTheme="minorEastAsia" w:cstheme="minorEastAsia"/>
          <w:color w:val="auto"/>
          <w:sz w:val="24"/>
          <w:szCs w:val="24"/>
        </w:rPr>
        <w:t>实际就餐人数支付托管费用。</w:t>
      </w:r>
      <w:r>
        <w:rPr>
          <w:rFonts w:hint="eastAsia" w:asciiTheme="minorEastAsia" w:hAnsiTheme="minorEastAsia" w:eastAsiaTheme="minorEastAsia" w:cstheme="minorEastAsia"/>
          <w:color w:val="auto"/>
          <w:sz w:val="24"/>
          <w:szCs w:val="24"/>
          <w:lang w:eastAsia="zh-CN"/>
        </w:rPr>
        <w:t>干部职工就餐按每餐就餐价格</w:t>
      </w:r>
      <w:r>
        <w:rPr>
          <w:rFonts w:hint="eastAsia" w:asciiTheme="minorEastAsia" w:hAnsiTheme="minorEastAsia" w:eastAsiaTheme="minorEastAsia" w:cstheme="minorEastAsia"/>
          <w:color w:val="auto"/>
          <w:sz w:val="24"/>
          <w:szCs w:val="24"/>
        </w:rPr>
        <w:t>，通过“智慧餐厅”系统</w:t>
      </w:r>
      <w:r>
        <w:rPr>
          <w:rFonts w:hint="eastAsia" w:asciiTheme="minorEastAsia" w:hAnsiTheme="minorEastAsia" w:eastAsiaTheme="minorEastAsia" w:cstheme="minorEastAsia"/>
          <w:color w:val="auto"/>
          <w:sz w:val="24"/>
          <w:szCs w:val="24"/>
          <w:lang w:eastAsia="zh-CN"/>
        </w:rPr>
        <w:t>支付就餐费用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各机关食堂通过“智慧餐厅”系统互联互通，服务保障范围内的干部职工可自主选择在各机关食堂就餐。</w:t>
      </w:r>
    </w:p>
    <w:p w14:paraId="12458DCF">
      <w:pPr>
        <w:keepNext w:val="0"/>
        <w:keepLines w:val="0"/>
        <w:pageBreakBefore w:val="0"/>
        <w:widowControl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供应商在集中办公区</w:t>
      </w:r>
      <w:r>
        <w:rPr>
          <w:rFonts w:hint="eastAsia" w:asciiTheme="minorEastAsia" w:hAnsiTheme="minorEastAsia" w:eastAsiaTheme="minorEastAsia" w:cstheme="minorEastAsia"/>
          <w:color w:val="auto"/>
          <w:sz w:val="24"/>
          <w:szCs w:val="24"/>
          <w:lang w:val="en-US" w:eastAsia="zh-CN"/>
        </w:rPr>
        <w:t>由采购人、分散办公区由使用方</w:t>
      </w:r>
      <w:r>
        <w:rPr>
          <w:rFonts w:hint="eastAsia" w:asciiTheme="minorEastAsia" w:hAnsiTheme="minorEastAsia" w:eastAsiaTheme="minorEastAsia" w:cstheme="minorEastAsia"/>
          <w:color w:val="auto"/>
          <w:sz w:val="24"/>
          <w:szCs w:val="24"/>
          <w:lang w:eastAsia="zh-CN"/>
        </w:rPr>
        <w:t>免费提供生产经营场地以及优惠政策前提下</w:t>
      </w:r>
      <w:r>
        <w:rPr>
          <w:rFonts w:hint="eastAsia" w:asciiTheme="minorEastAsia" w:hAnsiTheme="minorEastAsia" w:eastAsiaTheme="minorEastAsia" w:cstheme="minorEastAsia"/>
          <w:color w:val="auto"/>
          <w:sz w:val="24"/>
          <w:szCs w:val="24"/>
        </w:rPr>
        <w:t>实行自主经营，独立核算，自负盈亏。</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在确保干部职工就餐需要的前提下，可</w:t>
      </w:r>
      <w:r>
        <w:rPr>
          <w:rFonts w:hint="eastAsia" w:asciiTheme="minorEastAsia" w:hAnsiTheme="minorEastAsia" w:eastAsiaTheme="minorEastAsia" w:cstheme="minorEastAsia"/>
          <w:color w:val="auto"/>
          <w:kern w:val="0"/>
          <w:sz w:val="24"/>
          <w:szCs w:val="24"/>
        </w:rPr>
        <w:t>利用节假日对外营业、承办婚宴，</w:t>
      </w:r>
      <w:r>
        <w:rPr>
          <w:rFonts w:hint="eastAsia" w:asciiTheme="minorEastAsia" w:hAnsiTheme="minorEastAsia" w:eastAsiaTheme="minorEastAsia" w:cstheme="minorEastAsia"/>
          <w:color w:val="auto"/>
          <w:sz w:val="24"/>
          <w:szCs w:val="24"/>
        </w:rPr>
        <w:t>也可对外销售</w:t>
      </w:r>
      <w:r>
        <w:rPr>
          <w:rFonts w:hint="eastAsia" w:asciiTheme="minorEastAsia" w:hAnsiTheme="minorEastAsia" w:eastAsiaTheme="minorEastAsia" w:cstheme="minorEastAsia"/>
          <w:color w:val="auto"/>
          <w:kern w:val="0"/>
          <w:sz w:val="24"/>
          <w:szCs w:val="24"/>
        </w:rPr>
        <w:t>加工熟食或举办超市</w:t>
      </w:r>
      <w:r>
        <w:rPr>
          <w:rFonts w:hint="eastAsia" w:asciiTheme="minorEastAsia" w:hAnsiTheme="minorEastAsia" w:eastAsiaTheme="minorEastAsia" w:cstheme="minorEastAsia"/>
          <w:color w:val="auto"/>
          <w:sz w:val="24"/>
          <w:szCs w:val="24"/>
        </w:rPr>
        <w:t>。</w:t>
      </w:r>
    </w:p>
    <w:p w14:paraId="444511A0">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费用承担</w:t>
      </w:r>
    </w:p>
    <w:p w14:paraId="565AA26F">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rPr>
        <w:t>免费为</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提供经营场所和设施、设备。</w:t>
      </w:r>
    </w:p>
    <w:p w14:paraId="60AB0FD6">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2.餐厅所产生的水、电、气费用，</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rPr>
        <w:t>承担95%、</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承担5%。</w:t>
      </w:r>
    </w:p>
    <w:p w14:paraId="34A78191">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480" w:firstLineChars="200"/>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US" w:eastAsia="zh-CN"/>
        </w:rPr>
        <w:t>3.增购和更新餐具等低值易耗品费用：</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u w:val="none" w:color="auto"/>
          <w:lang w:val="en-US" w:eastAsia="zh-CN"/>
        </w:rPr>
        <w:t>在一个合同期内，合同初期一个月，在餐厅现有餐具等低值易耗品存量基础上，根据需要，提出整体的配置计划，</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u w:val="none" w:color="auto"/>
          <w:lang w:val="en-US" w:eastAsia="zh-CN"/>
        </w:rPr>
        <w:t>审核后，</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u w:val="none" w:color="auto"/>
          <w:lang w:val="en-US" w:eastAsia="zh-CN"/>
        </w:rPr>
        <w:t>依据审定的更新计划进行采购，采购费用</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u w:val="none" w:color="auto"/>
          <w:lang w:val="en-US" w:eastAsia="zh-CN"/>
        </w:rPr>
        <w:t>承担；后期在实际使用过程中，按照交旧换新原则，由供应商负责更新，费用由供应商承担，</w:t>
      </w:r>
      <w:r>
        <w:rPr>
          <w:rFonts w:hint="eastAsia" w:asciiTheme="minorEastAsia" w:hAnsiTheme="minorEastAsia" w:eastAsiaTheme="minorEastAsia" w:cstheme="minorEastAsia"/>
          <w:color w:val="auto"/>
          <w:sz w:val="24"/>
          <w:szCs w:val="24"/>
          <w:lang w:val="en-US" w:eastAsia="zh-CN"/>
        </w:rPr>
        <w:t>集中办公区报采购人、分散办公区报使用方</w:t>
      </w:r>
      <w:r>
        <w:rPr>
          <w:rFonts w:hint="eastAsia" w:asciiTheme="minorEastAsia" w:hAnsiTheme="minorEastAsia" w:eastAsiaTheme="minorEastAsia" w:cstheme="minorEastAsia"/>
          <w:color w:val="auto"/>
          <w:sz w:val="24"/>
          <w:szCs w:val="24"/>
          <w:u w:val="none" w:color="auto"/>
          <w:lang w:val="en-US" w:eastAsia="zh-CN"/>
        </w:rPr>
        <w:t>备案。经营过程中，如原有餐具用具不能满足需要，需要增加配置的，</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u w:val="none" w:color="auto"/>
          <w:lang w:val="en-US" w:eastAsia="zh-CN"/>
        </w:rPr>
        <w:t>负责配置，费用</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u w:val="none" w:color="auto"/>
          <w:lang w:val="en-US" w:eastAsia="zh-CN"/>
        </w:rPr>
        <w:t>承担。接待用餐的餐具、消毒柜以及餐桌（椅）及其台布及饰品由</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u w:val="none" w:color="auto"/>
          <w:lang w:val="en-US" w:eastAsia="zh-CN"/>
        </w:rPr>
        <w:t>采购，清洗费由供应商承担。</w:t>
      </w:r>
    </w:p>
    <w:p w14:paraId="4537FFED">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.除上述以外的</w:t>
      </w:r>
      <w:r>
        <w:rPr>
          <w:rFonts w:hint="eastAsia" w:asciiTheme="minorEastAsia" w:hAnsiTheme="minorEastAsia" w:eastAsiaTheme="minorEastAsia" w:cstheme="minorEastAsia"/>
          <w:color w:val="auto"/>
          <w:sz w:val="24"/>
          <w:szCs w:val="24"/>
          <w:u w:val="none" w:color="auto"/>
          <w:lang w:val="en-US" w:eastAsia="zh-CN"/>
        </w:rPr>
        <w:t>在经营过程中使用的食材、调味用品以及清洁剂、消毒剂、杀虫剂、扫帚、拖把、抹布、钢丝球、手纸、口巾、湿巾、手套、口罩、卫生球等</w:t>
      </w:r>
      <w:r>
        <w:rPr>
          <w:rFonts w:hint="eastAsia" w:asciiTheme="minorEastAsia" w:hAnsiTheme="minorEastAsia" w:eastAsiaTheme="minorEastAsia" w:cstheme="minorEastAsia"/>
          <w:color w:val="auto"/>
          <w:sz w:val="24"/>
          <w:szCs w:val="24"/>
        </w:rPr>
        <w:t>一切</w:t>
      </w:r>
      <w:r>
        <w:rPr>
          <w:rFonts w:hint="eastAsia" w:asciiTheme="minorEastAsia" w:hAnsiTheme="minorEastAsia" w:eastAsiaTheme="minorEastAsia" w:cstheme="minorEastAsia"/>
          <w:color w:val="auto"/>
          <w:sz w:val="24"/>
          <w:szCs w:val="24"/>
          <w:lang w:eastAsia="zh-CN"/>
        </w:rPr>
        <w:t>事项及</w:t>
      </w:r>
      <w:r>
        <w:rPr>
          <w:rFonts w:hint="eastAsia" w:asciiTheme="minorEastAsia" w:hAnsiTheme="minorEastAsia" w:eastAsiaTheme="minorEastAsia" w:cstheme="minorEastAsia"/>
          <w:color w:val="auto"/>
          <w:sz w:val="24"/>
          <w:szCs w:val="24"/>
        </w:rPr>
        <w:t>费用均由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u w:val="none" w:color="auto"/>
          <w:lang w:val="en-US" w:eastAsia="zh-CN"/>
        </w:rPr>
        <w:t>采购和</w:t>
      </w:r>
      <w:r>
        <w:rPr>
          <w:rFonts w:hint="eastAsia" w:asciiTheme="minorEastAsia" w:hAnsiTheme="minorEastAsia" w:eastAsiaTheme="minorEastAsia" w:cstheme="minorEastAsia"/>
          <w:color w:val="auto"/>
          <w:sz w:val="24"/>
          <w:szCs w:val="24"/>
        </w:rPr>
        <w:t>承担。</w:t>
      </w:r>
    </w:p>
    <w:p w14:paraId="0A96E69B">
      <w:pPr>
        <w:pStyle w:val="10"/>
        <w:keepNext w:val="0"/>
        <w:keepLines w:val="0"/>
        <w:pageBreakBefore w:val="0"/>
        <w:widowControl w:val="0"/>
        <w:kinsoku/>
        <w:wordWrap/>
        <w:overflowPunct/>
        <w:topLinePunct w:val="0"/>
        <w:autoSpaceDE/>
        <w:autoSpaceDN/>
        <w:bidi w:val="0"/>
        <w:adjustRightInd/>
        <w:snapToGrid/>
        <w:spacing w:afterLines="0" w:line="56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5.经营过程中，产生的消防安全、食品安全措施（除基础设施设备外），措施费用由供应商承担。</w:t>
      </w:r>
    </w:p>
    <w:p w14:paraId="5D33DBF9">
      <w:pPr>
        <w:pStyle w:val="10"/>
        <w:keepNext w:val="0"/>
        <w:keepLines w:val="0"/>
        <w:pageBreakBefore w:val="0"/>
        <w:widowControl w:val="0"/>
        <w:kinsoku/>
        <w:wordWrap/>
        <w:overflowPunct/>
        <w:topLinePunct w:val="0"/>
        <w:autoSpaceDE/>
        <w:autoSpaceDN/>
        <w:bidi w:val="0"/>
        <w:adjustRightInd/>
        <w:snapToGrid/>
        <w:spacing w:afterLines="0"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6.厨房</w:t>
      </w:r>
      <w:r>
        <w:rPr>
          <w:rFonts w:hint="eastAsia" w:asciiTheme="minorEastAsia" w:hAnsiTheme="minorEastAsia" w:eastAsiaTheme="minorEastAsia" w:cstheme="minorEastAsia"/>
          <w:sz w:val="24"/>
          <w:szCs w:val="24"/>
        </w:rPr>
        <w:t>设施设备维修维护工作</w:t>
      </w:r>
      <w:r>
        <w:rPr>
          <w:rFonts w:hint="eastAsia" w:asciiTheme="minorEastAsia" w:hAnsiTheme="minorEastAsia" w:eastAsiaTheme="minorEastAsia" w:cstheme="minorEastAsia"/>
          <w:sz w:val="24"/>
          <w:szCs w:val="24"/>
          <w:lang w:eastAsia="zh-CN"/>
        </w:rPr>
        <w:t>，集中办公区的</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eastAsia="zh-CN"/>
        </w:rPr>
        <w:t>采购人、分散办公区的由使用人</w:t>
      </w:r>
      <w:r>
        <w:rPr>
          <w:rFonts w:hint="eastAsia" w:asciiTheme="minorEastAsia" w:hAnsiTheme="minorEastAsia" w:eastAsiaTheme="minorEastAsia" w:cstheme="minorEastAsia"/>
          <w:sz w:val="24"/>
          <w:szCs w:val="24"/>
        </w:rPr>
        <w:t>组织实施，其中，厨房设施更换零配件费用</w:t>
      </w:r>
      <w:r>
        <w:rPr>
          <w:rFonts w:hint="eastAsia" w:asciiTheme="minorEastAsia" w:hAnsiTheme="minorEastAsia" w:eastAsiaTheme="minorEastAsia" w:cstheme="minorEastAsia"/>
          <w:sz w:val="24"/>
          <w:szCs w:val="24"/>
          <w:lang w:eastAsia="zh-CN"/>
        </w:rPr>
        <w:t>，集中办公区的</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eastAsia="zh-CN"/>
        </w:rPr>
        <w:t>采购人、分散办公区的由使用人</w:t>
      </w:r>
      <w:r>
        <w:rPr>
          <w:rFonts w:hint="eastAsia" w:asciiTheme="minorEastAsia" w:hAnsiTheme="minorEastAsia" w:eastAsiaTheme="minorEastAsia" w:cstheme="minorEastAsia"/>
          <w:sz w:val="24"/>
          <w:szCs w:val="24"/>
        </w:rPr>
        <w:t>承担80%</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承担20%。</w:t>
      </w:r>
    </w:p>
    <w:p w14:paraId="08495DF8">
      <w:pPr>
        <w:pStyle w:val="10"/>
        <w:keepNext w:val="0"/>
        <w:keepLines w:val="0"/>
        <w:pageBreakBefore w:val="0"/>
        <w:widowControl w:val="0"/>
        <w:kinsoku/>
        <w:wordWrap/>
        <w:overflowPunct/>
        <w:topLinePunct w:val="0"/>
        <w:bidi w:val="0"/>
        <w:snapToGrid/>
        <w:spacing w:afterLines="0" w:line="56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用餐模式</w:t>
      </w:r>
    </w:p>
    <w:p w14:paraId="535E7DA0">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干部职工餐厅，三餐均供应自助餐。并搭配羊肉面、南泥湾香菇面、老胡家肉夹馍、驴肉盖米饭、小炒肉盖米饭等延安地方特色美食。</w:t>
      </w:r>
    </w:p>
    <w:p w14:paraId="65659EEE">
      <w:pPr>
        <w:keepNext w:val="0"/>
        <w:keepLines w:val="0"/>
        <w:pageBreakBefore w:val="0"/>
        <w:widowControl w:val="0"/>
        <w:kinsoku/>
        <w:wordWrap/>
        <w:overflowPunct/>
        <w:topLinePunct w:val="0"/>
        <w:autoSpaceDE w:val="0"/>
        <w:autoSpaceDN w:val="0"/>
        <w:bidi w:val="0"/>
        <w:adjustRightInd w:val="0"/>
        <w:spacing w:line="56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）用餐标准</w:t>
      </w:r>
    </w:p>
    <w:p w14:paraId="6CBF9C6A">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每周食谱不得重复，每天食谱要严格按配伍禁忌要求科学</w:t>
      </w:r>
      <w:r>
        <w:rPr>
          <w:rFonts w:hint="eastAsia" w:asciiTheme="minorEastAsia" w:hAnsiTheme="minorEastAsia" w:eastAsiaTheme="minorEastAsia" w:cstheme="minorEastAsia"/>
          <w:color w:val="auto"/>
          <w:sz w:val="24"/>
          <w:szCs w:val="24"/>
          <w:lang w:eastAsia="zh-CN"/>
        </w:rPr>
        <w:t>营养</w:t>
      </w:r>
      <w:r>
        <w:rPr>
          <w:rFonts w:hint="eastAsia" w:asciiTheme="minorEastAsia" w:hAnsiTheme="minorEastAsia" w:eastAsiaTheme="minorEastAsia" w:cstheme="minorEastAsia"/>
          <w:color w:val="auto"/>
          <w:sz w:val="24"/>
          <w:szCs w:val="24"/>
        </w:rPr>
        <w:t>搭配。每餐要新鲜可口、花样翻新、营养搭配，做到基本满足就餐人员需求。</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需提前一周安排下一周食谱，由</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的营养师签字盖章，</w:t>
      </w:r>
      <w:r>
        <w:rPr>
          <w:rFonts w:hint="eastAsia" w:asciiTheme="minorEastAsia" w:hAnsiTheme="minorEastAsia" w:eastAsiaTheme="minorEastAsia" w:cstheme="minorEastAsia"/>
          <w:color w:val="auto"/>
          <w:sz w:val="24"/>
          <w:szCs w:val="24"/>
          <w:lang w:val="en-US" w:eastAsia="zh-CN"/>
        </w:rPr>
        <w:t>集中办公区由采购人、分散办公区由使用方</w:t>
      </w:r>
      <w:r>
        <w:rPr>
          <w:rFonts w:hint="eastAsia" w:asciiTheme="minorEastAsia" w:hAnsiTheme="minorEastAsia" w:eastAsiaTheme="minorEastAsia" w:cstheme="minorEastAsia"/>
          <w:color w:val="auto"/>
          <w:sz w:val="24"/>
          <w:szCs w:val="24"/>
        </w:rPr>
        <w:t>审核后实施。</w:t>
      </w:r>
    </w:p>
    <w:p w14:paraId="524A65E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实物标准</w:t>
      </w:r>
    </w:p>
    <w:p w14:paraId="4C2183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（1）厅级餐厅用餐标准（仅限于为民服务中心）：</w:t>
      </w:r>
    </w:p>
    <w:p w14:paraId="1D95492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早餐：共24个品种，其中2种开胃小菜，4种凉菜，4种热菜，3种主食，2种稀饭，2种点心，2种小吃，1种堂作，2种水果，纯牛奶，鸡蛋。</w:t>
      </w:r>
    </w:p>
    <w:p w14:paraId="68D0952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午餐：共24个品种，其中2种开胃小菜，4种凉菜，6种热菜（3荤3素），3种主食，2种小吃，1种杂粮，1种堂作，2种汤，2种水果，酸奶。</w:t>
      </w:r>
    </w:p>
    <w:p w14:paraId="0F17F6B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晚餐：共17个品种，其中4种凉菜，4种热菜，2种主食，2种小吃，1种杂粮，1种稀饭，2种水果，酸奶。</w:t>
      </w:r>
    </w:p>
    <w:p w14:paraId="29569CB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（2）县级餐厅用餐标准（仅限于为民服务中心和新洲小镇市政府综合办公楼）：</w:t>
      </w:r>
    </w:p>
    <w:p w14:paraId="4B3D975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早餐：共18个品种，其中1种开胃小菜，2种凉菜，4种热菜，3种主食（2种包子荤素），2种稀饭，1种小吃，1种堂作，1种油炸，1种水果，酸奶，鸡蛋（煮或煎）。</w:t>
      </w:r>
    </w:p>
    <w:p w14:paraId="552DE71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午餐：共22个品种，其中2种凉菜，6种热菜（3荤3素，其中1种纯肉菜），4种主食（馍、花卷、饼子、米饭），1种面食（现煮），2种杂粮，2种小吃，1种蒸菜，2种汤（稀饭和汤），2种水果（冬季1种）。</w:t>
      </w:r>
    </w:p>
    <w:p w14:paraId="1354E79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晚餐：共13个品种，其中2种凉菜，4种热菜（2荤2素），2种主食（馍、米饭可炒），1种面食，2种小吃，1种稀饭，1种水果。</w:t>
      </w:r>
    </w:p>
    <w:p w14:paraId="205B6DD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（3）干部职工餐厅用餐标准：</w:t>
      </w:r>
    </w:p>
    <w:p w14:paraId="7CD55A6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早餐：共16个品种，其中2种凉菜，3种热菜，3种主食（馍、花卷、包子），1种杂粮，1种小吃，1种油炸，2种稀饭，豆浆，1种面食，鸡蛋。</w:t>
      </w:r>
    </w:p>
    <w:p w14:paraId="6DC5F32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午餐：共18个品种，其中2种凉菜，6种热菜（3荤3素，其中一个纯肉菜），3种主食（馍、米饭、饼子），1种杂粮，2种小吃，1种面食，2种汤（稀饭和汤），1种水果。</w:t>
      </w:r>
    </w:p>
    <w:p w14:paraId="32E6FE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晚餐：共11个品种，其中2种凉菜，3种热菜，2种主食（馍、米饭），2种小吃，1种面食，1种稀饭。</w:t>
      </w:r>
    </w:p>
    <w:p w14:paraId="502892D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2.价格标准</w:t>
      </w:r>
    </w:p>
    <w:p w14:paraId="6969F59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（1）向就餐者收取的就餐价格</w:t>
      </w:r>
    </w:p>
    <w:p w14:paraId="06FB14C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厅级餐厅，早餐5元、午餐9元、晚餐6元；</w:t>
      </w:r>
    </w:p>
    <w:p w14:paraId="4F376D0D">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县级餐厅，早餐4元、午餐9元、晚餐6元；</w:t>
      </w:r>
    </w:p>
    <w:p w14:paraId="3979FA92">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干部职工餐厅，早餐3元、午餐8元、晚餐5元；</w:t>
      </w:r>
    </w:p>
    <w:p w14:paraId="4D1FA9C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以上餐厅就餐人员带人或再次消费的，按照每餐销售单价加上变动托管费中标价结算。</w:t>
      </w:r>
    </w:p>
    <w:p w14:paraId="6480C0E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（2）托管费用。为供货方的投标报价（每餐托管费中标单价和年固定劳务补助中标价）。</w:t>
      </w:r>
    </w:p>
    <w:p w14:paraId="3C3FF5E2">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（3）公务用餐。执行公务用餐有关规定。</w:t>
      </w:r>
      <w:r>
        <w:rPr>
          <w:rFonts w:hint="eastAsia" w:asciiTheme="minorEastAsia" w:hAnsiTheme="minorEastAsia" w:eastAsiaTheme="minorEastAsia" w:cstheme="minorEastAsia"/>
          <w:color w:val="auto"/>
          <w:sz w:val="24"/>
          <w:szCs w:val="24"/>
          <w:lang w:eastAsia="zh-CN"/>
        </w:rPr>
        <w:t>各入驻单位来客在干部职工自助餐厅就餐且无提高标准要求的，按照每餐销售单价加上变动托管费中标价</w:t>
      </w:r>
      <w:r>
        <w:rPr>
          <w:rFonts w:hint="eastAsia" w:asciiTheme="minorEastAsia" w:hAnsiTheme="minorEastAsia" w:eastAsiaTheme="minorEastAsia" w:cstheme="minorEastAsia"/>
          <w:color w:val="auto"/>
          <w:sz w:val="24"/>
          <w:szCs w:val="24"/>
        </w:rPr>
        <w:t>用POS机</w:t>
      </w:r>
      <w:r>
        <w:rPr>
          <w:rFonts w:hint="eastAsia" w:asciiTheme="minorEastAsia" w:hAnsiTheme="minorEastAsia" w:eastAsiaTheme="minorEastAsia" w:cstheme="minorEastAsia"/>
          <w:color w:val="auto"/>
          <w:sz w:val="24"/>
          <w:szCs w:val="24"/>
          <w:lang w:eastAsia="zh-CN"/>
        </w:rPr>
        <w:t>或“二维码”</w:t>
      </w:r>
      <w:r>
        <w:rPr>
          <w:rFonts w:hint="eastAsia" w:asciiTheme="minorEastAsia" w:hAnsiTheme="minorEastAsia" w:eastAsiaTheme="minorEastAsia" w:cstheme="minorEastAsia"/>
          <w:color w:val="auto"/>
          <w:sz w:val="24"/>
          <w:szCs w:val="24"/>
        </w:rPr>
        <w:t>结算，由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出具餐饮发票</w:t>
      </w:r>
      <w:r>
        <w:rPr>
          <w:rFonts w:hint="eastAsia" w:asciiTheme="minorEastAsia" w:hAnsiTheme="minorEastAsia" w:eastAsiaTheme="minorEastAsia" w:cstheme="minorEastAsia"/>
          <w:color w:val="auto"/>
          <w:sz w:val="24"/>
          <w:szCs w:val="24"/>
          <w:lang w:eastAsia="zh-CN"/>
        </w:rPr>
        <w:t>。公务餐改革政策出台后，按照改革政策要求执行</w:t>
      </w:r>
      <w:r>
        <w:rPr>
          <w:rFonts w:hint="eastAsia" w:asciiTheme="minorEastAsia" w:hAnsiTheme="minorEastAsia" w:eastAsiaTheme="minorEastAsia" w:cstheme="minorEastAsia"/>
          <w:color w:val="auto"/>
          <w:sz w:val="24"/>
          <w:szCs w:val="24"/>
        </w:rPr>
        <w:t>。</w:t>
      </w:r>
    </w:p>
    <w:p w14:paraId="5E7D392E">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）绩效考核</w:t>
      </w:r>
    </w:p>
    <w:p w14:paraId="68A29C00">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供应商所经营的机关食堂，在对就餐人员满意度测评中应得到满意等次。集中办公区由采购人、分散办公区由使用方每月25-28日通过延安智慧平台12345，为民服务中心、新洲小镇市政府综合办公楼、市公安局、市检察院、市法院、市司法局机关食堂分别按照150、50、50、20、30、10名的标准随机抽取就餐人员进行满意度调查。满意度调查分为不满意、基本满意、满意、非常满意四个等次。调查结果为不满意，按当月累计用餐人数以每人1元的标准扣除当月应付托管费；调查结果达到基本满意，按当月累计用餐人数以每人0.5元的标准扣除当月应付托管费。达到满意及以上层次，视为符合合同约定。当月累计用餐人数=（∑当月每餐就餐人数×相应每餐餐饮标准）/每人每天餐饮标准（下同）。</w:t>
      </w:r>
    </w:p>
    <w:p w14:paraId="03EBBD00">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2.就餐人数变动管理考核</w:t>
      </w:r>
    </w:p>
    <w:p w14:paraId="562E7BFB">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就餐人数变化情况是机关食堂服务保障质量的“晴雨表”，餐厅每月每餐累计就餐人数应至少达到上年同期的累计就餐人数。当月每餐累计用餐人次较上年同期每餐累计用餐人次减少幅度超过5%（含5%），分别按当月早晚餐累计就餐人次每人次0.5元、中餐每人次1元的标准扣除当月应付托管费；当月每餐累计用餐人次较上年同期每餐累计用餐人次减少幅度在0-5%（含0%），分别按当月早晚餐累计就餐人次每人次0.3元、午餐每人次0.4元的标准扣除当月应付托管费。当月每餐累计用餐人次较上年同期每餐累计用餐人次增长幅度超过0%的，视为达到合同约定要求。</w:t>
      </w:r>
    </w:p>
    <w:p w14:paraId="03F76BCA">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3.综合管理考核</w:t>
      </w:r>
    </w:p>
    <w:p w14:paraId="7A7A92B5">
      <w:pPr>
        <w:keepNext w:val="0"/>
        <w:keepLines w:val="0"/>
        <w:pageBreakBefore w:val="0"/>
        <w:widowControl w:val="0"/>
        <w:kinsoku/>
        <w:wordWrap/>
        <w:overflowPunct/>
        <w:topLinePunct w:val="0"/>
        <w:autoSpaceDE w:val="0"/>
        <w:autoSpaceDN w:val="0"/>
        <w:bidi w:val="0"/>
        <w:adjustRightInd w:val="0"/>
        <w:spacing w:line="560" w:lineRule="exact"/>
        <w:ind w:firstLine="64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集中办公区由采购人、分散办公区由使用方，对餐饮的安全生产、食品卫生、接待用餐、服务质量等进行综合考核，综合考核分值应达到70分以上（不含70分）。线下日常考核每月不低于4次，每月针对就餐者线上反馈的频次达到两次和一次关于食品安全的意见，立即开展专项考核，并将专项考核结果与全面考核的相应类别得分进行加权平均。综合考核采用百分倒扣制（即综合分值=100分减去扣分项总和），综合分值低于60分以内的，按当月累计用餐人数以每人2元的标准扣除当月应付托管费；在60-70分之间的（含70分），按当月累计用餐人数以每人1元的标准扣除当月应付托管费；在70分以上的，视为符合合同约定。（附：机关食堂线下考核表）</w:t>
      </w:r>
    </w:p>
    <w:p w14:paraId="3BEF68F9">
      <w:pPr>
        <w:keepNext w:val="0"/>
        <w:keepLines w:val="0"/>
        <w:pageBreakBefore w:val="0"/>
        <w:widowControl w:val="0"/>
        <w:numPr>
          <w:ilvl w:val="0"/>
          <w:numId w:val="0"/>
        </w:numPr>
        <w:wordWrap/>
        <w:overflowPunct/>
        <w:topLinePunct w:val="0"/>
        <w:autoSpaceDE w:val="0"/>
        <w:autoSpaceDN w:val="0"/>
        <w:bidi w:val="0"/>
        <w:adjustRightInd w:val="0"/>
        <w:spacing w:line="560" w:lineRule="exact"/>
        <w:ind w:firstLine="2400" w:firstLineChars="10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机关食堂线下考核表</w:t>
      </w:r>
    </w:p>
    <w:tbl>
      <w:tblPr>
        <w:tblStyle w:val="22"/>
        <w:tblW w:w="0" w:type="auto"/>
        <w:tblInd w:w="0" w:type="dxa"/>
        <w:tblLayout w:type="autofit"/>
        <w:tblCellMar>
          <w:top w:w="0" w:type="dxa"/>
          <w:left w:w="30" w:type="dxa"/>
          <w:bottom w:w="0" w:type="dxa"/>
          <w:right w:w="30" w:type="dxa"/>
        </w:tblCellMar>
      </w:tblPr>
      <w:tblGrid>
        <w:gridCol w:w="606"/>
        <w:gridCol w:w="7710"/>
        <w:gridCol w:w="645"/>
      </w:tblGrid>
      <w:tr w14:paraId="4080AF70">
        <w:tblPrEx>
          <w:tblCellMar>
            <w:top w:w="0" w:type="dxa"/>
            <w:left w:w="30" w:type="dxa"/>
            <w:bottom w:w="0" w:type="dxa"/>
            <w:right w:w="30" w:type="dxa"/>
          </w:tblCellMar>
        </w:tblPrEx>
        <w:trPr>
          <w:trHeight w:val="90"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1804CED2">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考核内容</w:t>
            </w:r>
          </w:p>
        </w:tc>
        <w:tc>
          <w:tcPr>
            <w:tcW w:w="4301" w:type="pct"/>
            <w:tcBorders>
              <w:top w:val="single" w:color="auto" w:sz="6" w:space="0"/>
              <w:left w:val="single" w:color="auto" w:sz="6" w:space="0"/>
              <w:bottom w:val="single" w:color="auto" w:sz="6" w:space="0"/>
              <w:right w:val="single" w:color="auto" w:sz="6" w:space="0"/>
            </w:tcBorders>
            <w:noWrap w:val="0"/>
            <w:vAlign w:val="center"/>
          </w:tcPr>
          <w:p w14:paraId="021C813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考核标准</w:t>
            </w:r>
          </w:p>
        </w:tc>
        <w:tc>
          <w:tcPr>
            <w:tcW w:w="360" w:type="pct"/>
            <w:tcBorders>
              <w:top w:val="single" w:color="auto" w:sz="6" w:space="0"/>
              <w:left w:val="single" w:color="auto" w:sz="6" w:space="0"/>
              <w:bottom w:val="single" w:color="auto" w:sz="6" w:space="0"/>
              <w:right w:val="single" w:color="auto" w:sz="6" w:space="0"/>
            </w:tcBorders>
            <w:noWrap w:val="0"/>
            <w:vAlign w:val="center"/>
          </w:tcPr>
          <w:p w14:paraId="570D0DF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eastAsia="zh-CN"/>
              </w:rPr>
              <w:t>扣</w:t>
            </w:r>
            <w:r>
              <w:rPr>
                <w:rFonts w:hint="eastAsia" w:asciiTheme="minorEastAsia" w:hAnsiTheme="minorEastAsia" w:eastAsiaTheme="minorEastAsia" w:cstheme="minorEastAsia"/>
                <w:bCs/>
                <w:color w:val="auto"/>
                <w:kern w:val="0"/>
                <w:sz w:val="24"/>
                <w:szCs w:val="24"/>
              </w:rPr>
              <w:t>分</w:t>
            </w:r>
          </w:p>
        </w:tc>
      </w:tr>
      <w:tr w14:paraId="15DE079A">
        <w:tblPrEx>
          <w:tblCellMar>
            <w:top w:w="0" w:type="dxa"/>
            <w:left w:w="30" w:type="dxa"/>
            <w:bottom w:w="0" w:type="dxa"/>
            <w:right w:w="30" w:type="dxa"/>
          </w:tblCellMar>
        </w:tblPrEx>
        <w:trPr>
          <w:trHeight w:val="1268"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521E0E95">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综合管理</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69DD1E1D">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餐厅管理制度齐全，</w:t>
            </w:r>
            <w:r>
              <w:rPr>
                <w:rFonts w:hint="eastAsia" w:asciiTheme="minorEastAsia" w:hAnsiTheme="minorEastAsia" w:eastAsiaTheme="minorEastAsia" w:cstheme="minorEastAsia"/>
                <w:color w:val="auto"/>
                <w:kern w:val="0"/>
                <w:sz w:val="24"/>
                <w:szCs w:val="24"/>
                <w:lang w:eastAsia="zh-CN"/>
              </w:rPr>
              <w:t>特别是在计划、采购、台账管理、食品检测、加工、成品制作、储存、留样、服务、卫生、消毒、防鼠防虫等各环节建立配套制度</w:t>
            </w:r>
            <w:r>
              <w:rPr>
                <w:rFonts w:hint="eastAsia" w:asciiTheme="minorEastAsia" w:hAnsiTheme="minorEastAsia" w:eastAsiaTheme="minorEastAsia" w:cstheme="minorEastAsia"/>
                <w:color w:val="auto"/>
                <w:kern w:val="0"/>
                <w:sz w:val="24"/>
                <w:szCs w:val="24"/>
              </w:rPr>
              <w:t>。管理制度不全</w:t>
            </w:r>
            <w:r>
              <w:rPr>
                <w:rFonts w:hint="eastAsia" w:asciiTheme="minorEastAsia" w:hAnsiTheme="minorEastAsia" w:eastAsiaTheme="minorEastAsia" w:cstheme="minorEastAsia"/>
                <w:color w:val="auto"/>
                <w:kern w:val="0"/>
                <w:sz w:val="24"/>
                <w:szCs w:val="24"/>
                <w:lang w:eastAsia="zh-CN"/>
              </w:rPr>
              <w:t>或不符合规定</w:t>
            </w:r>
            <w:r>
              <w:rPr>
                <w:rFonts w:hint="eastAsia" w:asciiTheme="minorEastAsia" w:hAnsiTheme="minorEastAsia" w:eastAsiaTheme="minorEastAsia" w:cstheme="minorEastAsia"/>
                <w:color w:val="auto"/>
                <w:kern w:val="0"/>
                <w:sz w:val="24"/>
                <w:szCs w:val="24"/>
              </w:rPr>
              <w:t>的，按缺项扣分，每缺一</w:t>
            </w:r>
            <w:r>
              <w:rPr>
                <w:rFonts w:hint="eastAsia" w:asciiTheme="minorEastAsia" w:hAnsiTheme="minorEastAsia" w:eastAsiaTheme="minorEastAsia" w:cstheme="minorEastAsia"/>
                <w:color w:val="auto"/>
                <w:kern w:val="0"/>
                <w:sz w:val="24"/>
                <w:szCs w:val="24"/>
                <w:lang w:eastAsia="zh-CN"/>
              </w:rPr>
              <w:t>项</w:t>
            </w:r>
            <w:r>
              <w:rPr>
                <w:rFonts w:hint="eastAsia" w:asciiTheme="minorEastAsia" w:hAnsiTheme="minorEastAsia" w:eastAsiaTheme="minorEastAsia" w:cstheme="minorEastAsia"/>
                <w:color w:val="auto"/>
                <w:kern w:val="0"/>
                <w:sz w:val="24"/>
                <w:szCs w:val="24"/>
              </w:rPr>
              <w:t>扣1分，扣分最高上限为10分。</w:t>
            </w:r>
          </w:p>
          <w:p w14:paraId="46EAE86F">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有健全的从业人员管理制度和岗位职责。</w:t>
            </w:r>
            <w:r>
              <w:rPr>
                <w:rFonts w:hint="eastAsia" w:asciiTheme="minorEastAsia" w:hAnsiTheme="minorEastAsia" w:eastAsiaTheme="minorEastAsia" w:cstheme="minorEastAsia"/>
                <w:color w:val="auto"/>
                <w:kern w:val="0"/>
                <w:sz w:val="24"/>
                <w:szCs w:val="24"/>
              </w:rPr>
              <w:t>制度不全</w:t>
            </w:r>
            <w:r>
              <w:rPr>
                <w:rFonts w:hint="eastAsia" w:asciiTheme="minorEastAsia" w:hAnsiTheme="minorEastAsia" w:eastAsiaTheme="minorEastAsia" w:cstheme="minorEastAsia"/>
                <w:color w:val="auto"/>
                <w:kern w:val="0"/>
                <w:sz w:val="24"/>
                <w:szCs w:val="24"/>
                <w:lang w:eastAsia="zh-CN"/>
              </w:rPr>
              <w:t>或不符合规定</w:t>
            </w:r>
            <w:r>
              <w:rPr>
                <w:rFonts w:hint="eastAsia" w:asciiTheme="minorEastAsia" w:hAnsiTheme="minorEastAsia" w:eastAsiaTheme="minorEastAsia" w:cstheme="minorEastAsia"/>
                <w:color w:val="auto"/>
                <w:kern w:val="0"/>
                <w:sz w:val="24"/>
                <w:szCs w:val="24"/>
              </w:rPr>
              <w:t>的，按缺项扣分，每缺一</w:t>
            </w:r>
            <w:r>
              <w:rPr>
                <w:rFonts w:hint="eastAsia" w:asciiTheme="minorEastAsia" w:hAnsiTheme="minorEastAsia" w:eastAsiaTheme="minorEastAsia" w:cstheme="minorEastAsia"/>
                <w:color w:val="auto"/>
                <w:kern w:val="0"/>
                <w:sz w:val="24"/>
                <w:szCs w:val="24"/>
                <w:lang w:eastAsia="zh-CN"/>
              </w:rPr>
              <w:t>项</w:t>
            </w:r>
            <w:r>
              <w:rPr>
                <w:rFonts w:hint="eastAsia" w:asciiTheme="minorEastAsia" w:hAnsiTheme="minorEastAsia" w:eastAsiaTheme="minorEastAsia" w:cstheme="minorEastAsia"/>
                <w:color w:val="auto"/>
                <w:kern w:val="0"/>
                <w:sz w:val="24"/>
                <w:szCs w:val="24"/>
              </w:rPr>
              <w:t>扣1分，扣分最高上限为10分。</w:t>
            </w:r>
          </w:p>
          <w:p w14:paraId="0CBB54BA">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3.有健全的食品安全制度和标准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制度不全</w:t>
            </w:r>
            <w:r>
              <w:rPr>
                <w:rFonts w:hint="eastAsia" w:asciiTheme="minorEastAsia" w:hAnsiTheme="minorEastAsia" w:eastAsiaTheme="minorEastAsia" w:cstheme="minorEastAsia"/>
                <w:color w:val="auto"/>
                <w:kern w:val="0"/>
                <w:sz w:val="24"/>
                <w:szCs w:val="24"/>
                <w:lang w:eastAsia="zh-CN"/>
              </w:rPr>
              <w:t>或不符合规定</w:t>
            </w:r>
            <w:r>
              <w:rPr>
                <w:rFonts w:hint="eastAsia" w:asciiTheme="minorEastAsia" w:hAnsiTheme="minorEastAsia" w:eastAsiaTheme="minorEastAsia" w:cstheme="minorEastAsia"/>
                <w:color w:val="auto"/>
                <w:kern w:val="0"/>
                <w:sz w:val="24"/>
                <w:szCs w:val="24"/>
              </w:rPr>
              <w:t>的，按缺项扣分，每缺一</w:t>
            </w:r>
            <w:r>
              <w:rPr>
                <w:rFonts w:hint="eastAsia" w:asciiTheme="minorEastAsia" w:hAnsiTheme="minorEastAsia" w:eastAsiaTheme="minorEastAsia" w:cstheme="minorEastAsia"/>
                <w:color w:val="auto"/>
                <w:kern w:val="0"/>
                <w:sz w:val="24"/>
                <w:szCs w:val="24"/>
                <w:lang w:eastAsia="zh-CN"/>
              </w:rPr>
              <w:t>项</w:t>
            </w:r>
            <w:r>
              <w:rPr>
                <w:rFonts w:hint="eastAsia" w:asciiTheme="minorEastAsia" w:hAnsiTheme="minorEastAsia" w:eastAsiaTheme="minorEastAsia" w:cstheme="minorEastAsia"/>
                <w:color w:val="auto"/>
                <w:kern w:val="0"/>
                <w:sz w:val="24"/>
                <w:szCs w:val="24"/>
              </w:rPr>
              <w:t>扣1分，扣分最高上限为10分。</w:t>
            </w:r>
          </w:p>
          <w:p w14:paraId="6F3DDD7B">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4.有健全的反食品浪费制度和标准，</w:t>
            </w:r>
            <w:r>
              <w:rPr>
                <w:rFonts w:hint="eastAsia" w:asciiTheme="minorEastAsia" w:hAnsiTheme="minorEastAsia" w:eastAsiaTheme="minorEastAsia" w:cstheme="minorEastAsia"/>
                <w:color w:val="auto"/>
                <w:kern w:val="0"/>
                <w:sz w:val="24"/>
                <w:szCs w:val="24"/>
              </w:rPr>
              <w:t>制度不全</w:t>
            </w:r>
            <w:r>
              <w:rPr>
                <w:rFonts w:hint="eastAsia" w:asciiTheme="minorEastAsia" w:hAnsiTheme="minorEastAsia" w:eastAsiaTheme="minorEastAsia" w:cstheme="minorEastAsia"/>
                <w:color w:val="auto"/>
                <w:kern w:val="0"/>
                <w:sz w:val="24"/>
                <w:szCs w:val="24"/>
                <w:lang w:eastAsia="zh-CN"/>
              </w:rPr>
              <w:t>或不符合规定</w:t>
            </w:r>
            <w:r>
              <w:rPr>
                <w:rFonts w:hint="eastAsia" w:asciiTheme="minorEastAsia" w:hAnsiTheme="minorEastAsia" w:eastAsiaTheme="minorEastAsia" w:cstheme="minorEastAsia"/>
                <w:color w:val="auto"/>
                <w:kern w:val="0"/>
                <w:sz w:val="24"/>
                <w:szCs w:val="24"/>
              </w:rPr>
              <w:t>的，按缺项扣分，每缺一</w:t>
            </w:r>
            <w:r>
              <w:rPr>
                <w:rFonts w:hint="eastAsia" w:asciiTheme="minorEastAsia" w:hAnsiTheme="minorEastAsia" w:eastAsiaTheme="minorEastAsia" w:cstheme="minorEastAsia"/>
                <w:color w:val="auto"/>
                <w:kern w:val="0"/>
                <w:sz w:val="24"/>
                <w:szCs w:val="24"/>
                <w:lang w:eastAsia="zh-CN"/>
              </w:rPr>
              <w:t>项</w:t>
            </w:r>
            <w:r>
              <w:rPr>
                <w:rFonts w:hint="eastAsia" w:asciiTheme="minorEastAsia" w:hAnsiTheme="minorEastAsia" w:eastAsiaTheme="minorEastAsia" w:cstheme="minorEastAsia"/>
                <w:color w:val="auto"/>
                <w:kern w:val="0"/>
                <w:sz w:val="24"/>
                <w:szCs w:val="24"/>
              </w:rPr>
              <w:t>扣</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分，扣分最高上限为</w:t>
            </w:r>
            <w:r>
              <w:rPr>
                <w:rFonts w:hint="eastAsia" w:asciiTheme="minorEastAsia" w:hAnsiTheme="minorEastAsia" w:eastAsiaTheme="minorEastAsia" w:cstheme="minorEastAsia"/>
                <w:color w:val="auto"/>
                <w:kern w:val="0"/>
                <w:sz w:val="24"/>
                <w:szCs w:val="24"/>
                <w:lang w:val="en-US" w:eastAsia="zh-CN"/>
              </w:rPr>
              <w:t>12</w:t>
            </w:r>
            <w:r>
              <w:rPr>
                <w:rFonts w:hint="eastAsia" w:asciiTheme="minorEastAsia" w:hAnsiTheme="minorEastAsia" w:eastAsiaTheme="minorEastAsia" w:cstheme="minorEastAsia"/>
                <w:color w:val="auto"/>
                <w:kern w:val="0"/>
                <w:sz w:val="24"/>
                <w:szCs w:val="24"/>
              </w:rPr>
              <w:t>分。</w:t>
            </w:r>
          </w:p>
          <w:p w14:paraId="45BDC578">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.有健全</w:t>
            </w:r>
            <w:r>
              <w:rPr>
                <w:rFonts w:hint="eastAsia" w:asciiTheme="minorEastAsia" w:hAnsiTheme="minorEastAsia" w:eastAsiaTheme="minorEastAsia" w:cstheme="minorEastAsia"/>
                <w:color w:val="auto"/>
                <w:kern w:val="0"/>
                <w:sz w:val="24"/>
                <w:szCs w:val="24"/>
                <w:lang w:eastAsia="zh-CN"/>
              </w:rPr>
              <w:t>的病媒防治</w:t>
            </w:r>
            <w:r>
              <w:rPr>
                <w:rFonts w:hint="eastAsia" w:asciiTheme="minorEastAsia" w:hAnsiTheme="minorEastAsia" w:eastAsiaTheme="minorEastAsia" w:cstheme="minorEastAsia"/>
                <w:color w:val="auto"/>
                <w:kern w:val="0"/>
                <w:sz w:val="24"/>
                <w:szCs w:val="24"/>
              </w:rPr>
              <w:t>制度及措施。没有相应措施的或采取的措施没有</w:t>
            </w:r>
            <w:r>
              <w:rPr>
                <w:rFonts w:hint="eastAsia" w:asciiTheme="minorEastAsia" w:hAnsiTheme="minorEastAsia" w:eastAsiaTheme="minorEastAsia" w:cstheme="minorEastAsia"/>
                <w:color w:val="auto"/>
                <w:kern w:val="0"/>
                <w:sz w:val="24"/>
                <w:szCs w:val="24"/>
                <w:lang w:val="en-US" w:eastAsia="zh-CN"/>
              </w:rPr>
              <w:t>达到</w:t>
            </w:r>
            <w:r>
              <w:rPr>
                <w:rFonts w:hint="eastAsia" w:asciiTheme="minorEastAsia" w:hAnsiTheme="minorEastAsia" w:eastAsiaTheme="minorEastAsia" w:cstheme="minorEastAsia"/>
                <w:color w:val="auto"/>
                <w:kern w:val="0"/>
                <w:sz w:val="24"/>
                <w:szCs w:val="24"/>
              </w:rPr>
              <w:t>预期目标的，按缺项扣分，每缺1项扣</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p w14:paraId="54F3D975">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6.建立健全资产管理制度，确保资产账账、账实相符，且责任到人。未建立制度或制度不规范的，扣20分。</w:t>
            </w:r>
          </w:p>
        </w:tc>
        <w:tc>
          <w:tcPr>
            <w:tcW w:w="360" w:type="pct"/>
            <w:tcBorders>
              <w:top w:val="single" w:color="auto" w:sz="6" w:space="0"/>
              <w:left w:val="single" w:color="auto" w:sz="6" w:space="0"/>
              <w:bottom w:val="single" w:color="auto" w:sz="6" w:space="0"/>
              <w:right w:val="single" w:color="auto" w:sz="6" w:space="0"/>
            </w:tcBorders>
            <w:noWrap w:val="0"/>
            <w:vAlign w:val="top"/>
          </w:tcPr>
          <w:p w14:paraId="2E82399E">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b/>
                <w:bCs/>
                <w:color w:val="auto"/>
                <w:kern w:val="0"/>
                <w:sz w:val="24"/>
                <w:szCs w:val="24"/>
              </w:rPr>
            </w:pPr>
          </w:p>
        </w:tc>
      </w:tr>
      <w:tr w14:paraId="021938CD">
        <w:tblPrEx>
          <w:tblCellMar>
            <w:top w:w="0" w:type="dxa"/>
            <w:left w:w="30" w:type="dxa"/>
            <w:bottom w:w="0" w:type="dxa"/>
            <w:right w:w="30" w:type="dxa"/>
          </w:tblCellMar>
        </w:tblPrEx>
        <w:trPr>
          <w:trHeight w:val="1268"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12E26B00">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人员管理</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43154A13">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1.各餐厅实行定岗、定员、定量配备从业人员，各投标人必须按照《各餐厅定岗定员一览表》配足配齐配优各餐厅从业人员。没配齐的，每缺1人扣5分，扣分最高上限为50分；</w:t>
            </w:r>
          </w:p>
          <w:p w14:paraId="3997FAB8">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所有工作人员必须持有效的健康证、提供无犯罪记录证明方能上岗。厨师须持有相应的劳动技能等级证件、营养师须持营养证、安全员须持食品安全员证。相关证件不全的或证件与人不匹配的，每缺少1个，扣5分，扣分的最高上限为30分；</w:t>
            </w:r>
          </w:p>
          <w:p w14:paraId="48B29C61">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3.前厅服务人员年龄不超过40岁，其他人员年龄男的不超过55岁、女的不超过50岁。没在年龄范围内配备岗位的，按超龄人员，每人扣2分，扣分的最高上限为10分；</w:t>
            </w:r>
          </w:p>
          <w:p w14:paraId="7DD3720D">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服务人员必须懂得服务礼仪，并具有标准规范的服务水平。服务人员每个季度定期培训一次，并记录培训内容留存；厨师每个季度采用“走出去或请进来”进行厨艺交流学习，提高技能水平。厨师每年至少更换一次。每个投标人应配备专业财务人员，指定专人负责在每月月初及时办理上月营业收入支付手续。每项未完成扣5分，扣分最高上限为30分。</w:t>
            </w:r>
          </w:p>
          <w:p w14:paraId="69F1F19A">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5.投标人必须按月兑现员工工资，兑现不到位的，按没兑现到位的人数，每人扣50分，累计扣分无上限。</w:t>
            </w:r>
          </w:p>
        </w:tc>
        <w:tc>
          <w:tcPr>
            <w:tcW w:w="360" w:type="pct"/>
            <w:tcBorders>
              <w:top w:val="single" w:color="auto" w:sz="6" w:space="0"/>
              <w:left w:val="single" w:color="auto" w:sz="6" w:space="0"/>
              <w:bottom w:val="single" w:color="auto" w:sz="6" w:space="0"/>
              <w:right w:val="single" w:color="auto" w:sz="6" w:space="0"/>
            </w:tcBorders>
            <w:noWrap w:val="0"/>
            <w:vAlign w:val="top"/>
          </w:tcPr>
          <w:p w14:paraId="684783A0">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b/>
                <w:bCs/>
                <w:color w:val="auto"/>
                <w:kern w:val="0"/>
                <w:sz w:val="24"/>
                <w:szCs w:val="24"/>
              </w:rPr>
            </w:pPr>
          </w:p>
        </w:tc>
      </w:tr>
      <w:tr w14:paraId="0C7C1F59">
        <w:tblPrEx>
          <w:tblCellMar>
            <w:top w:w="0" w:type="dxa"/>
            <w:left w:w="30" w:type="dxa"/>
            <w:bottom w:w="0" w:type="dxa"/>
            <w:right w:w="30" w:type="dxa"/>
          </w:tblCellMar>
        </w:tblPrEx>
        <w:trPr>
          <w:trHeight w:val="563"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392E12C7">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食品安全</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41C63A4A">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1.投标人对其生产经营的食品安全设立食品质量安全管理岗位，明确工作责任，建立食品安全监督机制。工作责任不明的，扣20分；监督机制不力的，扣50分；</w:t>
            </w:r>
          </w:p>
          <w:p w14:paraId="55FC7CB4">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val="en" w:eastAsia="zh-CN"/>
              </w:rPr>
              <w:t>.</w:t>
            </w:r>
            <w:r>
              <w:rPr>
                <w:rFonts w:hint="eastAsia" w:asciiTheme="minorEastAsia" w:hAnsiTheme="minorEastAsia" w:eastAsiaTheme="minorEastAsia" w:cstheme="minorEastAsia"/>
                <w:color w:val="auto"/>
                <w:kern w:val="0"/>
                <w:sz w:val="24"/>
                <w:szCs w:val="24"/>
                <w:lang w:val="en-US" w:eastAsia="zh-CN"/>
              </w:rPr>
              <w:t>全面落实餐饮服务食品安全操作规范，建立和实施危害分析和关键控制点体系。没建立或关键控制点不科学的，扣10分；</w:t>
            </w:r>
          </w:p>
          <w:p w14:paraId="2BF73557">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3.建立食品安全追溯体系，建立稳定的食材供应渠道和追溯记录，保证购进原料符合食品安全标准。追溯记录不全的，每缺一项扣20分，累计扣分无上限；</w:t>
            </w:r>
          </w:p>
          <w:p w14:paraId="5E67D5BD">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加强生产经营过程控制，严格执行进货查验、加工操作、清洗消毒、人员管理等措施。原辅材料没有有效检验报告的，每缺一项，扣20分，累计扣分无上限。加工操作、清洗消毒、人员管理不到位的，每发现一次扣20分，累计扣分无上限。</w:t>
            </w:r>
          </w:p>
          <w:p w14:paraId="3DF00079">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食品储存：严格按照标准规范分类储存食品。按期检查库存食品质量，发现变质食品或过期食品，应及时处理。储存材料冰箱冷库不得存入变质、有味、污染不洁的食品，严禁存放化肥、农药、杀虫剂等有毒有害物品。每发现一次不到位的扣10分，累计扣分无上限。</w:t>
            </w:r>
          </w:p>
          <w:p w14:paraId="0455BF69">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6.食品留样：必须由专人专管，品种齐全、量足，标识卡填写清楚、规范并做好登记记录，样品密封存放时间为48小时。每发现一次扣2分，每月扣分的上限为30分；</w:t>
            </w:r>
          </w:p>
          <w:p w14:paraId="6B01B76B">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7.建立食品安全“日管控、周排查、月调度”制度，并严格落实。没有建立制度或建立的制度不符合要求的，扣20分；建立制度但没有落实的，每发现一次，扣20分；</w:t>
            </w:r>
          </w:p>
          <w:p w14:paraId="021CDAC2">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kern w:val="0"/>
                <w:sz w:val="24"/>
                <w:szCs w:val="24"/>
                <w:lang w:val="en-US" w:eastAsia="zh-CN"/>
              </w:rPr>
              <w:t>8.积极投保食品安全责任保险。投保的，加20分。</w:t>
            </w:r>
          </w:p>
        </w:tc>
        <w:tc>
          <w:tcPr>
            <w:tcW w:w="360" w:type="pct"/>
            <w:tcBorders>
              <w:top w:val="single" w:color="auto" w:sz="6" w:space="0"/>
              <w:left w:val="single" w:color="auto" w:sz="6" w:space="0"/>
              <w:bottom w:val="single" w:color="auto" w:sz="6" w:space="0"/>
              <w:right w:val="single" w:color="auto" w:sz="6" w:space="0"/>
            </w:tcBorders>
            <w:noWrap w:val="0"/>
            <w:vAlign w:val="top"/>
          </w:tcPr>
          <w:p w14:paraId="120F0B94">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b/>
                <w:bCs/>
                <w:color w:val="auto"/>
                <w:kern w:val="0"/>
                <w:sz w:val="24"/>
                <w:szCs w:val="24"/>
              </w:rPr>
            </w:pPr>
          </w:p>
        </w:tc>
      </w:tr>
      <w:tr w14:paraId="59D7C317">
        <w:tblPrEx>
          <w:tblCellMar>
            <w:top w:w="0" w:type="dxa"/>
            <w:left w:w="30" w:type="dxa"/>
            <w:bottom w:w="0" w:type="dxa"/>
            <w:right w:w="30" w:type="dxa"/>
          </w:tblCellMar>
        </w:tblPrEx>
        <w:trPr>
          <w:trHeight w:val="1268"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3C5FE698">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反食品浪费</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1475D964">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对照《陕西省机关食堂反食品浪费工作成效评价标准》，每发现一项不达标，按相应分值扣除。</w:t>
            </w:r>
          </w:p>
          <w:p w14:paraId="7D2DCE43">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1.在加强组织管理方面，没有建立管理机制的扣4分、没有专门管理岗位的扣4分；</w:t>
            </w:r>
          </w:p>
          <w:p w14:paraId="123387D8">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2.在实施有效措施方面，采购环节管理不到位的扣8分、存储环节管理不到位的扣8分、加工环节管理不到位的扣10分、就餐环节管理不到位的扣10分、公务接待管理不到位的扣4分；</w:t>
            </w:r>
          </w:p>
          <w:p w14:paraId="7CDB425B">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3.在实行餐厨生活垃圾分类方面，源头减量不到位的扣6分、分类投放不规范的扣10分；</w:t>
            </w:r>
          </w:p>
          <w:p w14:paraId="19C8E755">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4.在开展宣传教育奖励培训方面，开展教育培训不经常的扣5分、没有按季度组织开展评优创先活动的扣4分。</w:t>
            </w:r>
          </w:p>
        </w:tc>
        <w:tc>
          <w:tcPr>
            <w:tcW w:w="360" w:type="pct"/>
            <w:tcBorders>
              <w:top w:val="single" w:color="auto" w:sz="6" w:space="0"/>
              <w:left w:val="single" w:color="auto" w:sz="6" w:space="0"/>
              <w:bottom w:val="single" w:color="auto" w:sz="6" w:space="0"/>
              <w:right w:val="single" w:color="auto" w:sz="6" w:space="0"/>
            </w:tcBorders>
            <w:noWrap w:val="0"/>
            <w:vAlign w:val="top"/>
          </w:tcPr>
          <w:p w14:paraId="480E6340">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b/>
                <w:bCs/>
                <w:color w:val="auto"/>
                <w:kern w:val="0"/>
                <w:sz w:val="24"/>
                <w:szCs w:val="24"/>
              </w:rPr>
            </w:pPr>
          </w:p>
        </w:tc>
      </w:tr>
      <w:tr w14:paraId="2F1B2461">
        <w:tblPrEx>
          <w:tblCellMar>
            <w:top w:w="0" w:type="dxa"/>
            <w:left w:w="30" w:type="dxa"/>
            <w:bottom w:w="0" w:type="dxa"/>
            <w:right w:w="30" w:type="dxa"/>
          </w:tblCellMar>
        </w:tblPrEx>
        <w:trPr>
          <w:trHeight w:val="818"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46CDBB73">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智慧化管理</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2D3A3455">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按要求及时发布每周、每日菜单</w:t>
            </w:r>
            <w:r>
              <w:rPr>
                <w:rFonts w:hint="eastAsia" w:asciiTheme="minorEastAsia" w:hAnsiTheme="minorEastAsia" w:eastAsiaTheme="minorEastAsia" w:cstheme="minorEastAsia"/>
                <w:color w:val="auto"/>
                <w:kern w:val="0"/>
                <w:sz w:val="24"/>
                <w:szCs w:val="24"/>
                <w:lang w:eastAsia="zh-CN"/>
              </w:rPr>
              <w:t>，于开餐前</w:t>
            </w:r>
            <w:r>
              <w:rPr>
                <w:rFonts w:hint="eastAsia" w:asciiTheme="minorEastAsia" w:hAnsiTheme="minorEastAsia" w:eastAsiaTheme="minorEastAsia" w:cstheme="minorEastAsia"/>
                <w:color w:val="auto"/>
                <w:kern w:val="0"/>
                <w:sz w:val="24"/>
                <w:szCs w:val="24"/>
                <w:lang w:val="en-US" w:eastAsia="zh-CN"/>
              </w:rPr>
              <w:t>10分钟发布</w:t>
            </w:r>
            <w:r>
              <w:rPr>
                <w:rFonts w:hint="eastAsia" w:asciiTheme="minorEastAsia" w:hAnsiTheme="minorEastAsia" w:eastAsiaTheme="minorEastAsia" w:cstheme="minorEastAsia"/>
                <w:color w:val="auto"/>
                <w:kern w:val="0"/>
                <w:sz w:val="24"/>
                <w:szCs w:val="24"/>
              </w:rPr>
              <w:t>，不按要求发送的，每发现一次扣</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分，扣分的最高上限为</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0分；</w:t>
            </w:r>
          </w:p>
          <w:p w14:paraId="0CEDB476">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.每周在</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i延安</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APP</w:t>
            </w:r>
            <w:r>
              <w:rPr>
                <w:rFonts w:hint="eastAsia" w:asciiTheme="minorEastAsia" w:hAnsiTheme="minorEastAsia" w:eastAsiaTheme="minorEastAsia" w:cstheme="minorEastAsia"/>
                <w:color w:val="auto"/>
                <w:kern w:val="0"/>
                <w:sz w:val="24"/>
                <w:szCs w:val="24"/>
              </w:rPr>
              <w:t>投诉超过2条且经过核实确属</w:t>
            </w:r>
            <w:r>
              <w:rPr>
                <w:rFonts w:hint="eastAsia" w:asciiTheme="minorEastAsia" w:hAnsiTheme="minorEastAsia" w:eastAsiaTheme="minorEastAsia" w:cstheme="minorEastAsia"/>
                <w:color w:val="auto"/>
                <w:kern w:val="0"/>
                <w:sz w:val="24"/>
                <w:szCs w:val="24"/>
                <w:lang w:eastAsia="zh-CN"/>
              </w:rPr>
              <w:t>投标人</w:t>
            </w:r>
            <w:r>
              <w:rPr>
                <w:rFonts w:hint="eastAsia" w:asciiTheme="minorEastAsia" w:hAnsiTheme="minorEastAsia" w:eastAsiaTheme="minorEastAsia" w:cstheme="minorEastAsia"/>
                <w:color w:val="auto"/>
                <w:kern w:val="0"/>
                <w:sz w:val="24"/>
                <w:szCs w:val="24"/>
              </w:rPr>
              <w:t>责任的，每</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条扣</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分，扣分最高上限为</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0分；没有限期整改的，</w:t>
            </w:r>
            <w:r>
              <w:rPr>
                <w:rFonts w:hint="eastAsia" w:asciiTheme="minorEastAsia" w:hAnsiTheme="minorEastAsia" w:eastAsiaTheme="minorEastAsia" w:cstheme="minorEastAsia"/>
                <w:color w:val="auto"/>
                <w:kern w:val="0"/>
                <w:sz w:val="24"/>
                <w:szCs w:val="24"/>
                <w:lang w:eastAsia="zh-CN"/>
              </w:rPr>
              <w:t>每条扣</w:t>
            </w:r>
            <w:r>
              <w:rPr>
                <w:rFonts w:hint="eastAsia" w:asciiTheme="minorEastAsia" w:hAnsiTheme="minorEastAsia" w:eastAsiaTheme="minorEastAsia" w:cstheme="minorEastAsia"/>
                <w:color w:val="auto"/>
                <w:kern w:val="0"/>
                <w:sz w:val="24"/>
                <w:szCs w:val="24"/>
              </w:rPr>
              <w:t>10分</w:t>
            </w:r>
            <w:r>
              <w:rPr>
                <w:rFonts w:hint="eastAsia" w:asciiTheme="minorEastAsia" w:hAnsiTheme="minorEastAsia" w:eastAsiaTheme="minorEastAsia" w:cstheme="minorEastAsia"/>
                <w:color w:val="auto"/>
                <w:kern w:val="0"/>
                <w:sz w:val="24"/>
                <w:szCs w:val="24"/>
                <w:lang w:eastAsia="zh-CN"/>
              </w:rPr>
              <w:t>；</w:t>
            </w:r>
          </w:p>
          <w:p w14:paraId="22C4DFF7">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3.“12345”热线反映的关于机关食堂的所有问题。每收到一次属实的投诉，每条扣10分，没有限期整改的，扣20分。</w:t>
            </w:r>
          </w:p>
        </w:tc>
        <w:tc>
          <w:tcPr>
            <w:tcW w:w="360" w:type="pct"/>
            <w:tcBorders>
              <w:top w:val="single" w:color="auto" w:sz="6" w:space="0"/>
              <w:left w:val="single" w:color="auto" w:sz="6" w:space="0"/>
              <w:bottom w:val="single" w:color="auto" w:sz="6" w:space="0"/>
              <w:right w:val="single" w:color="auto" w:sz="6" w:space="0"/>
            </w:tcBorders>
            <w:noWrap w:val="0"/>
            <w:vAlign w:val="top"/>
          </w:tcPr>
          <w:p w14:paraId="4BB20F68">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b/>
                <w:bCs/>
                <w:color w:val="auto"/>
                <w:kern w:val="0"/>
                <w:sz w:val="24"/>
                <w:szCs w:val="24"/>
              </w:rPr>
            </w:pPr>
          </w:p>
        </w:tc>
      </w:tr>
      <w:tr w14:paraId="1F839F0F">
        <w:tblPrEx>
          <w:tblCellMar>
            <w:top w:w="0" w:type="dxa"/>
            <w:left w:w="30" w:type="dxa"/>
            <w:bottom w:w="0" w:type="dxa"/>
            <w:right w:w="30" w:type="dxa"/>
          </w:tblCellMar>
        </w:tblPrEx>
        <w:trPr>
          <w:trHeight w:val="90"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19F1275B">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食品采购</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54C39370">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所有采购的食品必须符合国家有关食品卫生标准和规定</w:t>
            </w:r>
            <w:r>
              <w:rPr>
                <w:rFonts w:hint="eastAsia" w:asciiTheme="minorEastAsia" w:hAnsiTheme="minorEastAsia" w:eastAsiaTheme="minorEastAsia" w:cstheme="minorEastAsia"/>
                <w:color w:val="auto"/>
                <w:kern w:val="0"/>
                <w:sz w:val="24"/>
                <w:szCs w:val="24"/>
                <w:lang w:eastAsia="zh-CN"/>
              </w:rPr>
              <w:t>，并</w:t>
            </w:r>
            <w:r>
              <w:rPr>
                <w:rFonts w:hint="eastAsia" w:asciiTheme="minorEastAsia" w:hAnsiTheme="minorEastAsia" w:eastAsiaTheme="minorEastAsia" w:cstheme="minorEastAsia"/>
                <w:color w:val="auto"/>
                <w:kern w:val="0"/>
                <w:sz w:val="24"/>
                <w:szCs w:val="24"/>
              </w:rPr>
              <w:t>要求供货商提供真实有效的食品检验合格证或检测单。</w:t>
            </w:r>
            <w:r>
              <w:rPr>
                <w:rFonts w:hint="eastAsia" w:asciiTheme="minorEastAsia" w:hAnsiTheme="minorEastAsia" w:eastAsiaTheme="minorEastAsia" w:cstheme="minorEastAsia"/>
                <w:color w:val="auto"/>
                <w:kern w:val="0"/>
                <w:sz w:val="24"/>
                <w:szCs w:val="24"/>
                <w:lang w:eastAsia="zh-CN"/>
              </w:rPr>
              <w:t>没有检验合格证或检测单的，发现一次扣</w:t>
            </w:r>
            <w:r>
              <w:rPr>
                <w:rFonts w:hint="eastAsia" w:asciiTheme="minorEastAsia" w:hAnsiTheme="minorEastAsia" w:eastAsiaTheme="minorEastAsia" w:cstheme="minorEastAsia"/>
                <w:color w:val="auto"/>
                <w:kern w:val="0"/>
                <w:sz w:val="24"/>
                <w:szCs w:val="24"/>
                <w:lang w:val="en-US" w:eastAsia="zh-CN"/>
              </w:rPr>
              <w:t>10分；</w:t>
            </w:r>
          </w:p>
          <w:p w14:paraId="53F8F668">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所有原辅材料</w:t>
            </w:r>
            <w:r>
              <w:rPr>
                <w:rFonts w:hint="eastAsia" w:asciiTheme="minorEastAsia" w:hAnsiTheme="minorEastAsia" w:eastAsiaTheme="minorEastAsia" w:cstheme="minorEastAsia"/>
                <w:color w:val="auto"/>
                <w:kern w:val="0"/>
                <w:sz w:val="24"/>
                <w:szCs w:val="24"/>
              </w:rPr>
              <w:t>从具有一定的知名度、信誉度较高的商家采购。</w:t>
            </w:r>
            <w:r>
              <w:rPr>
                <w:rFonts w:hint="eastAsia" w:asciiTheme="minorEastAsia" w:hAnsiTheme="minorEastAsia" w:eastAsiaTheme="minorEastAsia" w:cstheme="minorEastAsia"/>
                <w:color w:val="auto"/>
                <w:kern w:val="0"/>
                <w:sz w:val="24"/>
                <w:szCs w:val="24"/>
                <w:lang w:eastAsia="zh-CN"/>
              </w:rPr>
              <w:t>采购国家知名品牌产品的，一种产品加</w:t>
            </w:r>
            <w:r>
              <w:rPr>
                <w:rFonts w:hint="eastAsia" w:asciiTheme="minorEastAsia" w:hAnsiTheme="minorEastAsia" w:eastAsiaTheme="minorEastAsia" w:cstheme="minorEastAsia"/>
                <w:color w:val="auto"/>
                <w:kern w:val="0"/>
                <w:sz w:val="24"/>
                <w:szCs w:val="24"/>
                <w:lang w:val="en-US" w:eastAsia="zh-CN"/>
              </w:rPr>
              <w:t>5分，加分最高上限100分；采购省级知名产品的，</w:t>
            </w:r>
            <w:r>
              <w:rPr>
                <w:rFonts w:hint="eastAsia" w:asciiTheme="minorEastAsia" w:hAnsiTheme="minorEastAsia" w:eastAsiaTheme="minorEastAsia" w:cstheme="minorEastAsia"/>
                <w:color w:val="auto"/>
                <w:kern w:val="0"/>
                <w:sz w:val="24"/>
                <w:szCs w:val="24"/>
                <w:lang w:eastAsia="zh-CN"/>
              </w:rPr>
              <w:t>一种产品加</w:t>
            </w:r>
            <w:r>
              <w:rPr>
                <w:rFonts w:hint="eastAsia" w:asciiTheme="minorEastAsia" w:hAnsiTheme="minorEastAsia" w:eastAsiaTheme="minorEastAsia" w:cstheme="minorEastAsia"/>
                <w:color w:val="auto"/>
                <w:kern w:val="0"/>
                <w:sz w:val="24"/>
                <w:szCs w:val="24"/>
                <w:lang w:val="en-US" w:eastAsia="zh-CN"/>
              </w:rPr>
              <w:t>2分，加分最高上限50分</w:t>
            </w:r>
          </w:p>
          <w:p w14:paraId="5E0B01F6">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eastAsia="zh-CN"/>
              </w:rPr>
              <w:t>积极巩固脱贫攻坚成果，</w:t>
            </w:r>
            <w:r>
              <w:rPr>
                <w:rFonts w:hint="eastAsia" w:asciiTheme="minorEastAsia" w:hAnsiTheme="minorEastAsia" w:eastAsiaTheme="minorEastAsia" w:cstheme="minorEastAsia"/>
                <w:color w:val="auto"/>
                <w:kern w:val="0"/>
                <w:sz w:val="24"/>
                <w:szCs w:val="24"/>
              </w:rPr>
              <w:t>在同等条件下，优先通过“扶贫832平台”购买</w:t>
            </w:r>
            <w:r>
              <w:rPr>
                <w:rFonts w:hint="eastAsia" w:asciiTheme="minorEastAsia" w:hAnsiTheme="minorEastAsia" w:eastAsiaTheme="minorEastAsia" w:cstheme="minorEastAsia"/>
                <w:color w:val="auto"/>
                <w:kern w:val="0"/>
                <w:sz w:val="24"/>
                <w:szCs w:val="24"/>
                <w:lang w:eastAsia="zh-CN"/>
              </w:rPr>
              <w:t>延安的</w:t>
            </w:r>
            <w:r>
              <w:rPr>
                <w:rFonts w:hint="eastAsia" w:asciiTheme="minorEastAsia" w:hAnsiTheme="minorEastAsia" w:eastAsiaTheme="minorEastAsia" w:cstheme="minorEastAsia"/>
                <w:color w:val="auto"/>
                <w:kern w:val="0"/>
                <w:sz w:val="24"/>
                <w:szCs w:val="24"/>
              </w:rPr>
              <w:t>贫困地区</w:t>
            </w:r>
            <w:r>
              <w:rPr>
                <w:rFonts w:hint="eastAsia" w:asciiTheme="minorEastAsia" w:hAnsiTheme="minorEastAsia" w:eastAsiaTheme="minorEastAsia" w:cstheme="minorEastAsia"/>
                <w:color w:val="auto"/>
                <w:kern w:val="0"/>
                <w:sz w:val="24"/>
                <w:szCs w:val="24"/>
                <w:lang w:eastAsia="zh-CN"/>
              </w:rPr>
              <w:t>、贫困户</w:t>
            </w:r>
            <w:r>
              <w:rPr>
                <w:rFonts w:hint="eastAsia" w:asciiTheme="minorEastAsia" w:hAnsiTheme="minorEastAsia" w:eastAsiaTheme="minorEastAsia" w:cstheme="minorEastAsia"/>
                <w:color w:val="auto"/>
                <w:kern w:val="0"/>
                <w:sz w:val="24"/>
                <w:szCs w:val="24"/>
              </w:rPr>
              <w:t>农副产品，年购置</w:t>
            </w:r>
            <w:r>
              <w:rPr>
                <w:rFonts w:hint="eastAsia" w:asciiTheme="minorEastAsia" w:hAnsiTheme="minorEastAsia" w:eastAsiaTheme="minorEastAsia" w:cstheme="minorEastAsia"/>
                <w:color w:val="auto"/>
                <w:kern w:val="0"/>
                <w:sz w:val="24"/>
                <w:szCs w:val="24"/>
                <w:lang w:eastAsia="zh-CN"/>
              </w:rPr>
              <w:t>延安的</w:t>
            </w:r>
            <w:r>
              <w:rPr>
                <w:rFonts w:hint="eastAsia" w:asciiTheme="minorEastAsia" w:hAnsiTheme="minorEastAsia" w:eastAsiaTheme="minorEastAsia" w:cstheme="minorEastAsia"/>
                <w:color w:val="auto"/>
                <w:kern w:val="0"/>
                <w:sz w:val="24"/>
                <w:szCs w:val="24"/>
              </w:rPr>
              <w:t>贫困地区农副产品需占到年购置总金额的10%及以上。</w:t>
            </w:r>
            <w:r>
              <w:rPr>
                <w:rFonts w:hint="eastAsia" w:asciiTheme="minorEastAsia" w:hAnsiTheme="minorEastAsia" w:eastAsiaTheme="minorEastAsia" w:cstheme="minorEastAsia"/>
                <w:color w:val="auto"/>
                <w:kern w:val="0"/>
                <w:sz w:val="24"/>
                <w:szCs w:val="24"/>
                <w:lang w:eastAsia="zh-CN"/>
              </w:rPr>
              <w:t>占比在</w:t>
            </w:r>
            <w:r>
              <w:rPr>
                <w:rFonts w:hint="eastAsia" w:asciiTheme="minorEastAsia" w:hAnsiTheme="minorEastAsia" w:eastAsiaTheme="minorEastAsia" w:cstheme="minorEastAsia"/>
                <w:color w:val="auto"/>
                <w:kern w:val="0"/>
                <w:sz w:val="24"/>
                <w:szCs w:val="24"/>
                <w:lang w:val="en-US" w:eastAsia="zh-CN"/>
              </w:rPr>
              <w:t>10%及以下的，每低一个百分点扣20分；</w:t>
            </w:r>
            <w:r>
              <w:rPr>
                <w:rFonts w:hint="eastAsia" w:asciiTheme="minorEastAsia" w:hAnsiTheme="minorEastAsia" w:eastAsiaTheme="minorEastAsia" w:cstheme="minorEastAsia"/>
                <w:color w:val="auto"/>
                <w:kern w:val="0"/>
                <w:sz w:val="24"/>
                <w:szCs w:val="24"/>
                <w:lang w:eastAsia="zh-CN"/>
              </w:rPr>
              <w:t>占比超过</w:t>
            </w:r>
            <w:r>
              <w:rPr>
                <w:rFonts w:hint="eastAsia" w:asciiTheme="minorEastAsia" w:hAnsiTheme="minorEastAsia" w:eastAsiaTheme="minorEastAsia" w:cstheme="minorEastAsia"/>
                <w:color w:val="auto"/>
                <w:kern w:val="0"/>
                <w:sz w:val="24"/>
                <w:szCs w:val="24"/>
                <w:lang w:val="en-US" w:eastAsia="zh-CN"/>
              </w:rPr>
              <w:t>10%的，每增加一个百分点加20分；</w:t>
            </w:r>
          </w:p>
          <w:p w14:paraId="4265B698">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禁止采购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转基因食材</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有毒、有害、腐烂变质、酸败、霉变、生虫、混有异物或者其他感官性状异常的食品食物</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无检验合格证明的肉类食品</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超过保质期限食物</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无卫生许可证食品生产经营者供应的食品。</w:t>
            </w:r>
            <w:r>
              <w:rPr>
                <w:rFonts w:hint="eastAsia" w:asciiTheme="minorEastAsia" w:hAnsiTheme="minorEastAsia" w:eastAsiaTheme="minorEastAsia" w:cstheme="minorEastAsia"/>
                <w:color w:val="auto"/>
                <w:kern w:val="0"/>
                <w:sz w:val="24"/>
                <w:szCs w:val="24"/>
                <w:lang w:eastAsia="zh-CN"/>
              </w:rPr>
              <w:t>如采购了禁止采购的食材，线下考核总分值直接核定为</w:t>
            </w:r>
            <w:r>
              <w:rPr>
                <w:rFonts w:hint="eastAsia" w:asciiTheme="minorEastAsia" w:hAnsiTheme="minorEastAsia" w:eastAsiaTheme="minorEastAsia" w:cstheme="minorEastAsia"/>
                <w:color w:val="auto"/>
                <w:kern w:val="0"/>
                <w:sz w:val="24"/>
                <w:szCs w:val="24"/>
                <w:lang w:val="en-US" w:eastAsia="zh-CN"/>
              </w:rPr>
              <w:t>0分。</w:t>
            </w:r>
          </w:p>
        </w:tc>
        <w:tc>
          <w:tcPr>
            <w:tcW w:w="360" w:type="pct"/>
            <w:tcBorders>
              <w:top w:val="single" w:color="auto" w:sz="6" w:space="0"/>
              <w:left w:val="single" w:color="auto" w:sz="6" w:space="0"/>
              <w:bottom w:val="single" w:color="auto" w:sz="6" w:space="0"/>
              <w:right w:val="single" w:color="auto" w:sz="6" w:space="0"/>
            </w:tcBorders>
            <w:noWrap w:val="0"/>
            <w:vAlign w:val="top"/>
          </w:tcPr>
          <w:p w14:paraId="69054241">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b/>
                <w:bCs/>
                <w:color w:val="auto"/>
                <w:kern w:val="0"/>
                <w:sz w:val="24"/>
                <w:szCs w:val="24"/>
              </w:rPr>
            </w:pPr>
          </w:p>
        </w:tc>
      </w:tr>
      <w:tr w14:paraId="4750115D">
        <w:tblPrEx>
          <w:tblCellMar>
            <w:top w:w="0" w:type="dxa"/>
            <w:left w:w="30" w:type="dxa"/>
            <w:bottom w:w="0" w:type="dxa"/>
            <w:right w:w="30" w:type="dxa"/>
          </w:tblCellMar>
        </w:tblPrEx>
        <w:trPr>
          <w:trHeight w:val="365"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7C1F73C6">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饭菜质量</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65E6B3F1">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食堂销售的食品，要符合有关食品安全标准，不添加任何有害物质和添加剂。不按规定制作食品的，每发现一次扣3分，扣分的最高上限为15分</w:t>
            </w:r>
            <w:r>
              <w:rPr>
                <w:rFonts w:hint="eastAsia" w:asciiTheme="minorEastAsia" w:hAnsiTheme="minorEastAsia" w:eastAsiaTheme="minorEastAsia" w:cstheme="minorEastAsia"/>
                <w:color w:val="auto"/>
                <w:kern w:val="0"/>
                <w:sz w:val="24"/>
                <w:szCs w:val="24"/>
                <w:lang w:eastAsia="zh-CN"/>
              </w:rPr>
              <w:t>；</w:t>
            </w:r>
          </w:p>
          <w:p w14:paraId="233ACBD9">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.菜品荤、素营养合理搭配，</w:t>
            </w:r>
            <w:r>
              <w:rPr>
                <w:rFonts w:hint="eastAsia" w:asciiTheme="minorEastAsia" w:hAnsiTheme="minorEastAsia" w:eastAsiaTheme="minorEastAsia" w:cstheme="minorEastAsia"/>
                <w:color w:val="auto"/>
                <w:kern w:val="0"/>
                <w:sz w:val="24"/>
                <w:szCs w:val="24"/>
                <w:lang w:eastAsia="zh-CN"/>
              </w:rPr>
              <w:t>每周食谱不重样，</w:t>
            </w:r>
            <w:r>
              <w:rPr>
                <w:rFonts w:hint="eastAsia" w:asciiTheme="minorEastAsia" w:hAnsiTheme="minorEastAsia" w:eastAsiaTheme="minorEastAsia" w:cstheme="minorEastAsia"/>
                <w:color w:val="auto"/>
                <w:kern w:val="0"/>
                <w:sz w:val="24"/>
                <w:szCs w:val="24"/>
              </w:rPr>
              <w:t>符合合同约定标准,不得随意更换菜品。如发现擅自调整菜单的，每发现一次扣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分；不按照经批准的菜单制作菜品的，每发现一次扣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剩菜不得二次加工上桌，发现一次扣</w:t>
            </w:r>
            <w:r>
              <w:rPr>
                <w:rFonts w:hint="eastAsia" w:asciiTheme="minorEastAsia" w:hAnsiTheme="minorEastAsia" w:eastAsiaTheme="minorEastAsia" w:cstheme="minorEastAsia"/>
                <w:color w:val="auto"/>
                <w:kern w:val="0"/>
                <w:sz w:val="24"/>
                <w:szCs w:val="24"/>
                <w:lang w:val="en" w:eastAsia="zh-CN"/>
              </w:rPr>
              <w:t>2</w:t>
            </w:r>
            <w:r>
              <w:rPr>
                <w:rFonts w:hint="eastAsia" w:asciiTheme="minorEastAsia" w:hAnsiTheme="minorEastAsia" w:eastAsiaTheme="minorEastAsia" w:cstheme="minorEastAsia"/>
                <w:color w:val="auto"/>
                <w:kern w:val="0"/>
                <w:sz w:val="24"/>
                <w:szCs w:val="24"/>
                <w:lang w:val="en-US" w:eastAsia="zh-CN"/>
              </w:rPr>
              <w:t>0分；</w:t>
            </w:r>
          </w:p>
          <w:p w14:paraId="42E8EC94">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3.每周食谱未经营养师审核签字的，扣20分；</w:t>
            </w:r>
          </w:p>
          <w:p w14:paraId="7A7346B3">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.菜品新鲜可口，味道适中。菜品不新鲜的，每发现一次，扣</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分；味道有异味的，每发现一次扣</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p>
          <w:p w14:paraId="3C833DBB">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lang w:eastAsia="zh-CN"/>
              </w:rPr>
              <w:t>注重推陈出新，各餐厅必须至少每月推出一道经反复改良且营养可口的新菜品。没有开发出就餐者喜爱且营养可口菜品的扣</w:t>
            </w:r>
            <w:r>
              <w:rPr>
                <w:rFonts w:hint="eastAsia" w:asciiTheme="minorEastAsia" w:hAnsiTheme="minorEastAsia" w:eastAsiaTheme="minorEastAsia" w:cstheme="minorEastAsia"/>
                <w:color w:val="auto"/>
                <w:kern w:val="0"/>
                <w:sz w:val="24"/>
                <w:szCs w:val="24"/>
                <w:lang w:val="en-US" w:eastAsia="zh-CN"/>
              </w:rPr>
              <w:t>20分；能积极开发特色菜品且受就餐者好评的加20分；</w:t>
            </w:r>
          </w:p>
          <w:p w14:paraId="76A99730">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.根据季节变化，适当调整保温设施（保温台、棉被等），确保饭菜有足够的热量。如出现热菜和主食等需保温食品，没有得到有效的保温，每发现一次扣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p>
          <w:p w14:paraId="34704979">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.不遵守</w:t>
            </w:r>
            <w:r>
              <w:rPr>
                <w:rFonts w:hint="eastAsia" w:asciiTheme="minorEastAsia" w:hAnsiTheme="minorEastAsia" w:eastAsiaTheme="minorEastAsia" w:cstheme="minorEastAsia"/>
                <w:color w:val="auto"/>
                <w:kern w:val="0"/>
                <w:sz w:val="24"/>
                <w:szCs w:val="24"/>
                <w:lang w:eastAsia="zh-CN"/>
              </w:rPr>
              <w:t>开餐时间</w:t>
            </w:r>
            <w:r>
              <w:rPr>
                <w:rFonts w:hint="eastAsia" w:asciiTheme="minorEastAsia" w:hAnsiTheme="minorEastAsia" w:eastAsiaTheme="minorEastAsia" w:cstheme="minorEastAsia"/>
                <w:color w:val="auto"/>
                <w:kern w:val="0"/>
                <w:sz w:val="24"/>
                <w:szCs w:val="24"/>
              </w:rPr>
              <w:t>规定的，每发生一次，扣</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p>
          <w:p w14:paraId="69845833">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建立泔水登记检查制度，及时反应饭菜质量及浪费情况。不及时登记泔水情况的，每发现一次，扣</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分；发现某种食品</w:t>
            </w:r>
            <w:r>
              <w:rPr>
                <w:rFonts w:hint="eastAsia" w:asciiTheme="minorEastAsia" w:hAnsiTheme="minorEastAsia" w:eastAsiaTheme="minorEastAsia" w:cstheme="minorEastAsia"/>
                <w:color w:val="auto"/>
                <w:kern w:val="0"/>
                <w:sz w:val="24"/>
                <w:szCs w:val="24"/>
                <w:lang w:val="en-US" w:eastAsia="zh-CN"/>
              </w:rPr>
              <w:t>有</w:t>
            </w:r>
            <w:r>
              <w:rPr>
                <w:rFonts w:hint="eastAsia" w:asciiTheme="minorEastAsia" w:hAnsiTheme="minorEastAsia" w:eastAsiaTheme="minorEastAsia" w:cstheme="minorEastAsia"/>
                <w:color w:val="auto"/>
                <w:kern w:val="0"/>
                <w:sz w:val="24"/>
                <w:szCs w:val="24"/>
              </w:rPr>
              <w:t>过</w:t>
            </w:r>
            <w:r>
              <w:rPr>
                <w:rFonts w:hint="eastAsia" w:asciiTheme="minorEastAsia" w:hAnsiTheme="minorEastAsia" w:eastAsiaTheme="minorEastAsia" w:cstheme="minorEastAsia"/>
                <w:color w:val="auto"/>
                <w:kern w:val="0"/>
                <w:sz w:val="24"/>
                <w:szCs w:val="24"/>
                <w:lang w:val="en-US" w:eastAsia="zh-CN"/>
              </w:rPr>
              <w:t>度</w:t>
            </w:r>
            <w:r>
              <w:rPr>
                <w:rFonts w:hint="eastAsia" w:asciiTheme="minorEastAsia" w:hAnsiTheme="minorEastAsia" w:eastAsiaTheme="minorEastAsia" w:cstheme="minorEastAsia"/>
                <w:color w:val="auto"/>
                <w:kern w:val="0"/>
                <w:sz w:val="24"/>
                <w:szCs w:val="24"/>
              </w:rPr>
              <w:t>剩余现象，每发现一次，扣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p>
        </w:tc>
        <w:tc>
          <w:tcPr>
            <w:tcW w:w="360" w:type="pct"/>
            <w:tcBorders>
              <w:top w:val="single" w:color="auto" w:sz="6" w:space="0"/>
              <w:left w:val="single" w:color="auto" w:sz="6" w:space="0"/>
              <w:bottom w:val="single" w:color="auto" w:sz="6" w:space="0"/>
              <w:right w:val="single" w:color="auto" w:sz="6" w:space="0"/>
            </w:tcBorders>
            <w:noWrap w:val="0"/>
            <w:vAlign w:val="top"/>
          </w:tcPr>
          <w:p w14:paraId="4927E386">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p>
        </w:tc>
      </w:tr>
      <w:tr w14:paraId="549E386E">
        <w:tblPrEx>
          <w:tblCellMar>
            <w:top w:w="0" w:type="dxa"/>
            <w:left w:w="30" w:type="dxa"/>
            <w:bottom w:w="0" w:type="dxa"/>
            <w:right w:w="30" w:type="dxa"/>
          </w:tblCellMar>
        </w:tblPrEx>
        <w:trPr>
          <w:trHeight w:val="880"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7ACE67F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设备用具管理</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4F7892E7">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1.设备用具台账记录准确规范，手续完整。不准确的扣10分，不规范的扣5分，手续不完整的扣10分；</w:t>
            </w:r>
          </w:p>
          <w:p w14:paraId="34153050">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2.爱护设备用具，规范使用。水、电、气等能耗设备，做到随用随开，用完即关。出现不规范操作、不爱护设备情形的，每发现一次扣10分；</w:t>
            </w:r>
          </w:p>
          <w:p w14:paraId="68B38460">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.刀具管理：刀具使用完后及时存入刀具柜并上锁。不按规定执行的，每发现一次扣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p>
          <w:p w14:paraId="5CD42B90">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.消防管理：消防器材配备齐全（灭火砂、灭火毯、灭火锅盖)且能有效使用，全员熟知油锅灭火方式，未经同意不得使用消防设施冲洗地面。</w:t>
            </w:r>
            <w:r>
              <w:rPr>
                <w:rFonts w:hint="eastAsia" w:asciiTheme="minorEastAsia" w:hAnsiTheme="minorEastAsia" w:eastAsiaTheme="minorEastAsia" w:cstheme="minorEastAsia"/>
                <w:color w:val="auto"/>
                <w:kern w:val="0"/>
                <w:sz w:val="24"/>
                <w:szCs w:val="24"/>
                <w:lang w:eastAsia="zh-CN"/>
              </w:rPr>
              <w:t>没有配备</w:t>
            </w:r>
            <w:r>
              <w:rPr>
                <w:rFonts w:hint="eastAsia" w:asciiTheme="minorEastAsia" w:hAnsiTheme="minorEastAsia" w:eastAsiaTheme="minorEastAsia" w:cstheme="minorEastAsia"/>
                <w:color w:val="auto"/>
                <w:kern w:val="0"/>
                <w:sz w:val="24"/>
                <w:szCs w:val="24"/>
              </w:rPr>
              <w:t>灭火砂、灭火毯、灭火锅盖</w:t>
            </w:r>
            <w:r>
              <w:rPr>
                <w:rFonts w:hint="eastAsia" w:asciiTheme="minorEastAsia" w:hAnsiTheme="minorEastAsia" w:eastAsiaTheme="minorEastAsia" w:cstheme="minorEastAsia"/>
                <w:color w:val="auto"/>
                <w:kern w:val="0"/>
                <w:sz w:val="24"/>
                <w:szCs w:val="24"/>
                <w:lang w:eastAsia="zh-CN"/>
              </w:rPr>
              <w:t>的，每发现一次扣</w:t>
            </w:r>
            <w:r>
              <w:rPr>
                <w:rFonts w:hint="eastAsia" w:asciiTheme="minorEastAsia" w:hAnsiTheme="minorEastAsia" w:eastAsiaTheme="minorEastAsia" w:cstheme="minorEastAsia"/>
                <w:color w:val="auto"/>
                <w:kern w:val="0"/>
                <w:sz w:val="24"/>
                <w:szCs w:val="24"/>
                <w:lang w:val="en-US" w:eastAsia="zh-CN"/>
              </w:rPr>
              <w:t>40分；</w:t>
            </w:r>
            <w:r>
              <w:rPr>
                <w:rFonts w:hint="eastAsia" w:asciiTheme="minorEastAsia" w:hAnsiTheme="minorEastAsia" w:eastAsiaTheme="minorEastAsia" w:cstheme="minorEastAsia"/>
                <w:color w:val="auto"/>
                <w:kern w:val="0"/>
                <w:sz w:val="24"/>
                <w:szCs w:val="24"/>
              </w:rPr>
              <w:t>违规使用的，每发现一次扣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p>
          <w:p w14:paraId="1CA383B0">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.污水泵：</w:t>
            </w:r>
            <w:r>
              <w:rPr>
                <w:rFonts w:hint="eastAsia" w:asciiTheme="minorEastAsia" w:hAnsiTheme="minorEastAsia" w:eastAsiaTheme="minorEastAsia" w:cstheme="minorEastAsia"/>
                <w:color w:val="auto"/>
                <w:kern w:val="0"/>
                <w:sz w:val="24"/>
                <w:szCs w:val="24"/>
                <w:lang w:eastAsia="zh-CN"/>
              </w:rPr>
              <w:t>规范使用排污设施设备。</w:t>
            </w:r>
            <w:r>
              <w:rPr>
                <w:rFonts w:hint="eastAsia" w:asciiTheme="minorEastAsia" w:hAnsiTheme="minorEastAsia" w:eastAsiaTheme="minorEastAsia" w:cstheme="minorEastAsia"/>
                <w:color w:val="auto"/>
                <w:kern w:val="0"/>
                <w:sz w:val="24"/>
                <w:szCs w:val="24"/>
              </w:rPr>
              <w:t>排污池必须每天清理一次，干净无异味。不按规定使用和清洁的，每发现一次扣</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分。</w:t>
            </w:r>
          </w:p>
        </w:tc>
        <w:tc>
          <w:tcPr>
            <w:tcW w:w="360" w:type="pct"/>
            <w:tcBorders>
              <w:top w:val="single" w:color="auto" w:sz="6" w:space="0"/>
              <w:left w:val="single" w:color="auto" w:sz="6" w:space="0"/>
              <w:bottom w:val="single" w:color="auto" w:sz="6" w:space="0"/>
              <w:right w:val="single" w:color="auto" w:sz="6" w:space="0"/>
            </w:tcBorders>
            <w:noWrap w:val="0"/>
            <w:vAlign w:val="top"/>
          </w:tcPr>
          <w:p w14:paraId="3BE167AA">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p>
        </w:tc>
      </w:tr>
      <w:tr w14:paraId="3CAF1D30">
        <w:tblPrEx>
          <w:tblCellMar>
            <w:top w:w="0" w:type="dxa"/>
            <w:left w:w="30" w:type="dxa"/>
            <w:bottom w:w="0" w:type="dxa"/>
            <w:right w:w="30" w:type="dxa"/>
          </w:tblCellMar>
        </w:tblPrEx>
        <w:trPr>
          <w:trHeight w:val="612"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57F8C4F2">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接待管理</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59A9F6C2">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注重接待、会议用餐菜单安排，机关食堂接到接待任务确定用餐方式后，厨师长要充分了解客人来源、饮食习惯，并依据自身特长科学合理制定菜单，菜单由营养师、监管员以及机关事务服务中心审核，报接待办或接待方、承办方审定后执行。未按程序执行的，每发现一次扣20分；</w:t>
            </w:r>
          </w:p>
          <w:p w14:paraId="1F2897D6">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2.统筹管理原则：干部职工灶的所有接待，统一由餐饮</w:t>
            </w:r>
            <w:r>
              <w:rPr>
                <w:rFonts w:hint="eastAsia" w:asciiTheme="minorEastAsia" w:hAnsiTheme="minorEastAsia" w:eastAsiaTheme="minorEastAsia" w:cstheme="minorEastAsia"/>
                <w:color w:val="auto"/>
                <w:kern w:val="0"/>
                <w:sz w:val="24"/>
                <w:szCs w:val="24"/>
                <w:lang w:eastAsia="zh-CN"/>
              </w:rPr>
              <w:t>科</w:t>
            </w:r>
            <w:r>
              <w:rPr>
                <w:rFonts w:hint="eastAsia" w:asciiTheme="minorEastAsia" w:hAnsiTheme="minorEastAsia" w:eastAsiaTheme="minorEastAsia" w:cstheme="minorEastAsia"/>
                <w:color w:val="auto"/>
                <w:kern w:val="0"/>
                <w:sz w:val="24"/>
                <w:szCs w:val="24"/>
              </w:rPr>
              <w:t>安排、协调每批次的接待。擅自接受公务接待用餐的，每发现一次扣</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分。如接待部门直接通知</w:t>
            </w:r>
            <w:r>
              <w:rPr>
                <w:rFonts w:hint="eastAsia" w:asciiTheme="minorEastAsia" w:hAnsiTheme="minorEastAsia" w:eastAsiaTheme="minorEastAsia" w:cstheme="minorEastAsia"/>
                <w:color w:val="auto"/>
                <w:kern w:val="0"/>
                <w:sz w:val="24"/>
                <w:szCs w:val="24"/>
                <w:lang w:eastAsia="zh-CN"/>
              </w:rPr>
              <w:t>投标人</w:t>
            </w:r>
            <w:r>
              <w:rPr>
                <w:rFonts w:hint="eastAsia" w:asciiTheme="minorEastAsia" w:hAnsiTheme="minorEastAsia" w:eastAsiaTheme="minorEastAsia" w:cstheme="minorEastAsia"/>
                <w:color w:val="auto"/>
                <w:kern w:val="0"/>
                <w:sz w:val="24"/>
                <w:szCs w:val="24"/>
              </w:rPr>
              <w:t>负责接待的，</w:t>
            </w:r>
            <w:r>
              <w:rPr>
                <w:rFonts w:hint="eastAsia" w:asciiTheme="minorEastAsia" w:hAnsiTheme="minorEastAsia" w:eastAsiaTheme="minorEastAsia" w:cstheme="minorEastAsia"/>
                <w:color w:val="auto"/>
                <w:kern w:val="0"/>
                <w:sz w:val="24"/>
                <w:szCs w:val="24"/>
                <w:lang w:eastAsia="zh-CN"/>
              </w:rPr>
              <w:t>投标人</w:t>
            </w:r>
            <w:r>
              <w:rPr>
                <w:rFonts w:hint="eastAsia" w:asciiTheme="minorEastAsia" w:hAnsiTheme="minorEastAsia" w:eastAsiaTheme="minorEastAsia" w:cstheme="minorEastAsia"/>
                <w:color w:val="auto"/>
                <w:kern w:val="0"/>
                <w:sz w:val="24"/>
                <w:szCs w:val="24"/>
              </w:rPr>
              <w:t>需在接到电话后10分钟之内告知机关事务中心餐饮科室负责人，没及时告知的，每发现一次扣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p>
          <w:p w14:paraId="71B50CFA">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各具有接待功能的餐厅，至少要每季度推出一道具有地方特色的招牌菜和一道陕菜，并在我国“十大”菜系上下功夫，至少确保每个菜系中，能做精做细两道以上菜品，确保满足不同客人的就餐需要。未按规定执行的扣20分；能积极开发特色菜品且受到就餐者好评的加20分；</w:t>
            </w:r>
          </w:p>
          <w:p w14:paraId="19C2B068">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做好接待用餐前各项准备工作。没有做好新鲜原材料准备的扣20分；没有做好餐具准备的扣20分、没有做好桌椅摆放的扣20分；餐厅和卫生间没有清扫干净以及没有配备手纸、洗手液、消毒液、消毒毛巾等的扣30分；</w:t>
            </w:r>
          </w:p>
          <w:p w14:paraId="39242FD6">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5.规范服务行为，服务优质高效。仪容仪表不符合要求的扣10分、接待不主动热情的扣10分、语言粗鲁的扣20分、不介绍菜品的扣10分、摆盘不规范的扣20分、上菜取盘不规范的扣10分、上菜顺序不科学的扣20分；</w:t>
            </w:r>
          </w:p>
          <w:p w14:paraId="6F63716E">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.及时配合，高标准完成每次接待任务，不得出现被投诉现象。</w:t>
            </w:r>
            <w:r>
              <w:rPr>
                <w:rFonts w:hint="eastAsia" w:asciiTheme="minorEastAsia" w:hAnsiTheme="minorEastAsia" w:eastAsiaTheme="minorEastAsia" w:cstheme="minorEastAsia"/>
                <w:color w:val="auto"/>
                <w:kern w:val="0"/>
                <w:sz w:val="24"/>
                <w:szCs w:val="24"/>
                <w:lang w:eastAsia="zh-CN"/>
              </w:rPr>
              <w:t>每次接待完成后由厨师长带队对剩菜剩饭进行一次分析，找出缺点并进行改进。</w:t>
            </w:r>
            <w:r>
              <w:rPr>
                <w:rFonts w:hint="eastAsia" w:asciiTheme="minorEastAsia" w:hAnsiTheme="minorEastAsia" w:eastAsiaTheme="minorEastAsia" w:cstheme="minorEastAsia"/>
                <w:color w:val="auto"/>
                <w:kern w:val="0"/>
                <w:sz w:val="24"/>
                <w:szCs w:val="24"/>
              </w:rPr>
              <w:t>每发生一次投诉，扣</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；对剩菜剩饭超出正常水平的，扣</w:t>
            </w:r>
            <w:r>
              <w:rPr>
                <w:rFonts w:hint="eastAsia" w:asciiTheme="minorEastAsia" w:hAnsiTheme="minorEastAsia" w:eastAsiaTheme="minorEastAsia" w:cstheme="minorEastAsia"/>
                <w:color w:val="auto"/>
                <w:kern w:val="0"/>
                <w:sz w:val="24"/>
                <w:szCs w:val="24"/>
                <w:lang w:val="en-US" w:eastAsia="zh-CN"/>
              </w:rPr>
              <w:t>20分；</w:t>
            </w:r>
            <w:r>
              <w:rPr>
                <w:rFonts w:hint="eastAsia" w:asciiTheme="minorEastAsia" w:hAnsiTheme="minorEastAsia" w:eastAsiaTheme="minorEastAsia" w:cstheme="minorEastAsia"/>
                <w:color w:val="auto"/>
                <w:kern w:val="0"/>
                <w:sz w:val="24"/>
                <w:szCs w:val="24"/>
              </w:rPr>
              <w:t xml:space="preserve">                 </w:t>
            </w:r>
          </w:p>
          <w:p w14:paraId="7202B298">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.每批接待必须达到满意及以上层次（对每批次接待，就</w:t>
            </w:r>
            <w:r>
              <w:rPr>
                <w:rFonts w:hint="eastAsia" w:asciiTheme="minorEastAsia" w:hAnsiTheme="minorEastAsia" w:eastAsiaTheme="minorEastAsia" w:cstheme="minorEastAsia"/>
                <w:color w:val="auto"/>
                <w:kern w:val="0"/>
                <w:sz w:val="24"/>
                <w:szCs w:val="24"/>
                <w:lang w:eastAsia="zh-CN"/>
              </w:rPr>
              <w:t>投标人</w:t>
            </w:r>
            <w:r>
              <w:rPr>
                <w:rFonts w:hint="eastAsia" w:asciiTheme="minorEastAsia" w:hAnsiTheme="minorEastAsia" w:eastAsiaTheme="minorEastAsia" w:cstheme="minorEastAsia"/>
                <w:color w:val="auto"/>
                <w:kern w:val="0"/>
                <w:sz w:val="24"/>
                <w:szCs w:val="24"/>
              </w:rPr>
              <w:t>提供的饭菜质量、饭菜品种、就餐环境卫生、服务质量等向市接待办进行满意度调查，由市接待办按非常满意、满意、差三个层次进行评价）。</w:t>
            </w:r>
            <w:r>
              <w:rPr>
                <w:rFonts w:hint="eastAsia" w:asciiTheme="minorEastAsia" w:hAnsiTheme="minorEastAsia" w:eastAsiaTheme="minorEastAsia" w:cstheme="minorEastAsia"/>
                <w:color w:val="auto"/>
                <w:kern w:val="0"/>
                <w:sz w:val="24"/>
                <w:szCs w:val="24"/>
                <w:lang w:eastAsia="zh-CN"/>
              </w:rPr>
              <w:t>出现差评的，每次扣</w:t>
            </w:r>
            <w:r>
              <w:rPr>
                <w:rFonts w:hint="eastAsia" w:asciiTheme="minorEastAsia" w:hAnsiTheme="minorEastAsia" w:eastAsiaTheme="minorEastAsia" w:cstheme="minorEastAsia"/>
                <w:color w:val="auto"/>
                <w:kern w:val="0"/>
                <w:sz w:val="24"/>
                <w:szCs w:val="24"/>
                <w:lang w:val="en-US" w:eastAsia="zh-CN"/>
              </w:rPr>
              <w:t>50分；满意的加30分；非常满意的，加50分；</w:t>
            </w:r>
          </w:p>
        </w:tc>
        <w:tc>
          <w:tcPr>
            <w:tcW w:w="360" w:type="pct"/>
            <w:tcBorders>
              <w:top w:val="single" w:color="auto" w:sz="6" w:space="0"/>
              <w:left w:val="single" w:color="auto" w:sz="6" w:space="0"/>
              <w:bottom w:val="single" w:color="auto" w:sz="6" w:space="0"/>
              <w:right w:val="single" w:color="auto" w:sz="6" w:space="0"/>
            </w:tcBorders>
            <w:noWrap w:val="0"/>
            <w:vAlign w:val="top"/>
          </w:tcPr>
          <w:p w14:paraId="3007D9DB">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p>
        </w:tc>
      </w:tr>
      <w:tr w14:paraId="56D4E1D4">
        <w:tblPrEx>
          <w:tblCellMar>
            <w:top w:w="0" w:type="dxa"/>
            <w:left w:w="30" w:type="dxa"/>
            <w:bottom w:w="0" w:type="dxa"/>
            <w:right w:w="30" w:type="dxa"/>
          </w:tblCellMar>
        </w:tblPrEx>
        <w:trPr>
          <w:trHeight w:val="2669" w:hRule="atLeast"/>
        </w:trPr>
        <w:tc>
          <w:tcPr>
            <w:tcW w:w="338" w:type="pct"/>
            <w:tcBorders>
              <w:top w:val="single" w:color="auto" w:sz="6" w:space="0"/>
              <w:left w:val="single" w:color="auto" w:sz="6" w:space="0"/>
              <w:bottom w:val="single" w:color="auto" w:sz="6" w:space="0"/>
              <w:right w:val="single" w:color="auto" w:sz="6" w:space="0"/>
            </w:tcBorders>
            <w:noWrap w:val="0"/>
            <w:vAlign w:val="center"/>
          </w:tcPr>
          <w:p w14:paraId="769540B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服务质量</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3E0B6B4D">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1.仪态端庄，举止大方，按规定着装，女性必须佩戴发网。不全面执行的，每发现一次扣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p>
          <w:p w14:paraId="79CD4956">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2.应规范使用文明用语，语气和蔼可亲。不全面执行的，每发现一次扣1</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分。</w:t>
            </w:r>
          </w:p>
          <w:p w14:paraId="53A0F527">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3.勤巡台，及时整理餐台卫生，及时与后厨沟通，确保饭菜量足，不能出现断档行为。不全面执行的，每发现一次扣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p>
          <w:p w14:paraId="4801887D">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4.不得与就餐人员争吵、打骂。每发生一次，扣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p>
          <w:p w14:paraId="3C03EB7A">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5.用餐刷卡</w:t>
            </w:r>
            <w:r>
              <w:rPr>
                <w:rFonts w:hint="eastAsia" w:asciiTheme="minorEastAsia" w:hAnsiTheme="minorEastAsia" w:eastAsiaTheme="minorEastAsia" w:cstheme="minorEastAsia"/>
                <w:color w:val="auto"/>
                <w:kern w:val="0"/>
                <w:sz w:val="24"/>
                <w:szCs w:val="24"/>
                <w:lang w:eastAsia="zh-CN"/>
              </w:rPr>
              <w:t>（脸）</w:t>
            </w:r>
            <w:r>
              <w:rPr>
                <w:rFonts w:hint="eastAsia" w:asciiTheme="minorEastAsia" w:hAnsiTheme="minorEastAsia" w:eastAsiaTheme="minorEastAsia" w:cstheme="minorEastAsia"/>
                <w:color w:val="auto"/>
                <w:kern w:val="0"/>
                <w:sz w:val="24"/>
                <w:szCs w:val="24"/>
              </w:rPr>
              <w:t>期间，看管刷卡机人员认真负责，</w:t>
            </w:r>
            <w:r>
              <w:rPr>
                <w:rFonts w:hint="eastAsia" w:asciiTheme="minorEastAsia" w:hAnsiTheme="minorEastAsia" w:eastAsiaTheme="minorEastAsia" w:cstheme="minorEastAsia"/>
                <w:color w:val="auto"/>
                <w:kern w:val="0"/>
                <w:sz w:val="24"/>
                <w:szCs w:val="24"/>
                <w:lang w:eastAsia="zh-CN"/>
              </w:rPr>
              <w:t>严禁“借脸就餐”（非带人就餐），发现“借脸就餐”（非带人就餐）须立即制止；</w:t>
            </w:r>
            <w:r>
              <w:rPr>
                <w:rFonts w:hint="eastAsia" w:asciiTheme="minorEastAsia" w:hAnsiTheme="minorEastAsia" w:eastAsiaTheme="minorEastAsia" w:cstheme="minorEastAsia"/>
                <w:color w:val="auto"/>
                <w:kern w:val="0"/>
                <w:sz w:val="24"/>
                <w:szCs w:val="24"/>
              </w:rPr>
              <w:t>发现余额不足50元，及时提醒干部充卡，不能</w:t>
            </w:r>
            <w:r>
              <w:rPr>
                <w:rFonts w:hint="eastAsia" w:asciiTheme="minorEastAsia" w:hAnsiTheme="minorEastAsia" w:eastAsiaTheme="minorEastAsia" w:cstheme="minorEastAsia"/>
                <w:color w:val="auto"/>
                <w:kern w:val="0"/>
                <w:sz w:val="24"/>
                <w:szCs w:val="24"/>
                <w:lang w:val="en-US" w:eastAsia="zh-CN"/>
              </w:rPr>
              <w:t>出现</w:t>
            </w:r>
            <w:r>
              <w:rPr>
                <w:rFonts w:hint="eastAsia" w:asciiTheme="minorEastAsia" w:hAnsiTheme="minorEastAsia" w:eastAsiaTheme="minorEastAsia" w:cstheme="minorEastAsia"/>
                <w:color w:val="auto"/>
                <w:kern w:val="0"/>
                <w:sz w:val="24"/>
                <w:szCs w:val="24"/>
              </w:rPr>
              <w:t>多刷</w:t>
            </w:r>
            <w:r>
              <w:rPr>
                <w:rFonts w:hint="eastAsia" w:asciiTheme="minorEastAsia" w:hAnsiTheme="minorEastAsia" w:eastAsiaTheme="minorEastAsia" w:cstheme="minorEastAsia"/>
                <w:color w:val="auto"/>
                <w:kern w:val="0"/>
                <w:sz w:val="24"/>
                <w:szCs w:val="24"/>
                <w:lang w:eastAsia="zh-CN"/>
              </w:rPr>
              <w:t>钱</w:t>
            </w:r>
            <w:r>
              <w:rPr>
                <w:rFonts w:hint="eastAsia" w:asciiTheme="minorEastAsia" w:hAnsiTheme="minorEastAsia" w:eastAsiaTheme="minorEastAsia" w:cstheme="minorEastAsia"/>
                <w:color w:val="auto"/>
                <w:kern w:val="0"/>
                <w:sz w:val="24"/>
                <w:szCs w:val="24"/>
              </w:rPr>
              <w:t>现象，如有发生，</w:t>
            </w:r>
            <w:r>
              <w:rPr>
                <w:rFonts w:hint="eastAsia" w:asciiTheme="minorEastAsia" w:hAnsiTheme="minorEastAsia" w:eastAsiaTheme="minorEastAsia" w:cstheme="minorEastAsia"/>
                <w:color w:val="auto"/>
                <w:kern w:val="0"/>
                <w:sz w:val="24"/>
                <w:szCs w:val="24"/>
                <w:lang w:eastAsia="zh-CN"/>
              </w:rPr>
              <w:t>投标人</w:t>
            </w:r>
            <w:r>
              <w:rPr>
                <w:rFonts w:hint="eastAsia" w:asciiTheme="minorEastAsia" w:hAnsiTheme="minorEastAsia" w:eastAsiaTheme="minorEastAsia" w:cstheme="minorEastAsia"/>
                <w:color w:val="auto"/>
                <w:kern w:val="0"/>
                <w:sz w:val="24"/>
                <w:szCs w:val="24"/>
              </w:rPr>
              <w:t>主动赔礼道歉，自行解决处理。</w:t>
            </w:r>
            <w:r>
              <w:rPr>
                <w:rFonts w:hint="eastAsia" w:asciiTheme="minorEastAsia" w:hAnsiTheme="minorEastAsia" w:eastAsiaTheme="minorEastAsia" w:cstheme="minorEastAsia"/>
                <w:color w:val="auto"/>
                <w:kern w:val="0"/>
                <w:sz w:val="24"/>
                <w:szCs w:val="24"/>
                <w:lang w:eastAsia="zh-CN"/>
              </w:rPr>
              <w:t>发现“借脸就餐”（非带人就餐）不及时制止的，发现一次扣</w:t>
            </w:r>
            <w:r>
              <w:rPr>
                <w:rFonts w:hint="eastAsia" w:asciiTheme="minorEastAsia" w:hAnsiTheme="minorEastAsia" w:eastAsiaTheme="minorEastAsia" w:cstheme="minorEastAsia"/>
                <w:color w:val="auto"/>
                <w:kern w:val="0"/>
                <w:sz w:val="24"/>
                <w:szCs w:val="24"/>
                <w:lang w:val="en-US" w:eastAsia="zh-CN"/>
              </w:rPr>
              <w:t>20分；</w:t>
            </w:r>
            <w:r>
              <w:rPr>
                <w:rFonts w:hint="eastAsia" w:asciiTheme="minorEastAsia" w:hAnsiTheme="minorEastAsia" w:eastAsiaTheme="minorEastAsia" w:cstheme="minorEastAsia"/>
                <w:color w:val="auto"/>
                <w:kern w:val="0"/>
                <w:sz w:val="24"/>
                <w:szCs w:val="24"/>
              </w:rPr>
              <w:t>因就餐人员预存伙食费余额不足就餐消费的，发现一次扣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分，并由</w:t>
            </w:r>
            <w:r>
              <w:rPr>
                <w:rFonts w:hint="eastAsia" w:asciiTheme="minorEastAsia" w:hAnsiTheme="minorEastAsia" w:eastAsiaTheme="minorEastAsia" w:cstheme="minorEastAsia"/>
                <w:color w:val="auto"/>
                <w:kern w:val="0"/>
                <w:sz w:val="24"/>
                <w:szCs w:val="24"/>
                <w:lang w:eastAsia="zh-CN"/>
              </w:rPr>
              <w:t>投标人</w:t>
            </w:r>
            <w:r>
              <w:rPr>
                <w:rFonts w:hint="eastAsia" w:asciiTheme="minorEastAsia" w:hAnsiTheme="minorEastAsia" w:eastAsiaTheme="minorEastAsia" w:cstheme="minorEastAsia"/>
                <w:color w:val="auto"/>
                <w:kern w:val="0"/>
                <w:sz w:val="24"/>
                <w:szCs w:val="24"/>
              </w:rPr>
              <w:t>承担相应费用；出现多刷</w:t>
            </w:r>
            <w:r>
              <w:rPr>
                <w:rFonts w:hint="eastAsia" w:asciiTheme="minorEastAsia" w:hAnsiTheme="minorEastAsia" w:eastAsiaTheme="minorEastAsia" w:cstheme="minorEastAsia"/>
                <w:color w:val="auto"/>
                <w:kern w:val="0"/>
                <w:sz w:val="24"/>
                <w:szCs w:val="24"/>
                <w:lang w:eastAsia="zh-CN"/>
              </w:rPr>
              <w:t>钱</w:t>
            </w:r>
            <w:r>
              <w:rPr>
                <w:rFonts w:hint="eastAsia" w:asciiTheme="minorEastAsia" w:hAnsiTheme="minorEastAsia" w:eastAsiaTheme="minorEastAsia" w:cstheme="minorEastAsia"/>
                <w:color w:val="auto"/>
                <w:kern w:val="0"/>
                <w:sz w:val="24"/>
                <w:szCs w:val="24"/>
              </w:rPr>
              <w:t>现象的，发现一次扣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分，并由</w:t>
            </w:r>
            <w:r>
              <w:rPr>
                <w:rFonts w:hint="eastAsia" w:asciiTheme="minorEastAsia" w:hAnsiTheme="minorEastAsia" w:eastAsiaTheme="minorEastAsia" w:cstheme="minorEastAsia"/>
                <w:color w:val="auto"/>
                <w:kern w:val="0"/>
                <w:sz w:val="24"/>
                <w:szCs w:val="24"/>
                <w:lang w:eastAsia="zh-CN"/>
              </w:rPr>
              <w:t>投标人</w:t>
            </w:r>
            <w:r>
              <w:rPr>
                <w:rFonts w:hint="eastAsia" w:asciiTheme="minorEastAsia" w:hAnsiTheme="minorEastAsia" w:eastAsiaTheme="minorEastAsia" w:cstheme="minorEastAsia"/>
                <w:color w:val="auto"/>
                <w:kern w:val="0"/>
                <w:sz w:val="24"/>
                <w:szCs w:val="24"/>
              </w:rPr>
              <w:t>负责向就餐者退</w:t>
            </w:r>
            <w:r>
              <w:rPr>
                <w:rFonts w:hint="eastAsia" w:asciiTheme="minorEastAsia" w:hAnsiTheme="minorEastAsia" w:eastAsiaTheme="minorEastAsia" w:cstheme="minorEastAsia"/>
                <w:color w:val="auto"/>
                <w:kern w:val="0"/>
                <w:sz w:val="24"/>
                <w:szCs w:val="24"/>
                <w:lang w:val="en-US" w:eastAsia="zh-CN"/>
              </w:rPr>
              <w:t>还</w:t>
            </w:r>
            <w:r>
              <w:rPr>
                <w:rFonts w:hint="eastAsia" w:asciiTheme="minorEastAsia" w:hAnsiTheme="minorEastAsia" w:eastAsiaTheme="minorEastAsia" w:cstheme="minorEastAsia"/>
                <w:color w:val="auto"/>
                <w:kern w:val="0"/>
                <w:sz w:val="24"/>
                <w:szCs w:val="24"/>
              </w:rPr>
              <w:t>多刷的</w:t>
            </w:r>
            <w:r>
              <w:rPr>
                <w:rFonts w:hint="eastAsia" w:asciiTheme="minorEastAsia" w:hAnsiTheme="minorEastAsia" w:eastAsiaTheme="minorEastAsia" w:cstheme="minorEastAsia"/>
                <w:color w:val="auto"/>
                <w:kern w:val="0"/>
                <w:sz w:val="24"/>
                <w:szCs w:val="24"/>
                <w:lang w:eastAsia="zh-CN"/>
              </w:rPr>
              <w:t>金额</w:t>
            </w:r>
            <w:r>
              <w:rPr>
                <w:rFonts w:hint="eastAsia" w:asciiTheme="minorEastAsia" w:hAnsiTheme="minorEastAsia" w:eastAsiaTheme="minorEastAsia" w:cstheme="minorEastAsia"/>
                <w:color w:val="auto"/>
                <w:kern w:val="0"/>
                <w:sz w:val="24"/>
                <w:szCs w:val="24"/>
              </w:rPr>
              <w:t>。</w:t>
            </w:r>
          </w:p>
        </w:tc>
        <w:tc>
          <w:tcPr>
            <w:tcW w:w="360" w:type="pct"/>
            <w:tcBorders>
              <w:top w:val="single" w:color="auto" w:sz="6" w:space="0"/>
              <w:left w:val="single" w:color="auto" w:sz="6" w:space="0"/>
              <w:bottom w:val="single" w:color="auto" w:sz="6" w:space="0"/>
              <w:right w:val="single" w:color="auto" w:sz="6" w:space="0"/>
            </w:tcBorders>
            <w:noWrap w:val="0"/>
            <w:vAlign w:val="top"/>
          </w:tcPr>
          <w:p w14:paraId="24826490">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p>
        </w:tc>
      </w:tr>
      <w:tr w14:paraId="772D6405">
        <w:tblPrEx>
          <w:tblCellMar>
            <w:top w:w="0" w:type="dxa"/>
            <w:left w:w="30" w:type="dxa"/>
            <w:bottom w:w="0" w:type="dxa"/>
            <w:right w:w="30" w:type="dxa"/>
          </w:tblCellMar>
        </w:tblPrEx>
        <w:trPr>
          <w:trHeight w:val="1698" w:hRule="atLeast"/>
        </w:trPr>
        <w:tc>
          <w:tcPr>
            <w:tcW w:w="338" w:type="pct"/>
            <w:tcBorders>
              <w:top w:val="single" w:color="auto" w:sz="6" w:space="0"/>
              <w:left w:val="single" w:color="auto" w:sz="6" w:space="0"/>
              <w:bottom w:val="nil"/>
              <w:right w:val="single" w:color="auto" w:sz="6" w:space="0"/>
            </w:tcBorders>
            <w:noWrap w:val="0"/>
            <w:vAlign w:val="center"/>
          </w:tcPr>
          <w:p w14:paraId="3841B566">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p>
          <w:p w14:paraId="4D63929B">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p>
          <w:p w14:paraId="59AB131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p>
          <w:p w14:paraId="40E92CD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p>
          <w:p w14:paraId="20F4245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p>
          <w:p w14:paraId="105F7807">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卫生管理</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113E9188">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left="110" w:leftChars="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一．</w:t>
            </w:r>
            <w:r>
              <w:rPr>
                <w:rFonts w:hint="eastAsia" w:asciiTheme="minorEastAsia" w:hAnsiTheme="minorEastAsia" w:eastAsiaTheme="minorEastAsia" w:cstheme="minorEastAsia"/>
                <w:color w:val="auto"/>
                <w:kern w:val="0"/>
                <w:sz w:val="24"/>
                <w:szCs w:val="24"/>
              </w:rPr>
              <w:t>个人卫生：</w:t>
            </w:r>
          </w:p>
          <w:p w14:paraId="4EFB1278">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为了保证卫生操作，防止病菌由人体传入食物，个人卫生必须做到“四勤”（勤洗手、勤剪指甲、勤洗澡理发、勤换工作服、被褥）。发现有一类不到位的，每发现一</w:t>
            </w:r>
            <w:r>
              <w:rPr>
                <w:rFonts w:hint="eastAsia" w:asciiTheme="minorEastAsia" w:hAnsiTheme="minorEastAsia" w:eastAsiaTheme="minorEastAsia" w:cstheme="minorEastAsia"/>
                <w:color w:val="auto"/>
                <w:kern w:val="0"/>
                <w:sz w:val="24"/>
                <w:szCs w:val="24"/>
                <w:lang w:eastAsia="zh-CN"/>
              </w:rPr>
              <w:t>人</w:t>
            </w:r>
            <w:r>
              <w:rPr>
                <w:rFonts w:hint="eastAsia" w:asciiTheme="minorEastAsia" w:hAnsiTheme="minorEastAsia" w:eastAsiaTheme="minorEastAsia" w:cstheme="minorEastAsia"/>
                <w:color w:val="auto"/>
                <w:kern w:val="0"/>
                <w:sz w:val="24"/>
                <w:szCs w:val="24"/>
              </w:rPr>
              <w:t>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w:t>
            </w:r>
          </w:p>
          <w:p w14:paraId="4DCB6159">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工作人员无论任何季节</w:t>
            </w:r>
            <w:r>
              <w:rPr>
                <w:rFonts w:hint="eastAsia" w:asciiTheme="minorEastAsia" w:hAnsiTheme="minorEastAsia" w:eastAsiaTheme="minorEastAsia" w:cstheme="minorEastAsia"/>
                <w:color w:val="auto"/>
                <w:kern w:val="0"/>
                <w:sz w:val="24"/>
                <w:szCs w:val="24"/>
                <w:lang w:eastAsia="zh-CN"/>
              </w:rPr>
              <w:t>进入机关食堂</w:t>
            </w:r>
            <w:r>
              <w:rPr>
                <w:rFonts w:hint="eastAsia" w:asciiTheme="minorEastAsia" w:hAnsiTheme="minorEastAsia" w:eastAsiaTheme="minorEastAsia" w:cstheme="minorEastAsia"/>
                <w:color w:val="auto"/>
                <w:kern w:val="0"/>
                <w:sz w:val="24"/>
                <w:szCs w:val="24"/>
              </w:rPr>
              <w:t>都必须穿统一工作服、戴手套、口罩、头发不露出帽外，不戴任何饰品，不涂指甲油，不准抽烟、玩手机（手机集中存放指定地点）</w:t>
            </w:r>
            <w:r>
              <w:rPr>
                <w:rFonts w:hint="eastAsia" w:asciiTheme="minorEastAsia" w:hAnsiTheme="minorEastAsia" w:eastAsiaTheme="minorEastAsia" w:cstheme="minorEastAsia"/>
                <w:color w:val="auto"/>
                <w:kern w:val="0"/>
                <w:sz w:val="24"/>
                <w:szCs w:val="24"/>
                <w:lang w:eastAsia="zh-CN"/>
              </w:rPr>
              <w:t>；接触熟食必须</w:t>
            </w:r>
            <w:r>
              <w:rPr>
                <w:rFonts w:hint="eastAsia" w:asciiTheme="minorEastAsia" w:hAnsiTheme="minorEastAsia" w:eastAsiaTheme="minorEastAsia" w:cstheme="minorEastAsia"/>
                <w:color w:val="auto"/>
                <w:kern w:val="0"/>
                <w:sz w:val="24"/>
                <w:szCs w:val="24"/>
              </w:rPr>
              <w:t>戴</w:t>
            </w:r>
            <w:r>
              <w:rPr>
                <w:rFonts w:hint="eastAsia" w:asciiTheme="minorEastAsia" w:hAnsiTheme="minorEastAsia" w:eastAsiaTheme="minorEastAsia" w:cstheme="minorEastAsia"/>
                <w:color w:val="auto"/>
                <w:kern w:val="0"/>
                <w:sz w:val="24"/>
                <w:szCs w:val="24"/>
                <w:lang w:eastAsia="zh-CN"/>
              </w:rPr>
              <w:t>一次性</w:t>
            </w:r>
            <w:r>
              <w:rPr>
                <w:rFonts w:hint="eastAsia" w:asciiTheme="minorEastAsia" w:hAnsiTheme="minorEastAsia" w:eastAsiaTheme="minorEastAsia" w:cstheme="minorEastAsia"/>
                <w:color w:val="auto"/>
                <w:kern w:val="0"/>
                <w:sz w:val="24"/>
                <w:szCs w:val="24"/>
              </w:rPr>
              <w:t>手套、口罩。发现有一类不到位的，每发现一</w:t>
            </w:r>
            <w:r>
              <w:rPr>
                <w:rFonts w:hint="eastAsia" w:asciiTheme="minorEastAsia" w:hAnsiTheme="minorEastAsia" w:eastAsiaTheme="minorEastAsia" w:cstheme="minorEastAsia"/>
                <w:color w:val="auto"/>
                <w:kern w:val="0"/>
                <w:sz w:val="24"/>
                <w:szCs w:val="24"/>
                <w:lang w:eastAsia="zh-CN"/>
              </w:rPr>
              <w:t>人</w:t>
            </w:r>
            <w:r>
              <w:rPr>
                <w:rFonts w:hint="eastAsia" w:asciiTheme="minorEastAsia" w:hAnsiTheme="minorEastAsia" w:eastAsiaTheme="minorEastAsia" w:cstheme="minorEastAsia"/>
                <w:color w:val="auto"/>
                <w:kern w:val="0"/>
                <w:sz w:val="24"/>
                <w:szCs w:val="24"/>
              </w:rPr>
              <w:t>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w:t>
            </w:r>
          </w:p>
        </w:tc>
        <w:tc>
          <w:tcPr>
            <w:tcW w:w="360" w:type="pct"/>
            <w:vMerge w:val="restart"/>
            <w:tcBorders>
              <w:top w:val="single" w:color="auto" w:sz="6" w:space="0"/>
              <w:left w:val="single" w:color="auto" w:sz="4" w:space="0"/>
              <w:right w:val="single" w:color="auto" w:sz="6" w:space="0"/>
            </w:tcBorders>
            <w:noWrap w:val="0"/>
            <w:vAlign w:val="top"/>
          </w:tcPr>
          <w:p w14:paraId="117F460C">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color w:val="auto"/>
                <w:kern w:val="0"/>
                <w:sz w:val="24"/>
                <w:szCs w:val="24"/>
              </w:rPr>
            </w:pPr>
          </w:p>
        </w:tc>
      </w:tr>
      <w:tr w14:paraId="17F85928">
        <w:tblPrEx>
          <w:tblCellMar>
            <w:top w:w="0" w:type="dxa"/>
            <w:left w:w="30" w:type="dxa"/>
            <w:bottom w:w="0" w:type="dxa"/>
            <w:right w:w="30" w:type="dxa"/>
          </w:tblCellMar>
        </w:tblPrEx>
        <w:trPr>
          <w:trHeight w:val="3786" w:hRule="atLeast"/>
        </w:trPr>
        <w:tc>
          <w:tcPr>
            <w:tcW w:w="338" w:type="pct"/>
            <w:vMerge w:val="restart"/>
            <w:tcBorders>
              <w:top w:val="nil"/>
              <w:left w:val="single" w:color="auto" w:sz="6" w:space="0"/>
              <w:right w:val="single" w:color="auto" w:sz="6" w:space="0"/>
            </w:tcBorders>
            <w:noWrap w:val="0"/>
            <w:vAlign w:val="center"/>
          </w:tcPr>
          <w:p w14:paraId="0376E2E0">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7DAC12D6">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7ACB2AC4">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7D644CC4">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04C9A840">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5DFF50A6">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29A50F92">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64B9D7C9">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3C115A6D">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6C01E92E">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5DC6A7A5">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7AAD7FF9">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66D7D6E8">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088065A9">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0D6D012E">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56CE495D">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38A36384">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5D8B805C">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354245E8">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09F249FB">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p>
          <w:p w14:paraId="548052E5">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卫生管理</w:t>
            </w:r>
          </w:p>
        </w:tc>
        <w:tc>
          <w:tcPr>
            <w:tcW w:w="4301" w:type="pct"/>
            <w:tcBorders>
              <w:top w:val="single" w:color="auto" w:sz="6" w:space="0"/>
              <w:left w:val="single" w:color="auto" w:sz="6" w:space="0"/>
              <w:bottom w:val="single" w:color="auto" w:sz="6" w:space="0"/>
              <w:right w:val="single" w:color="auto" w:sz="6" w:space="0"/>
            </w:tcBorders>
            <w:noWrap w:val="0"/>
            <w:vAlign w:val="top"/>
          </w:tcPr>
          <w:p w14:paraId="071F71C0">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left="110" w:leftChars="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二．</w:t>
            </w:r>
            <w:r>
              <w:rPr>
                <w:rFonts w:hint="eastAsia" w:asciiTheme="minorEastAsia" w:hAnsiTheme="minorEastAsia" w:eastAsiaTheme="minorEastAsia" w:cstheme="minorEastAsia"/>
                <w:color w:val="auto"/>
                <w:kern w:val="0"/>
                <w:sz w:val="24"/>
                <w:szCs w:val="24"/>
              </w:rPr>
              <w:t>环境卫生：</w:t>
            </w:r>
          </w:p>
          <w:p w14:paraId="7BA830C4">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1.操作间、餐厅、仓库、做到无杂物、无异味、整洁干净。</w:t>
            </w:r>
            <w:r>
              <w:rPr>
                <w:rFonts w:hint="eastAsia" w:asciiTheme="minorEastAsia" w:hAnsiTheme="minorEastAsia" w:eastAsiaTheme="minorEastAsia" w:cstheme="minorEastAsia"/>
                <w:color w:val="auto"/>
                <w:kern w:val="0"/>
                <w:sz w:val="24"/>
                <w:szCs w:val="24"/>
                <w:lang w:eastAsia="zh-CN"/>
              </w:rPr>
              <w:t>配合采购人落细落实</w:t>
            </w:r>
            <w:r>
              <w:rPr>
                <w:rFonts w:hint="eastAsia" w:asciiTheme="minorEastAsia" w:hAnsiTheme="minorEastAsia" w:eastAsiaTheme="minorEastAsia" w:cstheme="minorEastAsia"/>
                <w:color w:val="auto"/>
                <w:kern w:val="0"/>
                <w:sz w:val="24"/>
                <w:szCs w:val="24"/>
                <w:lang w:val="en-US" w:eastAsia="zh-CN"/>
              </w:rPr>
              <w:t>食堂病媒生物防治措施，查漏补缺做好病媒防治工作，及时清理“四害”垃圾，机关食堂无蚊虫、无蚊蝇、无蟑螂、无老鼠。</w:t>
            </w:r>
            <w:r>
              <w:rPr>
                <w:rFonts w:hint="eastAsia" w:asciiTheme="minorEastAsia" w:hAnsiTheme="minorEastAsia" w:eastAsiaTheme="minorEastAsia" w:cstheme="minorEastAsia"/>
                <w:color w:val="auto"/>
                <w:kern w:val="0"/>
                <w:sz w:val="24"/>
                <w:szCs w:val="24"/>
              </w:rPr>
              <w:t>发现有一类不到位的，每发现一次扣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 xml:space="preserve">                        </w:t>
            </w:r>
          </w:p>
          <w:p w14:paraId="337329E2">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2.及时做好食堂内设施、设备的卫生保洁工作，确保各类设施设备无油渍、无灰尘；定期清洗窗帘（半年一次）、门帘，确保干净整洁。发现有一类不到位的，每发现一次扣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w:t>
            </w:r>
          </w:p>
          <w:p w14:paraId="69A8D989">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3.擦桌抹布和洗碗抹布不得混用，用颜色区分开。 发现有一类不到位的，每发现一次扣</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p w14:paraId="713FD364">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kern w:val="0"/>
                <w:sz w:val="24"/>
                <w:szCs w:val="24"/>
                <w:lang w:val="en-US" w:eastAsia="zh-CN"/>
              </w:rPr>
              <w:t>4.洗手间</w:t>
            </w:r>
            <w:r>
              <w:rPr>
                <w:rFonts w:hint="eastAsia" w:asciiTheme="minorEastAsia" w:hAnsiTheme="minorEastAsia" w:eastAsiaTheme="minorEastAsia" w:cstheme="minorEastAsia"/>
                <w:color w:val="auto"/>
                <w:kern w:val="0"/>
                <w:sz w:val="24"/>
                <w:szCs w:val="24"/>
                <w:lang w:eastAsia="zh-CN"/>
              </w:rPr>
              <w:t>顶棚无蛛网；照明灯正常、无常明灯现象、灯罩内无蚊虫；风口、换气扇无堵塞物；瓷砖墙面、隔断墙、门无灰尘、无污渍、门把手干净无污渍；地面光亮无水迹、无污渍、无杂物、无脚印；便池及小便池干净、无污垢、黄渍、无尿渍、无粪便；玻璃镜面干净明亮、无水印；洗手盆面台、水池干净无污渍、无水迹；水龙头明亮、无水迹；清洁工具干净、摆放整齐。</w:t>
            </w:r>
            <w:r>
              <w:rPr>
                <w:rFonts w:hint="eastAsia" w:asciiTheme="minorEastAsia" w:hAnsiTheme="minorEastAsia" w:eastAsiaTheme="minorEastAsia" w:cstheme="minorEastAsia"/>
                <w:color w:val="auto"/>
                <w:kern w:val="0"/>
                <w:sz w:val="24"/>
                <w:szCs w:val="24"/>
                <w:lang w:val="en-US" w:eastAsia="zh-CN"/>
              </w:rPr>
              <w:t>发现一项不干净的扣</w:t>
            </w:r>
            <w:r>
              <w:rPr>
                <w:rFonts w:hint="eastAsia" w:asciiTheme="minorEastAsia" w:hAnsiTheme="minorEastAsia" w:eastAsiaTheme="minorEastAsia" w:cstheme="minorEastAsia"/>
                <w:color w:val="auto"/>
                <w:kern w:val="0"/>
                <w:sz w:val="24"/>
                <w:szCs w:val="24"/>
                <w:lang w:val="en" w:eastAsia="zh-CN"/>
              </w:rPr>
              <w:t>5</w:t>
            </w:r>
            <w:r>
              <w:rPr>
                <w:rFonts w:hint="eastAsia" w:asciiTheme="minorEastAsia" w:hAnsiTheme="minorEastAsia" w:eastAsiaTheme="minorEastAsia" w:cstheme="minorEastAsia"/>
                <w:color w:val="auto"/>
                <w:kern w:val="0"/>
                <w:sz w:val="24"/>
                <w:szCs w:val="24"/>
                <w:lang w:val="en-US" w:eastAsia="zh-CN"/>
              </w:rPr>
              <w:t>分</w:t>
            </w:r>
          </w:p>
        </w:tc>
        <w:tc>
          <w:tcPr>
            <w:tcW w:w="360" w:type="pct"/>
            <w:vMerge w:val="continue"/>
            <w:tcBorders>
              <w:left w:val="single" w:color="auto" w:sz="4" w:space="0"/>
              <w:right w:val="single" w:color="auto" w:sz="6" w:space="0"/>
            </w:tcBorders>
            <w:noWrap w:val="0"/>
            <w:vAlign w:val="top"/>
          </w:tcPr>
          <w:p w14:paraId="2B8D445C">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p>
        </w:tc>
      </w:tr>
      <w:tr w14:paraId="43492674">
        <w:tblPrEx>
          <w:tblCellMar>
            <w:top w:w="0" w:type="dxa"/>
            <w:left w:w="30" w:type="dxa"/>
            <w:bottom w:w="0" w:type="dxa"/>
            <w:right w:w="30" w:type="dxa"/>
          </w:tblCellMar>
        </w:tblPrEx>
        <w:trPr>
          <w:trHeight w:val="90" w:hRule="atLeast"/>
        </w:trPr>
        <w:tc>
          <w:tcPr>
            <w:tcW w:w="338" w:type="pct"/>
            <w:vMerge w:val="continue"/>
            <w:tcBorders>
              <w:left w:val="single" w:color="auto" w:sz="6" w:space="0"/>
              <w:right w:val="single" w:color="auto" w:sz="6" w:space="0"/>
            </w:tcBorders>
            <w:noWrap w:val="0"/>
            <w:vAlign w:val="top"/>
          </w:tcPr>
          <w:p w14:paraId="3D7DD3E4">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p>
        </w:tc>
        <w:tc>
          <w:tcPr>
            <w:tcW w:w="4301" w:type="pct"/>
            <w:tcBorders>
              <w:top w:val="single" w:color="auto" w:sz="6" w:space="0"/>
              <w:left w:val="single" w:color="auto" w:sz="6" w:space="0"/>
              <w:bottom w:val="single" w:color="auto" w:sz="6" w:space="0"/>
              <w:right w:val="single" w:color="auto" w:sz="6" w:space="0"/>
            </w:tcBorders>
            <w:noWrap w:val="0"/>
            <w:vAlign w:val="top"/>
          </w:tcPr>
          <w:p w14:paraId="7E8FDB10">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left="110" w:leftChars="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三.餐</w:t>
            </w:r>
            <w:r>
              <w:rPr>
                <w:rFonts w:hint="eastAsia" w:asciiTheme="minorEastAsia" w:hAnsiTheme="minorEastAsia" w:eastAsiaTheme="minorEastAsia" w:cstheme="minorEastAsia"/>
                <w:color w:val="auto"/>
                <w:kern w:val="0"/>
                <w:sz w:val="24"/>
                <w:szCs w:val="24"/>
              </w:rPr>
              <w:t>具卫生：</w:t>
            </w:r>
          </w:p>
          <w:p w14:paraId="679D64AB">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1.餐具必须清洗干净，严格按照清洗流程进行操作。发现有不到位的</w:t>
            </w:r>
            <w:r>
              <w:rPr>
                <w:rFonts w:hint="eastAsia" w:asciiTheme="minorEastAsia" w:hAnsiTheme="minorEastAsia" w:eastAsiaTheme="minorEastAsia" w:cstheme="minorEastAsia"/>
                <w:color w:val="auto"/>
                <w:kern w:val="0"/>
                <w:sz w:val="24"/>
                <w:szCs w:val="24"/>
                <w:lang w:eastAsia="zh-CN"/>
              </w:rPr>
              <w:t>或有清洁剂残留的</w:t>
            </w:r>
            <w:r>
              <w:rPr>
                <w:rFonts w:hint="eastAsia" w:asciiTheme="minorEastAsia" w:hAnsiTheme="minorEastAsia" w:eastAsiaTheme="minorEastAsia" w:cstheme="minorEastAsia"/>
                <w:color w:val="auto"/>
                <w:kern w:val="0"/>
                <w:sz w:val="24"/>
                <w:szCs w:val="24"/>
              </w:rPr>
              <w:t>，每发现一次扣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p>
          <w:p w14:paraId="25BAF04F">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2.餐具使用前必须洗净、消毒，符合国家《卫生安全法》，未经消毒的餐具不得使用。发现有不到位的，每发现一次扣</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w:t>
            </w:r>
          </w:p>
          <w:p w14:paraId="51AB206B">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3.消毒后的餐饮具必须存放在餐具专用保洁柜内备用。</w:t>
            </w:r>
            <w:r>
              <w:rPr>
                <w:rFonts w:hint="eastAsia" w:asciiTheme="minorEastAsia" w:hAnsiTheme="minorEastAsia" w:eastAsiaTheme="minorEastAsia" w:cstheme="minorEastAsia"/>
                <w:color w:val="auto"/>
                <w:kern w:val="0"/>
                <w:sz w:val="24"/>
                <w:szCs w:val="24"/>
                <w:lang w:eastAsia="zh-CN"/>
              </w:rPr>
              <w:t>餐饮具存放不规范的</w:t>
            </w:r>
            <w:r>
              <w:rPr>
                <w:rFonts w:hint="eastAsia" w:asciiTheme="minorEastAsia" w:hAnsiTheme="minorEastAsia" w:eastAsiaTheme="minorEastAsia" w:cstheme="minorEastAsia"/>
                <w:color w:val="auto"/>
                <w:kern w:val="0"/>
                <w:sz w:val="24"/>
                <w:szCs w:val="24"/>
              </w:rPr>
              <w:t>，每发现一次扣</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w:t>
            </w:r>
          </w:p>
        </w:tc>
        <w:tc>
          <w:tcPr>
            <w:tcW w:w="360" w:type="pct"/>
            <w:vMerge w:val="continue"/>
            <w:tcBorders>
              <w:left w:val="single" w:color="auto" w:sz="4" w:space="0"/>
              <w:bottom w:val="single" w:color="auto" w:sz="6" w:space="0"/>
              <w:right w:val="single" w:color="auto" w:sz="6" w:space="0"/>
            </w:tcBorders>
            <w:noWrap w:val="0"/>
            <w:vAlign w:val="top"/>
          </w:tcPr>
          <w:p w14:paraId="16D13CA8">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p>
        </w:tc>
      </w:tr>
      <w:tr w14:paraId="77AEDF20">
        <w:tblPrEx>
          <w:tblCellMar>
            <w:top w:w="0" w:type="dxa"/>
            <w:left w:w="30" w:type="dxa"/>
            <w:bottom w:w="0" w:type="dxa"/>
            <w:right w:w="30" w:type="dxa"/>
          </w:tblCellMar>
        </w:tblPrEx>
        <w:trPr>
          <w:trHeight w:val="988" w:hRule="atLeast"/>
        </w:trPr>
        <w:tc>
          <w:tcPr>
            <w:tcW w:w="338" w:type="pct"/>
            <w:vMerge w:val="continue"/>
            <w:tcBorders>
              <w:left w:val="single" w:color="auto" w:sz="6" w:space="0"/>
              <w:bottom w:val="single" w:color="auto" w:sz="4" w:space="0"/>
              <w:right w:val="single" w:color="auto" w:sz="6" w:space="0"/>
            </w:tcBorders>
            <w:noWrap w:val="0"/>
            <w:vAlign w:val="top"/>
          </w:tcPr>
          <w:p w14:paraId="39507545">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Theme="minorEastAsia" w:hAnsiTheme="minorEastAsia" w:eastAsiaTheme="minorEastAsia" w:cstheme="minorEastAsia"/>
                <w:b/>
                <w:bCs/>
                <w:color w:val="auto"/>
                <w:kern w:val="0"/>
                <w:sz w:val="24"/>
                <w:szCs w:val="24"/>
              </w:rPr>
            </w:pPr>
          </w:p>
        </w:tc>
        <w:tc>
          <w:tcPr>
            <w:tcW w:w="4301" w:type="pct"/>
            <w:tcBorders>
              <w:top w:val="single" w:color="auto" w:sz="6" w:space="0"/>
              <w:left w:val="single" w:color="auto" w:sz="6" w:space="0"/>
              <w:bottom w:val="single" w:color="auto" w:sz="4" w:space="0"/>
              <w:right w:val="single" w:color="auto" w:sz="4" w:space="0"/>
            </w:tcBorders>
            <w:noWrap w:val="0"/>
            <w:vAlign w:val="top"/>
          </w:tcPr>
          <w:p w14:paraId="2FA68F1E">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四．</w:t>
            </w:r>
            <w:r>
              <w:rPr>
                <w:rFonts w:hint="eastAsia" w:asciiTheme="minorEastAsia" w:hAnsiTheme="minorEastAsia" w:eastAsiaTheme="minorEastAsia" w:cstheme="minorEastAsia"/>
                <w:color w:val="auto"/>
                <w:kern w:val="0"/>
                <w:sz w:val="24"/>
                <w:szCs w:val="24"/>
              </w:rPr>
              <w:t>操作间卫生：</w:t>
            </w:r>
          </w:p>
          <w:p w14:paraId="6E57120F">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操作间、大厅卫生无死角。发现有不到位的，每发现一次扣</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w:t>
            </w:r>
          </w:p>
          <w:p w14:paraId="42664ACD">
            <w:pPr>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2.各种炊具、用具摆放整齐，操作台干净卫生，调料品放置有序加盖。</w:t>
            </w:r>
            <w:r>
              <w:rPr>
                <w:rFonts w:hint="eastAsia" w:asciiTheme="minorEastAsia" w:hAnsiTheme="minorEastAsia" w:eastAsiaTheme="minorEastAsia" w:cstheme="minorEastAsia"/>
                <w:color w:val="auto"/>
                <w:kern w:val="0"/>
                <w:sz w:val="24"/>
                <w:szCs w:val="24"/>
              </w:rPr>
              <w:t>发现有不到位的，每发现一次扣</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w:t>
            </w:r>
          </w:p>
          <w:p w14:paraId="44B3F7A5">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五.食品安全卫生：</w:t>
            </w:r>
          </w:p>
          <w:p w14:paraId="45FE086D">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食材储存：仓库要求清洁卫生，摆放有序，食品货架至少离墙8cm，离地22cm，以防止食品受潮或者变霉；干湿食材、罐头、瓶装酒等应分类存放，水果，乳制品，海鲜应单独存放，并分类储存，生、熟隔离分区域储存，所有食材需排列整齐，储存科学，无混放现象，仓库和冰箱的湿度、温度要符合食材储存要求，冰柜必须每周定期除霜一次；进货时，食材应加贴标签，注明</w:t>
            </w:r>
            <w:r>
              <w:rPr>
                <w:rFonts w:hint="eastAsia" w:asciiTheme="minorEastAsia" w:hAnsiTheme="minorEastAsia" w:eastAsiaTheme="minorEastAsia" w:cstheme="minorEastAsia"/>
                <w:color w:val="auto"/>
                <w:kern w:val="0"/>
                <w:sz w:val="24"/>
                <w:szCs w:val="24"/>
                <w:lang w:eastAsia="zh-CN"/>
              </w:rPr>
              <w:t>生产、</w:t>
            </w:r>
            <w:r>
              <w:rPr>
                <w:rFonts w:hint="eastAsia" w:asciiTheme="minorEastAsia" w:hAnsiTheme="minorEastAsia" w:eastAsiaTheme="minorEastAsia" w:cstheme="minorEastAsia"/>
                <w:color w:val="auto"/>
                <w:kern w:val="0"/>
                <w:sz w:val="24"/>
                <w:szCs w:val="24"/>
              </w:rPr>
              <w:t>入库日期等信息，以便掌握货品的储存期限，方便发货和盘存工作，放置货物时要有先后固定位置，做到先进先出；随时留意食材和货物的状态，以防变质，按期检查储存食品质量，发现过期食品和变质食品应及时处理。发现有不到位的，每发现一次扣</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 xml:space="preserve">；  </w:t>
            </w:r>
          </w:p>
          <w:p w14:paraId="086F795C">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2.冰箱、冰柜、保洁柜由专人管理，并经常检查和定期除霜（每周一次），柜内无异味。</w:t>
            </w:r>
            <w:r>
              <w:rPr>
                <w:rFonts w:hint="eastAsia" w:asciiTheme="minorEastAsia" w:hAnsiTheme="minorEastAsia" w:eastAsiaTheme="minorEastAsia" w:cstheme="minorEastAsia"/>
                <w:color w:val="auto"/>
                <w:kern w:val="0"/>
                <w:sz w:val="24"/>
                <w:szCs w:val="24"/>
              </w:rPr>
              <w:t>每周对仓库卫生检查一次。 确保库房通风良好、 干净整洁，符合食品储存要求。发现有不到位的，每发现一次扣</w:t>
            </w:r>
            <w:r>
              <w:rPr>
                <w:rFonts w:hint="eastAsia" w:asciiTheme="minorEastAsia" w:hAnsiTheme="minorEastAsia" w:eastAsia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分</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累计扣分无上限。</w:t>
            </w:r>
            <w:r>
              <w:rPr>
                <w:rFonts w:hint="eastAsia" w:asciiTheme="minorEastAsia" w:hAnsiTheme="minorEastAsia" w:eastAsiaTheme="minorEastAsia" w:cstheme="minorEastAsia"/>
                <w:color w:val="auto"/>
                <w:kern w:val="0"/>
                <w:sz w:val="24"/>
                <w:szCs w:val="24"/>
              </w:rPr>
              <w:t xml:space="preserve">                                     </w:t>
            </w:r>
          </w:p>
        </w:tc>
        <w:tc>
          <w:tcPr>
            <w:tcW w:w="360" w:type="pct"/>
            <w:tcBorders>
              <w:top w:val="single" w:color="auto" w:sz="6" w:space="0"/>
              <w:left w:val="single" w:color="auto" w:sz="4" w:space="0"/>
              <w:bottom w:val="single" w:color="auto" w:sz="6" w:space="0"/>
              <w:right w:val="single" w:color="auto" w:sz="6" w:space="0"/>
            </w:tcBorders>
            <w:noWrap w:val="0"/>
            <w:vAlign w:val="top"/>
          </w:tcPr>
          <w:p w14:paraId="3E12AD1F">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p>
        </w:tc>
      </w:tr>
      <w:tr w14:paraId="24F68398">
        <w:tblPrEx>
          <w:tblCellMar>
            <w:top w:w="0" w:type="dxa"/>
            <w:left w:w="30" w:type="dxa"/>
            <w:bottom w:w="0" w:type="dxa"/>
            <w:right w:w="30" w:type="dxa"/>
          </w:tblCellMar>
        </w:tblPrEx>
        <w:trPr>
          <w:trHeight w:val="889" w:hRule="atLeast"/>
        </w:trPr>
        <w:tc>
          <w:tcPr>
            <w:tcW w:w="338" w:type="pct"/>
            <w:tcBorders>
              <w:top w:val="single" w:color="auto" w:sz="4" w:space="0"/>
              <w:left w:val="single" w:color="auto" w:sz="6" w:space="0"/>
              <w:bottom w:val="single" w:color="auto" w:sz="4" w:space="0"/>
              <w:right w:val="single" w:color="auto" w:sz="6" w:space="0"/>
            </w:tcBorders>
            <w:noWrap w:val="0"/>
            <w:vAlign w:val="center"/>
          </w:tcPr>
          <w:p w14:paraId="6025BE2E">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生活垃圾</w:t>
            </w:r>
          </w:p>
        </w:tc>
        <w:tc>
          <w:tcPr>
            <w:tcW w:w="4301" w:type="pct"/>
            <w:tcBorders>
              <w:top w:val="single" w:color="auto" w:sz="4" w:space="0"/>
              <w:left w:val="single" w:color="auto" w:sz="6" w:space="0"/>
              <w:bottom w:val="single" w:color="auto" w:sz="4" w:space="0"/>
              <w:right w:val="single" w:color="auto" w:sz="4" w:space="0"/>
            </w:tcBorders>
            <w:noWrap w:val="0"/>
            <w:vAlign w:val="top"/>
          </w:tcPr>
          <w:p w14:paraId="6C08A01A">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1.各餐厅应配置专门的生活垃圾管理员，熟悉并掌握垃圾分类有关知识。没有配备懂业务的管理员，扣当月考核分值20分。</w:t>
            </w:r>
          </w:p>
          <w:p w14:paraId="3B7EAD64">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2.各投标人须在其服务的餐厅外的指定位按照垃圾分类管理要求置设分类垃圾容器，并配置标准的标识。没有按标准配置容器的，扣当月考核分值20分，没有配置标准标识的扣当月分值20分。</w:t>
            </w:r>
          </w:p>
          <w:p w14:paraId="1A44BA1A">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投标人必须严格按照垃圾分类要求挑拣生活垃圾并分类投放。厨余垃圾要做到干湿分离，不能与非厨余垃圾混投。餐厅保洁人员负责垃圾存放区域周围卫生，每天负责冲洗、清理，每天对餐厨垃圾区域进行一次消毒，必须做到地面无污水、污渍、无异味、无蚊蝇滋生、无散积垃圾。没有按标准投放垃圾的，发现一次扣20分；垃圾区域不干净、不卫生的，发现一次扣20分。</w:t>
            </w:r>
          </w:p>
          <w:p w14:paraId="6BB572BD">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4.禁止将餐厨垃圾交给未经相关部门许可或备案的餐厨垃圾收运、处理单位或个人处理。不按规定渠道交餐厨垃圾的，发现一次扣50分。</w:t>
            </w:r>
          </w:p>
          <w:p w14:paraId="5A06A1E3">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5.设置垃圾分类台账，严格按照分类标准统计每日的垃圾投放量、去向，并做好记录。不按规定设立台账并做好记录的，发现一次扣50分。</w:t>
            </w:r>
          </w:p>
        </w:tc>
        <w:tc>
          <w:tcPr>
            <w:tcW w:w="360" w:type="pct"/>
            <w:tcBorders>
              <w:top w:val="single" w:color="auto" w:sz="6" w:space="0"/>
              <w:left w:val="single" w:color="auto" w:sz="4" w:space="0"/>
              <w:bottom w:val="single" w:color="auto" w:sz="6" w:space="0"/>
              <w:right w:val="single" w:color="auto" w:sz="6" w:space="0"/>
            </w:tcBorders>
            <w:noWrap w:val="0"/>
            <w:vAlign w:val="top"/>
          </w:tcPr>
          <w:p w14:paraId="78EE71AE">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Theme="minorEastAsia" w:hAnsiTheme="minorEastAsia" w:eastAsiaTheme="minorEastAsia" w:cstheme="minorEastAsia"/>
                <w:color w:val="auto"/>
                <w:kern w:val="0"/>
                <w:sz w:val="24"/>
                <w:szCs w:val="24"/>
              </w:rPr>
            </w:pPr>
          </w:p>
        </w:tc>
      </w:tr>
    </w:tbl>
    <w:p w14:paraId="67A04D2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241" w:firstLineChars="1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就餐时间</w:t>
      </w: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857"/>
        <w:gridCol w:w="1643"/>
        <w:gridCol w:w="1730"/>
        <w:gridCol w:w="2030"/>
      </w:tblGrid>
      <w:tr w14:paraId="0A02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0" w:type="dxa"/>
            <w:vAlign w:val="center"/>
          </w:tcPr>
          <w:p w14:paraId="7D14A24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标段</w:t>
            </w:r>
          </w:p>
        </w:tc>
        <w:tc>
          <w:tcPr>
            <w:tcW w:w="2857" w:type="dxa"/>
            <w:vAlign w:val="center"/>
          </w:tcPr>
          <w:p w14:paraId="1D729969">
            <w:pPr>
              <w:keepNext w:val="0"/>
              <w:keepLines w:val="0"/>
              <w:pageBreakBefore w:val="0"/>
              <w:widowControl w:val="0"/>
              <w:kinsoku/>
              <w:wordWrap/>
              <w:overflowPunct/>
              <w:topLinePunct w:val="0"/>
              <w:autoSpaceDE w:val="0"/>
              <w:autoSpaceDN w:val="0"/>
              <w:bidi w:val="0"/>
              <w:adjustRightInd w:val="0"/>
              <w:snapToGrid/>
              <w:spacing w:line="400" w:lineRule="exact"/>
              <w:ind w:firstLine="960" w:firstLineChars="4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位置</w:t>
            </w:r>
          </w:p>
        </w:tc>
        <w:tc>
          <w:tcPr>
            <w:tcW w:w="1643" w:type="dxa"/>
            <w:vAlign w:val="center"/>
          </w:tcPr>
          <w:p w14:paraId="46DD067F">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早餐时间</w:t>
            </w:r>
          </w:p>
        </w:tc>
        <w:tc>
          <w:tcPr>
            <w:tcW w:w="1730" w:type="dxa"/>
            <w:vAlign w:val="center"/>
          </w:tcPr>
          <w:p w14:paraId="735B6D37">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午餐时间</w:t>
            </w:r>
          </w:p>
        </w:tc>
        <w:tc>
          <w:tcPr>
            <w:tcW w:w="2030" w:type="dxa"/>
            <w:vAlign w:val="center"/>
          </w:tcPr>
          <w:p w14:paraId="3D003ACA">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晚餐时间</w:t>
            </w:r>
          </w:p>
        </w:tc>
      </w:tr>
      <w:tr w14:paraId="003C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40" w:type="dxa"/>
            <w:vMerge w:val="restart"/>
            <w:vAlign w:val="center"/>
          </w:tcPr>
          <w:p w14:paraId="3C9C9DA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集中办公区</w:t>
            </w:r>
          </w:p>
        </w:tc>
        <w:tc>
          <w:tcPr>
            <w:tcW w:w="2857" w:type="dxa"/>
            <w:vAlign w:val="center"/>
          </w:tcPr>
          <w:p w14:paraId="2A33D14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为民服务中心机关食堂</w:t>
            </w:r>
          </w:p>
        </w:tc>
        <w:tc>
          <w:tcPr>
            <w:tcW w:w="1643" w:type="dxa"/>
            <w:vAlign w:val="center"/>
          </w:tcPr>
          <w:p w14:paraId="6DEF96B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7:00-9:00</w:t>
            </w:r>
          </w:p>
        </w:tc>
        <w:tc>
          <w:tcPr>
            <w:tcW w:w="1730" w:type="dxa"/>
            <w:vAlign w:val="center"/>
          </w:tcPr>
          <w:p w14:paraId="0FCF867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11:40-13:00</w:t>
            </w:r>
          </w:p>
        </w:tc>
        <w:tc>
          <w:tcPr>
            <w:tcW w:w="2030" w:type="dxa"/>
            <w:vAlign w:val="center"/>
          </w:tcPr>
          <w:p w14:paraId="72A0DAE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17:00-18:00</w:t>
            </w:r>
          </w:p>
        </w:tc>
      </w:tr>
      <w:tr w14:paraId="1912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0" w:type="dxa"/>
            <w:vMerge w:val="continue"/>
            <w:vAlign w:val="center"/>
          </w:tcPr>
          <w:p w14:paraId="1BC1BA75">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857" w:type="dxa"/>
            <w:vAlign w:val="center"/>
          </w:tcPr>
          <w:p w14:paraId="2EA9986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新洲小镇机关食堂</w:t>
            </w:r>
          </w:p>
        </w:tc>
        <w:tc>
          <w:tcPr>
            <w:tcW w:w="1643" w:type="dxa"/>
            <w:vAlign w:val="center"/>
          </w:tcPr>
          <w:p w14:paraId="1AE3DE3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7:30-8:50</w:t>
            </w:r>
          </w:p>
        </w:tc>
        <w:tc>
          <w:tcPr>
            <w:tcW w:w="1730" w:type="dxa"/>
            <w:vAlign w:val="center"/>
          </w:tcPr>
          <w:p w14:paraId="449B972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11:40-13:00</w:t>
            </w:r>
          </w:p>
        </w:tc>
        <w:tc>
          <w:tcPr>
            <w:tcW w:w="2030" w:type="dxa"/>
            <w:vAlign w:val="center"/>
          </w:tcPr>
          <w:p w14:paraId="21CBCE6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17:00-18:00</w:t>
            </w:r>
          </w:p>
        </w:tc>
      </w:tr>
      <w:tr w14:paraId="089B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0" w:type="dxa"/>
            <w:vMerge w:val="restart"/>
            <w:vAlign w:val="center"/>
          </w:tcPr>
          <w:p w14:paraId="1A1A2D8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分散办公区</w:t>
            </w:r>
          </w:p>
        </w:tc>
        <w:tc>
          <w:tcPr>
            <w:tcW w:w="2857" w:type="dxa"/>
            <w:vAlign w:val="center"/>
          </w:tcPr>
          <w:p w14:paraId="7933A6A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市公安局机关食堂</w:t>
            </w:r>
          </w:p>
        </w:tc>
        <w:tc>
          <w:tcPr>
            <w:tcW w:w="1643" w:type="dxa"/>
            <w:vMerge w:val="restart"/>
            <w:vAlign w:val="center"/>
          </w:tcPr>
          <w:p w14:paraId="08DE03B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rPr>
            </w:pPr>
            <w:r>
              <w:rPr>
                <w:rFonts w:hint="eastAsia" w:asciiTheme="minorEastAsia" w:hAnsiTheme="minorEastAsia" w:eastAsiaTheme="minorEastAsia" w:cstheme="minorEastAsia"/>
                <w:color w:val="auto"/>
                <w:sz w:val="24"/>
                <w:szCs w:val="24"/>
              </w:rPr>
              <w:t>7:00—8:00</w:t>
            </w:r>
          </w:p>
        </w:tc>
        <w:tc>
          <w:tcPr>
            <w:tcW w:w="1730" w:type="dxa"/>
            <w:vMerge w:val="restart"/>
            <w:vAlign w:val="center"/>
          </w:tcPr>
          <w:p w14:paraId="5184BF1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rPr>
            </w:pPr>
            <w:r>
              <w:rPr>
                <w:rFonts w:hint="eastAsia" w:asciiTheme="minorEastAsia" w:hAnsiTheme="minorEastAsia" w:eastAsiaTheme="minorEastAsia" w:cstheme="minorEastAsia"/>
                <w:color w:val="auto"/>
                <w:sz w:val="24"/>
                <w:szCs w:val="24"/>
              </w:rPr>
              <w:t>11:40—13:00</w:t>
            </w:r>
          </w:p>
        </w:tc>
        <w:tc>
          <w:tcPr>
            <w:tcW w:w="2030" w:type="dxa"/>
            <w:vMerge w:val="restart"/>
            <w:vAlign w:val="center"/>
          </w:tcPr>
          <w:p w14:paraId="2597989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rPr>
            </w:pPr>
            <w:r>
              <w:rPr>
                <w:rFonts w:hint="eastAsia" w:asciiTheme="minorEastAsia" w:hAnsiTheme="minorEastAsia" w:eastAsiaTheme="minorEastAsia" w:cstheme="minorEastAsia"/>
                <w:color w:val="auto"/>
                <w:sz w:val="24"/>
                <w:szCs w:val="24"/>
              </w:rPr>
              <w:t>17:40—19:00</w:t>
            </w:r>
          </w:p>
        </w:tc>
      </w:tr>
      <w:tr w14:paraId="61B2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0226F8DC">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857" w:type="dxa"/>
            <w:vAlign w:val="center"/>
          </w:tcPr>
          <w:p w14:paraId="136D980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r>
              <w:rPr>
                <w:rFonts w:hint="eastAsia" w:asciiTheme="minorEastAsia" w:hAnsiTheme="minorEastAsia" w:eastAsiaTheme="minorEastAsia" w:cstheme="minorEastAsia"/>
                <w:b w:val="0"/>
                <w:bCs w:val="0"/>
                <w:color w:val="auto"/>
                <w:sz w:val="24"/>
                <w:szCs w:val="24"/>
                <w:vertAlign w:val="baseline"/>
                <w:lang w:val="en-US" w:eastAsia="zh-CN"/>
              </w:rPr>
              <w:t>市检察院机关食堂</w:t>
            </w:r>
          </w:p>
        </w:tc>
        <w:tc>
          <w:tcPr>
            <w:tcW w:w="1643" w:type="dxa"/>
            <w:vMerge w:val="continue"/>
            <w:vAlign w:val="center"/>
          </w:tcPr>
          <w:p w14:paraId="65825F0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c>
          <w:tcPr>
            <w:tcW w:w="1730" w:type="dxa"/>
            <w:vMerge w:val="continue"/>
            <w:vAlign w:val="center"/>
          </w:tcPr>
          <w:p w14:paraId="554BD58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c>
          <w:tcPr>
            <w:tcW w:w="2030" w:type="dxa"/>
            <w:vMerge w:val="continue"/>
            <w:vAlign w:val="center"/>
          </w:tcPr>
          <w:p w14:paraId="4B2111A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r>
      <w:tr w14:paraId="343A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5187F9D3">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857" w:type="dxa"/>
            <w:vAlign w:val="center"/>
          </w:tcPr>
          <w:p w14:paraId="0C83D26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r>
              <w:rPr>
                <w:rFonts w:hint="eastAsia" w:asciiTheme="minorEastAsia" w:hAnsiTheme="minorEastAsia" w:eastAsiaTheme="minorEastAsia" w:cstheme="minorEastAsia"/>
                <w:b w:val="0"/>
                <w:bCs w:val="0"/>
                <w:color w:val="auto"/>
                <w:sz w:val="24"/>
                <w:szCs w:val="24"/>
                <w:vertAlign w:val="baseline"/>
                <w:lang w:val="en-US" w:eastAsia="zh-CN"/>
              </w:rPr>
              <w:t>市法院机关食堂</w:t>
            </w:r>
          </w:p>
        </w:tc>
        <w:tc>
          <w:tcPr>
            <w:tcW w:w="1643" w:type="dxa"/>
            <w:vMerge w:val="continue"/>
            <w:vAlign w:val="center"/>
          </w:tcPr>
          <w:p w14:paraId="704D665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c>
          <w:tcPr>
            <w:tcW w:w="1730" w:type="dxa"/>
            <w:vMerge w:val="continue"/>
            <w:vAlign w:val="center"/>
          </w:tcPr>
          <w:p w14:paraId="4DA9918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c>
          <w:tcPr>
            <w:tcW w:w="2030" w:type="dxa"/>
            <w:vMerge w:val="continue"/>
            <w:vAlign w:val="center"/>
          </w:tcPr>
          <w:p w14:paraId="757F3ED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p>
        </w:tc>
      </w:tr>
      <w:tr w14:paraId="57E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704D911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857" w:type="dxa"/>
            <w:vAlign w:val="center"/>
          </w:tcPr>
          <w:p w14:paraId="6C23E8A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szCs w:val="24"/>
                <w:vertAlign w:val="baseline"/>
              </w:rPr>
            </w:pPr>
            <w:r>
              <w:rPr>
                <w:rFonts w:hint="eastAsia" w:asciiTheme="minorEastAsia" w:hAnsiTheme="minorEastAsia" w:eastAsiaTheme="minorEastAsia" w:cstheme="minorEastAsia"/>
                <w:b w:val="0"/>
                <w:bCs w:val="0"/>
                <w:color w:val="auto"/>
                <w:sz w:val="24"/>
                <w:szCs w:val="24"/>
                <w:vertAlign w:val="baseline"/>
                <w:lang w:val="en-US" w:eastAsia="zh-CN"/>
              </w:rPr>
              <w:t>市司法局机关食堂</w:t>
            </w:r>
          </w:p>
        </w:tc>
        <w:tc>
          <w:tcPr>
            <w:tcW w:w="1643" w:type="dxa"/>
            <w:vMerge w:val="continue"/>
            <w:vAlign w:val="center"/>
          </w:tcPr>
          <w:p w14:paraId="7C720A2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730" w:type="dxa"/>
            <w:vMerge w:val="continue"/>
            <w:vAlign w:val="center"/>
          </w:tcPr>
          <w:p w14:paraId="103F4C2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030" w:type="dxa"/>
            <w:vMerge w:val="continue"/>
            <w:vAlign w:val="center"/>
          </w:tcPr>
          <w:p w14:paraId="196198F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sz w:val="24"/>
                <w:szCs w:val="24"/>
              </w:rPr>
            </w:pPr>
          </w:p>
        </w:tc>
      </w:tr>
    </w:tbl>
    <w:p w14:paraId="2DD90AB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就</w:t>
      </w:r>
      <w:r>
        <w:rPr>
          <w:rFonts w:hint="eastAsia" w:asciiTheme="minorEastAsia" w:hAnsiTheme="minorEastAsia" w:eastAsiaTheme="minorEastAsia" w:cstheme="minorEastAsia"/>
          <w:color w:val="auto"/>
          <w:sz w:val="24"/>
          <w:szCs w:val="24"/>
        </w:rPr>
        <w:t>餐时间</w:t>
      </w:r>
      <w:r>
        <w:rPr>
          <w:rFonts w:hint="eastAsia" w:asciiTheme="minorEastAsia" w:hAnsiTheme="minorEastAsia" w:eastAsiaTheme="minorEastAsia" w:cstheme="minorEastAsia"/>
          <w:color w:val="auto"/>
          <w:sz w:val="24"/>
          <w:szCs w:val="24"/>
          <w:lang w:eastAsia="zh-CN"/>
        </w:rPr>
        <w:t>如有调整，</w:t>
      </w:r>
      <w:r>
        <w:rPr>
          <w:rFonts w:hint="eastAsia" w:asciiTheme="minorEastAsia" w:hAnsiTheme="minorEastAsia" w:eastAsiaTheme="minorEastAsia" w:cstheme="minorEastAsia"/>
          <w:color w:val="auto"/>
          <w:sz w:val="24"/>
          <w:szCs w:val="24"/>
          <w:lang w:val="en-US" w:eastAsia="zh-CN"/>
        </w:rPr>
        <w:t>按照集中办公区按采购人、分散办公区按使用方</w:t>
      </w:r>
      <w:r>
        <w:rPr>
          <w:rFonts w:hint="eastAsia" w:asciiTheme="minorEastAsia" w:hAnsiTheme="minorEastAsia" w:eastAsiaTheme="minorEastAsia" w:cstheme="minorEastAsia"/>
          <w:color w:val="auto"/>
          <w:sz w:val="24"/>
          <w:szCs w:val="24"/>
        </w:rPr>
        <w:t>通知要求</w:t>
      </w:r>
      <w:r>
        <w:rPr>
          <w:rFonts w:hint="eastAsia" w:asciiTheme="minorEastAsia" w:hAnsiTheme="minorEastAsia" w:eastAsiaTheme="minorEastAsia" w:cstheme="minorEastAsia"/>
          <w:color w:val="auto"/>
          <w:sz w:val="24"/>
          <w:szCs w:val="24"/>
          <w:lang w:eastAsia="zh-CN"/>
        </w:rPr>
        <w:t>执行。</w:t>
      </w:r>
      <w:r>
        <w:rPr>
          <w:rFonts w:hint="eastAsia" w:asciiTheme="minorEastAsia" w:hAnsiTheme="minorEastAsia" w:eastAsiaTheme="minorEastAsia" w:cstheme="minorEastAsia"/>
          <w:color w:val="auto"/>
          <w:sz w:val="24"/>
          <w:szCs w:val="24"/>
        </w:rPr>
        <w:t>节假日期间，</w:t>
      </w:r>
      <w:r>
        <w:rPr>
          <w:rFonts w:hint="eastAsia" w:asciiTheme="minorEastAsia" w:hAnsiTheme="minorEastAsia" w:eastAsiaTheme="minorEastAsia" w:cstheme="minorEastAsia"/>
          <w:color w:val="auto"/>
          <w:sz w:val="24"/>
          <w:szCs w:val="24"/>
          <w:lang w:eastAsia="zh-CN"/>
        </w:rPr>
        <w:t>开设值班餐厅</w:t>
      </w:r>
      <w:r>
        <w:rPr>
          <w:rFonts w:hint="eastAsia" w:asciiTheme="minorEastAsia" w:hAnsiTheme="minorEastAsia" w:eastAsiaTheme="minorEastAsia" w:cstheme="minorEastAsia"/>
          <w:color w:val="auto"/>
          <w:sz w:val="24"/>
          <w:szCs w:val="24"/>
        </w:rPr>
        <w:t>。餐厅如有接待任务，须做好保障服务</w:t>
      </w:r>
      <w:r>
        <w:rPr>
          <w:rFonts w:hint="eastAsia" w:asciiTheme="minorEastAsia" w:hAnsiTheme="minorEastAsia" w:eastAsiaTheme="minorEastAsia" w:cstheme="minorEastAsia"/>
          <w:color w:val="auto"/>
          <w:sz w:val="24"/>
          <w:szCs w:val="24"/>
          <w:lang w:eastAsia="zh-CN"/>
        </w:rPr>
        <w:t>。</w:t>
      </w:r>
    </w:p>
    <w:p w14:paraId="43F8AAE6">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 xml:space="preserve">托管要求 </w:t>
      </w:r>
      <w:r>
        <w:rPr>
          <w:rFonts w:hint="eastAsia" w:asciiTheme="minorEastAsia" w:hAnsiTheme="minorEastAsia" w:eastAsiaTheme="minorEastAsia" w:cstheme="minorEastAsia"/>
          <w:color w:val="auto"/>
          <w:sz w:val="24"/>
          <w:szCs w:val="24"/>
        </w:rPr>
        <w:t> </w:t>
      </w:r>
    </w:p>
    <w:p w14:paraId="618A8149">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vertAlign w:val="baseline"/>
          <w:lang w:eastAsia="zh-CN"/>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必须严格遵守</w:t>
      </w:r>
      <w:r>
        <w:rPr>
          <w:rFonts w:hint="eastAsia" w:asciiTheme="minorEastAsia" w:hAnsiTheme="minorEastAsia" w:eastAsiaTheme="minorEastAsia" w:cstheme="minorEastAsia"/>
          <w:color w:val="auto"/>
          <w:sz w:val="24"/>
          <w:szCs w:val="24"/>
          <w:lang w:val="en-US" w:eastAsia="zh-CN"/>
        </w:rPr>
        <w:t>《中华人民共和国食品安全法》《中华人民共和国反食品浪费法》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中华人民共和国环境保护法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《餐饮服务食品安全监督管理办法》《陕西省机关食堂反食品浪费工作成效评价标准》</w:t>
      </w:r>
      <w:r>
        <w:rPr>
          <w:rFonts w:hint="eastAsia" w:asciiTheme="minorEastAsia" w:hAnsiTheme="minorEastAsia" w:eastAsiaTheme="minorEastAsia" w:cstheme="minorEastAsia"/>
          <w:color w:val="auto"/>
          <w:sz w:val="24"/>
          <w:szCs w:val="24"/>
        </w:rPr>
        <w:t>和有关集体用餐卫生管理等相关规定。</w:t>
      </w:r>
      <w:r>
        <w:rPr>
          <w:rFonts w:hint="eastAsia" w:asciiTheme="minorEastAsia" w:hAnsiTheme="minorEastAsia" w:eastAsiaTheme="minorEastAsia" w:cstheme="minorEastAsia"/>
          <w:color w:val="auto"/>
          <w:sz w:val="24"/>
          <w:szCs w:val="24"/>
          <w:lang w:eastAsia="zh-CN"/>
        </w:rPr>
        <w:t>必须严格按照（</w:t>
      </w:r>
      <w:r>
        <w:rPr>
          <w:rFonts w:hint="eastAsia" w:asciiTheme="minorEastAsia" w:hAnsiTheme="minorEastAsia" w:eastAsiaTheme="minorEastAsia" w:cstheme="minorEastAsia"/>
          <w:color w:val="auto"/>
          <w:sz w:val="24"/>
          <w:szCs w:val="24"/>
          <w:lang w:val="en-US" w:eastAsia="zh-CN"/>
        </w:rPr>
        <w:t>GB/T19001－2016/ISO9001：2015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餐饮服务类质量管理体系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ISO22000：2018</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食品安全管理体系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GB/T45001－2020/ISO45001：2018</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职业健康安全管理体系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GB/T24001－2016/ISO14001：2015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餐饮服务类环境管理体系认证</w:t>
      </w:r>
      <w:r>
        <w:rPr>
          <w:rFonts w:hint="eastAsia" w:asciiTheme="minorEastAsia" w:hAnsiTheme="minorEastAsia" w:eastAsiaTheme="minorEastAsia" w:cstheme="minorEastAsia"/>
          <w:color w:val="auto"/>
          <w:sz w:val="24"/>
          <w:szCs w:val="24"/>
          <w:lang w:eastAsia="zh-CN"/>
        </w:rPr>
        <w:t>标准组织生产经营活动。</w:t>
      </w:r>
      <w:r>
        <w:rPr>
          <w:rFonts w:hint="eastAsia" w:asciiTheme="minorEastAsia" w:hAnsiTheme="minorEastAsia" w:eastAsiaTheme="minorEastAsia" w:cstheme="minorEastAsia"/>
          <w:color w:val="auto"/>
          <w:sz w:val="24"/>
          <w:szCs w:val="24"/>
        </w:rPr>
        <w:t>严格遵守</w:t>
      </w:r>
      <w:r>
        <w:rPr>
          <w:rFonts w:hint="eastAsia" w:asciiTheme="minorEastAsia" w:hAnsiTheme="minorEastAsia" w:eastAsiaTheme="minorEastAsia" w:cstheme="minorEastAsia"/>
          <w:color w:val="auto"/>
          <w:sz w:val="24"/>
          <w:szCs w:val="24"/>
          <w:lang w:val="en-US" w:eastAsia="zh-CN"/>
        </w:rPr>
        <w:t>集中办公区的采购人、分散办公区的使用方</w:t>
      </w:r>
      <w:r>
        <w:rPr>
          <w:rFonts w:hint="eastAsia" w:asciiTheme="minorEastAsia" w:hAnsiTheme="minorEastAsia" w:eastAsiaTheme="minorEastAsia" w:cstheme="minorEastAsia"/>
          <w:color w:val="auto"/>
          <w:sz w:val="24"/>
          <w:szCs w:val="24"/>
        </w:rPr>
        <w:t>规章制度并自觉接受机关干部职工对餐厅饭菜、服务质量的监督和评估。合同期内，餐厅的消防</w:t>
      </w:r>
      <w:r>
        <w:rPr>
          <w:rFonts w:hint="eastAsia" w:asciiTheme="minorEastAsia" w:hAnsiTheme="minorEastAsia" w:eastAsiaTheme="minorEastAsia" w:cstheme="minorEastAsia"/>
          <w:color w:val="auto"/>
          <w:sz w:val="24"/>
          <w:szCs w:val="24"/>
          <w:lang w:eastAsia="zh-CN"/>
        </w:rPr>
        <w:t>安全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食品</w:t>
      </w:r>
      <w:r>
        <w:rPr>
          <w:rFonts w:hint="eastAsia" w:asciiTheme="minorEastAsia" w:hAnsiTheme="minorEastAsia" w:eastAsiaTheme="minorEastAsia" w:cstheme="minorEastAsia"/>
          <w:color w:val="auto"/>
          <w:sz w:val="24"/>
          <w:szCs w:val="24"/>
        </w:rPr>
        <w:t>安全、</w:t>
      </w:r>
      <w:r>
        <w:rPr>
          <w:rFonts w:hint="eastAsia" w:asciiTheme="minorEastAsia" w:hAnsiTheme="minorEastAsia" w:eastAsiaTheme="minorEastAsia" w:cstheme="minorEastAsia"/>
          <w:color w:val="auto"/>
          <w:sz w:val="24"/>
          <w:szCs w:val="24"/>
          <w:lang w:eastAsia="zh-CN"/>
        </w:rPr>
        <w:t>食品和环境</w:t>
      </w:r>
      <w:r>
        <w:rPr>
          <w:rFonts w:hint="eastAsia" w:asciiTheme="minorEastAsia" w:hAnsiTheme="minorEastAsia" w:eastAsiaTheme="minorEastAsia" w:cstheme="minorEastAsia"/>
          <w:color w:val="auto"/>
          <w:sz w:val="24"/>
          <w:szCs w:val="24"/>
        </w:rPr>
        <w:t>卫生、环境建设由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负责</w:t>
      </w:r>
      <w:r>
        <w:rPr>
          <w:rFonts w:hint="eastAsia" w:asciiTheme="minorEastAsia" w:hAnsiTheme="minorEastAsia" w:eastAsiaTheme="minorEastAsia" w:cstheme="minorEastAsia"/>
          <w:color w:val="auto"/>
          <w:sz w:val="24"/>
          <w:szCs w:val="24"/>
          <w:lang w:eastAsia="zh-CN"/>
        </w:rPr>
        <w:t>，在职责范围内履行反食品浪费、创建健康餐厅、创建安全文明餐厅等职责。</w:t>
      </w:r>
    </w:p>
    <w:p w14:paraId="1E80D00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US" w:eastAsia="zh-CN"/>
        </w:rPr>
        <w:t>1.人员配备及管理：供应商必须按照《餐厅定岗定员一览表》配足配齐配优各餐厅从业人员，</w:t>
      </w:r>
      <w:r>
        <w:rPr>
          <w:rFonts w:hint="eastAsia" w:asciiTheme="minorEastAsia" w:hAnsiTheme="minorEastAsia" w:eastAsiaTheme="minorEastAsia" w:cstheme="minorEastAsia"/>
          <w:color w:val="auto"/>
          <w:sz w:val="24"/>
          <w:szCs w:val="24"/>
          <w:lang w:val="en-US" w:eastAsia="zh-CN"/>
        </w:rPr>
        <w:t>集中办公区报采购人、分散办公区报使用方</w:t>
      </w:r>
      <w:r>
        <w:rPr>
          <w:rFonts w:hint="eastAsia" w:asciiTheme="minorEastAsia" w:hAnsiTheme="minorEastAsia" w:eastAsiaTheme="minorEastAsia" w:cstheme="minorEastAsia"/>
          <w:color w:val="auto"/>
          <w:sz w:val="24"/>
          <w:szCs w:val="24"/>
          <w:u w:val="none" w:color="auto"/>
          <w:lang w:val="en-US" w:eastAsia="zh-CN"/>
        </w:rPr>
        <w:t>备案。</w:t>
      </w:r>
      <w:r>
        <w:rPr>
          <w:rFonts w:hint="eastAsia" w:asciiTheme="minorEastAsia" w:hAnsiTheme="minorEastAsia" w:eastAsiaTheme="minorEastAsia" w:cstheme="minorEastAsia"/>
          <w:color w:val="auto"/>
          <w:sz w:val="24"/>
          <w:szCs w:val="24"/>
          <w:u w:val="none" w:color="auto"/>
        </w:rPr>
        <w:t>所有工作人员必须持有效的健康证</w:t>
      </w:r>
      <w:r>
        <w:rPr>
          <w:rFonts w:hint="eastAsia" w:asciiTheme="minorEastAsia" w:hAnsiTheme="minorEastAsia" w:eastAsia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sz w:val="24"/>
          <w:szCs w:val="24"/>
          <w:u w:val="none" w:color="auto"/>
          <w:lang w:val="en-US" w:eastAsia="zh-CN"/>
        </w:rPr>
        <w:t>提供无犯罪记录证明</w:t>
      </w:r>
      <w:r>
        <w:rPr>
          <w:rFonts w:hint="eastAsia" w:asciiTheme="minorEastAsia" w:hAnsiTheme="minorEastAsia" w:eastAsiaTheme="minorEastAsia" w:cstheme="minorEastAsia"/>
          <w:color w:val="auto"/>
          <w:sz w:val="24"/>
          <w:szCs w:val="24"/>
          <w:u w:val="none" w:color="auto"/>
        </w:rPr>
        <w:t>方能上岗</w:t>
      </w:r>
      <w:r>
        <w:rPr>
          <w:rFonts w:hint="eastAsia" w:asciiTheme="minorEastAsia" w:hAnsiTheme="minorEastAsia" w:eastAsiaTheme="minorEastAsia" w:cstheme="minorEastAsia"/>
          <w:color w:val="auto"/>
          <w:sz w:val="24"/>
          <w:szCs w:val="24"/>
          <w:u w:val="none" w:color="auto"/>
          <w:lang w:eastAsia="zh-CN"/>
        </w:rPr>
        <w:t>。厨师、营</w:t>
      </w:r>
      <w:r>
        <w:rPr>
          <w:rFonts w:hint="eastAsia" w:asciiTheme="minorEastAsia" w:hAnsiTheme="minorEastAsia" w:eastAsiaTheme="minorEastAsia" w:cstheme="minorEastAsia"/>
          <w:color w:val="auto"/>
          <w:sz w:val="24"/>
          <w:szCs w:val="24"/>
          <w:u w:val="none" w:color="auto"/>
          <w:lang w:val="en-US" w:eastAsia="zh-CN"/>
        </w:rPr>
        <w:t>养师、</w:t>
      </w:r>
      <w:r>
        <w:rPr>
          <w:rFonts w:hint="eastAsia" w:asciiTheme="minorEastAsia" w:hAnsiTheme="minorEastAsia" w:eastAsiaTheme="minorEastAsia" w:cstheme="minorEastAsia"/>
          <w:color w:val="auto"/>
          <w:sz w:val="24"/>
          <w:szCs w:val="24"/>
          <w:u w:val="none" w:color="auto"/>
          <w:lang w:eastAsia="zh-CN"/>
        </w:rPr>
        <w:t>安全员须持</w:t>
      </w:r>
      <w:r>
        <w:rPr>
          <w:rFonts w:hint="eastAsia" w:asciiTheme="minorEastAsia" w:hAnsiTheme="minorEastAsia" w:eastAsiaTheme="minorEastAsia" w:cstheme="minorEastAsia"/>
          <w:color w:val="auto"/>
          <w:sz w:val="24"/>
          <w:szCs w:val="24"/>
          <w:u w:val="none" w:color="auto"/>
          <w:lang w:val="en-US" w:eastAsia="zh-CN"/>
        </w:rPr>
        <w:t>有相应的劳动技能等级证或证书。</w:t>
      </w:r>
      <w:r>
        <w:rPr>
          <w:rFonts w:hint="eastAsia" w:asciiTheme="minorEastAsia" w:hAnsiTheme="minorEastAsia" w:eastAsiaTheme="minorEastAsia" w:cstheme="minorEastAsia"/>
          <w:b w:val="0"/>
          <w:bCs w:val="0"/>
          <w:color w:val="auto"/>
          <w:kern w:val="0"/>
          <w:sz w:val="24"/>
          <w:szCs w:val="24"/>
          <w:lang w:val="en-US" w:eastAsia="zh-CN" w:bidi="ar"/>
        </w:rPr>
        <w:t>实际驻场的经理或总管（厨师长）具有营养师资格证的，可兼职负责本项目的营养膳食工作。前厅服务人员年龄不超过45岁，其他人员年龄，男的不超过55岁、女的不超过50岁。投标人必须对新进服务人员进行培训考核，在确认其具备基本的服务礼仪和能力时方可安排岗位，每季度至少对服务人员培训1次，并留存培训内容待查；厨师每季度采用“走出去或请进来”进行厨艺交流学习，提高技能水平。</w:t>
      </w:r>
      <w:r>
        <w:rPr>
          <w:rFonts w:hint="eastAsia" w:asciiTheme="minorEastAsia" w:hAnsiTheme="minorEastAsia" w:eastAsiaTheme="minorEastAsia" w:cstheme="minorEastAsia"/>
          <w:color w:val="auto"/>
          <w:sz w:val="24"/>
          <w:szCs w:val="24"/>
          <w:u w:val="none" w:color="auto"/>
          <w:lang w:val="en-US" w:eastAsia="zh-CN"/>
        </w:rPr>
        <w:t>应配备专业财务人员，指定专人负责在每月月初及时办理上月营业收入支付手续。严格落实员工备案制，及时向</w:t>
      </w:r>
      <w:r>
        <w:rPr>
          <w:rFonts w:hint="eastAsia" w:asciiTheme="minorEastAsia" w:hAnsiTheme="minorEastAsia" w:eastAsiaTheme="minorEastAsia" w:cstheme="minorEastAsia"/>
          <w:color w:val="auto"/>
          <w:sz w:val="24"/>
          <w:szCs w:val="24"/>
          <w:lang w:val="en-US" w:eastAsia="zh-CN"/>
        </w:rPr>
        <w:t>集中办公区报采购人、分散办公区报使用方</w:t>
      </w:r>
      <w:r>
        <w:rPr>
          <w:rFonts w:hint="eastAsia" w:asciiTheme="minorEastAsia" w:hAnsiTheme="minorEastAsia" w:eastAsiaTheme="minorEastAsia" w:cstheme="minorEastAsia"/>
          <w:color w:val="auto"/>
          <w:sz w:val="24"/>
          <w:szCs w:val="24"/>
          <w:u w:val="none" w:color="auto"/>
          <w:lang w:val="en-US" w:eastAsia="zh-CN"/>
        </w:rPr>
        <w:t>员工基本情况和人员变动情况。要严格落实国家关于支付劳动报酬的有关政策，按月向员工及时足额支付工资。</w:t>
      </w:r>
    </w:p>
    <w:p w14:paraId="00C270B3">
      <w:pPr>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560" w:lineRule="exact"/>
        <w:ind w:left="210" w:leftChars="100" w:right="210" w:rightChars="100" w:firstLine="2400" w:firstLineChars="1000"/>
        <w:jc w:val="both"/>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US" w:eastAsia="zh-CN"/>
        </w:rPr>
        <w:t>餐厅定岗定员一览表</w:t>
      </w:r>
    </w:p>
    <w:p w14:paraId="7F86B661">
      <w:pPr>
        <w:keepNext w:val="0"/>
        <w:keepLines w:val="0"/>
        <w:pageBreakBefore w:val="0"/>
        <w:widowControl w:val="0"/>
        <w:numPr>
          <w:ilvl w:val="0"/>
          <w:numId w:val="0"/>
        </w:numPr>
        <w:wordWrap/>
        <w:overflowPunct/>
        <w:topLinePunct w:val="0"/>
        <w:autoSpaceDE w:val="0"/>
        <w:autoSpaceDN w:val="0"/>
        <w:bidi w:val="0"/>
        <w:adjustRightInd w:val="0"/>
        <w:spacing w:line="560" w:lineRule="exact"/>
        <w:ind w:firstLine="240" w:firstLineChars="1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（1）集中办公区：</w:t>
      </w:r>
    </w:p>
    <w:tbl>
      <w:tblPr>
        <w:tblStyle w:val="23"/>
        <w:tblpPr w:leftFromText="180" w:rightFromText="180" w:vertAnchor="text" w:horzAnchor="page" w:tblpX="1725" w:tblpY="1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145"/>
        <w:gridCol w:w="1023"/>
        <w:gridCol w:w="4"/>
        <w:gridCol w:w="1067"/>
        <w:gridCol w:w="4"/>
        <w:gridCol w:w="894"/>
        <w:gridCol w:w="4"/>
        <w:gridCol w:w="1025"/>
        <w:gridCol w:w="4"/>
        <w:gridCol w:w="881"/>
        <w:gridCol w:w="4"/>
        <w:gridCol w:w="839"/>
      </w:tblGrid>
      <w:tr w14:paraId="4DF7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vMerge w:val="restart"/>
            <w:noWrap w:val="0"/>
            <w:vAlign w:val="center"/>
          </w:tcPr>
          <w:p w14:paraId="6BD77C5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人员配置</w:t>
            </w:r>
          </w:p>
        </w:tc>
        <w:tc>
          <w:tcPr>
            <w:tcW w:w="628" w:type="pct"/>
            <w:vMerge w:val="restart"/>
            <w:noWrap w:val="0"/>
            <w:vAlign w:val="center"/>
          </w:tcPr>
          <w:p w14:paraId="5ADCFAC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新洲小镇</w:t>
            </w:r>
          </w:p>
        </w:tc>
        <w:tc>
          <w:tcPr>
            <w:tcW w:w="3155" w:type="pct"/>
            <w:gridSpan w:val="11"/>
            <w:noWrap w:val="0"/>
            <w:vAlign w:val="center"/>
          </w:tcPr>
          <w:p w14:paraId="74727A6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为民服务中心</w:t>
            </w:r>
          </w:p>
        </w:tc>
      </w:tr>
      <w:tr w14:paraId="32AD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vMerge w:val="continue"/>
            <w:noWrap w:val="0"/>
            <w:vAlign w:val="center"/>
          </w:tcPr>
          <w:p w14:paraId="30BF117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628" w:type="pct"/>
            <w:vMerge w:val="continue"/>
            <w:noWrap w:val="0"/>
            <w:vAlign w:val="center"/>
          </w:tcPr>
          <w:p w14:paraId="60A945A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p>
        </w:tc>
        <w:tc>
          <w:tcPr>
            <w:tcW w:w="561" w:type="pct"/>
            <w:noWrap w:val="0"/>
            <w:vAlign w:val="center"/>
          </w:tcPr>
          <w:p w14:paraId="44EDF1B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1号</w:t>
            </w:r>
          </w:p>
        </w:tc>
        <w:tc>
          <w:tcPr>
            <w:tcW w:w="586" w:type="pct"/>
            <w:gridSpan w:val="2"/>
            <w:noWrap w:val="0"/>
            <w:vAlign w:val="center"/>
          </w:tcPr>
          <w:p w14:paraId="032C30D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6号</w:t>
            </w:r>
          </w:p>
        </w:tc>
        <w:tc>
          <w:tcPr>
            <w:tcW w:w="493" w:type="pct"/>
            <w:gridSpan w:val="2"/>
            <w:noWrap w:val="0"/>
            <w:vAlign w:val="center"/>
          </w:tcPr>
          <w:p w14:paraId="0533638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2号</w:t>
            </w:r>
          </w:p>
        </w:tc>
        <w:tc>
          <w:tcPr>
            <w:tcW w:w="565" w:type="pct"/>
            <w:gridSpan w:val="2"/>
            <w:noWrap w:val="0"/>
            <w:vAlign w:val="center"/>
          </w:tcPr>
          <w:p w14:paraId="4090F01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4号</w:t>
            </w:r>
          </w:p>
        </w:tc>
        <w:tc>
          <w:tcPr>
            <w:tcW w:w="485" w:type="pct"/>
            <w:gridSpan w:val="2"/>
            <w:noWrap w:val="0"/>
            <w:vAlign w:val="center"/>
          </w:tcPr>
          <w:p w14:paraId="1759B7B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5号</w:t>
            </w:r>
          </w:p>
        </w:tc>
        <w:tc>
          <w:tcPr>
            <w:tcW w:w="463" w:type="pct"/>
            <w:gridSpan w:val="2"/>
            <w:noWrap w:val="0"/>
            <w:vAlign w:val="center"/>
          </w:tcPr>
          <w:p w14:paraId="0FC258D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3号</w:t>
            </w:r>
          </w:p>
        </w:tc>
      </w:tr>
      <w:tr w14:paraId="6B12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7DD98A0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经理</w:t>
            </w:r>
          </w:p>
        </w:tc>
        <w:tc>
          <w:tcPr>
            <w:tcW w:w="628" w:type="pct"/>
            <w:vMerge w:val="restart"/>
            <w:noWrap w:val="0"/>
            <w:vAlign w:val="center"/>
          </w:tcPr>
          <w:p w14:paraId="652794D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3155" w:type="pct"/>
            <w:gridSpan w:val="11"/>
            <w:noWrap w:val="0"/>
            <w:vAlign w:val="center"/>
          </w:tcPr>
          <w:p w14:paraId="12DC329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21DA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4C916E8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总管（厨师长）</w:t>
            </w:r>
          </w:p>
        </w:tc>
        <w:tc>
          <w:tcPr>
            <w:tcW w:w="628" w:type="pct"/>
            <w:vMerge w:val="continue"/>
            <w:noWrap w:val="0"/>
            <w:vAlign w:val="center"/>
          </w:tcPr>
          <w:p w14:paraId="37463AA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564" w:type="pct"/>
            <w:gridSpan w:val="2"/>
            <w:noWrap w:val="0"/>
            <w:vAlign w:val="center"/>
          </w:tcPr>
          <w:p w14:paraId="512D5FC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86" w:type="pct"/>
            <w:gridSpan w:val="2"/>
            <w:noWrap w:val="0"/>
            <w:vAlign w:val="center"/>
          </w:tcPr>
          <w:p w14:paraId="25E342B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93" w:type="pct"/>
            <w:gridSpan w:val="2"/>
            <w:noWrap w:val="0"/>
            <w:vAlign w:val="center"/>
          </w:tcPr>
          <w:p w14:paraId="2CB5B57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1DA7160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4601769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0" w:type="pct"/>
            <w:noWrap w:val="0"/>
            <w:vAlign w:val="center"/>
          </w:tcPr>
          <w:p w14:paraId="6F13142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77CD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40DD464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前厅（服务员）</w:t>
            </w:r>
          </w:p>
        </w:tc>
        <w:tc>
          <w:tcPr>
            <w:tcW w:w="628" w:type="pct"/>
            <w:noWrap w:val="0"/>
            <w:vAlign w:val="center"/>
          </w:tcPr>
          <w:p w14:paraId="6BFE513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5</w:t>
            </w:r>
          </w:p>
        </w:tc>
        <w:tc>
          <w:tcPr>
            <w:tcW w:w="561" w:type="pct"/>
            <w:noWrap w:val="0"/>
            <w:vAlign w:val="center"/>
          </w:tcPr>
          <w:p w14:paraId="713B7D1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9</w:t>
            </w:r>
          </w:p>
        </w:tc>
        <w:tc>
          <w:tcPr>
            <w:tcW w:w="586" w:type="pct"/>
            <w:gridSpan w:val="2"/>
            <w:noWrap w:val="0"/>
            <w:vAlign w:val="center"/>
          </w:tcPr>
          <w:p w14:paraId="7FC6B95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6</w:t>
            </w:r>
          </w:p>
        </w:tc>
        <w:tc>
          <w:tcPr>
            <w:tcW w:w="493" w:type="pct"/>
            <w:gridSpan w:val="2"/>
            <w:noWrap w:val="0"/>
            <w:vAlign w:val="center"/>
          </w:tcPr>
          <w:p w14:paraId="0C57A00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565" w:type="pct"/>
            <w:gridSpan w:val="2"/>
            <w:noWrap w:val="0"/>
            <w:vAlign w:val="center"/>
          </w:tcPr>
          <w:p w14:paraId="2D0785B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485" w:type="pct"/>
            <w:gridSpan w:val="2"/>
            <w:noWrap w:val="0"/>
            <w:vAlign w:val="center"/>
          </w:tcPr>
          <w:p w14:paraId="497F080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463" w:type="pct"/>
            <w:gridSpan w:val="2"/>
            <w:noWrap w:val="0"/>
            <w:vAlign w:val="center"/>
          </w:tcPr>
          <w:p w14:paraId="3367656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r>
      <w:tr w14:paraId="3306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0E6B183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凉菜（厨师）</w:t>
            </w:r>
          </w:p>
        </w:tc>
        <w:tc>
          <w:tcPr>
            <w:tcW w:w="628" w:type="pct"/>
            <w:noWrap w:val="0"/>
            <w:vAlign w:val="center"/>
          </w:tcPr>
          <w:p w14:paraId="702AB15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61" w:type="pct"/>
            <w:noWrap w:val="0"/>
            <w:vAlign w:val="center"/>
          </w:tcPr>
          <w:p w14:paraId="54F3B0B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86" w:type="pct"/>
            <w:gridSpan w:val="2"/>
            <w:noWrap w:val="0"/>
            <w:vAlign w:val="center"/>
          </w:tcPr>
          <w:p w14:paraId="45FB23D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w:t>
            </w:r>
          </w:p>
        </w:tc>
        <w:tc>
          <w:tcPr>
            <w:tcW w:w="493" w:type="pct"/>
            <w:gridSpan w:val="2"/>
            <w:noWrap w:val="0"/>
            <w:vAlign w:val="center"/>
          </w:tcPr>
          <w:p w14:paraId="3BD8EE4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0357540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09611E0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03DB605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7AA9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2DCEE58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热菜（厨师）</w:t>
            </w:r>
          </w:p>
        </w:tc>
        <w:tc>
          <w:tcPr>
            <w:tcW w:w="628" w:type="pct"/>
            <w:noWrap w:val="0"/>
            <w:vAlign w:val="center"/>
          </w:tcPr>
          <w:p w14:paraId="44E2B07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61" w:type="pct"/>
            <w:noWrap w:val="0"/>
            <w:vAlign w:val="center"/>
          </w:tcPr>
          <w:p w14:paraId="7253D19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4</w:t>
            </w:r>
          </w:p>
        </w:tc>
        <w:tc>
          <w:tcPr>
            <w:tcW w:w="586" w:type="pct"/>
            <w:gridSpan w:val="2"/>
            <w:noWrap w:val="0"/>
            <w:vAlign w:val="center"/>
          </w:tcPr>
          <w:p w14:paraId="77EEBA4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493" w:type="pct"/>
            <w:gridSpan w:val="2"/>
            <w:noWrap w:val="0"/>
            <w:vAlign w:val="center"/>
          </w:tcPr>
          <w:p w14:paraId="56CE369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7529CDE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47D09B3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12DF687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w:t>
            </w:r>
          </w:p>
        </w:tc>
      </w:tr>
      <w:tr w14:paraId="6A10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7C459B9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面点（厨师）</w:t>
            </w:r>
          </w:p>
        </w:tc>
        <w:tc>
          <w:tcPr>
            <w:tcW w:w="628" w:type="pct"/>
            <w:noWrap w:val="0"/>
            <w:vAlign w:val="center"/>
          </w:tcPr>
          <w:p w14:paraId="23CF7A3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61" w:type="pct"/>
            <w:noWrap w:val="0"/>
            <w:vAlign w:val="center"/>
          </w:tcPr>
          <w:p w14:paraId="059D93C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6</w:t>
            </w:r>
          </w:p>
        </w:tc>
        <w:tc>
          <w:tcPr>
            <w:tcW w:w="586" w:type="pct"/>
            <w:gridSpan w:val="2"/>
            <w:noWrap w:val="0"/>
            <w:vAlign w:val="center"/>
          </w:tcPr>
          <w:p w14:paraId="63EF639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4</w:t>
            </w:r>
          </w:p>
        </w:tc>
        <w:tc>
          <w:tcPr>
            <w:tcW w:w="493" w:type="pct"/>
            <w:gridSpan w:val="2"/>
            <w:noWrap w:val="0"/>
            <w:vAlign w:val="center"/>
          </w:tcPr>
          <w:p w14:paraId="781AB6A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5A08AAD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4C36C4E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5D0E870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653B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75E267A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面点辅工</w:t>
            </w:r>
          </w:p>
        </w:tc>
        <w:tc>
          <w:tcPr>
            <w:tcW w:w="628" w:type="pct"/>
            <w:noWrap w:val="0"/>
            <w:vAlign w:val="center"/>
          </w:tcPr>
          <w:p w14:paraId="5A2C489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61" w:type="pct"/>
            <w:noWrap w:val="0"/>
            <w:vAlign w:val="center"/>
          </w:tcPr>
          <w:p w14:paraId="1B512AF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86" w:type="pct"/>
            <w:gridSpan w:val="2"/>
            <w:noWrap w:val="0"/>
            <w:vAlign w:val="center"/>
          </w:tcPr>
          <w:p w14:paraId="1EB7C13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93" w:type="pct"/>
            <w:gridSpan w:val="2"/>
            <w:noWrap w:val="0"/>
            <w:vAlign w:val="center"/>
          </w:tcPr>
          <w:p w14:paraId="34288A1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34B0AFF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1D287F6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3A76806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3A37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0663FE9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切配（厨师）</w:t>
            </w:r>
          </w:p>
        </w:tc>
        <w:tc>
          <w:tcPr>
            <w:tcW w:w="628" w:type="pct"/>
            <w:noWrap w:val="0"/>
            <w:vAlign w:val="center"/>
          </w:tcPr>
          <w:p w14:paraId="3F559B4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61" w:type="pct"/>
            <w:noWrap w:val="0"/>
            <w:vAlign w:val="center"/>
          </w:tcPr>
          <w:p w14:paraId="2808D22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5</w:t>
            </w:r>
          </w:p>
        </w:tc>
        <w:tc>
          <w:tcPr>
            <w:tcW w:w="586" w:type="pct"/>
            <w:gridSpan w:val="2"/>
            <w:noWrap w:val="0"/>
            <w:vAlign w:val="center"/>
          </w:tcPr>
          <w:p w14:paraId="50AE149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4</w:t>
            </w:r>
          </w:p>
        </w:tc>
        <w:tc>
          <w:tcPr>
            <w:tcW w:w="493" w:type="pct"/>
            <w:gridSpan w:val="2"/>
            <w:noWrap w:val="0"/>
            <w:vAlign w:val="center"/>
          </w:tcPr>
          <w:p w14:paraId="396765B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1489F01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7B1588A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0342214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27AD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4280E8B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洗碗工</w:t>
            </w:r>
          </w:p>
        </w:tc>
        <w:tc>
          <w:tcPr>
            <w:tcW w:w="628" w:type="pct"/>
            <w:noWrap w:val="0"/>
            <w:vAlign w:val="center"/>
          </w:tcPr>
          <w:p w14:paraId="7A4C5AF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561" w:type="pct"/>
            <w:noWrap w:val="0"/>
            <w:vAlign w:val="center"/>
          </w:tcPr>
          <w:p w14:paraId="1FE8BEE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4</w:t>
            </w:r>
          </w:p>
        </w:tc>
        <w:tc>
          <w:tcPr>
            <w:tcW w:w="586" w:type="pct"/>
            <w:gridSpan w:val="2"/>
            <w:noWrap w:val="0"/>
            <w:vAlign w:val="center"/>
          </w:tcPr>
          <w:p w14:paraId="2C05843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3</w:t>
            </w:r>
          </w:p>
        </w:tc>
        <w:tc>
          <w:tcPr>
            <w:tcW w:w="493" w:type="pct"/>
            <w:gridSpan w:val="2"/>
            <w:noWrap w:val="0"/>
            <w:vAlign w:val="center"/>
          </w:tcPr>
          <w:p w14:paraId="55D5986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6A027F1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12FDCD3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38B56B4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2021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3569B6D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小计</w:t>
            </w:r>
          </w:p>
        </w:tc>
        <w:tc>
          <w:tcPr>
            <w:tcW w:w="628" w:type="pct"/>
            <w:noWrap w:val="0"/>
            <w:vAlign w:val="center"/>
          </w:tcPr>
          <w:p w14:paraId="0E60339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16</w:t>
            </w:r>
          </w:p>
        </w:tc>
        <w:tc>
          <w:tcPr>
            <w:tcW w:w="561" w:type="pct"/>
            <w:noWrap w:val="0"/>
            <w:vAlign w:val="center"/>
          </w:tcPr>
          <w:p w14:paraId="78FC3C0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33</w:t>
            </w:r>
          </w:p>
        </w:tc>
        <w:tc>
          <w:tcPr>
            <w:tcW w:w="586" w:type="pct"/>
            <w:gridSpan w:val="2"/>
            <w:noWrap w:val="0"/>
            <w:vAlign w:val="center"/>
          </w:tcPr>
          <w:p w14:paraId="65208C7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24</w:t>
            </w:r>
          </w:p>
        </w:tc>
        <w:tc>
          <w:tcPr>
            <w:tcW w:w="493" w:type="pct"/>
            <w:gridSpan w:val="2"/>
            <w:noWrap w:val="0"/>
            <w:vAlign w:val="center"/>
          </w:tcPr>
          <w:p w14:paraId="689401E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10</w:t>
            </w:r>
          </w:p>
        </w:tc>
        <w:tc>
          <w:tcPr>
            <w:tcW w:w="565" w:type="pct"/>
            <w:gridSpan w:val="2"/>
            <w:noWrap w:val="0"/>
            <w:vAlign w:val="center"/>
          </w:tcPr>
          <w:p w14:paraId="62D7A64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10</w:t>
            </w:r>
          </w:p>
        </w:tc>
        <w:tc>
          <w:tcPr>
            <w:tcW w:w="485" w:type="pct"/>
            <w:gridSpan w:val="2"/>
            <w:noWrap w:val="0"/>
            <w:vAlign w:val="center"/>
          </w:tcPr>
          <w:p w14:paraId="122C019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10</w:t>
            </w:r>
          </w:p>
        </w:tc>
        <w:tc>
          <w:tcPr>
            <w:tcW w:w="463" w:type="pct"/>
            <w:gridSpan w:val="2"/>
            <w:noWrap w:val="0"/>
            <w:vAlign w:val="center"/>
          </w:tcPr>
          <w:p w14:paraId="5B9436C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10</w:t>
            </w:r>
          </w:p>
        </w:tc>
      </w:tr>
      <w:tr w14:paraId="42D0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50" w:type="pct"/>
            <w:gridSpan w:val="9"/>
            <w:noWrap w:val="0"/>
            <w:vAlign w:val="center"/>
          </w:tcPr>
          <w:p w14:paraId="04A1FB4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080" w:firstLineChars="17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可兼职岗位</w:t>
            </w:r>
          </w:p>
        </w:tc>
        <w:tc>
          <w:tcPr>
            <w:tcW w:w="485" w:type="pct"/>
            <w:gridSpan w:val="2"/>
            <w:noWrap w:val="0"/>
            <w:vAlign w:val="center"/>
          </w:tcPr>
          <w:p w14:paraId="7C37654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080" w:firstLineChars="17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463" w:type="pct"/>
            <w:gridSpan w:val="2"/>
            <w:noWrap w:val="0"/>
            <w:vAlign w:val="center"/>
          </w:tcPr>
          <w:p w14:paraId="422FBB2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080" w:firstLineChars="17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r>
      <w:tr w14:paraId="5FEE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4A782DE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安全员</w:t>
            </w:r>
          </w:p>
        </w:tc>
        <w:tc>
          <w:tcPr>
            <w:tcW w:w="628" w:type="pct"/>
            <w:noWrap w:val="0"/>
            <w:vAlign w:val="center"/>
          </w:tcPr>
          <w:p w14:paraId="66C57D1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61" w:type="pct"/>
            <w:noWrap w:val="0"/>
            <w:vAlign w:val="center"/>
          </w:tcPr>
          <w:p w14:paraId="0A70FA5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86" w:type="pct"/>
            <w:gridSpan w:val="2"/>
            <w:noWrap w:val="0"/>
            <w:vAlign w:val="center"/>
          </w:tcPr>
          <w:p w14:paraId="21C874C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93" w:type="pct"/>
            <w:gridSpan w:val="2"/>
            <w:noWrap w:val="0"/>
            <w:vAlign w:val="center"/>
          </w:tcPr>
          <w:p w14:paraId="263EF4B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5585F39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1936C13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5D36F45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7436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14D0A4D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反食品浪费岗</w:t>
            </w:r>
          </w:p>
        </w:tc>
        <w:tc>
          <w:tcPr>
            <w:tcW w:w="628" w:type="pct"/>
            <w:noWrap w:val="0"/>
            <w:vAlign w:val="center"/>
          </w:tcPr>
          <w:p w14:paraId="7684A90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61" w:type="pct"/>
            <w:noWrap w:val="0"/>
            <w:vAlign w:val="center"/>
          </w:tcPr>
          <w:p w14:paraId="7878E80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86" w:type="pct"/>
            <w:gridSpan w:val="2"/>
            <w:noWrap w:val="0"/>
            <w:vAlign w:val="center"/>
          </w:tcPr>
          <w:p w14:paraId="6A67F42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93" w:type="pct"/>
            <w:gridSpan w:val="2"/>
            <w:noWrap w:val="0"/>
            <w:vAlign w:val="center"/>
          </w:tcPr>
          <w:p w14:paraId="47AE43F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7053452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11A0C9B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5C42B68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6FAB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2536938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eastAsia="zh-CN"/>
              </w:rPr>
              <w:t>资产管理员</w:t>
            </w:r>
          </w:p>
        </w:tc>
        <w:tc>
          <w:tcPr>
            <w:tcW w:w="628" w:type="pct"/>
            <w:noWrap w:val="0"/>
            <w:vAlign w:val="center"/>
          </w:tcPr>
          <w:p w14:paraId="08CF0D7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3155" w:type="pct"/>
            <w:gridSpan w:val="11"/>
            <w:noWrap w:val="0"/>
            <w:vAlign w:val="center"/>
          </w:tcPr>
          <w:p w14:paraId="0585BF2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C8C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3D4D6A1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营养师</w:t>
            </w:r>
          </w:p>
        </w:tc>
        <w:tc>
          <w:tcPr>
            <w:tcW w:w="628" w:type="pct"/>
            <w:noWrap w:val="0"/>
            <w:vAlign w:val="center"/>
          </w:tcPr>
          <w:p w14:paraId="6769FCE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1148" w:type="pct"/>
            <w:gridSpan w:val="3"/>
            <w:noWrap w:val="0"/>
            <w:vAlign w:val="center"/>
          </w:tcPr>
          <w:p w14:paraId="3D93ADB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544" w:type="pct"/>
            <w:gridSpan w:val="6"/>
            <w:noWrap w:val="0"/>
            <w:vAlign w:val="center"/>
          </w:tcPr>
          <w:p w14:paraId="480A17C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20FBF55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78C5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5AD0041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库管</w:t>
            </w:r>
          </w:p>
        </w:tc>
        <w:tc>
          <w:tcPr>
            <w:tcW w:w="628" w:type="pct"/>
            <w:noWrap w:val="0"/>
            <w:vAlign w:val="center"/>
          </w:tcPr>
          <w:p w14:paraId="6255D33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61" w:type="pct"/>
            <w:noWrap w:val="0"/>
            <w:vAlign w:val="center"/>
          </w:tcPr>
          <w:p w14:paraId="02265D3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86" w:type="pct"/>
            <w:gridSpan w:val="2"/>
            <w:noWrap w:val="0"/>
            <w:vAlign w:val="center"/>
          </w:tcPr>
          <w:p w14:paraId="4223C63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93" w:type="pct"/>
            <w:gridSpan w:val="2"/>
            <w:noWrap w:val="0"/>
            <w:vAlign w:val="center"/>
          </w:tcPr>
          <w:p w14:paraId="18F8B83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6177E98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6466AFD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0F3BD9E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46D9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15" w:type="pct"/>
            <w:noWrap w:val="0"/>
            <w:vAlign w:val="center"/>
          </w:tcPr>
          <w:p w14:paraId="0F7B66D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检验员</w:t>
            </w:r>
          </w:p>
        </w:tc>
        <w:tc>
          <w:tcPr>
            <w:tcW w:w="628" w:type="pct"/>
            <w:noWrap w:val="0"/>
            <w:vAlign w:val="center"/>
          </w:tcPr>
          <w:p w14:paraId="3186C04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561" w:type="pct"/>
            <w:noWrap w:val="0"/>
            <w:vAlign w:val="center"/>
          </w:tcPr>
          <w:p w14:paraId="76A866D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86" w:type="pct"/>
            <w:gridSpan w:val="2"/>
            <w:noWrap w:val="0"/>
            <w:vAlign w:val="center"/>
          </w:tcPr>
          <w:p w14:paraId="47FC029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93" w:type="pct"/>
            <w:gridSpan w:val="2"/>
            <w:noWrap w:val="0"/>
            <w:vAlign w:val="center"/>
          </w:tcPr>
          <w:p w14:paraId="0C8E3B0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565" w:type="pct"/>
            <w:gridSpan w:val="2"/>
            <w:noWrap w:val="0"/>
            <w:vAlign w:val="center"/>
          </w:tcPr>
          <w:p w14:paraId="4E034DD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85" w:type="pct"/>
            <w:gridSpan w:val="2"/>
            <w:noWrap w:val="0"/>
            <w:vAlign w:val="center"/>
          </w:tcPr>
          <w:p w14:paraId="2A9B72F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463" w:type="pct"/>
            <w:gridSpan w:val="2"/>
            <w:noWrap w:val="0"/>
            <w:vAlign w:val="center"/>
          </w:tcPr>
          <w:p w14:paraId="19038C5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bl>
    <w:p w14:paraId="2E4D7A81">
      <w:pPr>
        <w:keepNext w:val="0"/>
        <w:keepLines w:val="0"/>
        <w:pageBreakBefore w:val="0"/>
        <w:widowControl w:val="0"/>
        <w:numPr>
          <w:ilvl w:val="0"/>
          <w:numId w:val="0"/>
        </w:numPr>
        <w:wordWrap/>
        <w:overflowPunct/>
        <w:topLinePunct w:val="0"/>
        <w:autoSpaceDE w:val="0"/>
        <w:autoSpaceDN w:val="0"/>
        <w:bidi w:val="0"/>
        <w:adjustRightInd w:val="0"/>
        <w:spacing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（2）分散办公区：</w:t>
      </w:r>
    </w:p>
    <w:tbl>
      <w:tblPr>
        <w:tblStyle w:val="23"/>
        <w:tblpPr w:leftFromText="180" w:rightFromText="180" w:vertAnchor="text" w:horzAnchor="page" w:tblpX="1725" w:tblpY="10"/>
        <w:tblOverlap w:val="never"/>
        <w:tblW w:w="47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1705"/>
        <w:gridCol w:w="1416"/>
        <w:gridCol w:w="1436"/>
        <w:gridCol w:w="1813"/>
      </w:tblGrid>
      <w:tr w14:paraId="7B24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28" w:type="pct"/>
            <w:noWrap w:val="0"/>
            <w:vAlign w:val="center"/>
          </w:tcPr>
          <w:p w14:paraId="6241657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人员配置</w:t>
            </w:r>
          </w:p>
        </w:tc>
        <w:tc>
          <w:tcPr>
            <w:tcW w:w="983" w:type="pct"/>
            <w:noWrap w:val="0"/>
            <w:vAlign w:val="center"/>
          </w:tcPr>
          <w:p w14:paraId="2894681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市公安局</w:t>
            </w:r>
          </w:p>
        </w:tc>
        <w:tc>
          <w:tcPr>
            <w:tcW w:w="816" w:type="pct"/>
            <w:noWrap w:val="0"/>
            <w:vAlign w:val="center"/>
          </w:tcPr>
          <w:p w14:paraId="689691A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市检察院</w:t>
            </w:r>
          </w:p>
        </w:tc>
        <w:tc>
          <w:tcPr>
            <w:tcW w:w="828" w:type="pct"/>
            <w:noWrap w:val="0"/>
            <w:vAlign w:val="center"/>
          </w:tcPr>
          <w:p w14:paraId="45E9964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市法院</w:t>
            </w:r>
          </w:p>
        </w:tc>
        <w:tc>
          <w:tcPr>
            <w:tcW w:w="1042" w:type="pct"/>
            <w:noWrap w:val="0"/>
            <w:vAlign w:val="center"/>
          </w:tcPr>
          <w:p w14:paraId="5CB3F23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市司法局</w:t>
            </w:r>
          </w:p>
        </w:tc>
      </w:tr>
      <w:tr w14:paraId="4256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28" w:type="pct"/>
            <w:noWrap w:val="0"/>
            <w:vAlign w:val="center"/>
          </w:tcPr>
          <w:p w14:paraId="232815E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经理</w:t>
            </w:r>
          </w:p>
        </w:tc>
        <w:tc>
          <w:tcPr>
            <w:tcW w:w="983" w:type="pct"/>
            <w:vMerge w:val="restart"/>
            <w:noWrap w:val="0"/>
            <w:vAlign w:val="center"/>
          </w:tcPr>
          <w:p w14:paraId="70ED2AC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vMerge w:val="restart"/>
            <w:noWrap w:val="0"/>
            <w:vAlign w:val="center"/>
          </w:tcPr>
          <w:p w14:paraId="48A9FD5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vMerge w:val="restart"/>
            <w:noWrap w:val="0"/>
            <w:vAlign w:val="center"/>
          </w:tcPr>
          <w:p w14:paraId="3941951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vMerge w:val="restart"/>
            <w:noWrap w:val="0"/>
            <w:vAlign w:val="center"/>
          </w:tcPr>
          <w:p w14:paraId="48F6788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5F1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28" w:type="pct"/>
            <w:noWrap w:val="0"/>
            <w:vAlign w:val="center"/>
          </w:tcPr>
          <w:p w14:paraId="4693E58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总管（厨师长）</w:t>
            </w:r>
          </w:p>
        </w:tc>
        <w:tc>
          <w:tcPr>
            <w:tcW w:w="983" w:type="pct"/>
            <w:vMerge w:val="continue"/>
            <w:noWrap w:val="0"/>
            <w:vAlign w:val="center"/>
          </w:tcPr>
          <w:p w14:paraId="6158E03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816" w:type="pct"/>
            <w:vMerge w:val="continue"/>
            <w:noWrap w:val="0"/>
            <w:vAlign w:val="center"/>
          </w:tcPr>
          <w:p w14:paraId="56F9F05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828" w:type="pct"/>
            <w:vMerge w:val="continue"/>
            <w:noWrap w:val="0"/>
            <w:vAlign w:val="center"/>
          </w:tcPr>
          <w:p w14:paraId="7B8FADD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c>
          <w:tcPr>
            <w:tcW w:w="1042" w:type="pct"/>
            <w:vMerge w:val="continue"/>
            <w:noWrap w:val="0"/>
            <w:vAlign w:val="center"/>
          </w:tcPr>
          <w:p w14:paraId="6B02067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p>
        </w:tc>
      </w:tr>
      <w:tr w14:paraId="428A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28" w:type="pct"/>
            <w:noWrap w:val="0"/>
            <w:vAlign w:val="center"/>
          </w:tcPr>
          <w:p w14:paraId="2927D1C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前厅（服务员）</w:t>
            </w:r>
          </w:p>
        </w:tc>
        <w:tc>
          <w:tcPr>
            <w:tcW w:w="983" w:type="pct"/>
            <w:noWrap w:val="0"/>
            <w:vAlign w:val="center"/>
          </w:tcPr>
          <w:p w14:paraId="6EE8B43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4</w:t>
            </w:r>
          </w:p>
        </w:tc>
        <w:tc>
          <w:tcPr>
            <w:tcW w:w="816" w:type="pct"/>
            <w:noWrap w:val="0"/>
            <w:vAlign w:val="center"/>
          </w:tcPr>
          <w:p w14:paraId="4C6E427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2B20F5B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w:t>
            </w:r>
          </w:p>
        </w:tc>
        <w:tc>
          <w:tcPr>
            <w:tcW w:w="1042" w:type="pct"/>
            <w:noWrap w:val="0"/>
            <w:vAlign w:val="center"/>
          </w:tcPr>
          <w:p w14:paraId="1B5A1C4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r>
      <w:tr w14:paraId="49EC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28" w:type="pct"/>
            <w:noWrap w:val="0"/>
            <w:vAlign w:val="center"/>
          </w:tcPr>
          <w:p w14:paraId="76734D5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凉菜（厨师）</w:t>
            </w:r>
          </w:p>
        </w:tc>
        <w:tc>
          <w:tcPr>
            <w:tcW w:w="983" w:type="pct"/>
            <w:noWrap w:val="0"/>
            <w:vAlign w:val="center"/>
          </w:tcPr>
          <w:p w14:paraId="1635D55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816" w:type="pct"/>
            <w:noWrap w:val="0"/>
            <w:vAlign w:val="center"/>
          </w:tcPr>
          <w:p w14:paraId="65F247B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c>
          <w:tcPr>
            <w:tcW w:w="828" w:type="pct"/>
            <w:noWrap w:val="0"/>
            <w:vAlign w:val="center"/>
          </w:tcPr>
          <w:p w14:paraId="780CD7D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c>
          <w:tcPr>
            <w:tcW w:w="1042" w:type="pct"/>
            <w:noWrap w:val="0"/>
            <w:vAlign w:val="center"/>
          </w:tcPr>
          <w:p w14:paraId="035260E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52B0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28" w:type="pct"/>
            <w:noWrap w:val="0"/>
            <w:vAlign w:val="center"/>
          </w:tcPr>
          <w:p w14:paraId="72BF6F2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热菜（厨师）</w:t>
            </w:r>
          </w:p>
        </w:tc>
        <w:tc>
          <w:tcPr>
            <w:tcW w:w="983" w:type="pct"/>
            <w:noWrap w:val="0"/>
            <w:vAlign w:val="center"/>
          </w:tcPr>
          <w:p w14:paraId="6F68BEB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816" w:type="pct"/>
            <w:noWrap w:val="0"/>
            <w:vAlign w:val="center"/>
          </w:tcPr>
          <w:p w14:paraId="4510588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383EC68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2</w:t>
            </w:r>
          </w:p>
        </w:tc>
        <w:tc>
          <w:tcPr>
            <w:tcW w:w="1042" w:type="pct"/>
            <w:noWrap w:val="0"/>
            <w:vAlign w:val="center"/>
          </w:tcPr>
          <w:p w14:paraId="305CE93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6F53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28" w:type="pct"/>
            <w:noWrap w:val="0"/>
            <w:vAlign w:val="center"/>
          </w:tcPr>
          <w:p w14:paraId="41B7D32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面点（厨师）</w:t>
            </w:r>
          </w:p>
        </w:tc>
        <w:tc>
          <w:tcPr>
            <w:tcW w:w="983" w:type="pct"/>
            <w:noWrap w:val="0"/>
            <w:vAlign w:val="center"/>
          </w:tcPr>
          <w:p w14:paraId="0F355C1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816" w:type="pct"/>
            <w:noWrap w:val="0"/>
            <w:vAlign w:val="center"/>
          </w:tcPr>
          <w:p w14:paraId="03FC75F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6FC5F85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5242569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62EF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28" w:type="pct"/>
            <w:noWrap w:val="0"/>
            <w:vAlign w:val="center"/>
          </w:tcPr>
          <w:p w14:paraId="4B60E36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面点辅工</w:t>
            </w:r>
          </w:p>
        </w:tc>
        <w:tc>
          <w:tcPr>
            <w:tcW w:w="983" w:type="pct"/>
            <w:noWrap w:val="0"/>
            <w:vAlign w:val="center"/>
          </w:tcPr>
          <w:p w14:paraId="5627A56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w:t>
            </w:r>
          </w:p>
        </w:tc>
        <w:tc>
          <w:tcPr>
            <w:tcW w:w="816" w:type="pct"/>
            <w:noWrap w:val="0"/>
            <w:vAlign w:val="center"/>
          </w:tcPr>
          <w:p w14:paraId="2B9C050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c>
          <w:tcPr>
            <w:tcW w:w="828" w:type="pct"/>
            <w:noWrap w:val="0"/>
            <w:vAlign w:val="center"/>
          </w:tcPr>
          <w:p w14:paraId="0C6BCFE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29A9725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r>
      <w:tr w14:paraId="47B2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28" w:type="pct"/>
            <w:noWrap w:val="0"/>
            <w:vAlign w:val="center"/>
          </w:tcPr>
          <w:p w14:paraId="5E63DE0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切配（厨师）</w:t>
            </w:r>
          </w:p>
        </w:tc>
        <w:tc>
          <w:tcPr>
            <w:tcW w:w="983" w:type="pct"/>
            <w:noWrap w:val="0"/>
            <w:vAlign w:val="center"/>
          </w:tcPr>
          <w:p w14:paraId="26964E1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816" w:type="pct"/>
            <w:noWrap w:val="0"/>
            <w:vAlign w:val="center"/>
          </w:tcPr>
          <w:p w14:paraId="7F5164C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c>
          <w:tcPr>
            <w:tcW w:w="828" w:type="pct"/>
            <w:noWrap w:val="0"/>
            <w:vAlign w:val="center"/>
          </w:tcPr>
          <w:p w14:paraId="565DD96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149562A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4CB8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8" w:type="pct"/>
            <w:noWrap w:val="0"/>
            <w:vAlign w:val="center"/>
          </w:tcPr>
          <w:p w14:paraId="64AB455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洗碗工</w:t>
            </w:r>
          </w:p>
        </w:tc>
        <w:tc>
          <w:tcPr>
            <w:tcW w:w="983" w:type="pct"/>
            <w:noWrap w:val="0"/>
            <w:vAlign w:val="center"/>
          </w:tcPr>
          <w:p w14:paraId="7FBDE32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2</w:t>
            </w:r>
          </w:p>
        </w:tc>
        <w:tc>
          <w:tcPr>
            <w:tcW w:w="816" w:type="pct"/>
            <w:noWrap w:val="0"/>
            <w:vAlign w:val="center"/>
          </w:tcPr>
          <w:p w14:paraId="1A328F9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77E7CAA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1FC4DDD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0</w:t>
            </w:r>
          </w:p>
        </w:tc>
      </w:tr>
      <w:tr w14:paraId="019D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28" w:type="pct"/>
            <w:noWrap w:val="0"/>
            <w:vAlign w:val="center"/>
          </w:tcPr>
          <w:p w14:paraId="6894C96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小计</w:t>
            </w:r>
          </w:p>
        </w:tc>
        <w:tc>
          <w:tcPr>
            <w:tcW w:w="983" w:type="pct"/>
            <w:noWrap w:val="0"/>
            <w:vAlign w:val="center"/>
          </w:tcPr>
          <w:p w14:paraId="14E0A66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t>15</w:t>
            </w:r>
          </w:p>
        </w:tc>
        <w:tc>
          <w:tcPr>
            <w:tcW w:w="816" w:type="pct"/>
            <w:noWrap w:val="0"/>
            <w:vAlign w:val="center"/>
          </w:tcPr>
          <w:p w14:paraId="4418001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5</w:t>
            </w:r>
          </w:p>
        </w:tc>
        <w:tc>
          <w:tcPr>
            <w:tcW w:w="828" w:type="pct"/>
            <w:noWrap w:val="0"/>
            <w:vAlign w:val="center"/>
          </w:tcPr>
          <w:p w14:paraId="1BD1D43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9</w:t>
            </w:r>
          </w:p>
        </w:tc>
        <w:tc>
          <w:tcPr>
            <w:tcW w:w="1042" w:type="pct"/>
            <w:noWrap w:val="0"/>
            <w:vAlign w:val="center"/>
          </w:tcPr>
          <w:p w14:paraId="3D58389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5</w:t>
            </w:r>
          </w:p>
        </w:tc>
      </w:tr>
      <w:tr w14:paraId="4F27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000" w:type="pct"/>
            <w:gridSpan w:val="5"/>
            <w:noWrap w:val="0"/>
            <w:vAlign w:val="center"/>
          </w:tcPr>
          <w:p w14:paraId="1613C3E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可兼职岗位</w:t>
            </w:r>
          </w:p>
        </w:tc>
      </w:tr>
      <w:tr w14:paraId="0CF6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0433AA6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安全员</w:t>
            </w:r>
          </w:p>
        </w:tc>
        <w:tc>
          <w:tcPr>
            <w:tcW w:w="983" w:type="pct"/>
            <w:noWrap w:val="0"/>
            <w:vAlign w:val="center"/>
          </w:tcPr>
          <w:p w14:paraId="0B626C0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6F18A5E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4D66633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1C2E48A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0604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6190CAF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反食品浪费岗</w:t>
            </w:r>
          </w:p>
        </w:tc>
        <w:tc>
          <w:tcPr>
            <w:tcW w:w="983" w:type="pct"/>
            <w:noWrap w:val="0"/>
            <w:vAlign w:val="center"/>
          </w:tcPr>
          <w:p w14:paraId="2EB8AFF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08080DA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0855BED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49C5364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48CB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1407A03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eastAsia="zh-CN"/>
              </w:rPr>
              <w:t>资产管理员</w:t>
            </w:r>
          </w:p>
        </w:tc>
        <w:tc>
          <w:tcPr>
            <w:tcW w:w="983" w:type="pct"/>
            <w:noWrap w:val="0"/>
            <w:vAlign w:val="center"/>
          </w:tcPr>
          <w:p w14:paraId="0EA812E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6013777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73740DF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36CE149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27B7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6092C80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营养师</w:t>
            </w:r>
          </w:p>
        </w:tc>
        <w:tc>
          <w:tcPr>
            <w:tcW w:w="983" w:type="pct"/>
            <w:noWrap w:val="0"/>
            <w:vAlign w:val="center"/>
          </w:tcPr>
          <w:p w14:paraId="5AD5EF4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6DC1C73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2F37C64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3430B0BC">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4D49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28" w:type="pct"/>
            <w:noWrap w:val="0"/>
            <w:vAlign w:val="center"/>
          </w:tcPr>
          <w:p w14:paraId="1FBE153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库管</w:t>
            </w:r>
          </w:p>
        </w:tc>
        <w:tc>
          <w:tcPr>
            <w:tcW w:w="983" w:type="pct"/>
            <w:noWrap w:val="0"/>
            <w:vAlign w:val="center"/>
          </w:tcPr>
          <w:p w14:paraId="464286CD">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53E112C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16F066A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5429078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r w14:paraId="45DC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28" w:type="pct"/>
            <w:noWrap w:val="0"/>
            <w:vAlign w:val="center"/>
          </w:tcPr>
          <w:p w14:paraId="7445A52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检验员</w:t>
            </w:r>
          </w:p>
        </w:tc>
        <w:tc>
          <w:tcPr>
            <w:tcW w:w="983" w:type="pct"/>
            <w:noWrap w:val="0"/>
            <w:vAlign w:val="center"/>
          </w:tcPr>
          <w:p w14:paraId="3B14899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u w:val="none" w:color="auto"/>
                <w:vertAlign w:val="baseline"/>
                <w:lang w:val="en-US" w:eastAsia="zh-CN" w:bidi="ar-SA"/>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16" w:type="pct"/>
            <w:noWrap w:val="0"/>
            <w:vAlign w:val="center"/>
          </w:tcPr>
          <w:p w14:paraId="14FF49E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828" w:type="pct"/>
            <w:noWrap w:val="0"/>
            <w:vAlign w:val="center"/>
          </w:tcPr>
          <w:p w14:paraId="7E6CDBA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c>
          <w:tcPr>
            <w:tcW w:w="1042" w:type="pct"/>
            <w:noWrap w:val="0"/>
            <w:vAlign w:val="center"/>
          </w:tcPr>
          <w:p w14:paraId="2E9BADE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u w:val="none" w:color="auto"/>
                <w:vertAlign w:val="baseline"/>
                <w:lang w:val="en-US" w:eastAsia="zh-CN"/>
              </w:rPr>
            </w:pPr>
            <w:r>
              <w:rPr>
                <w:rFonts w:hint="eastAsia" w:asciiTheme="minorEastAsia" w:hAnsiTheme="minorEastAsia" w:eastAsiaTheme="minorEastAsia" w:cstheme="minorEastAsia"/>
                <w:b w:val="0"/>
                <w:bCs w:val="0"/>
                <w:color w:val="auto"/>
                <w:sz w:val="24"/>
                <w:szCs w:val="24"/>
                <w:u w:val="none" w:color="auto"/>
                <w:vertAlign w:val="baseline"/>
                <w:lang w:val="en-US" w:eastAsia="zh-CN"/>
              </w:rPr>
              <w:t>1</w:t>
            </w:r>
          </w:p>
        </w:tc>
      </w:tr>
    </w:tbl>
    <w:p w14:paraId="7E90F988">
      <w:pPr>
        <w:keepNext w:val="0"/>
        <w:keepLines w:val="0"/>
        <w:pageBreakBefore w:val="0"/>
        <w:widowControl w:val="0"/>
        <w:numPr>
          <w:ilvl w:val="0"/>
          <w:numId w:val="0"/>
        </w:numPr>
        <w:wordWrap/>
        <w:overflowPunct/>
        <w:topLinePunct w:val="0"/>
        <w:autoSpaceDE w:val="0"/>
        <w:autoSpaceDN w:val="0"/>
        <w:bidi w:val="0"/>
        <w:adjustRightInd w:val="0"/>
        <w:spacing w:line="56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2.食品安全：供应商须依照法律、法规和食品安全标准从事生产经营活动。供应商对其生产经营的食品安全负责，对社会和公众负责，承担社会责任。要建立健全食品安全管理制度，全面落实餐饮服务食品安全操作规范。要严格执行“日管控，周排查，月调度”有关规定，设立食品质量安全管理岗位，配备专业技术人员，加强食品安全管理。要积极投保食品安全责任保险，采取有效管理措施，保证食品安全。托管合同签订之日起四个月内，所经营机关食堂须取得食品安全量化动态管理B级及以上资质，一年后1个月内须取得年度食品安全餐饮服务等级A级。</w:t>
      </w:r>
    </w:p>
    <w:p w14:paraId="5DC9648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（1）原材料采购</w:t>
      </w:r>
    </w:p>
    <w:p w14:paraId="3B6A839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供应商选择的供货者应具有相关合法资质，原则上应为知名度和信誉度较高的商家，建立供货者评价和退出机制，自行或委托第三方机构定期（一个季度至少1次）对供货者的食品安全状况进行评价，及时更换不符合要求的供货者。尽可能采购绿色、有机食品，所采购的食品及原料必须符合国家有关食品安全卫生标准和规定，加强肉、蛋、奶等高风险食品采购管理。严格按照餐饮行业规范要求建立食品台账，确保每次采购的食材都能溯源。</w:t>
      </w:r>
    </w:p>
    <w:p w14:paraId="3784086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积极巩固脱贫攻坚成果，同等条件下，优先通过“扶贫832平台”购买延安贫困地区、贫困户农副产品，年购置额需占年购置总金额的10%及以上。</w:t>
      </w:r>
    </w:p>
    <w:p w14:paraId="6EB39EB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（2）原料运输</w:t>
      </w:r>
    </w:p>
    <w:p w14:paraId="08A72DE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供应商自行运输或第三方配送过程中须做好防尘、防水、食品与非食品、不同类型的食品原料（动物性食品、植物性食品、水产品）应分隔，包装完整、清洁，防止食品受到污染，不得与有毒有害物品混装，车辆不得混用。</w:t>
      </w:r>
    </w:p>
    <w:p w14:paraId="4A3FDAF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（3）进货查验</w:t>
      </w:r>
    </w:p>
    <w:p w14:paraId="629AB08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供应商须做好随货证明文件查验和留存待查工作，从食品生产者采购食品的，查验并留存其食品生产许可证和产品合格证明文件等；采购食品添加剂、食品相关产品的，查验并留存其营业执照和产品合格证明文件等。从食品销售者（商场、超市、便利店等）采购食品的，查验并留存其食品经营许可证等；采购食品添加剂、食品相关产品的，查验并留存其营业执照等。从食用农产品个体生产者直接采购食用农产品的，查验并留存其有效身份证明材料等。从食用农产品生产企业和农民专业合作经济组织采购食用农产品的，查验并留存其社会信用代码和产品合格证明文件。从集中交易市场采购食用农产品的，索取并留存市场管理部门或经营者加盖公章（或负责人签字）的购货凭证。采购畜禽肉类的，除上述证明资料外还需查验并留存动物产品检疫合格证明；采购猪肉的，还应查验并留存肉品品质检验合格证明。</w:t>
      </w:r>
    </w:p>
    <w:p w14:paraId="375919B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实行统一配送经营方式的，可由供应商统一查验供货者的相关资质证明及产品合格证明文件，留存每笔购物或送货凭证。</w:t>
      </w:r>
    </w:p>
    <w:p w14:paraId="7547CD0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4）原料贮存。供应商须按照食品安全要求分区、分架、分类、离墙、离地存放食品；在散装食品（食用农产品除外）贮存位置，应标明食品的名称、生产日期或者生产批号、使用期限等内容；有明确的保存条件和特殊要求的，应按规定贮存；遵循先进、先出、先用原则，及时清理腐败变质等感官性状异常、超保质期等的食品原料、食品添加剂、食品相关产品。</w:t>
      </w:r>
      <w:r>
        <w:rPr>
          <w:rFonts w:hint="eastAsia" w:asciiTheme="minorEastAsia" w:hAnsiTheme="minorEastAsia" w:eastAsiaTheme="minorEastAsia" w:cstheme="minorEastAsia"/>
          <w:color w:val="auto"/>
          <w:sz w:val="24"/>
          <w:szCs w:val="24"/>
          <w:u w:val="none" w:color="auto"/>
        </w:rPr>
        <w:t>冰箱冷库不得存入变质、有味、污染不洁的食品，严禁存放化肥、农药、杀虫剂等有毒有害物品。</w:t>
      </w:r>
    </w:p>
    <w:p w14:paraId="5552781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5）加工制作。供应商应按照行业规范加强操作流程监管，避免食品在加工过程中受到交叉污染，不同类型的食品原料、不同存在形式的食品（原料、半成品、成品）分开存放，盛放容器和加工制作工具分类管理、分开使用，定位存放。食品处理区不得从事可能污染食品的活动；辅助区（卫生间、更衣间等）内不得加工制作食品、清洗消毒餐饮具；服务场所不得饲养和宰杀禽、畜等动物。禁止使用非食品原料加工制作食品；禁止在食品中添加食品添加剂以外的化学物质和其他可能危害人体健康的物质；禁止使用回收食品作为原料，再次加工制作食品；禁止使用超过保质期的食品、食品添加剂；禁止超范围、超限量使用食品添加剂；禁止使用腐败变质、油脂酸败、霉变生虫、污秽不洁、混有异物、掺假掺杂或者感官性状异常的食品、食品添加剂；禁止使用被包装材料、容器、运输工具等污染的食品、食品添加剂；禁止使用无标签的预包装食品、食品添加剂；禁止使用国家为防病等特殊需要明令禁止经营的食品（如织纹螺等）；禁止在食品中添加药品（按照传统既是食品又是中药材的物质除外）；不得出现法律法规禁止的其他加工制作行为。</w:t>
      </w:r>
    </w:p>
    <w:p w14:paraId="4F6EF5BE">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（6）食品添加剂使用。供应商应按照GB2760《食品安全国家标准 食品添加剂使用标准》规定的食品添加剂品种、范围、计量使用食品添加剂；不得采购、贮存、使用亚硝酸盐（包括亚硝酸钠、亚硝酸钾）。食品添加剂实行专柜（位）存放，并标注“食品添加剂”字样，使用容器盛放拆包后的食品添加剂的，应在盛放容器上标明食品添加剂名称，并保留原包装。应专册记录使用的食品添加剂名称、生产日期或批号、添加的食品品种、添加量、添加时间、操作人员等信息，GB2760中有“最大使用量”规定的，应精准称量使用。</w:t>
      </w:r>
    </w:p>
    <w:p w14:paraId="4671D43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7）食品留样。供应商应做到每餐留样并与当日食谱相符，将留样食品按照品种分别盛放于清洗消毒后的专用密闭容器内，在专用冷藏设备中冷藏存放48小时以上；每个品种的留样量应能满足检验检测需要，且不少于200g；由专人管理留样食品、记录留样情况，记录内容包括留样食品名称、留样时间（月、日、时、分）、留样人员等。食品留样工作须在菜肴制作完成后及出餐前完成，以确保其准确性。不同时段留样食品应隔离存放，并注明餐别；留样时间满48小时后可作废弃处理，时间不到或有特殊情况需保留或延长存放时间时应遵守规定，不得私自处理。</w:t>
      </w:r>
    </w:p>
    <w:p w14:paraId="6AEF642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（8）清洗消毒。供应商须按照GB14934《食品安全国家标准 消毒餐（饮）具》规定对餐用具清洗消毒，餐用具使用后应及时按照一刷、二洗、三冲、四消毒、五保洁的程序操作。餐饮具、盛放或接触直接入口食品的容器和工具使用前应消毒；采用化学消毒的（不鼓励），消毒剂应符合GB 14930.2-2012《食品安全国家标准 消毒剂》的要求，消毒剂的标签说明书还应符合GB 38598-2020《消毒产品标签说明书通用要求》的要求，消毒液应现用现配，并定时测量消毒液的消毒浓度，由专人做好使用及检测记录；采用煮沸消毒的，餐饮具需完全浸没在水中，温度一般控制在100℃，保持10分钟以上，必要时，配备闹铃等计时工具以确保有效的消毒时长；从业人员佩戴手套清洗消毒餐用具的，接触消毒后的餐用具前应更换手套；使用抹布擦干的，抹布应专用，并经清洗消毒后方可使用；消毒后的餐具必须储存在餐具专用保洁柜内备用，已消毒和未消毒的餐具应分开存放，并做好标记。</w:t>
      </w:r>
    </w:p>
    <w:p w14:paraId="4FA5105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9）专间使用。供应商应严格落实专间使用管理要求，专间内温度不得高于25℃；每餐（或每次）使用前，应在无人加工制作时使用紫外线灯对专间空气进行消毒30分钟以上并做好记录；进入专间前，加工制作人员应严格清洗消毒手部，更换专用的工作衣帽并佩戴口罩，非专间加工制作人员不得擅自进入专间；专间内使用专用工具、容器、设备，不得与其他区域混用，使用前进行清洗消毒并保持清洁；及时关闭专间的门和食品传递窗口；蔬菜、水果、生食或海产品等食品原料应清洗处理干净后，方可传递进专间，预包装食品和一次性餐饮具应去除外层包装并保持最小包装清洁后，方可传递进专间；加工制作好的成品应当餐供应；不得在专间内从事非清洁操作区的加工制作活动。</w:t>
      </w:r>
    </w:p>
    <w:p w14:paraId="356E134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US" w:eastAsia="zh-CN"/>
        </w:rPr>
      </w:pPr>
      <w:r>
        <w:rPr>
          <w:rFonts w:hint="eastAsia" w:asciiTheme="minorEastAsia" w:hAnsiTheme="minorEastAsia" w:eastAsiaTheme="minorEastAsia" w:cstheme="minorEastAsia"/>
          <w:b w:val="0"/>
          <w:bCs w:val="0"/>
          <w:color w:val="auto"/>
          <w:sz w:val="24"/>
          <w:szCs w:val="24"/>
          <w:u w:val="none" w:color="auto"/>
          <w:lang w:val="en-US" w:eastAsia="zh-CN"/>
        </w:rPr>
        <w:t>（10）环境卫生。供应商须按照GB 31654-2021《食品安全国家标准 餐饮服务通用卫生规范》的要求，做好餐厅室内外（包括单独院落）的环境清洁工作。每餐前，做好开窗通风工作，保持餐厅及后厨空气新鲜无异味；每餐后及时清洁食品处理区、就餐区的设施、设备，保持地面无垃圾、无积水、无油渍，墙壁和门窗无污渍、无灰尘，天花板无霉斑。定期清洁卫生间设施设备，保持地面、洗手池及台面无积水、无污物、无垃圾，便池内外无污物、无积垢、卫生纸充足等，营业期间，开启排风装置，保持室内空气无异味。每周进行一次彻底清洗，对碗柜及餐具进行二次清洁消毒。</w:t>
      </w:r>
    </w:p>
    <w:p w14:paraId="57A6CA1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u w:val="none" w:color="auto"/>
          <w:lang w:val="en" w:eastAsia="zh-CN"/>
        </w:rPr>
      </w:pPr>
      <w:r>
        <w:rPr>
          <w:rFonts w:hint="eastAsia" w:asciiTheme="minorEastAsia" w:hAnsiTheme="minorEastAsia" w:eastAsiaTheme="minorEastAsia" w:cstheme="minorEastAsia"/>
          <w:b w:val="0"/>
          <w:bCs w:val="0"/>
          <w:color w:val="auto"/>
          <w:sz w:val="24"/>
          <w:szCs w:val="24"/>
          <w:u w:val="none" w:color="auto"/>
          <w:lang w:val="en-US" w:eastAsia="zh-CN"/>
        </w:rPr>
        <w:t>（11）病媒生物防治。供应商须按照集中供餐单位餐厅病媒生物防治工作规定，自行或委托第三方做好餐厅病媒生物防治工作，及时清理“四害”垃圾，机关食堂应做到无蚊虫、无蚊蝇、无蟑螂、无老鼠。</w:t>
      </w:r>
    </w:p>
    <w:p w14:paraId="56356C1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val="en" w:eastAsia="zh-CN"/>
        </w:rPr>
        <w:t>3</w:t>
      </w:r>
      <w:r>
        <w:rPr>
          <w:rFonts w:hint="eastAsia" w:asciiTheme="minorEastAsia" w:hAnsiTheme="minorEastAsia" w:eastAsiaTheme="minorEastAsia" w:cstheme="minorEastAsia"/>
          <w:color w:val="auto"/>
          <w:sz w:val="24"/>
          <w:szCs w:val="24"/>
          <w:u w:val="none" w:color="auto"/>
          <w:lang w:val="en-US" w:eastAsia="zh-CN"/>
        </w:rPr>
        <w:t>.</w:t>
      </w:r>
      <w:r>
        <w:rPr>
          <w:rFonts w:hint="eastAsia" w:asciiTheme="minorEastAsia" w:hAnsiTheme="minorEastAsia" w:eastAsiaTheme="minorEastAsia" w:cstheme="minorEastAsia"/>
          <w:color w:val="auto"/>
          <w:sz w:val="24"/>
          <w:szCs w:val="24"/>
          <w:u w:val="none" w:color="auto"/>
        </w:rPr>
        <w:t>饭菜质量：</w:t>
      </w:r>
      <w:r>
        <w:rPr>
          <w:rFonts w:hint="eastAsia" w:asciiTheme="minorEastAsia" w:hAnsiTheme="minorEastAsia" w:eastAsiaTheme="minorEastAsia" w:cstheme="minorEastAsia"/>
          <w:b w:val="0"/>
          <w:bCs w:val="0"/>
          <w:color w:val="auto"/>
          <w:sz w:val="24"/>
          <w:szCs w:val="24"/>
          <w:u w:val="none" w:color="auto"/>
          <w:lang w:val="en-US" w:eastAsia="zh-CN"/>
        </w:rPr>
        <w:t>供应商</w:t>
      </w:r>
      <w:r>
        <w:rPr>
          <w:rFonts w:hint="eastAsia" w:asciiTheme="minorEastAsia" w:hAnsiTheme="minorEastAsia" w:eastAsiaTheme="minorEastAsia" w:cstheme="minorEastAsia"/>
          <w:color w:val="auto"/>
          <w:sz w:val="24"/>
          <w:szCs w:val="24"/>
          <w:u w:val="none" w:color="auto"/>
        </w:rPr>
        <w:t>应以有效的举措保障每餐安全达标、营养均衡、品质稳定，</w:t>
      </w:r>
      <w:r>
        <w:rPr>
          <w:rFonts w:hint="eastAsia" w:asciiTheme="minorEastAsia" w:hAnsiTheme="minorEastAsia" w:eastAsiaTheme="minorEastAsia" w:cstheme="minorEastAsia"/>
          <w:color w:val="auto"/>
          <w:sz w:val="24"/>
          <w:szCs w:val="24"/>
          <w:u w:val="none" w:color="auto"/>
          <w:lang w:eastAsia="zh-CN"/>
        </w:rPr>
        <w:t>以有力有效措施推动</w:t>
      </w:r>
      <w:r>
        <w:rPr>
          <w:rFonts w:hint="eastAsia" w:asciiTheme="minorEastAsia" w:hAnsiTheme="minorEastAsia" w:eastAsiaTheme="minorEastAsia" w:cstheme="minorEastAsia"/>
          <w:color w:val="auto"/>
          <w:sz w:val="24"/>
          <w:szCs w:val="24"/>
          <w:u w:val="none" w:color="auto"/>
          <w:lang w:val="en-US" w:eastAsia="zh-CN"/>
        </w:rPr>
        <w:t>《健康中国行动》（2019-2030年）和《国民营养计划》（2017-2030年）在机关食堂落实。每周食谱须由营养师审核签字后集中办公区提交至采购人、分散办公区提交使用方审核备案。餐厅须根据大多数就餐者的饮食习惯每月推陈出新一道菜品；</w:t>
      </w:r>
      <w:r>
        <w:rPr>
          <w:rFonts w:hint="eastAsia" w:asciiTheme="minorEastAsia" w:hAnsiTheme="minorEastAsia" w:eastAsiaTheme="minorEastAsia" w:cstheme="minorEastAsia"/>
          <w:color w:val="auto"/>
          <w:sz w:val="24"/>
          <w:szCs w:val="24"/>
          <w:u w:val="none" w:color="auto"/>
        </w:rPr>
        <w:t>食堂销售的食品，</w:t>
      </w:r>
      <w:r>
        <w:rPr>
          <w:rFonts w:hint="eastAsia" w:asciiTheme="minorEastAsia" w:hAnsiTheme="minorEastAsia" w:eastAsiaTheme="minorEastAsia" w:cstheme="minorEastAsia"/>
          <w:color w:val="auto"/>
          <w:sz w:val="24"/>
          <w:szCs w:val="24"/>
          <w:u w:val="none" w:color="auto"/>
          <w:lang w:val="en-US" w:eastAsia="zh-CN"/>
        </w:rPr>
        <w:t>不得</w:t>
      </w:r>
      <w:r>
        <w:rPr>
          <w:rFonts w:hint="eastAsia" w:asciiTheme="minorEastAsia" w:hAnsiTheme="minorEastAsia" w:eastAsiaTheme="minorEastAsia" w:cstheme="minorEastAsia"/>
          <w:color w:val="auto"/>
          <w:sz w:val="24"/>
          <w:szCs w:val="24"/>
          <w:u w:val="none" w:color="auto"/>
        </w:rPr>
        <w:t>添加任何有毒、有害物质，必须符合规定的质量标准，做到质高、量足，确保热菜、热饭。</w:t>
      </w:r>
      <w:r>
        <w:rPr>
          <w:rFonts w:hint="eastAsia" w:asciiTheme="minorEastAsia" w:hAnsiTheme="minorEastAsia" w:eastAsiaTheme="minorEastAsia" w:cstheme="minorEastAsia"/>
          <w:color w:val="auto"/>
          <w:sz w:val="24"/>
          <w:szCs w:val="24"/>
          <w:u w:val="none" w:color="auto"/>
          <w:lang w:eastAsia="zh-CN"/>
        </w:rPr>
        <w:t>落实落细《中国居民膳食指南（2022）》，</w:t>
      </w:r>
      <w:r>
        <w:rPr>
          <w:rFonts w:hint="eastAsia" w:asciiTheme="minorEastAsia" w:hAnsiTheme="minorEastAsia" w:eastAsiaTheme="minorEastAsia" w:cstheme="minorEastAsia"/>
          <w:color w:val="auto"/>
          <w:sz w:val="24"/>
          <w:szCs w:val="24"/>
          <w:u w:val="none" w:color="auto"/>
        </w:rPr>
        <w:t>注重食品的营养搭配，</w:t>
      </w:r>
      <w:r>
        <w:rPr>
          <w:rFonts w:hint="eastAsia" w:asciiTheme="minorEastAsia" w:hAnsiTheme="minorEastAsia" w:eastAsiaTheme="minorEastAsia" w:cstheme="minorEastAsia"/>
          <w:color w:val="auto"/>
          <w:sz w:val="24"/>
          <w:szCs w:val="24"/>
          <w:u w:val="none" w:color="auto"/>
          <w:lang w:eastAsia="zh-CN"/>
        </w:rPr>
        <w:t>推行营养配餐，结合中医药膳理论，讲究凉热搭配、荤素搭配、粗细搭配，注重营养均衡，并聘请营养师制定健康菜谱。</w:t>
      </w:r>
      <w:r>
        <w:rPr>
          <w:rFonts w:hint="eastAsia" w:asciiTheme="minorEastAsia" w:hAnsiTheme="minorEastAsia" w:eastAsiaTheme="minorEastAsia" w:cstheme="minorEastAsia"/>
          <w:color w:val="auto"/>
          <w:sz w:val="24"/>
          <w:szCs w:val="24"/>
          <w:u w:val="none" w:color="auto"/>
        </w:rPr>
        <w:t>努力提高烹调质量</w:t>
      </w:r>
      <w:r>
        <w:rPr>
          <w:rFonts w:hint="eastAsia" w:asciiTheme="minorEastAsia" w:hAnsiTheme="minorEastAsia" w:eastAsiaTheme="minorEastAsia" w:cstheme="minorEastAsia"/>
          <w:color w:val="auto"/>
          <w:sz w:val="24"/>
          <w:szCs w:val="24"/>
          <w:u w:val="none" w:color="auto"/>
          <w:lang w:eastAsia="zh-CN"/>
        </w:rPr>
        <w:t>。</w:t>
      </w:r>
    </w:p>
    <w:p w14:paraId="35D4F99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color="auto"/>
          <w:lang w:val="en" w:eastAsia="zh-CN"/>
        </w:rPr>
        <w:t>4</w:t>
      </w:r>
      <w:r>
        <w:rPr>
          <w:rFonts w:hint="eastAsia" w:asciiTheme="minorEastAsia" w:hAnsiTheme="minorEastAsia" w:eastAsiaTheme="minorEastAsia" w:cstheme="minorEastAsia"/>
          <w:color w:val="auto"/>
          <w:sz w:val="24"/>
          <w:szCs w:val="24"/>
          <w:u w:val="none" w:color="auto"/>
          <w:lang w:val="en-US" w:eastAsia="zh-CN"/>
        </w:rPr>
        <w:t>.垃圾管理:</w:t>
      </w:r>
      <w:r>
        <w:rPr>
          <w:rFonts w:hint="eastAsia" w:asciiTheme="minorEastAsia" w:hAnsiTheme="minorEastAsia" w:eastAsiaTheme="minorEastAsia" w:cstheme="minorEastAsia"/>
          <w:b w:val="0"/>
          <w:bCs w:val="0"/>
          <w:color w:val="auto"/>
          <w:sz w:val="24"/>
          <w:szCs w:val="24"/>
          <w:u w:val="none" w:color="auto"/>
          <w:lang w:val="en-US" w:eastAsia="zh-CN"/>
        </w:rPr>
        <w:t>供应商</w:t>
      </w:r>
      <w:r>
        <w:rPr>
          <w:rFonts w:hint="eastAsia" w:asciiTheme="minorEastAsia" w:hAnsiTheme="minorEastAsia" w:eastAsiaTheme="minorEastAsia" w:cstheme="minorEastAsia"/>
          <w:b w:val="0"/>
          <w:bCs w:val="0"/>
          <w:color w:val="auto"/>
          <w:kern w:val="0"/>
          <w:sz w:val="24"/>
          <w:szCs w:val="24"/>
          <w:lang w:val="en-US" w:eastAsia="zh-CN" w:bidi="ar"/>
        </w:rPr>
        <w:t>须按照中、省、市有关垃圾分类的要求，设立垃圾管理岗（可兼职），由掌握相关知识的人员负责，在指定的餐厅外区域设置完好的垃圾分类容器并分类投放。餐厨垃圾应干湿分离、分类放置、及时清理，建立餐厨垃圾处置台账，详细记录处置时间、种类、数量、收运者信息等。垃圾投放区域应保持清洁，地面无污水、污渍、无异味、无蚊蝇滋生、无散积垃圾等，每天对餐厨垃圾区域进行一次消毒。禁止将餐厨垃圾交给未经相关部门许可或备案的餐厨垃圾收运、处理单位或个人处理。</w:t>
      </w:r>
    </w:p>
    <w:p w14:paraId="2D69CAD7">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val="en" w:eastAsia="zh-CN"/>
        </w:rPr>
        <w:t>5</w:t>
      </w:r>
      <w:r>
        <w:rPr>
          <w:rFonts w:hint="eastAsia" w:asciiTheme="minorEastAsia" w:hAnsiTheme="minorEastAsia" w:eastAsiaTheme="minorEastAsia" w:cstheme="minorEastAsia"/>
          <w:color w:val="auto"/>
          <w:sz w:val="24"/>
          <w:szCs w:val="24"/>
          <w:u w:val="none" w:color="auto"/>
        </w:rPr>
        <w:t>.</w:t>
      </w:r>
      <w:r>
        <w:rPr>
          <w:rFonts w:hint="eastAsia" w:asciiTheme="minorEastAsia" w:hAnsiTheme="minorEastAsia" w:eastAsiaTheme="minorEastAsia" w:cstheme="minorEastAsia"/>
          <w:color w:val="auto"/>
          <w:sz w:val="24"/>
          <w:szCs w:val="24"/>
          <w:u w:val="none" w:color="auto"/>
          <w:lang w:eastAsia="zh-CN"/>
        </w:rPr>
        <w:t>厉行节约：</w:t>
      </w:r>
      <w:r>
        <w:rPr>
          <w:rFonts w:hint="eastAsia" w:asciiTheme="minorEastAsia" w:hAnsiTheme="minorEastAsia" w:eastAsiaTheme="minorEastAsia" w:cstheme="minorEastAsia"/>
          <w:b w:val="0"/>
          <w:bCs w:val="0"/>
          <w:color w:val="auto"/>
          <w:sz w:val="24"/>
          <w:szCs w:val="24"/>
          <w:u w:val="none" w:color="auto"/>
          <w:lang w:val="en-US" w:eastAsia="zh-CN"/>
        </w:rPr>
        <w:t>供应商</w:t>
      </w:r>
      <w:r>
        <w:rPr>
          <w:rFonts w:hint="eastAsia" w:asciiTheme="minorEastAsia" w:hAnsiTheme="minorEastAsia" w:eastAsiaTheme="minorEastAsia" w:cstheme="minorEastAsia"/>
          <w:color w:val="auto"/>
          <w:sz w:val="24"/>
          <w:szCs w:val="24"/>
          <w:u w:val="none" w:color="auto"/>
          <w:lang w:eastAsia="zh-CN"/>
        </w:rPr>
        <w:t>须按照《党政机关厉行节约反对浪费条例》规定，对照《陕西省机关食堂反食品浪费工作成效评价标准》要求，落实</w:t>
      </w:r>
      <w:r>
        <w:rPr>
          <w:rFonts w:hint="eastAsia" w:asciiTheme="minorEastAsia" w:hAnsiTheme="minorEastAsia" w:eastAsiaTheme="minorEastAsia" w:cstheme="minorEastAsia"/>
          <w:color w:val="auto"/>
          <w:sz w:val="24"/>
          <w:szCs w:val="24"/>
          <w:u w:val="none" w:color="auto"/>
          <w:lang w:val="en-US" w:eastAsia="zh-CN"/>
        </w:rPr>
        <w:t>计划、</w:t>
      </w:r>
      <w:r>
        <w:rPr>
          <w:rFonts w:hint="eastAsia" w:asciiTheme="minorEastAsia" w:hAnsiTheme="minorEastAsia" w:eastAsiaTheme="minorEastAsia" w:cstheme="minorEastAsia"/>
          <w:color w:val="auto"/>
          <w:sz w:val="24"/>
          <w:szCs w:val="24"/>
          <w:u w:val="none" w:color="auto"/>
          <w:lang w:eastAsia="zh-CN"/>
        </w:rPr>
        <w:t>采购、加工、</w:t>
      </w:r>
      <w:r>
        <w:rPr>
          <w:rFonts w:hint="eastAsia" w:asciiTheme="minorEastAsia" w:hAnsiTheme="minorEastAsia" w:eastAsiaTheme="minorEastAsia" w:cstheme="minorEastAsia"/>
          <w:color w:val="auto"/>
          <w:sz w:val="24"/>
          <w:szCs w:val="24"/>
          <w:u w:val="none" w:color="auto"/>
          <w:lang w:val="en-US" w:eastAsia="zh-CN"/>
        </w:rPr>
        <w:t>台账管理、食品检测、成品</w:t>
      </w:r>
      <w:r>
        <w:rPr>
          <w:rFonts w:hint="eastAsia" w:asciiTheme="minorEastAsia" w:hAnsiTheme="minorEastAsia" w:eastAsiaTheme="minorEastAsia" w:cstheme="minorEastAsia"/>
          <w:color w:val="auto"/>
          <w:sz w:val="24"/>
          <w:szCs w:val="24"/>
          <w:u w:val="none" w:color="auto"/>
          <w:lang w:eastAsia="zh-CN"/>
        </w:rPr>
        <w:t>制作、贮存、留样、防鼠防虫等全环节的反食品浪费措施。</w:t>
      </w:r>
      <w:r>
        <w:rPr>
          <w:rFonts w:hint="eastAsia" w:asciiTheme="minorEastAsia" w:hAnsiTheme="minorEastAsia" w:eastAsiaTheme="minorEastAsia" w:cstheme="minorEastAsia"/>
          <w:color w:val="auto"/>
          <w:sz w:val="24"/>
          <w:szCs w:val="24"/>
          <w:u w:val="none" w:color="auto"/>
          <w:lang w:val="en-US" w:eastAsia="zh-CN"/>
        </w:rPr>
        <w:t>每天</w:t>
      </w:r>
      <w:r>
        <w:rPr>
          <w:rFonts w:hint="eastAsia" w:asciiTheme="minorEastAsia" w:hAnsiTheme="minorEastAsia" w:eastAsiaTheme="minorEastAsia" w:cstheme="minorEastAsia"/>
          <w:color w:val="auto"/>
          <w:sz w:val="24"/>
          <w:szCs w:val="24"/>
          <w:u w:val="none" w:color="auto"/>
          <w:lang w:eastAsia="zh-CN"/>
        </w:rPr>
        <w:t>每餐对餐厨垃圾称重，计算垃圾系数并记录台账。“光盘”和“剩餐”是投标人</w:t>
      </w:r>
      <w:r>
        <w:rPr>
          <w:rFonts w:hint="eastAsia" w:asciiTheme="minorEastAsia" w:hAnsiTheme="minorEastAsia" w:eastAsiaTheme="minorEastAsia" w:cstheme="minorEastAsia"/>
          <w:color w:val="auto"/>
          <w:sz w:val="24"/>
          <w:szCs w:val="24"/>
          <w:u w:val="none" w:color="auto"/>
          <w:lang w:val="en-US" w:eastAsia="zh-CN"/>
        </w:rPr>
        <w:t>经营和服务</w:t>
      </w:r>
      <w:r>
        <w:rPr>
          <w:rFonts w:hint="eastAsia" w:asciiTheme="minorEastAsia" w:hAnsiTheme="minorEastAsia" w:eastAsiaTheme="minorEastAsia" w:cstheme="minorEastAsia"/>
          <w:color w:val="auto"/>
          <w:sz w:val="24"/>
          <w:szCs w:val="24"/>
          <w:u w:val="none" w:color="auto"/>
          <w:lang w:eastAsia="zh-CN"/>
        </w:rPr>
        <w:t>水平的集中反映，</w:t>
      </w:r>
      <w:r>
        <w:rPr>
          <w:rFonts w:hint="eastAsia" w:asciiTheme="minorEastAsia" w:hAnsiTheme="minorEastAsia" w:eastAsiaTheme="minorEastAsia" w:cstheme="minorEastAsia"/>
          <w:color w:val="auto"/>
          <w:sz w:val="24"/>
          <w:szCs w:val="24"/>
          <w:u w:val="none" w:color="auto"/>
          <w:lang w:val="en-US" w:eastAsia="zh-CN"/>
        </w:rPr>
        <w:t>集中办公区的由</w:t>
      </w:r>
      <w:r>
        <w:rPr>
          <w:rFonts w:hint="eastAsia" w:asciiTheme="minorEastAsia" w:hAnsiTheme="minorEastAsia" w:eastAsiaTheme="minorEastAsia" w:cstheme="minorEastAsia"/>
          <w:color w:val="auto"/>
          <w:sz w:val="24"/>
          <w:szCs w:val="24"/>
          <w:u w:val="none" w:color="auto"/>
          <w:lang w:eastAsia="zh-CN"/>
        </w:rPr>
        <w:t>采购人、</w:t>
      </w:r>
      <w:r>
        <w:rPr>
          <w:rFonts w:hint="eastAsia" w:asciiTheme="minorEastAsia" w:hAnsiTheme="minorEastAsia" w:eastAsiaTheme="minorEastAsia" w:cstheme="minorEastAsia"/>
          <w:color w:val="auto"/>
          <w:sz w:val="24"/>
          <w:szCs w:val="24"/>
          <w:u w:val="none" w:color="auto"/>
          <w:lang w:val="en-US" w:eastAsia="zh-CN"/>
        </w:rPr>
        <w:t>分散办公区的由</w:t>
      </w:r>
      <w:r>
        <w:rPr>
          <w:rFonts w:hint="eastAsia" w:asciiTheme="minorEastAsia" w:hAnsiTheme="minorEastAsia" w:eastAsiaTheme="minorEastAsia" w:cstheme="minorEastAsia"/>
          <w:color w:val="auto"/>
          <w:sz w:val="24"/>
          <w:szCs w:val="24"/>
          <w:u w:val="none" w:color="auto"/>
          <w:lang w:eastAsia="zh-CN"/>
        </w:rPr>
        <w:t>使用方对“剩餐”现象进行严格考核，杜绝因饭菜质量不佳导致的餐饮浪费现象。</w:t>
      </w:r>
    </w:p>
    <w:p w14:paraId="2810DF48">
      <w:pPr>
        <w:keepNext w:val="0"/>
        <w:keepLines w:val="0"/>
        <w:pageBreakBefore w:val="0"/>
        <w:widowControl w:val="0"/>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u w:val="none" w:color="auto"/>
          <w:lang w:val="en" w:eastAsia="zh-CN"/>
        </w:rPr>
        <w:t>6</w:t>
      </w:r>
      <w:r>
        <w:rPr>
          <w:rFonts w:hint="eastAsia" w:asciiTheme="minorEastAsia" w:hAnsiTheme="minorEastAsia" w:eastAsiaTheme="minorEastAsia" w:cstheme="minorEastAsia"/>
          <w:color w:val="auto"/>
          <w:sz w:val="24"/>
          <w:szCs w:val="24"/>
          <w:u w:val="none" w:color="auto"/>
        </w:rPr>
        <w:t>.设施设备管理：</w:t>
      </w:r>
      <w:r>
        <w:rPr>
          <w:rFonts w:hint="eastAsia" w:asciiTheme="minorEastAsia" w:hAnsiTheme="minorEastAsia" w:eastAsiaTheme="minorEastAsia" w:cstheme="minorEastAsia"/>
          <w:b w:val="0"/>
          <w:bCs w:val="0"/>
          <w:color w:val="auto"/>
          <w:sz w:val="24"/>
          <w:szCs w:val="24"/>
          <w:u w:val="none" w:color="auto"/>
          <w:lang w:val="en-US" w:eastAsia="zh-CN"/>
        </w:rPr>
        <w:t>供应商</w:t>
      </w:r>
      <w:r>
        <w:rPr>
          <w:rFonts w:hint="eastAsia" w:asciiTheme="minorEastAsia" w:hAnsiTheme="minorEastAsia" w:eastAsiaTheme="minorEastAsia" w:cstheme="minorEastAsia"/>
          <w:color w:val="auto"/>
          <w:sz w:val="24"/>
          <w:szCs w:val="24"/>
          <w:u w:val="none" w:color="auto"/>
        </w:rPr>
        <w:t>要加强餐厨设备、餐厅公共设施的管理，</w:t>
      </w:r>
      <w:r>
        <w:rPr>
          <w:rFonts w:hint="eastAsia" w:asciiTheme="minorEastAsia" w:hAnsiTheme="minorEastAsia" w:eastAsiaTheme="minorEastAsia" w:cstheme="minorEastAsia"/>
          <w:color w:val="auto"/>
          <w:sz w:val="24"/>
          <w:szCs w:val="24"/>
          <w:u w:val="none" w:color="auto"/>
          <w:lang w:eastAsia="zh-CN"/>
        </w:rPr>
        <w:t>爱惜厨房设施设备，</w:t>
      </w:r>
      <w:r>
        <w:rPr>
          <w:rFonts w:hint="eastAsia" w:asciiTheme="minorEastAsia" w:hAnsiTheme="minorEastAsia" w:eastAsiaTheme="minorEastAsia" w:cstheme="minorEastAsia"/>
          <w:color w:val="auto"/>
          <w:sz w:val="24"/>
          <w:szCs w:val="24"/>
          <w:u w:val="none" w:color="auto"/>
        </w:rPr>
        <w:t>确保</w:t>
      </w:r>
      <w:r>
        <w:rPr>
          <w:rFonts w:hint="eastAsia" w:asciiTheme="minorEastAsia" w:hAnsiTheme="minorEastAsia" w:eastAsiaTheme="minorEastAsia" w:cstheme="minorEastAsia"/>
          <w:color w:val="auto"/>
          <w:sz w:val="24"/>
          <w:szCs w:val="24"/>
          <w:u w:val="none" w:color="auto"/>
          <w:lang w:val="en-US" w:eastAsia="zh-CN"/>
        </w:rPr>
        <w:t>设施</w:t>
      </w:r>
      <w:r>
        <w:rPr>
          <w:rFonts w:hint="eastAsia" w:asciiTheme="minorEastAsia" w:hAnsiTheme="minorEastAsia" w:eastAsiaTheme="minorEastAsia" w:cstheme="minorEastAsia"/>
          <w:color w:val="auto"/>
          <w:sz w:val="24"/>
          <w:szCs w:val="24"/>
          <w:u w:val="none" w:color="auto"/>
        </w:rPr>
        <w:t>设备安全完整，提高使用寿命。</w:t>
      </w:r>
      <w:r>
        <w:rPr>
          <w:rFonts w:hint="eastAsia" w:asciiTheme="minorEastAsia" w:hAnsiTheme="minorEastAsia" w:eastAsiaTheme="minorEastAsia" w:cstheme="minorEastAsia"/>
          <w:color w:val="auto"/>
          <w:sz w:val="24"/>
          <w:szCs w:val="24"/>
          <w:u w:val="none" w:color="auto"/>
          <w:lang w:eastAsia="zh-CN"/>
        </w:rPr>
        <w:t>如果发现人为损坏，应照价赔偿。</w:t>
      </w:r>
      <w:r>
        <w:rPr>
          <w:rFonts w:hint="eastAsia" w:asciiTheme="minorEastAsia" w:hAnsiTheme="minorEastAsia" w:eastAsiaTheme="minorEastAsia" w:cstheme="minorEastAsia"/>
          <w:color w:val="auto"/>
          <w:sz w:val="24"/>
          <w:szCs w:val="24"/>
          <w:u w:val="none" w:color="auto"/>
        </w:rPr>
        <w:t>建立厨房设施设备台账，定期核对和清点，确保设施设备完整；及时清理设施设备上摆放的杂物以及浮尘、油渍等污染物，确保设施设备干净整洁；及时清理排污、排水等管道，确保管道畅通；严格按操作规程使用和保养设施设备，确保安全规范使用。</w:t>
      </w:r>
      <w:r>
        <w:rPr>
          <w:rFonts w:hint="eastAsia" w:asciiTheme="minorEastAsia" w:hAnsiTheme="minorEastAsia" w:eastAsiaTheme="minorEastAsia" w:cstheme="minorEastAsia"/>
          <w:color w:val="auto"/>
          <w:sz w:val="24"/>
          <w:szCs w:val="24"/>
          <w:u w:val="none" w:color="auto"/>
          <w:lang w:eastAsia="zh-CN"/>
        </w:rPr>
        <w:t>各灶设施设备不得随意挪用，如需转移，</w:t>
      </w:r>
      <w:r>
        <w:rPr>
          <w:rFonts w:hint="eastAsia" w:asciiTheme="minorEastAsia" w:hAnsiTheme="minorEastAsia" w:eastAsiaTheme="minorEastAsia" w:cstheme="minorEastAsia"/>
          <w:color w:val="auto"/>
          <w:sz w:val="24"/>
          <w:szCs w:val="24"/>
          <w:u w:val="none" w:color="auto"/>
          <w:lang w:val="en-US" w:eastAsia="zh-CN"/>
        </w:rPr>
        <w:t>集中办公区的由</w:t>
      </w:r>
      <w:r>
        <w:rPr>
          <w:rFonts w:hint="eastAsia" w:asciiTheme="minorEastAsia" w:hAnsiTheme="minorEastAsia" w:eastAsiaTheme="minorEastAsia" w:cstheme="minorEastAsia"/>
          <w:color w:val="auto"/>
          <w:sz w:val="24"/>
          <w:szCs w:val="24"/>
          <w:u w:val="none" w:color="auto"/>
          <w:lang w:eastAsia="zh-CN"/>
        </w:rPr>
        <w:t>采购人、</w:t>
      </w:r>
      <w:r>
        <w:rPr>
          <w:rFonts w:hint="eastAsia" w:asciiTheme="minorEastAsia" w:hAnsiTheme="minorEastAsia" w:eastAsiaTheme="minorEastAsia" w:cstheme="minorEastAsia"/>
          <w:color w:val="auto"/>
          <w:sz w:val="24"/>
          <w:szCs w:val="24"/>
          <w:u w:val="none" w:color="auto"/>
          <w:lang w:val="en-US" w:eastAsia="zh-CN"/>
        </w:rPr>
        <w:t>分散办公区的由</w:t>
      </w:r>
      <w:r>
        <w:rPr>
          <w:rFonts w:hint="eastAsia" w:asciiTheme="minorEastAsia" w:hAnsiTheme="minorEastAsia" w:eastAsiaTheme="minorEastAsia" w:cstheme="minorEastAsia"/>
          <w:color w:val="auto"/>
          <w:sz w:val="24"/>
          <w:szCs w:val="24"/>
          <w:u w:val="none" w:color="auto"/>
          <w:lang w:eastAsia="zh-CN"/>
        </w:rPr>
        <w:t>使用方同意后，方可挪用。</w:t>
      </w:r>
    </w:p>
    <w:p w14:paraId="4A602573">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rPr>
          <w:rFonts w:hint="eastAsia" w:asciiTheme="minorEastAsia" w:hAnsiTheme="minorEastAsia" w:eastAsiaTheme="minorEastAsia" w:cstheme="minorEastAsia"/>
          <w:color w:val="auto"/>
          <w:spacing w:val="10"/>
          <w:kern w:val="2"/>
          <w:sz w:val="24"/>
          <w:szCs w:val="24"/>
          <w:lang w:val="en-US" w:eastAsia="zh-CN" w:bidi="ar-SA"/>
        </w:rPr>
      </w:pPr>
      <w:r>
        <w:rPr>
          <w:rFonts w:hint="eastAsia" w:asciiTheme="minorEastAsia" w:hAnsiTheme="minorEastAsia" w:eastAsiaTheme="minorEastAsia" w:cstheme="minorEastAsia"/>
          <w:color w:val="auto"/>
          <w:sz w:val="24"/>
          <w:szCs w:val="24"/>
          <w:u w:val="none" w:color="auto"/>
          <w:lang w:val="en" w:eastAsia="zh-CN"/>
        </w:rPr>
        <w:t>7</w:t>
      </w:r>
      <w:r>
        <w:rPr>
          <w:rFonts w:hint="eastAsia" w:asciiTheme="minorEastAsia" w:hAnsiTheme="minorEastAsia" w:eastAsiaTheme="minorEastAsia" w:cstheme="minorEastAsia"/>
          <w:color w:val="auto"/>
          <w:sz w:val="24"/>
          <w:szCs w:val="24"/>
          <w:u w:val="none" w:color="auto"/>
          <w:lang w:val="en-US" w:eastAsia="zh-CN"/>
        </w:rPr>
        <w:t>.厨具及低值易耗品管理：按照谁投资购买，产权归谁的原则，分类管理。后期由供应商投资购买的，产权归供应商。在合同期内，各方进行产权管理和登记，并负责监督；供应商负责使用管理，对厨具用具的完好状态负责，最大限度的提高使用寿命。供应商投资购买属于新增的，集中办公区的报</w:t>
      </w:r>
      <w:r>
        <w:rPr>
          <w:rFonts w:hint="eastAsia" w:asciiTheme="minorEastAsia" w:hAnsiTheme="minorEastAsia" w:eastAsiaTheme="minorEastAsia" w:cstheme="minorEastAsia"/>
          <w:color w:val="auto"/>
          <w:sz w:val="24"/>
          <w:szCs w:val="24"/>
          <w:u w:val="none" w:color="auto"/>
          <w:lang w:eastAsia="zh-CN"/>
        </w:rPr>
        <w:t>采购人、</w:t>
      </w:r>
      <w:r>
        <w:rPr>
          <w:rFonts w:hint="eastAsia" w:asciiTheme="minorEastAsia" w:hAnsiTheme="minorEastAsia" w:eastAsiaTheme="minorEastAsia" w:cstheme="minorEastAsia"/>
          <w:color w:val="auto"/>
          <w:sz w:val="24"/>
          <w:szCs w:val="24"/>
          <w:u w:val="none" w:color="auto"/>
          <w:lang w:val="en-US" w:eastAsia="zh-CN"/>
        </w:rPr>
        <w:t>分散办公区的报</w:t>
      </w:r>
      <w:r>
        <w:rPr>
          <w:rFonts w:hint="eastAsia" w:asciiTheme="minorEastAsia" w:hAnsiTheme="minorEastAsia" w:eastAsiaTheme="minorEastAsia" w:cstheme="minorEastAsia"/>
          <w:color w:val="auto"/>
          <w:sz w:val="24"/>
          <w:szCs w:val="24"/>
          <w:u w:val="none" w:color="auto"/>
          <w:lang w:eastAsia="zh-CN"/>
        </w:rPr>
        <w:t>使用方</w:t>
      </w:r>
      <w:r>
        <w:rPr>
          <w:rFonts w:hint="eastAsia" w:asciiTheme="minorEastAsia" w:hAnsiTheme="minorEastAsia" w:eastAsiaTheme="minorEastAsia" w:cstheme="minorEastAsia"/>
          <w:color w:val="auto"/>
          <w:sz w:val="24"/>
          <w:szCs w:val="24"/>
          <w:u w:val="none" w:color="auto"/>
          <w:lang w:val="en-US" w:eastAsia="zh-CN"/>
        </w:rPr>
        <w:t>备案登记；属于更新的，须按照交旧购新的原则集中办公区的报</w:t>
      </w:r>
      <w:r>
        <w:rPr>
          <w:rFonts w:hint="eastAsia" w:asciiTheme="minorEastAsia" w:hAnsiTheme="minorEastAsia" w:eastAsiaTheme="minorEastAsia" w:cstheme="minorEastAsia"/>
          <w:color w:val="auto"/>
          <w:sz w:val="24"/>
          <w:szCs w:val="24"/>
          <w:u w:val="none" w:color="auto"/>
          <w:lang w:eastAsia="zh-CN"/>
        </w:rPr>
        <w:t>采购人、</w:t>
      </w:r>
      <w:r>
        <w:rPr>
          <w:rFonts w:hint="eastAsia" w:asciiTheme="minorEastAsia" w:hAnsiTheme="minorEastAsia" w:eastAsiaTheme="minorEastAsia" w:cstheme="minorEastAsia"/>
          <w:color w:val="auto"/>
          <w:sz w:val="24"/>
          <w:szCs w:val="24"/>
          <w:u w:val="none" w:color="auto"/>
          <w:lang w:val="en-US" w:eastAsia="zh-CN"/>
        </w:rPr>
        <w:t>分散办公区的报</w:t>
      </w:r>
      <w:r>
        <w:rPr>
          <w:rFonts w:hint="eastAsia" w:asciiTheme="minorEastAsia" w:hAnsiTheme="minorEastAsia" w:eastAsiaTheme="minorEastAsia" w:cstheme="minorEastAsia"/>
          <w:color w:val="auto"/>
          <w:sz w:val="24"/>
          <w:szCs w:val="24"/>
          <w:u w:val="none" w:color="auto"/>
          <w:lang w:eastAsia="zh-CN"/>
        </w:rPr>
        <w:t>使用方</w:t>
      </w:r>
      <w:r>
        <w:rPr>
          <w:rFonts w:hint="eastAsia" w:asciiTheme="minorEastAsia" w:hAnsiTheme="minorEastAsia" w:eastAsiaTheme="minorEastAsia" w:cstheme="minorEastAsia"/>
          <w:color w:val="auto"/>
          <w:sz w:val="24"/>
          <w:szCs w:val="24"/>
          <w:u w:val="none" w:color="auto"/>
          <w:lang w:val="en-US" w:eastAsia="zh-CN"/>
        </w:rPr>
        <w:t>备案登记。双方每月至少进行一次账账、账实核对，确保资产安全完整、产权清晰。</w:t>
      </w:r>
      <w:r>
        <w:rPr>
          <w:rFonts w:hint="eastAsia" w:asciiTheme="minorEastAsia" w:hAnsiTheme="minorEastAsia" w:eastAsiaTheme="minorEastAsia" w:cstheme="minorEastAsia"/>
          <w:color w:val="auto"/>
          <w:spacing w:val="10"/>
          <w:kern w:val="2"/>
          <w:sz w:val="24"/>
          <w:szCs w:val="24"/>
          <w:lang w:val="en-US" w:eastAsia="zh-CN" w:bidi="ar-SA"/>
        </w:rPr>
        <w:t>合同期满后，供应商须按照最新资产台账完好如数交回厨具及低值易耗品（年损耗≤15%属正常现象），如年损耗＞15%的，应补齐超出部分的损耗，否则</w:t>
      </w:r>
      <w:r>
        <w:rPr>
          <w:rFonts w:hint="eastAsia" w:asciiTheme="minorEastAsia" w:hAnsiTheme="minorEastAsia" w:eastAsiaTheme="minorEastAsia" w:cstheme="minorEastAsia"/>
          <w:color w:val="auto"/>
          <w:sz w:val="24"/>
          <w:szCs w:val="24"/>
          <w:u w:val="none" w:color="auto"/>
          <w:lang w:val="en-US" w:eastAsia="zh-CN"/>
        </w:rPr>
        <w:t>集中办公区的由</w:t>
      </w:r>
      <w:r>
        <w:rPr>
          <w:rFonts w:hint="eastAsia" w:asciiTheme="minorEastAsia" w:hAnsiTheme="minorEastAsia" w:eastAsiaTheme="minorEastAsia" w:cstheme="minorEastAsia"/>
          <w:color w:val="auto"/>
          <w:sz w:val="24"/>
          <w:szCs w:val="24"/>
          <w:u w:val="none" w:color="auto"/>
          <w:lang w:eastAsia="zh-CN"/>
        </w:rPr>
        <w:t>采购人、</w:t>
      </w:r>
      <w:r>
        <w:rPr>
          <w:rFonts w:hint="eastAsia" w:asciiTheme="minorEastAsia" w:hAnsiTheme="minorEastAsia" w:eastAsiaTheme="minorEastAsia" w:cstheme="minorEastAsia"/>
          <w:color w:val="auto"/>
          <w:sz w:val="24"/>
          <w:szCs w:val="24"/>
          <w:u w:val="none" w:color="auto"/>
          <w:lang w:val="en-US" w:eastAsia="zh-CN"/>
        </w:rPr>
        <w:t>分散办公区的由</w:t>
      </w:r>
      <w:r>
        <w:rPr>
          <w:rFonts w:hint="eastAsia" w:asciiTheme="minorEastAsia" w:hAnsiTheme="minorEastAsia" w:eastAsiaTheme="minorEastAsia" w:cstheme="minorEastAsia"/>
          <w:color w:val="auto"/>
          <w:sz w:val="24"/>
          <w:szCs w:val="24"/>
          <w:u w:val="none" w:color="auto"/>
          <w:lang w:eastAsia="zh-CN"/>
        </w:rPr>
        <w:t>使用方</w:t>
      </w:r>
      <w:r>
        <w:rPr>
          <w:rFonts w:hint="eastAsia" w:asciiTheme="minorEastAsia" w:hAnsiTheme="minorEastAsia" w:eastAsiaTheme="minorEastAsia" w:cstheme="minorEastAsia"/>
          <w:color w:val="auto"/>
          <w:spacing w:val="10"/>
          <w:kern w:val="2"/>
          <w:sz w:val="24"/>
          <w:szCs w:val="24"/>
          <w:lang w:val="en-US" w:eastAsia="zh-CN" w:bidi="ar-SA"/>
        </w:rPr>
        <w:t>将按照市场价从托管费中扣除相应费用。</w:t>
      </w:r>
    </w:p>
    <w:p w14:paraId="17174147">
      <w:pPr>
        <w:pStyle w:val="20"/>
        <w:keepNext w:val="0"/>
        <w:keepLines w:val="0"/>
        <w:pageBreakBefore w:val="0"/>
        <w:widowControl w:val="0"/>
        <w:kinsoku/>
        <w:wordWrap/>
        <w:overflowPunct/>
        <w:topLinePunct w:val="0"/>
        <w:autoSpaceDE/>
        <w:autoSpaceDN/>
        <w:bidi w:val="0"/>
        <w:adjustRightInd/>
        <w:snapToGrid/>
        <w:spacing w:line="560" w:lineRule="exact"/>
        <w:ind w:left="0" w:leftChars="0" w:firstLine="520" w:firstLineChars="200"/>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pacing w:val="10"/>
          <w:kern w:val="2"/>
          <w:sz w:val="24"/>
          <w:szCs w:val="24"/>
          <w:lang w:val="en-US" w:eastAsia="zh-CN" w:bidi="ar-SA"/>
        </w:rPr>
        <w:t>禁止采购不合格的餐厨具；禁止“拆东墙补西墙”互相借用餐厨具；如出现因餐厨具等低值易耗品而影响供餐保障的现象，</w:t>
      </w:r>
      <w:r>
        <w:rPr>
          <w:rFonts w:hint="eastAsia" w:asciiTheme="minorEastAsia" w:hAnsiTheme="minorEastAsia" w:eastAsiaTheme="minorEastAsia" w:cstheme="minorEastAsia"/>
          <w:color w:val="auto"/>
          <w:sz w:val="24"/>
          <w:szCs w:val="24"/>
          <w:u w:val="none" w:color="auto"/>
          <w:lang w:val="en-US" w:eastAsia="zh-CN"/>
        </w:rPr>
        <w:t>集中办公区的由</w:t>
      </w:r>
      <w:r>
        <w:rPr>
          <w:rFonts w:hint="eastAsia" w:asciiTheme="minorEastAsia" w:hAnsiTheme="minorEastAsia" w:eastAsiaTheme="minorEastAsia" w:cstheme="minorEastAsia"/>
          <w:color w:val="auto"/>
          <w:sz w:val="24"/>
          <w:szCs w:val="24"/>
          <w:u w:val="none" w:color="auto"/>
          <w:lang w:eastAsia="zh-CN"/>
        </w:rPr>
        <w:t>采购人、</w:t>
      </w:r>
      <w:r>
        <w:rPr>
          <w:rFonts w:hint="eastAsia" w:asciiTheme="minorEastAsia" w:hAnsiTheme="minorEastAsia" w:eastAsiaTheme="minorEastAsia" w:cstheme="minorEastAsia"/>
          <w:color w:val="auto"/>
          <w:sz w:val="24"/>
          <w:szCs w:val="24"/>
          <w:u w:val="none" w:color="auto"/>
          <w:lang w:val="en-US" w:eastAsia="zh-CN"/>
        </w:rPr>
        <w:t>分散办公区的由</w:t>
      </w:r>
      <w:r>
        <w:rPr>
          <w:rFonts w:hint="eastAsia" w:asciiTheme="minorEastAsia" w:hAnsiTheme="minorEastAsia" w:eastAsiaTheme="minorEastAsia" w:cstheme="minorEastAsia"/>
          <w:color w:val="auto"/>
          <w:sz w:val="24"/>
          <w:szCs w:val="24"/>
          <w:u w:val="none" w:color="auto"/>
          <w:lang w:eastAsia="zh-CN"/>
        </w:rPr>
        <w:t>使用方</w:t>
      </w:r>
      <w:r>
        <w:rPr>
          <w:rFonts w:hint="eastAsia" w:asciiTheme="minorEastAsia" w:hAnsiTheme="minorEastAsia" w:eastAsiaTheme="minorEastAsia" w:cstheme="minorEastAsia"/>
          <w:color w:val="auto"/>
          <w:spacing w:val="10"/>
          <w:kern w:val="2"/>
          <w:sz w:val="24"/>
          <w:szCs w:val="24"/>
          <w:lang w:val="en-US" w:eastAsia="zh-CN" w:bidi="ar-SA"/>
        </w:rPr>
        <w:t>自行采购并按市场价从托管费中扣除相应费用，其产权归甲方所有。</w:t>
      </w:r>
    </w:p>
    <w:p w14:paraId="0954434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 w:eastAsia="zh-CN"/>
        </w:rPr>
        <w:t>8</w:t>
      </w:r>
      <w:r>
        <w:rPr>
          <w:rFonts w:hint="eastAsia" w:asciiTheme="minorEastAsia" w:hAnsiTheme="minorEastAsia" w:eastAsiaTheme="minorEastAsia" w:cstheme="minorEastAsia"/>
          <w:color w:val="auto"/>
          <w:sz w:val="24"/>
          <w:szCs w:val="24"/>
          <w:u w:val="none" w:color="auto"/>
          <w:lang w:val="en-US" w:eastAsia="zh-CN"/>
        </w:rPr>
        <w:t>.实现公平竞争：供应商通过“智慧餐厅”APP，提前一周公布下一周经营养师签字审定的菜单，于每餐开餐前10分钟，向干部职工发布成品及当餐菜单。要自觉接受群众监督，听取群众意见，对群众反映属实的管理不到位的事项，限期整改；对群众提出的有利于提高餐饮保障和服务水平的建设性意见，要认真采纳。</w:t>
      </w:r>
    </w:p>
    <w:p w14:paraId="591A86D4">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u w:val="none" w:color="auto"/>
          <w:lang w:val="en-US" w:eastAsia="zh-CN"/>
        </w:rPr>
      </w:pPr>
      <w:r>
        <w:rPr>
          <w:rFonts w:hint="eastAsia" w:asciiTheme="minorEastAsia" w:hAnsiTheme="minorEastAsia" w:eastAsiaTheme="minorEastAsia" w:cstheme="minorEastAsia"/>
          <w:color w:val="auto"/>
          <w:sz w:val="24"/>
          <w:szCs w:val="24"/>
          <w:u w:val="none" w:color="auto"/>
          <w:lang w:val="en" w:eastAsia="zh-CN"/>
        </w:rPr>
        <w:t>9</w:t>
      </w:r>
      <w:r>
        <w:rPr>
          <w:rFonts w:hint="eastAsia" w:asciiTheme="minorEastAsia" w:hAnsiTheme="minorEastAsia" w:eastAsiaTheme="minorEastAsia" w:cstheme="minorEastAsia"/>
          <w:color w:val="auto"/>
          <w:sz w:val="24"/>
          <w:szCs w:val="24"/>
          <w:u w:val="none" w:color="auto"/>
          <w:lang w:val="en-US" w:eastAsia="zh-CN"/>
        </w:rPr>
        <w:t>.配合智慧化管理：供应商需按照“i延安”APP建设要求，在宝塔区农村商业银行股份有限公司开设结算账户，确保消费资金和托管费用及时准确得到结算。要及时关注“i延安”APP“食堂菜谱”中的意见建议，向就餐者做好解释工作，并以问题为导向改进落实。要及时回应社会关切，解决好“12345”热线反映的关于机关食堂的所有问题。</w:t>
      </w:r>
    </w:p>
    <w:p w14:paraId="54257844">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val="en-US" w:eastAsia="zh-CN"/>
        </w:rPr>
        <w:t>1</w:t>
      </w:r>
      <w:r>
        <w:rPr>
          <w:rFonts w:hint="eastAsia" w:asciiTheme="minorEastAsia" w:hAnsiTheme="minorEastAsia" w:eastAsiaTheme="minorEastAsia" w:cstheme="minorEastAsia"/>
          <w:color w:val="auto"/>
          <w:sz w:val="24"/>
          <w:szCs w:val="24"/>
          <w:u w:val="none" w:color="auto"/>
          <w:lang w:val="en" w:eastAsia="zh-CN"/>
        </w:rPr>
        <w:t>0</w:t>
      </w:r>
      <w:r>
        <w:rPr>
          <w:rFonts w:hint="eastAsia" w:asciiTheme="minorEastAsia" w:hAnsiTheme="minorEastAsia" w:eastAsiaTheme="minorEastAsia" w:cstheme="minorEastAsia"/>
          <w:color w:val="auto"/>
          <w:sz w:val="24"/>
          <w:szCs w:val="24"/>
          <w:u w:val="none" w:color="auto"/>
        </w:rPr>
        <w:t>.应急保障：</w:t>
      </w:r>
      <w:r>
        <w:rPr>
          <w:rFonts w:hint="eastAsia" w:asciiTheme="minorEastAsia" w:hAnsiTheme="minorEastAsia" w:eastAsiaTheme="minorEastAsia" w:cstheme="minorEastAsia"/>
          <w:color w:val="auto"/>
          <w:sz w:val="24"/>
          <w:szCs w:val="24"/>
          <w:u w:val="none" w:color="auto"/>
          <w:lang w:val="en-US" w:eastAsia="zh-CN"/>
        </w:rPr>
        <w:t>供应商</w:t>
      </w:r>
      <w:r>
        <w:rPr>
          <w:rFonts w:hint="eastAsia" w:asciiTheme="minorEastAsia" w:hAnsiTheme="minorEastAsia" w:eastAsiaTheme="minorEastAsia" w:cstheme="minorEastAsia"/>
          <w:color w:val="auto"/>
          <w:sz w:val="24"/>
          <w:szCs w:val="24"/>
          <w:u w:val="none" w:color="auto"/>
        </w:rPr>
        <w:t>必须有科学、完善、合理的应急预案</w:t>
      </w:r>
      <w:r>
        <w:rPr>
          <w:rFonts w:hint="eastAsia" w:asciiTheme="minorEastAsia" w:hAnsiTheme="minorEastAsia" w:eastAsia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sz w:val="24"/>
          <w:szCs w:val="24"/>
          <w:u w:val="none" w:color="auto"/>
        </w:rPr>
        <w:t>对停水、停电、停气等</w:t>
      </w:r>
      <w:r>
        <w:rPr>
          <w:rFonts w:hint="eastAsia" w:asciiTheme="minorEastAsia" w:hAnsiTheme="minorEastAsia" w:eastAsiaTheme="minorEastAsia" w:cstheme="minorEastAsia"/>
          <w:color w:val="auto"/>
          <w:sz w:val="24"/>
          <w:szCs w:val="24"/>
          <w:u w:val="none" w:color="auto"/>
          <w:lang w:eastAsia="zh-CN"/>
        </w:rPr>
        <w:t>特殊</w:t>
      </w:r>
      <w:r>
        <w:rPr>
          <w:rFonts w:hint="eastAsia" w:asciiTheme="minorEastAsia" w:hAnsiTheme="minorEastAsia" w:eastAsiaTheme="minorEastAsia" w:cstheme="minorEastAsia"/>
          <w:color w:val="auto"/>
          <w:sz w:val="24"/>
          <w:szCs w:val="24"/>
          <w:u w:val="none" w:color="auto"/>
        </w:rPr>
        <w:t>情况</w:t>
      </w:r>
      <w:r>
        <w:rPr>
          <w:rFonts w:hint="eastAsia" w:asciiTheme="minorEastAsia" w:hAnsiTheme="minorEastAsia" w:eastAsiaTheme="minorEastAsia" w:cstheme="minorEastAsia"/>
          <w:color w:val="auto"/>
          <w:sz w:val="24"/>
          <w:szCs w:val="24"/>
          <w:u w:val="none" w:color="auto"/>
          <w:lang w:eastAsia="zh-CN"/>
        </w:rPr>
        <w:t>要</w:t>
      </w:r>
      <w:r>
        <w:rPr>
          <w:rFonts w:hint="eastAsia" w:asciiTheme="minorEastAsia" w:hAnsiTheme="minorEastAsia" w:eastAsiaTheme="minorEastAsia" w:cstheme="minorEastAsia"/>
          <w:color w:val="auto"/>
          <w:sz w:val="24"/>
          <w:szCs w:val="24"/>
          <w:u w:val="none" w:color="auto"/>
        </w:rPr>
        <w:t>有应对措施</w:t>
      </w:r>
      <w:r>
        <w:rPr>
          <w:rFonts w:hint="eastAsia" w:asciiTheme="minorEastAsia" w:hAnsiTheme="minorEastAsia" w:eastAsiaTheme="minorEastAsia" w:cstheme="minorEastAsia"/>
          <w:color w:val="auto"/>
          <w:sz w:val="24"/>
          <w:szCs w:val="24"/>
          <w:u w:val="none" w:color="auto"/>
          <w:lang w:eastAsia="zh-CN"/>
        </w:rPr>
        <w:t>，对疫情防控及处置要有应急保障措施，对火灾、漏电等突发事件要有应对措施。要建立有效的食品安全应急处置措施，确保饮食安全。</w:t>
      </w:r>
    </w:p>
    <w:p w14:paraId="4D5E8EB9">
      <w:pPr>
        <w:pStyle w:val="42"/>
        <w:widowControl w:val="0"/>
        <w:numPr>
          <w:ilvl w:val="0"/>
          <w:numId w:val="0"/>
        </w:numPr>
        <w:shd w:val="clear" w:color="auto" w:fill="auto"/>
        <w:spacing w:line="480" w:lineRule="exac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u w:val="none" w:color="auto"/>
          <w:lang w:val="en-US" w:eastAsia="zh-CN"/>
        </w:rPr>
        <w:t>1</w:t>
      </w:r>
      <w:r>
        <w:rPr>
          <w:rFonts w:hint="eastAsia" w:asciiTheme="minorEastAsia" w:hAnsiTheme="minorEastAsia" w:eastAsiaTheme="minorEastAsia" w:cstheme="minorEastAsia"/>
          <w:color w:val="auto"/>
          <w:sz w:val="24"/>
          <w:szCs w:val="24"/>
          <w:u w:val="none" w:color="auto"/>
          <w:lang w:val="en" w:eastAsia="zh-CN"/>
        </w:rPr>
        <w:t>1</w:t>
      </w:r>
      <w:r>
        <w:rPr>
          <w:rFonts w:hint="eastAsia" w:asciiTheme="minorEastAsia" w:hAnsiTheme="minorEastAsia" w:eastAsiaTheme="minorEastAsia" w:cstheme="minorEastAsia"/>
          <w:color w:val="auto"/>
          <w:sz w:val="24"/>
          <w:szCs w:val="24"/>
          <w:u w:val="none" w:color="auto"/>
        </w:rPr>
        <w:t>.</w:t>
      </w:r>
      <w:r>
        <w:rPr>
          <w:rFonts w:hint="eastAsia" w:asciiTheme="minorEastAsia" w:hAnsiTheme="minorEastAsia" w:eastAsiaTheme="minorEastAsia" w:cstheme="minorEastAsia"/>
          <w:color w:val="auto"/>
          <w:sz w:val="24"/>
          <w:szCs w:val="24"/>
          <w:u w:val="none" w:color="auto"/>
          <w:lang w:eastAsia="zh-CN"/>
        </w:rPr>
        <w:t>其他事项：</w:t>
      </w:r>
      <w:r>
        <w:rPr>
          <w:rFonts w:hint="eastAsia" w:asciiTheme="minorEastAsia" w:hAnsiTheme="minorEastAsia" w:eastAsiaTheme="minorEastAsia" w:cstheme="minorEastAsia"/>
          <w:color w:val="auto"/>
          <w:sz w:val="24"/>
          <w:szCs w:val="24"/>
          <w:u w:val="none" w:color="auto"/>
        </w:rPr>
        <w:t>托管期内，未经同意，</w:t>
      </w:r>
      <w:r>
        <w:rPr>
          <w:rFonts w:hint="eastAsia" w:asciiTheme="minorEastAsia" w:hAnsiTheme="minorEastAsia" w:eastAsiaTheme="minorEastAsia" w:cstheme="minorEastAsia"/>
          <w:color w:val="auto"/>
          <w:sz w:val="24"/>
          <w:szCs w:val="24"/>
          <w:u w:val="none" w:color="auto"/>
          <w:lang w:eastAsia="zh-CN"/>
        </w:rPr>
        <w:t>投标人</w:t>
      </w:r>
      <w:r>
        <w:rPr>
          <w:rFonts w:hint="eastAsia" w:asciiTheme="minorEastAsia" w:hAnsiTheme="minorEastAsia" w:eastAsiaTheme="minorEastAsia" w:cstheme="minorEastAsia"/>
          <w:color w:val="auto"/>
          <w:sz w:val="24"/>
          <w:szCs w:val="24"/>
          <w:u w:val="none" w:color="auto"/>
        </w:rPr>
        <w:t>不得私自转包，一经发现取消其经营资格</w:t>
      </w:r>
      <w:r>
        <w:rPr>
          <w:rFonts w:hint="eastAsia" w:asciiTheme="minorEastAsia" w:hAnsiTheme="minorEastAsia" w:eastAsia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sz w:val="24"/>
          <w:szCs w:val="24"/>
          <w:u w:val="none" w:color="auto"/>
          <w:lang w:val="en-US" w:eastAsia="zh-CN"/>
        </w:rPr>
        <w:t xml:space="preserve"> </w:t>
      </w:r>
    </w:p>
    <w:p w14:paraId="15C046F5">
      <w:pPr>
        <w:pStyle w:val="2"/>
        <w:spacing w:line="240" w:lineRule="auto"/>
        <w:ind w:left="0" w:firstLine="0"/>
        <w:jc w:val="center"/>
        <w:rPr>
          <w:rFonts w:hint="eastAsia" w:ascii="宋体" w:hAnsi="宋体" w:eastAsia="宋体" w:cs="宋体"/>
          <w:i w:val="0"/>
          <w:iCs w:val="0"/>
          <w:color w:val="auto"/>
          <w:sz w:val="36"/>
          <w:szCs w:val="36"/>
        </w:rPr>
        <w:sectPr>
          <w:headerReference r:id="rId10" w:type="default"/>
          <w:footerReference r:id="rId11" w:type="default"/>
          <w:pgSz w:w="11906" w:h="16839"/>
          <w:pgMar w:top="1984" w:right="1417" w:bottom="1417" w:left="1588" w:header="1020" w:footer="844" w:gutter="0"/>
          <w:pgBorders>
            <w:top w:val="none" w:sz="0" w:space="0"/>
            <w:left w:val="none" w:sz="0" w:space="0"/>
            <w:bottom w:val="none" w:sz="0" w:space="0"/>
            <w:right w:val="none" w:sz="0" w:space="0"/>
          </w:pgBorders>
          <w:pgNumType w:fmt="decimal"/>
          <w:cols w:space="720" w:num="1"/>
        </w:sectPr>
      </w:pPr>
    </w:p>
    <w:p w14:paraId="3C60F65B">
      <w:pPr>
        <w:pStyle w:val="2"/>
        <w:spacing w:line="240" w:lineRule="auto"/>
        <w:ind w:left="0" w:firstLine="0"/>
        <w:jc w:val="center"/>
        <w:rPr>
          <w:rFonts w:hint="eastAsia" w:ascii="宋体" w:hAnsi="宋体" w:eastAsia="宋体" w:cs="宋体"/>
          <w:i w:val="0"/>
          <w:iCs w:val="0"/>
          <w:color w:val="auto"/>
          <w:sz w:val="36"/>
          <w:szCs w:val="36"/>
        </w:rPr>
      </w:pPr>
      <w:bookmarkStart w:id="287" w:name="_GoBack"/>
      <w:bookmarkStart w:id="246" w:name="_Toc25982"/>
      <w:r>
        <w:rPr>
          <w:rFonts w:hint="eastAsia" w:ascii="宋体" w:hAnsi="宋体" w:eastAsia="宋体" w:cs="宋体"/>
          <w:i w:val="0"/>
          <w:iCs w:val="0"/>
          <w:color w:val="auto"/>
          <w:sz w:val="36"/>
          <w:szCs w:val="36"/>
        </w:rPr>
        <w:t>第</w:t>
      </w:r>
      <w:r>
        <w:rPr>
          <w:rFonts w:hint="eastAsia" w:ascii="宋体" w:hAnsi="宋体" w:eastAsia="宋体" w:cs="宋体"/>
          <w:i w:val="0"/>
          <w:iCs w:val="0"/>
          <w:color w:val="auto"/>
          <w:sz w:val="36"/>
          <w:szCs w:val="36"/>
          <w:lang w:val="en-US" w:eastAsia="zh-CN"/>
        </w:rPr>
        <w:t>五</w:t>
      </w:r>
      <w:r>
        <w:rPr>
          <w:rFonts w:hint="eastAsia" w:ascii="宋体" w:hAnsi="宋体" w:eastAsia="宋体" w:cs="宋体"/>
          <w:i w:val="0"/>
          <w:iCs w:val="0"/>
          <w:color w:val="auto"/>
          <w:sz w:val="36"/>
          <w:szCs w:val="36"/>
        </w:rPr>
        <w:t>章评标标准和方法</w:t>
      </w:r>
      <w:bookmarkEnd w:id="246"/>
    </w:p>
    <w:p w14:paraId="29658F63">
      <w:pPr>
        <w:snapToGrid w:val="0"/>
        <w:spacing w:line="360" w:lineRule="auto"/>
        <w:rPr>
          <w:rFonts w:hint="eastAsia" w:ascii="宋体" w:hAnsi="宋体" w:eastAsia="宋体" w:cs="宋体"/>
          <w:b/>
          <w:i w:val="0"/>
          <w:iCs w:val="0"/>
          <w:color w:val="auto"/>
          <w:sz w:val="28"/>
          <w:szCs w:val="32"/>
        </w:rPr>
      </w:pPr>
      <w:bookmarkStart w:id="247" w:name="_Toc350345684"/>
      <w:bookmarkStart w:id="248" w:name="_Toc358557659"/>
      <w:bookmarkStart w:id="249" w:name="_Toc274911111"/>
      <w:bookmarkStart w:id="250" w:name="_Toc17197784"/>
      <w:r>
        <w:rPr>
          <w:rFonts w:hint="eastAsia" w:ascii="宋体" w:hAnsi="宋体" w:eastAsia="宋体" w:cs="宋体"/>
          <w:b/>
          <w:i w:val="0"/>
          <w:iCs w:val="0"/>
          <w:color w:val="auto"/>
          <w:sz w:val="28"/>
          <w:szCs w:val="32"/>
        </w:rPr>
        <w:t>1总则</w:t>
      </w:r>
      <w:bookmarkEnd w:id="247"/>
      <w:bookmarkEnd w:id="248"/>
      <w:bookmarkEnd w:id="249"/>
      <w:bookmarkEnd w:id="250"/>
    </w:p>
    <w:p w14:paraId="78BB319B">
      <w:pPr>
        <w:snapToGrid w:val="0"/>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1.1采用综合评分法：即在最大限度地满足招标文件实质性要求前提下，按照招标文件中规定的各项因素进行综合评审后，按照得分高低进行排名。</w:t>
      </w:r>
    </w:p>
    <w:p w14:paraId="433FADB5">
      <w:pPr>
        <w:snapToGrid w:val="0"/>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1.2</w:t>
      </w:r>
      <w:r>
        <w:rPr>
          <w:rFonts w:hint="eastAsia" w:ascii="宋体" w:hAnsi="宋体" w:eastAsia="宋体" w:cs="宋体"/>
          <w:i w:val="0"/>
          <w:iCs w:val="0"/>
          <w:color w:val="auto"/>
          <w:sz w:val="24"/>
          <w:lang w:val="zh-CN"/>
        </w:rPr>
        <w:t>本次评标委员会成员共</w:t>
      </w:r>
      <w:r>
        <w:rPr>
          <w:rFonts w:hint="eastAsia" w:ascii="宋体" w:hAnsi="宋体" w:eastAsia="宋体" w:cs="宋体"/>
          <w:i w:val="0"/>
          <w:iCs w:val="0"/>
          <w:color w:val="auto"/>
          <w:sz w:val="24"/>
        </w:rPr>
        <w:t>由</w:t>
      </w:r>
      <w:r>
        <w:rPr>
          <w:rFonts w:hint="eastAsia" w:ascii="宋体" w:hAnsi="宋体" w:cs="宋体"/>
          <w:i w:val="0"/>
          <w:iCs w:val="0"/>
          <w:color w:val="auto"/>
          <w:sz w:val="24"/>
          <w:lang w:val="en-US" w:eastAsia="zh-CN"/>
        </w:rPr>
        <w:t>7</w:t>
      </w:r>
      <w:r>
        <w:rPr>
          <w:rFonts w:hint="eastAsia" w:ascii="宋体" w:hAnsi="宋体" w:eastAsia="宋体" w:cs="宋体"/>
          <w:i w:val="0"/>
          <w:iCs w:val="0"/>
          <w:color w:val="auto"/>
          <w:sz w:val="24"/>
          <w:lang w:val="zh-CN"/>
        </w:rPr>
        <w:t>人组成，从陕西省政府采购</w:t>
      </w:r>
      <w:r>
        <w:rPr>
          <w:rFonts w:hint="eastAsia" w:ascii="宋体" w:hAnsi="宋体" w:cs="宋体"/>
          <w:i w:val="0"/>
          <w:iCs w:val="0"/>
          <w:color w:val="auto"/>
          <w:sz w:val="24"/>
          <w:lang w:val="en-US" w:eastAsia="zh-CN"/>
        </w:rPr>
        <w:t>评标</w:t>
      </w:r>
      <w:r>
        <w:rPr>
          <w:rFonts w:hint="eastAsia" w:ascii="宋体" w:hAnsi="宋体" w:eastAsia="宋体" w:cs="宋体"/>
          <w:i w:val="0"/>
          <w:iCs w:val="0"/>
          <w:color w:val="auto"/>
          <w:sz w:val="24"/>
          <w:lang w:val="zh-CN"/>
        </w:rPr>
        <w:t>专家库中随机抽取</w:t>
      </w:r>
      <w:r>
        <w:rPr>
          <w:rFonts w:hint="eastAsia" w:ascii="宋体" w:hAnsi="宋体" w:cs="宋体"/>
          <w:i w:val="0"/>
          <w:iCs w:val="0"/>
          <w:color w:val="auto"/>
          <w:sz w:val="24"/>
          <w:lang w:val="en-US" w:eastAsia="zh-CN"/>
        </w:rPr>
        <w:t>5</w:t>
      </w:r>
      <w:r>
        <w:rPr>
          <w:rFonts w:hint="eastAsia" w:ascii="宋体" w:hAnsi="宋体" w:eastAsia="宋体" w:cs="宋体"/>
          <w:i w:val="0"/>
          <w:iCs w:val="0"/>
          <w:color w:val="auto"/>
          <w:sz w:val="24"/>
        </w:rPr>
        <w:t>人，采购人</w:t>
      </w:r>
      <w:r>
        <w:rPr>
          <w:rFonts w:hint="eastAsia" w:ascii="宋体" w:hAnsi="宋体" w:cs="宋体"/>
          <w:i w:val="0"/>
          <w:iCs w:val="0"/>
          <w:color w:val="auto"/>
          <w:sz w:val="24"/>
          <w:lang w:val="en-US" w:eastAsia="zh-CN"/>
        </w:rPr>
        <w:t>代表2</w:t>
      </w:r>
      <w:r>
        <w:rPr>
          <w:rFonts w:hint="eastAsia" w:ascii="宋体" w:hAnsi="宋体" w:eastAsia="宋体" w:cs="宋体"/>
          <w:i w:val="0"/>
          <w:iCs w:val="0"/>
          <w:color w:val="auto"/>
          <w:sz w:val="24"/>
        </w:rPr>
        <w:t>人</w:t>
      </w:r>
      <w:r>
        <w:rPr>
          <w:rFonts w:hint="eastAsia" w:ascii="宋体" w:hAnsi="宋体" w:eastAsia="宋体" w:cs="宋体"/>
          <w:i w:val="0"/>
          <w:iCs w:val="0"/>
          <w:color w:val="auto"/>
          <w:sz w:val="24"/>
          <w:lang w:val="zh-CN"/>
        </w:rPr>
        <w:t>。</w:t>
      </w:r>
      <w:r>
        <w:rPr>
          <w:rFonts w:hint="eastAsia" w:ascii="宋体" w:hAnsi="宋体" w:eastAsia="宋体" w:cs="宋体"/>
          <w:i w:val="0"/>
          <w:iCs w:val="0"/>
          <w:color w:val="auto"/>
          <w:sz w:val="24"/>
        </w:rPr>
        <w:t>评标委员会依据招标文件中的标准、办法对投标文件进行评标，任何其他的外部证据均不得作为评标的依据。</w:t>
      </w:r>
    </w:p>
    <w:p w14:paraId="197AF78B">
      <w:pPr>
        <w:snapToGrid w:val="0"/>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1.3按本办法评标，评标委员会可按得分高低推荐前三名为</w:t>
      </w:r>
      <w:r>
        <w:rPr>
          <w:rFonts w:hint="eastAsia" w:ascii="宋体" w:hAnsi="宋体" w:cs="宋体"/>
          <w:i w:val="0"/>
          <w:iCs w:val="0"/>
          <w:color w:val="auto"/>
          <w:sz w:val="24"/>
          <w:lang w:val="en-US" w:eastAsia="zh-CN"/>
        </w:rPr>
        <w:t>中标</w:t>
      </w:r>
      <w:r>
        <w:rPr>
          <w:rFonts w:hint="eastAsia" w:ascii="宋体" w:hAnsi="宋体" w:eastAsia="宋体" w:cs="宋体"/>
          <w:i w:val="0"/>
          <w:iCs w:val="0"/>
          <w:color w:val="auto"/>
          <w:sz w:val="24"/>
        </w:rPr>
        <w:t>候选人。由采购人按照有关法规组织定标。</w:t>
      </w:r>
    </w:p>
    <w:p w14:paraId="2ADFA10A">
      <w:pPr>
        <w:snapToGrid w:val="0"/>
        <w:spacing w:line="360" w:lineRule="auto"/>
        <w:rPr>
          <w:rFonts w:hint="eastAsia" w:ascii="宋体" w:hAnsi="宋体" w:eastAsia="宋体" w:cs="宋体"/>
          <w:b/>
          <w:i w:val="0"/>
          <w:iCs w:val="0"/>
          <w:color w:val="auto"/>
          <w:sz w:val="28"/>
          <w:szCs w:val="32"/>
        </w:rPr>
      </w:pPr>
      <w:bookmarkStart w:id="251" w:name="_Toc17197786"/>
      <w:bookmarkStart w:id="252" w:name="_Toc358557660"/>
      <w:bookmarkStart w:id="253" w:name="_Toc350345685"/>
      <w:bookmarkStart w:id="254" w:name="_Toc274911112"/>
      <w:r>
        <w:rPr>
          <w:rFonts w:hint="eastAsia" w:ascii="宋体" w:hAnsi="宋体" w:eastAsia="宋体" w:cs="宋体"/>
          <w:b/>
          <w:i w:val="0"/>
          <w:iCs w:val="0"/>
          <w:color w:val="auto"/>
          <w:sz w:val="28"/>
          <w:szCs w:val="32"/>
        </w:rPr>
        <w:t>2评标标准及说明</w:t>
      </w:r>
      <w:bookmarkEnd w:id="251"/>
      <w:bookmarkEnd w:id="252"/>
      <w:bookmarkEnd w:id="253"/>
      <w:bookmarkEnd w:id="254"/>
    </w:p>
    <w:p w14:paraId="56E3854C">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2.1资格评审</w:t>
      </w:r>
    </w:p>
    <w:p w14:paraId="1FB8BAD9">
      <w:pPr>
        <w:tabs>
          <w:tab w:val="left" w:pos="1050"/>
        </w:tabs>
        <w:adjustRightInd w:val="0"/>
        <w:snapToGrid w:val="0"/>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评分细则见附表</w:t>
      </w:r>
    </w:p>
    <w:p w14:paraId="0B4D83CE">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2.2符合性评审</w:t>
      </w:r>
    </w:p>
    <w:p w14:paraId="33687746">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评分细则见附表</w:t>
      </w:r>
    </w:p>
    <w:p w14:paraId="0C05B59E">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2.3</w:t>
      </w:r>
      <w:bookmarkStart w:id="255" w:name="_Toc358557661"/>
      <w:r>
        <w:rPr>
          <w:rFonts w:hint="eastAsia" w:ascii="宋体" w:hAnsi="宋体" w:eastAsia="宋体" w:cs="宋体"/>
          <w:i w:val="0"/>
          <w:iCs w:val="0"/>
          <w:color w:val="auto"/>
          <w:sz w:val="24"/>
        </w:rPr>
        <w:t>技术评审</w:t>
      </w:r>
    </w:p>
    <w:p w14:paraId="5A603528">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评分细则见附表</w:t>
      </w:r>
    </w:p>
    <w:p w14:paraId="430822DA">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2.4商务评审</w:t>
      </w:r>
    </w:p>
    <w:p w14:paraId="4DD3AFF6">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评分细则见附表</w:t>
      </w:r>
    </w:p>
    <w:p w14:paraId="1135AAA9">
      <w:pPr>
        <w:snapToGrid w:val="0"/>
        <w:spacing w:line="360" w:lineRule="auto"/>
        <w:rPr>
          <w:rFonts w:hint="eastAsia" w:ascii="宋体" w:hAnsi="宋体" w:eastAsia="宋体" w:cs="宋体"/>
          <w:b/>
          <w:i w:val="0"/>
          <w:iCs w:val="0"/>
          <w:color w:val="auto"/>
          <w:sz w:val="28"/>
          <w:szCs w:val="32"/>
        </w:rPr>
      </w:pPr>
      <w:r>
        <w:rPr>
          <w:rFonts w:hint="eastAsia" w:ascii="宋体" w:hAnsi="宋体" w:eastAsia="宋体" w:cs="宋体"/>
          <w:b/>
          <w:i w:val="0"/>
          <w:iCs w:val="0"/>
          <w:color w:val="auto"/>
          <w:sz w:val="28"/>
          <w:szCs w:val="32"/>
        </w:rPr>
        <w:t>3特殊情况的处理及评标规则</w:t>
      </w:r>
      <w:bookmarkEnd w:id="255"/>
    </w:p>
    <w:p w14:paraId="1DAEDE94">
      <w:pPr>
        <w:tabs>
          <w:tab w:val="left" w:pos="1050"/>
        </w:tabs>
        <w:adjustRightInd w:val="0"/>
        <w:snapToGrid w:val="0"/>
        <w:spacing w:line="360" w:lineRule="auto"/>
        <w:rPr>
          <w:rFonts w:hint="eastAsia" w:ascii="宋体" w:hAnsi="宋体" w:eastAsia="宋体" w:cs="宋体"/>
          <w:i w:val="0"/>
          <w:iCs w:val="0"/>
          <w:color w:val="auto"/>
          <w:sz w:val="24"/>
          <w:szCs w:val="28"/>
        </w:rPr>
      </w:pPr>
      <w:r>
        <w:rPr>
          <w:rFonts w:hint="eastAsia" w:ascii="宋体" w:hAnsi="宋体" w:eastAsia="宋体" w:cs="宋体"/>
          <w:i w:val="0"/>
          <w:iCs w:val="0"/>
          <w:color w:val="auto"/>
          <w:sz w:val="24"/>
          <w:szCs w:val="28"/>
        </w:rPr>
        <w:t>3.1投标文件中缺少某分项时，该分项为0分。</w:t>
      </w:r>
    </w:p>
    <w:p w14:paraId="0CA89B08">
      <w:pPr>
        <w:tabs>
          <w:tab w:val="left" w:pos="1050"/>
        </w:tabs>
        <w:adjustRightInd w:val="0"/>
        <w:snapToGrid w:val="0"/>
        <w:spacing w:line="360" w:lineRule="auto"/>
        <w:rPr>
          <w:rFonts w:hint="eastAsia" w:ascii="宋体" w:hAnsi="宋体" w:eastAsia="宋体" w:cs="宋体"/>
          <w:i w:val="0"/>
          <w:iCs w:val="0"/>
          <w:color w:val="auto"/>
          <w:sz w:val="24"/>
          <w:szCs w:val="28"/>
        </w:rPr>
      </w:pPr>
      <w:r>
        <w:rPr>
          <w:rFonts w:hint="eastAsia" w:ascii="宋体" w:hAnsi="宋体" w:eastAsia="宋体" w:cs="宋体"/>
          <w:i w:val="0"/>
          <w:iCs w:val="0"/>
          <w:color w:val="auto"/>
          <w:sz w:val="24"/>
          <w:szCs w:val="28"/>
        </w:rPr>
        <w:t>3.2评标过程中，各种数字计算（四舍五入）均精确至小数点后二位。</w:t>
      </w:r>
    </w:p>
    <w:p w14:paraId="198CEFC9">
      <w:pPr>
        <w:tabs>
          <w:tab w:val="left" w:pos="1050"/>
        </w:tabs>
        <w:adjustRightInd w:val="0"/>
        <w:snapToGrid w:val="0"/>
        <w:spacing w:line="360" w:lineRule="auto"/>
        <w:rPr>
          <w:rFonts w:hint="eastAsia" w:ascii="宋体" w:hAnsi="宋体" w:eastAsia="宋体" w:cs="宋体"/>
          <w:b/>
          <w:i w:val="0"/>
          <w:iCs w:val="0"/>
          <w:color w:val="auto"/>
          <w:sz w:val="24"/>
        </w:rPr>
      </w:pPr>
      <w:r>
        <w:rPr>
          <w:rFonts w:hint="eastAsia" w:ascii="宋体" w:hAnsi="宋体" w:eastAsia="宋体" w:cs="宋体"/>
          <w:i w:val="0"/>
          <w:iCs w:val="0"/>
          <w:color w:val="auto"/>
          <w:sz w:val="24"/>
          <w:szCs w:val="28"/>
        </w:rPr>
        <w:t>3.3各评委必须按本办法据实记分，记分不符合本办法规定要求者，均按无效记分对待。</w:t>
      </w:r>
    </w:p>
    <w:p w14:paraId="2DD1E9D4">
      <w:pPr>
        <w:adjustRightInd w:val="0"/>
        <w:snapToGrid w:val="0"/>
        <w:spacing w:line="360" w:lineRule="auto"/>
        <w:rPr>
          <w:rFonts w:hint="eastAsia" w:ascii="宋体" w:hAnsi="宋体" w:eastAsia="宋体" w:cs="宋体"/>
          <w:i w:val="0"/>
          <w:iCs w:val="0"/>
          <w:color w:val="auto"/>
          <w:sz w:val="24"/>
          <w:szCs w:val="28"/>
        </w:rPr>
      </w:pPr>
      <w:r>
        <w:rPr>
          <w:rFonts w:hint="eastAsia" w:ascii="宋体" w:hAnsi="宋体" w:eastAsia="宋体" w:cs="宋体"/>
          <w:i w:val="0"/>
          <w:iCs w:val="0"/>
          <w:color w:val="auto"/>
          <w:sz w:val="24"/>
          <w:szCs w:val="28"/>
        </w:rPr>
        <w:t>3.4评定标过程中，若出现本办法以外的特殊情况时，将暂停评标，有关情况待评标委员会确定后，再行评定。</w:t>
      </w:r>
    </w:p>
    <w:p w14:paraId="68B299BD">
      <w:pPr>
        <w:adjustRightInd w:val="0"/>
        <w:snapToGrid w:val="0"/>
        <w:spacing w:line="360" w:lineRule="auto"/>
        <w:rPr>
          <w:rFonts w:hint="eastAsia" w:ascii="宋体" w:hAnsi="宋体" w:eastAsia="宋体" w:cs="宋体"/>
          <w:b/>
          <w:bCs/>
          <w:i w:val="0"/>
          <w:iCs w:val="0"/>
          <w:color w:val="auto"/>
          <w:sz w:val="24"/>
          <w:lang w:eastAsia="zh-CN"/>
        </w:rPr>
      </w:pPr>
      <w:r>
        <w:rPr>
          <w:rFonts w:hint="eastAsia" w:ascii="宋体" w:hAnsi="宋体" w:eastAsia="宋体" w:cs="宋体"/>
          <w:b/>
          <w:bCs/>
          <w:i w:val="0"/>
          <w:iCs w:val="0"/>
          <w:color w:val="auto"/>
          <w:sz w:val="24"/>
        </w:rPr>
        <w:t>资格性审查内容</w:t>
      </w:r>
      <w:r>
        <w:rPr>
          <w:rFonts w:hint="eastAsia" w:ascii="宋体" w:hAnsi="宋体" w:eastAsia="宋体" w:cs="宋体"/>
          <w:b/>
          <w:bCs/>
          <w:i w:val="0"/>
          <w:iCs w:val="0"/>
          <w:color w:val="auto"/>
          <w:sz w:val="24"/>
          <w:lang w:eastAsia="zh-CN"/>
        </w:rPr>
        <w:t>：</w:t>
      </w:r>
    </w:p>
    <w:p w14:paraId="41AB93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i w:val="0"/>
          <w:iCs w:val="0"/>
          <w:color w:val="auto"/>
          <w:sz w:val="24"/>
          <w:lang w:eastAsia="zh-CN"/>
        </w:rPr>
      </w:pPr>
    </w:p>
    <w:tbl>
      <w:tblPr>
        <w:tblStyle w:val="22"/>
        <w:tblpPr w:leftFromText="180" w:rightFromText="180" w:vertAnchor="text" w:horzAnchor="page" w:tblpX="1373" w:tblpY="507"/>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7483"/>
        <w:gridCol w:w="790"/>
      </w:tblGrid>
      <w:tr w14:paraId="1696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14" w:type="dxa"/>
            <w:tcBorders>
              <w:top w:val="single" w:color="auto" w:sz="4" w:space="0"/>
              <w:left w:val="single" w:color="auto" w:sz="4" w:space="0"/>
              <w:bottom w:val="single" w:color="auto" w:sz="4" w:space="0"/>
              <w:right w:val="single" w:color="auto" w:sz="4" w:space="0"/>
            </w:tcBorders>
            <w:noWrap w:val="0"/>
            <w:vAlign w:val="center"/>
          </w:tcPr>
          <w:p w14:paraId="69EE41D4">
            <w:pPr>
              <w:keepNext w:val="0"/>
              <w:keepLines w:val="0"/>
              <w:pageBreakBefore w:val="0"/>
              <w:widowControl w:val="0"/>
              <w:tabs>
                <w:tab w:val="left" w:pos="320"/>
              </w:tabs>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评审</w:t>
            </w:r>
          </w:p>
          <w:p w14:paraId="1866631A">
            <w:pPr>
              <w:keepNext w:val="0"/>
              <w:keepLines w:val="0"/>
              <w:pageBreakBefore w:val="0"/>
              <w:widowControl w:val="0"/>
              <w:tabs>
                <w:tab w:val="left" w:pos="320"/>
              </w:tabs>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内容</w:t>
            </w:r>
          </w:p>
        </w:tc>
        <w:tc>
          <w:tcPr>
            <w:tcW w:w="7483" w:type="dxa"/>
            <w:tcBorders>
              <w:top w:val="single" w:color="auto" w:sz="4" w:space="0"/>
              <w:left w:val="single" w:color="auto" w:sz="4" w:space="0"/>
              <w:bottom w:val="single" w:color="auto" w:sz="4" w:space="0"/>
              <w:right w:val="single" w:color="auto" w:sz="4" w:space="0"/>
            </w:tcBorders>
            <w:noWrap w:val="0"/>
            <w:vAlign w:val="center"/>
          </w:tcPr>
          <w:p w14:paraId="1397AE9D">
            <w:pPr>
              <w:keepNext w:val="0"/>
              <w:keepLines w:val="0"/>
              <w:pageBreakBefore w:val="0"/>
              <w:widowControl w:val="0"/>
              <w:tabs>
                <w:tab w:val="left" w:pos="320"/>
              </w:tabs>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评审办法</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88A8BD8">
            <w:pPr>
              <w:keepNext w:val="0"/>
              <w:keepLines w:val="0"/>
              <w:pageBreakBefore w:val="0"/>
              <w:widowControl w:val="0"/>
              <w:tabs>
                <w:tab w:val="left" w:pos="320"/>
              </w:tabs>
              <w:kinsoku/>
              <w:wordWrap/>
              <w:overflowPunct/>
              <w:topLinePunct w:val="0"/>
              <w:autoSpaceDE/>
              <w:autoSpaceDN/>
              <w:bidi w:val="0"/>
              <w:adjustRightInd/>
              <w:snapToGrid w:val="0"/>
              <w:spacing w:line="240" w:lineRule="auto"/>
              <w:ind w:left="0" w:hanging="217" w:hangingChars="90"/>
              <w:jc w:val="both"/>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结论</w:t>
            </w:r>
          </w:p>
        </w:tc>
      </w:tr>
      <w:tr w14:paraId="7BD9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14" w:type="dxa"/>
            <w:tcBorders>
              <w:top w:val="single" w:color="auto" w:sz="4" w:space="0"/>
              <w:left w:val="single" w:color="auto" w:sz="4" w:space="0"/>
              <w:bottom w:val="single" w:color="auto" w:sz="4" w:space="0"/>
              <w:right w:val="single" w:color="auto" w:sz="4" w:space="0"/>
            </w:tcBorders>
            <w:noWrap w:val="0"/>
            <w:vAlign w:val="top"/>
          </w:tcPr>
          <w:p w14:paraId="3A43BA0F">
            <w:pPr>
              <w:tabs>
                <w:tab w:val="left" w:pos="320"/>
              </w:tabs>
              <w:snapToGrid w:val="0"/>
              <w:jc w:val="left"/>
              <w:rPr>
                <w:rFonts w:hint="eastAsia" w:ascii="宋体" w:hAnsi="宋体" w:eastAsia="宋体" w:cs="宋体"/>
                <w:b/>
                <w:color w:val="000000"/>
                <w:sz w:val="24"/>
                <w:szCs w:val="24"/>
              </w:rPr>
            </w:pPr>
          </w:p>
          <w:p w14:paraId="37E45174">
            <w:pPr>
              <w:tabs>
                <w:tab w:val="left" w:pos="320"/>
              </w:tabs>
              <w:snapToGrid w:val="0"/>
              <w:jc w:val="left"/>
              <w:rPr>
                <w:rFonts w:hint="eastAsia" w:ascii="宋体" w:hAnsi="宋体" w:eastAsia="宋体" w:cs="宋体"/>
                <w:b/>
                <w:color w:val="000000"/>
                <w:sz w:val="24"/>
                <w:szCs w:val="24"/>
              </w:rPr>
            </w:pPr>
          </w:p>
          <w:p w14:paraId="343DF5A0">
            <w:pPr>
              <w:tabs>
                <w:tab w:val="left" w:pos="320"/>
              </w:tabs>
              <w:snapToGrid w:val="0"/>
              <w:jc w:val="left"/>
              <w:rPr>
                <w:rFonts w:hint="eastAsia" w:ascii="宋体" w:hAnsi="宋体" w:eastAsia="宋体" w:cs="宋体"/>
                <w:b/>
                <w:color w:val="000000"/>
                <w:sz w:val="24"/>
                <w:szCs w:val="24"/>
              </w:rPr>
            </w:pPr>
          </w:p>
          <w:p w14:paraId="5B840238">
            <w:pPr>
              <w:tabs>
                <w:tab w:val="left" w:pos="320"/>
              </w:tabs>
              <w:snapToGrid w:val="0"/>
              <w:jc w:val="left"/>
              <w:rPr>
                <w:rFonts w:hint="eastAsia" w:ascii="宋体" w:hAnsi="宋体" w:eastAsia="宋体" w:cs="宋体"/>
                <w:b/>
                <w:color w:val="000000"/>
                <w:sz w:val="24"/>
                <w:szCs w:val="24"/>
              </w:rPr>
            </w:pPr>
          </w:p>
          <w:p w14:paraId="29D227E8">
            <w:pPr>
              <w:tabs>
                <w:tab w:val="left" w:pos="320"/>
              </w:tabs>
              <w:snapToGrid w:val="0"/>
              <w:jc w:val="left"/>
              <w:rPr>
                <w:rFonts w:hint="eastAsia" w:ascii="宋体" w:hAnsi="宋体" w:eastAsia="宋体" w:cs="宋体"/>
                <w:b/>
                <w:color w:val="000000"/>
                <w:sz w:val="24"/>
                <w:szCs w:val="24"/>
              </w:rPr>
            </w:pPr>
          </w:p>
          <w:p w14:paraId="011835E1">
            <w:pPr>
              <w:tabs>
                <w:tab w:val="left" w:pos="320"/>
              </w:tabs>
              <w:snapToGrid w:val="0"/>
              <w:jc w:val="left"/>
              <w:rPr>
                <w:rFonts w:hint="eastAsia" w:ascii="宋体" w:hAnsi="宋体" w:eastAsia="宋体" w:cs="宋体"/>
                <w:b/>
                <w:color w:val="000000"/>
                <w:sz w:val="24"/>
                <w:szCs w:val="24"/>
              </w:rPr>
            </w:pPr>
          </w:p>
          <w:p w14:paraId="0F1E1917">
            <w:pPr>
              <w:tabs>
                <w:tab w:val="left" w:pos="320"/>
              </w:tabs>
              <w:snapToGrid w:val="0"/>
              <w:jc w:val="left"/>
              <w:rPr>
                <w:rFonts w:hint="eastAsia" w:ascii="宋体" w:hAnsi="宋体" w:eastAsia="宋体" w:cs="宋体"/>
                <w:b/>
                <w:color w:val="000000"/>
                <w:sz w:val="24"/>
                <w:szCs w:val="24"/>
              </w:rPr>
            </w:pPr>
          </w:p>
          <w:p w14:paraId="32A4EDBB">
            <w:pPr>
              <w:tabs>
                <w:tab w:val="left" w:pos="320"/>
              </w:tabs>
              <w:snapToGrid w:val="0"/>
              <w:jc w:val="left"/>
              <w:rPr>
                <w:rFonts w:hint="eastAsia" w:ascii="宋体" w:hAnsi="宋体" w:eastAsia="宋体" w:cs="宋体"/>
                <w:b/>
                <w:color w:val="000000"/>
                <w:sz w:val="24"/>
                <w:szCs w:val="24"/>
              </w:rPr>
            </w:pPr>
          </w:p>
          <w:p w14:paraId="38FE33F5">
            <w:pPr>
              <w:tabs>
                <w:tab w:val="left" w:pos="320"/>
              </w:tabs>
              <w:snapToGrid w:val="0"/>
              <w:jc w:val="left"/>
              <w:rPr>
                <w:rFonts w:hint="eastAsia" w:ascii="宋体" w:hAnsi="宋体" w:eastAsia="宋体" w:cs="宋体"/>
                <w:b/>
                <w:color w:val="000000"/>
                <w:sz w:val="24"/>
                <w:szCs w:val="24"/>
              </w:rPr>
            </w:pPr>
          </w:p>
          <w:p w14:paraId="33F40384">
            <w:pPr>
              <w:tabs>
                <w:tab w:val="left" w:pos="320"/>
              </w:tabs>
              <w:snapToGrid w:val="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资格审查部分</w:t>
            </w:r>
          </w:p>
        </w:tc>
        <w:tc>
          <w:tcPr>
            <w:tcW w:w="7483" w:type="dxa"/>
            <w:tcBorders>
              <w:top w:val="single" w:color="auto" w:sz="4" w:space="0"/>
              <w:left w:val="single" w:color="auto" w:sz="4" w:space="0"/>
              <w:bottom w:val="single" w:color="auto" w:sz="4" w:space="0"/>
              <w:right w:val="single" w:color="auto" w:sz="4" w:space="0"/>
            </w:tcBorders>
            <w:noWrap w:val="0"/>
            <w:vAlign w:val="top"/>
          </w:tcPr>
          <w:p w14:paraId="47F49B2D">
            <w:pPr>
              <w:tabs>
                <w:tab w:val="left" w:pos="5680"/>
                <w:tab w:val="left" w:pos="6439"/>
              </w:tabs>
              <w:snapToGrid w:val="0"/>
              <w:spacing w:line="360" w:lineRule="auto"/>
              <w:ind w:right="88" w:rightChars="42"/>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本项目采用资格后审，首先对</w:t>
            </w:r>
            <w:r>
              <w:rPr>
                <w:rFonts w:hint="eastAsia" w:ascii="宋体" w:hAnsi="宋体" w:eastAsia="宋体" w:cs="宋体"/>
                <w:i w:val="0"/>
                <w:iCs w:val="0"/>
                <w:color w:val="auto"/>
                <w:sz w:val="24"/>
                <w:lang w:val="en-US" w:eastAsia="zh-CN"/>
              </w:rPr>
              <w:t>投标人</w:t>
            </w:r>
            <w:r>
              <w:rPr>
                <w:rFonts w:hint="eastAsia" w:ascii="宋体" w:hAnsi="宋体" w:eastAsia="宋体" w:cs="宋体"/>
                <w:color w:val="000000"/>
                <w:sz w:val="24"/>
                <w:szCs w:val="24"/>
              </w:rPr>
              <w:t>的资格进行资格性审查。凡符合以下资格审查标准的</w:t>
            </w:r>
            <w:r>
              <w:rPr>
                <w:rFonts w:hint="eastAsia" w:ascii="宋体" w:hAnsi="宋体" w:eastAsia="宋体" w:cs="宋体"/>
                <w:i w:val="0"/>
                <w:iCs w:val="0"/>
                <w:color w:val="auto"/>
                <w:sz w:val="24"/>
                <w:lang w:val="en-US" w:eastAsia="zh-CN"/>
              </w:rPr>
              <w:t>投标人</w:t>
            </w:r>
            <w:r>
              <w:rPr>
                <w:rFonts w:hint="eastAsia" w:ascii="宋体" w:hAnsi="宋体" w:eastAsia="宋体" w:cs="宋体"/>
                <w:color w:val="000000"/>
                <w:sz w:val="24"/>
                <w:szCs w:val="24"/>
              </w:rPr>
              <w:t>均通过资格审查。资格审查文件中若有一项审查内容不符合审查标准的，该</w:t>
            </w:r>
            <w:r>
              <w:rPr>
                <w:rFonts w:hint="eastAsia" w:ascii="宋体" w:hAnsi="宋体" w:eastAsia="宋体" w:cs="宋体"/>
                <w:i w:val="0"/>
                <w:iCs w:val="0"/>
                <w:color w:val="auto"/>
                <w:sz w:val="24"/>
                <w:lang w:val="en-US" w:eastAsia="zh-CN"/>
              </w:rPr>
              <w:t>投标人</w:t>
            </w:r>
            <w:r>
              <w:rPr>
                <w:rFonts w:hint="eastAsia" w:ascii="宋体" w:hAnsi="宋体" w:eastAsia="宋体" w:cs="宋体"/>
                <w:color w:val="000000"/>
                <w:sz w:val="24"/>
                <w:szCs w:val="24"/>
              </w:rPr>
              <w:t>资格审查不予通过，不再参与评审。</w:t>
            </w:r>
          </w:p>
          <w:p w14:paraId="43CF2BED">
            <w:pPr>
              <w:tabs>
                <w:tab w:val="left" w:pos="5680"/>
                <w:tab w:val="left" w:pos="6439"/>
              </w:tabs>
              <w:snapToGrid w:val="0"/>
              <w:spacing w:line="360" w:lineRule="auto"/>
              <w:ind w:right="88" w:rightChars="42"/>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符合《中华人民共和国政府采购法》第二十二条规定。</w:t>
            </w:r>
          </w:p>
          <w:p w14:paraId="186C30E5">
            <w:pPr>
              <w:tabs>
                <w:tab w:val="left" w:pos="5680"/>
                <w:tab w:val="left" w:pos="6439"/>
              </w:tabs>
              <w:snapToGrid w:val="0"/>
              <w:spacing w:line="360" w:lineRule="auto"/>
              <w:ind w:right="88" w:rightChars="42"/>
              <w:jc w:val="left"/>
              <w:rPr>
                <w:rFonts w:hint="eastAsia" w:ascii="宋体" w:hAnsi="宋体" w:eastAsia="宋体" w:cs="宋体"/>
                <w:b/>
                <w:sz w:val="24"/>
                <w:szCs w:val="24"/>
                <w:lang w:val="zh-CN" w:eastAsia="zh-CN" w:bidi="ar"/>
              </w:rPr>
            </w:pPr>
            <w:r>
              <w:rPr>
                <w:rFonts w:hint="eastAsia" w:ascii="宋体" w:hAnsi="宋体" w:eastAsia="宋体" w:cs="宋体"/>
                <w:b w:val="0"/>
                <w:bCs/>
                <w:sz w:val="24"/>
                <w:szCs w:val="24"/>
                <w:lang w:val="zh-CN" w:eastAsia="zh-CN" w:bidi="ar"/>
              </w:rPr>
              <w:t>①投标人须具有独立承担民事责任能力的法人或其他组织，具有合法有效的营业执照、组织机构代码证、税务登记证（或统一社会信用代码的营业执照）、开户许可证（或基本账户信息证明）；</w:t>
            </w:r>
            <w:r>
              <w:rPr>
                <w:rFonts w:hint="eastAsia" w:ascii="宋体" w:hAnsi="宋体" w:eastAsia="宋体" w:cs="宋体"/>
                <w:b w:val="0"/>
                <w:bCs/>
                <w:sz w:val="24"/>
                <w:szCs w:val="24"/>
                <w:lang w:val="zh-CN" w:eastAsia="zh-CN" w:bidi="ar"/>
              </w:rPr>
              <w:br w:type="textWrapping"/>
            </w:r>
            <w:r>
              <w:rPr>
                <w:rFonts w:hint="eastAsia" w:ascii="宋体" w:hAnsi="宋体" w:eastAsia="宋体" w:cs="宋体"/>
                <w:b w:val="0"/>
                <w:bCs/>
                <w:sz w:val="24"/>
                <w:szCs w:val="24"/>
                <w:lang w:val="zh-CN" w:eastAsia="zh-CN" w:bidi="ar"/>
              </w:rPr>
              <w:t>②法定代表人授权书（附法定代表人身份证复印件）及被授权人身份证；（法定代表人直接参加只须提供法定代表人身份证）；</w:t>
            </w:r>
            <w:r>
              <w:rPr>
                <w:rFonts w:hint="eastAsia" w:ascii="宋体" w:hAnsi="宋体" w:eastAsia="宋体" w:cs="宋体"/>
                <w:b w:val="0"/>
                <w:bCs/>
                <w:sz w:val="24"/>
                <w:szCs w:val="24"/>
                <w:lang w:val="zh-CN" w:eastAsia="zh-CN" w:bidi="ar"/>
              </w:rPr>
              <w:br w:type="textWrapping"/>
            </w:r>
            <w:r>
              <w:rPr>
                <w:rFonts w:hint="eastAsia" w:ascii="宋体" w:hAnsi="宋体" w:eastAsia="宋体" w:cs="宋体"/>
                <w:b w:val="0"/>
                <w:bCs/>
                <w:sz w:val="24"/>
                <w:szCs w:val="24"/>
                <w:lang w:val="zh-CN" w:eastAsia="zh-CN" w:bidi="ar"/>
              </w:rPr>
              <w:t>③投标人须提供经会计事务所或具有财务审计资质的单位出具的2024年度财务审计报告或其开标前三个月内银行出具的资信证明；</w:t>
            </w:r>
            <w:r>
              <w:rPr>
                <w:rFonts w:hint="eastAsia" w:ascii="宋体" w:hAnsi="宋体" w:eastAsia="宋体" w:cs="宋体"/>
                <w:b w:val="0"/>
                <w:bCs/>
                <w:sz w:val="24"/>
                <w:szCs w:val="24"/>
                <w:lang w:val="zh-CN" w:eastAsia="zh-CN" w:bidi="ar"/>
              </w:rPr>
              <w:br w:type="textWrapping"/>
            </w:r>
            <w:r>
              <w:rPr>
                <w:rFonts w:hint="eastAsia" w:ascii="宋体" w:hAnsi="宋体" w:eastAsia="宋体" w:cs="宋体"/>
                <w:b w:val="0"/>
                <w:bCs/>
                <w:sz w:val="24"/>
                <w:szCs w:val="24"/>
                <w:lang w:val="zh-CN" w:eastAsia="zh-CN" w:bidi="ar"/>
              </w:rPr>
              <w:t>④投标人须提供2025年10月至今已缴纳的至少一个月的纳税证明或完税证明，依法免税的单位应提供相关证明材料；</w:t>
            </w:r>
            <w:r>
              <w:rPr>
                <w:rFonts w:hint="eastAsia" w:ascii="宋体" w:hAnsi="宋体" w:eastAsia="宋体" w:cs="宋体"/>
                <w:b w:val="0"/>
                <w:bCs/>
                <w:sz w:val="24"/>
                <w:szCs w:val="24"/>
                <w:lang w:val="zh-CN" w:eastAsia="zh-CN" w:bidi="ar"/>
              </w:rPr>
              <w:br w:type="textWrapping"/>
            </w:r>
            <w:r>
              <w:rPr>
                <w:rFonts w:hint="eastAsia" w:ascii="宋体" w:hAnsi="宋体" w:eastAsia="宋体" w:cs="宋体"/>
                <w:b w:val="0"/>
                <w:bCs/>
                <w:sz w:val="24"/>
                <w:szCs w:val="24"/>
                <w:lang w:val="zh-CN" w:eastAsia="zh-CN" w:bidi="ar"/>
              </w:rPr>
              <w:t>⑤投标人须提供2025年10月至今已缴存的至少一个月的社会保障资金缴存单据或社保机构开具的社会保险参保缴费情况证明，依法不需要缴纳社会保障资金的单位应提供相关证明材料；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sz w:val="24"/>
                <w:szCs w:val="24"/>
                <w:lang w:val="zh-CN" w:eastAsia="zh-CN" w:bidi="ar"/>
              </w:rPr>
              <w:br w:type="textWrapping"/>
            </w:r>
            <w:r>
              <w:rPr>
                <w:rFonts w:hint="eastAsia" w:ascii="宋体" w:hAnsi="宋体" w:eastAsia="宋体" w:cs="宋体"/>
                <w:b w:val="0"/>
                <w:bCs/>
                <w:sz w:val="24"/>
                <w:szCs w:val="24"/>
                <w:lang w:val="zh-CN" w:eastAsia="zh-CN" w:bidi="ar"/>
              </w:rPr>
              <w:t>⑥投标人未被列入“信用中国”重大税收违法失信主体名单，“中国执行信息公开网”网站未被列为失信被执行人，不得为中国政府采购网政府采购严重违法失信行为记录名单中被财政部门禁止参加政府采购活动的投标人(资格审查时现场核查)；</w:t>
            </w:r>
            <w:r>
              <w:rPr>
                <w:rFonts w:hint="eastAsia" w:ascii="宋体" w:hAnsi="宋体" w:eastAsia="宋体" w:cs="宋体"/>
                <w:b w:val="0"/>
                <w:bCs/>
                <w:sz w:val="24"/>
                <w:szCs w:val="24"/>
                <w:lang w:val="zh-CN" w:eastAsia="zh-CN" w:bidi="ar"/>
              </w:rPr>
              <w:br w:type="textWrapping"/>
            </w:r>
            <w:r>
              <w:rPr>
                <w:rFonts w:hint="eastAsia" w:ascii="宋体" w:hAnsi="宋体" w:eastAsia="宋体" w:cs="宋体"/>
                <w:b w:val="0"/>
                <w:bCs/>
                <w:sz w:val="24"/>
                <w:szCs w:val="24"/>
                <w:lang w:val="zh-CN" w:eastAsia="zh-CN" w:bidi="ar"/>
              </w:rPr>
              <w:t>⑦投标人应出具参加政府采购活动前3年内在经营活动中没有重大违法记录的书面声明；</w:t>
            </w:r>
            <w:r>
              <w:rPr>
                <w:rFonts w:hint="eastAsia" w:ascii="宋体" w:hAnsi="宋体" w:eastAsia="宋体" w:cs="宋体"/>
                <w:b w:val="0"/>
                <w:bCs/>
                <w:sz w:val="24"/>
                <w:szCs w:val="24"/>
                <w:lang w:val="zh-CN" w:eastAsia="zh-CN" w:bidi="ar"/>
              </w:rPr>
              <w:br w:type="textWrapping"/>
            </w:r>
            <w:r>
              <w:rPr>
                <w:rFonts w:hint="eastAsia" w:ascii="宋体" w:hAnsi="宋体" w:eastAsia="宋体" w:cs="宋体"/>
                <w:b w:val="0"/>
                <w:bCs/>
                <w:sz w:val="24"/>
                <w:szCs w:val="24"/>
                <w:lang w:val="zh-CN" w:eastAsia="zh-CN" w:bidi="ar"/>
              </w:rPr>
              <w:t>⑧单位负责人为同一人或者存在直接控股、管理关系的不同投标人，不得参加同一项目的采购活动；</w:t>
            </w:r>
            <w:r>
              <w:rPr>
                <w:rFonts w:hint="eastAsia" w:ascii="宋体" w:hAnsi="宋体" w:eastAsia="宋体" w:cs="宋体"/>
                <w:b w:val="0"/>
                <w:bCs/>
                <w:sz w:val="24"/>
                <w:szCs w:val="24"/>
                <w:lang w:val="zh-CN" w:eastAsia="zh-CN" w:bidi="ar"/>
              </w:rPr>
              <w:br w:type="textWrapping"/>
            </w:r>
            <w:r>
              <w:rPr>
                <w:rFonts w:hint="eastAsia" w:ascii="宋体" w:hAnsi="宋体" w:eastAsia="宋体" w:cs="宋体"/>
                <w:b w:val="0"/>
                <w:bCs/>
                <w:sz w:val="24"/>
                <w:szCs w:val="24"/>
                <w:lang w:val="zh-CN" w:eastAsia="zh-CN" w:bidi="ar"/>
              </w:rPr>
              <w:t>⑨本项目不接受联合体参与投标。</w:t>
            </w:r>
          </w:p>
        </w:tc>
        <w:tc>
          <w:tcPr>
            <w:tcW w:w="790" w:type="dxa"/>
            <w:tcBorders>
              <w:top w:val="single" w:color="auto" w:sz="4" w:space="0"/>
              <w:left w:val="single" w:color="auto" w:sz="4" w:space="0"/>
              <w:bottom w:val="single" w:color="auto" w:sz="4" w:space="0"/>
              <w:right w:val="single" w:color="auto" w:sz="4" w:space="0"/>
            </w:tcBorders>
            <w:noWrap w:val="0"/>
            <w:vAlign w:val="top"/>
          </w:tcPr>
          <w:p w14:paraId="400A707D">
            <w:pPr>
              <w:tabs>
                <w:tab w:val="left" w:pos="210"/>
              </w:tabs>
              <w:snapToGrid w:val="0"/>
              <w:ind w:left="-5" w:hanging="5"/>
              <w:jc w:val="left"/>
              <w:rPr>
                <w:rFonts w:hint="eastAsia" w:ascii="宋体" w:hAnsi="宋体" w:eastAsia="宋体" w:cs="宋体"/>
                <w:color w:val="000000"/>
                <w:sz w:val="24"/>
                <w:szCs w:val="24"/>
              </w:rPr>
            </w:pPr>
          </w:p>
          <w:p w14:paraId="1CC77321">
            <w:pPr>
              <w:tabs>
                <w:tab w:val="left" w:pos="210"/>
              </w:tabs>
              <w:snapToGrid w:val="0"/>
              <w:ind w:left="-5" w:hanging="5"/>
              <w:jc w:val="left"/>
              <w:rPr>
                <w:rFonts w:hint="eastAsia" w:ascii="宋体" w:hAnsi="宋体" w:eastAsia="宋体" w:cs="宋体"/>
                <w:color w:val="000000"/>
                <w:sz w:val="24"/>
                <w:szCs w:val="24"/>
              </w:rPr>
            </w:pPr>
          </w:p>
          <w:p w14:paraId="5C398CD0">
            <w:pPr>
              <w:tabs>
                <w:tab w:val="left" w:pos="210"/>
              </w:tabs>
              <w:snapToGrid w:val="0"/>
              <w:ind w:left="-5" w:hanging="5"/>
              <w:jc w:val="left"/>
              <w:rPr>
                <w:rFonts w:hint="eastAsia" w:ascii="宋体" w:hAnsi="宋体" w:eastAsia="宋体" w:cs="宋体"/>
                <w:color w:val="000000"/>
                <w:sz w:val="24"/>
                <w:szCs w:val="24"/>
              </w:rPr>
            </w:pPr>
          </w:p>
          <w:p w14:paraId="0627FCF8">
            <w:pPr>
              <w:tabs>
                <w:tab w:val="left" w:pos="210"/>
              </w:tabs>
              <w:snapToGrid w:val="0"/>
              <w:ind w:left="-5" w:hanging="5"/>
              <w:jc w:val="left"/>
              <w:rPr>
                <w:rFonts w:hint="eastAsia" w:ascii="宋体" w:hAnsi="宋体" w:eastAsia="宋体" w:cs="宋体"/>
                <w:color w:val="000000"/>
                <w:sz w:val="24"/>
                <w:szCs w:val="24"/>
              </w:rPr>
            </w:pPr>
          </w:p>
          <w:p w14:paraId="30A72713">
            <w:pPr>
              <w:tabs>
                <w:tab w:val="left" w:pos="210"/>
              </w:tabs>
              <w:snapToGrid w:val="0"/>
              <w:ind w:left="-5" w:hanging="5"/>
              <w:jc w:val="left"/>
              <w:rPr>
                <w:rFonts w:hint="eastAsia" w:ascii="宋体" w:hAnsi="宋体" w:eastAsia="宋体" w:cs="宋体"/>
                <w:color w:val="000000"/>
                <w:sz w:val="24"/>
                <w:szCs w:val="24"/>
              </w:rPr>
            </w:pPr>
          </w:p>
          <w:p w14:paraId="1A77D00F">
            <w:pPr>
              <w:tabs>
                <w:tab w:val="left" w:pos="210"/>
              </w:tabs>
              <w:snapToGrid w:val="0"/>
              <w:ind w:left="-5" w:hanging="5"/>
              <w:jc w:val="left"/>
              <w:rPr>
                <w:rFonts w:hint="eastAsia" w:ascii="宋体" w:hAnsi="宋体" w:eastAsia="宋体" w:cs="宋体"/>
                <w:color w:val="000000"/>
                <w:sz w:val="24"/>
                <w:szCs w:val="24"/>
              </w:rPr>
            </w:pPr>
          </w:p>
          <w:p w14:paraId="1D807A94">
            <w:pPr>
              <w:tabs>
                <w:tab w:val="left" w:pos="210"/>
              </w:tabs>
              <w:snapToGrid w:val="0"/>
              <w:ind w:left="-5" w:hanging="5"/>
              <w:jc w:val="left"/>
              <w:rPr>
                <w:rFonts w:hint="eastAsia" w:ascii="宋体" w:hAnsi="宋体" w:eastAsia="宋体" w:cs="宋体"/>
                <w:color w:val="000000"/>
                <w:sz w:val="24"/>
                <w:szCs w:val="24"/>
              </w:rPr>
            </w:pPr>
          </w:p>
          <w:p w14:paraId="4C4B94FD">
            <w:pPr>
              <w:tabs>
                <w:tab w:val="left" w:pos="210"/>
              </w:tabs>
              <w:snapToGrid w:val="0"/>
              <w:ind w:left="-5" w:hanging="5"/>
              <w:jc w:val="left"/>
              <w:rPr>
                <w:rFonts w:hint="eastAsia" w:ascii="宋体" w:hAnsi="宋体" w:eastAsia="宋体" w:cs="宋体"/>
                <w:color w:val="000000"/>
                <w:sz w:val="24"/>
                <w:szCs w:val="24"/>
              </w:rPr>
            </w:pPr>
          </w:p>
          <w:p w14:paraId="76282C00">
            <w:pPr>
              <w:tabs>
                <w:tab w:val="left" w:pos="210"/>
              </w:tabs>
              <w:snapToGrid w:val="0"/>
              <w:ind w:left="-5" w:hanging="5"/>
              <w:jc w:val="left"/>
              <w:rPr>
                <w:rFonts w:hint="eastAsia" w:ascii="宋体" w:hAnsi="宋体" w:eastAsia="宋体" w:cs="宋体"/>
                <w:color w:val="000000"/>
                <w:sz w:val="24"/>
                <w:szCs w:val="24"/>
              </w:rPr>
            </w:pPr>
          </w:p>
          <w:p w14:paraId="4C6A0337">
            <w:pPr>
              <w:tabs>
                <w:tab w:val="left" w:pos="210"/>
              </w:tabs>
              <w:snapToGrid w:val="0"/>
              <w:ind w:left="-5" w:hanging="5"/>
              <w:jc w:val="left"/>
              <w:rPr>
                <w:rFonts w:hint="eastAsia" w:ascii="宋体" w:hAnsi="宋体" w:eastAsia="宋体" w:cs="宋体"/>
                <w:color w:val="000000"/>
                <w:sz w:val="24"/>
                <w:szCs w:val="24"/>
              </w:rPr>
            </w:pPr>
          </w:p>
          <w:p w14:paraId="15F0E706">
            <w:pPr>
              <w:tabs>
                <w:tab w:val="left" w:pos="210"/>
              </w:tabs>
              <w:snapToGrid w:val="0"/>
              <w:ind w:left="-5" w:hanging="5"/>
              <w:jc w:val="left"/>
              <w:rPr>
                <w:rFonts w:hint="eastAsia" w:ascii="宋体" w:hAnsi="宋体" w:eastAsia="宋体" w:cs="宋体"/>
                <w:color w:val="000000"/>
                <w:sz w:val="24"/>
                <w:szCs w:val="24"/>
              </w:rPr>
            </w:pPr>
          </w:p>
          <w:p w14:paraId="2CA6D2BB">
            <w:pPr>
              <w:tabs>
                <w:tab w:val="left" w:pos="210"/>
              </w:tabs>
              <w:snapToGrid w:val="0"/>
              <w:ind w:left="-5" w:hanging="5"/>
              <w:jc w:val="left"/>
              <w:rPr>
                <w:rFonts w:hint="eastAsia" w:ascii="宋体" w:hAnsi="宋体" w:eastAsia="宋体" w:cs="宋体"/>
                <w:color w:val="000000"/>
                <w:sz w:val="24"/>
                <w:szCs w:val="24"/>
              </w:rPr>
            </w:pPr>
          </w:p>
          <w:p w14:paraId="247F0FEF">
            <w:pPr>
              <w:tabs>
                <w:tab w:val="left" w:pos="210"/>
              </w:tabs>
              <w:snapToGrid w:val="0"/>
              <w:ind w:left="-5" w:hanging="5"/>
              <w:jc w:val="left"/>
              <w:rPr>
                <w:rFonts w:hint="eastAsia" w:ascii="宋体" w:hAnsi="宋体" w:eastAsia="宋体" w:cs="宋体"/>
                <w:color w:val="000000"/>
                <w:sz w:val="24"/>
                <w:szCs w:val="24"/>
              </w:rPr>
            </w:pPr>
          </w:p>
          <w:p w14:paraId="6297A537">
            <w:pPr>
              <w:tabs>
                <w:tab w:val="left" w:pos="210"/>
              </w:tabs>
              <w:snapToGrid w:val="0"/>
              <w:ind w:left="-5" w:hanging="5"/>
              <w:jc w:val="left"/>
              <w:rPr>
                <w:rFonts w:hint="eastAsia" w:ascii="宋体" w:hAnsi="宋体" w:eastAsia="宋体" w:cs="宋体"/>
                <w:color w:val="000000"/>
                <w:sz w:val="24"/>
                <w:szCs w:val="24"/>
              </w:rPr>
            </w:pPr>
          </w:p>
          <w:p w14:paraId="30E98C72">
            <w:pPr>
              <w:tabs>
                <w:tab w:val="left" w:pos="210"/>
              </w:tabs>
              <w:snapToGrid w:val="0"/>
              <w:ind w:left="-5" w:hanging="5"/>
              <w:jc w:val="left"/>
              <w:rPr>
                <w:rFonts w:hint="eastAsia" w:ascii="宋体" w:hAnsi="宋体" w:eastAsia="宋体" w:cs="宋体"/>
                <w:color w:val="000000"/>
                <w:sz w:val="24"/>
                <w:szCs w:val="24"/>
              </w:rPr>
            </w:pPr>
            <w:r>
              <w:rPr>
                <w:rFonts w:hint="eastAsia" w:ascii="宋体" w:hAnsi="宋体" w:eastAsia="宋体" w:cs="宋体"/>
                <w:color w:val="000000"/>
                <w:sz w:val="24"/>
                <w:szCs w:val="24"/>
              </w:rPr>
              <w:t>合格/不合格</w:t>
            </w:r>
          </w:p>
        </w:tc>
      </w:tr>
    </w:tbl>
    <w:p w14:paraId="7C2A9502">
      <w:pPr>
        <w:spacing w:line="360" w:lineRule="auto"/>
        <w:rPr>
          <w:rFonts w:hint="eastAsia" w:ascii="宋体" w:hAnsi="宋体" w:eastAsia="宋体" w:cs="宋体"/>
          <w:i w:val="0"/>
          <w:iCs w:val="0"/>
          <w:color w:val="auto"/>
          <w:sz w:val="24"/>
        </w:rPr>
      </w:pPr>
    </w:p>
    <w:p w14:paraId="31065F8A">
      <w:pPr>
        <w:spacing w:line="360" w:lineRule="auto"/>
        <w:rPr>
          <w:rFonts w:hint="eastAsia" w:ascii="宋体" w:hAnsi="宋体" w:eastAsia="宋体" w:cs="宋体"/>
          <w:b/>
          <w:bCs/>
          <w:i w:val="0"/>
          <w:iCs w:val="0"/>
          <w:color w:val="auto"/>
          <w:sz w:val="24"/>
        </w:rPr>
      </w:pPr>
      <w:r>
        <w:rPr>
          <w:rFonts w:hint="eastAsia" w:ascii="宋体" w:hAnsi="宋体" w:eastAsia="宋体" w:cs="宋体"/>
          <w:b/>
          <w:bCs/>
          <w:i w:val="0"/>
          <w:iCs w:val="0"/>
          <w:color w:val="auto"/>
          <w:sz w:val="24"/>
        </w:rPr>
        <w:t>符合性审查内容和标准：</w:t>
      </w:r>
    </w:p>
    <w:tbl>
      <w:tblPr>
        <w:tblStyle w:val="22"/>
        <w:tblpPr w:leftFromText="180" w:rightFromText="180" w:vertAnchor="text" w:horzAnchor="page" w:tblpX="1737" w:tblpY="280"/>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880"/>
        <w:gridCol w:w="3823"/>
      </w:tblGrid>
      <w:tr w14:paraId="67C8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36" w:type="dxa"/>
            <w:noWrap w:val="0"/>
            <w:vAlign w:val="center"/>
          </w:tcPr>
          <w:p w14:paraId="454D5E47">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序号</w:t>
            </w:r>
          </w:p>
        </w:tc>
        <w:tc>
          <w:tcPr>
            <w:tcW w:w="3880" w:type="dxa"/>
            <w:noWrap w:val="0"/>
            <w:vAlign w:val="center"/>
          </w:tcPr>
          <w:p w14:paraId="0122CB55">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审查内容</w:t>
            </w:r>
          </w:p>
        </w:tc>
        <w:tc>
          <w:tcPr>
            <w:tcW w:w="3823" w:type="dxa"/>
            <w:noWrap w:val="0"/>
            <w:vAlign w:val="center"/>
          </w:tcPr>
          <w:p w14:paraId="45F843ED">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合格条件</w:t>
            </w:r>
          </w:p>
        </w:tc>
      </w:tr>
      <w:tr w14:paraId="66EF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36" w:type="dxa"/>
            <w:noWrap w:val="0"/>
            <w:vAlign w:val="center"/>
          </w:tcPr>
          <w:p w14:paraId="443B6CEB">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1</w:t>
            </w:r>
          </w:p>
        </w:tc>
        <w:tc>
          <w:tcPr>
            <w:tcW w:w="3880" w:type="dxa"/>
            <w:noWrap w:val="0"/>
            <w:vAlign w:val="center"/>
          </w:tcPr>
          <w:p w14:paraId="06EFD1C4">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lang w:val="en-US" w:eastAsia="zh-CN"/>
              </w:rPr>
              <w:t>投标人名称</w:t>
            </w:r>
          </w:p>
        </w:tc>
        <w:tc>
          <w:tcPr>
            <w:tcW w:w="3823" w:type="dxa"/>
            <w:noWrap w:val="0"/>
            <w:vAlign w:val="center"/>
          </w:tcPr>
          <w:p w14:paraId="666259F4">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szCs w:val="24"/>
                <w:lang w:val="en-US" w:eastAsia="zh-CN"/>
              </w:rPr>
              <w:t>投标人</w:t>
            </w:r>
            <w:r>
              <w:rPr>
                <w:rFonts w:hint="eastAsia" w:ascii="宋体" w:hAnsi="宋体" w:eastAsia="宋体" w:cs="宋体"/>
                <w:i w:val="0"/>
                <w:iCs w:val="0"/>
                <w:color w:val="auto"/>
                <w:sz w:val="24"/>
                <w:szCs w:val="24"/>
              </w:rPr>
              <w:t>名称和营业执照一致</w:t>
            </w:r>
          </w:p>
        </w:tc>
      </w:tr>
      <w:tr w14:paraId="24EB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36" w:type="dxa"/>
            <w:noWrap w:val="0"/>
            <w:vAlign w:val="center"/>
          </w:tcPr>
          <w:p w14:paraId="2964414A">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2</w:t>
            </w:r>
          </w:p>
        </w:tc>
        <w:tc>
          <w:tcPr>
            <w:tcW w:w="3880" w:type="dxa"/>
            <w:noWrap w:val="0"/>
            <w:vAlign w:val="center"/>
          </w:tcPr>
          <w:p w14:paraId="3EA3B734">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投标文件的签署</w:t>
            </w:r>
          </w:p>
        </w:tc>
        <w:tc>
          <w:tcPr>
            <w:tcW w:w="3823" w:type="dxa"/>
            <w:noWrap w:val="0"/>
            <w:vAlign w:val="center"/>
          </w:tcPr>
          <w:p w14:paraId="2941885E">
            <w:pPr>
              <w:spacing w:line="276"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按招标文件要求签字、盖章</w:t>
            </w:r>
          </w:p>
        </w:tc>
      </w:tr>
      <w:tr w14:paraId="36DD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36" w:type="dxa"/>
            <w:noWrap w:val="0"/>
            <w:vAlign w:val="center"/>
          </w:tcPr>
          <w:p w14:paraId="378960B6">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3</w:t>
            </w:r>
          </w:p>
        </w:tc>
        <w:tc>
          <w:tcPr>
            <w:tcW w:w="3880" w:type="dxa"/>
            <w:noWrap w:val="0"/>
            <w:vAlign w:val="center"/>
          </w:tcPr>
          <w:p w14:paraId="13EBF1A4">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投标文件的格式</w:t>
            </w:r>
          </w:p>
        </w:tc>
        <w:tc>
          <w:tcPr>
            <w:tcW w:w="3823" w:type="dxa"/>
            <w:noWrap w:val="0"/>
            <w:vAlign w:val="center"/>
          </w:tcPr>
          <w:p w14:paraId="6AE2940D">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符合招标文件要求</w:t>
            </w:r>
          </w:p>
        </w:tc>
      </w:tr>
      <w:tr w14:paraId="6DC2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36" w:type="dxa"/>
            <w:noWrap w:val="0"/>
            <w:vAlign w:val="center"/>
          </w:tcPr>
          <w:p w14:paraId="48B405FF">
            <w:pPr>
              <w:spacing w:line="276" w:lineRule="auto"/>
              <w:jc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sz w:val="24"/>
              </w:rPr>
              <w:t>4</w:t>
            </w:r>
          </w:p>
        </w:tc>
        <w:tc>
          <w:tcPr>
            <w:tcW w:w="3880" w:type="dxa"/>
            <w:noWrap w:val="0"/>
            <w:vAlign w:val="center"/>
          </w:tcPr>
          <w:p w14:paraId="0B6F2466">
            <w:pPr>
              <w:spacing w:line="276" w:lineRule="auto"/>
              <w:jc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sz w:val="24"/>
                <w:szCs w:val="24"/>
                <w:lang w:val="en-US" w:eastAsia="zh-CN"/>
              </w:rPr>
              <w:t>投标</w:t>
            </w:r>
            <w:r>
              <w:rPr>
                <w:rFonts w:hint="eastAsia" w:ascii="宋体" w:hAnsi="宋体" w:eastAsia="宋体" w:cs="宋体"/>
                <w:i w:val="0"/>
                <w:iCs w:val="0"/>
                <w:color w:val="auto"/>
                <w:sz w:val="24"/>
                <w:szCs w:val="24"/>
              </w:rPr>
              <w:t>有效期</w:t>
            </w:r>
          </w:p>
        </w:tc>
        <w:tc>
          <w:tcPr>
            <w:tcW w:w="3823" w:type="dxa"/>
            <w:noWrap w:val="0"/>
            <w:vAlign w:val="center"/>
          </w:tcPr>
          <w:p w14:paraId="4FBC0896">
            <w:pPr>
              <w:spacing w:line="276" w:lineRule="auto"/>
              <w:jc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sz w:val="24"/>
              </w:rPr>
              <w:t>符合招标文件要求</w:t>
            </w:r>
          </w:p>
        </w:tc>
      </w:tr>
      <w:tr w14:paraId="30C0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36" w:type="dxa"/>
            <w:noWrap w:val="0"/>
            <w:vAlign w:val="center"/>
          </w:tcPr>
          <w:p w14:paraId="250307C0">
            <w:pPr>
              <w:spacing w:line="276"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lang w:val="en-US" w:eastAsia="zh-CN"/>
              </w:rPr>
              <w:t>5</w:t>
            </w:r>
          </w:p>
        </w:tc>
        <w:tc>
          <w:tcPr>
            <w:tcW w:w="3880" w:type="dxa"/>
            <w:noWrap w:val="0"/>
            <w:vAlign w:val="center"/>
          </w:tcPr>
          <w:p w14:paraId="503BA2C9">
            <w:pPr>
              <w:spacing w:line="276" w:lineRule="auto"/>
              <w:jc w:val="center"/>
              <w:rPr>
                <w:rFonts w:hint="eastAsia" w:ascii="宋体" w:hAnsi="宋体" w:eastAsia="宋体" w:cs="宋体"/>
                <w:i w:val="0"/>
                <w:iCs w:val="0"/>
                <w:color w:val="auto"/>
                <w:sz w:val="24"/>
              </w:rPr>
            </w:pPr>
            <w:r>
              <w:rPr>
                <w:rFonts w:hint="eastAsia" w:ascii="宋体" w:hAnsi="宋体" w:cs="宋体"/>
                <w:i w:val="0"/>
                <w:iCs w:val="0"/>
                <w:color w:val="auto"/>
                <w:sz w:val="24"/>
                <w:lang w:val="en-US" w:eastAsia="zh-CN"/>
              </w:rPr>
              <w:t>服务期</w:t>
            </w:r>
          </w:p>
        </w:tc>
        <w:tc>
          <w:tcPr>
            <w:tcW w:w="3823" w:type="dxa"/>
            <w:noWrap w:val="0"/>
            <w:vAlign w:val="center"/>
          </w:tcPr>
          <w:p w14:paraId="775D4474">
            <w:pPr>
              <w:spacing w:line="276" w:lineRule="auto"/>
              <w:jc w:val="center"/>
              <w:rPr>
                <w:rFonts w:hint="eastAsia" w:ascii="宋体" w:hAnsi="宋体" w:eastAsia="宋体" w:cs="宋体"/>
                <w:i w:val="0"/>
                <w:iCs w:val="0"/>
                <w:color w:val="auto"/>
                <w:sz w:val="24"/>
                <w:lang w:val="en-US" w:eastAsia="zh-CN"/>
              </w:rPr>
            </w:pPr>
            <w:r>
              <w:rPr>
                <w:rFonts w:hint="eastAsia" w:ascii="宋体" w:hAnsi="宋体" w:eastAsia="宋体" w:cs="宋体"/>
                <w:i w:val="0"/>
                <w:iCs w:val="0"/>
                <w:color w:val="auto"/>
                <w:sz w:val="24"/>
              </w:rPr>
              <w:t>符合招标文件要求</w:t>
            </w:r>
          </w:p>
        </w:tc>
      </w:tr>
      <w:tr w14:paraId="3792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36" w:type="dxa"/>
            <w:noWrap w:val="0"/>
            <w:vAlign w:val="center"/>
          </w:tcPr>
          <w:p w14:paraId="0A939D47">
            <w:pPr>
              <w:spacing w:line="276" w:lineRule="auto"/>
              <w:jc w:val="center"/>
              <w:rPr>
                <w:rFonts w:hint="eastAsia" w:ascii="宋体" w:hAnsi="宋体" w:eastAsia="宋体" w:cs="宋体"/>
                <w:i w:val="0"/>
                <w:iCs w:val="0"/>
                <w:color w:val="auto"/>
                <w:sz w:val="24"/>
                <w:lang w:val="en-US" w:eastAsia="zh-CN"/>
              </w:rPr>
            </w:pPr>
            <w:r>
              <w:rPr>
                <w:rFonts w:hint="eastAsia" w:ascii="宋体" w:hAnsi="宋体" w:cs="宋体"/>
                <w:i w:val="0"/>
                <w:iCs w:val="0"/>
                <w:color w:val="auto"/>
                <w:sz w:val="24"/>
                <w:lang w:val="en-US" w:eastAsia="zh-CN"/>
              </w:rPr>
              <w:t>6</w:t>
            </w:r>
          </w:p>
        </w:tc>
        <w:tc>
          <w:tcPr>
            <w:tcW w:w="3880" w:type="dxa"/>
            <w:noWrap w:val="0"/>
            <w:vAlign w:val="center"/>
          </w:tcPr>
          <w:p w14:paraId="2667FA45">
            <w:pPr>
              <w:pStyle w:val="16"/>
              <w:jc w:val="center"/>
              <w:rPr>
                <w:rFonts w:hint="eastAsia"/>
                <w:lang w:val="en-US" w:eastAsia="zh-CN"/>
              </w:rPr>
            </w:pPr>
            <w:r>
              <w:rPr>
                <w:rFonts w:hint="eastAsia" w:ascii="宋体" w:hAnsi="宋体" w:eastAsia="宋体" w:cs="宋体"/>
                <w:i w:val="0"/>
                <w:iCs w:val="0"/>
                <w:color w:val="auto"/>
                <w:kern w:val="0"/>
                <w:sz w:val="24"/>
                <w:lang w:val="en-US" w:eastAsia="zh-CN"/>
              </w:rPr>
              <w:t>投标保证金</w:t>
            </w:r>
          </w:p>
        </w:tc>
        <w:tc>
          <w:tcPr>
            <w:tcW w:w="3823" w:type="dxa"/>
            <w:noWrap w:val="0"/>
            <w:vAlign w:val="center"/>
          </w:tcPr>
          <w:p w14:paraId="6D137C83">
            <w:pPr>
              <w:spacing w:line="276"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符合招标文件要求</w:t>
            </w:r>
          </w:p>
        </w:tc>
      </w:tr>
      <w:tr w14:paraId="2233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36" w:type="dxa"/>
            <w:noWrap w:val="0"/>
            <w:vAlign w:val="center"/>
          </w:tcPr>
          <w:p w14:paraId="47AAEC7E">
            <w:pPr>
              <w:spacing w:line="276" w:lineRule="auto"/>
              <w:jc w:val="center"/>
              <w:rPr>
                <w:rFonts w:hint="eastAsia" w:ascii="宋体" w:hAnsi="宋体" w:eastAsia="宋体" w:cs="宋体"/>
                <w:i w:val="0"/>
                <w:iCs w:val="0"/>
                <w:color w:val="auto"/>
                <w:sz w:val="24"/>
                <w:lang w:val="en-US" w:eastAsia="zh-CN"/>
              </w:rPr>
            </w:pPr>
            <w:r>
              <w:rPr>
                <w:rFonts w:hint="eastAsia" w:ascii="宋体" w:hAnsi="宋体" w:cs="宋体"/>
                <w:i w:val="0"/>
                <w:iCs w:val="0"/>
                <w:color w:val="auto"/>
                <w:sz w:val="24"/>
                <w:lang w:val="en-US" w:eastAsia="zh-CN"/>
              </w:rPr>
              <w:t>7</w:t>
            </w:r>
          </w:p>
        </w:tc>
        <w:tc>
          <w:tcPr>
            <w:tcW w:w="3880" w:type="dxa"/>
            <w:noWrap w:val="0"/>
            <w:vAlign w:val="center"/>
          </w:tcPr>
          <w:p w14:paraId="081C8147">
            <w:pPr>
              <w:pStyle w:val="16"/>
              <w:jc w:val="center"/>
              <w:rPr>
                <w:rFonts w:hint="eastAsia" w:ascii="宋体" w:hAnsi="宋体" w:eastAsia="宋体" w:cs="宋体"/>
                <w:i w:val="0"/>
                <w:iCs w:val="0"/>
                <w:color w:val="auto"/>
                <w:kern w:val="0"/>
                <w:sz w:val="24"/>
                <w:lang w:val="en-US" w:eastAsia="zh-CN"/>
              </w:rPr>
            </w:pPr>
            <w:r>
              <w:rPr>
                <w:rFonts w:hint="eastAsia" w:ascii="宋体" w:hAnsi="宋体" w:eastAsia="宋体" w:cs="宋体"/>
                <w:i w:val="0"/>
                <w:iCs w:val="0"/>
                <w:color w:val="auto"/>
                <w:kern w:val="0"/>
                <w:sz w:val="24"/>
                <w:lang w:val="en-US" w:eastAsia="zh-CN"/>
              </w:rPr>
              <w:t>投标报价</w:t>
            </w:r>
          </w:p>
        </w:tc>
        <w:tc>
          <w:tcPr>
            <w:tcW w:w="3823" w:type="dxa"/>
            <w:noWrap w:val="0"/>
            <w:vAlign w:val="center"/>
          </w:tcPr>
          <w:p w14:paraId="054F56DC">
            <w:pPr>
              <w:pStyle w:val="16"/>
              <w:jc w:val="center"/>
              <w:rPr>
                <w:rFonts w:hint="eastAsia" w:ascii="宋体" w:hAnsi="宋体" w:eastAsia="宋体" w:cs="宋体"/>
                <w:i w:val="0"/>
                <w:iCs w:val="0"/>
                <w:color w:val="auto"/>
                <w:kern w:val="0"/>
                <w:sz w:val="24"/>
                <w:lang w:val="en-US" w:eastAsia="zh-CN"/>
              </w:rPr>
            </w:pPr>
            <w:r>
              <w:rPr>
                <w:rFonts w:hint="eastAsia" w:ascii="宋体" w:hAnsi="宋体" w:cs="宋体"/>
                <w:i w:val="0"/>
                <w:iCs w:val="0"/>
                <w:color w:val="auto"/>
                <w:kern w:val="0"/>
                <w:sz w:val="24"/>
                <w:lang w:val="en-US" w:eastAsia="zh-CN"/>
              </w:rPr>
              <w:t>投标报价≤</w:t>
            </w:r>
            <w:r>
              <w:rPr>
                <w:rFonts w:hint="eastAsia" w:ascii="宋体" w:hAnsi="宋体" w:eastAsia="宋体" w:cs="宋体"/>
                <w:i w:val="0"/>
                <w:iCs w:val="0"/>
                <w:color w:val="auto"/>
                <w:kern w:val="0"/>
                <w:sz w:val="24"/>
                <w:lang w:val="en-US" w:eastAsia="zh-CN"/>
              </w:rPr>
              <w:t>最高限价</w:t>
            </w:r>
          </w:p>
        </w:tc>
      </w:tr>
    </w:tbl>
    <w:p w14:paraId="5E0123CF">
      <w:pPr>
        <w:spacing w:line="276" w:lineRule="auto"/>
        <w:rPr>
          <w:rFonts w:hint="eastAsia" w:ascii="宋体" w:hAnsi="宋体" w:eastAsia="宋体" w:cs="宋体"/>
          <w:i w:val="0"/>
          <w:iCs w:val="0"/>
          <w:color w:val="auto"/>
          <w:sz w:val="24"/>
        </w:rPr>
      </w:pPr>
    </w:p>
    <w:p w14:paraId="2C0A5470">
      <w:pPr>
        <w:numPr>
          <w:ilvl w:val="0"/>
          <w:numId w:val="4"/>
        </w:numPr>
        <w:spacing w:line="276" w:lineRule="auto"/>
        <w:rPr>
          <w:rFonts w:hint="eastAsia" w:ascii="宋体" w:hAnsi="宋体" w:eastAsia="宋体" w:cs="宋体"/>
          <w:b/>
          <w:bCs/>
          <w:i w:val="0"/>
          <w:iCs w:val="0"/>
          <w:color w:val="auto"/>
          <w:sz w:val="24"/>
        </w:rPr>
      </w:pPr>
      <w:r>
        <w:rPr>
          <w:rFonts w:hint="eastAsia" w:ascii="宋体" w:hAnsi="宋体" w:eastAsia="宋体" w:cs="宋体"/>
          <w:b/>
          <w:bCs/>
          <w:i w:val="0"/>
          <w:iCs w:val="0"/>
          <w:color w:val="auto"/>
          <w:sz w:val="24"/>
        </w:rPr>
        <w:t>评审表</w:t>
      </w:r>
    </w:p>
    <w:p w14:paraId="31D595C6">
      <w:pPr>
        <w:numPr>
          <w:ilvl w:val="0"/>
          <w:numId w:val="0"/>
        </w:numPr>
        <w:spacing w:line="276" w:lineRule="auto"/>
        <w:jc w:val="center"/>
        <w:rPr>
          <w:rFonts w:hint="eastAsia" w:asciiTheme="minorEastAsia" w:hAnsiTheme="minorEastAsia" w:eastAsiaTheme="minorEastAsia" w:cstheme="minorEastAsia"/>
          <w:b w:val="0"/>
          <w:bCs w:val="0"/>
          <w:color w:val="auto"/>
          <w:kern w:val="0"/>
          <w:sz w:val="24"/>
          <w:szCs w:val="24"/>
          <w:lang w:val="en-US" w:eastAsia="zh-CN"/>
        </w:rPr>
      </w:pPr>
      <w:bookmarkStart w:id="256" w:name="_Toc8963"/>
      <w:bookmarkStart w:id="257" w:name="_Toc18007"/>
      <w:r>
        <w:rPr>
          <w:rFonts w:hint="eastAsia" w:ascii="宋体" w:hAnsi="宋体" w:eastAsia="宋体" w:cs="宋体"/>
          <w:b/>
          <w:bCs/>
          <w:i w:val="0"/>
          <w:iCs w:val="0"/>
          <w:color w:val="auto"/>
          <w:sz w:val="24"/>
          <w:lang w:val="en-US" w:eastAsia="zh-CN"/>
        </w:rPr>
        <w:t>商务评审表</w:t>
      </w:r>
    </w:p>
    <w:bookmarkEnd w:id="256"/>
    <w:bookmarkEnd w:id="257"/>
    <w:tbl>
      <w:tblPr>
        <w:tblStyle w:val="22"/>
        <w:tblW w:w="9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998"/>
        <w:gridCol w:w="6123"/>
        <w:gridCol w:w="771"/>
        <w:gridCol w:w="927"/>
      </w:tblGrid>
      <w:tr w14:paraId="7414F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429AF9F2">
            <w:pPr>
              <w:keepNext w:val="0"/>
              <w:keepLines w:val="0"/>
              <w:pageBreakBefore w:val="0"/>
              <w:widowControl w:val="0"/>
              <w:wordWrap/>
              <w:overflowPunct/>
              <w:topLinePunct w:val="0"/>
              <w:bidi w:val="0"/>
              <w:spacing w:line="560" w:lineRule="exact"/>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序号</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639E9D6B">
            <w:pPr>
              <w:keepNext w:val="0"/>
              <w:keepLines w:val="0"/>
              <w:pageBreakBefore w:val="0"/>
              <w:widowControl w:val="0"/>
              <w:wordWrap/>
              <w:overflowPunct/>
              <w:topLinePunct w:val="0"/>
              <w:bidi w:val="0"/>
              <w:spacing w:line="560" w:lineRule="exact"/>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评审项目</w:t>
            </w:r>
          </w:p>
        </w:tc>
        <w:tc>
          <w:tcPr>
            <w:tcW w:w="6123" w:type="dxa"/>
            <w:tcBorders>
              <w:top w:val="single" w:color="000000" w:sz="4" w:space="0"/>
              <w:left w:val="single" w:color="000000" w:sz="4" w:space="0"/>
              <w:bottom w:val="single" w:color="000000" w:sz="4" w:space="0"/>
              <w:right w:val="single" w:color="000000" w:sz="4" w:space="0"/>
            </w:tcBorders>
            <w:noWrap w:val="0"/>
            <w:vAlign w:val="center"/>
          </w:tcPr>
          <w:p w14:paraId="1543A949">
            <w:pPr>
              <w:keepNext w:val="0"/>
              <w:keepLines w:val="0"/>
              <w:pageBreakBefore w:val="0"/>
              <w:widowControl w:val="0"/>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评审内容及则</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89D1E32">
            <w:pPr>
              <w:keepNext w:val="0"/>
              <w:keepLines w:val="0"/>
              <w:pageBreakBefore w:val="0"/>
              <w:widowControl w:val="0"/>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标准</w:t>
            </w:r>
          </w:p>
          <w:p w14:paraId="528424BC">
            <w:pPr>
              <w:keepNext w:val="0"/>
              <w:keepLines w:val="0"/>
              <w:pageBreakBefore w:val="0"/>
              <w:widowControl w:val="0"/>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分值</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6934ECD">
            <w:pPr>
              <w:keepNext w:val="0"/>
              <w:keepLines w:val="0"/>
              <w:pageBreakBefore w:val="0"/>
              <w:widowControl w:val="0"/>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备注</w:t>
            </w:r>
          </w:p>
        </w:tc>
      </w:tr>
      <w:tr w14:paraId="7790B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66BBA347">
            <w:pPr>
              <w:keepNext w:val="0"/>
              <w:keepLines w:val="0"/>
              <w:pageBreakBefore w:val="0"/>
              <w:widowControl w:val="0"/>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9C9BED9">
            <w:pPr>
              <w:keepNext w:val="0"/>
              <w:keepLines w:val="0"/>
              <w:pageBreakBefore w:val="0"/>
              <w:widowControl w:val="0"/>
              <w:wordWrap/>
              <w:overflowPunct/>
              <w:topLinePunct w:val="0"/>
              <w:bidi w:val="0"/>
              <w:spacing w:line="560" w:lineRule="exact"/>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投标报价</w:t>
            </w:r>
          </w:p>
        </w:tc>
        <w:tc>
          <w:tcPr>
            <w:tcW w:w="6123" w:type="dxa"/>
            <w:tcBorders>
              <w:top w:val="single" w:color="000000" w:sz="4" w:space="0"/>
              <w:left w:val="single" w:color="000000" w:sz="4" w:space="0"/>
              <w:bottom w:val="single" w:color="000000" w:sz="4" w:space="0"/>
              <w:right w:val="single" w:color="000000" w:sz="4" w:space="0"/>
            </w:tcBorders>
            <w:noWrap w:val="0"/>
            <w:vAlign w:val="top"/>
          </w:tcPr>
          <w:p w14:paraId="1E1E98F5">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1.满足招标文件要求且投标价格最低的投标价为评标基准价，其价格分为满分。</w:t>
            </w:r>
          </w:p>
          <w:p w14:paraId="3854286B">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2.投标报价得分=（评审基准价／投标报价）×价格权值×100。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0E17C76">
            <w:pPr>
              <w:keepNext w:val="0"/>
              <w:keepLines w:val="0"/>
              <w:pageBreakBefore w:val="0"/>
              <w:widowControl w:val="0"/>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0-10分</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A45FEBD">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tc>
      </w:tr>
      <w:tr w14:paraId="6285E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27BD69EF">
            <w:pPr>
              <w:keepNext w:val="0"/>
              <w:keepLines w:val="0"/>
              <w:pageBreakBefore w:val="0"/>
              <w:widowControl w:val="0"/>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2632ABF5">
            <w:pPr>
              <w:keepNext w:val="0"/>
              <w:keepLines w:val="0"/>
              <w:pageBreakBefore w:val="0"/>
              <w:widowControl w:val="0"/>
              <w:wordWrap/>
              <w:overflowPunct/>
              <w:topLinePunct w:val="0"/>
              <w:bidi w:val="0"/>
              <w:spacing w:line="560" w:lineRule="exact"/>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相关证书</w:t>
            </w:r>
          </w:p>
        </w:tc>
        <w:tc>
          <w:tcPr>
            <w:tcW w:w="6123" w:type="dxa"/>
            <w:tcBorders>
              <w:top w:val="single" w:color="000000" w:sz="4" w:space="0"/>
              <w:left w:val="single" w:color="000000" w:sz="4" w:space="0"/>
              <w:bottom w:val="single" w:color="000000" w:sz="4" w:space="0"/>
              <w:right w:val="single" w:color="000000" w:sz="4" w:space="0"/>
            </w:tcBorders>
            <w:noWrap w:val="0"/>
            <w:vAlign w:val="top"/>
          </w:tcPr>
          <w:p w14:paraId="3E8592E2">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1.获得（GB/T19001－2016/ISO9001：2015）餐饮服务类质量管理体系认证且在有效期内的，得5分；</w:t>
            </w:r>
          </w:p>
          <w:p w14:paraId="5BAB77C3">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2.获得（ISO22000：2018）食品安全管理体系认证且在有效期内的，得5分；</w:t>
            </w:r>
          </w:p>
          <w:p w14:paraId="78898EDE">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3.获得（GB/T45001－2020/ISO45001：2018）职业健康安全管理体系认证且在有效期内的，得5分；</w:t>
            </w:r>
          </w:p>
          <w:p w14:paraId="1DD7A8F1">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4.获得 （GB/T24001－2016/ISO14001：2015）餐饮服务类环境管理体系认证且在有效期内的，得 5分；</w:t>
            </w:r>
          </w:p>
          <w:p w14:paraId="69365256">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5.获得危害分析与关键控制点HACCP体系认证且在有效期内的，得5分；</w:t>
            </w:r>
          </w:p>
          <w:p w14:paraId="0B123324">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6.企业获得中国烹饪协会或中国餐饮行业协会或中国饭店协会等经国家民政部备案的国家一级行业协会，在经营范围内颁发的中国团餐百强荣誉且在有效期内的，得3分。</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42B6184">
            <w:pPr>
              <w:keepNext w:val="0"/>
              <w:keepLines w:val="0"/>
              <w:pageBreakBefore w:val="0"/>
              <w:widowControl w:val="0"/>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0-28分</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0705DB9">
            <w:pPr>
              <w:keepNext w:val="0"/>
              <w:keepLines w:val="0"/>
              <w:pageBreakBefore w:val="0"/>
              <w:widowControl w:val="0"/>
              <w:wordWrap/>
              <w:overflowPunct/>
              <w:topLinePunct w:val="0"/>
              <w:bidi w:val="0"/>
              <w:spacing w:line="560" w:lineRule="exact"/>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未提供相关证书不得分</w:t>
            </w:r>
          </w:p>
        </w:tc>
      </w:tr>
      <w:tr w14:paraId="26A88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7D76B558">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C749DC5">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业绩</w:t>
            </w:r>
          </w:p>
          <w:p w14:paraId="320450CC">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tc>
        <w:tc>
          <w:tcPr>
            <w:tcW w:w="6123" w:type="dxa"/>
            <w:tcBorders>
              <w:top w:val="single" w:color="000000" w:sz="4" w:space="0"/>
              <w:left w:val="single" w:color="000000" w:sz="4" w:space="0"/>
              <w:bottom w:val="single" w:color="000000" w:sz="4" w:space="0"/>
              <w:right w:val="single" w:color="000000" w:sz="4" w:space="0"/>
            </w:tcBorders>
            <w:noWrap w:val="0"/>
            <w:vAlign w:val="top"/>
          </w:tcPr>
          <w:p w14:paraId="2A7D9519">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提供 2023 年1月1日以来类似项目业绩（以合同签订日期为准），每份合格业绩合同计 2 分，满分 10分，未提供不得分。</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841A02E">
            <w:pPr>
              <w:keepNext w:val="0"/>
              <w:keepLines w:val="0"/>
              <w:pageBreakBefore w:val="0"/>
              <w:widowControl w:val="0"/>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0-10分</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5E14DBC">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tc>
      </w:tr>
      <w:tr w14:paraId="5902F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7720" w:type="dxa"/>
            <w:gridSpan w:val="3"/>
            <w:tcBorders>
              <w:top w:val="single" w:color="000000" w:sz="4" w:space="0"/>
              <w:left w:val="single" w:color="000000" w:sz="4" w:space="0"/>
              <w:bottom w:val="single" w:color="000000" w:sz="4" w:space="0"/>
              <w:right w:val="single" w:color="000000" w:sz="4" w:space="0"/>
            </w:tcBorders>
            <w:noWrap w:val="0"/>
            <w:vAlign w:val="center"/>
          </w:tcPr>
          <w:p w14:paraId="4C1E10FC">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合计分值</w:t>
            </w:r>
          </w:p>
        </w:tc>
        <w:tc>
          <w:tcPr>
            <w:tcW w:w="1698" w:type="dxa"/>
            <w:gridSpan w:val="2"/>
            <w:tcBorders>
              <w:top w:val="single" w:color="000000" w:sz="4" w:space="0"/>
              <w:left w:val="single" w:color="000000" w:sz="4" w:space="0"/>
              <w:bottom w:val="single" w:color="000000" w:sz="4" w:space="0"/>
              <w:right w:val="single" w:color="000000" w:sz="4" w:space="0"/>
            </w:tcBorders>
            <w:noWrap w:val="0"/>
            <w:vAlign w:val="center"/>
          </w:tcPr>
          <w:p w14:paraId="03B3792A">
            <w:pPr>
              <w:keepNext w:val="0"/>
              <w:keepLines w:val="0"/>
              <w:pageBreakBefore w:val="0"/>
              <w:widowControl w:val="0"/>
              <w:wordWrap/>
              <w:overflowPunct/>
              <w:topLinePunct w:val="0"/>
              <w:bidi w:val="0"/>
              <w:spacing w:line="560" w:lineRule="exact"/>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48分</w:t>
            </w:r>
          </w:p>
        </w:tc>
      </w:tr>
    </w:tbl>
    <w:p w14:paraId="02FDD3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i w:val="0"/>
          <w:iCs w:val="0"/>
          <w:color w:val="auto"/>
          <w:sz w:val="24"/>
          <w:lang w:val="en-US" w:eastAsia="zh-CN"/>
        </w:rPr>
      </w:pPr>
    </w:p>
    <w:p w14:paraId="02D4E5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i w:val="0"/>
          <w:iCs w:val="0"/>
          <w:color w:val="auto"/>
          <w:sz w:val="24"/>
          <w:lang w:val="en-US" w:eastAsia="zh-CN"/>
        </w:rPr>
        <w:sectPr>
          <w:pgSz w:w="11906" w:h="16839"/>
          <w:pgMar w:top="1984" w:right="1417" w:bottom="1417" w:left="1588" w:header="1020" w:footer="844" w:gutter="0"/>
          <w:pgBorders>
            <w:top w:val="none" w:sz="0" w:space="0"/>
            <w:left w:val="none" w:sz="0" w:space="0"/>
            <w:bottom w:val="none" w:sz="0" w:space="0"/>
            <w:right w:val="none" w:sz="0" w:space="0"/>
          </w:pgBorders>
          <w:pgNumType w:fmt="decimal"/>
          <w:cols w:space="720" w:num="1"/>
        </w:sectPr>
      </w:pPr>
    </w:p>
    <w:p w14:paraId="107D01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宋体" w:hAnsi="宋体" w:cs="宋体"/>
          <w:b/>
          <w:bCs/>
          <w:i w:val="0"/>
          <w:iCs w:val="0"/>
          <w:color w:val="auto"/>
          <w:sz w:val="24"/>
          <w:lang w:val="en-US" w:eastAsia="zh-CN"/>
        </w:rPr>
        <w:t>技术</w:t>
      </w:r>
      <w:r>
        <w:rPr>
          <w:rFonts w:hint="eastAsia" w:ascii="宋体" w:hAnsi="宋体" w:eastAsia="宋体" w:cs="宋体"/>
          <w:b/>
          <w:bCs/>
          <w:i w:val="0"/>
          <w:iCs w:val="0"/>
          <w:color w:val="auto"/>
          <w:sz w:val="24"/>
          <w:lang w:val="en-US" w:eastAsia="zh-CN"/>
        </w:rPr>
        <w:t>评审表</w:t>
      </w:r>
    </w:p>
    <w:tbl>
      <w:tblPr>
        <w:tblStyle w:val="22"/>
        <w:tblpPr w:leftFromText="180" w:rightFromText="180" w:vertAnchor="text" w:horzAnchor="page" w:tblpX="1175" w:tblpY="594"/>
        <w:tblOverlap w:val="never"/>
        <w:tblW w:w="9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032"/>
        <w:gridCol w:w="6456"/>
        <w:gridCol w:w="744"/>
        <w:gridCol w:w="768"/>
      </w:tblGrid>
      <w:tr w14:paraId="547B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9F5A979">
            <w:pPr>
              <w:keepNext w:val="0"/>
              <w:keepLines w:val="0"/>
              <w:pageBreakBefore w:val="0"/>
              <w:widowControl w:val="0"/>
              <w:wordWrap/>
              <w:overflowPunct/>
              <w:topLinePunct w:val="0"/>
              <w:bidi w:val="0"/>
              <w:spacing w:line="36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序号</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19457C6">
            <w:pPr>
              <w:keepNext w:val="0"/>
              <w:keepLines w:val="0"/>
              <w:pageBreakBefore w:val="0"/>
              <w:widowControl w:val="0"/>
              <w:wordWrap/>
              <w:overflowPunct/>
              <w:topLinePunct w:val="0"/>
              <w:bidi w:val="0"/>
              <w:spacing w:line="36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评审项目</w:t>
            </w:r>
          </w:p>
        </w:tc>
        <w:tc>
          <w:tcPr>
            <w:tcW w:w="6456" w:type="dxa"/>
            <w:tcBorders>
              <w:top w:val="single" w:color="000000" w:sz="4" w:space="0"/>
              <w:left w:val="single" w:color="000000" w:sz="4" w:space="0"/>
              <w:bottom w:val="single" w:color="000000" w:sz="4" w:space="0"/>
              <w:right w:val="single" w:color="000000" w:sz="4" w:space="0"/>
            </w:tcBorders>
            <w:noWrap w:val="0"/>
            <w:vAlign w:val="center"/>
          </w:tcPr>
          <w:p w14:paraId="37CA1191">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评审内容及规则</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FF6358E">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标准</w:t>
            </w:r>
          </w:p>
          <w:p w14:paraId="1239E195">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分值</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0F730FD">
            <w:pPr>
              <w:keepNext w:val="0"/>
              <w:keepLines w:val="0"/>
              <w:pageBreakBefore w:val="0"/>
              <w:widowControl w:val="0"/>
              <w:wordWrap/>
              <w:overflowPunct/>
              <w:topLinePunct w:val="0"/>
              <w:bidi w:val="0"/>
              <w:spacing w:line="36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备注</w:t>
            </w:r>
          </w:p>
        </w:tc>
      </w:tr>
      <w:tr w14:paraId="67028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547A419">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3884B30">
            <w:pPr>
              <w:keepNext w:val="0"/>
              <w:keepLines w:val="0"/>
              <w:pageBreakBefore w:val="0"/>
              <w:widowControl w:val="0"/>
              <w:wordWrap/>
              <w:overflowPunct/>
              <w:topLinePunct w:val="0"/>
              <w:bidi w:val="0"/>
              <w:spacing w:line="36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项目整体设想及规划</w:t>
            </w:r>
          </w:p>
        </w:tc>
        <w:tc>
          <w:tcPr>
            <w:tcW w:w="6456" w:type="dxa"/>
            <w:tcBorders>
              <w:top w:val="single" w:color="000000" w:sz="4" w:space="0"/>
              <w:left w:val="single" w:color="000000" w:sz="4" w:space="0"/>
              <w:bottom w:val="single" w:color="000000" w:sz="4" w:space="0"/>
              <w:right w:val="single" w:color="000000" w:sz="4" w:space="0"/>
            </w:tcBorders>
            <w:noWrap w:val="0"/>
            <w:vAlign w:val="top"/>
          </w:tcPr>
          <w:p w14:paraId="708C9552">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通过对本项目服务对象、周边环境及项目特点分析，制定适合机关食堂的餐饮保障和服务理念及目标，内容合理得2分，较合理得1分，不合理得0.5分，未提供得0分。</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1809925">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0-2分</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725AAD">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tc>
      </w:tr>
      <w:tr w14:paraId="450FC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6"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B0B1CD">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ED0BAC4">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食品安全</w:t>
            </w:r>
          </w:p>
        </w:tc>
        <w:tc>
          <w:tcPr>
            <w:tcW w:w="6456" w:type="dxa"/>
            <w:tcBorders>
              <w:top w:val="single" w:color="000000" w:sz="4" w:space="0"/>
              <w:left w:val="single" w:color="000000" w:sz="4" w:space="0"/>
              <w:bottom w:val="single" w:color="000000" w:sz="4" w:space="0"/>
              <w:right w:val="single" w:color="000000" w:sz="4" w:space="0"/>
            </w:tcBorders>
            <w:noWrap w:val="0"/>
            <w:vAlign w:val="top"/>
          </w:tcPr>
          <w:p w14:paraId="5D64A6B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1.食品安全制度与组织体系（8 分）：建立覆盖采购溯源、加工操作、清洗消毒、留样管理、应急处置等全流程的食品安全管理制度及完善组织架构，符合机关食堂量化分级管理要求。制度健全、优于国家规定且闭环可执行的得 8 分；制度健全、符合国家规定且具有可操作性的得6分；制度不健全或仅为通用模板的，本项不得分。</w:t>
            </w:r>
          </w:p>
          <w:p w14:paraId="063B01B2">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2.食品安全管理人员配置（4分）：拟派驻人员中，每配备持有效证书的食品安全管理师的得 1 分，最高得2分；每配备持有效证书的食品安全总监的得 1 分，最高得2分。（须提供证书扫描件，并提供用工承诺）。不提供或人员不符的，对应项不得分。</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6274625">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0-12分</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9D0411F">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tc>
      </w:tr>
      <w:tr w14:paraId="0249C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4890C6C">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6A8FB60">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保障方案</w:t>
            </w:r>
          </w:p>
        </w:tc>
        <w:tc>
          <w:tcPr>
            <w:tcW w:w="6456" w:type="dxa"/>
            <w:tcBorders>
              <w:top w:val="single" w:color="000000" w:sz="4" w:space="0"/>
              <w:left w:val="single" w:color="000000" w:sz="4" w:space="0"/>
              <w:bottom w:val="single" w:color="000000" w:sz="4" w:space="0"/>
              <w:right w:val="single" w:color="000000" w:sz="4" w:space="0"/>
            </w:tcBorders>
            <w:noWrap w:val="0"/>
            <w:vAlign w:val="top"/>
          </w:tcPr>
          <w:p w14:paraId="4B494FA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一、评审内容</w:t>
            </w:r>
          </w:p>
          <w:p w14:paraId="5886BA32">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根据本项目特点制定保障措施，措施包括：①对所经营机关食堂的考核办法②本项目的保障方案。考核办法和保障方案应围绕人员管理、食品安全、饭菜品种、营养膳食、反食品浪费、应急保障等内容编制。</w:t>
            </w:r>
          </w:p>
          <w:p w14:paraId="7B8EEB86">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二、评审标准</w:t>
            </w:r>
          </w:p>
          <w:p w14:paraId="2D08685A">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1.完整性：方案必须全面，对评审内容中的各项要求有详细描述；</w:t>
            </w:r>
          </w:p>
          <w:p w14:paraId="79751E18">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2.落实性：切合本项目实际情况，提出责任明确、要求具体的方案。</w:t>
            </w:r>
          </w:p>
          <w:p w14:paraId="01CF21E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3.针对性：方案能够紧扣项目实际情况，内容科学合理。</w:t>
            </w:r>
          </w:p>
          <w:p w14:paraId="7B9861D8">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三、赋分标准(满分6分）</w:t>
            </w:r>
          </w:p>
          <w:p w14:paraId="7B88124C">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①对所经营机关食堂的考核办法：每完全满足一个评审标准得 1分，满分3分；</w:t>
            </w:r>
          </w:p>
          <w:p w14:paraId="783B54E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②本项目的保障方案：每完全满足一个评审标准得 1分，满分3分。</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61C5EA1">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0-6分</w:t>
            </w:r>
          </w:p>
        </w:tc>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3DCC9">
            <w:pPr>
              <w:keepNext w:val="0"/>
              <w:keepLines w:val="0"/>
              <w:pageBreakBefore w:val="0"/>
              <w:widowControl w:val="0"/>
              <w:wordWrap/>
              <w:overflowPunct/>
              <w:topLinePunct w:val="0"/>
              <w:bidi w:val="0"/>
              <w:spacing w:line="36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对比各投标单位的考核办法和保障方案进行综合评价。</w:t>
            </w:r>
          </w:p>
        </w:tc>
      </w:tr>
      <w:tr w14:paraId="41A4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118D65E5">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4E4BB578">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3EA92D9B">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5B219D3F">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3E1B2EFF">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08869F6A">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5C7101B2">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7852F9C8">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6683D34D">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30F6A58">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170EAC4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465C1C6F">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046B48FA">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1C05683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05B4F311">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0379A9A8">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24A2A5A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543CC987">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服务承诺</w:t>
            </w:r>
          </w:p>
        </w:tc>
        <w:tc>
          <w:tcPr>
            <w:tcW w:w="6456" w:type="dxa"/>
            <w:tcBorders>
              <w:top w:val="single" w:color="000000" w:sz="4" w:space="0"/>
              <w:left w:val="single" w:color="000000" w:sz="4" w:space="0"/>
              <w:bottom w:val="single" w:color="000000" w:sz="4" w:space="0"/>
              <w:right w:val="single" w:color="000000" w:sz="4" w:space="0"/>
            </w:tcBorders>
            <w:noWrap w:val="0"/>
            <w:vAlign w:val="top"/>
          </w:tcPr>
          <w:p w14:paraId="3C87CF7E">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一、评审内容</w:t>
            </w:r>
          </w:p>
          <w:p w14:paraId="6AE84CE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根据本项目特点制定服务承诺，服务承诺内容包括：①食品安全承诺②菜品保障承诺 ③ “健康餐厅”创建承诺④食堂环境卫生承诺 ⑤ 依法用工承诺 ⑥ 应急保障承诺⑦ 厨房设备安全运行承诺 ⑧ 消防安全承诺⑨保密承诺。</w:t>
            </w:r>
          </w:p>
          <w:p w14:paraId="7480C8E0">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二、评审标准</w:t>
            </w:r>
          </w:p>
          <w:p w14:paraId="6803949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1.完整性：方案必须全面，对评审内容中的各项要求有详细描述；</w:t>
            </w:r>
          </w:p>
          <w:p w14:paraId="0491426C">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2、落实性：切合本项目实际情况，提出责任明确、要求具体的方案。</w:t>
            </w:r>
          </w:p>
          <w:p w14:paraId="448E60A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三、赋分标准(满分5分）</w:t>
            </w:r>
          </w:p>
          <w:p w14:paraId="2FC14CAF">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①食品安全承诺：每完全满足一个评审标准得 0.5 分，满分 1分；</w:t>
            </w:r>
          </w:p>
          <w:p w14:paraId="5E12E01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②菜品保障承诺：每完全满足一个评审标准得 0.25 分，满分 0.5分；</w:t>
            </w:r>
          </w:p>
          <w:p w14:paraId="1307452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③ “健康餐厅”创建承诺：每完全满足一个评审标准得 0.25 分，满分 0.5分；</w:t>
            </w:r>
          </w:p>
          <w:p w14:paraId="308C2A67">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④食堂环境卫生承诺：每完全满足一个评审标准得 0.25 分，满分 0.5分；</w:t>
            </w:r>
          </w:p>
          <w:p w14:paraId="5B42A3F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⑤ 依法用工承诺：每完全满足一个评审标准得 0.25 分，满分 0.5分；</w:t>
            </w:r>
          </w:p>
          <w:p w14:paraId="31D2E116">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⑥ 应急保障承诺：每完全满足一个评审标准得 0.25 分，满分 0.5分；</w:t>
            </w:r>
          </w:p>
          <w:p w14:paraId="3C51C38D">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⑦ 厨房设备安全运行承诺：每完全满足一个评审标准得 0.25 分，满分 0.5分；</w:t>
            </w:r>
          </w:p>
          <w:p w14:paraId="285C42A7">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⑧ 消防安全承诺：每完全满足一个评审标准得 0.25 分，满分 0.5分；</w:t>
            </w:r>
          </w:p>
          <w:p w14:paraId="42ED9EAD">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⑨保密承诺：每完全满足一个评审标准得 0.25 分，满分 0.5分。</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2CA45CD">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4A1A9935">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2318D16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0BCB705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15FED4FB">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0C032BD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531A8AAA">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05EA51D8">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p w14:paraId="05752C38">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0-5分</w:t>
            </w:r>
          </w:p>
        </w:tc>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BF191">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tc>
      </w:tr>
      <w:tr w14:paraId="1051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1C6BD92D">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5</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3C28B3A0">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应急方案</w:t>
            </w:r>
          </w:p>
        </w:tc>
        <w:tc>
          <w:tcPr>
            <w:tcW w:w="6456" w:type="dxa"/>
            <w:tcBorders>
              <w:top w:val="single" w:color="000000" w:sz="4" w:space="0"/>
              <w:left w:val="single" w:color="000000" w:sz="4" w:space="0"/>
              <w:bottom w:val="single" w:color="000000" w:sz="4" w:space="0"/>
              <w:right w:val="single" w:color="000000" w:sz="4" w:space="0"/>
            </w:tcBorders>
            <w:noWrap w:val="0"/>
            <w:vAlign w:val="top"/>
          </w:tcPr>
          <w:p w14:paraId="2A58C595">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一、评审内容</w:t>
            </w:r>
          </w:p>
          <w:p w14:paraId="041E0E6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根据本项目特点制定应急方案，方案包括：①突然断电、断水、停气、火灾及疫情防控应急预案等应急措施②食物中毒应急预案，消防安全突发事件应急预案。</w:t>
            </w:r>
          </w:p>
          <w:p w14:paraId="678ED550">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二、评审标准</w:t>
            </w:r>
          </w:p>
          <w:p w14:paraId="6AACB156">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1.完整性：方案必须全面，对评审内容中的各项要求有详细描述；</w:t>
            </w:r>
          </w:p>
          <w:p w14:paraId="7F63641B">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2.落实性：切合本项目实际情况，提出责任明确、要求具体的方案；</w:t>
            </w:r>
          </w:p>
          <w:p w14:paraId="59B4E762">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三、赋分标准(满分4分）</w:t>
            </w:r>
          </w:p>
          <w:p w14:paraId="3C27D1C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①突然断电、断水、停气、火灾及疫情防控应急预案等应急措施：每完全满足一个评审标准得1分，满分2分；</w:t>
            </w:r>
          </w:p>
          <w:p w14:paraId="2EF317C7">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②食物中毒应急预案，消防安全突发事件应急预案：每完全满足一个评审标准得1分，满分2分。</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7244FE5">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0-4分</w:t>
            </w:r>
          </w:p>
        </w:tc>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4875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tc>
      </w:tr>
      <w:tr w14:paraId="13C8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E8B2D6F">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4889F72B">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特殊保障</w:t>
            </w:r>
          </w:p>
        </w:tc>
        <w:tc>
          <w:tcPr>
            <w:tcW w:w="6456" w:type="dxa"/>
            <w:tcBorders>
              <w:top w:val="single" w:color="000000" w:sz="4" w:space="0"/>
              <w:left w:val="single" w:color="000000" w:sz="4" w:space="0"/>
              <w:bottom w:val="single" w:color="000000" w:sz="4" w:space="0"/>
              <w:right w:val="single" w:color="000000" w:sz="4" w:space="0"/>
            </w:tcBorders>
            <w:noWrap w:val="0"/>
            <w:vAlign w:val="top"/>
          </w:tcPr>
          <w:p w14:paraId="3C9D53FC">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一、评审内容</w:t>
            </w:r>
          </w:p>
          <w:p w14:paraId="6B5AD23C">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①传统节日、民俗习惯餐饮服务保障</w:t>
            </w:r>
          </w:p>
          <w:p w14:paraId="4E0578D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②重要接待、会议用餐保障方案</w:t>
            </w:r>
          </w:p>
          <w:p w14:paraId="7E30AA1F">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bookmarkStart w:id="258" w:name="heading_6"/>
            <w:r>
              <w:rPr>
                <w:rFonts w:hint="eastAsia" w:asciiTheme="minorEastAsia" w:hAnsiTheme="minorEastAsia" w:eastAsiaTheme="minorEastAsia" w:cstheme="minorEastAsia"/>
                <w:b w:val="0"/>
                <w:bCs w:val="0"/>
                <w:color w:val="auto"/>
                <w:kern w:val="0"/>
                <w:sz w:val="21"/>
                <w:szCs w:val="21"/>
                <w:lang w:val="en-US" w:eastAsia="zh-CN"/>
              </w:rPr>
              <w:t>二、评审标准</w:t>
            </w:r>
            <w:bookmarkEnd w:id="258"/>
          </w:p>
          <w:p w14:paraId="0CE9EB6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1.方案贴合机关单位实际需求，针对性强。</w:t>
            </w:r>
          </w:p>
          <w:p w14:paraId="4C57C3A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2.流程清晰、措施具体、安全可靠。</w:t>
            </w:r>
          </w:p>
          <w:p w14:paraId="2657CE0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3.具备应急保障能力，可操作性强。</w:t>
            </w:r>
          </w:p>
          <w:p w14:paraId="399E6C4E">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三、赋分标准(满分6分）</w:t>
            </w:r>
          </w:p>
          <w:p w14:paraId="12F343E6">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①传统节日、民俗习惯餐饮服务保障：每完全满足一个评审标准得1分，满分3分；</w:t>
            </w:r>
          </w:p>
          <w:p w14:paraId="34DF9DC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②重要接待、会议用餐保障方案：每完全满足一个评审标准得1分，满分3分。</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48FF0F0">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0-6分</w:t>
            </w:r>
          </w:p>
        </w:tc>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B964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p>
        </w:tc>
      </w:tr>
      <w:tr w14:paraId="3BD9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9"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224D9BF">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7</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2C7E144">
            <w:pPr>
              <w:keepNext w:val="0"/>
              <w:keepLines w:val="0"/>
              <w:pageBreakBefore w:val="0"/>
              <w:widowControl w:val="0"/>
              <w:wordWrap/>
              <w:overflowPunct/>
              <w:topLinePunct w:val="0"/>
              <w:bidi w:val="0"/>
              <w:spacing w:line="36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项目组成人员</w:t>
            </w:r>
          </w:p>
        </w:tc>
        <w:tc>
          <w:tcPr>
            <w:tcW w:w="6456" w:type="dxa"/>
            <w:tcBorders>
              <w:top w:val="single" w:color="000000" w:sz="4" w:space="0"/>
              <w:left w:val="single" w:color="000000" w:sz="4" w:space="0"/>
              <w:bottom w:val="single" w:color="000000" w:sz="4" w:space="0"/>
              <w:right w:val="single" w:color="000000" w:sz="4" w:space="0"/>
            </w:tcBorders>
            <w:noWrap w:val="0"/>
            <w:vAlign w:val="top"/>
          </w:tcPr>
          <w:p w14:paraId="6D5E0FC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bookmarkStart w:id="259" w:name="heading_1"/>
            <w:r>
              <w:rPr>
                <w:rFonts w:hint="eastAsia" w:asciiTheme="minorEastAsia" w:hAnsiTheme="minorEastAsia" w:eastAsiaTheme="minorEastAsia" w:cstheme="minorEastAsia"/>
                <w:b w:val="0"/>
                <w:bCs w:val="0"/>
                <w:color w:val="auto"/>
                <w:kern w:val="0"/>
                <w:sz w:val="21"/>
                <w:szCs w:val="21"/>
                <w:lang w:val="en-US" w:eastAsia="zh-CN"/>
              </w:rPr>
              <w:t>一、评审内容</w:t>
            </w:r>
            <w:bookmarkEnd w:id="259"/>
          </w:p>
          <w:p w14:paraId="1F9411BF">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1.项目总负责人的餐饮管理经验、职业资格</w:t>
            </w:r>
          </w:p>
          <w:p w14:paraId="744E2215">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2.厨师长的职业技能等级</w:t>
            </w:r>
          </w:p>
          <w:p w14:paraId="678BD212">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3.其他厨师的职业资格情况</w:t>
            </w:r>
          </w:p>
          <w:p w14:paraId="34FC7C08">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4.营养师的专业资格情况</w:t>
            </w:r>
          </w:p>
          <w:p w14:paraId="73B3EBF0">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bookmarkStart w:id="260" w:name="heading_2"/>
            <w:r>
              <w:rPr>
                <w:rFonts w:hint="eastAsia" w:asciiTheme="minorEastAsia" w:hAnsiTheme="minorEastAsia" w:eastAsiaTheme="minorEastAsia" w:cstheme="minorEastAsia"/>
                <w:b w:val="0"/>
                <w:bCs w:val="0"/>
                <w:color w:val="auto"/>
                <w:kern w:val="0"/>
                <w:sz w:val="21"/>
                <w:szCs w:val="21"/>
                <w:lang w:val="en-US" w:eastAsia="zh-CN"/>
              </w:rPr>
              <w:t>二、评审标准</w:t>
            </w:r>
            <w:bookmarkEnd w:id="260"/>
          </w:p>
          <w:p w14:paraId="789A7037">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1.人员配置满足机关食堂运营需求，结构合理。</w:t>
            </w:r>
          </w:p>
          <w:p w14:paraId="2FD7E9DE">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2.提供真实有效的资格证书、从业经验证明。</w:t>
            </w:r>
          </w:p>
          <w:p w14:paraId="11A4008C">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3.人员稳定、专业能力强，符合机关餐饮保障高标准要求。</w:t>
            </w:r>
          </w:p>
          <w:p w14:paraId="762EB990">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bookmarkStart w:id="261" w:name="heading_3"/>
            <w:r>
              <w:rPr>
                <w:rFonts w:hint="eastAsia" w:asciiTheme="minorEastAsia" w:hAnsiTheme="minorEastAsia" w:eastAsiaTheme="minorEastAsia" w:cstheme="minorEastAsia"/>
                <w:b w:val="0"/>
                <w:bCs w:val="0"/>
                <w:color w:val="auto"/>
                <w:kern w:val="0"/>
                <w:sz w:val="21"/>
                <w:szCs w:val="21"/>
                <w:lang w:val="en-US" w:eastAsia="zh-CN"/>
              </w:rPr>
              <w:t>三、赋分标准</w:t>
            </w:r>
            <w:bookmarkEnd w:id="261"/>
          </w:p>
          <w:p w14:paraId="2C0B3752">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（一）项目总负责人（0～3分）</w:t>
            </w:r>
          </w:p>
          <w:p w14:paraId="28026FD9">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从事餐饮管理工作满3年，得2分；同时具有餐饮高级职业经理人证书，得1分；不满足或未提供，得0分。</w:t>
            </w:r>
          </w:p>
          <w:p w14:paraId="0A562D4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（二）厨师长（0～3分）</w:t>
            </w:r>
          </w:p>
          <w:p w14:paraId="336DC65D">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职业资格为高级技师（一级），得3分；职业资格为技师（二级），得2分；职业资格为高级工（三级），得1分；无资格或低于三级，得0分。</w:t>
            </w:r>
          </w:p>
          <w:p w14:paraId="1894BFA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（三）其他厨师（0～2分）</w:t>
            </w:r>
          </w:p>
          <w:p w14:paraId="318ED51A">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每提供1名具有初级（五级）及以上厨师资格，得0.5分，最高得2分，不提供不得分。</w:t>
            </w:r>
          </w:p>
          <w:p w14:paraId="08CC4C85">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（四）营养师（0～3分）</w:t>
            </w:r>
          </w:p>
          <w:p w14:paraId="716BFEEA">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具有营养师证书，得3分；不提供不得分。</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901DA2F">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0-11 分</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345986D">
            <w:pPr>
              <w:keepNext w:val="0"/>
              <w:keepLines w:val="0"/>
              <w:pageBreakBefore w:val="0"/>
              <w:widowControl w:val="0"/>
              <w:wordWrap/>
              <w:overflowPunct/>
              <w:topLinePunct w:val="0"/>
              <w:bidi w:val="0"/>
              <w:spacing w:line="36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项目总负责人、厨师长、营养师、等级厨师等骨干需提供相关证书</w:t>
            </w:r>
          </w:p>
        </w:tc>
      </w:tr>
      <w:tr w14:paraId="0BBB6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C028C9D">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703FBCA6">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规章制度</w:t>
            </w:r>
          </w:p>
        </w:tc>
        <w:tc>
          <w:tcPr>
            <w:tcW w:w="6456" w:type="dxa"/>
            <w:tcBorders>
              <w:top w:val="single" w:color="000000" w:sz="4" w:space="0"/>
              <w:left w:val="single" w:color="000000" w:sz="4" w:space="0"/>
              <w:bottom w:val="single" w:color="000000" w:sz="4" w:space="0"/>
              <w:right w:val="single" w:color="000000" w:sz="4" w:space="0"/>
            </w:tcBorders>
            <w:noWrap w:val="0"/>
            <w:vAlign w:val="top"/>
          </w:tcPr>
          <w:p w14:paraId="1E7E4E01">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1.反食品浪费管理制度，详细完善、操作可行的得1分，较详细的得 0.5 分，一般的不得分；</w:t>
            </w:r>
          </w:p>
          <w:p w14:paraId="242331D6">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2.餐厅经营管理制度，详细完善、操作可行的得1分，较详细的得 0.5 分，一般的不得分；</w:t>
            </w:r>
          </w:p>
          <w:p w14:paraId="301E07E3">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3.质量与服务管理制度，详细完善、操作可行的得 1 分，较详细的得0.5分，一般的不得分；</w:t>
            </w:r>
          </w:p>
          <w:p w14:paraId="35A5AAA5">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4.绩效考核管理制度，详细完善、操作可行的得1分，较详细的得0.5分，一般的不得分；</w:t>
            </w:r>
          </w:p>
          <w:p w14:paraId="3A962F74">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5.食材储存管理制度，详细完善、操作可行的得1分，较详细的得0.5 分，一般的不得分；</w:t>
            </w:r>
          </w:p>
          <w:p w14:paraId="29374DA1">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6.其他各项管理制度，详细完善、操作可行的得1分，较详细的得0.5 分，一般的不得分。</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0EEA77F">
            <w:pPr>
              <w:keepNext w:val="0"/>
              <w:keepLines w:val="0"/>
              <w:pageBreakBefore w:val="0"/>
              <w:widowControl w:val="0"/>
              <w:wordWrap/>
              <w:overflowPunct/>
              <w:topLinePunct w:val="0"/>
              <w:bidi w:val="0"/>
              <w:spacing w:line="360" w:lineRule="auto"/>
              <w:jc w:val="center"/>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0-6 分</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1077E78">
            <w:pPr>
              <w:keepNext w:val="0"/>
              <w:keepLines w:val="0"/>
              <w:pageBreakBefore w:val="0"/>
              <w:widowControl w:val="0"/>
              <w:wordWrap/>
              <w:overflowPunct/>
              <w:topLinePunct w:val="0"/>
              <w:bidi w:val="0"/>
              <w:spacing w:line="360" w:lineRule="auto"/>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对比各投标单位的规章制度，进行综合评价，投标单位缺项的不得分。</w:t>
            </w:r>
          </w:p>
        </w:tc>
      </w:tr>
      <w:tr w14:paraId="3870A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28" w:type="dxa"/>
            <w:gridSpan w:val="3"/>
            <w:tcBorders>
              <w:top w:val="single" w:color="000000" w:sz="4" w:space="0"/>
              <w:left w:val="single" w:color="000000" w:sz="4" w:space="0"/>
              <w:bottom w:val="single" w:color="000000" w:sz="4" w:space="0"/>
              <w:right w:val="single" w:color="000000" w:sz="4" w:space="0"/>
            </w:tcBorders>
            <w:noWrap w:val="0"/>
            <w:vAlign w:val="center"/>
          </w:tcPr>
          <w:p w14:paraId="7899F4D6">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合计</w:t>
            </w:r>
          </w:p>
        </w:tc>
        <w:tc>
          <w:tcPr>
            <w:tcW w:w="1512" w:type="dxa"/>
            <w:gridSpan w:val="2"/>
            <w:tcBorders>
              <w:top w:val="single" w:color="000000" w:sz="4" w:space="0"/>
              <w:left w:val="single" w:color="000000" w:sz="4" w:space="0"/>
              <w:bottom w:val="single" w:color="000000" w:sz="4" w:space="0"/>
              <w:right w:val="single" w:color="000000" w:sz="4" w:space="0"/>
            </w:tcBorders>
            <w:noWrap w:val="0"/>
            <w:vAlign w:val="center"/>
          </w:tcPr>
          <w:p w14:paraId="5FF54FF0">
            <w:pPr>
              <w:keepNext w:val="0"/>
              <w:keepLines w:val="0"/>
              <w:pageBreakBefore w:val="0"/>
              <w:widowControl w:val="0"/>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52分</w:t>
            </w:r>
          </w:p>
        </w:tc>
      </w:tr>
    </w:tbl>
    <w:p w14:paraId="1900355A">
      <w:pPr>
        <w:pStyle w:val="29"/>
        <w:spacing w:line="360" w:lineRule="auto"/>
        <w:ind w:left="0" w:leftChars="0" w:firstLine="0" w:firstLineChars="0"/>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b w:val="0"/>
          <w:bCs w:val="0"/>
          <w:i w:val="0"/>
          <w:iCs w:val="0"/>
          <w:color w:val="auto"/>
          <w:sz w:val="24"/>
          <w:szCs w:val="24"/>
          <w:u w:val="none"/>
        </w:rPr>
        <w:t>注：</w:t>
      </w:r>
      <w:r>
        <w:rPr>
          <w:rFonts w:hint="eastAsia" w:asciiTheme="minorEastAsia" w:hAnsiTheme="minorEastAsia" w:eastAsiaTheme="minorEastAsia" w:cstheme="minorEastAsia"/>
          <w:i w:val="0"/>
          <w:iCs w:val="0"/>
          <w:color w:val="auto"/>
          <w:sz w:val="24"/>
          <w:szCs w:val="24"/>
          <w:lang w:val="en-US" w:eastAsia="zh-CN"/>
        </w:rPr>
        <w:t>1、</w:t>
      </w:r>
      <w:r>
        <w:rPr>
          <w:rFonts w:hint="eastAsia" w:asciiTheme="minorEastAsia" w:hAnsiTheme="minorEastAsia" w:eastAsiaTheme="minorEastAsia" w:cstheme="minorEastAsia"/>
          <w:i w:val="0"/>
          <w:iCs w:val="0"/>
          <w:color w:val="auto"/>
          <w:sz w:val="24"/>
          <w:szCs w:val="24"/>
        </w:rPr>
        <w:t>最低报价不能作为中标的保证。</w:t>
      </w:r>
    </w:p>
    <w:p w14:paraId="7AF83957">
      <w:pPr>
        <w:pStyle w:val="29"/>
        <w:spacing w:line="360" w:lineRule="auto"/>
        <w:ind w:left="0" w:leftChars="0" w:firstLine="480" w:firstLineChars="200"/>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lang w:val="en-US" w:eastAsia="zh-CN"/>
        </w:rPr>
        <w:t>2、</w:t>
      </w:r>
      <w:r>
        <w:rPr>
          <w:rFonts w:hint="eastAsia" w:asciiTheme="minorEastAsia" w:hAnsiTheme="minorEastAsia" w:eastAsiaTheme="minorEastAsia" w:cstheme="minorEastAsia"/>
          <w:i w:val="0"/>
          <w:iCs w:val="0"/>
          <w:color w:val="auto"/>
          <w:sz w:val="24"/>
          <w:szCs w:val="24"/>
        </w:rPr>
        <w:t>将各响应投标人的技术评分、商务评分和价格评分汇总得出其综合得分，推荐</w:t>
      </w:r>
      <w:r>
        <w:rPr>
          <w:rFonts w:hint="eastAsia" w:asciiTheme="minorEastAsia" w:hAnsiTheme="minorEastAsia" w:eastAsiaTheme="minorEastAsia" w:cstheme="minorEastAsia"/>
          <w:b w:val="0"/>
          <w:bCs w:val="0"/>
          <w:i w:val="0"/>
          <w:iCs w:val="0"/>
          <w:color w:val="auto"/>
          <w:sz w:val="24"/>
          <w:szCs w:val="24"/>
          <w:u w:val="none"/>
        </w:rPr>
        <w:t>3名</w:t>
      </w:r>
      <w:r>
        <w:rPr>
          <w:rFonts w:hint="eastAsia" w:asciiTheme="minorEastAsia" w:hAnsiTheme="minorEastAsia" w:eastAsiaTheme="minorEastAsia" w:cstheme="minorEastAsia"/>
          <w:b w:val="0"/>
          <w:bCs w:val="0"/>
          <w:i w:val="0"/>
          <w:iCs w:val="0"/>
          <w:color w:val="auto"/>
          <w:sz w:val="24"/>
          <w:szCs w:val="24"/>
          <w:u w:val="none"/>
          <w:lang w:val="en-US" w:eastAsia="zh-CN"/>
        </w:rPr>
        <w:t>中标</w:t>
      </w:r>
      <w:r>
        <w:rPr>
          <w:rFonts w:hint="eastAsia" w:asciiTheme="minorEastAsia" w:hAnsiTheme="minorEastAsia" w:eastAsiaTheme="minorEastAsia" w:cstheme="minorEastAsia"/>
          <w:i w:val="0"/>
          <w:iCs w:val="0"/>
          <w:color w:val="auto"/>
          <w:sz w:val="24"/>
          <w:szCs w:val="24"/>
        </w:rPr>
        <w:t>候选投标人</w:t>
      </w:r>
      <w:r>
        <w:rPr>
          <w:rFonts w:hint="eastAsia" w:asciiTheme="minorEastAsia" w:hAnsiTheme="minorEastAsia" w:eastAsiaTheme="minorEastAsia" w:cstheme="minorEastAsia"/>
          <w:i w:val="0"/>
          <w:iCs w:val="0"/>
          <w:color w:val="auto"/>
          <w:sz w:val="24"/>
          <w:szCs w:val="24"/>
          <w:lang w:eastAsia="zh-CN"/>
        </w:rPr>
        <w:t>，</w:t>
      </w:r>
      <w:r>
        <w:rPr>
          <w:rFonts w:hint="eastAsia" w:asciiTheme="minorEastAsia" w:hAnsiTheme="minorEastAsia" w:eastAsiaTheme="minorEastAsia" w:cstheme="minorEastAsia"/>
          <w:i w:val="0"/>
          <w:iCs w:val="0"/>
          <w:color w:val="auto"/>
          <w:sz w:val="24"/>
          <w:szCs w:val="24"/>
        </w:rPr>
        <w:t>并编写评审报告。</w:t>
      </w:r>
    </w:p>
    <w:bookmarkEnd w:id="287"/>
    <w:p w14:paraId="34D51C73">
      <w:pPr>
        <w:rPr>
          <w:rFonts w:hint="eastAsia" w:ascii="宋体" w:hAnsi="宋体" w:eastAsia="宋体" w:cs="宋体"/>
          <w:bCs/>
          <w:i w:val="0"/>
          <w:iCs w:val="0"/>
          <w:color w:val="auto"/>
          <w:sz w:val="36"/>
          <w:szCs w:val="36"/>
          <w:lang w:val="en-US" w:eastAsia="zh-CN"/>
        </w:rPr>
      </w:pPr>
      <w:r>
        <w:rPr>
          <w:rFonts w:hint="eastAsia" w:ascii="宋体" w:hAnsi="宋体" w:eastAsia="宋体" w:cs="宋体"/>
          <w:bCs/>
          <w:i w:val="0"/>
          <w:iCs w:val="0"/>
          <w:color w:val="auto"/>
          <w:sz w:val="36"/>
          <w:szCs w:val="36"/>
          <w:lang w:val="en-US" w:eastAsia="zh-CN"/>
        </w:rPr>
        <w:br w:type="page"/>
      </w:r>
    </w:p>
    <w:p w14:paraId="1B4BECAD">
      <w:pPr>
        <w:pStyle w:val="2"/>
        <w:numPr>
          <w:ilvl w:val="0"/>
          <w:numId w:val="0"/>
        </w:numPr>
        <w:snapToGrid w:val="0"/>
        <w:spacing w:line="276" w:lineRule="auto"/>
        <w:ind w:leftChars="0"/>
        <w:jc w:val="center"/>
        <w:rPr>
          <w:rFonts w:hint="eastAsia" w:ascii="宋体" w:hAnsi="宋体" w:eastAsia="宋体" w:cs="宋体"/>
          <w:bCs/>
          <w:i w:val="0"/>
          <w:iCs w:val="0"/>
          <w:color w:val="auto"/>
          <w:sz w:val="36"/>
          <w:szCs w:val="36"/>
        </w:rPr>
      </w:pPr>
      <w:bookmarkStart w:id="262" w:name="_Toc10787"/>
      <w:r>
        <w:rPr>
          <w:rFonts w:hint="eastAsia" w:ascii="宋体" w:hAnsi="宋体" w:eastAsia="宋体" w:cs="宋体"/>
          <w:bCs/>
          <w:i w:val="0"/>
          <w:iCs w:val="0"/>
          <w:color w:val="auto"/>
          <w:sz w:val="36"/>
          <w:szCs w:val="36"/>
          <w:lang w:val="en-US" w:eastAsia="zh-CN"/>
        </w:rPr>
        <w:t>第六章</w:t>
      </w:r>
      <w:r>
        <w:rPr>
          <w:rFonts w:hint="eastAsia" w:ascii="宋体" w:hAnsi="宋体" w:eastAsia="宋体" w:cs="宋体"/>
          <w:bCs/>
          <w:i w:val="0"/>
          <w:iCs w:val="0"/>
          <w:color w:val="auto"/>
          <w:sz w:val="36"/>
          <w:szCs w:val="36"/>
        </w:rPr>
        <w:t>投标文件及格式</w:t>
      </w:r>
      <w:bookmarkEnd w:id="245"/>
      <w:bookmarkEnd w:id="262"/>
    </w:p>
    <w:bookmarkEnd w:id="230"/>
    <w:bookmarkEnd w:id="231"/>
    <w:bookmarkEnd w:id="232"/>
    <w:bookmarkEnd w:id="233"/>
    <w:p w14:paraId="2FEE6738">
      <w:pPr>
        <w:spacing w:line="360" w:lineRule="auto"/>
        <w:rPr>
          <w:rFonts w:hint="eastAsia" w:ascii="宋体" w:hAnsi="宋体" w:eastAsia="宋体" w:cs="宋体"/>
          <w:b/>
          <w:bCs/>
          <w:i w:val="0"/>
          <w:iCs w:val="0"/>
          <w:color w:val="auto"/>
          <w:sz w:val="44"/>
          <w:szCs w:val="44"/>
        </w:rPr>
      </w:pPr>
      <w:bookmarkStart w:id="263" w:name="_Toc430016780"/>
      <w:bookmarkStart w:id="264" w:name="_Toc443667060"/>
      <w:bookmarkStart w:id="265" w:name="_Toc363474033"/>
      <w:bookmarkStart w:id="266" w:name="_Toc403077656"/>
      <w:r>
        <w:rPr>
          <w:rFonts w:hint="eastAsia" w:ascii="宋体" w:hAnsi="宋体" w:eastAsia="宋体" w:cs="宋体"/>
          <w:b/>
          <w:bCs/>
          <w:i w:val="0"/>
          <w:iCs w:val="0"/>
          <w:color w:val="auto"/>
          <w:sz w:val="30"/>
          <w:szCs w:val="30"/>
          <w:bdr w:val="single" w:color="auto" w:sz="4" w:space="0"/>
        </w:rPr>
        <w:t>正本/副本</w:t>
      </w:r>
    </w:p>
    <w:p w14:paraId="26802B50">
      <w:pPr>
        <w:jc w:val="center"/>
        <w:rPr>
          <w:rFonts w:hint="eastAsia" w:ascii="宋体" w:hAnsi="宋体" w:eastAsia="宋体" w:cs="宋体"/>
          <w:b/>
          <w:i w:val="0"/>
          <w:iCs w:val="0"/>
          <w:color w:val="auto"/>
          <w:sz w:val="32"/>
          <w:szCs w:val="32"/>
        </w:rPr>
      </w:pPr>
    </w:p>
    <w:p w14:paraId="070ECA58">
      <w:pPr>
        <w:jc w:val="center"/>
        <w:rPr>
          <w:rFonts w:hint="eastAsia" w:ascii="宋体" w:hAnsi="宋体" w:eastAsia="宋体" w:cs="宋体"/>
          <w:b/>
          <w:i w:val="0"/>
          <w:iCs w:val="0"/>
          <w:color w:val="auto"/>
          <w:sz w:val="36"/>
          <w:szCs w:val="36"/>
          <w:u w:val="none"/>
        </w:rPr>
      </w:pPr>
      <w:r>
        <w:rPr>
          <w:rFonts w:hint="eastAsia" w:ascii="宋体" w:hAnsi="宋体" w:cs="宋体"/>
          <w:b/>
          <w:i w:val="0"/>
          <w:iCs w:val="0"/>
          <w:color w:val="auto"/>
          <w:sz w:val="32"/>
          <w:szCs w:val="32"/>
          <w:u w:val="none"/>
          <w:lang w:val="en-US" w:eastAsia="zh-CN"/>
        </w:rPr>
        <w:t>延安市机关事务服务中心机关食堂托管企业采购项目</w:t>
      </w:r>
    </w:p>
    <w:p w14:paraId="2FB29FAC">
      <w:pPr>
        <w:jc w:val="center"/>
        <w:rPr>
          <w:rFonts w:hint="eastAsia" w:ascii="宋体" w:hAnsi="宋体" w:eastAsia="宋体" w:cs="宋体"/>
          <w:b/>
          <w:i w:val="0"/>
          <w:iCs w:val="0"/>
          <w:color w:val="auto"/>
          <w:sz w:val="36"/>
          <w:szCs w:val="36"/>
        </w:rPr>
      </w:pPr>
    </w:p>
    <w:p w14:paraId="49E9C407">
      <w:pPr>
        <w:jc w:val="center"/>
        <w:rPr>
          <w:rFonts w:hint="eastAsia" w:ascii="宋体" w:hAnsi="宋体" w:eastAsia="宋体" w:cs="宋体"/>
          <w:b/>
          <w:i w:val="0"/>
          <w:iCs w:val="0"/>
          <w:color w:val="auto"/>
          <w:sz w:val="36"/>
          <w:szCs w:val="36"/>
        </w:rPr>
      </w:pPr>
    </w:p>
    <w:p w14:paraId="5F917756">
      <w:pPr>
        <w:spacing w:line="276" w:lineRule="auto"/>
        <w:jc w:val="center"/>
        <w:rPr>
          <w:rFonts w:hint="eastAsia" w:ascii="宋体" w:hAnsi="宋体" w:eastAsia="宋体" w:cs="宋体"/>
          <w:b/>
          <w:i w:val="0"/>
          <w:iCs w:val="0"/>
          <w:color w:val="auto"/>
          <w:sz w:val="84"/>
          <w:szCs w:val="52"/>
        </w:rPr>
      </w:pPr>
      <w:r>
        <w:rPr>
          <w:rFonts w:hint="eastAsia" w:ascii="宋体" w:hAnsi="宋体" w:eastAsia="宋体" w:cs="宋体"/>
          <w:b/>
          <w:i w:val="0"/>
          <w:iCs w:val="0"/>
          <w:color w:val="auto"/>
          <w:sz w:val="84"/>
          <w:szCs w:val="52"/>
        </w:rPr>
        <w:t>投标文件</w:t>
      </w:r>
    </w:p>
    <w:p w14:paraId="09F99AAD">
      <w:pPr>
        <w:spacing w:line="360" w:lineRule="auto"/>
        <w:jc w:val="center"/>
        <w:rPr>
          <w:rFonts w:hint="eastAsia" w:ascii="宋体" w:hAnsi="宋体" w:eastAsia="宋体" w:cs="宋体"/>
          <w:b/>
          <w:i w:val="0"/>
          <w:iCs w:val="0"/>
          <w:color w:val="auto"/>
          <w:sz w:val="32"/>
        </w:rPr>
      </w:pPr>
    </w:p>
    <w:p w14:paraId="6C48DA0F">
      <w:pPr>
        <w:keepNext w:val="0"/>
        <w:keepLines w:val="0"/>
        <w:pageBreakBefore w:val="0"/>
        <w:widowControl w:val="0"/>
        <w:kinsoku/>
        <w:wordWrap/>
        <w:overflowPunct/>
        <w:topLinePunct w:val="0"/>
        <w:autoSpaceDE/>
        <w:autoSpaceDN/>
        <w:bidi w:val="0"/>
        <w:adjustRightInd/>
        <w:snapToGrid/>
        <w:spacing w:before="313" w:beforeLines="100" w:line="276" w:lineRule="auto"/>
        <w:jc w:val="center"/>
        <w:textAlignment w:val="auto"/>
        <w:rPr>
          <w:rFonts w:hint="eastAsia" w:ascii="宋体" w:hAnsi="宋体" w:eastAsia="宋体" w:cs="宋体"/>
          <w:b/>
          <w:i w:val="0"/>
          <w:iCs w:val="0"/>
          <w:color w:val="auto"/>
          <w:sz w:val="32"/>
          <w:szCs w:val="32"/>
          <w:lang w:val="en-US" w:eastAsia="zh-CN"/>
        </w:rPr>
      </w:pPr>
      <w:r>
        <w:rPr>
          <w:rFonts w:hint="eastAsia" w:ascii="宋体" w:hAnsi="宋体" w:eastAsia="宋体" w:cs="宋体"/>
          <w:b/>
          <w:i w:val="0"/>
          <w:iCs w:val="0"/>
          <w:color w:val="auto"/>
          <w:sz w:val="32"/>
        </w:rPr>
        <w:t>采购项目编号：</w:t>
      </w:r>
      <w:r>
        <w:rPr>
          <w:rFonts w:hint="eastAsia" w:ascii="宋体" w:hAnsi="宋体" w:cs="宋体"/>
          <w:b/>
          <w:i w:val="0"/>
          <w:iCs w:val="0"/>
          <w:color w:val="auto"/>
          <w:sz w:val="32"/>
          <w:szCs w:val="32"/>
          <w:lang w:eastAsia="zh-CN"/>
        </w:rPr>
        <w:t>HDCGDL-ZC2026-045</w:t>
      </w:r>
    </w:p>
    <w:p w14:paraId="69001920">
      <w:pPr>
        <w:spacing w:line="276" w:lineRule="auto"/>
        <w:jc w:val="center"/>
        <w:rPr>
          <w:rFonts w:hint="eastAsia" w:ascii="宋体" w:hAnsi="宋体" w:eastAsia="宋体" w:cs="宋体"/>
          <w:b/>
          <w:i w:val="0"/>
          <w:iCs w:val="0"/>
          <w:color w:val="auto"/>
          <w:sz w:val="32"/>
          <w:szCs w:val="32"/>
        </w:rPr>
      </w:pPr>
    </w:p>
    <w:p w14:paraId="1553CEDE">
      <w:pPr>
        <w:spacing w:line="276" w:lineRule="auto"/>
        <w:jc w:val="center"/>
        <w:rPr>
          <w:rFonts w:hint="eastAsia" w:ascii="宋体" w:hAnsi="宋体" w:eastAsia="宋体" w:cs="宋体"/>
          <w:b/>
          <w:i w:val="0"/>
          <w:iCs w:val="0"/>
          <w:color w:val="auto"/>
          <w:sz w:val="52"/>
        </w:rPr>
      </w:pPr>
    </w:p>
    <w:p w14:paraId="0F87A933">
      <w:pPr>
        <w:jc w:val="center"/>
        <w:rPr>
          <w:rFonts w:hint="eastAsia" w:ascii="宋体" w:hAnsi="宋体" w:eastAsia="宋体" w:cs="宋体"/>
          <w:b/>
          <w:i w:val="0"/>
          <w:iCs w:val="0"/>
          <w:color w:val="auto"/>
          <w:sz w:val="52"/>
        </w:rPr>
      </w:pPr>
    </w:p>
    <w:p w14:paraId="67090B0F">
      <w:pPr>
        <w:pStyle w:val="16"/>
        <w:rPr>
          <w:rFonts w:hint="eastAsia" w:ascii="宋体" w:hAnsi="宋体" w:eastAsia="宋体" w:cs="宋体"/>
          <w:i w:val="0"/>
          <w:iCs w:val="0"/>
          <w:color w:val="auto"/>
        </w:rPr>
      </w:pPr>
    </w:p>
    <w:p w14:paraId="52E63FFD">
      <w:pPr>
        <w:pStyle w:val="16"/>
        <w:rPr>
          <w:rFonts w:hint="eastAsia" w:ascii="宋体" w:hAnsi="宋体" w:eastAsia="宋体" w:cs="宋体"/>
          <w:i w:val="0"/>
          <w:iCs w:val="0"/>
          <w:color w:val="auto"/>
        </w:rPr>
      </w:pPr>
    </w:p>
    <w:p w14:paraId="4955A5FB">
      <w:pPr>
        <w:pStyle w:val="16"/>
        <w:rPr>
          <w:rFonts w:hint="eastAsia" w:ascii="宋体" w:hAnsi="宋体" w:eastAsia="宋体" w:cs="宋体"/>
          <w:i w:val="0"/>
          <w:iCs w:val="0"/>
          <w:color w:val="auto"/>
        </w:rPr>
      </w:pPr>
    </w:p>
    <w:p w14:paraId="25EE7EDE">
      <w:pPr>
        <w:pStyle w:val="16"/>
        <w:rPr>
          <w:rFonts w:hint="eastAsia" w:ascii="宋体" w:hAnsi="宋体" w:eastAsia="宋体" w:cs="宋体"/>
          <w:i w:val="0"/>
          <w:iCs w:val="0"/>
          <w:color w:val="auto"/>
        </w:rPr>
      </w:pPr>
    </w:p>
    <w:p w14:paraId="4404B1AB">
      <w:pPr>
        <w:spacing w:line="360" w:lineRule="auto"/>
        <w:jc w:val="left"/>
        <w:rPr>
          <w:rFonts w:hint="eastAsia" w:ascii="宋体" w:hAnsi="宋体" w:eastAsia="宋体" w:cs="宋体"/>
          <w:b/>
          <w:i w:val="0"/>
          <w:iCs w:val="0"/>
          <w:color w:val="auto"/>
          <w:sz w:val="28"/>
        </w:rPr>
      </w:pPr>
    </w:p>
    <w:p w14:paraId="6D4A9C38">
      <w:pPr>
        <w:spacing w:line="360" w:lineRule="auto"/>
        <w:jc w:val="left"/>
        <w:rPr>
          <w:rFonts w:hint="eastAsia" w:ascii="宋体" w:hAnsi="宋体" w:eastAsia="宋体" w:cs="宋体"/>
          <w:b/>
          <w:i w:val="0"/>
          <w:iCs w:val="0"/>
          <w:color w:val="auto"/>
          <w:sz w:val="28"/>
        </w:rPr>
      </w:pPr>
      <w:r>
        <w:rPr>
          <w:rFonts w:hint="eastAsia" w:ascii="宋体" w:hAnsi="宋体" w:eastAsia="宋体" w:cs="宋体"/>
          <w:b/>
          <w:i w:val="0"/>
          <w:iCs w:val="0"/>
          <w:color w:val="auto"/>
          <w:sz w:val="28"/>
        </w:rPr>
        <w:t>投标人：（盖章）</w:t>
      </w:r>
    </w:p>
    <w:p w14:paraId="0D18F4AD">
      <w:pPr>
        <w:spacing w:line="360" w:lineRule="auto"/>
        <w:jc w:val="left"/>
        <w:rPr>
          <w:rFonts w:hint="eastAsia" w:ascii="宋体" w:hAnsi="宋体" w:eastAsia="宋体" w:cs="宋体"/>
          <w:b/>
          <w:i w:val="0"/>
          <w:iCs w:val="0"/>
          <w:color w:val="auto"/>
          <w:sz w:val="28"/>
        </w:rPr>
      </w:pPr>
      <w:r>
        <w:rPr>
          <w:rFonts w:hint="eastAsia" w:ascii="宋体" w:hAnsi="宋体" w:eastAsia="宋体" w:cs="宋体"/>
          <w:b/>
          <w:i w:val="0"/>
          <w:iCs w:val="0"/>
          <w:color w:val="auto"/>
          <w:sz w:val="28"/>
        </w:rPr>
        <w:t>法定代表人或授权代表：（盖章或签字）</w:t>
      </w:r>
    </w:p>
    <w:p w14:paraId="100E7928">
      <w:pPr>
        <w:jc w:val="center"/>
        <w:rPr>
          <w:rFonts w:hint="eastAsia" w:ascii="宋体" w:hAnsi="宋体" w:eastAsia="宋体" w:cs="宋体"/>
          <w:b/>
          <w:i w:val="0"/>
          <w:iCs w:val="0"/>
          <w:color w:val="auto"/>
          <w:sz w:val="28"/>
        </w:rPr>
      </w:pPr>
    </w:p>
    <w:p w14:paraId="0BA99FA3">
      <w:pPr>
        <w:spacing w:line="360" w:lineRule="auto"/>
        <w:jc w:val="center"/>
        <w:rPr>
          <w:rFonts w:hint="eastAsia" w:ascii="宋体" w:hAnsi="宋体" w:eastAsia="宋体" w:cs="宋体"/>
          <w:b/>
          <w:i w:val="0"/>
          <w:iCs w:val="0"/>
          <w:color w:val="auto"/>
          <w:sz w:val="32"/>
        </w:rPr>
      </w:pPr>
      <w:r>
        <w:rPr>
          <w:rFonts w:hint="eastAsia" w:ascii="宋体" w:hAnsi="宋体" w:eastAsia="宋体" w:cs="宋体"/>
          <w:b/>
          <w:i w:val="0"/>
          <w:iCs w:val="0"/>
          <w:color w:val="auto"/>
          <w:sz w:val="32"/>
        </w:rPr>
        <w:t>年</w:t>
      </w:r>
      <w:r>
        <w:rPr>
          <w:rFonts w:hint="eastAsia" w:ascii="宋体" w:hAnsi="宋体" w:cs="宋体"/>
          <w:b/>
          <w:i w:val="0"/>
          <w:iCs w:val="0"/>
          <w:color w:val="auto"/>
          <w:sz w:val="32"/>
          <w:lang w:val="en-US" w:eastAsia="zh-CN"/>
        </w:rPr>
        <w:t xml:space="preserve">  </w:t>
      </w:r>
      <w:r>
        <w:rPr>
          <w:rFonts w:hint="eastAsia" w:ascii="宋体" w:hAnsi="宋体" w:eastAsia="宋体" w:cs="宋体"/>
          <w:b/>
          <w:i w:val="0"/>
          <w:iCs w:val="0"/>
          <w:color w:val="auto"/>
          <w:sz w:val="32"/>
        </w:rPr>
        <w:t>月</w:t>
      </w:r>
      <w:r>
        <w:rPr>
          <w:rFonts w:hint="eastAsia" w:ascii="宋体" w:hAnsi="宋体" w:cs="宋体"/>
          <w:b/>
          <w:i w:val="0"/>
          <w:iCs w:val="0"/>
          <w:color w:val="auto"/>
          <w:sz w:val="32"/>
          <w:lang w:val="en-US" w:eastAsia="zh-CN"/>
        </w:rPr>
        <w:t xml:space="preserve">  </w:t>
      </w:r>
      <w:r>
        <w:rPr>
          <w:rFonts w:hint="eastAsia" w:ascii="宋体" w:hAnsi="宋体" w:eastAsia="宋体" w:cs="宋体"/>
          <w:b/>
          <w:i w:val="0"/>
          <w:iCs w:val="0"/>
          <w:color w:val="auto"/>
          <w:sz w:val="32"/>
        </w:rPr>
        <w:t>日</w:t>
      </w:r>
    </w:p>
    <w:p w14:paraId="355CCCFB">
      <w:pPr>
        <w:pStyle w:val="5"/>
        <w:spacing w:after="360" w:afterLines="150" w:line="240" w:lineRule="auto"/>
        <w:ind w:left="0" w:firstLine="0"/>
        <w:jc w:val="center"/>
        <w:rPr>
          <w:rFonts w:hint="eastAsia" w:ascii="宋体" w:hAnsi="宋体" w:eastAsia="宋体" w:cs="宋体"/>
          <w:b/>
          <w:i w:val="0"/>
          <w:iCs w:val="0"/>
          <w:color w:val="44546A" w:themeColor="text2"/>
          <w:kern w:val="2"/>
          <w:sz w:val="40"/>
          <w:szCs w:val="32"/>
          <w14:textFill>
            <w14:solidFill>
              <w14:schemeClr w14:val="tx2"/>
            </w14:solidFill>
          </w14:textFill>
        </w:rPr>
      </w:pPr>
    </w:p>
    <w:p w14:paraId="0DFF4FCD">
      <w:pPr>
        <w:pStyle w:val="5"/>
        <w:spacing w:after="360" w:afterLines="150" w:line="240" w:lineRule="auto"/>
        <w:ind w:left="0" w:firstLine="0"/>
        <w:jc w:val="center"/>
        <w:rPr>
          <w:rFonts w:hint="eastAsia" w:ascii="宋体" w:hAnsi="宋体" w:eastAsia="宋体" w:cs="宋体"/>
          <w:b/>
          <w:i w:val="0"/>
          <w:iCs w:val="0"/>
          <w:color w:val="44546A" w:themeColor="text2"/>
          <w:kern w:val="2"/>
          <w:sz w:val="40"/>
          <w:szCs w:val="32"/>
          <w14:textFill>
            <w14:solidFill>
              <w14:schemeClr w14:val="tx2"/>
            </w14:solidFill>
          </w14:textFill>
        </w:rPr>
      </w:pPr>
    </w:p>
    <w:p w14:paraId="5A58EA45">
      <w:pPr>
        <w:pStyle w:val="5"/>
        <w:spacing w:after="360" w:afterLines="150" w:line="240" w:lineRule="auto"/>
        <w:ind w:left="0" w:firstLine="0"/>
        <w:jc w:val="center"/>
        <w:rPr>
          <w:rFonts w:hint="eastAsia" w:ascii="宋体" w:hAnsi="宋体" w:eastAsia="宋体" w:cs="宋体"/>
          <w:b/>
          <w:i w:val="0"/>
          <w:iCs w:val="0"/>
          <w:color w:val="4472C4" w:themeColor="accent5"/>
          <w:kern w:val="2"/>
          <w:sz w:val="40"/>
          <w:szCs w:val="32"/>
          <w14:textFill>
            <w14:gradFill>
              <w14:gsLst>
                <w14:gs w14:pos="0">
                  <w14:srgbClr w14:val="E30000"/>
                </w14:gs>
                <w14:gs w14:pos="100000">
                  <w14:srgbClr w14:val="760303"/>
                </w14:gs>
              </w14:gsLst>
              <w14:lin w14:scaled="0"/>
            </w14:gradFill>
          </w14:textFill>
        </w:rPr>
      </w:pPr>
      <w:r>
        <w:rPr>
          <w:rFonts w:hint="eastAsia" w:ascii="宋体" w:hAnsi="宋体" w:eastAsia="宋体" w:cs="宋体"/>
          <w:b/>
          <w:i w:val="0"/>
          <w:iCs w:val="0"/>
          <w:color w:val="44546A" w:themeColor="text2"/>
          <w:kern w:val="2"/>
          <w:sz w:val="40"/>
          <w:szCs w:val="32"/>
          <w14:textFill>
            <w14:solidFill>
              <w14:schemeClr w14:val="tx2"/>
            </w14:solidFill>
          </w14:textFill>
        </w:rPr>
        <w:t>目录</w:t>
      </w:r>
    </w:p>
    <w:p w14:paraId="00A0BC4C">
      <w:pPr>
        <w:rPr>
          <w:rFonts w:hint="eastAsia" w:ascii="宋体" w:hAnsi="宋体" w:eastAsia="宋体" w:cs="宋体"/>
          <w:i w:val="0"/>
          <w:iCs w:val="0"/>
          <w:color w:val="auto"/>
          <w:kern w:val="2"/>
          <w:sz w:val="32"/>
          <w:szCs w:val="22"/>
          <w:shd w:val="clear" w:color="auto" w:fill="auto"/>
          <w:lang w:val="en-US" w:eastAsia="zh-CN" w:bidi="ar-SA"/>
        </w:rPr>
      </w:pPr>
      <w:r>
        <w:rPr>
          <w:rFonts w:hint="eastAsia" w:ascii="宋体" w:hAnsi="宋体" w:eastAsia="宋体" w:cs="宋体"/>
          <w:i w:val="0"/>
          <w:iCs w:val="0"/>
          <w:color w:val="auto"/>
          <w:kern w:val="2"/>
          <w:sz w:val="32"/>
          <w:szCs w:val="22"/>
          <w:shd w:val="clear" w:color="auto" w:fill="auto"/>
          <w:lang w:val="en-US" w:eastAsia="zh-CN" w:bidi="ar-SA"/>
        </w:rPr>
        <w:t>一、投标函及投标函附录</w:t>
      </w:r>
    </w:p>
    <w:p w14:paraId="4A869008">
      <w:pPr>
        <w:rPr>
          <w:rFonts w:hint="eastAsia" w:ascii="宋体" w:hAnsi="宋体" w:eastAsia="宋体" w:cs="宋体"/>
          <w:i w:val="0"/>
          <w:iCs w:val="0"/>
          <w:color w:val="auto"/>
          <w:kern w:val="2"/>
          <w:sz w:val="32"/>
          <w:szCs w:val="22"/>
          <w:shd w:val="clear" w:color="auto" w:fill="auto"/>
          <w:lang w:val="en-US" w:eastAsia="zh-CN" w:bidi="ar-SA"/>
        </w:rPr>
      </w:pPr>
      <w:r>
        <w:rPr>
          <w:rFonts w:hint="eastAsia" w:ascii="宋体" w:hAnsi="宋体" w:eastAsia="宋体" w:cs="宋体"/>
          <w:i w:val="0"/>
          <w:iCs w:val="0"/>
          <w:color w:val="auto"/>
          <w:kern w:val="2"/>
          <w:sz w:val="32"/>
          <w:szCs w:val="22"/>
          <w:shd w:val="clear" w:color="auto" w:fill="auto"/>
          <w:lang w:val="en-US" w:eastAsia="zh-CN" w:bidi="ar-SA"/>
        </w:rPr>
        <w:t>二、法定代表人身份证明及法定代表人授权委托书</w:t>
      </w:r>
    </w:p>
    <w:p w14:paraId="698F4FD2">
      <w:pPr>
        <w:rPr>
          <w:rFonts w:hint="eastAsia" w:ascii="宋体" w:hAnsi="宋体" w:eastAsia="宋体" w:cs="宋体"/>
          <w:i w:val="0"/>
          <w:iCs w:val="0"/>
          <w:color w:val="auto"/>
          <w:kern w:val="2"/>
          <w:sz w:val="32"/>
          <w:szCs w:val="22"/>
          <w:shd w:val="clear" w:color="auto" w:fill="auto"/>
          <w:lang w:val="en-US" w:eastAsia="zh-CN" w:bidi="ar-SA"/>
        </w:rPr>
      </w:pPr>
      <w:r>
        <w:rPr>
          <w:rFonts w:hint="eastAsia" w:ascii="宋体" w:hAnsi="宋体" w:eastAsia="宋体" w:cs="宋体"/>
          <w:i w:val="0"/>
          <w:iCs w:val="0"/>
          <w:color w:val="auto"/>
          <w:kern w:val="2"/>
          <w:sz w:val="32"/>
          <w:szCs w:val="22"/>
          <w:shd w:val="clear" w:color="auto" w:fill="auto"/>
          <w:lang w:val="en-US" w:eastAsia="zh-CN" w:bidi="ar-SA"/>
        </w:rPr>
        <w:t>三、服务响应偏离表</w:t>
      </w:r>
    </w:p>
    <w:p w14:paraId="1B038F2F">
      <w:pPr>
        <w:rPr>
          <w:rFonts w:hint="default" w:ascii="宋体" w:hAnsi="宋体" w:eastAsia="宋体" w:cs="宋体"/>
          <w:i w:val="0"/>
          <w:iCs w:val="0"/>
          <w:color w:val="auto"/>
          <w:kern w:val="2"/>
          <w:sz w:val="32"/>
          <w:szCs w:val="22"/>
          <w:shd w:val="clear" w:color="auto" w:fill="auto"/>
          <w:lang w:val="en-US" w:eastAsia="zh-CN" w:bidi="ar-SA"/>
        </w:rPr>
      </w:pPr>
      <w:r>
        <w:rPr>
          <w:rFonts w:hint="eastAsia" w:ascii="宋体" w:hAnsi="宋体" w:cs="宋体"/>
          <w:i w:val="0"/>
          <w:iCs w:val="0"/>
          <w:color w:val="auto"/>
          <w:kern w:val="2"/>
          <w:sz w:val="32"/>
          <w:szCs w:val="22"/>
          <w:shd w:val="clear" w:color="auto" w:fill="auto"/>
          <w:lang w:val="en-US" w:eastAsia="zh-CN" w:bidi="ar-SA"/>
        </w:rPr>
        <w:t>四、合同主要条款响应说明</w:t>
      </w:r>
    </w:p>
    <w:p w14:paraId="219034D5">
      <w:pPr>
        <w:rPr>
          <w:rFonts w:hint="eastAsia" w:ascii="宋体" w:hAnsi="宋体" w:eastAsia="宋体" w:cs="宋体"/>
          <w:i w:val="0"/>
          <w:iCs w:val="0"/>
          <w:color w:val="auto"/>
          <w:kern w:val="2"/>
          <w:sz w:val="32"/>
          <w:szCs w:val="22"/>
          <w:shd w:val="clear" w:color="auto" w:fill="auto"/>
          <w:lang w:val="en-US" w:eastAsia="zh-CN" w:bidi="ar-SA"/>
        </w:rPr>
      </w:pPr>
      <w:r>
        <w:rPr>
          <w:rFonts w:hint="eastAsia" w:ascii="宋体" w:hAnsi="宋体" w:cs="宋体"/>
          <w:i w:val="0"/>
          <w:iCs w:val="0"/>
          <w:color w:val="auto"/>
          <w:kern w:val="2"/>
          <w:sz w:val="32"/>
          <w:szCs w:val="22"/>
          <w:shd w:val="clear" w:color="auto" w:fill="auto"/>
          <w:lang w:val="en-US" w:eastAsia="zh-CN" w:bidi="ar-SA"/>
        </w:rPr>
        <w:t>五、</w:t>
      </w:r>
      <w:r>
        <w:rPr>
          <w:rFonts w:hint="eastAsia" w:ascii="宋体" w:hAnsi="宋体" w:eastAsia="宋体" w:cs="宋体"/>
          <w:i w:val="0"/>
          <w:iCs w:val="0"/>
          <w:color w:val="auto"/>
          <w:kern w:val="2"/>
          <w:sz w:val="32"/>
          <w:szCs w:val="22"/>
          <w:shd w:val="clear" w:color="auto" w:fill="auto"/>
          <w:lang w:val="en-US" w:eastAsia="zh-CN" w:bidi="ar-SA"/>
        </w:rPr>
        <w:t>资格证明资料</w:t>
      </w:r>
    </w:p>
    <w:p w14:paraId="215B938F">
      <w:pPr>
        <w:rPr>
          <w:rFonts w:hint="default" w:ascii="宋体" w:hAnsi="宋体" w:eastAsia="宋体" w:cs="宋体"/>
          <w:i w:val="0"/>
          <w:iCs w:val="0"/>
          <w:color w:val="auto"/>
          <w:kern w:val="2"/>
          <w:sz w:val="32"/>
          <w:szCs w:val="22"/>
          <w:shd w:val="clear" w:color="auto" w:fill="auto"/>
          <w:lang w:val="en-US" w:eastAsia="zh-CN" w:bidi="ar-SA"/>
        </w:rPr>
      </w:pPr>
      <w:r>
        <w:rPr>
          <w:rFonts w:hint="eastAsia" w:ascii="宋体" w:hAnsi="宋体" w:eastAsia="宋体" w:cs="宋体"/>
          <w:i w:val="0"/>
          <w:iCs w:val="0"/>
          <w:color w:val="auto"/>
          <w:kern w:val="2"/>
          <w:sz w:val="32"/>
          <w:szCs w:val="22"/>
          <w:shd w:val="clear" w:color="auto" w:fill="auto"/>
          <w:lang w:val="en-US" w:eastAsia="zh-CN" w:bidi="ar-SA"/>
        </w:rPr>
        <w:t>六、</w:t>
      </w:r>
      <w:r>
        <w:rPr>
          <w:rFonts w:hint="eastAsia" w:ascii="宋体" w:hAnsi="宋体" w:cs="宋体"/>
          <w:i w:val="0"/>
          <w:iCs w:val="0"/>
          <w:color w:val="auto"/>
          <w:kern w:val="2"/>
          <w:sz w:val="32"/>
          <w:szCs w:val="22"/>
          <w:shd w:val="clear" w:color="auto" w:fill="auto"/>
          <w:lang w:val="en-US" w:eastAsia="zh-CN" w:bidi="ar-SA"/>
        </w:rPr>
        <w:t>商务部分</w:t>
      </w:r>
    </w:p>
    <w:p w14:paraId="78390F3B">
      <w:pPr>
        <w:rPr>
          <w:rFonts w:hint="default" w:ascii="宋体" w:hAnsi="宋体" w:eastAsia="宋体" w:cs="宋体"/>
          <w:i w:val="0"/>
          <w:iCs w:val="0"/>
          <w:color w:val="auto"/>
          <w:kern w:val="2"/>
          <w:sz w:val="32"/>
          <w:szCs w:val="22"/>
          <w:shd w:val="clear" w:color="auto" w:fill="auto"/>
          <w:lang w:val="en-US" w:eastAsia="zh-CN" w:bidi="ar-SA"/>
        </w:rPr>
      </w:pPr>
      <w:r>
        <w:rPr>
          <w:rFonts w:hint="eastAsia" w:ascii="宋体" w:hAnsi="宋体" w:eastAsia="宋体" w:cs="宋体"/>
          <w:i w:val="0"/>
          <w:iCs w:val="0"/>
          <w:color w:val="auto"/>
          <w:kern w:val="2"/>
          <w:sz w:val="32"/>
          <w:szCs w:val="22"/>
          <w:shd w:val="clear" w:color="auto" w:fill="auto"/>
          <w:lang w:val="en-US" w:eastAsia="zh-CN" w:bidi="ar-SA"/>
        </w:rPr>
        <w:t>七、</w:t>
      </w:r>
      <w:r>
        <w:rPr>
          <w:rFonts w:hint="eastAsia" w:ascii="宋体" w:hAnsi="宋体" w:cs="宋体"/>
          <w:i w:val="0"/>
          <w:iCs w:val="0"/>
          <w:color w:val="auto"/>
          <w:kern w:val="2"/>
          <w:sz w:val="32"/>
          <w:szCs w:val="22"/>
          <w:shd w:val="clear" w:color="auto" w:fill="auto"/>
          <w:lang w:val="en-US" w:eastAsia="zh-CN" w:bidi="ar-SA"/>
        </w:rPr>
        <w:t>技术部分</w:t>
      </w:r>
    </w:p>
    <w:p w14:paraId="06B94296">
      <w:pPr>
        <w:rPr>
          <w:rFonts w:hint="eastAsia" w:ascii="宋体" w:hAnsi="宋体" w:eastAsia="宋体" w:cs="宋体"/>
          <w:i w:val="0"/>
          <w:iCs w:val="0"/>
          <w:color w:val="auto"/>
          <w:kern w:val="2"/>
          <w:sz w:val="32"/>
          <w:szCs w:val="22"/>
          <w:shd w:val="clear" w:color="auto" w:fill="auto"/>
          <w:lang w:val="en-US" w:eastAsia="zh-CN" w:bidi="ar-SA"/>
        </w:rPr>
      </w:pPr>
      <w:r>
        <w:rPr>
          <w:rFonts w:hint="eastAsia" w:ascii="宋体" w:hAnsi="宋体" w:eastAsia="宋体" w:cs="宋体"/>
          <w:i w:val="0"/>
          <w:iCs w:val="0"/>
          <w:color w:val="auto"/>
          <w:kern w:val="2"/>
          <w:sz w:val="32"/>
          <w:szCs w:val="22"/>
          <w:shd w:val="clear" w:color="auto" w:fill="auto"/>
          <w:lang w:val="en-US" w:eastAsia="zh-CN" w:bidi="ar-SA"/>
        </w:rPr>
        <w:t>八、投标保证金</w:t>
      </w:r>
    </w:p>
    <w:p w14:paraId="5F67B1E7">
      <w:pPr>
        <w:rPr>
          <w:rFonts w:hint="eastAsia" w:ascii="宋体" w:hAnsi="宋体" w:eastAsia="宋体" w:cs="宋体"/>
          <w:i w:val="0"/>
          <w:iCs w:val="0"/>
          <w:color w:val="auto"/>
          <w:kern w:val="2"/>
          <w:sz w:val="32"/>
          <w:szCs w:val="22"/>
          <w:shd w:val="clear" w:color="auto" w:fill="auto"/>
          <w:lang w:val="en-US" w:eastAsia="zh-CN" w:bidi="ar-SA"/>
        </w:rPr>
      </w:pPr>
      <w:r>
        <w:rPr>
          <w:rFonts w:hint="eastAsia" w:ascii="宋体" w:hAnsi="宋体" w:cs="宋体"/>
          <w:i w:val="0"/>
          <w:iCs w:val="0"/>
          <w:color w:val="auto"/>
          <w:kern w:val="2"/>
          <w:sz w:val="32"/>
          <w:szCs w:val="22"/>
          <w:shd w:val="clear" w:color="auto" w:fill="auto"/>
          <w:lang w:val="en-US" w:eastAsia="zh-CN" w:bidi="ar-SA"/>
        </w:rPr>
        <w:t>九</w:t>
      </w:r>
      <w:r>
        <w:rPr>
          <w:rFonts w:hint="eastAsia" w:ascii="宋体" w:hAnsi="宋体" w:eastAsia="宋体" w:cs="宋体"/>
          <w:i w:val="0"/>
          <w:iCs w:val="0"/>
          <w:color w:val="auto"/>
          <w:kern w:val="2"/>
          <w:sz w:val="32"/>
          <w:szCs w:val="22"/>
          <w:shd w:val="clear" w:color="auto" w:fill="auto"/>
          <w:lang w:val="en-US" w:eastAsia="zh-CN" w:bidi="ar-SA"/>
        </w:rPr>
        <w:t>、其他资料（投标人认为有必要的其他资料）</w:t>
      </w:r>
    </w:p>
    <w:p w14:paraId="15A97496">
      <w:pPr>
        <w:rPr>
          <w:rFonts w:hint="eastAsia" w:ascii="宋体" w:hAnsi="宋体" w:eastAsia="宋体" w:cs="宋体"/>
          <w:i w:val="0"/>
          <w:iCs w:val="0"/>
          <w:color w:val="auto"/>
          <w:kern w:val="2"/>
          <w:sz w:val="32"/>
          <w:szCs w:val="22"/>
          <w:shd w:val="clear" w:color="auto" w:fill="auto"/>
          <w:lang w:val="en-US" w:eastAsia="zh-CN" w:bidi="ar-SA"/>
        </w:rPr>
      </w:pPr>
    </w:p>
    <w:p w14:paraId="07F578D1">
      <w:pPr>
        <w:pStyle w:val="14"/>
        <w:ind w:left="0" w:leftChars="0" w:firstLine="0" w:firstLineChars="0"/>
        <w:rPr>
          <w:rFonts w:hint="eastAsia" w:eastAsia="宋体"/>
          <w:color w:val="auto"/>
          <w:sz w:val="36"/>
          <w:szCs w:val="22"/>
          <w:shd w:val="clear" w:color="auto" w:fill="auto"/>
          <w:lang w:eastAsia="zh-CN"/>
        </w:rPr>
      </w:pPr>
    </w:p>
    <w:p w14:paraId="69D6D142">
      <w:pPr>
        <w:snapToGrid w:val="0"/>
        <w:spacing w:line="360" w:lineRule="auto"/>
        <w:rPr>
          <w:rFonts w:hint="eastAsia" w:ascii="宋体" w:hAnsi="宋体" w:eastAsia="宋体" w:cs="宋体"/>
          <w:i w:val="0"/>
          <w:iCs w:val="0"/>
          <w:color w:val="auto"/>
        </w:rPr>
      </w:pPr>
    </w:p>
    <w:p w14:paraId="4C7C87EA">
      <w:pPr>
        <w:snapToGrid w:val="0"/>
        <w:spacing w:line="360" w:lineRule="auto"/>
        <w:rPr>
          <w:rFonts w:hint="eastAsia" w:ascii="宋体" w:hAnsi="宋体" w:eastAsia="宋体" w:cs="宋体"/>
          <w:i w:val="0"/>
          <w:iCs w:val="0"/>
          <w:color w:val="auto"/>
        </w:rPr>
      </w:pPr>
    </w:p>
    <w:p w14:paraId="56798FAF">
      <w:pPr>
        <w:snapToGrid w:val="0"/>
        <w:spacing w:line="360" w:lineRule="auto"/>
        <w:rPr>
          <w:rFonts w:hint="eastAsia" w:ascii="宋体" w:hAnsi="宋体" w:eastAsia="宋体" w:cs="宋体"/>
          <w:i w:val="0"/>
          <w:iCs w:val="0"/>
          <w:color w:val="auto"/>
        </w:rPr>
      </w:pPr>
    </w:p>
    <w:p w14:paraId="0931AFDE">
      <w:pPr>
        <w:snapToGrid w:val="0"/>
        <w:spacing w:line="360" w:lineRule="auto"/>
        <w:rPr>
          <w:rFonts w:hint="eastAsia" w:ascii="宋体" w:hAnsi="宋体" w:eastAsia="宋体" w:cs="宋体"/>
          <w:i w:val="0"/>
          <w:iCs w:val="0"/>
          <w:color w:val="auto"/>
        </w:rPr>
      </w:pPr>
    </w:p>
    <w:p w14:paraId="776A20A0">
      <w:pPr>
        <w:snapToGrid w:val="0"/>
        <w:spacing w:line="360" w:lineRule="auto"/>
        <w:rPr>
          <w:rFonts w:hint="eastAsia" w:ascii="宋体" w:hAnsi="宋体" w:eastAsia="宋体" w:cs="宋体"/>
          <w:i w:val="0"/>
          <w:iCs w:val="0"/>
          <w:color w:val="auto"/>
        </w:rPr>
      </w:pPr>
    </w:p>
    <w:p w14:paraId="54B64B57">
      <w:pPr>
        <w:snapToGrid w:val="0"/>
        <w:spacing w:line="360" w:lineRule="auto"/>
        <w:rPr>
          <w:rFonts w:hint="eastAsia" w:ascii="宋体" w:hAnsi="宋体" w:eastAsia="宋体" w:cs="宋体"/>
          <w:i w:val="0"/>
          <w:iCs w:val="0"/>
          <w:color w:val="auto"/>
        </w:rPr>
      </w:pPr>
    </w:p>
    <w:p w14:paraId="3C7FED40">
      <w:pPr>
        <w:snapToGrid w:val="0"/>
        <w:spacing w:line="360" w:lineRule="auto"/>
        <w:rPr>
          <w:rFonts w:hint="eastAsia" w:ascii="宋体" w:hAnsi="宋体" w:eastAsia="宋体" w:cs="宋体"/>
          <w:i w:val="0"/>
          <w:iCs w:val="0"/>
          <w:color w:val="auto"/>
        </w:rPr>
      </w:pPr>
    </w:p>
    <w:p w14:paraId="2BDB96D7">
      <w:pPr>
        <w:snapToGrid w:val="0"/>
        <w:spacing w:line="360" w:lineRule="auto"/>
        <w:jc w:val="left"/>
        <w:rPr>
          <w:rFonts w:hint="eastAsia" w:ascii="宋体" w:hAnsi="宋体" w:eastAsia="宋体" w:cs="宋体"/>
          <w:i w:val="0"/>
          <w:iCs w:val="0"/>
          <w:color w:val="auto"/>
        </w:rPr>
      </w:pPr>
    </w:p>
    <w:p w14:paraId="49DBE06F">
      <w:pPr>
        <w:pStyle w:val="14"/>
        <w:rPr>
          <w:rFonts w:hint="eastAsia"/>
        </w:rPr>
      </w:pPr>
    </w:p>
    <w:p w14:paraId="3967A44A">
      <w:pPr>
        <w:pStyle w:val="14"/>
        <w:rPr>
          <w:rFonts w:hint="eastAsia"/>
        </w:rPr>
      </w:pPr>
    </w:p>
    <w:p w14:paraId="10E51D6C">
      <w:pPr>
        <w:pStyle w:val="14"/>
        <w:rPr>
          <w:rFonts w:hint="eastAsia"/>
        </w:rPr>
      </w:pPr>
    </w:p>
    <w:p w14:paraId="609E8A7C">
      <w:pPr>
        <w:pStyle w:val="14"/>
        <w:rPr>
          <w:rFonts w:hint="eastAsia"/>
        </w:rPr>
      </w:pPr>
    </w:p>
    <w:p w14:paraId="5A458865">
      <w:pPr>
        <w:pStyle w:val="14"/>
        <w:rPr>
          <w:rFonts w:hint="eastAsia"/>
        </w:rPr>
      </w:pPr>
    </w:p>
    <w:p w14:paraId="254047BF">
      <w:pPr>
        <w:pStyle w:val="14"/>
        <w:rPr>
          <w:rFonts w:hint="eastAsia"/>
        </w:rPr>
      </w:pPr>
    </w:p>
    <w:p w14:paraId="4007CC69">
      <w:pPr>
        <w:pStyle w:val="14"/>
        <w:rPr>
          <w:rFonts w:hint="eastAsia"/>
        </w:rPr>
      </w:pPr>
    </w:p>
    <w:p w14:paraId="7C0CCD74">
      <w:pPr>
        <w:pStyle w:val="14"/>
        <w:rPr>
          <w:rFonts w:hint="eastAsia"/>
        </w:rPr>
      </w:pPr>
    </w:p>
    <w:p w14:paraId="7E621EB9">
      <w:pPr>
        <w:pStyle w:val="14"/>
        <w:rPr>
          <w:rFonts w:hint="eastAsia"/>
        </w:rPr>
      </w:pPr>
    </w:p>
    <w:p w14:paraId="11DAD372">
      <w:pPr>
        <w:pStyle w:val="14"/>
        <w:rPr>
          <w:rFonts w:hint="eastAsia"/>
        </w:rPr>
      </w:pPr>
    </w:p>
    <w:p w14:paraId="36EBB70F">
      <w:pPr>
        <w:pStyle w:val="14"/>
        <w:rPr>
          <w:rFonts w:hint="eastAsia"/>
        </w:rPr>
      </w:pPr>
    </w:p>
    <w:p w14:paraId="00A5CA1F">
      <w:pPr>
        <w:snapToGrid w:val="0"/>
        <w:spacing w:line="360" w:lineRule="auto"/>
        <w:jc w:val="left"/>
        <w:rPr>
          <w:rFonts w:hint="eastAsia" w:ascii="宋体" w:hAnsi="宋体" w:eastAsia="宋体" w:cs="宋体"/>
          <w:i w:val="0"/>
          <w:iCs w:val="0"/>
          <w:color w:val="auto"/>
        </w:rPr>
      </w:pPr>
    </w:p>
    <w:p w14:paraId="4CC2B4B5">
      <w:pPr>
        <w:spacing w:line="276" w:lineRule="auto"/>
        <w:jc w:val="center"/>
        <w:rPr>
          <w:rFonts w:hint="eastAsia" w:ascii="宋体" w:hAnsi="宋体" w:eastAsia="宋体" w:cs="宋体"/>
          <w:b/>
          <w:i w:val="0"/>
          <w:iCs w:val="0"/>
          <w:color w:val="auto"/>
          <w:sz w:val="32"/>
          <w:lang w:eastAsia="zh-CN"/>
        </w:rPr>
      </w:pPr>
      <w:r>
        <w:rPr>
          <w:rFonts w:hint="eastAsia" w:ascii="宋体" w:hAnsi="宋体" w:eastAsia="宋体" w:cs="宋体"/>
          <w:b/>
          <w:i w:val="0"/>
          <w:iCs w:val="0"/>
          <w:color w:val="auto"/>
          <w:sz w:val="32"/>
          <w:lang w:eastAsia="zh-CN"/>
        </w:rPr>
        <w:t>一、投标函及投标函附录</w:t>
      </w:r>
    </w:p>
    <w:p w14:paraId="10259B6A">
      <w:pPr>
        <w:spacing w:line="276" w:lineRule="auto"/>
        <w:jc w:val="center"/>
        <w:rPr>
          <w:rFonts w:hint="eastAsia" w:ascii="宋体" w:hAnsi="宋体" w:eastAsia="宋体" w:cs="宋体"/>
          <w:b/>
          <w:i w:val="0"/>
          <w:iCs w:val="0"/>
          <w:color w:val="auto"/>
          <w:sz w:val="28"/>
          <w:szCs w:val="28"/>
        </w:rPr>
      </w:pPr>
      <w:r>
        <w:rPr>
          <w:rFonts w:hint="eastAsia" w:ascii="宋体" w:hAnsi="宋体" w:eastAsia="宋体" w:cs="宋体"/>
          <w:b/>
          <w:i w:val="0"/>
          <w:iCs w:val="0"/>
          <w:color w:val="auto"/>
          <w:sz w:val="32"/>
          <w:lang w:eastAsia="zh-CN"/>
        </w:rPr>
        <w:t>（一）</w:t>
      </w:r>
      <w:r>
        <w:rPr>
          <w:rFonts w:hint="eastAsia" w:ascii="宋体" w:hAnsi="宋体" w:eastAsia="宋体" w:cs="宋体"/>
          <w:b/>
          <w:i w:val="0"/>
          <w:iCs w:val="0"/>
          <w:color w:val="auto"/>
          <w:sz w:val="28"/>
          <w:szCs w:val="28"/>
          <w:lang w:eastAsia="zh-CN"/>
        </w:rPr>
        <w:t>投标</w:t>
      </w:r>
      <w:r>
        <w:rPr>
          <w:rFonts w:hint="eastAsia" w:ascii="宋体" w:hAnsi="宋体" w:eastAsia="宋体" w:cs="宋体"/>
          <w:b/>
          <w:i w:val="0"/>
          <w:iCs w:val="0"/>
          <w:color w:val="auto"/>
          <w:sz w:val="28"/>
          <w:szCs w:val="28"/>
        </w:rPr>
        <w:t>函</w:t>
      </w:r>
    </w:p>
    <w:p w14:paraId="047D82B9">
      <w:pPr>
        <w:spacing w:line="276" w:lineRule="auto"/>
        <w:jc w:val="left"/>
        <w:rPr>
          <w:rFonts w:hint="eastAsia" w:ascii="宋体" w:hAnsi="宋体" w:eastAsia="宋体" w:cs="宋体"/>
          <w:i w:val="0"/>
          <w:iCs w:val="0"/>
          <w:color w:val="auto"/>
          <w:sz w:val="24"/>
          <w:u w:val="single"/>
        </w:rPr>
      </w:pPr>
    </w:p>
    <w:p w14:paraId="72A5F680">
      <w:pPr>
        <w:spacing w:line="360" w:lineRule="auto"/>
        <w:rPr>
          <w:rFonts w:hint="eastAsia" w:ascii="宋体" w:hAnsi="宋体" w:eastAsia="宋体" w:cs="宋体"/>
          <w:i w:val="0"/>
          <w:iCs w:val="0"/>
          <w:color w:val="auto"/>
          <w:sz w:val="24"/>
        </w:rPr>
      </w:pPr>
      <w:r>
        <w:rPr>
          <w:rFonts w:hint="eastAsia" w:ascii="宋体" w:hAnsi="宋体" w:eastAsia="宋体" w:cs="宋体"/>
          <w:i w:val="0"/>
          <w:iCs w:val="0"/>
          <w:color w:val="auto"/>
          <w:sz w:val="24"/>
        </w:rPr>
        <w:t>致：（采购人名称）</w:t>
      </w:r>
    </w:p>
    <w:p w14:paraId="668F88CB">
      <w:pPr>
        <w:spacing w:line="360" w:lineRule="auto"/>
        <w:ind w:firstLine="480" w:firstLineChars="200"/>
        <w:rPr>
          <w:rFonts w:hint="eastAsia" w:ascii="宋体" w:hAnsi="宋体" w:eastAsia="宋体" w:cs="宋体"/>
          <w:bCs/>
          <w:i w:val="0"/>
          <w:iCs w:val="0"/>
          <w:color w:val="auto"/>
          <w:sz w:val="24"/>
        </w:rPr>
      </w:pPr>
      <w:r>
        <w:rPr>
          <w:rFonts w:hint="eastAsia" w:ascii="宋体" w:hAnsi="宋体" w:eastAsia="宋体" w:cs="宋体"/>
          <w:i w:val="0"/>
          <w:iCs w:val="0"/>
          <w:color w:val="auto"/>
          <w:sz w:val="24"/>
        </w:rPr>
        <w:t>在充分研究（招标项目名称）（以下简称“本项目”）招标文件的全部内容后，我方愿意以</w:t>
      </w:r>
      <w:r>
        <w:rPr>
          <w:rFonts w:hint="eastAsia" w:ascii="宋体" w:hAnsi="宋体" w:cs="宋体"/>
          <w:i w:val="0"/>
          <w:iCs w:val="0"/>
          <w:color w:val="auto"/>
          <w:sz w:val="24"/>
          <w:lang w:val="en-US" w:eastAsia="zh-CN"/>
        </w:rPr>
        <w:t>人民币大写：</w:t>
      </w:r>
      <w:r>
        <w:rPr>
          <w:rFonts w:hint="eastAsia" w:ascii="宋体" w:hAnsi="宋体" w:cs="宋体"/>
          <w:i w:val="0"/>
          <w:iCs w:val="0"/>
          <w:color w:val="auto"/>
          <w:sz w:val="24"/>
          <w:u w:val="single"/>
          <w:lang w:val="en-US" w:eastAsia="zh-CN"/>
        </w:rPr>
        <w:t xml:space="preserve">            </w:t>
      </w:r>
      <w:r>
        <w:rPr>
          <w:rFonts w:hint="eastAsia" w:ascii="宋体" w:hAnsi="宋体" w:cs="宋体"/>
          <w:i w:val="0"/>
          <w:iCs w:val="0"/>
          <w:color w:val="auto"/>
          <w:sz w:val="24"/>
          <w:u w:val="none"/>
          <w:lang w:val="en-US" w:eastAsia="zh-CN"/>
        </w:rPr>
        <w:t>，小写：</w:t>
      </w:r>
      <w:r>
        <w:rPr>
          <w:rFonts w:hint="eastAsia" w:ascii="宋体" w:hAnsi="宋体" w:cs="宋体"/>
          <w:i w:val="0"/>
          <w:iCs w:val="0"/>
          <w:color w:val="auto"/>
          <w:sz w:val="24"/>
          <w:u w:val="single"/>
          <w:lang w:val="en-US" w:eastAsia="zh-CN"/>
        </w:rPr>
        <w:t xml:space="preserve">        </w:t>
      </w:r>
      <w:r>
        <w:rPr>
          <w:rFonts w:hint="eastAsia" w:ascii="宋体" w:hAnsi="宋体" w:cs="宋体"/>
          <w:i w:val="0"/>
          <w:iCs w:val="0"/>
          <w:color w:val="auto"/>
          <w:sz w:val="24"/>
          <w:u w:val="none"/>
          <w:lang w:val="en-US" w:eastAsia="zh-CN"/>
        </w:rPr>
        <w:t xml:space="preserve"> 的</w:t>
      </w:r>
      <w:r>
        <w:rPr>
          <w:rFonts w:hint="eastAsia" w:ascii="宋体" w:hAnsi="宋体" w:eastAsia="宋体" w:cs="宋体"/>
          <w:i w:val="0"/>
          <w:iCs w:val="0"/>
          <w:color w:val="auto"/>
          <w:sz w:val="24"/>
        </w:rPr>
        <w:t>投标总报价，</w:t>
      </w:r>
      <w:r>
        <w:rPr>
          <w:rFonts w:hint="eastAsia" w:ascii="宋体" w:hAnsi="宋体" w:cs="宋体"/>
          <w:i w:val="0"/>
          <w:iCs w:val="0"/>
          <w:color w:val="auto"/>
          <w:sz w:val="24"/>
          <w:lang w:eastAsia="zh-CN"/>
        </w:rPr>
        <w:t>服务期</w:t>
      </w:r>
      <w:r>
        <w:rPr>
          <w:rFonts w:hint="eastAsia" w:ascii="宋体" w:hAnsi="宋体" w:eastAsia="宋体" w:cs="宋体"/>
          <w:i w:val="0"/>
          <w:iCs w:val="0"/>
          <w:color w:val="auto"/>
          <w:sz w:val="24"/>
        </w:rPr>
        <w:t>为</w:t>
      </w:r>
      <w:r>
        <w:rPr>
          <w:rFonts w:hint="eastAsia" w:ascii="宋体" w:hAnsi="宋体" w:cs="宋体"/>
          <w:i w:val="0"/>
          <w:iCs w:val="0"/>
          <w:color w:val="auto"/>
          <w:sz w:val="24"/>
          <w:u w:val="single"/>
          <w:lang w:val="en-US" w:eastAsia="zh-CN"/>
        </w:rPr>
        <w:t xml:space="preserve">          </w:t>
      </w:r>
      <w:r>
        <w:rPr>
          <w:rFonts w:hint="eastAsia" w:ascii="宋体" w:hAnsi="宋体" w:eastAsia="宋体" w:cs="宋体"/>
          <w:i w:val="0"/>
          <w:iCs w:val="0"/>
          <w:color w:val="auto"/>
          <w:sz w:val="24"/>
        </w:rPr>
        <w:t>，按合同约定实施和完成所承担项目的</w:t>
      </w:r>
      <w:r>
        <w:rPr>
          <w:rFonts w:hint="eastAsia" w:ascii="宋体" w:hAnsi="宋体" w:cs="宋体"/>
          <w:i w:val="0"/>
          <w:iCs w:val="0"/>
          <w:color w:val="auto"/>
          <w:sz w:val="24"/>
          <w:lang w:val="en-US" w:eastAsia="zh-CN"/>
        </w:rPr>
        <w:t>所有</w:t>
      </w:r>
      <w:r>
        <w:rPr>
          <w:rFonts w:hint="eastAsia" w:ascii="宋体" w:hAnsi="宋体" w:eastAsia="宋体" w:cs="宋体"/>
          <w:i w:val="0"/>
          <w:iCs w:val="0"/>
          <w:color w:val="auto"/>
          <w:sz w:val="24"/>
        </w:rPr>
        <w:t>工作。</w:t>
      </w:r>
      <w:r>
        <w:rPr>
          <w:rFonts w:hint="eastAsia" w:ascii="宋体" w:hAnsi="宋体" w:eastAsia="宋体" w:cs="宋体"/>
          <w:bCs/>
          <w:i w:val="0"/>
          <w:iCs w:val="0"/>
          <w:color w:val="auto"/>
          <w:sz w:val="24"/>
        </w:rPr>
        <w:t>对合同中规定的双方的权利和义务完全响应，完成合同的责任和义务。</w:t>
      </w:r>
    </w:p>
    <w:p w14:paraId="02B33A4E">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1.我方承诺在投标有效期内不修改、撤销投标文件。</w:t>
      </w:r>
    </w:p>
    <w:p w14:paraId="5779826A">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2.如我方成交：</w:t>
      </w:r>
    </w:p>
    <w:p w14:paraId="013F6835">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（1）我方承诺在收到中标通知书后，在中标通知书规定的期限内与你方签订合同。</w:t>
      </w:r>
    </w:p>
    <w:p w14:paraId="0C6F1FFA">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（2）随同本投标报价函递交的报价函及单价报价表属于合同文件的组成部分。</w:t>
      </w:r>
    </w:p>
    <w:p w14:paraId="245C7120">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（3）我方承诺在合同约定的期限内完成并移交全部服务内容。</w:t>
      </w:r>
    </w:p>
    <w:p w14:paraId="10B24EBB">
      <w:pPr>
        <w:spacing w:line="360" w:lineRule="auto"/>
        <w:ind w:firstLine="480" w:firstLineChars="200"/>
        <w:rPr>
          <w:rFonts w:hint="eastAsia" w:ascii="宋体" w:hAnsi="宋体" w:eastAsia="宋体" w:cs="宋体"/>
          <w:i w:val="0"/>
          <w:iCs w:val="0"/>
          <w:color w:val="auto"/>
          <w:sz w:val="24"/>
        </w:rPr>
      </w:pPr>
      <w:r>
        <w:rPr>
          <w:rFonts w:hint="eastAsia" w:ascii="宋体" w:hAnsi="宋体" w:eastAsia="宋体" w:cs="宋体"/>
          <w:i w:val="0"/>
          <w:iCs w:val="0"/>
          <w:color w:val="auto"/>
          <w:sz w:val="24"/>
        </w:rPr>
        <w:t>随本投标报价函递交的单价报价表是本投标报价函的组成部分，对我方构成约束力。</w:t>
      </w:r>
    </w:p>
    <w:p w14:paraId="5928880B">
      <w:pPr>
        <w:snapToGrid w:val="0"/>
        <w:spacing w:line="276" w:lineRule="auto"/>
        <w:ind w:right="210"/>
        <w:rPr>
          <w:rFonts w:hint="eastAsia" w:ascii="宋体" w:hAnsi="宋体" w:eastAsia="宋体" w:cs="宋体"/>
          <w:i w:val="0"/>
          <w:iCs w:val="0"/>
          <w:color w:val="auto"/>
          <w:sz w:val="24"/>
        </w:rPr>
      </w:pPr>
    </w:p>
    <w:p w14:paraId="1AADC149">
      <w:pPr>
        <w:snapToGrid w:val="0"/>
        <w:spacing w:line="360" w:lineRule="auto"/>
        <w:ind w:left="3402" w:leftChars="1620" w:right="210"/>
        <w:rPr>
          <w:rFonts w:hint="eastAsia" w:ascii="宋体" w:hAnsi="宋体" w:eastAsia="宋体" w:cs="宋体"/>
          <w:i w:val="0"/>
          <w:iCs w:val="0"/>
          <w:color w:val="auto"/>
          <w:sz w:val="24"/>
        </w:rPr>
      </w:pPr>
    </w:p>
    <w:p w14:paraId="44803DB8">
      <w:pPr>
        <w:snapToGrid w:val="0"/>
        <w:spacing w:line="360" w:lineRule="auto"/>
        <w:ind w:left="3402" w:leftChars="1620" w:right="210"/>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投标人名称：（盖章）</w:t>
      </w:r>
    </w:p>
    <w:p w14:paraId="6AF2B9A7">
      <w:pPr>
        <w:spacing w:after="120" w:line="360" w:lineRule="auto"/>
        <w:ind w:left="3402" w:leftChars="1620"/>
        <w:rPr>
          <w:rFonts w:hint="eastAsia" w:ascii="宋体" w:hAnsi="宋体" w:eastAsia="宋体" w:cs="宋体"/>
          <w:bCs/>
          <w:i w:val="0"/>
          <w:iCs w:val="0"/>
          <w:color w:val="auto"/>
          <w:sz w:val="24"/>
          <w:u w:val="single"/>
        </w:rPr>
      </w:pPr>
      <w:r>
        <w:rPr>
          <w:rFonts w:hint="eastAsia" w:ascii="宋体" w:hAnsi="宋体" w:eastAsia="宋体" w:cs="宋体"/>
          <w:bCs/>
          <w:i w:val="0"/>
          <w:iCs w:val="0"/>
          <w:color w:val="auto"/>
          <w:sz w:val="24"/>
        </w:rPr>
        <w:t>法定代表人或授权代表：（盖章或签字）</w:t>
      </w:r>
    </w:p>
    <w:p w14:paraId="2174185D">
      <w:pPr>
        <w:spacing w:after="120" w:line="360" w:lineRule="auto"/>
        <w:ind w:left="3402" w:leftChars="1620"/>
        <w:rPr>
          <w:rFonts w:hint="eastAsia" w:ascii="宋体" w:hAnsi="宋体" w:eastAsia="宋体" w:cs="宋体"/>
          <w:bCs/>
          <w:i w:val="0"/>
          <w:iCs w:val="0"/>
          <w:color w:val="auto"/>
          <w:sz w:val="24"/>
          <w:u w:val="single"/>
          <w:lang w:eastAsia="zh-CN"/>
        </w:rPr>
      </w:pPr>
      <w:r>
        <w:rPr>
          <w:rFonts w:hint="eastAsia" w:ascii="宋体" w:hAnsi="宋体" w:eastAsia="宋体" w:cs="宋体"/>
          <w:bCs/>
          <w:i w:val="0"/>
          <w:iCs w:val="0"/>
          <w:color w:val="auto"/>
          <w:sz w:val="24"/>
        </w:rPr>
        <w:t>通讯地址：</w:t>
      </w:r>
    </w:p>
    <w:p w14:paraId="5077B1BA">
      <w:pPr>
        <w:spacing w:after="120" w:line="360" w:lineRule="auto"/>
        <w:ind w:left="3402" w:leftChars="1620"/>
        <w:rPr>
          <w:rFonts w:hint="eastAsia" w:ascii="宋体" w:hAnsi="宋体" w:eastAsia="宋体" w:cs="宋体"/>
          <w:bCs/>
          <w:i w:val="0"/>
          <w:iCs w:val="0"/>
          <w:color w:val="auto"/>
          <w:sz w:val="24"/>
          <w:u w:val="single"/>
          <w:lang w:eastAsia="zh-CN"/>
        </w:rPr>
      </w:pPr>
      <w:r>
        <w:rPr>
          <w:rFonts w:hint="eastAsia" w:ascii="宋体" w:hAnsi="宋体" w:eastAsia="宋体" w:cs="宋体"/>
          <w:bCs/>
          <w:i w:val="0"/>
          <w:iCs w:val="0"/>
          <w:color w:val="auto"/>
          <w:sz w:val="24"/>
        </w:rPr>
        <w:t>联系电话：</w:t>
      </w:r>
    </w:p>
    <w:p w14:paraId="7B1032FF">
      <w:pPr>
        <w:snapToGrid w:val="0"/>
        <w:spacing w:line="360" w:lineRule="auto"/>
        <w:ind w:left="3402" w:leftChars="1620" w:right="210"/>
        <w:rPr>
          <w:rFonts w:hint="eastAsia" w:ascii="宋体" w:hAnsi="宋体" w:eastAsia="宋体" w:cs="宋体"/>
          <w:bCs/>
          <w:i w:val="0"/>
          <w:iCs w:val="0"/>
          <w:color w:val="auto"/>
          <w:sz w:val="24"/>
        </w:rPr>
      </w:pPr>
      <w:r>
        <w:rPr>
          <w:rFonts w:hint="eastAsia" w:ascii="宋体" w:hAnsi="宋体" w:eastAsia="宋体" w:cs="宋体"/>
          <w:bCs/>
          <w:i w:val="0"/>
          <w:iCs w:val="0"/>
          <w:color w:val="auto"/>
          <w:sz w:val="24"/>
        </w:rPr>
        <w:t>日期：</w:t>
      </w:r>
      <w:r>
        <w:rPr>
          <w:rFonts w:hint="eastAsia" w:ascii="宋体" w:hAnsi="宋体" w:cs="宋体"/>
          <w:bCs/>
          <w:i w:val="0"/>
          <w:iCs w:val="0"/>
          <w:color w:val="auto"/>
          <w:sz w:val="24"/>
          <w:lang w:val="en-US" w:eastAsia="zh-CN"/>
        </w:rPr>
        <w:t xml:space="preserve">  </w:t>
      </w:r>
      <w:r>
        <w:rPr>
          <w:rFonts w:hint="eastAsia" w:ascii="宋体" w:hAnsi="宋体" w:eastAsia="宋体" w:cs="宋体"/>
          <w:bCs/>
          <w:i w:val="0"/>
          <w:iCs w:val="0"/>
          <w:color w:val="auto"/>
          <w:sz w:val="24"/>
        </w:rPr>
        <w:t>年</w:t>
      </w:r>
      <w:r>
        <w:rPr>
          <w:rFonts w:hint="eastAsia" w:ascii="宋体" w:hAnsi="宋体" w:cs="宋体"/>
          <w:bCs/>
          <w:i w:val="0"/>
          <w:iCs w:val="0"/>
          <w:color w:val="auto"/>
          <w:sz w:val="24"/>
          <w:lang w:val="en-US" w:eastAsia="zh-CN"/>
        </w:rPr>
        <w:t xml:space="preserve">  </w:t>
      </w:r>
      <w:r>
        <w:rPr>
          <w:rFonts w:hint="eastAsia" w:ascii="宋体" w:hAnsi="宋体" w:eastAsia="宋体" w:cs="宋体"/>
          <w:bCs/>
          <w:i w:val="0"/>
          <w:iCs w:val="0"/>
          <w:color w:val="auto"/>
          <w:sz w:val="24"/>
        </w:rPr>
        <w:t>月</w:t>
      </w:r>
      <w:r>
        <w:rPr>
          <w:rFonts w:hint="eastAsia" w:ascii="宋体" w:hAnsi="宋体" w:cs="宋体"/>
          <w:bCs/>
          <w:i w:val="0"/>
          <w:iCs w:val="0"/>
          <w:color w:val="auto"/>
          <w:sz w:val="24"/>
          <w:lang w:val="en-US" w:eastAsia="zh-CN"/>
        </w:rPr>
        <w:t xml:space="preserve">  </w:t>
      </w:r>
      <w:r>
        <w:rPr>
          <w:rFonts w:hint="eastAsia" w:ascii="宋体" w:hAnsi="宋体" w:eastAsia="宋体" w:cs="宋体"/>
          <w:bCs/>
          <w:i w:val="0"/>
          <w:iCs w:val="0"/>
          <w:color w:val="auto"/>
          <w:sz w:val="24"/>
        </w:rPr>
        <w:t>日</w:t>
      </w:r>
    </w:p>
    <w:p w14:paraId="6DC337DA">
      <w:pPr>
        <w:rPr>
          <w:rFonts w:hint="eastAsia" w:ascii="宋体" w:hAnsi="宋体" w:eastAsia="宋体" w:cs="宋体"/>
          <w:b/>
          <w:i w:val="0"/>
          <w:iCs w:val="0"/>
          <w:color w:val="auto"/>
          <w:sz w:val="32"/>
        </w:rPr>
      </w:pPr>
    </w:p>
    <w:p w14:paraId="4E436384">
      <w:pPr>
        <w:spacing w:line="276" w:lineRule="auto"/>
        <w:jc w:val="center"/>
        <w:rPr>
          <w:rFonts w:hint="eastAsia" w:ascii="宋体" w:hAnsi="宋体" w:eastAsia="宋体" w:cs="宋体"/>
          <w:b/>
          <w:i w:val="0"/>
          <w:iCs w:val="0"/>
          <w:color w:val="auto"/>
          <w:sz w:val="28"/>
          <w:szCs w:val="28"/>
        </w:rPr>
      </w:pPr>
      <w:r>
        <w:rPr>
          <w:rFonts w:hint="eastAsia" w:ascii="宋体" w:hAnsi="宋体" w:eastAsia="宋体" w:cs="宋体"/>
          <w:b/>
          <w:i w:val="0"/>
          <w:iCs w:val="0"/>
          <w:color w:val="auto"/>
          <w:sz w:val="32"/>
        </w:rPr>
        <w:br w:type="page"/>
      </w:r>
      <w:r>
        <w:rPr>
          <w:rFonts w:hint="eastAsia" w:ascii="宋体" w:hAnsi="宋体" w:eastAsia="宋体" w:cs="宋体"/>
          <w:b/>
          <w:i w:val="0"/>
          <w:iCs w:val="0"/>
          <w:color w:val="auto"/>
          <w:sz w:val="30"/>
          <w:szCs w:val="30"/>
          <w:lang w:eastAsia="zh-CN"/>
        </w:rPr>
        <w:t>（二）</w:t>
      </w:r>
      <w:r>
        <w:rPr>
          <w:rFonts w:hint="eastAsia" w:ascii="宋体" w:hAnsi="宋体" w:eastAsia="宋体" w:cs="宋体"/>
          <w:b/>
          <w:i w:val="0"/>
          <w:iCs w:val="0"/>
          <w:color w:val="auto"/>
          <w:sz w:val="30"/>
          <w:szCs w:val="30"/>
        </w:rPr>
        <w:t>投标函附录</w:t>
      </w:r>
    </w:p>
    <w:p w14:paraId="603325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 xml:space="preserve"> 项目编号：</w:t>
      </w:r>
    </w:p>
    <w:p w14:paraId="2133A3D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项目名称：                                     </w:t>
      </w:r>
      <w:r>
        <w:rPr>
          <w:rFonts w:hint="eastAsia" w:asciiTheme="minorEastAsia" w:hAnsiTheme="minorEastAsia" w:eastAsiaTheme="minorEastAsia" w:cstheme="minorEastAsia"/>
          <w:color w:val="auto"/>
          <w:sz w:val="24"/>
          <w:szCs w:val="24"/>
          <w:highlight w:val="none"/>
        </w:rPr>
        <w:t>单位：元（保留到元）</w:t>
      </w:r>
    </w:p>
    <w:tbl>
      <w:tblPr>
        <w:tblStyle w:val="22"/>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65"/>
        <w:gridCol w:w="5752"/>
      </w:tblGrid>
      <w:tr w14:paraId="48DA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2865" w:type="dxa"/>
            <w:noWrap/>
            <w:vAlign w:val="center"/>
          </w:tcPr>
          <w:p w14:paraId="7B06D705">
            <w:pPr>
              <w:keepNext w:val="0"/>
              <w:keepLines w:val="0"/>
              <w:pageBreakBefore w:val="0"/>
              <w:widowControl w:val="0"/>
              <w:topLinePunct w:val="0"/>
              <w:bidi w:val="0"/>
              <w:spacing w:line="560" w:lineRule="exact"/>
              <w:ind w:firstLine="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752" w:type="dxa"/>
            <w:noWrap/>
            <w:vAlign w:val="center"/>
          </w:tcPr>
          <w:p w14:paraId="6F899A7A">
            <w:pPr>
              <w:keepNext w:val="0"/>
              <w:keepLines w:val="0"/>
              <w:pageBreakBefore w:val="0"/>
              <w:widowControl w:val="0"/>
              <w:topLinePunct w:val="0"/>
              <w:autoSpaceDE w:val="0"/>
              <w:autoSpaceDN w:val="0"/>
              <w:bidi w:val="0"/>
              <w:spacing w:line="560" w:lineRule="exact"/>
              <w:jc w:val="center"/>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内容</w:t>
            </w:r>
          </w:p>
        </w:tc>
      </w:tr>
      <w:tr w14:paraId="6288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0" w:hRule="atLeast"/>
          <w:jc w:val="center"/>
        </w:trPr>
        <w:tc>
          <w:tcPr>
            <w:tcW w:w="2865" w:type="dxa"/>
            <w:noWrap/>
            <w:vAlign w:val="center"/>
          </w:tcPr>
          <w:p w14:paraId="795D369A">
            <w:pPr>
              <w:keepNext w:val="0"/>
              <w:keepLines w:val="0"/>
              <w:pageBreakBefore w:val="0"/>
              <w:widowControl w:val="0"/>
              <w:topLinePunct w:val="0"/>
              <w:bidi w:val="0"/>
              <w:spacing w:line="560" w:lineRule="exact"/>
              <w:ind w:firstLine="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投标总报价</w:t>
            </w:r>
          </w:p>
        </w:tc>
        <w:tc>
          <w:tcPr>
            <w:tcW w:w="5752" w:type="dxa"/>
            <w:noWrap/>
            <w:vAlign w:val="center"/>
          </w:tcPr>
          <w:p w14:paraId="23D3831D">
            <w:pPr>
              <w:keepNext w:val="0"/>
              <w:keepLines w:val="0"/>
              <w:pageBreakBefore w:val="0"/>
              <w:widowControl w:val="0"/>
              <w:topLinePunct w:val="0"/>
              <w:autoSpaceDE w:val="0"/>
              <w:autoSpaceDN w:val="0"/>
              <w:bidi w:val="0"/>
              <w:spacing w:line="560" w:lineRule="exact"/>
              <w:rPr>
                <w:rFonts w:hint="default"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lang w:val="zh-CN"/>
              </w:rPr>
              <w:t>小写：</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2A77A2AC">
            <w:pPr>
              <w:keepNext w:val="0"/>
              <w:keepLines w:val="0"/>
              <w:pageBreakBefore w:val="0"/>
              <w:widowControl w:val="0"/>
              <w:topLinePunct w:val="0"/>
              <w:autoSpaceDE w:val="0"/>
              <w:autoSpaceDN w:val="0"/>
              <w:bidi w:val="0"/>
              <w:spacing w:line="560" w:lineRule="exact"/>
              <w:rPr>
                <w:rFonts w:hint="default"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大写：</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78EBCE55">
            <w:pPr>
              <w:keepNext w:val="0"/>
              <w:keepLines w:val="0"/>
              <w:pageBreakBefore w:val="0"/>
              <w:widowControl w:val="0"/>
              <w:topLinePunct w:val="0"/>
              <w:autoSpaceDE w:val="0"/>
              <w:autoSpaceDN w:val="0"/>
              <w:bidi w:val="0"/>
              <w:spacing w:line="560" w:lineRule="exact"/>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其中：每年</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元。</w:t>
            </w:r>
          </w:p>
        </w:tc>
      </w:tr>
      <w:tr w14:paraId="2A7D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4" w:hRule="atLeast"/>
          <w:jc w:val="center"/>
        </w:trPr>
        <w:tc>
          <w:tcPr>
            <w:tcW w:w="2865" w:type="dxa"/>
            <w:noWrap/>
            <w:vAlign w:val="center"/>
          </w:tcPr>
          <w:p w14:paraId="4335165E">
            <w:pPr>
              <w:keepNext w:val="0"/>
              <w:keepLines w:val="0"/>
              <w:pageBreakBefore w:val="0"/>
              <w:widowControl w:val="0"/>
              <w:topLinePunct w:val="0"/>
              <w:bidi w:val="0"/>
              <w:spacing w:line="560" w:lineRule="exact"/>
              <w:ind w:firstLine="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服务期</w:t>
            </w:r>
          </w:p>
        </w:tc>
        <w:tc>
          <w:tcPr>
            <w:tcW w:w="5752" w:type="dxa"/>
            <w:noWrap/>
            <w:vAlign w:val="center"/>
          </w:tcPr>
          <w:p w14:paraId="78C581BD">
            <w:pPr>
              <w:keepNext w:val="0"/>
              <w:keepLines w:val="0"/>
              <w:pageBreakBefore w:val="0"/>
              <w:widowControl w:val="0"/>
              <w:topLinePunct w:val="0"/>
              <w:autoSpaceDE w:val="0"/>
              <w:autoSpaceDN w:val="0"/>
              <w:bidi w:val="0"/>
              <w:spacing w:line="560" w:lineRule="exact"/>
              <w:ind w:firstLine="1680" w:firstLineChars="700"/>
              <w:rPr>
                <w:rFonts w:hint="eastAsia" w:asciiTheme="minorEastAsia" w:hAnsiTheme="minorEastAsia" w:eastAsiaTheme="minorEastAsia" w:cstheme="minorEastAsia"/>
                <w:color w:val="auto"/>
                <w:sz w:val="24"/>
                <w:szCs w:val="24"/>
                <w:highlight w:val="none"/>
              </w:rPr>
            </w:pPr>
          </w:p>
        </w:tc>
      </w:tr>
    </w:tbl>
    <w:p w14:paraId="52B70085">
      <w:pPr>
        <w:keepNext w:val="0"/>
        <w:keepLines w:val="0"/>
        <w:pageBreakBefore w:val="0"/>
        <w:widowControl w:val="0"/>
        <w:topLinePunct w:val="0"/>
        <w:autoSpaceDE w:val="0"/>
        <w:autoSpaceDN w:val="0"/>
        <w:bidi w:val="0"/>
        <w:spacing w:line="560" w:lineRule="exact"/>
        <w:ind w:firstLine="240" w:firstLineChars="100"/>
        <w:rPr>
          <w:rFonts w:hint="eastAsia" w:asciiTheme="minorEastAsia" w:hAnsiTheme="minorEastAsia" w:eastAsiaTheme="minorEastAsia" w:cstheme="minorEastAsia"/>
          <w:color w:val="auto"/>
          <w:kern w:val="0"/>
          <w:sz w:val="24"/>
          <w:szCs w:val="24"/>
          <w:highlight w:val="none"/>
        </w:rPr>
      </w:pPr>
    </w:p>
    <w:p w14:paraId="7A68731E">
      <w:pPr>
        <w:keepNext w:val="0"/>
        <w:keepLines w:val="0"/>
        <w:pageBreakBefore w:val="0"/>
        <w:widowControl w:val="0"/>
        <w:topLinePunct w:val="0"/>
        <w:bidi w:val="0"/>
        <w:spacing w:line="560" w:lineRule="exact"/>
        <w:ind w:firstLine="2160" w:firstLineChars="9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（加盖公章）</w:t>
      </w:r>
      <w:r>
        <w:rPr>
          <w:rFonts w:hint="eastAsia" w:asciiTheme="minorEastAsia" w:hAnsiTheme="minorEastAsia" w:eastAsiaTheme="minorEastAsia" w:cstheme="minorEastAsia"/>
          <w:color w:val="auto"/>
          <w:sz w:val="24"/>
          <w:szCs w:val="24"/>
          <w:highlight w:val="none"/>
          <w:lang w:val="en-US" w:eastAsia="zh-CN"/>
        </w:rPr>
        <w:t xml:space="preserve"> </w:t>
      </w:r>
    </w:p>
    <w:p w14:paraId="0CB958BB">
      <w:pPr>
        <w:keepNext w:val="0"/>
        <w:keepLines w:val="0"/>
        <w:pageBreakBefore w:val="0"/>
        <w:widowControl w:val="0"/>
        <w:topLinePunct w:val="0"/>
        <w:bidi w:val="0"/>
        <w:spacing w:line="560" w:lineRule="exact"/>
        <w:ind w:firstLine="2160" w:firstLineChars="9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月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5E2E1548">
      <w:pPr>
        <w:keepNext w:val="0"/>
        <w:keepLines w:val="0"/>
        <w:pageBreakBefore w:val="0"/>
        <w:widowControl w:val="0"/>
        <w:suppressLineNumbers w:val="0"/>
        <w:wordWrap w:val="0"/>
        <w:topLinePunct w:val="0"/>
        <w:bidi w:val="0"/>
        <w:spacing w:before="0" w:beforeAutospacing="0" w:after="0" w:afterAutospacing="0" w:line="560" w:lineRule="exact"/>
        <w:ind w:left="0" w:right="0" w:firstLine="240" w:firstLineChars="100"/>
        <w:jc w:val="left"/>
        <w:rPr>
          <w:rFonts w:hint="eastAsia" w:asciiTheme="minorEastAsia" w:hAnsiTheme="minorEastAsia" w:eastAsiaTheme="minorEastAsia" w:cstheme="minorEastAsia"/>
          <w:color w:val="auto"/>
          <w:kern w:val="0"/>
          <w:sz w:val="24"/>
          <w:szCs w:val="24"/>
          <w:lang w:val="en-US" w:eastAsia="zh-CN" w:bidi="ar-SA"/>
        </w:rPr>
      </w:pPr>
    </w:p>
    <w:p w14:paraId="517B1072">
      <w:pPr>
        <w:keepNext w:val="0"/>
        <w:keepLines w:val="0"/>
        <w:pageBreakBefore w:val="0"/>
        <w:widowControl w:val="0"/>
        <w:topLinePunct w:val="0"/>
        <w:bidi w:val="0"/>
        <w:spacing w:line="560" w:lineRule="exact"/>
        <w:ind w:firstLine="240" w:firstLineChars="1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备注</w:t>
      </w:r>
      <w:r>
        <w:rPr>
          <w:rFonts w:hint="eastAsia" w:asciiTheme="minorEastAsia" w:hAnsiTheme="minorEastAsia" w:eastAsiaTheme="minorEastAsia" w:cstheme="minorEastAsia"/>
          <w:color w:val="auto"/>
          <w:sz w:val="24"/>
          <w:szCs w:val="24"/>
          <w:highlight w:val="none"/>
          <w:lang w:val="zh-CN"/>
        </w:rPr>
        <w:t>：“投标报价”为</w:t>
      </w:r>
      <w:r>
        <w:rPr>
          <w:rFonts w:hint="eastAsia" w:asciiTheme="minorEastAsia" w:hAnsiTheme="minorEastAsia" w:eastAsiaTheme="minorEastAsia" w:cstheme="minorEastAsia"/>
          <w:color w:val="auto"/>
          <w:sz w:val="24"/>
          <w:szCs w:val="24"/>
          <w:highlight w:val="none"/>
        </w:rPr>
        <w:t>投标总价</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val="zh-CN"/>
        </w:rPr>
        <w:t>报价必须包括本项目所需全部费用。</w:t>
      </w:r>
    </w:p>
    <w:p w14:paraId="5FB4186A">
      <w:pPr>
        <w:keepNext w:val="0"/>
        <w:keepLines w:val="0"/>
        <w:pageBreakBefore w:val="0"/>
        <w:widowControl w:val="0"/>
        <w:wordWrap/>
        <w:overflowPunct/>
        <w:topLinePunct w:val="0"/>
        <w:bidi w:val="0"/>
        <w:spacing w:line="560" w:lineRule="exact"/>
        <w:textAlignment w:val="auto"/>
        <w:rPr>
          <w:rFonts w:hint="eastAsia" w:asciiTheme="minorEastAsia" w:hAnsiTheme="minorEastAsia" w:eastAsiaTheme="minorEastAsia" w:cstheme="minorEastAsia"/>
          <w:b/>
          <w:bCs/>
          <w:color w:val="auto"/>
          <w:kern w:val="0"/>
          <w:sz w:val="24"/>
          <w:szCs w:val="24"/>
          <w:lang w:val="en-US" w:eastAsia="zh-CN"/>
        </w:rPr>
        <w:sectPr>
          <w:pgSz w:w="11906" w:h="16839"/>
          <w:pgMar w:top="1984" w:right="1417" w:bottom="1417" w:left="1588" w:header="1020" w:footer="844"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b/>
          <w:bCs/>
          <w:color w:val="auto"/>
          <w:kern w:val="0"/>
          <w:sz w:val="24"/>
          <w:szCs w:val="24"/>
          <w:lang w:val="en-US" w:eastAsia="zh-CN"/>
        </w:rPr>
        <w:t xml:space="preserve">    </w:t>
      </w:r>
    </w:p>
    <w:p w14:paraId="04C1718E">
      <w:pPr>
        <w:keepNext/>
        <w:keepLines w:val="0"/>
        <w:pageBreakBefore w:val="0"/>
        <w:widowControl w:val="0"/>
        <w:kinsoku w:val="0"/>
        <w:wordWrap/>
        <w:overflowPunct w:val="0"/>
        <w:topLinePunct w:val="0"/>
        <w:autoSpaceDE w:val="0"/>
        <w:autoSpaceDN w:val="0"/>
        <w:bidi w:val="0"/>
        <w:adjustRightInd/>
        <w:snapToGrid/>
        <w:spacing w:beforeLines="50" w:afterLines="50" w:line="56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机关食堂托管费</w:t>
      </w:r>
      <w:r>
        <w:rPr>
          <w:rFonts w:hint="eastAsia" w:asciiTheme="minorEastAsia" w:hAnsiTheme="minorEastAsia" w:eastAsiaTheme="minorEastAsia" w:cstheme="minorEastAsia"/>
          <w:b/>
          <w:bCs/>
          <w:color w:val="auto"/>
          <w:sz w:val="24"/>
          <w:szCs w:val="24"/>
        </w:rPr>
        <w:t>分项报价表</w:t>
      </w:r>
    </w:p>
    <w:tbl>
      <w:tblPr>
        <w:tblStyle w:val="23"/>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317"/>
        <w:gridCol w:w="1597"/>
        <w:gridCol w:w="1160"/>
        <w:gridCol w:w="1210"/>
        <w:gridCol w:w="1220"/>
        <w:gridCol w:w="1366"/>
      </w:tblGrid>
      <w:tr w14:paraId="1EC3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941" w:type="dxa"/>
            <w:gridSpan w:val="3"/>
            <w:tcBorders>
              <w:tl2br w:val="single" w:color="auto" w:sz="4" w:space="0"/>
            </w:tcBorders>
            <w:noWrap w:val="0"/>
            <w:vAlign w:val="center"/>
          </w:tcPr>
          <w:p w14:paraId="264827DF">
            <w:pPr>
              <w:keepNext/>
              <w:keepLines w:val="0"/>
              <w:pageBreakBefore w:val="0"/>
              <w:widowControl w:val="0"/>
              <w:kinsoku w:val="0"/>
              <w:wordWrap/>
              <w:overflowPunct w:val="0"/>
              <w:topLinePunct w:val="0"/>
              <w:autoSpaceDE w:val="0"/>
              <w:autoSpaceDN w:val="0"/>
              <w:bidi w:val="0"/>
              <w:adjustRightInd/>
              <w:snapToGrid/>
              <w:spacing w:line="320" w:lineRule="exact"/>
              <w:ind w:firstLine="1458" w:firstLineChars="6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中标单价</w:t>
            </w:r>
          </w:p>
          <w:p w14:paraId="5AA277D8">
            <w:pPr>
              <w:keepNext/>
              <w:keepLines w:val="0"/>
              <w:pageBreakBefore w:val="0"/>
              <w:widowControl w:val="0"/>
              <w:kinsoku w:val="0"/>
              <w:wordWrap/>
              <w:overflowPunct w:val="0"/>
              <w:topLinePunct w:val="0"/>
              <w:autoSpaceDE w:val="0"/>
              <w:autoSpaceDN w:val="0"/>
              <w:bidi w:val="0"/>
              <w:adjustRightInd/>
              <w:snapToGrid/>
              <w:spacing w:line="320" w:lineRule="exact"/>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餐厅名称</w:t>
            </w:r>
          </w:p>
        </w:tc>
        <w:tc>
          <w:tcPr>
            <w:tcW w:w="1160" w:type="dxa"/>
            <w:noWrap w:val="0"/>
            <w:vAlign w:val="center"/>
          </w:tcPr>
          <w:p w14:paraId="0A3DDE2D">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早餐/人次（元）</w:t>
            </w:r>
          </w:p>
        </w:tc>
        <w:tc>
          <w:tcPr>
            <w:tcW w:w="1210" w:type="dxa"/>
            <w:noWrap w:val="0"/>
            <w:vAlign w:val="center"/>
          </w:tcPr>
          <w:p w14:paraId="6E7F12E4">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午餐/人次（元）</w:t>
            </w:r>
          </w:p>
        </w:tc>
        <w:tc>
          <w:tcPr>
            <w:tcW w:w="1220" w:type="dxa"/>
            <w:noWrap w:val="0"/>
            <w:vAlign w:val="center"/>
          </w:tcPr>
          <w:p w14:paraId="51D357AE">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晚餐/人次（元）</w:t>
            </w:r>
          </w:p>
        </w:tc>
        <w:tc>
          <w:tcPr>
            <w:tcW w:w="1366" w:type="dxa"/>
            <w:noWrap w:val="0"/>
            <w:vAlign w:val="center"/>
          </w:tcPr>
          <w:p w14:paraId="382C6DAC">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年固定劳务补助</w:t>
            </w:r>
          </w:p>
          <w:p w14:paraId="0DCD2CE3">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（元）</w:t>
            </w:r>
          </w:p>
        </w:tc>
      </w:tr>
      <w:tr w14:paraId="606D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7D96306">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集中办公区</w:t>
            </w:r>
          </w:p>
        </w:tc>
        <w:tc>
          <w:tcPr>
            <w:tcW w:w="1317" w:type="dxa"/>
            <w:vMerge w:val="restart"/>
            <w:noWrap w:val="0"/>
            <w:vAlign w:val="center"/>
          </w:tcPr>
          <w:p w14:paraId="319030F5">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为民服务中心机关食堂</w:t>
            </w:r>
          </w:p>
        </w:tc>
        <w:tc>
          <w:tcPr>
            <w:tcW w:w="1597" w:type="dxa"/>
            <w:noWrap w:val="0"/>
            <w:vAlign w:val="center"/>
          </w:tcPr>
          <w:p w14:paraId="4E68111C">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干部职工餐厅</w:t>
            </w:r>
          </w:p>
        </w:tc>
        <w:tc>
          <w:tcPr>
            <w:tcW w:w="1160" w:type="dxa"/>
            <w:noWrap w:val="0"/>
            <w:vAlign w:val="center"/>
          </w:tcPr>
          <w:p w14:paraId="34A3250F">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3872451D">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6A51FDC0">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6ED2BBA3">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p>
        </w:tc>
      </w:tr>
      <w:tr w14:paraId="596F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27" w:type="dxa"/>
            <w:vMerge w:val="continue"/>
            <w:noWrap w:val="0"/>
            <w:vAlign w:val="center"/>
          </w:tcPr>
          <w:p w14:paraId="4AD0D9EA">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17" w:type="dxa"/>
            <w:vMerge w:val="continue"/>
            <w:noWrap w:val="0"/>
            <w:vAlign w:val="center"/>
          </w:tcPr>
          <w:p w14:paraId="798D38A9">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597" w:type="dxa"/>
            <w:noWrap w:val="0"/>
            <w:vAlign w:val="center"/>
          </w:tcPr>
          <w:p w14:paraId="71A17757">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县级餐厅</w:t>
            </w:r>
          </w:p>
        </w:tc>
        <w:tc>
          <w:tcPr>
            <w:tcW w:w="1160" w:type="dxa"/>
            <w:noWrap w:val="0"/>
            <w:vAlign w:val="center"/>
          </w:tcPr>
          <w:p w14:paraId="66F42EEE">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2DE1B66D">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541AAAAA">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2E433227">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p>
        </w:tc>
      </w:tr>
      <w:tr w14:paraId="5904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7" w:type="dxa"/>
            <w:vMerge w:val="continue"/>
            <w:noWrap w:val="0"/>
            <w:vAlign w:val="center"/>
          </w:tcPr>
          <w:p w14:paraId="35462E51">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1317" w:type="dxa"/>
            <w:vMerge w:val="continue"/>
            <w:noWrap w:val="0"/>
            <w:vAlign w:val="center"/>
          </w:tcPr>
          <w:p w14:paraId="7DA1F6DC">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597" w:type="dxa"/>
            <w:noWrap w:val="0"/>
            <w:vAlign w:val="center"/>
          </w:tcPr>
          <w:p w14:paraId="4C857E75">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厅级餐厅</w:t>
            </w:r>
          </w:p>
        </w:tc>
        <w:tc>
          <w:tcPr>
            <w:tcW w:w="1160" w:type="dxa"/>
            <w:noWrap w:val="0"/>
            <w:vAlign w:val="center"/>
          </w:tcPr>
          <w:p w14:paraId="420F31E7">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745B63E3">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02F1F4D5">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7C12BE82">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r>
      <w:tr w14:paraId="35E1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640CA5F2">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17" w:type="dxa"/>
            <w:vMerge w:val="restart"/>
            <w:noWrap w:val="0"/>
            <w:vAlign w:val="center"/>
          </w:tcPr>
          <w:p w14:paraId="4B099506">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新洲小镇</w:t>
            </w:r>
            <w:r>
              <w:rPr>
                <w:rFonts w:hint="eastAsia" w:asciiTheme="minorEastAsia" w:hAnsiTheme="minorEastAsia" w:eastAsiaTheme="minorEastAsia" w:cstheme="minorEastAsia"/>
                <w:color w:val="auto"/>
                <w:sz w:val="24"/>
                <w:szCs w:val="24"/>
                <w:lang w:eastAsia="zh-CN"/>
              </w:rPr>
              <w:t>机关食堂</w:t>
            </w:r>
          </w:p>
        </w:tc>
        <w:tc>
          <w:tcPr>
            <w:tcW w:w="1597" w:type="dxa"/>
            <w:noWrap w:val="0"/>
            <w:vAlign w:val="center"/>
          </w:tcPr>
          <w:p w14:paraId="4224D07E">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干部职工餐厅</w:t>
            </w:r>
          </w:p>
        </w:tc>
        <w:tc>
          <w:tcPr>
            <w:tcW w:w="1160" w:type="dxa"/>
            <w:noWrap w:val="0"/>
            <w:vAlign w:val="center"/>
          </w:tcPr>
          <w:p w14:paraId="7D7D69D8">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08ADE348">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12BCD302">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640143D9">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r>
      <w:tr w14:paraId="654D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27" w:type="dxa"/>
            <w:vMerge w:val="continue"/>
            <w:noWrap w:val="0"/>
            <w:vAlign w:val="center"/>
          </w:tcPr>
          <w:p w14:paraId="415162B1">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1317" w:type="dxa"/>
            <w:vMerge w:val="continue"/>
            <w:noWrap w:val="0"/>
            <w:vAlign w:val="center"/>
          </w:tcPr>
          <w:p w14:paraId="73EC92D2">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597" w:type="dxa"/>
            <w:noWrap w:val="0"/>
            <w:vAlign w:val="center"/>
          </w:tcPr>
          <w:p w14:paraId="67407948">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县级餐厅</w:t>
            </w:r>
          </w:p>
        </w:tc>
        <w:tc>
          <w:tcPr>
            <w:tcW w:w="1160" w:type="dxa"/>
            <w:noWrap w:val="0"/>
            <w:vAlign w:val="center"/>
          </w:tcPr>
          <w:p w14:paraId="33500563">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658BFE31">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33303ED9">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5E10BD9B">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r>
      <w:tr w14:paraId="41C2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52209AF4">
            <w:pPr>
              <w:keepNext/>
              <w:keepLines w:val="0"/>
              <w:pageBreakBefore w:val="0"/>
              <w:widowControl w:val="0"/>
              <w:kinsoku w:val="0"/>
              <w:wordWrap/>
              <w:overflowPunct w:val="0"/>
              <w:topLinePunct w:val="0"/>
              <w:autoSpaceDE w:val="0"/>
              <w:autoSpaceDN w:val="0"/>
              <w:bidi w:val="0"/>
              <w:adjustRightInd/>
              <w:snapToGrid/>
              <w:spacing w:line="320" w:lineRule="exact"/>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分散办公区</w:t>
            </w:r>
          </w:p>
        </w:tc>
        <w:tc>
          <w:tcPr>
            <w:tcW w:w="2914" w:type="dxa"/>
            <w:gridSpan w:val="2"/>
            <w:noWrap w:val="0"/>
            <w:vAlign w:val="center"/>
          </w:tcPr>
          <w:p w14:paraId="2C984A4C">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干部职工餐厅</w:t>
            </w:r>
          </w:p>
        </w:tc>
        <w:tc>
          <w:tcPr>
            <w:tcW w:w="1160" w:type="dxa"/>
            <w:noWrap w:val="0"/>
            <w:vAlign w:val="center"/>
          </w:tcPr>
          <w:p w14:paraId="141740F3">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10" w:type="dxa"/>
            <w:noWrap w:val="0"/>
            <w:vAlign w:val="center"/>
          </w:tcPr>
          <w:p w14:paraId="74C5F9C5">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220" w:type="dxa"/>
            <w:noWrap w:val="0"/>
            <w:vAlign w:val="center"/>
          </w:tcPr>
          <w:p w14:paraId="64729AE7">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366" w:type="dxa"/>
            <w:noWrap w:val="0"/>
            <w:vAlign w:val="center"/>
          </w:tcPr>
          <w:p w14:paraId="7F89E460">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r>
      <w:tr w14:paraId="4C64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7" w:type="dxa"/>
            <w:noWrap w:val="0"/>
            <w:vAlign w:val="center"/>
          </w:tcPr>
          <w:p w14:paraId="71971B03">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7870" w:type="dxa"/>
            <w:gridSpan w:val="6"/>
            <w:noWrap w:val="0"/>
            <w:vAlign w:val="center"/>
          </w:tcPr>
          <w:p w14:paraId="175A320F">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每年</w:t>
            </w: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eastAsiaTheme="minorEastAsia" w:cstheme="minorEastAsia"/>
                <w:color w:val="auto"/>
                <w:sz w:val="24"/>
                <w:szCs w:val="24"/>
              </w:rPr>
              <w:t>价（大写）：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tc>
      </w:tr>
      <w:tr w14:paraId="29A5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7" w:type="dxa"/>
            <w:noWrap w:val="0"/>
            <w:vAlign w:val="center"/>
          </w:tcPr>
          <w:p w14:paraId="4DD48710">
            <w:pPr>
              <w:keepNext/>
              <w:keepLines w:val="0"/>
              <w:pageBreakBefore w:val="0"/>
              <w:widowControl w:val="0"/>
              <w:kinsoku w:val="0"/>
              <w:wordWrap/>
              <w:overflowPunct w:val="0"/>
              <w:topLinePunct w:val="0"/>
              <w:autoSpaceDE w:val="0"/>
              <w:autoSpaceDN w:val="0"/>
              <w:bidi w:val="0"/>
              <w:adjustRightInd/>
              <w:snapToGrid/>
              <w:spacing w:line="320" w:lineRule="exact"/>
              <w:ind w:firstLine="486" w:firstLineChars="200"/>
              <w:jc w:val="center"/>
              <w:textAlignment w:val="auto"/>
              <w:rPr>
                <w:rFonts w:hint="eastAsia" w:asciiTheme="minorEastAsia" w:hAnsiTheme="minorEastAsia" w:eastAsiaTheme="minorEastAsia" w:cstheme="minorEastAsia"/>
                <w:color w:val="auto"/>
                <w:sz w:val="24"/>
                <w:szCs w:val="24"/>
              </w:rPr>
            </w:pPr>
          </w:p>
        </w:tc>
        <w:tc>
          <w:tcPr>
            <w:tcW w:w="7870" w:type="dxa"/>
            <w:gridSpan w:val="6"/>
            <w:noWrap w:val="0"/>
            <w:vAlign w:val="center"/>
          </w:tcPr>
          <w:p w14:paraId="5434EAFE">
            <w:pPr>
              <w:keepNext/>
              <w:keepLines w:val="0"/>
              <w:pageBreakBefore w:val="0"/>
              <w:widowControl w:val="0"/>
              <w:kinsoku w:val="0"/>
              <w:wordWrap/>
              <w:overflowPunct w:val="0"/>
              <w:topLinePunct w:val="0"/>
              <w:autoSpaceDE w:val="0"/>
              <w:autoSpaceDN w:val="0"/>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val="en-US" w:eastAsia="zh-CN"/>
              </w:rPr>
              <w:t>总报</w:t>
            </w:r>
            <w:r>
              <w:rPr>
                <w:rFonts w:hint="eastAsia" w:asciiTheme="minorEastAsia" w:hAnsiTheme="minorEastAsia" w:eastAsiaTheme="minorEastAsia" w:cstheme="minorEastAsia"/>
                <w:color w:val="auto"/>
                <w:sz w:val="24"/>
                <w:szCs w:val="24"/>
              </w:rPr>
              <w:t>价（大写）：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tc>
      </w:tr>
    </w:tbl>
    <w:p w14:paraId="30BE7690">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（一）投标总报价组成=早餐年预计就餐人次×早餐每人次的托管费用报价+午餐年预计就餐人次×午餐每人次的托管费用报价+晚餐年预计就餐人次×晚餐每人次的托管费用报价</w:t>
      </w:r>
      <w:r>
        <w:rPr>
          <w:rFonts w:hint="eastAsia" w:asciiTheme="minorEastAsia" w:hAnsiTheme="minorEastAsia" w:eastAsiaTheme="minorEastAsia" w:cstheme="minorEastAsia"/>
          <w:color w:val="auto"/>
          <w:sz w:val="24"/>
          <w:szCs w:val="24"/>
          <w:lang w:val="en-US" w:eastAsia="zh-CN"/>
        </w:rPr>
        <w:t>+年固定劳务补助</w:t>
      </w:r>
    </w:p>
    <w:p w14:paraId="2DF9648E">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1.为民服务中心机关食堂</w:t>
      </w:r>
      <w:r>
        <w:rPr>
          <w:rFonts w:hint="eastAsia" w:asciiTheme="minorEastAsia" w:hAnsiTheme="minorEastAsia" w:eastAsiaTheme="minorEastAsia" w:cstheme="minorEastAsia"/>
          <w:color w:val="auto"/>
          <w:sz w:val="24"/>
          <w:szCs w:val="24"/>
          <w:lang w:eastAsia="zh-CN"/>
        </w:rPr>
        <w:t>年就餐人数预计：</w:t>
      </w:r>
    </w:p>
    <w:p w14:paraId="1642871F">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干部职工餐厅：早餐</w:t>
      </w:r>
      <w:r>
        <w:rPr>
          <w:rFonts w:hint="eastAsia" w:asciiTheme="minorEastAsia" w:hAnsiTheme="minorEastAsia" w:eastAsiaTheme="minorEastAsia" w:cstheme="minorEastAsia"/>
          <w:color w:val="auto"/>
          <w:sz w:val="24"/>
          <w:szCs w:val="24"/>
          <w:lang w:val="en-US" w:eastAsia="zh-CN"/>
        </w:rPr>
        <w:t>141649</w:t>
      </w:r>
      <w:r>
        <w:rPr>
          <w:rFonts w:hint="eastAsia" w:asciiTheme="minorEastAsia" w:hAnsiTheme="minorEastAsia" w:eastAsiaTheme="minorEastAsia" w:cstheme="minorEastAsia"/>
          <w:color w:val="auto"/>
          <w:sz w:val="24"/>
          <w:szCs w:val="24"/>
          <w:lang w:eastAsia="zh-CN"/>
        </w:rPr>
        <w:t>人次、午餐</w:t>
      </w:r>
      <w:r>
        <w:rPr>
          <w:rFonts w:hint="eastAsia" w:asciiTheme="minorEastAsia" w:hAnsiTheme="minorEastAsia" w:eastAsiaTheme="minorEastAsia" w:cstheme="minorEastAsia"/>
          <w:color w:val="auto"/>
          <w:sz w:val="24"/>
          <w:szCs w:val="24"/>
          <w:lang w:val="en-US" w:eastAsia="zh-CN"/>
        </w:rPr>
        <w:t>219395</w:t>
      </w:r>
      <w:r>
        <w:rPr>
          <w:rFonts w:hint="eastAsia" w:asciiTheme="minorEastAsia" w:hAnsiTheme="minorEastAsia" w:eastAsiaTheme="minorEastAsia" w:cstheme="minorEastAsia"/>
          <w:color w:val="auto"/>
          <w:sz w:val="24"/>
          <w:szCs w:val="24"/>
          <w:lang w:eastAsia="zh-CN"/>
        </w:rPr>
        <w:t>人次、晚餐</w:t>
      </w:r>
      <w:r>
        <w:rPr>
          <w:rFonts w:hint="eastAsia" w:asciiTheme="minorEastAsia" w:hAnsiTheme="minorEastAsia" w:eastAsiaTheme="minorEastAsia" w:cstheme="minorEastAsia"/>
          <w:color w:val="auto"/>
          <w:sz w:val="24"/>
          <w:szCs w:val="24"/>
          <w:lang w:val="en-US" w:eastAsia="zh-CN"/>
        </w:rPr>
        <w:t>81952</w:t>
      </w:r>
      <w:r>
        <w:rPr>
          <w:rFonts w:hint="eastAsia" w:asciiTheme="minorEastAsia" w:hAnsiTheme="minorEastAsia" w:eastAsiaTheme="minorEastAsia" w:cstheme="minorEastAsia"/>
          <w:color w:val="auto"/>
          <w:sz w:val="24"/>
          <w:szCs w:val="24"/>
          <w:lang w:eastAsia="zh-CN"/>
        </w:rPr>
        <w:t>人次。</w:t>
      </w:r>
    </w:p>
    <w:p w14:paraId="620B39E1">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县级餐厅：早餐</w:t>
      </w:r>
      <w:r>
        <w:rPr>
          <w:rFonts w:hint="eastAsia" w:asciiTheme="minorEastAsia" w:hAnsiTheme="minorEastAsia" w:eastAsiaTheme="minorEastAsia" w:cstheme="minorEastAsia"/>
          <w:color w:val="auto"/>
          <w:sz w:val="24"/>
          <w:szCs w:val="24"/>
          <w:lang w:val="en-US" w:eastAsia="zh-CN"/>
        </w:rPr>
        <w:t>37376</w:t>
      </w:r>
      <w:r>
        <w:rPr>
          <w:rFonts w:hint="eastAsia" w:asciiTheme="minorEastAsia" w:hAnsiTheme="minorEastAsia" w:eastAsiaTheme="minorEastAsia" w:cstheme="minorEastAsia"/>
          <w:color w:val="auto"/>
          <w:sz w:val="24"/>
          <w:szCs w:val="24"/>
          <w:lang w:eastAsia="zh-CN"/>
        </w:rPr>
        <w:t>人次、午餐</w:t>
      </w:r>
      <w:r>
        <w:rPr>
          <w:rFonts w:hint="eastAsia" w:asciiTheme="minorEastAsia" w:hAnsiTheme="minorEastAsia" w:eastAsiaTheme="minorEastAsia" w:cstheme="minorEastAsia"/>
          <w:color w:val="auto"/>
          <w:sz w:val="24"/>
          <w:szCs w:val="24"/>
          <w:lang w:val="en-US" w:eastAsia="zh-CN"/>
        </w:rPr>
        <w:t>67179</w:t>
      </w:r>
      <w:r>
        <w:rPr>
          <w:rFonts w:hint="eastAsia" w:asciiTheme="minorEastAsia" w:hAnsiTheme="minorEastAsia" w:eastAsiaTheme="minorEastAsia" w:cstheme="minorEastAsia"/>
          <w:color w:val="auto"/>
          <w:sz w:val="24"/>
          <w:szCs w:val="24"/>
          <w:lang w:eastAsia="zh-CN"/>
        </w:rPr>
        <w:t>人次、晚餐</w:t>
      </w:r>
      <w:r>
        <w:rPr>
          <w:rFonts w:hint="eastAsia" w:asciiTheme="minorEastAsia" w:hAnsiTheme="minorEastAsia" w:eastAsiaTheme="minorEastAsia" w:cstheme="minorEastAsia"/>
          <w:color w:val="auto"/>
          <w:sz w:val="24"/>
          <w:szCs w:val="24"/>
          <w:lang w:val="en-US" w:eastAsia="zh-CN"/>
        </w:rPr>
        <w:t>6942</w:t>
      </w:r>
      <w:r>
        <w:rPr>
          <w:rFonts w:hint="eastAsia" w:asciiTheme="minorEastAsia" w:hAnsiTheme="minorEastAsia" w:eastAsiaTheme="minorEastAsia" w:cstheme="minorEastAsia"/>
          <w:color w:val="auto"/>
          <w:sz w:val="24"/>
          <w:szCs w:val="24"/>
          <w:lang w:eastAsia="zh-CN"/>
        </w:rPr>
        <w:t>人次。</w:t>
      </w:r>
    </w:p>
    <w:p w14:paraId="6595DA8B">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厅级餐厅：</w:t>
      </w:r>
      <w:r>
        <w:rPr>
          <w:rFonts w:hint="eastAsia" w:asciiTheme="minorEastAsia" w:hAnsiTheme="minorEastAsia" w:eastAsiaTheme="minorEastAsia" w:cstheme="minorEastAsia"/>
          <w:color w:val="auto"/>
          <w:sz w:val="24"/>
          <w:szCs w:val="24"/>
          <w:lang w:eastAsia="zh-CN"/>
        </w:rPr>
        <w:t>早餐</w:t>
      </w:r>
      <w:r>
        <w:rPr>
          <w:rFonts w:hint="eastAsia" w:asciiTheme="minorEastAsia" w:hAnsiTheme="minorEastAsia" w:eastAsiaTheme="minorEastAsia" w:cstheme="minorEastAsia"/>
          <w:color w:val="auto"/>
          <w:sz w:val="24"/>
          <w:szCs w:val="24"/>
          <w:lang w:val="en-US" w:eastAsia="zh-CN"/>
        </w:rPr>
        <w:t>2598</w:t>
      </w:r>
      <w:r>
        <w:rPr>
          <w:rFonts w:hint="eastAsia" w:asciiTheme="minorEastAsia" w:hAnsiTheme="minorEastAsia" w:eastAsiaTheme="minorEastAsia" w:cstheme="minorEastAsia"/>
          <w:color w:val="auto"/>
          <w:sz w:val="24"/>
          <w:szCs w:val="24"/>
          <w:lang w:eastAsia="zh-CN"/>
        </w:rPr>
        <w:t>人次、午餐</w:t>
      </w:r>
      <w:r>
        <w:rPr>
          <w:rFonts w:hint="eastAsia" w:asciiTheme="minorEastAsia" w:hAnsiTheme="minorEastAsia" w:eastAsiaTheme="minorEastAsia" w:cstheme="minorEastAsia"/>
          <w:color w:val="auto"/>
          <w:sz w:val="24"/>
          <w:szCs w:val="24"/>
          <w:lang w:val="en-US" w:eastAsia="zh-CN"/>
        </w:rPr>
        <w:t>2572</w:t>
      </w:r>
      <w:r>
        <w:rPr>
          <w:rFonts w:hint="eastAsia" w:asciiTheme="minorEastAsia" w:hAnsiTheme="minorEastAsia" w:eastAsiaTheme="minorEastAsia" w:cstheme="minorEastAsia"/>
          <w:color w:val="auto"/>
          <w:sz w:val="24"/>
          <w:szCs w:val="24"/>
          <w:lang w:eastAsia="zh-CN"/>
        </w:rPr>
        <w:t>人次、晚餐</w:t>
      </w:r>
      <w:r>
        <w:rPr>
          <w:rFonts w:hint="eastAsia" w:asciiTheme="minorEastAsia" w:hAnsiTheme="minorEastAsia" w:eastAsiaTheme="minorEastAsia" w:cstheme="minorEastAsia"/>
          <w:color w:val="auto"/>
          <w:sz w:val="24"/>
          <w:szCs w:val="24"/>
          <w:lang w:val="en-US" w:eastAsia="zh-CN"/>
        </w:rPr>
        <w:t>1249</w:t>
      </w:r>
      <w:r>
        <w:rPr>
          <w:rFonts w:hint="eastAsia" w:asciiTheme="minorEastAsia" w:hAnsiTheme="minorEastAsia" w:eastAsiaTheme="minorEastAsia" w:cstheme="minorEastAsia"/>
          <w:color w:val="auto"/>
          <w:sz w:val="24"/>
          <w:szCs w:val="24"/>
          <w:lang w:eastAsia="zh-CN"/>
        </w:rPr>
        <w:t>人次。</w:t>
      </w:r>
    </w:p>
    <w:p w14:paraId="181FF0C5">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2.新洲小镇机关食堂</w:t>
      </w:r>
      <w:r>
        <w:rPr>
          <w:rFonts w:hint="eastAsia" w:asciiTheme="minorEastAsia" w:hAnsiTheme="minorEastAsia" w:eastAsiaTheme="minorEastAsia" w:cstheme="minorEastAsia"/>
          <w:color w:val="auto"/>
          <w:sz w:val="24"/>
          <w:szCs w:val="24"/>
          <w:lang w:eastAsia="zh-CN"/>
        </w:rPr>
        <w:t>年就餐人数预计：</w:t>
      </w:r>
    </w:p>
    <w:p w14:paraId="5CE22479">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干部职工餐厅：早餐</w:t>
      </w:r>
      <w:r>
        <w:rPr>
          <w:rFonts w:hint="eastAsia" w:asciiTheme="minorEastAsia" w:hAnsiTheme="minorEastAsia" w:eastAsiaTheme="minorEastAsia" w:cstheme="minorEastAsia"/>
          <w:color w:val="auto"/>
          <w:sz w:val="24"/>
          <w:szCs w:val="24"/>
          <w:lang w:val="en-US" w:eastAsia="zh-CN"/>
        </w:rPr>
        <w:t>23149</w:t>
      </w:r>
      <w:r>
        <w:rPr>
          <w:rFonts w:hint="eastAsia" w:asciiTheme="minorEastAsia" w:hAnsiTheme="minorEastAsia" w:eastAsiaTheme="minorEastAsia" w:cstheme="minorEastAsia"/>
          <w:color w:val="auto"/>
          <w:sz w:val="24"/>
          <w:szCs w:val="24"/>
          <w:lang w:eastAsia="zh-CN"/>
        </w:rPr>
        <w:t>人次、午餐</w:t>
      </w:r>
      <w:r>
        <w:rPr>
          <w:rFonts w:hint="eastAsia" w:asciiTheme="minorEastAsia" w:hAnsiTheme="minorEastAsia" w:eastAsiaTheme="minorEastAsia" w:cstheme="minorEastAsia"/>
          <w:color w:val="auto"/>
          <w:sz w:val="24"/>
          <w:szCs w:val="24"/>
          <w:lang w:val="en-US" w:eastAsia="zh-CN"/>
        </w:rPr>
        <w:t>26653</w:t>
      </w:r>
      <w:r>
        <w:rPr>
          <w:rFonts w:hint="eastAsia" w:asciiTheme="minorEastAsia" w:hAnsiTheme="minorEastAsia" w:eastAsiaTheme="minorEastAsia" w:cstheme="minorEastAsia"/>
          <w:color w:val="auto"/>
          <w:sz w:val="24"/>
          <w:szCs w:val="24"/>
          <w:lang w:eastAsia="zh-CN"/>
        </w:rPr>
        <w:t>人次、晚餐</w:t>
      </w:r>
      <w:r>
        <w:rPr>
          <w:rFonts w:hint="eastAsia" w:asciiTheme="minorEastAsia" w:hAnsiTheme="minorEastAsia" w:eastAsiaTheme="minorEastAsia" w:cstheme="minorEastAsia"/>
          <w:color w:val="auto"/>
          <w:sz w:val="24"/>
          <w:szCs w:val="24"/>
          <w:lang w:val="en-US" w:eastAsia="zh-CN"/>
        </w:rPr>
        <w:t>8359</w:t>
      </w:r>
      <w:r>
        <w:rPr>
          <w:rFonts w:hint="eastAsia" w:asciiTheme="minorEastAsia" w:hAnsiTheme="minorEastAsia" w:eastAsiaTheme="minorEastAsia" w:cstheme="minorEastAsia"/>
          <w:color w:val="auto"/>
          <w:sz w:val="24"/>
          <w:szCs w:val="24"/>
          <w:lang w:eastAsia="zh-CN"/>
        </w:rPr>
        <w:t>人次</w:t>
      </w:r>
    </w:p>
    <w:p w14:paraId="236BC1B7">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县级餐厅：早餐</w:t>
      </w:r>
      <w:r>
        <w:rPr>
          <w:rFonts w:hint="eastAsia" w:asciiTheme="minorEastAsia" w:hAnsiTheme="minorEastAsia" w:eastAsiaTheme="minorEastAsia" w:cstheme="minorEastAsia"/>
          <w:color w:val="auto"/>
          <w:sz w:val="24"/>
          <w:szCs w:val="24"/>
          <w:lang w:val="en-US" w:eastAsia="zh-CN"/>
        </w:rPr>
        <w:t>1065</w:t>
      </w:r>
      <w:r>
        <w:rPr>
          <w:rFonts w:hint="eastAsia" w:asciiTheme="minorEastAsia" w:hAnsiTheme="minorEastAsia" w:eastAsiaTheme="minorEastAsia" w:cstheme="minorEastAsia"/>
          <w:color w:val="auto"/>
          <w:sz w:val="24"/>
          <w:szCs w:val="24"/>
          <w:lang w:eastAsia="zh-CN"/>
        </w:rPr>
        <w:t>人次、午餐</w:t>
      </w:r>
      <w:r>
        <w:rPr>
          <w:rFonts w:hint="eastAsia" w:asciiTheme="minorEastAsia" w:hAnsiTheme="minorEastAsia" w:eastAsiaTheme="minorEastAsia" w:cstheme="minorEastAsia"/>
          <w:color w:val="auto"/>
          <w:sz w:val="24"/>
          <w:szCs w:val="24"/>
          <w:lang w:val="en-US" w:eastAsia="zh-CN"/>
        </w:rPr>
        <w:t>2018</w:t>
      </w:r>
      <w:r>
        <w:rPr>
          <w:rFonts w:hint="eastAsia" w:asciiTheme="minorEastAsia" w:hAnsiTheme="minorEastAsia" w:eastAsiaTheme="minorEastAsia" w:cstheme="minorEastAsia"/>
          <w:color w:val="auto"/>
          <w:sz w:val="24"/>
          <w:szCs w:val="24"/>
          <w:lang w:eastAsia="zh-CN"/>
        </w:rPr>
        <w:t>人次、晚餐</w:t>
      </w:r>
      <w:r>
        <w:rPr>
          <w:rFonts w:hint="eastAsia" w:asciiTheme="minorEastAsia" w:hAnsiTheme="minorEastAsia" w:eastAsiaTheme="minorEastAsia" w:cstheme="minorEastAsia"/>
          <w:color w:val="auto"/>
          <w:sz w:val="24"/>
          <w:szCs w:val="24"/>
          <w:lang w:val="en-US" w:eastAsia="zh-CN"/>
        </w:rPr>
        <w:t>1208</w:t>
      </w:r>
      <w:r>
        <w:rPr>
          <w:rFonts w:hint="eastAsia" w:asciiTheme="minorEastAsia" w:hAnsiTheme="minorEastAsia" w:eastAsiaTheme="minorEastAsia" w:cstheme="minorEastAsia"/>
          <w:color w:val="auto"/>
          <w:sz w:val="24"/>
          <w:szCs w:val="24"/>
          <w:lang w:eastAsia="zh-CN"/>
        </w:rPr>
        <w:t>人次。</w:t>
      </w:r>
    </w:p>
    <w:p w14:paraId="1416D51A">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3.分散办公区机关食堂</w:t>
      </w:r>
      <w:r>
        <w:rPr>
          <w:rFonts w:hint="eastAsia" w:asciiTheme="minorEastAsia" w:hAnsiTheme="minorEastAsia" w:eastAsiaTheme="minorEastAsia" w:cstheme="minorEastAsia"/>
          <w:color w:val="auto"/>
          <w:sz w:val="24"/>
          <w:szCs w:val="24"/>
          <w:lang w:eastAsia="zh-CN"/>
        </w:rPr>
        <w:t>年就餐人数预计：</w:t>
      </w:r>
    </w:p>
    <w:p w14:paraId="0CB2D3F3">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干部职工餐厅：</w:t>
      </w:r>
      <w:r>
        <w:rPr>
          <w:rFonts w:hint="eastAsia" w:asciiTheme="minorEastAsia" w:hAnsiTheme="minorEastAsia" w:eastAsiaTheme="minorEastAsia" w:cstheme="minorEastAsia"/>
          <w:color w:val="auto"/>
          <w:sz w:val="24"/>
          <w:szCs w:val="24"/>
          <w:lang w:val="en-US" w:eastAsia="zh-CN"/>
        </w:rPr>
        <w:t>早餐76785人次、午餐105051人次、晚餐21889人次（说明：本数据仅为计算投标总价使用，非实际就餐人次）</w:t>
      </w:r>
    </w:p>
    <w:p w14:paraId="5B709F1F">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投标报价要求</w:t>
      </w:r>
    </w:p>
    <w:p w14:paraId="71B6F334">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干部职工餐厅托管费投标报价范围：早餐在5.0元/人次之内,午餐8.0元/人次之内，晚餐在3.0元/人次之内；无年固定劳务补贴。</w:t>
      </w:r>
    </w:p>
    <w:p w14:paraId="7528D41F">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县级餐厅托管费投标报价范围，早餐在6.0元/人次之内,午餐12.0元/人次之内，晚餐在3.0元/人次之内；年固定劳务费补助报价在60万元之内。</w:t>
      </w:r>
    </w:p>
    <w:p w14:paraId="576983EC">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厅级餐厅托管费投标报价范围，早餐在10.0元/人次之内,午餐21.0元/人次之内，晚餐在9.0元/人次之内；年固定劳务费补助报价在87万元之内。</w:t>
      </w:r>
    </w:p>
    <w:p w14:paraId="60F875D7">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3717F4E7">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超出上述范围的报价为无效报价。</w:t>
      </w:r>
    </w:p>
    <w:p w14:paraId="731ECB21">
      <w:pPr>
        <w:keepNext w:val="0"/>
        <w:keepLines w:val="0"/>
        <w:pageBreakBefore w:val="0"/>
        <w:widowControl w:val="0"/>
        <w:kinsoku/>
        <w:wordWrap/>
        <w:overflowPunct/>
        <w:topLinePunct w:val="0"/>
        <w:autoSpaceDE w:val="0"/>
        <w:autoSpaceDN w:val="0"/>
        <w:bidi w:val="0"/>
        <w:adjustRightInd/>
        <w:snapToGrid/>
        <w:spacing w:line="320" w:lineRule="exact"/>
        <w:ind w:firstLine="364"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三）特别提示：供应商在机关食堂取得的营业收入有两部分组成，一部分为购买服务应由采购方向供应方支付的托管费（即：按分项投标报价乘以每餐就餐人次加上固定劳务补助）；另一部分是向就餐者收取的费用（</w:t>
      </w:r>
      <w:r>
        <w:rPr>
          <w:rFonts w:hint="eastAsia" w:asciiTheme="minorEastAsia" w:hAnsiTheme="minorEastAsia" w:eastAsiaTheme="minorEastAsia" w:cstheme="minorEastAsia"/>
          <w:color w:val="auto"/>
          <w:sz w:val="24"/>
          <w:szCs w:val="24"/>
          <w:lang w:eastAsia="zh-CN"/>
        </w:rPr>
        <w:t>具体销售价格为：干部职工</w:t>
      </w:r>
      <w:r>
        <w:rPr>
          <w:rFonts w:hint="eastAsia" w:asciiTheme="minorEastAsia" w:hAnsiTheme="minorEastAsia" w:eastAsiaTheme="minorEastAsia" w:cstheme="minorEastAsia"/>
          <w:color w:val="auto"/>
          <w:sz w:val="24"/>
          <w:szCs w:val="24"/>
        </w:rPr>
        <w:t>餐厅</w:t>
      </w:r>
      <w:r>
        <w:rPr>
          <w:rFonts w:hint="eastAsia" w:asciiTheme="minorEastAsia" w:hAnsiTheme="minorEastAsia" w:eastAsiaTheme="minorEastAsia" w:cstheme="minorEastAsia"/>
          <w:color w:val="auto"/>
          <w:sz w:val="24"/>
          <w:szCs w:val="24"/>
          <w:lang w:eastAsia="zh-CN"/>
        </w:rPr>
        <w:t>，第一次就餐的</w:t>
      </w:r>
      <w:r>
        <w:rPr>
          <w:rFonts w:hint="eastAsia" w:asciiTheme="minorEastAsia" w:hAnsiTheme="minorEastAsia" w:eastAsiaTheme="minorEastAsia" w:cstheme="minorEastAsia"/>
          <w:color w:val="auto"/>
          <w:sz w:val="24"/>
          <w:szCs w:val="24"/>
        </w:rPr>
        <w:t>早餐3元、午餐8元、晚餐5元；</w:t>
      </w:r>
      <w:r>
        <w:rPr>
          <w:rFonts w:hint="eastAsia" w:asciiTheme="minorEastAsia" w:hAnsiTheme="minorEastAsia" w:eastAsiaTheme="minorEastAsia" w:cstheme="minorEastAsia"/>
          <w:color w:val="auto"/>
          <w:sz w:val="24"/>
          <w:szCs w:val="24"/>
          <w:lang w:eastAsia="zh-CN"/>
        </w:rPr>
        <w:t>县级</w:t>
      </w:r>
      <w:r>
        <w:rPr>
          <w:rFonts w:hint="eastAsia" w:asciiTheme="minorEastAsia" w:hAnsiTheme="minorEastAsia" w:eastAsiaTheme="minorEastAsia" w:cstheme="minorEastAsia"/>
          <w:color w:val="auto"/>
          <w:sz w:val="24"/>
          <w:szCs w:val="24"/>
        </w:rPr>
        <w:t>餐厅</w:t>
      </w:r>
      <w:r>
        <w:rPr>
          <w:rFonts w:hint="eastAsia" w:asciiTheme="minorEastAsia" w:hAnsiTheme="minorEastAsia" w:eastAsiaTheme="minorEastAsia" w:cstheme="minorEastAsia"/>
          <w:color w:val="auto"/>
          <w:sz w:val="24"/>
          <w:szCs w:val="24"/>
          <w:lang w:eastAsia="zh-CN"/>
        </w:rPr>
        <w:t>，第一次就餐的</w:t>
      </w:r>
      <w:r>
        <w:rPr>
          <w:rFonts w:hint="eastAsia" w:asciiTheme="minorEastAsia" w:hAnsiTheme="minorEastAsia" w:eastAsiaTheme="minorEastAsia" w:cstheme="minorEastAsia"/>
          <w:color w:val="auto"/>
          <w:sz w:val="24"/>
          <w:szCs w:val="24"/>
        </w:rPr>
        <w:t>早餐4元、午餐9元、晚餐6元；</w:t>
      </w:r>
      <w:r>
        <w:rPr>
          <w:rFonts w:hint="eastAsia" w:asciiTheme="minorEastAsia" w:hAnsiTheme="minorEastAsia" w:eastAsiaTheme="minorEastAsia" w:cstheme="minorEastAsia"/>
          <w:color w:val="auto"/>
          <w:sz w:val="24"/>
          <w:szCs w:val="24"/>
          <w:lang w:eastAsia="zh-CN"/>
        </w:rPr>
        <w:t>厅级</w:t>
      </w:r>
      <w:r>
        <w:rPr>
          <w:rFonts w:hint="eastAsia" w:asciiTheme="minorEastAsia" w:hAnsiTheme="minorEastAsia" w:eastAsiaTheme="minorEastAsia" w:cstheme="minorEastAsia"/>
          <w:color w:val="auto"/>
          <w:sz w:val="24"/>
          <w:szCs w:val="24"/>
        </w:rPr>
        <w:t>餐厅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早餐5元、午餐9元、晚餐6元</w:t>
      </w:r>
      <w:r>
        <w:rPr>
          <w:rFonts w:hint="eastAsia" w:asciiTheme="minorEastAsia" w:hAnsiTheme="minorEastAsia" w:eastAsiaTheme="minorEastAsia" w:cstheme="minorEastAsia"/>
          <w:color w:val="auto"/>
          <w:sz w:val="24"/>
          <w:szCs w:val="24"/>
          <w:lang w:eastAsia="zh-CN"/>
        </w:rPr>
        <w:t>。各餐厅</w:t>
      </w:r>
      <w:r>
        <w:rPr>
          <w:rFonts w:hint="eastAsia" w:asciiTheme="minorEastAsia" w:hAnsiTheme="minorEastAsia" w:eastAsiaTheme="minorEastAsia" w:cstheme="minorEastAsia"/>
          <w:color w:val="auto"/>
          <w:sz w:val="24"/>
          <w:szCs w:val="24"/>
        </w:rPr>
        <w:t>再次消费的，</w:t>
      </w:r>
      <w:r>
        <w:rPr>
          <w:rFonts w:hint="eastAsia" w:asciiTheme="minorEastAsia" w:hAnsiTheme="minorEastAsia" w:eastAsiaTheme="minorEastAsia" w:cstheme="minorEastAsia"/>
          <w:color w:val="auto"/>
          <w:sz w:val="24"/>
          <w:szCs w:val="24"/>
          <w:lang w:eastAsia="zh-CN"/>
        </w:rPr>
        <w:t>按照每餐销售单价加上变动托管费中标价结算</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w:t>
      </w:r>
    </w:p>
    <w:p w14:paraId="3BEC129C">
      <w:pPr>
        <w:pStyle w:val="10"/>
        <w:keepNext w:val="0"/>
        <w:keepLines w:val="0"/>
        <w:pageBreakBefore w:val="0"/>
        <w:widowControl w:val="0"/>
        <w:kinsoku/>
        <w:wordWrap/>
        <w:overflowPunct/>
        <w:topLinePunct w:val="0"/>
        <w:autoSpaceDE w:val="0"/>
        <w:autoSpaceDN w:val="0"/>
        <w:bidi w:val="0"/>
        <w:adjustRightInd/>
        <w:snapToGrid/>
        <w:spacing w:line="500" w:lineRule="exact"/>
        <w:ind w:firstLine="3888" w:firstLineChars="1600"/>
        <w:textAlignment w:val="auto"/>
        <w:rPr>
          <w:rFonts w:hint="eastAsia" w:asciiTheme="minorEastAsia" w:hAnsiTheme="minorEastAsia" w:eastAsiaTheme="minorEastAsia" w:cstheme="minorEastAsia"/>
          <w:bCs/>
          <w:color w:val="auto"/>
          <w:sz w:val="24"/>
          <w:szCs w:val="24"/>
        </w:rPr>
      </w:pPr>
    </w:p>
    <w:p w14:paraId="48484228">
      <w:pPr>
        <w:pStyle w:val="27"/>
        <w:rPr>
          <w:rFonts w:hint="eastAsia"/>
        </w:rPr>
      </w:pPr>
    </w:p>
    <w:p w14:paraId="39DFA8D5">
      <w:pPr>
        <w:pStyle w:val="10"/>
        <w:keepNext w:val="0"/>
        <w:keepLines w:val="0"/>
        <w:pageBreakBefore w:val="0"/>
        <w:widowControl w:val="0"/>
        <w:kinsoku/>
        <w:wordWrap/>
        <w:overflowPunct/>
        <w:topLinePunct w:val="0"/>
        <w:autoSpaceDE w:val="0"/>
        <w:autoSpaceDN w:val="0"/>
        <w:bidi w:val="0"/>
        <w:adjustRightInd/>
        <w:snapToGrid/>
        <w:spacing w:line="500" w:lineRule="exact"/>
        <w:ind w:firstLine="3888" w:firstLineChars="16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供应商：</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u w:val="single"/>
        </w:rPr>
        <w:t>名称</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u w:val="single"/>
        </w:rPr>
        <w:t>（</w:t>
      </w:r>
      <w:r>
        <w:rPr>
          <w:rFonts w:hint="eastAsia" w:asciiTheme="minorEastAsia" w:hAnsiTheme="minorEastAsia" w:eastAsiaTheme="minorEastAsia" w:cstheme="minorEastAsia"/>
          <w:bCs/>
          <w:color w:val="auto"/>
          <w:sz w:val="24"/>
          <w:szCs w:val="24"/>
        </w:rPr>
        <w:t>加盖公章）</w:t>
      </w:r>
      <w:r>
        <w:rPr>
          <w:rFonts w:hint="eastAsia" w:asciiTheme="minorEastAsia" w:hAnsiTheme="minorEastAsia" w:eastAsiaTheme="minorEastAsia" w:cstheme="minorEastAsia"/>
          <w:bCs/>
          <w:color w:val="auto"/>
          <w:sz w:val="24"/>
          <w:szCs w:val="24"/>
        </w:rPr>
        <w:tab/>
      </w:r>
    </w:p>
    <w:p w14:paraId="3999A64F">
      <w:pPr>
        <w:pStyle w:val="27"/>
        <w:rPr>
          <w:rFonts w:hint="eastAsia"/>
        </w:rPr>
      </w:pPr>
    </w:p>
    <w:p w14:paraId="140427EF">
      <w:pPr>
        <w:pStyle w:val="12"/>
        <w:keepNext w:val="0"/>
        <w:keepLines w:val="0"/>
        <w:pageBreakBefore w:val="0"/>
        <w:widowControl w:val="0"/>
        <w:kinsoku/>
        <w:wordWrap/>
        <w:overflowPunct/>
        <w:topLinePunct w:val="0"/>
        <w:autoSpaceDE w:val="0"/>
        <w:autoSpaceDN w:val="0"/>
        <w:bidi w:val="0"/>
        <w:adjustRightInd/>
        <w:snapToGrid/>
        <w:spacing w:line="440" w:lineRule="exact"/>
        <w:ind w:firstLine="6075" w:firstLineChars="25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　年　月　 日</w:t>
      </w:r>
    </w:p>
    <w:p w14:paraId="59DCDDC6">
      <w:pPr>
        <w:keepNext w:val="0"/>
        <w:keepLines w:val="0"/>
        <w:pageBreakBefore w:val="0"/>
        <w:widowControl w:val="0"/>
        <w:kinsoku/>
        <w:wordWrap/>
        <w:overflowPunct/>
        <w:topLinePunct w:val="0"/>
        <w:bidi w:val="0"/>
        <w:adjustRightInd/>
        <w:snapToGrid/>
        <w:textAlignment w:val="auto"/>
        <w:rPr>
          <w:rFonts w:hint="eastAsia" w:asciiTheme="minorEastAsia" w:hAnsiTheme="minorEastAsia" w:eastAsiaTheme="minorEastAsia" w:cstheme="minorEastAsia"/>
          <w:color w:val="auto"/>
          <w:sz w:val="24"/>
          <w:szCs w:val="24"/>
          <w:lang w:eastAsia="zh-CN"/>
        </w:rPr>
        <w:sectPr>
          <w:headerReference r:id="rId12" w:type="default"/>
          <w:footerReference r:id="rId13" w:type="default"/>
          <w:pgSz w:w="11906" w:h="16838"/>
          <w:pgMar w:top="1417" w:right="1417" w:bottom="1417" w:left="1417" w:header="850" w:footer="992" w:gutter="0"/>
          <w:pgNumType w:fmt="decimal"/>
          <w:cols w:space="720" w:num="1"/>
          <w:docGrid w:type="linesAndChars" w:linePitch="381" w:charSpace="704"/>
        </w:sectPr>
      </w:pPr>
    </w:p>
    <w:p w14:paraId="7DBCC0DA">
      <w:pPr>
        <w:pStyle w:val="16"/>
        <w:numPr>
          <w:ilvl w:val="0"/>
          <w:numId w:val="0"/>
        </w:numPr>
        <w:jc w:val="center"/>
        <w:rPr>
          <w:rFonts w:hint="eastAsia" w:ascii="宋体" w:hAnsi="宋体" w:eastAsia="宋体" w:cs="宋体"/>
          <w:b/>
          <w:bCs/>
          <w:kern w:val="2"/>
          <w:sz w:val="36"/>
          <w:szCs w:val="36"/>
          <w:lang w:val="en-US" w:eastAsia="zh-CN" w:bidi="ar-SA"/>
        </w:rPr>
      </w:pPr>
      <w:r>
        <w:rPr>
          <w:rFonts w:hint="eastAsia" w:ascii="宋体" w:hAnsi="宋体" w:cs="宋体"/>
          <w:b/>
          <w:bCs/>
          <w:kern w:val="2"/>
          <w:sz w:val="32"/>
          <w:szCs w:val="32"/>
          <w:lang w:val="en-US" w:eastAsia="zh-CN" w:bidi="ar-SA"/>
        </w:rPr>
        <w:t>二、</w:t>
      </w:r>
      <w:r>
        <w:rPr>
          <w:rFonts w:hint="eastAsia" w:ascii="宋体" w:hAnsi="宋体" w:eastAsia="宋体" w:cs="宋体"/>
          <w:b/>
          <w:bCs/>
          <w:kern w:val="2"/>
          <w:sz w:val="32"/>
          <w:szCs w:val="32"/>
          <w:lang w:val="en-US" w:eastAsia="zh-CN" w:bidi="ar-SA"/>
        </w:rPr>
        <w:t>法定代表人身份证明及法定代表人授权委托书</w:t>
      </w:r>
    </w:p>
    <w:p w14:paraId="2537D86F">
      <w:pPr>
        <w:pStyle w:val="16"/>
        <w:numPr>
          <w:ilvl w:val="0"/>
          <w:numId w:val="0"/>
        </w:numPr>
        <w:jc w:val="both"/>
        <w:rPr>
          <w:rFonts w:hint="eastAsia" w:ascii="宋体" w:hAnsi="宋体" w:eastAsia="宋体" w:cs="宋体"/>
          <w:b/>
          <w:i w:val="0"/>
          <w:iCs w:val="0"/>
          <w:color w:val="auto"/>
          <w:sz w:val="28"/>
          <w:lang w:eastAsia="zh-CN"/>
        </w:rPr>
      </w:pPr>
    </w:p>
    <w:p w14:paraId="7DA3676E">
      <w:pPr>
        <w:pStyle w:val="16"/>
        <w:numPr>
          <w:ilvl w:val="0"/>
          <w:numId w:val="0"/>
        </w:numPr>
        <w:jc w:val="center"/>
        <w:rPr>
          <w:rFonts w:hint="eastAsia" w:ascii="宋体" w:hAnsi="宋体" w:eastAsia="宋体" w:cs="宋体"/>
          <w:b/>
          <w:i w:val="0"/>
          <w:iCs w:val="0"/>
          <w:color w:val="auto"/>
          <w:sz w:val="28"/>
        </w:rPr>
      </w:pPr>
      <w:r>
        <w:rPr>
          <w:rFonts w:hint="eastAsia" w:ascii="宋体" w:hAnsi="宋体" w:eastAsia="宋体" w:cs="宋体"/>
          <w:b/>
          <w:i w:val="0"/>
          <w:iCs w:val="0"/>
          <w:color w:val="auto"/>
          <w:sz w:val="30"/>
          <w:szCs w:val="30"/>
          <w:lang w:eastAsia="zh-CN"/>
        </w:rPr>
        <w:t>（一）</w:t>
      </w:r>
      <w:r>
        <w:rPr>
          <w:rFonts w:hint="eastAsia" w:ascii="宋体" w:hAnsi="宋体" w:eastAsia="宋体" w:cs="宋体"/>
          <w:b/>
          <w:i w:val="0"/>
          <w:iCs w:val="0"/>
          <w:color w:val="auto"/>
          <w:sz w:val="30"/>
          <w:szCs w:val="30"/>
        </w:rPr>
        <w:t>法定代表人身份证明书</w:t>
      </w:r>
    </w:p>
    <w:p w14:paraId="5038EE75">
      <w:pPr>
        <w:snapToGrid w:val="0"/>
        <w:spacing w:before="120" w:beforeLines="50" w:after="120" w:afterLines="50" w:line="360" w:lineRule="auto"/>
        <w:jc w:val="left"/>
        <w:rPr>
          <w:rFonts w:hint="eastAsia" w:ascii="宋体" w:hAnsi="宋体" w:eastAsia="宋体" w:cs="宋体"/>
          <w:b/>
          <w:i w:val="0"/>
          <w:iCs w:val="0"/>
          <w:color w:val="auto"/>
          <w:sz w:val="24"/>
        </w:rPr>
      </w:pPr>
    </w:p>
    <w:p w14:paraId="28CDD2A1">
      <w:pPr>
        <w:snapToGrid w:val="0"/>
        <w:spacing w:before="120" w:beforeLines="50" w:after="120" w:afterLines="50"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单位名称：</w:t>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p>
    <w:p w14:paraId="720BE31B">
      <w:pPr>
        <w:snapToGrid w:val="0"/>
        <w:spacing w:before="120" w:beforeLines="50" w:after="120" w:afterLines="50"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单位性质：</w:t>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p>
    <w:p w14:paraId="30823A16">
      <w:pPr>
        <w:snapToGrid w:val="0"/>
        <w:spacing w:before="120" w:beforeLines="50" w:after="120" w:afterLines="50"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地址：</w:t>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p>
    <w:p w14:paraId="4D9A50EA">
      <w:pPr>
        <w:snapToGrid w:val="0"/>
        <w:spacing w:before="120" w:beforeLines="50" w:after="120" w:afterLines="50"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成立时间：年月日</w:t>
      </w:r>
    </w:p>
    <w:p w14:paraId="39884F35">
      <w:pPr>
        <w:snapToGrid w:val="0"/>
        <w:spacing w:before="120" w:beforeLines="50" w:after="120" w:afterLines="50"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经营期限：</w:t>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p>
    <w:p w14:paraId="197E46B1">
      <w:pPr>
        <w:snapToGrid w:val="0"/>
        <w:spacing w:before="120" w:beforeLines="50" w:after="120" w:afterLines="50"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姓名：性别：年龄：职务：</w:t>
      </w:r>
      <w:r>
        <w:rPr>
          <w:rFonts w:hint="eastAsia" w:ascii="宋体" w:hAnsi="宋体" w:eastAsia="宋体" w:cs="宋体"/>
          <w:i w:val="0"/>
          <w:iCs w:val="0"/>
          <w:color w:val="auto"/>
          <w:sz w:val="24"/>
          <w:u w:val="single"/>
        </w:rPr>
        <w:tab/>
      </w:r>
      <w:r>
        <w:rPr>
          <w:rFonts w:hint="eastAsia" w:ascii="宋体" w:hAnsi="宋体" w:eastAsia="宋体" w:cs="宋体"/>
          <w:i w:val="0"/>
          <w:iCs w:val="0"/>
          <w:color w:val="auto"/>
          <w:sz w:val="24"/>
          <w:u w:val="single"/>
        </w:rPr>
        <w:tab/>
      </w:r>
    </w:p>
    <w:p w14:paraId="345E2A0F">
      <w:pPr>
        <w:snapToGrid w:val="0"/>
        <w:spacing w:before="120" w:beforeLines="50" w:after="120" w:afterLines="50"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系</w:t>
      </w:r>
      <w:r>
        <w:rPr>
          <w:rFonts w:hint="eastAsia" w:ascii="宋体" w:hAnsi="宋体" w:eastAsia="宋体" w:cs="宋体"/>
          <w:i w:val="0"/>
          <w:iCs w:val="0"/>
          <w:color w:val="auto"/>
          <w:sz w:val="24"/>
          <w:u w:val="single"/>
        </w:rPr>
        <w:t>（投标人单位名称）</w:t>
      </w:r>
      <w:r>
        <w:rPr>
          <w:rFonts w:hint="eastAsia" w:ascii="宋体" w:hAnsi="宋体" w:eastAsia="宋体" w:cs="宋体"/>
          <w:i w:val="0"/>
          <w:iCs w:val="0"/>
          <w:color w:val="auto"/>
          <w:sz w:val="24"/>
        </w:rPr>
        <w:t>的法定代表人。</w:t>
      </w:r>
    </w:p>
    <w:p w14:paraId="561D5429">
      <w:pPr>
        <w:snapToGrid w:val="0"/>
        <w:spacing w:before="120" w:beforeLines="50" w:after="120" w:afterLines="50" w:line="360" w:lineRule="auto"/>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特此证明。</w:t>
      </w:r>
    </w:p>
    <w:p w14:paraId="597B684E">
      <w:pPr>
        <w:snapToGrid w:val="0"/>
        <w:spacing w:before="120" w:beforeLines="50" w:after="120" w:afterLines="50" w:line="360" w:lineRule="auto"/>
        <w:jc w:val="left"/>
        <w:rPr>
          <w:rFonts w:hint="eastAsia" w:ascii="宋体" w:hAnsi="宋体" w:eastAsia="宋体" w:cs="宋体"/>
          <w:i w:val="0"/>
          <w:iCs w:val="0"/>
          <w:color w:val="auto"/>
          <w:sz w:val="24"/>
        </w:rPr>
      </w:pPr>
    </w:p>
    <w:p w14:paraId="4A7AE0C1">
      <w:pPr>
        <w:snapToGrid w:val="0"/>
        <w:spacing w:before="120" w:beforeLines="50" w:after="120" w:afterLines="50" w:line="360" w:lineRule="auto"/>
        <w:ind w:firstLine="480" w:firstLineChars="2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附：法定代表人身份证复印件</w:t>
      </w:r>
    </w:p>
    <w:p w14:paraId="5C0FC00F">
      <w:pPr>
        <w:snapToGrid w:val="0"/>
        <w:spacing w:before="120" w:beforeLines="50" w:after="120" w:afterLines="50" w:line="360" w:lineRule="auto"/>
        <w:jc w:val="left"/>
        <w:rPr>
          <w:rFonts w:hint="eastAsia" w:ascii="宋体" w:hAnsi="宋体" w:eastAsia="宋体" w:cs="宋体"/>
          <w:i w:val="0"/>
          <w:iCs w:val="0"/>
          <w:color w:val="auto"/>
          <w:sz w:val="24"/>
        </w:rPr>
      </w:pPr>
    </w:p>
    <w:p w14:paraId="063A51B1">
      <w:pPr>
        <w:snapToGrid w:val="0"/>
        <w:spacing w:before="120" w:beforeLines="50" w:after="120" w:afterLines="50" w:line="360" w:lineRule="auto"/>
        <w:jc w:val="left"/>
        <w:rPr>
          <w:rFonts w:hint="eastAsia" w:ascii="宋体" w:hAnsi="宋体" w:eastAsia="宋体" w:cs="宋体"/>
          <w:i w:val="0"/>
          <w:iCs w:val="0"/>
          <w:color w:val="auto"/>
          <w:sz w:val="24"/>
        </w:rPr>
      </w:pPr>
    </w:p>
    <w:p w14:paraId="2005F398">
      <w:pPr>
        <w:snapToGrid w:val="0"/>
        <w:spacing w:before="120" w:beforeLines="50" w:after="120" w:afterLines="50" w:line="360" w:lineRule="auto"/>
        <w:jc w:val="left"/>
        <w:rPr>
          <w:rFonts w:hint="eastAsia" w:ascii="宋体" w:hAnsi="宋体" w:eastAsia="宋体" w:cs="宋体"/>
          <w:i w:val="0"/>
          <w:iCs w:val="0"/>
          <w:color w:val="auto"/>
          <w:sz w:val="24"/>
        </w:rPr>
      </w:pPr>
    </w:p>
    <w:p w14:paraId="735B24DA">
      <w:pPr>
        <w:snapToGrid w:val="0"/>
        <w:spacing w:before="120" w:beforeLines="50" w:after="120" w:afterLines="50" w:line="360" w:lineRule="auto"/>
        <w:ind w:firstLine="3360" w:firstLineChars="14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投标人：（盖章）</w:t>
      </w:r>
    </w:p>
    <w:p w14:paraId="26E6DC39">
      <w:pPr>
        <w:snapToGrid w:val="0"/>
        <w:spacing w:before="120" w:beforeLines="50" w:after="120" w:afterLines="50" w:line="360" w:lineRule="auto"/>
        <w:jc w:val="left"/>
        <w:rPr>
          <w:rFonts w:hint="eastAsia" w:ascii="宋体" w:hAnsi="宋体" w:eastAsia="宋体" w:cs="宋体"/>
          <w:i w:val="0"/>
          <w:iCs w:val="0"/>
          <w:color w:val="auto"/>
          <w:sz w:val="24"/>
        </w:rPr>
      </w:pPr>
    </w:p>
    <w:p w14:paraId="3A8F0BFC">
      <w:pPr>
        <w:snapToGrid w:val="0"/>
        <w:spacing w:before="120" w:beforeLines="50" w:after="120" w:afterLines="50" w:line="360" w:lineRule="auto"/>
        <w:ind w:firstLine="3360" w:firstLineChars="1400"/>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日期：年月日</w:t>
      </w:r>
    </w:p>
    <w:p w14:paraId="4E9FBE0C">
      <w:pPr>
        <w:snapToGrid w:val="0"/>
        <w:spacing w:before="120" w:beforeLines="50" w:after="120" w:afterLines="50" w:line="360" w:lineRule="auto"/>
        <w:jc w:val="left"/>
        <w:rPr>
          <w:rFonts w:hint="eastAsia" w:ascii="宋体" w:hAnsi="宋体" w:eastAsia="宋体" w:cs="宋体"/>
          <w:i w:val="0"/>
          <w:iCs w:val="0"/>
          <w:color w:val="auto"/>
          <w:sz w:val="24"/>
        </w:rPr>
      </w:pPr>
    </w:p>
    <w:p w14:paraId="5F6188E9">
      <w:pPr>
        <w:snapToGrid w:val="0"/>
        <w:spacing w:before="120" w:beforeLines="50" w:after="120" w:afterLines="50" w:line="360" w:lineRule="auto"/>
        <w:jc w:val="left"/>
        <w:rPr>
          <w:rFonts w:hint="eastAsia" w:ascii="宋体" w:hAnsi="宋体" w:eastAsia="宋体" w:cs="宋体"/>
          <w:i w:val="0"/>
          <w:iCs w:val="0"/>
          <w:color w:val="auto"/>
          <w:sz w:val="24"/>
        </w:rPr>
      </w:pPr>
    </w:p>
    <w:p w14:paraId="692041FB">
      <w:pPr>
        <w:snapToGrid w:val="0"/>
        <w:spacing w:before="120" w:beforeLines="50" w:after="120" w:afterLines="50" w:line="360" w:lineRule="auto"/>
        <w:jc w:val="left"/>
        <w:rPr>
          <w:rFonts w:hint="eastAsia" w:ascii="宋体" w:hAnsi="宋体" w:eastAsia="宋体" w:cs="宋体"/>
          <w:i w:val="0"/>
          <w:iCs w:val="0"/>
          <w:color w:val="auto"/>
          <w:sz w:val="24"/>
        </w:rPr>
      </w:pPr>
    </w:p>
    <w:p w14:paraId="75499980">
      <w:pPr>
        <w:spacing w:line="360" w:lineRule="auto"/>
        <w:jc w:val="center"/>
        <w:rPr>
          <w:rFonts w:hint="eastAsia" w:ascii="宋体" w:hAnsi="宋体" w:eastAsia="宋体" w:cs="宋体"/>
          <w:b/>
          <w:i w:val="0"/>
          <w:iCs w:val="0"/>
          <w:color w:val="auto"/>
          <w:sz w:val="30"/>
          <w:szCs w:val="30"/>
        </w:rPr>
      </w:pPr>
      <w:r>
        <w:rPr>
          <w:rFonts w:hint="eastAsia" w:ascii="宋体" w:hAnsi="宋体" w:eastAsia="宋体" w:cs="宋体"/>
          <w:b/>
          <w:i w:val="0"/>
          <w:iCs w:val="0"/>
          <w:color w:val="auto"/>
          <w:sz w:val="30"/>
          <w:szCs w:val="30"/>
          <w:lang w:eastAsia="zh-CN"/>
        </w:rPr>
        <w:t>（二）</w:t>
      </w:r>
      <w:r>
        <w:rPr>
          <w:rFonts w:hint="eastAsia" w:ascii="宋体" w:hAnsi="宋体" w:eastAsia="宋体" w:cs="宋体"/>
          <w:b/>
          <w:i w:val="0"/>
          <w:iCs w:val="0"/>
          <w:color w:val="auto"/>
          <w:sz w:val="30"/>
          <w:szCs w:val="30"/>
        </w:rPr>
        <w:t>法定代表人授权书</w:t>
      </w:r>
    </w:p>
    <w:p w14:paraId="3F8779AA">
      <w:pPr>
        <w:spacing w:line="360" w:lineRule="auto"/>
        <w:rPr>
          <w:rFonts w:hint="eastAsia" w:ascii="宋体" w:hAnsi="宋体" w:eastAsia="宋体" w:cs="宋体"/>
          <w:i w:val="0"/>
          <w:iCs w:val="0"/>
          <w:color w:val="auto"/>
          <w:sz w:val="24"/>
        </w:rPr>
      </w:pPr>
    </w:p>
    <w:p w14:paraId="6F7AA6A3">
      <w:pPr>
        <w:snapToGrid w:val="0"/>
        <w:spacing w:line="360" w:lineRule="auto"/>
        <w:ind w:firstLine="489" w:firstLineChars="204"/>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本人</w:t>
      </w:r>
      <w:r>
        <w:rPr>
          <w:rFonts w:hint="eastAsia" w:ascii="宋体" w:hAnsi="宋体" w:eastAsia="宋体" w:cs="宋体"/>
          <w:i w:val="0"/>
          <w:iCs w:val="0"/>
          <w:color w:val="auto"/>
          <w:sz w:val="24"/>
          <w:u w:val="single"/>
        </w:rPr>
        <w:t>（姓名）</w:t>
      </w:r>
      <w:r>
        <w:rPr>
          <w:rFonts w:hint="eastAsia" w:ascii="宋体" w:hAnsi="宋体" w:eastAsia="宋体" w:cs="宋体"/>
          <w:i w:val="0"/>
          <w:iCs w:val="0"/>
          <w:color w:val="auto"/>
          <w:sz w:val="24"/>
        </w:rPr>
        <w:t>系</w:t>
      </w:r>
      <w:r>
        <w:rPr>
          <w:rFonts w:hint="eastAsia" w:ascii="宋体" w:hAnsi="宋体" w:eastAsia="宋体" w:cs="宋体"/>
          <w:i w:val="0"/>
          <w:iCs w:val="0"/>
          <w:color w:val="auto"/>
          <w:sz w:val="24"/>
          <w:u w:val="single"/>
        </w:rPr>
        <w:t>（投标人名称）</w:t>
      </w:r>
      <w:r>
        <w:rPr>
          <w:rFonts w:hint="eastAsia" w:ascii="宋体" w:hAnsi="宋体" w:eastAsia="宋体" w:cs="宋体"/>
          <w:i w:val="0"/>
          <w:iCs w:val="0"/>
          <w:color w:val="auto"/>
          <w:sz w:val="24"/>
        </w:rPr>
        <w:t>的法定代表人，现委托</w:t>
      </w:r>
      <w:r>
        <w:rPr>
          <w:rFonts w:hint="eastAsia" w:ascii="宋体" w:hAnsi="宋体" w:eastAsia="宋体" w:cs="宋体"/>
          <w:i w:val="0"/>
          <w:iCs w:val="0"/>
          <w:color w:val="auto"/>
          <w:sz w:val="24"/>
          <w:u w:val="single"/>
        </w:rPr>
        <w:t>（姓名）</w:t>
      </w:r>
      <w:r>
        <w:rPr>
          <w:rFonts w:hint="eastAsia" w:ascii="宋体" w:hAnsi="宋体" w:eastAsia="宋体" w:cs="宋体"/>
          <w:i w:val="0"/>
          <w:iCs w:val="0"/>
          <w:color w:val="auto"/>
          <w:sz w:val="24"/>
        </w:rPr>
        <w:t>为我方代理人。代理人根据授权，以我方名义签署、澄清、说明、补正、递交、撤回、修改</w:t>
      </w:r>
      <w:r>
        <w:rPr>
          <w:rFonts w:hint="eastAsia" w:ascii="宋体" w:hAnsi="宋体" w:eastAsia="宋体" w:cs="宋体"/>
          <w:i w:val="0"/>
          <w:iCs w:val="0"/>
          <w:color w:val="auto"/>
          <w:sz w:val="24"/>
          <w:u w:val="single"/>
        </w:rPr>
        <w:t>（项目名称）</w:t>
      </w:r>
      <w:r>
        <w:rPr>
          <w:rFonts w:hint="eastAsia" w:ascii="宋体" w:hAnsi="宋体" w:eastAsia="宋体" w:cs="宋体"/>
          <w:i w:val="0"/>
          <w:iCs w:val="0"/>
          <w:color w:val="auto"/>
          <w:sz w:val="24"/>
        </w:rPr>
        <w:t>的投标文件、签订合同和处理有关事宜，其法律后果由我方承担。</w:t>
      </w:r>
    </w:p>
    <w:p w14:paraId="6031D866">
      <w:pPr>
        <w:snapToGrid w:val="0"/>
        <w:spacing w:line="360" w:lineRule="auto"/>
        <w:ind w:firstLine="516" w:firstLineChars="215"/>
        <w:jc w:val="left"/>
        <w:rPr>
          <w:rFonts w:hint="eastAsia" w:ascii="宋体" w:hAnsi="宋体" w:eastAsia="宋体" w:cs="宋体"/>
          <w:i w:val="0"/>
          <w:iCs w:val="0"/>
          <w:color w:val="auto"/>
          <w:sz w:val="24"/>
        </w:rPr>
      </w:pPr>
    </w:p>
    <w:p w14:paraId="555AE0BF">
      <w:pPr>
        <w:snapToGrid w:val="0"/>
        <w:spacing w:line="360" w:lineRule="auto"/>
        <w:ind w:firstLine="516" w:firstLineChars="215"/>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委托期限：投标截止之日起</w:t>
      </w:r>
      <w:r>
        <w:rPr>
          <w:rFonts w:hint="eastAsia" w:ascii="宋体" w:hAnsi="宋体" w:eastAsia="宋体" w:cs="宋体"/>
          <w:i w:val="0"/>
          <w:iCs w:val="0"/>
          <w:color w:val="auto"/>
          <w:sz w:val="24"/>
          <w:u w:val="single"/>
        </w:rPr>
        <w:t>90</w:t>
      </w:r>
      <w:r>
        <w:rPr>
          <w:rFonts w:hint="eastAsia" w:ascii="宋体" w:hAnsi="宋体" w:eastAsia="宋体" w:cs="宋体"/>
          <w:i w:val="0"/>
          <w:iCs w:val="0"/>
          <w:color w:val="auto"/>
          <w:sz w:val="24"/>
        </w:rPr>
        <w:t>日历天。</w:t>
      </w:r>
    </w:p>
    <w:p w14:paraId="48CD4DE6">
      <w:pPr>
        <w:snapToGrid w:val="0"/>
        <w:spacing w:line="360" w:lineRule="auto"/>
        <w:ind w:firstLine="516" w:firstLineChars="215"/>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代理人无转委托权。</w:t>
      </w:r>
    </w:p>
    <w:p w14:paraId="0FF9B914">
      <w:pPr>
        <w:snapToGrid w:val="0"/>
        <w:spacing w:line="360" w:lineRule="auto"/>
        <w:ind w:firstLine="516" w:firstLineChars="215"/>
        <w:jc w:val="left"/>
        <w:rPr>
          <w:rFonts w:hint="eastAsia" w:ascii="宋体" w:hAnsi="宋体" w:eastAsia="宋体" w:cs="宋体"/>
          <w:i w:val="0"/>
          <w:iCs w:val="0"/>
          <w:color w:val="auto"/>
          <w:sz w:val="24"/>
        </w:rPr>
      </w:pPr>
      <w:r>
        <w:rPr>
          <w:rFonts w:hint="eastAsia" w:ascii="宋体" w:hAnsi="宋体" w:eastAsia="宋体" w:cs="宋体"/>
          <w:i w:val="0"/>
          <w:iCs w:val="0"/>
          <w:color w:val="auto"/>
          <w:sz w:val="24"/>
        </w:rPr>
        <w:t>附：法定代表人及委托代理人身份证复印件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220"/>
      </w:tblGrid>
      <w:tr w14:paraId="2BAE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trPr>
        <w:tc>
          <w:tcPr>
            <w:tcW w:w="4219" w:type="dxa"/>
            <w:noWrap w:val="0"/>
            <w:vAlign w:val="top"/>
          </w:tcPr>
          <w:p w14:paraId="451378C7">
            <w:pPr>
              <w:snapToGrid w:val="0"/>
              <w:spacing w:line="360" w:lineRule="auto"/>
              <w:jc w:val="left"/>
              <w:rPr>
                <w:rFonts w:hint="eastAsia" w:ascii="宋体" w:hAnsi="宋体" w:eastAsia="宋体" w:cs="宋体"/>
                <w:i w:val="0"/>
                <w:iCs w:val="0"/>
                <w:color w:val="auto"/>
                <w:sz w:val="24"/>
              </w:rPr>
            </w:pPr>
          </w:p>
          <w:p w14:paraId="0876F5D7">
            <w:pPr>
              <w:snapToGrid w:val="0"/>
              <w:spacing w:line="360" w:lineRule="auto"/>
              <w:jc w:val="left"/>
              <w:rPr>
                <w:rFonts w:hint="eastAsia" w:ascii="宋体" w:hAnsi="宋体" w:eastAsia="宋体" w:cs="宋体"/>
                <w:i w:val="0"/>
                <w:iCs w:val="0"/>
                <w:color w:val="auto"/>
                <w:sz w:val="24"/>
              </w:rPr>
            </w:pPr>
          </w:p>
          <w:p w14:paraId="0F372521">
            <w:pPr>
              <w:snapToGrid w:val="0"/>
              <w:spacing w:line="360" w:lineRule="auto"/>
              <w:jc w:val="left"/>
              <w:rPr>
                <w:rFonts w:hint="eastAsia" w:ascii="宋体" w:hAnsi="宋体" w:eastAsia="宋体" w:cs="宋体"/>
                <w:i w:val="0"/>
                <w:iCs w:val="0"/>
                <w:color w:val="auto"/>
                <w:sz w:val="24"/>
              </w:rPr>
            </w:pPr>
          </w:p>
          <w:p w14:paraId="28D18092">
            <w:pPr>
              <w:snapToGrid w:val="0"/>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法定代表人身份证复印件（双面）</w:t>
            </w:r>
          </w:p>
          <w:p w14:paraId="370F9014">
            <w:pPr>
              <w:snapToGrid w:val="0"/>
              <w:spacing w:line="360" w:lineRule="auto"/>
              <w:jc w:val="left"/>
              <w:rPr>
                <w:rFonts w:hint="eastAsia" w:ascii="宋体" w:hAnsi="宋体" w:eastAsia="宋体" w:cs="宋体"/>
                <w:i w:val="0"/>
                <w:iCs w:val="0"/>
                <w:color w:val="auto"/>
                <w:sz w:val="24"/>
              </w:rPr>
            </w:pPr>
          </w:p>
          <w:p w14:paraId="22BD8F76">
            <w:pPr>
              <w:snapToGrid w:val="0"/>
              <w:spacing w:line="360" w:lineRule="auto"/>
              <w:jc w:val="left"/>
              <w:rPr>
                <w:rFonts w:hint="eastAsia" w:ascii="宋体" w:hAnsi="宋体" w:eastAsia="宋体" w:cs="宋体"/>
                <w:i w:val="0"/>
                <w:iCs w:val="0"/>
                <w:color w:val="auto"/>
                <w:sz w:val="24"/>
              </w:rPr>
            </w:pPr>
          </w:p>
          <w:p w14:paraId="09639799">
            <w:pPr>
              <w:snapToGrid w:val="0"/>
              <w:spacing w:line="360" w:lineRule="auto"/>
              <w:jc w:val="left"/>
              <w:rPr>
                <w:rFonts w:hint="eastAsia" w:ascii="宋体" w:hAnsi="宋体" w:eastAsia="宋体" w:cs="宋体"/>
                <w:i w:val="0"/>
                <w:iCs w:val="0"/>
                <w:color w:val="auto"/>
                <w:sz w:val="24"/>
              </w:rPr>
            </w:pPr>
          </w:p>
          <w:p w14:paraId="29DBA8AF">
            <w:pPr>
              <w:snapToGrid w:val="0"/>
              <w:spacing w:line="360" w:lineRule="auto"/>
              <w:jc w:val="center"/>
              <w:rPr>
                <w:rFonts w:hint="eastAsia" w:ascii="宋体" w:hAnsi="宋体" w:eastAsia="宋体" w:cs="宋体"/>
                <w:i w:val="0"/>
                <w:iCs w:val="0"/>
                <w:color w:val="auto"/>
                <w:sz w:val="24"/>
              </w:rPr>
            </w:pPr>
          </w:p>
        </w:tc>
        <w:tc>
          <w:tcPr>
            <w:tcW w:w="4220" w:type="dxa"/>
            <w:noWrap w:val="0"/>
            <w:vAlign w:val="top"/>
          </w:tcPr>
          <w:p w14:paraId="0BADA58F">
            <w:pPr>
              <w:snapToGrid w:val="0"/>
              <w:spacing w:line="360" w:lineRule="auto"/>
              <w:jc w:val="left"/>
              <w:rPr>
                <w:rFonts w:hint="eastAsia" w:ascii="宋体" w:hAnsi="宋体" w:eastAsia="宋体" w:cs="宋体"/>
                <w:i w:val="0"/>
                <w:iCs w:val="0"/>
                <w:color w:val="auto"/>
                <w:sz w:val="24"/>
              </w:rPr>
            </w:pPr>
          </w:p>
          <w:p w14:paraId="142E4325">
            <w:pPr>
              <w:snapToGrid w:val="0"/>
              <w:spacing w:line="360" w:lineRule="auto"/>
              <w:jc w:val="left"/>
              <w:rPr>
                <w:rFonts w:hint="eastAsia" w:ascii="宋体" w:hAnsi="宋体" w:eastAsia="宋体" w:cs="宋体"/>
                <w:i w:val="0"/>
                <w:iCs w:val="0"/>
                <w:color w:val="auto"/>
                <w:sz w:val="24"/>
              </w:rPr>
            </w:pPr>
          </w:p>
          <w:p w14:paraId="6062EB30">
            <w:pPr>
              <w:snapToGrid w:val="0"/>
              <w:spacing w:line="360" w:lineRule="auto"/>
              <w:jc w:val="left"/>
              <w:rPr>
                <w:rFonts w:hint="eastAsia" w:ascii="宋体" w:hAnsi="宋体" w:eastAsia="宋体" w:cs="宋体"/>
                <w:i w:val="0"/>
                <w:iCs w:val="0"/>
                <w:color w:val="auto"/>
                <w:sz w:val="24"/>
              </w:rPr>
            </w:pPr>
          </w:p>
          <w:p w14:paraId="694A067C">
            <w:pPr>
              <w:snapToGrid w:val="0"/>
              <w:spacing w:line="360" w:lineRule="auto"/>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委托代理人身份证复印件（双面）</w:t>
            </w:r>
          </w:p>
          <w:p w14:paraId="55D2B9A3">
            <w:pPr>
              <w:snapToGrid w:val="0"/>
              <w:spacing w:line="360" w:lineRule="auto"/>
              <w:jc w:val="left"/>
              <w:rPr>
                <w:rFonts w:hint="eastAsia" w:ascii="宋体" w:hAnsi="宋体" w:eastAsia="宋体" w:cs="宋体"/>
                <w:i w:val="0"/>
                <w:iCs w:val="0"/>
                <w:color w:val="auto"/>
                <w:sz w:val="24"/>
              </w:rPr>
            </w:pPr>
          </w:p>
          <w:p w14:paraId="221C02E9">
            <w:pPr>
              <w:snapToGrid w:val="0"/>
              <w:spacing w:line="360" w:lineRule="auto"/>
              <w:jc w:val="left"/>
              <w:rPr>
                <w:rFonts w:hint="eastAsia" w:ascii="宋体" w:hAnsi="宋体" w:eastAsia="宋体" w:cs="宋体"/>
                <w:i w:val="0"/>
                <w:iCs w:val="0"/>
                <w:color w:val="auto"/>
                <w:sz w:val="24"/>
              </w:rPr>
            </w:pPr>
          </w:p>
          <w:p w14:paraId="716029D3">
            <w:pPr>
              <w:snapToGrid w:val="0"/>
              <w:spacing w:line="360" w:lineRule="auto"/>
              <w:jc w:val="left"/>
              <w:rPr>
                <w:rFonts w:hint="eastAsia" w:ascii="宋体" w:hAnsi="宋体" w:eastAsia="宋体" w:cs="宋体"/>
                <w:i w:val="0"/>
                <w:iCs w:val="0"/>
                <w:color w:val="auto"/>
                <w:sz w:val="24"/>
              </w:rPr>
            </w:pPr>
          </w:p>
          <w:p w14:paraId="2331305A">
            <w:pPr>
              <w:snapToGrid w:val="0"/>
              <w:spacing w:line="360" w:lineRule="auto"/>
              <w:jc w:val="center"/>
              <w:rPr>
                <w:rFonts w:hint="eastAsia" w:ascii="宋体" w:hAnsi="宋体" w:eastAsia="宋体" w:cs="宋体"/>
                <w:i w:val="0"/>
                <w:iCs w:val="0"/>
                <w:color w:val="auto"/>
                <w:sz w:val="24"/>
              </w:rPr>
            </w:pPr>
          </w:p>
        </w:tc>
      </w:tr>
    </w:tbl>
    <w:p w14:paraId="4B5DE7BC">
      <w:pPr>
        <w:snapToGrid w:val="0"/>
        <w:spacing w:line="360" w:lineRule="auto"/>
        <w:jc w:val="left"/>
        <w:rPr>
          <w:rFonts w:hint="eastAsia" w:ascii="宋体" w:hAnsi="宋体" w:eastAsia="宋体" w:cs="宋体"/>
          <w:i w:val="0"/>
          <w:iCs w:val="0"/>
          <w:color w:val="auto"/>
          <w:sz w:val="24"/>
        </w:rPr>
      </w:pPr>
    </w:p>
    <w:p w14:paraId="369E0648">
      <w:pPr>
        <w:snapToGrid w:val="0"/>
        <w:spacing w:line="360" w:lineRule="auto"/>
        <w:ind w:firstLine="3120" w:firstLineChars="1300"/>
        <w:rPr>
          <w:rFonts w:hint="eastAsia" w:ascii="宋体" w:hAnsi="宋体" w:eastAsia="宋体" w:cs="宋体"/>
          <w:i w:val="0"/>
          <w:iCs w:val="0"/>
          <w:color w:val="auto"/>
          <w:sz w:val="24"/>
        </w:rPr>
      </w:pPr>
      <w:r>
        <w:rPr>
          <w:rFonts w:hint="eastAsia" w:ascii="宋体" w:hAnsi="宋体" w:eastAsia="宋体" w:cs="宋体"/>
          <w:i w:val="0"/>
          <w:iCs w:val="0"/>
          <w:color w:val="auto"/>
          <w:sz w:val="24"/>
        </w:rPr>
        <w:t>投标人：（盖章）</w:t>
      </w:r>
    </w:p>
    <w:p w14:paraId="22AB6317">
      <w:pPr>
        <w:snapToGrid w:val="0"/>
        <w:spacing w:line="360" w:lineRule="auto"/>
        <w:ind w:right="3" w:firstLine="3120" w:firstLineChars="1300"/>
        <w:rPr>
          <w:rFonts w:hint="eastAsia" w:ascii="宋体" w:hAnsi="宋体" w:eastAsia="宋体" w:cs="宋体"/>
          <w:i w:val="0"/>
          <w:iCs w:val="0"/>
          <w:color w:val="auto"/>
          <w:sz w:val="24"/>
        </w:rPr>
      </w:pPr>
      <w:r>
        <w:rPr>
          <w:rFonts w:hint="eastAsia" w:ascii="宋体" w:hAnsi="宋体" w:eastAsia="宋体" w:cs="宋体"/>
          <w:i w:val="0"/>
          <w:iCs w:val="0"/>
          <w:color w:val="auto"/>
          <w:sz w:val="24"/>
        </w:rPr>
        <w:t>法定代表人：（签字或盖章）</w:t>
      </w:r>
    </w:p>
    <w:p w14:paraId="419292FB">
      <w:pPr>
        <w:snapToGrid w:val="0"/>
        <w:spacing w:line="360" w:lineRule="auto"/>
        <w:ind w:right="280" w:firstLine="3120" w:firstLineChars="1300"/>
        <w:rPr>
          <w:rFonts w:hint="eastAsia" w:ascii="宋体" w:hAnsi="宋体" w:eastAsia="宋体" w:cs="宋体"/>
          <w:i w:val="0"/>
          <w:iCs w:val="0"/>
          <w:color w:val="auto"/>
          <w:sz w:val="24"/>
        </w:rPr>
      </w:pPr>
      <w:r>
        <w:rPr>
          <w:rFonts w:hint="eastAsia" w:ascii="宋体" w:hAnsi="宋体" w:eastAsia="宋体" w:cs="宋体"/>
          <w:i w:val="0"/>
          <w:iCs w:val="0"/>
          <w:color w:val="auto"/>
          <w:sz w:val="24"/>
        </w:rPr>
        <w:t>委托代理人：（签字或盖章）</w:t>
      </w:r>
    </w:p>
    <w:p w14:paraId="67B9B341">
      <w:pPr>
        <w:snapToGrid w:val="0"/>
        <w:spacing w:line="360" w:lineRule="auto"/>
        <w:ind w:right="480" w:firstLine="5280" w:firstLineChars="2200"/>
        <w:rPr>
          <w:rFonts w:hint="eastAsia" w:ascii="宋体" w:hAnsi="宋体" w:eastAsia="宋体" w:cs="宋体"/>
          <w:i w:val="0"/>
          <w:iCs w:val="0"/>
          <w:color w:val="auto"/>
          <w:sz w:val="24"/>
        </w:rPr>
      </w:pPr>
      <w:r>
        <w:rPr>
          <w:rFonts w:hint="eastAsia" w:ascii="宋体" w:hAnsi="宋体" w:eastAsia="宋体" w:cs="宋体"/>
          <w:i w:val="0"/>
          <w:iCs w:val="0"/>
          <w:color w:val="auto"/>
          <w:sz w:val="24"/>
        </w:rPr>
        <w:t>年月日</w:t>
      </w:r>
    </w:p>
    <w:p w14:paraId="2CCFD84E">
      <w:pPr>
        <w:snapToGrid w:val="0"/>
        <w:spacing w:line="360" w:lineRule="auto"/>
        <w:rPr>
          <w:rFonts w:hint="eastAsia" w:ascii="宋体" w:hAnsi="宋体" w:eastAsia="宋体" w:cs="宋体"/>
          <w:b/>
          <w:i w:val="0"/>
          <w:iCs w:val="0"/>
          <w:color w:val="auto"/>
          <w:sz w:val="24"/>
        </w:rPr>
      </w:pPr>
      <w:bookmarkStart w:id="267" w:name="_Toc192405688"/>
      <w:bookmarkStart w:id="268" w:name="_Toc192405237"/>
      <w:bookmarkStart w:id="269" w:name="_Toc192405078"/>
      <w:bookmarkStart w:id="270" w:name="_Toc192405349"/>
    </w:p>
    <w:p w14:paraId="52A1B93A">
      <w:pPr>
        <w:pStyle w:val="16"/>
        <w:rPr>
          <w:rFonts w:hint="eastAsia" w:ascii="宋体" w:hAnsi="宋体" w:eastAsia="宋体" w:cs="宋体"/>
          <w:b/>
          <w:i w:val="0"/>
          <w:iCs w:val="0"/>
          <w:color w:val="auto"/>
          <w:sz w:val="24"/>
        </w:rPr>
      </w:pPr>
    </w:p>
    <w:p w14:paraId="36714FDE">
      <w:pPr>
        <w:pStyle w:val="16"/>
        <w:rPr>
          <w:rFonts w:hint="eastAsia" w:ascii="宋体" w:hAnsi="宋体" w:eastAsia="宋体" w:cs="宋体"/>
          <w:b/>
          <w:i w:val="0"/>
          <w:iCs w:val="0"/>
          <w:color w:val="auto"/>
          <w:sz w:val="24"/>
        </w:rPr>
      </w:pPr>
    </w:p>
    <w:p w14:paraId="75DCA0A9">
      <w:pPr>
        <w:pageBreakBefore w:val="0"/>
        <w:kinsoku w:val="0"/>
        <w:bidi w:val="0"/>
        <w:spacing w:line="500" w:lineRule="exact"/>
        <w:jc w:val="center"/>
        <w:outlineLvl w:val="9"/>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r>
        <w:rPr>
          <w:rFonts w:hint="eastAsia" w:ascii="宋体" w:hAnsi="宋体" w:eastAsia="宋体" w:cs="宋体"/>
          <w:b/>
          <w:i w:val="0"/>
          <w:iCs w:val="0"/>
          <w:color w:val="auto"/>
          <w:sz w:val="32"/>
        </w:rPr>
        <w:br w:type="column"/>
      </w:r>
      <w:bookmarkStart w:id="271" w:name="OLE_LINK6"/>
      <w:r>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t>三、服务响应偏离表</w:t>
      </w:r>
    </w:p>
    <w:bookmarkEnd w:id="271"/>
    <w:p w14:paraId="52221F16">
      <w:pPr>
        <w:pageBreakBefore w:val="0"/>
        <w:kinsoku w:val="0"/>
        <w:bidi w:val="0"/>
        <w:spacing w:line="500" w:lineRule="exact"/>
        <w:ind w:firstLine="120" w:firstLineChars="50"/>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616C7E68">
      <w:pPr>
        <w:pageBreakBefore w:val="0"/>
        <w:kinsoku w:val="0"/>
        <w:bidi w:val="0"/>
        <w:spacing w:line="500" w:lineRule="exact"/>
        <w:ind w:firstLine="120" w:firstLineChars="50"/>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tbl>
      <w:tblPr>
        <w:tblStyle w:val="22"/>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6AD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35E3DE68">
            <w:pPr>
              <w:pageBreakBefore w:val="0"/>
              <w:tabs>
                <w:tab w:val="left" w:pos="6300"/>
              </w:tabs>
              <w:kinsoku/>
              <w:overflowPunct/>
              <w:topLinePunct w:val="0"/>
              <w:bidi w:val="0"/>
              <w:snapToGrid w:val="0"/>
              <w:spacing w:beforeLines="0" w:line="240" w:lineRule="auto"/>
              <w:ind w:left="0" w:leftChars="0" w:firstLine="0" w:firstLineChars="0"/>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72" w:name="_Toc30887"/>
            <w:bookmarkStart w:id="273" w:name="_Toc32204"/>
            <w:bookmarkStart w:id="274" w:name="_Toc32036"/>
            <w:bookmarkStart w:id="275" w:name="_Toc27032"/>
            <w:bookmarkStart w:id="276" w:name="_Toc2285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bookmarkEnd w:id="272"/>
            <w:bookmarkEnd w:id="273"/>
            <w:bookmarkEnd w:id="274"/>
            <w:bookmarkEnd w:id="275"/>
            <w:bookmarkEnd w:id="276"/>
          </w:p>
        </w:tc>
        <w:tc>
          <w:tcPr>
            <w:tcW w:w="2658" w:type="dxa"/>
            <w:noWrap w:val="0"/>
            <w:vAlign w:val="center"/>
          </w:tcPr>
          <w:p w14:paraId="21E4BFA2">
            <w:pPr>
              <w:pageBreakBefore w:val="0"/>
              <w:tabs>
                <w:tab w:val="left" w:pos="6300"/>
              </w:tabs>
              <w:kinsoku/>
              <w:overflowPunct/>
              <w:topLinePunct w:val="0"/>
              <w:bidi w:val="0"/>
              <w:snapToGrid w:val="0"/>
              <w:spacing w:beforeLines="0" w:line="240" w:lineRule="auto"/>
              <w:ind w:left="0" w:leftChars="0" w:firstLine="0" w:firstLineChars="0"/>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77" w:name="_Toc625"/>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bookmarkEnd w:id="277"/>
          </w:p>
        </w:tc>
        <w:tc>
          <w:tcPr>
            <w:tcW w:w="2759" w:type="dxa"/>
            <w:noWrap w:val="0"/>
            <w:vAlign w:val="center"/>
          </w:tcPr>
          <w:p w14:paraId="4839ECC6">
            <w:pPr>
              <w:pageBreakBefore w:val="0"/>
              <w:tabs>
                <w:tab w:val="left" w:pos="6300"/>
              </w:tabs>
              <w:kinsoku/>
              <w:overflowPunct/>
              <w:topLinePunct w:val="0"/>
              <w:bidi w:val="0"/>
              <w:snapToGrid w:val="0"/>
              <w:spacing w:beforeLines="0" w:line="240" w:lineRule="auto"/>
              <w:ind w:left="0" w:leftChars="0" w:firstLine="0" w:firstLineChars="0"/>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78" w:name="_Toc25855"/>
            <w:bookmarkStart w:id="279" w:name="_Toc14290"/>
            <w:bookmarkStart w:id="280" w:name="_Toc20997"/>
            <w:bookmarkStart w:id="281" w:name="_Toc7585"/>
            <w:bookmarkStart w:id="282" w:name="_Toc2528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响应情况</w:t>
            </w:r>
            <w:bookmarkEnd w:id="278"/>
            <w:bookmarkEnd w:id="279"/>
            <w:bookmarkEnd w:id="280"/>
            <w:bookmarkEnd w:id="281"/>
            <w:bookmarkEnd w:id="282"/>
          </w:p>
        </w:tc>
        <w:tc>
          <w:tcPr>
            <w:tcW w:w="2067" w:type="dxa"/>
            <w:noWrap w:val="0"/>
            <w:vAlign w:val="center"/>
          </w:tcPr>
          <w:p w14:paraId="72289BC9">
            <w:pPr>
              <w:pageBreakBefore w:val="0"/>
              <w:tabs>
                <w:tab w:val="left" w:pos="6300"/>
              </w:tabs>
              <w:kinsoku/>
              <w:overflowPunct/>
              <w:topLinePunct w:val="0"/>
              <w:bidi w:val="0"/>
              <w:snapToGrid w:val="0"/>
              <w:spacing w:beforeLines="0" w:line="240" w:lineRule="auto"/>
              <w:ind w:left="0" w:leftChars="0" w:firstLine="0" w:firstLineChars="0"/>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83" w:name="_Toc2400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偏离情况</w:t>
            </w:r>
            <w:bookmarkEnd w:id="283"/>
          </w:p>
        </w:tc>
      </w:tr>
      <w:tr w14:paraId="7433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A1BDACB">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6D7EFB7A">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1322EAC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616F223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73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37A35E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5C81B4FE">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3709899F">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1EAFD6BE">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EE9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430FB9F">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3E8BDA21">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5408148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00BEE34A">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E9E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1A8F863">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28774EB3">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1DF6C37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05C9810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D7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05583F">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291E35B1">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3D99CCDB">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34DF810B">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16C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8C6BD20">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3EE406D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4B077FE8">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532D2F30">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4DA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A8A4A41">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719FD405">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33FEFBD3">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6671B134">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7E3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D02A1AC">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10AFCD7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4D259F7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13E1B2E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2BC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9F201F9">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58" w:type="dxa"/>
            <w:noWrap w:val="0"/>
            <w:vAlign w:val="center"/>
          </w:tcPr>
          <w:p w14:paraId="46BAABB0">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759" w:type="dxa"/>
            <w:noWrap w:val="0"/>
            <w:vAlign w:val="center"/>
          </w:tcPr>
          <w:p w14:paraId="300644E3">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67" w:type="dxa"/>
            <w:noWrap w:val="0"/>
            <w:vAlign w:val="center"/>
          </w:tcPr>
          <w:p w14:paraId="7E066E2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1394C3E">
      <w:pPr>
        <w:pageBreakBefore w:val="0"/>
        <w:autoSpaceDE w:val="0"/>
        <w:autoSpaceDN w:val="0"/>
        <w:bidi w:val="0"/>
        <w:adjustRightInd w:val="0"/>
        <w:spacing w:line="360" w:lineRule="auto"/>
        <w:ind w:firstLine="420" w:firstLineChars="200"/>
        <w:outlineLvl w:val="9"/>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请按项目的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服务内容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，逐条对应招标文件的“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内容及要求”，认真填写本表。偏离情况填写：</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正偏离</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负偏离、无偏离</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，偏离说明对偏离情况做出详细说明</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。如果不填写此表，则默认为无偏离。</w:t>
      </w:r>
    </w:p>
    <w:p w14:paraId="347FCBBC">
      <w:pPr>
        <w:pageBreakBefore w:val="0"/>
        <w:bidi w:val="0"/>
        <w:spacing w:line="480" w:lineRule="exact"/>
        <w:outlineLvl w:val="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58E339DE">
      <w:pPr>
        <w:pageBreakBefore w:val="0"/>
        <w:bidi w:val="0"/>
        <w:spacing w:line="480" w:lineRule="exact"/>
        <w:outlineLvl w:val="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56FBD5CB">
      <w:pPr>
        <w:pStyle w:val="12"/>
        <w:pageBreakBefore w:val="0"/>
        <w:bidi w:val="0"/>
        <w:ind w:firstLine="48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093C7468">
      <w:pPr>
        <w:pStyle w:val="12"/>
        <w:pageBreakBefore w:val="0"/>
        <w:bidi w:val="0"/>
        <w:ind w:firstLine="48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9C91A72">
      <w:pPr>
        <w:pStyle w:val="12"/>
        <w:pageBreakBefore w:val="0"/>
        <w:bidi w:val="0"/>
        <w:ind w:firstLine="480"/>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法定代表人/被授权人（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签字或盖章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10F8EEB9">
      <w:pPr>
        <w:pStyle w:val="14"/>
        <w:pageBreakBefore w:val="0"/>
        <w:bidi w:val="0"/>
        <w:ind w:left="0" w:leftChars="0" w:firstLine="0" w:firstLineChars="0"/>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E191FA0">
      <w:pPr>
        <w:snapToGrid w:val="0"/>
        <w:spacing w:line="360" w:lineRule="auto"/>
        <w:ind w:right="480" w:firstLine="4320" w:firstLineChars="1800"/>
        <w:rPr>
          <w:rFonts w:hint="eastAsia" w:ascii="宋体" w:hAnsi="宋体" w:eastAsia="宋体" w:cs="宋体"/>
          <w:i w:val="0"/>
          <w:iCs w:val="0"/>
          <w:color w:val="auto"/>
          <w:sz w:val="24"/>
        </w:rPr>
      </w:pPr>
      <w:r>
        <w:rPr>
          <w:rFonts w:hint="eastAsia" w:ascii="宋体" w:hAnsi="宋体" w:eastAsia="宋体" w:cs="宋体"/>
          <w:i w:val="0"/>
          <w:iCs w:val="0"/>
          <w:color w:val="auto"/>
          <w:sz w:val="24"/>
        </w:rPr>
        <w:t>年</w:t>
      </w:r>
      <w:r>
        <w:rPr>
          <w:rFonts w:hint="eastAsia" w:ascii="宋体" w:hAnsi="宋体" w:cs="宋体"/>
          <w:i w:val="0"/>
          <w:iCs w:val="0"/>
          <w:color w:val="auto"/>
          <w:sz w:val="24"/>
          <w:lang w:val="en-US" w:eastAsia="zh-CN"/>
        </w:rPr>
        <w:t xml:space="preserve">  </w:t>
      </w:r>
      <w:r>
        <w:rPr>
          <w:rFonts w:hint="eastAsia" w:ascii="宋体" w:hAnsi="宋体" w:eastAsia="宋体" w:cs="宋体"/>
          <w:i w:val="0"/>
          <w:iCs w:val="0"/>
          <w:color w:val="auto"/>
          <w:sz w:val="24"/>
        </w:rPr>
        <w:t>月</w:t>
      </w:r>
      <w:r>
        <w:rPr>
          <w:rFonts w:hint="eastAsia" w:ascii="宋体" w:hAnsi="宋体" w:cs="宋体"/>
          <w:i w:val="0"/>
          <w:iCs w:val="0"/>
          <w:color w:val="auto"/>
          <w:sz w:val="24"/>
          <w:lang w:val="en-US" w:eastAsia="zh-CN"/>
        </w:rPr>
        <w:t xml:space="preserve">  </w:t>
      </w:r>
      <w:r>
        <w:rPr>
          <w:rFonts w:hint="eastAsia" w:ascii="宋体" w:hAnsi="宋体" w:eastAsia="宋体" w:cs="宋体"/>
          <w:i w:val="0"/>
          <w:iCs w:val="0"/>
          <w:color w:val="auto"/>
          <w:sz w:val="24"/>
        </w:rPr>
        <w:t>日</w:t>
      </w:r>
    </w:p>
    <w:p w14:paraId="107CB42D">
      <w:pPr>
        <w:pStyle w:val="14"/>
        <w:pageBreakBefore w:val="0"/>
        <w:bidi w:val="0"/>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sectPr>
          <w:headerReference r:id="rId15" w:type="first"/>
          <w:footerReference r:id="rId17" w:type="first"/>
          <w:headerReference r:id="rId14" w:type="default"/>
          <w:footerReference r:id="rId16" w:type="default"/>
          <w:pgSz w:w="11906" w:h="16838"/>
          <w:pgMar w:top="1440" w:right="1080" w:bottom="1440" w:left="1080" w:header="1077" w:footer="1077" w:gutter="0"/>
          <w:pgBorders>
            <w:top w:val="none" w:sz="0" w:space="0"/>
            <w:left w:val="none" w:sz="0" w:space="0"/>
            <w:bottom w:val="none" w:sz="0" w:space="0"/>
            <w:right w:val="none" w:sz="0" w:space="0"/>
          </w:pgBorders>
          <w:pgNumType w:fmt="decimal"/>
          <w:cols w:space="425" w:num="1"/>
          <w:titlePg/>
          <w:docGrid w:type="lines" w:linePitch="312" w:charSpace="0"/>
        </w:sectPr>
      </w:pPr>
    </w:p>
    <w:p w14:paraId="01FCA1B7">
      <w:pPr>
        <w:pageBreakBefore w:val="0"/>
        <w:bidi w:val="0"/>
        <w:adjustRightInd w:val="0"/>
        <w:snapToGrid w:val="0"/>
        <w:spacing w:line="360" w:lineRule="auto"/>
        <w:jc w:val="center"/>
        <w:outlineLvl w:val="9"/>
        <w:rPr>
          <w:rFonts w:hint="eastAsia" w:asciiTheme="minorEastAsia" w:hAnsiTheme="minorEastAsia" w:eastAsiaTheme="minorEastAsia" w:cstheme="minorEastAsia"/>
          <w:b/>
          <w:color w:val="000000" w:themeColor="text1"/>
          <w:sz w:val="32"/>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sz w:val="32"/>
          <w:szCs w:val="21"/>
          <w:highlight w:val="none"/>
          <w14:textFill>
            <w14:solidFill>
              <w14:schemeClr w14:val="tx1"/>
            </w14:solidFill>
          </w14:textFill>
        </w:rPr>
        <w:t>合同主要条款响应说明</w:t>
      </w:r>
    </w:p>
    <w:p w14:paraId="2EFD18BD">
      <w:pPr>
        <w:pageBreakBefore w:val="0"/>
        <w:kinsoku w:val="0"/>
        <w:bidi w:val="0"/>
        <w:spacing w:line="500" w:lineRule="exact"/>
        <w:ind w:firstLine="120" w:firstLineChars="50"/>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082AEF90">
      <w:pPr>
        <w:pageBreakBefore w:val="0"/>
        <w:kinsoku w:val="0"/>
        <w:bidi w:val="0"/>
        <w:spacing w:line="500" w:lineRule="exact"/>
        <w:ind w:firstLine="120" w:firstLineChars="50"/>
        <w:outlineLvl w:val="9"/>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 xml:space="preserve">                        </w:t>
      </w:r>
    </w:p>
    <w:tbl>
      <w:tblPr>
        <w:tblStyle w:val="22"/>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010F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B54B2FD">
            <w:pPr>
              <w:pageBreakBefore w:val="0"/>
              <w:bidi w:val="0"/>
              <w:spacing w:line="560" w:lineRule="exact"/>
              <w:ind w:right="-168" w:rightChars="-80" w:firstLine="120" w:firstLineChars="50"/>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3451" w:type="dxa"/>
            <w:vAlign w:val="center"/>
          </w:tcPr>
          <w:p w14:paraId="3C0583F6">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招标文件要求</w:t>
            </w:r>
          </w:p>
        </w:tc>
        <w:tc>
          <w:tcPr>
            <w:tcW w:w="3015" w:type="dxa"/>
            <w:vAlign w:val="center"/>
          </w:tcPr>
          <w:p w14:paraId="32EB7C57">
            <w:pPr>
              <w:pageBreakBefore w:val="0"/>
              <w:bidi w:val="0"/>
              <w:spacing w:line="560" w:lineRule="exact"/>
              <w:ind w:right="-168" w:rightChars="-80" w:firstLine="360" w:firstLineChars="150"/>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投标文件实际数据</w:t>
            </w:r>
          </w:p>
        </w:tc>
        <w:tc>
          <w:tcPr>
            <w:tcW w:w="1881" w:type="dxa"/>
            <w:vAlign w:val="center"/>
          </w:tcPr>
          <w:p w14:paraId="769C566B">
            <w:pPr>
              <w:pageBreakBefore w:val="0"/>
              <w:bidi w:val="0"/>
              <w:spacing w:line="560" w:lineRule="exact"/>
              <w:ind w:right="-168" w:rightChars="-80" w:firstLine="360" w:firstLineChars="150"/>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响应说明</w:t>
            </w:r>
          </w:p>
        </w:tc>
      </w:tr>
      <w:tr w14:paraId="53EB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0DF3486">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2132C24C">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646277E3">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37CEBA77">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4E67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C2F3E0D">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6178B49D">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4E3F2A76">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6F54A320">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6002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D67A0DD">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5BF56A0A">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7592B990">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53DC1666">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1AE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09F02BC">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4EDE08B9">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7E6E7631">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1CC39456">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628F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BE14E3B">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28A78028">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110B1E9D">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6A7FB0E5">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0D1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E5A23A1">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18794834">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5762E79A">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59F84E04">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5243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65694DE">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202D924C">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73776125">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51E45F38">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2B60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F7E846C">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71957994">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0144449F">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5C33823A">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0D78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91E72A5">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2C1EDBD9">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0466B276">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6965B6EF">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02C2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C2D4382">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5D2ACBC7">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3053B8E6">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2587F890">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7CBF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87E3C3E">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5E5E15BD">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5E318E41">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26FFC55A">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3716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CD02B82">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51" w:type="dxa"/>
            <w:vAlign w:val="center"/>
          </w:tcPr>
          <w:p w14:paraId="2BE9FB99">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015" w:type="dxa"/>
            <w:vAlign w:val="center"/>
          </w:tcPr>
          <w:p w14:paraId="511D2CDF">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81" w:type="dxa"/>
            <w:vAlign w:val="center"/>
          </w:tcPr>
          <w:p w14:paraId="0690B146">
            <w:pPr>
              <w:pageBreakBefore w:val="0"/>
              <w:bidi w:val="0"/>
              <w:spacing w:line="560" w:lineRule="exact"/>
              <w:ind w:right="-168" w:rightChars="-80"/>
              <w:jc w:val="center"/>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14:paraId="63F4CB27">
      <w:pPr>
        <w:pageBreakBefore w:val="0"/>
        <w:autoSpaceDE w:val="0"/>
        <w:autoSpaceDN w:val="0"/>
        <w:bidi w:val="0"/>
        <w:adjustRightInd w:val="0"/>
        <w:spacing w:line="360" w:lineRule="auto"/>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p>
    <w:p w14:paraId="061A4103">
      <w:pPr>
        <w:pageBreakBefore w:val="0"/>
        <w:autoSpaceDE w:val="0"/>
        <w:autoSpaceDN w:val="0"/>
        <w:bidi w:val="0"/>
        <w:adjustRightInd w:val="0"/>
        <w:spacing w:line="360" w:lineRule="auto"/>
        <w:ind w:firstLine="480" w:firstLineChars="200"/>
        <w:outlineLvl w:val="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1、投标文件根据第四部分合同主要条款如实填写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响应说明填写：</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正偏离</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负偏离、无偏离。如果不填写此表，则默认为无偏离</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32B75AA1">
      <w:pPr>
        <w:pStyle w:val="12"/>
        <w:pageBreakBefore w:val="0"/>
        <w:bidi w:val="0"/>
        <w:ind w:firstLine="48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7747FC33">
      <w:pPr>
        <w:pStyle w:val="12"/>
        <w:pageBreakBefore w:val="0"/>
        <w:bidi w:val="0"/>
        <w:ind w:firstLine="480"/>
        <w:outlineLvl w:val="9"/>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法定代表人/被授权人（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签字或盖章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p>
    <w:p w14:paraId="74FFD266">
      <w:pPr>
        <w:pStyle w:val="14"/>
        <w:pageBreakBefore w:val="0"/>
        <w:bidi w:val="0"/>
        <w:ind w:left="0" w:leftChars="0" w:firstLine="0" w:firstLineChars="0"/>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25BF07B">
      <w:pPr>
        <w:snapToGrid w:val="0"/>
        <w:spacing w:line="360" w:lineRule="auto"/>
        <w:ind w:right="480" w:firstLine="4320" w:firstLineChars="1800"/>
        <w:rPr>
          <w:rFonts w:hint="eastAsia" w:ascii="宋体" w:hAnsi="宋体" w:eastAsia="宋体" w:cs="宋体"/>
          <w:i w:val="0"/>
          <w:iCs w:val="0"/>
          <w:color w:val="auto"/>
          <w:sz w:val="24"/>
        </w:rPr>
      </w:pPr>
      <w:r>
        <w:rPr>
          <w:rFonts w:hint="eastAsia" w:ascii="宋体" w:hAnsi="宋体" w:eastAsia="宋体" w:cs="宋体"/>
          <w:i w:val="0"/>
          <w:iCs w:val="0"/>
          <w:color w:val="auto"/>
          <w:sz w:val="24"/>
        </w:rPr>
        <w:t>年</w:t>
      </w:r>
      <w:r>
        <w:rPr>
          <w:rFonts w:hint="eastAsia" w:ascii="宋体" w:hAnsi="宋体" w:cs="宋体"/>
          <w:i w:val="0"/>
          <w:iCs w:val="0"/>
          <w:color w:val="auto"/>
          <w:sz w:val="24"/>
          <w:lang w:val="en-US" w:eastAsia="zh-CN"/>
        </w:rPr>
        <w:t xml:space="preserve">  </w:t>
      </w:r>
      <w:r>
        <w:rPr>
          <w:rFonts w:hint="eastAsia" w:ascii="宋体" w:hAnsi="宋体" w:eastAsia="宋体" w:cs="宋体"/>
          <w:i w:val="0"/>
          <w:iCs w:val="0"/>
          <w:color w:val="auto"/>
          <w:sz w:val="24"/>
        </w:rPr>
        <w:t>月</w:t>
      </w:r>
      <w:r>
        <w:rPr>
          <w:rFonts w:hint="eastAsia" w:ascii="宋体" w:hAnsi="宋体" w:cs="宋体"/>
          <w:i w:val="0"/>
          <w:iCs w:val="0"/>
          <w:color w:val="auto"/>
          <w:sz w:val="24"/>
          <w:lang w:val="en-US" w:eastAsia="zh-CN"/>
        </w:rPr>
        <w:t xml:space="preserve">  </w:t>
      </w:r>
      <w:r>
        <w:rPr>
          <w:rFonts w:hint="eastAsia" w:ascii="宋体" w:hAnsi="宋体" w:eastAsia="宋体" w:cs="宋体"/>
          <w:i w:val="0"/>
          <w:iCs w:val="0"/>
          <w:color w:val="auto"/>
          <w:sz w:val="24"/>
        </w:rPr>
        <w:t>日</w:t>
      </w:r>
    </w:p>
    <w:p w14:paraId="4449B9E4">
      <w:pPr>
        <w:pStyle w:val="14"/>
        <w:pageBreakBefore w:val="0"/>
        <w:bidi w:val="0"/>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sectPr>
          <w:headerReference r:id="rId19" w:type="first"/>
          <w:footerReference r:id="rId21" w:type="first"/>
          <w:headerReference r:id="rId18" w:type="default"/>
          <w:footerReference r:id="rId20" w:type="default"/>
          <w:pgSz w:w="11906" w:h="16838"/>
          <w:pgMar w:top="1440" w:right="1080" w:bottom="1440" w:left="1080" w:header="1077" w:footer="1077" w:gutter="0"/>
          <w:pgBorders>
            <w:top w:val="none" w:sz="0" w:space="0"/>
            <w:left w:val="none" w:sz="0" w:space="0"/>
            <w:bottom w:val="none" w:sz="0" w:space="0"/>
            <w:right w:val="none" w:sz="0" w:space="0"/>
          </w:pgBorders>
          <w:pgNumType w:fmt="decimal"/>
          <w:cols w:space="425" w:num="1"/>
          <w:titlePg/>
          <w:docGrid w:type="lines" w:linePitch="312" w:charSpace="0"/>
        </w:sectPr>
      </w:pPr>
    </w:p>
    <w:p w14:paraId="45C39608">
      <w:pPr>
        <w:numPr>
          <w:ilvl w:val="0"/>
          <w:numId w:val="0"/>
        </w:numPr>
        <w:ind w:leftChars="0"/>
        <w:jc w:val="center"/>
        <w:rPr>
          <w:rFonts w:hint="eastAsia" w:ascii="宋体" w:hAnsi="宋体" w:eastAsia="宋体" w:cs="宋体"/>
          <w:b/>
          <w:i w:val="0"/>
          <w:iCs w:val="0"/>
          <w:color w:val="auto"/>
          <w:sz w:val="32"/>
        </w:rPr>
      </w:pPr>
      <w:r>
        <w:rPr>
          <w:rFonts w:hint="eastAsia" w:ascii="宋体" w:hAnsi="宋体" w:cs="宋体"/>
          <w:b/>
          <w:i w:val="0"/>
          <w:iCs w:val="0"/>
          <w:color w:val="auto"/>
          <w:sz w:val="32"/>
          <w:lang w:val="en-US" w:eastAsia="zh-CN"/>
        </w:rPr>
        <w:t>五、</w:t>
      </w:r>
      <w:r>
        <w:rPr>
          <w:rFonts w:hint="eastAsia" w:ascii="宋体" w:hAnsi="宋体" w:cs="宋体"/>
          <w:b/>
          <w:i w:val="0"/>
          <w:iCs w:val="0"/>
          <w:color w:val="auto"/>
          <w:sz w:val="32"/>
          <w:lang w:eastAsia="zh-CN"/>
        </w:rPr>
        <w:t>资格证明资料</w:t>
      </w:r>
    </w:p>
    <w:p w14:paraId="529BC0A1">
      <w:pPr>
        <w:rPr>
          <w:rFonts w:hint="eastAsia" w:ascii="宋体" w:hAnsi="宋体" w:eastAsia="宋体" w:cs="宋体"/>
          <w:b/>
          <w:i w:val="0"/>
          <w:iCs w:val="0"/>
          <w:color w:val="auto"/>
          <w:sz w:val="32"/>
        </w:rPr>
      </w:pPr>
      <w:r>
        <w:rPr>
          <w:rFonts w:hint="eastAsia" w:ascii="宋体" w:hAnsi="宋体" w:cs="宋体"/>
          <w:b/>
          <w:i w:val="0"/>
          <w:iCs w:val="0"/>
          <w:color w:val="auto"/>
          <w:sz w:val="32"/>
          <w:lang w:eastAsia="zh-CN"/>
        </w:rPr>
        <w:br w:type="page"/>
      </w:r>
    </w:p>
    <w:bookmarkEnd w:id="263"/>
    <w:bookmarkEnd w:id="264"/>
    <w:bookmarkEnd w:id="265"/>
    <w:bookmarkEnd w:id="266"/>
    <w:bookmarkEnd w:id="267"/>
    <w:bookmarkEnd w:id="268"/>
    <w:bookmarkEnd w:id="269"/>
    <w:bookmarkEnd w:id="270"/>
    <w:p w14:paraId="6E45DEC7">
      <w:pPr>
        <w:spacing w:line="276" w:lineRule="auto"/>
        <w:jc w:val="center"/>
        <w:rPr>
          <w:rFonts w:hint="default" w:ascii="宋体" w:hAnsi="宋体" w:eastAsia="宋体" w:cs="宋体"/>
          <w:b/>
          <w:bCs w:val="0"/>
          <w:i w:val="0"/>
          <w:iCs w:val="0"/>
          <w:color w:val="auto"/>
          <w:sz w:val="32"/>
          <w:szCs w:val="32"/>
          <w:lang w:val="en-US" w:eastAsia="zh-CN"/>
        </w:rPr>
      </w:pPr>
      <w:r>
        <w:rPr>
          <w:rFonts w:hint="eastAsia" w:ascii="宋体" w:hAnsi="宋体" w:cs="宋体"/>
          <w:b/>
          <w:bCs w:val="0"/>
          <w:i w:val="0"/>
          <w:iCs w:val="0"/>
          <w:color w:val="auto"/>
          <w:sz w:val="32"/>
          <w:szCs w:val="32"/>
          <w:lang w:val="en-US" w:eastAsia="zh-CN"/>
        </w:rPr>
        <w:t>六</w:t>
      </w:r>
      <w:r>
        <w:rPr>
          <w:rFonts w:hint="eastAsia" w:ascii="宋体" w:hAnsi="宋体" w:eastAsia="宋体" w:cs="宋体"/>
          <w:b/>
          <w:bCs w:val="0"/>
          <w:i w:val="0"/>
          <w:iCs w:val="0"/>
          <w:color w:val="auto"/>
          <w:sz w:val="32"/>
          <w:szCs w:val="32"/>
          <w:lang w:eastAsia="zh-CN"/>
        </w:rPr>
        <w:t>、商务</w:t>
      </w:r>
      <w:r>
        <w:rPr>
          <w:rFonts w:hint="eastAsia" w:ascii="宋体" w:hAnsi="宋体" w:cs="宋体"/>
          <w:b/>
          <w:bCs w:val="0"/>
          <w:i w:val="0"/>
          <w:iCs w:val="0"/>
          <w:color w:val="auto"/>
          <w:sz w:val="32"/>
          <w:szCs w:val="32"/>
          <w:lang w:val="en-US" w:eastAsia="zh-CN"/>
        </w:rPr>
        <w:t>部分</w:t>
      </w:r>
    </w:p>
    <w:p w14:paraId="795163C6">
      <w:pPr>
        <w:spacing w:line="276" w:lineRule="auto"/>
        <w:jc w:val="left"/>
        <w:rPr>
          <w:rFonts w:hint="eastAsia" w:ascii="宋体" w:hAnsi="宋体" w:eastAsia="宋体" w:cs="宋体"/>
          <w:b/>
          <w:bCs w:val="0"/>
          <w:i w:val="0"/>
          <w:iCs w:val="0"/>
          <w:color w:val="auto"/>
          <w:sz w:val="32"/>
          <w:szCs w:val="32"/>
          <w:lang w:val="en-US" w:eastAsia="zh-CN"/>
        </w:rPr>
      </w:pPr>
      <w:r>
        <w:rPr>
          <w:rFonts w:hint="eastAsia" w:ascii="宋体" w:hAnsi="宋体" w:eastAsia="宋体" w:cs="宋体"/>
          <w:b/>
          <w:bCs w:val="0"/>
          <w:i w:val="0"/>
          <w:iCs w:val="0"/>
          <w:color w:val="auto"/>
          <w:sz w:val="32"/>
          <w:szCs w:val="32"/>
          <w:lang w:eastAsia="zh-CN"/>
        </w:rPr>
        <w:t>1）相关证书</w:t>
      </w:r>
      <w:r>
        <w:rPr>
          <w:rFonts w:hint="eastAsia" w:ascii="宋体" w:hAnsi="宋体" w:eastAsia="宋体" w:cs="宋体"/>
          <w:b/>
          <w:bCs w:val="0"/>
          <w:i w:val="0"/>
          <w:iCs w:val="0"/>
          <w:color w:val="auto"/>
          <w:sz w:val="32"/>
          <w:szCs w:val="32"/>
          <w:lang w:val="en-US" w:eastAsia="zh-CN"/>
        </w:rPr>
        <w:t>；</w:t>
      </w:r>
    </w:p>
    <w:p w14:paraId="09905450">
      <w:pPr>
        <w:spacing w:line="276" w:lineRule="auto"/>
        <w:jc w:val="left"/>
        <w:rPr>
          <w:rFonts w:hint="eastAsia" w:ascii="宋体" w:hAnsi="宋体" w:eastAsia="宋体" w:cs="宋体"/>
          <w:b/>
          <w:bCs w:val="0"/>
          <w:i w:val="0"/>
          <w:iCs w:val="0"/>
          <w:color w:val="auto"/>
          <w:sz w:val="32"/>
          <w:szCs w:val="32"/>
          <w:lang w:eastAsia="zh-CN"/>
        </w:rPr>
      </w:pPr>
      <w:r>
        <w:rPr>
          <w:rFonts w:hint="eastAsia" w:ascii="宋体" w:hAnsi="宋体" w:eastAsia="宋体" w:cs="宋体"/>
          <w:b/>
          <w:bCs w:val="0"/>
          <w:i w:val="0"/>
          <w:iCs w:val="0"/>
          <w:color w:val="auto"/>
          <w:sz w:val="32"/>
          <w:szCs w:val="32"/>
          <w:lang w:val="en-US" w:eastAsia="zh-CN"/>
        </w:rPr>
        <w:t>2</w:t>
      </w:r>
      <w:r>
        <w:rPr>
          <w:rFonts w:hint="eastAsia" w:ascii="宋体" w:hAnsi="宋体" w:eastAsia="宋体" w:cs="宋体"/>
          <w:b/>
          <w:bCs w:val="0"/>
          <w:i w:val="0"/>
          <w:iCs w:val="0"/>
          <w:color w:val="auto"/>
          <w:sz w:val="32"/>
          <w:szCs w:val="32"/>
          <w:lang w:eastAsia="zh-CN"/>
        </w:rPr>
        <w:t>）业绩；</w:t>
      </w:r>
    </w:p>
    <w:p w14:paraId="3B78C633">
      <w:pPr>
        <w:spacing w:line="276" w:lineRule="auto"/>
        <w:jc w:val="left"/>
        <w:rPr>
          <w:rFonts w:hint="eastAsia" w:ascii="宋体" w:hAnsi="宋体" w:eastAsia="宋体" w:cs="宋体"/>
          <w:b/>
          <w:bCs w:val="0"/>
          <w:i w:val="0"/>
          <w:iCs w:val="0"/>
          <w:color w:val="auto"/>
          <w:sz w:val="32"/>
          <w:szCs w:val="32"/>
          <w:lang w:eastAsia="zh-CN"/>
        </w:rPr>
      </w:pPr>
      <w:r>
        <w:rPr>
          <w:rFonts w:hint="eastAsia" w:ascii="宋体" w:hAnsi="宋体" w:eastAsia="宋体" w:cs="宋体"/>
          <w:b/>
          <w:bCs w:val="0"/>
          <w:i w:val="0"/>
          <w:iCs w:val="0"/>
          <w:color w:val="auto"/>
          <w:sz w:val="32"/>
          <w:szCs w:val="32"/>
          <w:lang w:val="en-US" w:eastAsia="zh-CN"/>
        </w:rPr>
        <w:t>3</w:t>
      </w:r>
      <w:r>
        <w:rPr>
          <w:rFonts w:hint="eastAsia" w:ascii="宋体" w:hAnsi="宋体" w:eastAsia="宋体" w:cs="宋体"/>
          <w:b/>
          <w:bCs w:val="0"/>
          <w:i w:val="0"/>
          <w:iCs w:val="0"/>
          <w:color w:val="auto"/>
          <w:sz w:val="32"/>
          <w:szCs w:val="32"/>
          <w:lang w:eastAsia="zh-CN"/>
        </w:rPr>
        <w:t>）有必要说明的商务事宜。</w:t>
      </w:r>
    </w:p>
    <w:p w14:paraId="18446E76">
      <w:pPr>
        <w:spacing w:line="276" w:lineRule="auto"/>
        <w:jc w:val="left"/>
        <w:rPr>
          <w:rFonts w:hint="eastAsia" w:ascii="宋体" w:hAnsi="宋体" w:cs="宋体"/>
          <w:b/>
          <w:bCs w:val="0"/>
          <w:i w:val="0"/>
          <w:iCs w:val="0"/>
          <w:color w:val="auto"/>
          <w:sz w:val="32"/>
          <w:szCs w:val="32"/>
          <w:lang w:val="en-US" w:eastAsia="zh-CN"/>
        </w:rPr>
      </w:pPr>
    </w:p>
    <w:p w14:paraId="1FF67F6C">
      <w:pPr>
        <w:spacing w:line="276" w:lineRule="auto"/>
        <w:jc w:val="left"/>
        <w:rPr>
          <w:rFonts w:hint="eastAsia" w:ascii="宋体" w:hAnsi="宋体" w:cs="宋体"/>
          <w:b/>
          <w:bCs w:val="0"/>
          <w:i w:val="0"/>
          <w:iCs w:val="0"/>
          <w:color w:val="auto"/>
          <w:sz w:val="32"/>
          <w:szCs w:val="32"/>
          <w:lang w:val="en-US" w:eastAsia="zh-CN"/>
        </w:rPr>
      </w:pPr>
    </w:p>
    <w:p w14:paraId="1980397A">
      <w:pPr>
        <w:spacing w:line="276" w:lineRule="auto"/>
        <w:jc w:val="left"/>
        <w:rPr>
          <w:rFonts w:hint="eastAsia" w:ascii="宋体" w:hAnsi="宋体" w:cs="宋体"/>
          <w:b/>
          <w:bCs w:val="0"/>
          <w:i w:val="0"/>
          <w:iCs w:val="0"/>
          <w:color w:val="auto"/>
          <w:sz w:val="32"/>
          <w:szCs w:val="32"/>
          <w:lang w:val="en-US" w:eastAsia="zh-CN"/>
        </w:rPr>
      </w:pPr>
    </w:p>
    <w:p w14:paraId="2F054127">
      <w:pPr>
        <w:spacing w:line="276" w:lineRule="auto"/>
        <w:jc w:val="left"/>
        <w:rPr>
          <w:rFonts w:hint="eastAsia" w:ascii="宋体" w:hAnsi="宋体" w:cs="宋体"/>
          <w:b/>
          <w:bCs w:val="0"/>
          <w:i w:val="0"/>
          <w:iCs w:val="0"/>
          <w:color w:val="auto"/>
          <w:sz w:val="32"/>
          <w:szCs w:val="32"/>
          <w:lang w:val="en-US" w:eastAsia="zh-CN"/>
        </w:rPr>
      </w:pPr>
    </w:p>
    <w:p w14:paraId="0D892C0F">
      <w:pPr>
        <w:spacing w:line="276" w:lineRule="auto"/>
        <w:jc w:val="left"/>
        <w:rPr>
          <w:rFonts w:hint="eastAsia" w:ascii="宋体" w:hAnsi="宋体" w:cs="宋体"/>
          <w:b/>
          <w:bCs w:val="0"/>
          <w:i w:val="0"/>
          <w:iCs w:val="0"/>
          <w:color w:val="auto"/>
          <w:sz w:val="32"/>
          <w:szCs w:val="32"/>
          <w:lang w:val="en-US" w:eastAsia="zh-CN"/>
        </w:rPr>
      </w:pPr>
    </w:p>
    <w:p w14:paraId="6692A76A">
      <w:pPr>
        <w:spacing w:line="276" w:lineRule="auto"/>
        <w:jc w:val="left"/>
        <w:rPr>
          <w:rFonts w:hint="eastAsia" w:ascii="宋体" w:hAnsi="宋体" w:cs="宋体"/>
          <w:b/>
          <w:bCs w:val="0"/>
          <w:i w:val="0"/>
          <w:iCs w:val="0"/>
          <w:color w:val="auto"/>
          <w:sz w:val="32"/>
          <w:szCs w:val="32"/>
          <w:lang w:val="en-US" w:eastAsia="zh-CN"/>
        </w:rPr>
      </w:pPr>
    </w:p>
    <w:p w14:paraId="0E185197">
      <w:pPr>
        <w:spacing w:line="276" w:lineRule="auto"/>
        <w:jc w:val="left"/>
        <w:rPr>
          <w:rFonts w:hint="eastAsia" w:ascii="宋体" w:hAnsi="宋体" w:cs="宋体"/>
          <w:b/>
          <w:bCs w:val="0"/>
          <w:i w:val="0"/>
          <w:iCs w:val="0"/>
          <w:color w:val="auto"/>
          <w:sz w:val="32"/>
          <w:szCs w:val="32"/>
          <w:lang w:val="en-US" w:eastAsia="zh-CN"/>
        </w:rPr>
      </w:pPr>
    </w:p>
    <w:p w14:paraId="63B32B4C">
      <w:pPr>
        <w:spacing w:line="276" w:lineRule="auto"/>
        <w:jc w:val="left"/>
        <w:rPr>
          <w:rFonts w:hint="eastAsia" w:ascii="宋体" w:hAnsi="宋体" w:cs="宋体"/>
          <w:b/>
          <w:bCs w:val="0"/>
          <w:i w:val="0"/>
          <w:iCs w:val="0"/>
          <w:color w:val="auto"/>
          <w:sz w:val="32"/>
          <w:szCs w:val="32"/>
          <w:lang w:val="en-US" w:eastAsia="zh-CN"/>
        </w:rPr>
      </w:pPr>
    </w:p>
    <w:p w14:paraId="5121D574">
      <w:pPr>
        <w:spacing w:line="276" w:lineRule="auto"/>
        <w:jc w:val="left"/>
        <w:rPr>
          <w:rFonts w:hint="eastAsia" w:ascii="宋体" w:hAnsi="宋体" w:cs="宋体"/>
          <w:b/>
          <w:bCs w:val="0"/>
          <w:i w:val="0"/>
          <w:iCs w:val="0"/>
          <w:color w:val="auto"/>
          <w:sz w:val="32"/>
          <w:szCs w:val="32"/>
          <w:lang w:val="en-US" w:eastAsia="zh-CN"/>
        </w:rPr>
      </w:pPr>
    </w:p>
    <w:p w14:paraId="1341B930">
      <w:pPr>
        <w:spacing w:line="276" w:lineRule="auto"/>
        <w:jc w:val="left"/>
        <w:rPr>
          <w:rFonts w:hint="eastAsia" w:ascii="宋体" w:hAnsi="宋体" w:cs="宋体"/>
          <w:b/>
          <w:bCs w:val="0"/>
          <w:i w:val="0"/>
          <w:iCs w:val="0"/>
          <w:color w:val="auto"/>
          <w:sz w:val="32"/>
          <w:szCs w:val="32"/>
          <w:lang w:val="en-US" w:eastAsia="zh-CN"/>
        </w:rPr>
      </w:pPr>
    </w:p>
    <w:p w14:paraId="2915A43A">
      <w:pPr>
        <w:spacing w:line="276" w:lineRule="auto"/>
        <w:jc w:val="left"/>
        <w:rPr>
          <w:rFonts w:hint="eastAsia" w:ascii="宋体" w:hAnsi="宋体" w:cs="宋体"/>
          <w:b/>
          <w:bCs w:val="0"/>
          <w:i w:val="0"/>
          <w:iCs w:val="0"/>
          <w:color w:val="auto"/>
          <w:sz w:val="32"/>
          <w:szCs w:val="32"/>
          <w:lang w:val="en-US" w:eastAsia="zh-CN"/>
        </w:rPr>
      </w:pPr>
    </w:p>
    <w:p w14:paraId="16386E18">
      <w:pPr>
        <w:spacing w:line="276" w:lineRule="auto"/>
        <w:jc w:val="left"/>
        <w:rPr>
          <w:rFonts w:hint="eastAsia" w:ascii="宋体" w:hAnsi="宋体" w:cs="宋体"/>
          <w:b/>
          <w:bCs w:val="0"/>
          <w:i w:val="0"/>
          <w:iCs w:val="0"/>
          <w:color w:val="auto"/>
          <w:sz w:val="32"/>
          <w:szCs w:val="32"/>
          <w:lang w:val="en-US" w:eastAsia="zh-CN"/>
        </w:rPr>
      </w:pPr>
    </w:p>
    <w:p w14:paraId="0B4EF2B0">
      <w:pPr>
        <w:spacing w:line="276" w:lineRule="auto"/>
        <w:jc w:val="left"/>
        <w:rPr>
          <w:rFonts w:hint="eastAsia" w:ascii="宋体" w:hAnsi="宋体" w:cs="宋体"/>
          <w:b/>
          <w:bCs w:val="0"/>
          <w:i w:val="0"/>
          <w:iCs w:val="0"/>
          <w:color w:val="auto"/>
          <w:sz w:val="32"/>
          <w:szCs w:val="32"/>
          <w:lang w:val="en-US" w:eastAsia="zh-CN"/>
        </w:rPr>
      </w:pPr>
    </w:p>
    <w:p w14:paraId="78ED5A84">
      <w:pPr>
        <w:spacing w:line="276" w:lineRule="auto"/>
        <w:jc w:val="left"/>
        <w:rPr>
          <w:rFonts w:hint="eastAsia" w:ascii="宋体" w:hAnsi="宋体" w:cs="宋体"/>
          <w:b/>
          <w:bCs w:val="0"/>
          <w:i w:val="0"/>
          <w:iCs w:val="0"/>
          <w:color w:val="auto"/>
          <w:sz w:val="32"/>
          <w:szCs w:val="32"/>
          <w:lang w:val="en-US" w:eastAsia="zh-CN"/>
        </w:rPr>
      </w:pPr>
    </w:p>
    <w:p w14:paraId="3EAA6928">
      <w:pPr>
        <w:spacing w:line="276" w:lineRule="auto"/>
        <w:jc w:val="left"/>
        <w:rPr>
          <w:rFonts w:hint="eastAsia" w:ascii="宋体" w:hAnsi="宋体" w:cs="宋体"/>
          <w:b/>
          <w:bCs w:val="0"/>
          <w:i w:val="0"/>
          <w:iCs w:val="0"/>
          <w:color w:val="auto"/>
          <w:sz w:val="32"/>
          <w:szCs w:val="32"/>
          <w:lang w:val="en-US" w:eastAsia="zh-CN"/>
        </w:rPr>
      </w:pPr>
    </w:p>
    <w:p w14:paraId="66D18D70">
      <w:pPr>
        <w:spacing w:line="276" w:lineRule="auto"/>
        <w:jc w:val="left"/>
        <w:rPr>
          <w:rFonts w:hint="eastAsia" w:ascii="宋体" w:hAnsi="宋体" w:cs="宋体"/>
          <w:b/>
          <w:bCs w:val="0"/>
          <w:i w:val="0"/>
          <w:iCs w:val="0"/>
          <w:color w:val="auto"/>
          <w:sz w:val="32"/>
          <w:szCs w:val="32"/>
          <w:lang w:val="en-US" w:eastAsia="zh-CN"/>
        </w:rPr>
      </w:pPr>
    </w:p>
    <w:p w14:paraId="715A98B0">
      <w:pPr>
        <w:spacing w:line="276" w:lineRule="auto"/>
        <w:jc w:val="left"/>
        <w:rPr>
          <w:rFonts w:hint="eastAsia" w:ascii="宋体" w:hAnsi="宋体" w:cs="宋体"/>
          <w:b/>
          <w:bCs w:val="0"/>
          <w:i w:val="0"/>
          <w:iCs w:val="0"/>
          <w:color w:val="auto"/>
          <w:sz w:val="32"/>
          <w:szCs w:val="32"/>
          <w:lang w:val="en-US" w:eastAsia="zh-CN"/>
        </w:rPr>
      </w:pPr>
    </w:p>
    <w:p w14:paraId="008E9D44">
      <w:pPr>
        <w:spacing w:line="276" w:lineRule="auto"/>
        <w:jc w:val="left"/>
        <w:rPr>
          <w:rFonts w:hint="eastAsia" w:ascii="宋体" w:hAnsi="宋体" w:cs="宋体"/>
          <w:b/>
          <w:bCs w:val="0"/>
          <w:i w:val="0"/>
          <w:iCs w:val="0"/>
          <w:color w:val="auto"/>
          <w:sz w:val="32"/>
          <w:szCs w:val="32"/>
          <w:lang w:val="en-US" w:eastAsia="zh-CN"/>
        </w:rPr>
      </w:pPr>
    </w:p>
    <w:p w14:paraId="46F5C830">
      <w:pPr>
        <w:spacing w:line="276" w:lineRule="auto"/>
        <w:jc w:val="center"/>
        <w:rPr>
          <w:rFonts w:hint="default" w:ascii="宋体" w:hAnsi="宋体" w:eastAsia="宋体" w:cs="宋体"/>
          <w:b/>
          <w:bCs w:val="0"/>
          <w:i w:val="0"/>
          <w:iCs w:val="0"/>
          <w:color w:val="auto"/>
          <w:sz w:val="32"/>
          <w:szCs w:val="32"/>
          <w:lang w:val="en-US" w:eastAsia="zh-CN"/>
        </w:rPr>
      </w:pPr>
      <w:r>
        <w:rPr>
          <w:rFonts w:hint="eastAsia" w:ascii="宋体" w:hAnsi="宋体" w:cs="宋体"/>
          <w:b/>
          <w:bCs w:val="0"/>
          <w:i w:val="0"/>
          <w:iCs w:val="0"/>
          <w:color w:val="auto"/>
          <w:sz w:val="32"/>
          <w:szCs w:val="32"/>
          <w:lang w:val="en-US" w:eastAsia="zh-CN"/>
        </w:rPr>
        <w:t>七</w:t>
      </w:r>
      <w:r>
        <w:rPr>
          <w:rFonts w:hint="eastAsia" w:ascii="宋体" w:hAnsi="宋体" w:eastAsia="宋体" w:cs="宋体"/>
          <w:b/>
          <w:bCs w:val="0"/>
          <w:i w:val="0"/>
          <w:iCs w:val="0"/>
          <w:color w:val="auto"/>
          <w:sz w:val="32"/>
          <w:szCs w:val="32"/>
          <w:lang w:eastAsia="zh-CN"/>
        </w:rPr>
        <w:t>、</w:t>
      </w:r>
      <w:r>
        <w:rPr>
          <w:rFonts w:hint="eastAsia" w:ascii="宋体" w:hAnsi="宋体" w:cs="宋体"/>
          <w:b/>
          <w:bCs w:val="0"/>
          <w:i w:val="0"/>
          <w:iCs w:val="0"/>
          <w:color w:val="auto"/>
          <w:sz w:val="32"/>
          <w:szCs w:val="32"/>
          <w:lang w:val="en-US" w:eastAsia="zh-CN"/>
        </w:rPr>
        <w:t>技术部分</w:t>
      </w:r>
    </w:p>
    <w:p w14:paraId="34C20FFB">
      <w:pPr>
        <w:spacing w:line="276" w:lineRule="auto"/>
        <w:jc w:val="both"/>
        <w:rPr>
          <w:rFonts w:hint="eastAsia" w:ascii="宋体" w:hAnsi="宋体" w:eastAsia="宋体" w:cs="宋体"/>
          <w:b w:val="0"/>
          <w:bCs/>
          <w:i w:val="0"/>
          <w:iCs w:val="0"/>
          <w:color w:val="auto"/>
          <w:sz w:val="32"/>
          <w:szCs w:val="32"/>
          <w:lang w:val="en-US" w:eastAsia="zh-CN"/>
        </w:rPr>
      </w:pPr>
      <w:r>
        <w:rPr>
          <w:rFonts w:hint="eastAsia" w:ascii="宋体" w:hAnsi="宋体" w:eastAsia="宋体" w:cs="宋体"/>
          <w:b w:val="0"/>
          <w:bCs/>
          <w:i w:val="0"/>
          <w:iCs w:val="0"/>
          <w:color w:val="auto"/>
          <w:sz w:val="32"/>
          <w:szCs w:val="32"/>
          <w:lang w:eastAsia="zh-CN"/>
        </w:rPr>
        <w:t>1）</w:t>
      </w:r>
      <w:r>
        <w:rPr>
          <w:rFonts w:hint="eastAsia" w:ascii="宋体" w:hAnsi="宋体" w:cs="宋体"/>
          <w:b w:val="0"/>
          <w:bCs/>
          <w:i w:val="0"/>
          <w:iCs w:val="0"/>
          <w:color w:val="auto"/>
          <w:sz w:val="32"/>
          <w:szCs w:val="32"/>
          <w:lang w:eastAsia="zh-CN"/>
        </w:rPr>
        <w:t>项目整体设想及规划</w:t>
      </w:r>
      <w:r>
        <w:rPr>
          <w:rFonts w:hint="eastAsia" w:ascii="宋体" w:hAnsi="宋体" w:eastAsia="宋体" w:cs="宋体"/>
          <w:b w:val="0"/>
          <w:bCs/>
          <w:i w:val="0"/>
          <w:iCs w:val="0"/>
          <w:color w:val="auto"/>
          <w:sz w:val="32"/>
          <w:szCs w:val="32"/>
          <w:lang w:val="en-US" w:eastAsia="zh-CN"/>
        </w:rPr>
        <w:t>；</w:t>
      </w:r>
    </w:p>
    <w:p w14:paraId="231B5DF8">
      <w:pPr>
        <w:spacing w:line="276" w:lineRule="auto"/>
        <w:jc w:val="left"/>
        <w:rPr>
          <w:rFonts w:hint="eastAsia" w:ascii="宋体" w:hAnsi="宋体" w:eastAsia="宋体" w:cs="宋体"/>
          <w:b w:val="0"/>
          <w:bCs/>
          <w:i w:val="0"/>
          <w:iCs w:val="0"/>
          <w:color w:val="auto"/>
          <w:sz w:val="32"/>
          <w:szCs w:val="32"/>
          <w:lang w:eastAsia="zh-CN"/>
        </w:rPr>
      </w:pPr>
      <w:r>
        <w:rPr>
          <w:rFonts w:hint="eastAsia" w:ascii="宋体" w:hAnsi="宋体" w:eastAsia="宋体" w:cs="宋体"/>
          <w:b w:val="0"/>
          <w:bCs/>
          <w:i w:val="0"/>
          <w:iCs w:val="0"/>
          <w:color w:val="auto"/>
          <w:sz w:val="32"/>
          <w:szCs w:val="32"/>
          <w:lang w:val="en-US" w:eastAsia="zh-CN"/>
        </w:rPr>
        <w:t>2</w:t>
      </w:r>
      <w:r>
        <w:rPr>
          <w:rFonts w:hint="eastAsia" w:ascii="宋体" w:hAnsi="宋体" w:eastAsia="宋体" w:cs="宋体"/>
          <w:b w:val="0"/>
          <w:bCs/>
          <w:i w:val="0"/>
          <w:iCs w:val="0"/>
          <w:color w:val="auto"/>
          <w:sz w:val="32"/>
          <w:szCs w:val="32"/>
          <w:lang w:eastAsia="zh-CN"/>
        </w:rPr>
        <w:t>）</w:t>
      </w:r>
      <w:r>
        <w:rPr>
          <w:rFonts w:hint="eastAsia" w:ascii="宋体" w:hAnsi="宋体" w:cs="宋体"/>
          <w:b w:val="0"/>
          <w:bCs/>
          <w:sz w:val="32"/>
          <w:szCs w:val="32"/>
          <w:lang w:eastAsia="zh-CN"/>
        </w:rPr>
        <w:t>食品安全</w:t>
      </w:r>
      <w:r>
        <w:rPr>
          <w:rFonts w:hint="eastAsia" w:ascii="宋体" w:hAnsi="宋体" w:eastAsia="宋体" w:cs="宋体"/>
          <w:b w:val="0"/>
          <w:bCs/>
          <w:i w:val="0"/>
          <w:iCs w:val="0"/>
          <w:color w:val="auto"/>
          <w:sz w:val="32"/>
          <w:szCs w:val="32"/>
          <w:lang w:eastAsia="zh-CN"/>
        </w:rPr>
        <w:t>；</w:t>
      </w:r>
    </w:p>
    <w:p w14:paraId="6A3E862D">
      <w:pPr>
        <w:spacing w:line="276" w:lineRule="auto"/>
        <w:jc w:val="left"/>
        <w:rPr>
          <w:rFonts w:hint="eastAsia" w:ascii="宋体" w:hAnsi="宋体" w:cs="宋体"/>
          <w:b w:val="0"/>
          <w:bCs/>
          <w:i w:val="0"/>
          <w:iCs w:val="0"/>
          <w:color w:val="auto"/>
          <w:sz w:val="32"/>
          <w:szCs w:val="32"/>
          <w:lang w:val="en-US" w:eastAsia="zh-CN"/>
        </w:rPr>
      </w:pPr>
      <w:r>
        <w:rPr>
          <w:rFonts w:hint="eastAsia" w:ascii="宋体" w:hAnsi="宋体" w:eastAsia="宋体" w:cs="宋体"/>
          <w:b w:val="0"/>
          <w:bCs/>
          <w:i w:val="0"/>
          <w:iCs w:val="0"/>
          <w:color w:val="auto"/>
          <w:sz w:val="32"/>
          <w:szCs w:val="32"/>
          <w:lang w:val="en-US" w:eastAsia="zh-CN"/>
        </w:rPr>
        <w:t>3</w:t>
      </w:r>
      <w:r>
        <w:rPr>
          <w:rFonts w:hint="eastAsia" w:ascii="宋体" w:hAnsi="宋体" w:eastAsia="宋体" w:cs="宋体"/>
          <w:b w:val="0"/>
          <w:bCs/>
          <w:i w:val="0"/>
          <w:iCs w:val="0"/>
          <w:color w:val="auto"/>
          <w:sz w:val="32"/>
          <w:szCs w:val="32"/>
          <w:lang w:eastAsia="zh-CN"/>
        </w:rPr>
        <w:t>）</w:t>
      </w:r>
      <w:r>
        <w:rPr>
          <w:rFonts w:hint="eastAsia" w:ascii="宋体" w:hAnsi="宋体" w:eastAsia="宋体" w:cs="宋体"/>
          <w:b w:val="0"/>
          <w:bCs/>
          <w:i w:val="0"/>
          <w:iCs w:val="0"/>
          <w:color w:val="auto"/>
          <w:sz w:val="32"/>
          <w:szCs w:val="32"/>
          <w:lang w:val="en-US" w:eastAsia="zh-CN"/>
        </w:rPr>
        <w:t>保障方案</w:t>
      </w:r>
      <w:r>
        <w:rPr>
          <w:rFonts w:hint="eastAsia" w:ascii="宋体" w:hAnsi="宋体" w:cs="宋体"/>
          <w:b w:val="0"/>
          <w:bCs/>
          <w:i w:val="0"/>
          <w:iCs w:val="0"/>
          <w:color w:val="auto"/>
          <w:sz w:val="32"/>
          <w:szCs w:val="32"/>
          <w:lang w:val="en-US" w:eastAsia="zh-CN"/>
        </w:rPr>
        <w:t>；</w:t>
      </w:r>
    </w:p>
    <w:p w14:paraId="308230C6">
      <w:pPr>
        <w:spacing w:line="276" w:lineRule="auto"/>
        <w:jc w:val="left"/>
        <w:rPr>
          <w:rFonts w:hint="eastAsia" w:ascii="宋体" w:hAnsi="宋体" w:cs="宋体"/>
          <w:b w:val="0"/>
          <w:bCs/>
          <w:i w:val="0"/>
          <w:iCs w:val="0"/>
          <w:color w:val="auto"/>
          <w:sz w:val="32"/>
          <w:szCs w:val="32"/>
          <w:lang w:val="en-US" w:eastAsia="zh-CN"/>
        </w:rPr>
      </w:pPr>
      <w:r>
        <w:rPr>
          <w:rFonts w:hint="eastAsia" w:ascii="宋体" w:hAnsi="宋体" w:cs="宋体"/>
          <w:b w:val="0"/>
          <w:bCs/>
          <w:i w:val="0"/>
          <w:iCs w:val="0"/>
          <w:color w:val="auto"/>
          <w:sz w:val="32"/>
          <w:szCs w:val="32"/>
          <w:lang w:val="en-US" w:eastAsia="zh-CN"/>
        </w:rPr>
        <w:t>4）</w:t>
      </w:r>
      <w:r>
        <w:rPr>
          <w:rFonts w:hint="eastAsia" w:ascii="宋体" w:hAnsi="宋体" w:eastAsia="宋体" w:cs="宋体"/>
          <w:b w:val="0"/>
          <w:bCs/>
          <w:i w:val="0"/>
          <w:iCs w:val="0"/>
          <w:color w:val="auto"/>
          <w:sz w:val="32"/>
          <w:szCs w:val="32"/>
          <w:lang w:val="en-US" w:eastAsia="zh-CN"/>
        </w:rPr>
        <w:t>服务承诺</w:t>
      </w:r>
      <w:r>
        <w:rPr>
          <w:rFonts w:hint="eastAsia" w:ascii="宋体" w:hAnsi="宋体" w:cs="宋体"/>
          <w:b w:val="0"/>
          <w:bCs/>
          <w:i w:val="0"/>
          <w:iCs w:val="0"/>
          <w:color w:val="auto"/>
          <w:sz w:val="32"/>
          <w:szCs w:val="32"/>
          <w:lang w:val="en-US" w:eastAsia="zh-CN"/>
        </w:rPr>
        <w:t>；</w:t>
      </w:r>
    </w:p>
    <w:p w14:paraId="40F5C26B">
      <w:pPr>
        <w:spacing w:line="276" w:lineRule="auto"/>
        <w:jc w:val="left"/>
        <w:rPr>
          <w:rFonts w:hint="eastAsia" w:ascii="宋体" w:hAnsi="宋体" w:cs="宋体"/>
          <w:b w:val="0"/>
          <w:bCs/>
          <w:i w:val="0"/>
          <w:iCs w:val="0"/>
          <w:color w:val="auto"/>
          <w:sz w:val="32"/>
          <w:szCs w:val="32"/>
          <w:lang w:val="en-US" w:eastAsia="zh-CN"/>
        </w:rPr>
      </w:pPr>
      <w:r>
        <w:rPr>
          <w:rFonts w:hint="eastAsia" w:ascii="宋体" w:hAnsi="宋体" w:cs="宋体"/>
          <w:b w:val="0"/>
          <w:bCs/>
          <w:i w:val="0"/>
          <w:iCs w:val="0"/>
          <w:color w:val="auto"/>
          <w:sz w:val="32"/>
          <w:szCs w:val="32"/>
          <w:lang w:val="en-US" w:eastAsia="zh-CN"/>
        </w:rPr>
        <w:t>5）应急方案；</w:t>
      </w:r>
    </w:p>
    <w:p w14:paraId="7AF0103D">
      <w:pPr>
        <w:pStyle w:val="10"/>
        <w:numPr>
          <w:ilvl w:val="0"/>
          <w:numId w:val="0"/>
        </w:numPr>
        <w:ind w:leftChars="0"/>
        <w:jc w:val="both"/>
        <w:rPr>
          <w:rFonts w:hint="eastAsia" w:ascii="宋体" w:hAnsi="宋体" w:cs="宋体"/>
          <w:b w:val="0"/>
          <w:bCs/>
          <w:i w:val="0"/>
          <w:iCs w:val="0"/>
          <w:color w:val="auto"/>
          <w:sz w:val="32"/>
          <w:szCs w:val="32"/>
          <w:lang w:val="en-US" w:eastAsia="zh-CN"/>
        </w:rPr>
      </w:pPr>
      <w:r>
        <w:rPr>
          <w:rFonts w:hint="eastAsia" w:ascii="宋体" w:hAnsi="宋体" w:cs="宋体"/>
          <w:b w:val="0"/>
          <w:bCs/>
          <w:i w:val="0"/>
          <w:iCs w:val="0"/>
          <w:color w:val="auto"/>
          <w:sz w:val="32"/>
          <w:szCs w:val="32"/>
          <w:lang w:val="en-US" w:eastAsia="zh-CN"/>
        </w:rPr>
        <w:t>6）特殊保障；</w:t>
      </w:r>
    </w:p>
    <w:p w14:paraId="7067994B">
      <w:pPr>
        <w:rPr>
          <w:rFonts w:hint="eastAsia" w:ascii="宋体" w:hAnsi="宋体" w:cs="宋体"/>
          <w:b w:val="0"/>
          <w:bCs/>
          <w:i w:val="0"/>
          <w:iCs w:val="0"/>
          <w:color w:val="auto"/>
          <w:sz w:val="32"/>
          <w:szCs w:val="32"/>
          <w:lang w:val="en-US" w:eastAsia="zh-CN"/>
        </w:rPr>
      </w:pPr>
      <w:r>
        <w:rPr>
          <w:rFonts w:hint="eastAsia" w:ascii="宋体" w:hAnsi="宋体" w:cs="宋体"/>
          <w:b w:val="0"/>
          <w:bCs/>
          <w:i w:val="0"/>
          <w:iCs w:val="0"/>
          <w:color w:val="auto"/>
          <w:sz w:val="32"/>
          <w:szCs w:val="32"/>
          <w:lang w:val="en-US" w:eastAsia="zh-CN"/>
        </w:rPr>
        <w:t>7）</w:t>
      </w:r>
      <w:r>
        <w:rPr>
          <w:rFonts w:hint="default" w:ascii="宋体" w:hAnsi="宋体" w:eastAsia="宋体" w:cs="宋体"/>
          <w:b w:val="0"/>
          <w:bCs/>
          <w:i w:val="0"/>
          <w:iCs w:val="0"/>
          <w:color w:val="auto"/>
          <w:sz w:val="32"/>
          <w:szCs w:val="32"/>
          <w:lang w:val="en-US" w:eastAsia="zh-CN"/>
        </w:rPr>
        <w:t>项目组成人员</w:t>
      </w:r>
      <w:r>
        <w:rPr>
          <w:rFonts w:hint="eastAsia" w:ascii="宋体" w:hAnsi="宋体" w:cs="宋体"/>
          <w:b w:val="0"/>
          <w:bCs/>
          <w:i w:val="0"/>
          <w:iCs w:val="0"/>
          <w:color w:val="auto"/>
          <w:sz w:val="32"/>
          <w:szCs w:val="32"/>
          <w:lang w:val="en-US" w:eastAsia="zh-CN"/>
        </w:rPr>
        <w:t>；</w:t>
      </w:r>
    </w:p>
    <w:p w14:paraId="6949A6D5">
      <w:pPr>
        <w:numPr>
          <w:ilvl w:val="0"/>
          <w:numId w:val="0"/>
        </w:numPr>
        <w:jc w:val="both"/>
        <w:rPr>
          <w:rFonts w:hint="eastAsia" w:ascii="宋体" w:hAnsi="宋体" w:cs="宋体"/>
          <w:b w:val="0"/>
          <w:bCs/>
          <w:i w:val="0"/>
          <w:iCs w:val="0"/>
          <w:color w:val="auto"/>
          <w:sz w:val="32"/>
          <w:szCs w:val="32"/>
          <w:lang w:val="en-US" w:eastAsia="zh-CN"/>
        </w:rPr>
      </w:pPr>
      <w:r>
        <w:rPr>
          <w:rFonts w:hint="eastAsia" w:ascii="宋体" w:hAnsi="宋体" w:cs="宋体"/>
          <w:b w:val="0"/>
          <w:bCs/>
          <w:i w:val="0"/>
          <w:iCs w:val="0"/>
          <w:color w:val="auto"/>
          <w:sz w:val="32"/>
          <w:szCs w:val="32"/>
          <w:lang w:val="en-US" w:eastAsia="zh-CN"/>
        </w:rPr>
        <w:t>8）</w:t>
      </w:r>
      <w:r>
        <w:rPr>
          <w:rFonts w:hint="default" w:ascii="宋体" w:hAnsi="宋体" w:eastAsia="宋体" w:cs="宋体"/>
          <w:b w:val="0"/>
          <w:bCs/>
          <w:i w:val="0"/>
          <w:iCs w:val="0"/>
          <w:color w:val="auto"/>
          <w:sz w:val="32"/>
          <w:szCs w:val="32"/>
          <w:lang w:val="en-US" w:eastAsia="zh-CN"/>
        </w:rPr>
        <w:t>规章制度</w:t>
      </w:r>
      <w:r>
        <w:rPr>
          <w:rFonts w:hint="eastAsia" w:ascii="宋体" w:hAnsi="宋体" w:cs="宋体"/>
          <w:b w:val="0"/>
          <w:bCs/>
          <w:i w:val="0"/>
          <w:iCs w:val="0"/>
          <w:color w:val="auto"/>
          <w:sz w:val="32"/>
          <w:szCs w:val="32"/>
          <w:lang w:val="en-US" w:eastAsia="zh-CN"/>
        </w:rPr>
        <w:t>。</w:t>
      </w:r>
    </w:p>
    <w:p w14:paraId="5383FF89">
      <w:pPr>
        <w:numPr>
          <w:ilvl w:val="0"/>
          <w:numId w:val="0"/>
        </w:numPr>
        <w:jc w:val="both"/>
        <w:rPr>
          <w:rFonts w:hint="default" w:ascii="宋体" w:hAnsi="宋体" w:cs="宋体"/>
          <w:b w:val="0"/>
          <w:bCs/>
          <w:i w:val="0"/>
          <w:iCs w:val="0"/>
          <w:color w:val="auto"/>
          <w:sz w:val="24"/>
          <w:szCs w:val="24"/>
          <w:lang w:val="en-US" w:eastAsia="zh-CN"/>
        </w:rPr>
      </w:pPr>
      <w:r>
        <w:rPr>
          <w:rFonts w:hint="eastAsia" w:ascii="宋体" w:hAnsi="宋体" w:cs="宋体"/>
          <w:b w:val="0"/>
          <w:bCs/>
          <w:i w:val="0"/>
          <w:iCs w:val="0"/>
          <w:color w:val="auto"/>
          <w:sz w:val="24"/>
          <w:szCs w:val="24"/>
          <w:lang w:val="en-US" w:eastAsia="zh-CN"/>
        </w:rPr>
        <w:t>注：以上内容格式自定，参照招标文件《评标办法》各条款的要求，结合《采购内容及要求》编制</w:t>
      </w:r>
    </w:p>
    <w:p w14:paraId="2174690E">
      <w:pPr>
        <w:rPr>
          <w:rFonts w:hint="default" w:ascii="宋体" w:hAnsi="宋体" w:cs="宋体"/>
          <w:b/>
          <w:i w:val="0"/>
          <w:iCs w:val="0"/>
          <w:color w:val="auto"/>
          <w:sz w:val="32"/>
          <w:szCs w:val="32"/>
          <w:lang w:val="en-US" w:eastAsia="zh-CN"/>
        </w:rPr>
      </w:pPr>
    </w:p>
    <w:p w14:paraId="3C9E96F6">
      <w:pPr>
        <w:spacing w:line="276" w:lineRule="auto"/>
        <w:jc w:val="left"/>
        <w:rPr>
          <w:rFonts w:hint="default" w:ascii="宋体" w:hAnsi="宋体" w:cs="宋体"/>
          <w:b/>
          <w:i w:val="0"/>
          <w:iCs w:val="0"/>
          <w:color w:val="auto"/>
          <w:sz w:val="32"/>
          <w:szCs w:val="32"/>
          <w:lang w:val="en-US" w:eastAsia="zh-CN"/>
        </w:rPr>
      </w:pPr>
    </w:p>
    <w:p w14:paraId="5CC12A2F">
      <w:pPr>
        <w:spacing w:line="276" w:lineRule="auto"/>
        <w:jc w:val="left"/>
        <w:rPr>
          <w:rFonts w:hint="default" w:ascii="宋体" w:hAnsi="宋体" w:cs="宋体"/>
          <w:b/>
          <w:i w:val="0"/>
          <w:iCs w:val="0"/>
          <w:color w:val="auto"/>
          <w:sz w:val="32"/>
          <w:szCs w:val="32"/>
          <w:lang w:val="en-US" w:eastAsia="zh-CN"/>
        </w:rPr>
      </w:pPr>
    </w:p>
    <w:p w14:paraId="05314D6D">
      <w:pPr>
        <w:spacing w:line="276" w:lineRule="auto"/>
        <w:jc w:val="left"/>
        <w:rPr>
          <w:rFonts w:hint="eastAsia" w:ascii="宋体" w:hAnsi="宋体" w:eastAsia="宋体" w:cs="宋体"/>
          <w:b/>
          <w:bCs w:val="0"/>
          <w:i w:val="0"/>
          <w:iCs w:val="0"/>
          <w:color w:val="auto"/>
          <w:sz w:val="32"/>
          <w:szCs w:val="32"/>
          <w:lang w:eastAsia="zh-CN"/>
        </w:rPr>
      </w:pPr>
    </w:p>
    <w:p w14:paraId="416FA71A">
      <w:pPr>
        <w:spacing w:line="276" w:lineRule="auto"/>
        <w:jc w:val="center"/>
        <w:rPr>
          <w:rFonts w:hint="eastAsia" w:ascii="宋体" w:hAnsi="宋体" w:eastAsia="宋体" w:cs="宋体"/>
          <w:b/>
          <w:bCs w:val="0"/>
          <w:i w:val="0"/>
          <w:iCs w:val="0"/>
          <w:color w:val="auto"/>
          <w:sz w:val="32"/>
          <w:szCs w:val="32"/>
          <w:lang w:eastAsia="zh-CN"/>
        </w:rPr>
      </w:pPr>
    </w:p>
    <w:p w14:paraId="3775C4AA">
      <w:pPr>
        <w:spacing w:line="500" w:lineRule="exact"/>
        <w:rPr>
          <w:rFonts w:hint="eastAsia" w:ascii="宋体" w:hAnsi="宋体" w:eastAsia="宋体" w:cs="宋体"/>
          <w:i w:val="0"/>
          <w:iCs/>
          <w:sz w:val="28"/>
          <w:szCs w:val="28"/>
        </w:rPr>
      </w:pPr>
    </w:p>
    <w:p w14:paraId="611C4468">
      <w:pPr>
        <w:rPr>
          <w:rFonts w:hint="eastAsia" w:ascii="宋体" w:hAnsi="宋体" w:cs="宋体"/>
          <w:b/>
          <w:bCs/>
          <w:sz w:val="32"/>
          <w:szCs w:val="32"/>
          <w:lang w:eastAsia="zh-CN"/>
        </w:rPr>
      </w:pPr>
    </w:p>
    <w:p w14:paraId="62AAD1BA">
      <w:pPr>
        <w:pStyle w:val="14"/>
        <w:rPr>
          <w:rFonts w:hint="eastAsia" w:ascii="宋体" w:hAnsi="宋体" w:eastAsia="宋体" w:cs="宋体"/>
          <w:lang w:eastAsia="zh-CN"/>
        </w:rPr>
      </w:pPr>
    </w:p>
    <w:p w14:paraId="4EE59D15">
      <w:pPr>
        <w:rPr>
          <w:rFonts w:hint="eastAsia" w:ascii="宋体" w:hAnsi="宋体" w:cs="宋体"/>
          <w:b/>
          <w:i w:val="0"/>
          <w:iCs w:val="0"/>
          <w:color w:val="auto"/>
          <w:sz w:val="32"/>
          <w:szCs w:val="32"/>
          <w:lang w:val="en-US" w:eastAsia="zh-CN"/>
        </w:rPr>
      </w:pPr>
      <w:r>
        <w:rPr>
          <w:rFonts w:hint="eastAsia" w:ascii="宋体" w:hAnsi="宋体" w:eastAsia="宋体" w:cs="宋体"/>
          <w:b/>
          <w:i w:val="0"/>
          <w:iCs w:val="0"/>
          <w:color w:val="auto"/>
          <w:sz w:val="32"/>
          <w:szCs w:val="32"/>
        </w:rPr>
        <w:br w:type="page"/>
      </w:r>
    </w:p>
    <w:p w14:paraId="1A98425B">
      <w:pPr>
        <w:numPr>
          <w:ilvl w:val="0"/>
          <w:numId w:val="0"/>
        </w:numPr>
        <w:ind w:leftChars="0"/>
        <w:jc w:val="center"/>
        <w:rPr>
          <w:rFonts w:hint="eastAsia" w:ascii="宋体" w:hAnsi="宋体" w:eastAsia="宋体" w:cs="宋体"/>
          <w:b/>
          <w:bCs/>
          <w:sz w:val="36"/>
          <w:szCs w:val="36"/>
          <w:lang w:eastAsia="zh-CN"/>
        </w:rPr>
      </w:pPr>
      <w:r>
        <w:rPr>
          <w:rFonts w:hint="eastAsia" w:ascii="宋体" w:hAnsi="宋体" w:cs="宋体"/>
          <w:b/>
          <w:i w:val="0"/>
          <w:iCs w:val="0"/>
          <w:color w:val="auto"/>
          <w:sz w:val="32"/>
          <w:szCs w:val="32"/>
          <w:lang w:val="en-US" w:eastAsia="zh-CN"/>
        </w:rPr>
        <w:t>八</w:t>
      </w:r>
      <w:r>
        <w:rPr>
          <w:rFonts w:hint="eastAsia" w:ascii="宋体" w:hAnsi="宋体" w:eastAsia="宋体" w:cs="宋体"/>
          <w:b/>
          <w:bCs/>
          <w:sz w:val="32"/>
          <w:szCs w:val="32"/>
          <w:lang w:eastAsia="zh-CN"/>
        </w:rPr>
        <w:t>、投标保证金</w:t>
      </w:r>
    </w:p>
    <w:p w14:paraId="3BDDBE9C">
      <w:pPr>
        <w:spacing w:line="276" w:lineRule="auto"/>
        <w:jc w:val="center"/>
        <w:rPr>
          <w:rFonts w:hint="eastAsia" w:ascii="宋体" w:hAnsi="宋体" w:eastAsia="宋体" w:cs="宋体"/>
          <w:b/>
          <w:i w:val="0"/>
          <w:iCs w:val="0"/>
          <w:color w:val="auto"/>
          <w:sz w:val="40"/>
          <w:szCs w:val="40"/>
          <w:lang w:eastAsia="zh-CN"/>
        </w:rPr>
      </w:pPr>
      <w:r>
        <w:rPr>
          <w:rFonts w:hint="eastAsia" w:ascii="宋体" w:hAnsi="宋体" w:eastAsia="宋体" w:cs="宋体"/>
          <w:sz w:val="24"/>
          <w:szCs w:val="32"/>
          <w:lang w:eastAsia="zh-CN"/>
        </w:rPr>
        <w:t>注：投标保证金粘贴或装订在此处。</w:t>
      </w:r>
    </w:p>
    <w:p w14:paraId="73794A9C">
      <w:pPr>
        <w:ind w:firstLine="480" w:firstLineChars="200"/>
        <w:rPr>
          <w:rFonts w:hint="eastAsia" w:ascii="宋体" w:hAnsi="宋体" w:eastAsia="宋体" w:cs="宋体"/>
          <w:color w:val="auto"/>
          <w:sz w:val="24"/>
          <w:szCs w:val="24"/>
        </w:rPr>
      </w:pPr>
    </w:p>
    <w:p w14:paraId="50C53598">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06C8B64">
      <w:pPr>
        <w:spacing w:line="276" w:lineRule="auto"/>
        <w:jc w:val="center"/>
        <w:rPr>
          <w:rFonts w:hint="eastAsia" w:ascii="宋体" w:hAnsi="宋体" w:eastAsia="宋体" w:cs="宋体"/>
          <w:b/>
          <w:i w:val="0"/>
          <w:iCs w:val="0"/>
          <w:color w:val="auto"/>
          <w:sz w:val="32"/>
          <w:szCs w:val="32"/>
          <w:lang w:eastAsia="zh-CN"/>
        </w:rPr>
      </w:pPr>
      <w:r>
        <w:rPr>
          <w:rFonts w:hint="eastAsia" w:ascii="宋体" w:hAnsi="宋体" w:cs="宋体"/>
          <w:b/>
          <w:i w:val="0"/>
          <w:iCs w:val="0"/>
          <w:color w:val="auto"/>
          <w:sz w:val="32"/>
          <w:szCs w:val="32"/>
          <w:lang w:val="en-US" w:eastAsia="zh-CN"/>
        </w:rPr>
        <w:t>九</w:t>
      </w:r>
      <w:r>
        <w:rPr>
          <w:rFonts w:hint="eastAsia" w:ascii="宋体" w:hAnsi="宋体" w:eastAsia="宋体" w:cs="宋体"/>
          <w:b/>
          <w:i w:val="0"/>
          <w:iCs w:val="0"/>
          <w:color w:val="auto"/>
          <w:sz w:val="32"/>
          <w:szCs w:val="32"/>
          <w:lang w:eastAsia="zh-CN"/>
        </w:rPr>
        <w:t>、其他资料（</w:t>
      </w:r>
      <w:r>
        <w:rPr>
          <w:rFonts w:hint="eastAsia" w:ascii="宋体" w:hAnsi="宋体" w:eastAsia="宋体" w:cs="宋体"/>
          <w:b/>
          <w:i w:val="0"/>
          <w:iCs w:val="0"/>
          <w:color w:val="auto"/>
          <w:sz w:val="32"/>
          <w:szCs w:val="32"/>
        </w:rPr>
        <w:t>投标人认为有必要的其他资料</w:t>
      </w:r>
      <w:r>
        <w:rPr>
          <w:rFonts w:hint="eastAsia" w:ascii="宋体" w:hAnsi="宋体" w:eastAsia="宋体" w:cs="宋体"/>
          <w:b/>
          <w:i w:val="0"/>
          <w:iCs w:val="0"/>
          <w:color w:val="auto"/>
          <w:sz w:val="32"/>
          <w:szCs w:val="32"/>
          <w:lang w:eastAsia="zh-CN"/>
        </w:rPr>
        <w:t>）</w:t>
      </w:r>
    </w:p>
    <w:p w14:paraId="0B53EE29">
      <w:pPr>
        <w:rPr>
          <w:rFonts w:hint="eastAsia" w:ascii="宋体" w:hAnsi="宋体" w:eastAsia="宋体" w:cs="宋体"/>
          <w:b/>
          <w:i w:val="0"/>
          <w:iCs w:val="0"/>
          <w:color w:val="auto"/>
          <w:sz w:val="32"/>
          <w:szCs w:val="32"/>
          <w:lang w:eastAsia="zh-CN"/>
        </w:rPr>
      </w:pPr>
      <w:r>
        <w:rPr>
          <w:rFonts w:hint="eastAsia" w:ascii="宋体" w:hAnsi="宋体" w:eastAsia="宋体" w:cs="宋体"/>
          <w:b/>
          <w:i w:val="0"/>
          <w:iCs w:val="0"/>
          <w:color w:val="auto"/>
          <w:sz w:val="32"/>
          <w:szCs w:val="32"/>
          <w:lang w:eastAsia="zh-CN"/>
        </w:rPr>
        <w:br w:type="page"/>
      </w:r>
    </w:p>
    <w:p w14:paraId="389379DF">
      <w:pPr>
        <w:spacing w:before="100" w:beforeAutospacing="1" w:after="120" w:afterLines="50" w:line="360" w:lineRule="auto"/>
        <w:jc w:val="left"/>
        <w:rPr>
          <w:rFonts w:hint="eastAsia" w:ascii="宋体" w:hAnsi="宋体" w:eastAsia="宋体" w:cs="宋体"/>
          <w:b/>
          <w:i w:val="0"/>
          <w:iCs w:val="0"/>
          <w:color w:val="auto"/>
          <w:spacing w:val="6"/>
          <w:kern w:val="0"/>
          <w:sz w:val="30"/>
          <w:szCs w:val="30"/>
          <w:lang w:bidi="ar"/>
        </w:rPr>
      </w:pPr>
      <w:bookmarkStart w:id="284" w:name="_Toc28955"/>
      <w:r>
        <w:rPr>
          <w:rFonts w:hint="eastAsia" w:ascii="宋体" w:hAnsi="宋体" w:eastAsia="宋体" w:cs="宋体"/>
          <w:b/>
          <w:i w:val="0"/>
          <w:iCs w:val="0"/>
          <w:color w:val="auto"/>
          <w:spacing w:val="6"/>
          <w:kern w:val="0"/>
          <w:sz w:val="30"/>
          <w:szCs w:val="30"/>
          <w:lang w:bidi="ar"/>
        </w:rPr>
        <w:t>附件</w:t>
      </w:r>
      <w:r>
        <w:rPr>
          <w:rFonts w:hint="eastAsia" w:ascii="宋体" w:hAnsi="宋体" w:eastAsia="宋体" w:cs="宋体"/>
          <w:b/>
          <w:i w:val="0"/>
          <w:iCs w:val="0"/>
          <w:color w:val="auto"/>
          <w:spacing w:val="6"/>
          <w:kern w:val="0"/>
          <w:sz w:val="30"/>
          <w:szCs w:val="30"/>
          <w:lang w:val="en-US" w:eastAsia="zh-CN" w:bidi="ar"/>
        </w:rPr>
        <w:t>1</w:t>
      </w:r>
      <w:r>
        <w:rPr>
          <w:rFonts w:hint="eastAsia" w:ascii="宋体" w:hAnsi="宋体" w:eastAsia="宋体" w:cs="宋体"/>
          <w:b/>
          <w:i w:val="0"/>
          <w:iCs w:val="0"/>
          <w:color w:val="auto"/>
          <w:spacing w:val="6"/>
          <w:kern w:val="0"/>
          <w:sz w:val="30"/>
          <w:szCs w:val="30"/>
          <w:lang w:bidi="ar"/>
        </w:rPr>
        <w:t>：</w:t>
      </w:r>
    </w:p>
    <w:p w14:paraId="1A0809B1">
      <w:pPr>
        <w:spacing w:before="100" w:beforeAutospacing="1" w:after="120" w:afterLines="50" w:line="360" w:lineRule="auto"/>
        <w:jc w:val="center"/>
        <w:rPr>
          <w:rFonts w:hint="eastAsia" w:hAnsi="宋体" w:eastAsia="宋体"/>
          <w:b/>
          <w:sz w:val="28"/>
          <w:szCs w:val="28"/>
          <w:lang w:eastAsia="zh-CN"/>
        </w:rPr>
      </w:pPr>
      <w:r>
        <w:rPr>
          <w:rFonts w:hint="eastAsia" w:ascii="宋体" w:hAnsi="宋体"/>
          <w:b/>
          <w:kern w:val="0"/>
          <w:sz w:val="28"/>
          <w:szCs w:val="28"/>
          <w:lang w:bidi="ar"/>
        </w:rPr>
        <w:t>中小企业声明函</w:t>
      </w:r>
      <w:r>
        <w:rPr>
          <w:rFonts w:hint="eastAsia" w:ascii="宋体" w:hAnsi="宋体"/>
          <w:b/>
          <w:kern w:val="0"/>
          <w:sz w:val="28"/>
          <w:szCs w:val="28"/>
          <w:lang w:eastAsia="zh-CN" w:bidi="ar"/>
        </w:rPr>
        <w:t>（</w:t>
      </w:r>
      <w:r>
        <w:rPr>
          <w:rFonts w:hint="eastAsia" w:ascii="宋体" w:hAnsi="宋体"/>
          <w:b/>
          <w:kern w:val="0"/>
          <w:sz w:val="28"/>
          <w:szCs w:val="28"/>
          <w:lang w:val="en-US" w:eastAsia="zh-CN" w:bidi="ar"/>
        </w:rPr>
        <w:t>服务</w:t>
      </w:r>
      <w:r>
        <w:rPr>
          <w:rFonts w:hint="eastAsia" w:ascii="宋体" w:hAnsi="宋体"/>
          <w:b/>
          <w:kern w:val="0"/>
          <w:sz w:val="28"/>
          <w:szCs w:val="28"/>
          <w:lang w:eastAsia="zh-CN" w:bidi="ar"/>
        </w:rPr>
        <w:t>）</w:t>
      </w:r>
    </w:p>
    <w:p w14:paraId="1EECB5FC">
      <w:pPr>
        <w:tabs>
          <w:tab w:val="left" w:pos="1620"/>
          <w:tab w:val="left" w:pos="1800"/>
        </w:tabs>
        <w:spacing w:line="500" w:lineRule="exact"/>
        <w:ind w:firstLine="480" w:firstLineChars="200"/>
        <w:rPr>
          <w:rFonts w:hAnsi="宋体"/>
        </w:rPr>
      </w:pPr>
      <w:r>
        <w:rPr>
          <w:rFonts w:hint="eastAsia" w:ascii="宋体" w:hAnsi="宋体"/>
          <w:kern w:val="0"/>
          <w:sz w:val="24"/>
          <w:lang w:bidi="ar"/>
        </w:rPr>
        <w:t>本公司</w:t>
      </w:r>
      <w:r>
        <w:rPr>
          <w:rFonts w:hint="eastAsia" w:ascii="宋体" w:hAnsi="宋体"/>
          <w:kern w:val="0"/>
          <w:sz w:val="24"/>
          <w:lang w:eastAsia="zh-CN" w:bidi="ar"/>
        </w:rPr>
        <w:t>（</w:t>
      </w:r>
      <w:r>
        <w:rPr>
          <w:rFonts w:hint="eastAsia" w:ascii="宋体" w:hAnsi="宋体"/>
          <w:kern w:val="0"/>
          <w:sz w:val="24"/>
          <w:lang w:val="en-US" w:eastAsia="zh-CN" w:bidi="ar"/>
        </w:rPr>
        <w:t>联合体</w:t>
      </w:r>
      <w:r>
        <w:rPr>
          <w:rFonts w:hint="eastAsia" w:ascii="宋体" w:hAnsi="宋体"/>
          <w:kern w:val="0"/>
          <w:sz w:val="24"/>
          <w:lang w:eastAsia="zh-CN" w:bidi="ar"/>
        </w:rPr>
        <w:t>）</w:t>
      </w:r>
      <w:r>
        <w:rPr>
          <w:rFonts w:hint="eastAsia" w:ascii="宋体" w:hAnsi="宋体"/>
          <w:kern w:val="0"/>
          <w:sz w:val="24"/>
          <w:lang w:bidi="ar"/>
        </w:rPr>
        <w:t>郑重声明，根据《政府采购促进中小企业发展</w:t>
      </w:r>
      <w:r>
        <w:rPr>
          <w:rFonts w:hint="eastAsia" w:ascii="宋体" w:hAnsi="宋体"/>
          <w:kern w:val="0"/>
          <w:sz w:val="24"/>
          <w:lang w:val="en-US" w:eastAsia="zh-CN" w:bidi="ar"/>
        </w:rPr>
        <w:t>管理</w:t>
      </w:r>
      <w:r>
        <w:rPr>
          <w:rFonts w:hint="eastAsia" w:ascii="宋体" w:hAnsi="宋体"/>
          <w:kern w:val="0"/>
          <w:sz w:val="24"/>
          <w:lang w:bidi="ar"/>
        </w:rPr>
        <w:t>办法》(财库【20</w:t>
      </w:r>
      <w:r>
        <w:rPr>
          <w:rFonts w:hint="eastAsia" w:ascii="宋体" w:hAnsi="宋体"/>
          <w:kern w:val="0"/>
          <w:sz w:val="24"/>
          <w:lang w:val="en-US" w:eastAsia="zh-CN" w:bidi="ar"/>
        </w:rPr>
        <w:t>20</w:t>
      </w:r>
      <w:r>
        <w:rPr>
          <w:rFonts w:hint="eastAsia" w:ascii="宋体" w:hAnsi="宋体"/>
          <w:kern w:val="0"/>
          <w:sz w:val="24"/>
          <w:lang w:bidi="ar"/>
        </w:rPr>
        <w:t>】</w:t>
      </w:r>
      <w:r>
        <w:rPr>
          <w:rFonts w:hint="eastAsia" w:ascii="宋体" w:hAnsi="宋体"/>
          <w:kern w:val="0"/>
          <w:sz w:val="24"/>
          <w:lang w:val="en-US" w:eastAsia="zh-CN" w:bidi="ar"/>
        </w:rPr>
        <w:t>46</w:t>
      </w:r>
      <w:r>
        <w:rPr>
          <w:rFonts w:hint="eastAsia" w:ascii="宋体" w:hAnsi="宋体"/>
          <w:kern w:val="0"/>
          <w:sz w:val="24"/>
          <w:lang w:bidi="ar"/>
        </w:rPr>
        <w:t>号）的规定，本公司</w:t>
      </w:r>
      <w:r>
        <w:rPr>
          <w:rFonts w:hint="eastAsia" w:ascii="宋体" w:hAnsi="宋体"/>
          <w:kern w:val="0"/>
          <w:sz w:val="24"/>
          <w:lang w:eastAsia="zh-CN" w:bidi="ar"/>
        </w:rPr>
        <w:t>（</w:t>
      </w:r>
      <w:r>
        <w:rPr>
          <w:rFonts w:hint="eastAsia" w:ascii="宋体" w:hAnsi="宋体"/>
          <w:kern w:val="0"/>
          <w:sz w:val="24"/>
          <w:lang w:val="en-US" w:eastAsia="zh-CN" w:bidi="ar"/>
        </w:rPr>
        <w:t>联合体</w:t>
      </w:r>
      <w:r>
        <w:rPr>
          <w:rFonts w:hint="eastAsia" w:ascii="宋体" w:hAnsi="宋体"/>
          <w:kern w:val="0"/>
          <w:sz w:val="24"/>
          <w:lang w:eastAsia="zh-CN" w:bidi="ar"/>
        </w:rPr>
        <w:t>）</w:t>
      </w:r>
      <w:r>
        <w:rPr>
          <w:rFonts w:hint="eastAsia" w:ascii="宋体" w:hAnsi="宋体"/>
          <w:kern w:val="0"/>
          <w:sz w:val="24"/>
          <w:lang w:val="en-US" w:eastAsia="zh-CN" w:bidi="ar"/>
        </w:rPr>
        <w:t>参</w:t>
      </w:r>
      <w:r>
        <w:rPr>
          <w:rFonts w:hint="eastAsia" w:ascii="宋体" w:hAnsi="宋体"/>
          <w:kern w:val="0"/>
          <w:sz w:val="24"/>
          <w:u w:val="single"/>
          <w:lang w:eastAsia="zh-CN" w:bidi="ar"/>
        </w:rPr>
        <w:t>（</w:t>
      </w:r>
      <w:r>
        <w:rPr>
          <w:rFonts w:hint="eastAsia" w:ascii="宋体" w:hAnsi="宋体"/>
          <w:kern w:val="0"/>
          <w:sz w:val="24"/>
          <w:u w:val="single"/>
          <w:lang w:val="en-US" w:eastAsia="zh-CN" w:bidi="ar"/>
        </w:rPr>
        <w:t>单位名称</w:t>
      </w:r>
      <w:r>
        <w:rPr>
          <w:rFonts w:hint="eastAsia" w:ascii="宋体" w:hAnsi="宋体"/>
          <w:kern w:val="0"/>
          <w:sz w:val="24"/>
          <w:u w:val="single"/>
          <w:lang w:eastAsia="zh-CN" w:bidi="ar"/>
        </w:rPr>
        <w:t>）</w:t>
      </w:r>
      <w:r>
        <w:rPr>
          <w:rFonts w:hint="eastAsia" w:ascii="宋体" w:hAnsi="宋体"/>
          <w:kern w:val="0"/>
          <w:sz w:val="24"/>
          <w:u w:val="none"/>
          <w:lang w:val="en-US" w:eastAsia="zh-CN" w:bidi="ar"/>
        </w:rPr>
        <w:t>的</w:t>
      </w:r>
      <w:r>
        <w:rPr>
          <w:rFonts w:hint="eastAsia" w:ascii="宋体" w:hAnsi="宋体"/>
          <w:kern w:val="0"/>
          <w:sz w:val="24"/>
          <w:u w:val="single"/>
          <w:lang w:val="en-US" w:eastAsia="zh-CN" w:bidi="ar"/>
        </w:rPr>
        <w:t>（项目名称）</w:t>
      </w:r>
      <w:r>
        <w:rPr>
          <w:rFonts w:hint="eastAsia" w:ascii="宋体" w:hAnsi="宋体"/>
          <w:kern w:val="0"/>
          <w:sz w:val="24"/>
          <w:u w:val="none"/>
          <w:lang w:val="en-US" w:eastAsia="zh-CN" w:bidi="ar"/>
        </w:rPr>
        <w:t>采购活动，服务全部由符合政策要求的中小企业承接。相关企业（含联合体中的中小企业、签订分包意向协议的中小企业）的具体情况如下：</w:t>
      </w:r>
    </w:p>
    <w:p w14:paraId="696396E6">
      <w:pPr>
        <w:numPr>
          <w:ilvl w:val="0"/>
          <w:numId w:val="0"/>
        </w:numPr>
        <w:tabs>
          <w:tab w:val="left" w:pos="1620"/>
          <w:tab w:val="left" w:pos="1800"/>
        </w:tabs>
        <w:spacing w:line="500" w:lineRule="exact"/>
        <w:ind w:left="0" w:firstLine="480" w:firstLineChars="200"/>
        <w:rPr>
          <w:rFonts w:hAnsi="宋体"/>
        </w:rPr>
      </w:pPr>
      <w:r>
        <w:rPr>
          <w:rFonts w:hint="eastAsia" w:ascii="宋体" w:hAnsi="宋体"/>
          <w:kern w:val="0"/>
          <w:sz w:val="24"/>
          <w:u w:val="none"/>
          <w:lang w:val="en-US" w:eastAsia="zh-CN" w:bidi="ar"/>
        </w:rPr>
        <w:t>1.</w:t>
      </w:r>
      <w:r>
        <w:rPr>
          <w:rFonts w:hint="eastAsia" w:ascii="宋体" w:hAnsi="宋体"/>
          <w:kern w:val="0"/>
          <w:sz w:val="24"/>
          <w:u w:val="single"/>
          <w:lang w:eastAsia="zh-CN" w:bidi="ar"/>
        </w:rPr>
        <w:t>（</w:t>
      </w:r>
      <w:r>
        <w:rPr>
          <w:rFonts w:hint="eastAsia" w:ascii="宋体" w:hAnsi="宋体"/>
          <w:kern w:val="0"/>
          <w:sz w:val="24"/>
          <w:u w:val="single"/>
          <w:lang w:val="en-US" w:eastAsia="zh-CN" w:bidi="ar"/>
        </w:rPr>
        <w:t>标的名称</w:t>
      </w:r>
      <w:r>
        <w:rPr>
          <w:rFonts w:hint="eastAsia" w:ascii="宋体" w:hAnsi="宋体"/>
          <w:kern w:val="0"/>
          <w:sz w:val="24"/>
          <w:u w:val="single"/>
          <w:lang w:eastAsia="zh-CN" w:bidi="ar"/>
        </w:rPr>
        <w:t>），</w:t>
      </w:r>
      <w:r>
        <w:rPr>
          <w:rFonts w:hint="eastAsia" w:ascii="宋体" w:hAnsi="宋体"/>
          <w:kern w:val="0"/>
          <w:sz w:val="24"/>
          <w:u w:val="none"/>
          <w:lang w:val="en-US" w:eastAsia="zh-CN" w:bidi="ar"/>
        </w:rPr>
        <w:t>属于</w:t>
      </w:r>
      <w:r>
        <w:rPr>
          <w:rFonts w:hint="eastAsia" w:ascii="宋体" w:hAnsi="宋体"/>
          <w:kern w:val="0"/>
          <w:sz w:val="24"/>
          <w:u w:val="single"/>
          <w:lang w:val="en-US" w:eastAsia="zh-CN" w:bidi="ar"/>
        </w:rPr>
        <w:t>（采购文件中明确的所属行业）</w:t>
      </w:r>
      <w:r>
        <w:rPr>
          <w:rFonts w:hint="eastAsia" w:ascii="宋体" w:hAnsi="宋体"/>
          <w:kern w:val="0"/>
          <w:sz w:val="24"/>
          <w:u w:val="none"/>
          <w:lang w:val="en-US" w:eastAsia="zh-CN" w:bidi="ar"/>
        </w:rPr>
        <w:t>；承建（承接）企业为</w:t>
      </w:r>
      <w:r>
        <w:rPr>
          <w:rFonts w:hint="eastAsia" w:ascii="宋体" w:hAnsi="宋体"/>
          <w:kern w:val="0"/>
          <w:sz w:val="24"/>
          <w:u w:val="single"/>
          <w:lang w:val="en-US" w:eastAsia="zh-CN" w:bidi="ar"/>
        </w:rPr>
        <w:t>（企业名称）</w:t>
      </w:r>
      <w:r>
        <w:rPr>
          <w:rFonts w:hint="eastAsia" w:ascii="宋体" w:hAnsi="宋体"/>
          <w:kern w:val="0"/>
          <w:sz w:val="24"/>
          <w:u w:val="none"/>
          <w:lang w:val="en-US" w:eastAsia="zh-CN" w:bidi="ar"/>
        </w:rPr>
        <w:t>，从业人员人，营业收入为万元，资产总额为万元，属于</w:t>
      </w:r>
      <w:r>
        <w:rPr>
          <w:rFonts w:hint="eastAsia" w:ascii="宋体" w:hAnsi="宋体"/>
          <w:kern w:val="0"/>
          <w:sz w:val="24"/>
          <w:u w:val="single"/>
          <w:lang w:val="en-US" w:eastAsia="zh-CN" w:bidi="ar"/>
        </w:rPr>
        <w:t>（中型企业、小型企业、微型企业）</w:t>
      </w:r>
      <w:r>
        <w:rPr>
          <w:rFonts w:hint="eastAsia" w:ascii="宋体" w:hAnsi="宋体"/>
          <w:kern w:val="0"/>
          <w:sz w:val="24"/>
          <w:u w:val="none"/>
          <w:lang w:val="en-US" w:eastAsia="zh-CN" w:bidi="ar"/>
        </w:rPr>
        <w:t>；</w:t>
      </w:r>
    </w:p>
    <w:p w14:paraId="56BDEE32">
      <w:pPr>
        <w:numPr>
          <w:ilvl w:val="0"/>
          <w:numId w:val="0"/>
        </w:numPr>
        <w:tabs>
          <w:tab w:val="left" w:pos="1620"/>
          <w:tab w:val="left" w:pos="1800"/>
        </w:tabs>
        <w:spacing w:line="500" w:lineRule="exact"/>
        <w:ind w:firstLine="480" w:firstLineChars="200"/>
        <w:rPr>
          <w:rFonts w:hAnsi="宋体"/>
        </w:rPr>
      </w:pPr>
      <w:r>
        <w:rPr>
          <w:rFonts w:hint="eastAsia" w:ascii="宋体" w:hAnsi="宋体"/>
          <w:kern w:val="0"/>
          <w:sz w:val="24"/>
          <w:u w:val="none"/>
          <w:lang w:val="en-US" w:eastAsia="zh-CN" w:bidi="ar"/>
        </w:rPr>
        <w:t>2.</w:t>
      </w:r>
      <w:r>
        <w:rPr>
          <w:rFonts w:hint="eastAsia" w:ascii="宋体" w:hAnsi="宋体"/>
          <w:kern w:val="0"/>
          <w:sz w:val="24"/>
          <w:u w:val="single"/>
          <w:lang w:eastAsia="zh-CN" w:bidi="ar"/>
        </w:rPr>
        <w:t>（</w:t>
      </w:r>
      <w:r>
        <w:rPr>
          <w:rFonts w:hint="eastAsia" w:ascii="宋体" w:hAnsi="宋体"/>
          <w:kern w:val="0"/>
          <w:sz w:val="24"/>
          <w:u w:val="single"/>
          <w:lang w:val="en-US" w:eastAsia="zh-CN" w:bidi="ar"/>
        </w:rPr>
        <w:t>标的名称</w:t>
      </w:r>
      <w:r>
        <w:rPr>
          <w:rFonts w:hint="eastAsia" w:ascii="宋体" w:hAnsi="宋体"/>
          <w:kern w:val="0"/>
          <w:sz w:val="24"/>
          <w:u w:val="single"/>
          <w:lang w:eastAsia="zh-CN" w:bidi="ar"/>
        </w:rPr>
        <w:t>），</w:t>
      </w:r>
      <w:r>
        <w:rPr>
          <w:rFonts w:hint="eastAsia" w:ascii="宋体" w:hAnsi="宋体"/>
          <w:kern w:val="0"/>
          <w:sz w:val="24"/>
          <w:u w:val="none"/>
          <w:lang w:val="en-US" w:eastAsia="zh-CN" w:bidi="ar"/>
        </w:rPr>
        <w:t>属于</w:t>
      </w:r>
      <w:r>
        <w:rPr>
          <w:rFonts w:hint="eastAsia" w:ascii="宋体" w:hAnsi="宋体"/>
          <w:kern w:val="0"/>
          <w:sz w:val="24"/>
          <w:u w:val="single"/>
          <w:lang w:val="en-US" w:eastAsia="zh-CN" w:bidi="ar"/>
        </w:rPr>
        <w:t>（采购文件中明确的所属行业）</w:t>
      </w:r>
      <w:r>
        <w:rPr>
          <w:rFonts w:hint="eastAsia" w:ascii="宋体" w:hAnsi="宋体"/>
          <w:kern w:val="0"/>
          <w:sz w:val="24"/>
          <w:u w:val="none"/>
          <w:lang w:val="en-US" w:eastAsia="zh-CN" w:bidi="ar"/>
        </w:rPr>
        <w:t>；承建（承接）企业为</w:t>
      </w:r>
      <w:r>
        <w:rPr>
          <w:rFonts w:hint="eastAsia" w:ascii="宋体" w:hAnsi="宋体"/>
          <w:kern w:val="0"/>
          <w:sz w:val="24"/>
          <w:u w:val="single"/>
          <w:lang w:val="en-US" w:eastAsia="zh-CN" w:bidi="ar"/>
        </w:rPr>
        <w:t>（企业名称）</w:t>
      </w:r>
      <w:r>
        <w:rPr>
          <w:rFonts w:hint="eastAsia" w:ascii="宋体" w:hAnsi="宋体"/>
          <w:kern w:val="0"/>
          <w:sz w:val="24"/>
          <w:u w:val="none"/>
          <w:lang w:val="en-US" w:eastAsia="zh-CN" w:bidi="ar"/>
        </w:rPr>
        <w:t>，从业人员人，营业收入为万元，资产总额为万元，属于</w:t>
      </w:r>
      <w:r>
        <w:rPr>
          <w:rFonts w:hint="eastAsia" w:ascii="宋体" w:hAnsi="宋体"/>
          <w:kern w:val="0"/>
          <w:sz w:val="24"/>
          <w:u w:val="single"/>
          <w:lang w:val="en-US" w:eastAsia="zh-CN" w:bidi="ar"/>
        </w:rPr>
        <w:t>（中型企业、小型企业、微型企业）</w:t>
      </w:r>
      <w:r>
        <w:rPr>
          <w:rFonts w:hint="eastAsia" w:ascii="宋体" w:hAnsi="宋体"/>
          <w:kern w:val="0"/>
          <w:sz w:val="24"/>
          <w:u w:val="none"/>
          <w:lang w:val="en-US" w:eastAsia="zh-CN" w:bidi="ar"/>
        </w:rPr>
        <w:t>；</w:t>
      </w:r>
    </w:p>
    <w:p w14:paraId="6892D919">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pPr>
      <w:r>
        <w:rPr>
          <w:rFonts w:hint="eastAsia" w:ascii="宋体" w:hAnsi="宋体"/>
          <w:kern w:val="0"/>
          <w:sz w:val="24"/>
          <w:u w:val="none"/>
          <w:lang w:val="en-US" w:eastAsia="zh-CN" w:bidi="ar"/>
        </w:rPr>
        <w:t>……</w:t>
      </w:r>
    </w:p>
    <w:p w14:paraId="5943F72B">
      <w:pPr>
        <w:spacing w:line="500" w:lineRule="exact"/>
        <w:ind w:firstLine="480" w:firstLineChars="200"/>
        <w:rPr>
          <w:rFonts w:hint="default" w:hAnsi="宋体" w:eastAsia="宋体"/>
          <w:szCs w:val="21"/>
          <w:lang w:val="en-US" w:eastAsia="zh-CN"/>
        </w:rPr>
      </w:pPr>
      <w:r>
        <w:rPr>
          <w:rFonts w:hint="eastAsia" w:ascii="宋体" w:hAnsi="宋体"/>
          <w:kern w:val="0"/>
          <w:sz w:val="24"/>
          <w:szCs w:val="21"/>
          <w:lang w:val="en-US" w:eastAsia="zh-CN" w:bidi="ar"/>
        </w:rPr>
        <w:t>以上企业，不属于大企业的分支机构，不存在控股股东为大企业的情形，也不存在与大企业的负责人为同一人的情形。</w:t>
      </w:r>
    </w:p>
    <w:p w14:paraId="79116FA2">
      <w:pPr>
        <w:tabs>
          <w:tab w:val="left" w:pos="1620"/>
          <w:tab w:val="left" w:pos="1800"/>
        </w:tabs>
        <w:spacing w:line="500" w:lineRule="exact"/>
        <w:ind w:firstLine="480"/>
        <w:rPr>
          <w:rFonts w:hAnsi="宋体"/>
        </w:rPr>
      </w:pPr>
      <w:r>
        <w:rPr>
          <w:rFonts w:hint="eastAsia" w:ascii="宋体" w:hAnsi="宋体"/>
          <w:kern w:val="0"/>
          <w:sz w:val="24"/>
          <w:lang w:bidi="ar"/>
        </w:rPr>
        <w:t>本</w:t>
      </w:r>
      <w:r>
        <w:rPr>
          <w:rFonts w:hint="eastAsia" w:ascii="宋体" w:hAnsi="宋体"/>
          <w:kern w:val="0"/>
          <w:sz w:val="24"/>
          <w:lang w:val="en-US" w:eastAsia="zh-CN" w:bidi="ar"/>
        </w:rPr>
        <w:t>企业</w:t>
      </w:r>
      <w:r>
        <w:rPr>
          <w:rFonts w:hint="eastAsia" w:ascii="宋体" w:hAnsi="宋体"/>
          <w:kern w:val="0"/>
          <w:sz w:val="24"/>
          <w:lang w:bidi="ar"/>
        </w:rPr>
        <w:t>对上述声明的真实性负责。如有虚假，将依法承担相应责任。</w:t>
      </w:r>
    </w:p>
    <w:p w14:paraId="7AD762B9">
      <w:pPr>
        <w:tabs>
          <w:tab w:val="left" w:pos="1620"/>
          <w:tab w:val="left" w:pos="1800"/>
        </w:tabs>
        <w:spacing w:line="500" w:lineRule="exact"/>
        <w:ind w:firstLine="5280" w:firstLineChars="2200"/>
        <w:rPr>
          <w:rFonts w:hint="eastAsia" w:ascii="宋体" w:hAnsi="宋体"/>
          <w:kern w:val="0"/>
          <w:sz w:val="24"/>
          <w:lang w:val="en-US" w:eastAsia="zh-CN" w:bidi="ar"/>
        </w:rPr>
      </w:pPr>
    </w:p>
    <w:p w14:paraId="0B031CE7">
      <w:pPr>
        <w:tabs>
          <w:tab w:val="left" w:pos="1620"/>
          <w:tab w:val="left" w:pos="1800"/>
        </w:tabs>
        <w:spacing w:line="500" w:lineRule="exact"/>
        <w:ind w:firstLine="5280" w:firstLineChars="2200"/>
        <w:rPr>
          <w:rFonts w:hAnsi="宋体"/>
        </w:rPr>
      </w:pPr>
      <w:r>
        <w:rPr>
          <w:rFonts w:hint="eastAsia" w:ascii="宋体" w:hAnsi="宋体"/>
          <w:kern w:val="0"/>
          <w:sz w:val="24"/>
          <w:lang w:val="en-US" w:eastAsia="zh-CN" w:bidi="ar"/>
        </w:rPr>
        <w:t>企业</w:t>
      </w:r>
      <w:r>
        <w:rPr>
          <w:rFonts w:hint="eastAsia" w:ascii="宋体" w:hAnsi="宋体"/>
          <w:kern w:val="0"/>
          <w:sz w:val="24"/>
          <w:lang w:bidi="ar"/>
        </w:rPr>
        <w:t>名称（公章）：</w:t>
      </w:r>
    </w:p>
    <w:p w14:paraId="3F5A1729">
      <w:pPr>
        <w:tabs>
          <w:tab w:val="left" w:pos="1620"/>
          <w:tab w:val="left" w:pos="1800"/>
        </w:tabs>
        <w:spacing w:line="500" w:lineRule="exact"/>
        <w:rPr>
          <w:rFonts w:hAnsi="宋体"/>
          <w:u w:val="single"/>
        </w:rPr>
      </w:pPr>
      <w:r>
        <w:rPr>
          <w:rFonts w:hint="eastAsia" w:ascii="宋体" w:hAnsi="宋体"/>
          <w:kern w:val="0"/>
          <w:sz w:val="24"/>
          <w:lang w:bidi="ar"/>
        </w:rPr>
        <w:t>日期：</w:t>
      </w:r>
    </w:p>
    <w:p w14:paraId="71E67C89">
      <w:pPr>
        <w:tabs>
          <w:tab w:val="left" w:pos="1620"/>
          <w:tab w:val="left" w:pos="1800"/>
        </w:tabs>
        <w:spacing w:line="500" w:lineRule="exact"/>
        <w:rPr>
          <w:rFonts w:hAnsi="宋体"/>
          <w:b/>
          <w:szCs w:val="21"/>
        </w:rPr>
      </w:pPr>
    </w:p>
    <w:p w14:paraId="586FB6B6">
      <w:pPr>
        <w:spacing w:line="500" w:lineRule="exact"/>
        <w:ind w:firstLine="480" w:firstLineChars="200"/>
        <w:rPr>
          <w:rFonts w:hint="eastAsia" w:ascii="宋体" w:hAnsi="宋体" w:eastAsia="宋体" w:cs="Times New Roman"/>
          <w:kern w:val="0"/>
          <w:sz w:val="24"/>
          <w:szCs w:val="21"/>
          <w:lang w:val="en-US" w:eastAsia="zh-CN" w:bidi="ar"/>
        </w:rPr>
      </w:pPr>
    </w:p>
    <w:p w14:paraId="78DA14D7">
      <w:pPr>
        <w:spacing w:line="500" w:lineRule="exact"/>
        <w:ind w:firstLine="480" w:firstLineChars="200"/>
        <w:rPr>
          <w:rFonts w:hint="eastAsia" w:ascii="宋体" w:hAnsi="宋体" w:eastAsia="宋体" w:cs="Times New Roman"/>
          <w:kern w:val="0"/>
          <w:sz w:val="24"/>
          <w:szCs w:val="21"/>
          <w:lang w:val="en-US" w:eastAsia="zh-CN" w:bidi="ar"/>
        </w:rPr>
      </w:pPr>
    </w:p>
    <w:p w14:paraId="30F1CE0B">
      <w:pPr>
        <w:spacing w:line="500" w:lineRule="exact"/>
        <w:ind w:firstLine="480" w:firstLineChars="200"/>
        <w:rPr>
          <w:rFonts w:hint="eastAsia" w:ascii="宋体" w:hAnsi="宋体" w:eastAsia="宋体" w:cs="Times New Roman"/>
          <w:kern w:val="0"/>
          <w:sz w:val="24"/>
          <w:szCs w:val="21"/>
          <w:lang w:val="en-US" w:eastAsia="zh-CN" w:bidi="ar"/>
        </w:rPr>
      </w:pPr>
    </w:p>
    <w:p w14:paraId="33BB3D1D">
      <w:pPr>
        <w:spacing w:line="500" w:lineRule="exact"/>
        <w:rPr>
          <w:rFonts w:hint="eastAsia" w:ascii="宋体" w:hAnsi="宋体" w:eastAsia="宋体" w:cs="Times New Roman"/>
          <w:kern w:val="0"/>
          <w:sz w:val="24"/>
          <w:szCs w:val="21"/>
          <w:lang w:val="en-US" w:eastAsia="zh-CN" w:bidi="ar"/>
        </w:rPr>
      </w:pPr>
      <w:r>
        <w:rPr>
          <w:rFonts w:hint="eastAsia" w:ascii="宋体" w:hAnsi="宋体" w:eastAsia="宋体" w:cs="Times New Roman"/>
          <w:kern w:val="0"/>
          <w:sz w:val="24"/>
          <w:szCs w:val="21"/>
          <w:lang w:val="en-US" w:eastAsia="zh-CN" w:bidi="ar"/>
        </w:rPr>
        <w:t>注：从业人员、营业收入、资产总额填报上一年度数据，无上一年度数据的新成立企业可不填报。</w:t>
      </w:r>
    </w:p>
    <w:p w14:paraId="6A86AF3D">
      <w:pPr>
        <w:spacing w:line="500" w:lineRule="exact"/>
        <w:ind w:firstLine="480" w:firstLineChars="200"/>
        <w:rPr>
          <w:rFonts w:hint="eastAsia" w:ascii="宋体" w:hAnsi="宋体" w:eastAsia="宋体" w:cs="宋体"/>
          <w:i w:val="0"/>
          <w:iCs w:val="0"/>
          <w:color w:val="auto"/>
          <w:kern w:val="0"/>
          <w:sz w:val="24"/>
          <w:szCs w:val="21"/>
          <w:lang w:val="en-US" w:eastAsia="zh-CN" w:bidi="ar"/>
        </w:rPr>
      </w:pPr>
    </w:p>
    <w:p w14:paraId="7C48E47C">
      <w:pPr>
        <w:spacing w:before="100" w:beforeAutospacing="1" w:after="156" w:afterLines="50" w:line="360" w:lineRule="auto"/>
        <w:rPr>
          <w:rFonts w:hint="eastAsia" w:ascii="宋体" w:hAnsi="宋体" w:eastAsia="宋体" w:cs="宋体"/>
          <w:b/>
          <w:i w:val="0"/>
          <w:iCs w:val="0"/>
          <w:color w:val="auto"/>
          <w:spacing w:val="6"/>
          <w:kern w:val="0"/>
          <w:sz w:val="30"/>
          <w:szCs w:val="30"/>
          <w:lang w:bidi="ar"/>
        </w:rPr>
        <w:sectPr>
          <w:footerReference r:id="rId22" w:type="default"/>
          <w:pgSz w:w="11906" w:h="16838"/>
          <w:pgMar w:top="1440" w:right="1800" w:bottom="1440" w:left="1800" w:header="851" w:footer="992" w:gutter="0"/>
          <w:pgNumType w:fmt="decimal"/>
          <w:cols w:space="720" w:num="1"/>
          <w:docGrid w:type="lines" w:linePitch="312" w:charSpace="0"/>
        </w:sectPr>
      </w:pPr>
    </w:p>
    <w:p w14:paraId="0F3D93F3">
      <w:pPr>
        <w:spacing w:before="100" w:beforeAutospacing="1" w:after="156" w:afterLines="50" w:line="360" w:lineRule="auto"/>
        <w:rPr>
          <w:rFonts w:hint="eastAsia" w:ascii="宋体" w:hAnsi="宋体" w:eastAsia="宋体" w:cs="宋体"/>
          <w:b/>
          <w:i w:val="0"/>
          <w:iCs w:val="0"/>
          <w:color w:val="auto"/>
          <w:spacing w:val="6"/>
          <w:sz w:val="30"/>
          <w:szCs w:val="30"/>
        </w:rPr>
      </w:pPr>
      <w:r>
        <w:rPr>
          <w:rFonts w:hint="eastAsia" w:ascii="宋体" w:hAnsi="宋体" w:eastAsia="宋体" w:cs="宋体"/>
          <w:b/>
          <w:i w:val="0"/>
          <w:iCs w:val="0"/>
          <w:color w:val="auto"/>
          <w:spacing w:val="6"/>
          <w:kern w:val="0"/>
          <w:sz w:val="30"/>
          <w:szCs w:val="30"/>
          <w:lang w:bidi="ar"/>
        </w:rPr>
        <w:t>附件2：</w:t>
      </w:r>
    </w:p>
    <w:p w14:paraId="686B3DBE">
      <w:pPr>
        <w:spacing w:line="588" w:lineRule="exact"/>
        <w:jc w:val="center"/>
        <w:rPr>
          <w:rFonts w:hint="eastAsia" w:ascii="宋体" w:hAnsi="宋体" w:eastAsia="宋体" w:cs="宋体"/>
          <w:b/>
          <w:i w:val="0"/>
          <w:iCs w:val="0"/>
          <w:color w:val="auto"/>
          <w:spacing w:val="6"/>
          <w:sz w:val="32"/>
          <w:szCs w:val="32"/>
        </w:rPr>
      </w:pPr>
      <w:bookmarkStart w:id="285" w:name="OLE_LINK14"/>
      <w:bookmarkStart w:id="286" w:name="OLE_LINK13"/>
      <w:r>
        <w:rPr>
          <w:rFonts w:hint="eastAsia" w:ascii="宋体" w:hAnsi="宋体" w:eastAsia="宋体" w:cs="宋体"/>
          <w:b/>
          <w:i w:val="0"/>
          <w:iCs w:val="0"/>
          <w:color w:val="auto"/>
          <w:spacing w:val="6"/>
          <w:kern w:val="0"/>
          <w:sz w:val="32"/>
          <w:szCs w:val="32"/>
          <w:lang w:bidi="ar"/>
        </w:rPr>
        <w:t>残疾人福利性单位声明函</w:t>
      </w:r>
    </w:p>
    <w:bookmarkEnd w:id="285"/>
    <w:bookmarkEnd w:id="286"/>
    <w:p w14:paraId="3F4AB1E3">
      <w:pPr>
        <w:spacing w:line="588" w:lineRule="exact"/>
        <w:rPr>
          <w:rFonts w:hint="eastAsia" w:ascii="宋体" w:hAnsi="宋体" w:eastAsia="宋体" w:cs="宋体"/>
          <w:b/>
          <w:i w:val="0"/>
          <w:iCs w:val="0"/>
          <w:color w:val="auto"/>
          <w:spacing w:val="6"/>
          <w:sz w:val="30"/>
          <w:szCs w:val="30"/>
        </w:rPr>
      </w:pPr>
    </w:p>
    <w:p w14:paraId="2148F152">
      <w:pPr>
        <w:spacing w:line="588" w:lineRule="exact"/>
        <w:ind w:firstLine="504" w:firstLineChars="200"/>
        <w:rPr>
          <w:rFonts w:hint="eastAsia" w:ascii="宋体" w:hAnsi="宋体" w:eastAsia="宋体" w:cs="宋体"/>
          <w:i w:val="0"/>
          <w:iCs w:val="0"/>
          <w:color w:val="auto"/>
          <w:spacing w:val="6"/>
        </w:rPr>
      </w:pPr>
      <w:r>
        <w:rPr>
          <w:rFonts w:hint="eastAsia" w:ascii="宋体" w:hAnsi="宋体" w:eastAsia="宋体" w:cs="宋体"/>
          <w:i w:val="0"/>
          <w:iCs w:val="0"/>
          <w:color w:val="auto"/>
          <w:spacing w:val="6"/>
          <w:kern w:val="0"/>
          <w:sz w:val="24"/>
          <w:lang w:bidi="ar"/>
        </w:rPr>
        <w:t>本单位郑重声明，根据《财政部民政部中国残疾人联合会关于促进残疾人就业政府采购政策的通知》（财库</w:t>
      </w:r>
      <w:r>
        <w:rPr>
          <w:rFonts w:hint="eastAsia" w:ascii="宋体" w:hAnsi="宋体" w:eastAsia="宋体" w:cs="宋体"/>
          <w:i w:val="0"/>
          <w:iCs w:val="0"/>
          <w:color w:val="auto"/>
          <w:kern w:val="0"/>
          <w:sz w:val="24"/>
          <w:lang w:bidi="ar"/>
        </w:rPr>
        <w:t>〔2017〕141</w:t>
      </w:r>
      <w:r>
        <w:rPr>
          <w:rFonts w:hint="eastAsia" w:ascii="宋体" w:hAnsi="宋体" w:eastAsia="宋体" w:cs="宋体"/>
          <w:i w:val="0"/>
          <w:iCs w:val="0"/>
          <w:color w:val="auto"/>
          <w:spacing w:val="6"/>
          <w:kern w:val="0"/>
          <w:sz w:val="24"/>
          <w:lang w:bidi="ar"/>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F62625">
      <w:pPr>
        <w:spacing w:line="588" w:lineRule="exact"/>
        <w:ind w:firstLine="504" w:firstLineChars="200"/>
        <w:rPr>
          <w:rFonts w:hint="eastAsia" w:ascii="宋体" w:hAnsi="宋体" w:eastAsia="宋体" w:cs="宋体"/>
          <w:i w:val="0"/>
          <w:iCs w:val="0"/>
          <w:color w:val="auto"/>
          <w:spacing w:val="6"/>
        </w:rPr>
      </w:pPr>
      <w:r>
        <w:rPr>
          <w:rFonts w:hint="eastAsia" w:ascii="宋体" w:hAnsi="宋体" w:eastAsia="宋体" w:cs="宋体"/>
          <w:i w:val="0"/>
          <w:iCs w:val="0"/>
          <w:color w:val="auto"/>
          <w:spacing w:val="6"/>
          <w:kern w:val="0"/>
          <w:sz w:val="24"/>
          <w:lang w:bidi="ar"/>
        </w:rPr>
        <w:t>本单位对上述声明的真实性负责。如有虚假，将依法承担相应责任。</w:t>
      </w:r>
    </w:p>
    <w:p w14:paraId="5EDE71EF">
      <w:pPr>
        <w:spacing w:line="588" w:lineRule="exact"/>
        <w:ind w:firstLine="444" w:firstLineChars="200"/>
        <w:rPr>
          <w:rFonts w:hint="eastAsia" w:ascii="宋体" w:hAnsi="宋体" w:eastAsia="宋体" w:cs="宋体"/>
          <w:i w:val="0"/>
          <w:iCs w:val="0"/>
          <w:color w:val="auto"/>
          <w:spacing w:val="6"/>
        </w:rPr>
      </w:pPr>
    </w:p>
    <w:p w14:paraId="4F7BF909">
      <w:pPr>
        <w:spacing w:line="588" w:lineRule="exact"/>
        <w:ind w:firstLine="444" w:firstLineChars="200"/>
        <w:rPr>
          <w:rFonts w:hint="eastAsia" w:ascii="宋体" w:hAnsi="宋体" w:eastAsia="宋体" w:cs="宋体"/>
          <w:i w:val="0"/>
          <w:iCs w:val="0"/>
          <w:color w:val="auto"/>
          <w:spacing w:val="6"/>
        </w:rPr>
      </w:pPr>
    </w:p>
    <w:p w14:paraId="2242C58E">
      <w:pPr>
        <w:spacing w:line="588" w:lineRule="exact"/>
        <w:ind w:firstLine="444" w:firstLineChars="200"/>
        <w:rPr>
          <w:rFonts w:hint="eastAsia" w:ascii="宋体" w:hAnsi="宋体" w:eastAsia="宋体" w:cs="宋体"/>
          <w:i w:val="0"/>
          <w:iCs w:val="0"/>
          <w:color w:val="auto"/>
          <w:spacing w:val="6"/>
        </w:rPr>
      </w:pPr>
    </w:p>
    <w:p w14:paraId="4EAB090D">
      <w:pPr>
        <w:spacing w:line="588" w:lineRule="exact"/>
        <w:ind w:firstLine="444" w:firstLineChars="200"/>
        <w:rPr>
          <w:rFonts w:hint="eastAsia" w:ascii="宋体" w:hAnsi="宋体" w:eastAsia="宋体" w:cs="宋体"/>
          <w:i w:val="0"/>
          <w:iCs w:val="0"/>
          <w:color w:val="auto"/>
          <w:spacing w:val="6"/>
        </w:rPr>
      </w:pPr>
    </w:p>
    <w:p w14:paraId="4705DEA1">
      <w:pPr>
        <w:tabs>
          <w:tab w:val="left" w:pos="4860"/>
        </w:tabs>
        <w:spacing w:line="588" w:lineRule="exact"/>
        <w:ind w:right="1560" w:firstLine="504" w:firstLineChars="200"/>
        <w:jc w:val="center"/>
        <w:rPr>
          <w:rFonts w:hint="eastAsia" w:ascii="宋体" w:hAnsi="宋体" w:eastAsia="宋体" w:cs="宋体"/>
          <w:i w:val="0"/>
          <w:iCs w:val="0"/>
          <w:color w:val="auto"/>
          <w:spacing w:val="6"/>
        </w:rPr>
      </w:pPr>
      <w:r>
        <w:rPr>
          <w:rFonts w:hint="eastAsia" w:ascii="宋体" w:hAnsi="宋体" w:eastAsia="宋体" w:cs="宋体"/>
          <w:i w:val="0"/>
          <w:iCs w:val="0"/>
          <w:color w:val="auto"/>
          <w:spacing w:val="6"/>
          <w:kern w:val="0"/>
          <w:sz w:val="24"/>
          <w:lang w:bidi="ar"/>
        </w:rPr>
        <w:t>单位名称（盖章）：</w:t>
      </w:r>
    </w:p>
    <w:p w14:paraId="5E798CA2">
      <w:pPr>
        <w:tabs>
          <w:tab w:val="left" w:pos="4860"/>
        </w:tabs>
        <w:spacing w:line="588" w:lineRule="exact"/>
        <w:ind w:right="1560" w:firstLine="504" w:firstLineChars="200"/>
        <w:jc w:val="center"/>
        <w:rPr>
          <w:rFonts w:hint="eastAsia" w:ascii="宋体" w:hAnsi="宋体" w:eastAsia="宋体" w:cs="宋体"/>
          <w:i w:val="0"/>
          <w:iCs w:val="0"/>
          <w:color w:val="auto"/>
          <w:spacing w:val="6"/>
        </w:rPr>
      </w:pPr>
      <w:r>
        <w:rPr>
          <w:rFonts w:hint="eastAsia" w:ascii="宋体" w:hAnsi="宋体" w:eastAsia="宋体" w:cs="宋体"/>
          <w:i w:val="0"/>
          <w:iCs w:val="0"/>
          <w:color w:val="auto"/>
          <w:spacing w:val="6"/>
          <w:kern w:val="0"/>
          <w:sz w:val="24"/>
          <w:lang w:bidi="ar"/>
        </w:rPr>
        <w:t>日期：</w:t>
      </w:r>
    </w:p>
    <w:p w14:paraId="752DE96E">
      <w:pPr>
        <w:tabs>
          <w:tab w:val="left" w:pos="1620"/>
          <w:tab w:val="left" w:pos="1800"/>
        </w:tabs>
        <w:spacing w:line="440" w:lineRule="exact"/>
        <w:ind w:right="540" w:rightChars="257"/>
        <w:rPr>
          <w:rFonts w:hint="eastAsia" w:ascii="宋体" w:hAnsi="宋体" w:eastAsia="宋体" w:cs="宋体"/>
          <w:i w:val="0"/>
          <w:iCs w:val="0"/>
          <w:color w:val="auto"/>
        </w:rPr>
      </w:pPr>
    </w:p>
    <w:p w14:paraId="0F526A0F">
      <w:pPr>
        <w:tabs>
          <w:tab w:val="left" w:pos="1620"/>
          <w:tab w:val="left" w:pos="1800"/>
        </w:tabs>
        <w:spacing w:line="440" w:lineRule="exact"/>
        <w:ind w:right="540" w:rightChars="257"/>
        <w:rPr>
          <w:rFonts w:hint="eastAsia" w:ascii="宋体" w:hAnsi="宋体" w:eastAsia="宋体" w:cs="宋体"/>
          <w:i w:val="0"/>
          <w:iCs w:val="0"/>
          <w:color w:val="auto"/>
        </w:rPr>
      </w:pPr>
    </w:p>
    <w:p w14:paraId="02BC6792">
      <w:pPr>
        <w:spacing w:line="520" w:lineRule="exact"/>
        <w:ind w:right="620"/>
        <w:jc w:val="right"/>
        <w:rPr>
          <w:rFonts w:hint="eastAsia" w:ascii="宋体" w:hAnsi="宋体" w:eastAsia="宋体" w:cs="宋体"/>
          <w:i w:val="0"/>
          <w:iCs w:val="0"/>
          <w:color w:val="auto"/>
        </w:rPr>
      </w:pPr>
    </w:p>
    <w:p w14:paraId="0E73CB32">
      <w:pPr>
        <w:pStyle w:val="10"/>
        <w:widowControl/>
        <w:rPr>
          <w:rFonts w:hint="eastAsia" w:ascii="宋体" w:hAnsi="宋体" w:eastAsia="宋体" w:cs="宋体"/>
          <w:i w:val="0"/>
          <w:iCs w:val="0"/>
          <w:color w:val="auto"/>
        </w:rPr>
      </w:pPr>
    </w:p>
    <w:p w14:paraId="689310E9">
      <w:pPr>
        <w:pStyle w:val="10"/>
        <w:widowControl/>
        <w:rPr>
          <w:rFonts w:hint="eastAsia" w:ascii="宋体" w:hAnsi="宋体" w:eastAsia="宋体" w:cs="宋体"/>
          <w:i w:val="0"/>
          <w:iCs w:val="0"/>
          <w:color w:val="auto"/>
        </w:rPr>
      </w:pPr>
    </w:p>
    <w:p w14:paraId="1A398856">
      <w:pPr>
        <w:pStyle w:val="10"/>
        <w:widowControl/>
        <w:rPr>
          <w:rFonts w:hint="eastAsia" w:ascii="宋体" w:hAnsi="宋体" w:eastAsia="宋体" w:cs="宋体"/>
          <w:i w:val="0"/>
          <w:iCs w:val="0"/>
          <w:color w:val="auto"/>
        </w:rPr>
      </w:pPr>
    </w:p>
    <w:p w14:paraId="38EFD6FF">
      <w:pPr>
        <w:pStyle w:val="10"/>
        <w:widowControl/>
        <w:rPr>
          <w:rFonts w:hint="eastAsia" w:ascii="宋体" w:hAnsi="宋体" w:eastAsia="宋体" w:cs="宋体"/>
          <w:i w:val="0"/>
          <w:iCs w:val="0"/>
          <w:color w:val="auto"/>
        </w:rPr>
      </w:pPr>
    </w:p>
    <w:p w14:paraId="2D668720">
      <w:pPr>
        <w:rPr>
          <w:rFonts w:hint="eastAsia"/>
        </w:rPr>
      </w:pPr>
    </w:p>
    <w:p w14:paraId="3B92E6D9">
      <w:pPr>
        <w:pStyle w:val="10"/>
        <w:widowControl/>
        <w:rPr>
          <w:rFonts w:hint="eastAsia" w:ascii="宋体" w:hAnsi="宋体" w:eastAsia="宋体" w:cs="宋体"/>
          <w:i w:val="0"/>
          <w:iCs w:val="0"/>
          <w:color w:val="auto"/>
        </w:rPr>
      </w:pPr>
    </w:p>
    <w:p w14:paraId="3B7A0DA7">
      <w:pPr>
        <w:pStyle w:val="10"/>
        <w:widowControl/>
        <w:rPr>
          <w:rFonts w:hint="eastAsia" w:ascii="宋体" w:hAnsi="宋体" w:eastAsia="宋体" w:cs="宋体"/>
          <w:i w:val="0"/>
          <w:iCs w:val="0"/>
          <w:color w:val="auto"/>
        </w:rPr>
      </w:pPr>
    </w:p>
    <w:p w14:paraId="6A1E67E0">
      <w:pPr>
        <w:pStyle w:val="10"/>
        <w:widowControl/>
        <w:rPr>
          <w:rFonts w:hint="eastAsia" w:ascii="宋体" w:hAnsi="宋体" w:eastAsia="宋体" w:cs="宋体"/>
          <w:i w:val="0"/>
          <w:iCs w:val="0"/>
          <w:color w:val="auto"/>
        </w:rPr>
      </w:pPr>
    </w:p>
    <w:p w14:paraId="4E0538D9">
      <w:pPr>
        <w:spacing w:before="100" w:beforeAutospacing="1" w:after="156" w:afterLines="50" w:line="360" w:lineRule="auto"/>
        <w:rPr>
          <w:rFonts w:hint="eastAsia" w:ascii="宋体" w:hAnsi="宋体" w:eastAsia="宋体" w:cs="宋体"/>
          <w:b/>
          <w:i w:val="0"/>
          <w:iCs w:val="0"/>
          <w:color w:val="auto"/>
          <w:spacing w:val="6"/>
          <w:sz w:val="30"/>
          <w:szCs w:val="30"/>
        </w:rPr>
      </w:pPr>
      <w:r>
        <w:rPr>
          <w:rFonts w:hint="eastAsia" w:ascii="宋体" w:hAnsi="宋体" w:eastAsia="宋体" w:cs="宋体"/>
          <w:b/>
          <w:i w:val="0"/>
          <w:iCs w:val="0"/>
          <w:color w:val="auto"/>
          <w:spacing w:val="6"/>
          <w:kern w:val="0"/>
          <w:sz w:val="30"/>
          <w:szCs w:val="30"/>
          <w:lang w:bidi="ar"/>
        </w:rPr>
        <w:t>附件3：</w:t>
      </w:r>
    </w:p>
    <w:p w14:paraId="7C00AF43">
      <w:pPr>
        <w:pStyle w:val="10"/>
        <w:widowControl/>
        <w:jc w:val="center"/>
        <w:rPr>
          <w:rFonts w:hint="eastAsia" w:ascii="宋体" w:hAnsi="宋体" w:eastAsia="宋体" w:cs="宋体"/>
          <w:b/>
          <w:i w:val="0"/>
          <w:iCs w:val="0"/>
          <w:color w:val="auto"/>
          <w:spacing w:val="6"/>
          <w:sz w:val="32"/>
          <w:szCs w:val="32"/>
        </w:rPr>
      </w:pPr>
      <w:r>
        <w:rPr>
          <w:rFonts w:hint="eastAsia" w:ascii="宋体" w:hAnsi="宋体" w:eastAsia="宋体" w:cs="宋体"/>
          <w:b/>
          <w:i w:val="0"/>
          <w:iCs w:val="0"/>
          <w:color w:val="auto"/>
          <w:spacing w:val="6"/>
          <w:sz w:val="32"/>
          <w:szCs w:val="32"/>
        </w:rPr>
        <w:t>监狱企业证明</w:t>
      </w:r>
    </w:p>
    <w:p w14:paraId="6C806CB7">
      <w:pPr>
        <w:pStyle w:val="10"/>
        <w:widowControl/>
        <w:rPr>
          <w:rFonts w:hint="eastAsia" w:ascii="宋体" w:hAnsi="宋体" w:eastAsia="宋体" w:cs="宋体"/>
          <w:b/>
          <w:i w:val="0"/>
          <w:iCs w:val="0"/>
          <w:color w:val="auto"/>
          <w:spacing w:val="6"/>
          <w:sz w:val="32"/>
          <w:szCs w:val="32"/>
        </w:rPr>
      </w:pPr>
    </w:p>
    <w:p w14:paraId="27884821">
      <w:pPr>
        <w:pStyle w:val="10"/>
        <w:widowControl/>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注：由省级及以上监狱管理局、戒毒管理局出具。格式自拟。</w:t>
      </w:r>
    </w:p>
    <w:p w14:paraId="6E61B325">
      <w:pPr>
        <w:pStyle w:val="10"/>
        <w:widowControl/>
        <w:rPr>
          <w:rFonts w:hint="eastAsia" w:ascii="宋体" w:hAnsi="宋体" w:eastAsia="宋体" w:cs="宋体"/>
          <w:i w:val="0"/>
          <w:iCs w:val="0"/>
          <w:color w:val="auto"/>
        </w:rPr>
      </w:pPr>
    </w:p>
    <w:p w14:paraId="253D9614">
      <w:pPr>
        <w:rPr>
          <w:rFonts w:hint="eastAsia" w:ascii="宋体" w:hAnsi="宋体" w:eastAsia="宋体" w:cs="宋体"/>
          <w:i w:val="0"/>
          <w:iCs w:val="0"/>
          <w:color w:val="auto"/>
        </w:rPr>
      </w:pPr>
    </w:p>
    <w:p w14:paraId="384DBFA8">
      <w:pPr>
        <w:pStyle w:val="14"/>
        <w:rPr>
          <w:rFonts w:hint="eastAsia" w:ascii="宋体" w:hAnsi="宋体" w:eastAsia="宋体" w:cs="宋体"/>
          <w:i w:val="0"/>
          <w:iCs w:val="0"/>
          <w:color w:val="auto"/>
        </w:rPr>
      </w:pPr>
    </w:p>
    <w:p w14:paraId="2A1D3EDA">
      <w:pPr>
        <w:pStyle w:val="14"/>
        <w:rPr>
          <w:rFonts w:hint="eastAsia" w:ascii="宋体" w:hAnsi="宋体" w:eastAsia="宋体" w:cs="宋体"/>
          <w:i w:val="0"/>
          <w:iCs w:val="0"/>
          <w:color w:val="auto"/>
        </w:rPr>
      </w:pPr>
    </w:p>
    <w:p w14:paraId="1E4B26E8">
      <w:pPr>
        <w:rPr>
          <w:rFonts w:hint="eastAsia" w:ascii="宋体" w:hAnsi="宋体" w:eastAsia="宋体" w:cs="宋体"/>
          <w:i w:val="0"/>
          <w:iCs w:val="0"/>
          <w:color w:val="auto"/>
        </w:rPr>
      </w:pPr>
    </w:p>
    <w:p w14:paraId="754B0529">
      <w:pPr>
        <w:pStyle w:val="14"/>
        <w:rPr>
          <w:rFonts w:hint="eastAsia" w:ascii="宋体" w:hAnsi="宋体" w:eastAsia="宋体" w:cs="宋体"/>
          <w:i w:val="0"/>
          <w:iCs w:val="0"/>
          <w:color w:val="auto"/>
        </w:rPr>
      </w:pPr>
    </w:p>
    <w:p w14:paraId="7CDD4AB7">
      <w:pPr>
        <w:rPr>
          <w:rFonts w:hint="eastAsia" w:ascii="宋体" w:hAnsi="宋体" w:eastAsia="宋体" w:cs="宋体"/>
          <w:i w:val="0"/>
          <w:iCs w:val="0"/>
          <w:color w:val="auto"/>
        </w:rPr>
      </w:pPr>
    </w:p>
    <w:p w14:paraId="6A00DCAC">
      <w:pPr>
        <w:pStyle w:val="14"/>
        <w:rPr>
          <w:rFonts w:hint="eastAsia" w:ascii="宋体" w:hAnsi="宋体" w:eastAsia="宋体" w:cs="宋体"/>
          <w:i w:val="0"/>
          <w:iCs w:val="0"/>
          <w:color w:val="auto"/>
        </w:rPr>
      </w:pPr>
    </w:p>
    <w:p w14:paraId="5734B044">
      <w:pPr>
        <w:rPr>
          <w:rFonts w:hint="eastAsia" w:ascii="宋体" w:hAnsi="宋体" w:eastAsia="宋体" w:cs="宋体"/>
          <w:i w:val="0"/>
          <w:iCs w:val="0"/>
          <w:color w:val="auto"/>
        </w:rPr>
      </w:pPr>
    </w:p>
    <w:p w14:paraId="54127F74">
      <w:pPr>
        <w:pStyle w:val="14"/>
        <w:rPr>
          <w:rFonts w:hint="eastAsia" w:ascii="宋体" w:hAnsi="宋体" w:eastAsia="宋体" w:cs="宋体"/>
          <w:i w:val="0"/>
          <w:iCs w:val="0"/>
          <w:color w:val="auto"/>
        </w:rPr>
      </w:pPr>
    </w:p>
    <w:p w14:paraId="4A703DF3">
      <w:pPr>
        <w:rPr>
          <w:rFonts w:hint="eastAsia" w:ascii="宋体" w:hAnsi="宋体" w:eastAsia="宋体" w:cs="宋体"/>
          <w:i w:val="0"/>
          <w:iCs w:val="0"/>
          <w:color w:val="auto"/>
        </w:rPr>
      </w:pPr>
    </w:p>
    <w:p w14:paraId="4B4D0BDA">
      <w:pPr>
        <w:pStyle w:val="14"/>
        <w:rPr>
          <w:rFonts w:hint="eastAsia" w:ascii="宋体" w:hAnsi="宋体" w:eastAsia="宋体" w:cs="宋体"/>
          <w:i w:val="0"/>
          <w:iCs w:val="0"/>
          <w:color w:val="auto"/>
        </w:rPr>
      </w:pPr>
    </w:p>
    <w:p w14:paraId="3AC23095">
      <w:pPr>
        <w:rPr>
          <w:rFonts w:hint="eastAsia" w:ascii="宋体" w:hAnsi="宋体" w:eastAsia="宋体" w:cs="宋体"/>
          <w:i w:val="0"/>
          <w:iCs w:val="0"/>
          <w:color w:val="auto"/>
        </w:rPr>
      </w:pPr>
    </w:p>
    <w:p w14:paraId="76A426D6">
      <w:pPr>
        <w:pStyle w:val="14"/>
        <w:rPr>
          <w:rFonts w:hint="eastAsia" w:ascii="宋体" w:hAnsi="宋体" w:eastAsia="宋体" w:cs="宋体"/>
          <w:i w:val="0"/>
          <w:iCs w:val="0"/>
          <w:color w:val="auto"/>
        </w:rPr>
      </w:pPr>
    </w:p>
    <w:p w14:paraId="59700E0A">
      <w:pPr>
        <w:rPr>
          <w:rFonts w:hint="eastAsia" w:ascii="宋体" w:hAnsi="宋体" w:eastAsia="宋体" w:cs="宋体"/>
          <w:i w:val="0"/>
          <w:iCs w:val="0"/>
          <w:color w:val="auto"/>
        </w:rPr>
      </w:pPr>
    </w:p>
    <w:p w14:paraId="68FEE631">
      <w:pPr>
        <w:pStyle w:val="14"/>
        <w:rPr>
          <w:rFonts w:hint="eastAsia" w:ascii="宋体" w:hAnsi="宋体" w:eastAsia="宋体" w:cs="宋体"/>
          <w:i w:val="0"/>
          <w:iCs w:val="0"/>
          <w:color w:val="auto"/>
        </w:rPr>
      </w:pPr>
    </w:p>
    <w:p w14:paraId="78AC0308">
      <w:pPr>
        <w:rPr>
          <w:rFonts w:hint="eastAsia" w:ascii="宋体" w:hAnsi="宋体" w:eastAsia="宋体" w:cs="宋体"/>
          <w:i w:val="0"/>
          <w:iCs w:val="0"/>
          <w:color w:val="auto"/>
        </w:rPr>
      </w:pPr>
    </w:p>
    <w:p w14:paraId="19128478">
      <w:pPr>
        <w:pStyle w:val="14"/>
        <w:rPr>
          <w:rFonts w:hint="eastAsia" w:ascii="宋体" w:hAnsi="宋体" w:eastAsia="宋体" w:cs="宋体"/>
          <w:i w:val="0"/>
          <w:iCs w:val="0"/>
          <w:color w:val="auto"/>
        </w:rPr>
      </w:pPr>
    </w:p>
    <w:p w14:paraId="2F4F792A">
      <w:pPr>
        <w:rPr>
          <w:rFonts w:hint="eastAsia" w:ascii="宋体" w:hAnsi="宋体" w:eastAsia="宋体" w:cs="宋体"/>
          <w:i w:val="0"/>
          <w:iCs w:val="0"/>
          <w:color w:val="auto"/>
        </w:rPr>
      </w:pPr>
    </w:p>
    <w:p w14:paraId="423297DC">
      <w:pPr>
        <w:pStyle w:val="14"/>
        <w:rPr>
          <w:rFonts w:hint="eastAsia" w:ascii="宋体" w:hAnsi="宋体" w:eastAsia="宋体" w:cs="宋体"/>
          <w:i w:val="0"/>
          <w:iCs w:val="0"/>
          <w:color w:val="auto"/>
        </w:rPr>
      </w:pPr>
    </w:p>
    <w:p w14:paraId="60919D6A">
      <w:pPr>
        <w:rPr>
          <w:rFonts w:hint="eastAsia" w:ascii="宋体" w:hAnsi="宋体" w:eastAsia="宋体" w:cs="宋体"/>
          <w:i w:val="0"/>
          <w:iCs w:val="0"/>
          <w:color w:val="auto"/>
        </w:rPr>
      </w:pPr>
    </w:p>
    <w:p w14:paraId="0ADEFA65">
      <w:pPr>
        <w:pStyle w:val="14"/>
        <w:rPr>
          <w:rFonts w:hint="eastAsia" w:ascii="宋体" w:hAnsi="宋体" w:eastAsia="宋体" w:cs="宋体"/>
          <w:i w:val="0"/>
          <w:iCs w:val="0"/>
          <w:color w:val="auto"/>
        </w:rPr>
      </w:pPr>
    </w:p>
    <w:p w14:paraId="49561696">
      <w:pPr>
        <w:rPr>
          <w:rFonts w:hint="eastAsia" w:ascii="宋体" w:hAnsi="宋体" w:eastAsia="宋体" w:cs="宋体"/>
          <w:i w:val="0"/>
          <w:iCs w:val="0"/>
          <w:color w:val="auto"/>
        </w:rPr>
      </w:pPr>
    </w:p>
    <w:p w14:paraId="31392A17">
      <w:pPr>
        <w:pStyle w:val="14"/>
        <w:rPr>
          <w:rFonts w:hint="eastAsia" w:ascii="宋体" w:hAnsi="宋体" w:eastAsia="宋体" w:cs="宋体"/>
          <w:i w:val="0"/>
          <w:iCs w:val="0"/>
          <w:color w:val="auto"/>
        </w:rPr>
      </w:pPr>
    </w:p>
    <w:p w14:paraId="5B8AD404">
      <w:pPr>
        <w:rPr>
          <w:rFonts w:hint="eastAsia" w:ascii="宋体" w:hAnsi="宋体" w:eastAsia="宋体" w:cs="宋体"/>
          <w:i w:val="0"/>
          <w:iCs w:val="0"/>
          <w:color w:val="auto"/>
        </w:rPr>
      </w:pPr>
    </w:p>
    <w:p w14:paraId="41DED245">
      <w:pPr>
        <w:pStyle w:val="14"/>
        <w:rPr>
          <w:rFonts w:hint="eastAsia" w:ascii="宋体" w:hAnsi="宋体" w:eastAsia="宋体" w:cs="宋体"/>
          <w:i w:val="0"/>
          <w:iCs w:val="0"/>
          <w:color w:val="auto"/>
        </w:rPr>
      </w:pPr>
    </w:p>
    <w:p w14:paraId="7F6A7A33">
      <w:pPr>
        <w:rPr>
          <w:rFonts w:hint="eastAsia" w:ascii="宋体" w:hAnsi="宋体" w:eastAsia="宋体" w:cs="宋体"/>
          <w:i w:val="0"/>
          <w:iCs w:val="0"/>
          <w:color w:val="auto"/>
        </w:rPr>
      </w:pPr>
    </w:p>
    <w:p w14:paraId="73C01527">
      <w:pPr>
        <w:pStyle w:val="14"/>
        <w:rPr>
          <w:rFonts w:hint="eastAsia" w:ascii="宋体" w:hAnsi="宋体" w:eastAsia="宋体" w:cs="宋体"/>
          <w:i w:val="0"/>
          <w:iCs w:val="0"/>
          <w:color w:val="auto"/>
        </w:rPr>
      </w:pPr>
    </w:p>
    <w:p w14:paraId="274C4056">
      <w:pPr>
        <w:rPr>
          <w:rFonts w:hint="eastAsia" w:ascii="宋体" w:hAnsi="宋体" w:eastAsia="宋体" w:cs="宋体"/>
          <w:i w:val="0"/>
          <w:iCs w:val="0"/>
          <w:color w:val="auto"/>
        </w:rPr>
      </w:pPr>
    </w:p>
    <w:p w14:paraId="2BEF8944">
      <w:pPr>
        <w:pStyle w:val="14"/>
        <w:rPr>
          <w:rFonts w:hint="eastAsia" w:ascii="宋体" w:hAnsi="宋体" w:eastAsia="宋体" w:cs="宋体"/>
          <w:i w:val="0"/>
          <w:iCs w:val="0"/>
          <w:color w:val="auto"/>
        </w:rPr>
      </w:pPr>
    </w:p>
    <w:p w14:paraId="76852569">
      <w:pPr>
        <w:rPr>
          <w:rFonts w:hint="eastAsia" w:ascii="宋体" w:hAnsi="宋体" w:eastAsia="宋体" w:cs="宋体"/>
          <w:i w:val="0"/>
          <w:iCs w:val="0"/>
          <w:color w:val="auto"/>
        </w:rPr>
      </w:pPr>
    </w:p>
    <w:p w14:paraId="17DECD7D">
      <w:pPr>
        <w:pStyle w:val="10"/>
        <w:widowControl/>
        <w:rPr>
          <w:rFonts w:hint="eastAsia" w:ascii="宋体" w:hAnsi="宋体" w:eastAsia="宋体" w:cs="宋体"/>
          <w:i w:val="0"/>
          <w:iCs w:val="0"/>
          <w:color w:val="auto"/>
        </w:rPr>
      </w:pPr>
    </w:p>
    <w:p w14:paraId="4C58C0F5">
      <w:pPr>
        <w:rPr>
          <w:rFonts w:hint="eastAsia" w:ascii="宋体" w:hAnsi="宋体" w:eastAsia="宋体" w:cs="宋体"/>
          <w:i w:val="0"/>
          <w:iCs w:val="0"/>
          <w:color w:val="auto"/>
        </w:rPr>
      </w:pPr>
    </w:p>
    <w:bookmarkEnd w:id="284"/>
    <w:p w14:paraId="054FC6D7">
      <w:pPr>
        <w:adjustRightInd w:val="0"/>
        <w:snapToGrid w:val="0"/>
        <w:spacing w:line="360" w:lineRule="auto"/>
        <w:rPr>
          <w:rFonts w:hint="eastAsia" w:ascii="宋体" w:hAnsi="宋体" w:eastAsia="宋体" w:cs="宋体"/>
          <w:i w:val="0"/>
          <w:iCs w:val="0"/>
          <w:color w:val="auto"/>
        </w:rPr>
      </w:pPr>
    </w:p>
    <w:p w14:paraId="1D4A9E3A">
      <w:pPr>
        <w:rPr>
          <w:rFonts w:hint="eastAsia" w:ascii="宋体" w:hAnsi="宋体" w:eastAsia="宋体" w:cs="宋体"/>
          <w:i w:val="0"/>
          <w:iCs w:val="0"/>
        </w:rPr>
      </w:pPr>
    </w:p>
    <w:sectPr>
      <w:pgSz w:w="11906" w:h="16838"/>
      <w:pgMar w:top="1440" w:right="1701" w:bottom="1440" w:left="1826"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swiss"/>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DB28">
    <w:pPr>
      <w:pStyle w:val="16"/>
      <w:framePr w:wrap="around" w:vAnchor="text" w:hAnchor="margin" w:xAlign="right" w:y="1"/>
      <w:rPr>
        <w:rStyle w:val="26"/>
      </w:rPr>
    </w:pPr>
    <w:r>
      <w:fldChar w:fldCharType="begin"/>
    </w:r>
    <w:r>
      <w:rPr>
        <w:rStyle w:val="26"/>
      </w:rPr>
      <w:instrText xml:space="preserve">PAGE  </w:instrText>
    </w:r>
    <w:r>
      <w:fldChar w:fldCharType="separate"/>
    </w:r>
    <w:r>
      <w:rPr>
        <w:rStyle w:val="26"/>
      </w:rPr>
      <w:t>1</w:t>
    </w:r>
    <w:r>
      <w:fldChar w:fldCharType="end"/>
    </w:r>
  </w:p>
  <w:p w14:paraId="39E52C49">
    <w:pPr>
      <w:pStyle w:val="1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5B6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A4531">
                          <w:pPr>
                            <w:pStyle w:val="1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6FA4531">
                    <w:pPr>
                      <w:pStyle w:val="1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BFFD7">
    <w:pPr>
      <w:pStyle w:val="16"/>
      <w:tabs>
        <w:tab w:val="center" w:pos="4189"/>
        <w:tab w:val="left" w:pos="7200"/>
        <w:tab w:val="clear" w:pos="8306"/>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60107">
                          <w:pPr>
                            <w:pStyle w:val="16"/>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D60107">
                    <w:pPr>
                      <w:pStyle w:val="16"/>
                    </w:pPr>
                    <w:r>
                      <w:fldChar w:fldCharType="begin"/>
                    </w:r>
                    <w:r>
                      <w:instrText xml:space="preserve"> PAGE  \* MERGEFORMAT </w:instrText>
                    </w:r>
                    <w:r>
                      <w:fldChar w:fldCharType="separate"/>
                    </w:r>
                    <w:r>
                      <w:t>84</w:t>
                    </w:r>
                    <w:r>
                      <w:fldChar w:fldCharType="end"/>
                    </w:r>
                  </w:p>
                </w:txbxContent>
              </v:textbox>
            </v:shape>
          </w:pict>
        </mc:Fallback>
      </mc:AlternateContent>
    </w:r>
  </w:p>
  <w:p w14:paraId="16A369CE">
    <w:pPr>
      <w:pStyle w:val="16"/>
      <w:tabs>
        <w:tab w:val="center" w:pos="4189"/>
        <w:tab w:val="left" w:pos="7200"/>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D7544D">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DD7544D">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0B32">
    <w:pPr>
      <w:pStyle w:val="16"/>
      <w:tabs>
        <w:tab w:val="center" w:pos="4189"/>
        <w:tab w:val="left" w:pos="7200"/>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1DFD">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02F9">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ABF1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3ABF1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3098">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397ED">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9397ED">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F205">
    <w:pPr>
      <w:pStyle w:val="16"/>
      <w:tabs>
        <w:tab w:val="center" w:pos="4536"/>
        <w:tab w:val="right" w:pos="10489"/>
        <w:tab w:val="clear" w:pos="4153"/>
        <w:tab w:val="clear" w:pos="8306"/>
      </w:tabs>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E1040">
                          <w:pPr>
                            <w:pStyle w:val="1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2E1040">
                    <w:pPr>
                      <w:pStyle w:val="1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9A27">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63F90">
                          <w:pPr>
                            <w:pStyle w:val="1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D163F90">
                    <w:pPr>
                      <w:pStyle w:val="1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C805">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3541E">
                          <w:pPr>
                            <w:pStyle w:val="1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63541E">
                    <w:pPr>
                      <w:pStyle w:val="1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F3961">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B48A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FB48A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C0DD">
    <w:pPr>
      <w:pStyle w:val="18"/>
      <w:framePr w:wrap="around" w:vAnchor="text" w:hAnchor="margin" w:xAlign="right" w:y="1"/>
      <w:rPr>
        <w:rStyle w:val="26"/>
      </w:rPr>
    </w:pPr>
    <w:r>
      <w:fldChar w:fldCharType="begin"/>
    </w:r>
    <w:r>
      <w:rPr>
        <w:rStyle w:val="26"/>
      </w:rPr>
      <w:instrText xml:space="preserve">PAGE  </w:instrText>
    </w:r>
    <w:r>
      <w:fldChar w:fldCharType="end"/>
    </w:r>
  </w:p>
  <w:p w14:paraId="338C434E">
    <w:pPr>
      <w:pStyle w:val="1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8784">
    <w:pPr>
      <w:pStyle w:val="18"/>
      <w:pBdr>
        <w:top w:val="none" w:color="auto" w:sz="0" w:space="1"/>
        <w:left w:val="none" w:color="auto" w:sz="0" w:space="4"/>
        <w:bottom w:val="none" w:color="auto" w:sz="0" w:space="1"/>
        <w:right w:val="none" w:color="auto" w:sz="0" w:space="4"/>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008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1A40">
    <w:pPr>
      <w:pStyle w:val="1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8E8F">
    <w:pPr>
      <w:pStyle w:val="18"/>
    </w:pPr>
    <w:r>
      <w:rPr>
        <w:rFonts w:hint="eastAsia" w:ascii="华文仿宋" w:hAnsi="华文仿宋" w:cs="华文仿宋"/>
        <w:color w:val="auto"/>
        <w:highlight w:val="none"/>
        <w:lang w:eastAsia="zh-CN"/>
      </w:rPr>
      <w:t>延安市机关事务服务中心为民服务中心机关餐厅托管企业采购项目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1341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685F">
    <w:pPr>
      <w:pBdr>
        <w:bottom w:val="none" w:color="auto" w:sz="0" w:space="1"/>
      </w:pBdr>
      <w:spacing w:line="460" w:lineRule="exact"/>
      <w:jc w:val="left"/>
      <w:rPr>
        <w:highlight w:val="lightGray"/>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8D61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1C652">
    <w:pPr>
      <w:pBdr>
        <w:bottom w:val="none" w:color="auto" w:sz="0" w:space="1"/>
      </w:pBdr>
      <w:spacing w:line="460" w:lineRule="exact"/>
      <w:jc w:val="left"/>
      <w:rPr>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3ED90"/>
    <w:multiLevelType w:val="singleLevel"/>
    <w:tmpl w:val="9D13ED90"/>
    <w:lvl w:ilvl="0" w:tentative="0">
      <w:start w:val="4"/>
      <w:numFmt w:val="chineseCounting"/>
      <w:suff w:val="space"/>
      <w:lvlText w:val="第%1章"/>
      <w:lvlJc w:val="left"/>
      <w:rPr>
        <w:rFonts w:hint="eastAsia"/>
      </w:rPr>
    </w:lvl>
  </w:abstractNum>
  <w:abstractNum w:abstractNumId="1">
    <w:nsid w:val="F18F4C13"/>
    <w:multiLevelType w:val="singleLevel"/>
    <w:tmpl w:val="F18F4C13"/>
    <w:lvl w:ilvl="0" w:tentative="0">
      <w:start w:val="1"/>
      <w:numFmt w:val="chineseCounting"/>
      <w:suff w:val="nothing"/>
      <w:lvlText w:val="（%1）"/>
      <w:lvlJc w:val="left"/>
      <w:rPr>
        <w:rFonts w:hint="eastAsia"/>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257D924"/>
    <w:multiLevelType w:val="singleLevel"/>
    <w:tmpl w:val="1257D924"/>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3rnsWSj7VSDCAOHzTKxGAoKxiws=" w:salt="4UnK6re6dDs9G1Kmh9xhj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M2M1OTJiZTA4NmQzYWYyYmQ3ZWRhMDBkNTgwYmEifQ=="/>
  </w:docVars>
  <w:rsids>
    <w:rsidRoot w:val="01BC2243"/>
    <w:rsid w:val="006466F8"/>
    <w:rsid w:val="01396E1E"/>
    <w:rsid w:val="018E4761"/>
    <w:rsid w:val="01BC2243"/>
    <w:rsid w:val="024535A0"/>
    <w:rsid w:val="02D50932"/>
    <w:rsid w:val="02E0728F"/>
    <w:rsid w:val="056A4592"/>
    <w:rsid w:val="05B747B5"/>
    <w:rsid w:val="05CA0831"/>
    <w:rsid w:val="05E7509A"/>
    <w:rsid w:val="05EA2DDC"/>
    <w:rsid w:val="071332B8"/>
    <w:rsid w:val="071F6AB6"/>
    <w:rsid w:val="07550729"/>
    <w:rsid w:val="088C1F29"/>
    <w:rsid w:val="09355A38"/>
    <w:rsid w:val="09652EA6"/>
    <w:rsid w:val="09DF1105"/>
    <w:rsid w:val="0A3E54A5"/>
    <w:rsid w:val="0B381EF4"/>
    <w:rsid w:val="0BA31A63"/>
    <w:rsid w:val="0BF63EAB"/>
    <w:rsid w:val="0C220A9C"/>
    <w:rsid w:val="0C272694"/>
    <w:rsid w:val="0CC936DB"/>
    <w:rsid w:val="0CE51C08"/>
    <w:rsid w:val="0D58062B"/>
    <w:rsid w:val="0DCB34F3"/>
    <w:rsid w:val="0EE7610B"/>
    <w:rsid w:val="0F660AB3"/>
    <w:rsid w:val="0F937CCB"/>
    <w:rsid w:val="0F9F2542"/>
    <w:rsid w:val="0FFE3C8E"/>
    <w:rsid w:val="11164A85"/>
    <w:rsid w:val="1158509E"/>
    <w:rsid w:val="11E84674"/>
    <w:rsid w:val="11F875C4"/>
    <w:rsid w:val="1211524D"/>
    <w:rsid w:val="12201DA1"/>
    <w:rsid w:val="12A367ED"/>
    <w:rsid w:val="12AC4134"/>
    <w:rsid w:val="12D90460"/>
    <w:rsid w:val="12F86B39"/>
    <w:rsid w:val="13456506"/>
    <w:rsid w:val="139F6FB4"/>
    <w:rsid w:val="14CF5677"/>
    <w:rsid w:val="154A7BC0"/>
    <w:rsid w:val="17092996"/>
    <w:rsid w:val="17286F24"/>
    <w:rsid w:val="178C784F"/>
    <w:rsid w:val="17946022"/>
    <w:rsid w:val="186F65C0"/>
    <w:rsid w:val="192D6E10"/>
    <w:rsid w:val="194913C1"/>
    <w:rsid w:val="19A163C7"/>
    <w:rsid w:val="1A1324AA"/>
    <w:rsid w:val="1A444411"/>
    <w:rsid w:val="1A6C5716"/>
    <w:rsid w:val="1A7647E7"/>
    <w:rsid w:val="1B326960"/>
    <w:rsid w:val="1BCD0437"/>
    <w:rsid w:val="1C3861F8"/>
    <w:rsid w:val="1CA5381F"/>
    <w:rsid w:val="1D6923E1"/>
    <w:rsid w:val="1D7C0366"/>
    <w:rsid w:val="1DDE4B7D"/>
    <w:rsid w:val="1EC975DB"/>
    <w:rsid w:val="1ED975BC"/>
    <w:rsid w:val="1FDC6F7F"/>
    <w:rsid w:val="1FE67D19"/>
    <w:rsid w:val="203F19EB"/>
    <w:rsid w:val="2099122F"/>
    <w:rsid w:val="20C05077"/>
    <w:rsid w:val="20C13501"/>
    <w:rsid w:val="210963B5"/>
    <w:rsid w:val="21382878"/>
    <w:rsid w:val="21D41512"/>
    <w:rsid w:val="22054249"/>
    <w:rsid w:val="22A8716C"/>
    <w:rsid w:val="22B20386"/>
    <w:rsid w:val="2472461B"/>
    <w:rsid w:val="24EA2059"/>
    <w:rsid w:val="25EE5B79"/>
    <w:rsid w:val="2601765A"/>
    <w:rsid w:val="26094761"/>
    <w:rsid w:val="2665408D"/>
    <w:rsid w:val="26A36964"/>
    <w:rsid w:val="27271343"/>
    <w:rsid w:val="27441EF5"/>
    <w:rsid w:val="27686CC9"/>
    <w:rsid w:val="276A122F"/>
    <w:rsid w:val="277125BE"/>
    <w:rsid w:val="28243AD4"/>
    <w:rsid w:val="29226266"/>
    <w:rsid w:val="2AD33150"/>
    <w:rsid w:val="2B3C2EE3"/>
    <w:rsid w:val="2B920D55"/>
    <w:rsid w:val="2B9D6077"/>
    <w:rsid w:val="2BB511B5"/>
    <w:rsid w:val="2BCF1FA9"/>
    <w:rsid w:val="2C7F5E82"/>
    <w:rsid w:val="2CD421B7"/>
    <w:rsid w:val="2D113E1B"/>
    <w:rsid w:val="2D4553E1"/>
    <w:rsid w:val="2E170B0D"/>
    <w:rsid w:val="2E19750B"/>
    <w:rsid w:val="2EF55995"/>
    <w:rsid w:val="301306B6"/>
    <w:rsid w:val="316867E0"/>
    <w:rsid w:val="320A3D3B"/>
    <w:rsid w:val="32A95302"/>
    <w:rsid w:val="33E44A2B"/>
    <w:rsid w:val="34403A44"/>
    <w:rsid w:val="34BC4A49"/>
    <w:rsid w:val="34CA155F"/>
    <w:rsid w:val="351E1525"/>
    <w:rsid w:val="35365371"/>
    <w:rsid w:val="357853D9"/>
    <w:rsid w:val="35B423BB"/>
    <w:rsid w:val="36D13079"/>
    <w:rsid w:val="3723038A"/>
    <w:rsid w:val="373C4996"/>
    <w:rsid w:val="38001ED1"/>
    <w:rsid w:val="385555E4"/>
    <w:rsid w:val="38EF28D7"/>
    <w:rsid w:val="391D4354"/>
    <w:rsid w:val="3925734E"/>
    <w:rsid w:val="396C52DB"/>
    <w:rsid w:val="39702D73"/>
    <w:rsid w:val="39B90520"/>
    <w:rsid w:val="39EA7366"/>
    <w:rsid w:val="3A927321"/>
    <w:rsid w:val="3ADE3FB6"/>
    <w:rsid w:val="3C3C1E29"/>
    <w:rsid w:val="3CDC2ED0"/>
    <w:rsid w:val="3DE2791A"/>
    <w:rsid w:val="3F3E6DD2"/>
    <w:rsid w:val="3F544847"/>
    <w:rsid w:val="3F740A45"/>
    <w:rsid w:val="3FD634AE"/>
    <w:rsid w:val="3FF102E8"/>
    <w:rsid w:val="407A652F"/>
    <w:rsid w:val="40AD420F"/>
    <w:rsid w:val="413E5B70"/>
    <w:rsid w:val="430F2F5F"/>
    <w:rsid w:val="43364990"/>
    <w:rsid w:val="43461566"/>
    <w:rsid w:val="43BA5A62"/>
    <w:rsid w:val="442167E9"/>
    <w:rsid w:val="44C77869"/>
    <w:rsid w:val="45717A64"/>
    <w:rsid w:val="45C4252B"/>
    <w:rsid w:val="46CE72BE"/>
    <w:rsid w:val="46E22257"/>
    <w:rsid w:val="477261B2"/>
    <w:rsid w:val="480078A2"/>
    <w:rsid w:val="489839F7"/>
    <w:rsid w:val="490E1F0B"/>
    <w:rsid w:val="494728D7"/>
    <w:rsid w:val="49D72B15"/>
    <w:rsid w:val="4A2D016F"/>
    <w:rsid w:val="4AC42881"/>
    <w:rsid w:val="4BEA27BB"/>
    <w:rsid w:val="4BEE392E"/>
    <w:rsid w:val="4C9E5C65"/>
    <w:rsid w:val="4CFE5DF2"/>
    <w:rsid w:val="4D565C2E"/>
    <w:rsid w:val="4D7C343E"/>
    <w:rsid w:val="4D924EB8"/>
    <w:rsid w:val="4E192D06"/>
    <w:rsid w:val="4E8862BB"/>
    <w:rsid w:val="4E9F267E"/>
    <w:rsid w:val="4EB54E65"/>
    <w:rsid w:val="4F5477B1"/>
    <w:rsid w:val="4FD23C92"/>
    <w:rsid w:val="50593A6B"/>
    <w:rsid w:val="50633C92"/>
    <w:rsid w:val="50823271"/>
    <w:rsid w:val="50B9275C"/>
    <w:rsid w:val="511B6F73"/>
    <w:rsid w:val="51B00003"/>
    <w:rsid w:val="51E1640E"/>
    <w:rsid w:val="5318250C"/>
    <w:rsid w:val="534178BD"/>
    <w:rsid w:val="534722A1"/>
    <w:rsid w:val="536C4A8B"/>
    <w:rsid w:val="537A21E1"/>
    <w:rsid w:val="53874076"/>
    <w:rsid w:val="546952AE"/>
    <w:rsid w:val="54845AE1"/>
    <w:rsid w:val="550910A5"/>
    <w:rsid w:val="55286102"/>
    <w:rsid w:val="55A07A8B"/>
    <w:rsid w:val="567333AD"/>
    <w:rsid w:val="56BA722E"/>
    <w:rsid w:val="56DF6C95"/>
    <w:rsid w:val="56E372D9"/>
    <w:rsid w:val="57723665"/>
    <w:rsid w:val="57B41ECF"/>
    <w:rsid w:val="5872726C"/>
    <w:rsid w:val="58DA7055"/>
    <w:rsid w:val="597452B5"/>
    <w:rsid w:val="5A971D60"/>
    <w:rsid w:val="5AD478B4"/>
    <w:rsid w:val="5C0276AD"/>
    <w:rsid w:val="5C4A4BB0"/>
    <w:rsid w:val="5D1464B1"/>
    <w:rsid w:val="5D261179"/>
    <w:rsid w:val="5DD40BD5"/>
    <w:rsid w:val="5DE811B1"/>
    <w:rsid w:val="5E3940D9"/>
    <w:rsid w:val="5E914D18"/>
    <w:rsid w:val="5F0F069E"/>
    <w:rsid w:val="5F4038F2"/>
    <w:rsid w:val="5F6366B5"/>
    <w:rsid w:val="5FE61028"/>
    <w:rsid w:val="601706DD"/>
    <w:rsid w:val="6102706E"/>
    <w:rsid w:val="62B114E5"/>
    <w:rsid w:val="62E20295"/>
    <w:rsid w:val="62F87114"/>
    <w:rsid w:val="631C5E4A"/>
    <w:rsid w:val="63512CC8"/>
    <w:rsid w:val="64FF0C2E"/>
    <w:rsid w:val="654C21DE"/>
    <w:rsid w:val="65F64108"/>
    <w:rsid w:val="67E0496E"/>
    <w:rsid w:val="683A4F1E"/>
    <w:rsid w:val="6888718C"/>
    <w:rsid w:val="68A532B2"/>
    <w:rsid w:val="68B15774"/>
    <w:rsid w:val="68DE2588"/>
    <w:rsid w:val="68F67C0F"/>
    <w:rsid w:val="692F13B6"/>
    <w:rsid w:val="698A0CE2"/>
    <w:rsid w:val="699D35CE"/>
    <w:rsid w:val="69B67D29"/>
    <w:rsid w:val="69D65CD5"/>
    <w:rsid w:val="6AFE3735"/>
    <w:rsid w:val="6B3F5351"/>
    <w:rsid w:val="6B5255E1"/>
    <w:rsid w:val="6B5F3A62"/>
    <w:rsid w:val="6B67752D"/>
    <w:rsid w:val="6B826114"/>
    <w:rsid w:val="6BCB546C"/>
    <w:rsid w:val="6C7A2185"/>
    <w:rsid w:val="6D594C53"/>
    <w:rsid w:val="6D753A8C"/>
    <w:rsid w:val="6E9248C1"/>
    <w:rsid w:val="6F13463C"/>
    <w:rsid w:val="6F5D56AC"/>
    <w:rsid w:val="704C4F43"/>
    <w:rsid w:val="72023B0B"/>
    <w:rsid w:val="723D0FE7"/>
    <w:rsid w:val="72D336FA"/>
    <w:rsid w:val="731A30D6"/>
    <w:rsid w:val="73C60B68"/>
    <w:rsid w:val="745148D6"/>
    <w:rsid w:val="74F33BDF"/>
    <w:rsid w:val="75544CD7"/>
    <w:rsid w:val="75581C94"/>
    <w:rsid w:val="762F0C47"/>
    <w:rsid w:val="76A076F1"/>
    <w:rsid w:val="76A3493C"/>
    <w:rsid w:val="77091498"/>
    <w:rsid w:val="777D1907"/>
    <w:rsid w:val="77BC475C"/>
    <w:rsid w:val="77ED2B68"/>
    <w:rsid w:val="7845176C"/>
    <w:rsid w:val="784C2774"/>
    <w:rsid w:val="79E4560A"/>
    <w:rsid w:val="7A28257D"/>
    <w:rsid w:val="7ABD6E5D"/>
    <w:rsid w:val="7ACB3ACF"/>
    <w:rsid w:val="7B615D46"/>
    <w:rsid w:val="7BC02341"/>
    <w:rsid w:val="7BCB7664"/>
    <w:rsid w:val="7C304D63"/>
    <w:rsid w:val="7C4C2705"/>
    <w:rsid w:val="7C7C70F3"/>
    <w:rsid w:val="7CB24380"/>
    <w:rsid w:val="7CD9115C"/>
    <w:rsid w:val="7D156746"/>
    <w:rsid w:val="7D2B7CF1"/>
    <w:rsid w:val="7DBA5EBD"/>
    <w:rsid w:val="7E6F077A"/>
    <w:rsid w:val="7F13632A"/>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tabs>
        <w:tab w:val="left" w:pos="432"/>
        <w:tab w:val="left" w:pos="576"/>
      </w:tabs>
      <w:spacing w:before="340" w:after="330" w:line="578" w:lineRule="auto"/>
      <w:ind w:left="432" w:hanging="432"/>
      <w:outlineLvl w:val="0"/>
    </w:pPr>
    <w:rPr>
      <w:rFonts w:ascii="宋体" w:hAnsi="华文宋体"/>
      <w:kern w:val="44"/>
      <w:sz w:val="52"/>
      <w:szCs w:val="20"/>
    </w:rPr>
  </w:style>
  <w:style w:type="paragraph" w:styleId="3">
    <w:name w:val="heading 2"/>
    <w:basedOn w:val="1"/>
    <w:next w:val="1"/>
    <w:autoRedefine/>
    <w:qFormat/>
    <w:uiPriority w:val="0"/>
    <w:pPr>
      <w:keepNext/>
      <w:widowControl/>
      <w:tabs>
        <w:tab w:val="left" w:pos="576"/>
      </w:tabs>
      <w:spacing w:before="240" w:after="60"/>
      <w:ind w:left="576" w:hanging="576"/>
      <w:jc w:val="left"/>
      <w:outlineLvl w:val="1"/>
    </w:pPr>
    <w:rPr>
      <w:rFonts w:ascii="Arial" w:hAnsi="Arial" w:eastAsia="华文宋体"/>
      <w:b/>
      <w:i/>
      <w:kern w:val="0"/>
      <w:sz w:val="28"/>
      <w:szCs w:val="20"/>
    </w:rPr>
  </w:style>
  <w:style w:type="paragraph" w:styleId="4">
    <w:name w:val="heading 3"/>
    <w:basedOn w:val="1"/>
    <w:next w:val="1"/>
    <w:autoRedefine/>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autoRedefine/>
    <w:qFormat/>
    <w:uiPriority w:val="0"/>
    <w:pPr>
      <w:widowControl/>
      <w:tabs>
        <w:tab w:val="left" w:pos="1080"/>
      </w:tabs>
      <w:spacing w:before="120" w:after="120" w:line="360" w:lineRule="auto"/>
      <w:ind w:left="864" w:hanging="864"/>
      <w:outlineLvl w:val="3"/>
    </w:pPr>
    <w:rPr>
      <w:rFonts w:ascii="华文宋体" w:hAnsi="华文宋体" w:eastAsia="华文宋体"/>
      <w:kern w:val="0"/>
      <w:sz w:val="24"/>
      <w:szCs w:val="20"/>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autoRedefine/>
    <w:qFormat/>
    <w:uiPriority w:val="0"/>
    <w:pPr>
      <w:widowControl/>
      <w:tabs>
        <w:tab w:val="left" w:pos="1152"/>
      </w:tabs>
      <w:spacing w:before="240" w:after="60"/>
      <w:ind w:left="1152" w:hanging="1152"/>
      <w:jc w:val="left"/>
      <w:outlineLvl w:val="5"/>
    </w:pPr>
    <w:rPr>
      <w:rFonts w:ascii="华文宋体" w:hAnsi="华文宋体" w:eastAsia="华文宋体"/>
      <w:b/>
      <w:kern w:val="0"/>
      <w:sz w:val="22"/>
      <w:szCs w:val="20"/>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8">
    <w:name w:val="annotation text"/>
    <w:basedOn w:val="1"/>
    <w:autoRedefine/>
    <w:semiHidden/>
    <w:qFormat/>
    <w:uiPriority w:val="0"/>
    <w:pPr>
      <w:adjustRightInd w:val="0"/>
      <w:spacing w:line="360" w:lineRule="atLeast"/>
      <w:jc w:val="left"/>
      <w:textAlignment w:val="baseline"/>
    </w:pPr>
    <w:rPr>
      <w:kern w:val="0"/>
      <w:sz w:val="24"/>
      <w:szCs w:val="20"/>
    </w:rPr>
  </w:style>
  <w:style w:type="paragraph" w:styleId="9">
    <w:name w:val="Body Text 3"/>
    <w:basedOn w:val="1"/>
    <w:autoRedefine/>
    <w:qFormat/>
    <w:uiPriority w:val="99"/>
    <w:pPr>
      <w:spacing w:after="120"/>
    </w:pPr>
    <w:rPr>
      <w:rFonts w:ascii="Times New Roman" w:hAnsi="Times New Roman" w:eastAsia="华文宋体" w:cs="Times New Roman"/>
      <w:kern w:val="0"/>
      <w:sz w:val="16"/>
      <w:szCs w:val="16"/>
    </w:r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ind w:firstLine="480"/>
    </w:pPr>
    <w:rPr>
      <w:b/>
      <w:bCs/>
      <w:sz w:val="24"/>
    </w:rPr>
  </w:style>
  <w:style w:type="paragraph" w:styleId="12">
    <w:name w:val="Plain Text"/>
    <w:basedOn w:val="1"/>
    <w:autoRedefine/>
    <w:qFormat/>
    <w:uiPriority w:val="0"/>
    <w:rPr>
      <w:rFonts w:ascii="宋体" w:hAnsi="Courier New" w:eastAsia="华文宋体"/>
      <w:sz w:val="28"/>
      <w:szCs w:val="20"/>
    </w:rPr>
  </w:style>
  <w:style w:type="paragraph" w:styleId="13">
    <w:name w:val="Date"/>
    <w:basedOn w:val="1"/>
    <w:next w:val="1"/>
    <w:autoRedefine/>
    <w:qFormat/>
    <w:uiPriority w:val="0"/>
    <w:rPr>
      <w:sz w:val="24"/>
      <w:szCs w:val="20"/>
    </w:rPr>
  </w:style>
  <w:style w:type="paragraph" w:styleId="14">
    <w:name w:val="Body Text Indent 2"/>
    <w:basedOn w:val="1"/>
    <w:autoRedefine/>
    <w:qFormat/>
    <w:uiPriority w:val="0"/>
    <w:pPr>
      <w:ind w:left="360" w:firstLine="540"/>
    </w:pPr>
    <w:rPr>
      <w:rFonts w:ascii="宋体"/>
      <w:sz w:val="28"/>
      <w:szCs w:val="20"/>
    </w:rPr>
  </w:style>
  <w:style w:type="paragraph" w:styleId="15">
    <w:name w:val="endnote text"/>
    <w:basedOn w:val="1"/>
    <w:autoRedefine/>
    <w:qFormat/>
    <w:uiPriority w:val="0"/>
    <w:pPr>
      <w:snapToGrid w:val="0"/>
      <w:jc w:val="left"/>
    </w:pPr>
  </w:style>
  <w:style w:type="paragraph" w:styleId="16">
    <w:name w:val="footer"/>
    <w:basedOn w:val="1"/>
    <w:autoRedefine/>
    <w:qFormat/>
    <w:uiPriority w:val="0"/>
    <w:pPr>
      <w:widowControl/>
      <w:tabs>
        <w:tab w:val="center" w:pos="4153"/>
        <w:tab w:val="right" w:pos="8306"/>
      </w:tabs>
      <w:snapToGrid w:val="0"/>
      <w:jc w:val="left"/>
    </w:pPr>
    <w:rPr>
      <w:kern w:val="0"/>
      <w:sz w:val="18"/>
      <w:szCs w:val="20"/>
    </w:rPr>
  </w:style>
  <w:style w:type="paragraph" w:styleId="17">
    <w:name w:val="envelope return"/>
    <w:basedOn w:val="1"/>
    <w:autoRedefine/>
    <w:qFormat/>
    <w:uiPriority w:val="99"/>
    <w:pPr>
      <w:snapToGrid w:val="0"/>
    </w:pPr>
    <w:rPr>
      <w:rFonts w:ascii="Arial" w:hAnsi="Arial"/>
    </w:rPr>
  </w:style>
  <w:style w:type="paragraph" w:styleId="18">
    <w:name w:val="header"/>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autoRedefine/>
    <w:qFormat/>
    <w:uiPriority w:val="39"/>
    <w:pPr>
      <w:spacing w:before="120" w:after="120"/>
      <w:jc w:val="left"/>
    </w:pPr>
    <w:rPr>
      <w:b/>
      <w:bCs/>
      <w:caps/>
      <w:sz w:val="20"/>
      <w:szCs w:val="20"/>
    </w:rPr>
  </w:style>
  <w:style w:type="paragraph" w:styleId="20">
    <w:name w:val="toc 2"/>
    <w:basedOn w:val="1"/>
    <w:next w:val="1"/>
    <w:qFormat/>
    <w:uiPriority w:val="0"/>
    <w:pPr>
      <w:widowControl w:val="0"/>
      <w:spacing w:line="240" w:lineRule="auto"/>
      <w:ind w:left="420" w:leftChars="200"/>
      <w:jc w:val="both"/>
    </w:pPr>
    <w:rPr>
      <w:rFonts w:ascii="Times New Roman" w:hAnsi="Times New Roman" w:eastAsia="宋体" w:cs="Times New Roman"/>
      <w:kern w:val="2"/>
      <w:sz w:val="21"/>
      <w:lang w:val="en-US" w:eastAsia="zh-CN" w:bidi="ar-SA"/>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ascii="Times New Roman" w:hAnsi="Times New Roman" w:eastAsia="宋体" w:cs="Times New Roman"/>
      <w:b/>
    </w:rPr>
  </w:style>
  <w:style w:type="character" w:styleId="26">
    <w:name w:val="page number"/>
    <w:autoRedefine/>
    <w:qFormat/>
    <w:uiPriority w:val="0"/>
  </w:style>
  <w:style w:type="paragraph" w:customStyle="1" w:styleId="27">
    <w:name w:val="RFI Heading 2nd Level Char"/>
    <w:basedOn w:val="1"/>
    <w:next w:val="28"/>
    <w:qFormat/>
    <w:uiPriority w:val="0"/>
    <w:pPr>
      <w:widowControl/>
      <w:spacing w:before="240" w:after="240"/>
      <w:ind w:left="1152" w:hanging="1152"/>
      <w:outlineLvl w:val="1"/>
    </w:pPr>
    <w:rPr>
      <w:rFonts w:ascii="Arial (W1)" w:eastAsia="Times New Roman"/>
      <w:b/>
      <w:color w:val="3366FF"/>
      <w:sz w:val="24"/>
    </w:rPr>
  </w:style>
  <w:style w:type="paragraph" w:customStyle="1" w:styleId="28">
    <w:name w:val="Normal 0.51"/>
    <w:basedOn w:val="1"/>
    <w:next w:val="1"/>
    <w:qFormat/>
    <w:uiPriority w:val="0"/>
    <w:pPr>
      <w:widowControl/>
      <w:spacing w:before="180" w:after="120"/>
      <w:ind w:left="720"/>
    </w:pPr>
    <w:rPr>
      <w:rFonts w:ascii="Times New Roman" w:eastAsia="宋体"/>
      <w:sz w:val="24"/>
    </w:rPr>
  </w:style>
  <w:style w:type="paragraph" w:customStyle="1" w:styleId="29">
    <w:name w:val="正文正"/>
    <w:basedOn w:val="1"/>
    <w:autoRedefine/>
    <w:qFormat/>
    <w:uiPriority w:val="99"/>
    <w:pPr>
      <w:spacing w:line="560" w:lineRule="exact"/>
      <w:ind w:firstLine="561"/>
    </w:pPr>
    <w:rPr>
      <w:rFonts w:ascii="Calibri" w:hAnsi="Calibri" w:eastAsia="宋体"/>
      <w:sz w:val="28"/>
      <w:szCs w:val="24"/>
    </w:rPr>
  </w:style>
  <w:style w:type="paragraph" w:customStyle="1" w:styleId="30">
    <w:name w:val="列表段落1"/>
    <w:basedOn w:val="1"/>
    <w:autoRedefine/>
    <w:qFormat/>
    <w:uiPriority w:val="0"/>
    <w:pPr>
      <w:ind w:firstLine="420" w:firstLineChars="200"/>
    </w:pPr>
  </w:style>
  <w:style w:type="paragraph" w:customStyle="1" w:styleId="31">
    <w:name w:val="列出段落1"/>
    <w:basedOn w:val="1"/>
    <w:autoRedefine/>
    <w:qFormat/>
    <w:uiPriority w:val="99"/>
    <w:pPr>
      <w:ind w:firstLine="420" w:firstLineChars="200"/>
    </w:pPr>
    <w:rPr>
      <w:rFonts w:ascii="Calibri" w:hAnsi="Calibri"/>
    </w:rPr>
  </w:style>
  <w:style w:type="paragraph" w:styleId="32">
    <w:name w:val="List Paragraph"/>
    <w:basedOn w:val="1"/>
    <w:autoRedefine/>
    <w:qFormat/>
    <w:uiPriority w:val="34"/>
    <w:pPr>
      <w:ind w:firstLine="420" w:firstLineChars="200"/>
    </w:pPr>
  </w:style>
  <w:style w:type="character" w:customStyle="1" w:styleId="33">
    <w:name w:val="正文文本缩进 2 Char1"/>
    <w:autoRedefine/>
    <w:semiHidden/>
    <w:qFormat/>
    <w:uiPriority w:val="99"/>
    <w:rPr>
      <w:rFonts w:ascii="Times New Roman" w:hAnsi="Times New Roman" w:eastAsia="宋体" w:cs="Times New Roman"/>
      <w:kern w:val="0"/>
      <w:szCs w:val="20"/>
    </w:rPr>
  </w:style>
  <w:style w:type="paragraph" w:customStyle="1" w:styleId="34">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5">
    <w:name w:val="表格文字中"/>
    <w:basedOn w:val="1"/>
    <w:autoRedefine/>
    <w:qFormat/>
    <w:uiPriority w:val="0"/>
    <w:pPr>
      <w:adjustRightInd w:val="0"/>
      <w:snapToGrid w:val="0"/>
      <w:ind w:left="22" w:leftChars="8"/>
      <w:jc w:val="center"/>
    </w:pPr>
    <w:rPr>
      <w:kern w:val="0"/>
      <w:szCs w:val="24"/>
    </w:rPr>
  </w:style>
  <w:style w:type="paragraph" w:customStyle="1" w:styleId="36">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37">
    <w:name w:val="font41"/>
    <w:basedOn w:val="24"/>
    <w:autoRedefine/>
    <w:qFormat/>
    <w:uiPriority w:val="0"/>
    <w:rPr>
      <w:rFonts w:hint="eastAsia" w:ascii="宋体" w:hAnsi="宋体" w:eastAsia="宋体" w:cs="宋体"/>
      <w:color w:val="000000"/>
      <w:sz w:val="24"/>
      <w:szCs w:val="24"/>
      <w:u w:val="none"/>
    </w:rPr>
  </w:style>
  <w:style w:type="character" w:customStyle="1" w:styleId="38">
    <w:name w:val="font51"/>
    <w:basedOn w:val="24"/>
    <w:autoRedefine/>
    <w:qFormat/>
    <w:uiPriority w:val="0"/>
    <w:rPr>
      <w:rFonts w:hint="eastAsia" w:ascii="宋体" w:hAnsi="宋体" w:eastAsia="宋体" w:cs="宋体"/>
      <w:color w:val="000000"/>
      <w:sz w:val="22"/>
      <w:szCs w:val="22"/>
      <w:u w:val="none"/>
    </w:rPr>
  </w:style>
  <w:style w:type="character" w:customStyle="1" w:styleId="39">
    <w:name w:val="font81"/>
    <w:basedOn w:val="24"/>
    <w:autoRedefine/>
    <w:qFormat/>
    <w:uiPriority w:val="0"/>
    <w:rPr>
      <w:rFonts w:hint="eastAsia" w:ascii="宋体" w:hAnsi="宋体" w:eastAsia="宋体" w:cs="宋体"/>
      <w:color w:val="000000"/>
      <w:sz w:val="22"/>
      <w:szCs w:val="22"/>
      <w:u w:val="none"/>
    </w:rPr>
  </w:style>
  <w:style w:type="character" w:customStyle="1" w:styleId="40">
    <w:name w:val="font21"/>
    <w:basedOn w:val="24"/>
    <w:autoRedefine/>
    <w:qFormat/>
    <w:uiPriority w:val="0"/>
    <w:rPr>
      <w:rFonts w:hint="eastAsia" w:ascii="宋体" w:hAnsi="宋体" w:eastAsia="宋体" w:cs="宋体"/>
      <w:color w:val="000000"/>
      <w:sz w:val="24"/>
      <w:szCs w:val="24"/>
      <w:u w:val="none"/>
    </w:rPr>
  </w:style>
  <w:style w:type="character" w:customStyle="1" w:styleId="41">
    <w:name w:val="font31"/>
    <w:basedOn w:val="24"/>
    <w:autoRedefine/>
    <w:qFormat/>
    <w:uiPriority w:val="0"/>
    <w:rPr>
      <w:rFonts w:hint="eastAsia" w:ascii="宋体" w:hAnsi="宋体" w:eastAsia="宋体" w:cs="宋体"/>
      <w:color w:val="000000"/>
      <w:sz w:val="22"/>
      <w:szCs w:val="22"/>
      <w:u w:val="none"/>
    </w:rPr>
  </w:style>
  <w:style w:type="paragraph" w:customStyle="1" w:styleId="42">
    <w:name w:val="正文文本1"/>
    <w:basedOn w:val="1"/>
    <w:autoRedefine/>
    <w:qFormat/>
    <w:uiPriority w:val="0"/>
    <w:pPr>
      <w:shd w:val="clear" w:color="auto" w:fill="FFFFFF"/>
      <w:spacing w:line="427" w:lineRule="auto"/>
    </w:pPr>
    <w:rPr>
      <w:rFonts w:ascii="宋体" w:hAnsi="宋体" w:cs="宋体"/>
      <w:sz w:val="30"/>
      <w:szCs w:val="30"/>
      <w:lang w:val="zh-CN" w:bidi="zh-CN"/>
    </w:rPr>
  </w:style>
  <w:style w:type="paragraph" w:customStyle="1" w:styleId="43">
    <w:name w:val="标题 #2"/>
    <w:basedOn w:val="1"/>
    <w:autoRedefine/>
    <w:qFormat/>
    <w:uiPriority w:val="0"/>
    <w:pPr>
      <w:shd w:val="clear" w:color="auto" w:fill="FFFFFF"/>
      <w:spacing w:line="624" w:lineRule="exact"/>
      <w:outlineLvl w:val="1"/>
    </w:pPr>
    <w:rPr>
      <w:rFonts w:ascii="宋体" w:hAnsi="宋体" w:cs="宋体"/>
      <w:b/>
      <w:bCs/>
      <w:sz w:val="30"/>
      <w:szCs w:val="30"/>
      <w:lang w:val="zh-CN" w:bidi="zh-CN"/>
    </w:rPr>
  </w:style>
  <w:style w:type="paragraph" w:customStyle="1" w:styleId="44">
    <w:name w:val="正文文本 (2)"/>
    <w:basedOn w:val="1"/>
    <w:autoRedefine/>
    <w:qFormat/>
    <w:uiPriority w:val="0"/>
    <w:pPr>
      <w:shd w:val="clear" w:color="auto" w:fill="FFFFFF"/>
      <w:spacing w:line="624" w:lineRule="exact"/>
    </w:pPr>
    <w:rPr>
      <w:rFonts w:eastAsia="Calibri" w:cs="Calibri"/>
      <w:sz w:val="30"/>
      <w:szCs w:val="30"/>
      <w:lang w:val="zh-CN" w:bidi="zh-CN"/>
    </w:rPr>
  </w:style>
  <w:style w:type="paragraph" w:customStyle="1" w:styleId="45">
    <w:name w:val="Table Text"/>
    <w:basedOn w:val="1"/>
    <w:autoRedefine/>
    <w:semiHidden/>
    <w:qFormat/>
    <w:uiPriority w:val="0"/>
    <w:rPr>
      <w:rFonts w:ascii="宋体" w:hAnsi="宋体" w:eastAsia="宋体" w:cs="宋体"/>
      <w:sz w:val="20"/>
      <w:szCs w:val="20"/>
      <w:lang w:val="en-US" w:eastAsia="en-US" w:bidi="ar-SA"/>
    </w:rPr>
  </w:style>
  <w:style w:type="table" w:customStyle="1" w:styleId="4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412</Words>
  <Characters>507</Characters>
  <Lines>0</Lines>
  <Paragraphs>0</Paragraphs>
  <TotalTime>35</TotalTime>
  <ScaleCrop>false</ScaleCrop>
  <LinksUpToDate>false</LinksUpToDate>
  <CharactersWithSpaces>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2023-03-29T04:07:00Z</dcterms:created>
  <dc:creator>Administrator</dc:creator>
  <cp:lastModifiedBy>罗瑞梅</cp:lastModifiedBy>
  <cp:lastPrinted>2024-03-06T08:11:00Z</cp:lastPrinted>
  <dcterms:modified xsi:type="dcterms:W3CDTF">2026-05-11T07:32:58Z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1E71527044D9422DAEF46791ACFEDC0C_13</vt:lpwstr>
  </property>
  <property fmtid="{D5CDD505-2E9C-101B-9397-08002B2CF9AE}" pid="4" name="KSOTemplateDocerSaveRecord">
    <vt:lpwstr>eyJoZGlkIjoiYTNkM2M1OTJiZTA4NmQzYWYyYmQ3ZWRhMDBkNTgwYmEiLCJ1c2VySWQiOiI3NTEwNDc2OTcifQ==</vt:lpwstr>
  </property>
</Properties>
</file>