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4"/>
        <w:gridCol w:w="1350"/>
        <w:gridCol w:w="6093"/>
      </w:tblGrid>
      <w:tr w14:paraId="66AA1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4" w:type="dxa"/>
          </w:tcPr>
          <w:p w14:paraId="3F3C3E93">
            <w:pPr>
              <w:pStyle w:val="4"/>
            </w:pPr>
            <w:r>
              <w:rPr>
                <w:rFonts w:ascii="仿宋_GB2312" w:hAnsi="仿宋_GB2312" w:eastAsia="仿宋_GB2312" w:cs="仿宋_GB2312"/>
              </w:rPr>
              <w:t xml:space="preserve"> 序号</w:t>
            </w:r>
          </w:p>
        </w:tc>
        <w:tc>
          <w:tcPr>
            <w:tcW w:w="1350" w:type="dxa"/>
          </w:tcPr>
          <w:p w14:paraId="7F2D1FAA">
            <w:pPr>
              <w:pStyle w:val="4"/>
            </w:pPr>
            <w:r>
              <w:rPr>
                <w:rFonts w:ascii="仿宋_GB2312" w:hAnsi="仿宋_GB2312" w:eastAsia="仿宋_GB2312" w:cs="仿宋_GB2312"/>
              </w:rPr>
              <w:t xml:space="preserve"> 参数性质</w:t>
            </w:r>
          </w:p>
        </w:tc>
        <w:tc>
          <w:tcPr>
            <w:tcW w:w="6093" w:type="dxa"/>
          </w:tcPr>
          <w:p w14:paraId="3DDA9A0F">
            <w:pPr>
              <w:pStyle w:val="4"/>
            </w:pPr>
            <w:r>
              <w:rPr>
                <w:rFonts w:ascii="仿宋_GB2312" w:hAnsi="仿宋_GB2312" w:eastAsia="仿宋_GB2312" w:cs="仿宋_GB2312"/>
              </w:rPr>
              <w:t xml:space="preserve"> 技术参数与性能指标</w:t>
            </w:r>
          </w:p>
        </w:tc>
      </w:tr>
      <w:tr w14:paraId="7B180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4" w:type="dxa"/>
          </w:tcPr>
          <w:p w14:paraId="3BE9C81D">
            <w:pPr>
              <w:pStyle w:val="4"/>
            </w:pPr>
            <w:r>
              <w:rPr>
                <w:rFonts w:ascii="仿宋_GB2312" w:hAnsi="仿宋_GB2312" w:eastAsia="仿宋_GB2312" w:cs="仿宋_GB2312"/>
              </w:rPr>
              <w:t>1</w:t>
            </w:r>
          </w:p>
        </w:tc>
        <w:tc>
          <w:tcPr>
            <w:tcW w:w="1350" w:type="dxa"/>
          </w:tcPr>
          <w:p w14:paraId="1BF4E36D"/>
        </w:tc>
        <w:tc>
          <w:tcPr>
            <w:tcW w:w="6093" w:type="dxa"/>
          </w:tcPr>
          <w:p w14:paraId="25998131">
            <w:pPr>
              <w:pStyle w:val="4"/>
              <w:jc w:val="both"/>
            </w:pPr>
            <w:r>
              <w:rPr>
                <w:rFonts w:ascii="仿宋_GB2312" w:hAnsi="仿宋_GB2312" w:eastAsia="仿宋_GB2312" w:cs="仿宋_GB2312"/>
                <w:b/>
                <w:sz w:val="21"/>
              </w:rPr>
              <w:t>一、项目概况</w:t>
            </w:r>
          </w:p>
          <w:p w14:paraId="08966177">
            <w:pPr>
              <w:pStyle w:val="4"/>
              <w:jc w:val="both"/>
            </w:pPr>
            <w:r>
              <w:rPr>
                <w:rFonts w:ascii="仿宋_GB2312" w:hAnsi="仿宋_GB2312" w:eastAsia="仿宋_GB2312" w:cs="仿宋_GB2312"/>
                <w:b/>
                <w:sz w:val="21"/>
              </w:rPr>
              <w:t>（一）基本情况</w:t>
            </w:r>
          </w:p>
          <w:p w14:paraId="3DAC0CEA">
            <w:pPr>
              <w:pStyle w:val="4"/>
              <w:jc w:val="both"/>
            </w:pPr>
            <w:r>
              <w:rPr>
                <w:rFonts w:ascii="仿宋_GB2312" w:hAnsi="仿宋_GB2312" w:eastAsia="仿宋_GB2312" w:cs="仿宋_GB2312"/>
                <w:sz w:val="21"/>
              </w:rPr>
              <w:t>为保障陕西省高速公路联网收费系统省级中心的稳定运行，提升系统的连续性、数据可靠性与可用性，拟对现有软硬件系统实施全面升级改造，旨在构建技术先进、安全可靠的省级收费系统，确保联网收费业务在高负荷、复</w:t>
            </w:r>
            <w:bookmarkStart w:id="0" w:name="_GoBack"/>
            <w:bookmarkEnd w:id="0"/>
            <w:r>
              <w:rPr>
                <w:rFonts w:ascii="仿宋_GB2312" w:hAnsi="仿宋_GB2312" w:eastAsia="仿宋_GB2312" w:cs="仿宋_GB2312"/>
                <w:sz w:val="21"/>
              </w:rPr>
              <w:t>杂环境下的高效运转。根据《陕西省省级政务信息化项目管理办法》相关规定，现计划委托具备资质的专业供应商，开展“陕西省高速公路联网收费系统省级中心升级改造项目”工程可行性研究报告的编制工作，为后续立项审批和建设实施提供科学依据。</w:t>
            </w:r>
          </w:p>
          <w:p w14:paraId="04DBE8C9">
            <w:pPr>
              <w:pStyle w:val="4"/>
              <w:jc w:val="both"/>
            </w:pPr>
            <w:r>
              <w:rPr>
                <w:rFonts w:ascii="仿宋_GB2312" w:hAnsi="仿宋_GB2312" w:eastAsia="仿宋_GB2312" w:cs="仿宋_GB2312"/>
                <w:b/>
                <w:sz w:val="21"/>
              </w:rPr>
              <w:t>（二）主要编制依据</w:t>
            </w:r>
          </w:p>
          <w:p w14:paraId="796E9863">
            <w:pPr>
              <w:pStyle w:val="4"/>
              <w:jc w:val="both"/>
            </w:pPr>
            <w:r>
              <w:rPr>
                <w:rFonts w:ascii="仿宋_GB2312" w:hAnsi="仿宋_GB2312" w:eastAsia="仿宋_GB2312" w:cs="仿宋_GB2312"/>
                <w:b/>
                <w:sz w:val="21"/>
              </w:rPr>
              <w:t xml:space="preserve"> </w:t>
            </w:r>
            <w:r>
              <w:rPr>
                <w:rFonts w:ascii="仿宋_GB2312" w:hAnsi="仿宋_GB2312" w:eastAsia="仿宋_GB2312" w:cs="仿宋_GB2312"/>
                <w:sz w:val="21"/>
              </w:rPr>
              <w:t>包括但不限于：</w:t>
            </w:r>
          </w:p>
          <w:p w14:paraId="5BA33291">
            <w:pPr>
              <w:pStyle w:val="4"/>
              <w:jc w:val="both"/>
            </w:pPr>
            <w:r>
              <w:rPr>
                <w:rFonts w:ascii="仿宋_GB2312" w:hAnsi="仿宋_GB2312" w:eastAsia="仿宋_GB2312" w:cs="仿宋_GB2312"/>
                <w:sz w:val="21"/>
              </w:rPr>
              <w:t>1.《中华人民共和国民法典》；</w:t>
            </w:r>
          </w:p>
          <w:p w14:paraId="273B2DD1">
            <w:pPr>
              <w:pStyle w:val="4"/>
              <w:jc w:val="both"/>
            </w:pPr>
            <w:r>
              <w:rPr>
                <w:rFonts w:ascii="仿宋_GB2312" w:hAnsi="仿宋_GB2312" w:eastAsia="仿宋_GB2312" w:cs="仿宋_GB2312"/>
                <w:sz w:val="21"/>
              </w:rPr>
              <w:t>2.《中华人民共和国政府采购法》；</w:t>
            </w:r>
          </w:p>
          <w:p w14:paraId="7B422B92">
            <w:pPr>
              <w:pStyle w:val="4"/>
              <w:jc w:val="both"/>
            </w:pPr>
            <w:r>
              <w:rPr>
                <w:rFonts w:ascii="仿宋_GB2312" w:hAnsi="仿宋_GB2312" w:eastAsia="仿宋_GB2312" w:cs="仿宋_GB2312"/>
                <w:sz w:val="21"/>
              </w:rPr>
              <w:t>3.《国务院关于加强数字政府建设的指导意见》（国发〔2022〕14号）；</w:t>
            </w:r>
          </w:p>
          <w:p w14:paraId="3C7681F2">
            <w:pPr>
              <w:pStyle w:val="4"/>
              <w:jc w:val="both"/>
            </w:pPr>
            <w:r>
              <w:rPr>
                <w:rFonts w:ascii="仿宋_GB2312" w:hAnsi="仿宋_GB2312" w:eastAsia="仿宋_GB2312" w:cs="仿宋_GB2312"/>
                <w:sz w:val="21"/>
              </w:rPr>
              <w:t>4.《国务院办公厅关于政府向社会力量购买服务的指导意见》（国办发〔2013〕96号）；</w:t>
            </w:r>
          </w:p>
          <w:p w14:paraId="5C1BA9FE">
            <w:pPr>
              <w:pStyle w:val="4"/>
              <w:jc w:val="both"/>
            </w:pPr>
            <w:r>
              <w:rPr>
                <w:rFonts w:ascii="仿宋_GB2312" w:hAnsi="仿宋_GB2312" w:eastAsia="仿宋_GB2312" w:cs="仿宋_GB2312"/>
                <w:sz w:val="21"/>
              </w:rPr>
              <w:t>5.《国务院办公厅关于印发国家政务信息化项目建设管理办法的通知》（国办发〔2019〕57号）；</w:t>
            </w:r>
          </w:p>
          <w:p w14:paraId="156FEC39">
            <w:pPr>
              <w:pStyle w:val="4"/>
              <w:jc w:val="both"/>
            </w:pPr>
            <w:r>
              <w:rPr>
                <w:rFonts w:ascii="仿宋_GB2312" w:hAnsi="仿宋_GB2312" w:eastAsia="仿宋_GB2312" w:cs="仿宋_GB2312"/>
                <w:sz w:val="21"/>
              </w:rPr>
              <w:t>6.《国务院办公厅关于建立健全政务数据共享协调机制加快数据有序共享的意见》（国办发〔2021〕6号）；</w:t>
            </w:r>
          </w:p>
          <w:p w14:paraId="7A9DDCBA">
            <w:pPr>
              <w:pStyle w:val="4"/>
              <w:jc w:val="both"/>
            </w:pPr>
            <w:r>
              <w:rPr>
                <w:rFonts w:ascii="仿宋_GB2312" w:hAnsi="仿宋_GB2312" w:eastAsia="仿宋_GB2312" w:cs="仿宋_GB2312"/>
                <w:sz w:val="21"/>
              </w:rPr>
              <w:t>7.《政府购买服务管理办法》（财政部令第102号）；</w:t>
            </w:r>
          </w:p>
          <w:p w14:paraId="616A1BB1">
            <w:pPr>
              <w:pStyle w:val="4"/>
              <w:jc w:val="both"/>
            </w:pPr>
            <w:r>
              <w:rPr>
                <w:rFonts w:ascii="仿宋_GB2312" w:hAnsi="仿宋_GB2312" w:eastAsia="仿宋_GB2312" w:cs="仿宋_GB2312"/>
                <w:sz w:val="21"/>
              </w:rPr>
              <w:t>8.《政府采购品目分类目录》（财库〔2022〕31号）；</w:t>
            </w:r>
          </w:p>
          <w:p w14:paraId="3AC5CB5D">
            <w:pPr>
              <w:pStyle w:val="4"/>
              <w:jc w:val="both"/>
            </w:pPr>
            <w:r>
              <w:rPr>
                <w:rFonts w:ascii="仿宋_GB2312" w:hAnsi="仿宋_GB2312" w:eastAsia="仿宋_GB2312" w:cs="仿宋_GB2312"/>
                <w:sz w:val="21"/>
              </w:rPr>
              <w:t>9.《政务信息资源目录编制指南（试行）》（发改高技〔2017〕1272号）；</w:t>
            </w:r>
          </w:p>
          <w:p w14:paraId="5EB372D6">
            <w:pPr>
              <w:pStyle w:val="4"/>
              <w:jc w:val="both"/>
            </w:pPr>
            <w:r>
              <w:rPr>
                <w:rFonts w:ascii="仿宋_GB2312" w:hAnsi="仿宋_GB2312" w:eastAsia="仿宋_GB2312" w:cs="仿宋_GB2312"/>
                <w:sz w:val="21"/>
              </w:rPr>
              <w:t>10.《陕西省政府投资管理办法》（陕西省人民政府令第226号）；</w:t>
            </w:r>
          </w:p>
          <w:p w14:paraId="0D954B05">
            <w:pPr>
              <w:pStyle w:val="4"/>
              <w:jc w:val="both"/>
            </w:pPr>
            <w:r>
              <w:rPr>
                <w:rFonts w:ascii="仿宋_GB2312" w:hAnsi="仿宋_GB2312" w:eastAsia="仿宋_GB2312" w:cs="仿宋_GB2312"/>
                <w:sz w:val="21"/>
              </w:rPr>
              <w:t>11.《陕西省数字政府建设“十四五”规划》（陕政办发〔2021〕27号）；</w:t>
            </w:r>
          </w:p>
          <w:p w14:paraId="71EEA20E">
            <w:pPr>
              <w:pStyle w:val="4"/>
              <w:jc w:val="both"/>
            </w:pPr>
            <w:r>
              <w:rPr>
                <w:rFonts w:ascii="仿宋_GB2312" w:hAnsi="仿宋_GB2312" w:eastAsia="仿宋_GB2312" w:cs="仿宋_GB2312"/>
                <w:sz w:val="21"/>
              </w:rPr>
              <w:t>12.《陕西省省级政务信息化项目建设管理办法（暂行）》（陕政办发〔2022〕19号）；</w:t>
            </w:r>
          </w:p>
          <w:p w14:paraId="47277202">
            <w:pPr>
              <w:pStyle w:val="4"/>
              <w:jc w:val="both"/>
            </w:pPr>
            <w:r>
              <w:rPr>
                <w:rFonts w:ascii="仿宋_GB2312" w:hAnsi="仿宋_GB2312" w:eastAsia="仿宋_GB2312" w:cs="仿宋_GB2312"/>
                <w:sz w:val="21"/>
              </w:rPr>
              <w:t>13.《陕西省省级政务信息化项目评审细则（试行）》（陕政数局〔2023〕5号）；</w:t>
            </w:r>
          </w:p>
          <w:p w14:paraId="27D3AD0E">
            <w:pPr>
              <w:pStyle w:val="4"/>
              <w:jc w:val="both"/>
            </w:pPr>
            <w:r>
              <w:rPr>
                <w:rFonts w:ascii="仿宋_GB2312" w:hAnsi="仿宋_GB2312" w:eastAsia="仿宋_GB2312" w:cs="仿宋_GB2312"/>
                <w:sz w:val="21"/>
              </w:rPr>
              <w:t>14.《陕西省省级政务信息化项目竣工验收管理办法（试行）》（陕政数局〔2023〕6号）；</w:t>
            </w:r>
          </w:p>
          <w:p w14:paraId="22CA9923">
            <w:pPr>
              <w:pStyle w:val="4"/>
              <w:jc w:val="both"/>
            </w:pPr>
            <w:r>
              <w:rPr>
                <w:rFonts w:ascii="仿宋_GB2312" w:hAnsi="仿宋_GB2312" w:eastAsia="仿宋_GB2312" w:cs="仿宋_GB2312"/>
                <w:sz w:val="21"/>
              </w:rPr>
              <w:t>15.GB/T 36326-2018 信息技术 云计算 云服务运营通用要求；</w:t>
            </w:r>
          </w:p>
          <w:p w14:paraId="15CBF3C6">
            <w:pPr>
              <w:pStyle w:val="4"/>
              <w:jc w:val="both"/>
            </w:pPr>
            <w:r>
              <w:rPr>
                <w:rFonts w:ascii="仿宋_GB2312" w:hAnsi="仿宋_GB2312" w:eastAsia="仿宋_GB2312" w:cs="仿宋_GB2312"/>
                <w:sz w:val="21"/>
              </w:rPr>
              <w:t>16.GB/T 36964-2018 软件工程 软件开发成本度量规范；</w:t>
            </w:r>
          </w:p>
          <w:p w14:paraId="0B98CF20">
            <w:pPr>
              <w:pStyle w:val="4"/>
              <w:jc w:val="both"/>
            </w:pPr>
            <w:r>
              <w:rPr>
                <w:rFonts w:ascii="仿宋_GB2312" w:hAnsi="仿宋_GB2312" w:eastAsia="仿宋_GB2312" w:cs="仿宋_GB2312"/>
                <w:sz w:val="21"/>
              </w:rPr>
              <w:t>17.GB/T 37961-2019 信息技术服务 服务基本要求；</w:t>
            </w:r>
          </w:p>
          <w:p w14:paraId="665BAA19">
            <w:pPr>
              <w:pStyle w:val="4"/>
              <w:jc w:val="both"/>
            </w:pPr>
            <w:r>
              <w:rPr>
                <w:rFonts w:ascii="仿宋_GB2312" w:hAnsi="仿宋_GB2312" w:eastAsia="仿宋_GB2312" w:cs="仿宋_GB2312"/>
                <w:sz w:val="21"/>
              </w:rPr>
              <w:t>18.GB/T 30283-2022 信息安全技术 信息安全服务 分类与代码；</w:t>
            </w:r>
          </w:p>
          <w:p w14:paraId="39915995">
            <w:pPr>
              <w:pStyle w:val="4"/>
              <w:jc w:val="both"/>
            </w:pPr>
            <w:r>
              <w:rPr>
                <w:rFonts w:ascii="仿宋_GB2312" w:hAnsi="仿宋_GB2312" w:eastAsia="仿宋_GB2312" w:cs="仿宋_GB2312"/>
                <w:sz w:val="21"/>
              </w:rPr>
              <w:t>19.GB/T 28827.1-2022 信息技术服务 运行维护 第1部分：通用要求；</w:t>
            </w:r>
          </w:p>
          <w:p w14:paraId="3D6849D1">
            <w:pPr>
              <w:pStyle w:val="4"/>
              <w:jc w:val="both"/>
            </w:pPr>
            <w:r>
              <w:rPr>
                <w:rFonts w:ascii="仿宋_GB2312" w:hAnsi="仿宋_GB2312" w:eastAsia="仿宋_GB2312" w:cs="仿宋_GB2312"/>
                <w:sz w:val="21"/>
              </w:rPr>
              <w:t>20.GB/T 28827.2-2012 信息技术服务 运行维护 第2部分：交付规范；</w:t>
            </w:r>
          </w:p>
          <w:p w14:paraId="06A76829">
            <w:pPr>
              <w:pStyle w:val="4"/>
              <w:jc w:val="both"/>
            </w:pPr>
            <w:r>
              <w:rPr>
                <w:rFonts w:ascii="仿宋_GB2312" w:hAnsi="仿宋_GB2312" w:eastAsia="仿宋_GB2312" w:cs="仿宋_GB2312"/>
                <w:sz w:val="21"/>
              </w:rPr>
              <w:t>21.GB/T 28827.3-2012 信息技术服务 运行维护 第3部分：应急响应规范；</w:t>
            </w:r>
          </w:p>
          <w:p w14:paraId="6226AE48">
            <w:pPr>
              <w:pStyle w:val="4"/>
              <w:jc w:val="both"/>
            </w:pPr>
            <w:r>
              <w:rPr>
                <w:rFonts w:ascii="仿宋_GB2312" w:hAnsi="仿宋_GB2312" w:eastAsia="仿宋_GB2312" w:cs="仿宋_GB2312"/>
                <w:sz w:val="21"/>
              </w:rPr>
              <w:t>22.GB/T 28827.4-2019 信息技术服务 运行维护 第4部分：数据中心服务要求；</w:t>
            </w:r>
          </w:p>
          <w:p w14:paraId="7DF45F0F">
            <w:pPr>
              <w:pStyle w:val="4"/>
              <w:jc w:val="both"/>
            </w:pPr>
            <w:r>
              <w:rPr>
                <w:rFonts w:ascii="仿宋_GB2312" w:hAnsi="仿宋_GB2312" w:eastAsia="仿宋_GB2312" w:cs="仿宋_GB2312"/>
                <w:sz w:val="21"/>
              </w:rPr>
              <w:t>23.GB/T 28827.5-2012 信息技术服务 运行维护 第5部分：桌面及外围设备服务规范；</w:t>
            </w:r>
          </w:p>
          <w:p w14:paraId="44FCDAE9">
            <w:pPr>
              <w:pStyle w:val="4"/>
              <w:jc w:val="both"/>
            </w:pPr>
            <w:r>
              <w:rPr>
                <w:rFonts w:ascii="仿宋_GB2312" w:hAnsi="仿宋_GB2312" w:eastAsia="仿宋_GB2312" w:cs="仿宋_GB2312"/>
                <w:sz w:val="21"/>
              </w:rPr>
              <w:t>24.GB/T 28827.6-2019 信息技术服务 运行维护 第6部分：应用系统服务要求；</w:t>
            </w:r>
          </w:p>
          <w:p w14:paraId="4CC204A9">
            <w:pPr>
              <w:pStyle w:val="4"/>
              <w:jc w:val="both"/>
            </w:pPr>
            <w:r>
              <w:rPr>
                <w:rFonts w:ascii="仿宋_GB2312" w:hAnsi="仿宋_GB2312" w:eastAsia="仿宋_GB2312" w:cs="仿宋_GB2312"/>
                <w:sz w:val="21"/>
              </w:rPr>
              <w:t>25.GB/T 28827.7-2022信息技术服务 运行维护 第7部分：成本度量规范；</w:t>
            </w:r>
          </w:p>
          <w:p w14:paraId="4B0D057B">
            <w:pPr>
              <w:pStyle w:val="4"/>
              <w:jc w:val="both"/>
            </w:pPr>
            <w:r>
              <w:rPr>
                <w:rFonts w:ascii="仿宋_GB2312" w:hAnsi="仿宋_GB2312" w:eastAsia="仿宋_GB2312" w:cs="仿宋_GB2312"/>
                <w:sz w:val="21"/>
              </w:rPr>
              <w:t>26.GB/T 22240-2020信息安全技术 网络安全等级保护定级指南；</w:t>
            </w:r>
          </w:p>
          <w:p w14:paraId="3838FA97">
            <w:pPr>
              <w:pStyle w:val="4"/>
              <w:jc w:val="both"/>
            </w:pPr>
            <w:r>
              <w:rPr>
                <w:rFonts w:ascii="仿宋_GB2312" w:hAnsi="仿宋_GB2312" w:eastAsia="仿宋_GB2312" w:cs="仿宋_GB2312"/>
                <w:sz w:val="21"/>
              </w:rPr>
              <w:t>27.GB/T 25070-2019信息安全技术 网络安全等级保护安全设计技术要求；</w:t>
            </w:r>
          </w:p>
          <w:p w14:paraId="0CE4F43E">
            <w:pPr>
              <w:pStyle w:val="4"/>
              <w:jc w:val="both"/>
            </w:pPr>
            <w:r>
              <w:rPr>
                <w:rFonts w:ascii="仿宋_GB2312" w:hAnsi="仿宋_GB2312" w:eastAsia="仿宋_GB2312" w:cs="仿宋_GB2312"/>
                <w:sz w:val="21"/>
              </w:rPr>
              <w:t>28.GB/T 22239-2019网络安全等级保护基本要求；</w:t>
            </w:r>
          </w:p>
          <w:p w14:paraId="587D8E98">
            <w:pPr>
              <w:pStyle w:val="4"/>
              <w:jc w:val="both"/>
            </w:pPr>
            <w:r>
              <w:rPr>
                <w:rFonts w:ascii="仿宋_GB2312" w:hAnsi="仿宋_GB2312" w:eastAsia="仿宋_GB2312" w:cs="仿宋_GB2312"/>
                <w:sz w:val="21"/>
              </w:rPr>
              <w:t>29.GB/T 39786-2021信息安全技术 信息系统密码应用基本要求；</w:t>
            </w:r>
          </w:p>
          <w:p w14:paraId="11122BCB">
            <w:pPr>
              <w:pStyle w:val="4"/>
              <w:jc w:val="both"/>
            </w:pPr>
            <w:r>
              <w:rPr>
                <w:rFonts w:ascii="仿宋_GB2312" w:hAnsi="仿宋_GB2312" w:eastAsia="仿宋_GB2312" w:cs="仿宋_GB2312"/>
                <w:sz w:val="21"/>
              </w:rPr>
              <w:t>30.GB/T 8567-2006 计算机软件文档编制规范；</w:t>
            </w:r>
          </w:p>
          <w:p w14:paraId="0DA64587">
            <w:pPr>
              <w:pStyle w:val="4"/>
              <w:jc w:val="both"/>
            </w:pPr>
            <w:r>
              <w:rPr>
                <w:rFonts w:ascii="仿宋_GB2312" w:hAnsi="仿宋_GB2312" w:eastAsia="仿宋_GB2312" w:cs="仿宋_GB2312"/>
                <w:sz w:val="21"/>
              </w:rPr>
              <w:t>31.SJ/T 11619-2016 软件工程 功能规模测量NESMA方法。</w:t>
            </w:r>
          </w:p>
          <w:p w14:paraId="213B321A">
            <w:pPr>
              <w:pStyle w:val="4"/>
            </w:pPr>
            <w:r>
              <w:rPr>
                <w:rFonts w:ascii="仿宋_GB2312" w:hAnsi="仿宋_GB2312" w:eastAsia="仿宋_GB2312" w:cs="仿宋_GB2312"/>
                <w:sz w:val="21"/>
              </w:rPr>
              <w:t>方案编制服务工作过程需要参照的、以及最新颁布的其他相关国标、部省规范及文件、招标人提出的其它需求应及时参照执行。</w:t>
            </w:r>
          </w:p>
        </w:tc>
      </w:tr>
      <w:tr w14:paraId="390CF2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4" w:type="dxa"/>
          </w:tcPr>
          <w:p w14:paraId="7B7F7227">
            <w:pPr>
              <w:pStyle w:val="4"/>
            </w:pPr>
            <w:r>
              <w:rPr>
                <w:rFonts w:ascii="仿宋_GB2312" w:hAnsi="仿宋_GB2312" w:eastAsia="仿宋_GB2312" w:cs="仿宋_GB2312"/>
              </w:rPr>
              <w:t>2</w:t>
            </w:r>
          </w:p>
        </w:tc>
        <w:tc>
          <w:tcPr>
            <w:tcW w:w="1350" w:type="dxa"/>
          </w:tcPr>
          <w:p w14:paraId="53964234"/>
        </w:tc>
        <w:tc>
          <w:tcPr>
            <w:tcW w:w="6093" w:type="dxa"/>
          </w:tcPr>
          <w:p w14:paraId="700D7BA0">
            <w:pPr>
              <w:pStyle w:val="4"/>
              <w:jc w:val="both"/>
            </w:pPr>
            <w:r>
              <w:rPr>
                <w:rFonts w:ascii="仿宋_GB2312" w:hAnsi="仿宋_GB2312" w:eastAsia="仿宋_GB2312" w:cs="仿宋_GB2312"/>
                <w:b/>
                <w:sz w:val="21"/>
              </w:rPr>
              <w:t>二、项目服务内容</w:t>
            </w:r>
          </w:p>
          <w:p w14:paraId="0E88FE0A">
            <w:pPr>
              <w:pStyle w:val="4"/>
              <w:jc w:val="both"/>
            </w:pPr>
            <w:r>
              <w:rPr>
                <w:rFonts w:ascii="仿宋_GB2312" w:hAnsi="仿宋_GB2312" w:eastAsia="仿宋_GB2312" w:cs="仿宋_GB2312"/>
                <w:sz w:val="21"/>
              </w:rPr>
              <w:t>1.依据《陕西省省级政务信息化项目可行性研究报告编制指南（建设类）》（试行）的要求，全面开展工程可行性研究编制工作，涵盖以下核心内容：项目概述、建设单位概况、现状分析、业务与技术需求分析、总体建设方案设计、数据资源共享机制、网络安全体系建设、密码应用合规性设计、建设内容清单明细、项目招标组织方案、项目实施与管理机制、投资估算与资金来源分析、项目可行性综合评估等，确保报告内容完整、逻辑严密、支撑有力。</w:t>
            </w:r>
          </w:p>
          <w:p w14:paraId="337AE2A3">
            <w:pPr>
              <w:pStyle w:val="4"/>
            </w:pPr>
            <w:r>
              <w:rPr>
                <w:rFonts w:ascii="仿宋_GB2312" w:hAnsi="仿宋_GB2312" w:eastAsia="仿宋_GB2312" w:cs="仿宋_GB2312"/>
                <w:sz w:val="21"/>
              </w:rPr>
              <w:t>2.提供全过程后续技术服务，包括但不限于：协助审查初步设计文件并进行技术确认，支持项目建设推进，以及其他与本项目可行性研究相关的延伸服务事项，确保研究成果有效落地。</w:t>
            </w:r>
          </w:p>
        </w:tc>
      </w:tr>
      <w:tr w14:paraId="69C4C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4" w:type="dxa"/>
          </w:tcPr>
          <w:p w14:paraId="54C7E8C0">
            <w:pPr>
              <w:pStyle w:val="4"/>
            </w:pPr>
            <w:r>
              <w:rPr>
                <w:rFonts w:ascii="仿宋_GB2312" w:hAnsi="仿宋_GB2312" w:eastAsia="仿宋_GB2312" w:cs="仿宋_GB2312"/>
              </w:rPr>
              <w:t>3</w:t>
            </w:r>
          </w:p>
        </w:tc>
        <w:tc>
          <w:tcPr>
            <w:tcW w:w="1350" w:type="dxa"/>
          </w:tcPr>
          <w:p w14:paraId="46B6F2FF"/>
        </w:tc>
        <w:tc>
          <w:tcPr>
            <w:tcW w:w="6093" w:type="dxa"/>
          </w:tcPr>
          <w:p w14:paraId="5E13F7F1">
            <w:pPr>
              <w:pStyle w:val="4"/>
              <w:jc w:val="both"/>
            </w:pPr>
            <w:r>
              <w:rPr>
                <w:rFonts w:ascii="仿宋_GB2312" w:hAnsi="仿宋_GB2312" w:eastAsia="仿宋_GB2312" w:cs="仿宋_GB2312"/>
                <w:b/>
                <w:sz w:val="21"/>
              </w:rPr>
              <w:t>三、服务要求</w:t>
            </w:r>
          </w:p>
          <w:p w14:paraId="6CB8A89B">
            <w:pPr>
              <w:pStyle w:val="4"/>
              <w:jc w:val="both"/>
            </w:pPr>
            <w:r>
              <w:rPr>
                <w:rFonts w:ascii="仿宋_GB2312" w:hAnsi="仿宋_GB2312" w:eastAsia="仿宋_GB2312" w:cs="仿宋_GB2312"/>
                <w:sz w:val="21"/>
              </w:rPr>
              <w:t>（一）服务时间</w:t>
            </w:r>
          </w:p>
          <w:p w14:paraId="04C31F7D">
            <w:pPr>
              <w:pStyle w:val="4"/>
              <w:ind w:firstLine="400"/>
              <w:jc w:val="both"/>
            </w:pPr>
            <w:r>
              <w:rPr>
                <w:rFonts w:ascii="仿宋_GB2312" w:hAnsi="仿宋_GB2312" w:eastAsia="仿宋_GB2312" w:cs="仿宋_GB2312"/>
                <w:sz w:val="21"/>
              </w:rPr>
              <w:t>整体服务周期为自合同签订之日起150个日历天内完成全部工作。具体阶段安排如下：</w:t>
            </w:r>
          </w:p>
          <w:p w14:paraId="4C68DFDD">
            <w:pPr>
              <w:pStyle w:val="4"/>
              <w:ind w:firstLine="400"/>
              <w:jc w:val="both"/>
            </w:pPr>
            <w:r>
              <w:rPr>
                <w:rFonts w:ascii="仿宋_GB2312" w:hAnsi="仿宋_GB2312" w:eastAsia="仿宋_GB2312" w:cs="仿宋_GB2312"/>
                <w:sz w:val="21"/>
              </w:rPr>
              <w:t>1.自合同签订之日起30个日历天内，完成对陕西省高速公路联网收费系统省级中心及其关联系统的现状调研与基础资料收集；在充分调研的基础上，依据编制指南要求，完成可行性研究报告初稿的撰写，并根据采购人意见完成多轮修改与完善；</w:t>
            </w:r>
          </w:p>
          <w:p w14:paraId="685405A1">
            <w:pPr>
              <w:pStyle w:val="4"/>
              <w:ind w:firstLine="400"/>
              <w:jc w:val="both"/>
            </w:pPr>
            <w:r>
              <w:rPr>
                <w:rFonts w:ascii="仿宋_GB2312" w:hAnsi="仿宋_GB2312" w:eastAsia="仿宋_GB2312" w:cs="仿宋_GB2312"/>
                <w:sz w:val="21"/>
              </w:rPr>
              <w:t>2.后续积极配合完成专家评审、主管部门审批及项目验收等相关工作，确保项目顺利推进、按时交付。</w:t>
            </w:r>
          </w:p>
          <w:p w14:paraId="591AF118">
            <w:pPr>
              <w:pStyle w:val="4"/>
              <w:jc w:val="both"/>
            </w:pPr>
            <w:r>
              <w:rPr>
                <w:rFonts w:ascii="仿宋_GB2312" w:hAnsi="仿宋_GB2312" w:eastAsia="仿宋_GB2312" w:cs="仿宋_GB2312"/>
                <w:sz w:val="21"/>
              </w:rPr>
              <w:t>（二）服务地点：陕西省高速公路收费中心。</w:t>
            </w:r>
          </w:p>
          <w:p w14:paraId="498F70D3">
            <w:pPr>
              <w:pStyle w:val="4"/>
              <w:jc w:val="both"/>
            </w:pPr>
            <w:r>
              <w:rPr>
                <w:rFonts w:ascii="仿宋_GB2312" w:hAnsi="仿宋_GB2312" w:eastAsia="仿宋_GB2312" w:cs="仿宋_GB2312"/>
                <w:sz w:val="21"/>
              </w:rPr>
              <w:t>（三）服务基本要求</w:t>
            </w:r>
          </w:p>
          <w:p w14:paraId="353BA5E2">
            <w:pPr>
              <w:pStyle w:val="4"/>
              <w:ind w:firstLine="400"/>
              <w:jc w:val="both"/>
            </w:pPr>
            <w:r>
              <w:rPr>
                <w:rFonts w:ascii="仿宋_GB2312" w:hAnsi="仿宋_GB2312" w:eastAsia="仿宋_GB2312" w:cs="仿宋_GB2312"/>
                <w:sz w:val="21"/>
              </w:rPr>
              <w:t>1.深入调研现状。鉴于陕西省高速公路联网收费系统省级中心业务交叉性强、系统架构复杂、专业门槛高、设备规模庞大，供应商须组织专业团队对现有系统的建设情况、核心业务流程、网络拓扑结构、安全防护体系等进行全面、系统的实地调研。必要时应同步调研相关外围系统，确保掌握第一手资料，提升可行性研究方案的针对性、准确性和可操作性。</w:t>
            </w:r>
          </w:p>
          <w:p w14:paraId="56A51676">
            <w:pPr>
              <w:pStyle w:val="4"/>
              <w:ind w:firstLine="400"/>
              <w:jc w:val="both"/>
            </w:pPr>
            <w:r>
              <w:rPr>
                <w:rFonts w:ascii="仿宋_GB2312" w:hAnsi="仿宋_GB2312" w:eastAsia="仿宋_GB2312" w:cs="仿宋_GB2312"/>
                <w:sz w:val="21"/>
              </w:rPr>
              <w:t>2.工可报告编制要求。可行性研究报告应基于详实的数据和科学的论证，紧密结合实际业务需求和发展趋势，提出技术先进、路径清晰、经济合理、安全可控的升级改造方案。报告应突出实用性与落地性，注重资源整合与共享，优先利用现有基础设施和软硬件资源，避免重复建设，切实控制投资规模，提高资金使用效益。</w:t>
            </w:r>
          </w:p>
          <w:p w14:paraId="1EA5C811">
            <w:pPr>
              <w:pStyle w:val="4"/>
              <w:ind w:firstLine="400"/>
              <w:jc w:val="both"/>
            </w:pPr>
            <w:r>
              <w:rPr>
                <w:rFonts w:ascii="仿宋_GB2312" w:hAnsi="仿宋_GB2312" w:eastAsia="仿宋_GB2312" w:cs="仿宋_GB2312"/>
                <w:sz w:val="21"/>
              </w:rPr>
              <w:t>3.国产化适配考量：在编制过程中，需重点考虑收费系统核心数据库的国产化需求。应对现有数据库、服务器等的品牌型号、芯片架构、系统平台及当前操作系统等使用情况进行详细调研，评估现有系统的安全风险与国产化迁移的技术挑战。从硬件兼容性、数据库与中间件适配性、系统稳定性、性能表现、技术支持能力及长期维护机制等方面，系统提出国产化迁移与适配的技术路径和实施方案，确保升级改造平滑过渡与安全稳定运行。</w:t>
            </w:r>
          </w:p>
          <w:p w14:paraId="6EBEADE6">
            <w:pPr>
              <w:pStyle w:val="4"/>
              <w:jc w:val="both"/>
            </w:pPr>
            <w:r>
              <w:rPr>
                <w:rFonts w:ascii="仿宋_GB2312" w:hAnsi="仿宋_GB2312" w:eastAsia="仿宋_GB2312" w:cs="仿宋_GB2312"/>
                <w:sz w:val="21"/>
              </w:rPr>
              <w:t>（四）人员具体设置要求如下：</w:t>
            </w:r>
          </w:p>
          <w:p w14:paraId="20BF2A67">
            <w:pPr>
              <w:pStyle w:val="4"/>
              <w:ind w:firstLine="400"/>
              <w:jc w:val="both"/>
            </w:pPr>
            <w:r>
              <w:rPr>
                <w:rFonts w:ascii="仿宋_GB2312" w:hAnsi="仿宋_GB2312" w:eastAsia="仿宋_GB2312" w:cs="仿宋_GB2312"/>
                <w:sz w:val="21"/>
              </w:rPr>
              <w:t>1.项目团队配置</w:t>
            </w:r>
          </w:p>
          <w:p w14:paraId="49E1A67C">
            <w:pPr>
              <w:pStyle w:val="4"/>
              <w:jc w:val="both"/>
            </w:pPr>
            <w:r>
              <w:rPr>
                <w:rFonts w:ascii="仿宋_GB2312" w:hAnsi="仿宋_GB2312" w:eastAsia="仿宋_GB2312" w:cs="仿宋_GB2312"/>
                <w:sz w:val="21"/>
              </w:rPr>
              <w:t>项目负责人应具备高级及以上职称，项目团队成员不低于5名，其中项目负责人1名、技术负责人1名，咨询工程师(投资)1名，技术方案编制人员不低于2名。</w:t>
            </w:r>
          </w:p>
          <w:p w14:paraId="3F400335">
            <w:pPr>
              <w:pStyle w:val="4"/>
              <w:ind w:firstLine="400"/>
              <w:jc w:val="both"/>
            </w:pPr>
            <w:r>
              <w:rPr>
                <w:rFonts w:ascii="仿宋_GB2312" w:hAnsi="仿宋_GB2312" w:eastAsia="仿宋_GB2312" w:cs="仿宋_GB2312"/>
                <w:sz w:val="21"/>
              </w:rPr>
              <w:t>2.人员稳定性要求</w:t>
            </w:r>
          </w:p>
          <w:p w14:paraId="09028B79">
            <w:pPr>
              <w:pStyle w:val="4"/>
              <w:jc w:val="both"/>
            </w:pPr>
            <w:r>
              <w:rPr>
                <w:rFonts w:ascii="仿宋_GB2312" w:hAnsi="仿宋_GB2312" w:eastAsia="仿宋_GB2312" w:cs="仿宋_GB2312"/>
                <w:sz w:val="21"/>
              </w:rPr>
              <w:t>项目团队成员一经确认，原则上不得更换。如因特殊情况确</w:t>
            </w:r>
          </w:p>
          <w:p w14:paraId="567C1090">
            <w:pPr>
              <w:pStyle w:val="4"/>
              <w:jc w:val="both"/>
            </w:pPr>
            <w:r>
              <w:rPr>
                <w:rFonts w:ascii="仿宋_GB2312" w:hAnsi="仿宋_GB2312" w:eastAsia="仿宋_GB2312" w:cs="仿宋_GB2312"/>
                <w:sz w:val="21"/>
              </w:rPr>
              <w:t>需调整，须提前15个日历天向采购人提交书面申请，经采购人审核同意后方可更换，且替换人员的职称、专业背景、从业年限及项目经验不得低于原定人员标准，确保项目服务质量不受影响。</w:t>
            </w:r>
          </w:p>
          <w:p w14:paraId="37A6B189">
            <w:pPr>
              <w:pStyle w:val="4"/>
              <w:jc w:val="both"/>
            </w:pPr>
            <w:r>
              <w:rPr>
                <w:rFonts w:ascii="仿宋_GB2312" w:hAnsi="仿宋_GB2312" w:eastAsia="仿宋_GB2312" w:cs="仿宋_GB2312"/>
                <w:sz w:val="21"/>
              </w:rPr>
              <w:t>（五）交付要求</w:t>
            </w:r>
          </w:p>
          <w:p w14:paraId="6D39EF9A">
            <w:pPr>
              <w:pStyle w:val="4"/>
              <w:ind w:firstLine="400"/>
              <w:jc w:val="both"/>
            </w:pPr>
            <w:r>
              <w:rPr>
                <w:rFonts w:ascii="仿宋_GB2312" w:hAnsi="仿宋_GB2312" w:eastAsia="仿宋_GB2312" w:cs="仿宋_GB2312"/>
                <w:sz w:val="21"/>
              </w:rPr>
              <w:t>按需提供电子版及一定数量的纸质版资料：</w:t>
            </w:r>
          </w:p>
          <w:p w14:paraId="70915238">
            <w:pPr>
              <w:pStyle w:val="4"/>
              <w:ind w:firstLine="400"/>
              <w:jc w:val="both"/>
            </w:pPr>
            <w:r>
              <w:rPr>
                <w:rFonts w:ascii="仿宋_GB2312" w:hAnsi="仿宋_GB2312" w:eastAsia="仿宋_GB2312" w:cs="仿宋_GB2312"/>
                <w:sz w:val="21"/>
              </w:rPr>
              <w:t>1.《陕西省高速公路联网收费系统省级中心升级改造项目工程可行性研究报告》；报告内容须全面覆盖本技术要求所列各项编制内容，并通过相关部门组织的评审。</w:t>
            </w:r>
          </w:p>
          <w:p w14:paraId="638F8E2C">
            <w:pPr>
              <w:pStyle w:val="4"/>
              <w:ind w:firstLine="400"/>
              <w:jc w:val="both"/>
            </w:pPr>
            <w:r>
              <w:rPr>
                <w:rFonts w:ascii="仿宋_GB2312" w:hAnsi="仿宋_GB2312" w:eastAsia="仿宋_GB2312" w:cs="仿宋_GB2312"/>
                <w:sz w:val="21"/>
              </w:rPr>
              <w:t>2.应对省中心联网收费系统现状和需求进行调研，并在工可报告中进行分析和论证。</w:t>
            </w:r>
          </w:p>
          <w:p w14:paraId="7FB6539D">
            <w:pPr>
              <w:pStyle w:val="4"/>
              <w:ind w:firstLine="400"/>
              <w:jc w:val="both"/>
            </w:pPr>
            <w:r>
              <w:rPr>
                <w:rFonts w:ascii="仿宋_GB2312" w:hAnsi="仿宋_GB2312" w:eastAsia="仿宋_GB2312" w:cs="仿宋_GB2312"/>
                <w:sz w:val="21"/>
              </w:rPr>
              <w:t>3.提交项目全过程产生的调研记录、会议纪要、专家评审意见及回复处理说明等过程性资料，确保工作可追溯、成果可验证。</w:t>
            </w:r>
          </w:p>
          <w:p w14:paraId="1F97B269">
            <w:pPr>
              <w:pStyle w:val="4"/>
              <w:ind w:firstLine="400"/>
              <w:jc w:val="both"/>
            </w:pPr>
            <w:r>
              <w:rPr>
                <w:rFonts w:ascii="仿宋_GB2312" w:hAnsi="仿宋_GB2312" w:eastAsia="仿宋_GB2312" w:cs="仿宋_GB2312"/>
                <w:sz w:val="21"/>
              </w:rPr>
              <w:t>4.采购人要求提交的其他补充资料或过程文档。</w:t>
            </w:r>
          </w:p>
          <w:p w14:paraId="485BB4A0">
            <w:pPr>
              <w:pStyle w:val="4"/>
              <w:ind w:firstLine="400"/>
              <w:jc w:val="both"/>
            </w:pPr>
            <w:r>
              <w:rPr>
                <w:rFonts w:ascii="仿宋_GB2312" w:hAnsi="仿宋_GB2312" w:eastAsia="仿宋_GB2312" w:cs="仿宋_GB2312"/>
                <w:sz w:val="21"/>
              </w:rPr>
              <w:t>5.交付标准：所有交付成果须做到内容完整、数据真实、逻辑严谨、表述清晰、格式规范，符合国家、行业及陕西省现行相关标准与管理规定，满足采购人对项目决策、审批和后续实施的指导需求，确保研究成果具备权威性、科学性和可执行性。</w:t>
            </w:r>
          </w:p>
          <w:p w14:paraId="74A13593">
            <w:pPr>
              <w:pStyle w:val="4"/>
              <w:jc w:val="both"/>
            </w:pPr>
            <w:r>
              <w:rPr>
                <w:rFonts w:ascii="仿宋_GB2312" w:hAnsi="仿宋_GB2312" w:eastAsia="仿宋_GB2312" w:cs="仿宋_GB2312"/>
                <w:sz w:val="21"/>
              </w:rPr>
              <w:t>（六）保密要求</w:t>
            </w:r>
          </w:p>
          <w:p w14:paraId="1F88492A">
            <w:pPr>
              <w:pStyle w:val="4"/>
              <w:ind w:firstLine="400"/>
              <w:jc w:val="both"/>
            </w:pPr>
            <w:r>
              <w:rPr>
                <w:rFonts w:ascii="仿宋_GB2312" w:hAnsi="仿宋_GB2312" w:eastAsia="仿宋_GB2312" w:cs="仿宋_GB2312"/>
                <w:sz w:val="21"/>
              </w:rPr>
              <w:t>在项目实施及后续服务过程中，供应商所获取、使用或产生的所有与本项目相关的资料，包括但不限于文字材料、图表、数据、影像、技术文档等形式，其所有权均归属采购人。供应商及其服务人员须严格履行保密义务，签署保密协议，严禁向任何第三方泄露项目信息，不得擅自复制、传播或用于与本项目无关的其他用途。如发生泄密行为，采购人有权依法追究其法律责任并要求经济赔偿。保密期限不受合同有效期的限制，在合同有效期结束后，供应商仍应承担保密义务。</w:t>
            </w:r>
          </w:p>
          <w:p w14:paraId="62DE47E5">
            <w:pPr>
              <w:pStyle w:val="4"/>
              <w:jc w:val="both"/>
            </w:pPr>
            <w:r>
              <w:rPr>
                <w:rFonts w:ascii="仿宋_GB2312" w:hAnsi="仿宋_GB2312" w:eastAsia="仿宋_GB2312" w:cs="仿宋_GB2312"/>
                <w:sz w:val="21"/>
              </w:rPr>
              <w:t>（七）项目验收要求</w:t>
            </w:r>
          </w:p>
          <w:p w14:paraId="659ACC37">
            <w:pPr>
              <w:pStyle w:val="4"/>
              <w:ind w:firstLine="400"/>
              <w:jc w:val="both"/>
            </w:pPr>
            <w:r>
              <w:rPr>
                <w:rFonts w:ascii="仿宋_GB2312" w:hAnsi="仿宋_GB2312" w:eastAsia="仿宋_GB2312" w:cs="仿宋_GB2312"/>
                <w:sz w:val="21"/>
              </w:rPr>
              <w:t>项目履约验收主体为采购人，验收工作流程为供应商提出验收申请之日起30个日历天内，由采购人组织验收工作。本项目为一次性验收，采购人严格按照招标文件、投标文件和合同约定内容进行履约验收，验收合格后支付尾款。</w:t>
            </w:r>
          </w:p>
          <w:p w14:paraId="5F42DF26">
            <w:pPr>
              <w:pStyle w:val="4"/>
              <w:jc w:val="both"/>
            </w:pPr>
            <w:r>
              <w:rPr>
                <w:rFonts w:ascii="仿宋_GB2312" w:hAnsi="仿宋_GB2312" w:eastAsia="仿宋_GB2312" w:cs="仿宋_GB2312"/>
                <w:sz w:val="21"/>
              </w:rPr>
              <w:t>（八）违约责任</w:t>
            </w:r>
          </w:p>
          <w:p w14:paraId="69D8384D">
            <w:pPr>
              <w:pStyle w:val="4"/>
              <w:ind w:firstLine="400"/>
              <w:jc w:val="both"/>
            </w:pPr>
            <w:r>
              <w:rPr>
                <w:rFonts w:ascii="仿宋_GB2312" w:hAnsi="仿宋_GB2312" w:eastAsia="仿宋_GB2312" w:cs="仿宋_GB2312"/>
                <w:sz w:val="21"/>
              </w:rPr>
              <w:t>1.供应商逾期提交工可的，应向采购人支付延迟违约金。延迟违约金的计算方法如下：每延迟一天向采购人偿付合同总额的3‰违约金，但违约金累计不超过合同总额3%。超过10 天采购人有权解除合同，供应商承担因此给采购人造成经济损失。</w:t>
            </w:r>
          </w:p>
          <w:p w14:paraId="4004FE06">
            <w:pPr>
              <w:pStyle w:val="4"/>
              <w:ind w:firstLine="400"/>
              <w:jc w:val="both"/>
            </w:pPr>
            <w:r>
              <w:rPr>
                <w:rFonts w:ascii="仿宋_GB2312" w:hAnsi="仿宋_GB2312" w:eastAsia="仿宋_GB2312" w:cs="仿宋_GB2312"/>
                <w:sz w:val="21"/>
              </w:rPr>
              <w:t>2.供应商未按合同要求提供服务或服务质量不能满足技术要求的，采购方有权要求供应商整改，供应商拒绝整改或整改后仍存在问题的，采购方有权解除合同，并有权要求供应商按照合同总价款的20%向采购方支付违约金。</w:t>
            </w:r>
          </w:p>
          <w:p w14:paraId="517410F1">
            <w:pPr>
              <w:pStyle w:val="4"/>
              <w:ind w:firstLine="400"/>
              <w:jc w:val="both"/>
            </w:pPr>
            <w:r>
              <w:rPr>
                <w:rFonts w:ascii="仿宋_GB2312" w:hAnsi="仿宋_GB2312" w:eastAsia="仿宋_GB2312" w:cs="仿宋_GB2312"/>
                <w:sz w:val="21"/>
              </w:rPr>
              <w:t>3.因供应商原因，自合同签订之日起150日历天内未完成项目所有工作内容或未提交项目交付成果，供应商应向采购方支付合同总价款的20%违约金，采购方有权从合同支付费用中扣除。</w:t>
            </w:r>
          </w:p>
          <w:p w14:paraId="7A1D375C">
            <w:pPr>
              <w:pStyle w:val="4"/>
              <w:ind w:firstLine="400"/>
              <w:jc w:val="both"/>
            </w:pPr>
            <w:r>
              <w:rPr>
                <w:rFonts w:ascii="仿宋_GB2312" w:hAnsi="仿宋_GB2312" w:eastAsia="仿宋_GB2312" w:cs="仿宋_GB2312"/>
                <w:sz w:val="21"/>
              </w:rPr>
              <w:t>4.上述违约金直接从未支付的合同金额中扣减，如合同剩余金额不足扣减违约金，供应商应在规定时限内向采购人支付违约金。</w:t>
            </w:r>
          </w:p>
          <w:p w14:paraId="2DCB2927">
            <w:pPr>
              <w:pStyle w:val="4"/>
              <w:ind w:firstLine="400"/>
              <w:jc w:val="both"/>
            </w:pPr>
            <w:r>
              <w:rPr>
                <w:rFonts w:ascii="仿宋_GB2312" w:hAnsi="仿宋_GB2312" w:eastAsia="仿宋_GB2312" w:cs="仿宋_GB2312"/>
                <w:sz w:val="21"/>
              </w:rPr>
              <w:t>5.因供应商原因，导致合同无法按时签订的，视为对项目的自动放弃，采购方有权取消供应商的中标或成交资格、并有权依据采购文件中的约定及相关法律规定，追究供应商的违约责任。</w:t>
            </w:r>
          </w:p>
          <w:p w14:paraId="473B23C2">
            <w:pPr>
              <w:pStyle w:val="4"/>
              <w:ind w:firstLine="400"/>
              <w:jc w:val="both"/>
            </w:pPr>
            <w:r>
              <w:rPr>
                <w:rFonts w:ascii="仿宋_GB2312" w:hAnsi="仿宋_GB2312" w:eastAsia="仿宋_GB2312" w:cs="仿宋_GB2312"/>
                <w:sz w:val="21"/>
              </w:rPr>
              <w:t xml:space="preserve">6.供应商如不能及时开具全额发票或采购人要求的保函，采购人有权延时付款且不承担违约责任，直至供应商开具全额发票或开具保函后再进行付款。  </w:t>
            </w:r>
          </w:p>
          <w:p w14:paraId="56F088CF">
            <w:pPr>
              <w:pStyle w:val="4"/>
              <w:ind w:firstLine="400"/>
              <w:jc w:val="both"/>
            </w:pPr>
            <w:r>
              <w:rPr>
                <w:rFonts w:ascii="仿宋_GB2312" w:hAnsi="仿宋_GB2312" w:eastAsia="仿宋_GB2312" w:cs="仿宋_GB2312"/>
                <w:sz w:val="21"/>
              </w:rPr>
              <w:t>7.因供应商泄密或行为不当造成采购人利益损害，除一切后果与法律责任由供应商承担，采购人有权要求供应商赔偿经济损失。</w:t>
            </w:r>
          </w:p>
          <w:p w14:paraId="7F81F7D9">
            <w:pPr>
              <w:pStyle w:val="4"/>
            </w:pPr>
            <w:r>
              <w:rPr>
                <w:rFonts w:ascii="仿宋_GB2312" w:hAnsi="仿宋_GB2312" w:eastAsia="仿宋_GB2312" w:cs="仿宋_GB2312"/>
                <w:sz w:val="21"/>
              </w:rPr>
              <w:t>8.供应商若违反本协议的任何一款，视为供应商违约；因供应商违约造成采购人损失的，由供应商承担全部的损失赔偿责任，包括但不限于直接经济损失及采购人因此开支的交通费、公证费、鉴定费、诉讼费、仲裁费、律师费、保全费、保全保险费等一切费用。</w:t>
            </w:r>
          </w:p>
        </w:tc>
      </w:tr>
      <w:tr w14:paraId="2AB0C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4" w:type="dxa"/>
          </w:tcPr>
          <w:p w14:paraId="63AE33ED">
            <w:pPr>
              <w:pStyle w:val="4"/>
            </w:pPr>
            <w:r>
              <w:rPr>
                <w:rFonts w:ascii="仿宋_GB2312" w:hAnsi="仿宋_GB2312" w:eastAsia="仿宋_GB2312" w:cs="仿宋_GB2312"/>
              </w:rPr>
              <w:t>4</w:t>
            </w:r>
          </w:p>
        </w:tc>
        <w:tc>
          <w:tcPr>
            <w:tcW w:w="1350" w:type="dxa"/>
          </w:tcPr>
          <w:p w14:paraId="7C16DED3"/>
        </w:tc>
        <w:tc>
          <w:tcPr>
            <w:tcW w:w="6093" w:type="dxa"/>
          </w:tcPr>
          <w:p w14:paraId="3474D9F1">
            <w:pPr>
              <w:pStyle w:val="4"/>
              <w:jc w:val="both"/>
            </w:pPr>
            <w:r>
              <w:rPr>
                <w:rFonts w:ascii="仿宋_GB2312" w:hAnsi="仿宋_GB2312" w:eastAsia="仿宋_GB2312" w:cs="仿宋_GB2312"/>
                <w:b/>
                <w:sz w:val="21"/>
              </w:rPr>
              <w:t>四、付款方式（因系统格式要求无法调整，供应商须对以下实际付款方式进行响应）</w:t>
            </w:r>
          </w:p>
          <w:p w14:paraId="7FB4DD96">
            <w:pPr>
              <w:pStyle w:val="4"/>
              <w:ind w:firstLine="400"/>
              <w:jc w:val="both"/>
            </w:pPr>
            <w:r>
              <w:rPr>
                <w:rFonts w:ascii="仿宋_GB2312" w:hAnsi="仿宋_GB2312" w:eastAsia="仿宋_GB2312" w:cs="仿宋_GB2312"/>
                <w:sz w:val="21"/>
              </w:rPr>
              <w:t xml:space="preserve">1.合同签订且生效之日起，供应商完成工可报告初稿并提交采购人，采购人15个工作日内支付合同价款的50%；工可经采购人初步通过后，15个工作日内支付合同价款的30%；项目履约验收通过后15个工作日内支付合同总价款的20%；若项目2026年11月底未进行履约验收，供应商需在2026年12月提供剩余款项的有效银行保函，采购人一次性支付剩余款项，待到项目验收通过后中心退还保函。  </w:t>
            </w:r>
          </w:p>
          <w:p w14:paraId="7AE033AE">
            <w:pPr>
              <w:pStyle w:val="4"/>
              <w:ind w:firstLine="400"/>
              <w:jc w:val="both"/>
            </w:pPr>
            <w:r>
              <w:rPr>
                <w:rFonts w:ascii="仿宋_GB2312" w:hAnsi="仿宋_GB2312" w:eastAsia="仿宋_GB2312" w:cs="仿宋_GB2312"/>
                <w:sz w:val="21"/>
              </w:rPr>
              <w:t>2.供应商须向采购人出具合法有效的发票，采购人进行支付结算。首次支付时供应商应开具全额发票。</w:t>
            </w:r>
          </w:p>
          <w:p w14:paraId="70DE7724">
            <w:pPr>
              <w:pStyle w:val="4"/>
              <w:ind w:firstLine="400"/>
              <w:jc w:val="both"/>
            </w:pPr>
            <w:r>
              <w:rPr>
                <w:rFonts w:ascii="仿宋_GB2312" w:hAnsi="仿宋_GB2312" w:eastAsia="仿宋_GB2312" w:cs="仿宋_GB2312"/>
                <w:sz w:val="21"/>
              </w:rPr>
              <w:t>3.结算方式：银行转账。</w:t>
            </w:r>
          </w:p>
          <w:p w14:paraId="1E6E8055">
            <w:pPr>
              <w:pStyle w:val="4"/>
            </w:pPr>
            <w:r>
              <w:rPr>
                <w:rFonts w:ascii="仿宋_GB2312" w:hAnsi="仿宋_GB2312" w:eastAsia="仿宋_GB2312" w:cs="仿宋_GB2312"/>
                <w:sz w:val="21"/>
              </w:rPr>
              <w:t>（本条内容为实质性要求，供应商未响应按无效文件处理）</w:t>
            </w:r>
          </w:p>
        </w:tc>
      </w:tr>
    </w:tbl>
    <w:p w14:paraId="69F996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9723FE"/>
    <w:rsid w:val="049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2026-05-15T08:45:00Z</dcterms:created>
  <dc:creator>徐闫靖双</dc:creator>
  <cp:lastModifiedBy>徐闫靖双</cp:lastModifiedBy>
  <dcterms:modified xsi:type="dcterms:W3CDTF">2026-05-15T08:46:16Z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6606E7AB55BE45858595BB216C326B50_11</vt:lpwstr>
  </property>
  <property fmtid="{D5CDD505-2E9C-101B-9397-08002B2CF9AE}" pid="4" name="KSOTemplateDocerSaveRecord">
    <vt:lpwstr>eyJoZGlkIjoiYzA1MTFjMGE5NjMwY2U1ODU1MGFhN2UxMjk1NDdlZjEiLCJ1c2VySWQiOiI0NTE5NDQwNTQifQ==</vt:lpwstr>
  </property>
</Properties>
</file>