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9A1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汉中市中心医院连续性血液净化装置（CRRT）(二次)</w:t>
      </w:r>
      <w:bookmarkEnd w:id="0"/>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招标公告</w:t>
      </w:r>
    </w:p>
    <w:p w14:paraId="1D4AA4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26545C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连续性血液净化装置（CRRT）(二次)</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2026年06月09日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14:paraId="3AD8ED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2DA1D1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项目编号：TZZB-HZ-2026038C.1B1</w:t>
      </w:r>
    </w:p>
    <w:p w14:paraId="399AE9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项目名称：连续性血液净化装置（CRRT）(二次)</w:t>
      </w:r>
    </w:p>
    <w:p w14:paraId="4E27C1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14:paraId="2CB057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预算金额：350,000.00元</w:t>
      </w:r>
    </w:p>
    <w:p w14:paraId="1A7D48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0D5206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6971C1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采购包1：交付期：自合同签订之日起1个月内交付。</w:t>
      </w:r>
    </w:p>
    <w:p w14:paraId="3223E9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34406D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0AE2F4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7ABBFD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6022C5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 无。</w:t>
      </w:r>
    </w:p>
    <w:p w14:paraId="55832F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28C379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合同包1(连续性血液净化装置（CRRT）采购)特定资格要求如下:</w:t>
      </w:r>
    </w:p>
    <w:p w14:paraId="5C2D11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(1)出具合法有效的营业执照或事业单位法人证书等国家规定的相关证明，自然人参与的提供其身份证明。</w:t>
      </w:r>
    </w:p>
    <w:p w14:paraId="31EAEF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法定代表人直接参加招标的，须出具法人身份证（附法定代表人身份证复印件）；法定代表人授权代表参加招标的，须出具法定代表人授权书及授权代表身份证（附法定代表人身份证复印件及被授权人身份证复印件）。</w:t>
      </w:r>
    </w:p>
    <w:p w14:paraId="12DF68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(3)投标人须提供《汉中市政府采购供应商资格承诺函》。</w:t>
      </w:r>
    </w:p>
    <w:p w14:paraId="294F5B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①投标人为生产厂商的须提供《医疗器械生产许可证》或《医疗器械生产备案凭证》，为代理商的须提供《医疗器械经营许可证》和《医疗器械经营备案凭证》；纳入医疗器械注册管理的，提供医疗器械注册证；进口产品需提供完整授权链条的产品授权书，且授权范围需包含本次采购项目内容。</w:t>
      </w:r>
    </w:p>
    <w:p w14:paraId="1188ED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14:paraId="237DA5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2026年05月18日 至 2026年05月22日 ，每天上午 00:00:00 至 12:00:00 ，下午 12:00:00 至 23:59:59 （北京时间）</w:t>
      </w:r>
    </w:p>
    <w:p w14:paraId="60F6F0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71E7F7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7045C9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595FEA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14:paraId="634958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2026年06月09日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75D1FA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0FF2FE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6301B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14:paraId="571D9A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3311B5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14:paraId="4FDB65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BBD53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06198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7CBBC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BB3C4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139412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2F6E9E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6C14D4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76A3BF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270258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55D160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4268E0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支持本国产业政策：依据《国务院办公厅关于在政府采购中实施本国产品标准及相关政策的通知》和《陕西省财政厅-关于在政府采购活动中实施本国产品标准及相关政策的通知》（陕财办采〔2026〕2号）等文件；（12）按相关规定需要落实的其他政府采购政策。</w:t>
      </w:r>
    </w:p>
    <w:p w14:paraId="47A694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14:paraId="5A704A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780A13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汉中市中心医院</w:t>
      </w:r>
    </w:p>
    <w:p w14:paraId="3EE2A4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汉中市汉台区康复路22号</w:t>
      </w:r>
    </w:p>
    <w:p w14:paraId="5FDA3D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0916-2682065</w:t>
      </w:r>
    </w:p>
    <w:p w14:paraId="43DB13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78C362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18F3B9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中市汉台区西一环路蓝天御苑小区商铺二层门面房</w:t>
      </w:r>
    </w:p>
    <w:p w14:paraId="23E9AC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7627F2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42A444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712E31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7CEC92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12457DBC">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1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2026-05-15T08:47:54Z</dcterms:created>
  <dc:creator>0003</dc:creator>
  <cp:lastModifiedBy>soul</cp:lastModifiedBy>
  <dcterms:modified xsi:type="dcterms:W3CDTF">2026-05-15T08:48:11Z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CB7E07C72D4D43759B277E107BDD99E4_12</vt:lpwstr>
  </property>
</Properties>
</file>