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0DF1FC">
      <w:pPr>
        <w:spacing w:before="120" w:beforeLines="50" w:line="520" w:lineRule="exact"/>
        <w:ind w:left="630" w:leftChars="300" w:firstLine="1446" w:firstLineChars="400"/>
        <w:rPr>
          <w:rFonts w:ascii="宋体" w:hAnsi="宋体" w:cs="宋体"/>
          <w:b/>
          <w:bCs/>
          <w:color w:val="auto"/>
          <w:sz w:val="36"/>
          <w:szCs w:val="36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</w:rPr>
        <w:t>竞争性谈判内容及技术要求</w:t>
      </w:r>
    </w:p>
    <w:p w14:paraId="63600CA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00"/>
        <w:textAlignment w:val="auto"/>
        <w:rPr>
          <w:rFonts w:hint="eastAsia" w:hAnsi="宋体" w:eastAsia="宋体" w:cs="Verdana"/>
          <w:b/>
          <w:color w:val="auto"/>
          <w:kern w:val="0"/>
          <w:sz w:val="24"/>
          <w:szCs w:val="24"/>
          <w:lang w:eastAsia="zh-CN"/>
        </w:rPr>
      </w:pPr>
      <w:r>
        <w:rPr>
          <w:rFonts w:hint="eastAsia" w:hAnsi="宋体" w:cs="Verdana"/>
          <w:b/>
          <w:color w:val="auto"/>
          <w:kern w:val="0"/>
          <w:sz w:val="24"/>
          <w:szCs w:val="24"/>
        </w:rPr>
        <w:t>一、</w:t>
      </w:r>
      <w:r>
        <w:rPr>
          <w:rFonts w:hint="eastAsia" w:hAnsi="宋体" w:cs="Verdana"/>
          <w:b/>
          <w:color w:val="auto"/>
          <w:kern w:val="0"/>
          <w:sz w:val="24"/>
          <w:szCs w:val="24"/>
          <w:lang w:eastAsia="zh-CN"/>
        </w:rPr>
        <w:t>项目概况</w:t>
      </w:r>
    </w:p>
    <w:p w14:paraId="7989BC4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00"/>
        <w:textAlignment w:val="auto"/>
        <w:rPr>
          <w:rFonts w:hint="eastAsia" w:hAnsi="宋体" w:cs="Verdana"/>
          <w:b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hAnsi="宋体" w:cs="Verdana"/>
          <w:b/>
          <w:color w:val="auto"/>
          <w:kern w:val="0"/>
          <w:sz w:val="24"/>
          <w:szCs w:val="24"/>
          <w:lang w:val="en-US" w:eastAsia="zh-CN"/>
        </w:rPr>
        <w:t>1.项目名称</w:t>
      </w:r>
    </w:p>
    <w:p w14:paraId="011228F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00"/>
        <w:textAlignment w:val="auto"/>
        <w:rPr>
          <w:rFonts w:hint="eastAsia" w:hAnsi="宋体" w:eastAsia="宋体" w:cs="Verdana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hAnsi="宋体" w:eastAsia="宋体" w:cs="Verdana"/>
          <w:b w:val="0"/>
          <w:bCs/>
          <w:color w:val="auto"/>
          <w:kern w:val="0"/>
          <w:sz w:val="24"/>
          <w:szCs w:val="24"/>
          <w:lang w:val="en-US" w:eastAsia="zh-CN"/>
        </w:rPr>
        <w:t>泾河新城屋顶光伏资产盘活项目（一期）</w:t>
      </w:r>
    </w:p>
    <w:p w14:paraId="097DA487">
      <w:pPr>
        <w:pStyle w:val="2"/>
        <w:spacing w:line="520" w:lineRule="exact"/>
        <w:ind w:firstLine="241" w:firstLineChars="100"/>
        <w:rPr>
          <w:rFonts w:hint="eastAsia" w:hAnsi="宋体" w:cs="Verdana"/>
          <w:b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hAnsi="宋体" w:cs="Verdana"/>
          <w:b/>
          <w:color w:val="auto"/>
          <w:kern w:val="0"/>
          <w:sz w:val="24"/>
          <w:szCs w:val="24"/>
          <w:lang w:val="en-US" w:eastAsia="zh-CN"/>
        </w:rPr>
        <w:t>2.项目性质</w:t>
      </w:r>
    </w:p>
    <w:p w14:paraId="289E076A">
      <w:pPr>
        <w:pStyle w:val="2"/>
        <w:spacing w:line="520" w:lineRule="exact"/>
        <w:ind w:firstLine="240" w:firstLineChars="100"/>
        <w:rPr>
          <w:rFonts w:hint="default" w:hAnsi="宋体" w:cs="Verdana"/>
          <w:b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hAnsi="宋体" w:cs="Verdana"/>
          <w:b w:val="0"/>
          <w:bCs/>
          <w:color w:val="auto"/>
          <w:kern w:val="0"/>
          <w:sz w:val="24"/>
          <w:szCs w:val="24"/>
          <w:lang w:val="en-US" w:eastAsia="zh-CN"/>
        </w:rPr>
        <w:t>存量资产盘活</w:t>
      </w:r>
    </w:p>
    <w:p w14:paraId="28D8D73D">
      <w:pPr>
        <w:pStyle w:val="2"/>
        <w:spacing w:line="520" w:lineRule="exact"/>
        <w:ind w:firstLine="241" w:firstLineChars="100"/>
        <w:rPr>
          <w:rFonts w:hint="eastAsia" w:hAnsi="宋体" w:cs="Verdana"/>
          <w:b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hAnsi="宋体" w:cs="Verdana"/>
          <w:b/>
          <w:color w:val="auto"/>
          <w:kern w:val="0"/>
          <w:sz w:val="24"/>
          <w:szCs w:val="24"/>
          <w:lang w:val="en-US" w:eastAsia="zh-CN"/>
        </w:rPr>
        <w:t>3.项目实施地址</w:t>
      </w:r>
    </w:p>
    <w:p w14:paraId="08DA81B2">
      <w:pPr>
        <w:pStyle w:val="2"/>
        <w:spacing w:line="520" w:lineRule="exact"/>
        <w:ind w:firstLine="480" w:firstLineChars="200"/>
        <w:rPr>
          <w:rFonts w:hint="default" w:hAnsi="宋体" w:cs="Verdana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hAnsi="宋体" w:cs="Verdana"/>
          <w:b w:val="0"/>
          <w:bCs/>
          <w:color w:val="auto"/>
          <w:kern w:val="0"/>
          <w:sz w:val="24"/>
          <w:szCs w:val="24"/>
          <w:lang w:val="en-US" w:eastAsia="zh-CN"/>
        </w:rPr>
        <w:t>本次实施地址涉及泾河新城智造创新产业园，隆基光伏产业园，泾河新城产业孵化中心等三处，主要地址如下：</w:t>
      </w:r>
    </w:p>
    <w:p w14:paraId="3B953856">
      <w:pPr>
        <w:pStyle w:val="2"/>
        <w:spacing w:line="520" w:lineRule="exact"/>
        <w:ind w:firstLine="240" w:firstLineChars="100"/>
        <w:rPr>
          <w:rFonts w:hint="default" w:hAnsi="宋体" w:cs="Verdana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hAnsi="宋体" w:cs="Verdana"/>
          <w:b w:val="0"/>
          <w:bCs/>
          <w:color w:val="auto"/>
          <w:kern w:val="0"/>
          <w:sz w:val="24"/>
          <w:szCs w:val="24"/>
          <w:lang w:val="en-US" w:eastAsia="zh-CN"/>
        </w:rPr>
        <w:t>（1）</w:t>
      </w:r>
      <w:r>
        <w:rPr>
          <w:rFonts w:hint="default" w:hAnsi="宋体" w:cs="Verdana"/>
          <w:b w:val="0"/>
          <w:bCs/>
          <w:color w:val="auto"/>
          <w:kern w:val="0"/>
          <w:sz w:val="24"/>
          <w:szCs w:val="24"/>
          <w:lang w:val="en-US" w:eastAsia="zh-CN"/>
        </w:rPr>
        <w:t>泾河新城智造创新产业园：泾河新城智造创新产业园厂区5#、13#、15#、16#、17#、18#、19#、20#、21#、22#、23#、24#、25#厂房屋顶；</w:t>
      </w:r>
    </w:p>
    <w:p w14:paraId="05EE19AF">
      <w:pPr>
        <w:pStyle w:val="2"/>
        <w:spacing w:line="520" w:lineRule="exact"/>
        <w:ind w:firstLine="240" w:firstLineChars="100"/>
        <w:rPr>
          <w:rFonts w:hint="default" w:hAnsi="宋体" w:cs="Verdana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hAnsi="宋体" w:cs="Verdana"/>
          <w:b w:val="0"/>
          <w:bCs/>
          <w:color w:val="auto"/>
          <w:kern w:val="0"/>
          <w:sz w:val="24"/>
          <w:szCs w:val="24"/>
          <w:lang w:val="en-US" w:eastAsia="zh-CN"/>
        </w:rPr>
        <w:t>（2）</w:t>
      </w:r>
      <w:r>
        <w:rPr>
          <w:rFonts w:hint="default" w:hAnsi="宋体" w:cs="Verdana"/>
          <w:b w:val="0"/>
          <w:bCs/>
          <w:color w:val="auto"/>
          <w:kern w:val="0"/>
          <w:sz w:val="24"/>
          <w:szCs w:val="24"/>
          <w:lang w:val="en-US" w:eastAsia="zh-CN"/>
        </w:rPr>
        <w:t>隆基光伏产业园：隆基光伏产业园厂区101#、102#、103#、104#、108#厂房屋顶；</w:t>
      </w:r>
    </w:p>
    <w:p w14:paraId="49185502">
      <w:pPr>
        <w:pStyle w:val="2"/>
        <w:spacing w:line="520" w:lineRule="exact"/>
        <w:ind w:firstLine="240" w:firstLineChars="100"/>
        <w:rPr>
          <w:rFonts w:hint="default" w:hAnsi="宋体" w:cs="Verdana"/>
          <w:b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hAnsi="宋体" w:cs="Verdana"/>
          <w:b w:val="0"/>
          <w:bCs/>
          <w:color w:val="auto"/>
          <w:kern w:val="0"/>
          <w:sz w:val="24"/>
          <w:szCs w:val="24"/>
          <w:lang w:val="en-US" w:eastAsia="zh-CN"/>
        </w:rPr>
        <w:t>（3）</w:t>
      </w:r>
      <w:r>
        <w:rPr>
          <w:rFonts w:hint="default" w:hAnsi="宋体" w:cs="Verdana"/>
          <w:b w:val="0"/>
          <w:bCs/>
          <w:color w:val="auto"/>
          <w:kern w:val="0"/>
          <w:sz w:val="24"/>
          <w:szCs w:val="24"/>
          <w:lang w:val="en-US" w:eastAsia="zh-CN"/>
        </w:rPr>
        <w:t>泾河新城产业孵化中心：泾河新城产业孵化中心厂区2#、3#、4#、5#、7#、8#厂房屋顶。</w:t>
      </w:r>
    </w:p>
    <w:p w14:paraId="74B62F72">
      <w:pPr>
        <w:pStyle w:val="2"/>
        <w:spacing w:line="520" w:lineRule="exact"/>
        <w:ind w:firstLine="241" w:firstLineChars="100"/>
        <w:rPr>
          <w:rFonts w:hint="eastAsia" w:hAnsi="宋体" w:cs="Verdana"/>
          <w:b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hAnsi="宋体" w:cs="Verdana"/>
          <w:b/>
          <w:color w:val="auto"/>
          <w:kern w:val="0"/>
          <w:sz w:val="24"/>
          <w:szCs w:val="24"/>
          <w:lang w:val="en-US" w:eastAsia="zh-CN"/>
        </w:rPr>
        <w:t>4.项目实施内容及规模</w:t>
      </w:r>
    </w:p>
    <w:p w14:paraId="23E63F6E">
      <w:pPr>
        <w:pStyle w:val="2"/>
        <w:spacing w:line="520" w:lineRule="exact"/>
        <w:ind w:firstLine="480" w:firstLineChars="200"/>
        <w:rPr>
          <w:rFonts w:hint="default" w:hAnsi="宋体" w:cs="Verdana"/>
          <w:b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hAnsi="宋体" w:cs="Verdana"/>
          <w:b w:val="0"/>
          <w:bCs/>
          <w:color w:val="auto"/>
          <w:kern w:val="0"/>
          <w:sz w:val="24"/>
          <w:szCs w:val="24"/>
          <w:lang w:val="en-US" w:eastAsia="zh-CN"/>
        </w:rPr>
        <w:t>本项目通过电费收益权转让的方式，由成交供应商获得泾河新城智造创新产业园，隆基光伏产业园，泾河新城产业孵化中心三处屋顶光伏发电系统20年电费收益权，拟盘活资产情况包括泾河新城智造创新产业园厂区5#、13#、15#、16#、17#、18#、19#、20#、21#、22#、23#、24#、25#厂房屋顶光伏发电系统，总装机容量985.6kWp，光伏材料铺设总面积17201.00㎡；隆基光伏产业园厂区101#、102#、103#、104#、108#厂房屋顶光伏发电系统，总装机容量34.3822MW，光伏材料铺设总面积212414.88㎡；泾河新城产业孵化中心厂区2#、3#、4#、5#、7#、8#厂房屋顶光伏系统，总装机容量757.9kWp，光伏材料铺设总面积9126.00㎡。</w:t>
      </w:r>
    </w:p>
    <w:p w14:paraId="535A0741">
      <w:pPr>
        <w:pStyle w:val="2"/>
        <w:spacing w:line="520" w:lineRule="exact"/>
        <w:rPr>
          <w:rFonts w:hint="eastAsia" w:hAnsi="宋体" w:cs="Verdana"/>
          <w:b/>
          <w:color w:val="auto"/>
          <w:kern w:val="0"/>
          <w:sz w:val="24"/>
          <w:szCs w:val="24"/>
        </w:rPr>
      </w:pPr>
      <w:r>
        <w:rPr>
          <w:rFonts w:hint="eastAsia" w:hAnsi="宋体" w:cs="Verdana"/>
          <w:b/>
          <w:color w:val="auto"/>
          <w:kern w:val="0"/>
          <w:sz w:val="24"/>
          <w:szCs w:val="24"/>
          <w:lang w:val="en-US" w:eastAsia="zh-CN"/>
        </w:rPr>
        <w:t>二</w:t>
      </w:r>
      <w:r>
        <w:rPr>
          <w:rFonts w:hint="eastAsia" w:hAnsi="宋体" w:cs="Verdana"/>
          <w:b/>
          <w:color w:val="auto"/>
          <w:kern w:val="0"/>
          <w:sz w:val="24"/>
          <w:szCs w:val="24"/>
        </w:rPr>
        <w:t>、服务要求</w:t>
      </w:r>
    </w:p>
    <w:p w14:paraId="2379B962">
      <w:pPr>
        <w:pStyle w:val="2"/>
        <w:spacing w:line="520" w:lineRule="exact"/>
        <w:ind w:firstLine="480" w:firstLineChars="200"/>
        <w:rPr>
          <w:rFonts w:hint="eastAsia" w:hAnsi="宋体" w:cs="Verdana"/>
          <w:bCs/>
          <w:color w:val="auto"/>
          <w:kern w:val="0"/>
          <w:sz w:val="24"/>
          <w:szCs w:val="24"/>
        </w:rPr>
      </w:pPr>
      <w:r>
        <w:rPr>
          <w:rFonts w:hint="eastAsia" w:hAnsi="宋体" w:cs="Verdana"/>
          <w:bCs/>
          <w:color w:val="auto"/>
          <w:kern w:val="0"/>
          <w:sz w:val="24"/>
          <w:szCs w:val="24"/>
          <w:lang w:eastAsia="zh-CN"/>
        </w:rPr>
        <w:t>（一）</w:t>
      </w:r>
      <w:r>
        <w:rPr>
          <w:rFonts w:hint="eastAsia" w:hAnsi="宋体" w:cs="Verdana"/>
          <w:bCs/>
          <w:color w:val="auto"/>
          <w:kern w:val="0"/>
          <w:sz w:val="24"/>
          <w:szCs w:val="24"/>
        </w:rPr>
        <w:t>经营期限</w:t>
      </w:r>
    </w:p>
    <w:p w14:paraId="520DBA51">
      <w:pPr>
        <w:pStyle w:val="2"/>
        <w:spacing w:line="520" w:lineRule="exact"/>
        <w:ind w:firstLine="480" w:firstLineChars="200"/>
        <w:rPr>
          <w:rFonts w:hint="eastAsia" w:hAnsi="宋体" w:cs="Verdana"/>
          <w:bCs/>
          <w:color w:val="auto"/>
          <w:kern w:val="0"/>
          <w:sz w:val="24"/>
          <w:szCs w:val="24"/>
        </w:rPr>
      </w:pP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期限为20年，其中过渡运营期1年，正式运营期限19年。</w:t>
      </w:r>
    </w:p>
    <w:p w14:paraId="22C011EC">
      <w:pPr>
        <w:numPr>
          <w:ilvl w:val="0"/>
          <w:numId w:val="1"/>
        </w:numPr>
        <w:spacing w:line="520" w:lineRule="exact"/>
        <w:ind w:firstLine="480" w:firstLineChars="200"/>
        <w:rPr>
          <w:rFonts w:hint="eastAsia" w:hAnsi="宋体" w:cs="Verdana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hAnsi="宋体" w:cs="Verdana"/>
          <w:bCs/>
          <w:color w:val="auto"/>
          <w:kern w:val="0"/>
          <w:sz w:val="24"/>
          <w:szCs w:val="24"/>
          <w:lang w:val="en-US" w:eastAsia="zh-CN"/>
        </w:rPr>
        <w:t>经营方式</w:t>
      </w:r>
    </w:p>
    <w:p w14:paraId="2A9430EE">
      <w:pPr>
        <w:numPr>
          <w:ilvl w:val="0"/>
          <w:numId w:val="0"/>
        </w:numPr>
        <w:spacing w:line="520" w:lineRule="exact"/>
        <w:ind w:firstLine="480" w:firstLineChars="200"/>
        <w:rPr>
          <w:rFonts w:hint="eastAsia" w:hAnsi="宋体" w:cs="Verdana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hAnsi="宋体" w:cs="Verdana"/>
          <w:bCs/>
          <w:color w:val="auto"/>
          <w:kern w:val="0"/>
          <w:sz w:val="24"/>
          <w:szCs w:val="24"/>
          <w:lang w:val="en-US" w:eastAsia="zh-CN"/>
        </w:rPr>
        <w:t>本项目经营方式采用在合作期内，经营期结束后，经营主体将项目收益权无偿移交给实施机构或其指定机构。</w:t>
      </w:r>
    </w:p>
    <w:p w14:paraId="14F4D6D5">
      <w:r>
        <w:rPr>
          <w:rFonts w:hint="eastAsia" w:hAnsi="宋体" w:cs="Verdana"/>
          <w:bCs/>
          <w:color w:val="auto"/>
          <w:kern w:val="0"/>
          <w:sz w:val="24"/>
          <w:szCs w:val="24"/>
          <w:lang w:val="en-US" w:eastAsia="zh-CN"/>
        </w:rPr>
        <w:t>（三）协</w:t>
      </w:r>
      <w:r>
        <w:rPr>
          <w:rFonts w:ascii="宋体" w:hAnsi="宋体" w:cs="宋体"/>
          <w:color w:val="auto"/>
          <w:sz w:val="24"/>
          <w:szCs w:val="24"/>
        </w:rPr>
        <w:t>议签订后</w:t>
      </w:r>
      <w:r>
        <w:rPr>
          <w:rFonts w:hint="eastAsia" w:ascii="宋体" w:hAnsi="宋体" w:cs="宋体"/>
          <w:color w:val="auto"/>
          <w:sz w:val="24"/>
          <w:szCs w:val="24"/>
        </w:rPr>
        <w:t>一</w:t>
      </w:r>
      <w:r>
        <w:rPr>
          <w:rFonts w:ascii="宋体" w:hAnsi="宋体" w:cs="宋体"/>
          <w:color w:val="auto"/>
          <w:sz w:val="24"/>
          <w:szCs w:val="24"/>
        </w:rPr>
        <w:t>个月内，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成交供应商</w:t>
      </w:r>
      <w:r>
        <w:rPr>
          <w:rFonts w:ascii="宋体" w:hAnsi="宋体" w:cs="宋体"/>
          <w:color w:val="auto"/>
          <w:sz w:val="24"/>
          <w:szCs w:val="24"/>
        </w:rPr>
        <w:t>将出让价款一次性转账支付至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采购人</w:t>
      </w:r>
      <w:r>
        <w:rPr>
          <w:rFonts w:ascii="宋体" w:hAnsi="宋体" w:cs="宋体"/>
          <w:color w:val="auto"/>
          <w:sz w:val="24"/>
          <w:szCs w:val="24"/>
        </w:rPr>
        <w:t>指定银行账户。</w:t>
      </w:r>
      <w:bookmarkStart w:id="0" w:name="_GoBack"/>
      <w:bookmarkEnd w:id="0"/>
    </w:p>
    <w:sectPr>
      <w:pgSz w:w="11906" w:h="16838"/>
      <w:pgMar w:top="1440" w:right="1077" w:bottom="1440" w:left="107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F4517F"/>
    <w:multiLevelType w:val="singleLevel"/>
    <w:tmpl w:val="85F4517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8522A3"/>
    <w:rsid w:val="45D9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李玉萍</cp:lastModifiedBy>
  <dcterms:modified xsi:type="dcterms:W3CDTF">2025-02-11T08:07:13Z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6B00D75D772C44ACA0D95B574A6EF09F</vt:lpwstr>
  </property>
  <property fmtid="{D5CDD505-2E9C-101B-9397-08002B2CF9AE}" pid="4" name="KSOTemplateDocerSaveRecord">
    <vt:lpwstr>eyJoZGlkIjoiMjc5Yzg0ODgzYThjNGY0ZTViMjQwMzVjYTM1MjgwZDAiLCJ1c2VySWQiOiI0MDcwNDQ1MjgifQ==</vt:lpwstr>
  </property>
</Properties>
</file>