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9F92B">
      <w:pPr>
        <w:pStyle w:val="2"/>
        <w:widowControl/>
        <w:shd w:val="clear" w:color="auto" w:fill="FFFFFF"/>
        <w:spacing w:beforeAutospacing="0" w:afterAutospacing="0" w:line="450" w:lineRule="atLeast"/>
        <w:jc w:val="center"/>
        <w:rPr>
          <w:rFonts w:hint="eastAsia" w:ascii="宋体" w:hAnsi="宋体" w:eastAsia="宋体" w:cs="宋体"/>
          <w:b/>
          <w:color w:val="auto"/>
          <w:spacing w:val="-20"/>
          <w:sz w:val="36"/>
          <w:szCs w:val="36"/>
          <w:highlight w:val="none"/>
          <w:lang w:eastAsia="zh-CN"/>
        </w:rPr>
      </w:pPr>
      <w:r>
        <w:rPr>
          <w:rFonts w:hint="eastAsia" w:ascii="宋体" w:hAnsi="宋体" w:eastAsia="宋体" w:cs="宋体"/>
          <w:color w:val="auto"/>
          <w:sz w:val="39"/>
          <w:szCs w:val="39"/>
          <w:highlight w:val="none"/>
          <w:shd w:val="clear" w:color="auto" w:fill="FFFFFF"/>
        </w:rPr>
        <w:t>拟签订采购合同文本</w:t>
      </w:r>
    </w:p>
    <w:p w14:paraId="7A53BBB1">
      <w:pPr>
        <w:spacing w:before="120" w:line="360" w:lineRule="auto"/>
        <w:jc w:val="both"/>
        <w:rPr>
          <w:rFonts w:hint="eastAsia" w:ascii="宋体" w:hAnsi="宋体" w:eastAsia="宋体" w:cs="宋体"/>
          <w:b/>
          <w:color w:val="auto"/>
          <w:spacing w:val="-20"/>
          <w:sz w:val="36"/>
          <w:szCs w:val="36"/>
          <w:highlight w:val="none"/>
          <w:lang w:eastAsia="zh-CN"/>
        </w:rPr>
      </w:pPr>
    </w:p>
    <w:p w14:paraId="6757E010">
      <w:pPr>
        <w:widowControl w:val="0"/>
        <w:kinsoku/>
        <w:autoSpaceDE/>
        <w:autoSpaceDN/>
        <w:adjustRightInd/>
        <w:snapToGrid/>
        <w:spacing w:before="120" w:beforeLines="10" w:afterLines="10" w:line="360" w:lineRule="auto"/>
        <w:jc w:val="center"/>
        <w:textAlignment w:val="auto"/>
        <w:outlineLvl w:val="1"/>
        <w:rPr>
          <w:rFonts w:hint="eastAsia" w:ascii="宋体" w:hAnsi="宋体" w:eastAsia="宋体" w:cs="宋体"/>
          <w:b/>
          <w:bCs/>
          <w:snapToGrid/>
          <w:color w:val="auto"/>
          <w:kern w:val="2"/>
          <w:sz w:val="44"/>
          <w:szCs w:val="44"/>
          <w:highlight w:val="none"/>
          <w:lang w:val="en-US" w:eastAsia="zh-CN"/>
        </w:rPr>
      </w:pPr>
      <w:r>
        <w:rPr>
          <w:rFonts w:hint="eastAsia" w:ascii="宋体" w:hAnsi="宋体" w:eastAsia="宋体" w:cs="宋体"/>
          <w:b/>
          <w:bCs/>
          <w:snapToGrid/>
          <w:color w:val="auto"/>
          <w:kern w:val="2"/>
          <w:sz w:val="44"/>
          <w:szCs w:val="44"/>
          <w:highlight w:val="none"/>
          <w:lang w:val="en-US" w:eastAsia="zh-CN"/>
        </w:rPr>
        <w:t>碑林区细颗粒物与臭氧协同管控“一区一策”空气质量保障项目</w:t>
      </w:r>
    </w:p>
    <w:p w14:paraId="0942DFBC">
      <w:pPr>
        <w:widowControl w:val="0"/>
        <w:kinsoku/>
        <w:autoSpaceDE/>
        <w:autoSpaceDN/>
        <w:adjustRightInd/>
        <w:snapToGrid/>
        <w:spacing w:before="120" w:beforeLines="10" w:afterLines="10" w:line="360" w:lineRule="auto"/>
        <w:jc w:val="center"/>
        <w:textAlignment w:val="auto"/>
        <w:outlineLvl w:val="1"/>
        <w:rPr>
          <w:rFonts w:hint="eastAsia" w:ascii="宋体" w:hAnsi="宋体" w:eastAsia="宋体" w:cs="宋体"/>
          <w:b/>
          <w:bCs/>
          <w:snapToGrid/>
          <w:color w:val="auto"/>
          <w:kern w:val="2"/>
          <w:sz w:val="44"/>
          <w:szCs w:val="44"/>
          <w:highlight w:val="none"/>
          <w:lang w:eastAsia="zh-CN"/>
        </w:rPr>
      </w:pPr>
      <w:r>
        <w:rPr>
          <w:rFonts w:hint="eastAsia" w:ascii="宋体" w:hAnsi="宋体" w:eastAsia="宋体" w:cs="宋体"/>
          <w:b/>
          <w:bCs/>
          <w:snapToGrid/>
          <w:color w:val="auto"/>
          <w:kern w:val="2"/>
          <w:sz w:val="44"/>
          <w:szCs w:val="44"/>
          <w:highlight w:val="none"/>
          <w:lang w:val="en-US" w:eastAsia="zh-CN"/>
        </w:rPr>
        <w:t>采购</w:t>
      </w:r>
      <w:r>
        <w:rPr>
          <w:rFonts w:hint="eastAsia" w:ascii="宋体" w:hAnsi="宋体" w:eastAsia="宋体" w:cs="宋体"/>
          <w:b/>
          <w:bCs/>
          <w:snapToGrid/>
          <w:color w:val="auto"/>
          <w:kern w:val="2"/>
          <w:sz w:val="44"/>
          <w:szCs w:val="44"/>
          <w:highlight w:val="none"/>
          <w:lang w:eastAsia="zh-CN"/>
        </w:rPr>
        <w:t>合同</w:t>
      </w:r>
    </w:p>
    <w:p w14:paraId="52B9B8B6">
      <w:pPr>
        <w:widowControl w:val="0"/>
        <w:spacing w:beforeLines="10" w:afterLines="10" w:line="360" w:lineRule="auto"/>
        <w:jc w:val="both"/>
        <w:rPr>
          <w:rFonts w:hint="eastAsia" w:ascii="宋体" w:hAnsi="宋体" w:eastAsia="宋体" w:cs="宋体"/>
          <w:color w:val="auto"/>
          <w:kern w:val="2"/>
          <w:sz w:val="24"/>
          <w:highlight w:val="none"/>
          <w:lang w:val="en-US" w:eastAsia="zh-CN" w:bidi="ar-SA"/>
        </w:rPr>
      </w:pPr>
    </w:p>
    <w:p w14:paraId="72260667">
      <w:pPr>
        <w:pStyle w:val="7"/>
        <w:rPr>
          <w:rFonts w:hint="eastAsia" w:ascii="宋体" w:hAnsi="宋体" w:eastAsia="宋体" w:cs="宋体"/>
          <w:color w:val="auto"/>
          <w:kern w:val="2"/>
          <w:sz w:val="24"/>
          <w:highlight w:val="none"/>
          <w:lang w:val="en-US" w:eastAsia="zh-CN" w:bidi="ar-SA"/>
        </w:rPr>
      </w:pPr>
    </w:p>
    <w:p w14:paraId="24A12BC5">
      <w:pPr>
        <w:pStyle w:val="7"/>
        <w:rPr>
          <w:rFonts w:hint="eastAsia" w:ascii="宋体" w:hAnsi="宋体" w:eastAsia="宋体" w:cs="宋体"/>
          <w:color w:val="auto"/>
          <w:kern w:val="2"/>
          <w:sz w:val="24"/>
          <w:highlight w:val="none"/>
          <w:lang w:val="en-US" w:eastAsia="zh-CN" w:bidi="ar-SA"/>
        </w:rPr>
      </w:pPr>
    </w:p>
    <w:p w14:paraId="669E41CF">
      <w:pPr>
        <w:keepLines w:val="0"/>
        <w:pageBreakBefore w:val="0"/>
        <w:widowControl/>
        <w:kinsoku w:val="0"/>
        <w:wordWrap/>
        <w:overflowPunct/>
        <w:topLinePunct w:val="0"/>
        <w:autoSpaceDE/>
        <w:autoSpaceDN/>
        <w:bidi w:val="0"/>
        <w:adjustRightInd w:val="0"/>
        <w:snapToGrid w:val="0"/>
        <w:spacing w:line="336" w:lineRule="auto"/>
        <w:jc w:val="center"/>
        <w:textAlignment w:val="baseline"/>
        <w:rPr>
          <w:rFonts w:hint="eastAsia" w:ascii="宋体" w:hAnsi="宋体" w:eastAsia="宋体" w:cs="宋体"/>
          <w:b/>
          <w:bCs/>
          <w:snapToGrid w:val="0"/>
          <w:color w:val="auto"/>
          <w:sz w:val="24"/>
          <w:szCs w:val="24"/>
          <w:highlight w:val="none"/>
          <w:lang w:val="en-US" w:eastAsia="zh-CN" w:bidi="ar-SA"/>
        </w:rPr>
      </w:pPr>
      <w:r>
        <w:rPr>
          <w:rFonts w:hint="eastAsia" w:ascii="宋体" w:hAnsi="宋体" w:eastAsia="宋体" w:cs="宋体"/>
          <w:b/>
          <w:bCs/>
          <w:snapToGrid w:val="0"/>
          <w:color w:val="auto"/>
          <w:sz w:val="24"/>
          <w:szCs w:val="24"/>
          <w:highlight w:val="none"/>
          <w:lang w:val="en-US" w:eastAsia="zh-CN" w:bidi="ar-SA"/>
        </w:rPr>
        <w:t>（本合同为参考合同，具体以最终签订版本为准）</w:t>
      </w:r>
    </w:p>
    <w:p w14:paraId="3B90E11C">
      <w:pPr>
        <w:widowControl w:val="0"/>
        <w:spacing w:before="120" w:beforeLines="10" w:afterLines="10" w:line="360"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0AE795B3">
      <w:pPr>
        <w:widowControl w:val="0"/>
        <w:autoSpaceDE w:val="0"/>
        <w:autoSpaceDN w:val="0"/>
        <w:adjustRightInd w:val="0"/>
        <w:rPr>
          <w:rFonts w:hint="eastAsia" w:ascii="宋体" w:hAnsi="宋体" w:eastAsia="宋体" w:cs="宋体"/>
          <w:b/>
          <w:bCs/>
          <w:color w:val="auto"/>
          <w:sz w:val="28"/>
          <w:szCs w:val="28"/>
          <w:highlight w:val="none"/>
          <w:lang w:val="en-US" w:eastAsia="zh-CN" w:bidi="ar-SA"/>
        </w:rPr>
      </w:pPr>
    </w:p>
    <w:p w14:paraId="5BC2FDDD">
      <w:pPr>
        <w:widowControl w:val="0"/>
        <w:autoSpaceDE w:val="0"/>
        <w:autoSpaceDN w:val="0"/>
        <w:adjustRightInd w:val="0"/>
        <w:rPr>
          <w:rFonts w:hint="eastAsia" w:ascii="宋体" w:hAnsi="宋体" w:eastAsia="宋体" w:cs="宋体"/>
          <w:b/>
          <w:bCs/>
          <w:color w:val="auto"/>
          <w:sz w:val="28"/>
          <w:szCs w:val="28"/>
          <w:highlight w:val="none"/>
          <w:lang w:val="en-US" w:eastAsia="zh-CN" w:bidi="ar-SA"/>
        </w:rPr>
      </w:pPr>
    </w:p>
    <w:p w14:paraId="66E31643">
      <w:pPr>
        <w:widowControl w:val="0"/>
        <w:autoSpaceDE w:val="0"/>
        <w:autoSpaceDN w:val="0"/>
        <w:adjustRightInd w:val="0"/>
        <w:rPr>
          <w:rFonts w:hint="eastAsia" w:ascii="宋体" w:hAnsi="宋体" w:eastAsia="宋体" w:cs="宋体"/>
          <w:b/>
          <w:bCs/>
          <w:color w:val="auto"/>
          <w:sz w:val="28"/>
          <w:szCs w:val="28"/>
          <w:highlight w:val="none"/>
          <w:lang w:val="en-US" w:eastAsia="zh-CN" w:bidi="ar-SA"/>
        </w:rPr>
      </w:pPr>
    </w:p>
    <w:p w14:paraId="3AA559B8">
      <w:pPr>
        <w:widowControl w:val="0"/>
        <w:spacing w:beforeLines="0" w:afterLines="0" w:line="240" w:lineRule="auto"/>
        <w:jc w:val="both"/>
        <w:rPr>
          <w:rFonts w:hint="eastAsia" w:ascii="宋体" w:hAnsi="宋体" w:eastAsia="宋体" w:cs="宋体"/>
          <w:b/>
          <w:bCs/>
          <w:color w:val="auto"/>
          <w:kern w:val="0"/>
          <w:sz w:val="24"/>
          <w:szCs w:val="28"/>
          <w:highlight w:val="none"/>
          <w:lang w:val="en-US" w:eastAsia="zh-CN" w:bidi="ar-SA"/>
        </w:rPr>
      </w:pPr>
    </w:p>
    <w:p w14:paraId="40B921DC">
      <w:pPr>
        <w:widowControl w:val="0"/>
        <w:kinsoku/>
        <w:autoSpaceDE/>
        <w:autoSpaceDN/>
        <w:adjustRightInd/>
        <w:snapToGrid/>
        <w:spacing w:beforeLines="10" w:afterLines="10" w:line="360" w:lineRule="auto"/>
        <w:jc w:val="both"/>
        <w:textAlignment w:val="auto"/>
        <w:rPr>
          <w:rFonts w:hint="eastAsia" w:ascii="宋体" w:hAnsi="宋体" w:eastAsia="宋体" w:cs="宋体"/>
          <w:b/>
          <w:bCs/>
          <w:snapToGrid/>
          <w:color w:val="auto"/>
          <w:kern w:val="2"/>
          <w:sz w:val="28"/>
          <w:szCs w:val="28"/>
          <w:highlight w:val="none"/>
          <w:lang w:eastAsia="zh-CN"/>
        </w:rPr>
      </w:pPr>
    </w:p>
    <w:p w14:paraId="6FFD9B36">
      <w:pPr>
        <w:widowControl w:val="0"/>
        <w:spacing w:beforeLines="10" w:afterLines="10" w:line="360" w:lineRule="auto"/>
        <w:jc w:val="both"/>
        <w:rPr>
          <w:rFonts w:hint="eastAsia" w:ascii="宋体" w:hAnsi="宋体" w:eastAsia="宋体" w:cs="宋体"/>
          <w:b/>
          <w:bCs/>
          <w:color w:val="auto"/>
          <w:kern w:val="2"/>
          <w:sz w:val="28"/>
          <w:szCs w:val="28"/>
          <w:highlight w:val="none"/>
          <w:lang w:val="en-US" w:eastAsia="zh-CN" w:bidi="ar-SA"/>
        </w:rPr>
      </w:pPr>
    </w:p>
    <w:p w14:paraId="31A9719D">
      <w:pPr>
        <w:widowControl w:val="0"/>
        <w:kinsoku/>
        <w:autoSpaceDE/>
        <w:autoSpaceDN/>
        <w:adjustRightInd/>
        <w:snapToGrid/>
        <w:spacing w:beforeLines="10" w:afterLines="10" w:line="360" w:lineRule="auto"/>
        <w:jc w:val="both"/>
        <w:textAlignment w:val="auto"/>
        <w:rPr>
          <w:rFonts w:hint="eastAsia" w:ascii="宋体" w:hAnsi="宋体" w:eastAsia="宋体" w:cs="宋体"/>
          <w:b/>
          <w:bCs/>
          <w:snapToGrid/>
          <w:color w:val="auto"/>
          <w:kern w:val="2"/>
          <w:sz w:val="28"/>
          <w:szCs w:val="28"/>
          <w:highlight w:val="none"/>
          <w:lang w:eastAsia="zh-CN"/>
        </w:rPr>
      </w:pPr>
    </w:p>
    <w:p w14:paraId="2B3120C3">
      <w:pPr>
        <w:widowControl w:val="0"/>
        <w:kinsoku/>
        <w:autoSpaceDE/>
        <w:autoSpaceDN/>
        <w:adjustRightInd/>
        <w:snapToGrid/>
        <w:spacing w:beforeLines="10" w:afterLines="10" w:line="360" w:lineRule="auto"/>
        <w:jc w:val="both"/>
        <w:textAlignment w:val="auto"/>
        <w:rPr>
          <w:rFonts w:hint="eastAsia" w:ascii="宋体" w:hAnsi="宋体" w:eastAsia="宋体" w:cs="宋体"/>
          <w:snapToGrid/>
          <w:color w:val="auto"/>
          <w:kern w:val="2"/>
          <w:sz w:val="24"/>
          <w:szCs w:val="20"/>
          <w:highlight w:val="none"/>
          <w:lang w:eastAsia="zh-CN"/>
        </w:rPr>
      </w:pPr>
    </w:p>
    <w:p w14:paraId="518F0832">
      <w:pPr>
        <w:widowControl w:val="0"/>
        <w:spacing w:beforeLines="0" w:afterLines="0" w:line="240" w:lineRule="auto"/>
        <w:jc w:val="both"/>
        <w:rPr>
          <w:rFonts w:hint="eastAsia" w:ascii="宋体" w:hAnsi="宋体" w:eastAsia="宋体" w:cs="宋体"/>
          <w:color w:val="auto"/>
          <w:kern w:val="0"/>
          <w:sz w:val="24"/>
          <w:highlight w:val="none"/>
          <w:lang w:val="en-US" w:eastAsia="zh-CN" w:bidi="ar-SA"/>
        </w:rPr>
      </w:pPr>
    </w:p>
    <w:p w14:paraId="1CA6B912">
      <w:pPr>
        <w:widowControl w:val="0"/>
        <w:kinsoku/>
        <w:autoSpaceDE w:val="0"/>
        <w:autoSpaceDN w:val="0"/>
        <w:adjustRightInd w:val="0"/>
        <w:snapToGrid/>
        <w:spacing w:beforeLines="10" w:afterLines="10" w:line="360" w:lineRule="auto"/>
        <w:ind w:firstLine="1606" w:firstLineChars="500"/>
        <w:jc w:val="left"/>
        <w:textAlignment w:val="auto"/>
        <w:rPr>
          <w:rFonts w:hint="eastAsia" w:ascii="宋体" w:hAnsi="宋体" w:eastAsia="宋体" w:cs="宋体"/>
          <w:b/>
          <w:snapToGrid/>
          <w:color w:val="auto"/>
          <w:kern w:val="0"/>
          <w:sz w:val="32"/>
          <w:szCs w:val="32"/>
          <w:highlight w:val="none"/>
          <w:u w:val="single"/>
          <w:lang w:eastAsia="zh-CN"/>
        </w:rPr>
      </w:pPr>
      <w:bookmarkStart w:id="0" w:name="_Hlk85534092"/>
      <w:r>
        <w:rPr>
          <w:rFonts w:hint="eastAsia" w:ascii="宋体" w:hAnsi="宋体" w:eastAsia="宋体" w:cs="宋体"/>
          <w:b/>
          <w:snapToGrid/>
          <w:color w:val="auto"/>
          <w:kern w:val="0"/>
          <w:sz w:val="32"/>
          <w:szCs w:val="32"/>
          <w:highlight w:val="none"/>
          <w:lang w:val="en-US" w:eastAsia="zh-CN"/>
        </w:rPr>
        <w:t>采购人</w:t>
      </w:r>
      <w:r>
        <w:rPr>
          <w:rFonts w:hint="eastAsia" w:ascii="宋体" w:hAnsi="宋体" w:eastAsia="宋体" w:cs="宋体"/>
          <w:b/>
          <w:snapToGrid/>
          <w:color w:val="auto"/>
          <w:kern w:val="0"/>
          <w:sz w:val="32"/>
          <w:szCs w:val="32"/>
          <w:highlight w:val="none"/>
          <w:lang w:eastAsia="zh-CN"/>
        </w:rPr>
        <w:t>：</w:t>
      </w:r>
    </w:p>
    <w:p w14:paraId="4D7770BD">
      <w:pPr>
        <w:widowControl w:val="0"/>
        <w:kinsoku/>
        <w:autoSpaceDE w:val="0"/>
        <w:autoSpaceDN w:val="0"/>
        <w:adjustRightInd w:val="0"/>
        <w:snapToGrid/>
        <w:spacing w:beforeLines="10" w:afterLines="10" w:line="360" w:lineRule="auto"/>
        <w:ind w:firstLine="1606" w:firstLineChars="500"/>
        <w:jc w:val="left"/>
        <w:textAlignment w:val="auto"/>
        <w:rPr>
          <w:rFonts w:hint="eastAsia" w:ascii="宋体" w:hAnsi="宋体" w:eastAsia="宋体" w:cs="宋体"/>
          <w:b/>
          <w:snapToGrid/>
          <w:color w:val="auto"/>
          <w:kern w:val="0"/>
          <w:sz w:val="32"/>
          <w:szCs w:val="32"/>
          <w:highlight w:val="none"/>
          <w:u w:val="single"/>
          <w:lang w:eastAsia="zh-CN"/>
        </w:rPr>
      </w:pPr>
      <w:r>
        <w:rPr>
          <w:rFonts w:hint="eastAsia" w:ascii="宋体" w:hAnsi="宋体" w:eastAsia="宋体" w:cs="宋体"/>
          <w:b/>
          <w:snapToGrid/>
          <w:color w:val="auto"/>
          <w:kern w:val="0"/>
          <w:sz w:val="32"/>
          <w:szCs w:val="32"/>
          <w:highlight w:val="none"/>
          <w:lang w:val="en-US" w:eastAsia="zh-CN"/>
        </w:rPr>
        <w:t>供应商</w:t>
      </w:r>
      <w:r>
        <w:rPr>
          <w:rFonts w:hint="eastAsia" w:ascii="宋体" w:hAnsi="宋体" w:eastAsia="宋体" w:cs="宋体"/>
          <w:b/>
          <w:snapToGrid/>
          <w:color w:val="auto"/>
          <w:kern w:val="0"/>
          <w:sz w:val="32"/>
          <w:szCs w:val="32"/>
          <w:highlight w:val="none"/>
          <w:lang w:eastAsia="zh-CN"/>
        </w:rPr>
        <w:t>：</w:t>
      </w:r>
    </w:p>
    <w:p w14:paraId="5BDC3931">
      <w:pPr>
        <w:widowControl w:val="0"/>
        <w:kinsoku/>
        <w:autoSpaceDE w:val="0"/>
        <w:autoSpaceDN w:val="0"/>
        <w:adjustRightInd w:val="0"/>
        <w:snapToGrid/>
        <w:spacing w:beforeLines="10" w:afterLines="10" w:line="360" w:lineRule="auto"/>
        <w:ind w:firstLine="1606" w:firstLineChars="500"/>
        <w:jc w:val="left"/>
        <w:textAlignment w:val="auto"/>
        <w:rPr>
          <w:rFonts w:hint="eastAsia" w:ascii="宋体" w:hAnsi="宋体" w:eastAsia="宋体" w:cs="宋体"/>
          <w:b/>
          <w:snapToGrid/>
          <w:color w:val="auto"/>
          <w:kern w:val="0"/>
          <w:sz w:val="32"/>
          <w:szCs w:val="32"/>
          <w:highlight w:val="none"/>
          <w:u w:val="single"/>
          <w:lang w:eastAsia="zh-CN"/>
        </w:rPr>
      </w:pPr>
      <w:bookmarkStart w:id="1" w:name="_Hlk85534012"/>
      <w:r>
        <w:rPr>
          <w:rFonts w:hint="eastAsia" w:ascii="宋体" w:hAnsi="宋体" w:eastAsia="宋体" w:cs="宋体"/>
          <w:b/>
          <w:snapToGrid/>
          <w:color w:val="auto"/>
          <w:kern w:val="0"/>
          <w:sz w:val="32"/>
          <w:szCs w:val="32"/>
          <w:highlight w:val="none"/>
          <w:lang w:eastAsia="zh-CN"/>
        </w:rPr>
        <w:t>合同订立地点：</w:t>
      </w:r>
    </w:p>
    <w:bookmarkEnd w:id="1"/>
    <w:p w14:paraId="7AAD1356">
      <w:pPr>
        <w:widowControl w:val="0"/>
        <w:kinsoku/>
        <w:autoSpaceDE w:val="0"/>
        <w:autoSpaceDN w:val="0"/>
        <w:adjustRightInd w:val="0"/>
        <w:snapToGrid/>
        <w:spacing w:beforeLines="10" w:afterLines="10" w:line="360" w:lineRule="auto"/>
        <w:ind w:firstLine="1606" w:firstLineChars="500"/>
        <w:jc w:val="left"/>
        <w:textAlignment w:val="auto"/>
        <w:rPr>
          <w:rFonts w:hint="eastAsia" w:ascii="宋体" w:hAnsi="宋体" w:eastAsia="宋体" w:cs="宋体"/>
          <w:b/>
          <w:snapToGrid/>
          <w:color w:val="auto"/>
          <w:kern w:val="0"/>
          <w:sz w:val="32"/>
          <w:szCs w:val="32"/>
          <w:highlight w:val="none"/>
          <w:u w:val="single"/>
          <w:lang w:eastAsia="zh-CN"/>
        </w:rPr>
      </w:pPr>
      <w:r>
        <w:rPr>
          <w:rFonts w:hint="eastAsia" w:ascii="宋体" w:hAnsi="宋体" w:eastAsia="宋体" w:cs="宋体"/>
          <w:b/>
          <w:snapToGrid/>
          <w:color w:val="auto"/>
          <w:kern w:val="0"/>
          <w:sz w:val="32"/>
          <w:szCs w:val="32"/>
          <w:highlight w:val="none"/>
          <w:lang w:eastAsia="zh-CN"/>
        </w:rPr>
        <w:t>合同订立时间：</w:t>
      </w:r>
      <w:bookmarkEnd w:id="0"/>
    </w:p>
    <w:p w14:paraId="4CAAEC26">
      <w:pPr>
        <w:keepLines w:val="0"/>
        <w:pageBreakBefore w:val="0"/>
        <w:widowControl/>
        <w:kinsoku w:val="0"/>
        <w:wordWrap/>
        <w:overflowPunct/>
        <w:topLinePunct w:val="0"/>
        <w:autoSpaceDE/>
        <w:autoSpaceDN/>
        <w:bidi w:val="0"/>
        <w:adjustRightInd w:val="0"/>
        <w:snapToGrid w:val="0"/>
        <w:spacing w:line="336" w:lineRule="auto"/>
        <w:textAlignment w:val="baseline"/>
        <w:rPr>
          <w:rFonts w:hint="eastAsia" w:ascii="宋体" w:hAnsi="宋体" w:eastAsia="宋体" w:cs="宋体"/>
          <w:color w:val="auto"/>
          <w:spacing w:val="-3"/>
          <w:sz w:val="24"/>
          <w:szCs w:val="24"/>
          <w:highlight w:val="none"/>
        </w:rPr>
      </w:pPr>
    </w:p>
    <w:p w14:paraId="4DEE2120">
      <w:pPr>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br w:type="page"/>
      </w:r>
    </w:p>
    <w:p w14:paraId="210C1C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eastAsia="zh-CN"/>
        </w:rPr>
        <w:fldChar w:fldCharType="begin"/>
      </w:r>
      <w:r>
        <w:rPr>
          <w:rFonts w:hint="eastAsia" w:ascii="宋体" w:hAnsi="宋体" w:eastAsia="宋体" w:cs="宋体"/>
          <w:color w:val="auto"/>
          <w:sz w:val="24"/>
          <w:szCs w:val="24"/>
          <w:highlight w:val="none"/>
          <w:lang w:eastAsia="zh-CN"/>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highlight w:val="none"/>
          <w:lang w:eastAsia="zh-CN"/>
        </w:rPr>
        <w:fldChar w:fldCharType="separate"/>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w:t>
      </w:r>
    </w:p>
    <w:p w14:paraId="79A529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fldChar w:fldCharType="begin"/>
      </w:r>
      <w:r>
        <w:rPr>
          <w:rFonts w:hint="eastAsia" w:ascii="宋体" w:hAnsi="宋体" w:eastAsia="宋体" w:cs="宋体"/>
          <w:color w:val="auto"/>
          <w:sz w:val="24"/>
          <w:szCs w:val="24"/>
          <w:highlight w:val="none"/>
          <w:lang w:eastAsia="zh-CN"/>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highlight w:val="none"/>
          <w:lang w:eastAsia="zh-CN"/>
        </w:rPr>
        <w:fldChar w:fldCharType="separate"/>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(供应商)：</w:t>
      </w:r>
    </w:p>
    <w:p w14:paraId="32EAD1E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根据《中华人民共和国民法典》和《中华人民共和国政府采购法》等相关规定，遵循平等、自愿、公平和诚信的原则，双方就下述项目范围与相关服务事项协商一致，订立本合同。</w:t>
      </w:r>
    </w:p>
    <w:p w14:paraId="5CED0D08">
      <w:pPr>
        <w:spacing w:before="50" w:line="222" w:lineRule="auto"/>
        <w:ind w:left="44"/>
        <w:rPr>
          <w:rFonts w:hint="eastAsia" w:ascii="宋体" w:hAnsi="宋体" w:eastAsia="宋体" w:cs="宋体"/>
          <w:color w:val="auto"/>
          <w:sz w:val="28"/>
          <w:szCs w:val="28"/>
          <w:highlight w:val="none"/>
        </w:rPr>
      </w:pPr>
      <w:r>
        <w:rPr>
          <w:rFonts w:hint="eastAsia" w:ascii="宋体" w:hAnsi="宋体" w:eastAsia="宋体" w:cs="宋体"/>
          <w:b/>
          <w:bCs/>
          <w:color w:val="auto"/>
          <w:spacing w:val="-4"/>
          <w:sz w:val="28"/>
          <w:szCs w:val="28"/>
          <w:highlight w:val="none"/>
        </w:rPr>
        <w:t>第一条、项目概况</w:t>
      </w:r>
    </w:p>
    <w:p w14:paraId="39BE38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en-US" w:eastAsia="zh-CN"/>
        </w:rPr>
        <w:t>项目名称：</w:t>
      </w:r>
      <w:r>
        <w:rPr>
          <w:rFonts w:hint="eastAsia" w:ascii="宋体" w:hAnsi="宋体" w:eastAsia="宋体" w:cs="宋体"/>
          <w:color w:val="auto"/>
          <w:sz w:val="24"/>
          <w:szCs w:val="24"/>
          <w:highlight w:val="none"/>
          <w:u w:val="single"/>
          <w:lang w:val="en-US" w:eastAsia="zh-CN"/>
        </w:rPr>
        <w:t xml:space="preserve"> 碑林区细颗粒物与臭氧协同管控“一区一策”空气质量保障项目</w:t>
      </w:r>
    </w:p>
    <w:p w14:paraId="42CD09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（二）服务内容：</w:t>
      </w:r>
      <w:r>
        <w:rPr>
          <w:rFonts w:hint="eastAsia" w:ascii="宋体" w:hAnsi="宋体" w:eastAsia="宋体" w:cs="宋体"/>
          <w:color w:val="auto"/>
          <w:sz w:val="24"/>
          <w:szCs w:val="24"/>
          <w:highlight w:val="none"/>
          <w:u w:val="single"/>
          <w:lang w:val="en-US" w:eastAsia="zh-CN"/>
        </w:rPr>
        <w:t xml:space="preserve"> 1.   2.    3.    4.     5…………………………            </w:t>
      </w:r>
    </w:p>
    <w:p w14:paraId="1F1E04F4">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第二条、合同</w:t>
      </w:r>
      <w:r>
        <w:rPr>
          <w:rFonts w:hint="eastAsia" w:ascii="宋体" w:hAnsi="宋体" w:eastAsia="宋体" w:cs="宋体"/>
          <w:b/>
          <w:bCs/>
          <w:color w:val="auto"/>
          <w:spacing w:val="-4"/>
          <w:sz w:val="28"/>
          <w:szCs w:val="28"/>
          <w:highlight w:val="none"/>
          <w:lang w:val="en-US" w:eastAsia="zh-CN"/>
        </w:rPr>
        <w:t>价款</w:t>
      </w:r>
      <w:r>
        <w:rPr>
          <w:rFonts w:hint="eastAsia" w:ascii="宋体" w:hAnsi="宋体" w:eastAsia="宋体" w:cs="宋体"/>
          <w:b/>
          <w:bCs/>
          <w:color w:val="auto"/>
          <w:spacing w:val="-4"/>
          <w:sz w:val="28"/>
          <w:szCs w:val="28"/>
          <w:highlight w:val="none"/>
        </w:rPr>
        <w:t>及款项结算</w:t>
      </w:r>
    </w:p>
    <w:p w14:paraId="10BCB0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（一）合同价款</w:t>
      </w:r>
    </w:p>
    <w:p w14:paraId="5BFA8B5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合同总价款为人民币（大写）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CCF90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合同总价款包括为完成本项目要求的全部服务内容的所有费用，</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不再另行支付合同价以外的其他任何费用</w:t>
      </w:r>
      <w:r>
        <w:rPr>
          <w:rFonts w:hint="eastAsia" w:ascii="宋体" w:hAnsi="宋体" w:eastAsia="宋体" w:cs="宋体"/>
          <w:color w:val="auto"/>
          <w:sz w:val="24"/>
          <w:szCs w:val="24"/>
          <w:highlight w:val="none"/>
          <w:lang w:val="zh-CN"/>
        </w:rPr>
        <w:t>。</w:t>
      </w:r>
    </w:p>
    <w:p w14:paraId="16A7746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合同总价一次性包死，不受市场价格变化因素的影响。</w:t>
      </w:r>
    </w:p>
    <w:p w14:paraId="285C905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（二）款项结算</w:t>
      </w:r>
    </w:p>
    <w:p w14:paraId="588AF7C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结算方式：银行转账</w:t>
      </w:r>
    </w:p>
    <w:p w14:paraId="6C74847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付款条件说明：</w:t>
      </w:r>
    </w:p>
    <w:p w14:paraId="762A2C6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预付款支付条款</w:t>
      </w:r>
      <w:r>
        <w:rPr>
          <w:rFonts w:hint="eastAsia" w:ascii="宋体" w:hAnsi="宋体" w:eastAsia="宋体" w:cs="宋体"/>
          <w:color w:val="auto"/>
          <w:sz w:val="24"/>
          <w:szCs w:val="24"/>
          <w:highlight w:val="none"/>
          <w:lang w:eastAsia="zh-CN"/>
        </w:rPr>
        <w:t>：</w:t>
      </w:r>
    </w:p>
    <w:p w14:paraId="04B2DB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本合同设置预付款</w:t>
      </w:r>
      <w:r>
        <w:rPr>
          <w:rFonts w:hint="eastAsia" w:ascii="宋体" w:hAnsi="宋体" w:eastAsia="宋体" w:cs="宋体"/>
          <w:color w:val="auto"/>
          <w:sz w:val="24"/>
          <w:szCs w:val="24"/>
          <w:highlight w:val="none"/>
          <w:lang w:eastAsia="zh-CN"/>
        </w:rPr>
        <w:t>：</w:t>
      </w:r>
    </w:p>
    <w:p w14:paraId="14B991C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预付款金额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合同总价款的</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w:t>
      </w:r>
    </w:p>
    <w:p w14:paraId="0D8CDDA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w:t>
      </w:r>
      <w:r>
        <w:rPr>
          <w:rFonts w:hint="eastAsia" w:ascii="宋体" w:hAnsi="宋体" w:eastAsia="宋体" w:cs="宋体"/>
          <w:color w:val="auto"/>
          <w:sz w:val="24"/>
          <w:szCs w:val="24"/>
          <w:highlight w:val="none"/>
        </w:rPr>
        <w:t>预付款支付条件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合同签订后</w:t>
      </w:r>
      <w:r>
        <w:rPr>
          <w:rFonts w:hint="eastAsia" w:ascii="宋体" w:hAnsi="宋体" w:eastAsia="宋体" w:cs="宋体"/>
          <w:color w:val="auto"/>
          <w:sz w:val="24"/>
          <w:szCs w:val="24"/>
          <w:highlight w:val="none"/>
          <w:lang w:val="en-US" w:eastAsia="zh-CN"/>
        </w:rPr>
        <w:t>30日内</w:t>
      </w:r>
      <w:r>
        <w:rPr>
          <w:rFonts w:hint="eastAsia" w:ascii="宋体" w:hAnsi="宋体" w:eastAsia="宋体" w:cs="宋体"/>
          <w:color w:val="auto"/>
          <w:sz w:val="24"/>
          <w:szCs w:val="24"/>
          <w:highlight w:val="none"/>
        </w:rPr>
        <w:t>;</w:t>
      </w:r>
    </w:p>
    <w:p w14:paraId="00B0B4B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④</w:t>
      </w: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预付款是根据政府采购相关政策规定要求，甲方为帮助乙方解决项目前期启动资金困难，保证乙方更有条件覆行合同的保障性支援性资金。乙方应保证该资金用于项目前期各项工作费用，不得挪作他用，若因此项目进展受到影响，乙方承担由此引起的所有责任。</w:t>
      </w:r>
    </w:p>
    <w:p w14:paraId="2D7D619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剩余款项支付条款</w:t>
      </w:r>
      <w:r>
        <w:rPr>
          <w:rFonts w:hint="eastAsia" w:ascii="宋体" w:hAnsi="宋体" w:eastAsia="宋体" w:cs="宋体"/>
          <w:color w:val="auto"/>
          <w:sz w:val="24"/>
          <w:szCs w:val="24"/>
          <w:highlight w:val="none"/>
          <w:lang w:eastAsia="zh-CN"/>
        </w:rPr>
        <w:t>：</w:t>
      </w:r>
    </w:p>
    <w:p w14:paraId="39933E7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①服务期满，且成果交付验收合格后30日内，支付合同总价款的40%</w:t>
      </w:r>
      <w:r>
        <w:rPr>
          <w:rFonts w:hint="eastAsia" w:ascii="宋体" w:hAnsi="宋体" w:eastAsia="宋体" w:cs="宋体"/>
          <w:color w:val="auto"/>
          <w:sz w:val="24"/>
          <w:szCs w:val="24"/>
          <w:highlight w:val="none"/>
        </w:rPr>
        <w:t>。</w:t>
      </w:r>
    </w:p>
    <w:p w14:paraId="44DCCAF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结算单位：由甲方负责结算，乙方按甲方要求开具等额发票交甲方。 </w:t>
      </w:r>
    </w:p>
    <w:p w14:paraId="20522766">
      <w:pPr>
        <w:spacing w:before="50" w:line="222" w:lineRule="auto"/>
        <w:ind w:left="44"/>
        <w:rPr>
          <w:rFonts w:hint="eastAsia" w:ascii="宋体" w:hAnsi="宋体" w:eastAsia="宋体" w:cs="宋体"/>
          <w:b/>
          <w:bCs/>
          <w:color w:val="auto"/>
          <w:spacing w:val="-4"/>
          <w:sz w:val="28"/>
          <w:szCs w:val="28"/>
          <w:highlight w:val="none"/>
          <w:lang w:eastAsia="zh-CN"/>
        </w:rPr>
      </w:pPr>
      <w:r>
        <w:rPr>
          <w:rFonts w:hint="eastAsia" w:ascii="宋体" w:hAnsi="宋体" w:eastAsia="宋体" w:cs="宋体"/>
          <w:b/>
          <w:bCs/>
          <w:color w:val="auto"/>
          <w:spacing w:val="-4"/>
          <w:sz w:val="28"/>
          <w:szCs w:val="28"/>
          <w:highlight w:val="none"/>
        </w:rPr>
        <w:t>第三条、服务地点、服务</w:t>
      </w:r>
      <w:r>
        <w:rPr>
          <w:rFonts w:hint="eastAsia" w:ascii="宋体" w:hAnsi="宋体" w:eastAsia="宋体" w:cs="宋体"/>
          <w:b/>
          <w:bCs/>
          <w:color w:val="auto"/>
          <w:spacing w:val="-4"/>
          <w:sz w:val="28"/>
          <w:szCs w:val="28"/>
          <w:highlight w:val="none"/>
          <w:lang w:val="en-US" w:eastAsia="zh-CN"/>
        </w:rPr>
        <w:t>期限</w:t>
      </w:r>
    </w:p>
    <w:p w14:paraId="3EDC921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（一）服务地点：采购人指定地点。 </w:t>
      </w:r>
    </w:p>
    <w:p w14:paraId="19DE01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（二）服务</w:t>
      </w:r>
      <w:r>
        <w:rPr>
          <w:rFonts w:hint="eastAsia" w:ascii="宋体" w:hAnsi="宋体" w:eastAsia="宋体" w:cs="宋体"/>
          <w:color w:val="auto"/>
          <w:sz w:val="24"/>
          <w:szCs w:val="24"/>
          <w:highlight w:val="none"/>
          <w:lang w:val="en-US" w:eastAsia="zh-CN"/>
        </w:rPr>
        <w:t>期限</w:t>
      </w:r>
      <w:r>
        <w:rPr>
          <w:rFonts w:hint="eastAsia" w:ascii="宋体" w:hAnsi="宋体" w:eastAsia="宋体" w:cs="宋体"/>
          <w:color w:val="auto"/>
          <w:sz w:val="24"/>
          <w:szCs w:val="24"/>
          <w:highlight w:val="none"/>
        </w:rPr>
        <w:t>：自合同签订之日起1年</w:t>
      </w:r>
      <w:r>
        <w:rPr>
          <w:rFonts w:hint="eastAsia" w:ascii="宋体" w:hAnsi="宋体" w:eastAsia="宋体" w:cs="宋体"/>
          <w:color w:val="auto"/>
          <w:sz w:val="24"/>
          <w:szCs w:val="24"/>
          <w:highlight w:val="none"/>
          <w:lang w:eastAsia="zh-CN"/>
        </w:rPr>
        <w:t>。</w:t>
      </w:r>
    </w:p>
    <w:p w14:paraId="22C6A1BC">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第四条、验收</w:t>
      </w:r>
    </w:p>
    <w:p w14:paraId="1A5D84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（一）成交供应商按照项目需求完成服务后，由用户方组织验收。  </w:t>
      </w:r>
    </w:p>
    <w:p w14:paraId="20D20B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验收依据： </w:t>
      </w:r>
    </w:p>
    <w:p w14:paraId="0A59567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本合同及附件文本</w:t>
      </w:r>
      <w:r>
        <w:rPr>
          <w:rFonts w:hint="eastAsia" w:ascii="宋体" w:hAnsi="宋体" w:eastAsia="宋体" w:cs="宋体"/>
          <w:color w:val="auto"/>
          <w:sz w:val="24"/>
          <w:szCs w:val="24"/>
          <w:highlight w:val="none"/>
        </w:rPr>
        <w:t xml:space="preserve">； </w:t>
      </w:r>
    </w:p>
    <w:p w14:paraId="33EFB6E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国家有关的验收标准及规范； </w:t>
      </w:r>
    </w:p>
    <w:p w14:paraId="11D27A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竞争性磋商文件；</w:t>
      </w:r>
    </w:p>
    <w:p w14:paraId="6BC713D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磋商响应文件</w:t>
      </w:r>
      <w:r>
        <w:rPr>
          <w:rFonts w:hint="eastAsia" w:ascii="宋体" w:hAnsi="宋体" w:eastAsia="宋体" w:cs="宋体"/>
          <w:color w:val="auto"/>
          <w:sz w:val="24"/>
          <w:szCs w:val="24"/>
          <w:highlight w:val="none"/>
          <w:lang w:eastAsia="zh-CN"/>
        </w:rPr>
        <w:t>。</w:t>
      </w:r>
    </w:p>
    <w:p w14:paraId="026DD93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其他要求：</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49C754A">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第五条、质量保证</w:t>
      </w:r>
    </w:p>
    <w:p w14:paraId="58A4971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（一）成果</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均须符合国家现行有关规范要求。</w:t>
      </w:r>
    </w:p>
    <w:p w14:paraId="1B8622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（二）乙方提供相关</w:t>
      </w:r>
      <w:r>
        <w:rPr>
          <w:rFonts w:hint="eastAsia" w:ascii="宋体" w:hAnsi="宋体" w:eastAsia="宋体" w:cs="宋体"/>
          <w:color w:val="auto"/>
          <w:sz w:val="24"/>
          <w:szCs w:val="24"/>
          <w:highlight w:val="none"/>
        </w:rPr>
        <w:t>资料应</w:t>
      </w:r>
      <w:r>
        <w:rPr>
          <w:rFonts w:hint="eastAsia" w:ascii="宋体" w:hAnsi="宋体" w:eastAsia="宋体" w:cs="宋体"/>
          <w:color w:val="auto"/>
          <w:sz w:val="24"/>
          <w:szCs w:val="24"/>
          <w:highlight w:val="none"/>
          <w:lang w:eastAsia="zh-Hans"/>
        </w:rPr>
        <w:t>确保真实性、可靠性。</w:t>
      </w:r>
    </w:p>
    <w:p w14:paraId="28314710">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第六条、合同双方的责任及义务</w:t>
      </w:r>
    </w:p>
    <w:p w14:paraId="657D8D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（一）甲方的权利及义务</w:t>
      </w:r>
    </w:p>
    <w:p w14:paraId="41DB96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1．甲方有权向乙方询问工作进展情况及相关的内容。</w:t>
      </w:r>
    </w:p>
    <w:p w14:paraId="5ABD0C2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2．甲方有权阐述对具体问题的意见和建议。</w:t>
      </w:r>
    </w:p>
    <w:p w14:paraId="2591E4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甲方有权根据项目的具体情况，要求乙方按期到项目现场勘探解决争议。</w:t>
      </w:r>
    </w:p>
    <w:p w14:paraId="34AC108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4．当甲方认定专业技术人员不按合同履行其职责，或与第三人串通给甲方造成损失的，甲方有权要求更换技术专业人员，直至终止合同并要求乙方承担相应的赔偿责任。</w:t>
      </w:r>
    </w:p>
    <w:p w14:paraId="579BB8B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5．甲方应负责与本项目有关的第三人的协调，为乙方工作提供外部条件。</w:t>
      </w:r>
    </w:p>
    <w:p w14:paraId="14507FA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6．甲方应当在约定的时间内，向乙方提供与本项目有关的资料。</w:t>
      </w:r>
    </w:p>
    <w:p w14:paraId="4BA16AB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7．甲方应当按照合同约定支付合同价款。</w:t>
      </w:r>
    </w:p>
    <w:p w14:paraId="70E784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8．甲方应当授权胜任本项目的代表，负责与乙方联系。</w:t>
      </w:r>
    </w:p>
    <w:p w14:paraId="260464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乙方的权利及义务</w:t>
      </w:r>
    </w:p>
    <w:p w14:paraId="096A7A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1.乙方在项目实施过程中，发现甲方提供的技术资料、数据或者工作条件等不符合合同的约定或者存在问题的，应及时将情况书面通知甲方。</w:t>
      </w:r>
    </w:p>
    <w:p w14:paraId="54BE27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乙方在项目实施过程中，有权对第三人提出与本业务有关的问题进行核对或查问。</w:t>
      </w:r>
    </w:p>
    <w:p w14:paraId="3A2675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向甲方提供与本项目有关的资料，包括承担本业务的专业人员名单、工作计划等，并按合同专用条件中约定的范围实施业务。</w:t>
      </w:r>
    </w:p>
    <w:p w14:paraId="2EE7CC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按照合同约定和甲方要求的服务目标提供技术服务，</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提供相关成果资料，保证服务质量。</w:t>
      </w:r>
    </w:p>
    <w:p w14:paraId="43DBA6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技术服务存在质量缺陷的，乙方应负责改进和采取补救措施，以保证服务达到约定质量要求；甲方验收不合格的，乙方应按甲方规定时限进行返工，直至通过甲方验收为止，因此造成延误的，由乙方承担相关责任。</w:t>
      </w:r>
    </w:p>
    <w:p w14:paraId="1C426F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的人员必须与磋商响应文件人员配备一致，如需调整，需征得甲方同意，如配备人员无法满足甲方项目需要，乙方应根据甲方要求调整相应人员。</w:t>
      </w:r>
    </w:p>
    <w:p w14:paraId="05897ED0">
      <w:pPr>
        <w:pStyle w:val="3"/>
        <w:spacing w:line="360" w:lineRule="auto"/>
        <w:rPr>
          <w:rFonts w:hint="eastAsia" w:ascii="宋体" w:hAnsi="宋体" w:eastAsia="宋体" w:cs="宋体"/>
          <w:b/>
          <w:bCs/>
          <w:color w:val="auto"/>
          <w:spacing w:val="-4"/>
          <w:kern w:val="2"/>
          <w:sz w:val="28"/>
          <w:szCs w:val="28"/>
          <w:highlight w:val="none"/>
          <w:lang w:val="zh-CN" w:eastAsia="zh-CN" w:bidi="ar-SA"/>
        </w:rPr>
      </w:pPr>
      <w:r>
        <w:rPr>
          <w:rFonts w:hint="eastAsia" w:cs="宋体"/>
          <w:b/>
          <w:bCs/>
          <w:color w:val="auto"/>
          <w:spacing w:val="-4"/>
          <w:kern w:val="2"/>
          <w:sz w:val="28"/>
          <w:szCs w:val="28"/>
          <w:highlight w:val="none"/>
          <w:lang w:val="en-US" w:eastAsia="zh-CN" w:bidi="ar-SA"/>
        </w:rPr>
        <w:t>第七条、</w:t>
      </w:r>
      <w:r>
        <w:rPr>
          <w:rFonts w:hint="eastAsia" w:ascii="宋体" w:hAnsi="宋体" w:eastAsia="宋体" w:cs="宋体"/>
          <w:b/>
          <w:bCs/>
          <w:color w:val="auto"/>
          <w:spacing w:val="-4"/>
          <w:kern w:val="2"/>
          <w:sz w:val="28"/>
          <w:szCs w:val="28"/>
          <w:highlight w:val="none"/>
          <w:lang w:val="zh-CN" w:eastAsia="zh-CN" w:bidi="ar-SA"/>
        </w:rPr>
        <w:t>知识产权</w:t>
      </w:r>
    </w:p>
    <w:p w14:paraId="172408D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val="zh-CN" w:eastAsia="zh-CN"/>
        </w:rPr>
        <w:t>乙方应保证所提供的服务或其任何一部分均不会侵犯任何第三方的专利权、商标权或著作权；</w:t>
      </w:r>
    </w:p>
    <w:p w14:paraId="2EA2ABB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val="zh-CN" w:eastAsia="zh-CN"/>
        </w:rPr>
        <w:t>本次服务过程中收集、整理及生成的资料数据及相关成果的知识产权归甲方所有。项目过程中甲方及相关部门提供的资料数据，乙方不得用于或泄露给第三方，否则乙方要承担相应的法律责任和后果。</w:t>
      </w:r>
    </w:p>
    <w:p w14:paraId="7507693E">
      <w:pPr>
        <w:spacing w:before="50" w:line="222" w:lineRule="auto"/>
        <w:ind w:left="44"/>
        <w:rPr>
          <w:rFonts w:hint="eastAsia" w:ascii="宋体" w:hAnsi="宋体" w:eastAsia="宋体" w:cs="宋体"/>
          <w:b/>
          <w:bCs/>
          <w:color w:val="auto"/>
          <w:spacing w:val="-4"/>
          <w:sz w:val="28"/>
          <w:szCs w:val="28"/>
          <w:highlight w:val="yellow"/>
        </w:rPr>
      </w:pPr>
      <w:r>
        <w:rPr>
          <w:rFonts w:hint="eastAsia" w:ascii="宋体" w:hAnsi="宋体" w:eastAsia="宋体" w:cs="宋体"/>
          <w:b/>
          <w:bCs/>
          <w:color w:val="auto"/>
          <w:spacing w:val="-4"/>
          <w:sz w:val="28"/>
          <w:szCs w:val="28"/>
          <w:highlight w:val="none"/>
        </w:rPr>
        <w:t>第</w:t>
      </w:r>
      <w:r>
        <w:rPr>
          <w:rFonts w:hint="eastAsia" w:ascii="宋体" w:hAnsi="宋体" w:eastAsia="宋体" w:cs="宋体"/>
          <w:b/>
          <w:bCs/>
          <w:color w:val="auto"/>
          <w:spacing w:val="-4"/>
          <w:sz w:val="28"/>
          <w:szCs w:val="28"/>
          <w:highlight w:val="none"/>
          <w:lang w:val="en-US" w:eastAsia="zh-CN"/>
        </w:rPr>
        <w:t>八</w:t>
      </w:r>
      <w:r>
        <w:rPr>
          <w:rFonts w:hint="eastAsia" w:ascii="宋体" w:hAnsi="宋体" w:eastAsia="宋体" w:cs="宋体"/>
          <w:b/>
          <w:bCs/>
          <w:color w:val="auto"/>
          <w:spacing w:val="-4"/>
          <w:sz w:val="28"/>
          <w:szCs w:val="28"/>
          <w:highlight w:val="none"/>
        </w:rPr>
        <w:t>条、违约责任及解决争议的方法</w:t>
      </w:r>
    </w:p>
    <w:p w14:paraId="6AA1F2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（一）按《中华人民共和国政府采购法》、《中华人民共和国民法典》中的相关条款执行。 </w:t>
      </w:r>
    </w:p>
    <w:p w14:paraId="31A8DB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乙方应按照合同规定的期限完成系统建设，每延迟一天应承担当期应付款2%。的违约金，违约金累计不超过当期应付款10%。若违约金累计已达上限，乙方仍未履行，甲方有权解除合同。</w:t>
      </w:r>
    </w:p>
    <w:p w14:paraId="7E7C4AC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乙方违反本合同</w:t>
      </w:r>
      <w:r>
        <w:rPr>
          <w:rFonts w:hint="eastAsia" w:ascii="宋体" w:hAnsi="宋体" w:eastAsia="宋体" w:cs="宋体"/>
          <w:color w:val="auto"/>
          <w:sz w:val="24"/>
          <w:szCs w:val="24"/>
          <w:highlight w:val="none"/>
          <w:lang w:val="en-US" w:eastAsia="zh-CN"/>
        </w:rPr>
        <w:t>第七条（二）</w:t>
      </w:r>
      <w:r>
        <w:rPr>
          <w:rFonts w:hint="eastAsia" w:ascii="宋体" w:hAnsi="宋体" w:eastAsia="宋体" w:cs="宋体"/>
          <w:color w:val="auto"/>
          <w:sz w:val="24"/>
          <w:szCs w:val="24"/>
          <w:highlight w:val="none"/>
        </w:rPr>
        <w:t>的，应当向</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方支付合同总价款1%的违约金。违约金不足以弥补给甲方造成的损失的，乙方还应当承担补足责任。</w:t>
      </w:r>
    </w:p>
    <w:p w14:paraId="574F587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（四）</w:t>
      </w:r>
      <w:r>
        <w:rPr>
          <w:rFonts w:hint="eastAsia" w:ascii="宋体" w:hAnsi="宋体" w:eastAsia="宋体" w:cs="宋体"/>
          <w:color w:val="auto"/>
          <w:sz w:val="24"/>
          <w:szCs w:val="24"/>
          <w:highlight w:val="none"/>
        </w:rPr>
        <w:t>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1%的违约金，违约金不足以弥补给甲方造成的损失的，乙方还应当承担补足责任。</w:t>
      </w:r>
    </w:p>
    <w:p w14:paraId="3702CF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（五）</w:t>
      </w:r>
      <w:r>
        <w:rPr>
          <w:rFonts w:hint="eastAsia" w:ascii="宋体" w:hAnsi="宋体" w:eastAsia="宋体" w:cs="宋体"/>
          <w:color w:val="auto"/>
          <w:sz w:val="24"/>
          <w:szCs w:val="24"/>
          <w:highlight w:val="none"/>
        </w:rPr>
        <w:t>合同成立后，在任何一方无实质违约的情况下，未经相对方书面允许，任何一方不得单方撤销、中止、终止履行合同。</w:t>
      </w:r>
    </w:p>
    <w:p w14:paraId="782B0EE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lang w:val="en-US" w:eastAsia="zh-CN"/>
        </w:rPr>
        <w:t>本合同在履行过程中发生的争议，由甲、乙双方当事人协商解决，协商不成的依法向甲方所在地法院起诉。</w:t>
      </w:r>
    </w:p>
    <w:p w14:paraId="1F5E71CA">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w:t>
      </w:r>
      <w:r>
        <w:rPr>
          <w:rFonts w:hint="eastAsia" w:ascii="宋体" w:hAnsi="宋体" w:eastAsia="宋体" w:cs="宋体"/>
          <w:b/>
          <w:bCs/>
          <w:color w:val="auto"/>
          <w:spacing w:val="-4"/>
          <w:sz w:val="28"/>
          <w:szCs w:val="28"/>
          <w:highlight w:val="none"/>
          <w:lang w:val="en-US" w:eastAsia="zh-CN"/>
        </w:rPr>
        <w:t>九</w:t>
      </w:r>
      <w:r>
        <w:rPr>
          <w:rFonts w:hint="eastAsia" w:ascii="宋体" w:hAnsi="宋体" w:eastAsia="宋体" w:cs="宋体"/>
          <w:b/>
          <w:bCs/>
          <w:color w:val="auto"/>
          <w:spacing w:val="-4"/>
          <w:sz w:val="28"/>
          <w:szCs w:val="28"/>
          <w:highlight w:val="none"/>
        </w:rPr>
        <w:t>条、合同终止</w:t>
      </w:r>
    </w:p>
    <w:p w14:paraId="666F86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1、合同期间任何一方不得随意终止合同。</w:t>
      </w:r>
    </w:p>
    <w:p w14:paraId="2C8BC8D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2、因双方机构撤并、职能调整等原因，确系需终止合同的，双方可协商终止合同。</w:t>
      </w:r>
    </w:p>
    <w:p w14:paraId="5A9CF3D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3、乙方应自觉遵守甲方工作纪律、规章制度，服从甲方管理。因乙方原因给甲方造成严重后果，甲方可以单方面解除合同。</w:t>
      </w:r>
    </w:p>
    <w:p w14:paraId="24297F55">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w:t>
      </w:r>
      <w:r>
        <w:rPr>
          <w:rFonts w:hint="eastAsia" w:ascii="宋体" w:hAnsi="宋体" w:eastAsia="宋体" w:cs="宋体"/>
          <w:b/>
          <w:bCs/>
          <w:color w:val="auto"/>
          <w:spacing w:val="-4"/>
          <w:sz w:val="28"/>
          <w:szCs w:val="28"/>
          <w:highlight w:val="none"/>
          <w:lang w:val="en-US" w:eastAsia="zh-CN"/>
        </w:rPr>
        <w:t>十</w:t>
      </w:r>
      <w:r>
        <w:rPr>
          <w:rFonts w:hint="eastAsia" w:ascii="宋体" w:hAnsi="宋体" w:eastAsia="宋体" w:cs="宋体"/>
          <w:b/>
          <w:bCs/>
          <w:color w:val="auto"/>
          <w:spacing w:val="-4"/>
          <w:sz w:val="28"/>
          <w:szCs w:val="28"/>
          <w:highlight w:val="none"/>
        </w:rPr>
        <w:t>条、不可抗力</w:t>
      </w:r>
    </w:p>
    <w:p w14:paraId="638F17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1AE1CED7">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eastAsia="宋体" w:cs="宋体"/>
          <w:b/>
          <w:bCs/>
          <w:color w:val="auto"/>
          <w:spacing w:val="-4"/>
          <w:sz w:val="28"/>
          <w:szCs w:val="28"/>
          <w:highlight w:val="none"/>
          <w:lang w:val="en-US" w:eastAsia="zh-CN"/>
        </w:rPr>
        <w:t>一</w:t>
      </w:r>
      <w:r>
        <w:rPr>
          <w:rFonts w:hint="eastAsia" w:ascii="宋体" w:hAnsi="宋体" w:eastAsia="宋体" w:cs="宋体"/>
          <w:b/>
          <w:bCs/>
          <w:color w:val="auto"/>
          <w:spacing w:val="-4"/>
          <w:sz w:val="28"/>
          <w:szCs w:val="28"/>
          <w:highlight w:val="none"/>
        </w:rPr>
        <w:t>条、监督和管理</w:t>
      </w:r>
    </w:p>
    <w:p w14:paraId="41BDD9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1、政府采购合同履行中，采购人需追加与合同标的相同的货物、工程或者服务的，在不改变合同其他条款的前提下，可以与供应商协商签订补充合同，但所有补充合同的</w:t>
      </w: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金额不得超过原合同采购金额的10%。</w:t>
      </w:r>
    </w:p>
    <w:p w14:paraId="50D39B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2、甲乙双方均应自觉配合有关监督管理部门对合同履行情况的监督检查，如实反映情况，提供有关资料；否则，将对有关单位、当事人按照有关规定予以处罚。</w:t>
      </w:r>
    </w:p>
    <w:p w14:paraId="082FFD82">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eastAsia="宋体" w:cs="宋体"/>
          <w:b/>
          <w:bCs/>
          <w:color w:val="auto"/>
          <w:spacing w:val="-4"/>
          <w:sz w:val="28"/>
          <w:szCs w:val="28"/>
          <w:highlight w:val="none"/>
          <w:lang w:val="en-US" w:eastAsia="zh-CN"/>
        </w:rPr>
        <w:t>二</w:t>
      </w:r>
      <w:r>
        <w:rPr>
          <w:rFonts w:hint="eastAsia" w:ascii="宋体" w:hAnsi="宋体" w:eastAsia="宋体" w:cs="宋体"/>
          <w:b/>
          <w:bCs/>
          <w:color w:val="auto"/>
          <w:spacing w:val="-4"/>
          <w:sz w:val="28"/>
          <w:szCs w:val="28"/>
          <w:highlight w:val="none"/>
        </w:rPr>
        <w:t>条、无效合同</w:t>
      </w:r>
    </w:p>
    <w:p w14:paraId="55FCD85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甲乙双方如因违反政府采购法及相关法律法规的规定，被</w:t>
      </w:r>
      <w:r>
        <w:rPr>
          <w:rFonts w:hint="eastAsia" w:ascii="宋体" w:hAnsi="宋体" w:eastAsia="宋体" w:cs="宋体"/>
          <w:color w:val="auto"/>
          <w:sz w:val="24"/>
          <w:szCs w:val="24"/>
          <w:highlight w:val="none"/>
          <w:lang w:val="en-US" w:eastAsia="zh-CN"/>
        </w:rPr>
        <w:t>宣告</w:t>
      </w:r>
      <w:r>
        <w:rPr>
          <w:rFonts w:hint="eastAsia" w:ascii="宋体" w:hAnsi="宋体" w:eastAsia="宋体" w:cs="宋体"/>
          <w:color w:val="auto"/>
          <w:sz w:val="24"/>
          <w:szCs w:val="24"/>
          <w:highlight w:val="none"/>
        </w:rPr>
        <w:t>合同无效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，一切责任概由过错方自行承担。</w:t>
      </w:r>
    </w:p>
    <w:p w14:paraId="7C05FBD2">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eastAsia="宋体" w:cs="宋体"/>
          <w:b/>
          <w:bCs/>
          <w:color w:val="auto"/>
          <w:spacing w:val="-4"/>
          <w:sz w:val="28"/>
          <w:szCs w:val="28"/>
          <w:highlight w:val="none"/>
          <w:lang w:val="en-US" w:eastAsia="zh-CN"/>
        </w:rPr>
        <w:t>三</w:t>
      </w:r>
      <w:r>
        <w:rPr>
          <w:rFonts w:hint="eastAsia" w:ascii="宋体" w:hAnsi="宋体" w:eastAsia="宋体" w:cs="宋体"/>
          <w:b/>
          <w:bCs/>
          <w:color w:val="auto"/>
          <w:spacing w:val="-4"/>
          <w:sz w:val="28"/>
          <w:szCs w:val="28"/>
          <w:highlight w:val="none"/>
        </w:rPr>
        <w:t>条、信用融资(如有)</w:t>
      </w:r>
    </w:p>
    <w:p w14:paraId="26BF36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银行名称：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收款账号：</w:t>
      </w:r>
      <w:r>
        <w:rPr>
          <w:rFonts w:hint="eastAsia" w:ascii="宋体" w:hAnsi="宋体" w:eastAsia="宋体" w:cs="宋体"/>
          <w:color w:val="auto"/>
          <w:sz w:val="24"/>
          <w:szCs w:val="24"/>
          <w:highlight w:val="none"/>
          <w:u w:val="single"/>
        </w:rPr>
        <w:t xml:space="preserve">          </w:t>
      </w:r>
    </w:p>
    <w:p w14:paraId="7CC6BD75">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eastAsia="宋体" w:cs="宋体"/>
          <w:b/>
          <w:bCs/>
          <w:color w:val="auto"/>
          <w:spacing w:val="-4"/>
          <w:sz w:val="28"/>
          <w:szCs w:val="28"/>
          <w:highlight w:val="none"/>
          <w:lang w:val="en-US" w:eastAsia="zh-CN"/>
        </w:rPr>
        <w:t>四</w:t>
      </w:r>
      <w:r>
        <w:rPr>
          <w:rFonts w:hint="eastAsia" w:ascii="宋体" w:hAnsi="宋体" w:eastAsia="宋体" w:cs="宋体"/>
          <w:b/>
          <w:bCs/>
          <w:color w:val="auto"/>
          <w:spacing w:val="-4"/>
          <w:sz w:val="28"/>
          <w:szCs w:val="28"/>
          <w:highlight w:val="none"/>
        </w:rPr>
        <w:t>条、附则</w:t>
      </w:r>
    </w:p>
    <w:p w14:paraId="72FB717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1、本次采购项目的</w:t>
      </w:r>
      <w:r>
        <w:rPr>
          <w:rFonts w:hint="eastAsia" w:ascii="宋体" w:hAnsi="宋体" w:eastAsia="宋体" w:cs="宋体"/>
          <w:color w:val="auto"/>
          <w:sz w:val="24"/>
          <w:szCs w:val="24"/>
          <w:highlight w:val="none"/>
          <w:lang w:val="en-US" w:eastAsia="zh-CN"/>
        </w:rPr>
        <w:t>采购文件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中标（成交）</w:t>
      </w:r>
      <w:r>
        <w:rPr>
          <w:rFonts w:hint="eastAsia" w:ascii="宋体" w:hAnsi="宋体" w:eastAsia="宋体" w:cs="宋体"/>
          <w:color w:val="auto"/>
          <w:sz w:val="24"/>
          <w:szCs w:val="24"/>
          <w:highlight w:val="none"/>
        </w:rPr>
        <w:t>通知书及澄清说明文件均为本合同的组成部分，甲、乙双方必须全面遵守，如有违反，应承担违约责任。</w:t>
      </w:r>
    </w:p>
    <w:p w14:paraId="0A45AA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p>
    <w:p w14:paraId="6DF25D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3、本合同自签订之日起生效。</w:t>
      </w:r>
    </w:p>
    <w:p w14:paraId="2580528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4、附件</w:t>
      </w:r>
      <w:r>
        <w:rPr>
          <w:rFonts w:hint="eastAsia" w:ascii="宋体" w:hAnsi="宋体" w:eastAsia="宋体" w:cs="宋体"/>
          <w:color w:val="auto"/>
          <w:sz w:val="24"/>
          <w:szCs w:val="24"/>
          <w:highlight w:val="none"/>
          <w:lang w:eastAsia="zh-CN"/>
        </w:rPr>
        <w:t>。</w:t>
      </w:r>
    </w:p>
    <w:p w14:paraId="16B5BC8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eastAsia="zh-CN"/>
        </w:rPr>
        <w:t>（本页为签署页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以下无正文)</w:t>
      </w:r>
    </w:p>
    <w:p w14:paraId="7E888878">
      <w:pPr>
        <w:jc w:val="center"/>
        <w:rPr>
          <w:rFonts w:hint="eastAsia" w:ascii="宋体" w:hAnsi="宋体" w:eastAsia="宋体" w:cs="宋体"/>
          <w:color w:val="auto"/>
          <w:sz w:val="24"/>
          <w:szCs w:val="24"/>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0"/>
        <w:gridCol w:w="4790"/>
      </w:tblGrid>
      <w:tr w14:paraId="62E9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4" w:hRule="atLeast"/>
        </w:trPr>
        <w:tc>
          <w:tcPr>
            <w:tcW w:w="4790" w:type="dxa"/>
          </w:tcPr>
          <w:p w14:paraId="14BFF84B">
            <w:pPr>
              <w:rPr>
                <w:rFonts w:hint="eastAsia"/>
                <w:vertAlign w:val="baseline"/>
                <w:lang w:val="en-US" w:eastAsia="zh-Hans"/>
              </w:rPr>
            </w:pPr>
            <w:r>
              <w:rPr>
                <w:rFonts w:hint="eastAsia" w:ascii="宋体" w:hAnsi="宋体" w:eastAsia="宋体" w:cs="宋体"/>
                <w:color w:val="auto"/>
                <w:sz w:val="24"/>
                <w:szCs w:val="24"/>
                <w:highlight w:val="none"/>
              </w:rPr>
              <w:t>采购人(甲方)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(公章)</w:t>
            </w:r>
          </w:p>
        </w:tc>
        <w:tc>
          <w:tcPr>
            <w:tcW w:w="4790" w:type="dxa"/>
          </w:tcPr>
          <w:p w14:paraId="584ED928">
            <w:pPr>
              <w:rPr>
                <w:rFonts w:hint="eastAsia"/>
                <w:vertAlign w:val="baseline"/>
                <w:lang w:val="en-US" w:eastAsia="zh-Hans"/>
              </w:rPr>
            </w:pPr>
            <w:r>
              <w:rPr>
                <w:rFonts w:hint="eastAsia" w:ascii="宋体" w:hAnsi="宋体" w:eastAsia="宋体" w:cs="宋体"/>
                <w:color w:val="auto"/>
                <w:sz w:val="24"/>
                <w:szCs w:val="24"/>
                <w:highlight w:val="none"/>
              </w:rPr>
              <w:t>供应商(乙方)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(公章)</w:t>
            </w:r>
          </w:p>
        </w:tc>
      </w:tr>
      <w:tr w14:paraId="6B27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7ACAEE37">
            <w:pPr>
              <w:rPr>
                <w:rFonts w:hint="eastAsia"/>
                <w:vertAlign w:val="baseline"/>
                <w:lang w:val="en-US" w:eastAsia="zh-Hans"/>
              </w:rPr>
            </w:pPr>
            <w:r>
              <w:rPr>
                <w:rFonts w:hint="eastAsia" w:ascii="宋体" w:hAnsi="宋体" w:eastAsia="宋体" w:cs="宋体"/>
                <w:color w:val="auto"/>
                <w:sz w:val="24"/>
                <w:szCs w:val="24"/>
                <w:highlight w:val="none"/>
              </w:rPr>
              <w:t>地址：</w:t>
            </w:r>
          </w:p>
        </w:tc>
        <w:tc>
          <w:tcPr>
            <w:tcW w:w="4790" w:type="dxa"/>
          </w:tcPr>
          <w:p w14:paraId="5CEB789D">
            <w:pPr>
              <w:rPr>
                <w:rFonts w:hint="eastAsia"/>
                <w:vertAlign w:val="baseline"/>
                <w:lang w:val="en-US" w:eastAsia="zh-Hans"/>
              </w:rPr>
            </w:pPr>
            <w:r>
              <w:rPr>
                <w:rFonts w:hint="eastAsia" w:ascii="宋体" w:hAnsi="宋体" w:eastAsia="宋体" w:cs="宋体"/>
                <w:color w:val="auto"/>
                <w:sz w:val="24"/>
                <w:szCs w:val="24"/>
                <w:highlight w:val="none"/>
                <w:lang w:val="en-US" w:eastAsia="zh-CN"/>
              </w:rPr>
              <w:t>地址：</w:t>
            </w:r>
          </w:p>
        </w:tc>
      </w:tr>
      <w:tr w14:paraId="47E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229C962E">
            <w:pPr>
              <w:rPr>
                <w:rFonts w:hint="eastAsia"/>
                <w:vertAlign w:val="baseline"/>
                <w:lang w:val="en-US" w:eastAsia="zh-Hans"/>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(签字或盖章)</w:t>
            </w:r>
          </w:p>
        </w:tc>
        <w:tc>
          <w:tcPr>
            <w:tcW w:w="4790" w:type="dxa"/>
          </w:tcPr>
          <w:p w14:paraId="5A57D3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vertAlign w:val="baseline"/>
                <w:lang w:val="en-US" w:eastAsia="zh-Hans"/>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(签字或盖章)</w:t>
            </w:r>
          </w:p>
        </w:tc>
      </w:tr>
      <w:tr w14:paraId="5E5A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78DF832C">
            <w:pPr>
              <w:rPr>
                <w:rFonts w:hint="eastAsia"/>
                <w:vertAlign w:val="baseline"/>
                <w:lang w:val="en-US" w:eastAsia="zh-Hans"/>
              </w:rPr>
            </w:pPr>
            <w:r>
              <w:rPr>
                <w:rFonts w:hint="eastAsia" w:ascii="宋体" w:hAnsi="宋体" w:eastAsia="宋体" w:cs="宋体"/>
                <w:color w:val="auto"/>
                <w:sz w:val="24"/>
                <w:szCs w:val="24"/>
                <w:highlight w:val="none"/>
              </w:rPr>
              <w:t>开户银行：</w:t>
            </w:r>
          </w:p>
        </w:tc>
        <w:tc>
          <w:tcPr>
            <w:tcW w:w="4790" w:type="dxa"/>
          </w:tcPr>
          <w:p w14:paraId="2A9C939F">
            <w:pPr>
              <w:rPr>
                <w:rFonts w:hint="eastAsia"/>
                <w:vertAlign w:val="baseline"/>
                <w:lang w:val="en-US" w:eastAsia="zh-Hans"/>
              </w:rPr>
            </w:pPr>
            <w:r>
              <w:rPr>
                <w:rFonts w:hint="eastAsia" w:ascii="宋体" w:hAnsi="宋体" w:eastAsia="宋体" w:cs="宋体"/>
                <w:color w:val="auto"/>
                <w:sz w:val="24"/>
                <w:szCs w:val="24"/>
                <w:highlight w:val="none"/>
              </w:rPr>
              <w:t>开户银行：</w:t>
            </w:r>
          </w:p>
        </w:tc>
      </w:tr>
      <w:tr w14:paraId="56C6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639B9BCE">
            <w:pPr>
              <w:rPr>
                <w:rFonts w:hint="eastAsia"/>
                <w:vertAlign w:val="baseline"/>
                <w:lang w:val="en-US" w:eastAsia="zh-Hans"/>
              </w:rPr>
            </w:pPr>
            <w:r>
              <w:rPr>
                <w:rFonts w:hint="eastAsia" w:ascii="宋体" w:hAnsi="宋体" w:eastAsia="宋体" w:cs="宋体"/>
                <w:color w:val="auto"/>
                <w:sz w:val="24"/>
                <w:szCs w:val="24"/>
                <w:highlight w:val="none"/>
              </w:rPr>
              <w:t>账    号：</w:t>
            </w:r>
          </w:p>
        </w:tc>
        <w:tc>
          <w:tcPr>
            <w:tcW w:w="4790" w:type="dxa"/>
          </w:tcPr>
          <w:p w14:paraId="7A446152">
            <w:pPr>
              <w:rPr>
                <w:rFonts w:hint="eastAsia"/>
                <w:vertAlign w:val="baseline"/>
                <w:lang w:val="en-US" w:eastAsia="zh-Hans"/>
              </w:rPr>
            </w:pPr>
            <w:r>
              <w:rPr>
                <w:rFonts w:hint="eastAsia" w:ascii="宋体" w:hAnsi="宋体" w:eastAsia="宋体" w:cs="宋体"/>
                <w:color w:val="auto"/>
                <w:sz w:val="24"/>
                <w:szCs w:val="24"/>
                <w:highlight w:val="none"/>
              </w:rPr>
              <w:t>账    号：</w:t>
            </w:r>
          </w:p>
        </w:tc>
      </w:tr>
      <w:tr w14:paraId="579C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17EC4D39">
            <w:pPr>
              <w:rPr>
                <w:rFonts w:hint="eastAsia"/>
                <w:vertAlign w:val="baseline"/>
                <w:lang w:val="en-US" w:eastAsia="zh-Hans"/>
              </w:rPr>
            </w:pPr>
            <w:r>
              <w:rPr>
                <w:rFonts w:hint="eastAsia" w:ascii="宋体" w:hAnsi="宋体" w:eastAsia="宋体" w:cs="宋体"/>
                <w:color w:val="auto"/>
                <w:sz w:val="24"/>
                <w:szCs w:val="24"/>
                <w:highlight w:val="none"/>
              </w:rPr>
              <w:t>电    话：</w:t>
            </w:r>
          </w:p>
        </w:tc>
        <w:tc>
          <w:tcPr>
            <w:tcW w:w="4790" w:type="dxa"/>
          </w:tcPr>
          <w:p w14:paraId="37BACED0">
            <w:pPr>
              <w:rPr>
                <w:rFonts w:hint="eastAsia"/>
                <w:vertAlign w:val="baseline"/>
                <w:lang w:val="en-US" w:eastAsia="zh-Hans"/>
              </w:rPr>
            </w:pPr>
            <w:r>
              <w:rPr>
                <w:rFonts w:hint="eastAsia" w:ascii="宋体" w:hAnsi="宋体" w:eastAsia="宋体" w:cs="宋体"/>
                <w:color w:val="auto"/>
                <w:sz w:val="24"/>
                <w:szCs w:val="24"/>
                <w:highlight w:val="none"/>
              </w:rPr>
              <w:t>电    话：</w:t>
            </w:r>
          </w:p>
        </w:tc>
      </w:tr>
      <w:tr w14:paraId="7A41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790" w:type="dxa"/>
          </w:tcPr>
          <w:p w14:paraId="09B2ADA2">
            <w:pPr>
              <w:rPr>
                <w:rFonts w:hint="eastAsia"/>
                <w:vertAlign w:val="baseline"/>
                <w:lang w:val="en-US" w:eastAsia="zh-Hans"/>
              </w:rPr>
            </w:pPr>
            <w:r>
              <w:rPr>
                <w:rFonts w:hint="eastAsia" w:ascii="宋体" w:hAnsi="宋体" w:eastAsia="宋体" w:cs="宋体"/>
                <w:color w:val="auto"/>
                <w:sz w:val="24"/>
                <w:szCs w:val="24"/>
                <w:highlight w:val="none"/>
              </w:rPr>
              <w:t>地    址：</w:t>
            </w:r>
          </w:p>
        </w:tc>
        <w:tc>
          <w:tcPr>
            <w:tcW w:w="4790" w:type="dxa"/>
          </w:tcPr>
          <w:p w14:paraId="5131C8A3">
            <w:pPr>
              <w:rPr>
                <w:rFonts w:hint="eastAsia"/>
                <w:vertAlign w:val="baseline"/>
                <w:lang w:val="en-US" w:eastAsia="zh-Hans"/>
              </w:rPr>
            </w:pPr>
            <w:r>
              <w:rPr>
                <w:rFonts w:hint="eastAsia" w:ascii="宋体" w:hAnsi="宋体" w:eastAsia="宋体" w:cs="宋体"/>
                <w:color w:val="auto"/>
                <w:sz w:val="24"/>
                <w:szCs w:val="24"/>
                <w:highlight w:val="none"/>
              </w:rPr>
              <w:t>地    址：</w:t>
            </w:r>
          </w:p>
        </w:tc>
      </w:tr>
      <w:tr w14:paraId="19C6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4790" w:type="dxa"/>
          </w:tcPr>
          <w:p w14:paraId="42C4644F">
            <w:pPr>
              <w:rPr>
                <w:rFonts w:hint="eastAsia"/>
                <w:vertAlign w:val="baseline"/>
                <w:lang w:val="en-US" w:eastAsia="zh-Hans"/>
              </w:rPr>
            </w:pPr>
            <w:r>
              <w:rPr>
                <w:rFonts w:hint="eastAsia" w:ascii="宋体" w:hAnsi="宋体" w:eastAsia="宋体" w:cs="宋体"/>
                <w:color w:val="auto"/>
                <w:sz w:val="24"/>
                <w:szCs w:val="24"/>
                <w:highlight w:val="none"/>
              </w:rPr>
              <w:t>时    间：     年  月  日</w:t>
            </w:r>
          </w:p>
        </w:tc>
        <w:tc>
          <w:tcPr>
            <w:tcW w:w="4790" w:type="dxa"/>
          </w:tcPr>
          <w:p w14:paraId="7ED7F144">
            <w:pPr>
              <w:rPr>
                <w:rFonts w:hint="eastAsia"/>
                <w:vertAlign w:val="baseline"/>
                <w:lang w:val="en-US" w:eastAsia="zh-Hans"/>
              </w:rPr>
            </w:pPr>
            <w:r>
              <w:rPr>
                <w:rFonts w:hint="eastAsia" w:ascii="宋体" w:hAnsi="宋体" w:eastAsia="宋体" w:cs="宋体"/>
                <w:color w:val="auto"/>
                <w:sz w:val="24"/>
                <w:szCs w:val="24"/>
                <w:highlight w:val="none"/>
              </w:rPr>
              <w:t>时    间：     年  月  日</w:t>
            </w:r>
          </w:p>
        </w:tc>
      </w:tr>
    </w:tbl>
    <w:p w14:paraId="49389C01">
      <w:pPr>
        <w:rPr>
          <w:rFonts w:hint="eastAsia"/>
          <w:lang w:val="en-US" w:eastAsia="zh-Hans"/>
        </w:rPr>
      </w:pPr>
    </w:p>
    <w:p w14:paraId="5E3E3597">
      <w:bookmarkStart w:id="2" w:name="_GoBack"/>
      <w:bookmarkEnd w:id="2"/>
    </w:p>
    <w:sectPr>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D0C47"/>
    <w:rsid w:val="18BD0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1"/>
      <w:szCs w:val="21"/>
      <w:lang w:val="en-US" w:eastAsia="en-US" w:bidi="ar-SA"/>
    </w:r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2025-04-17T08:04:00Z</dcterms:created>
  <dc:creator>pepper</dc:creator>
  <cp:lastModifiedBy>pepper</cp:lastModifiedBy>
  <dcterms:modified xsi:type="dcterms:W3CDTF">2025-04-17T08:05:08Z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6141FAAA33B342C5B9751AE232BC005B_11</vt:lpwstr>
  </property>
  <property fmtid="{D5CDD505-2E9C-101B-9397-08002B2CF9AE}" pid="4" name="KSOTemplateDocerSaveRecord">
    <vt:lpwstr>eyJoZGlkIjoiMTUxZGQ5MTE1OTdkZGZjOWU0NTU0NmIxMDIwMzQzMWYiLCJ1c2VySWQiOiIzOTg3MDA0MjIifQ==</vt:lpwstr>
  </property>
</Properties>
</file>