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486CF">
      <w:pPr>
        <w:pStyle w:val="3"/>
        <w:bidi w:val="0"/>
        <w:jc w:val="center"/>
        <w:rPr>
          <w:rFonts w:hint="eastAsia"/>
          <w:sz w:val="40"/>
          <w:szCs w:val="28"/>
        </w:rPr>
      </w:pPr>
      <w:bookmarkStart w:id="3" w:name="_GoBack"/>
      <w:r>
        <w:rPr>
          <w:rFonts w:hint="eastAsia"/>
          <w:sz w:val="40"/>
          <w:szCs w:val="28"/>
        </w:rPr>
        <w:t>采购内容及要求</w:t>
      </w:r>
    </w:p>
    <w:bookmarkEnd w:id="3"/>
    <w:p w14:paraId="7D6E58B8">
      <w:pPr>
        <w:pStyle w:val="3"/>
        <w:jc w:val="left"/>
        <w:rPr>
          <w:rFonts w:hint="eastAsia"/>
          <w:color w:val="auto"/>
        </w:rPr>
      </w:pPr>
      <w:bookmarkStart w:id="0" w:name="_Toc8681"/>
      <w:r>
        <w:rPr>
          <w:rFonts w:hint="eastAsia"/>
          <w:color w:val="auto"/>
        </w:rPr>
        <w:t>一、服务内容</w:t>
      </w:r>
      <w:bookmarkEnd w:id="0"/>
    </w:p>
    <w:p w14:paraId="29429F64">
      <w:pPr>
        <w:pStyle w:val="4"/>
        <w:rPr>
          <w:rFonts w:hint="eastAsia"/>
          <w:color w:val="auto"/>
        </w:rPr>
      </w:pPr>
      <w:bookmarkStart w:id="1" w:name="_Toc31148"/>
      <w:r>
        <w:rPr>
          <w:rFonts w:hint="eastAsia"/>
          <w:color w:val="auto"/>
        </w:rPr>
        <w:t>（一）服务要求</w:t>
      </w:r>
      <w:bookmarkEnd w:id="1"/>
    </w:p>
    <w:p w14:paraId="7C49FCE1">
      <w:pPr>
        <w:pStyle w:val="16"/>
        <w:jc w:val="left"/>
        <w:rPr>
          <w:rFonts w:hint="eastAsia" w:hAnsi="宋体" w:cs="宋体"/>
          <w:color w:val="auto"/>
          <w:sz w:val="24"/>
          <w:szCs w:val="24"/>
        </w:rPr>
      </w:pPr>
      <w:r>
        <w:rPr>
          <w:rFonts w:hint="eastAsia" w:hAnsi="宋体" w:cs="宋体"/>
          <w:color w:val="auto"/>
          <w:sz w:val="24"/>
          <w:szCs w:val="24"/>
        </w:rPr>
        <w:t>（1）满足会议召开的时间要求：2025年5月30日，需满足5月28日前布置会场。</w:t>
      </w:r>
    </w:p>
    <w:p w14:paraId="3107FA53">
      <w:pPr>
        <w:pStyle w:val="16"/>
        <w:jc w:val="left"/>
        <w:rPr>
          <w:rFonts w:hint="eastAsia" w:hAnsi="宋体" w:cs="宋体"/>
          <w:color w:val="auto"/>
          <w:sz w:val="24"/>
          <w:szCs w:val="24"/>
        </w:rPr>
      </w:pPr>
      <w:r>
        <w:rPr>
          <w:rFonts w:hint="eastAsia" w:hAnsi="宋体" w:cs="宋体"/>
          <w:color w:val="auto"/>
          <w:sz w:val="24"/>
          <w:szCs w:val="24"/>
        </w:rPr>
        <w:t>（2）满足参会代表5月30日晚上单间住宿要求，且每间房费不高于500元。</w:t>
      </w:r>
    </w:p>
    <w:p w14:paraId="43FDFA82">
      <w:pPr>
        <w:pStyle w:val="16"/>
        <w:jc w:val="left"/>
        <w:rPr>
          <w:rFonts w:hint="eastAsia" w:hAnsi="宋体" w:cs="宋体"/>
          <w:color w:val="auto"/>
          <w:sz w:val="24"/>
          <w:szCs w:val="24"/>
        </w:rPr>
      </w:pPr>
      <w:r>
        <w:rPr>
          <w:rFonts w:hint="eastAsia" w:hAnsi="宋体" w:cs="宋体"/>
          <w:color w:val="auto"/>
          <w:sz w:val="24"/>
          <w:szCs w:val="24"/>
        </w:rPr>
        <w:t>（3）满足5月31日整天会议召开场地要求：主会场室内以课桌形式至少摆放400个座位。</w:t>
      </w:r>
    </w:p>
    <w:p w14:paraId="181D5C82">
      <w:pPr>
        <w:pStyle w:val="16"/>
        <w:jc w:val="left"/>
        <w:rPr>
          <w:rFonts w:hint="eastAsia" w:hAnsi="宋体" w:cs="宋体"/>
          <w:color w:val="auto"/>
          <w:sz w:val="24"/>
          <w:szCs w:val="24"/>
        </w:rPr>
      </w:pPr>
      <w:r>
        <w:rPr>
          <w:rFonts w:hint="eastAsia" w:hAnsi="宋体" w:cs="宋体"/>
          <w:color w:val="auto"/>
          <w:sz w:val="24"/>
          <w:szCs w:val="24"/>
        </w:rPr>
        <w:t>（4）满足5月31日下午2间会议厅场地要求：能够分别容纳150个座位的会议室。</w:t>
      </w:r>
    </w:p>
    <w:p w14:paraId="13BFDAE4">
      <w:pPr>
        <w:pStyle w:val="16"/>
        <w:jc w:val="left"/>
        <w:rPr>
          <w:rFonts w:hint="eastAsia" w:hAnsi="宋体" w:cs="宋体"/>
          <w:color w:val="auto"/>
          <w:sz w:val="24"/>
          <w:szCs w:val="24"/>
        </w:rPr>
      </w:pPr>
      <w:r>
        <w:rPr>
          <w:rFonts w:hint="eastAsia" w:hAnsi="宋体" w:cs="宋体"/>
          <w:color w:val="auto"/>
          <w:sz w:val="24"/>
          <w:szCs w:val="24"/>
        </w:rPr>
        <w:t>（5）提供主会场至少100m</w:t>
      </w:r>
      <w:r>
        <w:rPr>
          <w:rFonts w:hint="eastAsia" w:hAnsi="宋体" w:cs="宋体"/>
          <w:color w:val="auto"/>
          <w:sz w:val="24"/>
          <w:szCs w:val="24"/>
          <w:vertAlign w:val="superscript"/>
        </w:rPr>
        <w:t>2</w:t>
      </w:r>
      <w:r>
        <w:rPr>
          <w:rFonts w:hint="eastAsia" w:hAnsi="宋体" w:cs="宋体"/>
          <w:color w:val="auto"/>
          <w:sz w:val="24"/>
          <w:szCs w:val="24"/>
        </w:rPr>
        <w:t>电子显示屏以及3个会场都具有投影及音响、话筒和现场直播等设备。</w:t>
      </w:r>
    </w:p>
    <w:p w14:paraId="0F77F19D">
      <w:pPr>
        <w:pStyle w:val="16"/>
        <w:jc w:val="left"/>
        <w:rPr>
          <w:rFonts w:hint="eastAsia" w:hAnsi="宋体" w:cs="宋体"/>
          <w:color w:val="auto"/>
          <w:sz w:val="24"/>
          <w:szCs w:val="24"/>
        </w:rPr>
      </w:pPr>
      <w:r>
        <w:rPr>
          <w:rFonts w:hint="eastAsia" w:hAnsi="宋体" w:cs="宋体"/>
          <w:color w:val="auto"/>
          <w:sz w:val="24"/>
          <w:szCs w:val="24"/>
        </w:rPr>
        <w:t>（6）满足5月30日和31日用餐场地要求：可容纳450人同时用餐；</w:t>
      </w:r>
    </w:p>
    <w:p w14:paraId="311C7CAC">
      <w:pPr>
        <w:pStyle w:val="16"/>
        <w:jc w:val="left"/>
        <w:rPr>
          <w:rFonts w:hint="eastAsia" w:hAnsi="宋体" w:cs="宋体"/>
          <w:color w:val="auto"/>
          <w:sz w:val="24"/>
          <w:szCs w:val="24"/>
        </w:rPr>
      </w:pPr>
      <w:r>
        <w:rPr>
          <w:rFonts w:hint="eastAsia" w:hAnsi="宋体" w:cs="宋体"/>
          <w:color w:val="auto"/>
          <w:sz w:val="24"/>
          <w:szCs w:val="24"/>
        </w:rPr>
        <w:t>（7）楼宇内主会场门外有不少于400m</w:t>
      </w:r>
      <w:r>
        <w:rPr>
          <w:rFonts w:hint="eastAsia" w:hAnsi="宋体" w:cs="宋体"/>
          <w:color w:val="auto"/>
          <w:sz w:val="24"/>
          <w:szCs w:val="24"/>
          <w:vertAlign w:val="superscript"/>
        </w:rPr>
        <w:t>2</w:t>
      </w:r>
      <w:r>
        <w:rPr>
          <w:rFonts w:hint="eastAsia" w:hAnsi="宋体" w:cs="宋体"/>
          <w:color w:val="auto"/>
          <w:sz w:val="24"/>
          <w:szCs w:val="24"/>
        </w:rPr>
        <w:t>的企业参展室内场地；</w:t>
      </w:r>
    </w:p>
    <w:p w14:paraId="5E4E9C00">
      <w:pPr>
        <w:pStyle w:val="16"/>
        <w:jc w:val="left"/>
        <w:rPr>
          <w:rFonts w:hint="eastAsia" w:hAnsi="宋体" w:cs="宋体"/>
          <w:color w:val="auto"/>
          <w:sz w:val="24"/>
          <w:szCs w:val="24"/>
        </w:rPr>
      </w:pPr>
      <w:r>
        <w:rPr>
          <w:rFonts w:hint="eastAsia" w:hAnsi="宋体" w:cs="宋体"/>
          <w:color w:val="auto"/>
          <w:sz w:val="24"/>
          <w:szCs w:val="24"/>
        </w:rPr>
        <w:t>（8）酒店周边环境良好，交通便利，方便参会代表从西安北站、机场抵达；</w:t>
      </w:r>
    </w:p>
    <w:p w14:paraId="321B0E96">
      <w:pPr>
        <w:pStyle w:val="16"/>
        <w:jc w:val="left"/>
        <w:rPr>
          <w:rFonts w:hint="eastAsia" w:hAnsi="宋体" w:cs="宋体"/>
          <w:color w:val="auto"/>
          <w:sz w:val="24"/>
          <w:szCs w:val="24"/>
        </w:rPr>
      </w:pPr>
      <w:r>
        <w:rPr>
          <w:rFonts w:hint="eastAsia" w:hAnsi="宋体" w:cs="宋体"/>
          <w:color w:val="auto"/>
          <w:sz w:val="24"/>
          <w:szCs w:val="24"/>
        </w:rPr>
        <w:t>（9）酒店有承办类似规模会议的经验与资质，消防验收合格，整体服务质量好，安全保障设备完善；</w:t>
      </w:r>
    </w:p>
    <w:p w14:paraId="314A0887">
      <w:pPr>
        <w:pStyle w:val="16"/>
        <w:jc w:val="left"/>
        <w:rPr>
          <w:rFonts w:hint="eastAsia" w:hAnsi="宋体" w:cs="宋体"/>
          <w:color w:val="auto"/>
          <w:sz w:val="24"/>
          <w:szCs w:val="24"/>
        </w:rPr>
      </w:pPr>
      <w:r>
        <w:rPr>
          <w:rFonts w:hint="eastAsia" w:hAnsi="宋体" w:cs="宋体"/>
          <w:color w:val="auto"/>
          <w:sz w:val="24"/>
          <w:szCs w:val="24"/>
        </w:rPr>
        <w:t>（10）协助会议单位报到，并按会议类别安排相应标准的住宿；</w:t>
      </w:r>
    </w:p>
    <w:p w14:paraId="2B5F58E8">
      <w:pPr>
        <w:pStyle w:val="16"/>
        <w:jc w:val="left"/>
        <w:rPr>
          <w:rFonts w:hint="eastAsia" w:hAnsi="宋体" w:cs="宋体"/>
          <w:color w:val="auto"/>
          <w:sz w:val="24"/>
          <w:szCs w:val="24"/>
        </w:rPr>
      </w:pPr>
      <w:r>
        <w:rPr>
          <w:rFonts w:hint="eastAsia" w:hAnsi="宋体" w:cs="宋体"/>
          <w:color w:val="auto"/>
          <w:sz w:val="24"/>
          <w:szCs w:val="24"/>
        </w:rPr>
        <w:t>（11）为会议提供热情接待，优质服务，负责会议期间各会场茶水等；</w:t>
      </w:r>
    </w:p>
    <w:p w14:paraId="6654A532">
      <w:pPr>
        <w:rPr>
          <w:rFonts w:hint="eastAsia" w:ascii="宋体" w:hAnsi="宋体" w:cs="宋体"/>
          <w:color w:val="auto"/>
        </w:rPr>
      </w:pPr>
      <w:r>
        <w:rPr>
          <w:rFonts w:hint="eastAsia" w:ascii="宋体" w:hAnsi="宋体" w:cs="宋体"/>
          <w:color w:val="auto"/>
        </w:rPr>
        <w:t>（12）按会议要求安排指定标准的餐饮。会议用餐原则上采用自助餐，早餐不得少于10个品种，中晚餐不得少于15个品种，服务商应至少提前一周提供所承办会议一日三餐的菜单方案供会议单位选择。</w:t>
      </w:r>
    </w:p>
    <w:p w14:paraId="5640A39A">
      <w:pPr>
        <w:pStyle w:val="4"/>
        <w:rPr>
          <w:rFonts w:hint="eastAsia"/>
          <w:color w:val="auto"/>
        </w:rPr>
      </w:pPr>
      <w:bookmarkStart w:id="2" w:name="_Toc13164"/>
      <w:r>
        <w:rPr>
          <w:rFonts w:hint="eastAsia"/>
          <w:color w:val="auto"/>
        </w:rPr>
        <w:t>（二）数量要求</w:t>
      </w:r>
      <w:bookmarkEnd w:id="2"/>
    </w:p>
    <w:tbl>
      <w:tblPr>
        <w:tblStyle w:val="23"/>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5141"/>
        <w:gridCol w:w="1363"/>
        <w:gridCol w:w="1363"/>
      </w:tblGrid>
      <w:tr w14:paraId="2C5D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6473" w:type="dxa"/>
            <w:gridSpan w:val="2"/>
            <w:noWrap w:val="0"/>
            <w:vAlign w:val="center"/>
          </w:tcPr>
          <w:p w14:paraId="41D44F06">
            <w:pPr>
              <w:spacing w:line="240" w:lineRule="auto"/>
              <w:jc w:val="center"/>
              <w:rPr>
                <w:rFonts w:hint="eastAsia"/>
                <w:b/>
                <w:bCs/>
                <w:color w:val="auto"/>
              </w:rPr>
            </w:pPr>
            <w:r>
              <w:rPr>
                <w:rFonts w:hint="eastAsia"/>
                <w:b/>
                <w:bCs/>
                <w:color w:val="auto"/>
              </w:rPr>
              <w:t>会议基本要求</w:t>
            </w:r>
          </w:p>
        </w:tc>
        <w:tc>
          <w:tcPr>
            <w:tcW w:w="1363" w:type="dxa"/>
            <w:noWrap w:val="0"/>
            <w:vAlign w:val="center"/>
          </w:tcPr>
          <w:p w14:paraId="400AD516">
            <w:pPr>
              <w:spacing w:line="240" w:lineRule="auto"/>
              <w:jc w:val="center"/>
              <w:rPr>
                <w:rFonts w:hint="eastAsia"/>
                <w:b/>
                <w:bCs/>
                <w:color w:val="auto"/>
              </w:rPr>
            </w:pPr>
            <w:r>
              <w:rPr>
                <w:rFonts w:hint="eastAsia"/>
                <w:b/>
                <w:bCs/>
                <w:color w:val="auto"/>
              </w:rPr>
              <w:t>数量</w:t>
            </w:r>
          </w:p>
        </w:tc>
        <w:tc>
          <w:tcPr>
            <w:tcW w:w="1363" w:type="dxa"/>
            <w:noWrap w:val="0"/>
            <w:vAlign w:val="center"/>
          </w:tcPr>
          <w:p w14:paraId="39FC300E">
            <w:pPr>
              <w:spacing w:line="240" w:lineRule="auto"/>
              <w:jc w:val="center"/>
              <w:rPr>
                <w:rFonts w:hint="eastAsia"/>
                <w:b/>
                <w:bCs/>
                <w:color w:val="auto"/>
              </w:rPr>
            </w:pPr>
            <w:r>
              <w:rPr>
                <w:rFonts w:hint="eastAsia"/>
                <w:b/>
                <w:bCs/>
                <w:color w:val="auto"/>
              </w:rPr>
              <w:t>单位</w:t>
            </w:r>
          </w:p>
        </w:tc>
      </w:tr>
      <w:tr w14:paraId="67D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0D940B7A">
            <w:pPr>
              <w:spacing w:line="240" w:lineRule="auto"/>
              <w:jc w:val="center"/>
              <w:rPr>
                <w:rFonts w:hint="eastAsia"/>
                <w:color w:val="auto"/>
              </w:rPr>
            </w:pPr>
            <w:r>
              <w:rPr>
                <w:rFonts w:hint="eastAsia"/>
                <w:color w:val="auto"/>
              </w:rPr>
              <w:t>时间要求</w:t>
            </w:r>
          </w:p>
        </w:tc>
        <w:tc>
          <w:tcPr>
            <w:tcW w:w="5141" w:type="dxa"/>
            <w:noWrap w:val="0"/>
            <w:vAlign w:val="center"/>
          </w:tcPr>
          <w:p w14:paraId="18C59F85">
            <w:pPr>
              <w:spacing w:line="240" w:lineRule="auto"/>
              <w:rPr>
                <w:color w:val="auto"/>
              </w:rPr>
            </w:pPr>
            <w:r>
              <w:rPr>
                <w:rFonts w:hint="eastAsia"/>
                <w:color w:val="auto"/>
              </w:rPr>
              <w:t>2025年05月30日至2025年06月01日</w:t>
            </w:r>
            <w:r>
              <w:rPr>
                <w:color w:val="auto"/>
              </w:rPr>
              <w:t>，需满足5月28日前布置会场。</w:t>
            </w:r>
          </w:p>
        </w:tc>
        <w:tc>
          <w:tcPr>
            <w:tcW w:w="1363" w:type="dxa"/>
            <w:noWrap w:val="0"/>
            <w:vAlign w:val="center"/>
          </w:tcPr>
          <w:p w14:paraId="12522A27">
            <w:pPr>
              <w:spacing w:line="240" w:lineRule="auto"/>
              <w:jc w:val="center"/>
              <w:rPr>
                <w:color w:val="auto"/>
              </w:rPr>
            </w:pPr>
            <w:r>
              <w:rPr>
                <w:color w:val="auto"/>
              </w:rPr>
              <w:t>2</w:t>
            </w:r>
          </w:p>
        </w:tc>
        <w:tc>
          <w:tcPr>
            <w:tcW w:w="1363" w:type="dxa"/>
            <w:noWrap w:val="0"/>
            <w:vAlign w:val="center"/>
          </w:tcPr>
          <w:p w14:paraId="7A16F120">
            <w:pPr>
              <w:spacing w:line="240" w:lineRule="auto"/>
              <w:jc w:val="center"/>
              <w:rPr>
                <w:color w:val="auto"/>
              </w:rPr>
            </w:pPr>
            <w:r>
              <w:rPr>
                <w:color w:val="auto"/>
              </w:rPr>
              <w:t>天</w:t>
            </w:r>
          </w:p>
        </w:tc>
      </w:tr>
      <w:tr w14:paraId="797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0206738C">
            <w:pPr>
              <w:spacing w:line="240" w:lineRule="auto"/>
              <w:jc w:val="center"/>
              <w:rPr>
                <w:rFonts w:hint="eastAsia"/>
                <w:color w:val="auto"/>
              </w:rPr>
            </w:pPr>
            <w:r>
              <w:rPr>
                <w:rFonts w:hint="eastAsia"/>
                <w:color w:val="auto"/>
              </w:rPr>
              <w:t>住宿要求</w:t>
            </w:r>
          </w:p>
        </w:tc>
        <w:tc>
          <w:tcPr>
            <w:tcW w:w="5141" w:type="dxa"/>
            <w:noWrap w:val="0"/>
            <w:vAlign w:val="center"/>
          </w:tcPr>
          <w:p w14:paraId="09A436F3">
            <w:pPr>
              <w:spacing w:line="240" w:lineRule="auto"/>
              <w:rPr>
                <w:rFonts w:hint="eastAsia" w:eastAsia="宋体"/>
                <w:color w:val="auto"/>
                <w:lang w:eastAsia="zh-CN"/>
              </w:rPr>
            </w:pPr>
            <w:r>
              <w:rPr>
                <w:color w:val="auto"/>
              </w:rPr>
              <w:t>满足参会代表5月30日晚上单间住宿要求，且每间房费不高于500元。</w:t>
            </w:r>
            <w:r>
              <w:rPr>
                <w:rFonts w:hint="eastAsia"/>
                <w:b/>
                <w:bCs/>
                <w:color w:val="auto"/>
                <w:lang w:eastAsia="zh-CN"/>
              </w:rPr>
              <w:t>（本项目不包含住宿费）</w:t>
            </w:r>
          </w:p>
        </w:tc>
        <w:tc>
          <w:tcPr>
            <w:tcW w:w="1363" w:type="dxa"/>
            <w:noWrap w:val="0"/>
            <w:vAlign w:val="center"/>
          </w:tcPr>
          <w:p w14:paraId="7870028F">
            <w:pPr>
              <w:spacing w:line="240" w:lineRule="auto"/>
              <w:jc w:val="center"/>
              <w:rPr>
                <w:color w:val="auto"/>
              </w:rPr>
            </w:pPr>
            <w:r>
              <w:rPr>
                <w:rFonts w:hint="eastAsia"/>
                <w:color w:val="auto"/>
              </w:rPr>
              <w:t>3</w:t>
            </w:r>
            <w:r>
              <w:rPr>
                <w:color w:val="auto"/>
              </w:rPr>
              <w:t>00</w:t>
            </w:r>
          </w:p>
        </w:tc>
        <w:tc>
          <w:tcPr>
            <w:tcW w:w="1363" w:type="dxa"/>
            <w:noWrap w:val="0"/>
            <w:vAlign w:val="center"/>
          </w:tcPr>
          <w:p w14:paraId="0E6C6196">
            <w:pPr>
              <w:spacing w:line="240" w:lineRule="auto"/>
              <w:jc w:val="center"/>
              <w:rPr>
                <w:color w:val="auto"/>
              </w:rPr>
            </w:pPr>
            <w:r>
              <w:rPr>
                <w:color w:val="auto"/>
              </w:rPr>
              <w:t>间</w:t>
            </w:r>
          </w:p>
        </w:tc>
      </w:tr>
      <w:tr w14:paraId="0DE1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01937EE8">
            <w:pPr>
              <w:spacing w:line="240" w:lineRule="auto"/>
              <w:jc w:val="center"/>
              <w:rPr>
                <w:iCs/>
                <w:color w:val="auto"/>
                <w:kern w:val="0"/>
              </w:rPr>
            </w:pPr>
            <w:r>
              <w:rPr>
                <w:rFonts w:hint="eastAsia"/>
                <w:iCs/>
                <w:color w:val="auto"/>
                <w:kern w:val="0"/>
              </w:rPr>
              <w:t>会场要求1</w:t>
            </w:r>
          </w:p>
        </w:tc>
        <w:tc>
          <w:tcPr>
            <w:tcW w:w="5141" w:type="dxa"/>
            <w:noWrap w:val="0"/>
            <w:vAlign w:val="center"/>
          </w:tcPr>
          <w:p w14:paraId="223BC095">
            <w:pPr>
              <w:spacing w:line="240" w:lineRule="auto"/>
              <w:rPr>
                <w:color w:val="auto"/>
              </w:rPr>
            </w:pPr>
            <w:r>
              <w:rPr>
                <w:iCs/>
                <w:color w:val="auto"/>
                <w:kern w:val="0"/>
              </w:rPr>
              <w:t>满足5月31日整天会议召开场地要求：主会场室内以课桌形式至少摆放</w:t>
            </w:r>
            <w:r>
              <w:rPr>
                <w:rFonts w:hint="eastAsia"/>
                <w:iCs/>
                <w:color w:val="auto"/>
                <w:kern w:val="0"/>
              </w:rPr>
              <w:t>4</w:t>
            </w:r>
            <w:r>
              <w:rPr>
                <w:iCs/>
                <w:color w:val="auto"/>
                <w:kern w:val="0"/>
              </w:rPr>
              <w:t>00个座位</w:t>
            </w:r>
            <w:r>
              <w:rPr>
                <w:color w:val="auto"/>
              </w:rPr>
              <w:t>。</w:t>
            </w:r>
          </w:p>
        </w:tc>
        <w:tc>
          <w:tcPr>
            <w:tcW w:w="1363" w:type="dxa"/>
            <w:noWrap w:val="0"/>
            <w:vAlign w:val="center"/>
          </w:tcPr>
          <w:p w14:paraId="1A3C90CF">
            <w:pPr>
              <w:spacing w:line="240" w:lineRule="auto"/>
              <w:jc w:val="center"/>
              <w:rPr>
                <w:color w:val="auto"/>
              </w:rPr>
            </w:pPr>
            <w:r>
              <w:rPr>
                <w:color w:val="auto"/>
              </w:rPr>
              <w:t>1</w:t>
            </w:r>
          </w:p>
        </w:tc>
        <w:tc>
          <w:tcPr>
            <w:tcW w:w="1363" w:type="dxa"/>
            <w:noWrap w:val="0"/>
            <w:vAlign w:val="center"/>
          </w:tcPr>
          <w:p w14:paraId="407CCFC5">
            <w:pPr>
              <w:spacing w:line="240" w:lineRule="auto"/>
              <w:jc w:val="center"/>
              <w:rPr>
                <w:color w:val="auto"/>
              </w:rPr>
            </w:pPr>
            <w:r>
              <w:rPr>
                <w:color w:val="auto"/>
              </w:rPr>
              <w:t>个</w:t>
            </w:r>
          </w:p>
        </w:tc>
      </w:tr>
      <w:tr w14:paraId="3188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1FFE5864">
            <w:pPr>
              <w:spacing w:line="240" w:lineRule="auto"/>
              <w:jc w:val="center"/>
              <w:rPr>
                <w:iCs/>
                <w:color w:val="auto"/>
                <w:kern w:val="0"/>
              </w:rPr>
            </w:pPr>
            <w:r>
              <w:rPr>
                <w:rFonts w:hint="eastAsia"/>
                <w:iCs/>
                <w:color w:val="auto"/>
                <w:kern w:val="0"/>
              </w:rPr>
              <w:t>会场要求2</w:t>
            </w:r>
          </w:p>
        </w:tc>
        <w:tc>
          <w:tcPr>
            <w:tcW w:w="5141" w:type="dxa"/>
            <w:noWrap w:val="0"/>
            <w:vAlign w:val="center"/>
          </w:tcPr>
          <w:p w14:paraId="6B947412">
            <w:pPr>
              <w:spacing w:line="240" w:lineRule="auto"/>
              <w:rPr>
                <w:color w:val="auto"/>
              </w:rPr>
            </w:pPr>
            <w:r>
              <w:rPr>
                <w:iCs/>
                <w:color w:val="auto"/>
                <w:kern w:val="0"/>
              </w:rPr>
              <w:t>满足5月31日下午2间会议厅场地要求：能够分别容纳1</w:t>
            </w:r>
            <w:r>
              <w:rPr>
                <w:rFonts w:hint="eastAsia"/>
                <w:iCs/>
                <w:color w:val="auto"/>
                <w:kern w:val="0"/>
              </w:rPr>
              <w:t>5</w:t>
            </w:r>
            <w:r>
              <w:rPr>
                <w:iCs/>
                <w:color w:val="auto"/>
                <w:kern w:val="0"/>
              </w:rPr>
              <w:t>0个座位的会议室。</w:t>
            </w:r>
          </w:p>
        </w:tc>
        <w:tc>
          <w:tcPr>
            <w:tcW w:w="1363" w:type="dxa"/>
            <w:noWrap w:val="0"/>
            <w:vAlign w:val="center"/>
          </w:tcPr>
          <w:p w14:paraId="4E209FEF">
            <w:pPr>
              <w:spacing w:line="240" w:lineRule="auto"/>
              <w:jc w:val="center"/>
              <w:rPr>
                <w:color w:val="auto"/>
              </w:rPr>
            </w:pPr>
            <w:r>
              <w:rPr>
                <w:color w:val="auto"/>
              </w:rPr>
              <w:t>2</w:t>
            </w:r>
          </w:p>
        </w:tc>
        <w:tc>
          <w:tcPr>
            <w:tcW w:w="1363" w:type="dxa"/>
            <w:noWrap w:val="0"/>
            <w:vAlign w:val="center"/>
          </w:tcPr>
          <w:p w14:paraId="74B854F1">
            <w:pPr>
              <w:spacing w:line="240" w:lineRule="auto"/>
              <w:jc w:val="center"/>
              <w:rPr>
                <w:color w:val="auto"/>
              </w:rPr>
            </w:pPr>
            <w:r>
              <w:rPr>
                <w:color w:val="auto"/>
              </w:rPr>
              <w:t>间</w:t>
            </w:r>
          </w:p>
        </w:tc>
      </w:tr>
      <w:tr w14:paraId="1E83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133651FD">
            <w:pPr>
              <w:spacing w:line="240" w:lineRule="auto"/>
              <w:jc w:val="center"/>
              <w:rPr>
                <w:rFonts w:hint="eastAsia"/>
                <w:iCs/>
                <w:color w:val="auto"/>
                <w:kern w:val="0"/>
              </w:rPr>
            </w:pPr>
            <w:r>
              <w:rPr>
                <w:rFonts w:hint="eastAsia"/>
                <w:iCs/>
                <w:color w:val="auto"/>
                <w:kern w:val="0"/>
              </w:rPr>
              <w:t>设备要求</w:t>
            </w:r>
          </w:p>
        </w:tc>
        <w:tc>
          <w:tcPr>
            <w:tcW w:w="5141" w:type="dxa"/>
            <w:noWrap w:val="0"/>
            <w:vAlign w:val="center"/>
          </w:tcPr>
          <w:p w14:paraId="0C38505E">
            <w:pPr>
              <w:spacing w:line="240" w:lineRule="auto"/>
              <w:rPr>
                <w:color w:val="auto"/>
              </w:rPr>
            </w:pPr>
            <w:r>
              <w:rPr>
                <w:iCs/>
                <w:color w:val="auto"/>
                <w:kern w:val="0"/>
              </w:rPr>
              <w:t>提供主会场至少100m</w:t>
            </w:r>
            <w:r>
              <w:rPr>
                <w:iCs/>
                <w:color w:val="auto"/>
                <w:kern w:val="0"/>
                <w:vertAlign w:val="superscript"/>
              </w:rPr>
              <w:t>2</w:t>
            </w:r>
            <w:r>
              <w:rPr>
                <w:iCs/>
                <w:color w:val="auto"/>
                <w:kern w:val="0"/>
              </w:rPr>
              <w:t>电子显示屏以及3个会场都具有投影及音响、话筒和现场直播等设备。</w:t>
            </w:r>
          </w:p>
        </w:tc>
        <w:tc>
          <w:tcPr>
            <w:tcW w:w="1363" w:type="dxa"/>
            <w:noWrap w:val="0"/>
            <w:vAlign w:val="center"/>
          </w:tcPr>
          <w:p w14:paraId="28C8CA3C">
            <w:pPr>
              <w:spacing w:line="240" w:lineRule="auto"/>
              <w:jc w:val="center"/>
              <w:rPr>
                <w:color w:val="auto"/>
              </w:rPr>
            </w:pPr>
            <w:r>
              <w:rPr>
                <w:rFonts w:hint="eastAsia"/>
                <w:color w:val="auto"/>
              </w:rPr>
              <w:t>3</w:t>
            </w:r>
          </w:p>
        </w:tc>
        <w:tc>
          <w:tcPr>
            <w:tcW w:w="1363" w:type="dxa"/>
            <w:noWrap w:val="0"/>
            <w:vAlign w:val="center"/>
          </w:tcPr>
          <w:p w14:paraId="55E4DB94">
            <w:pPr>
              <w:spacing w:line="240" w:lineRule="auto"/>
              <w:jc w:val="center"/>
              <w:rPr>
                <w:color w:val="auto"/>
              </w:rPr>
            </w:pPr>
            <w:r>
              <w:rPr>
                <w:color w:val="auto"/>
              </w:rPr>
              <w:t>套</w:t>
            </w:r>
          </w:p>
        </w:tc>
      </w:tr>
      <w:tr w14:paraId="14A7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78A4D110">
            <w:pPr>
              <w:spacing w:line="240" w:lineRule="auto"/>
              <w:jc w:val="center"/>
              <w:rPr>
                <w:rFonts w:hint="eastAsia"/>
                <w:color w:val="auto"/>
              </w:rPr>
            </w:pPr>
            <w:r>
              <w:rPr>
                <w:rFonts w:hint="eastAsia"/>
                <w:color w:val="auto"/>
              </w:rPr>
              <w:t>用餐要求</w:t>
            </w:r>
          </w:p>
        </w:tc>
        <w:tc>
          <w:tcPr>
            <w:tcW w:w="5141" w:type="dxa"/>
            <w:noWrap w:val="0"/>
            <w:vAlign w:val="center"/>
          </w:tcPr>
          <w:p w14:paraId="06544D48">
            <w:pPr>
              <w:spacing w:line="240" w:lineRule="auto"/>
              <w:rPr>
                <w:color w:val="auto"/>
              </w:rPr>
            </w:pPr>
            <w:r>
              <w:rPr>
                <w:color w:val="auto"/>
              </w:rPr>
              <w:t>满足5月30日和31日用餐场地要求：可容纳</w:t>
            </w:r>
            <w:r>
              <w:rPr>
                <w:rFonts w:hint="eastAsia"/>
                <w:color w:val="auto"/>
              </w:rPr>
              <w:t>45</w:t>
            </w:r>
            <w:r>
              <w:rPr>
                <w:color w:val="auto"/>
              </w:rPr>
              <w:t>0人同时用餐。</w:t>
            </w:r>
          </w:p>
        </w:tc>
        <w:tc>
          <w:tcPr>
            <w:tcW w:w="1363" w:type="dxa"/>
            <w:noWrap w:val="0"/>
            <w:vAlign w:val="center"/>
          </w:tcPr>
          <w:p w14:paraId="03AD7282">
            <w:pPr>
              <w:spacing w:line="240" w:lineRule="auto"/>
              <w:jc w:val="center"/>
              <w:rPr>
                <w:color w:val="auto"/>
              </w:rPr>
            </w:pPr>
            <w:r>
              <w:rPr>
                <w:rFonts w:hint="eastAsia"/>
                <w:color w:val="auto"/>
              </w:rPr>
              <w:t>45</w:t>
            </w:r>
            <w:r>
              <w:rPr>
                <w:color w:val="auto"/>
              </w:rPr>
              <w:t>0</w:t>
            </w:r>
          </w:p>
        </w:tc>
        <w:tc>
          <w:tcPr>
            <w:tcW w:w="1363" w:type="dxa"/>
            <w:noWrap w:val="0"/>
            <w:vAlign w:val="center"/>
          </w:tcPr>
          <w:p w14:paraId="61079CCF">
            <w:pPr>
              <w:spacing w:line="240" w:lineRule="auto"/>
              <w:jc w:val="center"/>
              <w:rPr>
                <w:color w:val="auto"/>
              </w:rPr>
            </w:pPr>
            <w:r>
              <w:rPr>
                <w:color w:val="auto"/>
              </w:rPr>
              <w:t>人</w:t>
            </w:r>
          </w:p>
        </w:tc>
      </w:tr>
      <w:tr w14:paraId="56A7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00CA99BC">
            <w:pPr>
              <w:spacing w:line="240" w:lineRule="auto"/>
              <w:jc w:val="center"/>
              <w:rPr>
                <w:rFonts w:hint="eastAsia"/>
                <w:color w:val="auto"/>
              </w:rPr>
            </w:pPr>
            <w:r>
              <w:rPr>
                <w:rFonts w:hint="eastAsia"/>
                <w:color w:val="auto"/>
              </w:rPr>
              <w:t>场地要求</w:t>
            </w:r>
          </w:p>
        </w:tc>
        <w:tc>
          <w:tcPr>
            <w:tcW w:w="5141" w:type="dxa"/>
            <w:noWrap w:val="0"/>
            <w:vAlign w:val="center"/>
          </w:tcPr>
          <w:p w14:paraId="5CE42F1B">
            <w:pPr>
              <w:spacing w:line="240" w:lineRule="auto"/>
              <w:rPr>
                <w:color w:val="auto"/>
              </w:rPr>
            </w:pPr>
            <w:r>
              <w:rPr>
                <w:color w:val="auto"/>
              </w:rPr>
              <w:t>楼宇内主会场门外有不少于400m</w:t>
            </w:r>
            <w:r>
              <w:rPr>
                <w:color w:val="auto"/>
                <w:vertAlign w:val="superscript"/>
              </w:rPr>
              <w:t>2</w:t>
            </w:r>
            <w:r>
              <w:rPr>
                <w:color w:val="auto"/>
              </w:rPr>
              <w:t>企业参展室内场地。</w:t>
            </w:r>
          </w:p>
        </w:tc>
        <w:tc>
          <w:tcPr>
            <w:tcW w:w="1363" w:type="dxa"/>
            <w:noWrap w:val="0"/>
            <w:vAlign w:val="center"/>
          </w:tcPr>
          <w:p w14:paraId="4066058D">
            <w:pPr>
              <w:spacing w:line="240" w:lineRule="auto"/>
              <w:jc w:val="center"/>
              <w:rPr>
                <w:color w:val="auto"/>
              </w:rPr>
            </w:pPr>
            <w:r>
              <w:rPr>
                <w:color w:val="auto"/>
              </w:rPr>
              <w:t>1</w:t>
            </w:r>
          </w:p>
        </w:tc>
        <w:tc>
          <w:tcPr>
            <w:tcW w:w="1363" w:type="dxa"/>
            <w:noWrap w:val="0"/>
            <w:vAlign w:val="center"/>
          </w:tcPr>
          <w:p w14:paraId="6066BD85">
            <w:pPr>
              <w:spacing w:line="240" w:lineRule="auto"/>
              <w:jc w:val="center"/>
              <w:rPr>
                <w:color w:val="auto"/>
              </w:rPr>
            </w:pPr>
            <w:r>
              <w:rPr>
                <w:color w:val="auto"/>
              </w:rPr>
              <w:t>个</w:t>
            </w:r>
          </w:p>
        </w:tc>
      </w:tr>
      <w:tr w14:paraId="4374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332" w:type="dxa"/>
            <w:noWrap w:val="0"/>
            <w:vAlign w:val="center"/>
          </w:tcPr>
          <w:p w14:paraId="7A59E2D5">
            <w:pPr>
              <w:spacing w:line="240" w:lineRule="auto"/>
              <w:jc w:val="center"/>
              <w:rPr>
                <w:rFonts w:hint="eastAsia"/>
                <w:color w:val="auto"/>
              </w:rPr>
            </w:pPr>
            <w:r>
              <w:rPr>
                <w:rFonts w:hint="eastAsia"/>
                <w:color w:val="auto"/>
              </w:rPr>
              <w:t>会议用品</w:t>
            </w:r>
          </w:p>
        </w:tc>
        <w:tc>
          <w:tcPr>
            <w:tcW w:w="5141" w:type="dxa"/>
            <w:noWrap w:val="0"/>
            <w:vAlign w:val="center"/>
          </w:tcPr>
          <w:p w14:paraId="1229676C">
            <w:pPr>
              <w:spacing w:line="240" w:lineRule="auto"/>
              <w:rPr>
                <w:color w:val="auto"/>
              </w:rPr>
            </w:pPr>
            <w:r>
              <w:rPr>
                <w:rFonts w:hint="eastAsia"/>
                <w:color w:val="auto"/>
              </w:rPr>
              <w:t>笔+本子+文件袋</w:t>
            </w:r>
          </w:p>
        </w:tc>
        <w:tc>
          <w:tcPr>
            <w:tcW w:w="1363" w:type="dxa"/>
            <w:noWrap w:val="0"/>
            <w:vAlign w:val="center"/>
          </w:tcPr>
          <w:p w14:paraId="72756E82">
            <w:pPr>
              <w:spacing w:line="240" w:lineRule="auto"/>
              <w:jc w:val="center"/>
              <w:rPr>
                <w:color w:val="auto"/>
              </w:rPr>
            </w:pPr>
            <w:r>
              <w:rPr>
                <w:rFonts w:hint="eastAsia"/>
                <w:color w:val="auto"/>
              </w:rPr>
              <w:t>450</w:t>
            </w:r>
          </w:p>
        </w:tc>
        <w:tc>
          <w:tcPr>
            <w:tcW w:w="1363" w:type="dxa"/>
            <w:noWrap w:val="0"/>
            <w:vAlign w:val="center"/>
          </w:tcPr>
          <w:p w14:paraId="2657DB0F">
            <w:pPr>
              <w:spacing w:line="240" w:lineRule="auto"/>
              <w:jc w:val="center"/>
              <w:rPr>
                <w:rFonts w:hint="eastAsia"/>
                <w:color w:val="auto"/>
              </w:rPr>
            </w:pPr>
            <w:r>
              <w:rPr>
                <w:rFonts w:hint="eastAsia"/>
                <w:color w:val="auto"/>
              </w:rPr>
              <w:t>套</w:t>
            </w:r>
          </w:p>
        </w:tc>
      </w:tr>
    </w:tbl>
    <w:p w14:paraId="77846D2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39B03"/>
    <w:multiLevelType w:val="multilevel"/>
    <w:tmpl w:val="F4B39B03"/>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pStyle w:val="8"/>
      <w:suff w:val="nothing"/>
      <w:lvlText w:val=""/>
      <w:lvlJc w:val="left"/>
      <w:pPr>
        <w:tabs>
          <w:tab w:val="left" w:pos="0"/>
        </w:tabs>
        <w:ind w:left="0" w:firstLine="0"/>
      </w:pPr>
    </w:lvl>
    <w:lvl w:ilvl="7" w:tentative="0">
      <w:start w:val="1"/>
      <w:numFmt w:val="none"/>
      <w:pStyle w:val="9"/>
      <w:suff w:val="nothing"/>
      <w:lvlText w:val=""/>
      <w:lvlJc w:val="left"/>
      <w:pPr>
        <w:tabs>
          <w:tab w:val="left" w:pos="0"/>
        </w:tabs>
        <w:ind w:left="0" w:firstLine="0"/>
      </w:pPr>
    </w:lvl>
    <w:lvl w:ilvl="8" w:tentative="0">
      <w:start w:val="1"/>
      <w:numFmt w:val="none"/>
      <w:pStyle w:val="10"/>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8249E"/>
    <w:rsid w:val="0030091A"/>
    <w:rsid w:val="0122477A"/>
    <w:rsid w:val="01642471"/>
    <w:rsid w:val="01901310"/>
    <w:rsid w:val="02935D81"/>
    <w:rsid w:val="04983E33"/>
    <w:rsid w:val="05E4328A"/>
    <w:rsid w:val="06A64813"/>
    <w:rsid w:val="06B06A0F"/>
    <w:rsid w:val="06C61DD8"/>
    <w:rsid w:val="084E2544"/>
    <w:rsid w:val="08A27D3E"/>
    <w:rsid w:val="08CA027A"/>
    <w:rsid w:val="08E60174"/>
    <w:rsid w:val="099E7555"/>
    <w:rsid w:val="0AAB74A3"/>
    <w:rsid w:val="0B544018"/>
    <w:rsid w:val="0C497634"/>
    <w:rsid w:val="0C526E46"/>
    <w:rsid w:val="0CD932CC"/>
    <w:rsid w:val="0CFC3EA7"/>
    <w:rsid w:val="0D2F4AA3"/>
    <w:rsid w:val="0D8D4779"/>
    <w:rsid w:val="0E0E18EA"/>
    <w:rsid w:val="0ED778A8"/>
    <w:rsid w:val="0FB9496E"/>
    <w:rsid w:val="10042EA3"/>
    <w:rsid w:val="10727FC8"/>
    <w:rsid w:val="10772722"/>
    <w:rsid w:val="10BA5E5F"/>
    <w:rsid w:val="11C120F7"/>
    <w:rsid w:val="1257460D"/>
    <w:rsid w:val="12D772CA"/>
    <w:rsid w:val="12FC2C80"/>
    <w:rsid w:val="14125CD7"/>
    <w:rsid w:val="145041F2"/>
    <w:rsid w:val="147B5520"/>
    <w:rsid w:val="14A517BF"/>
    <w:rsid w:val="154752AC"/>
    <w:rsid w:val="15AA2B03"/>
    <w:rsid w:val="15E63261"/>
    <w:rsid w:val="16F54EDB"/>
    <w:rsid w:val="174370C9"/>
    <w:rsid w:val="17D252BA"/>
    <w:rsid w:val="17F17BA2"/>
    <w:rsid w:val="185F6706"/>
    <w:rsid w:val="188E3A9B"/>
    <w:rsid w:val="18A223F2"/>
    <w:rsid w:val="18CD4B53"/>
    <w:rsid w:val="18FE30F6"/>
    <w:rsid w:val="19042933"/>
    <w:rsid w:val="193B2D26"/>
    <w:rsid w:val="19DD0836"/>
    <w:rsid w:val="19E8711D"/>
    <w:rsid w:val="1A880F5D"/>
    <w:rsid w:val="1BB204B7"/>
    <w:rsid w:val="1BDC4741"/>
    <w:rsid w:val="1C1414EC"/>
    <w:rsid w:val="1D181F30"/>
    <w:rsid w:val="1F0E2B86"/>
    <w:rsid w:val="1F3642C6"/>
    <w:rsid w:val="1F601FBE"/>
    <w:rsid w:val="206A183A"/>
    <w:rsid w:val="20720677"/>
    <w:rsid w:val="23A45F21"/>
    <w:rsid w:val="24B03759"/>
    <w:rsid w:val="25BC70EA"/>
    <w:rsid w:val="269E3F9C"/>
    <w:rsid w:val="26A81D32"/>
    <w:rsid w:val="26B3022A"/>
    <w:rsid w:val="26E74871"/>
    <w:rsid w:val="270C4509"/>
    <w:rsid w:val="27756A38"/>
    <w:rsid w:val="281D66F4"/>
    <w:rsid w:val="28611463"/>
    <w:rsid w:val="28914C16"/>
    <w:rsid w:val="2910443B"/>
    <w:rsid w:val="299023C6"/>
    <w:rsid w:val="29CE3CF8"/>
    <w:rsid w:val="2A526E4B"/>
    <w:rsid w:val="2B5621F6"/>
    <w:rsid w:val="2B696B30"/>
    <w:rsid w:val="2C267465"/>
    <w:rsid w:val="2D393894"/>
    <w:rsid w:val="2D4927C2"/>
    <w:rsid w:val="2E5363CC"/>
    <w:rsid w:val="2E5D3029"/>
    <w:rsid w:val="2EC92CDF"/>
    <w:rsid w:val="2F9D0391"/>
    <w:rsid w:val="30624432"/>
    <w:rsid w:val="30FD598A"/>
    <w:rsid w:val="312F01A6"/>
    <w:rsid w:val="31AA6943"/>
    <w:rsid w:val="31E079BB"/>
    <w:rsid w:val="31F5271A"/>
    <w:rsid w:val="32034FD9"/>
    <w:rsid w:val="32056A2F"/>
    <w:rsid w:val="321253A2"/>
    <w:rsid w:val="324029C4"/>
    <w:rsid w:val="3255145A"/>
    <w:rsid w:val="325D7875"/>
    <w:rsid w:val="32B8068C"/>
    <w:rsid w:val="332532F7"/>
    <w:rsid w:val="33922D90"/>
    <w:rsid w:val="33A35879"/>
    <w:rsid w:val="34060359"/>
    <w:rsid w:val="34435D28"/>
    <w:rsid w:val="34763666"/>
    <w:rsid w:val="354F77D2"/>
    <w:rsid w:val="375955DE"/>
    <w:rsid w:val="38137AD8"/>
    <w:rsid w:val="39073866"/>
    <w:rsid w:val="39C04C69"/>
    <w:rsid w:val="39F7221A"/>
    <w:rsid w:val="3A282FB0"/>
    <w:rsid w:val="3A3E57B0"/>
    <w:rsid w:val="3A4F0BDB"/>
    <w:rsid w:val="3A5405D4"/>
    <w:rsid w:val="3AF9432F"/>
    <w:rsid w:val="3B543581"/>
    <w:rsid w:val="3B576B35"/>
    <w:rsid w:val="3BC64B80"/>
    <w:rsid w:val="3BDD58AD"/>
    <w:rsid w:val="3C17210D"/>
    <w:rsid w:val="3C460C02"/>
    <w:rsid w:val="3E864749"/>
    <w:rsid w:val="3F685FD2"/>
    <w:rsid w:val="40005FC9"/>
    <w:rsid w:val="4000691C"/>
    <w:rsid w:val="40092EF8"/>
    <w:rsid w:val="40156C88"/>
    <w:rsid w:val="404550CF"/>
    <w:rsid w:val="405C5BEA"/>
    <w:rsid w:val="40AE755B"/>
    <w:rsid w:val="415A4DDA"/>
    <w:rsid w:val="423A3A2D"/>
    <w:rsid w:val="43035753"/>
    <w:rsid w:val="430C542B"/>
    <w:rsid w:val="43F00E3D"/>
    <w:rsid w:val="44D747CE"/>
    <w:rsid w:val="44F53A6B"/>
    <w:rsid w:val="45083D9F"/>
    <w:rsid w:val="46166F98"/>
    <w:rsid w:val="46505A6B"/>
    <w:rsid w:val="469C3BBF"/>
    <w:rsid w:val="46A739FD"/>
    <w:rsid w:val="46EB5340"/>
    <w:rsid w:val="471D1659"/>
    <w:rsid w:val="474C6A6A"/>
    <w:rsid w:val="47A766FD"/>
    <w:rsid w:val="48205870"/>
    <w:rsid w:val="4882187E"/>
    <w:rsid w:val="48D4782C"/>
    <w:rsid w:val="49A63177"/>
    <w:rsid w:val="4A210D1B"/>
    <w:rsid w:val="4AA20AFD"/>
    <w:rsid w:val="4ABB78AB"/>
    <w:rsid w:val="4C5D3125"/>
    <w:rsid w:val="4C9B6E85"/>
    <w:rsid w:val="4CC02446"/>
    <w:rsid w:val="4CE2515B"/>
    <w:rsid w:val="4D16789A"/>
    <w:rsid w:val="4D8A271A"/>
    <w:rsid w:val="4DFF437E"/>
    <w:rsid w:val="4E78161D"/>
    <w:rsid w:val="4EA2774B"/>
    <w:rsid w:val="4ECD77C8"/>
    <w:rsid w:val="4FAA79A4"/>
    <w:rsid w:val="4FED5402"/>
    <w:rsid w:val="5032295C"/>
    <w:rsid w:val="50517375"/>
    <w:rsid w:val="506444A8"/>
    <w:rsid w:val="50A51E7D"/>
    <w:rsid w:val="50F0666F"/>
    <w:rsid w:val="51006C1D"/>
    <w:rsid w:val="51266EDF"/>
    <w:rsid w:val="51627BA7"/>
    <w:rsid w:val="51800044"/>
    <w:rsid w:val="51990283"/>
    <w:rsid w:val="53475632"/>
    <w:rsid w:val="53D654FE"/>
    <w:rsid w:val="53DC2107"/>
    <w:rsid w:val="53FA4D3E"/>
    <w:rsid w:val="5548249E"/>
    <w:rsid w:val="558B1687"/>
    <w:rsid w:val="55F1274B"/>
    <w:rsid w:val="560A265D"/>
    <w:rsid w:val="5756053D"/>
    <w:rsid w:val="57777269"/>
    <w:rsid w:val="578B5227"/>
    <w:rsid w:val="57A51F6A"/>
    <w:rsid w:val="57B13673"/>
    <w:rsid w:val="585B5A56"/>
    <w:rsid w:val="59501B08"/>
    <w:rsid w:val="59A368EF"/>
    <w:rsid w:val="5A1F7CD2"/>
    <w:rsid w:val="5A7557DC"/>
    <w:rsid w:val="5A9000B3"/>
    <w:rsid w:val="5A913ADF"/>
    <w:rsid w:val="5ABA67C2"/>
    <w:rsid w:val="5AC5124E"/>
    <w:rsid w:val="5B2607D7"/>
    <w:rsid w:val="5BB53B97"/>
    <w:rsid w:val="5D8549BB"/>
    <w:rsid w:val="5D9739FA"/>
    <w:rsid w:val="5D9F23D4"/>
    <w:rsid w:val="5E771155"/>
    <w:rsid w:val="5E8D2615"/>
    <w:rsid w:val="5FAA6618"/>
    <w:rsid w:val="5FC86CD6"/>
    <w:rsid w:val="5FDA4E80"/>
    <w:rsid w:val="600E24AE"/>
    <w:rsid w:val="60182901"/>
    <w:rsid w:val="60854409"/>
    <w:rsid w:val="609B3995"/>
    <w:rsid w:val="60B90E7D"/>
    <w:rsid w:val="61DF6FF8"/>
    <w:rsid w:val="62290EAB"/>
    <w:rsid w:val="627672C0"/>
    <w:rsid w:val="62B123F2"/>
    <w:rsid w:val="62B27782"/>
    <w:rsid w:val="62F4491D"/>
    <w:rsid w:val="63815B89"/>
    <w:rsid w:val="6396195F"/>
    <w:rsid w:val="65817FA6"/>
    <w:rsid w:val="658A49F1"/>
    <w:rsid w:val="65DD37E3"/>
    <w:rsid w:val="661A68E8"/>
    <w:rsid w:val="667B6071"/>
    <w:rsid w:val="67092226"/>
    <w:rsid w:val="67965E53"/>
    <w:rsid w:val="68D71481"/>
    <w:rsid w:val="68DF0229"/>
    <w:rsid w:val="6B2D064E"/>
    <w:rsid w:val="6B62607F"/>
    <w:rsid w:val="6BCF4328"/>
    <w:rsid w:val="6C381592"/>
    <w:rsid w:val="6CD56CA7"/>
    <w:rsid w:val="6D880B82"/>
    <w:rsid w:val="6DA9506F"/>
    <w:rsid w:val="6DB6013B"/>
    <w:rsid w:val="6E366146"/>
    <w:rsid w:val="6F460498"/>
    <w:rsid w:val="6F4A6F49"/>
    <w:rsid w:val="6F5C460C"/>
    <w:rsid w:val="70071703"/>
    <w:rsid w:val="70171875"/>
    <w:rsid w:val="7127647D"/>
    <w:rsid w:val="714E2BAB"/>
    <w:rsid w:val="722A508C"/>
    <w:rsid w:val="728D286D"/>
    <w:rsid w:val="72944BF7"/>
    <w:rsid w:val="72EF3A9D"/>
    <w:rsid w:val="74EB2F57"/>
    <w:rsid w:val="753A65E0"/>
    <w:rsid w:val="75EE47DA"/>
    <w:rsid w:val="761D2CBF"/>
    <w:rsid w:val="763B4AE8"/>
    <w:rsid w:val="77925931"/>
    <w:rsid w:val="78B23F20"/>
    <w:rsid w:val="791F5DD1"/>
    <w:rsid w:val="797D25F3"/>
    <w:rsid w:val="7A1A1907"/>
    <w:rsid w:val="7A5D5752"/>
    <w:rsid w:val="7BBA2A07"/>
    <w:rsid w:val="7BDA54A6"/>
    <w:rsid w:val="7D2B742D"/>
    <w:rsid w:val="7DAC6B74"/>
    <w:rsid w:val="7E3C0DBE"/>
    <w:rsid w:val="7E8402B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8"/>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
    <w:autoRedefine/>
    <w:qFormat/>
    <w:uiPriority w:val="0"/>
    <w:pPr>
      <w:numPr>
        <w:ilvl w:val="0"/>
        <w:numId w:val="1"/>
      </w:numPr>
      <w:outlineLvl w:val="0"/>
    </w:pPr>
    <w:rPr>
      <w:sz w:val="30"/>
    </w:rPr>
  </w:style>
  <w:style w:type="paragraph" w:styleId="3">
    <w:name w:val="heading 2"/>
    <w:basedOn w:val="1"/>
    <w:next w:val="1"/>
    <w:link w:val="25"/>
    <w:unhideWhenUsed/>
    <w:qFormat/>
    <w:uiPriority w:val="0"/>
    <w:pPr>
      <w:keepNext/>
      <w:keepLines/>
      <w:autoSpaceDE w:val="0"/>
      <w:autoSpaceDN w:val="0"/>
      <w:adjustRightInd w:val="0"/>
      <w:spacing w:before="120" w:line="360" w:lineRule="auto"/>
      <w:ind w:left="567" w:hanging="567"/>
      <w:jc w:val="left"/>
      <w:outlineLvl w:val="1"/>
    </w:pPr>
    <w:rPr>
      <w:rFonts w:ascii="宋体" w:hAnsi="宋体" w:eastAsia="宋体" w:cs="Times New Roman"/>
      <w:b/>
      <w:bCs/>
      <w:kern w:val="0"/>
      <w:szCs w:val="20"/>
    </w:rPr>
  </w:style>
  <w:style w:type="paragraph" w:styleId="4">
    <w:name w:val="heading 3"/>
    <w:basedOn w:val="1"/>
    <w:next w:val="1"/>
    <w:link w:val="27"/>
    <w:autoRedefine/>
    <w:semiHidden/>
    <w:unhideWhenUsed/>
    <w:qFormat/>
    <w:uiPriority w:val="0"/>
    <w:pPr>
      <w:keepNext/>
      <w:keepLines/>
      <w:autoSpaceDE w:val="0"/>
      <w:autoSpaceDN w:val="0"/>
      <w:adjustRightInd w:val="0"/>
      <w:spacing w:before="120" w:after="120" w:line="360" w:lineRule="auto"/>
      <w:ind w:left="0" w:firstLine="0"/>
      <w:jc w:val="left"/>
      <w:outlineLvl w:val="2"/>
    </w:pPr>
    <w:rPr>
      <w:rFonts w:ascii="宋体" w:hAnsi="宋体" w:eastAsia="宋体" w:cs="Times New Roman"/>
      <w:b/>
      <w:bCs/>
      <w:kern w:val="0"/>
      <w:szCs w:val="28"/>
    </w:rPr>
  </w:style>
  <w:style w:type="paragraph" w:styleId="5">
    <w:name w:val="heading 4"/>
    <w:basedOn w:val="1"/>
    <w:next w:val="1"/>
    <w:link w:val="26"/>
    <w:autoRedefine/>
    <w:semiHidden/>
    <w:unhideWhenUsed/>
    <w:qFormat/>
    <w:uiPriority w:val="0"/>
    <w:pPr>
      <w:keepNext/>
      <w:keepLines/>
      <w:numPr>
        <w:ilvl w:val="3"/>
        <w:numId w:val="1"/>
      </w:numPr>
      <w:spacing w:before="80" w:after="80" w:line="360" w:lineRule="auto"/>
      <w:outlineLvl w:val="3"/>
    </w:pPr>
    <w:rPr>
      <w:rFonts w:ascii="Arial" w:hAnsi="Arial" w:eastAsia="宋体" w:cs="Arial"/>
      <w:b/>
      <w:sz w:val="28"/>
      <w:szCs w:val="20"/>
    </w:rPr>
  </w:style>
  <w:style w:type="paragraph" w:styleId="6">
    <w:name w:val="heading 5"/>
    <w:basedOn w:val="1"/>
    <w:next w:val="1"/>
    <w:link w:val="29"/>
    <w:semiHidden/>
    <w:unhideWhenUsed/>
    <w:qFormat/>
    <w:uiPriority w:val="0"/>
    <w:pPr>
      <w:keepNext/>
      <w:keepLines/>
      <w:pageBreakBefore/>
      <w:numPr>
        <w:ilvl w:val="4"/>
        <w:numId w:val="1"/>
      </w:numPr>
      <w:tabs>
        <w:tab w:val="left" w:pos="992"/>
      </w:tabs>
      <w:spacing w:before="100" w:after="100" w:line="360" w:lineRule="auto"/>
      <w:ind w:left="0" w:right="0" w:firstLine="0"/>
      <w:outlineLvl w:val="4"/>
    </w:pPr>
    <w:rPr>
      <w:rFonts w:ascii="Times New Roman" w:hAnsi="Times New Roman" w:eastAsia="宋体"/>
      <w:b/>
      <w:bCs/>
      <w:sz w:val="28"/>
      <w:szCs w:val="28"/>
    </w:rPr>
  </w:style>
  <w:style w:type="paragraph" w:styleId="7">
    <w:name w:val="heading 6"/>
    <w:basedOn w:val="1"/>
    <w:next w:val="1"/>
    <w:link w:val="31"/>
    <w:semiHidden/>
    <w:unhideWhenUsed/>
    <w:qFormat/>
    <w:uiPriority w:val="0"/>
    <w:pPr>
      <w:keepNext/>
      <w:keepLines/>
      <w:widowControl/>
      <w:numPr>
        <w:ilvl w:val="5"/>
        <w:numId w:val="1"/>
      </w:numPr>
      <w:tabs>
        <w:tab w:val="left" w:pos="1440"/>
      </w:tabs>
      <w:spacing w:before="100" w:after="100" w:line="360" w:lineRule="auto"/>
      <w:ind w:left="0" w:right="0" w:firstLine="0"/>
      <w:jc w:val="left"/>
      <w:outlineLvl w:val="5"/>
    </w:pPr>
    <w:rPr>
      <w:rFonts w:ascii="Arial" w:hAnsi="Arial" w:eastAsia="宋体" w:cs="Arial"/>
      <w:b/>
      <w:kern w:val="0"/>
      <w:szCs w:val="20"/>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0" w:firstLine="0"/>
      <w:outlineLvl w:val="6"/>
    </w:pPr>
    <w:rPr>
      <w:rFonts w:ascii="Times New Roman" w:hAnsi="Times New Roman" w:eastAsia="宋体" w:cs="Times New Roman"/>
      <w:b/>
    </w:rPr>
  </w:style>
  <w:style w:type="paragraph" w:styleId="9">
    <w:name w:val="heading 8"/>
    <w:basedOn w:val="1"/>
    <w:next w:val="1"/>
    <w:autoRedefine/>
    <w:semiHidden/>
    <w:unhideWhenUsed/>
    <w:qFormat/>
    <w:uiPriority w:val="0"/>
    <w:pPr>
      <w:keepNext/>
      <w:keepLines/>
      <w:numPr>
        <w:ilvl w:val="7"/>
        <w:numId w:val="1"/>
      </w:numPr>
      <w:tabs>
        <w:tab w:val="left" w:pos="1418"/>
        <w:tab w:val="clear" w:pos="0"/>
      </w:tabs>
      <w:spacing w:before="240" w:beforeLines="0" w:beforeAutospacing="0" w:after="64" w:afterLines="0" w:afterAutospacing="0" w:line="317" w:lineRule="auto"/>
      <w:ind w:left="0" w:firstLine="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1559"/>
        <w:tab w:val="clear" w:pos="0"/>
      </w:tabs>
      <w:spacing w:before="240" w:beforeLines="0" w:beforeAutospacing="0" w:after="64" w:afterLines="0" w:afterAutospacing="0" w:line="317" w:lineRule="auto"/>
      <w:ind w:left="0" w:firstLine="0"/>
      <w:outlineLvl w:val="8"/>
    </w:pPr>
    <w:rPr>
      <w:rFonts w:ascii="Arial" w:hAnsi="Arial" w:eastAsia="黑体"/>
      <w:sz w:val="21"/>
    </w:rPr>
  </w:style>
  <w:style w:type="character" w:default="1" w:styleId="24">
    <w:name w:val="Default Paragraph Font"/>
    <w:unhideWhenUsed/>
    <w:qFormat/>
    <w:uiPriority w:val="1"/>
  </w:style>
  <w:style w:type="table" w:default="1" w:styleId="23">
    <w:name w:val="Normal Table"/>
    <w:semiHidden/>
    <w:qFormat/>
    <w:uiPriority w:val="0"/>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rmal Indent"/>
    <w:basedOn w:val="1"/>
    <w:link w:val="30"/>
    <w:autoRedefine/>
    <w:qFormat/>
    <w:uiPriority w:val="0"/>
    <w:pPr>
      <w:autoSpaceDE w:val="0"/>
      <w:autoSpaceDN w:val="0"/>
      <w:adjustRightInd w:val="0"/>
      <w:spacing w:line="360" w:lineRule="auto"/>
      <w:ind w:firstLine="585"/>
    </w:pPr>
    <w:rPr>
      <w:rFonts w:ascii="楷体_GB2312" w:hAnsi="楷体_GB2312" w:eastAsia="宋体"/>
      <w:sz w:val="24"/>
      <w:szCs w:val="32"/>
    </w:rPr>
  </w:style>
  <w:style w:type="paragraph" w:styleId="13">
    <w:name w:val="Body Text"/>
    <w:basedOn w:val="1"/>
    <w:link w:val="36"/>
    <w:unhideWhenUsed/>
    <w:qFormat/>
    <w:uiPriority w:val="99"/>
    <w:pPr>
      <w:suppressAutoHyphens w:val="0"/>
      <w:adjustRightInd w:val="0"/>
      <w:spacing w:line="360" w:lineRule="auto"/>
      <w:ind w:firstLine="0" w:firstLineChars="0"/>
      <w:textAlignment w:val="baseline"/>
    </w:pPr>
    <w:rPr>
      <w:szCs w:val="20"/>
    </w:rPr>
  </w:style>
  <w:style w:type="paragraph" w:styleId="14">
    <w:name w:val="Body Text Indent"/>
    <w:basedOn w:val="1"/>
    <w:qFormat/>
    <w:uiPriority w:val="0"/>
    <w:pPr>
      <w:spacing w:after="120" w:afterLines="0" w:afterAutospacing="0"/>
      <w:ind w:left="420" w:leftChars="200"/>
    </w:pPr>
  </w:style>
  <w:style w:type="paragraph" w:styleId="15">
    <w:name w:val="Block Text"/>
    <w:basedOn w:val="1"/>
    <w:qFormat/>
    <w:uiPriority w:val="0"/>
    <w:pPr>
      <w:spacing w:after="120" w:afterLines="0" w:afterAutospacing="0"/>
      <w:ind w:left="1440" w:leftChars="700" w:rightChars="700"/>
    </w:pPr>
  </w:style>
  <w:style w:type="paragraph" w:styleId="16">
    <w:name w:val="Plain Text"/>
    <w:basedOn w:val="1"/>
    <w:link w:val="37"/>
    <w:qFormat/>
    <w:uiPriority w:val="0"/>
    <w:rPr>
      <w:rFonts w:ascii="宋体" w:hAnsi="宋体" w:eastAsia="宋体"/>
      <w:kern w:val="2"/>
      <w:sz w:val="24"/>
      <w:szCs w:val="20"/>
    </w:rPr>
  </w:style>
  <w:style w:type="paragraph" w:styleId="17">
    <w:name w:val="Body Text Indent 2"/>
    <w:basedOn w:val="1"/>
    <w:qFormat/>
    <w:uiPriority w:val="0"/>
    <w:pPr>
      <w:ind w:firstLine="480" w:firstLineChars="200"/>
    </w:pPr>
    <w:rPr>
      <w:rFonts w:ascii="仿宋_GB2312" w:hAnsi="仿宋_GB2312" w:eastAsia="宋体"/>
    </w:rPr>
  </w:style>
  <w:style w:type="paragraph" w:styleId="18">
    <w:name w:val="footer"/>
    <w:basedOn w:val="1"/>
    <w:link w:val="32"/>
    <w:qFormat/>
    <w:uiPriority w:val="0"/>
    <w:pPr>
      <w:tabs>
        <w:tab w:val="center" w:pos="4153"/>
        <w:tab w:val="right" w:pos="8306"/>
      </w:tabs>
      <w:snapToGrid w:val="0"/>
      <w:jc w:val="left"/>
    </w:pPr>
    <w:rPr>
      <w:rFonts w:eastAsia="宋体"/>
      <w:sz w:val="24"/>
      <w:szCs w:val="18"/>
    </w:rPr>
  </w:style>
  <w:style w:type="paragraph" w:styleId="19">
    <w:name w:val="Normal (Web)"/>
    <w:basedOn w:val="1"/>
    <w:qFormat/>
    <w:uiPriority w:val="0"/>
    <w:pPr>
      <w:widowControl/>
      <w:spacing w:beforeLines="0" w:beforeAutospacing="0" w:afterLines="0" w:afterAutospacing="0"/>
      <w:jc w:val="left"/>
    </w:pPr>
    <w:rPr>
      <w:rFonts w:ascii="宋体" w:hAnsi="宋体" w:eastAsia="宋体" w:cs="宋体"/>
      <w:color w:val="000000"/>
      <w:kern w:val="0"/>
      <w:szCs w:val="24"/>
    </w:rPr>
  </w:style>
  <w:style w:type="paragraph" w:styleId="20">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1">
    <w:name w:val="Body Text First Indent"/>
    <w:basedOn w:val="13"/>
    <w:next w:val="1"/>
    <w:link w:val="34"/>
    <w:autoRedefine/>
    <w:qFormat/>
    <w:uiPriority w:val="0"/>
    <w:pPr>
      <w:tabs>
        <w:tab w:val="left" w:pos="567"/>
      </w:tabs>
      <w:spacing w:after="0"/>
      <w:ind w:firstLine="0" w:firstLineChars="0"/>
      <w:jc w:val="left"/>
    </w:pPr>
    <w:rPr>
      <w:rFonts w:ascii="宋体" w:hAnsi="宋体" w:eastAsia="宋体" w:cs="宋体"/>
      <w:color w:val="000000" w:themeColor="text1"/>
      <w:kern w:val="0"/>
      <w:szCs w:val="32"/>
      <w14:shadow w14:blurRad="38100" w14:dist="19050" w14:dir="2700000" w14:sx="100000" w14:sy="100000" w14:kx="0" w14:ky="0" w14:algn="tl">
        <w14:schemeClr w14:val="dk1">
          <w14:alpha w14:val="60000"/>
        </w14:schemeClr>
      </w14:shadow>
      <w14:textFill>
        <w14:solidFill>
          <w14:schemeClr w14:val="tx1"/>
        </w14:solidFill>
      </w14:textFill>
    </w:rPr>
  </w:style>
  <w:style w:type="paragraph" w:styleId="22">
    <w:name w:val="Body Text First Indent 2"/>
    <w:basedOn w:val="14"/>
    <w:qFormat/>
    <w:uiPriority w:val="0"/>
    <w:pPr>
      <w:spacing w:line="360" w:lineRule="auto"/>
      <w:ind w:left="0" w:leftChars="0" w:firstLine="0" w:firstLineChars="0"/>
    </w:pPr>
    <w:rPr>
      <w:rFonts w:ascii="Times New Roman" w:hAnsi="Times New Roman" w:eastAsia="宋体"/>
      <w:sz w:val="24"/>
      <w:szCs w:val="20"/>
    </w:rPr>
  </w:style>
  <w:style w:type="character" w:customStyle="1" w:styleId="25">
    <w:name w:val="标题 2 Char"/>
    <w:basedOn w:val="24"/>
    <w:link w:val="3"/>
    <w:autoRedefine/>
    <w:qFormat/>
    <w:uiPriority w:val="0"/>
    <w:rPr>
      <w:rFonts w:ascii="宋体" w:hAnsi="宋体" w:eastAsia="宋体" w:cs="Times New Roman"/>
      <w:b/>
      <w:bCs/>
      <w:kern w:val="0"/>
      <w:sz w:val="24"/>
      <w:szCs w:val="20"/>
    </w:rPr>
  </w:style>
  <w:style w:type="character" w:customStyle="1" w:styleId="26">
    <w:name w:val="标题 4 Char1"/>
    <w:link w:val="5"/>
    <w:qFormat/>
    <w:uiPriority w:val="0"/>
    <w:rPr>
      <w:rFonts w:ascii="Arial" w:hAnsi="Arial" w:eastAsia="宋体" w:cs="Arial"/>
      <w:b/>
      <w:kern w:val="2"/>
      <w:sz w:val="24"/>
    </w:rPr>
  </w:style>
  <w:style w:type="character" w:customStyle="1" w:styleId="27">
    <w:name w:val="标题 3 Char"/>
    <w:basedOn w:val="24"/>
    <w:link w:val="4"/>
    <w:qFormat/>
    <w:uiPriority w:val="0"/>
    <w:rPr>
      <w:rFonts w:ascii="宋体" w:hAnsi="宋体" w:eastAsia="宋体" w:cs="Times New Roman"/>
      <w:b/>
      <w:bCs/>
      <w:kern w:val="0"/>
      <w:sz w:val="24"/>
      <w:szCs w:val="28"/>
    </w:rPr>
  </w:style>
  <w:style w:type="character" w:customStyle="1" w:styleId="28">
    <w:name w:val="标题 1 Char"/>
    <w:basedOn w:val="24"/>
    <w:link w:val="2"/>
    <w:autoRedefine/>
    <w:qFormat/>
    <w:uiPriority w:val="0"/>
    <w:rPr>
      <w:rFonts w:ascii="Times New Roman" w:hAnsi="Times New Roman" w:eastAsia="宋体" w:cs="宋体"/>
      <w:color w:val="000000" w:themeColor="text1"/>
      <w:sz w:val="40"/>
      <w:szCs w:val="40"/>
      <w14:textFill>
        <w14:solidFill>
          <w14:schemeClr w14:val="tx1"/>
        </w14:solidFill>
      </w14:textFill>
    </w:rPr>
  </w:style>
  <w:style w:type="character" w:customStyle="1" w:styleId="29">
    <w:name w:val="标题 5 Char"/>
    <w:basedOn w:val="24"/>
    <w:link w:val="6"/>
    <w:qFormat/>
    <w:uiPriority w:val="9"/>
    <w:rPr>
      <w:rFonts w:ascii="Times New Roman" w:hAnsi="Times New Roman" w:eastAsia="宋体" w:cs="Tahoma"/>
      <w:b/>
      <w:sz w:val="24"/>
      <w:szCs w:val="22"/>
    </w:rPr>
  </w:style>
  <w:style w:type="character" w:customStyle="1" w:styleId="30">
    <w:name w:val="正文缩进 Char"/>
    <w:link w:val="12"/>
    <w:qFormat/>
    <w:uiPriority w:val="0"/>
    <w:rPr>
      <w:rFonts w:ascii="楷体_GB2312" w:hAnsi="楷体_GB2312" w:eastAsia="宋体"/>
      <w:sz w:val="24"/>
    </w:rPr>
  </w:style>
  <w:style w:type="character" w:customStyle="1" w:styleId="31">
    <w:name w:val="标题 6 Char"/>
    <w:link w:val="7"/>
    <w:autoRedefine/>
    <w:qFormat/>
    <w:uiPriority w:val="0"/>
    <w:rPr>
      <w:rFonts w:ascii="Arial" w:hAnsi="Arial" w:eastAsia="宋体" w:cs="Arial"/>
      <w:b/>
      <w:color w:val="000000"/>
      <w:kern w:val="0"/>
      <w:sz w:val="24"/>
      <w:szCs w:val="24"/>
      <w:lang w:val="zh-CN" w:eastAsia="zh-CN" w:bidi="ar-SA"/>
    </w:rPr>
  </w:style>
  <w:style w:type="character" w:customStyle="1" w:styleId="32">
    <w:name w:val="页脚 Char"/>
    <w:basedOn w:val="24"/>
    <w:link w:val="18"/>
    <w:semiHidden/>
    <w:qFormat/>
    <w:uiPriority w:val="99"/>
    <w:rPr>
      <w:rFonts w:eastAsia="宋体"/>
      <w:sz w:val="24"/>
      <w:szCs w:val="18"/>
    </w:rPr>
  </w:style>
  <w:style w:type="character" w:customStyle="1" w:styleId="33">
    <w:name w:val="正文文本 Char"/>
    <w:basedOn w:val="24"/>
    <w:link w:val="13"/>
    <w:qFormat/>
    <w:uiPriority w:val="0"/>
    <w:rPr>
      <w:rFonts w:ascii="宋体" w:hAnsi="宋体" w:eastAsia="宋体" w:cs="Times New Roman"/>
      <w:sz w:val="24"/>
      <w:szCs w:val="24"/>
    </w:rPr>
  </w:style>
  <w:style w:type="character" w:customStyle="1" w:styleId="34">
    <w:name w:val="正文首行缩进 字符"/>
    <w:basedOn w:val="35"/>
    <w:link w:val="21"/>
    <w:qFormat/>
    <w:uiPriority w:val="0"/>
    <w:rPr>
      <w:rFonts w:ascii="宋体" w:hAnsi="宋体" w:eastAsia="宋体" w:cs="宋体"/>
      <w:color w:val="000000" w:themeColor="text1"/>
      <w:kern w:val="0"/>
      <w:sz w:val="24"/>
      <w:szCs w:val="32"/>
      <w14:shadow w14:blurRad="38100" w14:dist="19050" w14:dir="2700000" w14:sx="100000" w14:sy="100000" w14:kx="0" w14:ky="0" w14:algn="tl">
        <w14:schemeClr w14:val="dk1">
          <w14:alpha w14:val="60000"/>
        </w14:schemeClr>
      </w14:shadow>
      <w14:textFill>
        <w14:solidFill>
          <w14:schemeClr w14:val="tx1"/>
        </w14:solidFill>
      </w14:textFill>
    </w:rPr>
  </w:style>
  <w:style w:type="character" w:customStyle="1" w:styleId="35">
    <w:name w:val="正文文本 字符"/>
    <w:basedOn w:val="24"/>
    <w:link w:val="13"/>
    <w:semiHidden/>
    <w:qFormat/>
    <w:uiPriority w:val="99"/>
    <w:rPr>
      <w:rFonts w:ascii="宋体" w:hAnsi="宋体" w:eastAsia="宋体" w:cs="宋体"/>
      <w:sz w:val="24"/>
      <w:szCs w:val="24"/>
    </w:rPr>
  </w:style>
  <w:style w:type="character" w:customStyle="1" w:styleId="36">
    <w:name w:val="正文文本 字符1"/>
    <w:basedOn w:val="24"/>
    <w:link w:val="13"/>
    <w:semiHidden/>
    <w:qFormat/>
    <w:uiPriority w:val="99"/>
    <w:rPr>
      <w:rFonts w:ascii="宋体" w:hAnsi="宋体" w:eastAsia="宋体" w:cs="宋体"/>
      <w:sz w:val="24"/>
      <w:szCs w:val="24"/>
    </w:rPr>
  </w:style>
  <w:style w:type="character" w:customStyle="1" w:styleId="37">
    <w:name w:val="纯文本 Char"/>
    <w:link w:val="16"/>
    <w:qFormat/>
    <w:uiPriority w:val="0"/>
    <w:rPr>
      <w:rFonts w:ascii="宋体" w:hAnsi="宋体" w:eastAsia="宋体"/>
      <w:kern w:val="2"/>
      <w:sz w:val="24"/>
    </w:rPr>
  </w:style>
  <w:style w:type="character" w:customStyle="1" w:styleId="38">
    <w:name w:val="NormalCharacter"/>
    <w:link w:val="1"/>
    <w:semiHidden/>
    <w:qFormat/>
    <w:uiPriority w:val="0"/>
    <w:rPr>
      <w:rFonts w:ascii="Times New Roman" w:hAnsi="Times New Roman"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2025-05-07T08:50:00Z</dcterms:created>
  <dc:creator>中经招标</dc:creator>
  <cp:lastModifiedBy>中经招标</cp:lastModifiedBy>
  <dcterms:modified xsi:type="dcterms:W3CDTF">2025-05-07T08:50:15Z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56AAB2C9311A4BA48730563A8E5DB3C4_11</vt:lpwstr>
  </property>
  <property fmtid="{D5CDD505-2E9C-101B-9397-08002B2CF9AE}" pid="4" name="KSOTemplateDocerSaveRecord">
    <vt:lpwstr>eyJoZGlkIjoiOWJlNDY3NTNiN2U3N2MxMDhiMGU5MzkyYmQzNThmMzYifQ==</vt:lpwstr>
  </property>
</Properties>
</file>