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4100E1">
      <w:pPr>
        <w:rPr>
          <w:rFonts w:hint="eastAsia" w:ascii="宋体" w:hAnsi="宋体" w:eastAsia="宋体" w:cs="宋体"/>
          <w:b/>
          <w:sz w:val="28"/>
          <w:lang w:eastAsia="zh-CN"/>
        </w:rPr>
      </w:pPr>
      <w:r>
        <w:rPr>
          <w:rFonts w:hint="eastAsia" w:ascii="宋体" w:hAnsi="宋体" w:eastAsia="宋体" w:cs="宋体"/>
          <w:b/>
          <w:sz w:val="28"/>
        </w:rPr>
        <w:t>项目编号：</w:t>
      </w:r>
      <w:r>
        <w:rPr>
          <w:rFonts w:hint="eastAsia" w:ascii="宋体" w:hAnsi="宋体" w:eastAsia="宋体" w:cs="宋体"/>
          <w:b/>
          <w:sz w:val="28"/>
          <w:lang w:eastAsia="zh-CN"/>
        </w:rPr>
        <w:t>YC25440008（CGR）</w:t>
      </w:r>
    </w:p>
    <w:p w14:paraId="7423716B">
      <w:pPr>
        <w:rPr>
          <w:rFonts w:hint="eastAsia" w:ascii="宋体" w:hAnsi="宋体" w:eastAsia="宋体" w:cs="宋体"/>
        </w:rPr>
      </w:pPr>
    </w:p>
    <w:p w14:paraId="1B222324">
      <w:pPr>
        <w:jc w:val="center"/>
        <w:rPr>
          <w:rFonts w:hint="eastAsia" w:ascii="宋体" w:hAnsi="宋体" w:eastAsia="宋体" w:cs="宋体"/>
          <w:b/>
          <w:sz w:val="40"/>
          <w:szCs w:val="21"/>
          <w:u w:val="single"/>
          <w:lang w:eastAsia="zh-CN"/>
        </w:rPr>
      </w:pPr>
    </w:p>
    <w:p w14:paraId="560E044D">
      <w:pPr>
        <w:jc w:val="center"/>
        <w:rPr>
          <w:rFonts w:hint="eastAsia" w:ascii="宋体" w:hAnsi="宋体" w:eastAsia="宋体" w:cs="宋体"/>
          <w:b/>
          <w:sz w:val="52"/>
        </w:rPr>
      </w:pPr>
      <w:r>
        <w:rPr>
          <w:rFonts w:hint="eastAsia" w:ascii="宋体" w:hAnsi="宋体" w:eastAsia="宋体" w:cs="宋体"/>
          <w:b/>
          <w:sz w:val="40"/>
          <w:szCs w:val="21"/>
          <w:u w:val="single"/>
          <w:lang w:eastAsia="zh-CN"/>
        </w:rPr>
        <w:t>2025年向阳片区老旧小区改造项目可研、初设、施工图纸设计项目</w:t>
      </w:r>
    </w:p>
    <w:p w14:paraId="1753C897">
      <w:pPr>
        <w:jc w:val="center"/>
        <w:rPr>
          <w:rFonts w:hint="eastAsia" w:ascii="宋体" w:hAnsi="宋体" w:eastAsia="宋体" w:cs="宋体"/>
          <w:b/>
          <w:sz w:val="52"/>
        </w:rPr>
      </w:pPr>
    </w:p>
    <w:p w14:paraId="02B2A163">
      <w:pPr>
        <w:jc w:val="center"/>
        <w:rPr>
          <w:rFonts w:hint="eastAsia" w:ascii="宋体" w:hAnsi="宋体" w:eastAsia="宋体" w:cs="宋体"/>
          <w:b/>
          <w:sz w:val="52"/>
        </w:rPr>
      </w:pPr>
      <w:r>
        <w:rPr>
          <w:rFonts w:hint="eastAsia" w:ascii="宋体" w:hAnsi="宋体" w:eastAsia="宋体" w:cs="宋体"/>
          <w:b/>
          <w:sz w:val="52"/>
        </w:rPr>
        <w:t>竞争性磋商文件</w:t>
      </w:r>
    </w:p>
    <w:p w14:paraId="07AD561D">
      <w:pPr>
        <w:jc w:val="center"/>
        <w:rPr>
          <w:rFonts w:hint="eastAsia" w:ascii="宋体" w:hAnsi="宋体" w:eastAsia="宋体" w:cs="宋体"/>
          <w:b/>
          <w:sz w:val="52"/>
        </w:rPr>
      </w:pPr>
    </w:p>
    <w:p w14:paraId="3DD6AFB4">
      <w:pPr>
        <w:jc w:val="center"/>
        <w:rPr>
          <w:rFonts w:hint="eastAsia" w:ascii="宋体" w:hAnsi="宋体" w:eastAsia="宋体" w:cs="宋体"/>
          <w:b/>
          <w:sz w:val="52"/>
        </w:rPr>
      </w:pPr>
      <w:r>
        <w:rPr>
          <w:rFonts w:hint="eastAsia" w:ascii="宋体" w:hAnsi="宋体" w:eastAsia="宋体" w:cs="宋体"/>
          <w:b/>
          <w:sz w:val="30"/>
          <w:szCs w:val="30"/>
        </w:rPr>
        <w:drawing>
          <wp:inline distT="0" distB="0" distL="0" distR="0">
            <wp:extent cx="2200275" cy="2200275"/>
            <wp:effectExtent l="0" t="0" r="0" b="0"/>
            <wp:docPr id="57" name="图片 1" descr="LOGO+文字上下组合 蓝底白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 descr="LOGO+文字上下组合 蓝底白字"/>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200275" cy="2200275"/>
                    </a:xfrm>
                    <a:prstGeom prst="rect">
                      <a:avLst/>
                    </a:prstGeom>
                    <a:noFill/>
                    <a:ln>
                      <a:noFill/>
                    </a:ln>
                  </pic:spPr>
                </pic:pic>
              </a:graphicData>
            </a:graphic>
          </wp:inline>
        </w:drawing>
      </w:r>
    </w:p>
    <w:p w14:paraId="4F780246">
      <w:pPr>
        <w:rPr>
          <w:rFonts w:hint="eastAsia" w:ascii="宋体" w:hAnsi="宋体" w:eastAsia="宋体" w:cs="宋体"/>
          <w:b/>
          <w:sz w:val="44"/>
        </w:rPr>
      </w:pPr>
    </w:p>
    <w:p w14:paraId="38E8883A">
      <w:pPr>
        <w:pStyle w:val="11"/>
        <w:rPr>
          <w:rFonts w:hint="eastAsia" w:ascii="宋体" w:hAnsi="宋体" w:eastAsia="宋体" w:cs="宋体"/>
        </w:rPr>
      </w:pPr>
    </w:p>
    <w:tbl>
      <w:tblPr>
        <w:tblStyle w:val="28"/>
        <w:tblW w:w="0" w:type="auto"/>
        <w:jc w:val="center"/>
        <w:tblLayout w:type="autofit"/>
        <w:tblCellMar>
          <w:top w:w="0" w:type="dxa"/>
          <w:left w:w="108" w:type="dxa"/>
          <w:bottom w:w="0" w:type="dxa"/>
          <w:right w:w="108" w:type="dxa"/>
        </w:tblCellMar>
      </w:tblPr>
      <w:tblGrid>
        <w:gridCol w:w="2562"/>
        <w:gridCol w:w="4556"/>
      </w:tblGrid>
      <w:tr w14:paraId="5DC9668D">
        <w:tblPrEx>
          <w:tblCellMar>
            <w:top w:w="0" w:type="dxa"/>
            <w:left w:w="108" w:type="dxa"/>
            <w:bottom w:w="0" w:type="dxa"/>
            <w:right w:w="108" w:type="dxa"/>
          </w:tblCellMar>
        </w:tblPrEx>
        <w:trPr>
          <w:trHeight w:val="812" w:hRule="atLeast"/>
          <w:jc w:val="center"/>
        </w:trPr>
        <w:tc>
          <w:tcPr>
            <w:tcW w:w="2562" w:type="dxa"/>
            <w:shd w:val="clear" w:color="auto" w:fill="auto"/>
            <w:vAlign w:val="center"/>
          </w:tcPr>
          <w:p w14:paraId="36A610D9">
            <w:pPr>
              <w:tabs>
                <w:tab w:val="left" w:pos="1560"/>
              </w:tabs>
              <w:jc w:val="distribute"/>
              <w:rPr>
                <w:rFonts w:hint="eastAsia" w:ascii="宋体" w:hAnsi="宋体" w:eastAsia="宋体" w:cs="宋体"/>
                <w:b/>
                <w:kern w:val="0"/>
                <w:sz w:val="32"/>
                <w:szCs w:val="20"/>
              </w:rPr>
            </w:pPr>
            <w:r>
              <w:rPr>
                <w:rFonts w:hint="eastAsia" w:ascii="宋体" w:hAnsi="宋体" w:eastAsia="宋体" w:cs="宋体"/>
                <w:b/>
                <w:kern w:val="0"/>
                <w:sz w:val="32"/>
                <w:szCs w:val="20"/>
              </w:rPr>
              <w:t>采购人：</w:t>
            </w:r>
          </w:p>
        </w:tc>
        <w:tc>
          <w:tcPr>
            <w:tcW w:w="4555" w:type="dxa"/>
            <w:shd w:val="clear" w:color="auto" w:fill="auto"/>
            <w:vAlign w:val="center"/>
          </w:tcPr>
          <w:p w14:paraId="21ACEB44">
            <w:pPr>
              <w:tabs>
                <w:tab w:val="left" w:pos="1560"/>
              </w:tabs>
              <w:rPr>
                <w:rFonts w:hint="eastAsia" w:ascii="宋体" w:hAnsi="宋体" w:eastAsia="宋体" w:cs="宋体"/>
                <w:b/>
                <w:kern w:val="0"/>
                <w:sz w:val="32"/>
                <w:szCs w:val="20"/>
                <w:lang w:eastAsia="zh-CN"/>
              </w:rPr>
            </w:pPr>
            <w:r>
              <w:rPr>
                <w:rFonts w:hint="eastAsia" w:ascii="宋体" w:hAnsi="宋体" w:eastAsia="宋体" w:cs="宋体"/>
                <w:b/>
                <w:kern w:val="0"/>
                <w:sz w:val="32"/>
                <w:szCs w:val="20"/>
                <w:lang w:val="en-US" w:eastAsia="zh-CN"/>
              </w:rPr>
              <w:t>石泉县物业管理与房产交易所</w:t>
            </w:r>
          </w:p>
        </w:tc>
      </w:tr>
      <w:tr w14:paraId="6F264C7C">
        <w:tblPrEx>
          <w:tblCellMar>
            <w:top w:w="0" w:type="dxa"/>
            <w:left w:w="108" w:type="dxa"/>
            <w:bottom w:w="0" w:type="dxa"/>
            <w:right w:w="108" w:type="dxa"/>
          </w:tblCellMar>
        </w:tblPrEx>
        <w:trPr>
          <w:trHeight w:val="793" w:hRule="atLeast"/>
          <w:jc w:val="center"/>
        </w:trPr>
        <w:tc>
          <w:tcPr>
            <w:tcW w:w="2562" w:type="dxa"/>
            <w:shd w:val="clear" w:color="auto" w:fill="auto"/>
            <w:vAlign w:val="center"/>
          </w:tcPr>
          <w:p w14:paraId="579AC82B">
            <w:pPr>
              <w:tabs>
                <w:tab w:val="left" w:pos="1560"/>
              </w:tabs>
              <w:jc w:val="distribute"/>
              <w:rPr>
                <w:rFonts w:hint="eastAsia" w:ascii="宋体" w:hAnsi="宋体" w:eastAsia="宋体" w:cs="宋体"/>
                <w:b/>
                <w:kern w:val="0"/>
                <w:sz w:val="32"/>
                <w:szCs w:val="20"/>
              </w:rPr>
            </w:pPr>
            <w:r>
              <w:rPr>
                <w:rFonts w:hint="eastAsia" w:ascii="宋体" w:hAnsi="宋体" w:eastAsia="宋体" w:cs="宋体"/>
                <w:b/>
                <w:kern w:val="0"/>
                <w:sz w:val="32"/>
                <w:szCs w:val="20"/>
              </w:rPr>
              <w:t>采购代理机构：</w:t>
            </w:r>
          </w:p>
        </w:tc>
        <w:tc>
          <w:tcPr>
            <w:tcW w:w="4555" w:type="dxa"/>
            <w:shd w:val="clear" w:color="auto" w:fill="auto"/>
            <w:vAlign w:val="center"/>
          </w:tcPr>
          <w:p w14:paraId="613BFB55">
            <w:pPr>
              <w:tabs>
                <w:tab w:val="left" w:pos="1560"/>
              </w:tabs>
              <w:rPr>
                <w:rFonts w:hint="eastAsia" w:ascii="宋体" w:hAnsi="宋体" w:eastAsia="宋体" w:cs="宋体"/>
                <w:b/>
                <w:kern w:val="0"/>
                <w:sz w:val="32"/>
                <w:szCs w:val="20"/>
              </w:rPr>
            </w:pPr>
            <w:r>
              <w:rPr>
                <w:rFonts w:hint="eastAsia" w:ascii="宋体" w:hAnsi="宋体" w:eastAsia="宋体" w:cs="宋体"/>
                <w:b/>
                <w:kern w:val="0"/>
                <w:sz w:val="32"/>
                <w:szCs w:val="20"/>
              </w:rPr>
              <w:t>亿诚建设项目管理有限公司</w:t>
            </w:r>
          </w:p>
        </w:tc>
      </w:tr>
      <w:tr w14:paraId="4128C95F">
        <w:tblPrEx>
          <w:tblCellMar>
            <w:top w:w="0" w:type="dxa"/>
            <w:left w:w="108" w:type="dxa"/>
            <w:bottom w:w="0" w:type="dxa"/>
            <w:right w:w="108" w:type="dxa"/>
          </w:tblCellMar>
        </w:tblPrEx>
        <w:trPr>
          <w:trHeight w:val="812" w:hRule="atLeast"/>
          <w:jc w:val="center"/>
        </w:trPr>
        <w:tc>
          <w:tcPr>
            <w:tcW w:w="7118" w:type="dxa"/>
            <w:gridSpan w:val="2"/>
            <w:shd w:val="clear" w:color="auto" w:fill="auto"/>
          </w:tcPr>
          <w:p w14:paraId="18F3CC8B">
            <w:pPr>
              <w:tabs>
                <w:tab w:val="left" w:pos="1560"/>
              </w:tabs>
              <w:jc w:val="center"/>
              <w:rPr>
                <w:rFonts w:hint="eastAsia" w:ascii="宋体" w:hAnsi="宋体" w:eastAsia="宋体" w:cs="宋体"/>
                <w:b/>
                <w:kern w:val="0"/>
                <w:sz w:val="32"/>
                <w:szCs w:val="20"/>
              </w:rPr>
            </w:pPr>
            <w:r>
              <w:rPr>
                <w:rFonts w:hint="eastAsia" w:ascii="宋体" w:hAnsi="宋体" w:eastAsia="宋体" w:cs="宋体"/>
                <w:b/>
                <w:kern w:val="0"/>
                <w:sz w:val="32"/>
                <w:szCs w:val="20"/>
              </w:rPr>
              <w:t>二〇二</w:t>
            </w:r>
            <w:r>
              <w:rPr>
                <w:rFonts w:hint="eastAsia" w:ascii="宋体" w:hAnsi="宋体" w:eastAsia="宋体" w:cs="宋体"/>
                <w:b/>
                <w:kern w:val="0"/>
                <w:sz w:val="32"/>
                <w:szCs w:val="20"/>
                <w:lang w:eastAsia="zh-CN"/>
              </w:rPr>
              <w:t>五</w:t>
            </w:r>
            <w:r>
              <w:rPr>
                <w:rFonts w:hint="eastAsia" w:ascii="宋体" w:hAnsi="宋体" w:eastAsia="宋体" w:cs="宋体"/>
                <w:b/>
                <w:kern w:val="0"/>
                <w:sz w:val="32"/>
                <w:szCs w:val="20"/>
              </w:rPr>
              <w:t>年</w:t>
            </w:r>
            <w:r>
              <w:rPr>
                <w:rFonts w:hint="eastAsia" w:ascii="宋体" w:hAnsi="宋体" w:eastAsia="宋体" w:cs="宋体"/>
                <w:b/>
                <w:kern w:val="0"/>
                <w:sz w:val="32"/>
                <w:szCs w:val="20"/>
                <w:lang w:eastAsia="zh-CN"/>
              </w:rPr>
              <w:t>四</w:t>
            </w:r>
            <w:r>
              <w:rPr>
                <w:rFonts w:hint="eastAsia" w:ascii="宋体" w:hAnsi="宋体" w:eastAsia="宋体" w:cs="宋体"/>
                <w:b/>
                <w:kern w:val="0"/>
                <w:sz w:val="32"/>
                <w:szCs w:val="20"/>
              </w:rPr>
              <w:t>月</w:t>
            </w:r>
          </w:p>
        </w:tc>
      </w:tr>
    </w:tbl>
    <w:p w14:paraId="2B778248">
      <w:pPr>
        <w:rPr>
          <w:rFonts w:hint="eastAsia" w:ascii="宋体" w:hAnsi="宋体" w:eastAsia="宋体" w:cs="宋体"/>
        </w:rPr>
      </w:pPr>
    </w:p>
    <w:p w14:paraId="09AAEEB0">
      <w:pPr>
        <w:pStyle w:val="67"/>
        <w:jc w:val="center"/>
        <w:rPr>
          <w:rFonts w:hint="eastAsia" w:ascii="宋体" w:hAnsi="宋体" w:eastAsia="宋体" w:cs="宋体"/>
          <w:b/>
          <w:color w:val="auto"/>
          <w:sz w:val="36"/>
          <w:szCs w:val="28"/>
        </w:rPr>
      </w:pPr>
      <w:r>
        <w:rPr>
          <w:rFonts w:hint="eastAsia" w:ascii="宋体" w:hAnsi="宋体" w:eastAsia="宋体" w:cs="宋体"/>
          <w:b/>
          <w:color w:val="auto"/>
          <w:sz w:val="36"/>
          <w:szCs w:val="28"/>
          <w:lang w:val="zh-CN"/>
        </w:rPr>
        <w:t>目录</w:t>
      </w:r>
    </w:p>
    <w:p w14:paraId="73BB066A">
      <w:pPr>
        <w:pStyle w:val="20"/>
        <w:keepNext w:val="0"/>
        <w:keepLines w:val="0"/>
        <w:pageBreakBefore w:val="0"/>
        <w:widowControl w:val="0"/>
        <w:tabs>
          <w:tab w:val="right" w:leader="dot" w:pos="8306"/>
        </w:tabs>
        <w:kinsoku/>
        <w:wordWrap/>
        <w:overflowPunct/>
        <w:topLinePunct w:val="0"/>
        <w:autoSpaceDE/>
        <w:autoSpaceDN/>
        <w:bidi w:val="0"/>
        <w:adjustRightInd/>
        <w:snapToGrid/>
        <w:spacing w:line="600" w:lineRule="auto"/>
        <w:textAlignment w:val="auto"/>
        <w:rPr>
          <w:rFonts w:hint="eastAsia" w:ascii="宋体" w:hAnsi="宋体" w:eastAsia="宋体" w:cs="宋体"/>
          <w:sz w:val="32"/>
          <w:szCs w:val="36"/>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TOC \o "1-3" \h \z \u </w:instrText>
      </w:r>
      <w:r>
        <w:rPr>
          <w:rFonts w:hint="eastAsia" w:ascii="宋体" w:hAnsi="宋体" w:eastAsia="宋体" w:cs="宋体"/>
          <w:sz w:val="36"/>
          <w:szCs w:val="36"/>
        </w:rPr>
        <w:fldChar w:fldCharType="separate"/>
      </w:r>
      <w:r>
        <w:rPr>
          <w:rFonts w:hint="eastAsia" w:ascii="宋体" w:hAnsi="宋体" w:eastAsia="宋体" w:cs="宋体"/>
          <w:sz w:val="32"/>
          <w:szCs w:val="36"/>
        </w:rPr>
        <w:fldChar w:fldCharType="begin"/>
      </w:r>
      <w:r>
        <w:rPr>
          <w:rFonts w:hint="eastAsia" w:ascii="宋体" w:hAnsi="宋体" w:eastAsia="宋体" w:cs="宋体"/>
          <w:sz w:val="32"/>
          <w:szCs w:val="36"/>
        </w:rPr>
        <w:instrText xml:space="preserve"> HYPERLINK \l "_Toc25087" </w:instrText>
      </w:r>
      <w:r>
        <w:rPr>
          <w:rFonts w:hint="eastAsia" w:ascii="宋体" w:hAnsi="宋体" w:eastAsia="宋体" w:cs="宋体"/>
          <w:sz w:val="32"/>
          <w:szCs w:val="36"/>
        </w:rPr>
        <w:fldChar w:fldCharType="separate"/>
      </w:r>
      <w:r>
        <w:rPr>
          <w:rFonts w:hint="eastAsia" w:ascii="宋体" w:hAnsi="宋体" w:eastAsia="宋体" w:cs="宋体"/>
          <w:sz w:val="32"/>
          <w:szCs w:val="36"/>
        </w:rPr>
        <w:t>第一章 竞争性磋商公告</w:t>
      </w:r>
      <w:r>
        <w:rPr>
          <w:rFonts w:hint="eastAsia" w:ascii="宋体" w:hAnsi="宋体" w:eastAsia="宋体" w:cs="宋体"/>
          <w:sz w:val="32"/>
          <w:szCs w:val="36"/>
        </w:rPr>
        <w:tab/>
      </w:r>
      <w:r>
        <w:rPr>
          <w:rFonts w:hint="eastAsia" w:ascii="宋体" w:hAnsi="宋体" w:eastAsia="宋体" w:cs="宋体"/>
          <w:sz w:val="32"/>
          <w:szCs w:val="36"/>
        </w:rPr>
        <w:fldChar w:fldCharType="begin"/>
      </w:r>
      <w:r>
        <w:rPr>
          <w:rFonts w:hint="eastAsia" w:ascii="宋体" w:hAnsi="宋体" w:eastAsia="宋体" w:cs="宋体"/>
          <w:sz w:val="32"/>
          <w:szCs w:val="36"/>
        </w:rPr>
        <w:instrText xml:space="preserve"> PAGEREF _Toc25087 \h </w:instrText>
      </w:r>
      <w:r>
        <w:rPr>
          <w:rFonts w:hint="eastAsia" w:ascii="宋体" w:hAnsi="宋体" w:eastAsia="宋体" w:cs="宋体"/>
          <w:sz w:val="32"/>
          <w:szCs w:val="36"/>
        </w:rPr>
        <w:fldChar w:fldCharType="separate"/>
      </w:r>
      <w:r>
        <w:rPr>
          <w:rFonts w:hint="eastAsia" w:ascii="宋体" w:hAnsi="宋体" w:eastAsia="宋体" w:cs="宋体"/>
          <w:sz w:val="32"/>
          <w:szCs w:val="36"/>
        </w:rPr>
        <w:t>3</w:t>
      </w:r>
      <w:r>
        <w:rPr>
          <w:rFonts w:hint="eastAsia" w:ascii="宋体" w:hAnsi="宋体" w:eastAsia="宋体" w:cs="宋体"/>
          <w:sz w:val="32"/>
          <w:szCs w:val="36"/>
        </w:rPr>
        <w:fldChar w:fldCharType="end"/>
      </w:r>
      <w:r>
        <w:rPr>
          <w:rFonts w:hint="eastAsia" w:ascii="宋体" w:hAnsi="宋体" w:eastAsia="宋体" w:cs="宋体"/>
          <w:sz w:val="32"/>
          <w:szCs w:val="36"/>
        </w:rPr>
        <w:fldChar w:fldCharType="end"/>
      </w:r>
    </w:p>
    <w:p w14:paraId="3B561A5B">
      <w:pPr>
        <w:pStyle w:val="20"/>
        <w:keepNext w:val="0"/>
        <w:keepLines w:val="0"/>
        <w:pageBreakBefore w:val="0"/>
        <w:widowControl w:val="0"/>
        <w:tabs>
          <w:tab w:val="right" w:leader="dot" w:pos="8306"/>
        </w:tabs>
        <w:kinsoku/>
        <w:wordWrap/>
        <w:overflowPunct/>
        <w:topLinePunct w:val="0"/>
        <w:autoSpaceDE/>
        <w:autoSpaceDN/>
        <w:bidi w:val="0"/>
        <w:adjustRightInd/>
        <w:snapToGrid/>
        <w:spacing w:line="600" w:lineRule="auto"/>
        <w:textAlignment w:val="auto"/>
        <w:rPr>
          <w:rFonts w:hint="eastAsia" w:ascii="宋体" w:hAnsi="宋体" w:eastAsia="宋体" w:cs="宋体"/>
          <w:sz w:val="32"/>
          <w:szCs w:val="36"/>
        </w:rPr>
      </w:pPr>
      <w:r>
        <w:rPr>
          <w:rFonts w:hint="eastAsia" w:ascii="宋体" w:hAnsi="宋体" w:eastAsia="宋体" w:cs="宋体"/>
          <w:sz w:val="32"/>
          <w:szCs w:val="36"/>
        </w:rPr>
        <w:fldChar w:fldCharType="begin"/>
      </w:r>
      <w:r>
        <w:rPr>
          <w:rFonts w:hint="eastAsia" w:ascii="宋体" w:hAnsi="宋体" w:eastAsia="宋体" w:cs="宋体"/>
          <w:sz w:val="32"/>
          <w:szCs w:val="36"/>
        </w:rPr>
        <w:instrText xml:space="preserve"> HYPERLINK \l "_Toc3356" </w:instrText>
      </w:r>
      <w:r>
        <w:rPr>
          <w:rFonts w:hint="eastAsia" w:ascii="宋体" w:hAnsi="宋体" w:eastAsia="宋体" w:cs="宋体"/>
          <w:sz w:val="32"/>
          <w:szCs w:val="36"/>
        </w:rPr>
        <w:fldChar w:fldCharType="separate"/>
      </w:r>
      <w:r>
        <w:rPr>
          <w:rFonts w:hint="eastAsia" w:ascii="宋体" w:hAnsi="宋体" w:eastAsia="宋体" w:cs="宋体"/>
          <w:sz w:val="32"/>
          <w:szCs w:val="72"/>
        </w:rPr>
        <w:t>第二章  供应商须知</w:t>
      </w:r>
      <w:r>
        <w:rPr>
          <w:rFonts w:hint="eastAsia" w:ascii="宋体" w:hAnsi="宋体" w:eastAsia="宋体" w:cs="宋体"/>
          <w:sz w:val="32"/>
          <w:szCs w:val="36"/>
        </w:rPr>
        <w:tab/>
      </w:r>
      <w:r>
        <w:rPr>
          <w:rFonts w:hint="eastAsia" w:ascii="宋体" w:hAnsi="宋体" w:eastAsia="宋体" w:cs="宋体"/>
          <w:sz w:val="32"/>
          <w:szCs w:val="36"/>
        </w:rPr>
        <w:fldChar w:fldCharType="begin"/>
      </w:r>
      <w:r>
        <w:rPr>
          <w:rFonts w:hint="eastAsia" w:ascii="宋体" w:hAnsi="宋体" w:eastAsia="宋体" w:cs="宋体"/>
          <w:sz w:val="32"/>
          <w:szCs w:val="36"/>
        </w:rPr>
        <w:instrText xml:space="preserve"> PAGEREF _Toc3356 \h </w:instrText>
      </w:r>
      <w:r>
        <w:rPr>
          <w:rFonts w:hint="eastAsia" w:ascii="宋体" w:hAnsi="宋体" w:eastAsia="宋体" w:cs="宋体"/>
          <w:sz w:val="32"/>
          <w:szCs w:val="36"/>
        </w:rPr>
        <w:fldChar w:fldCharType="separate"/>
      </w:r>
      <w:r>
        <w:rPr>
          <w:rFonts w:hint="eastAsia" w:ascii="宋体" w:hAnsi="宋体" w:eastAsia="宋体" w:cs="宋体"/>
          <w:sz w:val="32"/>
          <w:szCs w:val="36"/>
        </w:rPr>
        <w:t>7</w:t>
      </w:r>
      <w:r>
        <w:rPr>
          <w:rFonts w:hint="eastAsia" w:ascii="宋体" w:hAnsi="宋体" w:eastAsia="宋体" w:cs="宋体"/>
          <w:sz w:val="32"/>
          <w:szCs w:val="36"/>
        </w:rPr>
        <w:fldChar w:fldCharType="end"/>
      </w:r>
      <w:r>
        <w:rPr>
          <w:rFonts w:hint="eastAsia" w:ascii="宋体" w:hAnsi="宋体" w:eastAsia="宋体" w:cs="宋体"/>
          <w:sz w:val="32"/>
          <w:szCs w:val="36"/>
        </w:rPr>
        <w:fldChar w:fldCharType="end"/>
      </w:r>
    </w:p>
    <w:p w14:paraId="5F84CC7C">
      <w:pPr>
        <w:pStyle w:val="20"/>
        <w:keepNext w:val="0"/>
        <w:keepLines w:val="0"/>
        <w:pageBreakBefore w:val="0"/>
        <w:widowControl w:val="0"/>
        <w:tabs>
          <w:tab w:val="right" w:leader="dot" w:pos="8306"/>
        </w:tabs>
        <w:kinsoku/>
        <w:wordWrap/>
        <w:overflowPunct/>
        <w:topLinePunct w:val="0"/>
        <w:autoSpaceDE/>
        <w:autoSpaceDN/>
        <w:bidi w:val="0"/>
        <w:adjustRightInd/>
        <w:snapToGrid/>
        <w:spacing w:line="600" w:lineRule="auto"/>
        <w:textAlignment w:val="auto"/>
        <w:rPr>
          <w:rFonts w:hint="eastAsia" w:ascii="宋体" w:hAnsi="宋体" w:eastAsia="宋体" w:cs="宋体"/>
          <w:sz w:val="32"/>
          <w:szCs w:val="36"/>
        </w:rPr>
      </w:pPr>
      <w:r>
        <w:rPr>
          <w:rFonts w:hint="eastAsia" w:ascii="宋体" w:hAnsi="宋体" w:eastAsia="宋体" w:cs="宋体"/>
          <w:sz w:val="32"/>
          <w:szCs w:val="36"/>
        </w:rPr>
        <w:fldChar w:fldCharType="begin"/>
      </w:r>
      <w:r>
        <w:rPr>
          <w:rFonts w:hint="eastAsia" w:ascii="宋体" w:hAnsi="宋体" w:eastAsia="宋体" w:cs="宋体"/>
          <w:sz w:val="32"/>
          <w:szCs w:val="36"/>
        </w:rPr>
        <w:instrText xml:space="preserve"> HYPERLINK \l "_Toc14276" </w:instrText>
      </w:r>
      <w:r>
        <w:rPr>
          <w:rFonts w:hint="eastAsia" w:ascii="宋体" w:hAnsi="宋体" w:eastAsia="宋体" w:cs="宋体"/>
          <w:sz w:val="32"/>
          <w:szCs w:val="36"/>
        </w:rPr>
        <w:fldChar w:fldCharType="separate"/>
      </w:r>
      <w:r>
        <w:rPr>
          <w:rFonts w:hint="eastAsia" w:ascii="宋体" w:hAnsi="宋体" w:eastAsia="宋体" w:cs="宋体"/>
          <w:sz w:val="32"/>
          <w:szCs w:val="36"/>
        </w:rPr>
        <w:t>第三章  磋商办法</w:t>
      </w:r>
      <w:r>
        <w:rPr>
          <w:rFonts w:hint="eastAsia" w:ascii="宋体" w:hAnsi="宋体" w:eastAsia="宋体" w:cs="宋体"/>
          <w:sz w:val="32"/>
          <w:szCs w:val="36"/>
        </w:rPr>
        <w:tab/>
      </w:r>
      <w:r>
        <w:rPr>
          <w:rFonts w:hint="eastAsia" w:ascii="宋体" w:hAnsi="宋体" w:eastAsia="宋体" w:cs="宋体"/>
          <w:sz w:val="32"/>
          <w:szCs w:val="36"/>
        </w:rPr>
        <w:fldChar w:fldCharType="begin"/>
      </w:r>
      <w:r>
        <w:rPr>
          <w:rFonts w:hint="eastAsia" w:ascii="宋体" w:hAnsi="宋体" w:eastAsia="宋体" w:cs="宋体"/>
          <w:sz w:val="32"/>
          <w:szCs w:val="36"/>
        </w:rPr>
        <w:instrText xml:space="preserve"> PAGEREF _Toc14276 \h </w:instrText>
      </w:r>
      <w:r>
        <w:rPr>
          <w:rFonts w:hint="eastAsia" w:ascii="宋体" w:hAnsi="宋体" w:eastAsia="宋体" w:cs="宋体"/>
          <w:sz w:val="32"/>
          <w:szCs w:val="36"/>
        </w:rPr>
        <w:fldChar w:fldCharType="separate"/>
      </w:r>
      <w:r>
        <w:rPr>
          <w:rFonts w:hint="eastAsia" w:ascii="宋体" w:hAnsi="宋体" w:eastAsia="宋体" w:cs="宋体"/>
          <w:sz w:val="32"/>
          <w:szCs w:val="36"/>
        </w:rPr>
        <w:t>28</w:t>
      </w:r>
      <w:r>
        <w:rPr>
          <w:rFonts w:hint="eastAsia" w:ascii="宋体" w:hAnsi="宋体" w:eastAsia="宋体" w:cs="宋体"/>
          <w:sz w:val="32"/>
          <w:szCs w:val="36"/>
        </w:rPr>
        <w:fldChar w:fldCharType="end"/>
      </w:r>
      <w:r>
        <w:rPr>
          <w:rFonts w:hint="eastAsia" w:ascii="宋体" w:hAnsi="宋体" w:eastAsia="宋体" w:cs="宋体"/>
          <w:sz w:val="32"/>
          <w:szCs w:val="36"/>
        </w:rPr>
        <w:fldChar w:fldCharType="end"/>
      </w:r>
    </w:p>
    <w:p w14:paraId="693F4D69">
      <w:pPr>
        <w:pStyle w:val="21"/>
        <w:keepNext w:val="0"/>
        <w:keepLines w:val="0"/>
        <w:pageBreakBefore w:val="0"/>
        <w:widowControl w:val="0"/>
        <w:tabs>
          <w:tab w:val="right" w:leader="dot" w:pos="8306"/>
        </w:tabs>
        <w:kinsoku/>
        <w:wordWrap/>
        <w:overflowPunct/>
        <w:topLinePunct w:val="0"/>
        <w:autoSpaceDE/>
        <w:autoSpaceDN/>
        <w:bidi w:val="0"/>
        <w:adjustRightInd/>
        <w:snapToGrid/>
        <w:spacing w:line="600" w:lineRule="auto"/>
        <w:ind w:left="0" w:leftChars="0"/>
        <w:textAlignment w:val="auto"/>
        <w:rPr>
          <w:rFonts w:hint="eastAsia" w:ascii="宋体" w:hAnsi="宋体" w:eastAsia="宋体" w:cs="宋体"/>
          <w:kern w:val="2"/>
          <w:sz w:val="32"/>
          <w:szCs w:val="72"/>
          <w:lang w:val="en-US" w:eastAsia="zh-CN" w:bidi="ar-SA"/>
        </w:rPr>
      </w:pPr>
      <w:r>
        <w:rPr>
          <w:rFonts w:hint="eastAsia" w:ascii="宋体" w:hAnsi="宋体" w:eastAsia="宋体" w:cs="宋体"/>
          <w:kern w:val="2"/>
          <w:sz w:val="32"/>
          <w:szCs w:val="72"/>
          <w:lang w:val="en-US" w:eastAsia="zh-CN" w:bidi="ar-SA"/>
        </w:rPr>
        <w:fldChar w:fldCharType="begin"/>
      </w:r>
      <w:r>
        <w:rPr>
          <w:rFonts w:hint="eastAsia" w:ascii="宋体" w:hAnsi="宋体" w:eastAsia="宋体" w:cs="宋体"/>
          <w:kern w:val="2"/>
          <w:sz w:val="32"/>
          <w:szCs w:val="72"/>
          <w:lang w:val="en-US" w:eastAsia="zh-CN" w:bidi="ar-SA"/>
        </w:rPr>
        <w:instrText xml:space="preserve"> HYPERLINK \l "_Toc27587" </w:instrText>
      </w:r>
      <w:r>
        <w:rPr>
          <w:rFonts w:hint="eastAsia" w:ascii="宋体" w:hAnsi="宋体" w:eastAsia="宋体" w:cs="宋体"/>
          <w:kern w:val="2"/>
          <w:sz w:val="32"/>
          <w:szCs w:val="72"/>
          <w:lang w:val="en-US" w:eastAsia="zh-CN" w:bidi="ar-SA"/>
        </w:rPr>
        <w:fldChar w:fldCharType="separate"/>
      </w:r>
      <w:r>
        <w:rPr>
          <w:rFonts w:hint="eastAsia" w:ascii="宋体" w:hAnsi="宋体" w:eastAsia="宋体" w:cs="宋体"/>
          <w:kern w:val="2"/>
          <w:sz w:val="32"/>
          <w:szCs w:val="72"/>
          <w:lang w:val="en-US" w:eastAsia="zh-CN" w:bidi="ar-SA"/>
        </w:rPr>
        <w:t>第四章  磋商内容及采购要求</w:t>
      </w:r>
      <w:r>
        <w:rPr>
          <w:rFonts w:hint="eastAsia" w:ascii="宋体" w:hAnsi="宋体" w:eastAsia="宋体" w:cs="宋体"/>
          <w:sz w:val="32"/>
          <w:szCs w:val="36"/>
        </w:rPr>
        <w:tab/>
      </w:r>
      <w:r>
        <w:rPr>
          <w:rFonts w:hint="eastAsia" w:ascii="宋体" w:hAnsi="宋体" w:eastAsia="宋体" w:cs="宋体"/>
          <w:kern w:val="2"/>
          <w:sz w:val="32"/>
          <w:szCs w:val="72"/>
          <w:lang w:val="en-US" w:eastAsia="zh-CN" w:bidi="ar-SA"/>
        </w:rPr>
        <w:fldChar w:fldCharType="begin"/>
      </w:r>
      <w:r>
        <w:rPr>
          <w:rFonts w:hint="eastAsia" w:ascii="宋体" w:hAnsi="宋体" w:eastAsia="宋体" w:cs="宋体"/>
          <w:kern w:val="2"/>
          <w:sz w:val="32"/>
          <w:szCs w:val="72"/>
          <w:lang w:val="en-US" w:eastAsia="zh-CN" w:bidi="ar-SA"/>
        </w:rPr>
        <w:instrText xml:space="preserve"> PAGEREF _Toc27587 \h </w:instrText>
      </w:r>
      <w:r>
        <w:rPr>
          <w:rFonts w:hint="eastAsia" w:ascii="宋体" w:hAnsi="宋体" w:eastAsia="宋体" w:cs="宋体"/>
          <w:kern w:val="2"/>
          <w:sz w:val="32"/>
          <w:szCs w:val="72"/>
          <w:lang w:val="en-US" w:eastAsia="zh-CN" w:bidi="ar-SA"/>
        </w:rPr>
        <w:fldChar w:fldCharType="separate"/>
      </w:r>
      <w:r>
        <w:rPr>
          <w:rFonts w:hint="eastAsia" w:ascii="宋体" w:hAnsi="宋体" w:eastAsia="宋体" w:cs="宋体"/>
          <w:kern w:val="2"/>
          <w:sz w:val="32"/>
          <w:szCs w:val="72"/>
          <w:lang w:val="en-US" w:eastAsia="zh-CN" w:bidi="ar-SA"/>
        </w:rPr>
        <w:t>40</w:t>
      </w:r>
      <w:r>
        <w:rPr>
          <w:rFonts w:hint="eastAsia" w:ascii="宋体" w:hAnsi="宋体" w:eastAsia="宋体" w:cs="宋体"/>
          <w:kern w:val="2"/>
          <w:sz w:val="32"/>
          <w:szCs w:val="72"/>
          <w:lang w:val="en-US" w:eastAsia="zh-CN" w:bidi="ar-SA"/>
        </w:rPr>
        <w:fldChar w:fldCharType="end"/>
      </w:r>
      <w:r>
        <w:rPr>
          <w:rFonts w:hint="eastAsia" w:ascii="宋体" w:hAnsi="宋体" w:eastAsia="宋体" w:cs="宋体"/>
          <w:kern w:val="2"/>
          <w:sz w:val="32"/>
          <w:szCs w:val="72"/>
          <w:lang w:val="en-US" w:eastAsia="zh-CN" w:bidi="ar-SA"/>
        </w:rPr>
        <w:fldChar w:fldCharType="end"/>
      </w:r>
    </w:p>
    <w:p w14:paraId="1CADFB16">
      <w:pPr>
        <w:pStyle w:val="20"/>
        <w:keepNext w:val="0"/>
        <w:keepLines w:val="0"/>
        <w:pageBreakBefore w:val="0"/>
        <w:widowControl w:val="0"/>
        <w:tabs>
          <w:tab w:val="right" w:leader="dot" w:pos="8306"/>
        </w:tabs>
        <w:kinsoku/>
        <w:wordWrap/>
        <w:overflowPunct/>
        <w:topLinePunct w:val="0"/>
        <w:autoSpaceDE/>
        <w:autoSpaceDN/>
        <w:bidi w:val="0"/>
        <w:adjustRightInd/>
        <w:snapToGrid/>
        <w:spacing w:line="600" w:lineRule="auto"/>
        <w:textAlignment w:val="auto"/>
        <w:rPr>
          <w:rFonts w:hint="eastAsia" w:ascii="宋体" w:hAnsi="宋体" w:eastAsia="宋体" w:cs="宋体"/>
          <w:kern w:val="2"/>
          <w:sz w:val="32"/>
          <w:szCs w:val="72"/>
          <w:lang w:val="en-US" w:eastAsia="zh-CN" w:bidi="ar-SA"/>
        </w:rPr>
      </w:pPr>
      <w:r>
        <w:rPr>
          <w:rFonts w:hint="eastAsia" w:ascii="宋体" w:hAnsi="宋体" w:eastAsia="宋体" w:cs="宋体"/>
          <w:kern w:val="2"/>
          <w:sz w:val="32"/>
          <w:szCs w:val="72"/>
          <w:lang w:val="en-US" w:eastAsia="zh-CN" w:bidi="ar-SA"/>
        </w:rPr>
        <w:fldChar w:fldCharType="begin"/>
      </w:r>
      <w:r>
        <w:rPr>
          <w:rFonts w:hint="eastAsia" w:ascii="宋体" w:hAnsi="宋体" w:eastAsia="宋体" w:cs="宋体"/>
          <w:kern w:val="2"/>
          <w:sz w:val="32"/>
          <w:szCs w:val="72"/>
          <w:lang w:val="en-US" w:eastAsia="zh-CN" w:bidi="ar-SA"/>
        </w:rPr>
        <w:instrText xml:space="preserve"> HYPERLINK \l "_Toc18321" </w:instrText>
      </w:r>
      <w:r>
        <w:rPr>
          <w:rFonts w:hint="eastAsia" w:ascii="宋体" w:hAnsi="宋体" w:eastAsia="宋体" w:cs="宋体"/>
          <w:kern w:val="2"/>
          <w:sz w:val="32"/>
          <w:szCs w:val="72"/>
          <w:lang w:val="en-US" w:eastAsia="zh-CN" w:bidi="ar-SA"/>
        </w:rPr>
        <w:fldChar w:fldCharType="separate"/>
      </w:r>
      <w:r>
        <w:rPr>
          <w:rFonts w:hint="eastAsia" w:ascii="宋体" w:hAnsi="宋体" w:eastAsia="宋体" w:cs="宋体"/>
          <w:kern w:val="2"/>
          <w:sz w:val="32"/>
          <w:szCs w:val="72"/>
          <w:lang w:val="en-US" w:eastAsia="zh-CN" w:bidi="ar-SA"/>
        </w:rPr>
        <w:t>第五章  合同草案条款</w:t>
      </w:r>
      <w:r>
        <w:rPr>
          <w:rFonts w:hint="eastAsia" w:ascii="宋体" w:hAnsi="宋体" w:eastAsia="宋体" w:cs="宋体"/>
          <w:sz w:val="32"/>
          <w:szCs w:val="36"/>
        </w:rPr>
        <w:tab/>
      </w:r>
      <w:r>
        <w:rPr>
          <w:rFonts w:hint="eastAsia" w:ascii="宋体" w:hAnsi="宋体" w:eastAsia="宋体" w:cs="宋体"/>
          <w:kern w:val="2"/>
          <w:sz w:val="32"/>
          <w:szCs w:val="72"/>
          <w:lang w:val="en-US" w:eastAsia="zh-CN" w:bidi="ar-SA"/>
        </w:rPr>
        <w:fldChar w:fldCharType="begin"/>
      </w:r>
      <w:r>
        <w:rPr>
          <w:rFonts w:hint="eastAsia" w:ascii="宋体" w:hAnsi="宋体" w:eastAsia="宋体" w:cs="宋体"/>
          <w:kern w:val="2"/>
          <w:sz w:val="32"/>
          <w:szCs w:val="72"/>
          <w:lang w:val="en-US" w:eastAsia="zh-CN" w:bidi="ar-SA"/>
        </w:rPr>
        <w:instrText xml:space="preserve"> PAGEREF _Toc18321 \h </w:instrText>
      </w:r>
      <w:r>
        <w:rPr>
          <w:rFonts w:hint="eastAsia" w:ascii="宋体" w:hAnsi="宋体" w:eastAsia="宋体" w:cs="宋体"/>
          <w:kern w:val="2"/>
          <w:sz w:val="32"/>
          <w:szCs w:val="72"/>
          <w:lang w:val="en-US" w:eastAsia="zh-CN" w:bidi="ar-SA"/>
        </w:rPr>
        <w:fldChar w:fldCharType="separate"/>
      </w:r>
      <w:r>
        <w:rPr>
          <w:rFonts w:hint="eastAsia" w:ascii="宋体" w:hAnsi="宋体" w:eastAsia="宋体" w:cs="宋体"/>
          <w:kern w:val="2"/>
          <w:sz w:val="32"/>
          <w:szCs w:val="72"/>
          <w:lang w:val="en-US" w:eastAsia="zh-CN" w:bidi="ar-SA"/>
        </w:rPr>
        <w:t>41</w:t>
      </w:r>
      <w:r>
        <w:rPr>
          <w:rFonts w:hint="eastAsia" w:ascii="宋体" w:hAnsi="宋体" w:eastAsia="宋体" w:cs="宋体"/>
          <w:kern w:val="2"/>
          <w:sz w:val="32"/>
          <w:szCs w:val="72"/>
          <w:lang w:val="en-US" w:eastAsia="zh-CN" w:bidi="ar-SA"/>
        </w:rPr>
        <w:fldChar w:fldCharType="end"/>
      </w:r>
      <w:r>
        <w:rPr>
          <w:rFonts w:hint="eastAsia" w:ascii="宋体" w:hAnsi="宋体" w:eastAsia="宋体" w:cs="宋体"/>
          <w:kern w:val="2"/>
          <w:sz w:val="32"/>
          <w:szCs w:val="72"/>
          <w:lang w:val="en-US" w:eastAsia="zh-CN" w:bidi="ar-SA"/>
        </w:rPr>
        <w:fldChar w:fldCharType="end"/>
      </w:r>
    </w:p>
    <w:p w14:paraId="158F345D">
      <w:pPr>
        <w:pStyle w:val="21"/>
        <w:keepNext w:val="0"/>
        <w:keepLines w:val="0"/>
        <w:pageBreakBefore w:val="0"/>
        <w:widowControl w:val="0"/>
        <w:tabs>
          <w:tab w:val="right" w:leader="dot" w:pos="8306"/>
        </w:tabs>
        <w:kinsoku/>
        <w:wordWrap/>
        <w:overflowPunct/>
        <w:topLinePunct w:val="0"/>
        <w:autoSpaceDE/>
        <w:autoSpaceDN/>
        <w:bidi w:val="0"/>
        <w:adjustRightInd/>
        <w:snapToGrid/>
        <w:spacing w:line="600" w:lineRule="auto"/>
        <w:ind w:left="0" w:leftChars="0"/>
        <w:textAlignment w:val="auto"/>
        <w:rPr>
          <w:rFonts w:hint="eastAsia" w:ascii="宋体" w:hAnsi="宋体" w:eastAsia="宋体" w:cs="宋体"/>
          <w:kern w:val="2"/>
          <w:sz w:val="28"/>
          <w:szCs w:val="56"/>
          <w:lang w:val="en-US" w:eastAsia="zh-CN" w:bidi="ar-SA"/>
        </w:rPr>
      </w:pPr>
      <w:r>
        <w:rPr>
          <w:rFonts w:hint="eastAsia" w:ascii="宋体" w:hAnsi="宋体" w:eastAsia="宋体" w:cs="宋体"/>
          <w:kern w:val="2"/>
          <w:sz w:val="32"/>
          <w:szCs w:val="72"/>
          <w:lang w:val="en-US" w:eastAsia="zh-CN" w:bidi="ar-SA"/>
        </w:rPr>
        <w:t>第六章  磋商响应文件构成及基本格式</w:t>
      </w:r>
      <w:r>
        <w:rPr>
          <w:rFonts w:hint="eastAsia" w:ascii="宋体" w:hAnsi="宋体" w:eastAsia="宋体" w:cs="宋体"/>
          <w:sz w:val="32"/>
          <w:szCs w:val="36"/>
        </w:rPr>
        <w:tab/>
      </w:r>
      <w:r>
        <w:rPr>
          <w:rFonts w:hint="eastAsia" w:ascii="宋体" w:hAnsi="宋体" w:eastAsia="宋体" w:cs="宋体"/>
          <w:kern w:val="2"/>
          <w:sz w:val="32"/>
          <w:szCs w:val="72"/>
          <w:lang w:val="en-US" w:eastAsia="zh-CN" w:bidi="ar-SA"/>
        </w:rPr>
        <w:t>47</w:t>
      </w:r>
    </w:p>
    <w:p w14:paraId="25B3C30F">
      <w:pPr>
        <w:keepNext w:val="0"/>
        <w:keepLines w:val="0"/>
        <w:pageBreakBefore w:val="0"/>
        <w:widowControl w:val="0"/>
        <w:kinsoku/>
        <w:wordWrap/>
        <w:overflowPunct/>
        <w:topLinePunct w:val="0"/>
        <w:autoSpaceDE/>
        <w:autoSpaceDN/>
        <w:bidi w:val="0"/>
        <w:adjustRightInd/>
        <w:snapToGrid/>
        <w:spacing w:line="600" w:lineRule="auto"/>
        <w:textAlignment w:val="auto"/>
        <w:rPr>
          <w:rFonts w:hint="eastAsia" w:ascii="宋体" w:hAnsi="宋体" w:eastAsia="宋体" w:cs="宋体"/>
        </w:rPr>
      </w:pPr>
      <w:r>
        <w:rPr>
          <w:rFonts w:hint="eastAsia" w:ascii="宋体" w:hAnsi="宋体" w:eastAsia="宋体" w:cs="宋体"/>
          <w:bCs/>
          <w:sz w:val="28"/>
          <w:szCs w:val="36"/>
          <w:lang w:val="zh-CN"/>
        </w:rPr>
        <w:fldChar w:fldCharType="end"/>
      </w:r>
    </w:p>
    <w:p w14:paraId="48DB4A81">
      <w:pPr>
        <w:rPr>
          <w:rFonts w:hint="eastAsia" w:ascii="宋体" w:hAnsi="宋体" w:eastAsia="宋体" w:cs="宋体"/>
        </w:rPr>
      </w:pPr>
    </w:p>
    <w:p w14:paraId="7F132C1E">
      <w:pPr>
        <w:widowControl/>
        <w:jc w:val="left"/>
        <w:rPr>
          <w:rFonts w:hint="eastAsia" w:ascii="宋体" w:hAnsi="宋体" w:eastAsia="宋体" w:cs="宋体"/>
          <w:b/>
          <w:sz w:val="10"/>
        </w:rPr>
      </w:pPr>
      <w:r>
        <w:rPr>
          <w:rFonts w:hint="eastAsia" w:ascii="宋体" w:hAnsi="宋体" w:eastAsia="宋体" w:cs="宋体"/>
          <w:b/>
          <w:sz w:val="10"/>
        </w:rPr>
        <w:br w:type="page"/>
      </w:r>
    </w:p>
    <w:p w14:paraId="32FCC8F5">
      <w:pPr>
        <w:tabs>
          <w:tab w:val="left" w:pos="1560"/>
        </w:tabs>
        <w:jc w:val="center"/>
        <w:rPr>
          <w:rFonts w:hint="eastAsia" w:ascii="宋体" w:hAnsi="宋体" w:eastAsia="宋体" w:cs="宋体"/>
          <w:b/>
          <w:sz w:val="10"/>
        </w:rPr>
        <w:sectPr>
          <w:headerReference r:id="rId3" w:type="even"/>
          <w:pgSz w:w="11906" w:h="16838"/>
          <w:pgMar w:top="1440" w:right="1800" w:bottom="1440" w:left="1800" w:header="851" w:footer="992" w:gutter="0"/>
          <w:cols w:space="425" w:num="1"/>
          <w:docGrid w:type="lines" w:linePitch="312" w:charSpace="0"/>
        </w:sectPr>
      </w:pPr>
    </w:p>
    <w:p w14:paraId="42EA7118">
      <w:pPr>
        <w:pStyle w:val="36"/>
        <w:spacing w:before="240" w:after="240"/>
        <w:outlineLvl w:val="0"/>
        <w:rPr>
          <w:rFonts w:hint="eastAsia" w:ascii="宋体" w:hAnsi="宋体" w:eastAsia="宋体" w:cs="宋体"/>
          <w:sz w:val="40"/>
          <w:szCs w:val="28"/>
        </w:rPr>
      </w:pPr>
      <w:bookmarkStart w:id="0" w:name="_Toc25087"/>
      <w:r>
        <w:rPr>
          <w:rFonts w:hint="eastAsia" w:ascii="宋体" w:hAnsi="宋体" w:eastAsia="宋体" w:cs="宋体"/>
          <w:sz w:val="40"/>
          <w:szCs w:val="28"/>
        </w:rPr>
        <w:t>第一章 竞争性磋商公告</w:t>
      </w:r>
      <w:bookmarkEnd w:id="0"/>
    </w:p>
    <w:p w14:paraId="1D6623C9">
      <w:pPr>
        <w:pStyle w:val="37"/>
        <w:spacing w:before="120" w:after="120"/>
        <w:rPr>
          <w:rFonts w:hint="eastAsia" w:ascii="宋体" w:hAnsi="宋体" w:eastAsia="宋体" w:cs="宋体"/>
        </w:rPr>
      </w:pPr>
      <w:r>
        <w:rPr>
          <w:rFonts w:hint="eastAsia" w:ascii="宋体" w:hAnsi="宋体" w:eastAsia="宋体" w:cs="宋体"/>
        </w:rPr>
        <w:t>项目概况</w:t>
      </w:r>
    </w:p>
    <w:p w14:paraId="0F4469F8">
      <w:pPr>
        <w:pStyle w:val="39"/>
        <w:ind w:firstLine="480"/>
        <w:rPr>
          <w:rFonts w:hint="eastAsia" w:ascii="宋体" w:hAnsi="宋体" w:cs="宋体"/>
          <w:lang w:eastAsia="zh-CN"/>
        </w:rPr>
      </w:pPr>
      <w:r>
        <w:rPr>
          <w:rFonts w:hint="eastAsia" w:ascii="宋体" w:hAnsi="宋体" w:cs="宋体"/>
          <w:lang w:eastAsia="zh-CN"/>
        </w:rPr>
        <w:t>2025年向阳片区老旧小区改造项目可研、初设、施工图纸设计项目的潜在供应商应在石泉县育才路4段金江花园后门获取采购文件，并于2</w:t>
      </w:r>
      <w:r>
        <w:rPr>
          <w:rFonts w:hint="eastAsia" w:ascii="宋体" w:hAnsi="宋体" w:cs="宋体"/>
          <w:lang w:val="en-US" w:eastAsia="zh-CN"/>
        </w:rPr>
        <w:t>025年05月07日14点00分</w:t>
      </w:r>
      <w:r>
        <w:rPr>
          <w:rFonts w:hint="eastAsia" w:ascii="宋体" w:hAnsi="宋体" w:cs="宋体"/>
          <w:lang w:eastAsia="zh-CN"/>
        </w:rPr>
        <w:t>（北京时间）前提交响应文件。</w:t>
      </w:r>
    </w:p>
    <w:p w14:paraId="2BE81249">
      <w:pPr>
        <w:pStyle w:val="37"/>
        <w:spacing w:before="120" w:after="120"/>
        <w:rPr>
          <w:rFonts w:hint="eastAsia" w:ascii="宋体" w:hAnsi="宋体" w:eastAsia="宋体" w:cs="宋体"/>
        </w:rPr>
      </w:pPr>
      <w:r>
        <w:rPr>
          <w:rFonts w:hint="eastAsia" w:ascii="宋体" w:hAnsi="宋体" w:eastAsia="宋体" w:cs="宋体"/>
        </w:rPr>
        <w:t>一、项目基本情况</w:t>
      </w:r>
    </w:p>
    <w:p w14:paraId="63225DEE">
      <w:pPr>
        <w:pStyle w:val="39"/>
        <w:ind w:firstLine="480"/>
        <w:rPr>
          <w:rFonts w:hint="eastAsia" w:ascii="宋体" w:hAnsi="宋体" w:eastAsia="宋体" w:cs="宋体"/>
          <w:lang w:eastAsia="zh-CN"/>
        </w:rPr>
      </w:pPr>
      <w:r>
        <w:rPr>
          <w:rFonts w:hint="eastAsia" w:ascii="宋体" w:hAnsi="宋体" w:eastAsia="宋体" w:cs="宋体"/>
        </w:rPr>
        <w:t>项目编号：</w:t>
      </w:r>
      <w:r>
        <w:rPr>
          <w:rFonts w:hint="eastAsia" w:ascii="宋体" w:hAnsi="宋体" w:cs="宋体"/>
          <w:lang w:eastAsia="zh-CN"/>
        </w:rPr>
        <w:t>YC25440008（CGR）</w:t>
      </w:r>
    </w:p>
    <w:p w14:paraId="3319ACC4">
      <w:pPr>
        <w:pStyle w:val="39"/>
        <w:ind w:firstLine="480"/>
        <w:rPr>
          <w:rFonts w:hint="eastAsia" w:ascii="宋体" w:hAnsi="宋体" w:eastAsia="宋体" w:cs="宋体"/>
          <w:color w:val="1F69E0"/>
          <w:lang w:eastAsia="zh-CN"/>
        </w:rPr>
      </w:pPr>
      <w:r>
        <w:rPr>
          <w:rFonts w:hint="eastAsia" w:ascii="宋体" w:hAnsi="宋体" w:eastAsia="宋体" w:cs="宋体"/>
        </w:rPr>
        <w:t>项目名称：</w:t>
      </w:r>
      <w:r>
        <w:rPr>
          <w:rFonts w:hint="eastAsia" w:ascii="宋体" w:hAnsi="宋体" w:cs="宋体"/>
          <w:color w:val="1F69E0"/>
          <w:lang w:eastAsia="zh-CN"/>
        </w:rPr>
        <w:t>2025年向阳片区老旧小区改造项目可研、初设、施工图纸设计项目</w:t>
      </w:r>
    </w:p>
    <w:p w14:paraId="63CD7D92">
      <w:pPr>
        <w:pStyle w:val="39"/>
        <w:ind w:firstLine="480"/>
        <w:rPr>
          <w:rFonts w:hint="eastAsia" w:ascii="宋体" w:hAnsi="宋体" w:eastAsia="宋体" w:cs="宋体"/>
        </w:rPr>
      </w:pPr>
      <w:r>
        <w:rPr>
          <w:rFonts w:hint="eastAsia" w:ascii="宋体" w:hAnsi="宋体" w:eastAsia="宋体" w:cs="宋体"/>
        </w:rPr>
        <w:t>采购方式：竞争性磋商</w:t>
      </w:r>
    </w:p>
    <w:p w14:paraId="39146772">
      <w:pPr>
        <w:pStyle w:val="39"/>
        <w:ind w:firstLine="480"/>
        <w:rPr>
          <w:rFonts w:hint="eastAsia" w:ascii="宋体" w:hAnsi="宋体" w:eastAsia="宋体" w:cs="宋体"/>
        </w:rPr>
      </w:pPr>
      <w:r>
        <w:rPr>
          <w:rFonts w:hint="eastAsia" w:ascii="宋体" w:hAnsi="宋体" w:eastAsia="宋体" w:cs="宋体"/>
        </w:rPr>
        <w:t>预算金额：</w:t>
      </w:r>
      <w:r>
        <w:rPr>
          <w:rFonts w:hint="eastAsia" w:ascii="宋体" w:hAnsi="宋体" w:cs="宋体"/>
          <w:lang w:val="en-US" w:eastAsia="zh-CN"/>
        </w:rPr>
        <w:t>291,000.00</w:t>
      </w:r>
      <w:r>
        <w:rPr>
          <w:rFonts w:hint="eastAsia" w:ascii="宋体" w:hAnsi="宋体" w:eastAsia="宋体" w:cs="宋体"/>
        </w:rPr>
        <w:t>元</w:t>
      </w:r>
    </w:p>
    <w:p w14:paraId="46A5FB3F">
      <w:pPr>
        <w:pStyle w:val="39"/>
        <w:ind w:firstLine="480"/>
        <w:rPr>
          <w:rFonts w:hint="eastAsia" w:ascii="宋体" w:hAnsi="宋体" w:eastAsia="宋体" w:cs="宋体"/>
        </w:rPr>
      </w:pPr>
      <w:r>
        <w:rPr>
          <w:rFonts w:hint="eastAsia" w:ascii="宋体" w:hAnsi="宋体" w:eastAsia="宋体" w:cs="宋体"/>
        </w:rPr>
        <w:t>合同包1(</w:t>
      </w:r>
      <w:r>
        <w:rPr>
          <w:rFonts w:hint="eastAsia" w:ascii="宋体" w:hAnsi="宋体" w:cs="宋体"/>
          <w:lang w:eastAsia="zh-CN"/>
        </w:rPr>
        <w:t>2025年向阳片区老旧小区改造项目可研、初设、施工图纸设计项目</w:t>
      </w:r>
      <w:r>
        <w:rPr>
          <w:rFonts w:hint="eastAsia" w:ascii="宋体" w:hAnsi="宋体" w:eastAsia="宋体" w:cs="宋体"/>
        </w:rPr>
        <w:t>):</w:t>
      </w:r>
    </w:p>
    <w:p w14:paraId="1C8B06AE">
      <w:pPr>
        <w:pStyle w:val="39"/>
        <w:ind w:firstLine="480"/>
        <w:rPr>
          <w:rFonts w:hint="eastAsia" w:ascii="宋体" w:hAnsi="宋体" w:eastAsia="宋体" w:cs="宋体"/>
        </w:rPr>
      </w:pPr>
      <w:r>
        <w:rPr>
          <w:rFonts w:hint="eastAsia" w:ascii="宋体" w:hAnsi="宋体" w:eastAsia="宋体" w:cs="宋体"/>
        </w:rPr>
        <w:t>合同包预算金额：</w:t>
      </w:r>
      <w:r>
        <w:rPr>
          <w:rFonts w:hint="eastAsia" w:ascii="宋体" w:hAnsi="宋体" w:cs="宋体"/>
          <w:lang w:eastAsia="zh-CN"/>
        </w:rPr>
        <w:t>291,000.00</w:t>
      </w:r>
      <w:r>
        <w:rPr>
          <w:rFonts w:hint="eastAsia" w:ascii="宋体" w:hAnsi="宋体" w:eastAsia="宋体" w:cs="宋体"/>
        </w:rPr>
        <w:t>元</w:t>
      </w:r>
    </w:p>
    <w:p w14:paraId="20ABBFD5">
      <w:pPr>
        <w:pStyle w:val="39"/>
        <w:ind w:firstLine="480"/>
        <w:rPr>
          <w:rFonts w:hint="eastAsia" w:ascii="宋体" w:hAnsi="宋体" w:eastAsia="宋体" w:cs="宋体"/>
        </w:rPr>
      </w:pPr>
      <w:r>
        <w:rPr>
          <w:rFonts w:hint="eastAsia" w:ascii="宋体" w:hAnsi="宋体" w:eastAsia="宋体" w:cs="宋体"/>
        </w:rPr>
        <w:t>合同包最高限价：</w:t>
      </w:r>
      <w:r>
        <w:rPr>
          <w:rFonts w:hint="eastAsia" w:ascii="宋体" w:hAnsi="宋体" w:cs="宋体"/>
          <w:lang w:eastAsia="zh-CN"/>
        </w:rPr>
        <w:t>291,000.00</w:t>
      </w:r>
      <w:r>
        <w:rPr>
          <w:rFonts w:hint="eastAsia" w:ascii="宋体" w:hAnsi="宋体" w:eastAsia="宋体" w:cs="宋体"/>
        </w:rPr>
        <w:t>元</w:t>
      </w:r>
    </w:p>
    <w:tbl>
      <w:tblPr>
        <w:tblStyle w:val="28"/>
        <w:tblW w:w="10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1448"/>
        <w:gridCol w:w="1791"/>
        <w:gridCol w:w="1436"/>
        <w:gridCol w:w="1667"/>
        <w:gridCol w:w="1713"/>
        <w:gridCol w:w="1676"/>
      </w:tblGrid>
      <w:tr w14:paraId="2DA2C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944" w:type="dxa"/>
            <w:vAlign w:val="center"/>
          </w:tcPr>
          <w:p w14:paraId="256053A8">
            <w:pPr>
              <w:spacing w:line="420" w:lineRule="exact"/>
              <w:jc w:val="center"/>
              <w:rPr>
                <w:rFonts w:hint="eastAsia" w:ascii="宋体" w:hAnsi="宋体" w:eastAsia="宋体" w:cs="宋体"/>
                <w:kern w:val="0"/>
                <w:sz w:val="24"/>
              </w:rPr>
            </w:pPr>
            <w:r>
              <w:rPr>
                <w:rFonts w:hint="eastAsia" w:ascii="宋体" w:hAnsi="宋体" w:eastAsia="宋体" w:cs="宋体"/>
                <w:kern w:val="0"/>
                <w:sz w:val="24"/>
              </w:rPr>
              <w:t>品目号</w:t>
            </w:r>
          </w:p>
        </w:tc>
        <w:tc>
          <w:tcPr>
            <w:tcW w:w="1448" w:type="dxa"/>
            <w:vAlign w:val="center"/>
          </w:tcPr>
          <w:p w14:paraId="76493FA1">
            <w:pPr>
              <w:spacing w:line="420" w:lineRule="exact"/>
              <w:jc w:val="center"/>
              <w:rPr>
                <w:rFonts w:hint="eastAsia" w:ascii="宋体" w:hAnsi="宋体" w:eastAsia="宋体" w:cs="宋体"/>
                <w:kern w:val="0"/>
                <w:sz w:val="24"/>
              </w:rPr>
            </w:pPr>
            <w:r>
              <w:rPr>
                <w:rFonts w:hint="eastAsia" w:ascii="宋体" w:hAnsi="宋体" w:eastAsia="宋体" w:cs="宋体"/>
                <w:kern w:val="0"/>
                <w:sz w:val="24"/>
              </w:rPr>
              <w:t>品目名称</w:t>
            </w:r>
          </w:p>
        </w:tc>
        <w:tc>
          <w:tcPr>
            <w:tcW w:w="1791" w:type="dxa"/>
            <w:vAlign w:val="center"/>
          </w:tcPr>
          <w:p w14:paraId="4F43D164">
            <w:pPr>
              <w:spacing w:line="420" w:lineRule="exact"/>
              <w:jc w:val="center"/>
              <w:rPr>
                <w:rFonts w:hint="eastAsia" w:ascii="宋体" w:hAnsi="宋体" w:eastAsia="宋体" w:cs="宋体"/>
                <w:kern w:val="0"/>
                <w:sz w:val="24"/>
              </w:rPr>
            </w:pPr>
            <w:r>
              <w:rPr>
                <w:rFonts w:hint="eastAsia" w:ascii="宋体" w:hAnsi="宋体" w:eastAsia="宋体" w:cs="宋体"/>
                <w:kern w:val="0"/>
                <w:sz w:val="24"/>
              </w:rPr>
              <w:t>采购标的</w:t>
            </w:r>
          </w:p>
        </w:tc>
        <w:tc>
          <w:tcPr>
            <w:tcW w:w="1436" w:type="dxa"/>
            <w:vAlign w:val="center"/>
          </w:tcPr>
          <w:p w14:paraId="09BE3D39">
            <w:pPr>
              <w:spacing w:line="420" w:lineRule="exact"/>
              <w:jc w:val="center"/>
              <w:rPr>
                <w:rFonts w:hint="eastAsia" w:ascii="宋体" w:hAnsi="宋体" w:eastAsia="宋体" w:cs="宋体"/>
                <w:kern w:val="0"/>
                <w:sz w:val="24"/>
              </w:rPr>
            </w:pPr>
            <w:r>
              <w:rPr>
                <w:rFonts w:hint="eastAsia" w:ascii="宋体" w:hAnsi="宋体" w:eastAsia="宋体" w:cs="宋体"/>
                <w:kern w:val="0"/>
                <w:sz w:val="24"/>
              </w:rPr>
              <w:t>数量（单位）</w:t>
            </w:r>
          </w:p>
        </w:tc>
        <w:tc>
          <w:tcPr>
            <w:tcW w:w="1667" w:type="dxa"/>
            <w:vAlign w:val="center"/>
          </w:tcPr>
          <w:p w14:paraId="4512D220">
            <w:pPr>
              <w:spacing w:line="420" w:lineRule="exact"/>
              <w:jc w:val="center"/>
              <w:rPr>
                <w:rFonts w:hint="eastAsia" w:ascii="宋体" w:hAnsi="宋体" w:eastAsia="宋体" w:cs="宋体"/>
                <w:kern w:val="0"/>
                <w:sz w:val="24"/>
              </w:rPr>
            </w:pPr>
            <w:r>
              <w:rPr>
                <w:rFonts w:hint="eastAsia" w:ascii="宋体" w:hAnsi="宋体" w:eastAsia="宋体" w:cs="宋体"/>
                <w:kern w:val="0"/>
                <w:sz w:val="24"/>
              </w:rPr>
              <w:t>技术规格、参数及要求</w:t>
            </w:r>
          </w:p>
        </w:tc>
        <w:tc>
          <w:tcPr>
            <w:tcW w:w="1713" w:type="dxa"/>
            <w:vAlign w:val="center"/>
          </w:tcPr>
          <w:p w14:paraId="518B78BB">
            <w:pPr>
              <w:spacing w:line="420" w:lineRule="exact"/>
              <w:jc w:val="center"/>
              <w:rPr>
                <w:rFonts w:hint="eastAsia" w:ascii="宋体" w:hAnsi="宋体" w:eastAsia="宋体" w:cs="宋体"/>
                <w:kern w:val="0"/>
                <w:sz w:val="24"/>
              </w:rPr>
            </w:pPr>
            <w:r>
              <w:rPr>
                <w:rFonts w:hint="eastAsia" w:ascii="宋体" w:hAnsi="宋体" w:eastAsia="宋体" w:cs="宋体"/>
                <w:kern w:val="0"/>
                <w:sz w:val="24"/>
              </w:rPr>
              <w:t>品目预算(元)</w:t>
            </w:r>
          </w:p>
        </w:tc>
        <w:tc>
          <w:tcPr>
            <w:tcW w:w="1676" w:type="dxa"/>
            <w:vAlign w:val="center"/>
          </w:tcPr>
          <w:p w14:paraId="0A845BB5">
            <w:pPr>
              <w:spacing w:line="420" w:lineRule="exact"/>
              <w:jc w:val="center"/>
              <w:rPr>
                <w:rFonts w:hint="eastAsia" w:ascii="宋体" w:hAnsi="宋体" w:eastAsia="宋体" w:cs="宋体"/>
                <w:kern w:val="0"/>
                <w:sz w:val="24"/>
              </w:rPr>
            </w:pPr>
            <w:r>
              <w:rPr>
                <w:rFonts w:hint="eastAsia" w:ascii="宋体" w:hAnsi="宋体" w:eastAsia="宋体" w:cs="宋体"/>
                <w:kern w:val="0"/>
                <w:sz w:val="24"/>
              </w:rPr>
              <w:t>最高限价(元)</w:t>
            </w:r>
          </w:p>
        </w:tc>
      </w:tr>
      <w:tr w14:paraId="7C527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944" w:type="dxa"/>
            <w:vAlign w:val="center"/>
          </w:tcPr>
          <w:p w14:paraId="6368D087">
            <w:pPr>
              <w:spacing w:line="420" w:lineRule="exact"/>
              <w:jc w:val="center"/>
              <w:rPr>
                <w:rFonts w:hint="eastAsia" w:ascii="宋体" w:hAnsi="宋体" w:eastAsia="宋体" w:cs="宋体"/>
                <w:kern w:val="0"/>
                <w:sz w:val="24"/>
              </w:rPr>
            </w:pPr>
            <w:r>
              <w:rPr>
                <w:rFonts w:hint="eastAsia" w:ascii="宋体" w:hAnsi="宋体" w:eastAsia="宋体" w:cs="宋体"/>
                <w:kern w:val="0"/>
                <w:sz w:val="24"/>
              </w:rPr>
              <w:t>1-1</w:t>
            </w:r>
          </w:p>
        </w:tc>
        <w:tc>
          <w:tcPr>
            <w:tcW w:w="1448" w:type="dxa"/>
            <w:vAlign w:val="center"/>
          </w:tcPr>
          <w:p w14:paraId="7E7A62B8">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工程设计</w:t>
            </w:r>
          </w:p>
          <w:p w14:paraId="3750F1EF">
            <w:pPr>
              <w:keepNext w:val="0"/>
              <w:keepLines w:val="0"/>
              <w:widowControl/>
              <w:suppressLineNumbers w:val="0"/>
              <w:jc w:val="left"/>
              <w:rPr>
                <w:rFonts w:hint="eastAsia" w:ascii="宋体" w:hAnsi="宋体" w:eastAsia="宋体" w:cs="宋体"/>
                <w:kern w:val="0"/>
                <w:sz w:val="24"/>
                <w:lang w:eastAsia="zh-CN"/>
              </w:rPr>
            </w:pPr>
            <w:r>
              <w:rPr>
                <w:rFonts w:hint="eastAsia" w:ascii="宋体" w:hAnsi="宋体" w:eastAsia="宋体" w:cs="宋体"/>
                <w:color w:val="000000"/>
                <w:kern w:val="0"/>
                <w:sz w:val="24"/>
                <w:szCs w:val="24"/>
                <w:lang w:val="en-US" w:eastAsia="zh-CN" w:bidi="ar"/>
              </w:rPr>
              <w:t xml:space="preserve">服务 </w:t>
            </w:r>
          </w:p>
        </w:tc>
        <w:tc>
          <w:tcPr>
            <w:tcW w:w="1791" w:type="dxa"/>
            <w:vAlign w:val="center"/>
          </w:tcPr>
          <w:p w14:paraId="22FB26D8">
            <w:pPr>
              <w:keepNext w:val="0"/>
              <w:keepLines w:val="0"/>
              <w:widowControl/>
              <w:suppressLineNumbers w:val="0"/>
              <w:jc w:val="left"/>
              <w:rPr>
                <w:rFonts w:hint="eastAsia" w:ascii="宋体" w:hAnsi="宋体" w:eastAsia="宋体" w:cs="宋体"/>
                <w:kern w:val="0"/>
                <w:sz w:val="24"/>
                <w:lang w:eastAsia="zh-CN"/>
              </w:rPr>
            </w:pPr>
            <w:r>
              <w:rPr>
                <w:rFonts w:hint="eastAsia" w:ascii="宋体" w:hAnsi="宋体" w:eastAsia="宋体" w:cs="宋体"/>
                <w:color w:val="000000"/>
                <w:kern w:val="0"/>
                <w:sz w:val="24"/>
                <w:szCs w:val="24"/>
                <w:lang w:val="en-US" w:eastAsia="zh-CN" w:bidi="ar"/>
              </w:rPr>
              <w:t>2025年向阳片区老旧小区改造项目可研、初设、施工图纸设计项目</w:t>
            </w:r>
          </w:p>
        </w:tc>
        <w:tc>
          <w:tcPr>
            <w:tcW w:w="1436" w:type="dxa"/>
            <w:vAlign w:val="center"/>
          </w:tcPr>
          <w:p w14:paraId="45B7317B">
            <w:pPr>
              <w:spacing w:line="420" w:lineRule="exact"/>
              <w:jc w:val="center"/>
              <w:rPr>
                <w:rFonts w:hint="eastAsia" w:ascii="宋体" w:hAnsi="宋体" w:eastAsia="宋体" w:cs="宋体"/>
                <w:kern w:val="0"/>
                <w:sz w:val="24"/>
              </w:rPr>
            </w:pPr>
            <w:r>
              <w:rPr>
                <w:rFonts w:hint="eastAsia" w:ascii="宋体" w:hAnsi="宋体" w:eastAsia="宋体" w:cs="宋体"/>
                <w:kern w:val="0"/>
                <w:sz w:val="24"/>
              </w:rPr>
              <w:t>1(项)</w:t>
            </w:r>
          </w:p>
        </w:tc>
        <w:tc>
          <w:tcPr>
            <w:tcW w:w="1667" w:type="dxa"/>
            <w:vAlign w:val="center"/>
          </w:tcPr>
          <w:p w14:paraId="268C0C56">
            <w:pPr>
              <w:spacing w:line="420" w:lineRule="exact"/>
              <w:jc w:val="both"/>
              <w:rPr>
                <w:rFonts w:hint="eastAsia" w:ascii="宋体" w:hAnsi="宋体" w:eastAsia="宋体" w:cs="宋体"/>
                <w:kern w:val="0"/>
                <w:sz w:val="24"/>
              </w:rPr>
            </w:pPr>
            <w:r>
              <w:rPr>
                <w:rFonts w:hint="eastAsia" w:ascii="宋体" w:hAnsi="宋体" w:eastAsia="宋体" w:cs="宋体"/>
                <w:kern w:val="0"/>
                <w:sz w:val="24"/>
              </w:rPr>
              <w:t>详见采购文件</w:t>
            </w:r>
          </w:p>
        </w:tc>
        <w:tc>
          <w:tcPr>
            <w:tcW w:w="1713" w:type="dxa"/>
            <w:vAlign w:val="center"/>
          </w:tcPr>
          <w:p w14:paraId="11A7DFA2">
            <w:pPr>
              <w:keepNext w:val="0"/>
              <w:keepLines w:val="0"/>
              <w:widowControl/>
              <w:suppressLineNumbers w:val="0"/>
              <w:jc w:val="left"/>
              <w:rPr>
                <w:rFonts w:hint="eastAsia" w:ascii="宋体" w:hAnsi="宋体" w:eastAsia="宋体" w:cs="宋体"/>
                <w:kern w:val="0"/>
                <w:sz w:val="24"/>
              </w:rPr>
            </w:pPr>
            <w:r>
              <w:rPr>
                <w:rFonts w:hint="eastAsia" w:ascii="宋体" w:hAnsi="宋体" w:eastAsia="宋体" w:cs="宋体"/>
                <w:color w:val="000000"/>
                <w:kern w:val="0"/>
                <w:sz w:val="24"/>
                <w:szCs w:val="24"/>
                <w:lang w:val="en-US" w:eastAsia="zh-CN" w:bidi="ar"/>
              </w:rPr>
              <w:t>291000.00</w:t>
            </w:r>
            <w:r>
              <w:rPr>
                <w:rFonts w:hint="eastAsia" w:ascii="宋体" w:hAnsi="宋体" w:eastAsia="宋体" w:cs="宋体"/>
              </w:rPr>
              <w:t>元</w:t>
            </w:r>
          </w:p>
        </w:tc>
        <w:tc>
          <w:tcPr>
            <w:tcW w:w="1676" w:type="dxa"/>
            <w:vAlign w:val="center"/>
          </w:tcPr>
          <w:p w14:paraId="63C5166A">
            <w:pPr>
              <w:keepNext w:val="0"/>
              <w:keepLines w:val="0"/>
              <w:widowControl/>
              <w:suppressLineNumbers w:val="0"/>
              <w:jc w:val="left"/>
              <w:rPr>
                <w:rFonts w:hint="eastAsia" w:ascii="宋体" w:hAnsi="宋体" w:eastAsia="宋体" w:cs="宋体"/>
                <w:kern w:val="0"/>
                <w:sz w:val="24"/>
              </w:rPr>
            </w:pPr>
            <w:r>
              <w:rPr>
                <w:rFonts w:hint="eastAsia" w:ascii="宋体" w:hAnsi="宋体" w:eastAsia="宋体" w:cs="宋体"/>
                <w:color w:val="000000"/>
                <w:kern w:val="0"/>
                <w:sz w:val="24"/>
                <w:szCs w:val="24"/>
                <w:lang w:val="en-US" w:eastAsia="zh-CN" w:bidi="ar"/>
              </w:rPr>
              <w:t>291000.00</w:t>
            </w:r>
            <w:r>
              <w:rPr>
                <w:rFonts w:hint="eastAsia" w:ascii="宋体" w:hAnsi="宋体" w:eastAsia="宋体" w:cs="宋体"/>
              </w:rPr>
              <w:t>元</w:t>
            </w:r>
          </w:p>
        </w:tc>
      </w:tr>
    </w:tbl>
    <w:p w14:paraId="0ACAC522">
      <w:pPr>
        <w:pStyle w:val="39"/>
        <w:ind w:firstLine="480"/>
        <w:rPr>
          <w:rFonts w:hint="eastAsia" w:ascii="宋体" w:hAnsi="宋体" w:eastAsia="宋体" w:cs="宋体"/>
        </w:rPr>
      </w:pPr>
      <w:r>
        <w:rPr>
          <w:rFonts w:hint="eastAsia" w:ascii="宋体" w:hAnsi="宋体" w:eastAsia="宋体" w:cs="宋体"/>
        </w:rPr>
        <w:t>本合同包☑不接受联合体磋商。</w:t>
      </w:r>
    </w:p>
    <w:p w14:paraId="33C89CC6">
      <w:pPr>
        <w:pStyle w:val="39"/>
        <w:ind w:firstLine="480"/>
        <w:rPr>
          <w:rFonts w:hint="eastAsia" w:ascii="宋体" w:hAnsi="宋体" w:eastAsia="宋体" w:cs="宋体"/>
          <w:color w:val="0000FF"/>
        </w:rPr>
      </w:pPr>
      <w:r>
        <w:rPr>
          <w:rFonts w:hint="eastAsia" w:ascii="宋体" w:hAnsi="宋体" w:eastAsia="宋体" w:cs="宋体"/>
          <w:color w:val="000000" w:themeColor="text1"/>
          <w14:textFill>
            <w14:solidFill>
              <w14:schemeClr w14:val="tx1"/>
            </w14:solidFill>
          </w14:textFill>
        </w:rPr>
        <w:t>合同履行期限：</w:t>
      </w:r>
      <w:r>
        <w:rPr>
          <w:rFonts w:hint="eastAsia" w:ascii="宋体" w:hAnsi="宋体" w:eastAsia="宋体" w:cs="宋体"/>
          <w:color w:val="0000FF"/>
          <w:lang w:val="en-US" w:eastAsia="zh-CN"/>
        </w:rPr>
        <w:t>自合同签订之日起 30日历天。</w:t>
      </w:r>
    </w:p>
    <w:p w14:paraId="37323710">
      <w:pPr>
        <w:pStyle w:val="37"/>
        <w:spacing w:before="120" w:after="120"/>
        <w:rPr>
          <w:rFonts w:hint="eastAsia" w:ascii="宋体" w:hAnsi="宋体" w:eastAsia="宋体" w:cs="宋体"/>
        </w:rPr>
      </w:pPr>
      <w:r>
        <w:rPr>
          <w:rFonts w:hint="eastAsia" w:ascii="宋体" w:hAnsi="宋体" w:eastAsia="宋体" w:cs="宋体"/>
        </w:rPr>
        <w:t>二、申请人资格要求</w:t>
      </w:r>
    </w:p>
    <w:p w14:paraId="5F013183">
      <w:pPr>
        <w:pStyle w:val="39"/>
        <w:ind w:firstLine="480"/>
        <w:rPr>
          <w:rFonts w:hint="eastAsia" w:ascii="宋体" w:hAnsi="宋体" w:eastAsia="宋体" w:cs="宋体"/>
        </w:rPr>
      </w:pPr>
      <w:r>
        <w:rPr>
          <w:rFonts w:hint="eastAsia" w:ascii="宋体" w:hAnsi="宋体" w:eastAsia="宋体" w:cs="宋体"/>
        </w:rPr>
        <w:t>1.满足《中华人民共和国政府采购法》第二十二条规定；</w:t>
      </w:r>
    </w:p>
    <w:p w14:paraId="26448419">
      <w:pPr>
        <w:pStyle w:val="39"/>
        <w:ind w:firstLine="480"/>
        <w:rPr>
          <w:rFonts w:hint="eastAsia" w:ascii="宋体" w:hAnsi="宋体" w:eastAsia="宋体" w:cs="宋体"/>
        </w:rPr>
      </w:pPr>
      <w:r>
        <w:rPr>
          <w:rFonts w:hint="eastAsia" w:ascii="宋体" w:hAnsi="宋体" w:eastAsia="宋体" w:cs="宋体"/>
        </w:rPr>
        <w:t>2.落实政府采购政策需满足的资格要求：合同包1(</w:t>
      </w:r>
      <w:r>
        <w:rPr>
          <w:rFonts w:hint="eastAsia" w:ascii="宋体" w:hAnsi="宋体" w:cs="宋体"/>
          <w:lang w:eastAsia="zh-CN"/>
        </w:rPr>
        <w:t>2025年向阳片区老旧小区改造项目可研、初设、施工图纸设计项目</w:t>
      </w:r>
      <w:r>
        <w:rPr>
          <w:rFonts w:hint="eastAsia" w:ascii="宋体" w:hAnsi="宋体" w:eastAsia="宋体" w:cs="宋体"/>
          <w:lang w:eastAsia="zh-CN"/>
        </w:rPr>
        <w:t>项目</w:t>
      </w:r>
      <w:r>
        <w:rPr>
          <w:rFonts w:hint="eastAsia" w:ascii="宋体" w:hAnsi="宋体" w:eastAsia="宋体" w:cs="宋体"/>
        </w:rPr>
        <w:t>)落实政府采购政策需满足的资格要求如下:</w:t>
      </w:r>
    </w:p>
    <w:p w14:paraId="38E02B7A">
      <w:pPr>
        <w:pStyle w:val="39"/>
        <w:ind w:firstLine="480"/>
        <w:rPr>
          <w:rFonts w:hint="eastAsia" w:ascii="宋体" w:hAnsi="宋体" w:eastAsia="宋体" w:cs="宋体"/>
          <w:lang w:val="en-US" w:eastAsia="zh-CN"/>
        </w:rPr>
      </w:pPr>
      <w:r>
        <w:rPr>
          <w:rFonts w:hint="eastAsia" w:ascii="宋体" w:hAnsi="宋体" w:eastAsia="宋体" w:cs="宋体"/>
          <w:lang w:val="en-US" w:eastAsia="zh-CN"/>
        </w:rPr>
        <w:t>本项目为专门面向中小企业项目，供应商应为中型企业、小型企业、微型企业、监狱企业、残疾人福利性单位。供应商为中小企业的，提供《中小企业声明函》， 且中、小、微企业的划分标准所属行业为其他未列明行业；供应商为监狱企业的，应提供监狱企业的证明文件；供应商为残疾人福利性单位的，应提供《残疾人福利性单位声明函》(监狱企业或残疾人福利性单位视同小型、微型企业)。</w:t>
      </w:r>
    </w:p>
    <w:p w14:paraId="6CB6874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（1）《国务院办公厅关于建立政府强制采购节能产品制度的通知》（国办发〔2007〕51号）；</w:t>
      </w:r>
    </w:p>
    <w:p w14:paraId="36F4933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（2）《财政部司法部关于政府采购支持监狱企业发展有关问题的通知》（财库〔2014〕68号）；</w:t>
      </w:r>
    </w:p>
    <w:p w14:paraId="17ADF91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（3）《财政部、民政部、中国残疾人联合会关于促进残疾人就业政府采购政策的通知》（财库〔2017〕141号）；</w:t>
      </w:r>
    </w:p>
    <w:p w14:paraId="6DA8A7B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（4）《财政部发展改革委生态环境部市场监管总局关于调整优化节能产品、环境标志产品政府采购执行机制的通知》（财库〔2019〕9号）；</w:t>
      </w:r>
    </w:p>
    <w:p w14:paraId="4A964EA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（5）《关于运用政府采购政策支持乡村产业振兴的通知》（财库〔2021〕19号）；</w:t>
      </w:r>
    </w:p>
    <w:p w14:paraId="1262DEB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（6）《政府采购促进中小企业发展管理办法》（财库〔2020〕46号）；</w:t>
      </w:r>
    </w:p>
    <w:p w14:paraId="084272B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（7）《陕西省财政厅关于印发&lt;陕西省中小企业政府采购信用融资办法&gt;的通知》（陕财办采〔2018〕23 号；</w:t>
      </w:r>
    </w:p>
    <w:p w14:paraId="5FC4CD2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（8）陕西省财政厅《关于加快推进我省中小企业政府采购信用融资工作的通知》（陕财办采〔2020〕15号）；</w:t>
      </w:r>
    </w:p>
    <w:p w14:paraId="39EA595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（9）陕西省财政厅《关于进一步加强政府绿色采购有关问题的通知》（陕财办采〔2021〕29号）；</w:t>
      </w:r>
    </w:p>
    <w:p w14:paraId="65E58F71">
      <w:pPr>
        <w:pStyle w:val="24"/>
        <w:widowControl w:val="0"/>
        <w:spacing w:beforeAutospacing="0" w:afterAutospacing="0" w:line="360" w:lineRule="auto"/>
        <w:ind w:firstLine="480" w:firstLineChars="200"/>
        <w:rPr>
          <w:rFonts w:hint="eastAsia" w:ascii="宋体" w:hAnsi="宋体" w:eastAsia="宋体" w:cs="宋体"/>
        </w:rPr>
      </w:pPr>
      <w:r>
        <w:rPr>
          <w:rFonts w:hint="eastAsia" w:ascii="宋体" w:hAnsi="宋体" w:eastAsia="宋体" w:cs="宋体"/>
          <w:kern w:val="2"/>
        </w:rPr>
        <w:t>（10）《陕西省财政厅关于落实政府采购支持中小企业政策有关事项的通知》陕财办采函〔2022〕10号；</w:t>
      </w:r>
    </w:p>
    <w:p w14:paraId="1E43C3A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（11）《关于进一步加大政府采购支持中小企业力度的通知》（财库〔2022〕19号；</w:t>
      </w:r>
    </w:p>
    <w:p w14:paraId="0BF2575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（12）《关于扩大政府采购支持绿色建材促进建筑品质提升政策实施范围的通知》财库〔2022〕35号；</w:t>
      </w:r>
    </w:p>
    <w:p w14:paraId="3FF8E509">
      <w:pPr>
        <w:pStyle w:val="24"/>
        <w:widowControl w:val="0"/>
        <w:spacing w:beforeAutospacing="0" w:afterAutospacing="0" w:line="360" w:lineRule="auto"/>
        <w:ind w:firstLine="480" w:firstLineChars="200"/>
        <w:rPr>
          <w:rFonts w:hint="eastAsia" w:ascii="宋体" w:hAnsi="宋体" w:eastAsia="宋体" w:cs="宋体"/>
        </w:rPr>
      </w:pPr>
      <w:r>
        <w:rPr>
          <w:rFonts w:hint="eastAsia" w:ascii="宋体" w:hAnsi="宋体" w:eastAsia="宋体" w:cs="宋体"/>
          <w:kern w:val="2"/>
        </w:rPr>
        <w:t>（13）《陕西省财政厅关于进一步落实政府采购支持中小企业相关政策的通知》陕财办采〔2023〕3号；</w:t>
      </w:r>
    </w:p>
    <w:p w14:paraId="1669FBF8">
      <w:pPr>
        <w:pStyle w:val="24"/>
        <w:widowControl w:val="0"/>
        <w:spacing w:beforeAutospacing="0" w:afterAutospacing="0" w:line="360" w:lineRule="auto"/>
        <w:ind w:firstLine="480" w:firstLineChars="200"/>
        <w:rPr>
          <w:rFonts w:hint="eastAsia" w:ascii="宋体" w:hAnsi="宋体" w:eastAsia="宋体" w:cs="宋体"/>
        </w:rPr>
      </w:pPr>
      <w:r>
        <w:rPr>
          <w:rFonts w:hint="eastAsia" w:ascii="宋体" w:hAnsi="宋体" w:eastAsia="宋体" w:cs="宋体"/>
          <w:kern w:val="2"/>
        </w:rPr>
        <w:t>（14）</w:t>
      </w:r>
      <w:r>
        <w:rPr>
          <w:rFonts w:hint="eastAsia" w:ascii="宋体" w:hAnsi="宋体" w:eastAsia="宋体" w:cs="宋体"/>
          <w:kern w:val="2"/>
          <w:lang w:val="en-US" w:eastAsia="zh-CN"/>
        </w:rPr>
        <w:t xml:space="preserve"> </w:t>
      </w:r>
      <w:r>
        <w:rPr>
          <w:rFonts w:hint="eastAsia" w:ascii="宋体" w:hAnsi="宋体" w:eastAsia="宋体" w:cs="宋体"/>
          <w:kern w:val="2"/>
        </w:rPr>
        <w:t>《陕西省财政厅关于进一步优化政府采购营商环境有关事项的通知》陕财办采〔2023〕4号；</w:t>
      </w:r>
    </w:p>
    <w:p w14:paraId="2182ECEF">
      <w:pPr>
        <w:pStyle w:val="24"/>
        <w:widowControl w:val="0"/>
        <w:spacing w:beforeAutospacing="0" w:afterAutospacing="0" w:line="360" w:lineRule="auto"/>
        <w:ind w:firstLine="480" w:firstLineChars="200"/>
        <w:rPr>
          <w:rFonts w:hint="eastAsia" w:ascii="宋体" w:hAnsi="宋体" w:eastAsia="宋体" w:cs="宋体"/>
        </w:rPr>
      </w:pPr>
      <w:r>
        <w:rPr>
          <w:rFonts w:hint="eastAsia" w:ascii="宋体" w:hAnsi="宋体" w:eastAsia="宋体" w:cs="宋体"/>
          <w:kern w:val="2"/>
        </w:rPr>
        <w:t>（15）其他需要落实的政府采购政策。</w:t>
      </w:r>
    </w:p>
    <w:p w14:paraId="06959D1C">
      <w:pPr>
        <w:pStyle w:val="39"/>
        <w:ind w:firstLine="480"/>
        <w:rPr>
          <w:rFonts w:hint="eastAsia" w:ascii="宋体" w:hAnsi="宋体" w:eastAsia="宋体" w:cs="宋体"/>
        </w:rPr>
      </w:pPr>
      <w:r>
        <w:rPr>
          <w:rFonts w:hint="eastAsia" w:ascii="宋体" w:hAnsi="宋体" w:eastAsia="宋体" w:cs="宋体"/>
        </w:rPr>
        <w:t>3.本项目的特定资格要求：</w:t>
      </w:r>
    </w:p>
    <w:p w14:paraId="7C56D1D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合同包1(</w:t>
      </w:r>
      <w:r>
        <w:rPr>
          <w:rFonts w:hint="eastAsia" w:ascii="宋体" w:hAnsi="宋体" w:eastAsia="宋体" w:cs="宋体"/>
          <w:sz w:val="24"/>
          <w:szCs w:val="24"/>
          <w:lang w:eastAsia="zh-CN"/>
        </w:rPr>
        <w:t>2025年向阳片区老旧小区改造项目可研、初设、施工图纸设计项目项目</w:t>
      </w:r>
      <w:r>
        <w:rPr>
          <w:rFonts w:hint="eastAsia" w:ascii="宋体" w:hAnsi="宋体" w:eastAsia="宋体" w:cs="宋体"/>
          <w:sz w:val="24"/>
          <w:szCs w:val="24"/>
        </w:rPr>
        <w:t>)</w:t>
      </w:r>
    </w:p>
    <w:p w14:paraId="6FE6172A">
      <w:pPr>
        <w:keepNext w:val="0"/>
        <w:keepLines w:val="0"/>
        <w:pageBreakBefore w:val="0"/>
        <w:shd w:val="clear" w:color="auto" w:fill="auto"/>
        <w:kinsoku/>
        <w:wordWrap/>
        <w:overflowPunct/>
        <w:topLinePunct w:val="0"/>
        <w:autoSpaceDE/>
        <w:autoSpaceDN/>
        <w:bidi w:val="0"/>
        <w:adjustRightInd/>
        <w:snapToGrid/>
        <w:spacing w:before="3" w:line="510" w:lineRule="exact"/>
        <w:ind w:right="1"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（1）提供有效合格的统一社会信用代码的营业执照，其他组织经营的须提供合法凭证，自然人的提供身份证明文件；</w:t>
      </w:r>
    </w:p>
    <w:p w14:paraId="52FBA79A">
      <w:pPr>
        <w:keepNext w:val="0"/>
        <w:keepLines w:val="0"/>
        <w:pageBreakBefore w:val="0"/>
        <w:shd w:val="clear" w:color="auto" w:fill="auto"/>
        <w:kinsoku/>
        <w:wordWrap/>
        <w:overflowPunct/>
        <w:topLinePunct w:val="0"/>
        <w:autoSpaceDE/>
        <w:autoSpaceDN/>
        <w:bidi w:val="0"/>
        <w:adjustRightInd/>
        <w:snapToGrid/>
        <w:spacing w:before="3" w:line="510" w:lineRule="exact"/>
        <w:ind w:right="1"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（2）法定代表人直接参加投标的，须出具法定代表人身份证；法定代表人授权代表参加投标的，须出具法定代表人授权委托书、法定代表人身份证复印件以及被授权代表身份证复印件；</w:t>
      </w:r>
    </w:p>
    <w:p w14:paraId="6A8067E4">
      <w:pPr>
        <w:keepNext w:val="0"/>
        <w:keepLines w:val="0"/>
        <w:pageBreakBefore w:val="0"/>
        <w:shd w:val="clear" w:color="auto" w:fill="auto"/>
        <w:kinsoku/>
        <w:wordWrap/>
        <w:overflowPunct/>
        <w:topLinePunct w:val="0"/>
        <w:autoSpaceDE/>
        <w:autoSpaceDN/>
        <w:bidi w:val="0"/>
        <w:adjustRightInd/>
        <w:snapToGrid/>
        <w:spacing w:before="3" w:line="510" w:lineRule="exact"/>
        <w:ind w:right="1" w:firstLine="480" w:firstLineChars="200"/>
        <w:textAlignment w:val="auto"/>
        <w:rPr>
          <w:rFonts w:hint="eastAsia" w:ascii="宋体" w:hAnsi="宋体" w:eastAsia="宋体" w:cs="宋体"/>
          <w:color w:val="1F69E0"/>
          <w:kern w:val="0"/>
          <w:sz w:val="24"/>
          <w:szCs w:val="24"/>
          <w:lang w:val="en-US" w:eastAsia="zh-CN" w:bidi="ar-SA"/>
        </w:rPr>
      </w:pPr>
      <w:r>
        <w:rPr>
          <w:rFonts w:hint="eastAsia" w:ascii="宋体" w:hAnsi="宋体" w:eastAsia="宋体" w:cs="宋体"/>
          <w:color w:val="000000"/>
          <w:kern w:val="0"/>
          <w:sz w:val="24"/>
          <w:szCs w:val="24"/>
          <w:lang w:val="en-US" w:eastAsia="zh-CN" w:bidi="ar-SA"/>
        </w:rPr>
        <w:t>（3）</w:t>
      </w:r>
      <w:r>
        <w:rPr>
          <w:rFonts w:hint="eastAsia" w:ascii="宋体" w:hAnsi="宋体" w:eastAsia="宋体" w:cs="宋体"/>
          <w:color w:val="000000" w:themeColor="text1"/>
          <w:kern w:val="0"/>
          <w:sz w:val="24"/>
          <w:szCs w:val="24"/>
          <w:lang w:val="en-US" w:eastAsia="zh-CN" w:bidi="ar-SA"/>
          <w14:textFill>
            <w14:solidFill>
              <w14:schemeClr w14:val="tx1"/>
            </w14:solidFill>
          </w14:textFill>
        </w:rPr>
        <w:t>供应商应具备工程设计综合甲级资质或建筑设计乙级及以上资质；同时项目负责人须具备相应专业中级（含中级）及以上工程师职称；</w:t>
      </w:r>
    </w:p>
    <w:p w14:paraId="21B41916">
      <w:pPr>
        <w:keepNext w:val="0"/>
        <w:keepLines w:val="0"/>
        <w:pageBreakBefore w:val="0"/>
        <w:shd w:val="clear" w:color="auto" w:fill="auto"/>
        <w:kinsoku/>
        <w:wordWrap/>
        <w:overflowPunct/>
        <w:topLinePunct w:val="0"/>
        <w:autoSpaceDE/>
        <w:autoSpaceDN/>
        <w:bidi w:val="0"/>
        <w:adjustRightInd/>
        <w:snapToGrid/>
        <w:spacing w:before="3" w:line="510" w:lineRule="exact"/>
        <w:ind w:right="1"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4）财务状况报告:提供2023或2024年度经会计师事务所出具的财务报告（至少应包括资产负债表和利润表，成立时间至提交投标文件截止时间不足一年的可提供成立后任意时间段的财务报表）或提交投标文件截止时间前六个月内其基本账户开户银行出具的资信证明；     </w:t>
      </w:r>
    </w:p>
    <w:p w14:paraId="464166D4">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社会保障资金缴纳证明:自2025年1月1日以来已缴存的至少一个月的社会保障资金缴存单据或社保机构开具的社会保险参保缴费情况证明，单据或证明上应有社保机构或代收机构的公章或业务专用章。依法不需要缴纳社会保障资金的供应商应提供相关文件证明；</w:t>
      </w:r>
    </w:p>
    <w:p w14:paraId="527D85A5">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（6）税收缴纳证明:自2025年1月1日以来已缴纳的至少一个月的纳税证明或完税证明，纳税证明或完税证明上应有代收机构或税务机关的公章或业务专用章。依法免税的供应商应提供相关文件证明；</w:t>
      </w:r>
    </w:p>
    <w:p w14:paraId="2C9F219F">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7）通过中国政府采购网（www.ccgp.gov.cn）和“信用中国”网站(www.creditchina.gov.cn)查询相关主体无失信记录（网站查询的截图，加盖企业公章）以及参加政府采购活动前3年内在经营活动中没有重大违法记录的书面声明；</w:t>
      </w:r>
    </w:p>
    <w:p w14:paraId="23EF84DF">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（8）供应商应提供中小企业声明函或残疾人福利性单位声明函或监狱企业证明文件；</w:t>
      </w:r>
    </w:p>
    <w:p w14:paraId="2D4D9659">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（9）本项目不接受联合体投标。</w:t>
      </w:r>
    </w:p>
    <w:p w14:paraId="571AE469">
      <w:pPr>
        <w:pStyle w:val="37"/>
        <w:spacing w:before="120" w:after="120"/>
        <w:rPr>
          <w:rFonts w:hint="eastAsia" w:ascii="宋体" w:hAnsi="宋体" w:eastAsia="宋体" w:cs="宋体"/>
        </w:rPr>
      </w:pPr>
      <w:r>
        <w:rPr>
          <w:rFonts w:hint="eastAsia" w:ascii="宋体" w:hAnsi="宋体" w:eastAsia="宋体" w:cs="宋体"/>
        </w:rPr>
        <w:t>三、获取采购文件</w:t>
      </w:r>
    </w:p>
    <w:p w14:paraId="3C0037A4">
      <w:pPr>
        <w:pStyle w:val="39"/>
        <w:ind w:firstLine="480"/>
        <w:rPr>
          <w:rFonts w:hint="eastAsia" w:ascii="宋体" w:hAnsi="宋体" w:eastAsia="宋体" w:cs="宋体"/>
          <w:color w:val="1F2DE9"/>
        </w:rPr>
      </w:pPr>
      <w:r>
        <w:rPr>
          <w:rFonts w:hint="eastAsia" w:ascii="宋体" w:hAnsi="宋体" w:eastAsia="宋体" w:cs="宋体"/>
          <w:color w:val="000000" w:themeColor="text1"/>
          <w14:textFill>
            <w14:solidFill>
              <w14:schemeClr w14:val="tx1"/>
            </w14:solidFill>
          </w14:textFill>
        </w:rPr>
        <w:t>时间：202</w:t>
      </w:r>
      <w:r>
        <w:rPr>
          <w:rFonts w:hint="eastAsia" w:ascii="宋体" w:hAnsi="宋体" w:cs="宋体"/>
          <w:color w:val="000000" w:themeColor="text1"/>
          <w:lang w:val="en-US" w:eastAsia="zh-CN"/>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t>年0</w:t>
      </w:r>
      <w:r>
        <w:rPr>
          <w:rFonts w:hint="eastAsia" w:ascii="宋体" w:hAnsi="宋体" w:cs="宋体"/>
          <w:color w:val="000000" w:themeColor="text1"/>
          <w:lang w:val="en-US" w:eastAsia="zh-CN"/>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月</w:t>
      </w:r>
      <w:r>
        <w:rPr>
          <w:rFonts w:hint="eastAsia" w:ascii="宋体" w:hAnsi="宋体" w:cs="宋体"/>
          <w:color w:val="000000" w:themeColor="text1"/>
          <w:lang w:val="en-US" w:eastAsia="zh-CN"/>
          <w14:textFill>
            <w14:solidFill>
              <w14:schemeClr w14:val="tx1"/>
            </w14:solidFill>
          </w14:textFill>
        </w:rPr>
        <w:t>23</w:t>
      </w:r>
      <w:r>
        <w:rPr>
          <w:rFonts w:hint="eastAsia" w:ascii="宋体" w:hAnsi="宋体" w:eastAsia="宋体" w:cs="宋体"/>
          <w:color w:val="000000" w:themeColor="text1"/>
          <w14:textFill>
            <w14:solidFill>
              <w14:schemeClr w14:val="tx1"/>
            </w14:solidFill>
          </w14:textFill>
        </w:rPr>
        <w:t>日至202</w:t>
      </w:r>
      <w:r>
        <w:rPr>
          <w:rFonts w:hint="eastAsia" w:ascii="宋体" w:hAnsi="宋体" w:cs="宋体"/>
          <w:color w:val="000000" w:themeColor="text1"/>
          <w:lang w:val="en-US" w:eastAsia="zh-CN"/>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lang w:val="en-US" w:eastAsia="zh-CN"/>
          <w14:textFill>
            <w14:solidFill>
              <w14:schemeClr w14:val="tx1"/>
            </w14:solidFill>
          </w14:textFill>
        </w:rPr>
        <w:t>0</w:t>
      </w:r>
      <w:r>
        <w:rPr>
          <w:rFonts w:hint="eastAsia" w:ascii="宋体" w:hAnsi="宋体" w:cs="宋体"/>
          <w:color w:val="000000" w:themeColor="text1"/>
          <w:lang w:val="en-US" w:eastAsia="zh-CN"/>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月</w:t>
      </w:r>
      <w:r>
        <w:rPr>
          <w:rFonts w:hint="eastAsia" w:ascii="宋体" w:hAnsi="宋体" w:cs="宋体"/>
          <w:color w:val="000000" w:themeColor="text1"/>
          <w:lang w:val="en-US" w:eastAsia="zh-CN"/>
          <w14:textFill>
            <w14:solidFill>
              <w14:schemeClr w14:val="tx1"/>
            </w14:solidFill>
          </w14:textFill>
        </w:rPr>
        <w:t>28</w:t>
      </w:r>
      <w:r>
        <w:rPr>
          <w:rFonts w:hint="eastAsia" w:ascii="宋体" w:hAnsi="宋体" w:eastAsia="宋体" w:cs="宋体"/>
          <w:color w:val="000000" w:themeColor="text1"/>
          <w14:textFill>
            <w14:solidFill>
              <w14:schemeClr w14:val="tx1"/>
            </w14:solidFill>
          </w14:textFill>
        </w:rPr>
        <w:t>日，每天上午09:00:00至12:00:00，下午14:</w:t>
      </w:r>
      <w:r>
        <w:rPr>
          <w:rFonts w:hint="eastAsia" w:ascii="宋体" w:hAnsi="宋体" w:cs="宋体"/>
          <w:color w:val="000000" w:themeColor="text1"/>
          <w:lang w:val="en-US" w:eastAsia="zh-CN"/>
          <w14:textFill>
            <w14:solidFill>
              <w14:schemeClr w14:val="tx1"/>
            </w14:solidFill>
          </w14:textFill>
        </w:rPr>
        <w:t>0</w:t>
      </w:r>
      <w:r>
        <w:rPr>
          <w:rFonts w:hint="eastAsia" w:ascii="宋体" w:hAnsi="宋体" w:eastAsia="宋体" w:cs="宋体"/>
          <w:color w:val="000000" w:themeColor="text1"/>
          <w14:textFill>
            <w14:solidFill>
              <w14:schemeClr w14:val="tx1"/>
            </w14:solidFill>
          </w14:textFill>
        </w:rPr>
        <w:t>0:00至17:30:00（北京时间,国家法定节假日除外</w:t>
      </w:r>
      <w:r>
        <w:rPr>
          <w:rFonts w:hint="eastAsia" w:ascii="宋体" w:hAnsi="宋体" w:eastAsia="宋体" w:cs="宋体"/>
          <w:color w:val="1F2DE9"/>
        </w:rPr>
        <w:t>）</w:t>
      </w:r>
    </w:p>
    <w:p w14:paraId="5D951566">
      <w:pPr>
        <w:pStyle w:val="39"/>
        <w:ind w:firstLine="480"/>
        <w:rPr>
          <w:rFonts w:hint="eastAsia" w:ascii="宋体" w:hAnsi="宋体" w:eastAsia="宋体" w:cs="宋体"/>
        </w:rPr>
      </w:pPr>
      <w:r>
        <w:rPr>
          <w:rFonts w:hint="eastAsia" w:ascii="宋体" w:hAnsi="宋体" w:eastAsia="宋体" w:cs="宋体"/>
        </w:rPr>
        <w:t>地点：石泉县育才路4段金江花园后门亿诚石泉分公司招标部</w:t>
      </w:r>
    </w:p>
    <w:p w14:paraId="4D0E64E6">
      <w:pPr>
        <w:pStyle w:val="39"/>
        <w:ind w:firstLine="480"/>
        <w:rPr>
          <w:rFonts w:hint="eastAsia" w:ascii="宋体" w:hAnsi="宋体" w:eastAsia="宋体" w:cs="宋体"/>
        </w:rPr>
      </w:pPr>
      <w:r>
        <w:rPr>
          <w:rFonts w:hint="eastAsia" w:ascii="宋体" w:hAnsi="宋体" w:eastAsia="宋体" w:cs="宋体"/>
        </w:rPr>
        <w:t>方式：现场获取</w:t>
      </w:r>
    </w:p>
    <w:p w14:paraId="06B9F4FC">
      <w:pPr>
        <w:pStyle w:val="37"/>
        <w:spacing w:before="120" w:after="120"/>
        <w:rPr>
          <w:rFonts w:hint="eastAsia" w:ascii="宋体" w:hAnsi="宋体" w:eastAsia="宋体" w:cs="宋体"/>
        </w:rPr>
      </w:pPr>
      <w:r>
        <w:rPr>
          <w:rFonts w:hint="eastAsia" w:ascii="宋体" w:hAnsi="宋体" w:eastAsia="宋体" w:cs="宋体"/>
        </w:rPr>
        <w:t>四、响应文件提交</w:t>
      </w:r>
    </w:p>
    <w:p w14:paraId="7E6C8F7A">
      <w:pPr>
        <w:pStyle w:val="39"/>
        <w:ind w:firstLine="480"/>
        <w:rPr>
          <w:rFonts w:hint="eastAsia" w:ascii="宋体" w:hAnsi="宋体" w:eastAsia="宋体" w:cs="宋体"/>
        </w:rPr>
      </w:pPr>
      <w:r>
        <w:rPr>
          <w:rFonts w:hint="eastAsia" w:ascii="宋体" w:hAnsi="宋体" w:eastAsia="宋体" w:cs="宋体"/>
        </w:rPr>
        <w:t>截止时间：20</w:t>
      </w:r>
      <w:r>
        <w:rPr>
          <w:rFonts w:hint="eastAsia" w:ascii="宋体" w:hAnsi="宋体" w:cs="宋体"/>
          <w:lang w:val="en-US" w:eastAsia="zh-CN"/>
        </w:rPr>
        <w:t>25</w:t>
      </w:r>
      <w:r>
        <w:rPr>
          <w:rFonts w:hint="eastAsia" w:ascii="宋体" w:hAnsi="宋体" w:eastAsia="宋体" w:cs="宋体"/>
        </w:rPr>
        <w:t>年</w:t>
      </w:r>
      <w:r>
        <w:rPr>
          <w:rFonts w:hint="eastAsia" w:ascii="宋体" w:hAnsi="宋体" w:cs="宋体"/>
          <w:lang w:val="en-US" w:eastAsia="zh-CN"/>
        </w:rPr>
        <w:t>05</w:t>
      </w:r>
      <w:r>
        <w:rPr>
          <w:rFonts w:hint="eastAsia" w:ascii="宋体" w:hAnsi="宋体" w:eastAsia="宋体" w:cs="宋体"/>
        </w:rPr>
        <w:t>月</w:t>
      </w:r>
      <w:r>
        <w:rPr>
          <w:rFonts w:hint="eastAsia" w:ascii="宋体" w:hAnsi="宋体" w:cs="宋体"/>
          <w:lang w:val="en-US" w:eastAsia="zh-CN"/>
        </w:rPr>
        <w:t>07</w:t>
      </w:r>
      <w:r>
        <w:rPr>
          <w:rFonts w:hint="eastAsia" w:ascii="宋体" w:hAnsi="宋体" w:eastAsia="宋体" w:cs="宋体"/>
        </w:rPr>
        <w:t>日</w:t>
      </w:r>
      <w:r>
        <w:rPr>
          <w:rFonts w:hint="eastAsia" w:ascii="宋体" w:hAnsi="宋体" w:eastAsia="宋体" w:cs="宋体"/>
          <w:lang w:val="en-US" w:eastAsia="zh-CN"/>
        </w:rPr>
        <w:t>1</w:t>
      </w:r>
      <w:r>
        <w:rPr>
          <w:rFonts w:hint="eastAsia" w:ascii="宋体" w:hAnsi="宋体" w:cs="宋体"/>
          <w:lang w:val="en-US" w:eastAsia="zh-CN"/>
        </w:rPr>
        <w:t>4</w:t>
      </w:r>
      <w:r>
        <w:rPr>
          <w:rFonts w:hint="eastAsia" w:ascii="宋体" w:hAnsi="宋体" w:eastAsia="宋体" w:cs="宋体"/>
        </w:rPr>
        <w:t>时00分00秒（北京时间）</w:t>
      </w:r>
    </w:p>
    <w:p w14:paraId="5E56E978">
      <w:pPr>
        <w:pStyle w:val="39"/>
        <w:ind w:firstLine="480"/>
        <w:rPr>
          <w:rFonts w:hint="eastAsia" w:ascii="宋体" w:hAnsi="宋体" w:eastAsia="宋体" w:cs="宋体"/>
        </w:rPr>
      </w:pPr>
      <w:r>
        <w:rPr>
          <w:rFonts w:hint="eastAsia" w:ascii="宋体" w:hAnsi="宋体" w:eastAsia="宋体" w:cs="宋体"/>
        </w:rPr>
        <w:t>地点：亿诚建设项目管理有限公司石泉分公司会议室</w:t>
      </w:r>
    </w:p>
    <w:p w14:paraId="71EEB12B">
      <w:pPr>
        <w:pStyle w:val="37"/>
        <w:spacing w:before="120" w:after="120"/>
        <w:rPr>
          <w:rFonts w:hint="eastAsia" w:ascii="宋体" w:hAnsi="宋体" w:eastAsia="宋体" w:cs="宋体"/>
        </w:rPr>
      </w:pPr>
      <w:r>
        <w:rPr>
          <w:rFonts w:hint="eastAsia" w:ascii="宋体" w:hAnsi="宋体" w:eastAsia="宋体" w:cs="宋体"/>
        </w:rPr>
        <w:t>五、开启</w:t>
      </w:r>
    </w:p>
    <w:p w14:paraId="2636D13D">
      <w:pPr>
        <w:pStyle w:val="39"/>
        <w:ind w:firstLine="480"/>
        <w:rPr>
          <w:rFonts w:hint="eastAsia" w:ascii="宋体" w:hAnsi="宋体" w:eastAsia="宋体" w:cs="宋体"/>
        </w:rPr>
      </w:pPr>
      <w:r>
        <w:rPr>
          <w:rFonts w:hint="eastAsia" w:ascii="宋体" w:hAnsi="宋体" w:eastAsia="宋体" w:cs="宋体"/>
        </w:rPr>
        <w:t>时间：202</w:t>
      </w:r>
      <w:r>
        <w:rPr>
          <w:rFonts w:hint="eastAsia" w:ascii="宋体" w:hAnsi="宋体" w:cs="宋体"/>
          <w:lang w:val="en-US" w:eastAsia="zh-CN"/>
        </w:rPr>
        <w:t>5</w:t>
      </w:r>
      <w:r>
        <w:rPr>
          <w:rFonts w:hint="eastAsia" w:ascii="宋体" w:hAnsi="宋体" w:eastAsia="宋体" w:cs="宋体"/>
        </w:rPr>
        <w:t>年0</w:t>
      </w:r>
      <w:r>
        <w:rPr>
          <w:rFonts w:hint="eastAsia" w:ascii="宋体" w:hAnsi="宋体" w:cs="宋体"/>
          <w:lang w:val="en-US" w:eastAsia="zh-CN"/>
        </w:rPr>
        <w:t>5</w:t>
      </w:r>
      <w:r>
        <w:rPr>
          <w:rFonts w:hint="eastAsia" w:ascii="宋体" w:hAnsi="宋体" w:eastAsia="宋体" w:cs="宋体"/>
        </w:rPr>
        <w:t>月</w:t>
      </w:r>
      <w:r>
        <w:rPr>
          <w:rFonts w:hint="eastAsia" w:ascii="宋体" w:hAnsi="宋体" w:cs="宋体"/>
          <w:lang w:val="en-US" w:eastAsia="zh-CN"/>
        </w:rPr>
        <w:t>07</w:t>
      </w:r>
      <w:r>
        <w:rPr>
          <w:rFonts w:hint="eastAsia" w:ascii="宋体" w:hAnsi="宋体" w:eastAsia="宋体" w:cs="宋体"/>
        </w:rPr>
        <w:t>日</w:t>
      </w:r>
      <w:r>
        <w:rPr>
          <w:rFonts w:hint="eastAsia" w:ascii="宋体" w:hAnsi="宋体" w:eastAsia="宋体" w:cs="宋体"/>
          <w:lang w:val="en-US" w:eastAsia="zh-CN"/>
        </w:rPr>
        <w:t>1</w:t>
      </w:r>
      <w:r>
        <w:rPr>
          <w:rFonts w:hint="eastAsia" w:ascii="宋体" w:hAnsi="宋体" w:cs="宋体"/>
          <w:lang w:val="en-US" w:eastAsia="zh-CN"/>
        </w:rPr>
        <w:t>4</w:t>
      </w:r>
      <w:r>
        <w:rPr>
          <w:rFonts w:hint="eastAsia" w:ascii="宋体" w:hAnsi="宋体" w:eastAsia="宋体" w:cs="宋体"/>
        </w:rPr>
        <w:t>时00分00秒（北京时间）</w:t>
      </w:r>
    </w:p>
    <w:p w14:paraId="60DA92E9">
      <w:pPr>
        <w:pStyle w:val="39"/>
        <w:ind w:firstLine="480"/>
        <w:rPr>
          <w:rFonts w:hint="eastAsia" w:ascii="宋体" w:hAnsi="宋体" w:eastAsia="宋体" w:cs="宋体"/>
        </w:rPr>
      </w:pPr>
      <w:r>
        <w:rPr>
          <w:rFonts w:hint="eastAsia" w:ascii="宋体" w:hAnsi="宋体" w:eastAsia="宋体" w:cs="宋体"/>
        </w:rPr>
        <w:t>地点：亿诚建设项目管理有限公司石泉分公司会议室</w:t>
      </w:r>
    </w:p>
    <w:p w14:paraId="2D8D0356">
      <w:pPr>
        <w:pStyle w:val="37"/>
        <w:spacing w:before="120" w:after="120"/>
        <w:rPr>
          <w:rFonts w:hint="eastAsia" w:ascii="宋体" w:hAnsi="宋体" w:eastAsia="宋体" w:cs="宋体"/>
        </w:rPr>
      </w:pPr>
      <w:r>
        <w:rPr>
          <w:rFonts w:hint="eastAsia" w:ascii="宋体" w:hAnsi="宋体" w:eastAsia="宋体" w:cs="宋体"/>
        </w:rPr>
        <w:t>六、公告期限</w:t>
      </w:r>
    </w:p>
    <w:p w14:paraId="67865250">
      <w:pPr>
        <w:pStyle w:val="39"/>
        <w:ind w:firstLine="480"/>
        <w:rPr>
          <w:rFonts w:hint="eastAsia" w:ascii="宋体" w:hAnsi="宋体" w:eastAsia="宋体" w:cs="宋体"/>
        </w:rPr>
      </w:pPr>
      <w:r>
        <w:rPr>
          <w:rFonts w:hint="eastAsia" w:ascii="宋体" w:hAnsi="宋体" w:eastAsia="宋体" w:cs="宋体"/>
        </w:rPr>
        <w:t>自本公告发布之日起</w:t>
      </w:r>
      <w:r>
        <w:rPr>
          <w:rFonts w:hint="eastAsia" w:ascii="宋体" w:hAnsi="宋体" w:cs="宋体"/>
          <w:lang w:val="en-US" w:eastAsia="zh-CN"/>
        </w:rPr>
        <w:t>5</w:t>
      </w:r>
      <w:r>
        <w:rPr>
          <w:rFonts w:hint="eastAsia" w:ascii="宋体" w:hAnsi="宋体" w:eastAsia="宋体" w:cs="宋体"/>
        </w:rPr>
        <w:t>个工作日。</w:t>
      </w:r>
    </w:p>
    <w:p w14:paraId="7AC8DC34">
      <w:pPr>
        <w:pStyle w:val="37"/>
        <w:numPr>
          <w:ilvl w:val="0"/>
          <w:numId w:val="1"/>
        </w:numPr>
        <w:spacing w:before="120" w:after="120"/>
        <w:rPr>
          <w:rFonts w:hint="eastAsia" w:ascii="宋体" w:hAnsi="宋体" w:eastAsia="宋体" w:cs="宋体"/>
        </w:rPr>
      </w:pPr>
      <w:r>
        <w:rPr>
          <w:rFonts w:hint="eastAsia" w:ascii="宋体" w:hAnsi="宋体" w:eastAsia="宋体" w:cs="宋体"/>
        </w:rPr>
        <w:t>其他补充事宜</w:t>
      </w:r>
    </w:p>
    <w:p w14:paraId="57ACF04F">
      <w:pPr>
        <w:pStyle w:val="37"/>
        <w:spacing w:before="120" w:after="120"/>
        <w:rPr>
          <w:rFonts w:hint="eastAsia" w:ascii="宋体" w:hAnsi="宋体" w:eastAsia="宋体" w:cs="宋体"/>
        </w:rPr>
      </w:pPr>
      <w:r>
        <w:rPr>
          <w:rFonts w:hint="eastAsia" w:ascii="宋体" w:hAnsi="宋体" w:eastAsia="宋体" w:cs="宋体"/>
        </w:rPr>
        <w:t xml:space="preserve">    /</w:t>
      </w:r>
    </w:p>
    <w:p w14:paraId="70371C83">
      <w:pPr>
        <w:pStyle w:val="37"/>
        <w:spacing w:before="120" w:after="120"/>
        <w:rPr>
          <w:rFonts w:hint="eastAsia" w:ascii="宋体" w:hAnsi="宋体" w:eastAsia="宋体" w:cs="宋体"/>
        </w:rPr>
      </w:pPr>
      <w:r>
        <w:rPr>
          <w:rFonts w:hint="eastAsia" w:ascii="宋体" w:hAnsi="宋体" w:eastAsia="宋体" w:cs="宋体"/>
        </w:rPr>
        <w:t>八、对本次采购提出询问，请按以下方式联系。</w:t>
      </w:r>
    </w:p>
    <w:p w14:paraId="1A68675E">
      <w:pPr>
        <w:pStyle w:val="39"/>
        <w:ind w:firstLine="480"/>
        <w:rPr>
          <w:rFonts w:hint="eastAsia" w:ascii="宋体" w:hAnsi="宋体" w:eastAsia="宋体" w:cs="宋体"/>
        </w:rPr>
      </w:pPr>
      <w:r>
        <w:rPr>
          <w:rFonts w:hint="eastAsia" w:ascii="宋体" w:hAnsi="宋体" w:eastAsia="宋体" w:cs="宋体"/>
        </w:rPr>
        <w:t>1.釆购人信息</w:t>
      </w:r>
    </w:p>
    <w:p w14:paraId="2704A565">
      <w:pPr>
        <w:pStyle w:val="39"/>
        <w:ind w:firstLine="480"/>
        <w:rPr>
          <w:rFonts w:hint="eastAsia" w:ascii="宋体" w:hAnsi="宋体" w:eastAsia="宋体" w:cs="宋体"/>
          <w:lang w:eastAsia="zh-CN"/>
        </w:rPr>
      </w:pPr>
      <w:r>
        <w:rPr>
          <w:rFonts w:hint="eastAsia" w:ascii="宋体" w:hAnsi="宋体" w:eastAsia="宋体" w:cs="宋体"/>
        </w:rPr>
        <w:t>名称：</w:t>
      </w:r>
      <w:r>
        <w:rPr>
          <w:rFonts w:hint="eastAsia" w:ascii="宋体" w:hAnsi="宋体" w:cs="宋体"/>
          <w:lang w:eastAsia="zh-CN"/>
        </w:rPr>
        <w:t>石泉县物业管理与房产交易所</w:t>
      </w:r>
    </w:p>
    <w:p w14:paraId="200DA03C">
      <w:pPr>
        <w:pStyle w:val="39"/>
        <w:ind w:firstLine="480"/>
        <w:rPr>
          <w:rFonts w:hint="default" w:ascii="宋体" w:hAnsi="宋体" w:eastAsia="宋体" w:cs="宋体"/>
          <w:lang w:val="en-US" w:eastAsia="zh-CN"/>
        </w:rPr>
      </w:pPr>
      <w:r>
        <w:rPr>
          <w:rFonts w:hint="eastAsia" w:ascii="宋体" w:hAnsi="宋体" w:eastAsia="宋体" w:cs="宋体"/>
        </w:rPr>
        <w:t>地址：</w:t>
      </w:r>
      <w:r>
        <w:rPr>
          <w:rFonts w:hint="eastAsia" w:ascii="宋体" w:hAnsi="宋体" w:eastAsia="宋体" w:cs="宋体"/>
          <w:lang w:eastAsia="zh-CN"/>
        </w:rPr>
        <w:t>石泉县政务中心</w:t>
      </w:r>
      <w:r>
        <w:rPr>
          <w:rFonts w:hint="eastAsia" w:ascii="宋体" w:hAnsi="宋体" w:eastAsia="宋体" w:cs="宋体"/>
          <w:lang w:val="en-US" w:eastAsia="zh-CN"/>
        </w:rPr>
        <w:t>1</w:t>
      </w:r>
      <w:r>
        <w:rPr>
          <w:rFonts w:hint="eastAsia" w:ascii="宋体" w:hAnsi="宋体" w:cs="宋体"/>
          <w:lang w:val="en-US" w:eastAsia="zh-CN"/>
        </w:rPr>
        <w:t>4</w:t>
      </w:r>
      <w:r>
        <w:rPr>
          <w:rFonts w:hint="eastAsia" w:ascii="宋体" w:hAnsi="宋体" w:eastAsia="宋体" w:cs="宋体"/>
          <w:lang w:val="en-US" w:eastAsia="zh-CN"/>
        </w:rPr>
        <w:t>F</w:t>
      </w:r>
    </w:p>
    <w:p w14:paraId="3E62AA2B">
      <w:pPr>
        <w:pStyle w:val="39"/>
        <w:ind w:firstLine="480"/>
        <w:rPr>
          <w:rFonts w:hint="eastAsia" w:ascii="宋体" w:hAnsi="宋体" w:eastAsia="宋体" w:cs="宋体"/>
          <w:lang w:eastAsia="zh-CN"/>
        </w:rPr>
      </w:pPr>
      <w:r>
        <w:rPr>
          <w:rFonts w:hint="eastAsia" w:ascii="宋体" w:hAnsi="宋体" w:eastAsia="宋体" w:cs="宋体"/>
          <w:lang w:eastAsia="zh-CN"/>
        </w:rPr>
        <w:t>联系人：</w:t>
      </w:r>
      <w:r>
        <w:rPr>
          <w:rFonts w:hint="eastAsia" w:ascii="宋体" w:hAnsi="宋体" w:eastAsia="宋体" w:cs="宋体"/>
          <w:color w:val="000000" w:themeColor="text1"/>
          <w:lang w:eastAsia="zh-CN"/>
          <w14:textFill>
            <w14:solidFill>
              <w14:schemeClr w14:val="tx1"/>
            </w14:solidFill>
          </w14:textFill>
        </w:rPr>
        <w:t>石泉县物业管理与房产交易所经办</w:t>
      </w:r>
    </w:p>
    <w:p w14:paraId="06039CAF">
      <w:pPr>
        <w:pStyle w:val="39"/>
        <w:ind w:firstLine="480"/>
        <w:rPr>
          <w:rFonts w:hint="default" w:ascii="宋体" w:hAnsi="宋体" w:eastAsia="宋体" w:cs="宋体"/>
          <w:lang w:val="en-US" w:eastAsia="zh-CN"/>
        </w:rPr>
      </w:pPr>
      <w:r>
        <w:rPr>
          <w:rFonts w:hint="eastAsia" w:ascii="宋体" w:hAnsi="宋体" w:eastAsia="宋体" w:cs="宋体"/>
        </w:rPr>
        <w:t>联系方式：</w:t>
      </w:r>
      <w:r>
        <w:rPr>
          <w:rFonts w:hint="eastAsia" w:ascii="宋体" w:hAnsi="宋体" w:eastAsia="宋体" w:cs="宋体"/>
          <w:lang w:val="en-US" w:eastAsia="zh-CN"/>
        </w:rPr>
        <w:t>17791171181</w:t>
      </w:r>
    </w:p>
    <w:p w14:paraId="6B734B3C">
      <w:pPr>
        <w:pStyle w:val="39"/>
        <w:ind w:firstLine="480"/>
        <w:rPr>
          <w:rFonts w:hint="eastAsia" w:ascii="宋体" w:hAnsi="宋体" w:eastAsia="宋体" w:cs="宋体"/>
        </w:rPr>
      </w:pPr>
      <w:r>
        <w:rPr>
          <w:rFonts w:hint="eastAsia" w:ascii="宋体" w:hAnsi="宋体" w:eastAsia="宋体" w:cs="宋体"/>
        </w:rPr>
        <w:t>2.釆购代理机构信息</w:t>
      </w:r>
    </w:p>
    <w:p w14:paraId="474D9F8F">
      <w:pPr>
        <w:pStyle w:val="39"/>
        <w:ind w:firstLine="480"/>
        <w:rPr>
          <w:rFonts w:hint="eastAsia" w:ascii="宋体" w:hAnsi="宋体" w:eastAsia="宋体" w:cs="宋体"/>
        </w:rPr>
      </w:pPr>
      <w:r>
        <w:rPr>
          <w:rFonts w:hint="eastAsia" w:ascii="宋体" w:hAnsi="宋体" w:eastAsia="宋体" w:cs="宋体"/>
        </w:rPr>
        <w:t>名称：亿诚建设项目管理有限公司</w:t>
      </w:r>
    </w:p>
    <w:p w14:paraId="56AB8469">
      <w:pPr>
        <w:pStyle w:val="39"/>
        <w:ind w:firstLine="480"/>
        <w:rPr>
          <w:rFonts w:hint="eastAsia" w:ascii="宋体" w:hAnsi="宋体" w:eastAsia="宋体" w:cs="宋体"/>
        </w:rPr>
      </w:pPr>
      <w:r>
        <w:rPr>
          <w:rFonts w:hint="eastAsia" w:ascii="宋体" w:hAnsi="宋体" w:eastAsia="宋体" w:cs="宋体"/>
        </w:rPr>
        <w:t>地址：西安市高新区丈八五路高科尚都one尚城A座10F</w:t>
      </w:r>
    </w:p>
    <w:p w14:paraId="2A3CBC58">
      <w:pPr>
        <w:pStyle w:val="39"/>
        <w:ind w:firstLine="480"/>
        <w:rPr>
          <w:rFonts w:hint="eastAsia" w:ascii="宋体" w:hAnsi="宋体" w:eastAsia="宋体" w:cs="宋体"/>
        </w:rPr>
      </w:pPr>
      <w:r>
        <w:rPr>
          <w:rFonts w:hint="eastAsia" w:ascii="宋体" w:hAnsi="宋体" w:eastAsia="宋体" w:cs="宋体"/>
        </w:rPr>
        <w:t>联系方式：15229053396</w:t>
      </w:r>
    </w:p>
    <w:p w14:paraId="053CCEA3">
      <w:pPr>
        <w:pStyle w:val="39"/>
        <w:ind w:firstLine="480"/>
        <w:rPr>
          <w:rFonts w:hint="eastAsia" w:ascii="宋体" w:hAnsi="宋体" w:eastAsia="宋体" w:cs="宋体"/>
        </w:rPr>
      </w:pPr>
      <w:r>
        <w:rPr>
          <w:rFonts w:hint="eastAsia" w:ascii="宋体" w:hAnsi="宋体" w:eastAsia="宋体" w:cs="宋体"/>
        </w:rPr>
        <w:t>3.项目联系方式</w:t>
      </w:r>
    </w:p>
    <w:p w14:paraId="7B1DF32A">
      <w:pPr>
        <w:pStyle w:val="39"/>
        <w:ind w:firstLine="480"/>
        <w:rPr>
          <w:rFonts w:hint="eastAsia" w:ascii="宋体" w:hAnsi="宋体" w:eastAsia="宋体" w:cs="宋体"/>
        </w:rPr>
      </w:pPr>
      <w:r>
        <w:rPr>
          <w:rFonts w:hint="eastAsia" w:ascii="宋体" w:hAnsi="宋体" w:eastAsia="宋体" w:cs="宋体"/>
        </w:rPr>
        <w:t>项目联系人：刘恒云</w:t>
      </w:r>
    </w:p>
    <w:p w14:paraId="33654DB6">
      <w:pPr>
        <w:pStyle w:val="39"/>
        <w:ind w:firstLine="480"/>
        <w:rPr>
          <w:rFonts w:hint="eastAsia" w:ascii="宋体" w:hAnsi="宋体" w:eastAsia="宋体" w:cs="宋体"/>
        </w:rPr>
      </w:pPr>
      <w:r>
        <w:rPr>
          <w:rFonts w:hint="eastAsia" w:ascii="宋体" w:hAnsi="宋体" w:eastAsia="宋体" w:cs="宋体"/>
        </w:rPr>
        <w:t>电话：15229053396</w:t>
      </w:r>
    </w:p>
    <w:p w14:paraId="3A775BBF">
      <w:pPr>
        <w:spacing w:before="201" w:line="500" w:lineRule="exact"/>
        <w:ind w:right="1048"/>
        <w:jc w:val="right"/>
        <w:rPr>
          <w:rFonts w:hint="eastAsia" w:ascii="宋体" w:hAnsi="宋体" w:eastAsia="宋体" w:cs="宋体"/>
          <w:sz w:val="24"/>
          <w:szCs w:val="24"/>
        </w:rPr>
      </w:pPr>
      <w:r>
        <w:rPr>
          <w:rFonts w:hint="eastAsia" w:ascii="宋体" w:hAnsi="宋体" w:eastAsia="宋体" w:cs="宋体"/>
          <w:sz w:val="24"/>
          <w:szCs w:val="24"/>
        </w:rPr>
        <w:t>亿诚建设项目管理有限公司</w:t>
      </w:r>
    </w:p>
    <w:p w14:paraId="3ECB2B47">
      <w:pPr>
        <w:spacing w:before="201" w:line="500" w:lineRule="exact"/>
        <w:ind w:right="1048"/>
        <w:jc w:val="center"/>
        <w:outlineLvl w:val="1"/>
        <w:rPr>
          <w:rFonts w:hint="eastAsia" w:ascii="宋体" w:hAnsi="宋体" w:eastAsia="宋体" w:cs="宋体"/>
          <w:sz w:val="24"/>
        </w:rPr>
      </w:pPr>
      <w:bookmarkStart w:id="1" w:name="_Toc23388"/>
      <w:r>
        <w:rPr>
          <w:rFonts w:hint="eastAsia" w:ascii="宋体" w:hAnsi="宋体" w:eastAsia="宋体" w:cs="宋体"/>
          <w:sz w:val="24"/>
          <w:lang w:val="en-US" w:eastAsia="zh-CN"/>
        </w:rPr>
        <w:t xml:space="preserve">                                               </w:t>
      </w:r>
      <w:r>
        <w:rPr>
          <w:rFonts w:hint="eastAsia" w:ascii="宋体" w:hAnsi="宋体" w:eastAsia="宋体" w:cs="宋体"/>
          <w:sz w:val="24"/>
        </w:rPr>
        <w:t>202</w:t>
      </w:r>
      <w:r>
        <w:rPr>
          <w:rFonts w:hint="eastAsia" w:ascii="宋体" w:hAnsi="宋体" w:eastAsia="宋体" w:cs="宋体"/>
          <w:sz w:val="24"/>
          <w:lang w:val="en-US" w:eastAsia="zh-CN"/>
        </w:rPr>
        <w:t>5</w:t>
      </w:r>
      <w:r>
        <w:rPr>
          <w:rFonts w:hint="eastAsia" w:ascii="宋体" w:hAnsi="宋体" w:eastAsia="宋体" w:cs="宋体"/>
          <w:sz w:val="24"/>
        </w:rPr>
        <w:t>年</w:t>
      </w:r>
      <w:r>
        <w:rPr>
          <w:rFonts w:hint="eastAsia" w:ascii="宋体" w:hAnsi="宋体" w:eastAsia="宋体" w:cs="宋体"/>
          <w:sz w:val="24"/>
          <w:lang w:val="en-US" w:eastAsia="zh-CN"/>
        </w:rPr>
        <w:t>04</w:t>
      </w:r>
      <w:r>
        <w:rPr>
          <w:rFonts w:hint="eastAsia" w:ascii="宋体" w:hAnsi="宋体" w:eastAsia="宋体" w:cs="宋体"/>
          <w:sz w:val="24"/>
        </w:rPr>
        <w:t>月</w:t>
      </w:r>
      <w:r>
        <w:rPr>
          <w:rFonts w:hint="eastAsia" w:ascii="宋体" w:hAnsi="宋体" w:eastAsia="宋体" w:cs="宋体"/>
          <w:sz w:val="24"/>
          <w:lang w:val="en-US" w:eastAsia="zh-CN"/>
        </w:rPr>
        <w:t>22</w:t>
      </w:r>
      <w:r>
        <w:rPr>
          <w:rFonts w:hint="eastAsia" w:ascii="宋体" w:hAnsi="宋体" w:eastAsia="宋体" w:cs="宋体"/>
          <w:sz w:val="24"/>
        </w:rPr>
        <w:t>日</w:t>
      </w:r>
      <w:bookmarkEnd w:id="1"/>
    </w:p>
    <w:p w14:paraId="74278A57">
      <w:pPr>
        <w:widowControl/>
        <w:jc w:val="left"/>
        <w:rPr>
          <w:rFonts w:hint="eastAsia" w:ascii="宋体" w:hAnsi="宋体" w:eastAsia="宋体" w:cs="宋体"/>
        </w:rPr>
      </w:pPr>
    </w:p>
    <w:p w14:paraId="317475C8">
      <w:pPr>
        <w:pStyle w:val="9"/>
        <w:ind w:firstLine="480"/>
        <w:rPr>
          <w:rFonts w:hint="eastAsia" w:ascii="宋体" w:hAnsi="宋体" w:eastAsia="宋体" w:cs="宋体"/>
        </w:rPr>
      </w:pPr>
    </w:p>
    <w:p w14:paraId="55968DA2">
      <w:pPr>
        <w:pStyle w:val="10"/>
        <w:rPr>
          <w:rFonts w:hint="eastAsia" w:ascii="宋体" w:hAnsi="宋体" w:eastAsia="宋体" w:cs="宋体"/>
        </w:rPr>
      </w:pPr>
    </w:p>
    <w:p w14:paraId="4D02AED8">
      <w:pPr>
        <w:rPr>
          <w:rFonts w:hint="eastAsia" w:ascii="宋体" w:hAnsi="宋体" w:eastAsia="宋体" w:cs="宋体"/>
        </w:rPr>
      </w:pPr>
    </w:p>
    <w:p w14:paraId="26B2A223">
      <w:pPr>
        <w:pStyle w:val="2"/>
        <w:rPr>
          <w:rFonts w:hint="eastAsia" w:ascii="宋体" w:hAnsi="宋体" w:eastAsia="宋体" w:cs="宋体"/>
        </w:rPr>
      </w:pPr>
    </w:p>
    <w:p w14:paraId="656CFC87">
      <w:pPr>
        <w:pStyle w:val="2"/>
        <w:rPr>
          <w:rFonts w:hint="eastAsia" w:ascii="宋体" w:hAnsi="宋体" w:eastAsia="宋体" w:cs="宋体"/>
        </w:rPr>
      </w:pPr>
    </w:p>
    <w:p w14:paraId="5C238A5B">
      <w:pPr>
        <w:rPr>
          <w:rFonts w:hint="eastAsia" w:ascii="宋体" w:hAnsi="宋体" w:eastAsia="宋体" w:cs="宋体"/>
        </w:rPr>
      </w:pPr>
    </w:p>
    <w:p w14:paraId="50BDF58E">
      <w:pPr>
        <w:pStyle w:val="27"/>
        <w:spacing w:line="500" w:lineRule="exact"/>
        <w:ind w:firstLine="0" w:firstLineChars="0"/>
        <w:jc w:val="center"/>
        <w:outlineLvl w:val="0"/>
        <w:rPr>
          <w:rFonts w:hint="eastAsia" w:ascii="宋体" w:hAnsi="宋体" w:eastAsia="宋体" w:cs="宋体"/>
          <w:b/>
          <w:sz w:val="40"/>
          <w:szCs w:val="28"/>
        </w:rPr>
      </w:pPr>
      <w:bookmarkStart w:id="2" w:name="_Toc9017"/>
      <w:bookmarkStart w:id="3" w:name="_Toc3356"/>
      <w:r>
        <w:rPr>
          <w:rFonts w:hint="eastAsia" w:ascii="宋体" w:hAnsi="宋体" w:eastAsia="宋体" w:cs="宋体"/>
          <w:b/>
          <w:sz w:val="40"/>
          <w:szCs w:val="28"/>
        </w:rPr>
        <w:t>第二章  供应商须知</w:t>
      </w:r>
      <w:bookmarkEnd w:id="2"/>
      <w:bookmarkEnd w:id="3"/>
    </w:p>
    <w:p w14:paraId="37C814B9">
      <w:pPr>
        <w:spacing w:line="360" w:lineRule="auto"/>
        <w:jc w:val="center"/>
        <w:rPr>
          <w:rFonts w:hint="eastAsia" w:ascii="宋体" w:hAnsi="宋体" w:eastAsia="宋体" w:cs="宋体"/>
          <w:b/>
          <w:sz w:val="32"/>
        </w:rPr>
      </w:pPr>
      <w:r>
        <w:rPr>
          <w:rFonts w:hint="eastAsia" w:ascii="宋体" w:hAnsi="宋体" w:eastAsia="宋体" w:cs="宋体"/>
          <w:b/>
          <w:sz w:val="32"/>
        </w:rPr>
        <w:t>供应商须知前附表</w:t>
      </w:r>
    </w:p>
    <w:tbl>
      <w:tblPr>
        <w:tblStyle w:val="28"/>
        <w:tblpPr w:leftFromText="180" w:rightFromText="180" w:vertAnchor="text" w:tblpXSpec="center" w:tblpY="1"/>
        <w:tblOverlap w:val="never"/>
        <w:tblW w:w="9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225"/>
        <w:gridCol w:w="6096"/>
      </w:tblGrid>
      <w:tr w14:paraId="3A299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59DE1754">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2225" w:type="dxa"/>
            <w:vAlign w:val="center"/>
          </w:tcPr>
          <w:p w14:paraId="1C74820B">
            <w:pPr>
              <w:jc w:val="center"/>
              <w:rPr>
                <w:rFonts w:hint="eastAsia" w:ascii="宋体" w:hAnsi="宋体" w:eastAsia="宋体" w:cs="宋体"/>
                <w:sz w:val="24"/>
                <w:szCs w:val="24"/>
              </w:rPr>
            </w:pPr>
            <w:r>
              <w:rPr>
                <w:rFonts w:hint="eastAsia" w:ascii="宋体" w:hAnsi="宋体" w:eastAsia="宋体" w:cs="宋体"/>
                <w:sz w:val="24"/>
                <w:szCs w:val="24"/>
              </w:rPr>
              <w:t>条款名称</w:t>
            </w:r>
          </w:p>
        </w:tc>
        <w:tc>
          <w:tcPr>
            <w:tcW w:w="6096" w:type="dxa"/>
            <w:vAlign w:val="center"/>
          </w:tcPr>
          <w:p w14:paraId="48362ABF">
            <w:pPr>
              <w:jc w:val="center"/>
              <w:rPr>
                <w:rFonts w:hint="eastAsia" w:ascii="宋体" w:hAnsi="宋体" w:eastAsia="宋体" w:cs="宋体"/>
                <w:sz w:val="24"/>
                <w:szCs w:val="24"/>
              </w:rPr>
            </w:pPr>
            <w:r>
              <w:rPr>
                <w:rFonts w:hint="eastAsia" w:ascii="宋体" w:hAnsi="宋体" w:eastAsia="宋体" w:cs="宋体"/>
                <w:sz w:val="24"/>
                <w:szCs w:val="24"/>
              </w:rPr>
              <w:t>编列内容</w:t>
            </w:r>
          </w:p>
        </w:tc>
      </w:tr>
      <w:tr w14:paraId="72EF1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55C24783">
            <w:pPr>
              <w:jc w:val="center"/>
              <w:rPr>
                <w:rFonts w:hint="eastAsia" w:ascii="宋体" w:hAnsi="宋体" w:eastAsia="宋体" w:cs="宋体"/>
                <w:sz w:val="24"/>
                <w:szCs w:val="24"/>
              </w:rPr>
            </w:pPr>
            <w:r>
              <w:rPr>
                <w:rFonts w:hint="eastAsia" w:ascii="宋体" w:hAnsi="宋体" w:eastAsia="宋体" w:cs="宋体"/>
                <w:sz w:val="24"/>
                <w:szCs w:val="24"/>
              </w:rPr>
              <w:t>1</w:t>
            </w:r>
          </w:p>
        </w:tc>
        <w:tc>
          <w:tcPr>
            <w:tcW w:w="2225" w:type="dxa"/>
            <w:vAlign w:val="center"/>
          </w:tcPr>
          <w:p w14:paraId="4E00DFEF">
            <w:pPr>
              <w:jc w:val="center"/>
              <w:rPr>
                <w:rFonts w:hint="eastAsia" w:ascii="宋体" w:hAnsi="宋体" w:eastAsia="宋体" w:cs="宋体"/>
                <w:sz w:val="24"/>
                <w:szCs w:val="24"/>
              </w:rPr>
            </w:pPr>
            <w:r>
              <w:rPr>
                <w:rFonts w:hint="eastAsia" w:ascii="宋体" w:hAnsi="宋体" w:eastAsia="宋体" w:cs="宋体"/>
                <w:sz w:val="24"/>
                <w:szCs w:val="24"/>
              </w:rPr>
              <w:t>采购人</w:t>
            </w:r>
          </w:p>
        </w:tc>
        <w:tc>
          <w:tcPr>
            <w:tcW w:w="6096" w:type="dxa"/>
            <w:vAlign w:val="center"/>
          </w:tcPr>
          <w:p w14:paraId="7B1B57FB">
            <w:pPr>
              <w:rPr>
                <w:rFonts w:hint="eastAsia" w:ascii="宋体" w:hAnsi="宋体" w:eastAsia="宋体" w:cs="宋体"/>
                <w:lang w:eastAsia="zh-CN"/>
              </w:rPr>
            </w:pPr>
            <w:r>
              <w:rPr>
                <w:rFonts w:hint="eastAsia" w:ascii="宋体" w:hAnsi="宋体" w:eastAsia="宋体" w:cs="宋体"/>
                <w:lang w:eastAsia="zh-CN"/>
              </w:rPr>
              <w:t>名称：石泉县物业管理与房产交易所</w:t>
            </w:r>
          </w:p>
          <w:p w14:paraId="6BE4852A">
            <w:pPr>
              <w:rPr>
                <w:rFonts w:hint="eastAsia" w:ascii="宋体" w:hAnsi="宋体" w:eastAsia="宋体" w:cs="宋体"/>
                <w:lang w:eastAsia="zh-CN"/>
              </w:rPr>
            </w:pPr>
            <w:r>
              <w:rPr>
                <w:rFonts w:hint="eastAsia" w:ascii="宋体" w:hAnsi="宋体" w:eastAsia="宋体" w:cs="宋体"/>
                <w:lang w:eastAsia="zh-CN"/>
              </w:rPr>
              <w:t>地址：陕西省安康市石泉县城关镇</w:t>
            </w:r>
          </w:p>
          <w:p w14:paraId="7A538295">
            <w:pPr>
              <w:rPr>
                <w:rFonts w:hint="eastAsia" w:ascii="宋体" w:hAnsi="宋体" w:eastAsia="宋体" w:cs="宋体"/>
                <w:lang w:val="en-US" w:eastAsia="zh-CN"/>
              </w:rPr>
            </w:pPr>
            <w:r>
              <w:rPr>
                <w:rFonts w:hint="eastAsia" w:ascii="宋体" w:hAnsi="宋体" w:eastAsia="宋体" w:cs="宋体"/>
                <w:lang w:eastAsia="zh-CN"/>
              </w:rPr>
              <w:t>联系人：</w:t>
            </w:r>
            <w:r>
              <w:rPr>
                <w:rFonts w:hint="eastAsia" w:ascii="宋体" w:hAnsi="宋体" w:eastAsia="宋体" w:cs="宋体"/>
                <w:lang w:val="en-US" w:eastAsia="zh-CN"/>
              </w:rPr>
              <w:t>石泉县物业管理与房产交易所经办</w:t>
            </w:r>
          </w:p>
          <w:p w14:paraId="11BFF1AA">
            <w:pPr>
              <w:rPr>
                <w:rFonts w:hint="eastAsia" w:ascii="宋体" w:hAnsi="宋体" w:eastAsia="宋体" w:cs="宋体"/>
                <w:sz w:val="24"/>
                <w:szCs w:val="24"/>
              </w:rPr>
            </w:pPr>
            <w:r>
              <w:rPr>
                <w:rFonts w:hint="eastAsia" w:ascii="宋体" w:hAnsi="宋体" w:eastAsia="宋体" w:cs="宋体"/>
                <w:lang w:eastAsia="zh-CN"/>
              </w:rPr>
              <w:t>联系方式：17791171181</w:t>
            </w:r>
          </w:p>
        </w:tc>
      </w:tr>
      <w:tr w14:paraId="2306E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7C119BC2">
            <w:pPr>
              <w:jc w:val="center"/>
              <w:rPr>
                <w:rFonts w:hint="eastAsia" w:ascii="宋体" w:hAnsi="宋体" w:eastAsia="宋体" w:cs="宋体"/>
                <w:sz w:val="24"/>
                <w:szCs w:val="24"/>
              </w:rPr>
            </w:pPr>
            <w:r>
              <w:rPr>
                <w:rFonts w:hint="eastAsia" w:ascii="宋体" w:hAnsi="宋体" w:eastAsia="宋体" w:cs="宋体"/>
                <w:sz w:val="24"/>
                <w:szCs w:val="24"/>
              </w:rPr>
              <w:t>2</w:t>
            </w:r>
          </w:p>
        </w:tc>
        <w:tc>
          <w:tcPr>
            <w:tcW w:w="2225" w:type="dxa"/>
            <w:vAlign w:val="center"/>
          </w:tcPr>
          <w:p w14:paraId="690EAD58">
            <w:pPr>
              <w:jc w:val="center"/>
              <w:rPr>
                <w:rFonts w:hint="eastAsia" w:ascii="宋体" w:hAnsi="宋体" w:eastAsia="宋体" w:cs="宋体"/>
                <w:sz w:val="24"/>
                <w:szCs w:val="24"/>
              </w:rPr>
            </w:pPr>
            <w:r>
              <w:rPr>
                <w:rFonts w:hint="eastAsia" w:ascii="宋体" w:hAnsi="宋体" w:eastAsia="宋体" w:cs="宋体"/>
                <w:sz w:val="24"/>
                <w:szCs w:val="24"/>
              </w:rPr>
              <w:t>采购代理机构</w:t>
            </w:r>
          </w:p>
        </w:tc>
        <w:tc>
          <w:tcPr>
            <w:tcW w:w="6096" w:type="dxa"/>
            <w:vAlign w:val="center"/>
          </w:tcPr>
          <w:p w14:paraId="3E7E9AAC">
            <w:pPr>
              <w:rPr>
                <w:rFonts w:hint="eastAsia" w:ascii="宋体" w:hAnsi="宋体" w:eastAsia="宋体" w:cs="宋体"/>
              </w:rPr>
            </w:pPr>
            <w:r>
              <w:rPr>
                <w:rFonts w:hint="eastAsia" w:ascii="宋体" w:hAnsi="宋体" w:eastAsia="宋体" w:cs="宋体"/>
              </w:rPr>
              <w:t>名  称：亿诚建设项目管理有限公司</w:t>
            </w:r>
          </w:p>
          <w:p w14:paraId="7CEAE9F6">
            <w:pPr>
              <w:rPr>
                <w:rFonts w:hint="eastAsia" w:ascii="宋体" w:hAnsi="宋体" w:eastAsia="宋体" w:cs="宋体"/>
              </w:rPr>
            </w:pPr>
            <w:r>
              <w:rPr>
                <w:rFonts w:hint="eastAsia" w:ascii="宋体" w:hAnsi="宋体" w:eastAsia="宋体" w:cs="宋体"/>
              </w:rPr>
              <w:t>地  址：西安市高新区丈八五路高科尚都one尚城A座10F</w:t>
            </w:r>
          </w:p>
          <w:p w14:paraId="38E01F3B">
            <w:pPr>
              <w:rPr>
                <w:rFonts w:hint="eastAsia" w:ascii="宋体" w:hAnsi="宋体" w:eastAsia="宋体" w:cs="宋体"/>
              </w:rPr>
            </w:pPr>
            <w:r>
              <w:rPr>
                <w:rFonts w:hint="eastAsia" w:ascii="宋体" w:hAnsi="宋体" w:eastAsia="宋体" w:cs="宋体"/>
              </w:rPr>
              <w:t>联系人：刘恒云</w:t>
            </w:r>
          </w:p>
          <w:p w14:paraId="2352D7A4">
            <w:pPr>
              <w:rPr>
                <w:rFonts w:hint="eastAsia" w:ascii="宋体" w:hAnsi="宋体" w:eastAsia="宋体" w:cs="宋体"/>
              </w:rPr>
            </w:pPr>
            <w:r>
              <w:rPr>
                <w:rFonts w:hint="eastAsia" w:ascii="宋体" w:hAnsi="宋体" w:eastAsia="宋体" w:cs="宋体"/>
              </w:rPr>
              <w:t>电  话：15229053396</w:t>
            </w:r>
          </w:p>
        </w:tc>
      </w:tr>
      <w:tr w14:paraId="49CEF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0F46E7A2">
            <w:pPr>
              <w:jc w:val="center"/>
              <w:rPr>
                <w:rFonts w:hint="eastAsia" w:ascii="宋体" w:hAnsi="宋体" w:eastAsia="宋体" w:cs="宋体"/>
                <w:sz w:val="24"/>
                <w:szCs w:val="24"/>
              </w:rPr>
            </w:pPr>
            <w:r>
              <w:rPr>
                <w:rFonts w:hint="eastAsia" w:ascii="宋体" w:hAnsi="宋体" w:eastAsia="宋体" w:cs="宋体"/>
                <w:sz w:val="24"/>
                <w:szCs w:val="24"/>
              </w:rPr>
              <w:t>3</w:t>
            </w:r>
          </w:p>
        </w:tc>
        <w:tc>
          <w:tcPr>
            <w:tcW w:w="2225" w:type="dxa"/>
            <w:vAlign w:val="center"/>
          </w:tcPr>
          <w:p w14:paraId="627C6150">
            <w:pPr>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6096" w:type="dxa"/>
            <w:vAlign w:val="center"/>
          </w:tcPr>
          <w:p w14:paraId="00194537">
            <w:pPr>
              <w:rPr>
                <w:rFonts w:hint="eastAsia" w:ascii="宋体" w:hAnsi="宋体" w:eastAsia="宋体" w:cs="宋体"/>
                <w:lang w:eastAsia="zh-CN"/>
              </w:rPr>
            </w:pPr>
            <w:r>
              <w:rPr>
                <w:rFonts w:hint="eastAsia" w:ascii="宋体" w:hAnsi="宋体" w:eastAsia="宋体" w:cs="宋体"/>
                <w:lang w:eastAsia="zh-CN"/>
              </w:rPr>
              <w:t>2025年向阳片区老旧小区改造项目可研、初设、施工图纸设计项目</w:t>
            </w:r>
          </w:p>
        </w:tc>
      </w:tr>
      <w:tr w14:paraId="2B3BF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06" w:type="dxa"/>
            <w:vAlign w:val="center"/>
          </w:tcPr>
          <w:p w14:paraId="3734DDF6">
            <w:pPr>
              <w:jc w:val="center"/>
              <w:rPr>
                <w:rFonts w:hint="eastAsia" w:ascii="宋体" w:hAnsi="宋体" w:eastAsia="宋体" w:cs="宋体"/>
                <w:sz w:val="24"/>
                <w:szCs w:val="24"/>
              </w:rPr>
            </w:pPr>
            <w:r>
              <w:rPr>
                <w:rFonts w:hint="eastAsia" w:ascii="宋体" w:hAnsi="宋体" w:eastAsia="宋体" w:cs="宋体"/>
                <w:sz w:val="24"/>
                <w:szCs w:val="24"/>
              </w:rPr>
              <w:t>4</w:t>
            </w:r>
          </w:p>
        </w:tc>
        <w:tc>
          <w:tcPr>
            <w:tcW w:w="2225" w:type="dxa"/>
            <w:vAlign w:val="center"/>
          </w:tcPr>
          <w:p w14:paraId="78E3EBAD">
            <w:pPr>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6096" w:type="dxa"/>
            <w:vAlign w:val="center"/>
          </w:tcPr>
          <w:p w14:paraId="46CCB7CD">
            <w:pPr>
              <w:rPr>
                <w:rFonts w:hint="eastAsia" w:ascii="宋体" w:hAnsi="宋体" w:eastAsia="宋体" w:cs="宋体"/>
                <w:lang w:eastAsia="zh-CN"/>
              </w:rPr>
            </w:pPr>
            <w:r>
              <w:rPr>
                <w:rFonts w:hint="eastAsia" w:ascii="宋体" w:hAnsi="宋体" w:eastAsia="宋体" w:cs="宋体"/>
                <w:lang w:eastAsia="zh-CN"/>
              </w:rPr>
              <w:t>YC25440008（CGR）</w:t>
            </w:r>
          </w:p>
        </w:tc>
      </w:tr>
      <w:tr w14:paraId="4FE5F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576244AC">
            <w:pPr>
              <w:jc w:val="center"/>
              <w:rPr>
                <w:rFonts w:hint="eastAsia" w:ascii="宋体" w:hAnsi="宋体" w:eastAsia="宋体" w:cs="宋体"/>
                <w:sz w:val="24"/>
                <w:szCs w:val="24"/>
              </w:rPr>
            </w:pPr>
            <w:r>
              <w:rPr>
                <w:rFonts w:hint="eastAsia" w:ascii="宋体" w:hAnsi="宋体" w:eastAsia="宋体" w:cs="宋体"/>
                <w:sz w:val="24"/>
                <w:szCs w:val="24"/>
              </w:rPr>
              <w:t>5</w:t>
            </w:r>
          </w:p>
        </w:tc>
        <w:tc>
          <w:tcPr>
            <w:tcW w:w="2225" w:type="dxa"/>
            <w:vAlign w:val="center"/>
          </w:tcPr>
          <w:p w14:paraId="17C402AF">
            <w:pPr>
              <w:jc w:val="center"/>
              <w:rPr>
                <w:rFonts w:hint="eastAsia" w:ascii="宋体" w:hAnsi="宋体" w:eastAsia="宋体" w:cs="宋体"/>
                <w:sz w:val="24"/>
                <w:szCs w:val="24"/>
              </w:rPr>
            </w:pPr>
            <w:r>
              <w:rPr>
                <w:rFonts w:hint="eastAsia" w:ascii="宋体" w:hAnsi="宋体" w:eastAsia="宋体" w:cs="宋体"/>
                <w:sz w:val="24"/>
                <w:szCs w:val="24"/>
              </w:rPr>
              <w:t>采购内容</w:t>
            </w:r>
          </w:p>
        </w:tc>
        <w:tc>
          <w:tcPr>
            <w:tcW w:w="6096" w:type="dxa"/>
            <w:vAlign w:val="center"/>
          </w:tcPr>
          <w:p w14:paraId="05C049F0">
            <w:pPr>
              <w:rPr>
                <w:rFonts w:hint="eastAsia" w:ascii="宋体" w:hAnsi="宋体" w:eastAsia="宋体" w:cs="宋体"/>
                <w:lang w:eastAsia="zh-CN"/>
              </w:rPr>
            </w:pPr>
            <w:r>
              <w:rPr>
                <w:rFonts w:hint="eastAsia" w:ascii="宋体" w:hAnsi="宋体" w:eastAsia="宋体" w:cs="宋体"/>
                <w:lang w:eastAsia="zh-CN"/>
              </w:rPr>
              <w:t>2025年向阳片区老旧小区改造项目可研、初设、施工图纸设计项目</w:t>
            </w:r>
          </w:p>
        </w:tc>
      </w:tr>
      <w:tr w14:paraId="6D668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7C8A17AB">
            <w:pPr>
              <w:jc w:val="center"/>
              <w:rPr>
                <w:rFonts w:hint="eastAsia" w:ascii="宋体" w:hAnsi="宋体" w:eastAsia="宋体" w:cs="宋体"/>
                <w:sz w:val="24"/>
                <w:szCs w:val="24"/>
              </w:rPr>
            </w:pPr>
            <w:r>
              <w:rPr>
                <w:rFonts w:hint="eastAsia" w:ascii="宋体" w:hAnsi="宋体" w:eastAsia="宋体" w:cs="宋体"/>
                <w:sz w:val="24"/>
                <w:szCs w:val="24"/>
              </w:rPr>
              <w:t>6</w:t>
            </w:r>
          </w:p>
        </w:tc>
        <w:tc>
          <w:tcPr>
            <w:tcW w:w="2225" w:type="dxa"/>
            <w:vAlign w:val="center"/>
          </w:tcPr>
          <w:p w14:paraId="54C8A1C5">
            <w:pPr>
              <w:jc w:val="center"/>
              <w:rPr>
                <w:rFonts w:hint="eastAsia" w:ascii="宋体" w:hAnsi="宋体" w:eastAsia="宋体" w:cs="宋体"/>
                <w:sz w:val="24"/>
                <w:szCs w:val="24"/>
              </w:rPr>
            </w:pPr>
            <w:r>
              <w:rPr>
                <w:rFonts w:hint="eastAsia" w:ascii="宋体" w:hAnsi="宋体" w:eastAsia="宋体" w:cs="宋体"/>
                <w:sz w:val="24"/>
                <w:szCs w:val="24"/>
              </w:rPr>
              <w:t>是否预留份额</w:t>
            </w:r>
          </w:p>
          <w:p w14:paraId="390EC77C">
            <w:pPr>
              <w:jc w:val="center"/>
              <w:rPr>
                <w:rFonts w:hint="eastAsia" w:ascii="宋体" w:hAnsi="宋体" w:eastAsia="宋体" w:cs="宋体"/>
                <w:sz w:val="24"/>
                <w:szCs w:val="24"/>
              </w:rPr>
            </w:pPr>
            <w:r>
              <w:rPr>
                <w:rFonts w:hint="eastAsia" w:ascii="宋体" w:hAnsi="宋体" w:eastAsia="宋体" w:cs="宋体"/>
                <w:sz w:val="24"/>
                <w:szCs w:val="24"/>
              </w:rPr>
              <w:t>专门面向中小企业采购</w:t>
            </w:r>
          </w:p>
        </w:tc>
        <w:tc>
          <w:tcPr>
            <w:tcW w:w="6096" w:type="dxa"/>
            <w:vAlign w:val="center"/>
          </w:tcPr>
          <w:p w14:paraId="4B49931B">
            <w:pPr>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 xml:space="preserve">是 </w:t>
            </w:r>
            <w:r>
              <w:rPr>
                <w:rFonts w:hint="eastAsia" w:ascii="宋体" w:hAnsi="宋体" w:eastAsia="宋体" w:cs="宋体"/>
                <w:lang w:eastAsia="zh-CN"/>
              </w:rPr>
              <w:t xml:space="preserve"> □否</w:t>
            </w:r>
          </w:p>
        </w:tc>
      </w:tr>
      <w:tr w14:paraId="0EBF2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28672873">
            <w:pPr>
              <w:jc w:val="center"/>
              <w:rPr>
                <w:rFonts w:hint="eastAsia" w:ascii="宋体" w:hAnsi="宋体" w:eastAsia="宋体" w:cs="宋体"/>
                <w:sz w:val="24"/>
                <w:szCs w:val="24"/>
              </w:rPr>
            </w:pPr>
            <w:r>
              <w:rPr>
                <w:rFonts w:hint="eastAsia" w:ascii="宋体" w:hAnsi="宋体" w:eastAsia="宋体" w:cs="宋体"/>
                <w:sz w:val="24"/>
                <w:szCs w:val="24"/>
              </w:rPr>
              <w:t>7</w:t>
            </w:r>
          </w:p>
        </w:tc>
        <w:tc>
          <w:tcPr>
            <w:tcW w:w="2225" w:type="dxa"/>
            <w:vAlign w:val="center"/>
          </w:tcPr>
          <w:p w14:paraId="23871E77">
            <w:pPr>
              <w:jc w:val="center"/>
              <w:rPr>
                <w:rFonts w:hint="eastAsia" w:ascii="宋体" w:hAnsi="宋体" w:eastAsia="宋体" w:cs="宋体"/>
                <w:sz w:val="24"/>
                <w:szCs w:val="24"/>
              </w:rPr>
            </w:pPr>
            <w:r>
              <w:rPr>
                <w:rFonts w:hint="eastAsia" w:ascii="宋体" w:hAnsi="宋体" w:eastAsia="宋体" w:cs="宋体"/>
                <w:sz w:val="24"/>
                <w:szCs w:val="24"/>
              </w:rPr>
              <w:t>预算金额</w:t>
            </w:r>
          </w:p>
        </w:tc>
        <w:tc>
          <w:tcPr>
            <w:tcW w:w="6096" w:type="dxa"/>
            <w:vAlign w:val="center"/>
          </w:tcPr>
          <w:p w14:paraId="168F513E">
            <w:pPr>
              <w:rPr>
                <w:rFonts w:hint="eastAsia" w:ascii="宋体" w:hAnsi="宋体" w:eastAsia="宋体" w:cs="宋体"/>
              </w:rPr>
            </w:pPr>
            <w:r>
              <w:rPr>
                <w:rFonts w:hint="eastAsia" w:ascii="宋体" w:hAnsi="宋体" w:eastAsia="宋体" w:cs="宋体"/>
                <w:lang w:val="en-US" w:eastAsia="zh-CN"/>
              </w:rPr>
              <w:t>291000.00</w:t>
            </w:r>
            <w:r>
              <w:rPr>
                <w:rFonts w:hint="eastAsia" w:ascii="宋体" w:hAnsi="宋体" w:eastAsia="宋体" w:cs="宋体"/>
              </w:rPr>
              <w:t>元</w:t>
            </w:r>
          </w:p>
        </w:tc>
      </w:tr>
      <w:tr w14:paraId="25AD8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706" w:type="dxa"/>
            <w:vAlign w:val="center"/>
          </w:tcPr>
          <w:p w14:paraId="37306089">
            <w:pPr>
              <w:jc w:val="center"/>
              <w:rPr>
                <w:rFonts w:hint="eastAsia" w:ascii="宋体" w:hAnsi="宋体" w:eastAsia="宋体" w:cs="宋体"/>
                <w:sz w:val="24"/>
                <w:szCs w:val="24"/>
              </w:rPr>
            </w:pPr>
            <w:r>
              <w:rPr>
                <w:rFonts w:hint="eastAsia" w:ascii="宋体" w:hAnsi="宋体" w:eastAsia="宋体" w:cs="宋体"/>
                <w:sz w:val="24"/>
                <w:szCs w:val="24"/>
              </w:rPr>
              <w:t>8</w:t>
            </w:r>
          </w:p>
        </w:tc>
        <w:tc>
          <w:tcPr>
            <w:tcW w:w="2225" w:type="dxa"/>
            <w:vAlign w:val="center"/>
          </w:tcPr>
          <w:p w14:paraId="1493BCCD">
            <w:pPr>
              <w:jc w:val="center"/>
              <w:rPr>
                <w:rFonts w:hint="eastAsia" w:ascii="宋体" w:hAnsi="宋体" w:eastAsia="宋体" w:cs="宋体"/>
                <w:sz w:val="24"/>
                <w:szCs w:val="24"/>
              </w:rPr>
            </w:pPr>
            <w:r>
              <w:rPr>
                <w:rFonts w:hint="eastAsia" w:ascii="宋体" w:hAnsi="宋体" w:eastAsia="宋体" w:cs="宋体"/>
                <w:sz w:val="24"/>
                <w:szCs w:val="24"/>
              </w:rPr>
              <w:t>最高限价</w:t>
            </w:r>
          </w:p>
        </w:tc>
        <w:tc>
          <w:tcPr>
            <w:tcW w:w="6096" w:type="dxa"/>
            <w:vAlign w:val="center"/>
          </w:tcPr>
          <w:p w14:paraId="4309C1F3">
            <w:pPr>
              <w:rPr>
                <w:rFonts w:hint="eastAsia" w:ascii="宋体" w:hAnsi="宋体" w:eastAsia="宋体" w:cs="宋体"/>
              </w:rPr>
            </w:pPr>
            <w:r>
              <w:rPr>
                <w:rFonts w:hint="eastAsia" w:ascii="宋体" w:hAnsi="宋体" w:eastAsia="宋体" w:cs="宋体"/>
                <w:lang w:val="en-US" w:eastAsia="zh-CN"/>
              </w:rPr>
              <w:t>291000.00</w:t>
            </w:r>
            <w:r>
              <w:rPr>
                <w:rFonts w:hint="eastAsia" w:ascii="宋体" w:hAnsi="宋体" w:eastAsia="宋体" w:cs="宋体"/>
              </w:rPr>
              <w:t>元</w:t>
            </w:r>
          </w:p>
          <w:p w14:paraId="396923A9">
            <w:pPr>
              <w:rPr>
                <w:rFonts w:hint="eastAsia" w:ascii="宋体" w:hAnsi="宋体" w:eastAsia="宋体" w:cs="宋体"/>
                <w:lang w:val="en-US" w:eastAsia="zh-CN"/>
              </w:rPr>
            </w:pPr>
            <w:r>
              <w:rPr>
                <w:rFonts w:hint="eastAsia" w:ascii="宋体" w:hAnsi="宋体" w:eastAsia="宋体" w:cs="宋体"/>
                <w:lang w:val="en-US" w:eastAsia="zh-CN"/>
              </w:rPr>
              <w:t>投标人所报投标报价不得超过本项目最高限价，否则按无效文件处理。</w:t>
            </w:r>
          </w:p>
        </w:tc>
      </w:tr>
      <w:tr w14:paraId="041A0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1283CF01">
            <w:pPr>
              <w:jc w:val="center"/>
              <w:rPr>
                <w:rFonts w:hint="eastAsia" w:ascii="宋体" w:hAnsi="宋体" w:eastAsia="宋体" w:cs="宋体"/>
                <w:sz w:val="24"/>
                <w:szCs w:val="24"/>
              </w:rPr>
            </w:pPr>
            <w:r>
              <w:rPr>
                <w:rFonts w:hint="eastAsia" w:ascii="宋体" w:hAnsi="宋体" w:eastAsia="宋体" w:cs="宋体"/>
                <w:sz w:val="24"/>
                <w:szCs w:val="24"/>
              </w:rPr>
              <w:t>9</w:t>
            </w:r>
          </w:p>
        </w:tc>
        <w:tc>
          <w:tcPr>
            <w:tcW w:w="2225" w:type="dxa"/>
            <w:vAlign w:val="center"/>
          </w:tcPr>
          <w:p w14:paraId="218E1C5A">
            <w:pPr>
              <w:jc w:val="center"/>
              <w:rPr>
                <w:rFonts w:hint="eastAsia" w:ascii="宋体" w:hAnsi="宋体" w:eastAsia="宋体" w:cs="宋体"/>
                <w:sz w:val="24"/>
                <w:szCs w:val="24"/>
              </w:rPr>
            </w:pPr>
            <w:r>
              <w:rPr>
                <w:rFonts w:hint="eastAsia" w:ascii="宋体" w:hAnsi="宋体" w:eastAsia="宋体" w:cs="宋体"/>
                <w:sz w:val="24"/>
                <w:szCs w:val="24"/>
              </w:rPr>
              <w:t>是否接受联合体</w:t>
            </w:r>
          </w:p>
        </w:tc>
        <w:tc>
          <w:tcPr>
            <w:tcW w:w="6096" w:type="dxa"/>
            <w:vAlign w:val="center"/>
          </w:tcPr>
          <w:p w14:paraId="441F3A98">
            <w:pPr>
              <w:rPr>
                <w:rFonts w:hint="eastAsia" w:ascii="宋体" w:hAnsi="宋体" w:eastAsia="宋体" w:cs="宋体"/>
              </w:rPr>
            </w:pPr>
            <w:r>
              <w:rPr>
                <w:rFonts w:hint="eastAsia" w:ascii="宋体" w:hAnsi="宋体" w:eastAsia="宋体" w:cs="宋体"/>
              </w:rPr>
              <w:t>☐是  ☑否</w:t>
            </w:r>
          </w:p>
        </w:tc>
      </w:tr>
      <w:tr w14:paraId="6197A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6" w:type="dxa"/>
            <w:vAlign w:val="center"/>
          </w:tcPr>
          <w:p w14:paraId="68E2232A">
            <w:pPr>
              <w:jc w:val="center"/>
              <w:rPr>
                <w:rFonts w:hint="eastAsia" w:ascii="宋体" w:hAnsi="宋体" w:eastAsia="宋体" w:cs="宋体"/>
                <w:sz w:val="24"/>
                <w:szCs w:val="24"/>
              </w:rPr>
            </w:pPr>
            <w:r>
              <w:rPr>
                <w:rFonts w:hint="eastAsia" w:ascii="宋体" w:hAnsi="宋体" w:eastAsia="宋体" w:cs="宋体"/>
                <w:sz w:val="24"/>
                <w:szCs w:val="24"/>
              </w:rPr>
              <w:t>10</w:t>
            </w:r>
          </w:p>
        </w:tc>
        <w:tc>
          <w:tcPr>
            <w:tcW w:w="2225" w:type="dxa"/>
            <w:vAlign w:val="center"/>
          </w:tcPr>
          <w:p w14:paraId="74738CE9">
            <w:pPr>
              <w:jc w:val="center"/>
              <w:rPr>
                <w:rFonts w:hint="eastAsia" w:ascii="宋体" w:hAnsi="宋体" w:eastAsia="宋体" w:cs="宋体"/>
                <w:sz w:val="24"/>
                <w:szCs w:val="24"/>
              </w:rPr>
            </w:pPr>
            <w:r>
              <w:rPr>
                <w:rFonts w:hint="eastAsia" w:ascii="宋体" w:hAnsi="宋体" w:eastAsia="宋体" w:cs="宋体"/>
                <w:sz w:val="24"/>
                <w:szCs w:val="24"/>
              </w:rPr>
              <w:t>是否允许进口产品</w:t>
            </w:r>
          </w:p>
        </w:tc>
        <w:tc>
          <w:tcPr>
            <w:tcW w:w="6096" w:type="dxa"/>
            <w:vAlign w:val="center"/>
          </w:tcPr>
          <w:p w14:paraId="39E5AE8C">
            <w:pPr>
              <w:rPr>
                <w:rFonts w:hint="eastAsia" w:ascii="宋体" w:hAnsi="宋体" w:eastAsia="宋体" w:cs="宋体"/>
              </w:rPr>
            </w:pPr>
            <w:r>
              <w:rPr>
                <w:rFonts w:hint="eastAsia" w:ascii="宋体" w:hAnsi="宋体" w:eastAsia="宋体" w:cs="宋体"/>
              </w:rPr>
              <w:t>☐是  ☑否</w:t>
            </w:r>
          </w:p>
        </w:tc>
      </w:tr>
      <w:tr w14:paraId="61417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3451AFC9">
            <w:pPr>
              <w:jc w:val="center"/>
              <w:rPr>
                <w:rFonts w:hint="eastAsia" w:ascii="宋体" w:hAnsi="宋体" w:eastAsia="宋体" w:cs="宋体"/>
                <w:sz w:val="24"/>
                <w:szCs w:val="24"/>
              </w:rPr>
            </w:pPr>
            <w:r>
              <w:rPr>
                <w:rFonts w:hint="eastAsia" w:ascii="宋体" w:hAnsi="宋体" w:eastAsia="宋体" w:cs="宋体"/>
                <w:sz w:val="24"/>
                <w:szCs w:val="24"/>
              </w:rPr>
              <w:t>11</w:t>
            </w:r>
          </w:p>
        </w:tc>
        <w:tc>
          <w:tcPr>
            <w:tcW w:w="2225" w:type="dxa"/>
            <w:vAlign w:val="center"/>
          </w:tcPr>
          <w:p w14:paraId="32F76DBD">
            <w:pPr>
              <w:jc w:val="center"/>
              <w:rPr>
                <w:rFonts w:hint="eastAsia" w:ascii="宋体" w:hAnsi="宋体" w:eastAsia="宋体" w:cs="宋体"/>
                <w:sz w:val="24"/>
                <w:szCs w:val="24"/>
              </w:rPr>
            </w:pPr>
            <w:r>
              <w:rPr>
                <w:rFonts w:hint="eastAsia" w:ascii="宋体" w:hAnsi="宋体" w:eastAsia="宋体" w:cs="宋体"/>
                <w:sz w:val="24"/>
                <w:szCs w:val="24"/>
              </w:rPr>
              <w:t>是否允许分包</w:t>
            </w:r>
          </w:p>
        </w:tc>
        <w:tc>
          <w:tcPr>
            <w:tcW w:w="6096" w:type="dxa"/>
            <w:vAlign w:val="center"/>
          </w:tcPr>
          <w:p w14:paraId="60E01ED3">
            <w:pPr>
              <w:rPr>
                <w:rFonts w:hint="eastAsia" w:ascii="宋体" w:hAnsi="宋体" w:eastAsia="宋体" w:cs="宋体"/>
                <w:lang w:val="en-US" w:eastAsia="zh-CN"/>
              </w:rPr>
            </w:pPr>
            <w:r>
              <w:rPr>
                <w:rFonts w:hint="eastAsia" w:ascii="宋体" w:hAnsi="宋体" w:eastAsia="宋体" w:cs="宋体"/>
                <w:lang w:val="en-US" w:eastAsia="zh-CN"/>
              </w:rPr>
              <w:t xml:space="preserve">本项目是否允许分包： </w:t>
            </w:r>
          </w:p>
          <w:p w14:paraId="385AFC6A">
            <w:pPr>
              <w:rPr>
                <w:rFonts w:hint="eastAsia" w:ascii="宋体" w:hAnsi="宋体" w:eastAsia="宋体" w:cs="宋体"/>
                <w:lang w:val="en-US" w:eastAsia="zh-CN"/>
              </w:rPr>
            </w:pPr>
            <w:r>
              <w:rPr>
                <w:rFonts w:hint="eastAsia" w:ascii="宋体" w:hAnsi="宋体" w:eastAsia="宋体" w:cs="宋体"/>
                <w:lang w:val="en-US" w:eastAsia="zh-CN"/>
              </w:rPr>
              <w:t>☑ 不允许</w:t>
            </w:r>
          </w:p>
          <w:p w14:paraId="708B5230">
            <w:pPr>
              <w:rPr>
                <w:rFonts w:hint="eastAsia" w:ascii="宋体" w:hAnsi="宋体" w:eastAsia="宋体" w:cs="宋体"/>
              </w:rPr>
            </w:pPr>
            <w:r>
              <w:rPr>
                <w:rFonts w:hint="eastAsia" w:ascii="宋体" w:hAnsi="宋体" w:eastAsia="宋体" w:cs="宋体"/>
              </w:rPr>
              <w:t>☐ 允许，具体要求：_______。</w:t>
            </w:r>
          </w:p>
          <w:p w14:paraId="3CC0EBF6">
            <w:pPr>
              <w:rPr>
                <w:rFonts w:hint="eastAsia" w:ascii="宋体" w:hAnsi="宋体" w:eastAsia="宋体" w:cs="宋体"/>
              </w:rPr>
            </w:pPr>
            <w:r>
              <w:rPr>
                <w:rFonts w:hint="eastAsia" w:ascii="宋体" w:hAnsi="宋体" w:eastAsia="宋体" w:cs="宋体"/>
              </w:rPr>
              <w:t>（1）可以分包履行的具体内容：_______；</w:t>
            </w:r>
          </w:p>
          <w:p w14:paraId="1610FCA3">
            <w:pPr>
              <w:rPr>
                <w:rFonts w:hint="eastAsia" w:ascii="宋体" w:hAnsi="宋体" w:eastAsia="宋体" w:cs="宋体"/>
              </w:rPr>
            </w:pPr>
            <w:r>
              <w:rPr>
                <w:rFonts w:hint="eastAsia" w:ascii="宋体" w:hAnsi="宋体" w:eastAsia="宋体" w:cs="宋体"/>
              </w:rPr>
              <w:t>（2）允许分包的金额或者比例：_______；</w:t>
            </w:r>
          </w:p>
          <w:p w14:paraId="2E49750B">
            <w:pPr>
              <w:rPr>
                <w:rFonts w:hint="eastAsia" w:ascii="宋体" w:hAnsi="宋体" w:eastAsia="宋体" w:cs="宋体"/>
              </w:rPr>
            </w:pPr>
            <w:r>
              <w:rPr>
                <w:rFonts w:hint="eastAsia" w:ascii="宋体" w:hAnsi="宋体" w:eastAsia="宋体" w:cs="宋体"/>
              </w:rPr>
              <w:t>（3）其他要求：_______。</w:t>
            </w:r>
          </w:p>
        </w:tc>
      </w:tr>
      <w:tr w14:paraId="3102A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2627A196">
            <w:pPr>
              <w:jc w:val="center"/>
              <w:rPr>
                <w:rFonts w:hint="eastAsia" w:ascii="宋体" w:hAnsi="宋体" w:eastAsia="宋体" w:cs="宋体"/>
                <w:sz w:val="24"/>
                <w:szCs w:val="24"/>
              </w:rPr>
            </w:pPr>
            <w:r>
              <w:rPr>
                <w:rFonts w:hint="eastAsia" w:ascii="宋体" w:hAnsi="宋体" w:eastAsia="宋体" w:cs="宋体"/>
                <w:sz w:val="24"/>
                <w:szCs w:val="24"/>
              </w:rPr>
              <w:t>12</w:t>
            </w:r>
          </w:p>
        </w:tc>
        <w:tc>
          <w:tcPr>
            <w:tcW w:w="2225" w:type="dxa"/>
            <w:vAlign w:val="center"/>
          </w:tcPr>
          <w:p w14:paraId="4013FF5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服务期</w:t>
            </w:r>
          </w:p>
        </w:tc>
        <w:tc>
          <w:tcPr>
            <w:tcW w:w="6096" w:type="dxa"/>
            <w:vAlign w:val="center"/>
          </w:tcPr>
          <w:p w14:paraId="48C810AC">
            <w:pPr>
              <w:rPr>
                <w:rFonts w:hint="default" w:ascii="宋体" w:hAnsi="宋体" w:eastAsia="宋体" w:cs="宋体"/>
                <w:lang w:val="en-US" w:eastAsia="zh-CN"/>
              </w:rPr>
            </w:pPr>
            <w:r>
              <w:rPr>
                <w:rFonts w:hint="eastAsia" w:ascii="宋体" w:hAnsi="宋体" w:eastAsia="宋体" w:cs="宋体"/>
              </w:rPr>
              <w:t>合同签订之日</w:t>
            </w:r>
            <w:r>
              <w:rPr>
                <w:rFonts w:hint="eastAsia" w:ascii="宋体" w:hAnsi="宋体" w:eastAsia="宋体" w:cs="宋体"/>
                <w:lang w:val="en-US" w:eastAsia="zh-CN"/>
              </w:rPr>
              <w:t>30日历天</w:t>
            </w:r>
          </w:p>
        </w:tc>
      </w:tr>
      <w:tr w14:paraId="74AD3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292443D2">
            <w:pPr>
              <w:jc w:val="center"/>
              <w:rPr>
                <w:rFonts w:hint="eastAsia" w:ascii="宋体" w:hAnsi="宋体" w:eastAsia="宋体" w:cs="宋体"/>
                <w:sz w:val="24"/>
                <w:szCs w:val="24"/>
              </w:rPr>
            </w:pPr>
            <w:r>
              <w:rPr>
                <w:rFonts w:hint="eastAsia" w:ascii="宋体" w:hAnsi="宋体" w:eastAsia="宋体" w:cs="宋体"/>
                <w:sz w:val="24"/>
                <w:szCs w:val="24"/>
              </w:rPr>
              <w:t>13</w:t>
            </w:r>
          </w:p>
        </w:tc>
        <w:tc>
          <w:tcPr>
            <w:tcW w:w="2225" w:type="dxa"/>
            <w:vAlign w:val="center"/>
          </w:tcPr>
          <w:p w14:paraId="73193F33">
            <w:pPr>
              <w:jc w:val="center"/>
              <w:rPr>
                <w:rFonts w:hint="eastAsia" w:ascii="宋体" w:hAnsi="宋体" w:eastAsia="宋体" w:cs="宋体"/>
                <w:sz w:val="24"/>
                <w:szCs w:val="24"/>
              </w:rPr>
            </w:pPr>
            <w:r>
              <w:rPr>
                <w:rFonts w:hint="eastAsia" w:ascii="宋体" w:hAnsi="宋体" w:eastAsia="宋体" w:cs="宋体"/>
                <w:sz w:val="24"/>
                <w:szCs w:val="24"/>
              </w:rPr>
              <w:t>供应商资格要求</w:t>
            </w:r>
          </w:p>
        </w:tc>
        <w:tc>
          <w:tcPr>
            <w:tcW w:w="6096" w:type="dxa"/>
            <w:vAlign w:val="center"/>
          </w:tcPr>
          <w:p w14:paraId="5F1B382F">
            <w:pPr>
              <w:rPr>
                <w:rFonts w:hint="eastAsia" w:ascii="宋体" w:hAnsi="宋体" w:eastAsia="宋体" w:cs="宋体"/>
              </w:rPr>
            </w:pPr>
            <w:r>
              <w:rPr>
                <w:rFonts w:hint="eastAsia" w:ascii="宋体" w:hAnsi="宋体" w:eastAsia="宋体" w:cs="宋体"/>
              </w:rPr>
              <w:t>1.满足《中华人民共和国政府采购法》第二十二条规定；</w:t>
            </w:r>
          </w:p>
          <w:p w14:paraId="7272136C">
            <w:pPr>
              <w:rPr>
                <w:rFonts w:hint="eastAsia" w:ascii="宋体" w:hAnsi="宋体" w:eastAsia="宋体" w:cs="宋体"/>
              </w:rPr>
            </w:pPr>
            <w:r>
              <w:rPr>
                <w:rFonts w:hint="eastAsia" w:ascii="宋体" w:hAnsi="宋体" w:eastAsia="宋体" w:cs="宋体"/>
              </w:rPr>
              <w:t>2.落实政府采购政策需满足的资格要求：</w:t>
            </w:r>
          </w:p>
          <w:p w14:paraId="7F482149">
            <w:pPr>
              <w:rPr>
                <w:rFonts w:hint="eastAsia" w:ascii="宋体" w:hAnsi="宋体" w:eastAsia="宋体" w:cs="宋体"/>
              </w:rPr>
            </w:pPr>
            <w:r>
              <w:rPr>
                <w:rFonts w:hint="eastAsia" w:ascii="宋体" w:hAnsi="宋体" w:eastAsia="宋体" w:cs="宋体"/>
              </w:rPr>
              <w:t>☑本项目为专门面向中小企业项目</w:t>
            </w:r>
          </w:p>
          <w:p w14:paraId="49B40FD5">
            <w:pPr>
              <w:rPr>
                <w:rFonts w:hint="eastAsia" w:ascii="宋体" w:hAnsi="宋体" w:eastAsia="宋体" w:cs="宋体"/>
              </w:rPr>
            </w:pPr>
            <w:r>
              <w:rPr>
                <w:rFonts w:hint="eastAsia" w:ascii="宋体" w:hAnsi="宋体" w:eastAsia="宋体" w:cs="宋体"/>
              </w:rPr>
              <w:t>本项目的特定资格要求：</w:t>
            </w:r>
          </w:p>
          <w:p w14:paraId="49B8D2EC">
            <w:pPr>
              <w:rPr>
                <w:rFonts w:hint="eastAsia" w:ascii="宋体" w:hAnsi="宋体" w:eastAsia="宋体" w:cs="宋体"/>
                <w:lang w:val="en-US" w:eastAsia="zh-CN"/>
              </w:rPr>
            </w:pPr>
            <w:r>
              <w:rPr>
                <w:rFonts w:hint="eastAsia" w:ascii="宋体" w:hAnsi="宋体" w:eastAsia="宋体" w:cs="宋体"/>
                <w:lang w:val="en-US" w:eastAsia="zh-CN"/>
              </w:rPr>
              <w:t>（1）提供有效合格的统一社会信用代码的营业执照，其他组织经营的须提供合法凭证，自然人的提供身份证明文件；</w:t>
            </w:r>
          </w:p>
          <w:p w14:paraId="344D1BDE">
            <w:pPr>
              <w:rPr>
                <w:rFonts w:hint="eastAsia" w:ascii="宋体" w:hAnsi="宋体" w:eastAsia="宋体" w:cs="宋体"/>
                <w:lang w:val="en-US" w:eastAsia="zh-CN"/>
              </w:rPr>
            </w:pPr>
            <w:r>
              <w:rPr>
                <w:rFonts w:hint="eastAsia" w:ascii="宋体" w:hAnsi="宋体" w:eastAsia="宋体" w:cs="宋体"/>
                <w:lang w:val="en-US" w:eastAsia="zh-CN"/>
              </w:rPr>
              <w:t>（2）法定代表人直接参加投标的，须出具法定代表人身份证；法定代表人授权代表参加投标的，须出具法定代表人授权委托书、法定代表人身份证复印件以及被授权代表身份证复印件；</w:t>
            </w:r>
          </w:p>
          <w:p w14:paraId="03B9694D">
            <w:pPr>
              <w:rPr>
                <w:rFonts w:hint="eastAsia" w:ascii="宋体" w:hAnsi="宋体" w:eastAsia="宋体" w:cs="宋体"/>
                <w:lang w:val="en-US" w:eastAsia="zh-CN"/>
              </w:rPr>
            </w:pPr>
            <w:r>
              <w:rPr>
                <w:rFonts w:hint="eastAsia" w:ascii="宋体" w:hAnsi="宋体" w:eastAsia="宋体" w:cs="宋体"/>
                <w:lang w:val="en-US" w:eastAsia="zh-CN"/>
              </w:rPr>
              <w:t>（3）供应商应具备工程设计综合甲级资质或建筑设计乙级及以上资质；同时项目负责人须具备相应专业中级（含中级）及以上工程师职称；</w:t>
            </w:r>
          </w:p>
          <w:p w14:paraId="37CC4CBD">
            <w:pPr>
              <w:rPr>
                <w:rFonts w:hint="eastAsia" w:ascii="宋体" w:hAnsi="宋体" w:eastAsia="宋体" w:cs="宋体"/>
                <w:lang w:val="en-US" w:eastAsia="zh-CN"/>
              </w:rPr>
            </w:pPr>
            <w:r>
              <w:rPr>
                <w:rFonts w:hint="eastAsia" w:ascii="宋体" w:hAnsi="宋体" w:eastAsia="宋体" w:cs="宋体"/>
                <w:lang w:val="en-US" w:eastAsia="zh-CN"/>
              </w:rPr>
              <w:t xml:space="preserve">（4）财务状况报告:提供2023或2024年度经会计师事务所出具的财务报告（至少应包括资产负债表和利润表，成立时间至提交投标文件截止时间不足一年的可提供成立后任意时间段的财务报表）或提交投标文件截止时间前六个月内其基本账户开户银行出具的资信证明；     </w:t>
            </w:r>
          </w:p>
          <w:p w14:paraId="5391A607">
            <w:pPr>
              <w:rPr>
                <w:rFonts w:hint="eastAsia" w:ascii="宋体" w:hAnsi="宋体" w:eastAsia="宋体" w:cs="宋体"/>
                <w:lang w:val="en-US" w:eastAsia="zh-CN"/>
              </w:rPr>
            </w:pPr>
            <w:r>
              <w:rPr>
                <w:rFonts w:hint="eastAsia" w:ascii="宋体" w:hAnsi="宋体" w:eastAsia="宋体" w:cs="宋体"/>
                <w:lang w:val="en-US" w:eastAsia="zh-CN"/>
              </w:rPr>
              <w:t>（5）社会保障资金缴纳证明:自2025年1月1日以来已缴存的至少一个月的社会保障资金缴存单据或社保机构开具的社会保险参保缴费情况证明，单据或证明上应有社保机构或代收机构的公章或业务专用章。依法不需要缴纳社会保障资金的供应商应提供相关文件证明；</w:t>
            </w:r>
          </w:p>
          <w:p w14:paraId="1981CF9C">
            <w:pPr>
              <w:rPr>
                <w:rFonts w:hint="eastAsia" w:ascii="宋体" w:hAnsi="宋体" w:eastAsia="宋体" w:cs="宋体"/>
                <w:lang w:val="en-US" w:eastAsia="zh-CN"/>
              </w:rPr>
            </w:pPr>
            <w:r>
              <w:rPr>
                <w:rFonts w:hint="eastAsia" w:ascii="宋体" w:hAnsi="宋体" w:eastAsia="宋体" w:cs="宋体"/>
                <w:lang w:val="en-US" w:eastAsia="zh-CN"/>
              </w:rPr>
              <w:t>（6）税收缴纳证明:自2025年1月1日以来已缴纳的至少一个月的纳税证明或完税证明，纳税证明或完税证明上应有代收机构或税务机关的公章或业务专用章。依法免税的供应商应提供相关文件证明；</w:t>
            </w:r>
          </w:p>
          <w:p w14:paraId="72BC4168">
            <w:pPr>
              <w:rPr>
                <w:rFonts w:hint="eastAsia" w:ascii="宋体" w:hAnsi="宋体" w:eastAsia="宋体" w:cs="宋体"/>
                <w:lang w:val="en-US" w:eastAsia="zh-CN"/>
              </w:rPr>
            </w:pPr>
            <w:r>
              <w:rPr>
                <w:rFonts w:hint="eastAsia" w:ascii="宋体" w:hAnsi="宋体" w:eastAsia="宋体" w:cs="宋体"/>
                <w:lang w:val="en-US" w:eastAsia="zh-CN"/>
              </w:rPr>
              <w:t>（7）通过中国政府采购网（www.ccgp.gov.cn）和“信用中国”网站(www.creditchina.gov.cn)查询相关主体无失信记录（网站查询的截图，加盖企业公章）以及参加政府采购活动前3年内在经营活动中没有重大违法记录的书面声明；</w:t>
            </w:r>
          </w:p>
          <w:p w14:paraId="4BAA2A43">
            <w:pPr>
              <w:rPr>
                <w:rFonts w:hint="eastAsia" w:ascii="宋体" w:hAnsi="宋体" w:eastAsia="宋体" w:cs="宋体"/>
                <w:lang w:val="en-US" w:eastAsia="zh-CN"/>
              </w:rPr>
            </w:pPr>
            <w:r>
              <w:rPr>
                <w:rFonts w:hint="eastAsia" w:ascii="宋体" w:hAnsi="宋体" w:eastAsia="宋体" w:cs="宋体"/>
                <w:lang w:val="en-US" w:eastAsia="zh-CN"/>
              </w:rPr>
              <w:t>（8）供应商应提供中小企业声明函或残疾人福利性单位声明函或监狱企业证明文件；</w:t>
            </w:r>
          </w:p>
          <w:p w14:paraId="5EAA00E9">
            <w:pPr>
              <w:rPr>
                <w:rFonts w:hint="eastAsia" w:ascii="宋体" w:hAnsi="宋体" w:eastAsia="宋体" w:cs="宋体"/>
              </w:rPr>
            </w:pPr>
            <w:r>
              <w:rPr>
                <w:rFonts w:hint="eastAsia" w:ascii="宋体" w:hAnsi="宋体" w:eastAsia="宋体" w:cs="宋体"/>
                <w:lang w:val="en-US" w:eastAsia="zh-CN"/>
              </w:rPr>
              <w:t>（9）本项目不接受联合体投标。</w:t>
            </w:r>
          </w:p>
        </w:tc>
      </w:tr>
      <w:tr w14:paraId="3FB4A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1011B1B5">
            <w:pPr>
              <w:jc w:val="center"/>
              <w:rPr>
                <w:rFonts w:hint="eastAsia" w:ascii="宋体" w:hAnsi="宋体" w:eastAsia="宋体" w:cs="宋体"/>
                <w:sz w:val="24"/>
                <w:szCs w:val="24"/>
              </w:rPr>
            </w:pPr>
            <w:r>
              <w:rPr>
                <w:rFonts w:hint="eastAsia" w:ascii="宋体" w:hAnsi="宋体" w:eastAsia="宋体" w:cs="宋体"/>
                <w:sz w:val="24"/>
                <w:szCs w:val="24"/>
              </w:rPr>
              <w:t>14</w:t>
            </w:r>
          </w:p>
        </w:tc>
        <w:tc>
          <w:tcPr>
            <w:tcW w:w="2225" w:type="dxa"/>
            <w:vAlign w:val="center"/>
          </w:tcPr>
          <w:p w14:paraId="21EFD7B5">
            <w:pPr>
              <w:jc w:val="center"/>
              <w:rPr>
                <w:rFonts w:hint="eastAsia" w:ascii="宋体" w:hAnsi="宋体" w:eastAsia="宋体" w:cs="宋体"/>
                <w:sz w:val="24"/>
                <w:szCs w:val="24"/>
              </w:rPr>
            </w:pPr>
            <w:r>
              <w:rPr>
                <w:rFonts w:hint="eastAsia" w:ascii="宋体" w:hAnsi="宋体" w:eastAsia="宋体" w:cs="宋体"/>
                <w:sz w:val="24"/>
                <w:szCs w:val="24"/>
              </w:rPr>
              <w:t>评标办法</w:t>
            </w:r>
          </w:p>
        </w:tc>
        <w:tc>
          <w:tcPr>
            <w:tcW w:w="6096" w:type="dxa"/>
            <w:vAlign w:val="center"/>
          </w:tcPr>
          <w:p w14:paraId="2EC5304C">
            <w:pPr>
              <w:rPr>
                <w:rFonts w:hint="eastAsia" w:ascii="宋体" w:hAnsi="宋体" w:eastAsia="宋体" w:cs="宋体"/>
                <w:lang w:val="en-US" w:eastAsia="zh-CN"/>
              </w:rPr>
            </w:pPr>
            <w:r>
              <w:rPr>
                <w:rFonts w:hint="eastAsia" w:ascii="宋体" w:hAnsi="宋体" w:eastAsia="宋体" w:cs="宋体"/>
                <w:lang w:val="en-US" w:eastAsia="zh-CN"/>
              </w:rPr>
              <w:t>综合评分法</w:t>
            </w:r>
          </w:p>
        </w:tc>
      </w:tr>
      <w:tr w14:paraId="19F2D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6FAB71ED">
            <w:pPr>
              <w:jc w:val="center"/>
              <w:rPr>
                <w:rFonts w:hint="eastAsia" w:ascii="宋体" w:hAnsi="宋体" w:eastAsia="宋体" w:cs="宋体"/>
                <w:sz w:val="24"/>
                <w:szCs w:val="24"/>
              </w:rPr>
            </w:pPr>
            <w:r>
              <w:rPr>
                <w:rFonts w:hint="eastAsia" w:ascii="宋体" w:hAnsi="宋体" w:eastAsia="宋体" w:cs="宋体"/>
                <w:sz w:val="24"/>
                <w:szCs w:val="24"/>
              </w:rPr>
              <w:t>15</w:t>
            </w:r>
          </w:p>
        </w:tc>
        <w:tc>
          <w:tcPr>
            <w:tcW w:w="2225" w:type="dxa"/>
            <w:vAlign w:val="center"/>
          </w:tcPr>
          <w:p w14:paraId="5F1A1ECB">
            <w:pPr>
              <w:jc w:val="center"/>
              <w:rPr>
                <w:rFonts w:hint="eastAsia" w:ascii="宋体" w:hAnsi="宋体" w:eastAsia="宋体" w:cs="宋体"/>
                <w:sz w:val="24"/>
                <w:szCs w:val="24"/>
              </w:rPr>
            </w:pPr>
            <w:r>
              <w:rPr>
                <w:rFonts w:hint="eastAsia" w:ascii="宋体" w:hAnsi="宋体" w:eastAsia="宋体" w:cs="宋体"/>
                <w:sz w:val="24"/>
                <w:szCs w:val="24"/>
              </w:rPr>
              <w:t>磋商有效期</w:t>
            </w:r>
          </w:p>
        </w:tc>
        <w:tc>
          <w:tcPr>
            <w:tcW w:w="6096" w:type="dxa"/>
            <w:vAlign w:val="center"/>
          </w:tcPr>
          <w:p w14:paraId="50392C3E">
            <w:pPr>
              <w:rPr>
                <w:rFonts w:hint="eastAsia" w:ascii="宋体" w:hAnsi="宋体" w:eastAsia="宋体" w:cs="宋体"/>
                <w:lang w:val="en-US" w:eastAsia="zh-CN"/>
              </w:rPr>
            </w:pPr>
            <w:r>
              <w:rPr>
                <w:rFonts w:hint="eastAsia" w:ascii="宋体" w:hAnsi="宋体" w:eastAsia="宋体" w:cs="宋体"/>
                <w:lang w:val="en-US" w:eastAsia="zh-CN"/>
              </w:rPr>
              <w:t>递交磋商响应文件截止之日起90日历天</w:t>
            </w:r>
          </w:p>
        </w:tc>
      </w:tr>
      <w:tr w14:paraId="7C574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3FAF267B">
            <w:pPr>
              <w:jc w:val="center"/>
              <w:rPr>
                <w:rFonts w:hint="eastAsia" w:ascii="宋体" w:hAnsi="宋体" w:eastAsia="宋体" w:cs="宋体"/>
                <w:sz w:val="24"/>
                <w:szCs w:val="24"/>
              </w:rPr>
            </w:pPr>
            <w:r>
              <w:rPr>
                <w:rFonts w:hint="eastAsia" w:ascii="宋体" w:hAnsi="宋体" w:eastAsia="宋体" w:cs="宋体"/>
                <w:sz w:val="24"/>
                <w:szCs w:val="24"/>
              </w:rPr>
              <w:t>16</w:t>
            </w:r>
          </w:p>
        </w:tc>
        <w:tc>
          <w:tcPr>
            <w:tcW w:w="2225" w:type="dxa"/>
            <w:vAlign w:val="center"/>
          </w:tcPr>
          <w:p w14:paraId="01268848">
            <w:pPr>
              <w:jc w:val="center"/>
              <w:rPr>
                <w:rFonts w:hint="eastAsia" w:ascii="宋体" w:hAnsi="宋体" w:eastAsia="宋体" w:cs="宋体"/>
                <w:sz w:val="24"/>
                <w:szCs w:val="24"/>
              </w:rPr>
            </w:pPr>
            <w:r>
              <w:rPr>
                <w:rFonts w:hint="eastAsia" w:ascii="宋体" w:hAnsi="宋体" w:eastAsia="宋体" w:cs="宋体"/>
                <w:sz w:val="24"/>
                <w:szCs w:val="24"/>
              </w:rPr>
              <w:t>磋商前答疑会</w:t>
            </w:r>
          </w:p>
        </w:tc>
        <w:tc>
          <w:tcPr>
            <w:tcW w:w="6096" w:type="dxa"/>
            <w:vAlign w:val="center"/>
          </w:tcPr>
          <w:p w14:paraId="6F742AA0">
            <w:pPr>
              <w:rPr>
                <w:rFonts w:hint="eastAsia" w:ascii="宋体" w:hAnsi="宋体" w:eastAsia="宋体" w:cs="宋体"/>
                <w:lang w:val="en-US" w:eastAsia="zh-CN"/>
              </w:rPr>
            </w:pPr>
            <w:r>
              <w:rPr>
                <w:rFonts w:hint="eastAsia" w:ascii="宋体" w:hAnsi="宋体" w:eastAsia="宋体" w:cs="宋体"/>
                <w:lang w:val="en-US" w:eastAsia="zh-CN"/>
              </w:rPr>
              <w:t>不组织</w:t>
            </w:r>
          </w:p>
        </w:tc>
      </w:tr>
      <w:tr w14:paraId="63061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4F006AB7">
            <w:pPr>
              <w:jc w:val="center"/>
              <w:rPr>
                <w:rFonts w:hint="eastAsia" w:ascii="宋体" w:hAnsi="宋体" w:eastAsia="宋体" w:cs="宋体"/>
                <w:sz w:val="24"/>
                <w:szCs w:val="24"/>
              </w:rPr>
            </w:pPr>
            <w:r>
              <w:rPr>
                <w:rFonts w:hint="eastAsia" w:ascii="宋体" w:hAnsi="宋体" w:eastAsia="宋体" w:cs="宋体"/>
                <w:sz w:val="24"/>
                <w:szCs w:val="24"/>
              </w:rPr>
              <w:t>17</w:t>
            </w:r>
          </w:p>
        </w:tc>
        <w:tc>
          <w:tcPr>
            <w:tcW w:w="2225" w:type="dxa"/>
            <w:vAlign w:val="center"/>
          </w:tcPr>
          <w:p w14:paraId="48D449C2">
            <w:pPr>
              <w:jc w:val="center"/>
              <w:rPr>
                <w:rFonts w:hint="eastAsia" w:ascii="宋体" w:hAnsi="宋体" w:eastAsia="宋体" w:cs="宋体"/>
                <w:sz w:val="24"/>
                <w:szCs w:val="24"/>
              </w:rPr>
            </w:pPr>
            <w:r>
              <w:rPr>
                <w:rFonts w:hint="eastAsia" w:ascii="宋体" w:hAnsi="宋体" w:eastAsia="宋体" w:cs="宋体"/>
                <w:sz w:val="24"/>
                <w:szCs w:val="24"/>
              </w:rPr>
              <w:t>供应商提出询问和质疑的时间</w:t>
            </w:r>
          </w:p>
        </w:tc>
        <w:tc>
          <w:tcPr>
            <w:tcW w:w="6096" w:type="dxa"/>
            <w:vAlign w:val="center"/>
          </w:tcPr>
          <w:p w14:paraId="7AA248C7">
            <w:pPr>
              <w:rPr>
                <w:rFonts w:hint="eastAsia" w:ascii="宋体" w:hAnsi="宋体" w:eastAsia="宋体" w:cs="宋体"/>
                <w:lang w:val="en-US" w:eastAsia="zh-CN"/>
              </w:rPr>
            </w:pPr>
            <w:r>
              <w:rPr>
                <w:rFonts w:hint="eastAsia" w:ascii="宋体" w:hAnsi="宋体" w:eastAsia="宋体" w:cs="宋体"/>
                <w:lang w:val="en-US" w:eastAsia="zh-CN"/>
              </w:rPr>
              <w:t>供应商认为采购文件、采购过程、中标或者成交结果使自己的权益受到损害的，可以在知道或者应知其权益受到损害之日起7个工作日内，以书面形式向采购人、采购代理机构提出质疑。在此之后提出的询问和质疑均为无效，采购代理机构不予受理。供应商应当在法定质疑期内一次性提出针对同一采购程序环节的质疑。</w:t>
            </w:r>
          </w:p>
        </w:tc>
      </w:tr>
      <w:tr w14:paraId="785EC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58A15BE6">
            <w:pPr>
              <w:jc w:val="center"/>
              <w:rPr>
                <w:rFonts w:hint="eastAsia" w:ascii="宋体" w:hAnsi="宋体" w:eastAsia="宋体" w:cs="宋体"/>
                <w:sz w:val="24"/>
                <w:szCs w:val="24"/>
              </w:rPr>
            </w:pPr>
            <w:r>
              <w:rPr>
                <w:rFonts w:hint="eastAsia" w:ascii="宋体" w:hAnsi="宋体" w:eastAsia="宋体" w:cs="宋体"/>
                <w:sz w:val="24"/>
                <w:szCs w:val="24"/>
              </w:rPr>
              <w:t>18</w:t>
            </w:r>
          </w:p>
        </w:tc>
        <w:tc>
          <w:tcPr>
            <w:tcW w:w="2225" w:type="dxa"/>
            <w:vAlign w:val="center"/>
          </w:tcPr>
          <w:p w14:paraId="66EC5FF1">
            <w:pPr>
              <w:jc w:val="center"/>
              <w:rPr>
                <w:rFonts w:hint="eastAsia" w:ascii="宋体" w:hAnsi="宋体" w:eastAsia="宋体" w:cs="宋体"/>
                <w:sz w:val="24"/>
                <w:szCs w:val="24"/>
              </w:rPr>
            </w:pPr>
            <w:r>
              <w:rPr>
                <w:rFonts w:hint="eastAsia" w:ascii="宋体" w:hAnsi="宋体" w:eastAsia="宋体" w:cs="宋体"/>
                <w:sz w:val="24"/>
                <w:szCs w:val="24"/>
              </w:rPr>
              <w:t>是否允许备选磋商响应方案</w:t>
            </w:r>
          </w:p>
        </w:tc>
        <w:tc>
          <w:tcPr>
            <w:tcW w:w="6096" w:type="dxa"/>
            <w:vAlign w:val="center"/>
          </w:tcPr>
          <w:p w14:paraId="34158F31">
            <w:pPr>
              <w:rPr>
                <w:rFonts w:hint="eastAsia" w:ascii="宋体" w:hAnsi="宋体" w:eastAsia="宋体" w:cs="宋体"/>
                <w:lang w:val="en-US" w:eastAsia="zh-CN"/>
              </w:rPr>
            </w:pPr>
            <w:r>
              <w:rPr>
                <w:rFonts w:hint="eastAsia" w:ascii="宋体" w:hAnsi="宋体" w:eastAsia="宋体" w:cs="宋体"/>
                <w:lang w:val="en-US" w:eastAsia="zh-CN"/>
              </w:rPr>
              <w:t>☐是  ☑否</w:t>
            </w:r>
          </w:p>
        </w:tc>
      </w:tr>
      <w:tr w14:paraId="3ADAF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7971FF4A">
            <w:pPr>
              <w:jc w:val="center"/>
              <w:rPr>
                <w:rFonts w:hint="eastAsia" w:ascii="宋体" w:hAnsi="宋体" w:eastAsia="宋体" w:cs="宋体"/>
                <w:sz w:val="24"/>
                <w:szCs w:val="24"/>
              </w:rPr>
            </w:pPr>
            <w:r>
              <w:rPr>
                <w:rFonts w:hint="eastAsia" w:ascii="宋体" w:hAnsi="宋体" w:eastAsia="宋体" w:cs="宋体"/>
                <w:sz w:val="24"/>
                <w:szCs w:val="24"/>
              </w:rPr>
              <w:t>19</w:t>
            </w:r>
          </w:p>
        </w:tc>
        <w:tc>
          <w:tcPr>
            <w:tcW w:w="2225" w:type="dxa"/>
            <w:vAlign w:val="center"/>
          </w:tcPr>
          <w:p w14:paraId="6A87CCB6">
            <w:pPr>
              <w:jc w:val="center"/>
              <w:rPr>
                <w:rFonts w:hint="eastAsia" w:ascii="宋体" w:hAnsi="宋体" w:eastAsia="宋体" w:cs="宋体"/>
                <w:sz w:val="24"/>
                <w:szCs w:val="24"/>
              </w:rPr>
            </w:pPr>
            <w:r>
              <w:rPr>
                <w:rFonts w:hint="eastAsia" w:ascii="宋体" w:hAnsi="宋体" w:eastAsia="宋体" w:cs="宋体"/>
                <w:sz w:val="24"/>
                <w:szCs w:val="24"/>
              </w:rPr>
              <w:t>磋商保证金</w:t>
            </w:r>
          </w:p>
        </w:tc>
        <w:tc>
          <w:tcPr>
            <w:tcW w:w="6096" w:type="dxa"/>
            <w:vAlign w:val="center"/>
          </w:tcPr>
          <w:p w14:paraId="14816E1B">
            <w:pPr>
              <w:rPr>
                <w:rFonts w:hint="eastAsia" w:ascii="宋体" w:hAnsi="宋体" w:eastAsia="宋体" w:cs="宋体"/>
                <w:lang w:val="en-US" w:eastAsia="zh-CN"/>
              </w:rPr>
            </w:pPr>
            <w:r>
              <w:rPr>
                <w:rFonts w:hint="eastAsia" w:ascii="宋体" w:hAnsi="宋体" w:eastAsia="宋体" w:cs="宋体"/>
                <w:lang w:val="en-US" w:eastAsia="zh-CN"/>
              </w:rPr>
              <w:t>/</w:t>
            </w:r>
          </w:p>
        </w:tc>
      </w:tr>
      <w:tr w14:paraId="07181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24A53551">
            <w:pPr>
              <w:jc w:val="center"/>
              <w:rPr>
                <w:rFonts w:hint="eastAsia" w:ascii="宋体" w:hAnsi="宋体" w:eastAsia="宋体" w:cs="宋体"/>
                <w:sz w:val="24"/>
                <w:szCs w:val="24"/>
              </w:rPr>
            </w:pPr>
            <w:r>
              <w:rPr>
                <w:rFonts w:hint="eastAsia" w:ascii="宋体" w:hAnsi="宋体" w:eastAsia="宋体" w:cs="宋体"/>
                <w:sz w:val="24"/>
                <w:szCs w:val="24"/>
              </w:rPr>
              <w:t>20</w:t>
            </w:r>
          </w:p>
        </w:tc>
        <w:tc>
          <w:tcPr>
            <w:tcW w:w="2225" w:type="dxa"/>
            <w:vAlign w:val="center"/>
          </w:tcPr>
          <w:p w14:paraId="00EBD112">
            <w:pPr>
              <w:jc w:val="center"/>
              <w:rPr>
                <w:rFonts w:hint="eastAsia" w:ascii="宋体" w:hAnsi="宋体" w:eastAsia="宋体" w:cs="宋体"/>
                <w:sz w:val="24"/>
                <w:szCs w:val="24"/>
              </w:rPr>
            </w:pPr>
            <w:r>
              <w:rPr>
                <w:rFonts w:hint="eastAsia" w:ascii="宋体" w:hAnsi="宋体" w:eastAsia="宋体" w:cs="宋体"/>
                <w:sz w:val="24"/>
                <w:szCs w:val="24"/>
              </w:rPr>
              <w:t>履约保证金</w:t>
            </w:r>
          </w:p>
        </w:tc>
        <w:tc>
          <w:tcPr>
            <w:tcW w:w="6096" w:type="dxa"/>
            <w:vAlign w:val="center"/>
          </w:tcPr>
          <w:p w14:paraId="40A18B96">
            <w:pPr>
              <w:rPr>
                <w:rFonts w:hint="eastAsia" w:ascii="宋体" w:hAnsi="宋体" w:eastAsia="宋体" w:cs="宋体"/>
                <w:lang w:val="en-US" w:eastAsia="zh-CN"/>
              </w:rPr>
            </w:pPr>
            <w:r>
              <w:rPr>
                <w:rFonts w:hint="eastAsia" w:ascii="宋体" w:hAnsi="宋体" w:eastAsia="宋体" w:cs="宋体"/>
                <w:lang w:val="en-US" w:eastAsia="zh-CN"/>
              </w:rPr>
              <w:t>/</w:t>
            </w:r>
          </w:p>
        </w:tc>
      </w:tr>
      <w:tr w14:paraId="51C51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1E954BA5">
            <w:pPr>
              <w:jc w:val="center"/>
              <w:rPr>
                <w:rFonts w:hint="eastAsia" w:ascii="宋体" w:hAnsi="宋体" w:eastAsia="宋体" w:cs="宋体"/>
                <w:sz w:val="24"/>
                <w:szCs w:val="24"/>
              </w:rPr>
            </w:pPr>
            <w:r>
              <w:rPr>
                <w:rFonts w:hint="eastAsia" w:ascii="宋体" w:hAnsi="宋体" w:eastAsia="宋体" w:cs="宋体"/>
                <w:sz w:val="24"/>
                <w:szCs w:val="24"/>
              </w:rPr>
              <w:t>21</w:t>
            </w:r>
          </w:p>
        </w:tc>
        <w:tc>
          <w:tcPr>
            <w:tcW w:w="2225" w:type="dxa"/>
            <w:vAlign w:val="center"/>
          </w:tcPr>
          <w:p w14:paraId="3500DFB4">
            <w:pPr>
              <w:jc w:val="center"/>
              <w:rPr>
                <w:rFonts w:hint="eastAsia" w:ascii="宋体" w:hAnsi="宋体" w:eastAsia="宋体" w:cs="宋体"/>
                <w:sz w:val="24"/>
                <w:szCs w:val="24"/>
              </w:rPr>
            </w:pPr>
            <w:r>
              <w:rPr>
                <w:rFonts w:hint="eastAsia" w:ascii="宋体" w:hAnsi="宋体" w:eastAsia="宋体" w:cs="宋体"/>
                <w:sz w:val="24"/>
                <w:szCs w:val="24"/>
              </w:rPr>
              <w:t>签字、盖章</w:t>
            </w:r>
          </w:p>
        </w:tc>
        <w:tc>
          <w:tcPr>
            <w:tcW w:w="6096" w:type="dxa"/>
            <w:vAlign w:val="center"/>
          </w:tcPr>
          <w:p w14:paraId="0DF5111F">
            <w:pPr>
              <w:rPr>
                <w:rFonts w:hint="eastAsia" w:ascii="宋体" w:hAnsi="宋体" w:eastAsia="宋体" w:cs="宋体"/>
                <w:lang w:val="en-US" w:eastAsia="zh-CN"/>
              </w:rPr>
            </w:pPr>
            <w:r>
              <w:rPr>
                <w:rFonts w:hint="eastAsia" w:ascii="宋体" w:hAnsi="宋体" w:eastAsia="宋体" w:cs="宋体"/>
                <w:lang w:val="en-US" w:eastAsia="zh-CN"/>
              </w:rPr>
              <w:t>磋商响应文件中要求盖章签字的地方，均应按竞争性磋商文件要求签字、盖章。副本可以为正本的复印件，但签字、盖章页应为原件。</w:t>
            </w:r>
          </w:p>
        </w:tc>
      </w:tr>
      <w:tr w14:paraId="5BEBB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73B718C9">
            <w:pPr>
              <w:jc w:val="center"/>
              <w:rPr>
                <w:rFonts w:hint="eastAsia" w:ascii="宋体" w:hAnsi="宋体" w:eastAsia="宋体" w:cs="宋体"/>
                <w:sz w:val="24"/>
                <w:szCs w:val="24"/>
              </w:rPr>
            </w:pPr>
            <w:r>
              <w:rPr>
                <w:rFonts w:hint="eastAsia" w:ascii="宋体" w:hAnsi="宋体" w:eastAsia="宋体" w:cs="宋体"/>
                <w:sz w:val="24"/>
                <w:szCs w:val="24"/>
              </w:rPr>
              <w:t>22</w:t>
            </w:r>
          </w:p>
        </w:tc>
        <w:tc>
          <w:tcPr>
            <w:tcW w:w="2225" w:type="dxa"/>
            <w:tcBorders>
              <w:top w:val="single" w:color="auto" w:sz="4" w:space="0"/>
              <w:left w:val="single" w:color="auto" w:sz="4" w:space="0"/>
              <w:bottom w:val="single" w:color="auto" w:sz="4" w:space="0"/>
              <w:right w:val="single" w:color="auto" w:sz="4" w:space="0"/>
            </w:tcBorders>
            <w:vAlign w:val="center"/>
          </w:tcPr>
          <w:p w14:paraId="304CB22F">
            <w:pPr>
              <w:jc w:val="center"/>
              <w:rPr>
                <w:rFonts w:hint="eastAsia" w:ascii="宋体" w:hAnsi="宋体" w:eastAsia="宋体" w:cs="宋体"/>
                <w:sz w:val="24"/>
                <w:szCs w:val="24"/>
              </w:rPr>
            </w:pPr>
            <w:r>
              <w:rPr>
                <w:rFonts w:hint="eastAsia" w:ascii="宋体" w:hAnsi="宋体" w:eastAsia="宋体" w:cs="宋体"/>
                <w:sz w:val="24"/>
                <w:szCs w:val="24"/>
              </w:rPr>
              <w:t>磋商响应文件份数</w:t>
            </w:r>
          </w:p>
        </w:tc>
        <w:tc>
          <w:tcPr>
            <w:tcW w:w="6096" w:type="dxa"/>
            <w:tcBorders>
              <w:top w:val="single" w:color="auto" w:sz="4" w:space="0"/>
              <w:left w:val="single" w:color="auto" w:sz="4" w:space="0"/>
              <w:bottom w:val="single" w:color="auto" w:sz="4" w:space="0"/>
              <w:right w:val="single" w:color="auto" w:sz="4" w:space="0"/>
            </w:tcBorders>
            <w:vAlign w:val="center"/>
          </w:tcPr>
          <w:p w14:paraId="27E68478">
            <w:pPr>
              <w:rPr>
                <w:rFonts w:hint="eastAsia" w:ascii="宋体" w:hAnsi="宋体" w:eastAsia="宋体" w:cs="宋体"/>
                <w:lang w:val="en-US" w:eastAsia="zh-CN"/>
              </w:rPr>
            </w:pPr>
            <w:r>
              <w:rPr>
                <w:rFonts w:hint="eastAsia" w:ascii="宋体" w:hAnsi="宋体" w:eastAsia="宋体" w:cs="宋体"/>
                <w:lang w:val="en-US" w:eastAsia="zh-CN"/>
              </w:rPr>
              <w:t>正本1份，副本1份，电子版（U盘）壹份</w:t>
            </w:r>
          </w:p>
        </w:tc>
      </w:tr>
      <w:tr w14:paraId="784E9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7CBB2D80">
            <w:pPr>
              <w:jc w:val="center"/>
              <w:rPr>
                <w:rFonts w:hint="eastAsia" w:ascii="宋体" w:hAnsi="宋体" w:eastAsia="宋体" w:cs="宋体"/>
                <w:sz w:val="24"/>
                <w:szCs w:val="24"/>
              </w:rPr>
            </w:pPr>
            <w:r>
              <w:rPr>
                <w:rFonts w:hint="eastAsia" w:ascii="宋体" w:hAnsi="宋体" w:eastAsia="宋体" w:cs="宋体"/>
                <w:sz w:val="24"/>
                <w:szCs w:val="24"/>
              </w:rPr>
              <w:t>23</w:t>
            </w:r>
          </w:p>
        </w:tc>
        <w:tc>
          <w:tcPr>
            <w:tcW w:w="2225" w:type="dxa"/>
            <w:tcBorders>
              <w:top w:val="single" w:color="auto" w:sz="4" w:space="0"/>
              <w:left w:val="single" w:color="auto" w:sz="4" w:space="0"/>
              <w:bottom w:val="single" w:color="auto" w:sz="4" w:space="0"/>
              <w:right w:val="single" w:color="auto" w:sz="4" w:space="0"/>
            </w:tcBorders>
            <w:vAlign w:val="center"/>
          </w:tcPr>
          <w:p w14:paraId="18B6EF91">
            <w:pPr>
              <w:jc w:val="center"/>
              <w:rPr>
                <w:rFonts w:hint="eastAsia" w:ascii="宋体" w:hAnsi="宋体" w:eastAsia="宋体" w:cs="宋体"/>
                <w:sz w:val="24"/>
                <w:szCs w:val="24"/>
              </w:rPr>
            </w:pPr>
            <w:r>
              <w:rPr>
                <w:rFonts w:hint="eastAsia" w:ascii="宋体" w:hAnsi="宋体" w:eastAsia="宋体" w:cs="宋体"/>
                <w:sz w:val="24"/>
                <w:szCs w:val="24"/>
              </w:rPr>
              <w:t>电子版文件要求</w:t>
            </w:r>
          </w:p>
        </w:tc>
        <w:tc>
          <w:tcPr>
            <w:tcW w:w="6096" w:type="dxa"/>
            <w:tcBorders>
              <w:top w:val="single" w:color="auto" w:sz="4" w:space="0"/>
              <w:left w:val="single" w:color="auto" w:sz="4" w:space="0"/>
              <w:bottom w:val="single" w:color="auto" w:sz="4" w:space="0"/>
              <w:right w:val="single" w:color="auto" w:sz="4" w:space="0"/>
            </w:tcBorders>
            <w:vAlign w:val="center"/>
          </w:tcPr>
          <w:p w14:paraId="1B28B424">
            <w:pPr>
              <w:rPr>
                <w:rFonts w:hint="eastAsia" w:ascii="宋体" w:hAnsi="宋体" w:eastAsia="宋体" w:cs="宋体"/>
                <w:lang w:val="en-US" w:eastAsia="zh-CN"/>
              </w:rPr>
            </w:pPr>
            <w:r>
              <w:rPr>
                <w:rFonts w:hint="eastAsia" w:ascii="宋体" w:hAnsi="宋体" w:eastAsia="宋体" w:cs="宋体"/>
                <w:lang w:val="en-US" w:eastAsia="zh-CN"/>
              </w:rPr>
              <w:t>格式和载体要求：</w:t>
            </w:r>
          </w:p>
          <w:p w14:paraId="4DBDC00B">
            <w:pPr>
              <w:rPr>
                <w:rFonts w:hint="eastAsia" w:ascii="宋体" w:hAnsi="宋体" w:eastAsia="宋体" w:cs="宋体"/>
                <w:lang w:val="en-US" w:eastAsia="zh-CN"/>
              </w:rPr>
            </w:pPr>
            <w:r>
              <w:rPr>
                <w:rFonts w:hint="eastAsia" w:ascii="宋体" w:hAnsi="宋体" w:eastAsia="宋体" w:cs="宋体"/>
                <w:lang w:val="en-US" w:eastAsia="zh-CN"/>
              </w:rPr>
              <w:t>1）电子版响应文件为word版本</w:t>
            </w:r>
          </w:p>
          <w:p w14:paraId="241A135C">
            <w:pPr>
              <w:rPr>
                <w:rFonts w:hint="eastAsia" w:ascii="宋体" w:hAnsi="宋体" w:eastAsia="宋体" w:cs="宋体"/>
                <w:lang w:val="en-US" w:eastAsia="zh-CN"/>
              </w:rPr>
            </w:pPr>
            <w:r>
              <w:rPr>
                <w:rFonts w:hint="eastAsia" w:ascii="宋体" w:hAnsi="宋体" w:eastAsia="宋体" w:cs="宋体"/>
                <w:lang w:val="en-US" w:eastAsia="zh-CN"/>
              </w:rPr>
              <w:t>2）供应商须保证响应文件的纸质文件与电子文档保持一致；</w:t>
            </w:r>
          </w:p>
          <w:p w14:paraId="343F4BCE">
            <w:pPr>
              <w:rPr>
                <w:rFonts w:hint="eastAsia" w:ascii="宋体" w:hAnsi="宋体" w:eastAsia="宋体" w:cs="宋体"/>
                <w:lang w:val="en-US" w:eastAsia="zh-CN"/>
              </w:rPr>
            </w:pPr>
            <w:r>
              <w:rPr>
                <w:rFonts w:hint="eastAsia" w:ascii="宋体" w:hAnsi="宋体" w:eastAsia="宋体" w:cs="宋体"/>
                <w:lang w:val="en-US" w:eastAsia="zh-CN"/>
              </w:rPr>
              <w:t>3）U盘表面标明项目名称、供应商名称等信息，便于与其他供应商U盘区分</w:t>
            </w:r>
          </w:p>
        </w:tc>
      </w:tr>
      <w:tr w14:paraId="0F074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111459FC">
            <w:pPr>
              <w:jc w:val="center"/>
              <w:rPr>
                <w:rFonts w:hint="eastAsia" w:ascii="宋体" w:hAnsi="宋体" w:eastAsia="宋体" w:cs="宋体"/>
                <w:sz w:val="24"/>
                <w:szCs w:val="24"/>
              </w:rPr>
            </w:pPr>
            <w:r>
              <w:rPr>
                <w:rFonts w:hint="eastAsia" w:ascii="宋体" w:hAnsi="宋体" w:eastAsia="宋体" w:cs="宋体"/>
                <w:sz w:val="24"/>
                <w:szCs w:val="24"/>
              </w:rPr>
              <w:t>24</w:t>
            </w:r>
          </w:p>
        </w:tc>
        <w:tc>
          <w:tcPr>
            <w:tcW w:w="2225" w:type="dxa"/>
            <w:tcBorders>
              <w:top w:val="single" w:color="auto" w:sz="4" w:space="0"/>
              <w:left w:val="single" w:color="auto" w:sz="4" w:space="0"/>
              <w:bottom w:val="single" w:color="auto" w:sz="4" w:space="0"/>
              <w:right w:val="single" w:color="auto" w:sz="4" w:space="0"/>
            </w:tcBorders>
            <w:vAlign w:val="center"/>
          </w:tcPr>
          <w:p w14:paraId="516FD1D4">
            <w:pPr>
              <w:jc w:val="center"/>
              <w:rPr>
                <w:rFonts w:hint="eastAsia" w:ascii="宋体" w:hAnsi="宋体" w:eastAsia="宋体" w:cs="宋体"/>
                <w:sz w:val="24"/>
                <w:szCs w:val="24"/>
              </w:rPr>
            </w:pPr>
            <w:r>
              <w:rPr>
                <w:rFonts w:hint="eastAsia" w:ascii="宋体" w:hAnsi="宋体" w:eastAsia="宋体" w:cs="宋体"/>
                <w:sz w:val="24"/>
                <w:szCs w:val="24"/>
              </w:rPr>
              <w:t>装订、包装、密封及标记要求</w:t>
            </w:r>
          </w:p>
        </w:tc>
        <w:tc>
          <w:tcPr>
            <w:tcW w:w="6096" w:type="dxa"/>
            <w:tcBorders>
              <w:top w:val="single" w:color="auto" w:sz="4" w:space="0"/>
              <w:left w:val="single" w:color="auto" w:sz="4" w:space="0"/>
              <w:bottom w:val="single" w:color="auto" w:sz="4" w:space="0"/>
              <w:right w:val="single" w:color="auto" w:sz="4" w:space="0"/>
            </w:tcBorders>
            <w:vAlign w:val="center"/>
          </w:tcPr>
          <w:p w14:paraId="69AD741D">
            <w:pPr>
              <w:rPr>
                <w:rFonts w:hint="eastAsia" w:ascii="宋体" w:hAnsi="宋体" w:eastAsia="宋体" w:cs="宋体"/>
                <w:lang w:val="en-US" w:eastAsia="zh-CN"/>
              </w:rPr>
            </w:pPr>
            <w:r>
              <w:rPr>
                <w:rFonts w:hint="eastAsia" w:ascii="宋体" w:hAnsi="宋体" w:eastAsia="宋体" w:cs="宋体"/>
                <w:lang w:val="en-US" w:eastAsia="zh-CN"/>
              </w:rPr>
              <w:t>1）文件正、副本应分别装订成册，装订应牢固、不易拆散和换页，不得采用活页装订。</w:t>
            </w:r>
          </w:p>
          <w:p w14:paraId="240C1647">
            <w:pPr>
              <w:rPr>
                <w:rFonts w:hint="eastAsia" w:ascii="宋体" w:hAnsi="宋体" w:eastAsia="宋体" w:cs="宋体"/>
                <w:lang w:val="en-US" w:eastAsia="zh-CN"/>
              </w:rPr>
            </w:pPr>
            <w:r>
              <w:rPr>
                <w:rFonts w:hint="eastAsia" w:ascii="宋体" w:hAnsi="宋体" w:eastAsia="宋体" w:cs="宋体"/>
                <w:lang w:val="en-US" w:eastAsia="zh-CN"/>
              </w:rPr>
              <w:t>2）密封包装方式（共3包）：</w:t>
            </w:r>
          </w:p>
          <w:p w14:paraId="4BE96F0E">
            <w:pPr>
              <w:rPr>
                <w:rFonts w:hint="eastAsia" w:ascii="宋体" w:hAnsi="宋体" w:eastAsia="宋体" w:cs="宋体"/>
                <w:lang w:val="en-US" w:eastAsia="zh-CN"/>
              </w:rPr>
            </w:pPr>
            <w:r>
              <w:rPr>
                <w:rFonts w:hint="eastAsia" w:ascii="宋体" w:hAnsi="宋体" w:eastAsia="宋体" w:cs="宋体"/>
                <w:lang w:val="en-US" w:eastAsia="zh-CN"/>
              </w:rPr>
              <w:t>①磋商响应文件正本一包密封。</w:t>
            </w:r>
          </w:p>
          <w:p w14:paraId="163E7EC8">
            <w:pPr>
              <w:rPr>
                <w:rFonts w:hint="eastAsia" w:ascii="宋体" w:hAnsi="宋体" w:eastAsia="宋体" w:cs="宋体"/>
                <w:lang w:val="en-US" w:eastAsia="zh-CN"/>
              </w:rPr>
            </w:pPr>
            <w:r>
              <w:rPr>
                <w:rFonts w:hint="eastAsia" w:ascii="宋体" w:hAnsi="宋体" w:eastAsia="宋体" w:cs="宋体"/>
                <w:lang w:val="en-US" w:eastAsia="zh-CN"/>
              </w:rPr>
              <w:t>②磋商响应文件副本一包密封。</w:t>
            </w:r>
          </w:p>
          <w:p w14:paraId="1631263C">
            <w:pPr>
              <w:rPr>
                <w:rFonts w:hint="eastAsia" w:ascii="宋体" w:hAnsi="宋体" w:eastAsia="宋体" w:cs="宋体"/>
                <w:lang w:val="en-US" w:eastAsia="zh-CN"/>
              </w:rPr>
            </w:pPr>
            <w:r>
              <w:rPr>
                <w:rFonts w:hint="eastAsia" w:ascii="宋体" w:hAnsi="宋体" w:eastAsia="宋体" w:cs="宋体"/>
                <w:lang w:val="en-US" w:eastAsia="zh-CN"/>
              </w:rPr>
              <w:t>③磋商响应文件电子版一包密封。</w:t>
            </w:r>
          </w:p>
          <w:p w14:paraId="1CCAD11E">
            <w:pPr>
              <w:rPr>
                <w:rFonts w:hint="eastAsia" w:ascii="宋体" w:hAnsi="宋体" w:eastAsia="宋体" w:cs="宋体"/>
                <w:lang w:val="en-US" w:eastAsia="zh-CN"/>
              </w:rPr>
            </w:pPr>
            <w:r>
              <w:rPr>
                <w:rFonts w:hint="eastAsia" w:ascii="宋体" w:hAnsi="宋体" w:eastAsia="宋体" w:cs="宋体"/>
                <w:lang w:val="en-US" w:eastAsia="zh-CN"/>
              </w:rPr>
              <w:t>3）封套上应写明：</w:t>
            </w:r>
          </w:p>
          <w:p w14:paraId="6C2A6041">
            <w:pPr>
              <w:rPr>
                <w:rFonts w:hint="eastAsia" w:ascii="宋体" w:hAnsi="宋体" w:eastAsia="宋体" w:cs="宋体"/>
                <w:lang w:val="en-US" w:eastAsia="zh-CN"/>
              </w:rPr>
            </w:pPr>
            <w:r>
              <w:rPr>
                <w:rFonts w:hint="eastAsia" w:ascii="宋体" w:hAnsi="宋体" w:eastAsia="宋体" w:cs="宋体"/>
                <w:lang w:val="en-US" w:eastAsia="zh-CN"/>
              </w:rPr>
              <w:t>项目编号                    正本/副本/电子版</w:t>
            </w:r>
          </w:p>
          <w:p w14:paraId="1A785862">
            <w:pPr>
              <w:rPr>
                <w:rFonts w:hint="eastAsia" w:ascii="宋体" w:hAnsi="宋体" w:eastAsia="宋体" w:cs="宋体"/>
                <w:lang w:val="en-US" w:eastAsia="zh-CN"/>
              </w:rPr>
            </w:pPr>
            <w:r>
              <w:rPr>
                <w:rFonts w:hint="eastAsia" w:ascii="宋体" w:hAnsi="宋体" w:eastAsia="宋体" w:cs="宋体"/>
                <w:lang w:val="en-US" w:eastAsia="zh-CN"/>
              </w:rPr>
              <w:t>项目名称                    第___标段</w:t>
            </w:r>
          </w:p>
          <w:p w14:paraId="4980D26D">
            <w:pPr>
              <w:rPr>
                <w:rFonts w:hint="eastAsia" w:ascii="宋体" w:hAnsi="宋体" w:eastAsia="宋体" w:cs="宋体"/>
                <w:lang w:val="en-US" w:eastAsia="zh-CN"/>
              </w:rPr>
            </w:pPr>
            <w:r>
              <w:rPr>
                <w:rFonts w:hint="eastAsia" w:ascii="宋体" w:hAnsi="宋体" w:eastAsia="宋体" w:cs="宋体"/>
                <w:lang w:val="en-US" w:eastAsia="zh-CN"/>
              </w:rPr>
              <w:t>磋商响应文件</w:t>
            </w:r>
          </w:p>
          <w:p w14:paraId="79FF6878">
            <w:pPr>
              <w:rPr>
                <w:rFonts w:hint="eastAsia" w:ascii="宋体" w:hAnsi="宋体" w:eastAsia="宋体" w:cs="宋体"/>
                <w:lang w:val="en-US" w:eastAsia="zh-CN"/>
              </w:rPr>
            </w:pPr>
            <w:r>
              <w:rPr>
                <w:rFonts w:hint="eastAsia" w:ascii="宋体" w:hAnsi="宋体" w:eastAsia="宋体" w:cs="宋体"/>
                <w:lang w:val="en-US" w:eastAsia="zh-CN"/>
              </w:rPr>
              <w:t>在    年  月  日 时  分前不得开启</w:t>
            </w:r>
          </w:p>
          <w:p w14:paraId="50FF7CEB">
            <w:pPr>
              <w:rPr>
                <w:rFonts w:hint="eastAsia" w:ascii="宋体" w:hAnsi="宋体" w:eastAsia="宋体" w:cs="宋体"/>
                <w:lang w:val="en-US" w:eastAsia="zh-CN"/>
              </w:rPr>
            </w:pPr>
            <w:r>
              <w:rPr>
                <w:rFonts w:hint="eastAsia" w:ascii="宋体" w:hAnsi="宋体" w:eastAsia="宋体" w:cs="宋体"/>
                <w:lang w:val="en-US" w:eastAsia="zh-CN"/>
              </w:rPr>
              <w:t>供应商名称：              （公章）</w:t>
            </w:r>
          </w:p>
          <w:p w14:paraId="6DCF5913">
            <w:pPr>
              <w:rPr>
                <w:rFonts w:hint="eastAsia" w:ascii="宋体" w:hAnsi="宋体" w:eastAsia="宋体" w:cs="宋体"/>
                <w:lang w:val="en-US" w:eastAsia="zh-CN"/>
              </w:rPr>
            </w:pPr>
            <w:r>
              <w:rPr>
                <w:rFonts w:hint="eastAsia" w:ascii="宋体" w:hAnsi="宋体" w:eastAsia="宋体" w:cs="宋体"/>
                <w:lang w:val="en-US" w:eastAsia="zh-CN"/>
              </w:rPr>
              <w:t>法定代表人或授权代表：   （签字或盖章）</w:t>
            </w:r>
          </w:p>
        </w:tc>
      </w:tr>
      <w:tr w14:paraId="40877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0551194A">
            <w:pPr>
              <w:jc w:val="center"/>
              <w:rPr>
                <w:rFonts w:hint="eastAsia" w:ascii="宋体" w:hAnsi="宋体" w:eastAsia="宋体" w:cs="宋体"/>
                <w:sz w:val="24"/>
                <w:szCs w:val="24"/>
              </w:rPr>
            </w:pPr>
            <w:r>
              <w:rPr>
                <w:rFonts w:hint="eastAsia" w:ascii="宋体" w:hAnsi="宋体" w:eastAsia="宋体" w:cs="宋体"/>
                <w:sz w:val="24"/>
                <w:szCs w:val="24"/>
              </w:rPr>
              <w:t>25</w:t>
            </w:r>
          </w:p>
        </w:tc>
        <w:tc>
          <w:tcPr>
            <w:tcW w:w="2225" w:type="dxa"/>
            <w:tcBorders>
              <w:top w:val="single" w:color="auto" w:sz="4" w:space="0"/>
              <w:left w:val="single" w:color="auto" w:sz="4" w:space="0"/>
              <w:bottom w:val="single" w:color="auto" w:sz="4" w:space="0"/>
              <w:right w:val="single" w:color="auto" w:sz="4" w:space="0"/>
            </w:tcBorders>
            <w:vAlign w:val="center"/>
          </w:tcPr>
          <w:p w14:paraId="51EAC3A6">
            <w:pPr>
              <w:jc w:val="center"/>
              <w:rPr>
                <w:rFonts w:hint="eastAsia" w:ascii="宋体" w:hAnsi="宋体" w:eastAsia="宋体" w:cs="宋体"/>
                <w:sz w:val="24"/>
                <w:szCs w:val="24"/>
              </w:rPr>
            </w:pPr>
            <w:r>
              <w:rPr>
                <w:rFonts w:hint="eastAsia" w:ascii="宋体" w:hAnsi="宋体" w:eastAsia="宋体" w:cs="宋体"/>
                <w:sz w:val="24"/>
                <w:szCs w:val="24"/>
              </w:rPr>
              <w:t>磋商响应文件递交截止时间和地点</w:t>
            </w:r>
          </w:p>
        </w:tc>
        <w:tc>
          <w:tcPr>
            <w:tcW w:w="6096" w:type="dxa"/>
            <w:tcBorders>
              <w:top w:val="single" w:color="auto" w:sz="4" w:space="0"/>
              <w:left w:val="single" w:color="auto" w:sz="4" w:space="0"/>
              <w:bottom w:val="single" w:color="auto" w:sz="4" w:space="0"/>
              <w:right w:val="single" w:color="auto" w:sz="4" w:space="0"/>
            </w:tcBorders>
            <w:vAlign w:val="center"/>
          </w:tcPr>
          <w:p w14:paraId="162D0986">
            <w:pPr>
              <w:rPr>
                <w:rFonts w:hint="eastAsia" w:ascii="宋体" w:hAnsi="宋体" w:eastAsia="宋体" w:cs="宋体"/>
                <w:lang w:val="en-US" w:eastAsia="zh-CN"/>
              </w:rPr>
            </w:pPr>
            <w:r>
              <w:rPr>
                <w:rFonts w:hint="eastAsia" w:ascii="宋体" w:hAnsi="宋体" w:eastAsia="宋体" w:cs="宋体"/>
                <w:lang w:val="en-US" w:eastAsia="zh-CN"/>
              </w:rPr>
              <w:t>磋商响应文件递交截止时间：2025年05月07日14时00分00秒（北京时间）</w:t>
            </w:r>
          </w:p>
          <w:p w14:paraId="74B5338C">
            <w:pPr>
              <w:rPr>
                <w:rFonts w:hint="eastAsia" w:ascii="宋体" w:hAnsi="宋体" w:eastAsia="宋体" w:cs="宋体"/>
                <w:lang w:val="en-US" w:eastAsia="zh-CN"/>
              </w:rPr>
            </w:pPr>
            <w:r>
              <w:rPr>
                <w:rFonts w:hint="eastAsia" w:ascii="宋体" w:hAnsi="宋体" w:eastAsia="宋体" w:cs="宋体"/>
                <w:lang w:val="en-US" w:eastAsia="zh-CN"/>
              </w:rPr>
              <w:t>磋商响应文件递交地点：亿诚建设项目管理有限公司石泉分公司会议室</w:t>
            </w:r>
          </w:p>
          <w:p w14:paraId="4A482820">
            <w:pPr>
              <w:rPr>
                <w:rFonts w:hint="eastAsia" w:ascii="宋体" w:hAnsi="宋体" w:eastAsia="宋体" w:cs="宋体"/>
                <w:lang w:val="en-US" w:eastAsia="zh-CN"/>
              </w:rPr>
            </w:pPr>
            <w:r>
              <w:rPr>
                <w:rFonts w:hint="eastAsia" w:ascii="宋体" w:hAnsi="宋体" w:eastAsia="宋体" w:cs="宋体"/>
                <w:lang w:val="en-US" w:eastAsia="zh-CN"/>
              </w:rPr>
              <w:t>磋商响应文件接收人:亿诚建设项目管理有限公司石泉分公司</w:t>
            </w:r>
          </w:p>
        </w:tc>
      </w:tr>
      <w:tr w14:paraId="5ED46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6BF4E0BB">
            <w:pPr>
              <w:jc w:val="center"/>
              <w:rPr>
                <w:rFonts w:hint="eastAsia" w:ascii="宋体" w:hAnsi="宋体" w:eastAsia="宋体" w:cs="宋体"/>
                <w:sz w:val="24"/>
                <w:szCs w:val="24"/>
              </w:rPr>
            </w:pPr>
            <w:r>
              <w:rPr>
                <w:rFonts w:hint="eastAsia" w:ascii="宋体" w:hAnsi="宋体" w:eastAsia="宋体" w:cs="宋体"/>
                <w:sz w:val="24"/>
                <w:szCs w:val="24"/>
              </w:rPr>
              <w:t>26</w:t>
            </w:r>
          </w:p>
        </w:tc>
        <w:tc>
          <w:tcPr>
            <w:tcW w:w="2225" w:type="dxa"/>
            <w:tcBorders>
              <w:top w:val="single" w:color="auto" w:sz="4" w:space="0"/>
              <w:left w:val="single" w:color="auto" w:sz="4" w:space="0"/>
              <w:bottom w:val="single" w:color="auto" w:sz="4" w:space="0"/>
              <w:right w:val="single" w:color="auto" w:sz="4" w:space="0"/>
            </w:tcBorders>
            <w:vAlign w:val="center"/>
          </w:tcPr>
          <w:p w14:paraId="425B2E66">
            <w:pPr>
              <w:jc w:val="center"/>
              <w:rPr>
                <w:rFonts w:hint="eastAsia" w:ascii="宋体" w:hAnsi="宋体" w:eastAsia="宋体" w:cs="宋体"/>
                <w:sz w:val="24"/>
                <w:szCs w:val="24"/>
              </w:rPr>
            </w:pPr>
            <w:r>
              <w:rPr>
                <w:rFonts w:hint="eastAsia" w:ascii="宋体" w:hAnsi="宋体" w:eastAsia="宋体" w:cs="宋体"/>
                <w:sz w:val="24"/>
                <w:szCs w:val="24"/>
              </w:rPr>
              <w:t>磋商时间和地点</w:t>
            </w:r>
          </w:p>
        </w:tc>
        <w:tc>
          <w:tcPr>
            <w:tcW w:w="6096" w:type="dxa"/>
            <w:tcBorders>
              <w:top w:val="single" w:color="auto" w:sz="4" w:space="0"/>
              <w:left w:val="single" w:color="auto" w:sz="4" w:space="0"/>
              <w:bottom w:val="single" w:color="auto" w:sz="4" w:space="0"/>
              <w:right w:val="single" w:color="auto" w:sz="4" w:space="0"/>
            </w:tcBorders>
            <w:vAlign w:val="center"/>
          </w:tcPr>
          <w:p w14:paraId="489C736E">
            <w:pPr>
              <w:rPr>
                <w:rFonts w:hint="eastAsia" w:ascii="宋体" w:hAnsi="宋体" w:eastAsia="宋体" w:cs="宋体"/>
                <w:lang w:val="en-US" w:eastAsia="zh-CN"/>
              </w:rPr>
            </w:pPr>
            <w:r>
              <w:rPr>
                <w:rFonts w:hint="eastAsia" w:ascii="宋体" w:hAnsi="宋体" w:eastAsia="宋体" w:cs="宋体"/>
                <w:lang w:val="en-US" w:eastAsia="zh-CN"/>
              </w:rPr>
              <w:t>时间：2025年05月07日14时00分00秒（北京时间）</w:t>
            </w:r>
          </w:p>
          <w:p w14:paraId="6B954561">
            <w:pPr>
              <w:rPr>
                <w:rFonts w:hint="eastAsia" w:ascii="宋体" w:hAnsi="宋体" w:eastAsia="宋体" w:cs="宋体"/>
                <w:lang w:val="en-US" w:eastAsia="zh-CN"/>
              </w:rPr>
            </w:pPr>
            <w:r>
              <w:rPr>
                <w:rFonts w:hint="eastAsia" w:ascii="宋体" w:hAnsi="宋体" w:eastAsia="宋体" w:cs="宋体"/>
                <w:lang w:val="en-US" w:eastAsia="zh-CN"/>
              </w:rPr>
              <w:t>地点：亿诚建设项目管理有限公司石泉分公司会议室</w:t>
            </w:r>
          </w:p>
        </w:tc>
      </w:tr>
      <w:tr w14:paraId="3817B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4E453A4F">
            <w:pPr>
              <w:jc w:val="center"/>
              <w:rPr>
                <w:rFonts w:hint="eastAsia" w:ascii="宋体" w:hAnsi="宋体" w:eastAsia="宋体" w:cs="宋体"/>
                <w:sz w:val="24"/>
                <w:szCs w:val="24"/>
              </w:rPr>
            </w:pPr>
            <w:r>
              <w:rPr>
                <w:rFonts w:hint="eastAsia" w:ascii="宋体" w:hAnsi="宋体" w:eastAsia="宋体" w:cs="宋体"/>
                <w:sz w:val="24"/>
                <w:szCs w:val="24"/>
              </w:rPr>
              <w:t>28</w:t>
            </w:r>
          </w:p>
        </w:tc>
        <w:tc>
          <w:tcPr>
            <w:tcW w:w="2225" w:type="dxa"/>
            <w:tcBorders>
              <w:top w:val="single" w:color="auto" w:sz="4" w:space="0"/>
              <w:left w:val="single" w:color="auto" w:sz="4" w:space="0"/>
              <w:bottom w:val="single" w:color="auto" w:sz="4" w:space="0"/>
              <w:right w:val="single" w:color="auto" w:sz="4" w:space="0"/>
            </w:tcBorders>
            <w:vAlign w:val="center"/>
          </w:tcPr>
          <w:p w14:paraId="72D42BEF">
            <w:pPr>
              <w:jc w:val="center"/>
              <w:rPr>
                <w:rFonts w:hint="eastAsia" w:ascii="宋体" w:hAnsi="宋体" w:eastAsia="宋体" w:cs="宋体"/>
                <w:sz w:val="24"/>
                <w:szCs w:val="24"/>
              </w:rPr>
            </w:pPr>
            <w:r>
              <w:rPr>
                <w:rFonts w:hint="eastAsia" w:ascii="宋体" w:hAnsi="宋体" w:eastAsia="宋体" w:cs="宋体"/>
                <w:sz w:val="24"/>
                <w:szCs w:val="24"/>
              </w:rPr>
              <w:t>磋商报价次数、磋商程序和最终报价的产生原则</w:t>
            </w:r>
          </w:p>
        </w:tc>
        <w:tc>
          <w:tcPr>
            <w:tcW w:w="6096" w:type="dxa"/>
            <w:tcBorders>
              <w:top w:val="single" w:color="auto" w:sz="4" w:space="0"/>
              <w:left w:val="single" w:color="auto" w:sz="4" w:space="0"/>
              <w:bottom w:val="single" w:color="auto" w:sz="4" w:space="0"/>
              <w:right w:val="single" w:color="auto" w:sz="4" w:space="0"/>
            </w:tcBorders>
            <w:vAlign w:val="center"/>
          </w:tcPr>
          <w:p w14:paraId="374B18A9">
            <w:pPr>
              <w:rPr>
                <w:rFonts w:hint="eastAsia" w:ascii="宋体" w:hAnsi="宋体" w:eastAsia="宋体" w:cs="宋体"/>
                <w:lang w:val="en-US" w:eastAsia="zh-CN"/>
              </w:rPr>
            </w:pPr>
            <w:r>
              <w:rPr>
                <w:rFonts w:hint="eastAsia" w:ascii="宋体" w:hAnsi="宋体" w:eastAsia="宋体" w:cs="宋体"/>
                <w:lang w:val="en-US" w:eastAsia="zh-CN"/>
              </w:rPr>
              <w:t>本次磋商采用二轮报价。（评审报价以最终报价为准）</w:t>
            </w:r>
          </w:p>
          <w:p w14:paraId="7C62EB42">
            <w:pPr>
              <w:rPr>
                <w:rFonts w:hint="eastAsia" w:ascii="宋体" w:hAnsi="宋体" w:eastAsia="宋体" w:cs="宋体"/>
                <w:lang w:val="en-US" w:eastAsia="zh-CN"/>
              </w:rPr>
            </w:pPr>
            <w:r>
              <w:rPr>
                <w:rFonts w:hint="eastAsia" w:ascii="宋体" w:hAnsi="宋体" w:eastAsia="宋体" w:cs="宋体"/>
                <w:lang w:val="en-US" w:eastAsia="zh-CN"/>
              </w:rPr>
              <w:t>磋商程序为：响应文件密封情况查验、开启响应文件、供应商资格性审查、符合性审查、磋商过程、第二次报价及综合评审等阶段。</w:t>
            </w:r>
          </w:p>
          <w:p w14:paraId="23BCA1C5">
            <w:pPr>
              <w:rPr>
                <w:rFonts w:hint="eastAsia" w:ascii="宋体" w:hAnsi="宋体" w:eastAsia="宋体" w:cs="宋体"/>
                <w:lang w:val="en-US" w:eastAsia="zh-CN"/>
              </w:rPr>
            </w:pPr>
            <w:r>
              <w:rPr>
                <w:rFonts w:hint="eastAsia" w:ascii="宋体" w:hAnsi="宋体" w:eastAsia="宋体" w:cs="宋体"/>
                <w:lang w:val="en-US" w:eastAsia="zh-CN"/>
              </w:rPr>
              <w:t>1.采购人对响应文件进行资格性审查；</w:t>
            </w:r>
          </w:p>
          <w:p w14:paraId="5EFD4F21">
            <w:pPr>
              <w:rPr>
                <w:rFonts w:hint="eastAsia" w:ascii="宋体" w:hAnsi="宋体" w:eastAsia="宋体" w:cs="宋体"/>
                <w:lang w:val="en-US" w:eastAsia="zh-CN"/>
              </w:rPr>
            </w:pPr>
            <w:r>
              <w:rPr>
                <w:rFonts w:hint="eastAsia" w:ascii="宋体" w:hAnsi="宋体" w:eastAsia="宋体" w:cs="宋体"/>
                <w:lang w:val="en-US" w:eastAsia="zh-CN"/>
              </w:rPr>
              <w:t>2.磋商小组对资格审查合格的响应文件进行符合性评审；</w:t>
            </w:r>
          </w:p>
          <w:p w14:paraId="18FE72A6">
            <w:pPr>
              <w:rPr>
                <w:rFonts w:hint="eastAsia" w:ascii="宋体" w:hAnsi="宋体" w:eastAsia="宋体" w:cs="宋体"/>
                <w:lang w:val="en-US" w:eastAsia="zh-CN"/>
              </w:rPr>
            </w:pPr>
            <w:r>
              <w:rPr>
                <w:rFonts w:hint="eastAsia" w:ascii="宋体" w:hAnsi="宋体" w:eastAsia="宋体" w:cs="宋体"/>
                <w:lang w:val="en-US" w:eastAsia="zh-CN"/>
              </w:rPr>
              <w:t>3.磋商小组与每家供应商进行磋商并记录；</w:t>
            </w:r>
          </w:p>
          <w:p w14:paraId="202A1E82">
            <w:pPr>
              <w:rPr>
                <w:rFonts w:hint="eastAsia" w:ascii="宋体" w:hAnsi="宋体" w:eastAsia="宋体" w:cs="宋体"/>
                <w:lang w:val="en-US" w:eastAsia="zh-CN"/>
              </w:rPr>
            </w:pPr>
            <w:r>
              <w:rPr>
                <w:rFonts w:hint="eastAsia" w:ascii="宋体" w:hAnsi="宋体" w:eastAsia="宋体" w:cs="宋体"/>
                <w:lang w:val="en-US" w:eastAsia="zh-CN"/>
              </w:rPr>
              <w:t>4.供应商按照要求提交二次报价（由法定代表人或被授权人磋商现场填报）；</w:t>
            </w:r>
          </w:p>
          <w:p w14:paraId="5CD4F13D">
            <w:pPr>
              <w:rPr>
                <w:rFonts w:hint="eastAsia" w:ascii="宋体" w:hAnsi="宋体" w:eastAsia="宋体" w:cs="宋体"/>
                <w:lang w:val="en-US" w:eastAsia="zh-CN"/>
              </w:rPr>
            </w:pPr>
            <w:r>
              <w:rPr>
                <w:rFonts w:hint="eastAsia" w:ascii="宋体" w:hAnsi="宋体" w:eastAsia="宋体" w:cs="宋体"/>
                <w:lang w:val="en-US" w:eastAsia="zh-CN"/>
              </w:rPr>
              <w:t>5.磋商小组评审、推荐成交候选人。</w:t>
            </w:r>
          </w:p>
        </w:tc>
      </w:tr>
      <w:tr w14:paraId="4ABE9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3FBF5B74">
            <w:pPr>
              <w:jc w:val="center"/>
              <w:rPr>
                <w:rFonts w:hint="eastAsia" w:ascii="宋体" w:hAnsi="宋体" w:eastAsia="宋体" w:cs="宋体"/>
                <w:sz w:val="24"/>
                <w:szCs w:val="24"/>
              </w:rPr>
            </w:pPr>
            <w:r>
              <w:rPr>
                <w:rFonts w:hint="eastAsia" w:ascii="宋体" w:hAnsi="宋体" w:eastAsia="宋体" w:cs="宋体"/>
                <w:sz w:val="24"/>
                <w:szCs w:val="24"/>
              </w:rPr>
              <w:t>29</w:t>
            </w:r>
          </w:p>
        </w:tc>
        <w:tc>
          <w:tcPr>
            <w:tcW w:w="2225" w:type="dxa"/>
            <w:tcBorders>
              <w:top w:val="single" w:color="auto" w:sz="4" w:space="0"/>
              <w:left w:val="single" w:color="auto" w:sz="4" w:space="0"/>
              <w:bottom w:val="single" w:color="auto" w:sz="4" w:space="0"/>
              <w:right w:val="single" w:color="auto" w:sz="4" w:space="0"/>
            </w:tcBorders>
            <w:vAlign w:val="center"/>
          </w:tcPr>
          <w:p w14:paraId="704FE978">
            <w:pPr>
              <w:pStyle w:val="35"/>
              <w:jc w:val="center"/>
              <w:rPr>
                <w:rFonts w:hint="eastAsia" w:ascii="宋体" w:hAnsi="宋体" w:eastAsia="宋体" w:cs="宋体"/>
                <w:kern w:val="2"/>
              </w:rPr>
            </w:pPr>
            <w:r>
              <w:rPr>
                <w:rFonts w:hint="eastAsia" w:ascii="宋体" w:hAnsi="宋体" w:eastAsia="宋体" w:cs="宋体"/>
                <w:kern w:val="2"/>
                <w:lang w:val="zh-CN"/>
              </w:rPr>
              <w:t>磋商小组的组建</w:t>
            </w:r>
          </w:p>
        </w:tc>
        <w:tc>
          <w:tcPr>
            <w:tcW w:w="6096" w:type="dxa"/>
            <w:tcBorders>
              <w:top w:val="single" w:color="auto" w:sz="4" w:space="0"/>
              <w:left w:val="single" w:color="auto" w:sz="4" w:space="0"/>
              <w:bottom w:val="single" w:color="auto" w:sz="4" w:space="0"/>
              <w:right w:val="single" w:color="auto" w:sz="4" w:space="0"/>
            </w:tcBorders>
            <w:vAlign w:val="center"/>
          </w:tcPr>
          <w:p w14:paraId="29F75643">
            <w:pPr>
              <w:pStyle w:val="35"/>
              <w:spacing w:line="320" w:lineRule="exact"/>
              <w:ind w:left="525" w:leftChars="50" w:hanging="420" w:hangingChars="200"/>
              <w:rPr>
                <w:rFonts w:hint="eastAsia" w:ascii="宋体" w:hAnsi="宋体" w:eastAsia="宋体" w:cs="宋体"/>
                <w:kern w:val="2"/>
                <w:sz w:val="21"/>
                <w:szCs w:val="22"/>
                <w:lang w:val="zh-CN" w:eastAsia="zh-CN" w:bidi="ar-SA"/>
              </w:rPr>
            </w:pPr>
            <w:r>
              <w:rPr>
                <w:rFonts w:hint="eastAsia" w:ascii="宋体" w:hAnsi="宋体" w:eastAsia="宋体" w:cs="宋体"/>
                <w:kern w:val="2"/>
                <w:sz w:val="21"/>
                <w:szCs w:val="22"/>
                <w:lang w:val="zh-CN" w:eastAsia="zh-CN" w:bidi="ar-SA"/>
              </w:rPr>
              <w:t>磋商小组构成形式、人数，评审专家确定方式：</w:t>
            </w:r>
          </w:p>
          <w:p w14:paraId="7B0DEA5A">
            <w:pPr>
              <w:pStyle w:val="35"/>
              <w:spacing w:line="320" w:lineRule="exact"/>
              <w:ind w:left="525" w:leftChars="50" w:hanging="420" w:hangingChars="200"/>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zh-CN" w:eastAsia="zh-CN" w:bidi="ar-SA"/>
              </w:rPr>
              <w:t>详见供应商须知第7.1.1条款</w:t>
            </w:r>
          </w:p>
        </w:tc>
      </w:tr>
      <w:tr w14:paraId="1E6E8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42C77DFF">
            <w:pPr>
              <w:jc w:val="center"/>
              <w:rPr>
                <w:rFonts w:hint="eastAsia" w:ascii="宋体" w:hAnsi="宋体" w:eastAsia="宋体" w:cs="宋体"/>
                <w:sz w:val="24"/>
                <w:szCs w:val="24"/>
              </w:rPr>
            </w:pPr>
            <w:r>
              <w:rPr>
                <w:rFonts w:hint="eastAsia" w:ascii="宋体" w:hAnsi="宋体" w:eastAsia="宋体" w:cs="宋体"/>
                <w:sz w:val="24"/>
                <w:szCs w:val="24"/>
              </w:rPr>
              <w:t>30</w:t>
            </w:r>
          </w:p>
        </w:tc>
        <w:tc>
          <w:tcPr>
            <w:tcW w:w="2225" w:type="dxa"/>
            <w:tcBorders>
              <w:top w:val="single" w:color="auto" w:sz="4" w:space="0"/>
              <w:left w:val="single" w:color="auto" w:sz="4" w:space="0"/>
              <w:bottom w:val="single" w:color="auto" w:sz="4" w:space="0"/>
              <w:right w:val="single" w:color="auto" w:sz="4" w:space="0"/>
            </w:tcBorders>
            <w:vAlign w:val="center"/>
          </w:tcPr>
          <w:p w14:paraId="36B21B59">
            <w:pPr>
              <w:pStyle w:val="35"/>
              <w:jc w:val="center"/>
              <w:rPr>
                <w:rFonts w:hint="eastAsia" w:ascii="宋体" w:hAnsi="宋体" w:eastAsia="宋体" w:cs="宋体"/>
                <w:kern w:val="2"/>
              </w:rPr>
            </w:pPr>
            <w:r>
              <w:rPr>
                <w:rFonts w:hint="eastAsia" w:ascii="宋体" w:hAnsi="宋体" w:eastAsia="宋体" w:cs="宋体"/>
                <w:kern w:val="2"/>
                <w:lang w:val="zh-CN"/>
              </w:rPr>
              <w:t>磋商小组推荐成交候选人的家数</w:t>
            </w:r>
          </w:p>
        </w:tc>
        <w:tc>
          <w:tcPr>
            <w:tcW w:w="6096" w:type="dxa"/>
            <w:tcBorders>
              <w:top w:val="single" w:color="auto" w:sz="4" w:space="0"/>
              <w:left w:val="single" w:color="auto" w:sz="4" w:space="0"/>
              <w:bottom w:val="single" w:color="auto" w:sz="4" w:space="0"/>
              <w:right w:val="single" w:color="auto" w:sz="4" w:space="0"/>
            </w:tcBorders>
            <w:vAlign w:val="center"/>
          </w:tcPr>
          <w:p w14:paraId="73E3D186">
            <w:pPr>
              <w:pStyle w:val="35"/>
              <w:ind w:left="105" w:leftChars="50"/>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zh-CN" w:eastAsia="zh-CN" w:bidi="ar-SA"/>
              </w:rPr>
              <w:t xml:space="preserve">3 </w:t>
            </w:r>
          </w:p>
        </w:tc>
      </w:tr>
      <w:tr w14:paraId="6904C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4CE8EE3D">
            <w:pPr>
              <w:jc w:val="center"/>
              <w:rPr>
                <w:rFonts w:hint="eastAsia" w:ascii="宋体" w:hAnsi="宋体" w:eastAsia="宋体" w:cs="宋体"/>
                <w:sz w:val="24"/>
                <w:szCs w:val="24"/>
              </w:rPr>
            </w:pPr>
            <w:r>
              <w:rPr>
                <w:rFonts w:hint="eastAsia" w:ascii="宋体" w:hAnsi="宋体" w:eastAsia="宋体" w:cs="宋体"/>
                <w:sz w:val="24"/>
                <w:szCs w:val="24"/>
              </w:rPr>
              <w:t>31</w:t>
            </w:r>
          </w:p>
        </w:tc>
        <w:tc>
          <w:tcPr>
            <w:tcW w:w="2225" w:type="dxa"/>
            <w:tcBorders>
              <w:top w:val="single" w:color="auto" w:sz="4" w:space="0"/>
              <w:left w:val="single" w:color="auto" w:sz="4" w:space="0"/>
              <w:bottom w:val="single" w:color="auto" w:sz="4" w:space="0"/>
              <w:right w:val="single" w:color="auto" w:sz="4" w:space="0"/>
            </w:tcBorders>
            <w:vAlign w:val="center"/>
          </w:tcPr>
          <w:p w14:paraId="67A0BAAE">
            <w:pPr>
              <w:pStyle w:val="35"/>
              <w:jc w:val="center"/>
              <w:rPr>
                <w:rFonts w:hint="eastAsia" w:ascii="宋体" w:hAnsi="宋体" w:eastAsia="宋体" w:cs="宋体"/>
                <w:kern w:val="2"/>
              </w:rPr>
            </w:pPr>
            <w:r>
              <w:rPr>
                <w:rFonts w:hint="eastAsia" w:ascii="宋体" w:hAnsi="宋体" w:eastAsia="宋体" w:cs="宋体"/>
                <w:kern w:val="2"/>
                <w:lang w:val="zh-CN"/>
              </w:rPr>
              <w:t>是否授权磋商小组确定成交供应商</w:t>
            </w:r>
          </w:p>
        </w:tc>
        <w:tc>
          <w:tcPr>
            <w:tcW w:w="6096" w:type="dxa"/>
            <w:tcBorders>
              <w:top w:val="single" w:color="auto" w:sz="4" w:space="0"/>
              <w:left w:val="single" w:color="auto" w:sz="4" w:space="0"/>
              <w:bottom w:val="single" w:color="auto" w:sz="4" w:space="0"/>
              <w:right w:val="single" w:color="auto" w:sz="4" w:space="0"/>
            </w:tcBorders>
            <w:vAlign w:val="center"/>
          </w:tcPr>
          <w:p w14:paraId="29A15CA2">
            <w:pPr>
              <w:pStyle w:val="35"/>
              <w:tabs>
                <w:tab w:val="left" w:pos="561"/>
              </w:tabs>
              <w:ind w:left="105" w:leftChars="50"/>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☐是  ☑否</w:t>
            </w:r>
          </w:p>
        </w:tc>
      </w:tr>
      <w:tr w14:paraId="58717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708BAD86">
            <w:pPr>
              <w:jc w:val="center"/>
              <w:rPr>
                <w:rFonts w:hint="eastAsia" w:ascii="宋体" w:hAnsi="宋体" w:eastAsia="宋体" w:cs="宋体"/>
                <w:sz w:val="24"/>
                <w:szCs w:val="24"/>
              </w:rPr>
            </w:pPr>
            <w:r>
              <w:rPr>
                <w:rFonts w:hint="eastAsia" w:ascii="宋体" w:hAnsi="宋体" w:eastAsia="宋体" w:cs="宋体"/>
                <w:sz w:val="24"/>
                <w:szCs w:val="24"/>
              </w:rPr>
              <w:t>32</w:t>
            </w:r>
          </w:p>
        </w:tc>
        <w:tc>
          <w:tcPr>
            <w:tcW w:w="2225" w:type="dxa"/>
            <w:tcBorders>
              <w:top w:val="single" w:color="auto" w:sz="4" w:space="0"/>
              <w:left w:val="single" w:color="auto" w:sz="4" w:space="0"/>
              <w:bottom w:val="single" w:color="auto" w:sz="4" w:space="0"/>
              <w:right w:val="single" w:color="auto" w:sz="4" w:space="0"/>
            </w:tcBorders>
            <w:vAlign w:val="center"/>
          </w:tcPr>
          <w:p w14:paraId="12026572">
            <w:pPr>
              <w:pStyle w:val="35"/>
              <w:jc w:val="center"/>
              <w:rPr>
                <w:rFonts w:hint="eastAsia" w:ascii="宋体" w:hAnsi="宋体" w:eastAsia="宋体" w:cs="宋体"/>
                <w:kern w:val="2"/>
                <w:lang w:val="zh-CN"/>
              </w:rPr>
            </w:pPr>
            <w:r>
              <w:rPr>
                <w:rFonts w:hint="eastAsia" w:ascii="宋体" w:hAnsi="宋体" w:eastAsia="宋体" w:cs="宋体"/>
                <w:kern w:val="2"/>
                <w:lang w:val="zh-CN"/>
              </w:rPr>
              <w:t>发布成交公告的</w:t>
            </w:r>
          </w:p>
          <w:p w14:paraId="65F12B2F">
            <w:pPr>
              <w:pStyle w:val="35"/>
              <w:jc w:val="center"/>
              <w:rPr>
                <w:rFonts w:hint="eastAsia" w:ascii="宋体" w:hAnsi="宋体" w:eastAsia="宋体" w:cs="宋体"/>
                <w:kern w:val="2"/>
              </w:rPr>
            </w:pPr>
            <w:r>
              <w:rPr>
                <w:rFonts w:hint="eastAsia" w:ascii="宋体" w:hAnsi="宋体" w:eastAsia="宋体" w:cs="宋体"/>
                <w:kern w:val="2"/>
                <w:lang w:val="zh-CN"/>
              </w:rPr>
              <w:t>时间、媒介和期限</w:t>
            </w:r>
          </w:p>
        </w:tc>
        <w:tc>
          <w:tcPr>
            <w:tcW w:w="6096" w:type="dxa"/>
            <w:tcBorders>
              <w:top w:val="single" w:color="auto" w:sz="4" w:space="0"/>
              <w:left w:val="single" w:color="auto" w:sz="4" w:space="0"/>
              <w:bottom w:val="single" w:color="auto" w:sz="4" w:space="0"/>
              <w:right w:val="single" w:color="auto" w:sz="4" w:space="0"/>
            </w:tcBorders>
            <w:vAlign w:val="center"/>
          </w:tcPr>
          <w:p w14:paraId="03DF1DDD">
            <w:pPr>
              <w:pStyle w:val="35"/>
              <w:ind w:left="105" w:leftChars="50"/>
              <w:rPr>
                <w:rFonts w:hint="eastAsia" w:ascii="宋体" w:hAnsi="宋体" w:eastAsia="宋体" w:cs="宋体"/>
                <w:kern w:val="2"/>
                <w:sz w:val="21"/>
                <w:szCs w:val="22"/>
                <w:lang w:val="zh-CN" w:eastAsia="zh-CN" w:bidi="ar-SA"/>
              </w:rPr>
            </w:pPr>
            <w:r>
              <w:rPr>
                <w:rFonts w:hint="eastAsia" w:ascii="宋体" w:hAnsi="宋体" w:eastAsia="宋体" w:cs="宋体"/>
                <w:kern w:val="2"/>
                <w:sz w:val="21"/>
                <w:szCs w:val="22"/>
                <w:lang w:val="zh-CN" w:eastAsia="zh-CN" w:bidi="ar-SA"/>
              </w:rPr>
              <w:t>公告时间：在确定成交供应商之日起2个工作日内</w:t>
            </w:r>
          </w:p>
          <w:p w14:paraId="257832C1">
            <w:pPr>
              <w:pStyle w:val="35"/>
              <w:ind w:left="105" w:leftChars="50"/>
              <w:rPr>
                <w:rFonts w:hint="eastAsia" w:ascii="宋体" w:hAnsi="宋体" w:eastAsia="宋体" w:cs="宋体"/>
                <w:kern w:val="2"/>
                <w:sz w:val="21"/>
                <w:szCs w:val="22"/>
                <w:lang w:val="zh-CN" w:eastAsia="zh-CN" w:bidi="ar-SA"/>
              </w:rPr>
            </w:pPr>
            <w:r>
              <w:rPr>
                <w:rFonts w:hint="eastAsia" w:ascii="宋体" w:hAnsi="宋体" w:eastAsia="宋体" w:cs="宋体"/>
                <w:kern w:val="2"/>
                <w:sz w:val="21"/>
                <w:szCs w:val="22"/>
                <w:lang w:val="zh-CN" w:eastAsia="zh-CN" w:bidi="ar-SA"/>
              </w:rPr>
              <w:t>公告媒介：石泉县人民政府网</w:t>
            </w:r>
          </w:p>
          <w:p w14:paraId="0C076B3F">
            <w:pPr>
              <w:pStyle w:val="35"/>
              <w:ind w:left="105" w:leftChars="50"/>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zh-CN" w:eastAsia="zh-CN" w:bidi="ar-SA"/>
              </w:rPr>
              <w:t>公告期限：1个工作日</w:t>
            </w:r>
          </w:p>
        </w:tc>
      </w:tr>
      <w:tr w14:paraId="7D99B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457570B9">
            <w:pPr>
              <w:jc w:val="center"/>
              <w:rPr>
                <w:rFonts w:hint="eastAsia" w:ascii="宋体" w:hAnsi="宋体" w:eastAsia="宋体" w:cs="宋体"/>
                <w:sz w:val="24"/>
                <w:szCs w:val="24"/>
              </w:rPr>
            </w:pPr>
            <w:r>
              <w:rPr>
                <w:rFonts w:hint="eastAsia" w:ascii="宋体" w:hAnsi="宋体" w:eastAsia="宋体" w:cs="宋体"/>
                <w:sz w:val="24"/>
                <w:szCs w:val="24"/>
              </w:rPr>
              <w:t>33</w:t>
            </w:r>
          </w:p>
        </w:tc>
        <w:tc>
          <w:tcPr>
            <w:tcW w:w="2225" w:type="dxa"/>
            <w:tcBorders>
              <w:top w:val="single" w:color="auto" w:sz="4" w:space="0"/>
              <w:left w:val="single" w:color="auto" w:sz="4" w:space="0"/>
              <w:bottom w:val="single" w:color="auto" w:sz="4" w:space="0"/>
              <w:right w:val="single" w:color="auto" w:sz="4" w:space="0"/>
            </w:tcBorders>
            <w:vAlign w:val="center"/>
          </w:tcPr>
          <w:p w14:paraId="114BEC82">
            <w:pPr>
              <w:jc w:val="center"/>
              <w:rPr>
                <w:rFonts w:hint="eastAsia" w:ascii="宋体" w:hAnsi="宋体" w:eastAsia="宋体" w:cs="宋体"/>
                <w:sz w:val="24"/>
                <w:szCs w:val="24"/>
              </w:rPr>
            </w:pPr>
            <w:r>
              <w:rPr>
                <w:rFonts w:hint="eastAsia" w:ascii="宋体" w:hAnsi="宋体" w:eastAsia="宋体" w:cs="宋体"/>
                <w:sz w:val="24"/>
                <w:szCs w:val="24"/>
              </w:rPr>
              <w:t>招标代理服务费</w:t>
            </w:r>
          </w:p>
        </w:tc>
        <w:tc>
          <w:tcPr>
            <w:tcW w:w="6096" w:type="dxa"/>
            <w:tcBorders>
              <w:top w:val="single" w:color="auto" w:sz="4" w:space="0"/>
              <w:left w:val="single" w:color="auto" w:sz="4" w:space="0"/>
              <w:bottom w:val="single" w:color="auto" w:sz="4" w:space="0"/>
              <w:right w:val="single" w:color="auto" w:sz="4" w:space="0"/>
            </w:tcBorders>
            <w:vAlign w:val="center"/>
          </w:tcPr>
          <w:p w14:paraId="2A1EF56C">
            <w:pPr>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1、收费标准：招标代理服务费依据国家计委颁发的《招标代理服务收费管理暂行办法》（计价格[2002]1980号）文件标准收取，由成交供应商在领取中标通知书之前，向采购代理机构一次支付全额招标代理服务费。</w:t>
            </w:r>
          </w:p>
          <w:p w14:paraId="688515B6">
            <w:pPr>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2、汇款账号：</w:t>
            </w:r>
          </w:p>
          <w:p w14:paraId="7423CF11">
            <w:pPr>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开 户 行：亿诚建设项目管理有限公司石泉分公司</w:t>
            </w:r>
          </w:p>
          <w:p w14:paraId="0FF49C08">
            <w:pPr>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开 户 行：陕西省石泉农村商业银行股份有限公司营业部 帐    号：2707 0301 0120 1000 1</w:t>
            </w:r>
            <w:bookmarkStart w:id="41" w:name="_GoBack"/>
            <w:bookmarkEnd w:id="41"/>
            <w:r>
              <w:rPr>
                <w:rFonts w:hint="eastAsia" w:ascii="宋体" w:hAnsi="宋体" w:eastAsia="宋体" w:cs="宋体"/>
                <w:kern w:val="2"/>
                <w:sz w:val="21"/>
                <w:szCs w:val="22"/>
                <w:lang w:val="en-US" w:eastAsia="zh-CN" w:bidi="ar-SA"/>
              </w:rPr>
              <w:t>066 85</w:t>
            </w:r>
          </w:p>
          <w:p w14:paraId="735FEDDA">
            <w:pPr>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联系方式：15229053396</w:t>
            </w:r>
          </w:p>
          <w:p w14:paraId="715BE6FE">
            <w:pPr>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备注：供应商在汇款（招标代理服务费）时须注明项目编号+项目简称</w:t>
            </w:r>
          </w:p>
        </w:tc>
      </w:tr>
      <w:tr w14:paraId="5FC3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4AFB65A0">
            <w:pPr>
              <w:jc w:val="center"/>
              <w:rPr>
                <w:rFonts w:hint="eastAsia" w:ascii="宋体" w:hAnsi="宋体" w:eastAsia="宋体" w:cs="宋体"/>
                <w:sz w:val="24"/>
                <w:szCs w:val="24"/>
              </w:rPr>
            </w:pPr>
            <w:bookmarkStart w:id="4" w:name="_Toc144"/>
            <w:bookmarkStart w:id="5" w:name="_Toc10488"/>
            <w:r>
              <w:rPr>
                <w:rFonts w:hint="eastAsia" w:ascii="宋体" w:hAnsi="宋体" w:eastAsia="宋体" w:cs="宋体"/>
                <w:sz w:val="24"/>
                <w:szCs w:val="24"/>
              </w:rPr>
              <w:t>34</w:t>
            </w:r>
          </w:p>
        </w:tc>
        <w:tc>
          <w:tcPr>
            <w:tcW w:w="2225" w:type="dxa"/>
            <w:vAlign w:val="center"/>
          </w:tcPr>
          <w:p w14:paraId="212A0ECF">
            <w:pPr>
              <w:jc w:val="center"/>
              <w:rPr>
                <w:rFonts w:hint="eastAsia" w:ascii="宋体" w:hAnsi="宋体" w:eastAsia="宋体" w:cs="宋体"/>
                <w:sz w:val="24"/>
                <w:szCs w:val="24"/>
              </w:rPr>
            </w:pPr>
            <w:r>
              <w:rPr>
                <w:rFonts w:hint="eastAsia" w:ascii="宋体" w:hAnsi="宋体" w:eastAsia="宋体" w:cs="宋体"/>
                <w:sz w:val="24"/>
                <w:szCs w:val="24"/>
              </w:rPr>
              <w:t>信用担保和信用融资</w:t>
            </w:r>
          </w:p>
        </w:tc>
        <w:tc>
          <w:tcPr>
            <w:tcW w:w="6096" w:type="dxa"/>
            <w:vAlign w:val="center"/>
          </w:tcPr>
          <w:p w14:paraId="765B422E">
            <w:pPr>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为支持和促进中小企业发展，发挥政府采购政策导向作用，进一步解决中小微企业融资难、融资贵的问题，陕西省财政厅印发了《陕西省中小企业政府采购信用融资办法》（陕财办采〔2018〕23号）和《陕西省财政厅关于加快推进我省中小企业政府采购信用融资工作的通知》（陕财办采〔2020〕15号）。有融资需求的供应商可凭政府采购中标（成交）通知书、政府采购合同等相关资料，按照文件规定的程序申请办理，具体规定可登录“陕西省政府采购网-陕西省政府采购信用融资平台（http://www.ccgp-shaanxi.gov.cn/zcdservice/zcd/shanxi/）”了解。</w:t>
            </w:r>
          </w:p>
        </w:tc>
      </w:tr>
      <w:bookmarkEnd w:id="4"/>
      <w:bookmarkEnd w:id="5"/>
    </w:tbl>
    <w:p w14:paraId="38F13F51">
      <w:pPr>
        <w:rPr>
          <w:rFonts w:hint="eastAsia" w:ascii="宋体" w:hAnsi="宋体" w:eastAsia="宋体" w:cs="宋体"/>
        </w:rPr>
      </w:pPr>
    </w:p>
    <w:p w14:paraId="20ABE619">
      <w:pPr>
        <w:widowControl/>
        <w:jc w:val="left"/>
        <w:rPr>
          <w:rFonts w:hint="eastAsia" w:ascii="宋体" w:hAnsi="宋体" w:eastAsia="宋体" w:cs="宋体"/>
        </w:rPr>
      </w:pPr>
      <w:r>
        <w:rPr>
          <w:rFonts w:hint="eastAsia" w:ascii="宋体" w:hAnsi="宋体" w:eastAsia="宋体" w:cs="宋体"/>
        </w:rPr>
        <w:br w:type="page"/>
      </w:r>
    </w:p>
    <w:p w14:paraId="10045593">
      <w:pPr>
        <w:pStyle w:val="36"/>
        <w:spacing w:before="240" w:after="240"/>
        <w:jc w:val="center"/>
        <w:rPr>
          <w:rFonts w:hint="eastAsia" w:ascii="宋体" w:hAnsi="宋体" w:eastAsia="宋体" w:cs="宋体"/>
          <w:sz w:val="40"/>
          <w:szCs w:val="28"/>
        </w:rPr>
      </w:pPr>
      <w:r>
        <w:rPr>
          <w:rFonts w:hint="eastAsia" w:ascii="宋体" w:hAnsi="宋体" w:eastAsia="宋体" w:cs="宋体"/>
          <w:sz w:val="40"/>
          <w:szCs w:val="28"/>
        </w:rPr>
        <w:t>供应商须知</w:t>
      </w:r>
    </w:p>
    <w:p w14:paraId="762EF839">
      <w:pPr>
        <w:pStyle w:val="37"/>
        <w:spacing w:before="120" w:after="120"/>
        <w:rPr>
          <w:rFonts w:hint="eastAsia" w:ascii="宋体" w:hAnsi="宋体" w:eastAsia="宋体" w:cs="宋体"/>
        </w:rPr>
      </w:pPr>
      <w:r>
        <w:rPr>
          <w:rFonts w:hint="eastAsia" w:ascii="宋体" w:hAnsi="宋体" w:eastAsia="宋体" w:cs="宋体"/>
        </w:rPr>
        <w:t>一、总则</w:t>
      </w:r>
    </w:p>
    <w:p w14:paraId="11518E9C">
      <w:pPr>
        <w:pStyle w:val="39"/>
        <w:ind w:firstLine="482"/>
        <w:rPr>
          <w:rFonts w:hint="eastAsia" w:ascii="宋体" w:hAnsi="宋体" w:eastAsia="宋体" w:cs="宋体"/>
          <w:b/>
        </w:rPr>
      </w:pPr>
      <w:r>
        <w:rPr>
          <w:rFonts w:hint="eastAsia" w:ascii="宋体" w:hAnsi="宋体" w:eastAsia="宋体" w:cs="宋体"/>
          <w:b/>
        </w:rPr>
        <w:t>1.适用范围</w:t>
      </w:r>
    </w:p>
    <w:p w14:paraId="126BB419">
      <w:pPr>
        <w:pStyle w:val="39"/>
        <w:ind w:firstLine="480"/>
        <w:rPr>
          <w:rFonts w:hint="eastAsia" w:ascii="宋体" w:hAnsi="宋体" w:eastAsia="宋体" w:cs="宋体"/>
        </w:rPr>
      </w:pPr>
      <w:r>
        <w:rPr>
          <w:rFonts w:hint="eastAsia" w:ascii="宋体" w:hAnsi="宋体" w:eastAsia="宋体" w:cs="宋体"/>
        </w:rPr>
        <w:t>1.1本磋商文件仅适用于本次竞争性磋商采购项目。</w:t>
      </w:r>
    </w:p>
    <w:p w14:paraId="041B51F6">
      <w:pPr>
        <w:pStyle w:val="39"/>
        <w:ind w:firstLine="480"/>
        <w:rPr>
          <w:rFonts w:hint="eastAsia" w:ascii="宋体" w:hAnsi="宋体" w:eastAsia="宋体" w:cs="宋体"/>
        </w:rPr>
      </w:pPr>
      <w:r>
        <w:rPr>
          <w:rFonts w:hint="eastAsia" w:ascii="宋体" w:hAnsi="宋体" w:eastAsia="宋体" w:cs="宋体"/>
        </w:rPr>
        <w:t>1.2、本磋商文件的最终解释权由</w:t>
      </w:r>
      <w:r>
        <w:rPr>
          <w:rFonts w:hint="eastAsia" w:ascii="宋体" w:hAnsi="宋体" w:cs="宋体"/>
          <w:lang w:eastAsia="zh-CN"/>
        </w:rPr>
        <w:t>石泉县物业管理与房产交易所</w:t>
      </w:r>
      <w:r>
        <w:rPr>
          <w:rFonts w:hint="eastAsia" w:ascii="宋体" w:hAnsi="宋体" w:eastAsia="宋体" w:cs="宋体"/>
        </w:rPr>
        <w:t>和亿诚建设项目管理有限公司享有。对磋商文件中供应商参加本次政府采购活动应当具备的条件，磋商项目技术、服务、商务及其他要求，评审细则及标准由采购人名称负责解释。除上述磋商文件内容，其他内容由亿诚建设项目管理有限公司负责解释。</w:t>
      </w:r>
    </w:p>
    <w:p w14:paraId="4BB1C5F7">
      <w:pPr>
        <w:pStyle w:val="39"/>
        <w:ind w:firstLine="482"/>
        <w:rPr>
          <w:rFonts w:hint="eastAsia" w:ascii="宋体" w:hAnsi="宋体" w:eastAsia="宋体" w:cs="宋体"/>
          <w:b/>
        </w:rPr>
      </w:pPr>
      <w:r>
        <w:rPr>
          <w:rFonts w:hint="eastAsia" w:ascii="宋体" w:hAnsi="宋体" w:eastAsia="宋体" w:cs="宋体"/>
          <w:b/>
        </w:rPr>
        <w:t>2.有关定义</w:t>
      </w:r>
    </w:p>
    <w:p w14:paraId="3CBE18CF">
      <w:pPr>
        <w:pStyle w:val="39"/>
        <w:ind w:firstLine="480"/>
        <w:rPr>
          <w:rFonts w:hint="eastAsia" w:ascii="宋体" w:hAnsi="宋体" w:eastAsia="宋体" w:cs="宋体"/>
        </w:rPr>
      </w:pPr>
      <w:r>
        <w:rPr>
          <w:rFonts w:hint="eastAsia" w:ascii="宋体" w:hAnsi="宋体" w:eastAsia="宋体" w:cs="宋体"/>
        </w:rPr>
        <w:t>2.1采购人是指依法进行政府采购的各级国家机关、事业单位、团体组织。本次磋商的采购人是</w:t>
      </w:r>
      <w:r>
        <w:rPr>
          <w:rFonts w:hint="eastAsia" w:ascii="宋体" w:hAnsi="宋体" w:cs="宋体"/>
          <w:lang w:eastAsia="zh-CN"/>
        </w:rPr>
        <w:t>石泉县物业管理与房产交易所</w:t>
      </w:r>
      <w:r>
        <w:rPr>
          <w:rFonts w:hint="eastAsia" w:ascii="宋体" w:hAnsi="宋体" w:eastAsia="宋体" w:cs="宋体"/>
        </w:rPr>
        <w:t>。</w:t>
      </w:r>
    </w:p>
    <w:p w14:paraId="7C0EB7FF">
      <w:pPr>
        <w:pStyle w:val="39"/>
        <w:ind w:firstLine="480"/>
        <w:rPr>
          <w:rFonts w:hint="eastAsia" w:ascii="宋体" w:hAnsi="宋体" w:eastAsia="宋体" w:cs="宋体"/>
        </w:rPr>
      </w:pPr>
      <w:r>
        <w:rPr>
          <w:rFonts w:hint="eastAsia" w:ascii="宋体" w:hAnsi="宋体" w:eastAsia="宋体" w:cs="宋体"/>
        </w:rPr>
        <w:t>2.2监督机构是指政府采购行政监督管理部门。本次采购的监督机构：石泉县政府采购管理股。</w:t>
      </w:r>
    </w:p>
    <w:p w14:paraId="3F5B1972">
      <w:pPr>
        <w:pStyle w:val="39"/>
        <w:ind w:firstLine="480"/>
        <w:rPr>
          <w:rFonts w:hint="eastAsia" w:ascii="宋体" w:hAnsi="宋体" w:eastAsia="宋体" w:cs="宋体"/>
        </w:rPr>
      </w:pPr>
      <w:r>
        <w:rPr>
          <w:rFonts w:hint="eastAsia" w:ascii="宋体" w:hAnsi="宋体" w:eastAsia="宋体" w:cs="宋体"/>
        </w:rPr>
        <w:t>2.3采购代理机构是指政府采购集中采购机构和从事政府采购代理业务的社会中介机构。本项目的代理机构是亿诚建设项目管理有限公司。</w:t>
      </w:r>
    </w:p>
    <w:p w14:paraId="512452C2">
      <w:pPr>
        <w:pStyle w:val="39"/>
        <w:ind w:firstLine="480"/>
        <w:rPr>
          <w:rFonts w:hint="eastAsia" w:ascii="宋体" w:hAnsi="宋体" w:eastAsia="宋体" w:cs="宋体"/>
        </w:rPr>
      </w:pPr>
      <w:r>
        <w:rPr>
          <w:rFonts w:hint="eastAsia" w:ascii="宋体" w:hAnsi="宋体" w:eastAsia="宋体" w:cs="宋体"/>
        </w:rPr>
        <w:t>2.4供应商是指在按照磋商公告规定获取磋商文件，拟参加响应和向采购人提供货物、工程或服务的法人、其他组织或自然人。</w:t>
      </w:r>
    </w:p>
    <w:p w14:paraId="23B94C00">
      <w:pPr>
        <w:pStyle w:val="39"/>
        <w:ind w:firstLine="480"/>
        <w:rPr>
          <w:rFonts w:hint="eastAsia" w:ascii="宋体" w:hAnsi="宋体" w:eastAsia="宋体" w:cs="宋体"/>
        </w:rPr>
      </w:pPr>
      <w:r>
        <w:rPr>
          <w:rFonts w:hint="eastAsia" w:ascii="宋体" w:hAnsi="宋体" w:eastAsia="宋体" w:cs="宋体"/>
        </w:rPr>
        <w:t>2.5联合体是指两个以上的自然人、法人或者其他组织组成一个联合体，以一个供应商的身份共同参加政府采购。</w:t>
      </w:r>
    </w:p>
    <w:p w14:paraId="726028C2">
      <w:pPr>
        <w:pStyle w:val="39"/>
        <w:ind w:firstLine="480"/>
        <w:rPr>
          <w:rFonts w:hint="eastAsia" w:ascii="宋体" w:hAnsi="宋体" w:eastAsia="宋体" w:cs="宋体"/>
        </w:rPr>
      </w:pPr>
      <w:r>
        <w:rPr>
          <w:rFonts w:hint="eastAsia" w:ascii="宋体" w:hAnsi="宋体" w:eastAsia="宋体" w:cs="宋体"/>
        </w:rPr>
        <w:t>2.6 节能产品是指财政部、发展改革委、生态环境部等部门发布的《节能产品品目清单》中的产品。</w:t>
      </w:r>
    </w:p>
    <w:p w14:paraId="0A2066A8">
      <w:pPr>
        <w:pStyle w:val="39"/>
        <w:ind w:firstLine="480"/>
        <w:rPr>
          <w:rFonts w:hint="eastAsia" w:ascii="宋体" w:hAnsi="宋体" w:eastAsia="宋体" w:cs="宋体"/>
        </w:rPr>
      </w:pPr>
      <w:r>
        <w:rPr>
          <w:rFonts w:hint="eastAsia" w:ascii="宋体" w:hAnsi="宋体" w:eastAsia="宋体" w:cs="宋体"/>
        </w:rPr>
        <w:t>2.7 环境标志产品是指财政部、发展改革委、生态环境部等部门发布的《环境标志产品品目清单》中的产品。</w:t>
      </w:r>
    </w:p>
    <w:p w14:paraId="4E53F8D9">
      <w:pPr>
        <w:pStyle w:val="39"/>
        <w:ind w:firstLine="480"/>
        <w:rPr>
          <w:rFonts w:hint="eastAsia" w:ascii="宋体" w:hAnsi="宋体" w:eastAsia="宋体" w:cs="宋体"/>
        </w:rPr>
      </w:pPr>
      <w:r>
        <w:rPr>
          <w:rFonts w:hint="eastAsia" w:ascii="宋体" w:hAnsi="宋体" w:eastAsia="宋体" w:cs="宋体"/>
        </w:rPr>
        <w:t>2.8 进口产品是指通过中国海关报关验放进入中国境内且产自关境外的产品，详见《关于政府采购进口产品管理有关问题的通知》(财库[2007]119号)。</w:t>
      </w:r>
    </w:p>
    <w:p w14:paraId="7B4EA1A4">
      <w:pPr>
        <w:pStyle w:val="39"/>
        <w:ind w:firstLine="480"/>
        <w:rPr>
          <w:rFonts w:hint="eastAsia" w:ascii="宋体" w:hAnsi="宋体" w:eastAsia="宋体" w:cs="宋体"/>
        </w:rPr>
      </w:pPr>
      <w:r>
        <w:rPr>
          <w:rFonts w:hint="eastAsia" w:ascii="宋体" w:hAnsi="宋体" w:eastAsia="宋体" w:cs="宋体"/>
        </w:rPr>
        <w:t>2.9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号）、《政府采购促进中小企业发展管理办法》（财库〔2020〕46 号）、《关于印发中小企业划型标准规定的通知》（工信部联企业〔2011〕300号）。</w:t>
      </w:r>
    </w:p>
    <w:p w14:paraId="20DEC291">
      <w:pPr>
        <w:pStyle w:val="39"/>
        <w:ind w:firstLine="480"/>
        <w:rPr>
          <w:rFonts w:hint="eastAsia" w:ascii="宋体" w:hAnsi="宋体" w:eastAsia="宋体" w:cs="宋体"/>
        </w:rPr>
      </w:pPr>
      <w:r>
        <w:rPr>
          <w:rFonts w:hint="eastAsia" w:ascii="宋体" w:hAnsi="宋体" w:eastAsia="宋体" w:cs="宋体"/>
        </w:rPr>
        <w:t>2.10 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3971C77">
      <w:pPr>
        <w:pStyle w:val="39"/>
        <w:ind w:firstLine="480"/>
        <w:rPr>
          <w:rFonts w:hint="eastAsia" w:ascii="宋体" w:hAnsi="宋体" w:eastAsia="宋体" w:cs="宋体"/>
        </w:rPr>
      </w:pPr>
      <w:r>
        <w:rPr>
          <w:rFonts w:hint="eastAsia" w:ascii="宋体" w:hAnsi="宋体" w:eastAsia="宋体" w:cs="宋体"/>
        </w:rPr>
        <w:t>2.11 残疾人福利性单位是指符合《财政部、民政部、中国残疾人联合会关于促进残疾人就业政府采购政策的通知》（财库〔2017〕141号）规定条件的单位。</w:t>
      </w:r>
    </w:p>
    <w:p w14:paraId="05583421">
      <w:pPr>
        <w:pStyle w:val="37"/>
        <w:spacing w:before="120" w:after="120"/>
        <w:rPr>
          <w:rFonts w:hint="eastAsia" w:ascii="宋体" w:hAnsi="宋体" w:eastAsia="宋体" w:cs="宋体"/>
        </w:rPr>
      </w:pPr>
      <w:r>
        <w:rPr>
          <w:rFonts w:hint="eastAsia" w:ascii="宋体" w:hAnsi="宋体" w:eastAsia="宋体" w:cs="宋体"/>
        </w:rPr>
        <w:t>二、磋商文件</w:t>
      </w:r>
    </w:p>
    <w:p w14:paraId="29F74564">
      <w:pPr>
        <w:pStyle w:val="39"/>
        <w:ind w:firstLine="482"/>
        <w:rPr>
          <w:rFonts w:hint="eastAsia" w:ascii="宋体" w:hAnsi="宋体" w:eastAsia="宋体" w:cs="宋体"/>
          <w:b/>
        </w:rPr>
      </w:pPr>
      <w:r>
        <w:rPr>
          <w:rFonts w:hint="eastAsia" w:ascii="宋体" w:hAnsi="宋体" w:eastAsia="宋体" w:cs="宋体"/>
          <w:b/>
        </w:rPr>
        <w:t>3.磋商文件的构成</w:t>
      </w:r>
    </w:p>
    <w:p w14:paraId="76890307">
      <w:pPr>
        <w:pStyle w:val="39"/>
        <w:ind w:firstLine="480"/>
        <w:rPr>
          <w:rFonts w:hint="eastAsia" w:ascii="宋体" w:hAnsi="宋体" w:eastAsia="宋体" w:cs="宋体"/>
        </w:rPr>
      </w:pPr>
      <w:r>
        <w:rPr>
          <w:rFonts w:hint="eastAsia" w:ascii="宋体" w:hAnsi="宋体" w:eastAsia="宋体" w:cs="宋体"/>
        </w:rPr>
        <w:t>3.1磋商文件是本次采购活动的基本依据，也是供应商准备响应文件、参加采购活动的依据。磋商文件包括供应商资格条件、采购方式、采购预算、采购需求、政府采购政策要求、评审程序、评审方法、评审标准、价格构成或者报价要求、响应文件编制要求、磋商过程中可能实质性变动的内容、响应文件提交的截止时间、开启时间及地点以及合同草案条款等。</w:t>
      </w:r>
    </w:p>
    <w:p w14:paraId="710532AD">
      <w:pPr>
        <w:pStyle w:val="39"/>
        <w:ind w:firstLine="480"/>
        <w:rPr>
          <w:rFonts w:hint="eastAsia" w:ascii="宋体" w:hAnsi="宋体" w:eastAsia="宋体" w:cs="宋体"/>
        </w:rPr>
      </w:pPr>
      <w:r>
        <w:rPr>
          <w:rFonts w:hint="eastAsia" w:ascii="宋体" w:hAnsi="宋体" w:eastAsia="宋体" w:cs="宋体"/>
        </w:rPr>
        <w:t>3.2本磋商文件包括以下内容：</w:t>
      </w:r>
    </w:p>
    <w:p w14:paraId="214CBBF7">
      <w:pPr>
        <w:pStyle w:val="39"/>
        <w:ind w:firstLine="480"/>
        <w:rPr>
          <w:rFonts w:hint="eastAsia" w:ascii="宋体" w:hAnsi="宋体" w:eastAsia="宋体" w:cs="宋体"/>
        </w:rPr>
      </w:pPr>
      <w:r>
        <w:rPr>
          <w:rFonts w:hint="eastAsia" w:ascii="宋体" w:hAnsi="宋体" w:eastAsia="宋体" w:cs="宋体"/>
        </w:rPr>
        <w:t>（1）竞争性磋商公告；</w:t>
      </w:r>
    </w:p>
    <w:p w14:paraId="5EBD36B0">
      <w:pPr>
        <w:pStyle w:val="39"/>
        <w:ind w:firstLine="480"/>
        <w:rPr>
          <w:rFonts w:hint="eastAsia" w:ascii="宋体" w:hAnsi="宋体" w:eastAsia="宋体" w:cs="宋体"/>
        </w:rPr>
      </w:pPr>
      <w:r>
        <w:rPr>
          <w:rFonts w:hint="eastAsia" w:ascii="宋体" w:hAnsi="宋体" w:eastAsia="宋体" w:cs="宋体"/>
        </w:rPr>
        <w:t>（2）供应商须知；</w:t>
      </w:r>
    </w:p>
    <w:p w14:paraId="3FF95A06">
      <w:pPr>
        <w:pStyle w:val="39"/>
        <w:ind w:firstLine="480"/>
        <w:rPr>
          <w:rFonts w:hint="eastAsia" w:ascii="宋体" w:hAnsi="宋体" w:eastAsia="宋体" w:cs="宋体"/>
        </w:rPr>
      </w:pPr>
      <w:r>
        <w:rPr>
          <w:rFonts w:hint="eastAsia" w:ascii="宋体" w:hAnsi="宋体" w:eastAsia="宋体" w:cs="宋体"/>
        </w:rPr>
        <w:t>（3）资格审查；</w:t>
      </w:r>
    </w:p>
    <w:p w14:paraId="05A9AAFB">
      <w:pPr>
        <w:pStyle w:val="39"/>
        <w:ind w:firstLine="480"/>
        <w:rPr>
          <w:rFonts w:hint="eastAsia" w:ascii="宋体" w:hAnsi="宋体" w:eastAsia="宋体" w:cs="宋体"/>
        </w:rPr>
      </w:pPr>
      <w:r>
        <w:rPr>
          <w:rFonts w:hint="eastAsia" w:ascii="宋体" w:hAnsi="宋体" w:eastAsia="宋体" w:cs="宋体"/>
        </w:rPr>
        <w:t>（4）磋商办法；</w:t>
      </w:r>
    </w:p>
    <w:p w14:paraId="06D3BC23">
      <w:pPr>
        <w:pStyle w:val="39"/>
        <w:ind w:firstLine="480"/>
        <w:rPr>
          <w:rFonts w:hint="eastAsia" w:ascii="宋体" w:hAnsi="宋体" w:eastAsia="宋体" w:cs="宋体"/>
        </w:rPr>
      </w:pPr>
      <w:r>
        <w:rPr>
          <w:rFonts w:hint="eastAsia" w:ascii="宋体" w:hAnsi="宋体" w:eastAsia="宋体" w:cs="宋体"/>
        </w:rPr>
        <w:t>（5）磋商内容及采购要求；</w:t>
      </w:r>
    </w:p>
    <w:p w14:paraId="6AE549CF">
      <w:pPr>
        <w:pStyle w:val="39"/>
        <w:ind w:firstLine="480"/>
        <w:rPr>
          <w:rFonts w:hint="eastAsia" w:ascii="宋体" w:hAnsi="宋体" w:eastAsia="宋体" w:cs="宋体"/>
        </w:rPr>
      </w:pPr>
      <w:r>
        <w:rPr>
          <w:rFonts w:hint="eastAsia" w:ascii="宋体" w:hAnsi="宋体" w:eastAsia="宋体" w:cs="宋体"/>
        </w:rPr>
        <w:t>（6）合同草案条款</w:t>
      </w:r>
    </w:p>
    <w:p w14:paraId="2A25717E">
      <w:pPr>
        <w:pStyle w:val="39"/>
        <w:ind w:firstLine="480"/>
        <w:rPr>
          <w:rFonts w:hint="eastAsia" w:ascii="宋体" w:hAnsi="宋体" w:eastAsia="宋体" w:cs="宋体"/>
        </w:rPr>
      </w:pPr>
      <w:r>
        <w:rPr>
          <w:rFonts w:hint="eastAsia" w:ascii="宋体" w:hAnsi="宋体" w:eastAsia="宋体" w:cs="宋体"/>
        </w:rPr>
        <w:t>（7）响应文件格式。</w:t>
      </w:r>
    </w:p>
    <w:p w14:paraId="2FCDA2B1">
      <w:pPr>
        <w:pStyle w:val="39"/>
        <w:ind w:firstLine="480"/>
        <w:rPr>
          <w:rFonts w:hint="eastAsia" w:ascii="宋体" w:hAnsi="宋体" w:eastAsia="宋体" w:cs="宋体"/>
        </w:rPr>
      </w:pPr>
      <w:r>
        <w:rPr>
          <w:rFonts w:hint="eastAsia" w:ascii="宋体" w:hAnsi="宋体" w:eastAsia="宋体" w:cs="宋体"/>
        </w:rPr>
        <w:t>3.2供应商应认真阅读和充分理解磋商文件中所有的事项、格式条款和规范要求。供应商应按照磋商文件要求交响应文件并保证所供的全部资料的真实性，并对磋商文件做出实质性响应，否则响应无效。</w:t>
      </w:r>
    </w:p>
    <w:p w14:paraId="38A548C2">
      <w:pPr>
        <w:pStyle w:val="39"/>
        <w:ind w:firstLine="482"/>
        <w:rPr>
          <w:rFonts w:hint="eastAsia" w:ascii="宋体" w:hAnsi="宋体" w:eastAsia="宋体" w:cs="宋体"/>
          <w:b/>
        </w:rPr>
      </w:pPr>
      <w:r>
        <w:rPr>
          <w:rFonts w:hint="eastAsia" w:ascii="宋体" w:hAnsi="宋体" w:eastAsia="宋体" w:cs="宋体"/>
          <w:b/>
        </w:rPr>
        <w:t>4.磋商文件的澄清和修改</w:t>
      </w:r>
    </w:p>
    <w:p w14:paraId="1ED9CD6E">
      <w:pPr>
        <w:pStyle w:val="39"/>
        <w:ind w:firstLine="480"/>
        <w:rPr>
          <w:rFonts w:hint="eastAsia" w:ascii="宋体" w:hAnsi="宋体" w:eastAsia="宋体" w:cs="宋体"/>
        </w:rPr>
      </w:pPr>
      <w:r>
        <w:rPr>
          <w:rFonts w:hint="eastAsia" w:ascii="宋体" w:hAnsi="宋体" w:eastAsia="宋体" w:cs="宋体"/>
        </w:rPr>
        <w:t>4.1在提交首次响应文件截止时间前，采购人或者代理机构可以对已发出的磋商文件进行必要的澄清或者修改。采购人、采购代理机构或者磋商小组对已发出的磋商文件进行必要澄清或者修改的，将以书面形式通知所有获取磋商文件的潜在供应商。</w:t>
      </w:r>
    </w:p>
    <w:p w14:paraId="28086713">
      <w:pPr>
        <w:pStyle w:val="39"/>
        <w:ind w:firstLine="480"/>
        <w:rPr>
          <w:rFonts w:hint="eastAsia" w:ascii="宋体" w:hAnsi="宋体" w:eastAsia="宋体" w:cs="宋体"/>
        </w:rPr>
      </w:pPr>
      <w:r>
        <w:rPr>
          <w:rFonts w:hint="eastAsia" w:ascii="宋体" w:hAnsi="宋体" w:eastAsia="宋体" w:cs="宋体"/>
        </w:rPr>
        <w:t>4.2 澄清或者修改的内容为磋商文件的组成部分，并对所有获取磋商文件的潜在供应商具有约束力。采购人或者代理机构将在石泉县人民政府网发布更正公告，供应商应及时关注本项目更正公告信息，按更正后公告要求进行响应。若供应商未按前述要求进行响应的，自行承担不利后果。</w:t>
      </w:r>
    </w:p>
    <w:p w14:paraId="5C70ADDB">
      <w:pPr>
        <w:pStyle w:val="39"/>
        <w:ind w:firstLine="480"/>
        <w:rPr>
          <w:rFonts w:hint="eastAsia" w:ascii="宋体" w:hAnsi="宋体" w:eastAsia="宋体" w:cs="宋体"/>
        </w:rPr>
      </w:pPr>
      <w:r>
        <w:rPr>
          <w:rFonts w:hint="eastAsia" w:ascii="宋体" w:hAnsi="宋体" w:eastAsia="宋体" w:cs="宋体"/>
        </w:rPr>
        <w:t>4.3 澄清或者修改的内容可能影响响应文件编制的，将在提交首次响应文件截止之日3 个工作日（5日）前，以书面形式通知所有获取磋商文件的供应商；不足上述时间的，将顺延提交响应文件截止时间。</w:t>
      </w:r>
    </w:p>
    <w:p w14:paraId="64381FB9">
      <w:pPr>
        <w:pStyle w:val="39"/>
        <w:ind w:firstLine="480"/>
        <w:rPr>
          <w:rFonts w:hint="eastAsia" w:ascii="宋体" w:hAnsi="宋体" w:eastAsia="宋体" w:cs="宋体"/>
        </w:rPr>
      </w:pPr>
      <w:r>
        <w:rPr>
          <w:rFonts w:hint="eastAsia" w:ascii="宋体" w:hAnsi="宋体" w:eastAsia="宋体" w:cs="宋体"/>
        </w:rPr>
        <w:t>4.4 当竞争性磋商文件的澄清、答复、修改或补充通知与磋商文件就同一内容表述不一致时，以最后发出的书面文件内容为准。</w:t>
      </w:r>
    </w:p>
    <w:p w14:paraId="2F2410B9">
      <w:pPr>
        <w:pStyle w:val="39"/>
        <w:ind w:firstLine="480"/>
        <w:rPr>
          <w:rFonts w:hint="eastAsia" w:ascii="宋体" w:hAnsi="宋体" w:eastAsia="宋体" w:cs="宋体"/>
        </w:rPr>
      </w:pPr>
      <w:r>
        <w:rPr>
          <w:rFonts w:hint="eastAsia" w:ascii="宋体" w:hAnsi="宋体" w:eastAsia="宋体" w:cs="宋体"/>
        </w:rPr>
        <w:t>4.5 上述书面通知，按照获取磋商文件的潜在供应商提供的联系方式发出，因提供的信息有误导致通知延迟或无法通知的，采购人或采购代理机构不承担责任。</w:t>
      </w:r>
    </w:p>
    <w:p w14:paraId="735440F6">
      <w:pPr>
        <w:pStyle w:val="37"/>
        <w:spacing w:before="120" w:after="120"/>
        <w:rPr>
          <w:rFonts w:hint="eastAsia" w:ascii="宋体" w:hAnsi="宋体" w:eastAsia="宋体" w:cs="宋体"/>
        </w:rPr>
      </w:pPr>
      <w:r>
        <w:rPr>
          <w:rFonts w:hint="eastAsia" w:ascii="宋体" w:hAnsi="宋体" w:eastAsia="宋体" w:cs="宋体"/>
        </w:rPr>
        <w:t>三、响应文件的编制</w:t>
      </w:r>
    </w:p>
    <w:p w14:paraId="2774EA00">
      <w:pPr>
        <w:pStyle w:val="39"/>
        <w:ind w:firstLine="482"/>
        <w:rPr>
          <w:rFonts w:hint="eastAsia" w:ascii="宋体" w:hAnsi="宋体" w:eastAsia="宋体" w:cs="宋体"/>
          <w:b/>
        </w:rPr>
      </w:pPr>
      <w:r>
        <w:rPr>
          <w:rFonts w:hint="eastAsia" w:ascii="宋体" w:hAnsi="宋体" w:eastAsia="宋体" w:cs="宋体"/>
          <w:b/>
        </w:rPr>
        <w:t>5.响应文件的语言</w:t>
      </w:r>
    </w:p>
    <w:p w14:paraId="26D6ECF0">
      <w:pPr>
        <w:pStyle w:val="39"/>
        <w:ind w:firstLine="480"/>
        <w:rPr>
          <w:rFonts w:hint="eastAsia" w:ascii="宋体" w:hAnsi="宋体" w:eastAsia="宋体" w:cs="宋体"/>
        </w:rPr>
      </w:pPr>
      <w:r>
        <w:rPr>
          <w:rFonts w:hint="eastAsia" w:ascii="宋体" w:hAnsi="宋体" w:eastAsia="宋体" w:cs="宋体"/>
        </w:rPr>
        <w:t>5.1 供应商提交的响应文件以及供应商与磋商小组在磋商过程中的所有来往书面文件均须使用中文。响应文件中如附有外文资料，主要部分要对应翻译成中文并附在相关外文资料后面。未翻译的外文资料，磋商小组将视其为无效材料。</w:t>
      </w:r>
    </w:p>
    <w:p w14:paraId="55F16710">
      <w:pPr>
        <w:pStyle w:val="39"/>
        <w:ind w:firstLine="480"/>
        <w:rPr>
          <w:rFonts w:hint="eastAsia" w:ascii="宋体" w:hAnsi="宋体" w:eastAsia="宋体" w:cs="宋体"/>
        </w:rPr>
      </w:pPr>
      <w:r>
        <w:rPr>
          <w:rFonts w:hint="eastAsia" w:ascii="宋体" w:hAnsi="宋体" w:eastAsia="宋体" w:cs="宋体"/>
        </w:rPr>
        <w:t>5.2 翻译的中文资料与外文资料如果出现差异和矛盾时，以中文为准。涉嫌提供虚假材料的按照相关法律法规处理。</w:t>
      </w:r>
    </w:p>
    <w:p w14:paraId="1D077414">
      <w:pPr>
        <w:pStyle w:val="39"/>
        <w:ind w:firstLine="480"/>
        <w:rPr>
          <w:rFonts w:hint="eastAsia" w:ascii="宋体" w:hAnsi="宋体" w:eastAsia="宋体" w:cs="宋体"/>
        </w:rPr>
      </w:pPr>
      <w:r>
        <w:rPr>
          <w:rFonts w:hint="eastAsia" w:ascii="宋体" w:hAnsi="宋体" w:eastAsia="宋体" w:cs="宋体"/>
        </w:rPr>
        <w:t>5.3 如因未翻译而造成对供应商的不利后果，由供应商承担。</w:t>
      </w:r>
    </w:p>
    <w:p w14:paraId="554DDD4D">
      <w:pPr>
        <w:pStyle w:val="39"/>
        <w:ind w:firstLine="482"/>
        <w:rPr>
          <w:rFonts w:hint="eastAsia" w:ascii="宋体" w:hAnsi="宋体" w:eastAsia="宋体" w:cs="宋体"/>
          <w:b/>
        </w:rPr>
      </w:pPr>
      <w:r>
        <w:rPr>
          <w:rFonts w:hint="eastAsia" w:ascii="宋体" w:hAnsi="宋体" w:eastAsia="宋体" w:cs="宋体"/>
          <w:b/>
        </w:rPr>
        <w:t>6.计量单位</w:t>
      </w:r>
    </w:p>
    <w:p w14:paraId="5E88D43B">
      <w:pPr>
        <w:pStyle w:val="39"/>
        <w:ind w:firstLine="480"/>
        <w:rPr>
          <w:rFonts w:hint="eastAsia" w:ascii="宋体" w:hAnsi="宋体" w:eastAsia="宋体" w:cs="宋体"/>
        </w:rPr>
      </w:pPr>
      <w:r>
        <w:rPr>
          <w:rFonts w:hint="eastAsia" w:ascii="宋体" w:hAnsi="宋体" w:eastAsia="宋体" w:cs="宋体"/>
        </w:rPr>
        <w:t>除磋商文件中另有规定外，本项目均采用国家法定的计量单位。</w:t>
      </w:r>
    </w:p>
    <w:p w14:paraId="1BBE4BAA">
      <w:pPr>
        <w:pStyle w:val="39"/>
        <w:ind w:firstLine="482"/>
        <w:rPr>
          <w:rFonts w:hint="eastAsia" w:ascii="宋体" w:hAnsi="宋体" w:eastAsia="宋体" w:cs="宋体"/>
          <w:b/>
        </w:rPr>
      </w:pPr>
      <w:r>
        <w:rPr>
          <w:rFonts w:hint="eastAsia" w:ascii="宋体" w:hAnsi="宋体" w:eastAsia="宋体" w:cs="宋体"/>
          <w:b/>
        </w:rPr>
        <w:t>7.响应货币</w:t>
      </w:r>
    </w:p>
    <w:p w14:paraId="7378BDD8">
      <w:pPr>
        <w:pStyle w:val="39"/>
        <w:ind w:firstLine="480"/>
        <w:rPr>
          <w:rFonts w:hint="eastAsia" w:ascii="宋体" w:hAnsi="宋体" w:eastAsia="宋体" w:cs="宋体"/>
        </w:rPr>
      </w:pPr>
      <w:r>
        <w:rPr>
          <w:rFonts w:hint="eastAsia" w:ascii="宋体" w:hAnsi="宋体" w:eastAsia="宋体" w:cs="宋体"/>
        </w:rPr>
        <w:t>本项目均以人民币报价。</w:t>
      </w:r>
    </w:p>
    <w:p w14:paraId="414D4AC5">
      <w:pPr>
        <w:pStyle w:val="39"/>
        <w:ind w:firstLine="482"/>
        <w:rPr>
          <w:rFonts w:hint="eastAsia" w:ascii="宋体" w:hAnsi="宋体" w:eastAsia="宋体" w:cs="宋体"/>
          <w:b/>
        </w:rPr>
      </w:pPr>
      <w:r>
        <w:rPr>
          <w:rFonts w:hint="eastAsia" w:ascii="宋体" w:hAnsi="宋体" w:eastAsia="宋体" w:cs="宋体"/>
          <w:b/>
        </w:rPr>
        <w:t>8.响应范围</w:t>
      </w:r>
    </w:p>
    <w:p w14:paraId="28C7DF2C">
      <w:pPr>
        <w:pStyle w:val="39"/>
        <w:ind w:firstLine="480"/>
        <w:rPr>
          <w:rFonts w:hint="eastAsia" w:ascii="宋体" w:hAnsi="宋体" w:eastAsia="宋体" w:cs="宋体"/>
        </w:rPr>
      </w:pPr>
      <w:r>
        <w:rPr>
          <w:rFonts w:hint="eastAsia" w:ascii="宋体" w:hAnsi="宋体" w:eastAsia="宋体" w:cs="宋体"/>
        </w:rPr>
        <w:t>8.1 本项目如划分采购包，供应商可以对本项目的其中一个采购包进行响应，也可同时对多个采购包进行响应。供应商应当对所参与采购包对应第</w:t>
      </w:r>
      <w:r>
        <w:rPr>
          <w:rFonts w:hint="eastAsia" w:ascii="宋体" w:hAnsi="宋体" w:eastAsia="宋体" w:cs="宋体"/>
          <w:lang w:eastAsia="zh-CN"/>
        </w:rPr>
        <w:t>四</w:t>
      </w:r>
      <w:r>
        <w:rPr>
          <w:rFonts w:hint="eastAsia" w:ascii="宋体" w:hAnsi="宋体" w:eastAsia="宋体" w:cs="宋体"/>
        </w:rPr>
        <w:t>章《磋商内容及采购要求》所列的全部内容进行响应，不得将一个采购包中的内容拆分响应，否则其对该采购包的响应将被认定为无效响应。</w:t>
      </w:r>
    </w:p>
    <w:p w14:paraId="1FBF936B">
      <w:pPr>
        <w:pStyle w:val="39"/>
        <w:ind w:firstLine="482"/>
        <w:rPr>
          <w:rFonts w:hint="eastAsia" w:ascii="宋体" w:hAnsi="宋体" w:eastAsia="宋体" w:cs="宋体"/>
          <w:b/>
        </w:rPr>
      </w:pPr>
      <w:r>
        <w:rPr>
          <w:rFonts w:hint="eastAsia" w:ascii="宋体" w:hAnsi="宋体" w:eastAsia="宋体" w:cs="宋体"/>
          <w:b/>
        </w:rPr>
        <w:t>9.响应文件构成</w:t>
      </w:r>
    </w:p>
    <w:p w14:paraId="37410CB2">
      <w:pPr>
        <w:pStyle w:val="39"/>
        <w:ind w:firstLine="480"/>
        <w:rPr>
          <w:rFonts w:hint="eastAsia" w:ascii="宋体" w:hAnsi="宋体" w:eastAsia="宋体" w:cs="宋体"/>
        </w:rPr>
      </w:pPr>
      <w:r>
        <w:rPr>
          <w:rFonts w:hint="eastAsia" w:ascii="宋体" w:hAnsi="宋体" w:eastAsia="宋体" w:cs="宋体"/>
        </w:rPr>
        <w:t>9.1 供应商应当按照磋商文件的要求编制响应文件，并对其交的响应文件的真实性、合法性承担法律责任。响应文件的部分格式要求，见第</w:t>
      </w:r>
      <w:r>
        <w:rPr>
          <w:rFonts w:hint="eastAsia" w:ascii="宋体" w:hAnsi="宋体" w:eastAsia="宋体" w:cs="宋体"/>
          <w:lang w:eastAsia="zh-CN"/>
        </w:rPr>
        <w:t>六</w:t>
      </w:r>
      <w:r>
        <w:rPr>
          <w:rFonts w:hint="eastAsia" w:ascii="宋体" w:hAnsi="宋体" w:eastAsia="宋体" w:cs="宋体"/>
        </w:rPr>
        <w:t>章《</w:t>
      </w:r>
      <w:r>
        <w:rPr>
          <w:rFonts w:hint="eastAsia" w:ascii="宋体" w:hAnsi="宋体" w:eastAsia="宋体" w:cs="宋体"/>
          <w:lang w:eastAsia="zh-CN"/>
        </w:rPr>
        <w:t>磋商</w:t>
      </w:r>
      <w:r>
        <w:rPr>
          <w:rFonts w:hint="eastAsia" w:ascii="宋体" w:hAnsi="宋体" w:eastAsia="宋体" w:cs="宋体"/>
        </w:rPr>
        <w:t>响应文件格式》。</w:t>
      </w:r>
    </w:p>
    <w:p w14:paraId="692B162B">
      <w:pPr>
        <w:pStyle w:val="39"/>
        <w:ind w:firstLine="480"/>
        <w:rPr>
          <w:rFonts w:hint="eastAsia" w:ascii="宋体" w:hAnsi="宋体" w:eastAsia="宋体" w:cs="宋体"/>
        </w:rPr>
      </w:pPr>
      <w:r>
        <w:rPr>
          <w:rFonts w:hint="eastAsia" w:ascii="宋体" w:hAnsi="宋体" w:eastAsia="宋体" w:cs="宋体"/>
        </w:rPr>
        <w:t>9.2 对于磋商文件中标记了实质性格式文件的，供应商不得改变格式中给定的文字所表达的含义，不得删减格式中的实质性内容，不得自行添加与格式中给定的文字内容相矛盾的内容，不得对应当填写的空格不填写或不实质性响应，否则响应无效。未标记实质性格式的文件和磋商文件未提供格式的内容，可由供应商自行编写。</w:t>
      </w:r>
    </w:p>
    <w:p w14:paraId="49A0AA09">
      <w:pPr>
        <w:pStyle w:val="39"/>
        <w:ind w:firstLine="480"/>
        <w:rPr>
          <w:rFonts w:hint="eastAsia" w:ascii="宋体" w:hAnsi="宋体" w:eastAsia="宋体" w:cs="宋体"/>
        </w:rPr>
      </w:pPr>
      <w:r>
        <w:rPr>
          <w:rFonts w:hint="eastAsia" w:ascii="宋体" w:hAnsi="宋体" w:eastAsia="宋体" w:cs="宋体"/>
        </w:rPr>
        <w:t>9.3 第三章《资格审查》和第</w:t>
      </w:r>
      <w:r>
        <w:rPr>
          <w:rFonts w:hint="eastAsia" w:ascii="宋体" w:hAnsi="宋体" w:eastAsia="宋体" w:cs="宋体"/>
          <w:lang w:eastAsia="zh-CN"/>
        </w:rPr>
        <w:t>三</w:t>
      </w:r>
      <w:r>
        <w:rPr>
          <w:rFonts w:hint="eastAsia" w:ascii="宋体" w:hAnsi="宋体" w:eastAsia="宋体" w:cs="宋体"/>
        </w:rPr>
        <w:t>章《磋商办法》中涉及的证明文件。</w:t>
      </w:r>
    </w:p>
    <w:p w14:paraId="018F94ED">
      <w:pPr>
        <w:pStyle w:val="39"/>
        <w:ind w:firstLine="480"/>
        <w:rPr>
          <w:rFonts w:hint="eastAsia" w:ascii="宋体" w:hAnsi="宋体" w:eastAsia="宋体" w:cs="宋体"/>
        </w:rPr>
      </w:pPr>
      <w:r>
        <w:rPr>
          <w:rFonts w:hint="eastAsia" w:ascii="宋体" w:hAnsi="宋体" w:eastAsia="宋体" w:cs="宋体"/>
        </w:rPr>
        <w:t>9.4 对照第</w:t>
      </w:r>
      <w:r>
        <w:rPr>
          <w:rFonts w:hint="eastAsia" w:ascii="宋体" w:hAnsi="宋体" w:eastAsia="宋体" w:cs="宋体"/>
          <w:lang w:eastAsia="zh-CN"/>
        </w:rPr>
        <w:t>四</w:t>
      </w:r>
      <w:r>
        <w:rPr>
          <w:rFonts w:hint="eastAsia" w:ascii="宋体" w:hAnsi="宋体" w:eastAsia="宋体" w:cs="宋体"/>
        </w:rPr>
        <w:t>章《磋商内容及采购要求》，说明所提供货物和服务已对第</w:t>
      </w:r>
      <w:r>
        <w:rPr>
          <w:rFonts w:hint="eastAsia" w:ascii="宋体" w:hAnsi="宋体" w:eastAsia="宋体" w:cs="宋体"/>
          <w:lang w:eastAsia="zh-CN"/>
        </w:rPr>
        <w:t>四</w:t>
      </w:r>
      <w:r>
        <w:rPr>
          <w:rFonts w:hint="eastAsia" w:ascii="宋体" w:hAnsi="宋体" w:eastAsia="宋体" w:cs="宋体"/>
        </w:rPr>
        <w:t>章《磋商内容及采购要求》做出了响应，或申明与第</w:t>
      </w:r>
      <w:r>
        <w:rPr>
          <w:rFonts w:hint="eastAsia" w:ascii="宋体" w:hAnsi="宋体" w:eastAsia="宋体" w:cs="宋体"/>
          <w:lang w:eastAsia="zh-CN"/>
        </w:rPr>
        <w:t>四</w:t>
      </w:r>
      <w:r>
        <w:rPr>
          <w:rFonts w:hint="eastAsia" w:ascii="宋体" w:hAnsi="宋体" w:eastAsia="宋体" w:cs="宋体"/>
        </w:rPr>
        <w:t>章《磋商内容及采购要求》的偏差和例外。如第</w:t>
      </w:r>
      <w:r>
        <w:rPr>
          <w:rFonts w:hint="eastAsia" w:ascii="宋体" w:hAnsi="宋体" w:eastAsia="宋体" w:cs="宋体"/>
          <w:lang w:eastAsia="zh-CN"/>
        </w:rPr>
        <w:t>四</w:t>
      </w:r>
      <w:r>
        <w:rPr>
          <w:rFonts w:hint="eastAsia" w:ascii="宋体" w:hAnsi="宋体" w:eastAsia="宋体" w:cs="宋体"/>
        </w:rPr>
        <w:t>章《磋商内容及采购要求》中要求提供证明文件的，供应商应当按具体要求提供证明文件。</w:t>
      </w:r>
    </w:p>
    <w:p w14:paraId="69FF6240">
      <w:pPr>
        <w:pStyle w:val="39"/>
        <w:ind w:firstLine="480"/>
        <w:rPr>
          <w:rFonts w:hint="eastAsia" w:ascii="宋体" w:hAnsi="宋体" w:eastAsia="宋体" w:cs="宋体"/>
        </w:rPr>
      </w:pPr>
      <w:r>
        <w:rPr>
          <w:rFonts w:hint="eastAsia" w:ascii="宋体" w:hAnsi="宋体" w:eastAsia="宋体" w:cs="宋体"/>
        </w:rPr>
        <w:t>9.5 供应商认为应附的其他材料。</w:t>
      </w:r>
    </w:p>
    <w:p w14:paraId="7D3B4756">
      <w:pPr>
        <w:pStyle w:val="39"/>
        <w:ind w:firstLine="482"/>
        <w:rPr>
          <w:rFonts w:hint="eastAsia" w:ascii="宋体" w:hAnsi="宋体" w:eastAsia="宋体" w:cs="宋体"/>
          <w:b/>
        </w:rPr>
      </w:pPr>
      <w:r>
        <w:rPr>
          <w:rFonts w:hint="eastAsia" w:ascii="宋体" w:hAnsi="宋体" w:eastAsia="宋体" w:cs="宋体"/>
          <w:b/>
        </w:rPr>
        <w:t>10.知识产权</w:t>
      </w:r>
    </w:p>
    <w:p w14:paraId="5BBA71F0">
      <w:pPr>
        <w:pStyle w:val="39"/>
        <w:ind w:firstLine="480"/>
        <w:rPr>
          <w:rFonts w:hint="eastAsia" w:ascii="宋体" w:hAnsi="宋体" w:eastAsia="宋体" w:cs="宋体"/>
        </w:rPr>
      </w:pPr>
      <w:r>
        <w:rPr>
          <w:rFonts w:hint="eastAsia" w:ascii="宋体" w:hAnsi="宋体" w:eastAsia="宋体" w:cs="宋体"/>
        </w:rPr>
        <w:t>10.1 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657EC14A">
      <w:pPr>
        <w:pStyle w:val="39"/>
        <w:ind w:firstLine="480"/>
        <w:rPr>
          <w:rFonts w:hint="eastAsia" w:ascii="宋体" w:hAnsi="宋体" w:eastAsia="宋体" w:cs="宋体"/>
        </w:rPr>
      </w:pPr>
      <w:r>
        <w:rPr>
          <w:rFonts w:hint="eastAsia" w:ascii="宋体" w:hAnsi="宋体" w:eastAsia="宋体" w:cs="宋体"/>
        </w:rPr>
        <w:t>10.2 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14:paraId="28BB26D7">
      <w:pPr>
        <w:pStyle w:val="39"/>
        <w:ind w:firstLine="482"/>
        <w:rPr>
          <w:rFonts w:hint="eastAsia" w:ascii="宋体" w:hAnsi="宋体" w:eastAsia="宋体" w:cs="宋体"/>
          <w:b/>
        </w:rPr>
      </w:pPr>
      <w:r>
        <w:rPr>
          <w:rFonts w:hint="eastAsia" w:ascii="宋体" w:hAnsi="宋体" w:eastAsia="宋体" w:cs="宋体"/>
          <w:b/>
        </w:rPr>
        <w:t>11.响应报价</w:t>
      </w:r>
    </w:p>
    <w:p w14:paraId="49EF3B2D">
      <w:pPr>
        <w:pStyle w:val="39"/>
        <w:ind w:firstLine="480"/>
        <w:rPr>
          <w:rFonts w:hint="eastAsia" w:ascii="宋体" w:hAnsi="宋体" w:eastAsia="宋体" w:cs="宋体"/>
        </w:rPr>
      </w:pPr>
      <w:r>
        <w:rPr>
          <w:rFonts w:hint="eastAsia" w:ascii="宋体" w:hAnsi="宋体" w:eastAsia="宋体" w:cs="宋体"/>
        </w:rPr>
        <w:t>11.1供应商的报价应包括为完成本项目所发生的一切费用和税费，采购人将不再支付报价以外的任何费用。供应商的报价应包括但不限于下列内容，供应商须知前附表中有特殊规定的，从其规定。</w:t>
      </w:r>
    </w:p>
    <w:p w14:paraId="0404B4D0">
      <w:pPr>
        <w:pStyle w:val="39"/>
        <w:ind w:firstLine="480"/>
        <w:rPr>
          <w:rFonts w:hint="eastAsia" w:ascii="宋体" w:hAnsi="宋体" w:eastAsia="宋体" w:cs="宋体"/>
        </w:rPr>
      </w:pPr>
      <w:r>
        <w:rPr>
          <w:rFonts w:hint="eastAsia" w:ascii="宋体" w:hAnsi="宋体" w:eastAsia="宋体" w:cs="宋体"/>
        </w:rPr>
        <w:t>11.2 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6720E9E0">
      <w:pPr>
        <w:pStyle w:val="39"/>
        <w:ind w:firstLine="480"/>
        <w:rPr>
          <w:rFonts w:hint="eastAsia" w:ascii="宋体" w:hAnsi="宋体" w:eastAsia="宋体" w:cs="宋体"/>
        </w:rPr>
      </w:pPr>
      <w:r>
        <w:rPr>
          <w:rFonts w:hint="eastAsia" w:ascii="宋体" w:hAnsi="宋体" w:eastAsia="宋体" w:cs="宋体"/>
        </w:rPr>
        <w:t>11.3 按照磋商文件要求完成本项目的全部相关费用。</w:t>
      </w:r>
    </w:p>
    <w:p w14:paraId="0E5DF4C6">
      <w:pPr>
        <w:pStyle w:val="39"/>
        <w:ind w:firstLine="480"/>
        <w:rPr>
          <w:rFonts w:hint="eastAsia" w:ascii="宋体" w:hAnsi="宋体" w:eastAsia="宋体" w:cs="宋体"/>
        </w:rPr>
      </w:pPr>
      <w:r>
        <w:rPr>
          <w:rFonts w:hint="eastAsia" w:ascii="宋体" w:hAnsi="宋体" w:eastAsia="宋体" w:cs="宋体"/>
        </w:rPr>
        <w:t>11.4 供应商不能供任何有选择性或可调整的最后报价（磋商文件另有规定的除外），否则其响应无效。</w:t>
      </w:r>
    </w:p>
    <w:p w14:paraId="309957A5">
      <w:pPr>
        <w:pStyle w:val="39"/>
        <w:ind w:firstLine="482"/>
        <w:rPr>
          <w:rFonts w:hint="eastAsia" w:ascii="宋体" w:hAnsi="宋体" w:eastAsia="宋体" w:cs="宋体"/>
          <w:b/>
        </w:rPr>
      </w:pPr>
      <w:r>
        <w:rPr>
          <w:rFonts w:hint="eastAsia" w:ascii="宋体" w:hAnsi="宋体" w:eastAsia="宋体" w:cs="宋体"/>
          <w:b/>
        </w:rPr>
        <w:t>12.磋商保证金</w:t>
      </w:r>
    </w:p>
    <w:p w14:paraId="23003285">
      <w:pPr>
        <w:pStyle w:val="39"/>
        <w:ind w:firstLine="482"/>
        <w:rPr>
          <w:rFonts w:hint="eastAsia" w:ascii="宋体" w:hAnsi="宋体" w:eastAsia="宋体" w:cs="宋体"/>
          <w:b/>
        </w:rPr>
      </w:pPr>
      <w:r>
        <w:rPr>
          <w:rFonts w:hint="eastAsia" w:ascii="宋体" w:hAnsi="宋体" w:eastAsia="宋体" w:cs="宋体"/>
          <w:b/>
        </w:rPr>
        <w:t>本项目无需缴纳磋商保证金。</w:t>
      </w:r>
    </w:p>
    <w:p w14:paraId="3366F783">
      <w:pPr>
        <w:pStyle w:val="39"/>
        <w:ind w:firstLine="482"/>
        <w:rPr>
          <w:rFonts w:hint="eastAsia" w:ascii="宋体" w:hAnsi="宋体" w:eastAsia="宋体" w:cs="宋体"/>
          <w:b/>
        </w:rPr>
      </w:pPr>
      <w:r>
        <w:rPr>
          <w:rFonts w:hint="eastAsia" w:ascii="宋体" w:hAnsi="宋体" w:eastAsia="宋体" w:cs="宋体"/>
          <w:b/>
        </w:rPr>
        <w:t>13.响应有效期</w:t>
      </w:r>
    </w:p>
    <w:p w14:paraId="199E788D">
      <w:pPr>
        <w:pStyle w:val="39"/>
        <w:ind w:firstLine="480"/>
        <w:rPr>
          <w:rFonts w:hint="eastAsia" w:ascii="宋体" w:hAnsi="宋体" w:eastAsia="宋体" w:cs="宋体"/>
        </w:rPr>
      </w:pPr>
      <w:r>
        <w:rPr>
          <w:rFonts w:hint="eastAsia" w:ascii="宋体" w:hAnsi="宋体" w:eastAsia="宋体" w:cs="宋体"/>
        </w:rPr>
        <w:t>13.1 响应有效期详见第二章供应商须知中供应商须知前附表，在此期间响应文件对供应商具有法律约束力，从供应商须知前附表规定的递交首次响应文件截止时间之日起计算。响应文件中必须载明磋商有效期，载明的磋商有效期可以长于磋商文件规定的期限，但不得短于磋商文件规定的期限，否则，属于非实质性响应，其响应文件按无效处理。</w:t>
      </w:r>
    </w:p>
    <w:p w14:paraId="4D3C1A4D">
      <w:pPr>
        <w:pStyle w:val="39"/>
        <w:ind w:firstLine="480"/>
        <w:rPr>
          <w:rFonts w:hint="eastAsia" w:ascii="宋体" w:hAnsi="宋体" w:eastAsia="宋体" w:cs="宋体"/>
        </w:rPr>
      </w:pPr>
      <w:r>
        <w:rPr>
          <w:rFonts w:hint="eastAsia" w:ascii="宋体" w:hAnsi="宋体" w:eastAsia="宋体" w:cs="宋体"/>
        </w:rPr>
        <w:t>13.2 出现特殊情况需要延长磋商有效期的，采购代理机构或采购人可于磋商有效期满之前，以书面形式通知所有供应商延长磋商有效期。供应商应予书面答复，同意延长的，应相应延长其磋商保证金有效期，但不得要求或被允许修改其响应文件；供应商拒绝延长的，其响应文件失效，但供应商有权收回其磋商保证金。</w:t>
      </w:r>
    </w:p>
    <w:p w14:paraId="4B069173">
      <w:pPr>
        <w:pStyle w:val="39"/>
        <w:ind w:firstLine="480"/>
        <w:rPr>
          <w:rFonts w:hint="eastAsia" w:ascii="宋体" w:hAnsi="宋体" w:eastAsia="宋体" w:cs="宋体"/>
        </w:rPr>
      </w:pPr>
      <w:r>
        <w:rPr>
          <w:rFonts w:hint="eastAsia" w:ascii="宋体" w:hAnsi="宋体" w:eastAsia="宋体" w:cs="宋体"/>
        </w:rPr>
        <w:t>13.3 在磋商有效期内，供应商撤销响应文件的，应承担磋商文件和法律规定的责任。</w:t>
      </w:r>
    </w:p>
    <w:p w14:paraId="7258D885">
      <w:pPr>
        <w:pStyle w:val="39"/>
        <w:ind w:firstLine="480"/>
        <w:rPr>
          <w:rFonts w:hint="eastAsia" w:ascii="宋体" w:hAnsi="宋体" w:eastAsia="宋体" w:cs="宋体"/>
        </w:rPr>
      </w:pPr>
      <w:r>
        <w:rPr>
          <w:rFonts w:hint="eastAsia" w:ascii="宋体" w:hAnsi="宋体" w:eastAsia="宋体" w:cs="宋体"/>
        </w:rPr>
        <w:t>13.4 成交供应商的磋商有效期自动延长至合同终止为止。</w:t>
      </w:r>
    </w:p>
    <w:p w14:paraId="6802E4F7">
      <w:pPr>
        <w:pStyle w:val="39"/>
        <w:ind w:firstLine="482"/>
        <w:rPr>
          <w:rFonts w:hint="eastAsia" w:ascii="宋体" w:hAnsi="宋体" w:eastAsia="宋体" w:cs="宋体"/>
          <w:b/>
        </w:rPr>
      </w:pPr>
      <w:r>
        <w:rPr>
          <w:rFonts w:hint="eastAsia" w:ascii="宋体" w:hAnsi="宋体" w:eastAsia="宋体" w:cs="宋体"/>
          <w:b/>
        </w:rPr>
        <w:t>14.响应文件的制作、签署、盖章</w:t>
      </w:r>
    </w:p>
    <w:p w14:paraId="01B2D33B">
      <w:pPr>
        <w:pStyle w:val="39"/>
        <w:ind w:firstLine="480"/>
        <w:rPr>
          <w:rFonts w:hint="eastAsia" w:ascii="宋体" w:hAnsi="宋体" w:eastAsia="宋体" w:cs="宋体"/>
        </w:rPr>
      </w:pPr>
      <w:r>
        <w:rPr>
          <w:rFonts w:hint="eastAsia" w:ascii="宋体" w:hAnsi="宋体" w:eastAsia="宋体" w:cs="宋体"/>
        </w:rPr>
        <w:t>14.1 响应文件应当按照第</w:t>
      </w:r>
      <w:r>
        <w:rPr>
          <w:rFonts w:hint="eastAsia" w:ascii="宋体" w:hAnsi="宋体" w:eastAsia="宋体" w:cs="宋体"/>
          <w:lang w:eastAsia="zh-CN"/>
        </w:rPr>
        <w:t>六</w:t>
      </w:r>
      <w:r>
        <w:rPr>
          <w:rFonts w:hint="eastAsia" w:ascii="宋体" w:hAnsi="宋体" w:eastAsia="宋体" w:cs="宋体"/>
        </w:rPr>
        <w:t>章“响应文件格式”进行编写，如有必要，可以增加附页，作为响应文件的组成部分。除明确允许供应商可以自行编写外，供应商不得以“响应文件格式”规定之外的方式编写相关内容；否则，响应文件将作为无效响应文件处理。对于没有格式要求的由供应商自行编写。</w:t>
      </w:r>
    </w:p>
    <w:p w14:paraId="121A164B">
      <w:pPr>
        <w:pStyle w:val="39"/>
        <w:ind w:firstLine="480"/>
        <w:rPr>
          <w:rFonts w:hint="eastAsia" w:ascii="宋体" w:hAnsi="宋体" w:eastAsia="宋体" w:cs="宋体"/>
        </w:rPr>
      </w:pPr>
      <w:r>
        <w:rPr>
          <w:rFonts w:hint="eastAsia" w:ascii="宋体" w:hAnsi="宋体" w:eastAsia="宋体" w:cs="宋体"/>
        </w:rPr>
        <w:t>14.2 响应文件应填写供应商的全称，并与供应商的证件、证书保持一致，按照本章第14.4条款规定签名盖章。</w:t>
      </w:r>
    </w:p>
    <w:p w14:paraId="4C0D5876">
      <w:pPr>
        <w:pStyle w:val="39"/>
        <w:ind w:firstLine="480"/>
        <w:rPr>
          <w:rFonts w:hint="eastAsia" w:ascii="宋体" w:hAnsi="宋体" w:eastAsia="宋体" w:cs="宋体"/>
        </w:rPr>
      </w:pPr>
      <w:r>
        <w:rPr>
          <w:rFonts w:hint="eastAsia" w:ascii="宋体" w:hAnsi="宋体" w:eastAsia="宋体" w:cs="宋体"/>
        </w:rPr>
        <w:t>14.3 供应商应当按照供应商须知前附表规定的份数准备响应文件正本、副本和相应的电子文件。正本和副本封面右上角应清楚地标明“正本”或“副本”字样。当副本和正本有不一致的内容，以正本书面响应文件为准。</w:t>
      </w:r>
    </w:p>
    <w:p w14:paraId="4B745F57">
      <w:pPr>
        <w:pStyle w:val="39"/>
        <w:ind w:firstLine="480"/>
        <w:rPr>
          <w:rFonts w:hint="eastAsia" w:ascii="宋体" w:hAnsi="宋体" w:eastAsia="宋体" w:cs="宋体"/>
        </w:rPr>
      </w:pPr>
      <w:r>
        <w:rPr>
          <w:rFonts w:hint="eastAsia" w:ascii="宋体" w:hAnsi="宋体" w:eastAsia="宋体" w:cs="宋体"/>
        </w:rPr>
        <w:t>14.4响应文件应用不褪色的材料书写或打印，副本可采用正本的复印件。响应文件应由供应商的法定代表人（单位负责人）或其委托代理人签名和盖单位章。由供应商的法定代表人（单位负责人）签名的，应附法定代表人身份证明，由其委托代理人签名的，应附授权委托书。其中：磋商响应函必须由供应商的法定代表人（单位负责人）签名和盖单位章，授权委托书必须由供应商的法定代表人（单位负责人）签名和委托代理人签名并盖单位章，其余签名或者盖章即可，否则，按未实质性响应磋商文件处理，其响应文件无效。</w:t>
      </w:r>
    </w:p>
    <w:p w14:paraId="29ED780C">
      <w:pPr>
        <w:pStyle w:val="39"/>
        <w:ind w:firstLine="480"/>
        <w:rPr>
          <w:rFonts w:hint="eastAsia" w:ascii="宋体" w:hAnsi="宋体" w:eastAsia="宋体" w:cs="宋体"/>
        </w:rPr>
      </w:pPr>
      <w:r>
        <w:rPr>
          <w:rFonts w:hint="eastAsia" w:ascii="宋体" w:hAnsi="宋体" w:eastAsia="宋体" w:cs="宋体"/>
        </w:rPr>
        <w:t>14.5响应文件的打印或书写应清楚工整，尽量避免行间插字、涂改或增删。如出现上述情况，改动之处应由供应商的法定代表人或其委托代理人签名或盖单位章。字迹潦草、表达不清或可能导致非唯一理解的响应文件可能视为无效响应文件。</w:t>
      </w:r>
    </w:p>
    <w:p w14:paraId="76407D22">
      <w:pPr>
        <w:pStyle w:val="39"/>
        <w:ind w:firstLine="480"/>
        <w:rPr>
          <w:rFonts w:hint="eastAsia" w:ascii="宋体" w:hAnsi="宋体" w:eastAsia="宋体" w:cs="宋体"/>
        </w:rPr>
      </w:pPr>
      <w:r>
        <w:rPr>
          <w:rFonts w:hint="eastAsia" w:ascii="宋体" w:hAnsi="宋体" w:eastAsia="宋体" w:cs="宋体"/>
        </w:rPr>
        <w:t>14.6 响应文件的正本和副本一律采用A4纸幅面，并分别装订和编制目录，响应文件需分册装订的，具体分册装订要求见供应商须知前附表的规定。响应文件胶装后，页面不可抽取，不得有活动页，无破损、不可拆分。</w:t>
      </w:r>
    </w:p>
    <w:p w14:paraId="05DC2E24">
      <w:pPr>
        <w:pStyle w:val="39"/>
        <w:ind w:firstLine="480"/>
        <w:rPr>
          <w:rFonts w:hint="eastAsia" w:ascii="宋体" w:hAnsi="宋体" w:eastAsia="宋体" w:cs="宋体"/>
        </w:rPr>
      </w:pPr>
      <w:r>
        <w:rPr>
          <w:rFonts w:hint="eastAsia" w:ascii="宋体" w:hAnsi="宋体" w:eastAsia="宋体" w:cs="宋体"/>
        </w:rPr>
        <w:t>14.7 电子文件制作要求。电子文件与纸质正本响应文件的内容应保持一致。电子文件应采用优盘拷贝，优盘应具有项目名称和供应商名称标识。未按规定制作电子文件或开启现场优盘因自身原因导致无法读取的，其响应文件无效。</w:t>
      </w:r>
    </w:p>
    <w:p w14:paraId="33BD32F2">
      <w:pPr>
        <w:pStyle w:val="37"/>
        <w:spacing w:before="120" w:after="120"/>
        <w:rPr>
          <w:rFonts w:hint="eastAsia" w:ascii="宋体" w:hAnsi="宋体" w:eastAsia="宋体" w:cs="宋体"/>
        </w:rPr>
      </w:pPr>
      <w:r>
        <w:rPr>
          <w:rFonts w:hint="eastAsia" w:ascii="宋体" w:hAnsi="宋体" w:eastAsia="宋体" w:cs="宋体"/>
        </w:rPr>
        <w:t>四、响应文件的密封和提交</w:t>
      </w:r>
    </w:p>
    <w:p w14:paraId="2AF3496A">
      <w:pPr>
        <w:pStyle w:val="39"/>
        <w:ind w:firstLine="482"/>
        <w:rPr>
          <w:rFonts w:hint="eastAsia" w:ascii="宋体" w:hAnsi="宋体" w:eastAsia="宋体" w:cs="宋体"/>
          <w:b/>
        </w:rPr>
      </w:pPr>
      <w:r>
        <w:rPr>
          <w:rFonts w:hint="eastAsia" w:ascii="宋体" w:hAnsi="宋体" w:eastAsia="宋体" w:cs="宋体"/>
          <w:b/>
        </w:rPr>
        <w:t>15. 响应文件的密封和标记</w:t>
      </w:r>
    </w:p>
    <w:p w14:paraId="05DFE3E0">
      <w:pPr>
        <w:pStyle w:val="39"/>
        <w:ind w:firstLine="480"/>
        <w:rPr>
          <w:rFonts w:hint="eastAsia" w:ascii="宋体" w:hAnsi="宋体" w:eastAsia="宋体" w:cs="宋体"/>
        </w:rPr>
      </w:pPr>
      <w:r>
        <w:rPr>
          <w:rFonts w:hint="eastAsia" w:ascii="宋体" w:hAnsi="宋体" w:eastAsia="宋体" w:cs="宋体"/>
        </w:rPr>
        <w:t>15.1 供应商应将响应文件“正本”和“副本”及“电子版”分别密封在三个密封袋（箱）中，并在密封袋（箱）上标明“正本”和“副本”及“电子版”字样，封口处应加盖公章或授权代表签字。</w:t>
      </w:r>
    </w:p>
    <w:p w14:paraId="38AEC876">
      <w:pPr>
        <w:pStyle w:val="39"/>
        <w:ind w:firstLine="480"/>
        <w:rPr>
          <w:rFonts w:hint="eastAsia" w:ascii="宋体" w:hAnsi="宋体" w:eastAsia="宋体" w:cs="宋体"/>
        </w:rPr>
      </w:pPr>
      <w:r>
        <w:rPr>
          <w:rFonts w:hint="eastAsia" w:ascii="宋体" w:hAnsi="宋体" w:eastAsia="宋体" w:cs="宋体"/>
        </w:rPr>
        <w:t>15.2 密封袋（箱）上标识的内容见供应商须知前附表。响应文件如果未按上述规定密封和标记，采购代理机构应当拒绝接收。</w:t>
      </w:r>
    </w:p>
    <w:p w14:paraId="7BFFDD2A">
      <w:pPr>
        <w:pStyle w:val="39"/>
        <w:ind w:firstLine="482"/>
        <w:rPr>
          <w:rFonts w:hint="eastAsia" w:ascii="宋体" w:hAnsi="宋体" w:eastAsia="宋体" w:cs="宋体"/>
          <w:b/>
        </w:rPr>
      </w:pPr>
      <w:r>
        <w:rPr>
          <w:rFonts w:hint="eastAsia" w:ascii="宋体" w:hAnsi="宋体" w:eastAsia="宋体" w:cs="宋体"/>
          <w:b/>
        </w:rPr>
        <w:t>16. 响应文件递交截止时间</w:t>
      </w:r>
    </w:p>
    <w:p w14:paraId="5E2C5BDB">
      <w:pPr>
        <w:pStyle w:val="39"/>
        <w:ind w:firstLine="480"/>
        <w:rPr>
          <w:rFonts w:hint="eastAsia" w:ascii="宋体" w:hAnsi="宋体" w:eastAsia="宋体" w:cs="宋体"/>
        </w:rPr>
      </w:pPr>
      <w:r>
        <w:rPr>
          <w:rFonts w:hint="eastAsia" w:ascii="宋体" w:hAnsi="宋体" w:eastAsia="宋体" w:cs="宋体"/>
        </w:rPr>
        <w:t>16.1 响应文件递交截止时间和地点见供应商须知前附表。</w:t>
      </w:r>
    </w:p>
    <w:p w14:paraId="1F4267D3">
      <w:pPr>
        <w:pStyle w:val="39"/>
        <w:ind w:firstLine="480"/>
        <w:rPr>
          <w:rFonts w:hint="eastAsia" w:ascii="宋体" w:hAnsi="宋体" w:eastAsia="宋体" w:cs="宋体"/>
        </w:rPr>
      </w:pPr>
      <w:r>
        <w:rPr>
          <w:rFonts w:hint="eastAsia" w:ascii="宋体" w:hAnsi="宋体" w:eastAsia="宋体" w:cs="宋体"/>
        </w:rPr>
        <w:t>16.2 供应商须由其合法的授权人在响应文件递交截止时间之前将响应文件在响应文件递交地点送达采购人并签字确认。供应商须承担因未送达并签字所造成的一切责任。</w:t>
      </w:r>
    </w:p>
    <w:p w14:paraId="2D693362">
      <w:pPr>
        <w:pStyle w:val="39"/>
        <w:ind w:firstLine="480"/>
        <w:rPr>
          <w:rFonts w:hint="eastAsia" w:ascii="宋体" w:hAnsi="宋体" w:eastAsia="宋体" w:cs="宋体"/>
        </w:rPr>
      </w:pPr>
      <w:r>
        <w:rPr>
          <w:rFonts w:hint="eastAsia" w:ascii="宋体" w:hAnsi="宋体" w:eastAsia="宋体" w:cs="宋体"/>
        </w:rPr>
        <w:t>16.3 采购人可以按本须知第4条规定，通知修改磋商文件，适当延长响应文件递交截止时间。在此情况下，采购人和供应商受响应文件递交截止时间制约的所有权利和义务均应延长至新的截止期。</w:t>
      </w:r>
    </w:p>
    <w:p w14:paraId="3E952886">
      <w:pPr>
        <w:pStyle w:val="39"/>
        <w:ind w:firstLine="480"/>
        <w:rPr>
          <w:rFonts w:hint="eastAsia" w:ascii="宋体" w:hAnsi="宋体" w:eastAsia="宋体" w:cs="宋体"/>
        </w:rPr>
      </w:pPr>
      <w:r>
        <w:rPr>
          <w:rFonts w:hint="eastAsia" w:ascii="宋体" w:hAnsi="宋体" w:eastAsia="宋体" w:cs="宋体"/>
        </w:rPr>
        <w:t>16.4采购代理机构收到响应文件后，应当如实记载响应文件的送达时间、份数、密封情况和提交人等信息。</w:t>
      </w:r>
    </w:p>
    <w:p w14:paraId="330A712E">
      <w:pPr>
        <w:pStyle w:val="39"/>
        <w:ind w:firstLine="480"/>
        <w:rPr>
          <w:rFonts w:hint="eastAsia" w:ascii="宋体" w:hAnsi="宋体" w:eastAsia="宋体" w:cs="宋体"/>
        </w:rPr>
      </w:pPr>
      <w:r>
        <w:rPr>
          <w:rFonts w:hint="eastAsia" w:ascii="宋体" w:hAnsi="宋体" w:eastAsia="宋体" w:cs="宋体"/>
        </w:rPr>
        <w:t>16.5 除供应商须知前附表另有规定外，供应商提交的响应文件不予退还。</w:t>
      </w:r>
    </w:p>
    <w:p w14:paraId="36F36818">
      <w:pPr>
        <w:pStyle w:val="39"/>
        <w:ind w:firstLine="480"/>
        <w:rPr>
          <w:rFonts w:hint="eastAsia" w:ascii="宋体" w:hAnsi="宋体" w:eastAsia="宋体" w:cs="宋体"/>
        </w:rPr>
      </w:pPr>
      <w:r>
        <w:rPr>
          <w:rFonts w:hint="eastAsia" w:ascii="宋体" w:hAnsi="宋体" w:eastAsia="宋体" w:cs="宋体"/>
        </w:rPr>
        <w:t>16.6 本次磋商不接受邮寄的响应文件。</w:t>
      </w:r>
    </w:p>
    <w:p w14:paraId="2DD5C4BB">
      <w:pPr>
        <w:pStyle w:val="39"/>
        <w:ind w:firstLine="482"/>
        <w:rPr>
          <w:rFonts w:hint="eastAsia" w:ascii="宋体" w:hAnsi="宋体" w:eastAsia="宋体" w:cs="宋体"/>
          <w:b/>
        </w:rPr>
      </w:pPr>
      <w:r>
        <w:rPr>
          <w:rFonts w:hint="eastAsia" w:ascii="宋体" w:hAnsi="宋体" w:eastAsia="宋体" w:cs="宋体"/>
          <w:b/>
        </w:rPr>
        <w:t>17. 迟交的响应文件</w:t>
      </w:r>
    </w:p>
    <w:p w14:paraId="58BDDEA7">
      <w:pPr>
        <w:pStyle w:val="39"/>
        <w:ind w:firstLine="480"/>
        <w:rPr>
          <w:rFonts w:hint="eastAsia" w:ascii="宋体" w:hAnsi="宋体" w:eastAsia="宋体" w:cs="宋体"/>
        </w:rPr>
      </w:pPr>
      <w:r>
        <w:rPr>
          <w:rFonts w:hint="eastAsia" w:ascii="宋体" w:hAnsi="宋体" w:eastAsia="宋体" w:cs="宋体"/>
        </w:rPr>
        <w:t>17.1 采购人将拒绝接收第16条规定的响应文件递交截止时间后递交的任何响应文件。</w:t>
      </w:r>
    </w:p>
    <w:p w14:paraId="4D057B03">
      <w:pPr>
        <w:pStyle w:val="39"/>
        <w:ind w:firstLine="482"/>
        <w:rPr>
          <w:rFonts w:hint="eastAsia" w:ascii="宋体" w:hAnsi="宋体" w:eastAsia="宋体" w:cs="宋体"/>
          <w:b/>
        </w:rPr>
      </w:pPr>
      <w:r>
        <w:rPr>
          <w:rFonts w:hint="eastAsia" w:ascii="宋体" w:hAnsi="宋体" w:eastAsia="宋体" w:cs="宋体"/>
          <w:b/>
        </w:rPr>
        <w:t>18. 响应文件的修改和撤回</w:t>
      </w:r>
    </w:p>
    <w:p w14:paraId="52A40912">
      <w:pPr>
        <w:pStyle w:val="39"/>
        <w:ind w:firstLine="480"/>
        <w:rPr>
          <w:rFonts w:hint="eastAsia" w:ascii="宋体" w:hAnsi="宋体" w:eastAsia="宋体" w:cs="宋体"/>
        </w:rPr>
      </w:pPr>
      <w:r>
        <w:rPr>
          <w:rFonts w:hint="eastAsia" w:ascii="宋体" w:hAnsi="宋体" w:eastAsia="宋体" w:cs="宋体"/>
        </w:rPr>
        <w:t>18.1供应商在提交响应文件后可对其响应文件进行修改或撤回，但该修改或撤回的书面通知须在响应文件递交截止时间之前送达响应文件递交地点，且该通知需其法定代表人或经正式授权的供应商代表签字方为有效。</w:t>
      </w:r>
    </w:p>
    <w:p w14:paraId="48688828">
      <w:pPr>
        <w:pStyle w:val="39"/>
        <w:ind w:firstLine="480"/>
        <w:rPr>
          <w:rFonts w:hint="eastAsia" w:ascii="宋体" w:hAnsi="宋体" w:eastAsia="宋体" w:cs="宋体"/>
        </w:rPr>
      </w:pPr>
      <w:r>
        <w:rPr>
          <w:rFonts w:hint="eastAsia" w:ascii="宋体" w:hAnsi="宋体" w:eastAsia="宋体" w:cs="宋体"/>
        </w:rPr>
        <w:t>18.2 供应商对响应文件修改的书面材料或撤回的通知应按第14和15条规定进行编写、密封、标注和递送，并注明“修改响应文件”或“撤回响应文件”字样。</w:t>
      </w:r>
    </w:p>
    <w:p w14:paraId="7CE4A523">
      <w:pPr>
        <w:pStyle w:val="39"/>
        <w:ind w:firstLine="480"/>
        <w:rPr>
          <w:rFonts w:hint="eastAsia" w:ascii="宋体" w:hAnsi="宋体" w:eastAsia="宋体" w:cs="宋体"/>
        </w:rPr>
      </w:pPr>
      <w:r>
        <w:rPr>
          <w:rFonts w:hint="eastAsia" w:ascii="宋体" w:hAnsi="宋体" w:eastAsia="宋体" w:cs="宋体"/>
        </w:rPr>
        <w:t>18.3 在响应文件递交截止时间之后，供应商不得对其响应文件做任何修改。</w:t>
      </w:r>
    </w:p>
    <w:p w14:paraId="5B93832E">
      <w:pPr>
        <w:pStyle w:val="39"/>
        <w:ind w:firstLine="480"/>
        <w:rPr>
          <w:rFonts w:hint="eastAsia" w:ascii="宋体" w:hAnsi="宋体" w:eastAsia="宋体" w:cs="宋体"/>
        </w:rPr>
      </w:pPr>
      <w:r>
        <w:rPr>
          <w:rFonts w:hint="eastAsia" w:ascii="宋体" w:hAnsi="宋体" w:eastAsia="宋体" w:cs="宋体"/>
        </w:rPr>
        <w:t>18.4 供应商不得在响应文件递交截止时间起至响应文件有效期期满前撤销其响应文件。</w:t>
      </w:r>
    </w:p>
    <w:p w14:paraId="1DDEF2BA">
      <w:pPr>
        <w:pStyle w:val="37"/>
        <w:spacing w:before="120" w:after="120"/>
        <w:rPr>
          <w:rFonts w:hint="eastAsia" w:ascii="宋体" w:hAnsi="宋体" w:eastAsia="宋体" w:cs="宋体"/>
        </w:rPr>
      </w:pPr>
      <w:r>
        <w:rPr>
          <w:rFonts w:hint="eastAsia" w:ascii="宋体" w:hAnsi="宋体" w:eastAsia="宋体" w:cs="宋体"/>
        </w:rPr>
        <w:t>五、评审与磋商</w:t>
      </w:r>
    </w:p>
    <w:p w14:paraId="174BEF2C">
      <w:pPr>
        <w:pStyle w:val="39"/>
        <w:ind w:firstLine="482"/>
        <w:rPr>
          <w:rFonts w:hint="eastAsia" w:ascii="宋体" w:hAnsi="宋体" w:eastAsia="宋体" w:cs="宋体"/>
          <w:b/>
        </w:rPr>
      </w:pPr>
      <w:r>
        <w:rPr>
          <w:rFonts w:hint="eastAsia" w:ascii="宋体" w:hAnsi="宋体" w:eastAsia="宋体" w:cs="宋体"/>
          <w:b/>
        </w:rPr>
        <w:t>19.磋商小组成立</w:t>
      </w:r>
    </w:p>
    <w:p w14:paraId="6F31A277">
      <w:pPr>
        <w:pStyle w:val="39"/>
        <w:ind w:firstLine="480"/>
        <w:rPr>
          <w:rFonts w:hint="eastAsia" w:ascii="宋体" w:hAnsi="宋体" w:eastAsia="宋体" w:cs="宋体"/>
        </w:rPr>
      </w:pPr>
      <w:r>
        <w:rPr>
          <w:rFonts w:hint="eastAsia" w:ascii="宋体" w:hAnsi="宋体" w:eastAsia="宋体" w:cs="宋体"/>
        </w:rPr>
        <w:t>19.1 为了确保开标工作的公平、公正，依据《中华人民共和国政府采购法》《中华人民共和国政府采购法实施条例》和《政府采购竞争性磋商采购方式管理暂行办法》财库〔2014〕214号的规定，成立磋商小组，磋商小组由采购人代表和评审专家共三人以上单数组成，其中评审专家人数不少于磋商小组成员总数的三分之二。评审专家将从政府采购评审专家库内相关专业的专家名单中随机抽取。</w:t>
      </w:r>
    </w:p>
    <w:p w14:paraId="1F39B07A">
      <w:pPr>
        <w:pStyle w:val="39"/>
        <w:ind w:firstLine="480"/>
        <w:rPr>
          <w:rFonts w:hint="eastAsia" w:ascii="宋体" w:hAnsi="宋体" w:eastAsia="宋体" w:cs="宋体"/>
        </w:rPr>
      </w:pPr>
      <w:r>
        <w:rPr>
          <w:rFonts w:hint="eastAsia" w:ascii="宋体" w:hAnsi="宋体" w:eastAsia="宋体" w:cs="宋体"/>
        </w:rPr>
        <w:t>19.2磋商文件和供应商的响应文件是评审的依据。</w:t>
      </w:r>
    </w:p>
    <w:p w14:paraId="5269ABBF">
      <w:pPr>
        <w:pStyle w:val="39"/>
        <w:ind w:firstLine="482"/>
        <w:rPr>
          <w:rFonts w:hint="eastAsia" w:ascii="宋体" w:hAnsi="宋体" w:eastAsia="宋体" w:cs="宋体"/>
          <w:b/>
        </w:rPr>
      </w:pPr>
      <w:r>
        <w:rPr>
          <w:rFonts w:hint="eastAsia" w:ascii="宋体" w:hAnsi="宋体" w:eastAsia="宋体" w:cs="宋体"/>
          <w:b/>
        </w:rPr>
        <w:t>20.磋商小组职责</w:t>
      </w:r>
    </w:p>
    <w:p w14:paraId="3C649CB6">
      <w:pPr>
        <w:pStyle w:val="39"/>
        <w:ind w:firstLine="480"/>
        <w:rPr>
          <w:rFonts w:hint="eastAsia" w:ascii="宋体" w:hAnsi="宋体" w:eastAsia="宋体" w:cs="宋体"/>
        </w:rPr>
      </w:pPr>
      <w:r>
        <w:rPr>
          <w:rFonts w:hint="eastAsia" w:ascii="宋体" w:hAnsi="宋体" w:eastAsia="宋体" w:cs="宋体"/>
        </w:rPr>
        <w:t>20.1确认磋商文件；</w:t>
      </w:r>
    </w:p>
    <w:p w14:paraId="6DD55B33">
      <w:pPr>
        <w:pStyle w:val="39"/>
        <w:ind w:firstLine="480"/>
        <w:rPr>
          <w:rFonts w:hint="eastAsia" w:ascii="宋体" w:hAnsi="宋体" w:eastAsia="宋体" w:cs="宋体"/>
        </w:rPr>
      </w:pPr>
      <w:r>
        <w:rPr>
          <w:rFonts w:hint="eastAsia" w:ascii="宋体" w:hAnsi="宋体" w:eastAsia="宋体" w:cs="宋体"/>
        </w:rPr>
        <w:t>20.2审查通过了资格审查的供应商响应文件并做出评价；</w:t>
      </w:r>
    </w:p>
    <w:p w14:paraId="06497568">
      <w:pPr>
        <w:pStyle w:val="39"/>
        <w:ind w:firstLine="480"/>
        <w:rPr>
          <w:rFonts w:hint="eastAsia" w:ascii="宋体" w:hAnsi="宋体" w:eastAsia="宋体" w:cs="宋体"/>
        </w:rPr>
      </w:pPr>
      <w:r>
        <w:rPr>
          <w:rFonts w:hint="eastAsia" w:ascii="宋体" w:hAnsi="宋体" w:eastAsia="宋体" w:cs="宋体"/>
        </w:rPr>
        <w:t>20.3要求供应商解释或者澄清其响应文件；</w:t>
      </w:r>
    </w:p>
    <w:p w14:paraId="6B57FEE6">
      <w:pPr>
        <w:pStyle w:val="39"/>
        <w:ind w:firstLine="480"/>
        <w:rPr>
          <w:rFonts w:hint="eastAsia" w:ascii="宋体" w:hAnsi="宋体" w:eastAsia="宋体" w:cs="宋体"/>
        </w:rPr>
      </w:pPr>
      <w:r>
        <w:rPr>
          <w:rFonts w:hint="eastAsia" w:ascii="宋体" w:hAnsi="宋体" w:eastAsia="宋体" w:cs="宋体"/>
        </w:rPr>
        <w:t>20.4编写评审报告；</w:t>
      </w:r>
    </w:p>
    <w:p w14:paraId="7D225974">
      <w:pPr>
        <w:pStyle w:val="39"/>
        <w:ind w:firstLine="480"/>
        <w:rPr>
          <w:rFonts w:hint="eastAsia" w:ascii="宋体" w:hAnsi="宋体" w:eastAsia="宋体" w:cs="宋体"/>
        </w:rPr>
      </w:pPr>
      <w:r>
        <w:rPr>
          <w:rFonts w:hint="eastAsia" w:ascii="宋体" w:hAnsi="宋体" w:eastAsia="宋体" w:cs="宋体"/>
        </w:rPr>
        <w:t>20.5告知采购人、采购代理机构在评审过程中发现的供应商的违法违规行为。</w:t>
      </w:r>
    </w:p>
    <w:p w14:paraId="30F551A3">
      <w:pPr>
        <w:pStyle w:val="39"/>
        <w:ind w:firstLine="482"/>
        <w:rPr>
          <w:rFonts w:hint="eastAsia" w:ascii="宋体" w:hAnsi="宋体" w:eastAsia="宋体" w:cs="宋体"/>
          <w:b/>
        </w:rPr>
      </w:pPr>
      <w:r>
        <w:rPr>
          <w:rFonts w:hint="eastAsia" w:ascii="宋体" w:hAnsi="宋体" w:eastAsia="宋体" w:cs="宋体"/>
          <w:b/>
        </w:rPr>
        <w:t>21.磋商小组义务</w:t>
      </w:r>
    </w:p>
    <w:p w14:paraId="0A83F74F">
      <w:pPr>
        <w:pStyle w:val="39"/>
        <w:ind w:firstLine="480"/>
        <w:rPr>
          <w:rFonts w:hint="eastAsia" w:ascii="宋体" w:hAnsi="宋体" w:eastAsia="宋体" w:cs="宋体"/>
        </w:rPr>
      </w:pPr>
      <w:r>
        <w:rPr>
          <w:rFonts w:hint="eastAsia" w:ascii="宋体" w:hAnsi="宋体" w:eastAsia="宋体" w:cs="宋体"/>
        </w:rPr>
        <w:t>21.1 遵纪客观、公正、审慎的原则；</w:t>
      </w:r>
    </w:p>
    <w:p w14:paraId="162637D3">
      <w:pPr>
        <w:pStyle w:val="39"/>
        <w:ind w:firstLine="480"/>
        <w:rPr>
          <w:rFonts w:hint="eastAsia" w:ascii="宋体" w:hAnsi="宋体" w:eastAsia="宋体" w:cs="宋体"/>
        </w:rPr>
      </w:pPr>
      <w:r>
        <w:rPr>
          <w:rFonts w:hint="eastAsia" w:ascii="宋体" w:hAnsi="宋体" w:eastAsia="宋体" w:cs="宋体"/>
        </w:rPr>
        <w:t>21.2 根据磋商文件的规定评审程序、评审方法和评审标准独立进行评审，对个人的评审意见承担法律责任；</w:t>
      </w:r>
    </w:p>
    <w:p w14:paraId="6121135C">
      <w:pPr>
        <w:pStyle w:val="39"/>
        <w:ind w:firstLine="480"/>
        <w:rPr>
          <w:rFonts w:hint="eastAsia" w:ascii="宋体" w:hAnsi="宋体" w:eastAsia="宋体" w:cs="宋体"/>
        </w:rPr>
      </w:pPr>
      <w:r>
        <w:rPr>
          <w:rFonts w:hint="eastAsia" w:ascii="宋体" w:hAnsi="宋体" w:eastAsia="宋体" w:cs="宋体"/>
        </w:rPr>
        <w:t>21.3 参与评审报告的起草；</w:t>
      </w:r>
    </w:p>
    <w:p w14:paraId="281AD935">
      <w:pPr>
        <w:pStyle w:val="39"/>
        <w:ind w:firstLine="480"/>
        <w:rPr>
          <w:rFonts w:hint="eastAsia" w:ascii="宋体" w:hAnsi="宋体" w:eastAsia="宋体" w:cs="宋体"/>
        </w:rPr>
      </w:pPr>
      <w:r>
        <w:rPr>
          <w:rFonts w:hint="eastAsia" w:ascii="宋体" w:hAnsi="宋体" w:eastAsia="宋体" w:cs="宋体"/>
        </w:rPr>
        <w:t>21.4 配合采购人、采购代理机构答复供应商提出的质疑；</w:t>
      </w:r>
    </w:p>
    <w:p w14:paraId="1934B31E">
      <w:pPr>
        <w:pStyle w:val="39"/>
        <w:ind w:firstLine="480"/>
        <w:rPr>
          <w:rFonts w:hint="eastAsia" w:ascii="宋体" w:hAnsi="宋体" w:eastAsia="宋体" w:cs="宋体"/>
        </w:rPr>
      </w:pPr>
      <w:r>
        <w:rPr>
          <w:rFonts w:hint="eastAsia" w:ascii="宋体" w:hAnsi="宋体" w:eastAsia="宋体" w:cs="宋体"/>
        </w:rPr>
        <w:t>21.5 配合财政部门的投诉处理和监督检查工作。</w:t>
      </w:r>
    </w:p>
    <w:p w14:paraId="30849FF4">
      <w:pPr>
        <w:pStyle w:val="39"/>
        <w:ind w:firstLine="482"/>
        <w:rPr>
          <w:rFonts w:hint="eastAsia" w:ascii="宋体" w:hAnsi="宋体" w:eastAsia="宋体" w:cs="宋体"/>
          <w:b/>
        </w:rPr>
      </w:pPr>
      <w:r>
        <w:rPr>
          <w:rFonts w:hint="eastAsia" w:ascii="宋体" w:hAnsi="宋体" w:eastAsia="宋体" w:cs="宋体"/>
          <w:b/>
        </w:rPr>
        <w:t>22.磋商小组成员有下列情形之一的，应当回避：</w:t>
      </w:r>
    </w:p>
    <w:p w14:paraId="2C23991A">
      <w:pPr>
        <w:pStyle w:val="39"/>
        <w:ind w:firstLine="480"/>
        <w:rPr>
          <w:rFonts w:hint="eastAsia" w:ascii="宋体" w:hAnsi="宋体" w:eastAsia="宋体" w:cs="宋体"/>
        </w:rPr>
      </w:pPr>
      <w:r>
        <w:rPr>
          <w:rFonts w:hint="eastAsia" w:ascii="宋体" w:hAnsi="宋体" w:eastAsia="宋体" w:cs="宋体"/>
        </w:rPr>
        <w:t>22.1 参加采购活动前3年内与供应商存在劳动关系；</w:t>
      </w:r>
    </w:p>
    <w:p w14:paraId="35983279">
      <w:pPr>
        <w:pStyle w:val="39"/>
        <w:ind w:firstLine="480"/>
        <w:rPr>
          <w:rFonts w:hint="eastAsia" w:ascii="宋体" w:hAnsi="宋体" w:eastAsia="宋体" w:cs="宋体"/>
        </w:rPr>
      </w:pPr>
      <w:r>
        <w:rPr>
          <w:rFonts w:hint="eastAsia" w:ascii="宋体" w:hAnsi="宋体" w:eastAsia="宋体" w:cs="宋体"/>
        </w:rPr>
        <w:t>22.2 参加采购活动前3年内担任供应商的董事、监事；</w:t>
      </w:r>
    </w:p>
    <w:p w14:paraId="4B199B59">
      <w:pPr>
        <w:pStyle w:val="39"/>
        <w:ind w:firstLine="480"/>
        <w:rPr>
          <w:rFonts w:hint="eastAsia" w:ascii="宋体" w:hAnsi="宋体" w:eastAsia="宋体" w:cs="宋体"/>
        </w:rPr>
      </w:pPr>
      <w:r>
        <w:rPr>
          <w:rFonts w:hint="eastAsia" w:ascii="宋体" w:hAnsi="宋体" w:eastAsia="宋体" w:cs="宋体"/>
        </w:rPr>
        <w:t>22.3 参加采购活动前3年内是供应商的控股股东或者实际控制人；</w:t>
      </w:r>
    </w:p>
    <w:p w14:paraId="1CAD9F48">
      <w:pPr>
        <w:pStyle w:val="39"/>
        <w:ind w:firstLine="480"/>
        <w:rPr>
          <w:rFonts w:hint="eastAsia" w:ascii="宋体" w:hAnsi="宋体" w:eastAsia="宋体" w:cs="宋体"/>
        </w:rPr>
      </w:pPr>
      <w:r>
        <w:rPr>
          <w:rFonts w:hint="eastAsia" w:ascii="宋体" w:hAnsi="宋体" w:eastAsia="宋体" w:cs="宋体"/>
        </w:rPr>
        <w:t>22.4 与供应商的法定代表人或者负责人有夫妻、直系血亲、三代以内旁系血亲或者近姻亲关系；</w:t>
      </w:r>
    </w:p>
    <w:p w14:paraId="673E77D0">
      <w:pPr>
        <w:pStyle w:val="39"/>
        <w:ind w:firstLine="480"/>
        <w:rPr>
          <w:rFonts w:hint="eastAsia" w:ascii="宋体" w:hAnsi="宋体" w:eastAsia="宋体" w:cs="宋体"/>
        </w:rPr>
      </w:pPr>
      <w:r>
        <w:rPr>
          <w:rFonts w:hint="eastAsia" w:ascii="宋体" w:hAnsi="宋体" w:eastAsia="宋体" w:cs="宋体"/>
        </w:rPr>
        <w:t>22.5 与供应商有其他可能影响政府采购活动公平、公正进行的关系。</w:t>
      </w:r>
    </w:p>
    <w:p w14:paraId="37FFE7C5">
      <w:pPr>
        <w:pStyle w:val="39"/>
        <w:ind w:firstLine="480"/>
        <w:rPr>
          <w:rFonts w:hint="eastAsia" w:ascii="宋体" w:hAnsi="宋体" w:eastAsia="宋体" w:cs="宋体"/>
        </w:rPr>
      </w:pPr>
      <w:r>
        <w:rPr>
          <w:rFonts w:hint="eastAsia" w:ascii="宋体" w:hAnsi="宋体" w:eastAsia="宋体" w:cs="宋体"/>
        </w:rPr>
        <w:t>23.磋商小组成员到位后，推荐一名评审专家担任磋商小组组长，并由磋商小组组长牵头组织本项目磋商工作。采购人代表，不得担任磋商小组组长。</w:t>
      </w:r>
    </w:p>
    <w:p w14:paraId="6DC829C3">
      <w:pPr>
        <w:pStyle w:val="39"/>
        <w:ind w:firstLine="480"/>
        <w:rPr>
          <w:rFonts w:hint="eastAsia" w:ascii="宋体" w:hAnsi="宋体" w:eastAsia="宋体" w:cs="宋体"/>
        </w:rPr>
      </w:pPr>
      <w:r>
        <w:rPr>
          <w:rFonts w:hint="eastAsia" w:ascii="宋体" w:hAnsi="宋体" w:eastAsia="宋体" w:cs="宋体"/>
        </w:rPr>
        <w:t>24.磋商过程中，因磋商小组成员缺席、回避或者健康等特殊原因导致磋商小组组成不符合规定的，采购代理机构应当依法补足后继续磋商。被更换的磋商小组成员所作出的评审意见无效。无法及时补足磋商小组成员的，采购代理机构应当停止磋商活动，封存所有响应文件和开启响应文件、磋商和评审资料，依法重新组建磋商小组进行磋商。原磋商小组所作出的评审意见无效。采购代理机构应当将变更、重新组建磋商小组的情况予以记录，并随采购文件一并存档。</w:t>
      </w:r>
    </w:p>
    <w:p w14:paraId="3B372192">
      <w:pPr>
        <w:pStyle w:val="39"/>
        <w:ind w:firstLine="480"/>
        <w:rPr>
          <w:rFonts w:hint="eastAsia" w:ascii="宋体" w:hAnsi="宋体" w:eastAsia="宋体" w:cs="宋体"/>
        </w:rPr>
      </w:pPr>
      <w:r>
        <w:rPr>
          <w:rFonts w:hint="eastAsia" w:ascii="宋体" w:hAnsi="宋体" w:eastAsia="宋体" w:cs="宋体"/>
        </w:rPr>
        <w:t>25.磋商小组及其成员，在磋商中不得有下列行为：</w:t>
      </w:r>
    </w:p>
    <w:p w14:paraId="1B4A700D">
      <w:pPr>
        <w:pStyle w:val="39"/>
        <w:ind w:firstLine="480"/>
        <w:rPr>
          <w:rFonts w:hint="eastAsia" w:ascii="宋体" w:hAnsi="宋体" w:eastAsia="宋体" w:cs="宋体"/>
        </w:rPr>
      </w:pPr>
      <w:r>
        <w:rPr>
          <w:rFonts w:hint="eastAsia" w:ascii="宋体" w:hAnsi="宋体" w:eastAsia="宋体" w:cs="宋体"/>
        </w:rPr>
        <w:t>（1）确定参与磋商至磋商结束前私自接触供应商；</w:t>
      </w:r>
    </w:p>
    <w:p w14:paraId="6414DD57">
      <w:pPr>
        <w:pStyle w:val="39"/>
        <w:ind w:firstLine="480"/>
        <w:rPr>
          <w:rFonts w:hint="eastAsia" w:ascii="宋体" w:hAnsi="宋体" w:eastAsia="宋体" w:cs="宋体"/>
        </w:rPr>
      </w:pPr>
      <w:r>
        <w:rPr>
          <w:rFonts w:hint="eastAsia" w:ascii="宋体" w:hAnsi="宋体" w:eastAsia="宋体" w:cs="宋体"/>
        </w:rPr>
        <w:t>（2）接受供应商提出的与响应文件不一致的澄清和说明；</w:t>
      </w:r>
    </w:p>
    <w:p w14:paraId="49BAF63E">
      <w:pPr>
        <w:pStyle w:val="39"/>
        <w:ind w:firstLine="480"/>
        <w:rPr>
          <w:rFonts w:hint="eastAsia" w:ascii="宋体" w:hAnsi="宋体" w:eastAsia="宋体" w:cs="宋体"/>
        </w:rPr>
      </w:pPr>
      <w:r>
        <w:rPr>
          <w:rFonts w:hint="eastAsia" w:ascii="宋体" w:hAnsi="宋体" w:eastAsia="宋体" w:cs="宋体"/>
        </w:rPr>
        <w:t>（3）征询采购人的倾向性意见；</w:t>
      </w:r>
    </w:p>
    <w:p w14:paraId="0554A4E0">
      <w:pPr>
        <w:pStyle w:val="39"/>
        <w:ind w:firstLine="480"/>
        <w:rPr>
          <w:rFonts w:hint="eastAsia" w:ascii="宋体" w:hAnsi="宋体" w:eastAsia="宋体" w:cs="宋体"/>
        </w:rPr>
      </w:pPr>
      <w:r>
        <w:rPr>
          <w:rFonts w:hint="eastAsia" w:ascii="宋体" w:hAnsi="宋体" w:eastAsia="宋体" w:cs="宋体"/>
        </w:rPr>
        <w:t>（4）对主观评审因素协商评分；</w:t>
      </w:r>
    </w:p>
    <w:p w14:paraId="6DBA8565">
      <w:pPr>
        <w:pStyle w:val="39"/>
        <w:ind w:firstLine="480"/>
        <w:rPr>
          <w:rFonts w:hint="eastAsia" w:ascii="宋体" w:hAnsi="宋体" w:eastAsia="宋体" w:cs="宋体"/>
        </w:rPr>
      </w:pPr>
      <w:r>
        <w:rPr>
          <w:rFonts w:hint="eastAsia" w:ascii="宋体" w:hAnsi="宋体" w:eastAsia="宋体" w:cs="宋体"/>
        </w:rPr>
        <w:t>（5）对客观评审因素评分不一致；</w:t>
      </w:r>
    </w:p>
    <w:p w14:paraId="632F5B45">
      <w:pPr>
        <w:pStyle w:val="39"/>
        <w:ind w:firstLine="480"/>
        <w:rPr>
          <w:rFonts w:hint="eastAsia" w:ascii="宋体" w:hAnsi="宋体" w:eastAsia="宋体" w:cs="宋体"/>
        </w:rPr>
      </w:pPr>
      <w:r>
        <w:rPr>
          <w:rFonts w:hint="eastAsia" w:ascii="宋体" w:hAnsi="宋体" w:eastAsia="宋体" w:cs="宋体"/>
        </w:rPr>
        <w:t>（6）在磋商过程中擅离职守，影响磋商程序正常进行的；</w:t>
      </w:r>
    </w:p>
    <w:p w14:paraId="1A08EE28">
      <w:pPr>
        <w:pStyle w:val="39"/>
        <w:ind w:firstLine="480"/>
        <w:rPr>
          <w:rFonts w:hint="eastAsia" w:ascii="宋体" w:hAnsi="宋体" w:eastAsia="宋体" w:cs="宋体"/>
        </w:rPr>
      </w:pPr>
      <w:r>
        <w:rPr>
          <w:rFonts w:hint="eastAsia" w:ascii="宋体" w:hAnsi="宋体" w:eastAsia="宋体" w:cs="宋体"/>
        </w:rPr>
        <w:t>（7）记录、复制或带走任何评审资料；</w:t>
      </w:r>
    </w:p>
    <w:p w14:paraId="29F2C0C3">
      <w:pPr>
        <w:pStyle w:val="39"/>
        <w:ind w:firstLine="480"/>
        <w:rPr>
          <w:rFonts w:hint="eastAsia" w:ascii="宋体" w:hAnsi="宋体" w:eastAsia="宋体" w:cs="宋体"/>
        </w:rPr>
      </w:pPr>
      <w:r>
        <w:rPr>
          <w:rFonts w:hint="eastAsia" w:ascii="宋体" w:hAnsi="宋体" w:eastAsia="宋体" w:cs="宋体"/>
        </w:rPr>
        <w:t>（8）其他不遵守评审纪律的行为。</w:t>
      </w:r>
    </w:p>
    <w:p w14:paraId="302FC441">
      <w:pPr>
        <w:pStyle w:val="39"/>
        <w:ind w:firstLine="480"/>
        <w:rPr>
          <w:rFonts w:hint="eastAsia" w:ascii="宋体" w:hAnsi="宋体" w:eastAsia="宋体" w:cs="宋体"/>
        </w:rPr>
      </w:pPr>
      <w:r>
        <w:rPr>
          <w:rFonts w:hint="eastAsia" w:ascii="宋体" w:hAnsi="宋体" w:eastAsia="宋体" w:cs="宋体"/>
        </w:rPr>
        <w:t>磋商小组成员有前款第一至四项行为之一的，其评审意见无效，并不得获取评审劳务报酬。</w:t>
      </w:r>
    </w:p>
    <w:p w14:paraId="0EF6E7AE">
      <w:pPr>
        <w:pStyle w:val="39"/>
        <w:ind w:firstLine="482"/>
        <w:rPr>
          <w:rFonts w:hint="eastAsia" w:ascii="宋体" w:hAnsi="宋体" w:eastAsia="宋体" w:cs="宋体"/>
          <w:b/>
        </w:rPr>
      </w:pPr>
      <w:r>
        <w:rPr>
          <w:rFonts w:hint="eastAsia" w:ascii="宋体" w:hAnsi="宋体" w:eastAsia="宋体" w:cs="宋体"/>
          <w:b/>
        </w:rPr>
        <w:t>26.磋商原则</w:t>
      </w:r>
    </w:p>
    <w:p w14:paraId="6C3CC8A0">
      <w:pPr>
        <w:pStyle w:val="39"/>
        <w:ind w:firstLine="480"/>
        <w:rPr>
          <w:rFonts w:hint="eastAsia" w:ascii="宋体" w:hAnsi="宋体" w:eastAsia="宋体" w:cs="宋体"/>
        </w:rPr>
      </w:pPr>
      <w:r>
        <w:rPr>
          <w:rFonts w:hint="eastAsia" w:ascii="宋体" w:hAnsi="宋体" w:eastAsia="宋体" w:cs="宋体"/>
        </w:rPr>
        <w:t>26.1“客观、公正、审慎”为本次磋商的基本原则，磋商小组按照这一原则的要求，公正、平等地对待各供应商。同时，在磋商中恪守以下原则：</w:t>
      </w:r>
    </w:p>
    <w:p w14:paraId="4C543FF5">
      <w:pPr>
        <w:pStyle w:val="39"/>
        <w:ind w:firstLine="480"/>
        <w:rPr>
          <w:rFonts w:hint="eastAsia" w:ascii="宋体" w:hAnsi="宋体" w:eastAsia="宋体" w:cs="宋体"/>
        </w:rPr>
      </w:pPr>
      <w:r>
        <w:rPr>
          <w:rFonts w:hint="eastAsia" w:ascii="宋体" w:hAnsi="宋体" w:eastAsia="宋体" w:cs="宋体"/>
        </w:rPr>
        <w:t>（1）统一性原则：磋商小组将按照统一的磋商原则和方法，用统一标准进行评审。</w:t>
      </w:r>
    </w:p>
    <w:p w14:paraId="3298E293">
      <w:pPr>
        <w:pStyle w:val="39"/>
        <w:ind w:firstLine="480"/>
        <w:rPr>
          <w:rFonts w:hint="eastAsia" w:ascii="宋体" w:hAnsi="宋体" w:eastAsia="宋体" w:cs="宋体"/>
        </w:rPr>
      </w:pPr>
      <w:r>
        <w:rPr>
          <w:rFonts w:hint="eastAsia" w:ascii="宋体" w:hAnsi="宋体" w:eastAsia="宋体" w:cs="宋体"/>
        </w:rPr>
        <w:t>（2）独立性原则:磋商工作在磋商小组内部独立进行，不受外界任何因素的干扰和影响。磋商小组成员对其出具的意见承担个人责任。供应商试图影响或干预评审的任何行为，将导致其丧失磋商的资格，并承担相应的法律责任。</w:t>
      </w:r>
    </w:p>
    <w:p w14:paraId="3DCE1398">
      <w:pPr>
        <w:pStyle w:val="39"/>
        <w:ind w:firstLine="480"/>
        <w:rPr>
          <w:rFonts w:hint="eastAsia" w:ascii="宋体" w:hAnsi="宋体" w:eastAsia="宋体" w:cs="宋体"/>
        </w:rPr>
      </w:pPr>
      <w:r>
        <w:rPr>
          <w:rFonts w:hint="eastAsia" w:ascii="宋体" w:hAnsi="宋体" w:eastAsia="宋体" w:cs="宋体"/>
        </w:rPr>
        <w:t>（3）物有所值原则：通过首轮的磋商报价，激发供应商展开竞争，进一步优化方案，并使报价符合预期目标。</w:t>
      </w:r>
    </w:p>
    <w:p w14:paraId="50E37CB8">
      <w:pPr>
        <w:pStyle w:val="39"/>
        <w:ind w:firstLine="480"/>
        <w:rPr>
          <w:rFonts w:hint="eastAsia" w:ascii="宋体" w:hAnsi="宋体" w:eastAsia="宋体" w:cs="宋体"/>
        </w:rPr>
      </w:pPr>
      <w:r>
        <w:rPr>
          <w:rFonts w:hint="eastAsia" w:ascii="宋体" w:hAnsi="宋体" w:eastAsia="宋体" w:cs="宋体"/>
        </w:rPr>
        <w:t>（4）客观性原则：磋商小组将严格按照磋商文件要求，对供应商的响应文件进行认真评审；磋商小组对响应文件的评审仅依据响应文件本身，而不依据响应文件以外的任何因素。</w:t>
      </w:r>
    </w:p>
    <w:p w14:paraId="567A40A2">
      <w:pPr>
        <w:pStyle w:val="39"/>
        <w:ind w:firstLine="480"/>
        <w:rPr>
          <w:rFonts w:hint="eastAsia" w:ascii="宋体" w:hAnsi="宋体" w:eastAsia="宋体" w:cs="宋体"/>
        </w:rPr>
      </w:pPr>
      <w:r>
        <w:rPr>
          <w:rFonts w:hint="eastAsia" w:ascii="宋体" w:hAnsi="宋体" w:eastAsia="宋体" w:cs="宋体"/>
        </w:rPr>
        <w:t>（5）保密性原则：采购代理机构应当采取必要的措施，保证评审在严格保密情况下进行。</w:t>
      </w:r>
    </w:p>
    <w:p w14:paraId="7F9AA59B">
      <w:pPr>
        <w:pStyle w:val="39"/>
        <w:ind w:firstLine="480"/>
        <w:rPr>
          <w:rFonts w:hint="eastAsia" w:ascii="宋体" w:hAnsi="宋体" w:eastAsia="宋体" w:cs="宋体"/>
        </w:rPr>
      </w:pPr>
      <w:r>
        <w:rPr>
          <w:rFonts w:hint="eastAsia" w:ascii="宋体" w:hAnsi="宋体" w:eastAsia="宋体" w:cs="宋体"/>
        </w:rPr>
        <w:t>（6）综合性原则:磋商小组将综合分析、评审供应商的各项指标，而不以单项指标的优劣评定出成交供应商。</w:t>
      </w:r>
    </w:p>
    <w:p w14:paraId="72C464DC">
      <w:pPr>
        <w:pStyle w:val="39"/>
        <w:ind w:firstLine="480"/>
        <w:rPr>
          <w:rFonts w:hint="eastAsia" w:ascii="宋体" w:hAnsi="宋体" w:eastAsia="宋体" w:cs="宋体"/>
        </w:rPr>
      </w:pPr>
      <w:r>
        <w:rPr>
          <w:rFonts w:hint="eastAsia" w:ascii="宋体" w:hAnsi="宋体" w:eastAsia="宋体" w:cs="宋体"/>
        </w:rPr>
        <w:t>26.2 磋商小组有权对整个磋商和评审过程中出现的所有问题，可根据《中华人民共和国政府采购法》及《中华人民共和国政府采购法实施条例》和《政府采购竞争性磋商采购方式管理暂行办法》等相关规定进行处理。</w:t>
      </w:r>
    </w:p>
    <w:p w14:paraId="2EA2092E">
      <w:pPr>
        <w:pStyle w:val="39"/>
        <w:ind w:firstLine="482"/>
        <w:rPr>
          <w:rFonts w:hint="eastAsia" w:ascii="宋体" w:hAnsi="宋体" w:eastAsia="宋体" w:cs="宋体"/>
          <w:b/>
        </w:rPr>
      </w:pPr>
      <w:r>
        <w:rPr>
          <w:rFonts w:hint="eastAsia" w:ascii="宋体" w:hAnsi="宋体" w:eastAsia="宋体" w:cs="宋体"/>
          <w:b/>
        </w:rPr>
        <w:t>27.磋商程序</w:t>
      </w:r>
    </w:p>
    <w:p w14:paraId="66002051">
      <w:pPr>
        <w:pStyle w:val="39"/>
        <w:ind w:firstLine="480"/>
        <w:rPr>
          <w:rFonts w:hint="eastAsia" w:ascii="宋体" w:hAnsi="宋体" w:eastAsia="宋体" w:cs="宋体"/>
        </w:rPr>
      </w:pPr>
      <w:r>
        <w:rPr>
          <w:rFonts w:hint="eastAsia" w:ascii="宋体" w:hAnsi="宋体" w:eastAsia="宋体" w:cs="宋体"/>
        </w:rPr>
        <w:t>27.1 磋商小组根据磋商文件第</w:t>
      </w:r>
      <w:r>
        <w:rPr>
          <w:rFonts w:hint="eastAsia" w:ascii="宋体" w:hAnsi="宋体" w:eastAsia="宋体" w:cs="宋体"/>
          <w:lang w:eastAsia="zh-CN"/>
        </w:rPr>
        <w:t>三</w:t>
      </w:r>
      <w:r>
        <w:rPr>
          <w:rFonts w:hint="eastAsia" w:ascii="宋体" w:hAnsi="宋体" w:eastAsia="宋体" w:cs="宋体"/>
        </w:rPr>
        <w:t>章《磋商办法》规定的方法、评审因素、标准和程序，在与单一供应商进行反复磋商的基础上，对其响应文件进行评审。第三章《磋商办法》没有规定的方法、评审因素和标准，不作为评审依据。</w:t>
      </w:r>
    </w:p>
    <w:p w14:paraId="5CD8D960">
      <w:pPr>
        <w:pStyle w:val="39"/>
        <w:ind w:firstLine="480"/>
        <w:rPr>
          <w:rFonts w:hint="eastAsia" w:ascii="宋体" w:hAnsi="宋体" w:eastAsia="宋体" w:cs="宋体"/>
        </w:rPr>
      </w:pPr>
      <w:r>
        <w:rPr>
          <w:rFonts w:hint="eastAsia" w:ascii="宋体" w:hAnsi="宋体" w:eastAsia="宋体" w:cs="宋体"/>
        </w:rPr>
        <w:t>27.2.在磋商文件规定的时间和地点，由采购代理机构组织磋商工作，供应商须委派代表参加，签名以证明其出席。</w:t>
      </w:r>
    </w:p>
    <w:p w14:paraId="23E5C5C3">
      <w:pPr>
        <w:pStyle w:val="39"/>
        <w:ind w:firstLine="480"/>
        <w:rPr>
          <w:rFonts w:hint="eastAsia" w:ascii="宋体" w:hAnsi="宋体" w:eastAsia="宋体" w:cs="宋体"/>
        </w:rPr>
      </w:pPr>
      <w:r>
        <w:rPr>
          <w:rFonts w:hint="eastAsia" w:ascii="宋体" w:hAnsi="宋体" w:eastAsia="宋体" w:cs="宋体"/>
        </w:rPr>
        <w:t>27.3各供应商或其推荐的代表与采购监督人共同检查响应文件的密封情况，经检查无误后，签字确认。</w:t>
      </w:r>
    </w:p>
    <w:p w14:paraId="22518F92">
      <w:pPr>
        <w:pStyle w:val="39"/>
        <w:ind w:firstLine="480"/>
        <w:rPr>
          <w:rFonts w:hint="eastAsia" w:ascii="宋体" w:hAnsi="宋体" w:eastAsia="宋体" w:cs="宋体"/>
        </w:rPr>
      </w:pPr>
      <w:r>
        <w:rPr>
          <w:rFonts w:hint="eastAsia" w:ascii="宋体" w:hAnsi="宋体" w:eastAsia="宋体" w:cs="宋体"/>
        </w:rPr>
        <w:t>27.4采购代理机构工作人员按照顺序，将各供应商首次响应文件的份数等内容公布，无异议后，由供应商法定代表人（或授权代表人）和监督人签字确认。</w:t>
      </w:r>
    </w:p>
    <w:p w14:paraId="76643AE7">
      <w:pPr>
        <w:pStyle w:val="39"/>
        <w:ind w:firstLine="480"/>
        <w:rPr>
          <w:rFonts w:hint="eastAsia" w:ascii="宋体" w:hAnsi="宋体" w:eastAsia="宋体" w:cs="宋体"/>
        </w:rPr>
      </w:pPr>
      <w:r>
        <w:rPr>
          <w:rFonts w:hint="eastAsia" w:ascii="宋体" w:hAnsi="宋体" w:eastAsia="宋体" w:cs="宋体"/>
        </w:rPr>
        <w:t>27.5 磋商响应文件的资格性审查。依据《政府采购法》第二十三条和磋商文件的规定，采购人负责对响应文件中的资格证明文件、信用查询记录等进行审查，以确认供应商具备相应资格。资格性审查出现下列情况者（但不限于），按无效文件处理：</w:t>
      </w:r>
    </w:p>
    <w:p w14:paraId="6FB4452C">
      <w:pPr>
        <w:pStyle w:val="39"/>
        <w:ind w:firstLine="480"/>
        <w:rPr>
          <w:rFonts w:hint="eastAsia" w:ascii="宋体" w:hAnsi="宋体" w:eastAsia="宋体" w:cs="宋体"/>
        </w:rPr>
      </w:pPr>
      <w:r>
        <w:rPr>
          <w:rFonts w:hint="eastAsia" w:ascii="宋体" w:hAnsi="宋体" w:eastAsia="宋体" w:cs="宋体"/>
        </w:rPr>
        <w:t>（1）供应商不符合《中华人民共和国政府采购法》第二十二条的规定和特定资格条件要求的。</w:t>
      </w:r>
    </w:p>
    <w:p w14:paraId="6DC46AD2">
      <w:pPr>
        <w:pStyle w:val="39"/>
        <w:ind w:firstLine="480"/>
        <w:rPr>
          <w:rFonts w:hint="eastAsia" w:ascii="宋体" w:hAnsi="宋体" w:eastAsia="宋体" w:cs="宋体"/>
        </w:rPr>
      </w:pPr>
      <w:r>
        <w:rPr>
          <w:rFonts w:hint="eastAsia" w:ascii="宋体" w:hAnsi="宋体" w:eastAsia="宋体" w:cs="宋体"/>
        </w:rPr>
        <w:t>（2）供应商没有经过正常渠道领取磋商文件或供应商的名称与获取磋商文件单位的名称不符。</w:t>
      </w:r>
    </w:p>
    <w:p w14:paraId="2F4F68C0">
      <w:pPr>
        <w:pStyle w:val="39"/>
        <w:ind w:firstLine="480"/>
        <w:rPr>
          <w:rFonts w:hint="eastAsia" w:ascii="宋体" w:hAnsi="宋体" w:eastAsia="宋体" w:cs="宋体"/>
        </w:rPr>
      </w:pPr>
      <w:r>
        <w:rPr>
          <w:rFonts w:hint="eastAsia" w:ascii="宋体" w:hAnsi="宋体" w:eastAsia="宋体" w:cs="宋体"/>
        </w:rPr>
        <w:t>（3）磋商响应文件中未提交法定代表人授权书（法定代表人直接参加磋商未按要求提交其有效身份证）或授权书的合法性或有效性不符合磋商文件规定。授权代表本单位证明的有效性或符合性不符合要求的。</w:t>
      </w:r>
    </w:p>
    <w:p w14:paraId="49F93F87">
      <w:pPr>
        <w:pStyle w:val="39"/>
        <w:ind w:firstLine="480"/>
        <w:rPr>
          <w:rFonts w:hint="eastAsia" w:ascii="宋体" w:hAnsi="宋体" w:eastAsia="宋体" w:cs="宋体"/>
        </w:rPr>
      </w:pPr>
      <w:r>
        <w:rPr>
          <w:rFonts w:hint="eastAsia" w:ascii="宋体" w:hAnsi="宋体" w:eastAsia="宋体" w:cs="宋体"/>
        </w:rPr>
        <w:t>（4）信用查询中列入失信被执行人、重大税收违法失信主体、政府采购严重违法失信行为记录名单及其他不符合《中华人民共和国政府采购法》第二十二条规定条件的供应商。</w:t>
      </w:r>
    </w:p>
    <w:p w14:paraId="6052EC6A">
      <w:pPr>
        <w:pStyle w:val="39"/>
        <w:ind w:firstLine="480"/>
        <w:rPr>
          <w:rFonts w:hint="eastAsia" w:ascii="宋体" w:hAnsi="宋体" w:eastAsia="宋体" w:cs="宋体"/>
        </w:rPr>
      </w:pPr>
      <w:r>
        <w:rPr>
          <w:rFonts w:hint="eastAsia" w:ascii="宋体" w:hAnsi="宋体" w:eastAsia="宋体" w:cs="宋体"/>
        </w:rPr>
        <w:t>（5）采购人或采购代理机构通过“信用中国”网站(www.creditchina.gov.cn)、中国政府采购网(www.ccgp.gov.cn) 等查询相关主体信用记录，并将查询网页打印、存档备查。</w:t>
      </w:r>
    </w:p>
    <w:p w14:paraId="31545F02">
      <w:pPr>
        <w:pStyle w:val="39"/>
        <w:ind w:firstLine="480"/>
        <w:rPr>
          <w:rFonts w:hint="eastAsia" w:ascii="宋体" w:hAnsi="宋体" w:eastAsia="宋体" w:cs="宋体"/>
        </w:rPr>
      </w:pPr>
      <w:r>
        <w:rPr>
          <w:rFonts w:hint="eastAsia" w:ascii="宋体" w:hAnsi="宋体" w:eastAsia="宋体" w:cs="宋体"/>
        </w:rPr>
        <w:t>（6）查询时间为磋商文件发售期至评审截止时间前，此段时间段外，网站信息发生的任何变更均不作为资格审查依据。供应商不良信用记录以采购人或采购代理机构查询结果为准。供应商自行提供的与网站信息不一致的其他证明材料亦不作为资格审查依据。</w:t>
      </w:r>
    </w:p>
    <w:p w14:paraId="27EB1A4B">
      <w:pPr>
        <w:pStyle w:val="39"/>
        <w:ind w:firstLine="480"/>
        <w:rPr>
          <w:rFonts w:hint="eastAsia" w:ascii="宋体" w:hAnsi="宋体" w:eastAsia="宋体" w:cs="宋体"/>
        </w:rPr>
      </w:pPr>
      <w:r>
        <w:rPr>
          <w:rFonts w:hint="eastAsia" w:ascii="宋体" w:hAnsi="宋体" w:eastAsia="宋体" w:cs="宋体"/>
        </w:rPr>
        <w:t>（7）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862C0A3">
      <w:pPr>
        <w:pStyle w:val="39"/>
        <w:ind w:firstLine="480"/>
        <w:rPr>
          <w:rFonts w:hint="eastAsia" w:ascii="宋体" w:hAnsi="宋体" w:eastAsia="宋体" w:cs="宋体"/>
        </w:rPr>
      </w:pPr>
      <w:r>
        <w:rPr>
          <w:rFonts w:hint="eastAsia" w:ascii="宋体" w:hAnsi="宋体" w:eastAsia="宋体" w:cs="宋体"/>
        </w:rPr>
        <w:t>27.6 磋商响应文件有效性、完整性和响应程度审查：磋商小组负责对通过资格审查的响应文件的有效性、完整性和响应性进行审查，以确定是否满足磋商文件要求，出现下列情况者（但不限于），按无效文件处理。</w:t>
      </w:r>
    </w:p>
    <w:p w14:paraId="1523834B">
      <w:pPr>
        <w:pStyle w:val="39"/>
        <w:ind w:firstLine="480"/>
        <w:rPr>
          <w:rFonts w:hint="eastAsia" w:ascii="宋体" w:hAnsi="宋体" w:eastAsia="宋体" w:cs="宋体"/>
        </w:rPr>
      </w:pPr>
      <w:r>
        <w:rPr>
          <w:rFonts w:hint="eastAsia" w:ascii="宋体" w:hAnsi="宋体" w:eastAsia="宋体" w:cs="宋体"/>
        </w:rPr>
        <w:t>（1）供应商未按磋商文件要求加盖单位公章。</w:t>
      </w:r>
    </w:p>
    <w:p w14:paraId="0152C9C1">
      <w:pPr>
        <w:pStyle w:val="39"/>
        <w:ind w:firstLine="480"/>
        <w:rPr>
          <w:rFonts w:hint="eastAsia" w:ascii="宋体" w:hAnsi="宋体" w:eastAsia="宋体" w:cs="宋体"/>
        </w:rPr>
      </w:pPr>
      <w:r>
        <w:rPr>
          <w:rFonts w:hint="eastAsia" w:ascii="宋体" w:hAnsi="宋体" w:eastAsia="宋体" w:cs="宋体"/>
        </w:rPr>
        <w:t>（2）磋商响应文件未按磋商文件要求进行法定代表人或其授权代表签字。</w:t>
      </w:r>
    </w:p>
    <w:p w14:paraId="65335A23">
      <w:pPr>
        <w:pStyle w:val="39"/>
        <w:ind w:firstLine="480"/>
        <w:rPr>
          <w:rFonts w:hint="eastAsia" w:ascii="宋体" w:hAnsi="宋体" w:eastAsia="宋体" w:cs="宋体"/>
        </w:rPr>
      </w:pPr>
      <w:r>
        <w:rPr>
          <w:rFonts w:hint="eastAsia" w:ascii="宋体" w:hAnsi="宋体" w:eastAsia="宋体" w:cs="宋体"/>
        </w:rPr>
        <w:t>（3）无有效期或有效期达不到磋商文件的要求。</w:t>
      </w:r>
    </w:p>
    <w:p w14:paraId="6CF8848E">
      <w:pPr>
        <w:pStyle w:val="39"/>
        <w:ind w:firstLine="480"/>
        <w:rPr>
          <w:rFonts w:hint="eastAsia" w:ascii="宋体" w:hAnsi="宋体" w:eastAsia="宋体" w:cs="宋体"/>
        </w:rPr>
      </w:pPr>
      <w:r>
        <w:rPr>
          <w:rFonts w:hint="eastAsia" w:ascii="宋体" w:hAnsi="宋体" w:eastAsia="宋体" w:cs="宋体"/>
        </w:rPr>
        <w:t>（4）供应商首次磋商报价出现选择性报价。</w:t>
      </w:r>
    </w:p>
    <w:p w14:paraId="0D225828">
      <w:pPr>
        <w:pStyle w:val="39"/>
        <w:ind w:firstLine="480"/>
        <w:rPr>
          <w:rFonts w:hint="eastAsia" w:ascii="宋体" w:hAnsi="宋体" w:eastAsia="宋体" w:cs="宋体"/>
        </w:rPr>
      </w:pPr>
      <w:r>
        <w:rPr>
          <w:rFonts w:hint="eastAsia" w:ascii="宋体" w:hAnsi="宋体" w:eastAsia="宋体" w:cs="宋体"/>
        </w:rPr>
        <w:t>（5）首次磋商报价超出采购预算。</w:t>
      </w:r>
    </w:p>
    <w:p w14:paraId="763F4980">
      <w:pPr>
        <w:pStyle w:val="39"/>
        <w:ind w:firstLine="480"/>
        <w:rPr>
          <w:rFonts w:hint="eastAsia" w:ascii="宋体" w:hAnsi="宋体" w:eastAsia="宋体" w:cs="宋体"/>
        </w:rPr>
      </w:pPr>
      <w:r>
        <w:rPr>
          <w:rFonts w:hint="eastAsia" w:ascii="宋体" w:hAnsi="宋体" w:eastAsia="宋体" w:cs="宋体"/>
        </w:rPr>
        <w:t>（6）磋商内容出现漏项或数量与要求不符，出现重大负偏差。</w:t>
      </w:r>
    </w:p>
    <w:p w14:paraId="6EB7AA3B">
      <w:pPr>
        <w:pStyle w:val="39"/>
        <w:ind w:firstLine="480"/>
        <w:rPr>
          <w:rFonts w:hint="eastAsia" w:ascii="宋体" w:hAnsi="宋体" w:eastAsia="宋体" w:cs="宋体"/>
        </w:rPr>
      </w:pPr>
      <w:r>
        <w:rPr>
          <w:rFonts w:hint="eastAsia" w:ascii="宋体" w:hAnsi="宋体" w:eastAsia="宋体" w:cs="宋体"/>
        </w:rPr>
        <w:t>（7）响应报价与市场价偏离较大，低于成本，形成不正当竞争。</w:t>
      </w:r>
    </w:p>
    <w:p w14:paraId="61AC615A">
      <w:pPr>
        <w:pStyle w:val="39"/>
        <w:ind w:firstLine="480"/>
        <w:rPr>
          <w:rFonts w:hint="eastAsia" w:ascii="宋体" w:hAnsi="宋体" w:eastAsia="宋体" w:cs="宋体"/>
        </w:rPr>
      </w:pPr>
      <w:r>
        <w:rPr>
          <w:rFonts w:hint="eastAsia" w:ascii="宋体" w:hAnsi="宋体" w:eastAsia="宋体" w:cs="宋体"/>
        </w:rPr>
        <w:t>27.7 磋商</w:t>
      </w:r>
    </w:p>
    <w:p w14:paraId="5753341C">
      <w:pPr>
        <w:pStyle w:val="39"/>
        <w:ind w:firstLine="480"/>
        <w:rPr>
          <w:rFonts w:hint="eastAsia" w:ascii="宋体" w:hAnsi="宋体" w:eastAsia="宋体" w:cs="宋体"/>
        </w:rPr>
      </w:pPr>
      <w:r>
        <w:rPr>
          <w:rFonts w:hint="eastAsia" w:ascii="宋体" w:hAnsi="宋体" w:eastAsia="宋体" w:cs="宋体"/>
        </w:rPr>
        <w:t>27.7.1 磋商小组集中与各供应商分别进行磋商，并给所有参加磋商供应商平等的磋商机会。</w:t>
      </w:r>
    </w:p>
    <w:p w14:paraId="3056E480">
      <w:pPr>
        <w:pStyle w:val="39"/>
        <w:ind w:firstLine="480"/>
        <w:rPr>
          <w:rFonts w:hint="eastAsia" w:ascii="宋体" w:hAnsi="宋体" w:eastAsia="宋体" w:cs="宋体"/>
        </w:rPr>
      </w:pPr>
      <w:r>
        <w:rPr>
          <w:rFonts w:hint="eastAsia" w:ascii="宋体" w:hAnsi="宋体" w:eastAsia="宋体" w:cs="宋体"/>
        </w:rPr>
        <w:t>27.7.2 磋商小组在对响应文件的有效性、完整性和响应程度进行审核时，以书面形式要求供应商对响应文件中含义不明确、同类问题表述不一致、或者明显文字和计算错误的内容在约定时间内做出必要的澄清、说明或更正。供应商澄清、说明或者更正应当由法定代表人或者授权代表签字或者加盖公章。澄清、说明或者更正不得超出响应范围，或者改变响应文件的实质性内容。</w:t>
      </w:r>
    </w:p>
    <w:p w14:paraId="0DF7D899">
      <w:pPr>
        <w:pStyle w:val="39"/>
        <w:ind w:firstLine="480"/>
        <w:rPr>
          <w:rFonts w:hint="eastAsia" w:ascii="宋体" w:hAnsi="宋体" w:eastAsia="宋体" w:cs="宋体"/>
        </w:rPr>
      </w:pPr>
      <w:r>
        <w:rPr>
          <w:rFonts w:hint="eastAsia" w:ascii="宋体" w:hAnsi="宋体" w:eastAsia="宋体" w:cs="宋体"/>
        </w:rPr>
        <w:t>27.7.3 磋商过程中，磋商小组可以根据磋商文件和磋商情况实质性变动采购需求中的技术、服务要求以及合同草案条款，但不得变动磋商文件中的其他内容。实质性变动的内容，需经采购人代表确认，并成为磋商文件的有效组成部分。</w:t>
      </w:r>
    </w:p>
    <w:p w14:paraId="55A369CE">
      <w:pPr>
        <w:pStyle w:val="39"/>
        <w:ind w:firstLine="480"/>
        <w:rPr>
          <w:rFonts w:hint="eastAsia" w:ascii="宋体" w:hAnsi="宋体" w:eastAsia="宋体" w:cs="宋体"/>
        </w:rPr>
      </w:pPr>
      <w:r>
        <w:rPr>
          <w:rFonts w:hint="eastAsia" w:ascii="宋体" w:hAnsi="宋体" w:eastAsia="宋体" w:cs="宋体"/>
        </w:rPr>
        <w:t>27.7.4 如出现下述情形之一的，视为供应商主动退出磋商，其响应将被拒绝：</w:t>
      </w:r>
    </w:p>
    <w:p w14:paraId="188BA441">
      <w:pPr>
        <w:pStyle w:val="39"/>
        <w:ind w:firstLine="480"/>
        <w:rPr>
          <w:rFonts w:hint="eastAsia" w:ascii="宋体" w:hAnsi="宋体" w:eastAsia="宋体" w:cs="宋体"/>
        </w:rPr>
      </w:pPr>
      <w:r>
        <w:rPr>
          <w:rFonts w:hint="eastAsia" w:ascii="宋体" w:hAnsi="宋体" w:eastAsia="宋体" w:cs="宋体"/>
        </w:rPr>
        <w:t>（1）供应商未按要求确认磋商小组确定的本项目最终技术需求的；</w:t>
      </w:r>
    </w:p>
    <w:p w14:paraId="637BE299">
      <w:pPr>
        <w:pStyle w:val="39"/>
        <w:ind w:firstLine="480"/>
        <w:rPr>
          <w:rFonts w:hint="eastAsia" w:ascii="宋体" w:hAnsi="宋体" w:eastAsia="宋体" w:cs="宋体"/>
        </w:rPr>
      </w:pPr>
      <w:r>
        <w:rPr>
          <w:rFonts w:hint="eastAsia" w:ascii="宋体" w:hAnsi="宋体" w:eastAsia="宋体" w:cs="宋体"/>
        </w:rPr>
        <w:t>（2）最后报价未实质性响应磋商小组确定的本项目最终技术需求的，或附有采购人无法接受的条件的。</w:t>
      </w:r>
    </w:p>
    <w:p w14:paraId="1A5523D8">
      <w:pPr>
        <w:pStyle w:val="39"/>
        <w:ind w:firstLine="480"/>
        <w:rPr>
          <w:rFonts w:hint="eastAsia" w:ascii="宋体" w:hAnsi="宋体" w:eastAsia="宋体" w:cs="宋体"/>
        </w:rPr>
      </w:pPr>
      <w:r>
        <w:rPr>
          <w:rFonts w:hint="eastAsia" w:ascii="宋体" w:hAnsi="宋体" w:eastAsia="宋体" w:cs="宋体"/>
        </w:rPr>
        <w:t>27.8 最后报价</w:t>
      </w:r>
    </w:p>
    <w:p w14:paraId="36951E52">
      <w:pPr>
        <w:pStyle w:val="39"/>
        <w:ind w:firstLine="480"/>
        <w:rPr>
          <w:rFonts w:hint="eastAsia" w:ascii="宋体" w:hAnsi="宋体" w:eastAsia="宋体" w:cs="宋体"/>
        </w:rPr>
      </w:pPr>
      <w:r>
        <w:rPr>
          <w:rFonts w:hint="eastAsia" w:ascii="宋体" w:hAnsi="宋体" w:eastAsia="宋体" w:cs="宋体"/>
        </w:rPr>
        <w:t>27.8.1 磋商结束后，磋商小组要求所有实质性响应的供应商在规定时间内提交最后报价，提交最后报价的供应商不少于3家。最后报价是供应商响应文件的有效组成部分。</w:t>
      </w:r>
    </w:p>
    <w:p w14:paraId="40E32EB2">
      <w:pPr>
        <w:pStyle w:val="37"/>
        <w:spacing w:before="120" w:after="120"/>
        <w:rPr>
          <w:rFonts w:hint="eastAsia" w:ascii="宋体" w:hAnsi="宋体" w:eastAsia="宋体" w:cs="宋体"/>
        </w:rPr>
      </w:pPr>
      <w:r>
        <w:rPr>
          <w:rFonts w:hint="eastAsia" w:ascii="宋体" w:hAnsi="宋体" w:eastAsia="宋体" w:cs="宋体"/>
        </w:rPr>
        <w:t>六、确定成交</w:t>
      </w:r>
    </w:p>
    <w:p w14:paraId="675EB31A">
      <w:pPr>
        <w:pStyle w:val="39"/>
        <w:ind w:firstLine="482"/>
        <w:rPr>
          <w:rFonts w:hint="eastAsia" w:ascii="宋体" w:hAnsi="宋体" w:eastAsia="宋体" w:cs="宋体"/>
          <w:b/>
        </w:rPr>
      </w:pPr>
      <w:r>
        <w:rPr>
          <w:rFonts w:hint="eastAsia" w:ascii="宋体" w:hAnsi="宋体" w:eastAsia="宋体" w:cs="宋体"/>
          <w:b/>
        </w:rPr>
        <w:t>28.确定成交供应商</w:t>
      </w:r>
    </w:p>
    <w:p w14:paraId="68058793">
      <w:pPr>
        <w:pStyle w:val="39"/>
        <w:ind w:firstLine="480"/>
        <w:rPr>
          <w:rFonts w:hint="eastAsia" w:ascii="宋体" w:hAnsi="宋体" w:eastAsia="宋体" w:cs="宋体"/>
        </w:rPr>
      </w:pPr>
      <w:r>
        <w:rPr>
          <w:rFonts w:hint="eastAsia" w:ascii="宋体" w:hAnsi="宋体" w:eastAsia="宋体" w:cs="宋体"/>
        </w:rPr>
        <w:t>28.1磋商小组根据评审方法的规定对供应商进行评审排序，推荐成交候选人，形成评审报告。评审报告由磋商小组成员签字确认。</w:t>
      </w:r>
    </w:p>
    <w:p w14:paraId="0D53D4F9">
      <w:pPr>
        <w:pStyle w:val="39"/>
        <w:ind w:firstLine="480"/>
        <w:rPr>
          <w:rFonts w:hint="eastAsia" w:ascii="宋体" w:hAnsi="宋体" w:eastAsia="宋体" w:cs="宋体"/>
        </w:rPr>
      </w:pPr>
      <w:r>
        <w:rPr>
          <w:rFonts w:hint="eastAsia" w:ascii="宋体" w:hAnsi="宋体" w:eastAsia="宋体" w:cs="宋体"/>
        </w:rPr>
        <w:t>28.2采购代理机构在评审结束后2个工作日内将评审报告送采购人确认。</w:t>
      </w:r>
    </w:p>
    <w:p w14:paraId="4BBA4F98">
      <w:pPr>
        <w:pStyle w:val="39"/>
        <w:ind w:firstLine="480"/>
        <w:rPr>
          <w:rFonts w:hint="eastAsia" w:ascii="宋体" w:hAnsi="宋体" w:eastAsia="宋体" w:cs="宋体"/>
        </w:rPr>
      </w:pPr>
      <w:r>
        <w:rPr>
          <w:rFonts w:hint="eastAsia" w:ascii="宋体" w:hAnsi="宋体" w:eastAsia="宋体" w:cs="宋体"/>
        </w:rPr>
        <w:t>28.3采购人应当在收到评审报告后5个工作日内，根据评审报告对评审过程及结果进行严格审核后确定成交供应商，同时，将确定成交供应商的结果复函至采购代理机构。</w:t>
      </w:r>
    </w:p>
    <w:p w14:paraId="33272675">
      <w:pPr>
        <w:pStyle w:val="39"/>
        <w:ind w:firstLine="480"/>
        <w:rPr>
          <w:rFonts w:hint="eastAsia" w:ascii="宋体" w:hAnsi="宋体" w:eastAsia="宋体" w:cs="宋体"/>
        </w:rPr>
      </w:pPr>
      <w:r>
        <w:rPr>
          <w:rFonts w:hint="eastAsia" w:ascii="宋体" w:hAnsi="宋体" w:eastAsia="宋体" w:cs="宋体"/>
        </w:rPr>
        <w:t>采购人在收到评审报告5个工作日内未按评审报告推荐的成交候选人中顺序确定成交供应商，又不能说明合法理由的，视同按照评审报告推荐的顺序确定排名第一的成交候选人为成交供应商。</w:t>
      </w:r>
    </w:p>
    <w:p w14:paraId="5F2B0977">
      <w:pPr>
        <w:pStyle w:val="39"/>
        <w:ind w:firstLine="480"/>
        <w:rPr>
          <w:rFonts w:hint="eastAsia" w:ascii="宋体" w:hAnsi="宋体" w:eastAsia="宋体" w:cs="宋体"/>
        </w:rPr>
      </w:pPr>
      <w:r>
        <w:rPr>
          <w:rFonts w:hint="eastAsia" w:ascii="宋体" w:hAnsi="宋体" w:eastAsia="宋体" w:cs="宋体"/>
        </w:rPr>
        <w:t>28.4采购人也可以书面授权磋商小组直接确定成交供应商。</w:t>
      </w:r>
    </w:p>
    <w:p w14:paraId="6C8C27A6">
      <w:pPr>
        <w:pStyle w:val="39"/>
        <w:ind w:firstLine="480"/>
        <w:rPr>
          <w:rFonts w:hint="eastAsia" w:ascii="宋体" w:hAnsi="宋体" w:eastAsia="宋体" w:cs="宋体"/>
        </w:rPr>
      </w:pPr>
      <w:r>
        <w:rPr>
          <w:rFonts w:hint="eastAsia" w:ascii="宋体" w:hAnsi="宋体" w:eastAsia="宋体" w:cs="宋体"/>
        </w:rPr>
        <w:t>28.5采购代理机构应当在接到采购人“定标”复函之日起2个工作日内，根据采购人确定的成交供应商，在石泉县政府网发布公告成交结果；在公告成交结果的同时，采购人或采购代理机构应当向成交供应商发出《成交通知书》。成交通知书是合同文件的组成部分。</w:t>
      </w:r>
    </w:p>
    <w:p w14:paraId="26C81E6E">
      <w:pPr>
        <w:pStyle w:val="39"/>
        <w:ind w:firstLine="480"/>
        <w:rPr>
          <w:rFonts w:hint="eastAsia" w:ascii="宋体" w:hAnsi="宋体" w:eastAsia="宋体" w:cs="宋体"/>
        </w:rPr>
      </w:pPr>
      <w:r>
        <w:rPr>
          <w:rFonts w:hint="eastAsia" w:ascii="宋体" w:hAnsi="宋体" w:eastAsia="宋体" w:cs="宋体"/>
        </w:rPr>
        <w:t>28.6供应商对成交公告有异议的，按照《中华人民共和国政府采购法》第五十二条之有关规定执行。提出质疑的供应商应当有明确的请求和必要的证明材料，应保证提出的质疑内容及相应证明材料的真实性及来源的合法性，并承担相应的法律责任。</w:t>
      </w:r>
    </w:p>
    <w:p w14:paraId="3C07903B">
      <w:pPr>
        <w:pStyle w:val="39"/>
        <w:ind w:firstLine="480"/>
        <w:rPr>
          <w:rFonts w:hint="eastAsia" w:ascii="宋体" w:hAnsi="宋体" w:eastAsia="宋体" w:cs="宋体"/>
        </w:rPr>
      </w:pPr>
      <w:r>
        <w:rPr>
          <w:rFonts w:hint="eastAsia" w:ascii="宋体" w:hAnsi="宋体" w:eastAsia="宋体" w:cs="宋体"/>
        </w:rPr>
        <w:t>28.7成交通知书对采购人和成交供应商具有同等法律效力。成交通知书发出之后，采购人改变成交结果，或者成交供应商放弃成交，应当承担相应的法律责任。</w:t>
      </w:r>
    </w:p>
    <w:p w14:paraId="3503F4CE">
      <w:pPr>
        <w:pStyle w:val="39"/>
        <w:ind w:firstLine="480"/>
        <w:rPr>
          <w:rFonts w:hint="eastAsia" w:ascii="宋体" w:hAnsi="宋体" w:eastAsia="宋体" w:cs="宋体"/>
        </w:rPr>
      </w:pPr>
      <w:r>
        <w:rPr>
          <w:rFonts w:hint="eastAsia" w:ascii="宋体" w:hAnsi="宋体" w:eastAsia="宋体" w:cs="宋体"/>
        </w:rPr>
        <w:t>28.8成交供应商拒绝与采购人签订合同的，采购人可以按照评审报告推荐的成交候选人名单排序，确定下一候选人为成交供应商，也可以重新开展政府采购活动。</w:t>
      </w:r>
    </w:p>
    <w:p w14:paraId="11CCA194">
      <w:pPr>
        <w:pStyle w:val="39"/>
        <w:ind w:firstLine="482"/>
        <w:rPr>
          <w:rFonts w:hint="eastAsia" w:ascii="宋体" w:hAnsi="宋体" w:eastAsia="宋体" w:cs="宋体"/>
          <w:b/>
        </w:rPr>
      </w:pPr>
      <w:r>
        <w:rPr>
          <w:rFonts w:hint="eastAsia" w:ascii="宋体" w:hAnsi="宋体" w:eastAsia="宋体" w:cs="宋体"/>
          <w:b/>
        </w:rPr>
        <w:t>29.履约保证金</w:t>
      </w:r>
    </w:p>
    <w:p w14:paraId="34CA1A4F">
      <w:pPr>
        <w:pStyle w:val="39"/>
        <w:ind w:firstLine="480"/>
        <w:rPr>
          <w:rFonts w:hint="eastAsia" w:ascii="宋体" w:hAnsi="宋体" w:eastAsia="宋体" w:cs="宋体"/>
        </w:rPr>
      </w:pPr>
      <w:r>
        <w:rPr>
          <w:rFonts w:hint="eastAsia" w:ascii="宋体" w:hAnsi="宋体" w:eastAsia="宋体" w:cs="宋体"/>
        </w:rPr>
        <w:t>29.1供应商须知前附表规定成交供应商需要提交履约保证金的，成交供应商在收到采购代理机构的成交通知书后5日内，应当按照供应商须知前附表规定的形式、金额，向采购人提交履约保证金或履约担保。联合体成交的，履约保证金或履约担保由联合体各方或者联合体中牵头人的名义提交。</w:t>
      </w:r>
    </w:p>
    <w:p w14:paraId="1A4EEF63">
      <w:pPr>
        <w:pStyle w:val="39"/>
        <w:ind w:firstLine="480"/>
        <w:rPr>
          <w:rFonts w:hint="eastAsia" w:ascii="宋体" w:hAnsi="宋体" w:eastAsia="宋体" w:cs="宋体"/>
        </w:rPr>
      </w:pPr>
      <w:r>
        <w:rPr>
          <w:rFonts w:hint="eastAsia" w:ascii="宋体" w:hAnsi="宋体" w:eastAsia="宋体" w:cs="宋体"/>
        </w:rPr>
        <w:t>29.2磋商文件要求供应商提交履约保证金的，供应商可通过支票、本票、汇票、网上银行支付等非现金形式交纳，也可通过履约担保函形式提交，其中采用纸质保函的，应当提交保函原件。</w:t>
      </w:r>
    </w:p>
    <w:p w14:paraId="2DF2007D">
      <w:pPr>
        <w:pStyle w:val="39"/>
        <w:ind w:firstLine="480"/>
        <w:rPr>
          <w:rFonts w:hint="eastAsia" w:ascii="宋体" w:hAnsi="宋体" w:eastAsia="宋体" w:cs="宋体"/>
        </w:rPr>
      </w:pPr>
      <w:r>
        <w:rPr>
          <w:rFonts w:hint="eastAsia" w:ascii="宋体" w:hAnsi="宋体" w:eastAsia="宋体" w:cs="宋体"/>
        </w:rPr>
        <w:t>29.3采用履约保函形式时应注意以下事项：</w:t>
      </w:r>
    </w:p>
    <w:p w14:paraId="28430BFA">
      <w:pPr>
        <w:pStyle w:val="39"/>
        <w:ind w:firstLine="480"/>
        <w:rPr>
          <w:rFonts w:hint="eastAsia" w:ascii="宋体" w:hAnsi="宋体" w:eastAsia="宋体" w:cs="宋体"/>
        </w:rPr>
      </w:pPr>
      <w:r>
        <w:rPr>
          <w:rFonts w:hint="eastAsia" w:ascii="宋体" w:hAnsi="宋体" w:eastAsia="宋体" w:cs="宋体"/>
        </w:rPr>
        <w:t>（1）履约保函的受益人为采购人，供应商未能按合同规定履行其义务时，采购人有权从履约保证金中取得补偿。</w:t>
      </w:r>
    </w:p>
    <w:p w14:paraId="733F950A">
      <w:pPr>
        <w:pStyle w:val="39"/>
        <w:ind w:firstLine="480"/>
        <w:rPr>
          <w:rFonts w:hint="eastAsia" w:ascii="宋体" w:hAnsi="宋体" w:eastAsia="宋体" w:cs="宋体"/>
        </w:rPr>
      </w:pPr>
      <w:r>
        <w:rPr>
          <w:rFonts w:hint="eastAsia" w:ascii="宋体" w:hAnsi="宋体" w:eastAsia="宋体" w:cs="宋体"/>
        </w:rPr>
        <w:t>（2） 履约保函的内容包括但不限于保函申请人、项目名称（如分标段，还应写明所投标段）、担保金额、保函有效期（履约保函的有效期至少应覆盖至合同验收之日，履约保函有效期不足的，供应商应向履约保函签发机构办理担保续期手续）；</w:t>
      </w:r>
    </w:p>
    <w:p w14:paraId="0B1029ED">
      <w:pPr>
        <w:pStyle w:val="39"/>
        <w:ind w:firstLine="480"/>
        <w:rPr>
          <w:rFonts w:hint="eastAsia" w:ascii="宋体" w:hAnsi="宋体" w:eastAsia="宋体" w:cs="宋体"/>
        </w:rPr>
      </w:pPr>
      <w:r>
        <w:rPr>
          <w:rFonts w:hint="eastAsia" w:ascii="宋体" w:hAnsi="宋体" w:eastAsia="宋体" w:cs="宋体"/>
        </w:rPr>
        <w:t>（3）担保金额不少于磋商文件中规定的履约保证金交纳金额；</w:t>
      </w:r>
    </w:p>
    <w:p w14:paraId="137F0CA1">
      <w:pPr>
        <w:pStyle w:val="39"/>
        <w:ind w:firstLine="480"/>
        <w:rPr>
          <w:rFonts w:hint="eastAsia" w:ascii="宋体" w:hAnsi="宋体" w:eastAsia="宋体" w:cs="宋体"/>
        </w:rPr>
      </w:pPr>
      <w:r>
        <w:rPr>
          <w:rFonts w:hint="eastAsia" w:ascii="宋体" w:hAnsi="宋体" w:eastAsia="宋体" w:cs="宋体"/>
        </w:rPr>
        <w:t>（4）保函申请人须与供应商名称一致。若供应商为联合体形式，原则上可由联合体任意一方或多方作为保函申请人。</w:t>
      </w:r>
    </w:p>
    <w:p w14:paraId="0F3DDB46">
      <w:pPr>
        <w:pStyle w:val="39"/>
        <w:ind w:firstLine="480"/>
        <w:rPr>
          <w:rFonts w:hint="eastAsia" w:ascii="宋体" w:hAnsi="宋体" w:eastAsia="宋体" w:cs="宋体"/>
        </w:rPr>
      </w:pPr>
      <w:r>
        <w:rPr>
          <w:rFonts w:hint="eastAsia" w:ascii="宋体" w:hAnsi="宋体" w:eastAsia="宋体" w:cs="宋体"/>
        </w:rPr>
        <w:t>29.4成交供应商不能按照本章第29.1项规定提交履约保证金或履约担保的，视为放弃成交资格，有磋商保证金的不予退还，给采购人造成损失的，成交供应商应当予以赔偿。</w:t>
      </w:r>
    </w:p>
    <w:p w14:paraId="3DCDDF73">
      <w:pPr>
        <w:pStyle w:val="39"/>
        <w:ind w:firstLine="480"/>
        <w:rPr>
          <w:rFonts w:hint="eastAsia" w:ascii="宋体" w:hAnsi="宋体" w:eastAsia="宋体" w:cs="宋体"/>
        </w:rPr>
      </w:pPr>
      <w:r>
        <w:rPr>
          <w:rFonts w:hint="eastAsia" w:ascii="宋体" w:hAnsi="宋体" w:eastAsia="宋体" w:cs="宋体"/>
        </w:rPr>
        <w:t>29.5在采购项目验收合格后，中标供应商持政府采购项目验收单，到履约保证金原收取人处办理退还手续，5个工作日内无息退还（针对支票、本票、汇票、网上银行等支付形式）\当场返还（针对纸质保函）。</w:t>
      </w:r>
    </w:p>
    <w:p w14:paraId="4212A990">
      <w:pPr>
        <w:pStyle w:val="39"/>
        <w:ind w:firstLine="482"/>
        <w:rPr>
          <w:rFonts w:hint="eastAsia" w:ascii="宋体" w:hAnsi="宋体" w:eastAsia="宋体" w:cs="宋体"/>
          <w:b/>
        </w:rPr>
      </w:pPr>
      <w:r>
        <w:rPr>
          <w:rFonts w:hint="eastAsia" w:ascii="宋体" w:hAnsi="宋体" w:eastAsia="宋体" w:cs="宋体"/>
          <w:b/>
        </w:rPr>
        <w:t>30.签订合同</w:t>
      </w:r>
    </w:p>
    <w:p w14:paraId="39343ABB">
      <w:pPr>
        <w:pStyle w:val="39"/>
        <w:ind w:firstLine="480"/>
        <w:rPr>
          <w:rFonts w:hint="eastAsia" w:ascii="宋体" w:hAnsi="宋体" w:eastAsia="宋体" w:cs="宋体"/>
        </w:rPr>
      </w:pPr>
      <w:r>
        <w:rPr>
          <w:rFonts w:hint="eastAsia" w:ascii="宋体" w:hAnsi="宋体" w:eastAsia="宋体" w:cs="宋体"/>
        </w:rPr>
        <w:t>30.1采购人应当自《成交通知书》发出之日起25日内，按照磋商文件和成交供应商响应文件的规定，与成交供应商签订书面合同。成交供应商无正当理由拒签合同，或者在签订合同时向采购人提出附件条件，采购人有权取消其成交资格，有磋商保证金的不予退还，给采购人造成损失的，成交供应商应当予以赔偿。采购人可以按照《政府采购法实施条例》第四十九条规定，依据评审报告推荐的成交候选人名单排序确定下一候选人为成交供应商，并签订合同，或者重新开展采购活动。拒绝签订政府采购合同的成交供应商不得参加对该项目重新开展的采购活动。磋商文件及成交供应商的响应文件均作为合同的组成部分。</w:t>
      </w:r>
    </w:p>
    <w:p w14:paraId="05A75A95">
      <w:pPr>
        <w:pStyle w:val="39"/>
        <w:ind w:firstLine="480"/>
        <w:rPr>
          <w:rFonts w:hint="eastAsia" w:ascii="宋体" w:hAnsi="宋体" w:eastAsia="宋体" w:cs="宋体"/>
        </w:rPr>
      </w:pPr>
      <w:r>
        <w:rPr>
          <w:rFonts w:hint="eastAsia" w:ascii="宋体" w:hAnsi="宋体" w:eastAsia="宋体" w:cs="宋体"/>
        </w:rPr>
        <w:t>30.2 发出成交通知书后，采购人不得向成交供应商提出任何不合理要求，作为签订合同的条件，不得与成交供应商私下订立背离合同实质性内容的任何协议，所签订的合同不得对磋商文件确定的事项和成交供应商响应文件做实质性修改。</w:t>
      </w:r>
    </w:p>
    <w:p w14:paraId="0BAD4C8C">
      <w:pPr>
        <w:pStyle w:val="39"/>
        <w:ind w:firstLine="480"/>
        <w:rPr>
          <w:rFonts w:hint="eastAsia" w:ascii="宋体" w:hAnsi="宋体" w:eastAsia="宋体" w:cs="宋体"/>
        </w:rPr>
      </w:pPr>
      <w:r>
        <w:rPr>
          <w:rFonts w:hint="eastAsia" w:ascii="宋体" w:hAnsi="宋体" w:eastAsia="宋体" w:cs="宋体"/>
        </w:rPr>
        <w:t>30.3 联合体成交的，联合体各方应当与采购人签订采购合同，就成交项目向采购人承担连带责任。</w:t>
      </w:r>
    </w:p>
    <w:p w14:paraId="256E5AFA">
      <w:pPr>
        <w:pStyle w:val="39"/>
        <w:ind w:firstLine="480"/>
        <w:rPr>
          <w:rFonts w:hint="eastAsia" w:ascii="宋体" w:hAnsi="宋体" w:eastAsia="宋体" w:cs="宋体"/>
        </w:rPr>
      </w:pPr>
      <w:r>
        <w:rPr>
          <w:rFonts w:hint="eastAsia" w:ascii="宋体" w:hAnsi="宋体" w:eastAsia="宋体" w:cs="宋体"/>
        </w:rPr>
        <w:t>30.4 供应商须知前附表规定允许大中企业向小微企业分包的，成交供应商应当与接受分包的小微企业签订分包合同。</w:t>
      </w:r>
    </w:p>
    <w:p w14:paraId="7BCF1B87">
      <w:pPr>
        <w:pStyle w:val="39"/>
        <w:ind w:firstLine="482"/>
        <w:rPr>
          <w:rFonts w:hint="eastAsia" w:ascii="宋体" w:hAnsi="宋体" w:eastAsia="宋体" w:cs="宋体"/>
          <w:b/>
        </w:rPr>
      </w:pPr>
      <w:r>
        <w:rPr>
          <w:rFonts w:hint="eastAsia" w:ascii="宋体" w:hAnsi="宋体" w:eastAsia="宋体" w:cs="宋体"/>
          <w:b/>
        </w:rPr>
        <w:t>31.合同分包</w:t>
      </w:r>
    </w:p>
    <w:p w14:paraId="66DAE6BF">
      <w:pPr>
        <w:pStyle w:val="39"/>
        <w:ind w:firstLine="480"/>
        <w:rPr>
          <w:rFonts w:hint="eastAsia" w:ascii="宋体" w:hAnsi="宋体" w:eastAsia="宋体" w:cs="宋体"/>
        </w:rPr>
      </w:pPr>
      <w:r>
        <w:rPr>
          <w:rFonts w:hint="eastAsia" w:ascii="宋体" w:hAnsi="宋体" w:eastAsia="宋体" w:cs="宋体"/>
        </w:rPr>
        <w:t>31.1供应商根据磋商文件的规定和采购项目的实际情况，拟在成交后将采购项目的非主体、非关键性工作分包的，应当在响应文件中载明分包承担主体，分包承担主体应当具备相应资质条件且不得再次分包。分包供应商履行的分包项目的品牌、规格型号及技术要求等，必须与成交的一致。</w:t>
      </w:r>
    </w:p>
    <w:p w14:paraId="1EC14B4D">
      <w:pPr>
        <w:pStyle w:val="39"/>
        <w:ind w:firstLine="480"/>
        <w:rPr>
          <w:rFonts w:hint="eastAsia" w:ascii="宋体" w:hAnsi="宋体" w:eastAsia="宋体" w:cs="宋体"/>
        </w:rPr>
      </w:pPr>
      <w:r>
        <w:rPr>
          <w:rFonts w:hint="eastAsia" w:ascii="宋体" w:hAnsi="宋体" w:eastAsia="宋体" w:cs="宋体"/>
        </w:rPr>
        <w:t>31.2分包履行合同的部分应当为采购项目的非主体、非关键性工作，不属于成交供应商的主要合同义务。</w:t>
      </w:r>
    </w:p>
    <w:p w14:paraId="31AA8289">
      <w:pPr>
        <w:pStyle w:val="39"/>
        <w:ind w:firstLine="480"/>
        <w:rPr>
          <w:rFonts w:hint="eastAsia" w:ascii="宋体" w:hAnsi="宋体" w:eastAsia="宋体" w:cs="宋体"/>
        </w:rPr>
      </w:pPr>
      <w:r>
        <w:rPr>
          <w:rFonts w:hint="eastAsia" w:ascii="宋体" w:hAnsi="宋体" w:eastAsia="宋体" w:cs="宋体"/>
        </w:rPr>
        <w:t>31.3采购合同实行分包履行的，成交供应商就采购项目和分包项目向采购人负责，分包供应商就分包项目承担责任。履行分包项目事项应当具备法定资质规定要求的，分包供应商应当具备相应资质。</w:t>
      </w:r>
    </w:p>
    <w:p w14:paraId="24735C92">
      <w:pPr>
        <w:pStyle w:val="39"/>
        <w:ind w:firstLine="480"/>
        <w:rPr>
          <w:rFonts w:hint="eastAsia" w:ascii="宋体" w:hAnsi="宋体" w:eastAsia="宋体" w:cs="宋体"/>
        </w:rPr>
      </w:pPr>
      <w:r>
        <w:rPr>
          <w:rFonts w:hint="eastAsia" w:ascii="宋体" w:hAnsi="宋体" w:eastAsia="宋体" w:cs="宋体"/>
        </w:rPr>
        <w:t>31.4中小企业依据《政府采购促进中小企业发展管理办法》（财库〔2020〕46号）规定的政策获取政府采购合同后，小型、微型企业不得将合同分包或转包给大型、中型企业，中型企业不得将合同分包或转包给大型企业。</w:t>
      </w:r>
    </w:p>
    <w:p w14:paraId="6E43F4BC">
      <w:pPr>
        <w:pStyle w:val="39"/>
        <w:ind w:firstLine="482"/>
        <w:rPr>
          <w:rFonts w:hint="eastAsia" w:ascii="宋体" w:hAnsi="宋体" w:eastAsia="宋体" w:cs="宋体"/>
          <w:b/>
        </w:rPr>
      </w:pPr>
      <w:r>
        <w:rPr>
          <w:rFonts w:hint="eastAsia" w:ascii="宋体" w:hAnsi="宋体" w:eastAsia="宋体" w:cs="宋体"/>
          <w:b/>
        </w:rPr>
        <w:t>32.合同转包</w:t>
      </w:r>
    </w:p>
    <w:p w14:paraId="4AFC6158">
      <w:pPr>
        <w:pStyle w:val="39"/>
        <w:ind w:firstLine="480"/>
        <w:rPr>
          <w:rFonts w:hint="eastAsia" w:ascii="宋体" w:hAnsi="宋体" w:eastAsia="宋体" w:cs="宋体"/>
        </w:rPr>
      </w:pPr>
      <w:r>
        <w:rPr>
          <w:rFonts w:hint="eastAsia" w:ascii="宋体" w:hAnsi="宋体" w:eastAsia="宋体" w:cs="宋体"/>
        </w:rPr>
        <w:t>32.1严禁成交供应商将本采购项目采购合同转包。本项目所称转包，是指成交供应商签订政府采购合同后，不履行合同约定的责任和义务，将其全部工程转给他人或者将其全部工程肢解以后以分包的名义分别转给其他单位承包的行为。</w:t>
      </w:r>
    </w:p>
    <w:p w14:paraId="1E4A5A54">
      <w:pPr>
        <w:pStyle w:val="39"/>
        <w:ind w:firstLine="480"/>
        <w:rPr>
          <w:rFonts w:hint="eastAsia" w:ascii="宋体" w:hAnsi="宋体" w:eastAsia="宋体" w:cs="宋体"/>
        </w:rPr>
      </w:pPr>
      <w:r>
        <w:rPr>
          <w:rFonts w:hint="eastAsia" w:ascii="宋体" w:hAnsi="宋体" w:eastAsia="宋体" w:cs="宋体"/>
        </w:rPr>
        <w:t>32.2成交供应商转包的，视同拒绝履行政府采购合同，将依法追究法律责任</w:t>
      </w:r>
    </w:p>
    <w:p w14:paraId="5E648D57">
      <w:pPr>
        <w:pStyle w:val="39"/>
        <w:ind w:firstLine="482"/>
        <w:rPr>
          <w:rFonts w:hint="eastAsia" w:ascii="宋体" w:hAnsi="宋体" w:eastAsia="宋体" w:cs="宋体"/>
          <w:b/>
        </w:rPr>
      </w:pPr>
      <w:r>
        <w:rPr>
          <w:rFonts w:hint="eastAsia" w:ascii="宋体" w:hAnsi="宋体" w:eastAsia="宋体" w:cs="宋体"/>
          <w:b/>
        </w:rPr>
        <w:t>33.合同履行</w:t>
      </w:r>
    </w:p>
    <w:p w14:paraId="3EEB0CE5">
      <w:pPr>
        <w:pStyle w:val="39"/>
        <w:ind w:firstLine="480"/>
        <w:rPr>
          <w:rFonts w:hint="eastAsia" w:ascii="宋体" w:hAnsi="宋体" w:eastAsia="宋体" w:cs="宋体"/>
        </w:rPr>
      </w:pPr>
      <w:r>
        <w:rPr>
          <w:rFonts w:hint="eastAsia" w:ascii="宋体" w:hAnsi="宋体" w:eastAsia="宋体" w:cs="宋体"/>
        </w:rPr>
        <w:t>33.1 政府采购合同一经签订，双方应严格履行合同规定的义务。在合同履行过程中，如发生合同纠纷，合同双方应按照《中华人民共和国民法典》及合同条款的有关规定进行处理。</w:t>
      </w:r>
    </w:p>
    <w:p w14:paraId="58DBDD6E">
      <w:pPr>
        <w:pStyle w:val="39"/>
        <w:ind w:firstLine="480"/>
        <w:rPr>
          <w:rFonts w:hint="eastAsia" w:ascii="宋体" w:hAnsi="宋体" w:eastAsia="宋体" w:cs="宋体"/>
        </w:rPr>
      </w:pPr>
      <w:r>
        <w:rPr>
          <w:rFonts w:hint="eastAsia" w:ascii="宋体" w:hAnsi="宋体" w:eastAsia="宋体" w:cs="宋体"/>
        </w:rPr>
        <w:t>33.2 政府采购合同订立后，合同各方不得擅自变更或者中止或者终止合同。政府采购合同需要变更的，采购人应将有关合同变更内容，以书面形式报政府采购监督管理部门备案；因特殊情况需要中止或终止合同的，采购人应将中止或终止合同的理由以及相应措施，以书面形式报政府采购监督管理部门备案。</w:t>
      </w:r>
    </w:p>
    <w:p w14:paraId="025935C6">
      <w:pPr>
        <w:pStyle w:val="39"/>
        <w:ind w:firstLine="480"/>
        <w:rPr>
          <w:rFonts w:hint="eastAsia" w:ascii="宋体" w:hAnsi="宋体" w:eastAsia="宋体" w:cs="宋体"/>
        </w:rPr>
      </w:pPr>
      <w:r>
        <w:rPr>
          <w:rFonts w:hint="eastAsia" w:ascii="宋体" w:hAnsi="宋体" w:eastAsia="宋体" w:cs="宋体"/>
        </w:rPr>
        <w:t>33.3 政府采购合同履行中，采购人需追加与合同标的相同的货物的，在不改变合同其他条款的前提下，可以与成交供应商签订补充合同，但所补充合同的采购金额不得超过原合同采购金额的百分之十。签订补充合同的应按规定备案。</w:t>
      </w:r>
    </w:p>
    <w:p w14:paraId="4CD0AADF">
      <w:pPr>
        <w:pStyle w:val="39"/>
        <w:ind w:firstLine="480"/>
        <w:rPr>
          <w:rFonts w:hint="eastAsia" w:ascii="宋体" w:hAnsi="宋体" w:eastAsia="宋体" w:cs="宋体"/>
        </w:rPr>
      </w:pPr>
      <w:r>
        <w:rPr>
          <w:rFonts w:hint="eastAsia" w:ascii="宋体" w:hAnsi="宋体" w:eastAsia="宋体" w:cs="宋体"/>
        </w:rPr>
        <w:t>33.4 供应商须知前附表规定允许合同分包的，享受了中小企业政府采购扶持政策，在履行合同时，未按分包意向协议约定的比例分包给小微企业的，视为提供虚假材料谋取成交情形，采购人将依法追究其法律责任。</w:t>
      </w:r>
    </w:p>
    <w:p w14:paraId="487B3C67">
      <w:pPr>
        <w:pStyle w:val="39"/>
        <w:ind w:firstLine="482"/>
        <w:rPr>
          <w:rFonts w:hint="eastAsia" w:ascii="宋体" w:hAnsi="宋体" w:eastAsia="宋体" w:cs="宋体"/>
          <w:b/>
        </w:rPr>
      </w:pPr>
      <w:r>
        <w:rPr>
          <w:rFonts w:hint="eastAsia" w:ascii="宋体" w:hAnsi="宋体" w:eastAsia="宋体" w:cs="宋体"/>
          <w:b/>
        </w:rPr>
        <w:t>34.其他情况</w:t>
      </w:r>
    </w:p>
    <w:p w14:paraId="14B8FB4C">
      <w:pPr>
        <w:pStyle w:val="39"/>
        <w:ind w:firstLine="480"/>
        <w:rPr>
          <w:rFonts w:hint="eastAsia" w:ascii="宋体" w:hAnsi="宋体" w:eastAsia="宋体" w:cs="宋体"/>
        </w:rPr>
      </w:pPr>
      <w:r>
        <w:rPr>
          <w:rFonts w:hint="eastAsia" w:ascii="宋体" w:hAnsi="宋体" w:eastAsia="宋体" w:cs="宋体"/>
        </w:rPr>
        <w:t>34.1磋商开始后，出现下列情形之一的，采购代理机构将终止竞争性磋商采购活动，发布项目终止公告并说明原因，重新开展采购活动：</w:t>
      </w:r>
    </w:p>
    <w:p w14:paraId="52B20AC8">
      <w:pPr>
        <w:pStyle w:val="39"/>
        <w:ind w:firstLine="480"/>
        <w:rPr>
          <w:rFonts w:hint="eastAsia" w:ascii="宋体" w:hAnsi="宋体" w:eastAsia="宋体" w:cs="宋体"/>
        </w:rPr>
      </w:pPr>
      <w:r>
        <w:rPr>
          <w:rFonts w:hint="eastAsia" w:ascii="宋体" w:hAnsi="宋体" w:eastAsia="宋体" w:cs="宋体"/>
        </w:rPr>
        <w:t>（1）因情况变化，不再符合规定的竞争性磋商采购方式适用情形的；</w:t>
      </w:r>
    </w:p>
    <w:p w14:paraId="27BA2211">
      <w:pPr>
        <w:pStyle w:val="39"/>
        <w:ind w:firstLine="480"/>
        <w:rPr>
          <w:rFonts w:hint="eastAsia" w:ascii="宋体" w:hAnsi="宋体" w:eastAsia="宋体" w:cs="宋体"/>
        </w:rPr>
      </w:pPr>
      <w:r>
        <w:rPr>
          <w:rFonts w:hint="eastAsia" w:ascii="宋体" w:hAnsi="宋体" w:eastAsia="宋体" w:cs="宋体"/>
        </w:rPr>
        <w:t>（2）出现影响采购公正的违法、违规行为的；</w:t>
      </w:r>
    </w:p>
    <w:p w14:paraId="42768DD9">
      <w:pPr>
        <w:pStyle w:val="39"/>
        <w:ind w:firstLine="480"/>
        <w:rPr>
          <w:rFonts w:hint="eastAsia" w:ascii="宋体" w:hAnsi="宋体" w:eastAsia="宋体" w:cs="宋体"/>
        </w:rPr>
      </w:pPr>
      <w:r>
        <w:rPr>
          <w:rFonts w:hint="eastAsia" w:ascii="宋体" w:hAnsi="宋体" w:eastAsia="宋体" w:cs="宋体"/>
        </w:rPr>
        <w:t>（3）在采购过程中符合要求的供应商不足3家的 ；</w:t>
      </w:r>
    </w:p>
    <w:p w14:paraId="6BD40BCE">
      <w:pPr>
        <w:pStyle w:val="39"/>
        <w:ind w:firstLine="480"/>
        <w:rPr>
          <w:rFonts w:hint="eastAsia" w:ascii="宋体" w:hAnsi="宋体" w:eastAsia="宋体" w:cs="宋体"/>
        </w:rPr>
      </w:pPr>
      <w:r>
        <w:rPr>
          <w:rFonts w:hint="eastAsia" w:ascii="宋体" w:hAnsi="宋体" w:eastAsia="宋体" w:cs="宋体"/>
        </w:rPr>
        <w:t>（4）报价未超过采购预算的供应商不足3家的；</w:t>
      </w:r>
    </w:p>
    <w:p w14:paraId="594565A8">
      <w:pPr>
        <w:pStyle w:val="39"/>
        <w:ind w:firstLine="480"/>
        <w:rPr>
          <w:rFonts w:hint="eastAsia" w:ascii="宋体" w:hAnsi="宋体" w:eastAsia="宋体" w:cs="宋体"/>
        </w:rPr>
      </w:pPr>
      <w:r>
        <w:rPr>
          <w:rFonts w:hint="eastAsia" w:ascii="宋体" w:hAnsi="宋体" w:eastAsia="宋体" w:cs="宋体"/>
        </w:rPr>
        <w:t>（5）法律规定其它情形除外。</w:t>
      </w:r>
    </w:p>
    <w:p w14:paraId="7C83BBA8">
      <w:pPr>
        <w:pStyle w:val="39"/>
        <w:ind w:firstLine="480"/>
        <w:rPr>
          <w:rFonts w:hint="eastAsia" w:ascii="宋体" w:hAnsi="宋体" w:eastAsia="宋体" w:cs="宋体"/>
        </w:rPr>
      </w:pPr>
      <w:r>
        <w:rPr>
          <w:rFonts w:hint="eastAsia" w:ascii="宋体" w:hAnsi="宋体" w:eastAsia="宋体" w:cs="宋体"/>
        </w:rPr>
        <w:t>34.2 提交最后报价的供应商为2家时，可以继续进行磋商的情形：</w:t>
      </w:r>
    </w:p>
    <w:p w14:paraId="7C1889BA">
      <w:pPr>
        <w:pStyle w:val="39"/>
        <w:ind w:firstLine="480"/>
        <w:rPr>
          <w:rFonts w:hint="eastAsia" w:ascii="宋体" w:hAnsi="宋体" w:eastAsia="宋体" w:cs="宋体"/>
        </w:rPr>
      </w:pPr>
      <w:r>
        <w:rPr>
          <w:rFonts w:hint="eastAsia" w:ascii="宋体" w:hAnsi="宋体" w:eastAsia="宋体" w:cs="宋体"/>
        </w:rPr>
        <w:t>（1）市场竞争不充分的科研项目，以及需要扶持的科技成果转化项目；</w:t>
      </w:r>
    </w:p>
    <w:p w14:paraId="7A434088">
      <w:pPr>
        <w:pStyle w:val="39"/>
        <w:ind w:firstLine="480"/>
        <w:rPr>
          <w:rFonts w:hint="eastAsia" w:ascii="宋体" w:hAnsi="宋体" w:eastAsia="宋体" w:cs="宋体"/>
        </w:rPr>
      </w:pPr>
      <w:r>
        <w:rPr>
          <w:rFonts w:hint="eastAsia" w:ascii="宋体" w:hAnsi="宋体" w:eastAsia="宋体" w:cs="宋体"/>
        </w:rPr>
        <w:t>（2）根据《关于政府采购竞争性磋商采购方式管理暂行办法有关问题的补充通知》（财库〔2015〕124号）文件的相关规定，在采购过程中符合要求的供应商（社会资本）只有2家的。</w:t>
      </w:r>
    </w:p>
    <w:p w14:paraId="2C907F3D">
      <w:pPr>
        <w:pStyle w:val="39"/>
        <w:ind w:firstLine="482"/>
        <w:rPr>
          <w:rFonts w:hint="eastAsia" w:ascii="宋体" w:hAnsi="宋体" w:eastAsia="宋体" w:cs="宋体"/>
          <w:b/>
        </w:rPr>
      </w:pPr>
      <w:r>
        <w:rPr>
          <w:rFonts w:hint="eastAsia" w:ascii="宋体" w:hAnsi="宋体" w:eastAsia="宋体" w:cs="宋体"/>
          <w:b/>
        </w:rPr>
        <w:t>35.纪律要求</w:t>
      </w:r>
    </w:p>
    <w:p w14:paraId="35F4F3A0">
      <w:pPr>
        <w:pStyle w:val="39"/>
        <w:ind w:firstLine="480"/>
        <w:rPr>
          <w:rFonts w:hint="eastAsia" w:ascii="宋体" w:hAnsi="宋体" w:eastAsia="宋体" w:cs="宋体"/>
        </w:rPr>
      </w:pPr>
      <w:r>
        <w:rPr>
          <w:rFonts w:hint="eastAsia" w:ascii="宋体" w:hAnsi="宋体" w:eastAsia="宋体" w:cs="宋体"/>
        </w:rPr>
        <w:t>35.1磋商活动纪律要求</w:t>
      </w:r>
    </w:p>
    <w:p w14:paraId="1E10B3F6">
      <w:pPr>
        <w:pStyle w:val="39"/>
        <w:ind w:firstLine="480"/>
        <w:rPr>
          <w:rFonts w:hint="eastAsia" w:ascii="宋体" w:hAnsi="宋体" w:eastAsia="宋体" w:cs="宋体"/>
        </w:rPr>
      </w:pPr>
      <w:r>
        <w:rPr>
          <w:rFonts w:hint="eastAsia" w:ascii="宋体" w:hAnsi="宋体" w:eastAsia="宋体" w:cs="宋体"/>
        </w:rPr>
        <w:t>采购人、代理机构应保证磋商活动在严格保密的情况下进行，采购人、代理机构、供应商和磋商小组成员应当严格遵守政府采购法律法规规章制度和本项目竞争性磋商文件以及代理机构现场管理规定，接受采购人委派的监督人员的监督，任何单位和个人不得非法干预和影响磋商过程和结果。</w:t>
      </w:r>
    </w:p>
    <w:p w14:paraId="72E30D01">
      <w:pPr>
        <w:pStyle w:val="39"/>
        <w:ind w:firstLine="480"/>
        <w:rPr>
          <w:rFonts w:hint="eastAsia" w:ascii="宋体" w:hAnsi="宋体" w:eastAsia="宋体" w:cs="宋体"/>
        </w:rPr>
      </w:pPr>
      <w:r>
        <w:rPr>
          <w:rFonts w:hint="eastAsia" w:ascii="宋体" w:hAnsi="宋体" w:eastAsia="宋体" w:cs="宋体"/>
        </w:rPr>
        <w:t>对各供应商的商业秘密，磋商小组成员应予以保密，不得泄露给其他供应商。</w:t>
      </w:r>
    </w:p>
    <w:p w14:paraId="11525579">
      <w:pPr>
        <w:pStyle w:val="39"/>
        <w:ind w:firstLine="480"/>
        <w:rPr>
          <w:rFonts w:hint="eastAsia" w:ascii="宋体" w:hAnsi="宋体" w:eastAsia="宋体" w:cs="宋体"/>
        </w:rPr>
      </w:pPr>
      <w:r>
        <w:rPr>
          <w:rFonts w:hint="eastAsia" w:ascii="宋体" w:hAnsi="宋体" w:eastAsia="宋体" w:cs="宋体"/>
        </w:rPr>
        <w:t>35.2供应商不得具有的情形</w:t>
      </w:r>
    </w:p>
    <w:p w14:paraId="408A0E61">
      <w:pPr>
        <w:pStyle w:val="39"/>
        <w:ind w:firstLine="480"/>
        <w:rPr>
          <w:rFonts w:hint="eastAsia" w:ascii="宋体" w:hAnsi="宋体" w:eastAsia="宋体" w:cs="宋体"/>
        </w:rPr>
      </w:pPr>
      <w:r>
        <w:rPr>
          <w:rFonts w:hint="eastAsia" w:ascii="宋体" w:hAnsi="宋体" w:eastAsia="宋体" w:cs="宋体"/>
        </w:rPr>
        <w:t>供应商参加响应不得有下列情形：</w:t>
      </w:r>
    </w:p>
    <w:p w14:paraId="78943EDA">
      <w:pPr>
        <w:pStyle w:val="39"/>
        <w:ind w:firstLine="480"/>
        <w:rPr>
          <w:rFonts w:hint="eastAsia" w:ascii="宋体" w:hAnsi="宋体" w:eastAsia="宋体" w:cs="宋体"/>
        </w:rPr>
      </w:pPr>
      <w:r>
        <w:rPr>
          <w:rFonts w:hint="eastAsia" w:ascii="宋体" w:hAnsi="宋体" w:eastAsia="宋体" w:cs="宋体"/>
        </w:rPr>
        <w:t>（1）有下列情形之一的，视为供应商串通响应：</w:t>
      </w:r>
    </w:p>
    <w:p w14:paraId="1240A9AD">
      <w:pPr>
        <w:pStyle w:val="39"/>
        <w:ind w:firstLine="480"/>
        <w:rPr>
          <w:rFonts w:hint="eastAsia" w:ascii="宋体" w:hAnsi="宋体" w:eastAsia="宋体" w:cs="宋体"/>
        </w:rPr>
      </w:pPr>
      <w:r>
        <w:rPr>
          <w:rFonts w:hint="eastAsia" w:ascii="宋体" w:hAnsi="宋体" w:eastAsia="宋体" w:cs="宋体"/>
        </w:rPr>
        <w:t>①　不同供应商的响应文件由同一单位或者个人编制；</w:t>
      </w:r>
    </w:p>
    <w:p w14:paraId="4E5AF65D">
      <w:pPr>
        <w:pStyle w:val="39"/>
        <w:ind w:firstLine="480"/>
        <w:rPr>
          <w:rFonts w:hint="eastAsia" w:ascii="宋体" w:hAnsi="宋体" w:eastAsia="宋体" w:cs="宋体"/>
        </w:rPr>
      </w:pPr>
      <w:r>
        <w:rPr>
          <w:rFonts w:hint="eastAsia" w:ascii="宋体" w:hAnsi="宋体" w:eastAsia="宋体" w:cs="宋体"/>
        </w:rPr>
        <w:t>②　不同供应商委托同一单位或者个人办理磋商事宜；</w:t>
      </w:r>
    </w:p>
    <w:p w14:paraId="18AFE606">
      <w:pPr>
        <w:pStyle w:val="39"/>
        <w:ind w:firstLine="480"/>
        <w:rPr>
          <w:rFonts w:hint="eastAsia" w:ascii="宋体" w:hAnsi="宋体" w:eastAsia="宋体" w:cs="宋体"/>
        </w:rPr>
      </w:pPr>
      <w:r>
        <w:rPr>
          <w:rFonts w:hint="eastAsia" w:ascii="宋体" w:hAnsi="宋体" w:eastAsia="宋体" w:cs="宋体"/>
        </w:rPr>
        <w:t>③　不同供应商的响应文件载明的项目管理成员或者联系人员为同一人；</w:t>
      </w:r>
    </w:p>
    <w:p w14:paraId="6AD330E2">
      <w:pPr>
        <w:pStyle w:val="39"/>
        <w:ind w:firstLine="480"/>
        <w:rPr>
          <w:rFonts w:hint="eastAsia" w:ascii="宋体" w:hAnsi="宋体" w:eastAsia="宋体" w:cs="宋体"/>
        </w:rPr>
      </w:pPr>
      <w:r>
        <w:rPr>
          <w:rFonts w:hint="eastAsia" w:ascii="宋体" w:hAnsi="宋体" w:eastAsia="宋体" w:cs="宋体"/>
        </w:rPr>
        <w:t>④　不同供应商的响应文件异常一致或者响应报价呈规律性差异；</w:t>
      </w:r>
    </w:p>
    <w:p w14:paraId="620547F3">
      <w:pPr>
        <w:pStyle w:val="39"/>
        <w:ind w:firstLine="480"/>
        <w:rPr>
          <w:rFonts w:hint="eastAsia" w:ascii="宋体" w:hAnsi="宋体" w:eastAsia="宋体" w:cs="宋体"/>
        </w:rPr>
      </w:pPr>
      <w:r>
        <w:rPr>
          <w:rFonts w:hint="eastAsia" w:ascii="宋体" w:hAnsi="宋体" w:eastAsia="宋体" w:cs="宋体"/>
        </w:rPr>
        <w:t>⑤　不同供应商的响应文件相互混装。</w:t>
      </w:r>
    </w:p>
    <w:p w14:paraId="06973169">
      <w:pPr>
        <w:pStyle w:val="39"/>
        <w:ind w:firstLine="480"/>
        <w:rPr>
          <w:rFonts w:hint="eastAsia" w:ascii="宋体" w:hAnsi="宋体" w:eastAsia="宋体" w:cs="宋体"/>
        </w:rPr>
      </w:pPr>
      <w:r>
        <w:rPr>
          <w:rFonts w:hint="eastAsia" w:ascii="宋体" w:hAnsi="宋体" w:eastAsia="宋体" w:cs="宋体"/>
        </w:rPr>
        <w:t>（2）提供虚假材料谋取成交；</w:t>
      </w:r>
    </w:p>
    <w:p w14:paraId="1EC35DC8">
      <w:pPr>
        <w:pStyle w:val="39"/>
        <w:ind w:firstLine="480"/>
        <w:rPr>
          <w:rFonts w:hint="eastAsia" w:ascii="宋体" w:hAnsi="宋体" w:eastAsia="宋体" w:cs="宋体"/>
        </w:rPr>
      </w:pPr>
      <w:r>
        <w:rPr>
          <w:rFonts w:hint="eastAsia" w:ascii="宋体" w:hAnsi="宋体" w:eastAsia="宋体" w:cs="宋体"/>
        </w:rPr>
        <w:t>（3）采取不正当手段诋毁、排挤其他供应商；</w:t>
      </w:r>
    </w:p>
    <w:p w14:paraId="3A7ED69C">
      <w:pPr>
        <w:pStyle w:val="39"/>
        <w:ind w:firstLine="480"/>
        <w:rPr>
          <w:rFonts w:hint="eastAsia" w:ascii="宋体" w:hAnsi="宋体" w:eastAsia="宋体" w:cs="宋体"/>
        </w:rPr>
      </w:pPr>
      <w:r>
        <w:rPr>
          <w:rFonts w:hint="eastAsia" w:ascii="宋体" w:hAnsi="宋体" w:eastAsia="宋体" w:cs="宋体"/>
        </w:rPr>
        <w:t>（4）与采购人或代理机构、其他供应商恶意串通；</w:t>
      </w:r>
    </w:p>
    <w:p w14:paraId="7737C50D">
      <w:pPr>
        <w:pStyle w:val="39"/>
        <w:ind w:firstLine="480"/>
        <w:rPr>
          <w:rFonts w:hint="eastAsia" w:ascii="宋体" w:hAnsi="宋体" w:eastAsia="宋体" w:cs="宋体"/>
        </w:rPr>
      </w:pPr>
      <w:r>
        <w:rPr>
          <w:rFonts w:hint="eastAsia" w:ascii="宋体" w:hAnsi="宋体" w:eastAsia="宋体" w:cs="宋体"/>
        </w:rPr>
        <w:t>（5）向采购人或代理机构、磋商小组成员行贿或者提供其他不正当利益；</w:t>
      </w:r>
    </w:p>
    <w:p w14:paraId="7253D7E1">
      <w:pPr>
        <w:pStyle w:val="39"/>
        <w:ind w:firstLine="480"/>
        <w:rPr>
          <w:rFonts w:hint="eastAsia" w:ascii="宋体" w:hAnsi="宋体" w:eastAsia="宋体" w:cs="宋体"/>
        </w:rPr>
      </w:pPr>
      <w:r>
        <w:rPr>
          <w:rFonts w:hint="eastAsia" w:ascii="宋体" w:hAnsi="宋体" w:eastAsia="宋体" w:cs="宋体"/>
        </w:rPr>
        <w:t>（6）在磋商过程中与采购人或代理机构进行协商磋商；</w:t>
      </w:r>
    </w:p>
    <w:p w14:paraId="46263734">
      <w:pPr>
        <w:pStyle w:val="39"/>
        <w:ind w:firstLine="480"/>
        <w:rPr>
          <w:rFonts w:hint="eastAsia" w:ascii="宋体" w:hAnsi="宋体" w:eastAsia="宋体" w:cs="宋体"/>
        </w:rPr>
      </w:pPr>
      <w:r>
        <w:rPr>
          <w:rFonts w:hint="eastAsia" w:ascii="宋体" w:hAnsi="宋体" w:eastAsia="宋体" w:cs="宋体"/>
        </w:rPr>
        <w:t>（7）成交后无正当理由拒不与采购人签订政府采购合同；</w:t>
      </w:r>
    </w:p>
    <w:p w14:paraId="77062463">
      <w:pPr>
        <w:pStyle w:val="39"/>
        <w:ind w:firstLine="480"/>
        <w:rPr>
          <w:rFonts w:hint="eastAsia" w:ascii="宋体" w:hAnsi="宋体" w:eastAsia="宋体" w:cs="宋体"/>
        </w:rPr>
      </w:pPr>
      <w:r>
        <w:rPr>
          <w:rFonts w:hint="eastAsia" w:ascii="宋体" w:hAnsi="宋体" w:eastAsia="宋体" w:cs="宋体"/>
        </w:rPr>
        <w:t>（8）未按照采购文件确定的事项签订政府采购合同；</w:t>
      </w:r>
    </w:p>
    <w:p w14:paraId="56F3F339">
      <w:pPr>
        <w:pStyle w:val="39"/>
        <w:ind w:firstLine="480"/>
        <w:rPr>
          <w:rFonts w:hint="eastAsia" w:ascii="宋体" w:hAnsi="宋体" w:eastAsia="宋体" w:cs="宋体"/>
        </w:rPr>
      </w:pPr>
      <w:r>
        <w:rPr>
          <w:rFonts w:hint="eastAsia" w:ascii="宋体" w:hAnsi="宋体" w:eastAsia="宋体" w:cs="宋体"/>
        </w:rPr>
        <w:t>（9）将政府采购合同转包或者违规分包；</w:t>
      </w:r>
    </w:p>
    <w:p w14:paraId="381F0B78">
      <w:pPr>
        <w:pStyle w:val="39"/>
        <w:ind w:firstLine="480"/>
        <w:rPr>
          <w:rFonts w:hint="eastAsia" w:ascii="宋体" w:hAnsi="宋体" w:eastAsia="宋体" w:cs="宋体"/>
        </w:rPr>
      </w:pPr>
      <w:r>
        <w:rPr>
          <w:rFonts w:hint="eastAsia" w:ascii="宋体" w:hAnsi="宋体" w:eastAsia="宋体" w:cs="宋体"/>
        </w:rPr>
        <w:t>（10）提供假冒伪劣产品；</w:t>
      </w:r>
    </w:p>
    <w:p w14:paraId="5ED3C4EC">
      <w:pPr>
        <w:pStyle w:val="39"/>
        <w:ind w:firstLine="480"/>
        <w:rPr>
          <w:rFonts w:hint="eastAsia" w:ascii="宋体" w:hAnsi="宋体" w:eastAsia="宋体" w:cs="宋体"/>
        </w:rPr>
      </w:pPr>
      <w:r>
        <w:rPr>
          <w:rFonts w:hint="eastAsia" w:ascii="宋体" w:hAnsi="宋体" w:eastAsia="宋体" w:cs="宋体"/>
        </w:rPr>
        <w:t>（11）擅自变更、中止或者终止政府采购合同；</w:t>
      </w:r>
    </w:p>
    <w:p w14:paraId="53BBC33B">
      <w:pPr>
        <w:pStyle w:val="39"/>
        <w:ind w:firstLine="480"/>
        <w:rPr>
          <w:rFonts w:hint="eastAsia" w:ascii="宋体" w:hAnsi="宋体" w:eastAsia="宋体" w:cs="宋体"/>
        </w:rPr>
      </w:pPr>
      <w:r>
        <w:rPr>
          <w:rFonts w:hint="eastAsia" w:ascii="宋体" w:hAnsi="宋体" w:eastAsia="宋体" w:cs="宋体"/>
        </w:rPr>
        <w:t>（12）拒绝有关部门的监督检查或者向监督检查部门提供虚假情况；</w:t>
      </w:r>
    </w:p>
    <w:p w14:paraId="279F391C">
      <w:pPr>
        <w:pStyle w:val="39"/>
        <w:ind w:firstLine="480"/>
        <w:rPr>
          <w:rFonts w:hint="eastAsia" w:ascii="宋体" w:hAnsi="宋体" w:eastAsia="宋体" w:cs="宋体"/>
        </w:rPr>
      </w:pPr>
      <w:r>
        <w:rPr>
          <w:rFonts w:hint="eastAsia" w:ascii="宋体" w:hAnsi="宋体" w:eastAsia="宋体" w:cs="宋体"/>
        </w:rPr>
        <w:t>（13）法律法规规定的其他禁止情形。</w:t>
      </w:r>
    </w:p>
    <w:p w14:paraId="7C9E1429">
      <w:pPr>
        <w:pStyle w:val="39"/>
        <w:ind w:firstLine="480"/>
        <w:rPr>
          <w:rFonts w:hint="eastAsia" w:ascii="宋体" w:hAnsi="宋体" w:eastAsia="宋体" w:cs="宋体"/>
        </w:rPr>
      </w:pPr>
      <w:r>
        <w:rPr>
          <w:rFonts w:hint="eastAsia" w:ascii="宋体" w:hAnsi="宋体" w:eastAsia="宋体" w:cs="宋体"/>
        </w:rPr>
        <w:t>供应商有上述情形的，按照规定追究法律责任，具有前述一至十三条情形之一的，其响应文件无效，或取消被确认为成交供应商的资格或认定成交无效。</w:t>
      </w:r>
    </w:p>
    <w:p w14:paraId="3C70E01E">
      <w:pPr>
        <w:pStyle w:val="39"/>
        <w:ind w:firstLine="480"/>
        <w:rPr>
          <w:rFonts w:hint="eastAsia" w:ascii="宋体" w:hAnsi="宋体" w:eastAsia="宋体" w:cs="宋体"/>
        </w:rPr>
      </w:pPr>
      <w:r>
        <w:rPr>
          <w:rFonts w:hint="eastAsia" w:ascii="宋体" w:hAnsi="宋体" w:eastAsia="宋体" w:cs="宋体"/>
        </w:rPr>
        <w:t>35.3采购人员及相关人员回避要求</w:t>
      </w:r>
    </w:p>
    <w:p w14:paraId="63D2F7DD">
      <w:pPr>
        <w:pStyle w:val="39"/>
        <w:ind w:firstLine="480"/>
        <w:rPr>
          <w:rFonts w:hint="eastAsia" w:ascii="宋体" w:hAnsi="宋体" w:eastAsia="宋体" w:cs="宋体"/>
        </w:rPr>
      </w:pPr>
      <w:r>
        <w:rPr>
          <w:rFonts w:hint="eastAsia" w:ascii="宋体" w:hAnsi="宋体" w:eastAsia="宋体" w:cs="宋体"/>
        </w:rPr>
        <w:t>政府采购活动中，采购人员及相关人员与供应商有下列利害关系之一的，应当回避：</w:t>
      </w:r>
    </w:p>
    <w:p w14:paraId="59148ACA">
      <w:pPr>
        <w:pStyle w:val="39"/>
        <w:ind w:firstLine="480"/>
        <w:rPr>
          <w:rFonts w:hint="eastAsia" w:ascii="宋体" w:hAnsi="宋体" w:eastAsia="宋体" w:cs="宋体"/>
        </w:rPr>
      </w:pPr>
      <w:r>
        <w:rPr>
          <w:rFonts w:hint="eastAsia" w:ascii="宋体" w:hAnsi="宋体" w:eastAsia="宋体" w:cs="宋体"/>
        </w:rPr>
        <w:t>（一）参加采购活动前3年内与供应商存在劳动关系；</w:t>
      </w:r>
    </w:p>
    <w:p w14:paraId="706DFDDB">
      <w:pPr>
        <w:pStyle w:val="39"/>
        <w:ind w:firstLine="480"/>
        <w:rPr>
          <w:rFonts w:hint="eastAsia" w:ascii="宋体" w:hAnsi="宋体" w:eastAsia="宋体" w:cs="宋体"/>
        </w:rPr>
      </w:pPr>
      <w:r>
        <w:rPr>
          <w:rFonts w:hint="eastAsia" w:ascii="宋体" w:hAnsi="宋体" w:eastAsia="宋体" w:cs="宋体"/>
        </w:rPr>
        <w:t>（二）参加采购活动前3年内担任供应商的董事、监事；</w:t>
      </w:r>
    </w:p>
    <w:p w14:paraId="3F4D42CD">
      <w:pPr>
        <w:pStyle w:val="39"/>
        <w:ind w:firstLine="480"/>
        <w:rPr>
          <w:rFonts w:hint="eastAsia" w:ascii="宋体" w:hAnsi="宋体" w:eastAsia="宋体" w:cs="宋体"/>
        </w:rPr>
      </w:pPr>
      <w:r>
        <w:rPr>
          <w:rFonts w:hint="eastAsia" w:ascii="宋体" w:hAnsi="宋体" w:eastAsia="宋体" w:cs="宋体"/>
        </w:rPr>
        <w:t>（三）参加采购活动前3年内是供应商的控股股东或者实际控制人；</w:t>
      </w:r>
    </w:p>
    <w:p w14:paraId="250BABDA">
      <w:pPr>
        <w:pStyle w:val="39"/>
        <w:ind w:firstLine="480"/>
        <w:rPr>
          <w:rFonts w:hint="eastAsia" w:ascii="宋体" w:hAnsi="宋体" w:eastAsia="宋体" w:cs="宋体"/>
        </w:rPr>
      </w:pPr>
      <w:r>
        <w:rPr>
          <w:rFonts w:hint="eastAsia" w:ascii="宋体" w:hAnsi="宋体" w:eastAsia="宋体" w:cs="宋体"/>
        </w:rPr>
        <w:t>（四）与供应商的法定代表人或者负责人有夫妻、直系血亲、三代以内旁系血亲或者近姻亲关系；</w:t>
      </w:r>
    </w:p>
    <w:p w14:paraId="551BBF71">
      <w:pPr>
        <w:pStyle w:val="39"/>
        <w:ind w:firstLine="480"/>
        <w:rPr>
          <w:rFonts w:hint="eastAsia" w:ascii="宋体" w:hAnsi="宋体" w:eastAsia="宋体" w:cs="宋体"/>
        </w:rPr>
      </w:pPr>
      <w:r>
        <w:rPr>
          <w:rFonts w:hint="eastAsia" w:ascii="宋体" w:hAnsi="宋体" w:eastAsia="宋体" w:cs="宋体"/>
        </w:rPr>
        <w:t>（五）与供应商有其他可能影响政府采购活动公平、公正进行的关系。</w:t>
      </w:r>
    </w:p>
    <w:p w14:paraId="17010643">
      <w:pPr>
        <w:pStyle w:val="39"/>
        <w:ind w:firstLine="480"/>
        <w:rPr>
          <w:rFonts w:hint="eastAsia" w:ascii="宋体" w:hAnsi="宋体" w:eastAsia="宋体" w:cs="宋体"/>
        </w:rPr>
      </w:pPr>
      <w:r>
        <w:rPr>
          <w:rFonts w:hint="eastAsia" w:ascii="宋体" w:hAnsi="宋体" w:eastAsia="宋体" w:cs="宋体"/>
        </w:rPr>
        <w:t>供应商认为采购人员及相关人员与其他供应商有利害关系的，可以向代理机构书面提出回避申请，并说明理由。代理机构将及时询问被申请回避人员，有利害关系的被申请回避人员应当回避。</w:t>
      </w:r>
    </w:p>
    <w:p w14:paraId="4C0BA36C">
      <w:pPr>
        <w:pStyle w:val="39"/>
        <w:ind w:firstLine="482"/>
        <w:rPr>
          <w:rFonts w:hint="eastAsia" w:ascii="宋体" w:hAnsi="宋体" w:eastAsia="宋体" w:cs="宋体"/>
          <w:b/>
        </w:rPr>
      </w:pPr>
      <w:r>
        <w:rPr>
          <w:rFonts w:hint="eastAsia" w:ascii="宋体" w:hAnsi="宋体" w:eastAsia="宋体" w:cs="宋体"/>
          <w:b/>
        </w:rPr>
        <w:t>36.质疑和投诉</w:t>
      </w:r>
    </w:p>
    <w:p w14:paraId="1D566E9A">
      <w:pPr>
        <w:pStyle w:val="39"/>
        <w:ind w:firstLine="480"/>
        <w:rPr>
          <w:rFonts w:hint="eastAsia" w:ascii="宋体" w:hAnsi="宋体" w:eastAsia="宋体" w:cs="宋体"/>
        </w:rPr>
      </w:pPr>
      <w:r>
        <w:rPr>
          <w:rFonts w:hint="eastAsia" w:ascii="宋体" w:hAnsi="宋体" w:eastAsia="宋体" w:cs="宋体"/>
        </w:rPr>
        <w:t>36.1供应商如果认为磋商文件(包括磋商内容及采购要求、供应商资格条件、商务条款等) 使自身的合法权益受到损害，可以在获取磋商文件之日起7个工作日内，以书面形式向采购人提出质疑；供应商如果认为采购过程或成交结果使自身的合法权益受到损害，可以在知道或者应知其权益受到损害之日起7个工作日内，以书面形式向亿诚建设项目管理有限公司提出质疑。</w:t>
      </w:r>
    </w:p>
    <w:p w14:paraId="099AD054">
      <w:pPr>
        <w:pStyle w:val="39"/>
        <w:ind w:firstLine="480"/>
        <w:rPr>
          <w:rFonts w:hint="eastAsia" w:ascii="宋体" w:hAnsi="宋体" w:eastAsia="宋体" w:cs="宋体"/>
        </w:rPr>
      </w:pPr>
      <w:r>
        <w:rPr>
          <w:rFonts w:hint="eastAsia" w:ascii="宋体" w:hAnsi="宋体" w:eastAsia="宋体" w:cs="宋体"/>
        </w:rPr>
        <w:t>36.2供应商提出质疑应当提交质疑函和必要的证明材料，并按财政部 《质疑函范本》 给定的格式进行填写，范本下载详见【财政部国库司( gks.mof.gov.cn)】 网站〖首页• 〉政府采购管理〗栏目中的《政府采购供应商质疑函范本》。</w:t>
      </w:r>
    </w:p>
    <w:p w14:paraId="357249E2">
      <w:pPr>
        <w:pStyle w:val="39"/>
        <w:ind w:firstLine="480"/>
        <w:rPr>
          <w:rFonts w:hint="eastAsia" w:ascii="宋体" w:hAnsi="宋体" w:eastAsia="宋体" w:cs="宋体"/>
        </w:rPr>
      </w:pPr>
      <w:r>
        <w:rPr>
          <w:rFonts w:hint="eastAsia" w:ascii="宋体" w:hAnsi="宋体" w:eastAsia="宋体" w:cs="宋体"/>
        </w:rPr>
        <w:t>《政府采购供应商质疑函范本》链接地址：</w:t>
      </w:r>
    </w:p>
    <w:p w14:paraId="410739F9">
      <w:pPr>
        <w:pStyle w:val="39"/>
        <w:ind w:firstLine="480"/>
        <w:rPr>
          <w:rFonts w:hint="eastAsia" w:ascii="宋体" w:hAnsi="宋体" w:eastAsia="宋体" w:cs="宋体"/>
        </w:rPr>
      </w:pPr>
      <w:r>
        <w:rPr>
          <w:rFonts w:hint="eastAsia" w:ascii="宋体" w:hAnsi="宋体" w:eastAsia="宋体" w:cs="宋体"/>
        </w:rPr>
        <w:t>http://gks.mof.gov.cn/zhengfucaigouguanli/201802/t20180201_2804589.html</w:t>
      </w:r>
    </w:p>
    <w:p w14:paraId="7C4A644E">
      <w:pPr>
        <w:pStyle w:val="39"/>
        <w:ind w:firstLine="480"/>
        <w:rPr>
          <w:rFonts w:hint="eastAsia" w:ascii="宋体" w:hAnsi="宋体" w:eastAsia="宋体" w:cs="宋体"/>
        </w:rPr>
      </w:pPr>
      <w:r>
        <w:rPr>
          <w:rFonts w:hint="eastAsia" w:ascii="宋体" w:hAnsi="宋体" w:eastAsia="宋体" w:cs="宋体"/>
        </w:rPr>
        <w:t>36.3质疑人为自然人的，应当由本人签字；质疑人为法人或者其他组织的，应当由法定代表人、主要负责人，或者其授权代表签字或者盖章，并加盖公章。被授权代表办理质疑事项时，除提交质疑函外，还应当提交授权委托书及被授权代表的有效身份证明，授权委托书应当载明委托代理的具体权限和事项。</w:t>
      </w:r>
    </w:p>
    <w:p w14:paraId="2E5DB84C">
      <w:pPr>
        <w:pStyle w:val="39"/>
        <w:ind w:firstLine="480"/>
        <w:rPr>
          <w:rFonts w:hint="eastAsia" w:ascii="宋体" w:hAnsi="宋体" w:eastAsia="宋体" w:cs="宋体"/>
        </w:rPr>
      </w:pPr>
      <w:r>
        <w:rPr>
          <w:rFonts w:hint="eastAsia" w:ascii="宋体" w:hAnsi="宋体" w:eastAsia="宋体" w:cs="宋体"/>
        </w:rPr>
        <w:t>36.4在法定质疑期内，针对同一采购程序环节的质疑应当一次性提出。采购代理机构或采购人将在收到书面质疑后7个工作日内做出答复，并以书面形式通知质疑人和其他有关供应商。</w:t>
      </w:r>
    </w:p>
    <w:p w14:paraId="6C594DC2">
      <w:pPr>
        <w:pStyle w:val="39"/>
        <w:ind w:firstLine="480"/>
        <w:rPr>
          <w:rFonts w:hint="eastAsia" w:ascii="宋体" w:hAnsi="宋体" w:eastAsia="宋体" w:cs="宋体"/>
        </w:rPr>
      </w:pPr>
      <w:r>
        <w:rPr>
          <w:rFonts w:hint="eastAsia" w:ascii="宋体" w:hAnsi="宋体" w:eastAsia="宋体" w:cs="宋体"/>
        </w:rPr>
        <w:t>36.5有下列情形之一的，属于无效质疑，采购代理机构和采购人不予受理：</w:t>
      </w:r>
    </w:p>
    <w:p w14:paraId="54C4BD6B">
      <w:pPr>
        <w:pStyle w:val="39"/>
        <w:ind w:firstLine="480"/>
        <w:rPr>
          <w:rFonts w:hint="eastAsia" w:ascii="宋体" w:hAnsi="宋体" w:eastAsia="宋体" w:cs="宋体"/>
        </w:rPr>
      </w:pPr>
      <w:r>
        <w:rPr>
          <w:rFonts w:hint="eastAsia" w:ascii="宋体" w:hAnsi="宋体" w:eastAsia="宋体" w:cs="宋体"/>
        </w:rPr>
        <w:t>(1) 质疑人不是参与本次政府采购项目的供应商或潜在供应商；</w:t>
      </w:r>
    </w:p>
    <w:p w14:paraId="1287581F">
      <w:pPr>
        <w:pStyle w:val="39"/>
        <w:ind w:firstLine="480"/>
        <w:rPr>
          <w:rFonts w:hint="eastAsia" w:ascii="宋体" w:hAnsi="宋体" w:eastAsia="宋体" w:cs="宋体"/>
        </w:rPr>
      </w:pPr>
      <w:r>
        <w:rPr>
          <w:rFonts w:hint="eastAsia" w:ascii="宋体" w:hAnsi="宋体" w:eastAsia="宋体" w:cs="宋体"/>
        </w:rPr>
        <w:t>(2) 质疑人与质疑事项不存在利害关系的；</w:t>
      </w:r>
    </w:p>
    <w:p w14:paraId="72F520BF">
      <w:pPr>
        <w:pStyle w:val="39"/>
        <w:ind w:firstLine="480"/>
        <w:rPr>
          <w:rFonts w:hint="eastAsia" w:ascii="宋体" w:hAnsi="宋体" w:eastAsia="宋体" w:cs="宋体"/>
        </w:rPr>
      </w:pPr>
      <w:r>
        <w:rPr>
          <w:rFonts w:hint="eastAsia" w:ascii="宋体" w:hAnsi="宋体" w:eastAsia="宋体" w:cs="宋体"/>
        </w:rPr>
        <w:t>(3) 未在法定期限内提出质疑的；</w:t>
      </w:r>
    </w:p>
    <w:p w14:paraId="43F7169E">
      <w:pPr>
        <w:pStyle w:val="39"/>
        <w:ind w:firstLine="480"/>
        <w:rPr>
          <w:rFonts w:hint="eastAsia" w:ascii="宋体" w:hAnsi="宋体" w:eastAsia="宋体" w:cs="宋体"/>
        </w:rPr>
      </w:pPr>
      <w:r>
        <w:rPr>
          <w:rFonts w:hint="eastAsia" w:ascii="宋体" w:hAnsi="宋体" w:eastAsia="宋体" w:cs="宋体"/>
        </w:rPr>
        <w:t>(4) 质疑未以书面形式提出，或质疑函主要内容构成不完整的，或缺乏必要的证明材料及证明材料不完整的；</w:t>
      </w:r>
    </w:p>
    <w:p w14:paraId="084E3695">
      <w:pPr>
        <w:pStyle w:val="39"/>
        <w:ind w:firstLine="480"/>
        <w:rPr>
          <w:rFonts w:hint="eastAsia" w:ascii="宋体" w:hAnsi="宋体" w:eastAsia="宋体" w:cs="宋体"/>
        </w:rPr>
      </w:pPr>
      <w:r>
        <w:rPr>
          <w:rFonts w:hint="eastAsia" w:ascii="宋体" w:hAnsi="宋体" w:eastAsia="宋体" w:cs="宋体"/>
        </w:rPr>
        <w:t>(5) 质疑函没有合法有效的签字、盖章或授权的；</w:t>
      </w:r>
    </w:p>
    <w:p w14:paraId="08D4CECD">
      <w:pPr>
        <w:pStyle w:val="39"/>
        <w:ind w:firstLine="480"/>
        <w:rPr>
          <w:rFonts w:hint="eastAsia" w:ascii="宋体" w:hAnsi="宋体" w:eastAsia="宋体" w:cs="宋体"/>
        </w:rPr>
      </w:pPr>
      <w:r>
        <w:rPr>
          <w:rFonts w:hint="eastAsia" w:ascii="宋体" w:hAnsi="宋体" w:eastAsia="宋体" w:cs="宋体"/>
        </w:rPr>
        <w:t>(6) 以非法手段取得证据、材料的；</w:t>
      </w:r>
    </w:p>
    <w:p w14:paraId="7988AD2B">
      <w:pPr>
        <w:pStyle w:val="39"/>
        <w:ind w:firstLine="480"/>
        <w:rPr>
          <w:rFonts w:hint="eastAsia" w:ascii="宋体" w:hAnsi="宋体" w:eastAsia="宋体" w:cs="宋体"/>
        </w:rPr>
      </w:pPr>
      <w:r>
        <w:rPr>
          <w:rFonts w:hint="eastAsia" w:ascii="宋体" w:hAnsi="宋体" w:eastAsia="宋体" w:cs="宋体"/>
        </w:rPr>
        <w:t>(7) 质疑答复后，同一质疑人就同一事项再次提出质疑的；</w:t>
      </w:r>
    </w:p>
    <w:p w14:paraId="253DA6F6">
      <w:pPr>
        <w:pStyle w:val="39"/>
        <w:ind w:firstLine="480"/>
        <w:rPr>
          <w:rFonts w:hint="eastAsia" w:ascii="宋体" w:hAnsi="宋体" w:eastAsia="宋体" w:cs="宋体"/>
        </w:rPr>
      </w:pPr>
      <w:r>
        <w:rPr>
          <w:rFonts w:hint="eastAsia" w:ascii="宋体" w:hAnsi="宋体" w:eastAsia="宋体" w:cs="宋体"/>
        </w:rPr>
        <w:t>(8) 不符合法律、法规、规章和政府采购监管机构规定的其他条件的。</w:t>
      </w:r>
    </w:p>
    <w:p w14:paraId="79DA298A">
      <w:pPr>
        <w:pStyle w:val="39"/>
        <w:ind w:firstLine="480"/>
        <w:rPr>
          <w:rFonts w:hint="eastAsia" w:ascii="宋体" w:hAnsi="宋体" w:eastAsia="宋体" w:cs="宋体"/>
        </w:rPr>
      </w:pPr>
      <w:r>
        <w:rPr>
          <w:rFonts w:hint="eastAsia" w:ascii="宋体" w:hAnsi="宋体" w:eastAsia="宋体" w:cs="宋体"/>
        </w:rPr>
        <w:t>36.6质疑人对采购代理机构或采购人的答复不满意，以及采购代理机构或采购人未在规定时间内做出答复的，可以在答复期满后15个工作日内向政府采购监管机构提出投诉。</w:t>
      </w:r>
    </w:p>
    <w:p w14:paraId="2E398E7A">
      <w:pPr>
        <w:pStyle w:val="39"/>
        <w:ind w:firstLine="480"/>
        <w:rPr>
          <w:rFonts w:hint="eastAsia" w:ascii="宋体" w:hAnsi="宋体" w:eastAsia="宋体" w:cs="宋体"/>
        </w:rPr>
      </w:pPr>
      <w:r>
        <w:rPr>
          <w:rFonts w:hint="eastAsia" w:ascii="宋体" w:hAnsi="宋体" w:eastAsia="宋体" w:cs="宋体"/>
        </w:rPr>
        <w:t>36.7供应商投诉的事项不得超出已质疑事项的范围。</w:t>
      </w:r>
    </w:p>
    <w:p w14:paraId="4415ACA4">
      <w:pPr>
        <w:pStyle w:val="39"/>
        <w:ind w:firstLine="480"/>
        <w:rPr>
          <w:rFonts w:hint="eastAsia" w:ascii="宋体" w:hAnsi="宋体" w:eastAsia="宋体" w:cs="宋体"/>
        </w:rPr>
      </w:pPr>
      <w:r>
        <w:rPr>
          <w:rFonts w:hint="eastAsia" w:ascii="宋体" w:hAnsi="宋体" w:eastAsia="宋体" w:cs="宋体"/>
        </w:rPr>
        <w:t>36.8质疑函递交地址：亿诚建设项目管理有限公司石泉分公司（石泉县育才路4号金江花园后门） 联系人：刘恒云       联系电话：15229053396      邮编：725200</w:t>
      </w:r>
    </w:p>
    <w:p w14:paraId="4839345E">
      <w:pPr>
        <w:widowControl/>
        <w:jc w:val="left"/>
        <w:rPr>
          <w:rFonts w:hint="eastAsia" w:ascii="宋体" w:hAnsi="宋体" w:eastAsia="宋体" w:cs="宋体"/>
          <w:b/>
          <w:sz w:val="32"/>
        </w:rPr>
      </w:pPr>
      <w:r>
        <w:rPr>
          <w:rFonts w:hint="eastAsia" w:ascii="宋体" w:hAnsi="宋体" w:eastAsia="宋体" w:cs="宋体"/>
        </w:rPr>
        <w:br w:type="page"/>
      </w:r>
    </w:p>
    <w:p w14:paraId="1A750496">
      <w:pPr>
        <w:pStyle w:val="36"/>
        <w:spacing w:before="240" w:after="240"/>
        <w:outlineLvl w:val="0"/>
        <w:rPr>
          <w:rFonts w:hint="eastAsia" w:ascii="宋体" w:hAnsi="宋体" w:eastAsia="宋体" w:cs="宋体"/>
          <w:sz w:val="40"/>
          <w:szCs w:val="28"/>
        </w:rPr>
      </w:pPr>
      <w:bookmarkStart w:id="6" w:name="_Toc14276"/>
      <w:r>
        <w:rPr>
          <w:rFonts w:hint="eastAsia" w:ascii="宋体" w:hAnsi="宋体" w:eastAsia="宋体" w:cs="宋体"/>
          <w:sz w:val="40"/>
          <w:szCs w:val="28"/>
        </w:rPr>
        <w:t>第三章  磋商办法</w:t>
      </w:r>
      <w:bookmarkEnd w:id="6"/>
    </w:p>
    <w:p w14:paraId="18CBBB10">
      <w:pPr>
        <w:pStyle w:val="39"/>
        <w:ind w:firstLine="480"/>
        <w:rPr>
          <w:rFonts w:hint="eastAsia" w:ascii="宋体" w:hAnsi="宋体" w:eastAsia="宋体" w:cs="宋体"/>
        </w:rPr>
      </w:pPr>
      <w:r>
        <w:rPr>
          <w:rFonts w:hint="eastAsia" w:ascii="宋体" w:hAnsi="宋体" w:eastAsia="宋体" w:cs="宋体"/>
        </w:rPr>
        <w:t>根据《中华人民共和国政府采购法》《中华人民共和国政府采购法实施条例》《政府采购竞争性磋商采购方式管理暂行办法》（财政部财库[2014]214号）等法律法规的规定，结合采购项目特点，制定本磋商办法。本项目采用综合评分法，即响应文件满足磋商文件全部实质性要求，且按照评审因素的量化指标评审得分最高的供应商为中标候选供应商。综合评分相等时，按照最后报价由低到高的顺序推荐；报价也相等的，按技术指标优劣顺序排列。</w:t>
      </w:r>
    </w:p>
    <w:p w14:paraId="777AA058">
      <w:pPr>
        <w:pStyle w:val="12"/>
        <w:autoSpaceDE w:val="0"/>
        <w:autoSpaceDN w:val="0"/>
        <w:adjustRightInd w:val="0"/>
        <w:snapToGrid w:val="0"/>
        <w:spacing w:line="500" w:lineRule="exact"/>
        <w:ind w:firstLine="422" w:firstLineChars="200"/>
        <w:rPr>
          <w:rFonts w:hint="eastAsia" w:ascii="宋体" w:hAnsi="宋体" w:eastAsia="宋体" w:cs="宋体"/>
          <w:b/>
          <w:bCs/>
        </w:rPr>
      </w:pPr>
      <w:r>
        <w:rPr>
          <w:rFonts w:hint="eastAsia" w:ascii="宋体" w:hAnsi="宋体" w:eastAsia="宋体" w:cs="宋体"/>
          <w:b/>
          <w:bCs/>
        </w:rPr>
        <w:t>1、资格审查标准</w:t>
      </w:r>
    </w:p>
    <w:tbl>
      <w:tblPr>
        <w:tblStyle w:val="28"/>
        <w:tblW w:w="9459" w:type="dxa"/>
        <w:tblInd w:w="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8"/>
        <w:gridCol w:w="1974"/>
        <w:gridCol w:w="6477"/>
      </w:tblGrid>
      <w:tr w14:paraId="24509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1008" w:type="dxa"/>
            <w:noWrap/>
          </w:tcPr>
          <w:p w14:paraId="6B4EAE33">
            <w:pPr>
              <w:pStyle w:val="70"/>
              <w:spacing w:before="111"/>
              <w:ind w:left="272" w:right="265"/>
              <w:jc w:val="center"/>
              <w:rPr>
                <w:rFonts w:hint="eastAsia" w:ascii="宋体" w:hAnsi="宋体" w:eastAsia="宋体" w:cs="宋体"/>
                <w:b/>
              </w:rPr>
            </w:pPr>
            <w:r>
              <w:rPr>
                <w:rFonts w:hint="eastAsia" w:ascii="宋体" w:hAnsi="宋体" w:eastAsia="宋体" w:cs="宋体"/>
                <w:b/>
              </w:rPr>
              <w:t>序号</w:t>
            </w:r>
          </w:p>
        </w:tc>
        <w:tc>
          <w:tcPr>
            <w:tcW w:w="1974" w:type="dxa"/>
            <w:noWrap/>
          </w:tcPr>
          <w:p w14:paraId="1689F193">
            <w:pPr>
              <w:pStyle w:val="70"/>
              <w:spacing w:before="111"/>
              <w:ind w:left="122" w:right="113"/>
              <w:jc w:val="center"/>
              <w:rPr>
                <w:rFonts w:hint="eastAsia" w:ascii="宋体" w:hAnsi="宋体" w:eastAsia="宋体" w:cs="宋体"/>
                <w:b/>
              </w:rPr>
            </w:pPr>
            <w:r>
              <w:rPr>
                <w:rFonts w:hint="eastAsia" w:ascii="宋体" w:hAnsi="宋体" w:eastAsia="宋体" w:cs="宋体"/>
                <w:b/>
              </w:rPr>
              <w:t>审查因素</w:t>
            </w:r>
          </w:p>
        </w:tc>
        <w:tc>
          <w:tcPr>
            <w:tcW w:w="6477" w:type="dxa"/>
            <w:noWrap/>
          </w:tcPr>
          <w:p w14:paraId="7F4BED9C">
            <w:pPr>
              <w:pStyle w:val="70"/>
              <w:spacing w:before="111"/>
              <w:ind w:left="2798" w:right="2787"/>
              <w:jc w:val="center"/>
              <w:rPr>
                <w:rFonts w:hint="eastAsia" w:ascii="宋体" w:hAnsi="宋体" w:eastAsia="宋体" w:cs="宋体"/>
                <w:b/>
              </w:rPr>
            </w:pPr>
            <w:r>
              <w:rPr>
                <w:rFonts w:hint="eastAsia" w:ascii="宋体" w:hAnsi="宋体" w:eastAsia="宋体" w:cs="宋体"/>
                <w:b/>
              </w:rPr>
              <w:t>审查标准</w:t>
            </w:r>
          </w:p>
        </w:tc>
      </w:tr>
      <w:tr w14:paraId="577F2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1008" w:type="dxa"/>
            <w:noWrap/>
            <w:vAlign w:val="center"/>
          </w:tcPr>
          <w:p w14:paraId="6A680E27">
            <w:pPr>
              <w:pStyle w:val="70"/>
              <w:autoSpaceDE w:val="0"/>
              <w:autoSpaceDN w:val="0"/>
              <w:ind w:left="122" w:right="113"/>
              <w:jc w:val="center"/>
              <w:rPr>
                <w:rFonts w:hint="eastAsia" w:ascii="宋体" w:hAnsi="宋体" w:eastAsia="宋体" w:cs="宋体"/>
                <w:b/>
              </w:rPr>
            </w:pPr>
          </w:p>
          <w:p w14:paraId="77DF56A8">
            <w:pPr>
              <w:pStyle w:val="70"/>
              <w:autoSpaceDE w:val="0"/>
              <w:autoSpaceDN w:val="0"/>
              <w:ind w:left="122" w:right="113"/>
              <w:jc w:val="center"/>
              <w:rPr>
                <w:rFonts w:hint="eastAsia" w:ascii="宋体" w:hAnsi="宋体" w:eastAsia="宋体" w:cs="宋体"/>
                <w:b/>
              </w:rPr>
            </w:pPr>
            <w:r>
              <w:rPr>
                <w:rFonts w:hint="eastAsia" w:ascii="宋体" w:hAnsi="宋体" w:eastAsia="宋体" w:cs="宋体"/>
                <w:b/>
              </w:rPr>
              <w:t>1</w:t>
            </w:r>
          </w:p>
        </w:tc>
        <w:tc>
          <w:tcPr>
            <w:tcW w:w="1974" w:type="dxa"/>
            <w:noWrap/>
            <w:vAlign w:val="center"/>
          </w:tcPr>
          <w:p w14:paraId="55558953">
            <w:pPr>
              <w:pStyle w:val="70"/>
              <w:autoSpaceDE w:val="0"/>
              <w:autoSpaceDN w:val="0"/>
              <w:ind w:left="122" w:right="113"/>
              <w:jc w:val="center"/>
              <w:rPr>
                <w:rFonts w:hint="eastAsia" w:ascii="宋体" w:hAnsi="宋体" w:eastAsia="宋体" w:cs="宋体"/>
                <w:b/>
              </w:rPr>
            </w:pPr>
          </w:p>
          <w:p w14:paraId="49B1506C">
            <w:pPr>
              <w:pStyle w:val="70"/>
              <w:autoSpaceDE w:val="0"/>
              <w:autoSpaceDN w:val="0"/>
              <w:ind w:left="122" w:right="113"/>
              <w:jc w:val="center"/>
              <w:rPr>
                <w:rFonts w:hint="eastAsia" w:ascii="宋体" w:hAnsi="宋体" w:eastAsia="宋体" w:cs="宋体"/>
                <w:b/>
              </w:rPr>
            </w:pPr>
            <w:r>
              <w:rPr>
                <w:rFonts w:hint="eastAsia" w:ascii="宋体" w:hAnsi="宋体" w:eastAsia="宋体" w:cs="宋体"/>
                <w:b/>
              </w:rPr>
              <w:t>营业执照</w:t>
            </w:r>
          </w:p>
        </w:tc>
        <w:tc>
          <w:tcPr>
            <w:tcW w:w="6477" w:type="dxa"/>
            <w:noWrap/>
            <w:vAlign w:val="center"/>
          </w:tcPr>
          <w:p w14:paraId="67867C95">
            <w:pPr>
              <w:pStyle w:val="70"/>
              <w:spacing w:line="374" w:lineRule="auto"/>
              <w:ind w:right="44"/>
              <w:jc w:val="left"/>
              <w:rPr>
                <w:rFonts w:hint="eastAsia" w:ascii="宋体" w:hAnsi="宋体" w:eastAsia="宋体" w:cs="宋体"/>
                <w:spacing w:val="-13"/>
                <w:sz w:val="24"/>
                <w:szCs w:val="24"/>
                <w:lang w:val="en-US" w:eastAsia="zh-CN"/>
              </w:rPr>
            </w:pPr>
            <w:r>
              <w:rPr>
                <w:rFonts w:hint="eastAsia" w:ascii="宋体" w:hAnsi="宋体" w:eastAsia="宋体" w:cs="宋体"/>
                <w:spacing w:val="-13"/>
                <w:sz w:val="24"/>
                <w:szCs w:val="24"/>
                <w:lang w:val="en-US" w:eastAsia="zh-CN"/>
              </w:rPr>
              <w:t>提供有效合格的统一社会信用代码的营业执照，其他组织经营的须提</w:t>
            </w:r>
          </w:p>
          <w:p w14:paraId="119B4D8D">
            <w:pPr>
              <w:pStyle w:val="70"/>
              <w:spacing w:line="374" w:lineRule="auto"/>
              <w:ind w:right="44"/>
              <w:jc w:val="left"/>
              <w:rPr>
                <w:rFonts w:hint="eastAsia" w:ascii="宋体" w:hAnsi="宋体" w:eastAsia="宋体" w:cs="宋体"/>
                <w:spacing w:val="-13"/>
                <w:sz w:val="24"/>
                <w:szCs w:val="24"/>
                <w:lang w:val="en-US" w:eastAsia="zh-CN"/>
              </w:rPr>
            </w:pPr>
            <w:r>
              <w:rPr>
                <w:rFonts w:hint="eastAsia" w:ascii="宋体" w:hAnsi="宋体" w:eastAsia="宋体" w:cs="宋体"/>
                <w:spacing w:val="-13"/>
                <w:sz w:val="24"/>
                <w:szCs w:val="24"/>
                <w:lang w:val="en-US" w:eastAsia="zh-CN"/>
              </w:rPr>
              <w:t>供合法凭证，自然人的提供身份证明文件；</w:t>
            </w:r>
          </w:p>
        </w:tc>
      </w:tr>
      <w:tr w14:paraId="06AFD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008" w:type="dxa"/>
            <w:noWrap/>
            <w:vAlign w:val="center"/>
          </w:tcPr>
          <w:p w14:paraId="030B15A2">
            <w:pPr>
              <w:pStyle w:val="70"/>
              <w:autoSpaceDE w:val="0"/>
              <w:autoSpaceDN w:val="0"/>
              <w:ind w:left="122" w:right="113"/>
              <w:jc w:val="center"/>
              <w:rPr>
                <w:rFonts w:hint="eastAsia" w:ascii="宋体" w:hAnsi="宋体" w:eastAsia="宋体" w:cs="宋体"/>
                <w:b/>
              </w:rPr>
            </w:pPr>
          </w:p>
          <w:p w14:paraId="238125ED">
            <w:pPr>
              <w:pStyle w:val="70"/>
              <w:autoSpaceDE w:val="0"/>
              <w:autoSpaceDN w:val="0"/>
              <w:ind w:left="122" w:right="113"/>
              <w:jc w:val="center"/>
              <w:rPr>
                <w:rFonts w:hint="eastAsia" w:ascii="宋体" w:hAnsi="宋体" w:eastAsia="宋体" w:cs="宋体"/>
                <w:b/>
              </w:rPr>
            </w:pPr>
            <w:r>
              <w:rPr>
                <w:rFonts w:hint="eastAsia" w:ascii="宋体" w:hAnsi="宋体" w:eastAsia="宋体" w:cs="宋体"/>
                <w:b/>
              </w:rPr>
              <w:t>2</w:t>
            </w:r>
          </w:p>
        </w:tc>
        <w:tc>
          <w:tcPr>
            <w:tcW w:w="1974" w:type="dxa"/>
            <w:noWrap/>
            <w:vAlign w:val="center"/>
          </w:tcPr>
          <w:p w14:paraId="221B5A98">
            <w:pPr>
              <w:pStyle w:val="70"/>
              <w:autoSpaceDE w:val="0"/>
              <w:autoSpaceDN w:val="0"/>
              <w:ind w:left="122" w:right="113"/>
              <w:jc w:val="center"/>
              <w:rPr>
                <w:rFonts w:hint="eastAsia" w:ascii="宋体" w:hAnsi="宋体" w:eastAsia="宋体" w:cs="宋体"/>
                <w:b/>
              </w:rPr>
            </w:pPr>
          </w:p>
          <w:p w14:paraId="471C25C8">
            <w:pPr>
              <w:pStyle w:val="70"/>
              <w:autoSpaceDE w:val="0"/>
              <w:autoSpaceDN w:val="0"/>
              <w:ind w:left="122" w:right="113"/>
              <w:jc w:val="center"/>
              <w:rPr>
                <w:rFonts w:hint="eastAsia" w:ascii="宋体" w:hAnsi="宋体" w:eastAsia="宋体" w:cs="宋体"/>
                <w:b/>
                <w:lang w:eastAsia="zh-CN"/>
              </w:rPr>
            </w:pPr>
            <w:r>
              <w:rPr>
                <w:rFonts w:hint="eastAsia" w:ascii="宋体" w:hAnsi="宋体" w:eastAsia="宋体" w:cs="宋体"/>
                <w:b/>
                <w:lang w:eastAsia="zh-CN"/>
              </w:rPr>
              <w:t>法定代表人授权</w:t>
            </w:r>
          </w:p>
          <w:p w14:paraId="5495A5C2">
            <w:pPr>
              <w:pStyle w:val="70"/>
              <w:autoSpaceDE w:val="0"/>
              <w:autoSpaceDN w:val="0"/>
              <w:ind w:left="122" w:right="113"/>
              <w:jc w:val="center"/>
              <w:rPr>
                <w:rFonts w:hint="eastAsia" w:ascii="宋体" w:hAnsi="宋体" w:eastAsia="宋体" w:cs="宋体"/>
                <w:b/>
                <w:lang w:eastAsia="zh-CN"/>
              </w:rPr>
            </w:pPr>
            <w:r>
              <w:rPr>
                <w:rFonts w:hint="eastAsia" w:ascii="宋体" w:hAnsi="宋体" w:eastAsia="宋体" w:cs="宋体"/>
                <w:b/>
                <w:lang w:eastAsia="zh-CN"/>
              </w:rPr>
              <w:t>委托书</w:t>
            </w:r>
          </w:p>
        </w:tc>
        <w:tc>
          <w:tcPr>
            <w:tcW w:w="6477" w:type="dxa"/>
            <w:noWrap/>
            <w:vAlign w:val="center"/>
          </w:tcPr>
          <w:p w14:paraId="2DC39640">
            <w:pPr>
              <w:pStyle w:val="70"/>
              <w:spacing w:line="374" w:lineRule="auto"/>
              <w:ind w:right="44"/>
              <w:jc w:val="left"/>
              <w:rPr>
                <w:rFonts w:hint="eastAsia" w:ascii="宋体" w:hAnsi="宋体" w:eastAsia="宋体" w:cs="宋体"/>
                <w:spacing w:val="-13"/>
                <w:sz w:val="24"/>
                <w:szCs w:val="24"/>
                <w:lang w:val="en-US" w:eastAsia="zh-CN"/>
              </w:rPr>
            </w:pPr>
            <w:r>
              <w:rPr>
                <w:rFonts w:hint="eastAsia" w:ascii="宋体" w:hAnsi="宋体" w:eastAsia="宋体" w:cs="宋体"/>
                <w:spacing w:val="-13"/>
                <w:sz w:val="24"/>
                <w:szCs w:val="24"/>
                <w:lang w:val="en-US" w:eastAsia="zh-CN"/>
              </w:rPr>
              <w:t>法定代表人直接参加投标的，须出具法定代表人身份证；法定代表人授权代表参加投标的，须出具法定代表人授权委托书、法定代表人身</w:t>
            </w:r>
          </w:p>
          <w:p w14:paraId="1B87E58C">
            <w:pPr>
              <w:pStyle w:val="70"/>
              <w:spacing w:line="374" w:lineRule="auto"/>
              <w:ind w:right="44"/>
              <w:jc w:val="left"/>
              <w:rPr>
                <w:rFonts w:hint="eastAsia" w:ascii="宋体" w:hAnsi="宋体" w:eastAsia="宋体" w:cs="宋体"/>
                <w:spacing w:val="-13"/>
                <w:sz w:val="24"/>
                <w:szCs w:val="24"/>
                <w:lang w:val="en-US" w:eastAsia="zh-CN"/>
              </w:rPr>
            </w:pPr>
            <w:r>
              <w:rPr>
                <w:rFonts w:hint="eastAsia" w:ascii="宋体" w:hAnsi="宋体" w:eastAsia="宋体" w:cs="宋体"/>
                <w:spacing w:val="-13"/>
                <w:sz w:val="24"/>
                <w:szCs w:val="24"/>
                <w:lang w:val="en-US" w:eastAsia="zh-CN"/>
              </w:rPr>
              <w:t>份证复印件以及被授权代表身份证复印件；</w:t>
            </w:r>
          </w:p>
        </w:tc>
      </w:tr>
      <w:tr w14:paraId="6CAE6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008" w:type="dxa"/>
            <w:noWrap/>
            <w:vAlign w:val="center"/>
          </w:tcPr>
          <w:p w14:paraId="74DDD517">
            <w:pPr>
              <w:pStyle w:val="70"/>
              <w:autoSpaceDE w:val="0"/>
              <w:autoSpaceDN w:val="0"/>
              <w:ind w:left="122" w:right="113"/>
              <w:jc w:val="center"/>
              <w:rPr>
                <w:rFonts w:hint="eastAsia" w:ascii="宋体" w:hAnsi="宋体" w:eastAsia="宋体" w:cs="宋体"/>
                <w:b/>
                <w:lang w:val="en-US" w:eastAsia="zh-CN"/>
              </w:rPr>
            </w:pPr>
            <w:r>
              <w:rPr>
                <w:rFonts w:hint="eastAsia" w:ascii="宋体" w:hAnsi="宋体" w:eastAsia="宋体" w:cs="宋体"/>
                <w:b/>
                <w:lang w:val="en-US" w:eastAsia="zh-CN"/>
              </w:rPr>
              <w:t>3</w:t>
            </w:r>
          </w:p>
        </w:tc>
        <w:tc>
          <w:tcPr>
            <w:tcW w:w="1974" w:type="dxa"/>
            <w:noWrap/>
            <w:vAlign w:val="center"/>
          </w:tcPr>
          <w:p w14:paraId="0903091C">
            <w:pPr>
              <w:pStyle w:val="70"/>
              <w:autoSpaceDE w:val="0"/>
              <w:autoSpaceDN w:val="0"/>
              <w:ind w:left="122" w:right="113"/>
              <w:jc w:val="center"/>
              <w:rPr>
                <w:rFonts w:hint="eastAsia" w:ascii="宋体" w:hAnsi="宋体" w:eastAsia="宋体" w:cs="宋体"/>
                <w:b/>
                <w:lang w:eastAsia="zh-CN"/>
              </w:rPr>
            </w:pPr>
            <w:r>
              <w:rPr>
                <w:rFonts w:hint="eastAsia" w:ascii="宋体" w:hAnsi="宋体" w:eastAsia="宋体" w:cs="宋体"/>
                <w:b/>
                <w:lang w:eastAsia="zh-CN"/>
              </w:rPr>
              <w:t>供应商资质证件</w:t>
            </w:r>
          </w:p>
        </w:tc>
        <w:tc>
          <w:tcPr>
            <w:tcW w:w="6477" w:type="dxa"/>
            <w:noWrap/>
            <w:vAlign w:val="center"/>
          </w:tcPr>
          <w:p w14:paraId="6DC1F9D1">
            <w:pPr>
              <w:pStyle w:val="70"/>
              <w:spacing w:line="374" w:lineRule="auto"/>
              <w:ind w:right="44"/>
              <w:jc w:val="left"/>
              <w:rPr>
                <w:rFonts w:hint="eastAsia" w:ascii="宋体" w:hAnsi="宋体" w:eastAsia="宋体" w:cs="宋体"/>
                <w:spacing w:val="-13"/>
                <w:sz w:val="24"/>
                <w:szCs w:val="24"/>
                <w:lang w:val="en-US" w:eastAsia="zh-CN"/>
              </w:rPr>
            </w:pPr>
            <w:r>
              <w:rPr>
                <w:rFonts w:hint="eastAsia" w:ascii="宋体" w:hAnsi="宋体" w:eastAsia="宋体" w:cs="宋体"/>
                <w:spacing w:val="-13"/>
                <w:sz w:val="24"/>
                <w:szCs w:val="24"/>
                <w:lang w:val="en-US" w:eastAsia="zh-CN"/>
              </w:rPr>
              <w:t>供应商应具备工程设计综合甲级资质或建筑设计乙级及以上资质；同时项目负责人须具备相应专业中级（含中级）及以上工程师职称；</w:t>
            </w:r>
          </w:p>
        </w:tc>
      </w:tr>
      <w:tr w14:paraId="7AF8F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1008" w:type="dxa"/>
            <w:noWrap/>
            <w:vAlign w:val="center"/>
          </w:tcPr>
          <w:p w14:paraId="7F17FA71">
            <w:pPr>
              <w:pStyle w:val="70"/>
              <w:autoSpaceDE w:val="0"/>
              <w:autoSpaceDN w:val="0"/>
              <w:ind w:left="122" w:right="113"/>
              <w:jc w:val="center"/>
              <w:rPr>
                <w:rFonts w:hint="eastAsia" w:ascii="宋体" w:hAnsi="宋体" w:eastAsia="宋体" w:cs="宋体"/>
                <w:b/>
                <w:lang w:val="en-US" w:eastAsia="zh-CN"/>
              </w:rPr>
            </w:pPr>
            <w:r>
              <w:rPr>
                <w:rFonts w:hint="eastAsia" w:ascii="宋体" w:hAnsi="宋体" w:eastAsia="宋体" w:cs="宋体"/>
                <w:b/>
                <w:lang w:val="en-US" w:eastAsia="zh-CN"/>
              </w:rPr>
              <w:t>4</w:t>
            </w:r>
          </w:p>
        </w:tc>
        <w:tc>
          <w:tcPr>
            <w:tcW w:w="1974" w:type="dxa"/>
            <w:noWrap/>
            <w:vAlign w:val="center"/>
          </w:tcPr>
          <w:p w14:paraId="475ECE7C">
            <w:pPr>
              <w:pStyle w:val="70"/>
              <w:autoSpaceDE w:val="0"/>
              <w:autoSpaceDN w:val="0"/>
              <w:ind w:left="122" w:right="113"/>
              <w:jc w:val="center"/>
              <w:rPr>
                <w:rFonts w:hint="eastAsia" w:ascii="宋体" w:hAnsi="宋体" w:eastAsia="宋体" w:cs="宋体"/>
                <w:b/>
                <w:lang w:eastAsia="zh-CN"/>
              </w:rPr>
            </w:pPr>
            <w:r>
              <w:rPr>
                <w:rFonts w:hint="eastAsia" w:ascii="宋体" w:hAnsi="宋体" w:eastAsia="宋体" w:cs="宋体"/>
                <w:b/>
                <w:lang w:eastAsia="zh-CN"/>
              </w:rPr>
              <w:t>财务状况</w:t>
            </w:r>
          </w:p>
        </w:tc>
        <w:tc>
          <w:tcPr>
            <w:tcW w:w="6477" w:type="dxa"/>
            <w:noWrap/>
            <w:vAlign w:val="center"/>
          </w:tcPr>
          <w:p w14:paraId="1856DB1B">
            <w:pPr>
              <w:pStyle w:val="70"/>
              <w:spacing w:line="374" w:lineRule="auto"/>
              <w:ind w:right="44"/>
              <w:jc w:val="left"/>
              <w:rPr>
                <w:rFonts w:hint="eastAsia" w:ascii="宋体" w:hAnsi="宋体" w:eastAsia="宋体" w:cs="宋体"/>
                <w:spacing w:val="-13"/>
                <w:sz w:val="24"/>
                <w:szCs w:val="24"/>
                <w:lang w:val="en-US" w:eastAsia="zh-CN"/>
              </w:rPr>
            </w:pPr>
            <w:r>
              <w:rPr>
                <w:rFonts w:hint="eastAsia" w:ascii="宋体" w:hAnsi="宋体" w:eastAsia="宋体" w:cs="宋体"/>
                <w:spacing w:val="-13"/>
                <w:sz w:val="24"/>
                <w:szCs w:val="24"/>
                <w:lang w:val="en-US" w:eastAsia="zh-CN"/>
              </w:rPr>
              <w:t xml:space="preserve">财务状况报告:提供2023或2024年度经会计师事务所出具的财务报告（至少应包括资产负债表和利润表，成立时间至提交投标文件截止时间不足一年的可提供成立后任意时间段的财务报表）或提交投标文件截止时间前六个月内其基本账户开户银行出具的资信证明；      </w:t>
            </w:r>
          </w:p>
        </w:tc>
      </w:tr>
      <w:tr w14:paraId="7DB74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1008" w:type="dxa"/>
            <w:noWrap/>
            <w:vAlign w:val="center"/>
          </w:tcPr>
          <w:p w14:paraId="09BD491E">
            <w:pPr>
              <w:pStyle w:val="70"/>
              <w:autoSpaceDE w:val="0"/>
              <w:autoSpaceDN w:val="0"/>
              <w:ind w:left="122" w:right="113"/>
              <w:jc w:val="center"/>
              <w:rPr>
                <w:rFonts w:hint="eastAsia" w:ascii="宋体" w:hAnsi="宋体" w:eastAsia="宋体" w:cs="宋体"/>
                <w:b/>
                <w:lang w:val="en-US" w:eastAsia="zh-CN"/>
              </w:rPr>
            </w:pPr>
            <w:r>
              <w:rPr>
                <w:rFonts w:hint="eastAsia" w:ascii="宋体" w:hAnsi="宋体" w:eastAsia="宋体" w:cs="宋体"/>
                <w:b/>
                <w:lang w:val="en-US" w:eastAsia="zh-CN"/>
              </w:rPr>
              <w:t>5</w:t>
            </w:r>
          </w:p>
        </w:tc>
        <w:tc>
          <w:tcPr>
            <w:tcW w:w="1974" w:type="dxa"/>
            <w:noWrap/>
            <w:vAlign w:val="center"/>
          </w:tcPr>
          <w:p w14:paraId="1DCE7921">
            <w:pPr>
              <w:pStyle w:val="70"/>
              <w:autoSpaceDE w:val="0"/>
              <w:autoSpaceDN w:val="0"/>
              <w:ind w:left="122" w:right="113"/>
              <w:jc w:val="center"/>
              <w:rPr>
                <w:rFonts w:hint="eastAsia" w:ascii="宋体" w:hAnsi="宋体" w:eastAsia="宋体" w:cs="宋体"/>
                <w:b/>
                <w:lang w:eastAsia="zh-CN"/>
              </w:rPr>
            </w:pPr>
            <w:r>
              <w:rPr>
                <w:rFonts w:hint="eastAsia" w:ascii="宋体" w:hAnsi="宋体" w:eastAsia="宋体" w:cs="宋体"/>
                <w:b/>
                <w:lang w:eastAsia="zh-CN"/>
              </w:rPr>
              <w:t>社保缴纳证明</w:t>
            </w:r>
          </w:p>
        </w:tc>
        <w:tc>
          <w:tcPr>
            <w:tcW w:w="6477" w:type="dxa"/>
            <w:noWrap/>
            <w:vAlign w:val="center"/>
          </w:tcPr>
          <w:p w14:paraId="681C192F">
            <w:pPr>
              <w:pStyle w:val="70"/>
              <w:spacing w:line="374" w:lineRule="auto"/>
              <w:ind w:right="44"/>
              <w:jc w:val="left"/>
              <w:rPr>
                <w:rFonts w:hint="eastAsia" w:ascii="宋体" w:hAnsi="宋体" w:eastAsia="宋体" w:cs="宋体"/>
                <w:spacing w:val="-13"/>
                <w:sz w:val="24"/>
                <w:szCs w:val="24"/>
              </w:rPr>
            </w:pPr>
            <w:r>
              <w:rPr>
                <w:rFonts w:hint="eastAsia" w:ascii="宋体" w:hAnsi="宋体" w:eastAsia="宋体" w:cs="宋体"/>
                <w:spacing w:val="-13"/>
                <w:sz w:val="24"/>
                <w:szCs w:val="24"/>
              </w:rPr>
              <w:t>自202</w:t>
            </w:r>
            <w:r>
              <w:rPr>
                <w:rFonts w:hint="eastAsia" w:cs="宋体"/>
                <w:spacing w:val="-13"/>
                <w:sz w:val="24"/>
                <w:szCs w:val="24"/>
                <w:lang w:val="en-US" w:eastAsia="zh-CN"/>
              </w:rPr>
              <w:t>5</w:t>
            </w:r>
            <w:r>
              <w:rPr>
                <w:rFonts w:hint="eastAsia" w:ascii="宋体" w:hAnsi="宋体" w:eastAsia="宋体" w:cs="宋体"/>
                <w:spacing w:val="-13"/>
                <w:sz w:val="24"/>
                <w:szCs w:val="24"/>
              </w:rPr>
              <w:t>年1月1日以来已缴存的至少一个月的社会保障资金缴存单据或社保机构开具的社会保险参保缴费情况证明，单据或证明上应有社保机构或代收机构的公章或业务专用章。依法不需要缴纳社会保障资金的供应商应提供相关文件证明；</w:t>
            </w:r>
          </w:p>
        </w:tc>
      </w:tr>
      <w:tr w14:paraId="53041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1008" w:type="dxa"/>
            <w:noWrap/>
            <w:vAlign w:val="center"/>
          </w:tcPr>
          <w:p w14:paraId="13AC10AA">
            <w:pPr>
              <w:pStyle w:val="70"/>
              <w:autoSpaceDE w:val="0"/>
              <w:autoSpaceDN w:val="0"/>
              <w:ind w:left="122" w:right="113"/>
              <w:jc w:val="center"/>
              <w:rPr>
                <w:rFonts w:hint="eastAsia" w:ascii="宋体" w:hAnsi="宋体" w:eastAsia="宋体" w:cs="宋体"/>
                <w:b/>
              </w:rPr>
            </w:pPr>
          </w:p>
          <w:p w14:paraId="6892C4B6">
            <w:pPr>
              <w:pStyle w:val="70"/>
              <w:autoSpaceDE w:val="0"/>
              <w:autoSpaceDN w:val="0"/>
              <w:ind w:left="122" w:right="113"/>
              <w:jc w:val="center"/>
              <w:rPr>
                <w:rFonts w:hint="eastAsia" w:ascii="宋体" w:hAnsi="宋体" w:eastAsia="宋体" w:cs="宋体"/>
                <w:b/>
                <w:lang w:val="en-US" w:eastAsia="zh-CN"/>
              </w:rPr>
            </w:pPr>
            <w:r>
              <w:rPr>
                <w:rFonts w:hint="eastAsia" w:ascii="宋体" w:hAnsi="宋体" w:eastAsia="宋体" w:cs="宋体"/>
                <w:b/>
                <w:lang w:val="en-US" w:eastAsia="zh-CN"/>
              </w:rPr>
              <w:t>6</w:t>
            </w:r>
          </w:p>
        </w:tc>
        <w:tc>
          <w:tcPr>
            <w:tcW w:w="1974" w:type="dxa"/>
            <w:noWrap/>
            <w:vAlign w:val="center"/>
          </w:tcPr>
          <w:p w14:paraId="274B7267">
            <w:pPr>
              <w:pStyle w:val="70"/>
              <w:autoSpaceDE w:val="0"/>
              <w:autoSpaceDN w:val="0"/>
              <w:ind w:left="122" w:right="113"/>
              <w:jc w:val="center"/>
              <w:rPr>
                <w:rFonts w:hint="eastAsia" w:ascii="宋体" w:hAnsi="宋体" w:eastAsia="宋体" w:cs="宋体"/>
                <w:b/>
                <w:lang w:eastAsia="zh-CN"/>
              </w:rPr>
            </w:pPr>
            <w:r>
              <w:rPr>
                <w:rFonts w:hint="eastAsia" w:ascii="宋体" w:hAnsi="宋体" w:eastAsia="宋体" w:cs="宋体"/>
                <w:b/>
                <w:lang w:eastAsia="zh-CN"/>
              </w:rPr>
              <w:t>纳税证明</w:t>
            </w:r>
          </w:p>
        </w:tc>
        <w:tc>
          <w:tcPr>
            <w:tcW w:w="6477" w:type="dxa"/>
            <w:noWrap/>
            <w:vAlign w:val="center"/>
          </w:tcPr>
          <w:p w14:paraId="3CB86C26">
            <w:pPr>
              <w:pStyle w:val="70"/>
              <w:spacing w:line="374" w:lineRule="auto"/>
              <w:ind w:right="44"/>
              <w:jc w:val="left"/>
              <w:rPr>
                <w:rFonts w:hint="eastAsia" w:ascii="宋体" w:hAnsi="宋体" w:eastAsia="宋体" w:cs="宋体"/>
                <w:spacing w:val="-13"/>
                <w:sz w:val="24"/>
                <w:szCs w:val="24"/>
              </w:rPr>
            </w:pPr>
            <w:r>
              <w:rPr>
                <w:rFonts w:hint="eastAsia" w:ascii="宋体" w:hAnsi="宋体" w:eastAsia="宋体" w:cs="宋体"/>
                <w:spacing w:val="-13"/>
                <w:sz w:val="24"/>
                <w:szCs w:val="24"/>
              </w:rPr>
              <w:t>自202</w:t>
            </w:r>
            <w:r>
              <w:rPr>
                <w:rFonts w:hint="eastAsia" w:cs="宋体"/>
                <w:spacing w:val="-13"/>
                <w:sz w:val="24"/>
                <w:szCs w:val="24"/>
                <w:lang w:val="en-US" w:eastAsia="zh-CN"/>
              </w:rPr>
              <w:t>5</w:t>
            </w:r>
            <w:r>
              <w:rPr>
                <w:rFonts w:hint="eastAsia" w:ascii="宋体" w:hAnsi="宋体" w:eastAsia="宋体" w:cs="宋体"/>
                <w:spacing w:val="-13"/>
                <w:sz w:val="24"/>
                <w:szCs w:val="24"/>
              </w:rPr>
              <w:t>年1月1日以来已缴纳的至少一个月的纳税证明或完税证明，纳税证明或完税证明上应有代收机构或税务机关的公章或业务专用章。依法免税的供应商应提供相关文件证明；</w:t>
            </w:r>
          </w:p>
        </w:tc>
      </w:tr>
      <w:tr w14:paraId="56160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1008" w:type="dxa"/>
            <w:noWrap/>
            <w:vAlign w:val="center"/>
          </w:tcPr>
          <w:p w14:paraId="10637B1D">
            <w:pPr>
              <w:pStyle w:val="70"/>
              <w:autoSpaceDE w:val="0"/>
              <w:autoSpaceDN w:val="0"/>
              <w:ind w:left="122" w:right="113"/>
              <w:jc w:val="center"/>
              <w:rPr>
                <w:rFonts w:hint="eastAsia" w:ascii="宋体" w:hAnsi="宋体" w:eastAsia="宋体" w:cs="宋体"/>
                <w:b/>
                <w:lang w:eastAsia="zh-CN"/>
              </w:rPr>
            </w:pPr>
            <w:r>
              <w:rPr>
                <w:rFonts w:hint="eastAsia" w:ascii="宋体" w:hAnsi="宋体" w:eastAsia="宋体" w:cs="宋体"/>
                <w:b/>
                <w:lang w:val="en-US" w:eastAsia="zh-CN"/>
              </w:rPr>
              <w:t>7</w:t>
            </w:r>
          </w:p>
        </w:tc>
        <w:tc>
          <w:tcPr>
            <w:tcW w:w="1974" w:type="dxa"/>
            <w:noWrap/>
            <w:vAlign w:val="center"/>
          </w:tcPr>
          <w:p w14:paraId="0CD3D340">
            <w:pPr>
              <w:pStyle w:val="70"/>
              <w:autoSpaceDE w:val="0"/>
              <w:autoSpaceDN w:val="0"/>
              <w:ind w:left="122" w:right="113"/>
              <w:jc w:val="center"/>
              <w:rPr>
                <w:rFonts w:hint="eastAsia" w:ascii="宋体" w:hAnsi="宋体" w:eastAsia="宋体" w:cs="宋体"/>
                <w:b/>
                <w:lang w:eastAsia="zh-CN"/>
              </w:rPr>
            </w:pPr>
            <w:r>
              <w:rPr>
                <w:rFonts w:hint="eastAsia" w:ascii="宋体" w:hAnsi="宋体" w:eastAsia="宋体" w:cs="宋体"/>
                <w:b/>
                <w:lang w:eastAsia="zh-CN"/>
              </w:rPr>
              <w:t>信誉截图</w:t>
            </w:r>
          </w:p>
        </w:tc>
        <w:tc>
          <w:tcPr>
            <w:tcW w:w="6477" w:type="dxa"/>
            <w:noWrap/>
            <w:vAlign w:val="center"/>
          </w:tcPr>
          <w:p w14:paraId="4CBA782B">
            <w:pPr>
              <w:pStyle w:val="70"/>
              <w:spacing w:line="374" w:lineRule="auto"/>
              <w:ind w:right="44"/>
              <w:jc w:val="left"/>
              <w:rPr>
                <w:rFonts w:hint="eastAsia" w:ascii="宋体" w:hAnsi="宋体" w:eastAsia="宋体" w:cs="宋体"/>
                <w:spacing w:val="-13"/>
                <w:sz w:val="24"/>
                <w:szCs w:val="24"/>
              </w:rPr>
            </w:pPr>
            <w:r>
              <w:rPr>
                <w:rFonts w:hint="eastAsia" w:ascii="宋体" w:hAnsi="宋体" w:eastAsia="宋体" w:cs="宋体"/>
                <w:spacing w:val="-13"/>
                <w:sz w:val="24"/>
                <w:szCs w:val="24"/>
              </w:rPr>
              <w:t>通过中国政府采购网（www.ccgp.gov.cn）和“信用中国”网站(www.creditchina.gov.cn)查询相关主体无失信记录（网站查询的截图，加盖企业公章）以及参加政府采购活动前3年内在经营活动中没有重大违法记录的书面声明；</w:t>
            </w:r>
          </w:p>
        </w:tc>
      </w:tr>
      <w:tr w14:paraId="2E632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008" w:type="dxa"/>
            <w:noWrap/>
            <w:vAlign w:val="center"/>
          </w:tcPr>
          <w:p w14:paraId="4B4A46D0">
            <w:pPr>
              <w:pStyle w:val="70"/>
              <w:autoSpaceDE w:val="0"/>
              <w:autoSpaceDN w:val="0"/>
              <w:ind w:left="122" w:right="113"/>
              <w:jc w:val="center"/>
              <w:rPr>
                <w:rFonts w:hint="eastAsia" w:ascii="宋体" w:hAnsi="宋体" w:eastAsia="宋体" w:cs="宋体"/>
                <w:b/>
                <w:lang w:val="en-US" w:eastAsia="zh-CN"/>
              </w:rPr>
            </w:pPr>
            <w:r>
              <w:rPr>
                <w:rFonts w:hint="eastAsia" w:ascii="宋体" w:hAnsi="宋体" w:eastAsia="宋体" w:cs="宋体"/>
                <w:b/>
                <w:lang w:val="en-US" w:eastAsia="zh-CN"/>
              </w:rPr>
              <w:t>8</w:t>
            </w:r>
          </w:p>
        </w:tc>
        <w:tc>
          <w:tcPr>
            <w:tcW w:w="1974" w:type="dxa"/>
            <w:noWrap/>
            <w:vAlign w:val="center"/>
          </w:tcPr>
          <w:p w14:paraId="19E3F3FF">
            <w:pPr>
              <w:pStyle w:val="70"/>
              <w:autoSpaceDE w:val="0"/>
              <w:autoSpaceDN w:val="0"/>
              <w:ind w:left="122" w:right="113"/>
              <w:jc w:val="center"/>
              <w:rPr>
                <w:rFonts w:hint="eastAsia" w:ascii="宋体" w:hAnsi="宋体" w:eastAsia="宋体" w:cs="宋体"/>
                <w:b/>
                <w:lang w:eastAsia="zh-CN"/>
              </w:rPr>
            </w:pPr>
            <w:r>
              <w:rPr>
                <w:rFonts w:hint="eastAsia" w:ascii="宋体" w:hAnsi="宋体" w:eastAsia="宋体" w:cs="宋体"/>
                <w:b/>
                <w:lang w:eastAsia="zh-CN"/>
              </w:rPr>
              <w:t>中小企业声明函</w:t>
            </w:r>
          </w:p>
        </w:tc>
        <w:tc>
          <w:tcPr>
            <w:tcW w:w="6477" w:type="dxa"/>
            <w:noWrap/>
            <w:vAlign w:val="center"/>
          </w:tcPr>
          <w:p w14:paraId="4C072E38">
            <w:pPr>
              <w:pStyle w:val="70"/>
              <w:spacing w:line="374" w:lineRule="auto"/>
              <w:ind w:right="44"/>
              <w:jc w:val="left"/>
              <w:rPr>
                <w:rFonts w:hint="eastAsia" w:ascii="宋体" w:hAnsi="宋体" w:eastAsia="宋体" w:cs="宋体"/>
                <w:spacing w:val="-13"/>
                <w:sz w:val="24"/>
                <w:szCs w:val="24"/>
              </w:rPr>
            </w:pPr>
            <w:r>
              <w:rPr>
                <w:rFonts w:hint="eastAsia" w:ascii="宋体" w:hAnsi="宋体" w:eastAsia="宋体" w:cs="宋体"/>
                <w:spacing w:val="-13"/>
                <w:sz w:val="24"/>
                <w:szCs w:val="24"/>
              </w:rPr>
              <w:t>供应商应提供中小企业声明函或残疾人福利性单位声明函或监狱企业证明文件；</w:t>
            </w:r>
          </w:p>
        </w:tc>
      </w:tr>
      <w:tr w14:paraId="5C713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1008" w:type="dxa"/>
            <w:noWrap/>
            <w:vAlign w:val="center"/>
          </w:tcPr>
          <w:p w14:paraId="3DB22910">
            <w:pPr>
              <w:pStyle w:val="70"/>
              <w:autoSpaceDE w:val="0"/>
              <w:autoSpaceDN w:val="0"/>
              <w:ind w:left="122" w:right="113"/>
              <w:jc w:val="center"/>
              <w:rPr>
                <w:rFonts w:hint="eastAsia" w:ascii="宋体" w:hAnsi="宋体" w:eastAsia="宋体" w:cs="宋体"/>
                <w:b/>
                <w:lang w:val="en-US" w:eastAsia="zh-CN"/>
              </w:rPr>
            </w:pPr>
            <w:r>
              <w:rPr>
                <w:rFonts w:hint="eastAsia" w:ascii="宋体" w:hAnsi="宋体" w:eastAsia="宋体" w:cs="宋体"/>
                <w:b/>
                <w:lang w:val="en-US" w:eastAsia="zh-CN"/>
              </w:rPr>
              <w:t>9</w:t>
            </w:r>
          </w:p>
        </w:tc>
        <w:tc>
          <w:tcPr>
            <w:tcW w:w="1974" w:type="dxa"/>
            <w:noWrap/>
            <w:vAlign w:val="center"/>
          </w:tcPr>
          <w:p w14:paraId="689BC224">
            <w:pPr>
              <w:pStyle w:val="70"/>
              <w:autoSpaceDE w:val="0"/>
              <w:autoSpaceDN w:val="0"/>
              <w:ind w:left="122" w:right="113"/>
              <w:jc w:val="center"/>
              <w:rPr>
                <w:rFonts w:hint="eastAsia" w:ascii="宋体" w:hAnsi="宋体" w:eastAsia="宋体" w:cs="宋体"/>
                <w:b/>
              </w:rPr>
            </w:pPr>
            <w:r>
              <w:rPr>
                <w:rFonts w:hint="eastAsia" w:ascii="宋体" w:hAnsi="宋体" w:eastAsia="宋体" w:cs="宋体"/>
                <w:b/>
              </w:rPr>
              <w:t>非联合体投标</w:t>
            </w:r>
          </w:p>
        </w:tc>
        <w:tc>
          <w:tcPr>
            <w:tcW w:w="6477" w:type="dxa"/>
            <w:noWrap/>
            <w:vAlign w:val="center"/>
          </w:tcPr>
          <w:p w14:paraId="2210E5DB">
            <w:pPr>
              <w:pStyle w:val="70"/>
              <w:spacing w:line="374" w:lineRule="auto"/>
              <w:ind w:right="44"/>
              <w:jc w:val="left"/>
              <w:rPr>
                <w:rFonts w:hint="eastAsia" w:ascii="宋体" w:hAnsi="宋体" w:eastAsia="宋体" w:cs="宋体"/>
                <w:spacing w:val="-13"/>
                <w:sz w:val="24"/>
                <w:szCs w:val="24"/>
              </w:rPr>
            </w:pPr>
            <w:r>
              <w:rPr>
                <w:rFonts w:hint="eastAsia" w:ascii="宋体" w:hAnsi="宋体" w:eastAsia="宋体" w:cs="宋体"/>
                <w:spacing w:val="-13"/>
                <w:sz w:val="24"/>
                <w:szCs w:val="24"/>
                <w:lang w:val="en-US" w:eastAsia="zh-CN"/>
              </w:rPr>
              <w:t>本项目不接受联合体投标。</w:t>
            </w:r>
          </w:p>
        </w:tc>
      </w:tr>
      <w:tr w14:paraId="72843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9459" w:type="dxa"/>
            <w:gridSpan w:val="3"/>
            <w:noWrap/>
          </w:tcPr>
          <w:p w14:paraId="5170CD5A">
            <w:pPr>
              <w:pStyle w:val="70"/>
              <w:spacing w:before="138"/>
              <w:jc w:val="center"/>
              <w:rPr>
                <w:rFonts w:hint="eastAsia" w:ascii="宋体" w:hAnsi="宋体" w:eastAsia="宋体" w:cs="宋体"/>
                <w:b/>
              </w:rPr>
            </w:pPr>
            <w:r>
              <w:rPr>
                <w:rFonts w:hint="eastAsia" w:ascii="宋体" w:hAnsi="宋体" w:eastAsia="宋体" w:cs="宋体"/>
                <w:b/>
              </w:rPr>
              <w:t>资格审查由采购人代表进行审查。</w:t>
            </w:r>
          </w:p>
        </w:tc>
      </w:tr>
    </w:tbl>
    <w:p w14:paraId="326E6C22">
      <w:pPr>
        <w:pStyle w:val="7"/>
        <w:keepNext w:val="0"/>
        <w:keepLines w:val="0"/>
        <w:autoSpaceDE w:val="0"/>
        <w:autoSpaceDN w:val="0"/>
        <w:adjustRightInd w:val="0"/>
        <w:snapToGrid w:val="0"/>
        <w:spacing w:line="500" w:lineRule="exact"/>
        <w:ind w:left="420" w:leftChars="200"/>
        <w:jc w:val="left"/>
        <w:rPr>
          <w:rFonts w:hint="eastAsia" w:ascii="宋体" w:hAnsi="宋体" w:eastAsia="宋体" w:cs="宋体"/>
        </w:rPr>
      </w:pPr>
      <w:r>
        <w:rPr>
          <w:rFonts w:hint="eastAsia" w:ascii="宋体" w:hAnsi="宋体" w:eastAsia="宋体" w:cs="宋体"/>
        </w:rPr>
        <w:t>2、符合性审查</w:t>
      </w:r>
    </w:p>
    <w:tbl>
      <w:tblPr>
        <w:tblStyle w:val="28"/>
        <w:tblpPr w:leftFromText="180" w:rightFromText="180" w:vertAnchor="text" w:horzAnchor="page" w:tblpX="1098" w:tblpY="66"/>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9"/>
        <w:gridCol w:w="7312"/>
        <w:gridCol w:w="1398"/>
      </w:tblGrid>
      <w:tr w14:paraId="068DA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49" w:type="dxa"/>
            <w:noWrap/>
            <w:vAlign w:val="center"/>
          </w:tcPr>
          <w:p w14:paraId="096968B0">
            <w:pPr>
              <w:pStyle w:val="70"/>
              <w:ind w:right="166"/>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7312" w:type="dxa"/>
            <w:noWrap/>
            <w:vAlign w:val="center"/>
          </w:tcPr>
          <w:p w14:paraId="7D333C41">
            <w:pPr>
              <w:pStyle w:val="70"/>
              <w:tabs>
                <w:tab w:val="left" w:pos="4200"/>
              </w:tabs>
              <w:ind w:left="3225" w:right="2262" w:rightChars="0"/>
              <w:jc w:val="center"/>
              <w:rPr>
                <w:rFonts w:hint="eastAsia" w:ascii="宋体" w:hAnsi="宋体" w:eastAsia="宋体" w:cs="宋体"/>
                <w:b/>
                <w:sz w:val="24"/>
                <w:szCs w:val="24"/>
                <w:lang w:eastAsia="zh-CN"/>
              </w:rPr>
            </w:pPr>
            <w:r>
              <w:rPr>
                <w:rFonts w:hint="eastAsia" w:ascii="宋体" w:hAnsi="宋体" w:eastAsia="宋体" w:cs="宋体"/>
                <w:b/>
                <w:sz w:val="24"/>
                <w:szCs w:val="24"/>
              </w:rPr>
              <w:t>审查</w:t>
            </w:r>
            <w:r>
              <w:rPr>
                <w:rFonts w:hint="eastAsia" w:ascii="宋体" w:hAnsi="宋体" w:eastAsia="宋体" w:cs="宋体"/>
                <w:b/>
                <w:sz w:val="24"/>
                <w:szCs w:val="24"/>
                <w:lang w:eastAsia="zh-CN"/>
              </w:rPr>
              <w:t>因素</w:t>
            </w:r>
          </w:p>
        </w:tc>
        <w:tc>
          <w:tcPr>
            <w:tcW w:w="1398" w:type="dxa"/>
            <w:noWrap/>
            <w:vAlign w:val="center"/>
          </w:tcPr>
          <w:p w14:paraId="7FC966CF">
            <w:pPr>
              <w:pStyle w:val="70"/>
              <w:ind w:left="108" w:right="113"/>
              <w:jc w:val="center"/>
              <w:rPr>
                <w:rFonts w:hint="eastAsia" w:ascii="宋体" w:hAnsi="宋体" w:eastAsia="宋体" w:cs="宋体"/>
                <w:b/>
                <w:sz w:val="24"/>
                <w:szCs w:val="24"/>
              </w:rPr>
            </w:pPr>
            <w:r>
              <w:rPr>
                <w:rFonts w:hint="eastAsia" w:ascii="宋体" w:hAnsi="宋体" w:eastAsia="宋体" w:cs="宋体"/>
                <w:b/>
                <w:sz w:val="24"/>
                <w:szCs w:val="24"/>
              </w:rPr>
              <w:t>审核标准</w:t>
            </w:r>
          </w:p>
        </w:tc>
      </w:tr>
      <w:tr w14:paraId="3DAE6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849" w:type="dxa"/>
            <w:noWrap/>
            <w:vAlign w:val="center"/>
          </w:tcPr>
          <w:p w14:paraId="726B7DCB">
            <w:pPr>
              <w:pStyle w:val="70"/>
              <w:autoSpaceDE w:val="0"/>
              <w:autoSpaceDN w:val="0"/>
              <w:ind w:left="122" w:right="113"/>
              <w:jc w:val="center"/>
              <w:rPr>
                <w:rFonts w:hint="eastAsia" w:ascii="宋体" w:hAnsi="宋体" w:eastAsia="宋体" w:cs="宋体"/>
                <w:b/>
              </w:rPr>
            </w:pPr>
            <w:r>
              <w:rPr>
                <w:rFonts w:hint="eastAsia" w:ascii="宋体" w:hAnsi="宋体" w:eastAsia="宋体" w:cs="宋体"/>
                <w:b/>
              </w:rPr>
              <w:t>1</w:t>
            </w:r>
          </w:p>
        </w:tc>
        <w:tc>
          <w:tcPr>
            <w:tcW w:w="7312" w:type="dxa"/>
            <w:noWrap/>
            <w:vAlign w:val="center"/>
          </w:tcPr>
          <w:p w14:paraId="2DED5703">
            <w:pPr>
              <w:pStyle w:val="70"/>
              <w:jc w:val="center"/>
              <w:rPr>
                <w:rFonts w:hint="eastAsia" w:ascii="宋体" w:hAnsi="宋体" w:eastAsia="宋体" w:cs="宋体"/>
                <w:sz w:val="24"/>
                <w:szCs w:val="24"/>
              </w:rPr>
            </w:pPr>
            <w:r>
              <w:rPr>
                <w:rFonts w:hint="eastAsia" w:ascii="宋体" w:hAnsi="宋体" w:eastAsia="宋体" w:cs="宋体"/>
                <w:sz w:val="24"/>
                <w:szCs w:val="24"/>
              </w:rPr>
              <w:t>投标文件项目名称、项目编号与磋商文件一致；</w:t>
            </w:r>
          </w:p>
        </w:tc>
        <w:tc>
          <w:tcPr>
            <w:tcW w:w="1398" w:type="dxa"/>
            <w:noWrap/>
            <w:vAlign w:val="center"/>
          </w:tcPr>
          <w:p w14:paraId="504FA689">
            <w:pPr>
              <w:pStyle w:val="70"/>
              <w:ind w:left="108" w:right="100"/>
              <w:jc w:val="center"/>
              <w:rPr>
                <w:rFonts w:hint="eastAsia" w:ascii="宋体" w:hAnsi="宋体" w:eastAsia="宋体" w:cs="宋体"/>
                <w:b/>
                <w:sz w:val="22"/>
                <w:szCs w:val="24"/>
              </w:rPr>
            </w:pPr>
            <w:r>
              <w:rPr>
                <w:rFonts w:hint="eastAsia" w:ascii="宋体" w:hAnsi="宋体" w:eastAsia="宋体" w:cs="宋体"/>
                <w:b/>
                <w:sz w:val="22"/>
                <w:szCs w:val="24"/>
              </w:rPr>
              <w:t>是/否</w:t>
            </w:r>
          </w:p>
        </w:tc>
      </w:tr>
      <w:tr w14:paraId="4FE34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849" w:type="dxa"/>
            <w:noWrap/>
            <w:vAlign w:val="center"/>
          </w:tcPr>
          <w:p w14:paraId="05310A40">
            <w:pPr>
              <w:pStyle w:val="70"/>
              <w:autoSpaceDE w:val="0"/>
              <w:autoSpaceDN w:val="0"/>
              <w:ind w:left="122" w:right="113"/>
              <w:jc w:val="center"/>
              <w:rPr>
                <w:rFonts w:hint="eastAsia" w:ascii="宋体" w:hAnsi="宋体" w:eastAsia="宋体" w:cs="宋体"/>
                <w:b/>
              </w:rPr>
            </w:pPr>
            <w:r>
              <w:rPr>
                <w:rFonts w:hint="eastAsia" w:ascii="宋体" w:hAnsi="宋体" w:eastAsia="宋体" w:cs="宋体"/>
                <w:b/>
              </w:rPr>
              <w:t>2</w:t>
            </w:r>
          </w:p>
        </w:tc>
        <w:tc>
          <w:tcPr>
            <w:tcW w:w="7312" w:type="dxa"/>
            <w:noWrap/>
            <w:vAlign w:val="center"/>
          </w:tcPr>
          <w:p w14:paraId="6ADB4FAC">
            <w:pPr>
              <w:pStyle w:val="70"/>
              <w:spacing w:before="193"/>
              <w:jc w:val="center"/>
              <w:rPr>
                <w:rFonts w:hint="eastAsia" w:ascii="宋体" w:hAnsi="宋体" w:eastAsia="宋体" w:cs="宋体"/>
                <w:sz w:val="24"/>
                <w:szCs w:val="24"/>
              </w:rPr>
            </w:pPr>
            <w:r>
              <w:rPr>
                <w:rFonts w:hint="eastAsia" w:ascii="宋体" w:hAnsi="宋体" w:eastAsia="宋体" w:cs="宋体"/>
                <w:sz w:val="24"/>
                <w:szCs w:val="24"/>
              </w:rPr>
              <w:t>签署、盖章符合磋商文件要求，且无遗漏；</w:t>
            </w:r>
          </w:p>
        </w:tc>
        <w:tc>
          <w:tcPr>
            <w:tcW w:w="1398" w:type="dxa"/>
            <w:noWrap/>
            <w:vAlign w:val="center"/>
          </w:tcPr>
          <w:p w14:paraId="24671426">
            <w:pPr>
              <w:pStyle w:val="70"/>
              <w:spacing w:before="1"/>
              <w:ind w:left="108" w:right="100"/>
              <w:jc w:val="center"/>
              <w:rPr>
                <w:rFonts w:hint="eastAsia" w:ascii="宋体" w:hAnsi="宋体" w:eastAsia="宋体" w:cs="宋体"/>
                <w:b/>
                <w:sz w:val="22"/>
                <w:szCs w:val="24"/>
              </w:rPr>
            </w:pPr>
            <w:r>
              <w:rPr>
                <w:rFonts w:hint="eastAsia" w:ascii="宋体" w:hAnsi="宋体" w:eastAsia="宋体" w:cs="宋体"/>
                <w:b/>
                <w:sz w:val="22"/>
                <w:szCs w:val="24"/>
              </w:rPr>
              <w:t>是/否</w:t>
            </w:r>
          </w:p>
        </w:tc>
      </w:tr>
      <w:tr w14:paraId="1986C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849" w:type="dxa"/>
            <w:noWrap/>
            <w:vAlign w:val="center"/>
          </w:tcPr>
          <w:p w14:paraId="0F28FE75">
            <w:pPr>
              <w:pStyle w:val="70"/>
              <w:autoSpaceDE w:val="0"/>
              <w:autoSpaceDN w:val="0"/>
              <w:ind w:left="122" w:right="113"/>
              <w:jc w:val="center"/>
              <w:rPr>
                <w:rFonts w:hint="eastAsia" w:ascii="宋体" w:hAnsi="宋体" w:eastAsia="宋体" w:cs="宋体"/>
                <w:b/>
              </w:rPr>
            </w:pPr>
            <w:r>
              <w:rPr>
                <w:rFonts w:hint="eastAsia" w:ascii="宋体" w:hAnsi="宋体" w:eastAsia="宋体" w:cs="宋体"/>
                <w:b/>
              </w:rPr>
              <w:t>3</w:t>
            </w:r>
          </w:p>
        </w:tc>
        <w:tc>
          <w:tcPr>
            <w:tcW w:w="7312" w:type="dxa"/>
            <w:noWrap/>
            <w:vAlign w:val="center"/>
          </w:tcPr>
          <w:p w14:paraId="5FFBD1B9">
            <w:pPr>
              <w:pStyle w:val="70"/>
              <w:ind w:left="56"/>
              <w:jc w:val="center"/>
              <w:rPr>
                <w:rFonts w:hint="eastAsia" w:ascii="宋体" w:hAnsi="宋体" w:eastAsia="宋体" w:cs="宋体"/>
                <w:sz w:val="24"/>
                <w:szCs w:val="24"/>
              </w:rPr>
            </w:pPr>
            <w:r>
              <w:rPr>
                <w:rFonts w:hint="eastAsia" w:ascii="宋体" w:hAnsi="宋体" w:eastAsia="宋体" w:cs="宋体"/>
                <w:sz w:val="24"/>
                <w:szCs w:val="24"/>
              </w:rPr>
              <w:t>投标有效期为开标之日起九十（90）个日历日；</w:t>
            </w:r>
          </w:p>
        </w:tc>
        <w:tc>
          <w:tcPr>
            <w:tcW w:w="1398" w:type="dxa"/>
            <w:noWrap/>
            <w:vAlign w:val="center"/>
          </w:tcPr>
          <w:p w14:paraId="2BAE196B">
            <w:pPr>
              <w:pStyle w:val="70"/>
              <w:ind w:left="108" w:right="100"/>
              <w:jc w:val="center"/>
              <w:rPr>
                <w:rFonts w:hint="eastAsia" w:ascii="宋体" w:hAnsi="宋体" w:eastAsia="宋体" w:cs="宋体"/>
                <w:b/>
                <w:sz w:val="22"/>
                <w:szCs w:val="24"/>
              </w:rPr>
            </w:pPr>
            <w:r>
              <w:rPr>
                <w:rFonts w:hint="eastAsia" w:ascii="宋体" w:hAnsi="宋体" w:eastAsia="宋体" w:cs="宋体"/>
                <w:b/>
                <w:sz w:val="22"/>
                <w:szCs w:val="24"/>
              </w:rPr>
              <w:t>是/否</w:t>
            </w:r>
          </w:p>
        </w:tc>
      </w:tr>
      <w:tr w14:paraId="157C1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849" w:type="dxa"/>
            <w:noWrap/>
            <w:vAlign w:val="center"/>
          </w:tcPr>
          <w:p w14:paraId="16BED801">
            <w:pPr>
              <w:pStyle w:val="70"/>
              <w:autoSpaceDE w:val="0"/>
              <w:autoSpaceDN w:val="0"/>
              <w:ind w:left="122" w:right="113"/>
              <w:jc w:val="center"/>
              <w:rPr>
                <w:rFonts w:hint="eastAsia" w:ascii="宋体" w:hAnsi="宋体" w:eastAsia="宋体" w:cs="宋体"/>
                <w:b/>
              </w:rPr>
            </w:pPr>
            <w:r>
              <w:rPr>
                <w:rFonts w:hint="eastAsia" w:ascii="宋体" w:hAnsi="宋体" w:eastAsia="宋体" w:cs="宋体"/>
                <w:b/>
              </w:rPr>
              <w:t>4</w:t>
            </w:r>
          </w:p>
        </w:tc>
        <w:tc>
          <w:tcPr>
            <w:tcW w:w="7312" w:type="dxa"/>
            <w:noWrap/>
            <w:vAlign w:val="center"/>
          </w:tcPr>
          <w:p w14:paraId="33E6A269">
            <w:pPr>
              <w:pStyle w:val="70"/>
              <w:spacing w:line="374" w:lineRule="auto"/>
              <w:ind w:right="44"/>
              <w:jc w:val="center"/>
              <w:rPr>
                <w:rFonts w:hint="eastAsia" w:ascii="宋体" w:hAnsi="宋体" w:eastAsia="宋体" w:cs="宋体"/>
                <w:spacing w:val="-3"/>
                <w:sz w:val="24"/>
                <w:szCs w:val="24"/>
              </w:rPr>
            </w:pPr>
            <w:r>
              <w:rPr>
                <w:rFonts w:hint="eastAsia" w:ascii="宋体" w:hAnsi="宋体" w:eastAsia="宋体" w:cs="宋体"/>
                <w:spacing w:val="-13"/>
                <w:sz w:val="24"/>
                <w:szCs w:val="24"/>
              </w:rPr>
              <w:t>报价同时满足以下条款：</w:t>
            </w:r>
            <w:r>
              <w:rPr>
                <w:rFonts w:hint="eastAsia" w:ascii="宋体" w:hAnsi="宋体" w:eastAsia="宋体" w:cs="宋体"/>
                <w:spacing w:val="-3"/>
                <w:sz w:val="24"/>
                <w:szCs w:val="24"/>
              </w:rPr>
              <w:t>（1）投标报价符合唯一性要求；（2）开标一览</w:t>
            </w:r>
          </w:p>
          <w:p w14:paraId="7AB88388">
            <w:pPr>
              <w:pStyle w:val="70"/>
              <w:spacing w:line="374" w:lineRule="auto"/>
              <w:ind w:right="44"/>
              <w:jc w:val="both"/>
              <w:rPr>
                <w:rFonts w:hint="eastAsia" w:ascii="宋体" w:hAnsi="宋体" w:eastAsia="宋体" w:cs="宋体"/>
                <w:sz w:val="24"/>
                <w:szCs w:val="24"/>
              </w:rPr>
            </w:pPr>
            <w:r>
              <w:rPr>
                <w:rFonts w:hint="eastAsia" w:ascii="宋体" w:hAnsi="宋体" w:eastAsia="宋体" w:cs="宋体"/>
                <w:spacing w:val="-3"/>
                <w:sz w:val="24"/>
                <w:szCs w:val="24"/>
              </w:rPr>
              <w:t>表填写符合要求；（3）报价货币符合磋商文件要求；（4）未超出磋商文件规定的最高限价；</w:t>
            </w:r>
          </w:p>
        </w:tc>
        <w:tc>
          <w:tcPr>
            <w:tcW w:w="1398" w:type="dxa"/>
            <w:noWrap/>
            <w:vAlign w:val="center"/>
          </w:tcPr>
          <w:p w14:paraId="467C0902">
            <w:pPr>
              <w:pStyle w:val="70"/>
              <w:jc w:val="center"/>
              <w:rPr>
                <w:rFonts w:hint="eastAsia" w:ascii="宋体" w:hAnsi="宋体" w:eastAsia="宋体" w:cs="宋体"/>
                <w:sz w:val="21"/>
                <w:szCs w:val="24"/>
              </w:rPr>
            </w:pPr>
          </w:p>
          <w:p w14:paraId="7815C694">
            <w:pPr>
              <w:pStyle w:val="70"/>
              <w:spacing w:before="1"/>
              <w:ind w:left="108" w:right="100"/>
              <w:jc w:val="center"/>
              <w:rPr>
                <w:rFonts w:hint="eastAsia" w:ascii="宋体" w:hAnsi="宋体" w:eastAsia="宋体" w:cs="宋体"/>
                <w:b/>
                <w:sz w:val="22"/>
                <w:szCs w:val="24"/>
              </w:rPr>
            </w:pPr>
            <w:r>
              <w:rPr>
                <w:rFonts w:hint="eastAsia" w:ascii="宋体" w:hAnsi="宋体" w:eastAsia="宋体" w:cs="宋体"/>
                <w:b/>
                <w:sz w:val="22"/>
                <w:szCs w:val="24"/>
              </w:rPr>
              <w:t>是/否</w:t>
            </w:r>
          </w:p>
        </w:tc>
      </w:tr>
      <w:tr w14:paraId="514A4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9559" w:type="dxa"/>
            <w:gridSpan w:val="3"/>
            <w:noWrap/>
          </w:tcPr>
          <w:p w14:paraId="0E10C81F">
            <w:pPr>
              <w:pStyle w:val="70"/>
              <w:spacing w:before="1"/>
              <w:ind w:right="1325"/>
              <w:rPr>
                <w:rFonts w:hint="eastAsia" w:ascii="宋体" w:hAnsi="宋体" w:eastAsia="宋体" w:cs="宋体"/>
                <w:b/>
                <w:sz w:val="28"/>
                <w:szCs w:val="24"/>
              </w:rPr>
            </w:pPr>
            <w:r>
              <w:rPr>
                <w:rFonts w:hint="eastAsia" w:ascii="宋体" w:hAnsi="宋体" w:eastAsia="宋体" w:cs="宋体"/>
                <w:b/>
                <w:sz w:val="24"/>
                <w:szCs w:val="22"/>
              </w:rPr>
              <w:t>符合性审查不合格的供应商不得进入下一评审环节。</w:t>
            </w:r>
          </w:p>
        </w:tc>
      </w:tr>
    </w:tbl>
    <w:p w14:paraId="7D292770">
      <w:pPr>
        <w:pStyle w:val="71"/>
        <w:tabs>
          <w:tab w:val="left" w:pos="1336"/>
        </w:tabs>
        <w:spacing w:before="175" w:line="396" w:lineRule="auto"/>
        <w:ind w:left="0" w:leftChars="0" w:right="-220" w:firstLine="488" w:firstLineChars="200"/>
        <w:jc w:val="left"/>
        <w:rPr>
          <w:rFonts w:hint="eastAsia" w:ascii="宋体" w:hAnsi="宋体" w:eastAsia="宋体" w:cs="宋体"/>
          <w:sz w:val="24"/>
        </w:rPr>
      </w:pPr>
      <w:r>
        <w:rPr>
          <w:rFonts w:hint="eastAsia" w:ascii="宋体" w:hAnsi="宋体" w:eastAsia="宋体" w:cs="宋体"/>
          <w:spacing w:val="2"/>
          <w:sz w:val="24"/>
          <w:lang w:val="en-US" w:eastAsia="zh-CN"/>
        </w:rPr>
        <w:t>2</w:t>
      </w:r>
      <w:r>
        <w:rPr>
          <w:rFonts w:hint="eastAsia" w:ascii="宋体" w:hAnsi="宋体" w:eastAsia="宋体" w:cs="宋体"/>
          <w:spacing w:val="2"/>
          <w:sz w:val="24"/>
          <w:lang w:val="en-US"/>
        </w:rPr>
        <w:t>.1</w:t>
      </w:r>
      <w:r>
        <w:rPr>
          <w:rFonts w:hint="eastAsia" w:ascii="宋体" w:hAnsi="宋体" w:eastAsia="宋体" w:cs="宋体"/>
          <w:spacing w:val="2"/>
          <w:sz w:val="24"/>
          <w:lang w:val="en-US" w:eastAsia="zh-CN"/>
        </w:rPr>
        <w:t>.</w:t>
      </w:r>
      <w:r>
        <w:rPr>
          <w:rFonts w:hint="eastAsia" w:ascii="宋体" w:hAnsi="宋体" w:eastAsia="宋体" w:cs="宋体"/>
          <w:spacing w:val="2"/>
          <w:sz w:val="24"/>
        </w:rPr>
        <w:t>经供应商及响应文件的资格性和符合性审查，出现下列情况者（但不限于），</w:t>
      </w:r>
      <w:r>
        <w:rPr>
          <w:rFonts w:hint="eastAsia" w:ascii="宋体" w:hAnsi="宋体" w:eastAsia="宋体" w:cs="宋体"/>
          <w:spacing w:val="1"/>
          <w:sz w:val="24"/>
        </w:rPr>
        <w:t>按无效文件处理。</w:t>
      </w:r>
    </w:p>
    <w:p w14:paraId="1671672E">
      <w:pPr>
        <w:pStyle w:val="71"/>
        <w:numPr>
          <w:ilvl w:val="0"/>
          <w:numId w:val="2"/>
        </w:numPr>
        <w:tabs>
          <w:tab w:val="left" w:pos="1637"/>
        </w:tabs>
        <w:spacing w:before="5" w:line="396" w:lineRule="auto"/>
        <w:ind w:left="90" w:leftChars="43" w:firstLine="343" w:firstLineChars="143"/>
        <w:jc w:val="left"/>
        <w:rPr>
          <w:rFonts w:hint="eastAsia" w:ascii="宋体" w:hAnsi="宋体" w:eastAsia="宋体" w:cs="宋体"/>
          <w:spacing w:val="-3"/>
          <w:sz w:val="24"/>
        </w:rPr>
      </w:pPr>
      <w:r>
        <w:rPr>
          <w:rFonts w:hint="eastAsia" w:ascii="宋体" w:hAnsi="宋体" w:eastAsia="宋体" w:cs="宋体"/>
          <w:sz w:val="24"/>
        </w:rPr>
        <w:t>供应商没有经过正常渠道领取磋商文件或供应商的名称与登记领取磋商文件单</w:t>
      </w:r>
      <w:r>
        <w:rPr>
          <w:rFonts w:hint="eastAsia" w:ascii="宋体" w:hAnsi="宋体" w:eastAsia="宋体" w:cs="宋体"/>
          <w:spacing w:val="-3"/>
          <w:sz w:val="24"/>
        </w:rPr>
        <w:t>位的名称不符。</w:t>
      </w:r>
    </w:p>
    <w:p w14:paraId="17F6DFC3">
      <w:pPr>
        <w:pStyle w:val="71"/>
        <w:numPr>
          <w:ilvl w:val="0"/>
          <w:numId w:val="2"/>
        </w:numPr>
        <w:tabs>
          <w:tab w:val="left" w:pos="1637"/>
        </w:tabs>
        <w:spacing w:before="5" w:line="396" w:lineRule="auto"/>
        <w:ind w:left="92" w:leftChars="44" w:right="830" w:firstLine="340" w:firstLineChars="142"/>
        <w:jc w:val="left"/>
        <w:rPr>
          <w:rFonts w:hint="eastAsia" w:ascii="宋体" w:hAnsi="宋体" w:eastAsia="宋体" w:cs="宋体"/>
          <w:sz w:val="24"/>
        </w:rPr>
      </w:pPr>
      <w:r>
        <w:rPr>
          <w:rFonts w:hint="eastAsia" w:ascii="宋体" w:hAnsi="宋体" w:eastAsia="宋体" w:cs="宋体"/>
          <w:sz w:val="24"/>
        </w:rPr>
        <w:t>供应商的招标报价超出采购预算的。</w:t>
      </w:r>
    </w:p>
    <w:p w14:paraId="2DE8DEEE">
      <w:pPr>
        <w:pStyle w:val="71"/>
        <w:numPr>
          <w:ilvl w:val="0"/>
          <w:numId w:val="2"/>
        </w:numPr>
        <w:tabs>
          <w:tab w:val="left" w:pos="1637"/>
        </w:tabs>
        <w:spacing w:before="5" w:line="396" w:lineRule="auto"/>
        <w:ind w:left="92" w:leftChars="44" w:right="70" w:firstLine="340" w:firstLineChars="142"/>
        <w:jc w:val="left"/>
        <w:rPr>
          <w:rFonts w:hint="eastAsia" w:ascii="宋体" w:hAnsi="宋体" w:eastAsia="宋体" w:cs="宋体"/>
          <w:sz w:val="24"/>
        </w:rPr>
      </w:pPr>
      <w:r>
        <w:rPr>
          <w:rFonts w:hint="eastAsia" w:ascii="宋体" w:hAnsi="宋体" w:eastAsia="宋体" w:cs="宋体"/>
          <w:sz w:val="24"/>
        </w:rPr>
        <w:t>招标响应文件中未提交法定代表人授权书（法定代表人直接参加招标未按要求</w:t>
      </w:r>
      <w:r>
        <w:rPr>
          <w:rFonts w:hint="eastAsia" w:ascii="宋体" w:hAnsi="宋体" w:eastAsia="宋体" w:cs="宋体"/>
          <w:spacing w:val="-3"/>
          <w:sz w:val="24"/>
        </w:rPr>
        <w:t>提交其有效身份证</w:t>
      </w:r>
      <w:r>
        <w:rPr>
          <w:rFonts w:hint="eastAsia" w:ascii="宋体" w:hAnsi="宋体" w:eastAsia="宋体" w:cs="宋体"/>
          <w:sz w:val="24"/>
        </w:rPr>
        <w:t>）或授权书的合法性或有效性不符合磋商文件规定。授权代表本单位证明的有效性或符合性不符合要求的。</w:t>
      </w:r>
    </w:p>
    <w:p w14:paraId="43D7E70F">
      <w:pPr>
        <w:pStyle w:val="71"/>
        <w:numPr>
          <w:ilvl w:val="0"/>
          <w:numId w:val="2"/>
        </w:numPr>
        <w:tabs>
          <w:tab w:val="left" w:pos="1637"/>
        </w:tabs>
        <w:spacing w:before="5" w:line="396" w:lineRule="auto"/>
        <w:ind w:left="92" w:leftChars="44" w:right="830" w:firstLine="340" w:firstLineChars="142"/>
        <w:jc w:val="left"/>
        <w:rPr>
          <w:rFonts w:hint="eastAsia" w:ascii="宋体" w:hAnsi="宋体" w:eastAsia="宋体" w:cs="宋体"/>
          <w:sz w:val="24"/>
        </w:rPr>
      </w:pPr>
      <w:r>
        <w:rPr>
          <w:rFonts w:hint="eastAsia" w:ascii="宋体" w:hAnsi="宋体" w:eastAsia="宋体" w:cs="宋体"/>
          <w:sz w:val="24"/>
        </w:rPr>
        <w:t>合格供应商要求证明文件的有效性或符合性不符合要求的。</w:t>
      </w:r>
    </w:p>
    <w:p w14:paraId="7152C7CB">
      <w:pPr>
        <w:pStyle w:val="71"/>
        <w:numPr>
          <w:ilvl w:val="0"/>
          <w:numId w:val="2"/>
        </w:numPr>
        <w:tabs>
          <w:tab w:val="left" w:pos="1637"/>
        </w:tabs>
        <w:spacing w:before="5" w:line="396" w:lineRule="auto"/>
        <w:ind w:left="92" w:leftChars="44" w:firstLine="340" w:firstLineChars="142"/>
        <w:jc w:val="left"/>
        <w:rPr>
          <w:rFonts w:hint="eastAsia" w:ascii="宋体" w:hAnsi="宋体" w:eastAsia="宋体" w:cs="宋体"/>
          <w:sz w:val="24"/>
        </w:rPr>
      </w:pPr>
      <w:r>
        <w:rPr>
          <w:rFonts w:hint="eastAsia" w:ascii="宋体" w:hAnsi="宋体" w:eastAsia="宋体" w:cs="宋体"/>
          <w:sz w:val="24"/>
        </w:rPr>
        <w:t>响应文件没有盖单位公章，无有效期或有效期达不到磋商文件的要求。</w:t>
      </w:r>
    </w:p>
    <w:p w14:paraId="2199878F">
      <w:pPr>
        <w:pStyle w:val="71"/>
        <w:numPr>
          <w:ilvl w:val="0"/>
          <w:numId w:val="2"/>
        </w:numPr>
        <w:tabs>
          <w:tab w:val="left" w:pos="1637"/>
        </w:tabs>
        <w:spacing w:before="5" w:line="396" w:lineRule="auto"/>
        <w:ind w:left="92" w:leftChars="44" w:right="70" w:firstLine="342" w:firstLineChars="144"/>
        <w:jc w:val="left"/>
        <w:rPr>
          <w:rFonts w:hint="eastAsia" w:ascii="宋体" w:hAnsi="宋体" w:eastAsia="宋体" w:cs="宋体"/>
          <w:sz w:val="24"/>
        </w:rPr>
      </w:pPr>
      <w:r>
        <w:rPr>
          <w:rFonts w:hint="eastAsia" w:ascii="宋体" w:hAnsi="宋体" w:eastAsia="宋体" w:cs="宋体"/>
          <w:spacing w:val="-1"/>
          <w:sz w:val="24"/>
        </w:rPr>
        <w:t>响应文件对磋商文件要求</w:t>
      </w:r>
      <w:r>
        <w:rPr>
          <w:rFonts w:hint="eastAsia" w:ascii="宋体" w:hAnsi="宋体" w:eastAsia="宋体" w:cs="宋体"/>
          <w:sz w:val="24"/>
        </w:rPr>
        <w:t>（</w:t>
      </w:r>
      <w:r>
        <w:rPr>
          <w:rFonts w:hint="eastAsia" w:ascii="宋体" w:hAnsi="宋体" w:eastAsia="宋体" w:cs="宋体"/>
          <w:spacing w:val="-6"/>
          <w:sz w:val="24"/>
        </w:rPr>
        <w:t>交货期、付款、验收、售后服务等项</w:t>
      </w:r>
      <w:r>
        <w:rPr>
          <w:rFonts w:hint="eastAsia" w:ascii="宋体" w:hAnsi="宋体" w:eastAsia="宋体" w:cs="宋体"/>
          <w:spacing w:val="-12"/>
          <w:sz w:val="24"/>
        </w:rPr>
        <w:t>）</w:t>
      </w:r>
      <w:r>
        <w:rPr>
          <w:rFonts w:hint="eastAsia" w:ascii="宋体" w:hAnsi="宋体" w:eastAsia="宋体" w:cs="宋体"/>
          <w:spacing w:val="-5"/>
          <w:sz w:val="24"/>
        </w:rPr>
        <w:t>不一致，或附加</w:t>
      </w:r>
      <w:r>
        <w:rPr>
          <w:rFonts w:hint="eastAsia" w:ascii="宋体" w:hAnsi="宋体" w:eastAsia="宋体" w:cs="宋体"/>
          <w:sz w:val="24"/>
        </w:rPr>
        <w:t>了采购人难以接受的条件。</w:t>
      </w:r>
    </w:p>
    <w:p w14:paraId="4382BB7B">
      <w:pPr>
        <w:pStyle w:val="71"/>
        <w:numPr>
          <w:ilvl w:val="0"/>
          <w:numId w:val="2"/>
        </w:numPr>
        <w:tabs>
          <w:tab w:val="left" w:pos="1637"/>
        </w:tabs>
        <w:spacing w:before="5" w:line="396" w:lineRule="auto"/>
        <w:ind w:left="92" w:leftChars="44" w:right="830" w:firstLine="340" w:firstLineChars="142"/>
        <w:jc w:val="left"/>
        <w:rPr>
          <w:rFonts w:hint="eastAsia" w:ascii="宋体" w:hAnsi="宋体" w:eastAsia="宋体" w:cs="宋体"/>
          <w:sz w:val="24"/>
        </w:rPr>
      </w:pPr>
      <w:r>
        <w:rPr>
          <w:rFonts w:hint="eastAsia" w:ascii="宋体" w:hAnsi="宋体" w:eastAsia="宋体" w:cs="宋体"/>
          <w:sz w:val="24"/>
        </w:rPr>
        <w:t>招标内容出现漏项或数量与要求不符，出现重大负偏差。</w:t>
      </w:r>
    </w:p>
    <w:p w14:paraId="5552C98A">
      <w:pPr>
        <w:pStyle w:val="71"/>
        <w:numPr>
          <w:ilvl w:val="0"/>
          <w:numId w:val="2"/>
        </w:numPr>
        <w:tabs>
          <w:tab w:val="left" w:pos="1637"/>
        </w:tabs>
        <w:spacing w:before="5" w:line="396" w:lineRule="auto"/>
        <w:ind w:left="92" w:leftChars="44" w:right="70" w:firstLine="340" w:firstLineChars="142"/>
        <w:jc w:val="left"/>
        <w:rPr>
          <w:rFonts w:hint="eastAsia" w:ascii="宋体" w:hAnsi="宋体" w:eastAsia="宋体" w:cs="宋体"/>
          <w:sz w:val="24"/>
        </w:rPr>
      </w:pPr>
      <w:r>
        <w:rPr>
          <w:rFonts w:hint="eastAsia" w:ascii="宋体" w:hAnsi="宋体" w:eastAsia="宋体" w:cs="宋体"/>
          <w:sz w:val="24"/>
        </w:rPr>
        <w:t>响应文件中技术指标达不到采购要求，降低了产品档次或影响产品性能、功能。</w:t>
      </w:r>
    </w:p>
    <w:p w14:paraId="154C509D">
      <w:pPr>
        <w:pStyle w:val="71"/>
        <w:numPr>
          <w:ilvl w:val="0"/>
          <w:numId w:val="2"/>
        </w:numPr>
        <w:tabs>
          <w:tab w:val="left" w:pos="1637"/>
        </w:tabs>
        <w:spacing w:before="5" w:line="396" w:lineRule="auto"/>
        <w:ind w:left="92" w:leftChars="44" w:right="830" w:firstLine="340" w:firstLineChars="142"/>
        <w:jc w:val="left"/>
        <w:rPr>
          <w:rFonts w:hint="eastAsia" w:ascii="宋体" w:hAnsi="宋体" w:eastAsia="宋体" w:cs="宋体"/>
        </w:rPr>
      </w:pPr>
      <w:r>
        <w:rPr>
          <w:rFonts w:hint="eastAsia" w:ascii="宋体" w:hAnsi="宋体" w:eastAsia="宋体" w:cs="宋体"/>
          <w:sz w:val="24"/>
        </w:rPr>
        <w:t>响应报价与市场价偏离较大，低于成本，形成不正当竞争。</w:t>
      </w:r>
    </w:p>
    <w:p w14:paraId="5AFE9539">
      <w:pPr>
        <w:pStyle w:val="71"/>
        <w:tabs>
          <w:tab w:val="left" w:pos="1637"/>
        </w:tabs>
        <w:spacing w:before="5" w:line="396" w:lineRule="auto"/>
        <w:ind w:left="391" w:leftChars="186" w:right="830" w:firstLine="221" w:firstLineChars="100"/>
        <w:jc w:val="left"/>
        <w:rPr>
          <w:rFonts w:hint="eastAsia" w:ascii="宋体" w:hAnsi="宋体" w:eastAsia="宋体" w:cs="宋体"/>
          <w:b/>
          <w:bCs/>
          <w:sz w:val="22"/>
          <w:szCs w:val="28"/>
          <w:lang w:val="en-US" w:bidi="ar-SA"/>
        </w:rPr>
      </w:pPr>
      <w:r>
        <w:rPr>
          <w:rFonts w:hint="eastAsia" w:ascii="宋体" w:hAnsi="宋体" w:eastAsia="宋体" w:cs="宋体"/>
          <w:b/>
          <w:bCs/>
          <w:sz w:val="22"/>
          <w:szCs w:val="28"/>
          <w:lang w:val="en-US" w:bidi="ar-SA"/>
        </w:rPr>
        <w:t>3、评审原则及主要方法</w:t>
      </w:r>
    </w:p>
    <w:p w14:paraId="2E0EAF33">
      <w:pPr>
        <w:pStyle w:val="71"/>
        <w:tabs>
          <w:tab w:val="left" w:pos="1320"/>
        </w:tabs>
        <w:autoSpaceDE w:val="0"/>
        <w:autoSpaceDN w:val="0"/>
        <w:adjustRightInd w:val="0"/>
        <w:snapToGrid w:val="0"/>
        <w:spacing w:line="500" w:lineRule="exact"/>
        <w:ind w:left="0" w:firstLine="416" w:firstLineChars="200"/>
        <w:rPr>
          <w:rFonts w:hint="eastAsia" w:ascii="宋体" w:hAnsi="宋体" w:eastAsia="宋体" w:cs="宋体"/>
          <w:sz w:val="24"/>
        </w:rPr>
      </w:pPr>
      <w:r>
        <w:rPr>
          <w:rFonts w:hint="eastAsia" w:ascii="宋体" w:hAnsi="宋体" w:eastAsia="宋体" w:cs="宋体"/>
          <w:spacing w:val="-16"/>
          <w:sz w:val="24"/>
          <w:lang w:val="en-US"/>
        </w:rPr>
        <w:t xml:space="preserve">3.1 </w:t>
      </w:r>
      <w:r>
        <w:rPr>
          <w:rFonts w:hint="eastAsia" w:ascii="宋体" w:hAnsi="宋体" w:eastAsia="宋体" w:cs="宋体"/>
          <w:sz w:val="24"/>
        </w:rPr>
        <w:t>磋商小组将遵循公平、公正和择优的原则，对所有投标供应商的磋商响应文件评审， 都采用相同的程序和标准；</w:t>
      </w:r>
    </w:p>
    <w:p w14:paraId="2B5BADAD">
      <w:pPr>
        <w:pStyle w:val="71"/>
        <w:tabs>
          <w:tab w:val="left" w:pos="1320"/>
        </w:tabs>
        <w:autoSpaceDE w:val="0"/>
        <w:autoSpaceDN w:val="0"/>
        <w:adjustRightInd w:val="0"/>
        <w:snapToGrid w:val="0"/>
        <w:spacing w:line="500" w:lineRule="exact"/>
        <w:ind w:left="0" w:firstLine="416" w:firstLineChars="200"/>
        <w:rPr>
          <w:rFonts w:hint="eastAsia" w:ascii="宋体" w:hAnsi="宋体" w:eastAsia="宋体" w:cs="宋体"/>
          <w:sz w:val="24"/>
        </w:rPr>
      </w:pPr>
      <w:r>
        <w:rPr>
          <w:rFonts w:hint="eastAsia" w:ascii="宋体" w:hAnsi="宋体" w:eastAsia="宋体" w:cs="宋体"/>
          <w:spacing w:val="-16"/>
          <w:sz w:val="24"/>
          <w:lang w:val="en-US"/>
        </w:rPr>
        <w:t>3.</w:t>
      </w:r>
      <w:r>
        <w:rPr>
          <w:rFonts w:hint="eastAsia" w:ascii="宋体" w:hAnsi="宋体" w:eastAsia="宋体" w:cs="宋体"/>
          <w:spacing w:val="-6"/>
          <w:sz w:val="24"/>
          <w:lang w:val="en-US"/>
        </w:rPr>
        <w:t xml:space="preserve">2 </w:t>
      </w:r>
      <w:r>
        <w:rPr>
          <w:rFonts w:hint="eastAsia" w:ascii="宋体" w:hAnsi="宋体" w:eastAsia="宋体" w:cs="宋体"/>
          <w:sz w:val="24"/>
        </w:rPr>
        <w:t>评审过程的保密：在磋商响应文件的评审、比较、成交候选人推荐以及授予合同的过程中，投标供应商向采购方和磋商小组施加影响的任何行为，都将会导致其报价被拒绝；</w:t>
      </w:r>
    </w:p>
    <w:p w14:paraId="2DDE64AB">
      <w:pPr>
        <w:pStyle w:val="71"/>
        <w:tabs>
          <w:tab w:val="left" w:pos="1320"/>
        </w:tabs>
        <w:autoSpaceDE w:val="0"/>
        <w:autoSpaceDN w:val="0"/>
        <w:adjustRightInd w:val="0"/>
        <w:snapToGrid w:val="0"/>
        <w:spacing w:line="500" w:lineRule="exact"/>
        <w:ind w:left="0" w:firstLine="416" w:firstLineChars="200"/>
        <w:rPr>
          <w:rFonts w:hint="eastAsia" w:ascii="宋体" w:hAnsi="宋体" w:eastAsia="宋体" w:cs="宋体"/>
          <w:sz w:val="24"/>
        </w:rPr>
      </w:pPr>
      <w:r>
        <w:rPr>
          <w:rFonts w:hint="eastAsia" w:ascii="宋体" w:hAnsi="宋体" w:eastAsia="宋体" w:cs="宋体"/>
          <w:spacing w:val="-16"/>
          <w:sz w:val="24"/>
          <w:lang w:val="en-US"/>
        </w:rPr>
        <w:t>3.</w:t>
      </w:r>
      <w:r>
        <w:rPr>
          <w:rFonts w:hint="eastAsia" w:ascii="宋体" w:hAnsi="宋体" w:eastAsia="宋体" w:cs="宋体"/>
          <w:sz w:val="24"/>
          <w:lang w:val="en-US"/>
        </w:rPr>
        <w:t xml:space="preserve">3 </w:t>
      </w:r>
      <w:r>
        <w:rPr>
          <w:rFonts w:hint="eastAsia" w:ascii="宋体" w:hAnsi="宋体" w:eastAsia="宋体" w:cs="宋体"/>
          <w:sz w:val="24"/>
        </w:rPr>
        <w:t>评审原则和办法：</w:t>
      </w:r>
    </w:p>
    <w:p w14:paraId="37EBE346">
      <w:pPr>
        <w:pStyle w:val="71"/>
        <w:tabs>
          <w:tab w:val="left" w:pos="1320"/>
        </w:tabs>
        <w:autoSpaceDE w:val="0"/>
        <w:autoSpaceDN w:val="0"/>
        <w:adjustRightInd w:val="0"/>
        <w:snapToGrid w:val="0"/>
        <w:spacing w:line="500" w:lineRule="exact"/>
        <w:ind w:left="0" w:firstLine="416" w:firstLineChars="200"/>
        <w:rPr>
          <w:rFonts w:hint="eastAsia" w:ascii="宋体" w:hAnsi="宋体" w:eastAsia="宋体" w:cs="宋体"/>
          <w:sz w:val="24"/>
        </w:rPr>
      </w:pPr>
      <w:r>
        <w:rPr>
          <w:rFonts w:hint="eastAsia" w:ascii="宋体" w:hAnsi="宋体" w:eastAsia="宋体" w:cs="宋体"/>
          <w:spacing w:val="-16"/>
          <w:sz w:val="24"/>
          <w:lang w:val="en-US"/>
        </w:rPr>
        <w:t>3.</w:t>
      </w:r>
      <w:r>
        <w:rPr>
          <w:rFonts w:hint="eastAsia" w:ascii="宋体" w:hAnsi="宋体" w:eastAsia="宋体" w:cs="宋体"/>
          <w:spacing w:val="-3"/>
          <w:sz w:val="24"/>
          <w:lang w:val="en-US"/>
        </w:rPr>
        <w:t xml:space="preserve">3.1 </w:t>
      </w:r>
      <w:r>
        <w:rPr>
          <w:rFonts w:hint="eastAsia" w:ascii="宋体" w:hAnsi="宋体" w:eastAsia="宋体" w:cs="宋体"/>
          <w:sz w:val="24"/>
        </w:rPr>
        <w:t>综合评分法：是磋商响应文件满足磋商文件全部实质性要求，且按照评审因素的量化指标评审得分最高的投标供应商为成交候选人的评审方法。</w:t>
      </w:r>
    </w:p>
    <w:p w14:paraId="311661C3">
      <w:pPr>
        <w:pStyle w:val="71"/>
        <w:tabs>
          <w:tab w:val="left" w:pos="1320"/>
        </w:tabs>
        <w:autoSpaceDE w:val="0"/>
        <w:autoSpaceDN w:val="0"/>
        <w:adjustRightInd w:val="0"/>
        <w:snapToGrid w:val="0"/>
        <w:spacing w:line="500" w:lineRule="exact"/>
        <w:ind w:left="0" w:firstLine="233" w:firstLineChars="100"/>
        <w:rPr>
          <w:rFonts w:hint="eastAsia" w:ascii="宋体" w:hAnsi="宋体" w:eastAsia="宋体" w:cs="宋体"/>
          <w:b/>
          <w:bCs/>
          <w:spacing w:val="-4"/>
          <w:sz w:val="24"/>
        </w:rPr>
      </w:pPr>
      <w:r>
        <w:rPr>
          <w:rFonts w:hint="eastAsia" w:ascii="宋体" w:hAnsi="宋体" w:eastAsia="宋体" w:cs="宋体"/>
          <w:b/>
          <w:bCs/>
          <w:spacing w:val="-4"/>
          <w:sz w:val="24"/>
        </w:rPr>
        <w:t>具体评审因素和分值如下</w:t>
      </w:r>
    </w:p>
    <w:tbl>
      <w:tblPr>
        <w:tblStyle w:val="28"/>
        <w:tblW w:w="104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54"/>
        <w:gridCol w:w="7364"/>
        <w:gridCol w:w="941"/>
      </w:tblGrid>
      <w:tr w14:paraId="096F23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2154" w:type="dxa"/>
            <w:tcBorders>
              <w:top w:val="single" w:color="auto" w:sz="4" w:space="0"/>
              <w:left w:val="single" w:color="auto" w:sz="4" w:space="0"/>
              <w:bottom w:val="single" w:color="auto" w:sz="4" w:space="0"/>
              <w:right w:val="single" w:color="auto" w:sz="4" w:space="0"/>
            </w:tcBorders>
            <w:vAlign w:val="center"/>
          </w:tcPr>
          <w:p w14:paraId="5F580E44">
            <w:pPr>
              <w:keepNext w:val="0"/>
              <w:keepLines w:val="0"/>
              <w:pageBreakBefore w:val="0"/>
              <w:wordWrap/>
              <w:overflowPunct/>
              <w:topLinePunct w:val="0"/>
              <w:autoSpaceDE/>
              <w:autoSpaceDN/>
              <w:bidi w:val="0"/>
              <w:adjustRightIn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评审</w:t>
            </w:r>
          </w:p>
          <w:p w14:paraId="795610AC">
            <w:pPr>
              <w:keepNext w:val="0"/>
              <w:keepLines w:val="0"/>
              <w:pageBreakBefore w:val="0"/>
              <w:wordWrap/>
              <w:overflowPunct/>
              <w:topLinePunct w:val="0"/>
              <w:autoSpaceDE/>
              <w:autoSpaceDN/>
              <w:bidi w:val="0"/>
              <w:adjustRightIn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因素</w:t>
            </w:r>
          </w:p>
        </w:tc>
        <w:tc>
          <w:tcPr>
            <w:tcW w:w="7364" w:type="dxa"/>
            <w:tcBorders>
              <w:top w:val="single" w:color="auto" w:sz="4" w:space="0"/>
              <w:left w:val="single" w:color="auto" w:sz="4" w:space="0"/>
              <w:bottom w:val="single" w:color="auto" w:sz="4" w:space="0"/>
              <w:right w:val="single" w:color="auto" w:sz="4" w:space="0"/>
            </w:tcBorders>
            <w:vAlign w:val="center"/>
          </w:tcPr>
          <w:p w14:paraId="63A2107D">
            <w:pPr>
              <w:keepNext w:val="0"/>
              <w:keepLines w:val="0"/>
              <w:pageBreakBefore w:val="0"/>
              <w:wordWrap/>
              <w:overflowPunct/>
              <w:topLinePunct w:val="0"/>
              <w:autoSpaceDE/>
              <w:autoSpaceDN/>
              <w:bidi w:val="0"/>
              <w:adjustRightInd/>
              <w:spacing w:line="360" w:lineRule="auto"/>
              <w:jc w:val="center"/>
              <w:textAlignment w:val="auto"/>
              <w:rPr>
                <w:rFonts w:hint="eastAsia" w:ascii="宋体" w:hAnsi="宋体" w:eastAsia="宋体" w:cs="宋体"/>
                <w:b/>
                <w:sz w:val="24"/>
                <w:szCs w:val="24"/>
              </w:rPr>
            </w:pPr>
            <w:r>
              <w:rPr>
                <w:rFonts w:hint="eastAsia" w:ascii="宋体" w:hAnsi="宋体" w:eastAsia="宋体" w:cs="宋体"/>
                <w:b/>
                <w:color w:val="000000"/>
                <w:sz w:val="24"/>
                <w:szCs w:val="24"/>
              </w:rPr>
              <w:t>内     容</w:t>
            </w:r>
          </w:p>
        </w:tc>
        <w:tc>
          <w:tcPr>
            <w:tcW w:w="941" w:type="dxa"/>
            <w:tcBorders>
              <w:top w:val="single" w:color="auto" w:sz="4" w:space="0"/>
              <w:left w:val="single" w:color="auto" w:sz="4" w:space="0"/>
              <w:bottom w:val="single" w:color="auto" w:sz="4" w:space="0"/>
              <w:right w:val="single" w:color="auto" w:sz="4" w:space="0"/>
            </w:tcBorders>
            <w:vAlign w:val="center"/>
          </w:tcPr>
          <w:p w14:paraId="1DB6A399">
            <w:pPr>
              <w:keepNext w:val="0"/>
              <w:keepLines w:val="0"/>
              <w:pageBreakBefore w:val="0"/>
              <w:wordWrap/>
              <w:overflowPunct/>
              <w:topLinePunct w:val="0"/>
              <w:autoSpaceDE/>
              <w:autoSpaceDN/>
              <w:bidi w:val="0"/>
              <w:adjustRightInd/>
              <w:spacing w:line="360" w:lineRule="auto"/>
              <w:jc w:val="center"/>
              <w:textAlignment w:val="auto"/>
              <w:rPr>
                <w:rFonts w:hint="eastAsia" w:ascii="宋体" w:hAnsi="宋体" w:eastAsia="宋体" w:cs="宋体"/>
                <w:b/>
                <w:sz w:val="24"/>
                <w:szCs w:val="24"/>
              </w:rPr>
            </w:pPr>
            <w:r>
              <w:rPr>
                <w:rFonts w:hint="eastAsia" w:ascii="宋体" w:hAnsi="宋体" w:eastAsia="宋体" w:cs="宋体"/>
                <w:b/>
                <w:color w:val="000000"/>
                <w:sz w:val="24"/>
                <w:szCs w:val="24"/>
              </w:rPr>
              <w:t>分值</w:t>
            </w:r>
          </w:p>
        </w:tc>
      </w:tr>
      <w:tr w14:paraId="5CDC1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6" w:hRule="atLeast"/>
          <w:jc w:val="center"/>
        </w:trPr>
        <w:tc>
          <w:tcPr>
            <w:tcW w:w="2154" w:type="dxa"/>
            <w:tcBorders>
              <w:top w:val="single" w:color="auto" w:sz="4" w:space="0"/>
              <w:left w:val="single" w:color="auto" w:sz="4" w:space="0"/>
              <w:bottom w:val="single" w:color="auto" w:sz="4" w:space="0"/>
              <w:right w:val="single" w:color="auto" w:sz="4" w:space="0"/>
            </w:tcBorders>
            <w:vAlign w:val="center"/>
          </w:tcPr>
          <w:p w14:paraId="2EF4602F">
            <w:pPr>
              <w:keepNext w:val="0"/>
              <w:keepLines w:val="0"/>
              <w:pageBreakBefore w:val="0"/>
              <w:wordWrap/>
              <w:overflowPunct/>
              <w:topLinePunct w:val="0"/>
              <w:autoSpaceDE/>
              <w:autoSpaceDN/>
              <w:bidi w:val="0"/>
              <w:adjustRightIn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投标报价</w:t>
            </w:r>
          </w:p>
          <w:p w14:paraId="7A10B631">
            <w:pPr>
              <w:keepNext w:val="0"/>
              <w:keepLines w:val="0"/>
              <w:pageBreakBefore w:val="0"/>
              <w:wordWrap/>
              <w:overflowPunct/>
              <w:topLinePunct w:val="0"/>
              <w:autoSpaceDE/>
              <w:autoSpaceDN/>
              <w:bidi w:val="0"/>
              <w:adjustRightInd/>
              <w:spacing w:line="360" w:lineRule="auto"/>
              <w:jc w:val="center"/>
              <w:textAlignment w:val="auto"/>
              <w:rPr>
                <w:rFonts w:hint="eastAsia" w:ascii="宋体" w:hAnsi="宋体" w:eastAsia="宋体" w:cs="宋体"/>
                <w:b/>
                <w:bCs/>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15</w:t>
            </w:r>
            <w:r>
              <w:rPr>
                <w:rFonts w:hint="eastAsia" w:ascii="宋体" w:hAnsi="宋体" w:eastAsia="宋体" w:cs="宋体"/>
                <w:b/>
                <w:sz w:val="24"/>
                <w:szCs w:val="24"/>
              </w:rPr>
              <w:t>分）</w:t>
            </w:r>
          </w:p>
        </w:tc>
        <w:tc>
          <w:tcPr>
            <w:tcW w:w="7364" w:type="dxa"/>
            <w:tcBorders>
              <w:top w:val="single" w:color="auto" w:sz="4" w:space="0"/>
              <w:left w:val="single" w:color="auto" w:sz="4" w:space="0"/>
              <w:bottom w:val="single" w:color="auto" w:sz="4" w:space="0"/>
              <w:right w:val="single" w:color="auto" w:sz="4" w:space="0"/>
            </w:tcBorders>
            <w:vAlign w:val="center"/>
          </w:tcPr>
          <w:p w14:paraId="33DB1913">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spacing w:val="-2"/>
                <w:sz w:val="24"/>
                <w:szCs w:val="24"/>
                <w:lang w:eastAsia="zh-CN"/>
              </w:rPr>
            </w:pPr>
            <w:r>
              <w:rPr>
                <w:rFonts w:hint="eastAsia" w:ascii="宋体" w:hAnsi="宋体" w:eastAsia="宋体" w:cs="宋体"/>
                <w:bCs/>
                <w:spacing w:val="-2"/>
                <w:sz w:val="24"/>
                <w:szCs w:val="24"/>
                <w:lang w:val="en-US" w:eastAsia="zh-CN"/>
              </w:rPr>
              <w:t xml:space="preserve">1.经初审合格的磋商响应文件，其磋商报价为有效磋商报价。 </w:t>
            </w:r>
          </w:p>
          <w:p w14:paraId="4BB85155">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spacing w:val="-2"/>
                <w:sz w:val="24"/>
                <w:szCs w:val="24"/>
                <w:lang w:eastAsia="zh-CN"/>
              </w:rPr>
            </w:pPr>
            <w:r>
              <w:rPr>
                <w:rFonts w:hint="eastAsia" w:ascii="宋体" w:hAnsi="宋体" w:eastAsia="宋体" w:cs="宋体"/>
                <w:bCs/>
                <w:spacing w:val="-2"/>
                <w:sz w:val="24"/>
                <w:szCs w:val="24"/>
                <w:lang w:val="en-US" w:eastAsia="zh-CN"/>
              </w:rPr>
              <w:t xml:space="preserve">2.满足磋商文件实质性要求且最终报价最低的供应商的价格为磋商基准价，其价格分为满分 15 分。 </w:t>
            </w:r>
          </w:p>
          <w:p w14:paraId="3ECA1CC7">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spacing w:val="-2"/>
                <w:sz w:val="24"/>
                <w:szCs w:val="24"/>
                <w:lang w:eastAsia="zh-CN"/>
              </w:rPr>
            </w:pPr>
            <w:r>
              <w:rPr>
                <w:rFonts w:hint="eastAsia" w:ascii="宋体" w:hAnsi="宋体" w:eastAsia="宋体" w:cs="宋体"/>
                <w:bCs/>
                <w:spacing w:val="-2"/>
                <w:sz w:val="24"/>
                <w:szCs w:val="24"/>
                <w:lang w:val="en-US" w:eastAsia="zh-CN"/>
              </w:rPr>
              <w:t xml:space="preserve">3.磋商报价得分=（磋商基准价/最终磋商报价）×15 的公式计算得分。 </w:t>
            </w:r>
          </w:p>
          <w:p w14:paraId="6C177877">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spacing w:val="-2"/>
                <w:sz w:val="24"/>
                <w:szCs w:val="24"/>
                <w:lang w:eastAsia="zh-CN"/>
              </w:rPr>
            </w:pPr>
            <w:r>
              <w:rPr>
                <w:rFonts w:hint="eastAsia" w:ascii="宋体" w:hAnsi="宋体" w:eastAsia="宋体" w:cs="宋体"/>
                <w:bCs/>
                <w:spacing w:val="-2"/>
                <w:sz w:val="24"/>
                <w:szCs w:val="24"/>
                <w:lang w:val="en-US" w:eastAsia="zh-CN"/>
              </w:rPr>
              <w:t xml:space="preserve">4. 磋商报价不完整的，不进入评标标准价的计算，本项得 0 分。 </w:t>
            </w:r>
          </w:p>
          <w:p w14:paraId="29EF80DC">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
                <w:spacing w:val="-2"/>
                <w:sz w:val="24"/>
                <w:szCs w:val="24"/>
              </w:rPr>
            </w:pPr>
            <w:r>
              <w:rPr>
                <w:rFonts w:hint="eastAsia" w:ascii="宋体" w:hAnsi="宋体" w:eastAsia="宋体" w:cs="宋体"/>
                <w:bCs/>
                <w:spacing w:val="-2"/>
                <w:sz w:val="24"/>
                <w:szCs w:val="24"/>
                <w:lang w:val="en-US" w:eastAsia="zh-CN"/>
              </w:rPr>
              <w:t>5.经磋商小组一致认定，供应商的磋商最终总报价低于公认市场成本，或超过采购预算,其响应将被拒绝。</w:t>
            </w:r>
          </w:p>
        </w:tc>
        <w:tc>
          <w:tcPr>
            <w:tcW w:w="941" w:type="dxa"/>
            <w:tcBorders>
              <w:top w:val="single" w:color="auto" w:sz="4" w:space="0"/>
              <w:left w:val="single" w:color="auto" w:sz="4" w:space="0"/>
              <w:bottom w:val="single" w:color="auto" w:sz="4" w:space="0"/>
              <w:right w:val="single" w:color="auto" w:sz="4" w:space="0"/>
            </w:tcBorders>
            <w:vAlign w:val="center"/>
          </w:tcPr>
          <w:p w14:paraId="031823EE">
            <w:pPr>
              <w:keepNext w:val="0"/>
              <w:keepLines w:val="0"/>
              <w:pageBreakBefore w:val="0"/>
              <w:wordWrap/>
              <w:overflowPunct/>
              <w:topLinePunct w:val="0"/>
              <w:autoSpaceDE/>
              <w:autoSpaceDN/>
              <w:bidi w:val="0"/>
              <w:adjustRightInd/>
              <w:spacing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w:t>
            </w:r>
          </w:p>
        </w:tc>
      </w:tr>
      <w:tr w14:paraId="1B61B4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jc w:val="center"/>
        </w:trPr>
        <w:tc>
          <w:tcPr>
            <w:tcW w:w="2154" w:type="dxa"/>
            <w:tcBorders>
              <w:top w:val="single" w:color="auto" w:sz="4" w:space="0"/>
              <w:left w:val="single" w:color="auto" w:sz="4" w:space="0"/>
              <w:bottom w:val="single" w:color="auto" w:sz="4" w:space="0"/>
              <w:right w:val="single" w:color="auto" w:sz="4" w:space="0"/>
            </w:tcBorders>
            <w:vAlign w:val="center"/>
          </w:tcPr>
          <w:p w14:paraId="48916CEB">
            <w:pPr>
              <w:keepNext w:val="0"/>
              <w:keepLines w:val="0"/>
              <w:pageBreakBefore w:val="0"/>
              <w:wordWrap/>
              <w:overflowPunct/>
              <w:topLinePunct w:val="0"/>
              <w:autoSpaceDE/>
              <w:autoSpaceDN/>
              <w:bidi w:val="0"/>
              <w:adjustRightInd/>
              <w:spacing w:line="360" w:lineRule="auto"/>
              <w:jc w:val="center"/>
              <w:textAlignment w:val="auto"/>
              <w:rPr>
                <w:rFonts w:hint="eastAsia" w:ascii="宋体" w:hAnsi="宋体" w:eastAsia="宋体" w:cs="宋体"/>
                <w:b/>
                <w:sz w:val="24"/>
                <w:szCs w:val="24"/>
              </w:rPr>
            </w:pPr>
            <w:r>
              <w:rPr>
                <w:rFonts w:hint="eastAsia" w:ascii="宋体" w:hAnsi="宋体" w:eastAsia="宋体" w:cs="宋体"/>
                <w:b/>
                <w:bCs/>
                <w:sz w:val="24"/>
                <w:szCs w:val="24"/>
              </w:rPr>
              <w:t>商务响应（5）分</w:t>
            </w:r>
          </w:p>
        </w:tc>
        <w:tc>
          <w:tcPr>
            <w:tcW w:w="7364" w:type="dxa"/>
            <w:tcBorders>
              <w:top w:val="single" w:color="auto" w:sz="4" w:space="0"/>
              <w:left w:val="single" w:color="auto" w:sz="4" w:space="0"/>
              <w:bottom w:val="single" w:color="auto" w:sz="4" w:space="0"/>
              <w:right w:val="single" w:color="auto" w:sz="4" w:space="0"/>
            </w:tcBorders>
            <w:vAlign w:val="center"/>
          </w:tcPr>
          <w:p w14:paraId="1D5DC3FE">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spacing w:val="-2"/>
                <w:sz w:val="24"/>
                <w:szCs w:val="24"/>
                <w:lang w:eastAsia="zh-CN"/>
              </w:rPr>
            </w:pPr>
            <w:r>
              <w:rPr>
                <w:rFonts w:hint="eastAsia" w:ascii="宋体" w:hAnsi="宋体" w:eastAsia="宋体" w:cs="宋体"/>
                <w:bCs/>
                <w:spacing w:val="-2"/>
                <w:sz w:val="24"/>
                <w:szCs w:val="24"/>
              </w:rPr>
              <w:t>经过有效性和符合性审核合格的单位，对付款、</w:t>
            </w:r>
            <w:r>
              <w:rPr>
                <w:rFonts w:hint="eastAsia" w:ascii="宋体" w:hAnsi="宋体" w:eastAsia="宋体" w:cs="宋体"/>
                <w:bCs/>
                <w:spacing w:val="-2"/>
                <w:sz w:val="24"/>
                <w:szCs w:val="24"/>
                <w:lang w:eastAsia="zh-CN"/>
              </w:rPr>
              <w:t>服务期</w:t>
            </w:r>
            <w:r>
              <w:rPr>
                <w:rFonts w:hint="eastAsia" w:ascii="宋体" w:hAnsi="宋体" w:eastAsia="宋体" w:cs="宋体"/>
                <w:bCs/>
                <w:spacing w:val="-2"/>
                <w:sz w:val="24"/>
                <w:szCs w:val="24"/>
              </w:rPr>
              <w:t>、验收等方面进行响应</w:t>
            </w:r>
            <w:r>
              <w:rPr>
                <w:rFonts w:hint="eastAsia" w:ascii="宋体" w:hAnsi="宋体" w:eastAsia="宋体" w:cs="宋体"/>
                <w:bCs/>
                <w:spacing w:val="-2"/>
                <w:sz w:val="24"/>
                <w:szCs w:val="24"/>
                <w:lang w:eastAsia="zh-CN"/>
              </w:rPr>
              <w:t>。</w:t>
            </w:r>
          </w:p>
          <w:p w14:paraId="7476F202">
            <w:pPr>
              <w:keepNext w:val="0"/>
              <w:keepLines w:val="0"/>
              <w:pageBreakBefore w:val="0"/>
              <w:numPr>
                <w:ilvl w:val="0"/>
                <w:numId w:val="3"/>
              </w:numPr>
              <w:wordWrap/>
              <w:overflowPunct/>
              <w:topLinePunct w:val="0"/>
              <w:autoSpaceDE/>
              <w:autoSpaceDN/>
              <w:bidi w:val="0"/>
              <w:adjustRightInd/>
              <w:spacing w:line="360" w:lineRule="auto"/>
              <w:textAlignment w:val="auto"/>
              <w:rPr>
                <w:rFonts w:hint="eastAsia" w:ascii="宋体" w:hAnsi="宋体" w:eastAsia="宋体" w:cs="宋体"/>
                <w:bCs/>
                <w:spacing w:val="-2"/>
                <w:sz w:val="24"/>
                <w:szCs w:val="24"/>
                <w:lang w:eastAsia="zh-CN"/>
              </w:rPr>
            </w:pPr>
            <w:r>
              <w:rPr>
                <w:rFonts w:hint="eastAsia" w:ascii="宋体" w:hAnsi="宋体" w:eastAsia="宋体" w:cs="宋体"/>
                <w:bCs/>
                <w:spacing w:val="-2"/>
                <w:sz w:val="24"/>
                <w:szCs w:val="24"/>
              </w:rPr>
              <w:t>完全响应且逐项详细说明的</w:t>
            </w:r>
            <w:r>
              <w:rPr>
                <w:rFonts w:hint="eastAsia" w:ascii="宋体" w:hAnsi="宋体" w:eastAsia="宋体" w:cs="宋体"/>
                <w:bCs/>
                <w:spacing w:val="-2"/>
                <w:sz w:val="24"/>
                <w:szCs w:val="24"/>
                <w:lang w:eastAsia="zh-CN"/>
              </w:rPr>
              <w:t>得</w:t>
            </w:r>
            <w:r>
              <w:rPr>
                <w:rFonts w:hint="eastAsia" w:ascii="宋体" w:hAnsi="宋体" w:eastAsia="宋体" w:cs="宋体"/>
                <w:bCs/>
                <w:spacing w:val="-2"/>
                <w:sz w:val="24"/>
                <w:szCs w:val="24"/>
                <w:lang w:val="en-US" w:eastAsia="zh-CN"/>
              </w:rPr>
              <w:t>3-</w:t>
            </w:r>
            <w:r>
              <w:rPr>
                <w:rFonts w:hint="eastAsia" w:ascii="宋体" w:hAnsi="宋体" w:eastAsia="宋体" w:cs="宋体"/>
                <w:bCs/>
                <w:spacing w:val="-2"/>
                <w:sz w:val="24"/>
                <w:szCs w:val="24"/>
              </w:rPr>
              <w:t>5分</w:t>
            </w:r>
            <w:r>
              <w:rPr>
                <w:rFonts w:hint="eastAsia" w:ascii="宋体" w:hAnsi="宋体" w:eastAsia="宋体" w:cs="宋体"/>
                <w:bCs/>
                <w:spacing w:val="-2"/>
                <w:sz w:val="24"/>
                <w:szCs w:val="24"/>
                <w:lang w:eastAsia="zh-CN"/>
              </w:rPr>
              <w:t>；</w:t>
            </w:r>
          </w:p>
          <w:p w14:paraId="4CFFA3B2">
            <w:pPr>
              <w:keepNext w:val="0"/>
              <w:keepLines w:val="0"/>
              <w:pageBreakBefore w:val="0"/>
              <w:numPr>
                <w:ilvl w:val="0"/>
                <w:numId w:val="3"/>
              </w:numPr>
              <w:wordWrap/>
              <w:overflowPunct/>
              <w:topLinePunct w:val="0"/>
              <w:autoSpaceDE/>
              <w:autoSpaceDN/>
              <w:bidi w:val="0"/>
              <w:adjustRightInd/>
              <w:spacing w:line="360" w:lineRule="auto"/>
              <w:textAlignment w:val="auto"/>
              <w:rPr>
                <w:rFonts w:hint="eastAsia" w:ascii="宋体" w:hAnsi="宋体" w:eastAsia="宋体" w:cs="宋体"/>
                <w:bCs/>
                <w:spacing w:val="-2"/>
                <w:sz w:val="24"/>
                <w:szCs w:val="24"/>
                <w:lang w:val="en-US"/>
              </w:rPr>
            </w:pPr>
            <w:r>
              <w:rPr>
                <w:rFonts w:hint="eastAsia" w:ascii="宋体" w:hAnsi="宋体" w:eastAsia="宋体" w:cs="宋体"/>
                <w:bCs/>
                <w:spacing w:val="-2"/>
                <w:sz w:val="24"/>
                <w:szCs w:val="24"/>
                <w:lang w:eastAsia="zh-CN"/>
              </w:rPr>
              <w:t>有</w:t>
            </w:r>
            <w:r>
              <w:rPr>
                <w:rFonts w:hint="eastAsia" w:ascii="宋体" w:hAnsi="宋体" w:eastAsia="宋体" w:cs="宋体"/>
                <w:bCs/>
                <w:spacing w:val="-2"/>
                <w:sz w:val="24"/>
                <w:szCs w:val="24"/>
              </w:rPr>
              <w:t>详细响应</w:t>
            </w:r>
            <w:r>
              <w:rPr>
                <w:rFonts w:hint="eastAsia" w:ascii="宋体" w:hAnsi="宋体" w:eastAsia="宋体" w:cs="宋体"/>
                <w:bCs/>
                <w:spacing w:val="-2"/>
                <w:sz w:val="24"/>
                <w:szCs w:val="24"/>
                <w:lang w:eastAsia="zh-CN"/>
              </w:rPr>
              <w:t>但响应内容不够详尽、完善得</w:t>
            </w:r>
            <w:r>
              <w:rPr>
                <w:rFonts w:hint="eastAsia" w:ascii="宋体" w:hAnsi="宋体" w:eastAsia="宋体" w:cs="宋体"/>
                <w:bCs/>
                <w:spacing w:val="-2"/>
                <w:sz w:val="24"/>
                <w:szCs w:val="24"/>
                <w:lang w:val="en-US" w:eastAsia="zh-CN"/>
              </w:rPr>
              <w:t>1-3分；</w:t>
            </w:r>
          </w:p>
          <w:p w14:paraId="3337C6B5">
            <w:pPr>
              <w:keepNext w:val="0"/>
              <w:keepLines w:val="0"/>
              <w:pageBreakBefore w:val="0"/>
              <w:numPr>
                <w:ilvl w:val="0"/>
                <w:numId w:val="3"/>
              </w:numPr>
              <w:wordWrap/>
              <w:overflowPunct/>
              <w:topLinePunct w:val="0"/>
              <w:autoSpaceDE/>
              <w:autoSpaceDN/>
              <w:bidi w:val="0"/>
              <w:adjustRightInd/>
              <w:spacing w:line="360" w:lineRule="auto"/>
              <w:textAlignment w:val="auto"/>
              <w:rPr>
                <w:rFonts w:hint="eastAsia" w:ascii="宋体" w:hAnsi="宋体" w:eastAsia="宋体" w:cs="宋体"/>
                <w:bCs/>
                <w:spacing w:val="-2"/>
                <w:sz w:val="24"/>
                <w:szCs w:val="24"/>
                <w:lang w:val="en-US"/>
              </w:rPr>
            </w:pPr>
            <w:r>
              <w:rPr>
                <w:rFonts w:hint="eastAsia" w:ascii="宋体" w:hAnsi="宋体" w:eastAsia="宋体" w:cs="宋体"/>
                <w:bCs/>
                <w:spacing w:val="-2"/>
                <w:sz w:val="24"/>
                <w:szCs w:val="24"/>
                <w:lang w:val="en-US" w:eastAsia="zh-CN"/>
              </w:rPr>
              <w:t>响应一般，较差或者无响应得0-1分。</w:t>
            </w:r>
          </w:p>
        </w:tc>
        <w:tc>
          <w:tcPr>
            <w:tcW w:w="941" w:type="dxa"/>
            <w:tcBorders>
              <w:top w:val="single" w:color="auto" w:sz="4" w:space="0"/>
              <w:left w:val="single" w:color="auto" w:sz="4" w:space="0"/>
              <w:bottom w:val="single" w:color="auto" w:sz="4" w:space="0"/>
              <w:right w:val="single" w:color="auto" w:sz="4" w:space="0"/>
            </w:tcBorders>
            <w:vAlign w:val="center"/>
          </w:tcPr>
          <w:p w14:paraId="2B58CB39">
            <w:pPr>
              <w:keepNext w:val="0"/>
              <w:keepLines w:val="0"/>
              <w:pageBreakBefore w:val="0"/>
              <w:wordWrap/>
              <w:overflowPunct/>
              <w:topLinePunct w:val="0"/>
              <w:autoSpaceDE/>
              <w:autoSpaceDN/>
              <w:bidi w:val="0"/>
              <w:adjustRightInd/>
              <w:spacing w:line="360" w:lineRule="auto"/>
              <w:jc w:val="center"/>
              <w:textAlignment w:val="auto"/>
              <w:rPr>
                <w:rFonts w:hint="eastAsia" w:ascii="宋体" w:hAnsi="宋体" w:eastAsia="宋体" w:cs="宋体"/>
                <w:sz w:val="24"/>
                <w:szCs w:val="24"/>
              </w:rPr>
            </w:pPr>
            <w:r>
              <w:rPr>
                <w:rFonts w:hint="eastAsia" w:ascii="宋体" w:hAnsi="宋体" w:eastAsia="宋体" w:cs="宋体"/>
                <w:spacing w:val="6"/>
                <w:sz w:val="24"/>
                <w:szCs w:val="24"/>
              </w:rPr>
              <w:t>5</w:t>
            </w:r>
          </w:p>
        </w:tc>
      </w:tr>
      <w:tr w14:paraId="1656F5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154" w:type="dxa"/>
            <w:vMerge w:val="restart"/>
            <w:tcBorders>
              <w:top w:val="single" w:color="auto" w:sz="4" w:space="0"/>
              <w:left w:val="single" w:color="auto" w:sz="4" w:space="0"/>
              <w:right w:val="single" w:color="auto" w:sz="4" w:space="0"/>
            </w:tcBorders>
            <w:vAlign w:val="center"/>
          </w:tcPr>
          <w:p w14:paraId="64712C0F">
            <w:pPr>
              <w:pStyle w:val="23"/>
              <w:keepNext w:val="0"/>
              <w:keepLines w:val="0"/>
              <w:pageBreakBefore w:val="0"/>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b/>
                <w:bCs/>
                <w:sz w:val="24"/>
                <w:szCs w:val="24"/>
              </w:rPr>
            </w:pPr>
          </w:p>
          <w:p w14:paraId="08548796">
            <w:pPr>
              <w:pStyle w:val="23"/>
              <w:keepNext w:val="0"/>
              <w:keepLines w:val="0"/>
              <w:pageBreakBefore w:val="0"/>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b/>
                <w:bCs/>
                <w:sz w:val="24"/>
                <w:szCs w:val="24"/>
              </w:rPr>
            </w:pPr>
          </w:p>
          <w:p w14:paraId="1E2B25EF">
            <w:pPr>
              <w:pStyle w:val="23"/>
              <w:keepNext w:val="0"/>
              <w:keepLines w:val="0"/>
              <w:pageBreakBefore w:val="0"/>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b/>
                <w:bCs/>
                <w:sz w:val="24"/>
                <w:szCs w:val="24"/>
              </w:rPr>
            </w:pPr>
          </w:p>
          <w:p w14:paraId="76B7DEFD">
            <w:pPr>
              <w:pStyle w:val="23"/>
              <w:keepNext w:val="0"/>
              <w:keepLines w:val="0"/>
              <w:pageBreakBefore w:val="0"/>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b/>
                <w:bCs/>
                <w:sz w:val="24"/>
                <w:szCs w:val="24"/>
              </w:rPr>
            </w:pPr>
          </w:p>
          <w:p w14:paraId="6D9F3073">
            <w:pPr>
              <w:pStyle w:val="23"/>
              <w:keepNext w:val="0"/>
              <w:keepLines w:val="0"/>
              <w:pageBreakBefore w:val="0"/>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b/>
                <w:bCs/>
                <w:sz w:val="24"/>
                <w:szCs w:val="24"/>
              </w:rPr>
            </w:pPr>
          </w:p>
          <w:p w14:paraId="6C13BEBC">
            <w:pPr>
              <w:pStyle w:val="23"/>
              <w:keepNext w:val="0"/>
              <w:keepLines w:val="0"/>
              <w:pageBreakBefore w:val="0"/>
              <w:wordWrap/>
              <w:overflowPunct/>
              <w:topLinePunct w:val="0"/>
              <w:autoSpaceDE/>
              <w:autoSpaceDN/>
              <w:bidi w:val="0"/>
              <w:adjustRightInd/>
              <w:spacing w:line="360" w:lineRule="auto"/>
              <w:ind w:left="2905" w:hanging="1205"/>
              <w:textAlignment w:val="auto"/>
              <w:rPr>
                <w:rFonts w:hint="eastAsia" w:ascii="宋体" w:hAnsi="宋体" w:eastAsia="宋体" w:cs="宋体"/>
                <w:b/>
                <w:bCs/>
                <w:sz w:val="24"/>
                <w:szCs w:val="24"/>
              </w:rPr>
            </w:pPr>
          </w:p>
          <w:p w14:paraId="64F262AF">
            <w:pPr>
              <w:pStyle w:val="23"/>
              <w:keepNext w:val="0"/>
              <w:keepLines w:val="0"/>
              <w:pageBreakBefore w:val="0"/>
              <w:wordWrap/>
              <w:overflowPunct/>
              <w:topLinePunct w:val="0"/>
              <w:autoSpaceDE/>
              <w:autoSpaceDN/>
              <w:bidi w:val="0"/>
              <w:adjustRightInd/>
              <w:spacing w:line="360" w:lineRule="auto"/>
              <w:ind w:left="2905" w:hanging="1205"/>
              <w:textAlignment w:val="auto"/>
              <w:rPr>
                <w:rFonts w:hint="eastAsia" w:ascii="宋体" w:hAnsi="宋体" w:eastAsia="宋体" w:cs="宋体"/>
                <w:b/>
                <w:bCs/>
                <w:sz w:val="24"/>
                <w:szCs w:val="24"/>
              </w:rPr>
            </w:pPr>
          </w:p>
          <w:p w14:paraId="6064C275">
            <w:pPr>
              <w:pStyle w:val="23"/>
              <w:keepNext w:val="0"/>
              <w:keepLines w:val="0"/>
              <w:pageBreakBefore w:val="0"/>
              <w:wordWrap/>
              <w:overflowPunct/>
              <w:topLinePunct w:val="0"/>
              <w:autoSpaceDE/>
              <w:autoSpaceDN/>
              <w:bidi w:val="0"/>
              <w:adjustRightInd/>
              <w:spacing w:line="360" w:lineRule="auto"/>
              <w:ind w:left="2905" w:hanging="1205"/>
              <w:textAlignment w:val="auto"/>
              <w:rPr>
                <w:rFonts w:hint="eastAsia" w:ascii="宋体" w:hAnsi="宋体" w:eastAsia="宋体" w:cs="宋体"/>
                <w:b/>
                <w:bCs/>
                <w:sz w:val="24"/>
                <w:szCs w:val="24"/>
              </w:rPr>
            </w:pPr>
          </w:p>
          <w:p w14:paraId="171495A1">
            <w:pPr>
              <w:pStyle w:val="23"/>
              <w:keepNext w:val="0"/>
              <w:keepLines w:val="0"/>
              <w:pageBreakBefore w:val="0"/>
              <w:wordWrap/>
              <w:overflowPunct/>
              <w:topLinePunct w:val="0"/>
              <w:autoSpaceDE/>
              <w:autoSpaceDN/>
              <w:bidi w:val="0"/>
              <w:adjustRightInd/>
              <w:spacing w:line="360" w:lineRule="auto"/>
              <w:ind w:left="2905" w:hanging="1205"/>
              <w:textAlignment w:val="auto"/>
              <w:rPr>
                <w:rFonts w:hint="eastAsia" w:ascii="宋体" w:hAnsi="宋体" w:eastAsia="宋体" w:cs="宋体"/>
                <w:b/>
                <w:bCs/>
                <w:sz w:val="24"/>
                <w:szCs w:val="24"/>
              </w:rPr>
            </w:pPr>
          </w:p>
          <w:p w14:paraId="783BE322">
            <w:pPr>
              <w:pStyle w:val="23"/>
              <w:keepNext w:val="0"/>
              <w:keepLines w:val="0"/>
              <w:pageBreakBefore w:val="0"/>
              <w:wordWrap/>
              <w:overflowPunct/>
              <w:topLinePunct w:val="0"/>
              <w:autoSpaceDE/>
              <w:autoSpaceDN/>
              <w:bidi w:val="0"/>
              <w:adjustRightInd/>
              <w:spacing w:line="360" w:lineRule="auto"/>
              <w:ind w:left="2905" w:hanging="1205"/>
              <w:textAlignment w:val="auto"/>
              <w:rPr>
                <w:rFonts w:hint="eastAsia" w:ascii="宋体" w:hAnsi="宋体" w:eastAsia="宋体" w:cs="宋体"/>
                <w:b/>
                <w:bCs/>
                <w:sz w:val="24"/>
                <w:szCs w:val="24"/>
              </w:rPr>
            </w:pPr>
          </w:p>
          <w:p w14:paraId="725C5ED6">
            <w:pPr>
              <w:pStyle w:val="23"/>
              <w:keepNext w:val="0"/>
              <w:keepLines w:val="0"/>
              <w:pageBreakBefore w:val="0"/>
              <w:wordWrap/>
              <w:overflowPunct/>
              <w:topLinePunct w:val="0"/>
              <w:autoSpaceDE/>
              <w:autoSpaceDN/>
              <w:bidi w:val="0"/>
              <w:adjustRightInd/>
              <w:spacing w:line="360" w:lineRule="auto"/>
              <w:ind w:left="2905" w:hanging="1205"/>
              <w:textAlignment w:val="auto"/>
              <w:rPr>
                <w:rFonts w:hint="eastAsia" w:ascii="宋体" w:hAnsi="宋体" w:eastAsia="宋体" w:cs="宋体"/>
                <w:b/>
                <w:bCs/>
                <w:sz w:val="24"/>
                <w:szCs w:val="24"/>
              </w:rPr>
            </w:pPr>
          </w:p>
          <w:p w14:paraId="32A2AE9F">
            <w:pPr>
              <w:pStyle w:val="23"/>
              <w:keepNext w:val="0"/>
              <w:keepLines w:val="0"/>
              <w:pageBreakBefore w:val="0"/>
              <w:wordWrap/>
              <w:overflowPunct/>
              <w:topLinePunct w:val="0"/>
              <w:autoSpaceDE/>
              <w:autoSpaceDN/>
              <w:bidi w:val="0"/>
              <w:adjustRightInd/>
              <w:spacing w:line="360" w:lineRule="auto"/>
              <w:ind w:left="2905" w:hanging="1205"/>
              <w:textAlignment w:val="auto"/>
              <w:rPr>
                <w:rFonts w:hint="eastAsia" w:ascii="宋体" w:hAnsi="宋体" w:eastAsia="宋体" w:cs="宋体"/>
                <w:b/>
                <w:bCs/>
                <w:sz w:val="24"/>
                <w:szCs w:val="24"/>
              </w:rPr>
            </w:pPr>
          </w:p>
          <w:p w14:paraId="58A022D3">
            <w:pPr>
              <w:keepNext w:val="0"/>
              <w:keepLines w:val="0"/>
              <w:pageBreakBefore w:val="0"/>
              <w:wordWrap/>
              <w:overflowPunct/>
              <w:topLinePunct w:val="0"/>
              <w:autoSpaceDE/>
              <w:autoSpaceDN/>
              <w:bidi w:val="0"/>
              <w:adjustRightInd/>
              <w:spacing w:line="360" w:lineRule="auto"/>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服务方案</w:t>
            </w:r>
          </w:p>
          <w:p w14:paraId="0D56AA5C">
            <w:pPr>
              <w:keepNext w:val="0"/>
              <w:keepLines w:val="0"/>
              <w:pageBreakBefore w:val="0"/>
              <w:wordWrap/>
              <w:overflowPunct/>
              <w:topLinePunct w:val="0"/>
              <w:autoSpaceDE/>
              <w:autoSpaceDN/>
              <w:bidi w:val="0"/>
              <w:adjustRightInd/>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45</w:t>
            </w:r>
            <w:r>
              <w:rPr>
                <w:rFonts w:hint="eastAsia" w:ascii="宋体" w:hAnsi="宋体" w:eastAsia="宋体" w:cs="宋体"/>
                <w:b/>
                <w:bCs/>
                <w:sz w:val="24"/>
                <w:szCs w:val="24"/>
              </w:rPr>
              <w:t>分）</w:t>
            </w:r>
          </w:p>
        </w:tc>
        <w:tc>
          <w:tcPr>
            <w:tcW w:w="7364" w:type="dxa"/>
            <w:tcBorders>
              <w:top w:val="single" w:color="auto" w:sz="4" w:space="0"/>
              <w:left w:val="single" w:color="auto" w:sz="4" w:space="0"/>
              <w:right w:val="single" w:color="auto" w:sz="4" w:space="0"/>
            </w:tcBorders>
          </w:tcPr>
          <w:p w14:paraId="0AAB8FAD">
            <w:pPr>
              <w:keepNext w:val="0"/>
              <w:keepLines w:val="0"/>
              <w:pageBreakBefore w:val="0"/>
              <w:numPr>
                <w:ilvl w:val="0"/>
                <w:numId w:val="0"/>
              </w:numPr>
              <w:wordWrap/>
              <w:overflowPunct/>
              <w:topLinePunct w:val="0"/>
              <w:autoSpaceDE/>
              <w:autoSpaceDN/>
              <w:bidi w:val="0"/>
              <w:adjustRightInd/>
              <w:spacing w:line="360" w:lineRule="auto"/>
              <w:textAlignment w:val="auto"/>
              <w:rPr>
                <w:rFonts w:hint="eastAsia" w:ascii="宋体" w:hAnsi="宋体" w:eastAsia="宋体" w:cs="宋体"/>
                <w:bCs/>
                <w:spacing w:val="-2"/>
                <w:sz w:val="24"/>
                <w:szCs w:val="24"/>
                <w:lang w:val="en-US" w:eastAsia="zh-CN"/>
              </w:rPr>
            </w:pPr>
            <w:r>
              <w:rPr>
                <w:rFonts w:hint="eastAsia" w:ascii="宋体" w:hAnsi="宋体" w:eastAsia="宋体" w:cs="宋体"/>
                <w:bCs/>
                <w:spacing w:val="-2"/>
                <w:sz w:val="24"/>
                <w:szCs w:val="24"/>
                <w:lang w:val="en-US" w:eastAsia="zh-CN"/>
              </w:rPr>
              <w:t>①提供针对本项目的服务方案，描述详细，方案满足项目服务要求，能实现项目目标，磋商小组成员根据其响应情况赋分。</w:t>
            </w:r>
          </w:p>
          <w:p w14:paraId="6533DDF3">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spacing w:val="-2"/>
                <w:sz w:val="24"/>
                <w:szCs w:val="24"/>
                <w:lang w:val="en-US" w:eastAsia="zh-CN"/>
              </w:rPr>
            </w:pPr>
            <w:r>
              <w:rPr>
                <w:rFonts w:hint="eastAsia" w:ascii="宋体" w:hAnsi="宋体" w:eastAsia="宋体" w:cs="宋体"/>
                <w:bCs/>
                <w:spacing w:val="-2"/>
                <w:sz w:val="24"/>
                <w:szCs w:val="24"/>
                <w:lang w:val="en-US" w:eastAsia="zh-CN"/>
              </w:rPr>
              <w:t xml:space="preserve">方案描述详细、满足项目要求，响应项目要求的赋7-10 分； </w:t>
            </w:r>
          </w:p>
          <w:p w14:paraId="4DDF1FBF">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spacing w:val="-2"/>
                <w:sz w:val="24"/>
                <w:szCs w:val="24"/>
                <w:lang w:val="en-US" w:eastAsia="zh-CN"/>
              </w:rPr>
            </w:pPr>
            <w:r>
              <w:rPr>
                <w:rFonts w:hint="eastAsia" w:ascii="宋体" w:hAnsi="宋体" w:eastAsia="宋体" w:cs="宋体"/>
                <w:bCs/>
                <w:spacing w:val="-2"/>
                <w:sz w:val="24"/>
                <w:szCs w:val="24"/>
                <w:lang w:val="en-US" w:eastAsia="zh-CN"/>
              </w:rPr>
              <w:t xml:space="preserve">方案描述较详细，仅响应总体方案和服务方案但无实施计划赋 4-7 分； </w:t>
            </w:r>
          </w:p>
          <w:p w14:paraId="5B07A89E">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spacing w:val="-2"/>
                <w:sz w:val="24"/>
                <w:szCs w:val="24"/>
                <w:lang w:eastAsia="zh-CN"/>
              </w:rPr>
            </w:pPr>
            <w:r>
              <w:rPr>
                <w:rFonts w:hint="eastAsia" w:ascii="宋体" w:hAnsi="宋体" w:eastAsia="宋体" w:cs="宋体"/>
                <w:bCs/>
                <w:spacing w:val="-2"/>
                <w:sz w:val="24"/>
                <w:szCs w:val="24"/>
                <w:lang w:val="en-US" w:eastAsia="zh-CN"/>
              </w:rPr>
              <w:t>方案描述不详细，服务方案不满足项目服务要求赋 1-4 分。</w:t>
            </w:r>
          </w:p>
        </w:tc>
        <w:tc>
          <w:tcPr>
            <w:tcW w:w="941" w:type="dxa"/>
            <w:tcBorders>
              <w:top w:val="single" w:color="auto" w:sz="4" w:space="0"/>
              <w:left w:val="single" w:color="auto" w:sz="4" w:space="0"/>
              <w:right w:val="single" w:color="auto" w:sz="4" w:space="0"/>
            </w:tcBorders>
            <w:vAlign w:val="center"/>
          </w:tcPr>
          <w:p w14:paraId="285BE0A5">
            <w:pPr>
              <w:keepNext w:val="0"/>
              <w:keepLines w:val="0"/>
              <w:pageBreakBefore w:val="0"/>
              <w:wordWrap/>
              <w:overflowPunct/>
              <w:topLinePunct w:val="0"/>
              <w:autoSpaceDE/>
              <w:autoSpaceDN/>
              <w:bidi w:val="0"/>
              <w:adjustRightInd/>
              <w:spacing w:line="360" w:lineRule="auto"/>
              <w:jc w:val="center"/>
              <w:textAlignment w:val="auto"/>
              <w:rPr>
                <w:rFonts w:hint="default" w:ascii="宋体" w:hAnsi="宋体" w:eastAsia="宋体" w:cs="宋体"/>
                <w:bCs/>
                <w:spacing w:val="-2"/>
                <w:sz w:val="24"/>
                <w:szCs w:val="24"/>
                <w:lang w:val="en-US" w:eastAsia="zh-CN"/>
              </w:rPr>
            </w:pPr>
            <w:r>
              <w:rPr>
                <w:rFonts w:hint="eastAsia" w:ascii="宋体" w:hAnsi="宋体" w:eastAsia="宋体" w:cs="宋体"/>
                <w:bCs/>
                <w:spacing w:val="-2"/>
                <w:sz w:val="24"/>
                <w:szCs w:val="24"/>
                <w:lang w:val="en-US" w:eastAsia="zh-CN"/>
              </w:rPr>
              <w:t>10</w:t>
            </w:r>
          </w:p>
        </w:tc>
      </w:tr>
      <w:tr w14:paraId="015725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1" w:hRule="atLeast"/>
          <w:jc w:val="center"/>
        </w:trPr>
        <w:tc>
          <w:tcPr>
            <w:tcW w:w="2154" w:type="dxa"/>
            <w:vMerge w:val="continue"/>
            <w:tcBorders>
              <w:left w:val="single" w:color="auto" w:sz="4" w:space="0"/>
              <w:right w:val="single" w:color="auto" w:sz="4" w:space="0"/>
            </w:tcBorders>
            <w:vAlign w:val="center"/>
          </w:tcPr>
          <w:p w14:paraId="3EC2056F">
            <w:pPr>
              <w:keepNext w:val="0"/>
              <w:keepLines w:val="0"/>
              <w:pageBreakBefore w:val="0"/>
              <w:wordWrap/>
              <w:overflowPunct/>
              <w:topLinePunct w:val="0"/>
              <w:autoSpaceDE/>
              <w:autoSpaceDN/>
              <w:bidi w:val="0"/>
              <w:adjustRightInd/>
              <w:spacing w:line="360" w:lineRule="auto"/>
              <w:jc w:val="center"/>
              <w:textAlignment w:val="auto"/>
              <w:rPr>
                <w:rFonts w:hint="eastAsia" w:ascii="宋体" w:hAnsi="宋体" w:eastAsia="宋体" w:cs="宋体"/>
                <w:b/>
                <w:bCs/>
                <w:sz w:val="24"/>
                <w:szCs w:val="24"/>
              </w:rPr>
            </w:pPr>
          </w:p>
        </w:tc>
        <w:tc>
          <w:tcPr>
            <w:tcW w:w="7364" w:type="dxa"/>
            <w:tcBorders>
              <w:top w:val="single" w:color="auto" w:sz="4" w:space="0"/>
              <w:left w:val="single" w:color="auto" w:sz="4" w:space="0"/>
              <w:right w:val="single" w:color="auto" w:sz="4" w:space="0"/>
            </w:tcBorders>
            <w:vAlign w:val="center"/>
          </w:tcPr>
          <w:p w14:paraId="1959CED8">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spacing w:val="-2"/>
                <w:sz w:val="24"/>
                <w:szCs w:val="24"/>
                <w:lang w:val="en-US" w:eastAsia="zh-CN"/>
              </w:rPr>
            </w:pPr>
            <w:r>
              <w:rPr>
                <w:rFonts w:hint="eastAsia" w:ascii="宋体" w:hAnsi="宋体" w:eastAsia="宋体" w:cs="宋体"/>
                <w:bCs/>
                <w:spacing w:val="-2"/>
                <w:sz w:val="24"/>
                <w:szCs w:val="24"/>
                <w:lang w:val="en-US" w:eastAsia="zh-CN"/>
              </w:rPr>
              <w:t xml:space="preserve">②针对本项目提出详细可行的技术方案，对工作流程、人员投入、仪器设备投入等内容完整性和齐全性进行比较，磋商小组成员根据其响应情况赋分。 </w:t>
            </w:r>
          </w:p>
          <w:p w14:paraId="36A76B3E">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spacing w:val="-2"/>
                <w:sz w:val="24"/>
                <w:szCs w:val="24"/>
                <w:lang w:val="en-US" w:eastAsia="zh-CN"/>
              </w:rPr>
            </w:pPr>
            <w:r>
              <w:rPr>
                <w:rFonts w:hint="eastAsia" w:ascii="宋体" w:hAnsi="宋体" w:eastAsia="宋体" w:cs="宋体"/>
                <w:bCs/>
                <w:spacing w:val="-2"/>
                <w:sz w:val="24"/>
                <w:szCs w:val="24"/>
                <w:lang w:val="en-US" w:eastAsia="zh-CN"/>
              </w:rPr>
              <w:t xml:space="preserve">技术方案完整详细，科学可行的赋 10-15 分； </w:t>
            </w:r>
          </w:p>
          <w:p w14:paraId="50DD183D">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spacing w:val="-2"/>
                <w:sz w:val="24"/>
                <w:szCs w:val="24"/>
                <w:lang w:val="en-US" w:eastAsia="zh-CN"/>
              </w:rPr>
            </w:pPr>
            <w:r>
              <w:rPr>
                <w:rFonts w:hint="eastAsia" w:ascii="宋体" w:hAnsi="宋体" w:eastAsia="宋体" w:cs="宋体"/>
                <w:bCs/>
                <w:spacing w:val="-2"/>
                <w:sz w:val="24"/>
                <w:szCs w:val="24"/>
                <w:lang w:val="en-US" w:eastAsia="zh-CN"/>
              </w:rPr>
              <w:t xml:space="preserve">技术方案较为完整，可行性较高的赋 5-10 分； </w:t>
            </w:r>
          </w:p>
          <w:p w14:paraId="65469AB9">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spacing w:val="-2"/>
                <w:sz w:val="24"/>
                <w:szCs w:val="24"/>
                <w:lang w:val="en-US" w:eastAsia="zh-CN"/>
              </w:rPr>
            </w:pPr>
            <w:r>
              <w:rPr>
                <w:rFonts w:hint="eastAsia" w:ascii="宋体" w:hAnsi="宋体" w:eastAsia="宋体" w:cs="宋体"/>
                <w:bCs/>
                <w:spacing w:val="-2"/>
                <w:sz w:val="24"/>
                <w:szCs w:val="24"/>
                <w:lang w:val="en-US" w:eastAsia="zh-CN"/>
              </w:rPr>
              <w:t>技术方案一般，总体较差的赋 0-5分。</w:t>
            </w:r>
          </w:p>
        </w:tc>
        <w:tc>
          <w:tcPr>
            <w:tcW w:w="941" w:type="dxa"/>
            <w:tcBorders>
              <w:top w:val="single" w:color="auto" w:sz="4" w:space="0"/>
              <w:left w:val="single" w:color="auto" w:sz="4" w:space="0"/>
              <w:right w:val="single" w:color="auto" w:sz="4" w:space="0"/>
            </w:tcBorders>
            <w:vAlign w:val="center"/>
          </w:tcPr>
          <w:p w14:paraId="1AB5FCD9">
            <w:pPr>
              <w:keepNext w:val="0"/>
              <w:keepLines w:val="0"/>
              <w:pageBreakBefore w:val="0"/>
              <w:kinsoku w:val="0"/>
              <w:wordWrap/>
              <w:overflowPunct/>
              <w:topLinePunct w:val="0"/>
              <w:autoSpaceDE/>
              <w:autoSpaceDN/>
              <w:bidi w:val="0"/>
              <w:adjustRightInd/>
              <w:spacing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w:t>
            </w:r>
          </w:p>
        </w:tc>
      </w:tr>
      <w:tr w14:paraId="4A8C1A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 w:hRule="atLeast"/>
          <w:jc w:val="center"/>
        </w:trPr>
        <w:tc>
          <w:tcPr>
            <w:tcW w:w="2154" w:type="dxa"/>
            <w:vMerge w:val="continue"/>
            <w:tcBorders>
              <w:left w:val="single" w:color="auto" w:sz="4" w:space="0"/>
              <w:right w:val="single" w:color="auto" w:sz="4" w:space="0"/>
            </w:tcBorders>
            <w:vAlign w:val="center"/>
          </w:tcPr>
          <w:p w14:paraId="58D9184E">
            <w:pPr>
              <w:keepNext w:val="0"/>
              <w:keepLines w:val="0"/>
              <w:pageBreakBefore w:val="0"/>
              <w:wordWrap/>
              <w:overflowPunct/>
              <w:topLinePunct w:val="0"/>
              <w:autoSpaceDE/>
              <w:autoSpaceDN/>
              <w:bidi w:val="0"/>
              <w:adjustRightInd/>
              <w:spacing w:line="360" w:lineRule="auto"/>
              <w:jc w:val="center"/>
              <w:textAlignment w:val="auto"/>
              <w:rPr>
                <w:rFonts w:hint="eastAsia" w:ascii="宋体" w:hAnsi="宋体" w:eastAsia="宋体" w:cs="宋体"/>
                <w:b/>
                <w:bCs/>
                <w:sz w:val="24"/>
                <w:szCs w:val="24"/>
              </w:rPr>
            </w:pPr>
          </w:p>
        </w:tc>
        <w:tc>
          <w:tcPr>
            <w:tcW w:w="7364" w:type="dxa"/>
            <w:tcBorders>
              <w:top w:val="single" w:color="auto" w:sz="4" w:space="0"/>
              <w:left w:val="single" w:color="auto" w:sz="4" w:space="0"/>
              <w:right w:val="single" w:color="auto" w:sz="4" w:space="0"/>
            </w:tcBorders>
            <w:vAlign w:val="center"/>
          </w:tcPr>
          <w:p w14:paraId="445EF316">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spacing w:val="-2"/>
                <w:sz w:val="24"/>
                <w:szCs w:val="24"/>
                <w:lang w:val="en-US" w:eastAsia="zh-CN"/>
              </w:rPr>
            </w:pPr>
            <w:r>
              <w:rPr>
                <w:rFonts w:hint="eastAsia" w:ascii="宋体" w:hAnsi="宋体" w:eastAsia="宋体" w:cs="宋体"/>
                <w:bCs/>
                <w:spacing w:val="-2"/>
                <w:sz w:val="24"/>
                <w:szCs w:val="24"/>
                <w:lang w:val="en-US" w:eastAsia="zh-CN"/>
              </w:rPr>
              <w:t xml:space="preserve">对本项目实施过程中重点难点分析及应对措施，磋商小组成员根据其响应情况进行赋分。 </w:t>
            </w:r>
          </w:p>
          <w:p w14:paraId="0B57E12E">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spacing w:val="-2"/>
                <w:sz w:val="24"/>
                <w:szCs w:val="24"/>
                <w:lang w:val="en-US" w:eastAsia="zh-CN"/>
              </w:rPr>
            </w:pPr>
            <w:r>
              <w:rPr>
                <w:rFonts w:hint="eastAsia" w:ascii="宋体" w:hAnsi="宋体" w:eastAsia="宋体" w:cs="宋体"/>
                <w:bCs/>
                <w:spacing w:val="-2"/>
                <w:sz w:val="24"/>
                <w:szCs w:val="24"/>
                <w:lang w:val="en-US" w:eastAsia="zh-CN"/>
              </w:rPr>
              <w:t xml:space="preserve">重难点理解到位、应对措施合理可行的赋7-10 分； </w:t>
            </w:r>
          </w:p>
          <w:p w14:paraId="5E883D5E">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spacing w:val="-2"/>
                <w:sz w:val="24"/>
                <w:szCs w:val="24"/>
                <w:lang w:val="en-US" w:eastAsia="zh-CN"/>
              </w:rPr>
            </w:pPr>
            <w:r>
              <w:rPr>
                <w:rFonts w:hint="eastAsia" w:ascii="宋体" w:hAnsi="宋体" w:eastAsia="宋体" w:cs="宋体"/>
                <w:bCs/>
                <w:spacing w:val="-2"/>
                <w:sz w:val="24"/>
                <w:szCs w:val="24"/>
                <w:lang w:val="en-US" w:eastAsia="zh-CN"/>
              </w:rPr>
              <w:t xml:space="preserve">重难点理解基本到位、应对措施较为合理可行的赋 4-7 分； </w:t>
            </w:r>
          </w:p>
          <w:p w14:paraId="6A3C6B7B">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bCs/>
                <w:spacing w:val="-2"/>
                <w:sz w:val="24"/>
                <w:szCs w:val="24"/>
                <w:lang w:val="en-US" w:eastAsia="zh-CN"/>
              </w:rPr>
              <w:t>重难点理解不到位、应对措施较差的赋 0-4 分。</w:t>
            </w:r>
          </w:p>
        </w:tc>
        <w:tc>
          <w:tcPr>
            <w:tcW w:w="941" w:type="dxa"/>
            <w:tcBorders>
              <w:top w:val="single" w:color="auto" w:sz="4" w:space="0"/>
              <w:left w:val="single" w:color="auto" w:sz="4" w:space="0"/>
              <w:right w:val="single" w:color="auto" w:sz="4" w:space="0"/>
            </w:tcBorders>
            <w:vAlign w:val="center"/>
          </w:tcPr>
          <w:p w14:paraId="5A22AD13">
            <w:pPr>
              <w:keepNext w:val="0"/>
              <w:keepLines w:val="0"/>
              <w:pageBreakBefore w:val="0"/>
              <w:kinsoku w:val="0"/>
              <w:wordWrap/>
              <w:overflowPunct/>
              <w:topLinePunct w:val="0"/>
              <w:autoSpaceDE/>
              <w:autoSpaceDN/>
              <w:bidi w:val="0"/>
              <w:adjustRightIn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r>
      <w:tr w14:paraId="61B8BE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 w:hRule="atLeast"/>
          <w:jc w:val="center"/>
        </w:trPr>
        <w:tc>
          <w:tcPr>
            <w:tcW w:w="2154" w:type="dxa"/>
            <w:vMerge w:val="continue"/>
            <w:tcBorders>
              <w:left w:val="single" w:color="auto" w:sz="4" w:space="0"/>
              <w:bottom w:val="single" w:color="auto" w:sz="4" w:space="0"/>
              <w:right w:val="single" w:color="auto" w:sz="4" w:space="0"/>
            </w:tcBorders>
            <w:vAlign w:val="center"/>
          </w:tcPr>
          <w:p w14:paraId="528BAF70">
            <w:pPr>
              <w:keepNext w:val="0"/>
              <w:keepLines w:val="0"/>
              <w:pageBreakBefore w:val="0"/>
              <w:wordWrap/>
              <w:overflowPunct/>
              <w:topLinePunct w:val="0"/>
              <w:autoSpaceDE/>
              <w:autoSpaceDN/>
              <w:bidi w:val="0"/>
              <w:adjustRightInd/>
              <w:spacing w:line="360" w:lineRule="auto"/>
              <w:jc w:val="center"/>
              <w:textAlignment w:val="auto"/>
              <w:rPr>
                <w:rFonts w:hint="eastAsia" w:ascii="宋体" w:hAnsi="宋体" w:eastAsia="宋体" w:cs="宋体"/>
                <w:b/>
                <w:bCs/>
                <w:sz w:val="24"/>
                <w:szCs w:val="24"/>
              </w:rPr>
            </w:pPr>
          </w:p>
        </w:tc>
        <w:tc>
          <w:tcPr>
            <w:tcW w:w="7364" w:type="dxa"/>
            <w:tcBorders>
              <w:top w:val="single" w:color="auto" w:sz="4" w:space="0"/>
              <w:left w:val="single" w:color="auto" w:sz="4" w:space="0"/>
              <w:bottom w:val="single" w:color="auto" w:sz="4" w:space="0"/>
              <w:right w:val="single" w:color="auto" w:sz="4" w:space="0"/>
            </w:tcBorders>
            <w:vAlign w:val="center"/>
          </w:tcPr>
          <w:p w14:paraId="74C96F8F">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spacing w:val="-2"/>
                <w:sz w:val="24"/>
                <w:szCs w:val="24"/>
                <w:lang w:val="en-US" w:eastAsia="zh-CN"/>
              </w:rPr>
            </w:pPr>
            <w:r>
              <w:rPr>
                <w:rFonts w:ascii="楷体" w:hAnsi="楷体" w:eastAsia="楷体" w:cs="楷体"/>
                <w:color w:val="000000"/>
                <w:kern w:val="0"/>
                <w:sz w:val="24"/>
                <w:szCs w:val="24"/>
                <w:lang w:val="en-US" w:eastAsia="zh-CN" w:bidi="ar"/>
              </w:rPr>
              <w:t>④</w:t>
            </w:r>
            <w:r>
              <w:rPr>
                <w:rFonts w:hint="eastAsia" w:ascii="宋体" w:hAnsi="宋体" w:eastAsia="宋体" w:cs="宋体"/>
                <w:bCs/>
                <w:spacing w:val="-2"/>
                <w:sz w:val="24"/>
                <w:szCs w:val="24"/>
                <w:lang w:val="en-US" w:eastAsia="zh-CN"/>
              </w:rPr>
              <w:t xml:space="preserve">工作进度安排及确保服务期的质量保证措施，磋商小组成员 </w:t>
            </w:r>
          </w:p>
          <w:p w14:paraId="48B7F5DF">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spacing w:val="-2"/>
                <w:sz w:val="24"/>
                <w:szCs w:val="24"/>
                <w:lang w:val="en-US" w:eastAsia="zh-CN"/>
              </w:rPr>
            </w:pPr>
            <w:r>
              <w:rPr>
                <w:rFonts w:hint="eastAsia" w:ascii="宋体" w:hAnsi="宋体" w:eastAsia="宋体" w:cs="宋体"/>
                <w:bCs/>
                <w:spacing w:val="-2"/>
                <w:sz w:val="24"/>
                <w:szCs w:val="24"/>
                <w:lang w:val="en-US" w:eastAsia="zh-CN"/>
              </w:rPr>
              <w:t xml:space="preserve">根据其响应情况进行赋分。 </w:t>
            </w:r>
          </w:p>
          <w:p w14:paraId="4A417F18">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spacing w:val="-2"/>
                <w:sz w:val="24"/>
                <w:szCs w:val="24"/>
                <w:lang w:val="en-US" w:eastAsia="zh-CN"/>
              </w:rPr>
            </w:pPr>
            <w:r>
              <w:rPr>
                <w:rFonts w:hint="eastAsia" w:ascii="宋体" w:hAnsi="宋体" w:eastAsia="宋体" w:cs="宋体"/>
                <w:bCs/>
                <w:spacing w:val="-2"/>
                <w:sz w:val="24"/>
                <w:szCs w:val="24"/>
                <w:lang w:val="en-US" w:eastAsia="zh-CN"/>
              </w:rPr>
              <w:t xml:space="preserve">工作进度安排科学合理、质量保证措施详细具体赋 7-10分； </w:t>
            </w:r>
          </w:p>
          <w:p w14:paraId="0DACE8E1">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spacing w:val="-2"/>
                <w:sz w:val="24"/>
                <w:szCs w:val="24"/>
                <w:lang w:val="en-US" w:eastAsia="zh-CN"/>
              </w:rPr>
            </w:pPr>
            <w:r>
              <w:rPr>
                <w:rFonts w:hint="eastAsia" w:ascii="宋体" w:hAnsi="宋体" w:eastAsia="宋体" w:cs="宋体"/>
                <w:bCs/>
                <w:spacing w:val="-2"/>
                <w:sz w:val="24"/>
                <w:szCs w:val="24"/>
                <w:lang w:val="en-US" w:eastAsia="zh-CN"/>
              </w:rPr>
              <w:t xml:space="preserve">工作进度安排较为合理、质量保证措施较为详细赋 4-7 分； </w:t>
            </w:r>
          </w:p>
          <w:p w14:paraId="142E9222">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bCs/>
                <w:spacing w:val="-2"/>
                <w:sz w:val="24"/>
                <w:szCs w:val="24"/>
                <w:lang w:val="en-US" w:eastAsia="zh-CN"/>
              </w:rPr>
              <w:t>工作进度安排不合理、质量保证措施较差赋 0-4 分。</w:t>
            </w:r>
          </w:p>
        </w:tc>
        <w:tc>
          <w:tcPr>
            <w:tcW w:w="941" w:type="dxa"/>
            <w:tcBorders>
              <w:top w:val="single" w:color="auto" w:sz="4" w:space="0"/>
              <w:left w:val="single" w:color="auto" w:sz="4" w:space="0"/>
              <w:right w:val="single" w:color="auto" w:sz="4" w:space="0"/>
            </w:tcBorders>
            <w:vAlign w:val="center"/>
          </w:tcPr>
          <w:p w14:paraId="3D4272AB">
            <w:pPr>
              <w:keepNext w:val="0"/>
              <w:keepLines w:val="0"/>
              <w:pageBreakBefore w:val="0"/>
              <w:kinsoku w:val="0"/>
              <w:wordWrap/>
              <w:overflowPunct/>
              <w:topLinePunct w:val="0"/>
              <w:autoSpaceDE/>
              <w:autoSpaceDN/>
              <w:bidi w:val="0"/>
              <w:adjustRightIn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r>
      <w:tr w14:paraId="514A7E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1" w:hRule="atLeast"/>
          <w:jc w:val="center"/>
        </w:trPr>
        <w:tc>
          <w:tcPr>
            <w:tcW w:w="2154" w:type="dxa"/>
            <w:vMerge w:val="restart"/>
            <w:tcBorders>
              <w:top w:val="single" w:color="auto" w:sz="4" w:space="0"/>
              <w:left w:val="single" w:color="auto" w:sz="4" w:space="0"/>
              <w:right w:val="single" w:color="auto" w:sz="4" w:space="0"/>
            </w:tcBorders>
            <w:vAlign w:val="center"/>
          </w:tcPr>
          <w:p w14:paraId="54C23269">
            <w:pPr>
              <w:keepNext w:val="0"/>
              <w:keepLines w:val="0"/>
              <w:pageBreakBefore w:val="0"/>
              <w:wordWrap/>
              <w:overflowPunct/>
              <w:topLinePunct w:val="0"/>
              <w:autoSpaceDE/>
              <w:autoSpaceDN/>
              <w:bidi w:val="0"/>
              <w:adjustRightIn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人员配备</w:t>
            </w:r>
          </w:p>
          <w:p w14:paraId="366808EF">
            <w:pPr>
              <w:keepNext w:val="0"/>
              <w:keepLines w:val="0"/>
              <w:pageBreakBefore w:val="0"/>
              <w:wordWrap/>
              <w:overflowPunct/>
              <w:topLinePunct w:val="0"/>
              <w:autoSpaceDE/>
              <w:autoSpaceDN/>
              <w:bidi w:val="0"/>
              <w:adjustRightIn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（15分）</w:t>
            </w:r>
          </w:p>
          <w:p w14:paraId="15E17068">
            <w:pPr>
              <w:keepNext w:val="0"/>
              <w:keepLines w:val="0"/>
              <w:pageBreakBefore w:val="0"/>
              <w:wordWrap/>
              <w:overflowPunct/>
              <w:topLinePunct w:val="0"/>
              <w:autoSpaceDE/>
              <w:autoSpaceDN/>
              <w:bidi w:val="0"/>
              <w:adjustRightInd/>
              <w:spacing w:line="360" w:lineRule="auto"/>
              <w:jc w:val="center"/>
              <w:textAlignment w:val="auto"/>
              <w:rPr>
                <w:rFonts w:hint="eastAsia" w:ascii="宋体" w:hAnsi="宋体" w:eastAsia="宋体" w:cs="宋体"/>
                <w:b/>
                <w:bCs/>
                <w:sz w:val="24"/>
                <w:szCs w:val="24"/>
              </w:rPr>
            </w:pPr>
          </w:p>
        </w:tc>
        <w:tc>
          <w:tcPr>
            <w:tcW w:w="7364" w:type="dxa"/>
            <w:tcBorders>
              <w:top w:val="single" w:color="auto" w:sz="4" w:space="0"/>
              <w:left w:val="single" w:color="auto" w:sz="4" w:space="0"/>
              <w:right w:val="single" w:color="auto" w:sz="4" w:space="0"/>
            </w:tcBorders>
            <w:vAlign w:val="center"/>
          </w:tcPr>
          <w:p w14:paraId="68FF3F6D">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spacing w:val="-2"/>
                <w:sz w:val="24"/>
                <w:szCs w:val="24"/>
                <w:lang w:val="en-US" w:eastAsia="zh-CN"/>
              </w:rPr>
            </w:pPr>
            <w:r>
              <w:rPr>
                <w:rFonts w:hint="eastAsia" w:ascii="宋体" w:hAnsi="宋体" w:eastAsia="宋体" w:cs="宋体"/>
                <w:bCs/>
                <w:spacing w:val="-2"/>
                <w:sz w:val="24"/>
                <w:szCs w:val="24"/>
                <w:lang w:val="en-US" w:eastAsia="zh-CN"/>
              </w:rPr>
              <w:t xml:space="preserve">⑤根据项目实施团队的组织机构和人员构成情况进行综合比较评价，磋商小组根据其响应情况进行赋分。 </w:t>
            </w:r>
          </w:p>
          <w:p w14:paraId="1C216F3D">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spacing w:val="-2"/>
                <w:sz w:val="24"/>
                <w:szCs w:val="24"/>
                <w:lang w:val="en-US" w:eastAsia="zh-CN"/>
              </w:rPr>
            </w:pPr>
            <w:r>
              <w:rPr>
                <w:rFonts w:hint="eastAsia" w:ascii="宋体" w:hAnsi="宋体" w:eastAsia="宋体" w:cs="宋体"/>
                <w:bCs/>
                <w:spacing w:val="-2"/>
                <w:sz w:val="24"/>
                <w:szCs w:val="24"/>
                <w:lang w:val="en-US" w:eastAsia="zh-CN"/>
              </w:rPr>
              <w:t xml:space="preserve">组织结构完善合理，人员配备实力较强，根据供应商响应情况赋 7-10 分； </w:t>
            </w:r>
          </w:p>
          <w:p w14:paraId="28BA5A8A">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spacing w:val="-2"/>
                <w:sz w:val="24"/>
                <w:szCs w:val="24"/>
                <w:lang w:val="en-US" w:eastAsia="zh-CN"/>
              </w:rPr>
            </w:pPr>
            <w:r>
              <w:rPr>
                <w:rFonts w:hint="eastAsia" w:ascii="宋体" w:hAnsi="宋体" w:eastAsia="宋体" w:cs="宋体"/>
                <w:bCs/>
                <w:spacing w:val="-2"/>
                <w:sz w:val="24"/>
                <w:szCs w:val="24"/>
                <w:lang w:val="en-US" w:eastAsia="zh-CN"/>
              </w:rPr>
              <w:t xml:space="preserve">组织机构合理，人员配备齐全，根据供应商响应情况赋 4-7 分； </w:t>
            </w:r>
          </w:p>
          <w:p w14:paraId="572D76A9">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spacing w:val="-2"/>
                <w:sz w:val="24"/>
                <w:szCs w:val="24"/>
                <w:lang w:val="en-US" w:eastAsia="zh-CN"/>
              </w:rPr>
            </w:pPr>
            <w:r>
              <w:rPr>
                <w:rFonts w:hint="eastAsia" w:ascii="宋体" w:hAnsi="宋体" w:eastAsia="宋体" w:cs="宋体"/>
                <w:bCs/>
                <w:spacing w:val="-2"/>
                <w:sz w:val="24"/>
                <w:szCs w:val="24"/>
                <w:lang w:val="en-US" w:eastAsia="zh-CN"/>
              </w:rPr>
              <w:t>组织机构和人员安排一般赋 0-4 分。</w:t>
            </w:r>
          </w:p>
        </w:tc>
        <w:tc>
          <w:tcPr>
            <w:tcW w:w="941" w:type="dxa"/>
            <w:tcBorders>
              <w:top w:val="single" w:color="auto" w:sz="4" w:space="0"/>
              <w:left w:val="single" w:color="auto" w:sz="4" w:space="0"/>
              <w:right w:val="single" w:color="auto" w:sz="4" w:space="0"/>
            </w:tcBorders>
            <w:vAlign w:val="center"/>
          </w:tcPr>
          <w:p w14:paraId="47183244">
            <w:pPr>
              <w:keepNext w:val="0"/>
              <w:keepLines w:val="0"/>
              <w:pageBreakBefore w:val="0"/>
              <w:kinsoku w:val="0"/>
              <w:wordWrap/>
              <w:overflowPunct/>
              <w:topLinePunct w:val="0"/>
              <w:autoSpaceDE/>
              <w:autoSpaceDN/>
              <w:bidi w:val="0"/>
              <w:adjustRightIn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r>
      <w:tr w14:paraId="1E99FD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3" w:hRule="atLeast"/>
          <w:jc w:val="center"/>
        </w:trPr>
        <w:tc>
          <w:tcPr>
            <w:tcW w:w="2154" w:type="dxa"/>
            <w:vMerge w:val="continue"/>
            <w:tcBorders>
              <w:left w:val="single" w:color="auto" w:sz="4" w:space="0"/>
              <w:right w:val="single" w:color="auto" w:sz="4" w:space="0"/>
            </w:tcBorders>
            <w:vAlign w:val="center"/>
          </w:tcPr>
          <w:p w14:paraId="5A1D5FEE">
            <w:pPr>
              <w:keepNext w:val="0"/>
              <w:keepLines w:val="0"/>
              <w:pageBreakBefore w:val="0"/>
              <w:wordWrap/>
              <w:overflowPunct/>
              <w:topLinePunct w:val="0"/>
              <w:autoSpaceDE/>
              <w:autoSpaceDN/>
              <w:bidi w:val="0"/>
              <w:adjustRightInd/>
              <w:spacing w:line="360" w:lineRule="auto"/>
              <w:jc w:val="center"/>
              <w:textAlignment w:val="auto"/>
              <w:rPr>
                <w:rFonts w:hint="eastAsia" w:ascii="宋体" w:hAnsi="宋体" w:eastAsia="宋体" w:cs="宋体"/>
                <w:b/>
                <w:bCs/>
                <w:sz w:val="24"/>
                <w:szCs w:val="24"/>
              </w:rPr>
            </w:pPr>
          </w:p>
        </w:tc>
        <w:tc>
          <w:tcPr>
            <w:tcW w:w="7364" w:type="dxa"/>
            <w:tcBorders>
              <w:top w:val="single" w:color="auto" w:sz="4" w:space="0"/>
              <w:left w:val="single" w:color="auto" w:sz="4" w:space="0"/>
              <w:right w:val="single" w:color="auto" w:sz="4" w:space="0"/>
            </w:tcBorders>
            <w:vAlign w:val="center"/>
          </w:tcPr>
          <w:p w14:paraId="668ABE9F">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spacing w:val="-2"/>
                <w:sz w:val="24"/>
                <w:szCs w:val="24"/>
              </w:rPr>
            </w:pPr>
            <w:r>
              <w:rPr>
                <w:rFonts w:hint="eastAsia" w:ascii="宋体" w:hAnsi="宋体" w:eastAsia="宋体" w:cs="宋体"/>
                <w:bCs/>
                <w:spacing w:val="-2"/>
                <w:sz w:val="24"/>
                <w:szCs w:val="24"/>
                <w:lang w:val="en-US" w:eastAsia="zh-CN"/>
              </w:rPr>
              <w:t xml:space="preserve">⑥拟派项目负责人具有相关专业高级专业职称得 5 分，中级得 3 分，其他和未提供的不得分。（以上职称证书复印件加盖供应商公章） </w:t>
            </w:r>
          </w:p>
        </w:tc>
        <w:tc>
          <w:tcPr>
            <w:tcW w:w="941" w:type="dxa"/>
            <w:tcBorders>
              <w:top w:val="single" w:color="auto" w:sz="4" w:space="0"/>
              <w:left w:val="single" w:color="auto" w:sz="4" w:space="0"/>
              <w:right w:val="single" w:color="auto" w:sz="4" w:space="0"/>
            </w:tcBorders>
            <w:vAlign w:val="center"/>
          </w:tcPr>
          <w:p w14:paraId="53CECC76">
            <w:pPr>
              <w:keepNext w:val="0"/>
              <w:keepLines w:val="0"/>
              <w:pageBreakBefore w:val="0"/>
              <w:kinsoku w:val="0"/>
              <w:wordWrap/>
              <w:overflowPunct/>
              <w:topLinePunct w:val="0"/>
              <w:autoSpaceDE/>
              <w:autoSpaceDN/>
              <w:bidi w:val="0"/>
              <w:adjustRightIn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r>
      <w:tr w14:paraId="347D2C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jc w:val="center"/>
        </w:trPr>
        <w:tc>
          <w:tcPr>
            <w:tcW w:w="2154" w:type="dxa"/>
            <w:tcBorders>
              <w:top w:val="single" w:color="auto" w:sz="4" w:space="0"/>
              <w:left w:val="single" w:color="auto" w:sz="4" w:space="0"/>
              <w:bottom w:val="single" w:color="auto" w:sz="4" w:space="0"/>
              <w:right w:val="single" w:color="auto" w:sz="4" w:space="0"/>
            </w:tcBorders>
            <w:vAlign w:val="center"/>
          </w:tcPr>
          <w:p w14:paraId="68D3DA9F">
            <w:pPr>
              <w:keepNext w:val="0"/>
              <w:keepLines w:val="0"/>
              <w:pageBreakBefore w:val="0"/>
              <w:wordWrap/>
              <w:overflowPunct/>
              <w:topLinePunct w:val="0"/>
              <w:autoSpaceDE/>
              <w:autoSpaceDN/>
              <w:bidi w:val="0"/>
              <w:adjustRightInd/>
              <w:spacing w:line="360" w:lineRule="auto"/>
              <w:jc w:val="center"/>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服务后期承诺</w:t>
            </w:r>
          </w:p>
          <w:p w14:paraId="729C2FE8">
            <w:pPr>
              <w:pStyle w:val="2"/>
              <w:rPr>
                <w:rFonts w:hint="default"/>
                <w:lang w:val="en-US" w:eastAsia="zh-CN"/>
              </w:rPr>
            </w:pPr>
            <w:r>
              <w:rPr>
                <w:rFonts w:hint="eastAsia" w:ascii="宋体" w:hAnsi="宋体" w:eastAsia="宋体" w:cs="宋体"/>
                <w:b/>
                <w:bCs/>
                <w:color w:val="000000" w:themeColor="text1"/>
                <w:sz w:val="24"/>
                <w:szCs w:val="24"/>
                <w:lang w:val="en-US" w:eastAsia="zh-CN"/>
                <w14:textFill>
                  <w14:solidFill>
                    <w14:schemeClr w14:val="tx1"/>
                  </w14:solidFill>
                </w14:textFill>
              </w:rPr>
              <w:t xml:space="preserve">      （10分）</w:t>
            </w:r>
          </w:p>
        </w:tc>
        <w:tc>
          <w:tcPr>
            <w:tcW w:w="7364" w:type="dxa"/>
            <w:tcBorders>
              <w:top w:val="single" w:color="auto" w:sz="4" w:space="0"/>
              <w:left w:val="single" w:color="auto" w:sz="4" w:space="0"/>
              <w:bottom w:val="single" w:color="auto" w:sz="4" w:space="0"/>
              <w:right w:val="single" w:color="auto" w:sz="4" w:space="0"/>
            </w:tcBorders>
          </w:tcPr>
          <w:p w14:paraId="107B8821">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spacing w:val="-2"/>
                <w:sz w:val="24"/>
                <w:szCs w:val="24"/>
                <w:lang w:val="en-US" w:eastAsia="zh-CN"/>
              </w:rPr>
            </w:pPr>
            <w:r>
              <w:rPr>
                <w:rFonts w:hint="eastAsia" w:ascii="宋体" w:hAnsi="宋体" w:eastAsia="宋体" w:cs="宋体"/>
                <w:bCs/>
                <w:spacing w:val="-2"/>
                <w:sz w:val="24"/>
                <w:szCs w:val="24"/>
                <w:lang w:val="en-US" w:eastAsia="zh-CN"/>
              </w:rPr>
              <w:t xml:space="preserve">⑦供应商对项目实施过程中和后期服务配合做出承诺，磋商小组成员根据其响应情况进行赋分。 </w:t>
            </w:r>
          </w:p>
          <w:p w14:paraId="4DBA4713">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spacing w:val="-2"/>
                <w:sz w:val="24"/>
                <w:szCs w:val="24"/>
                <w:lang w:val="en-US" w:eastAsia="zh-CN"/>
              </w:rPr>
            </w:pPr>
            <w:r>
              <w:rPr>
                <w:rFonts w:hint="eastAsia" w:ascii="宋体" w:hAnsi="宋体" w:eastAsia="宋体" w:cs="宋体"/>
                <w:bCs/>
                <w:spacing w:val="-2"/>
                <w:sz w:val="24"/>
                <w:szCs w:val="24"/>
                <w:lang w:val="en-US" w:eastAsia="zh-CN"/>
              </w:rPr>
              <w:t xml:space="preserve">承诺内容全面，实际可行性较高的赋 7-10 分， </w:t>
            </w:r>
          </w:p>
          <w:p w14:paraId="490F15E3">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spacing w:val="-2"/>
                <w:sz w:val="24"/>
                <w:szCs w:val="24"/>
                <w:lang w:val="en-US" w:eastAsia="zh-CN"/>
              </w:rPr>
            </w:pPr>
            <w:r>
              <w:rPr>
                <w:rFonts w:hint="eastAsia" w:ascii="宋体" w:hAnsi="宋体" w:eastAsia="宋体" w:cs="宋体"/>
                <w:bCs/>
                <w:spacing w:val="-2"/>
                <w:sz w:val="24"/>
                <w:szCs w:val="24"/>
                <w:lang w:val="en-US" w:eastAsia="zh-CN"/>
              </w:rPr>
              <w:t xml:space="preserve">承诺内容比较全面，有一定的可行性的赋 4-7 分， </w:t>
            </w:r>
          </w:p>
          <w:p w14:paraId="213C260D">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spacing w:val="-2"/>
                <w:sz w:val="24"/>
                <w:szCs w:val="24"/>
                <w:lang w:val="en-US" w:eastAsia="zh-CN"/>
              </w:rPr>
            </w:pPr>
            <w:r>
              <w:rPr>
                <w:rFonts w:hint="eastAsia" w:ascii="宋体" w:hAnsi="宋体" w:eastAsia="宋体" w:cs="宋体"/>
                <w:bCs/>
                <w:spacing w:val="-2"/>
                <w:sz w:val="24"/>
                <w:szCs w:val="24"/>
                <w:lang w:val="en-US" w:eastAsia="zh-CN"/>
              </w:rPr>
              <w:t>承诺内容一般，赋 0-4 分。</w:t>
            </w:r>
          </w:p>
        </w:tc>
        <w:tc>
          <w:tcPr>
            <w:tcW w:w="941" w:type="dxa"/>
            <w:tcBorders>
              <w:top w:val="single" w:color="auto" w:sz="4" w:space="0"/>
              <w:left w:val="single" w:color="auto" w:sz="4" w:space="0"/>
              <w:bottom w:val="single" w:color="auto" w:sz="4" w:space="0"/>
              <w:right w:val="single" w:color="auto" w:sz="4" w:space="0"/>
            </w:tcBorders>
            <w:vAlign w:val="center"/>
          </w:tcPr>
          <w:p w14:paraId="6FD1E96D">
            <w:pPr>
              <w:keepNext w:val="0"/>
              <w:keepLines w:val="0"/>
              <w:pageBreakBefore w:val="0"/>
              <w:wordWrap/>
              <w:overflowPunct/>
              <w:topLinePunct w:val="0"/>
              <w:autoSpaceDE/>
              <w:autoSpaceDN/>
              <w:bidi w:val="0"/>
              <w:adjustRightInd/>
              <w:spacing w:line="360" w:lineRule="auto"/>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10</w:t>
            </w:r>
          </w:p>
        </w:tc>
      </w:tr>
      <w:tr w14:paraId="59233B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jc w:val="center"/>
        </w:trPr>
        <w:tc>
          <w:tcPr>
            <w:tcW w:w="2154" w:type="dxa"/>
            <w:tcBorders>
              <w:top w:val="single" w:color="auto" w:sz="4" w:space="0"/>
              <w:left w:val="single" w:color="auto" w:sz="4" w:space="0"/>
              <w:bottom w:val="single" w:color="auto" w:sz="4" w:space="0"/>
              <w:right w:val="single" w:color="auto" w:sz="4" w:space="0"/>
            </w:tcBorders>
            <w:vAlign w:val="center"/>
          </w:tcPr>
          <w:p w14:paraId="442370C2">
            <w:pPr>
              <w:keepNext w:val="0"/>
              <w:keepLines w:val="0"/>
              <w:pageBreakBefore w:val="0"/>
              <w:wordWrap/>
              <w:overflowPunct/>
              <w:topLinePunct w:val="0"/>
              <w:autoSpaceDE/>
              <w:autoSpaceDN/>
              <w:bidi w:val="0"/>
              <w:adjustRightInd/>
              <w:spacing w:line="360" w:lineRule="auto"/>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14:textFill>
                  <w14:solidFill>
                    <w14:schemeClr w14:val="tx1"/>
                  </w14:solidFill>
                </w14:textFill>
              </w:rPr>
              <w:t>业绩（</w:t>
            </w:r>
            <w:r>
              <w:rPr>
                <w:rFonts w:hint="eastAsia" w:ascii="宋体" w:hAnsi="宋体" w:eastAsia="宋体" w:cs="宋体"/>
                <w:b/>
                <w:bCs/>
                <w:color w:val="000000" w:themeColor="text1"/>
                <w:sz w:val="24"/>
                <w:szCs w:val="24"/>
                <w:lang w:val="en-US" w:eastAsia="zh-CN"/>
                <w14:textFill>
                  <w14:solidFill>
                    <w14:schemeClr w14:val="tx1"/>
                  </w14:solidFill>
                </w14:textFill>
              </w:rPr>
              <w:t>10</w:t>
            </w:r>
            <w:r>
              <w:rPr>
                <w:rFonts w:hint="eastAsia" w:ascii="宋体" w:hAnsi="宋体" w:eastAsia="宋体" w:cs="宋体"/>
                <w:b/>
                <w:bCs/>
                <w:color w:val="000000" w:themeColor="text1"/>
                <w:sz w:val="24"/>
                <w:szCs w:val="24"/>
                <w14:textFill>
                  <w14:solidFill>
                    <w14:schemeClr w14:val="tx1"/>
                  </w14:solidFill>
                </w14:textFill>
              </w:rPr>
              <w:t>分）</w:t>
            </w:r>
          </w:p>
        </w:tc>
        <w:tc>
          <w:tcPr>
            <w:tcW w:w="7364" w:type="dxa"/>
            <w:tcBorders>
              <w:top w:val="single" w:color="auto" w:sz="4" w:space="0"/>
              <w:left w:val="single" w:color="auto" w:sz="4" w:space="0"/>
              <w:bottom w:val="single" w:color="auto" w:sz="4" w:space="0"/>
              <w:right w:val="single" w:color="auto" w:sz="4" w:space="0"/>
            </w:tcBorders>
          </w:tcPr>
          <w:p w14:paraId="217F065D">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spacing w:val="-2"/>
                <w:sz w:val="24"/>
                <w:szCs w:val="24"/>
                <w:lang w:val="en-US" w:eastAsia="zh-CN"/>
              </w:rPr>
            </w:pPr>
            <w:r>
              <w:rPr>
                <w:rFonts w:hint="eastAsia" w:ascii="宋体" w:hAnsi="宋体" w:eastAsia="宋体" w:cs="宋体"/>
                <w:bCs/>
                <w:spacing w:val="-2"/>
                <w:sz w:val="24"/>
                <w:szCs w:val="24"/>
                <w:lang w:val="en-US" w:eastAsia="zh-CN"/>
              </w:rPr>
              <w:t>⑧供应商须提供 2022年 1 月至今已完成类似项目业绩，每提供一项得 2 分，最高不超过 10分。（以合同签订时间为准，提供合同复印件加盖供应商公章）。</w:t>
            </w:r>
          </w:p>
        </w:tc>
        <w:tc>
          <w:tcPr>
            <w:tcW w:w="941" w:type="dxa"/>
            <w:tcBorders>
              <w:top w:val="single" w:color="auto" w:sz="4" w:space="0"/>
              <w:left w:val="single" w:color="auto" w:sz="4" w:space="0"/>
              <w:bottom w:val="single" w:color="auto" w:sz="4" w:space="0"/>
              <w:right w:val="single" w:color="auto" w:sz="4" w:space="0"/>
            </w:tcBorders>
            <w:vAlign w:val="center"/>
          </w:tcPr>
          <w:p w14:paraId="6DDCACDD">
            <w:pPr>
              <w:keepNext w:val="0"/>
              <w:keepLines w:val="0"/>
              <w:pageBreakBefore w:val="0"/>
              <w:wordWrap/>
              <w:overflowPunct/>
              <w:topLinePunct w:val="0"/>
              <w:autoSpaceDE/>
              <w:autoSpaceDN/>
              <w:bidi w:val="0"/>
              <w:adjustRightInd/>
              <w:spacing w:line="360" w:lineRule="auto"/>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10</w:t>
            </w:r>
          </w:p>
        </w:tc>
      </w:tr>
      <w:tr w14:paraId="1B607E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154" w:type="dxa"/>
            <w:tcBorders>
              <w:top w:val="single" w:color="auto" w:sz="4" w:space="0"/>
              <w:left w:val="single" w:color="auto" w:sz="4" w:space="0"/>
              <w:right w:val="single" w:color="auto" w:sz="4" w:space="0"/>
            </w:tcBorders>
            <w:vAlign w:val="center"/>
          </w:tcPr>
          <w:p w14:paraId="03E04343">
            <w:pPr>
              <w:keepNext w:val="0"/>
              <w:keepLines w:val="0"/>
              <w:pageBreakBefore w:val="0"/>
              <w:wordWrap/>
              <w:overflowPunct/>
              <w:topLinePunct w:val="0"/>
              <w:autoSpaceDE/>
              <w:autoSpaceDN/>
              <w:bidi w:val="0"/>
              <w:adjustRightInd/>
              <w:spacing w:line="360" w:lineRule="auto"/>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说明</w:t>
            </w:r>
          </w:p>
        </w:tc>
        <w:tc>
          <w:tcPr>
            <w:tcW w:w="7364" w:type="dxa"/>
            <w:tcBorders>
              <w:top w:val="single" w:color="auto" w:sz="4" w:space="0"/>
              <w:left w:val="single" w:color="auto" w:sz="4" w:space="0"/>
              <w:bottom w:val="single" w:color="auto" w:sz="4" w:space="0"/>
              <w:right w:val="single" w:color="auto" w:sz="4" w:space="0"/>
            </w:tcBorders>
          </w:tcPr>
          <w:p w14:paraId="0AAFEE05">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spacing w:val="-2"/>
                <w:sz w:val="24"/>
                <w:szCs w:val="24"/>
              </w:rPr>
            </w:pPr>
            <w:r>
              <w:rPr>
                <w:rFonts w:hint="eastAsia" w:ascii="宋体" w:hAnsi="宋体" w:eastAsia="宋体" w:cs="宋体"/>
                <w:bCs/>
                <w:spacing w:val="-2"/>
                <w:sz w:val="24"/>
                <w:szCs w:val="24"/>
              </w:rPr>
              <w:t>1、</w:t>
            </w:r>
            <w:r>
              <w:rPr>
                <w:rFonts w:hint="eastAsia" w:ascii="宋体" w:hAnsi="宋体" w:eastAsia="宋体" w:cs="宋体"/>
                <w:bCs/>
                <w:spacing w:val="-2"/>
                <w:sz w:val="24"/>
                <w:szCs w:val="24"/>
                <w:lang w:eastAsia="zh-CN"/>
              </w:rPr>
              <w:t>磋商小组</w:t>
            </w:r>
            <w:r>
              <w:rPr>
                <w:rFonts w:hint="eastAsia" w:ascii="宋体" w:hAnsi="宋体" w:eastAsia="宋体" w:cs="宋体"/>
                <w:bCs/>
                <w:spacing w:val="-2"/>
                <w:sz w:val="24"/>
                <w:szCs w:val="24"/>
              </w:rPr>
              <w:t>各成员独立打分。</w:t>
            </w:r>
          </w:p>
          <w:p w14:paraId="2472EEA1">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spacing w:val="-2"/>
                <w:sz w:val="24"/>
                <w:szCs w:val="24"/>
              </w:rPr>
            </w:pPr>
            <w:r>
              <w:rPr>
                <w:rFonts w:hint="eastAsia" w:ascii="宋体" w:hAnsi="宋体" w:eastAsia="宋体" w:cs="宋体"/>
                <w:bCs/>
                <w:spacing w:val="-2"/>
                <w:sz w:val="24"/>
                <w:szCs w:val="24"/>
              </w:rPr>
              <w:t>2、评委打分超过得分界限或未按本表规定赋分时，该评委的打分作废，不计入汇总分。</w:t>
            </w:r>
          </w:p>
          <w:p w14:paraId="11BEB006">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spacing w:val="-2"/>
                <w:sz w:val="24"/>
                <w:szCs w:val="24"/>
              </w:rPr>
            </w:pPr>
            <w:r>
              <w:rPr>
                <w:rFonts w:hint="eastAsia" w:ascii="宋体" w:hAnsi="宋体" w:eastAsia="宋体" w:cs="宋体"/>
                <w:bCs/>
                <w:spacing w:val="-2"/>
                <w:sz w:val="24"/>
                <w:szCs w:val="24"/>
              </w:rPr>
              <w:t>3、若出现综合得分并列时，比较价格得分，此分项得分高者排序在前；若价格得分仍相同，比较技术得分，此分项得分高者排序在前；若技术得分仍相同，则由全体</w:t>
            </w:r>
            <w:r>
              <w:rPr>
                <w:rFonts w:hint="eastAsia" w:ascii="宋体" w:hAnsi="宋体" w:eastAsia="宋体" w:cs="宋体"/>
                <w:bCs/>
                <w:spacing w:val="-2"/>
                <w:sz w:val="24"/>
                <w:szCs w:val="24"/>
                <w:lang w:eastAsia="zh-CN"/>
              </w:rPr>
              <w:t>磋商小组</w:t>
            </w:r>
            <w:r>
              <w:rPr>
                <w:rFonts w:hint="eastAsia" w:ascii="宋体" w:hAnsi="宋体" w:eastAsia="宋体" w:cs="宋体"/>
                <w:bCs/>
                <w:spacing w:val="-2"/>
                <w:sz w:val="24"/>
                <w:szCs w:val="24"/>
              </w:rPr>
              <w:t>成员无记名投票，得票高者排序在前。</w:t>
            </w:r>
          </w:p>
          <w:p w14:paraId="1DD96DB8">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spacing w:val="-2"/>
                <w:sz w:val="24"/>
                <w:szCs w:val="24"/>
              </w:rPr>
            </w:pPr>
            <w:r>
              <w:rPr>
                <w:rFonts w:hint="eastAsia" w:ascii="宋体" w:hAnsi="宋体" w:eastAsia="宋体" w:cs="宋体"/>
                <w:bCs/>
                <w:spacing w:val="-2"/>
                <w:sz w:val="24"/>
                <w:szCs w:val="24"/>
              </w:rPr>
              <w:t>4、各种计算采用插入法，数字均保留</w:t>
            </w:r>
            <w:r>
              <w:rPr>
                <w:rFonts w:hint="eastAsia" w:ascii="宋体" w:hAnsi="宋体" w:eastAsia="宋体" w:cs="宋体"/>
                <w:bCs/>
                <w:spacing w:val="-2"/>
                <w:sz w:val="24"/>
                <w:szCs w:val="24"/>
                <w:lang w:eastAsia="zh-CN"/>
              </w:rPr>
              <w:t>二</w:t>
            </w:r>
            <w:r>
              <w:rPr>
                <w:rFonts w:hint="eastAsia" w:ascii="宋体" w:hAnsi="宋体" w:eastAsia="宋体" w:cs="宋体"/>
                <w:bCs/>
                <w:spacing w:val="-2"/>
                <w:sz w:val="24"/>
                <w:szCs w:val="24"/>
              </w:rPr>
              <w:t>位小数，第</w:t>
            </w:r>
            <w:r>
              <w:rPr>
                <w:rFonts w:hint="eastAsia" w:ascii="宋体" w:hAnsi="宋体" w:eastAsia="宋体" w:cs="宋体"/>
                <w:bCs/>
                <w:spacing w:val="-2"/>
                <w:sz w:val="24"/>
                <w:szCs w:val="24"/>
                <w:lang w:eastAsia="zh-CN"/>
              </w:rPr>
              <w:t>三</w:t>
            </w:r>
            <w:r>
              <w:rPr>
                <w:rFonts w:hint="eastAsia" w:ascii="宋体" w:hAnsi="宋体" w:eastAsia="宋体" w:cs="宋体"/>
                <w:bCs/>
                <w:spacing w:val="-2"/>
                <w:sz w:val="24"/>
                <w:szCs w:val="24"/>
              </w:rPr>
              <w:t>位“四舍五入”。</w:t>
            </w:r>
          </w:p>
          <w:p w14:paraId="7B27D38E">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spacing w:val="-2"/>
                <w:sz w:val="24"/>
                <w:szCs w:val="24"/>
              </w:rPr>
            </w:pPr>
            <w:r>
              <w:rPr>
                <w:rFonts w:hint="eastAsia" w:ascii="宋体" w:hAnsi="宋体" w:eastAsia="宋体" w:cs="宋体"/>
                <w:bCs/>
                <w:spacing w:val="-2"/>
                <w:sz w:val="24"/>
                <w:szCs w:val="24"/>
              </w:rPr>
              <w:t>5、评标过程中，若出现特殊情况时，由</w:t>
            </w:r>
            <w:r>
              <w:rPr>
                <w:rFonts w:hint="eastAsia" w:ascii="宋体" w:hAnsi="宋体" w:eastAsia="宋体" w:cs="宋体"/>
                <w:bCs/>
                <w:spacing w:val="-2"/>
                <w:sz w:val="24"/>
                <w:szCs w:val="24"/>
                <w:lang w:eastAsia="zh-CN"/>
              </w:rPr>
              <w:t>磋商小组</w:t>
            </w:r>
            <w:r>
              <w:rPr>
                <w:rFonts w:hint="eastAsia" w:ascii="宋体" w:hAnsi="宋体" w:eastAsia="宋体" w:cs="宋体"/>
                <w:bCs/>
                <w:spacing w:val="-2"/>
                <w:sz w:val="24"/>
                <w:szCs w:val="24"/>
              </w:rPr>
              <w:t>决定暂停评标，并提出具体处理意见。</w:t>
            </w:r>
          </w:p>
        </w:tc>
        <w:tc>
          <w:tcPr>
            <w:tcW w:w="941" w:type="dxa"/>
            <w:tcBorders>
              <w:top w:val="single" w:color="auto" w:sz="4" w:space="0"/>
              <w:left w:val="single" w:color="auto" w:sz="4" w:space="0"/>
              <w:bottom w:val="single" w:color="auto" w:sz="4" w:space="0"/>
              <w:right w:val="single" w:color="auto" w:sz="4" w:space="0"/>
            </w:tcBorders>
            <w:vAlign w:val="center"/>
          </w:tcPr>
          <w:p w14:paraId="5109542B">
            <w:pPr>
              <w:keepNext w:val="0"/>
              <w:keepLines w:val="0"/>
              <w:pageBreakBefore w:val="0"/>
              <w:wordWrap/>
              <w:overflowPunct/>
              <w:topLinePunct w:val="0"/>
              <w:autoSpaceDE/>
              <w:autoSpaceDN/>
              <w:bidi w:val="0"/>
              <w:adjustRightInd/>
              <w:spacing w:line="360" w:lineRule="auto"/>
              <w:jc w:val="center"/>
              <w:textAlignment w:val="auto"/>
              <w:rPr>
                <w:rFonts w:hint="eastAsia" w:ascii="宋体" w:hAnsi="宋体" w:eastAsia="宋体" w:cs="宋体"/>
                <w:bCs/>
                <w:sz w:val="24"/>
                <w:szCs w:val="24"/>
              </w:rPr>
            </w:pPr>
          </w:p>
        </w:tc>
      </w:tr>
    </w:tbl>
    <w:p w14:paraId="7D79AFD8">
      <w:pPr>
        <w:pStyle w:val="39"/>
        <w:ind w:firstLine="482"/>
        <w:rPr>
          <w:rFonts w:hint="eastAsia" w:ascii="宋体" w:hAnsi="宋体" w:eastAsia="宋体" w:cs="宋体"/>
          <w:b/>
        </w:rPr>
      </w:pPr>
      <w:r>
        <w:rPr>
          <w:rFonts w:hint="eastAsia" w:ascii="宋体" w:hAnsi="宋体" w:eastAsia="宋体" w:cs="宋体"/>
          <w:b/>
        </w:rPr>
        <w:t>3.5响应文件的澄清</w:t>
      </w:r>
    </w:p>
    <w:p w14:paraId="5D7E68A0">
      <w:pPr>
        <w:pStyle w:val="39"/>
        <w:ind w:firstLine="480"/>
        <w:rPr>
          <w:rFonts w:hint="eastAsia" w:ascii="宋体" w:hAnsi="宋体" w:eastAsia="宋体" w:cs="宋体"/>
        </w:rPr>
      </w:pPr>
      <w:r>
        <w:rPr>
          <w:rFonts w:hint="eastAsia" w:ascii="宋体" w:hAnsi="宋体" w:eastAsia="宋体" w:cs="宋体"/>
        </w:rPr>
        <w:t>3.5.1 磋商小组在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14:paraId="5EAE400A">
      <w:pPr>
        <w:pStyle w:val="39"/>
        <w:ind w:firstLine="480"/>
        <w:rPr>
          <w:rFonts w:hint="eastAsia" w:ascii="宋体" w:hAnsi="宋体" w:eastAsia="宋体" w:cs="宋体"/>
        </w:rPr>
      </w:pPr>
      <w:r>
        <w:rPr>
          <w:rFonts w:hint="eastAsia" w:ascii="宋体" w:hAnsi="宋体" w:eastAsia="宋体" w:cs="宋体"/>
        </w:rPr>
        <w:t>3.5.2 依照《中华人民共和国民法典》中的过失责任原则，澄清、说明或更正前磋商小组将按最不利于参与本次磋商供应商的原则对响应文件做出评判。</w:t>
      </w:r>
    </w:p>
    <w:p w14:paraId="3BD30D86">
      <w:pPr>
        <w:pStyle w:val="39"/>
        <w:ind w:firstLine="480"/>
        <w:rPr>
          <w:rFonts w:hint="eastAsia" w:ascii="宋体" w:hAnsi="宋体" w:eastAsia="宋体" w:cs="宋体"/>
        </w:rPr>
      </w:pPr>
      <w:r>
        <w:rPr>
          <w:rFonts w:hint="eastAsia" w:ascii="宋体" w:hAnsi="宋体" w:eastAsia="宋体" w:cs="宋体"/>
        </w:rPr>
        <w:t>3.5.3磋商小组不接受供应商主动提出的澄清、说明或补正。磋商小组要求供应商澄清、说明或者更正响应文件应当以书面形式做出。供应商应当在规定的澄清时限内以书面形式提交，供应商的澄清、说明或者更正应当由法定代表人或其授权代表签字或者加盖公章。磋商小组对供应商提交的澄清、说明或者更正有疑问的，可以要求供应商进一步澄清、说明或者更正，直至满足评审小组的要求。</w:t>
      </w:r>
    </w:p>
    <w:p w14:paraId="0E483A0E">
      <w:pPr>
        <w:pStyle w:val="39"/>
        <w:ind w:firstLine="480"/>
        <w:rPr>
          <w:rFonts w:hint="eastAsia" w:ascii="宋体" w:hAnsi="宋体" w:eastAsia="宋体" w:cs="宋体"/>
        </w:rPr>
      </w:pPr>
      <w:r>
        <w:rPr>
          <w:rFonts w:hint="eastAsia" w:ascii="宋体" w:hAnsi="宋体" w:eastAsia="宋体" w:cs="宋体"/>
        </w:rPr>
        <w:t>3.5.4供应商的书面澄清、说明或者更正属于响应文件的组成部分，其内容将作为评审的依据，也将作为合同履行的重要依据。</w:t>
      </w:r>
    </w:p>
    <w:p w14:paraId="1666845A">
      <w:pPr>
        <w:pStyle w:val="39"/>
        <w:ind w:firstLine="480"/>
        <w:rPr>
          <w:rFonts w:hint="eastAsia" w:ascii="宋体" w:hAnsi="宋体" w:eastAsia="宋体" w:cs="宋体"/>
        </w:rPr>
      </w:pPr>
      <w:r>
        <w:rPr>
          <w:rFonts w:hint="eastAsia" w:ascii="宋体" w:hAnsi="宋体" w:eastAsia="宋体" w:cs="宋体"/>
        </w:rPr>
        <w:t>3.5.5除采用竞争性磋商方式采购的政府购买服务项目、市场竞争不充分的科研项目以及需要扶持的科技成果转化项目外，通过符合性审查的供应商不足3 家的，不得进行后续磋商活动，应予以废标。</w:t>
      </w:r>
    </w:p>
    <w:p w14:paraId="4301B9C9">
      <w:pPr>
        <w:pStyle w:val="39"/>
        <w:ind w:firstLine="480"/>
        <w:rPr>
          <w:rFonts w:hint="eastAsia" w:ascii="宋体" w:hAnsi="宋体" w:eastAsia="宋体" w:cs="宋体"/>
        </w:rPr>
      </w:pPr>
      <w:r>
        <w:rPr>
          <w:rFonts w:hint="eastAsia" w:ascii="宋体" w:hAnsi="宋体" w:eastAsia="宋体" w:cs="宋体"/>
        </w:rPr>
        <w:t>3.5.6 未通过符合性审查的供应商，不参与磋商，由磋商小组告知该供应商。</w:t>
      </w:r>
    </w:p>
    <w:p w14:paraId="3CCF09B5">
      <w:pPr>
        <w:pStyle w:val="39"/>
        <w:ind w:firstLine="482"/>
        <w:rPr>
          <w:rFonts w:hint="eastAsia" w:ascii="宋体" w:hAnsi="宋体" w:eastAsia="宋体" w:cs="宋体"/>
          <w:b/>
        </w:rPr>
      </w:pPr>
      <w:r>
        <w:rPr>
          <w:rFonts w:hint="eastAsia" w:ascii="宋体" w:hAnsi="宋体" w:eastAsia="宋体" w:cs="宋体"/>
          <w:b/>
        </w:rPr>
        <w:t>3.6磋商</w:t>
      </w:r>
    </w:p>
    <w:p w14:paraId="7A01C17F">
      <w:pPr>
        <w:pStyle w:val="39"/>
        <w:ind w:firstLine="480"/>
        <w:rPr>
          <w:rFonts w:hint="eastAsia" w:ascii="宋体" w:hAnsi="宋体" w:eastAsia="宋体" w:cs="宋体"/>
        </w:rPr>
      </w:pPr>
      <w:r>
        <w:rPr>
          <w:rFonts w:hint="eastAsia" w:ascii="宋体" w:hAnsi="宋体" w:eastAsia="宋体" w:cs="宋体"/>
        </w:rPr>
        <w:t>3.6.1磋商报价是供应商响应磋商项目要求的全部工作内容的价格体现，包括完成采购内容所需的直接费、间接费、利润、税金及其它相关的一切费用。供应商在报价时应充分考虑所有可能发生的费用，磋商文件未列明，而供应商认为应当计取的费用均应列入报价中。报价时不论是否计取，采购人均按已计取对待。</w:t>
      </w:r>
    </w:p>
    <w:p w14:paraId="62DB1875">
      <w:pPr>
        <w:pStyle w:val="39"/>
        <w:ind w:firstLine="480"/>
        <w:rPr>
          <w:rFonts w:hint="eastAsia" w:ascii="宋体" w:hAnsi="宋体" w:eastAsia="宋体" w:cs="宋体"/>
        </w:rPr>
      </w:pPr>
      <w:r>
        <w:rPr>
          <w:rFonts w:hint="eastAsia" w:ascii="宋体" w:hAnsi="宋体" w:eastAsia="宋体" w:cs="宋体"/>
        </w:rPr>
        <w:t>3.6.2磋商报价采取多轮报价的办法，最后报价作为计算价格分值的依据。如采购内容无实质性变更，各供应商的报价应逐次降低，本次报价超过上次报价的，为无效报价，本次报价超过采购预算或磋商文件规定的最高限价的，均按无效响应处理；本次报价超过上次报价但未超过采购预算或磋商文件规定的最高限价的，或在规定时间内最后报价未提交、提交不成功的均为无效报价，按无效响应处理。“规定时间”由现场工作人员具体确定。</w:t>
      </w:r>
    </w:p>
    <w:p w14:paraId="4EBB3FFE">
      <w:pPr>
        <w:pStyle w:val="39"/>
        <w:ind w:firstLine="480"/>
        <w:rPr>
          <w:rFonts w:hint="eastAsia" w:ascii="宋体" w:hAnsi="宋体" w:eastAsia="宋体" w:cs="宋体"/>
        </w:rPr>
      </w:pPr>
      <w:r>
        <w:rPr>
          <w:rFonts w:hint="eastAsia" w:ascii="宋体" w:hAnsi="宋体" w:eastAsia="宋体" w:cs="宋体"/>
        </w:rPr>
        <w:t>3.6.3供应商最终报价较首次报价降价的，成交后，签订合同时应按照成交价较首次报价的下浮比率修改分项报价表中的相应报价。</w:t>
      </w:r>
    </w:p>
    <w:p w14:paraId="676FC8B8">
      <w:pPr>
        <w:pStyle w:val="39"/>
        <w:ind w:firstLine="480"/>
        <w:rPr>
          <w:rFonts w:hint="eastAsia" w:ascii="宋体" w:hAnsi="宋体" w:eastAsia="宋体" w:cs="宋体"/>
        </w:rPr>
      </w:pPr>
      <w:r>
        <w:rPr>
          <w:rFonts w:hint="eastAsia" w:ascii="宋体" w:hAnsi="宋体" w:eastAsia="宋体" w:cs="宋体"/>
        </w:rPr>
        <w:t>3.6.4因供应商对磋商文件理解不透、误解、疏漏或对市场行情了解不清造成的后果和风险，均由供应商自己负责。</w:t>
      </w:r>
    </w:p>
    <w:p w14:paraId="04D6792B">
      <w:pPr>
        <w:pStyle w:val="39"/>
        <w:ind w:firstLine="482"/>
        <w:rPr>
          <w:rFonts w:hint="eastAsia" w:ascii="宋体" w:hAnsi="宋体" w:eastAsia="宋体" w:cs="宋体"/>
          <w:b/>
        </w:rPr>
      </w:pPr>
      <w:r>
        <w:rPr>
          <w:rFonts w:hint="eastAsia" w:ascii="宋体" w:hAnsi="宋体" w:eastAsia="宋体" w:cs="宋体"/>
          <w:b/>
        </w:rPr>
        <w:t>4、磋商文件的实质性变更</w:t>
      </w:r>
    </w:p>
    <w:p w14:paraId="469E6BD4">
      <w:pPr>
        <w:pStyle w:val="39"/>
        <w:ind w:firstLine="480"/>
        <w:rPr>
          <w:rFonts w:hint="eastAsia" w:ascii="宋体" w:hAnsi="宋体" w:eastAsia="宋体" w:cs="宋体"/>
        </w:rPr>
      </w:pPr>
      <w:r>
        <w:rPr>
          <w:rFonts w:hint="eastAsia" w:ascii="宋体" w:hAnsi="宋体" w:eastAsia="宋体" w:cs="宋体"/>
        </w:rPr>
        <w:t>4.1 在磋商过程中，磋商小组可以根据磋商文件和磋商情况实质性变动采购需求中的技术、服务要求以及合同草案条款，但不得变动磋商文件中的其他内容。实质性变动的内容，须经采购人代表确认。</w:t>
      </w:r>
    </w:p>
    <w:p w14:paraId="6000FC10">
      <w:pPr>
        <w:pStyle w:val="39"/>
        <w:ind w:firstLine="480"/>
        <w:rPr>
          <w:rFonts w:hint="eastAsia" w:ascii="宋体" w:hAnsi="宋体" w:eastAsia="宋体" w:cs="宋体"/>
        </w:rPr>
      </w:pPr>
      <w:r>
        <w:rPr>
          <w:rFonts w:hint="eastAsia" w:ascii="宋体" w:hAnsi="宋体" w:eastAsia="宋体" w:cs="宋体"/>
        </w:rPr>
        <w:t>4.2对磋商文件作出的实质性变动是磋商文件的有效组成部分，磋商小组将通过书面形式通知所有参加磋商的供应商。</w:t>
      </w:r>
    </w:p>
    <w:p w14:paraId="0CACA649">
      <w:pPr>
        <w:pStyle w:val="39"/>
        <w:ind w:firstLine="480"/>
        <w:rPr>
          <w:rFonts w:hint="eastAsia" w:ascii="宋体" w:hAnsi="宋体" w:eastAsia="宋体" w:cs="宋体"/>
        </w:rPr>
      </w:pPr>
      <w:r>
        <w:rPr>
          <w:rFonts w:hint="eastAsia" w:ascii="宋体" w:hAnsi="宋体" w:eastAsia="宋体" w:cs="宋体"/>
        </w:rPr>
        <w:t>4.3 供应商应当按照磋商文件的变动情况和磋商小组的要求，在磋商小组规定的时限内重新提交响应文件，由法定代表人或其授权代表签字或者加盖公章。</w:t>
      </w:r>
    </w:p>
    <w:p w14:paraId="01B2919E">
      <w:pPr>
        <w:pStyle w:val="39"/>
        <w:ind w:firstLine="480"/>
        <w:rPr>
          <w:rFonts w:hint="eastAsia" w:ascii="宋体" w:hAnsi="宋体" w:eastAsia="宋体" w:cs="宋体"/>
        </w:rPr>
      </w:pPr>
      <w:r>
        <w:rPr>
          <w:rFonts w:hint="eastAsia" w:ascii="宋体" w:hAnsi="宋体" w:eastAsia="宋体" w:cs="宋体"/>
        </w:rPr>
        <w:t>4.4 供应商未能在规定的时间内按照磋商小组的要求以书面形式提交实质性变更响应文件的，视作未实质性响应。</w:t>
      </w:r>
    </w:p>
    <w:p w14:paraId="41835A5D">
      <w:pPr>
        <w:pStyle w:val="39"/>
        <w:ind w:firstLine="482"/>
        <w:rPr>
          <w:rFonts w:hint="eastAsia" w:ascii="宋体" w:hAnsi="宋体" w:eastAsia="宋体" w:cs="宋体"/>
          <w:b/>
        </w:rPr>
      </w:pPr>
      <w:r>
        <w:rPr>
          <w:rFonts w:hint="eastAsia" w:ascii="宋体" w:hAnsi="宋体" w:eastAsia="宋体" w:cs="宋体"/>
          <w:b/>
        </w:rPr>
        <w:t>5、最后报价</w:t>
      </w:r>
    </w:p>
    <w:p w14:paraId="3496D56F">
      <w:pPr>
        <w:pStyle w:val="39"/>
        <w:ind w:firstLine="480"/>
        <w:rPr>
          <w:rFonts w:hint="eastAsia" w:ascii="宋体" w:hAnsi="宋体" w:eastAsia="宋体" w:cs="宋体"/>
        </w:rPr>
      </w:pPr>
      <w:r>
        <w:rPr>
          <w:rFonts w:hint="eastAsia" w:ascii="宋体" w:hAnsi="宋体" w:eastAsia="宋体" w:cs="宋体"/>
        </w:rPr>
        <w:t>5.1磋商文件能够详细列明采购标的的技术、服务要求的，磋商结束后，磋商小组应当要求所有实质性响应的供应商在规定时间内提交最后报价，提交最后报价的供应商不得少于 3 家。</w:t>
      </w:r>
    </w:p>
    <w:p w14:paraId="0B4AA036">
      <w:pPr>
        <w:pStyle w:val="39"/>
        <w:ind w:firstLine="480"/>
        <w:rPr>
          <w:rFonts w:hint="eastAsia" w:ascii="宋体" w:hAnsi="宋体" w:eastAsia="宋体" w:cs="宋体"/>
        </w:rPr>
      </w:pPr>
      <w:r>
        <w:rPr>
          <w:rFonts w:hint="eastAsia" w:ascii="宋体" w:hAnsi="宋体" w:eastAsia="宋体" w:cs="宋体"/>
        </w:rPr>
        <w:t>5.2磋商文件不能详细列明采购标的的技术、服务要求，需经磋商由供应商提供最终设计方案或解决方案的，磋商结束后，磋商小组应当按照少数服从多数的原则投票推荐3 家以上供应商的设计方案或者解决方案，并要求其在规定时间内提交最后报价。</w:t>
      </w:r>
    </w:p>
    <w:p w14:paraId="79B12242">
      <w:pPr>
        <w:pStyle w:val="39"/>
        <w:ind w:firstLine="480"/>
        <w:rPr>
          <w:rFonts w:hint="eastAsia" w:ascii="宋体" w:hAnsi="宋体" w:eastAsia="宋体" w:cs="宋体"/>
        </w:rPr>
      </w:pPr>
      <w:r>
        <w:rPr>
          <w:rFonts w:hint="eastAsia" w:ascii="宋体" w:hAnsi="宋体" w:eastAsia="宋体" w:cs="宋体"/>
        </w:rPr>
        <w:t>5.3 最后报价是供应商响应文件的有效组成部分。符合《政府采购竞争性磋商采购方式管理暂行办法》第三条第四项情形的，即市场竞争不充分的科研项目，以及需要扶持的科技成果转化项目，提交最后报价的供应商可以为 2 家。根据《财政部关于政府采购竞争性磋商采购方式管理暂行办法有关问题的补充通知》(财库〔2015〕124 号)，采购的政府购买服务项目 (含政府和社会资本合作项目)，在采购过程中符合要求的供应商(社会资本)只有2家的，竞争性磋商采购活动可以继续进行。</w:t>
      </w:r>
    </w:p>
    <w:p w14:paraId="7E95E953">
      <w:pPr>
        <w:pStyle w:val="39"/>
        <w:ind w:firstLine="480"/>
        <w:rPr>
          <w:rFonts w:hint="eastAsia" w:ascii="宋体" w:hAnsi="宋体" w:eastAsia="宋体" w:cs="宋体"/>
        </w:rPr>
      </w:pPr>
      <w:r>
        <w:rPr>
          <w:rFonts w:hint="eastAsia" w:ascii="宋体" w:hAnsi="宋体" w:eastAsia="宋体" w:cs="宋体"/>
        </w:rPr>
        <w:t>5.4供应商要以书面形式提交最后报价。最后报价表应由其法定代表人或被授权代表签字或者加盖公章。最后报价将作为综合评分法中价格分的计算依据。</w:t>
      </w:r>
    </w:p>
    <w:p w14:paraId="4FF5D86D">
      <w:pPr>
        <w:pStyle w:val="39"/>
        <w:ind w:firstLine="480"/>
        <w:rPr>
          <w:rFonts w:hint="eastAsia" w:ascii="宋体" w:hAnsi="宋体" w:eastAsia="宋体" w:cs="宋体"/>
        </w:rPr>
      </w:pPr>
      <w:r>
        <w:rPr>
          <w:rFonts w:hint="eastAsia" w:ascii="宋体" w:hAnsi="宋体" w:eastAsia="宋体" w:cs="宋体"/>
        </w:rPr>
        <w:t>5.5 已提交响应文件的供应商，在提交最后报价之前，可以根据磋商情况书面申请退出磋商，书面申请应由其法定代表人或被授权代表签字或者加盖公章。</w:t>
      </w:r>
    </w:p>
    <w:p w14:paraId="3A9FEBEB">
      <w:pPr>
        <w:pStyle w:val="39"/>
        <w:ind w:firstLine="480"/>
        <w:rPr>
          <w:rFonts w:hint="eastAsia" w:ascii="宋体" w:hAnsi="宋体" w:eastAsia="宋体" w:cs="宋体"/>
        </w:rPr>
      </w:pPr>
      <w:r>
        <w:rPr>
          <w:rFonts w:hint="eastAsia" w:ascii="宋体" w:hAnsi="宋体" w:eastAsia="宋体" w:cs="宋体"/>
        </w:rPr>
        <w:t>5.6 磋商小组认为供应商的报价明显低于其他通过符合性和响应性审查供应商的报价，有可能影响工程、货物、服务质量或者不能诚信履约的，要求供应商在规定时间内通过书面形式提供说明 (必要时提交相关证明材料) ，供应商不能证明其报价合理性的，按无效响应对待。</w:t>
      </w:r>
    </w:p>
    <w:p w14:paraId="7163ABB1">
      <w:pPr>
        <w:pStyle w:val="39"/>
        <w:ind w:firstLine="482"/>
        <w:rPr>
          <w:rFonts w:hint="eastAsia" w:ascii="宋体" w:hAnsi="宋体" w:eastAsia="宋体" w:cs="宋体"/>
          <w:b/>
        </w:rPr>
      </w:pPr>
      <w:r>
        <w:rPr>
          <w:rFonts w:hint="eastAsia" w:ascii="宋体" w:hAnsi="宋体" w:eastAsia="宋体" w:cs="宋体"/>
          <w:b/>
        </w:rPr>
        <w:t>6、 关于政府采购政策</w:t>
      </w:r>
    </w:p>
    <w:p w14:paraId="039F6067">
      <w:pPr>
        <w:pStyle w:val="39"/>
        <w:ind w:firstLine="480"/>
        <w:rPr>
          <w:rFonts w:hint="eastAsia" w:ascii="宋体" w:hAnsi="宋体" w:eastAsia="宋体" w:cs="宋体"/>
        </w:rPr>
      </w:pPr>
      <w:r>
        <w:rPr>
          <w:rFonts w:hint="eastAsia" w:ascii="宋体" w:hAnsi="宋体" w:eastAsia="宋体" w:cs="宋体"/>
        </w:rPr>
        <w:t>6.1对中小企业、监狱企业、残疾人福利性单位的优惠政策</w:t>
      </w:r>
    </w:p>
    <w:p w14:paraId="7FB5BF80">
      <w:pPr>
        <w:pStyle w:val="39"/>
        <w:ind w:firstLine="480"/>
        <w:rPr>
          <w:rFonts w:hint="eastAsia" w:ascii="宋体" w:hAnsi="宋体" w:eastAsia="宋体" w:cs="宋体"/>
        </w:rPr>
      </w:pPr>
      <w:r>
        <w:rPr>
          <w:rFonts w:hint="eastAsia" w:ascii="宋体" w:hAnsi="宋体" w:eastAsia="宋体" w:cs="宋体"/>
        </w:rPr>
        <w:t>（1）根据《政府采购促进中小企业发展管理办法》（财库〔2020〕46号）的有关规定，提供小微企业制造的货物、承建的工程或者承接的服务（不包括使用大型、中型企业商号或者注册商标的货物）参与政府采购活动时对小型和微型企业产品的报价给予6%-10%（工程项目3%-5%）的扣除（实际价格扣除比例以本章《评审要素及分值一览表》中的具体规定为准），用扣除后的价格参加评审。同时，依据该办法第四条第二款规定在货物采购项目中，供应商提供的货物既有中小企业制造货物，也有大型企业制造货物的，不享受中小企业扶持政策。</w:t>
      </w:r>
    </w:p>
    <w:p w14:paraId="765380B1">
      <w:pPr>
        <w:pStyle w:val="39"/>
        <w:ind w:firstLine="480"/>
        <w:rPr>
          <w:rFonts w:hint="eastAsia" w:ascii="宋体" w:hAnsi="宋体" w:eastAsia="宋体" w:cs="宋体"/>
        </w:rPr>
      </w:pPr>
      <w:r>
        <w:rPr>
          <w:rFonts w:hint="eastAsia" w:ascii="宋体" w:hAnsi="宋体" w:eastAsia="宋体" w:cs="宋体"/>
        </w:rPr>
        <w:t>（2）根据财政部、司法部联合下发的《关于政府采购支持监狱企业发展有关问题的通知》（财库〔2014〕68号）的规定，监狱企业视同小型、微型企业。</w:t>
      </w:r>
    </w:p>
    <w:p w14:paraId="4AB05916">
      <w:pPr>
        <w:pStyle w:val="39"/>
        <w:ind w:firstLine="480"/>
        <w:rPr>
          <w:rFonts w:hint="eastAsia" w:ascii="宋体" w:hAnsi="宋体" w:eastAsia="宋体" w:cs="宋体"/>
        </w:rPr>
      </w:pPr>
      <w:r>
        <w:rPr>
          <w:rFonts w:hint="eastAsia" w:ascii="宋体" w:hAnsi="宋体" w:eastAsia="宋体" w:cs="宋体"/>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38CAAF8C">
      <w:pPr>
        <w:pStyle w:val="39"/>
        <w:ind w:firstLine="480"/>
        <w:rPr>
          <w:rFonts w:hint="eastAsia" w:ascii="宋体" w:hAnsi="宋体" w:eastAsia="宋体" w:cs="宋体"/>
        </w:rPr>
      </w:pPr>
      <w:r>
        <w:rPr>
          <w:rFonts w:hint="eastAsia" w:ascii="宋体" w:hAnsi="宋体" w:eastAsia="宋体" w:cs="宋体"/>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未提供上述声明函\证明函的，不能享受磋商文件规定的价格扣除。</w:t>
      </w:r>
    </w:p>
    <w:p w14:paraId="2E21044D">
      <w:pPr>
        <w:pStyle w:val="39"/>
        <w:ind w:firstLine="480"/>
        <w:rPr>
          <w:rFonts w:hint="eastAsia" w:ascii="宋体" w:hAnsi="宋体" w:eastAsia="宋体" w:cs="宋体"/>
        </w:rPr>
      </w:pPr>
      <w:r>
        <w:rPr>
          <w:rFonts w:hint="eastAsia" w:ascii="宋体" w:hAnsi="宋体" w:eastAsia="宋体" w:cs="宋体"/>
        </w:rPr>
        <w:t>本项目为专门面向中小微企业采购的采购项目，因此，不再执行价格评审优惠扶持政策。</w:t>
      </w:r>
    </w:p>
    <w:p w14:paraId="265BC53B">
      <w:pPr>
        <w:pStyle w:val="39"/>
        <w:ind w:firstLine="480"/>
        <w:rPr>
          <w:rFonts w:hint="eastAsia" w:ascii="宋体" w:hAnsi="宋体" w:eastAsia="宋体" w:cs="宋体"/>
        </w:rPr>
      </w:pPr>
      <w:r>
        <w:rPr>
          <w:rFonts w:hint="eastAsia" w:ascii="宋体" w:hAnsi="宋体" w:eastAsia="宋体" w:cs="宋体"/>
        </w:rPr>
        <w:t>6.2节能、环保产品采购政策</w:t>
      </w:r>
    </w:p>
    <w:p w14:paraId="209E3B5E">
      <w:pPr>
        <w:pStyle w:val="39"/>
        <w:ind w:firstLine="480"/>
        <w:rPr>
          <w:rFonts w:hint="eastAsia" w:ascii="宋体" w:hAnsi="宋体" w:eastAsia="宋体" w:cs="宋体"/>
        </w:rPr>
      </w:pPr>
      <w:r>
        <w:rPr>
          <w:rFonts w:hint="eastAsia" w:ascii="宋体" w:hAnsi="宋体" w:eastAsia="宋体" w:cs="宋体"/>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14:paraId="3992688C">
      <w:pPr>
        <w:pStyle w:val="39"/>
        <w:ind w:firstLine="480"/>
        <w:rPr>
          <w:rFonts w:hint="eastAsia" w:ascii="宋体" w:hAnsi="宋体" w:eastAsia="宋体" w:cs="宋体"/>
        </w:rPr>
      </w:pPr>
      <w:r>
        <w:rPr>
          <w:rFonts w:hint="eastAsia" w:ascii="宋体" w:hAnsi="宋体" w:eastAsia="宋体" w:cs="宋体"/>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609F9B46">
      <w:pPr>
        <w:pStyle w:val="39"/>
        <w:ind w:firstLine="480"/>
        <w:rPr>
          <w:rFonts w:hint="eastAsia" w:ascii="宋体" w:hAnsi="宋体" w:eastAsia="宋体" w:cs="宋体"/>
        </w:rPr>
      </w:pPr>
      <w:r>
        <w:rPr>
          <w:rFonts w:hint="eastAsia" w:ascii="宋体" w:hAnsi="宋体" w:eastAsia="宋体" w:cs="宋体"/>
        </w:rPr>
        <w:t>（3）《节能产品政府采购品目清单》见财政部、发展改革委《关于印发节能产品政府采购品目清单的通知》（财库〔2019〕19号）附件。</w:t>
      </w:r>
    </w:p>
    <w:p w14:paraId="7C4266AB">
      <w:pPr>
        <w:pStyle w:val="39"/>
        <w:ind w:firstLine="480"/>
        <w:rPr>
          <w:rFonts w:hint="eastAsia" w:ascii="宋体" w:hAnsi="宋体" w:eastAsia="宋体" w:cs="宋体"/>
        </w:rPr>
      </w:pPr>
      <w:r>
        <w:rPr>
          <w:rFonts w:hint="eastAsia" w:ascii="宋体" w:hAnsi="宋体" w:eastAsia="宋体" w:cs="宋体"/>
        </w:rPr>
        <w:t>（4）《环境标志产品政府采购品目清单》见财政部、生态环境部《关于印发环境标志产品政府采购品目清单的通知》（财库〔2019〕18号）附件。</w:t>
      </w:r>
    </w:p>
    <w:p w14:paraId="5FB1F5A8">
      <w:pPr>
        <w:pStyle w:val="39"/>
        <w:ind w:firstLine="480"/>
        <w:rPr>
          <w:rFonts w:hint="eastAsia" w:ascii="宋体" w:hAnsi="宋体" w:eastAsia="宋体" w:cs="宋体"/>
        </w:rPr>
      </w:pPr>
      <w:r>
        <w:rPr>
          <w:rFonts w:hint="eastAsia" w:ascii="宋体" w:hAnsi="宋体" w:eastAsia="宋体" w:cs="宋体"/>
        </w:rPr>
        <w:t>（5）“国家确定的认证机构”名单见市场监管总局《关于发布参与实施政府采购节能产品、环境标志产品认证机构名录的公告》（2019年第16号）。</w:t>
      </w:r>
    </w:p>
    <w:p w14:paraId="43E7F8CA">
      <w:pPr>
        <w:pStyle w:val="39"/>
        <w:ind w:firstLine="480"/>
        <w:rPr>
          <w:rFonts w:hint="eastAsia" w:ascii="宋体" w:hAnsi="宋体" w:eastAsia="宋体" w:cs="宋体"/>
        </w:rPr>
      </w:pPr>
      <w:r>
        <w:rPr>
          <w:rFonts w:hint="eastAsia" w:ascii="宋体" w:hAnsi="宋体" w:eastAsia="宋体" w:cs="宋体"/>
        </w:rPr>
        <w:t>1.7.3陕西省中小企业政府采购信用融资办法</w:t>
      </w:r>
    </w:p>
    <w:p w14:paraId="409ADD82">
      <w:pPr>
        <w:pStyle w:val="39"/>
        <w:ind w:firstLine="480"/>
        <w:rPr>
          <w:rFonts w:hint="eastAsia" w:ascii="宋体" w:hAnsi="宋体" w:eastAsia="宋体" w:cs="宋体"/>
        </w:rPr>
      </w:pPr>
      <w:r>
        <w:rPr>
          <w:rFonts w:hint="eastAsia" w:ascii="宋体" w:hAnsi="宋体" w:eastAsia="宋体" w:cs="宋体"/>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办法规定“中小企业可根据各银行提供的方案，自行选择符合自身情况的金融产品，并根据方案中列明的联系方式和要求向相关银行提出信用融资申请。银行根据中小企业的申请开展尽职调查，合理确定融资授信额度。中小企业凭政府采购中标 (成交) 通知书或政府采购合同后，凭政府采购合同向银行提出融资申请。” (陕西省政府采购信用融资平台：http://ww w.ccgp-shaanxi.gov.cn/zcdservice/zcd/shanxi/ )</w:t>
      </w:r>
    </w:p>
    <w:p w14:paraId="385A6589">
      <w:pPr>
        <w:pStyle w:val="39"/>
        <w:ind w:firstLine="480"/>
        <w:rPr>
          <w:rFonts w:hint="eastAsia" w:ascii="宋体" w:hAnsi="宋体" w:eastAsia="宋体" w:cs="宋体"/>
        </w:rPr>
      </w:pPr>
      <w:r>
        <w:rPr>
          <w:rFonts w:hint="eastAsia" w:ascii="宋体" w:hAnsi="宋体" w:eastAsia="宋体" w:cs="宋体"/>
        </w:rPr>
        <w:t>6.3关于进口产品</w:t>
      </w:r>
    </w:p>
    <w:p w14:paraId="52129FF6">
      <w:pPr>
        <w:pStyle w:val="39"/>
        <w:ind w:firstLine="480"/>
        <w:rPr>
          <w:rFonts w:hint="eastAsia" w:ascii="宋体" w:hAnsi="宋体" w:eastAsia="宋体" w:cs="宋体"/>
        </w:rPr>
      </w:pPr>
      <w:r>
        <w:rPr>
          <w:rFonts w:hint="eastAsia" w:ascii="宋体" w:hAnsi="宋体" w:eastAsia="宋体" w:cs="宋体"/>
        </w:rPr>
        <w:t>进口产品是指通过中国海关报关验放进入中国境内且产自关境外的产品。根据《关于政府采购进口产品管理有关问题的通知》（财办库〔2008〕248号）有关规定，磋商文件未注明“允许进口产品参与投标”的，视为拒绝进口产品参与投标；磋商文件明确“允许进口产品参与投标”的，满足需求的国内产品仍然可以参加投标。</w:t>
      </w:r>
    </w:p>
    <w:p w14:paraId="7545BBA9">
      <w:pPr>
        <w:pStyle w:val="39"/>
        <w:ind w:firstLine="480"/>
        <w:rPr>
          <w:rFonts w:hint="eastAsia" w:ascii="宋体" w:hAnsi="宋体" w:eastAsia="宋体" w:cs="宋体"/>
        </w:rPr>
      </w:pPr>
      <w:r>
        <w:rPr>
          <w:rFonts w:hint="eastAsia" w:ascii="宋体" w:hAnsi="宋体" w:eastAsia="宋体" w:cs="宋体"/>
        </w:rPr>
        <w:t>1.7.5关于同一品牌产品的处理</w:t>
      </w:r>
    </w:p>
    <w:p w14:paraId="714AE5DE">
      <w:pPr>
        <w:pStyle w:val="39"/>
        <w:ind w:firstLine="480"/>
        <w:rPr>
          <w:rFonts w:hint="eastAsia" w:ascii="宋体" w:hAnsi="宋体" w:eastAsia="宋体" w:cs="宋体"/>
        </w:rPr>
      </w:pPr>
      <w:r>
        <w:rPr>
          <w:rFonts w:hint="eastAsia" w:ascii="宋体" w:hAnsi="宋体" w:eastAsia="宋体" w:cs="宋体"/>
        </w:rPr>
        <w:t>（1）采用最低评标价法的采购项目，提供相同品牌产品的不同供应商参加同一合同项下投标的，以其中通过资格审查、符合性审查且报价最低的参加评标；报价相同的，由采购人或者采购人委托磋商小组按照磋商文件规定的方式确定一个参加评标的投 标人，磋商文件未规定的采取随机抽取方式确定，其他投标无效。</w:t>
      </w:r>
    </w:p>
    <w:p w14:paraId="4800A23B">
      <w:pPr>
        <w:pStyle w:val="39"/>
        <w:ind w:firstLine="480"/>
        <w:rPr>
          <w:rFonts w:hint="eastAsia" w:ascii="宋体" w:hAnsi="宋体" w:eastAsia="宋体" w:cs="宋体"/>
        </w:rPr>
      </w:pPr>
      <w:r>
        <w:rPr>
          <w:rFonts w:hint="eastAsia" w:ascii="宋体" w:hAnsi="宋体" w:eastAsia="宋体" w:cs="宋体"/>
        </w:rPr>
        <w:t>（2）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磋商小组按照磋商文件规定的方式确定一个供应商获得中标人推荐资格，磋商文件未规定的采取随机抽取方式确定，其他同品牌供应商不作为中标候选人。</w:t>
      </w:r>
    </w:p>
    <w:p w14:paraId="5A4643E9">
      <w:pPr>
        <w:pStyle w:val="39"/>
        <w:ind w:firstLine="480"/>
        <w:rPr>
          <w:rFonts w:hint="eastAsia" w:ascii="宋体" w:hAnsi="宋体" w:eastAsia="宋体" w:cs="宋体"/>
        </w:rPr>
      </w:pPr>
      <w:r>
        <w:rPr>
          <w:rFonts w:hint="eastAsia" w:ascii="宋体" w:hAnsi="宋体" w:eastAsia="宋体" w:cs="宋体"/>
        </w:rPr>
        <w:t>（3）非单一产品采购项目，采购人将根据采购项目技术构成、产品价格比重等因素确定核心产品（可能不止一种），并在磋商文件中载明。多家供应商提供的核心产品品牌相同的，按前两款规定处理。</w:t>
      </w:r>
    </w:p>
    <w:p w14:paraId="53A63A76">
      <w:pPr>
        <w:pStyle w:val="39"/>
        <w:ind w:firstLine="480"/>
        <w:rPr>
          <w:rFonts w:hint="eastAsia" w:ascii="宋体" w:hAnsi="宋体" w:eastAsia="宋体" w:cs="宋体"/>
        </w:rPr>
      </w:pPr>
      <w:r>
        <w:rPr>
          <w:rFonts w:hint="eastAsia" w:ascii="宋体" w:hAnsi="宋体" w:eastAsia="宋体" w:cs="宋体"/>
        </w:rPr>
        <w:t>注：依据财政部国库司咨询答复（留言编号：20181228-4142-3110661），核心产品有部分采用相同品牌的，应当按照《政府采购货物和服务招标投标管理办法》（财政部令第87号）第三十一条规定执行，按一家投标人计算。依据财政部国库司咨询答复（留言编号：20180823-0141-2995853），提供相同品牌产品且通过资格审查、符合性审查的不同投标人按一家投标人计算后不足3家的，应予废标。</w:t>
      </w:r>
    </w:p>
    <w:p w14:paraId="6ACE9242">
      <w:pPr>
        <w:pStyle w:val="39"/>
        <w:ind w:firstLine="482"/>
        <w:rPr>
          <w:rFonts w:hint="eastAsia" w:ascii="宋体" w:hAnsi="宋体" w:eastAsia="宋体" w:cs="宋体"/>
          <w:b/>
        </w:rPr>
      </w:pPr>
      <w:r>
        <w:rPr>
          <w:rFonts w:hint="eastAsia" w:ascii="宋体" w:hAnsi="宋体" w:eastAsia="宋体" w:cs="宋体"/>
          <w:b/>
        </w:rPr>
        <w:t>7.复核与核对评审结果</w:t>
      </w:r>
    </w:p>
    <w:p w14:paraId="158F1562">
      <w:pPr>
        <w:pStyle w:val="39"/>
        <w:ind w:firstLine="480"/>
        <w:rPr>
          <w:rFonts w:hint="eastAsia" w:ascii="宋体" w:hAnsi="宋体" w:eastAsia="宋体" w:cs="宋体"/>
        </w:rPr>
      </w:pPr>
      <w:r>
        <w:rPr>
          <w:rFonts w:hint="eastAsia" w:ascii="宋体" w:hAnsi="宋体" w:eastAsia="宋体" w:cs="宋体"/>
        </w:rPr>
        <w:t>7.1 评分汇总结束后，磋商小组应当进行复核，特别要对拟推荐成交候选人的、最后报价最低的、响应文件被认定无效的进行重点复核。</w:t>
      </w:r>
    </w:p>
    <w:p w14:paraId="73F24BB9">
      <w:pPr>
        <w:pStyle w:val="39"/>
        <w:ind w:firstLine="480"/>
        <w:rPr>
          <w:rFonts w:hint="eastAsia" w:ascii="宋体" w:hAnsi="宋体" w:eastAsia="宋体" w:cs="宋体"/>
        </w:rPr>
      </w:pPr>
      <w:r>
        <w:rPr>
          <w:rFonts w:hint="eastAsia" w:ascii="宋体" w:hAnsi="宋体" w:eastAsia="宋体" w:cs="宋体"/>
        </w:rPr>
        <w:t>7.2 评审结果汇总完成后，评审报告签署前，采购代理机构应当核对评审结果，除下列情形外，任何人不得修改评审结果：</w:t>
      </w:r>
    </w:p>
    <w:p w14:paraId="031DA84A">
      <w:pPr>
        <w:pStyle w:val="39"/>
        <w:ind w:firstLine="480"/>
        <w:rPr>
          <w:rFonts w:hint="eastAsia" w:ascii="宋体" w:hAnsi="宋体" w:eastAsia="宋体" w:cs="宋体"/>
        </w:rPr>
      </w:pPr>
      <w:r>
        <w:rPr>
          <w:rFonts w:hint="eastAsia" w:ascii="宋体" w:hAnsi="宋体" w:eastAsia="宋体" w:cs="宋体"/>
        </w:rPr>
        <w:t>（1）资格性认定错误的；</w:t>
      </w:r>
    </w:p>
    <w:p w14:paraId="70F8C7AB">
      <w:pPr>
        <w:pStyle w:val="39"/>
        <w:ind w:firstLine="480"/>
        <w:rPr>
          <w:rFonts w:hint="eastAsia" w:ascii="宋体" w:hAnsi="宋体" w:eastAsia="宋体" w:cs="宋体"/>
        </w:rPr>
      </w:pPr>
      <w:r>
        <w:rPr>
          <w:rFonts w:hint="eastAsia" w:ascii="宋体" w:hAnsi="宋体" w:eastAsia="宋体" w:cs="宋体"/>
        </w:rPr>
        <w:t>（2）分值汇总计算错误的；</w:t>
      </w:r>
    </w:p>
    <w:p w14:paraId="0FFFAC2E">
      <w:pPr>
        <w:pStyle w:val="39"/>
        <w:ind w:firstLine="480"/>
        <w:rPr>
          <w:rFonts w:hint="eastAsia" w:ascii="宋体" w:hAnsi="宋体" w:eastAsia="宋体" w:cs="宋体"/>
        </w:rPr>
      </w:pPr>
      <w:r>
        <w:rPr>
          <w:rFonts w:hint="eastAsia" w:ascii="宋体" w:hAnsi="宋体" w:eastAsia="宋体" w:cs="宋体"/>
        </w:rPr>
        <w:t>（3）分项评分超出评分标准范围的；</w:t>
      </w:r>
    </w:p>
    <w:p w14:paraId="68082854">
      <w:pPr>
        <w:pStyle w:val="39"/>
        <w:ind w:firstLine="480"/>
        <w:rPr>
          <w:rFonts w:hint="eastAsia" w:ascii="宋体" w:hAnsi="宋体" w:eastAsia="宋体" w:cs="宋体"/>
        </w:rPr>
      </w:pPr>
      <w:r>
        <w:rPr>
          <w:rFonts w:hint="eastAsia" w:ascii="宋体" w:hAnsi="宋体" w:eastAsia="宋体" w:cs="宋体"/>
        </w:rPr>
        <w:t>（4）磋商小组对客观评审因素评分不一致的；</w:t>
      </w:r>
    </w:p>
    <w:p w14:paraId="58162D76">
      <w:pPr>
        <w:pStyle w:val="39"/>
        <w:ind w:firstLine="480"/>
        <w:rPr>
          <w:rFonts w:hint="eastAsia" w:ascii="宋体" w:hAnsi="宋体" w:eastAsia="宋体" w:cs="宋体"/>
        </w:rPr>
      </w:pPr>
      <w:r>
        <w:rPr>
          <w:rFonts w:hint="eastAsia" w:ascii="宋体" w:hAnsi="宋体" w:eastAsia="宋体" w:cs="宋体"/>
        </w:rPr>
        <w:t>（5）经磋商小组一致认定评分畸高、畸低的。</w:t>
      </w:r>
    </w:p>
    <w:p w14:paraId="60E3B959">
      <w:pPr>
        <w:pStyle w:val="39"/>
        <w:ind w:firstLine="480"/>
        <w:rPr>
          <w:rFonts w:hint="eastAsia" w:ascii="宋体" w:hAnsi="宋体" w:eastAsia="宋体" w:cs="宋体"/>
        </w:rPr>
      </w:pPr>
      <w:r>
        <w:rPr>
          <w:rFonts w:hint="eastAsia" w:ascii="宋体" w:hAnsi="宋体" w:eastAsia="宋体" w:cs="宋体"/>
        </w:rPr>
        <w:t>经复核发现存在以上情形之一（除资格性认定错误）的，磋商小组应当当场修改评审结果，并在评审报告中记载；经复核发现资格性认定错误的，由资格审查小组负责修改供应商资格审查报告，并通知磋商小组修改评审报告。</w:t>
      </w:r>
    </w:p>
    <w:p w14:paraId="1ECA6FB8">
      <w:pPr>
        <w:pStyle w:val="39"/>
        <w:ind w:firstLine="482"/>
        <w:rPr>
          <w:rFonts w:hint="eastAsia" w:ascii="宋体" w:hAnsi="宋体" w:eastAsia="宋体" w:cs="宋体"/>
          <w:b/>
        </w:rPr>
      </w:pPr>
      <w:r>
        <w:rPr>
          <w:rFonts w:hint="eastAsia" w:ascii="宋体" w:hAnsi="宋体" w:eastAsia="宋体" w:cs="宋体"/>
          <w:b/>
        </w:rPr>
        <w:t>7.3推荐成交候选供应商</w:t>
      </w:r>
    </w:p>
    <w:p w14:paraId="7ACB82B4">
      <w:pPr>
        <w:pStyle w:val="39"/>
        <w:ind w:firstLine="480"/>
        <w:rPr>
          <w:rFonts w:hint="eastAsia" w:ascii="宋体" w:hAnsi="宋体" w:eastAsia="宋体" w:cs="宋体"/>
        </w:rPr>
      </w:pPr>
      <w:r>
        <w:rPr>
          <w:rFonts w:hint="eastAsia" w:ascii="宋体" w:hAnsi="宋体" w:eastAsia="宋体" w:cs="宋体"/>
        </w:rPr>
        <w:t>磋商小组应当根据综合评分情况，按照评审得分由高到低顺序推荐3名以上成交候选供应商(有效供应商不足三家时以实际有效数量推荐)。评审得分相同的，按照最后报价由低到高的顺序推荐。评审得分且最后报价相同的，则依次比较后续项别，按照得分高者优先的顺序推荐。</w:t>
      </w:r>
    </w:p>
    <w:p w14:paraId="403F92A3">
      <w:pPr>
        <w:pStyle w:val="39"/>
        <w:ind w:firstLine="482"/>
        <w:rPr>
          <w:rFonts w:hint="eastAsia" w:ascii="宋体" w:hAnsi="宋体" w:eastAsia="宋体" w:cs="宋体"/>
          <w:b/>
        </w:rPr>
      </w:pPr>
      <w:r>
        <w:rPr>
          <w:rFonts w:hint="eastAsia" w:ascii="宋体" w:hAnsi="宋体" w:eastAsia="宋体" w:cs="宋体"/>
          <w:b/>
        </w:rPr>
        <w:t>8、编写评审报告</w:t>
      </w:r>
    </w:p>
    <w:p w14:paraId="747D7781">
      <w:pPr>
        <w:pStyle w:val="39"/>
        <w:ind w:firstLine="480"/>
        <w:rPr>
          <w:rFonts w:hint="eastAsia" w:ascii="宋体" w:hAnsi="宋体" w:eastAsia="宋体" w:cs="宋体"/>
        </w:rPr>
      </w:pPr>
      <w:r>
        <w:rPr>
          <w:rFonts w:hint="eastAsia" w:ascii="宋体" w:hAnsi="宋体" w:eastAsia="宋体" w:cs="宋体"/>
        </w:rPr>
        <w:t>8.1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同按评审报告推荐的顺序确定成交供应商。对拒绝说明理由的，须报政府采购监管部门处理，并将其评审情况如实记录。</w:t>
      </w:r>
    </w:p>
    <w:p w14:paraId="0AFB8AD7">
      <w:pPr>
        <w:pStyle w:val="39"/>
        <w:ind w:firstLine="480"/>
        <w:rPr>
          <w:rFonts w:hint="eastAsia" w:ascii="宋体" w:hAnsi="宋体" w:eastAsia="宋体" w:cs="宋体"/>
        </w:rPr>
      </w:pPr>
      <w:r>
        <w:rPr>
          <w:rFonts w:hint="eastAsia" w:ascii="宋体" w:hAnsi="宋体" w:eastAsia="宋体" w:cs="宋体"/>
        </w:rPr>
        <w:t>8.2采购人书面授权磋商小组直接确定成交供应商的，磋商小组应在评审报告中明确成交供应商及成交金额。</w:t>
      </w:r>
    </w:p>
    <w:p w14:paraId="54BAC5C2">
      <w:pPr>
        <w:pStyle w:val="39"/>
        <w:ind w:firstLine="482"/>
        <w:rPr>
          <w:rFonts w:hint="eastAsia" w:ascii="宋体" w:hAnsi="宋体" w:eastAsia="宋体" w:cs="宋体"/>
          <w:b/>
        </w:rPr>
      </w:pPr>
      <w:r>
        <w:rPr>
          <w:rFonts w:hint="eastAsia" w:ascii="宋体" w:hAnsi="宋体" w:eastAsia="宋体" w:cs="宋体"/>
          <w:b/>
        </w:rPr>
        <w:t>9、评审现场人员的保密责任</w:t>
      </w:r>
    </w:p>
    <w:p w14:paraId="50DDA81C">
      <w:pPr>
        <w:pStyle w:val="39"/>
        <w:ind w:firstLine="480"/>
        <w:rPr>
          <w:rFonts w:hint="eastAsia" w:ascii="宋体" w:hAnsi="宋体" w:eastAsia="宋体" w:cs="宋体"/>
        </w:rPr>
      </w:pPr>
      <w:r>
        <w:rPr>
          <w:rFonts w:hint="eastAsia" w:ascii="宋体" w:hAnsi="宋体" w:eastAsia="宋体" w:cs="宋体"/>
        </w:rPr>
        <w:t>在采购结果确定前，采购人、采购代理机构对磋商小组名单负有保密责任。磋商小组成员、采购人和采购代理机构工作人员、相关监督人员等与评审工作有关的人员，对评审情况以及在评审过程中获悉的国家秘密、商业秘密负有保密责任。</w:t>
      </w:r>
    </w:p>
    <w:p w14:paraId="44FFB651">
      <w:pPr>
        <w:pStyle w:val="37"/>
        <w:spacing w:before="120" w:after="120"/>
        <w:ind w:firstLine="482" w:firstLineChars="200"/>
        <w:rPr>
          <w:rFonts w:hint="eastAsia" w:ascii="宋体" w:hAnsi="宋体" w:eastAsia="宋体" w:cs="宋体"/>
          <w:sz w:val="24"/>
        </w:rPr>
      </w:pPr>
      <w:r>
        <w:rPr>
          <w:rFonts w:hint="eastAsia" w:ascii="宋体" w:hAnsi="宋体" w:eastAsia="宋体" w:cs="宋体"/>
          <w:sz w:val="24"/>
        </w:rPr>
        <w:t>10、成交</w:t>
      </w:r>
    </w:p>
    <w:p w14:paraId="20D2BDA4">
      <w:pPr>
        <w:pStyle w:val="39"/>
        <w:ind w:firstLine="480"/>
        <w:rPr>
          <w:rFonts w:hint="eastAsia" w:ascii="宋体" w:hAnsi="宋体" w:eastAsia="宋体" w:cs="宋体"/>
        </w:rPr>
      </w:pPr>
      <w:r>
        <w:rPr>
          <w:rFonts w:hint="eastAsia" w:ascii="宋体" w:hAnsi="宋体" w:eastAsia="宋体" w:cs="宋体"/>
        </w:rPr>
        <w:t>10.1采购代理机构在评审工作结束后2个工作日内，将评审报告送采购人确认。</w:t>
      </w:r>
    </w:p>
    <w:p w14:paraId="1D94E27E">
      <w:pPr>
        <w:pStyle w:val="39"/>
        <w:ind w:firstLine="480"/>
        <w:rPr>
          <w:rFonts w:hint="eastAsia" w:ascii="宋体" w:hAnsi="宋体" w:eastAsia="宋体" w:cs="宋体"/>
        </w:rPr>
      </w:pPr>
      <w:r>
        <w:rPr>
          <w:rFonts w:hint="eastAsia" w:ascii="宋体" w:hAnsi="宋体" w:eastAsia="宋体" w:cs="宋体"/>
        </w:rPr>
        <w:t>10.2采购人应当在收到评审报告后5个工作日内，从评审报告提出的成交候选人中次序确定排序第一的成交候选人为成交供应商，也可以书面授权磋商小组直接确定成交供应商。采购人逾期未确定成交供应商且不提出异议的，视为同意按评审报告提出的成交候选人次序确定排序第一的成交候选人为成交供应商。</w:t>
      </w:r>
    </w:p>
    <w:p w14:paraId="4A8AFFCC">
      <w:pPr>
        <w:pStyle w:val="39"/>
        <w:ind w:firstLine="480"/>
        <w:rPr>
          <w:rFonts w:hint="eastAsia" w:ascii="宋体" w:hAnsi="宋体" w:eastAsia="宋体" w:cs="宋体"/>
        </w:rPr>
      </w:pPr>
      <w:r>
        <w:rPr>
          <w:rFonts w:hint="eastAsia" w:ascii="宋体" w:hAnsi="宋体" w:eastAsia="宋体" w:cs="宋体"/>
        </w:rPr>
        <w:t>成交通知书领取地点：亿诚建设项目管理有限公司石泉分公司</w:t>
      </w:r>
    </w:p>
    <w:p w14:paraId="4230DC49">
      <w:pPr>
        <w:pStyle w:val="39"/>
        <w:ind w:firstLine="480"/>
        <w:rPr>
          <w:rFonts w:hint="eastAsia" w:ascii="宋体" w:hAnsi="宋体" w:eastAsia="宋体" w:cs="宋体"/>
        </w:rPr>
      </w:pPr>
      <w:r>
        <w:rPr>
          <w:rFonts w:hint="eastAsia" w:ascii="宋体" w:hAnsi="宋体" w:eastAsia="宋体" w:cs="宋体"/>
        </w:rPr>
        <w:t>联系电话：15229053396</w:t>
      </w:r>
    </w:p>
    <w:p w14:paraId="536A8AB2">
      <w:pPr>
        <w:pStyle w:val="39"/>
        <w:ind w:firstLine="482"/>
        <w:rPr>
          <w:rFonts w:hint="eastAsia" w:ascii="宋体" w:hAnsi="宋体" w:eastAsia="宋体" w:cs="宋体"/>
          <w:b/>
        </w:rPr>
      </w:pPr>
      <w:r>
        <w:rPr>
          <w:rFonts w:hint="eastAsia" w:ascii="宋体" w:hAnsi="宋体" w:eastAsia="宋体" w:cs="宋体"/>
          <w:b/>
        </w:rPr>
        <w:t>11、 签订政府采购合同</w:t>
      </w:r>
    </w:p>
    <w:p w14:paraId="2BC84C47">
      <w:pPr>
        <w:pStyle w:val="39"/>
        <w:ind w:firstLine="480"/>
        <w:rPr>
          <w:rFonts w:hint="eastAsia" w:ascii="宋体" w:hAnsi="宋体" w:eastAsia="宋体" w:cs="宋体"/>
        </w:rPr>
      </w:pPr>
      <w:r>
        <w:rPr>
          <w:rFonts w:hint="eastAsia" w:ascii="宋体" w:hAnsi="宋体" w:eastAsia="宋体" w:cs="宋体"/>
        </w:rPr>
        <w:t>11.1采购人与成交供应商应当自成交通知书发出之日起25日内，按照磋商文件确定的合同文本及成交供应商的响应情况签订政府采购合同。</w:t>
      </w:r>
    </w:p>
    <w:p w14:paraId="0B772377">
      <w:pPr>
        <w:pStyle w:val="39"/>
        <w:ind w:firstLine="480"/>
        <w:rPr>
          <w:rFonts w:hint="eastAsia" w:ascii="宋体" w:hAnsi="宋体" w:eastAsia="宋体" w:cs="宋体"/>
        </w:rPr>
      </w:pPr>
      <w:r>
        <w:rPr>
          <w:rFonts w:hint="eastAsia" w:ascii="宋体" w:hAnsi="宋体" w:eastAsia="宋体" w:cs="宋体"/>
        </w:rPr>
        <w:t>11.2采购人不得向成交供应商提出超出磋商文件以外的任何要求作为签订合同的条件，不得与成交供应商订立背离磋商文件确定的合同文本以及采购标的、采购金额、技术和服务要求等实质性内容的协议。</w:t>
      </w:r>
    </w:p>
    <w:p w14:paraId="2B4D2DEB">
      <w:pPr>
        <w:pStyle w:val="39"/>
        <w:ind w:firstLine="480"/>
        <w:rPr>
          <w:rFonts w:hint="eastAsia" w:ascii="宋体" w:hAnsi="宋体" w:eastAsia="宋体" w:cs="宋体"/>
        </w:rPr>
      </w:pPr>
      <w:r>
        <w:rPr>
          <w:rFonts w:hint="eastAsia" w:ascii="宋体" w:hAnsi="宋体" w:eastAsia="宋体" w:cs="宋体"/>
        </w:rPr>
        <w:t>11.3成交供应商拒绝与采购人签订合同的，采购人可以按照评审报告推荐的成交候选人名单排序，确定下一候选人为成交供应商，也可以重新开展政府采购活动。</w:t>
      </w:r>
    </w:p>
    <w:p w14:paraId="2E44D8A6">
      <w:pPr>
        <w:pStyle w:val="39"/>
        <w:ind w:firstLine="480"/>
        <w:rPr>
          <w:rFonts w:hint="eastAsia" w:ascii="宋体" w:hAnsi="宋体" w:eastAsia="宋体" w:cs="宋体"/>
        </w:rPr>
      </w:pPr>
      <w:r>
        <w:rPr>
          <w:rFonts w:hint="eastAsia" w:ascii="宋体" w:hAnsi="宋体" w:eastAsia="宋体" w:cs="宋体"/>
        </w:rPr>
        <w:t>11.4政府采购合同在执行过程中，确需修改、变更时，应当按照相应的审核批准程序办理。</w:t>
      </w:r>
    </w:p>
    <w:p w14:paraId="13BB4AD8">
      <w:pPr>
        <w:pStyle w:val="39"/>
        <w:ind w:firstLine="480"/>
        <w:rPr>
          <w:rFonts w:hint="eastAsia" w:ascii="宋体" w:hAnsi="宋体" w:eastAsia="宋体" w:cs="宋体"/>
        </w:rPr>
      </w:pPr>
      <w:r>
        <w:rPr>
          <w:rFonts w:hint="eastAsia" w:ascii="宋体" w:hAnsi="宋体" w:eastAsia="宋体" w:cs="宋体"/>
        </w:rPr>
        <w:t>11.5磋商文件、响应文件、澄清等为政府采购合同的组成部分，具有同等法律效力。</w:t>
      </w:r>
    </w:p>
    <w:p w14:paraId="41B9AD83">
      <w:pPr>
        <w:pStyle w:val="39"/>
        <w:ind w:firstLine="480"/>
        <w:rPr>
          <w:rFonts w:hint="eastAsia" w:ascii="宋体" w:hAnsi="宋体" w:eastAsia="宋体" w:cs="宋体"/>
        </w:rPr>
      </w:pPr>
      <w:r>
        <w:rPr>
          <w:rFonts w:hint="eastAsia" w:ascii="宋体" w:hAnsi="宋体" w:eastAsia="宋体" w:cs="宋体"/>
        </w:rPr>
        <w:t>11.6采购人按有关规定将政府采购合同报送监管机构备案。</w:t>
      </w:r>
    </w:p>
    <w:p w14:paraId="5FDB440A">
      <w:pPr>
        <w:pStyle w:val="39"/>
        <w:ind w:firstLine="482"/>
        <w:rPr>
          <w:rFonts w:hint="eastAsia" w:ascii="宋体" w:hAnsi="宋体" w:eastAsia="宋体" w:cs="宋体"/>
          <w:b/>
        </w:rPr>
      </w:pPr>
      <w:r>
        <w:rPr>
          <w:rFonts w:hint="eastAsia" w:ascii="宋体" w:hAnsi="宋体" w:eastAsia="宋体" w:cs="宋体"/>
          <w:b/>
        </w:rPr>
        <w:t>12、其他</w:t>
      </w:r>
    </w:p>
    <w:p w14:paraId="6F5B8EEF">
      <w:pPr>
        <w:pStyle w:val="39"/>
        <w:ind w:firstLine="480"/>
        <w:rPr>
          <w:rFonts w:hint="eastAsia" w:ascii="宋体" w:hAnsi="宋体" w:eastAsia="宋体" w:cs="宋体"/>
        </w:rPr>
      </w:pPr>
      <w:r>
        <w:rPr>
          <w:rFonts w:hint="eastAsia" w:ascii="宋体" w:hAnsi="宋体" w:eastAsia="宋体" w:cs="宋体"/>
        </w:rPr>
        <w:t>12.1根据《政府采购竞争性磋商采购方式管理暂行办法》（财库〔2014〕214号）第三十四条、第三十五条和《财政部关于政府采购竞争性磋商采购方式管理暂行办法有关问题的补充通知》，第一次公告后，磋商过程中出现下列情况之一的，按磋商失败处理：</w:t>
      </w:r>
    </w:p>
    <w:p w14:paraId="2DC07C34">
      <w:pPr>
        <w:pStyle w:val="39"/>
        <w:ind w:firstLine="480"/>
        <w:rPr>
          <w:rFonts w:hint="eastAsia" w:ascii="宋体" w:hAnsi="宋体" w:eastAsia="宋体" w:cs="宋体"/>
        </w:rPr>
      </w:pPr>
      <w:r>
        <w:rPr>
          <w:rFonts w:hint="eastAsia" w:ascii="宋体" w:hAnsi="宋体" w:eastAsia="宋体" w:cs="宋体"/>
        </w:rPr>
        <w:t>（1）因情况变化，不再符合规定的竞争性磋商采购方式适用情形的；</w:t>
      </w:r>
    </w:p>
    <w:p w14:paraId="6901D15E">
      <w:pPr>
        <w:pStyle w:val="39"/>
        <w:ind w:firstLine="480"/>
        <w:rPr>
          <w:rFonts w:hint="eastAsia" w:ascii="宋体" w:hAnsi="宋体" w:eastAsia="宋体" w:cs="宋体"/>
        </w:rPr>
      </w:pPr>
      <w:r>
        <w:rPr>
          <w:rFonts w:hint="eastAsia" w:ascii="宋体" w:hAnsi="宋体" w:eastAsia="宋体" w:cs="宋体"/>
        </w:rPr>
        <w:t>（2）出现影响采购公正的违法、违规行为的；</w:t>
      </w:r>
    </w:p>
    <w:p w14:paraId="3638F43C">
      <w:pPr>
        <w:pStyle w:val="39"/>
        <w:ind w:firstLine="480"/>
        <w:rPr>
          <w:rFonts w:hint="eastAsia" w:ascii="宋体" w:hAnsi="宋体" w:eastAsia="宋体" w:cs="宋体"/>
        </w:rPr>
      </w:pPr>
      <w:r>
        <w:rPr>
          <w:rFonts w:hint="eastAsia" w:ascii="宋体" w:hAnsi="宋体" w:eastAsia="宋体" w:cs="宋体"/>
        </w:rPr>
        <w:t>（3）政府购买服务项目（含政府和社会资本合作项目）、市场竞争不充分的科研项目以及需要扶持的科技成果转化项目符合要求的供应商或者报价未超过采购预算的供应商不足2家的；其他项目符合要求的供应商或者报价未超过采购预算的供应商不足3家的；</w:t>
      </w:r>
    </w:p>
    <w:p w14:paraId="288FF244">
      <w:pPr>
        <w:pStyle w:val="39"/>
        <w:ind w:firstLine="480"/>
        <w:rPr>
          <w:rFonts w:hint="eastAsia" w:ascii="宋体" w:hAnsi="宋体" w:eastAsia="宋体" w:cs="宋体"/>
        </w:rPr>
      </w:pPr>
      <w:r>
        <w:rPr>
          <w:rFonts w:hint="eastAsia" w:ascii="宋体" w:hAnsi="宋体" w:eastAsia="宋体" w:cs="宋体"/>
        </w:rPr>
        <w:t>（4）因重大变故，采购任务取消的。</w:t>
      </w:r>
    </w:p>
    <w:p w14:paraId="369C8ABC">
      <w:pPr>
        <w:pStyle w:val="39"/>
        <w:ind w:firstLine="480"/>
        <w:rPr>
          <w:rFonts w:hint="eastAsia" w:ascii="宋体" w:hAnsi="宋体" w:eastAsia="宋体" w:cs="宋体"/>
        </w:rPr>
      </w:pPr>
      <w:r>
        <w:rPr>
          <w:rFonts w:hint="eastAsia" w:ascii="宋体" w:hAnsi="宋体" w:eastAsia="宋体" w:cs="宋体"/>
        </w:rPr>
        <w:t>12.2磋商失败后，除采购任务取消外，将重新组织采购。</w:t>
      </w:r>
    </w:p>
    <w:p w14:paraId="2C4C219C">
      <w:pPr>
        <w:pStyle w:val="39"/>
        <w:ind w:firstLine="480"/>
        <w:rPr>
          <w:rFonts w:hint="eastAsia" w:ascii="宋体" w:hAnsi="宋体" w:eastAsia="宋体" w:cs="宋体"/>
        </w:rPr>
      </w:pPr>
      <w:r>
        <w:rPr>
          <w:rFonts w:hint="eastAsia" w:ascii="宋体" w:hAnsi="宋体" w:eastAsia="宋体" w:cs="宋体"/>
        </w:rPr>
        <w:t>12.3最后公告后，政府购买服务项目（含政府和社会资本合作项目）以及市场竞争不充分的科研项目以及需要扶持的科技成果转化项目符合要求的供应商或者报价未超过采购预算的供应商不足2家的（其他类别项目符合要求的供应商或者报价未超过采购预算的供应商不足3家的），本项目将依据有关规定，按政府采购监管部门事前批准的采购方式继续进行。</w:t>
      </w:r>
    </w:p>
    <w:p w14:paraId="58AD70D9">
      <w:pPr>
        <w:pStyle w:val="39"/>
        <w:ind w:firstLine="480"/>
        <w:rPr>
          <w:rFonts w:hint="eastAsia" w:ascii="宋体" w:hAnsi="宋体" w:eastAsia="宋体" w:cs="宋体"/>
        </w:rPr>
      </w:pPr>
      <w:r>
        <w:rPr>
          <w:rFonts w:hint="eastAsia" w:ascii="宋体" w:hAnsi="宋体" w:eastAsia="宋体" w:cs="宋体"/>
        </w:rPr>
        <w:t>12.4磋商文件未明确的其他事项，按《政府采购法》及其相关法律法规执行。</w:t>
      </w:r>
    </w:p>
    <w:p w14:paraId="26948231">
      <w:pPr>
        <w:pStyle w:val="4"/>
        <w:jc w:val="center"/>
        <w:rPr>
          <w:rFonts w:hint="eastAsia" w:ascii="宋体" w:hAnsi="宋体" w:eastAsia="宋体" w:cs="宋体"/>
        </w:rPr>
      </w:pPr>
      <w:bookmarkStart w:id="7" w:name="_Toc27587"/>
    </w:p>
    <w:p w14:paraId="5280F50C">
      <w:pPr>
        <w:pStyle w:val="4"/>
        <w:jc w:val="center"/>
        <w:rPr>
          <w:rFonts w:hint="eastAsia" w:ascii="宋体" w:hAnsi="宋体" w:eastAsia="宋体" w:cs="宋体"/>
        </w:rPr>
      </w:pPr>
    </w:p>
    <w:p w14:paraId="55F84141">
      <w:pPr>
        <w:pStyle w:val="4"/>
        <w:jc w:val="center"/>
        <w:rPr>
          <w:rFonts w:hint="eastAsia" w:ascii="宋体" w:hAnsi="宋体" w:eastAsia="宋体" w:cs="宋体"/>
        </w:rPr>
      </w:pPr>
    </w:p>
    <w:p w14:paraId="4208CF75">
      <w:pPr>
        <w:pStyle w:val="4"/>
        <w:jc w:val="center"/>
        <w:rPr>
          <w:rFonts w:hint="eastAsia" w:ascii="宋体" w:hAnsi="宋体" w:eastAsia="宋体" w:cs="宋体"/>
        </w:rPr>
      </w:pPr>
    </w:p>
    <w:p w14:paraId="7FE5C437">
      <w:pPr>
        <w:rPr>
          <w:rFonts w:hint="eastAsia" w:ascii="宋体" w:hAnsi="宋体" w:eastAsia="宋体" w:cs="宋体"/>
        </w:rPr>
      </w:pPr>
    </w:p>
    <w:p w14:paraId="5A70E619">
      <w:pPr>
        <w:pStyle w:val="8"/>
        <w:rPr>
          <w:rFonts w:hint="eastAsia" w:ascii="宋体" w:hAnsi="宋体" w:eastAsia="宋体" w:cs="宋体"/>
        </w:rPr>
      </w:pPr>
    </w:p>
    <w:p w14:paraId="2C12D112">
      <w:pPr>
        <w:rPr>
          <w:rFonts w:hint="eastAsia" w:ascii="宋体" w:hAnsi="宋体" w:eastAsia="宋体" w:cs="宋体"/>
        </w:rPr>
      </w:pPr>
    </w:p>
    <w:p w14:paraId="0C26B093">
      <w:pPr>
        <w:rPr>
          <w:rFonts w:hint="eastAsia" w:ascii="宋体" w:hAnsi="宋体" w:eastAsia="宋体" w:cs="宋体"/>
        </w:rPr>
      </w:pPr>
    </w:p>
    <w:p w14:paraId="00F8593A">
      <w:pPr>
        <w:rPr>
          <w:rFonts w:hint="eastAsia" w:ascii="宋体" w:hAnsi="宋体" w:eastAsia="宋体" w:cs="宋体"/>
        </w:rPr>
      </w:pPr>
    </w:p>
    <w:p w14:paraId="4BBCA4EA">
      <w:pPr>
        <w:rPr>
          <w:rFonts w:hint="eastAsia" w:ascii="宋体" w:hAnsi="宋体" w:eastAsia="宋体" w:cs="宋体"/>
        </w:rPr>
      </w:pPr>
    </w:p>
    <w:p w14:paraId="74289A99">
      <w:pPr>
        <w:rPr>
          <w:rFonts w:hint="eastAsia" w:ascii="宋体" w:hAnsi="宋体" w:eastAsia="宋体" w:cs="宋体"/>
        </w:rPr>
      </w:pPr>
    </w:p>
    <w:p w14:paraId="02F79EC1">
      <w:pPr>
        <w:rPr>
          <w:rFonts w:hint="eastAsia" w:ascii="宋体" w:hAnsi="宋体" w:eastAsia="宋体" w:cs="宋体"/>
        </w:rPr>
      </w:pPr>
    </w:p>
    <w:p w14:paraId="3677752F">
      <w:pPr>
        <w:rPr>
          <w:rFonts w:hint="eastAsia" w:ascii="宋体" w:hAnsi="宋体" w:eastAsia="宋体" w:cs="宋体"/>
        </w:rPr>
      </w:pPr>
    </w:p>
    <w:p w14:paraId="5E598BD8">
      <w:pPr>
        <w:rPr>
          <w:rFonts w:hint="eastAsia" w:ascii="宋体" w:hAnsi="宋体" w:eastAsia="宋体" w:cs="宋体"/>
        </w:rPr>
      </w:pPr>
    </w:p>
    <w:p w14:paraId="20D8868E">
      <w:pPr>
        <w:rPr>
          <w:rFonts w:hint="eastAsia" w:ascii="宋体" w:hAnsi="宋体" w:eastAsia="宋体" w:cs="宋体"/>
        </w:rPr>
      </w:pPr>
    </w:p>
    <w:p w14:paraId="3091DF28">
      <w:pPr>
        <w:rPr>
          <w:rFonts w:hint="eastAsia" w:ascii="宋体" w:hAnsi="宋体" w:eastAsia="宋体" w:cs="宋体"/>
        </w:rPr>
      </w:pPr>
    </w:p>
    <w:p w14:paraId="13674B97">
      <w:pPr>
        <w:rPr>
          <w:rFonts w:hint="eastAsia" w:ascii="宋体" w:hAnsi="宋体" w:eastAsia="宋体" w:cs="宋体"/>
        </w:rPr>
      </w:pPr>
    </w:p>
    <w:p w14:paraId="176D9763">
      <w:pPr>
        <w:rPr>
          <w:rFonts w:hint="eastAsia" w:ascii="宋体" w:hAnsi="宋体" w:eastAsia="宋体" w:cs="宋体"/>
        </w:rPr>
      </w:pPr>
    </w:p>
    <w:p w14:paraId="11B4ED98">
      <w:pPr>
        <w:rPr>
          <w:rFonts w:hint="eastAsia" w:ascii="宋体" w:hAnsi="宋体" w:eastAsia="宋体" w:cs="宋体"/>
        </w:rPr>
      </w:pPr>
    </w:p>
    <w:p w14:paraId="539A988A">
      <w:pPr>
        <w:rPr>
          <w:rFonts w:hint="eastAsia" w:ascii="宋体" w:hAnsi="宋体" w:eastAsia="宋体" w:cs="宋体"/>
        </w:rPr>
      </w:pPr>
    </w:p>
    <w:p w14:paraId="615A76E0">
      <w:pPr>
        <w:rPr>
          <w:rFonts w:hint="eastAsia" w:ascii="宋体" w:hAnsi="宋体" w:eastAsia="宋体" w:cs="宋体"/>
        </w:rPr>
      </w:pPr>
    </w:p>
    <w:p w14:paraId="6285E919">
      <w:pPr>
        <w:rPr>
          <w:rFonts w:hint="eastAsia" w:ascii="宋体" w:hAnsi="宋体" w:eastAsia="宋体" w:cs="宋体"/>
        </w:rPr>
      </w:pPr>
    </w:p>
    <w:p w14:paraId="5E0BB544">
      <w:pPr>
        <w:rPr>
          <w:rFonts w:hint="eastAsia" w:ascii="宋体" w:hAnsi="宋体" w:eastAsia="宋体" w:cs="宋体"/>
        </w:rPr>
      </w:pPr>
    </w:p>
    <w:p w14:paraId="735C3A56">
      <w:pPr>
        <w:rPr>
          <w:rFonts w:hint="eastAsia" w:ascii="宋体" w:hAnsi="宋体" w:eastAsia="宋体" w:cs="宋体"/>
        </w:rPr>
      </w:pPr>
    </w:p>
    <w:p w14:paraId="1AD1161D">
      <w:pPr>
        <w:rPr>
          <w:rFonts w:hint="eastAsia" w:ascii="宋体" w:hAnsi="宋体" w:eastAsia="宋体" w:cs="宋体"/>
        </w:rPr>
      </w:pPr>
    </w:p>
    <w:p w14:paraId="459FF634">
      <w:pPr>
        <w:rPr>
          <w:rFonts w:hint="eastAsia" w:ascii="宋体" w:hAnsi="宋体" w:eastAsia="宋体" w:cs="宋体"/>
        </w:rPr>
      </w:pPr>
    </w:p>
    <w:p w14:paraId="6B631F8D">
      <w:pPr>
        <w:rPr>
          <w:rFonts w:hint="eastAsia" w:ascii="宋体" w:hAnsi="宋体" w:eastAsia="宋体" w:cs="宋体"/>
        </w:rPr>
      </w:pPr>
    </w:p>
    <w:p w14:paraId="0428FFB7">
      <w:pPr>
        <w:rPr>
          <w:rFonts w:hint="eastAsia" w:ascii="宋体" w:hAnsi="宋体" w:eastAsia="宋体" w:cs="宋体"/>
        </w:rPr>
      </w:pPr>
    </w:p>
    <w:p w14:paraId="29AC85A5">
      <w:pPr>
        <w:rPr>
          <w:rFonts w:hint="eastAsia" w:ascii="宋体" w:hAnsi="宋体" w:eastAsia="宋体" w:cs="宋体"/>
        </w:rPr>
      </w:pPr>
    </w:p>
    <w:p w14:paraId="7BBA9F0F">
      <w:pPr>
        <w:rPr>
          <w:rFonts w:hint="eastAsia" w:ascii="宋体" w:hAnsi="宋体" w:eastAsia="宋体" w:cs="宋体"/>
        </w:rPr>
      </w:pPr>
    </w:p>
    <w:p w14:paraId="4974622E">
      <w:pPr>
        <w:rPr>
          <w:rFonts w:hint="eastAsia" w:ascii="宋体" w:hAnsi="宋体" w:eastAsia="宋体" w:cs="宋体"/>
        </w:rPr>
      </w:pPr>
    </w:p>
    <w:p w14:paraId="2013D750">
      <w:pPr>
        <w:rPr>
          <w:rFonts w:hint="eastAsia" w:ascii="宋体" w:hAnsi="宋体" w:eastAsia="宋体" w:cs="宋体"/>
        </w:rPr>
      </w:pPr>
    </w:p>
    <w:p w14:paraId="5FA0A6E0">
      <w:pPr>
        <w:rPr>
          <w:rFonts w:hint="eastAsia" w:ascii="宋体" w:hAnsi="宋体" w:eastAsia="宋体" w:cs="宋体"/>
        </w:rPr>
      </w:pPr>
    </w:p>
    <w:p w14:paraId="18F9EC28">
      <w:pPr>
        <w:rPr>
          <w:rFonts w:hint="eastAsia" w:ascii="宋体" w:hAnsi="宋体" w:eastAsia="宋体" w:cs="宋体"/>
        </w:rPr>
      </w:pPr>
    </w:p>
    <w:p w14:paraId="341D2159">
      <w:pPr>
        <w:rPr>
          <w:rFonts w:hint="eastAsia" w:ascii="宋体" w:hAnsi="宋体" w:eastAsia="宋体" w:cs="宋体"/>
        </w:rPr>
      </w:pPr>
    </w:p>
    <w:p w14:paraId="21CE8E49">
      <w:pPr>
        <w:rPr>
          <w:rFonts w:hint="eastAsia" w:ascii="宋体" w:hAnsi="宋体" w:eastAsia="宋体" w:cs="宋体"/>
        </w:rPr>
      </w:pPr>
    </w:p>
    <w:p w14:paraId="6844843C">
      <w:pPr>
        <w:pStyle w:val="4"/>
        <w:jc w:val="center"/>
        <w:rPr>
          <w:rFonts w:hint="eastAsia" w:ascii="宋体" w:hAnsi="宋体" w:eastAsia="宋体" w:cs="宋体"/>
          <w:b/>
          <w:bCs/>
          <w:sz w:val="24"/>
          <w:szCs w:val="24"/>
          <w:lang w:val="en-US" w:eastAsia="zh-CN"/>
        </w:rPr>
      </w:pPr>
      <w:r>
        <w:rPr>
          <w:rFonts w:hint="eastAsia" w:ascii="宋体" w:hAnsi="宋体" w:eastAsia="宋体" w:cs="宋体"/>
          <w:color w:val="000000" w:themeColor="text1"/>
          <w:sz w:val="40"/>
          <w:szCs w:val="40"/>
          <w14:textFill>
            <w14:solidFill>
              <w14:schemeClr w14:val="tx1"/>
            </w14:solidFill>
          </w14:textFill>
        </w:rPr>
        <w:t>第四章 磋商内容及采购要求</w:t>
      </w:r>
      <w:bookmarkEnd w:id="7"/>
    </w:p>
    <w:p w14:paraId="6E9EE113">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工作内容</w:t>
      </w:r>
    </w:p>
    <w:p w14:paraId="20BD4DDB">
      <w:pPr>
        <w:pStyle w:val="27"/>
        <w:keepNext w:val="0"/>
        <w:keepLines w:val="0"/>
        <w:pageBreakBefore w:val="0"/>
        <w:numPr>
          <w:ilvl w:val="0"/>
          <w:numId w:val="0"/>
        </w:numPr>
        <w:kinsoku/>
        <w:wordWrap/>
        <w:overflowPunct/>
        <w:topLinePunct w:val="0"/>
        <w:bidi w:val="0"/>
        <w:adjustRightInd/>
        <w:snapToGrid/>
        <w:spacing w:line="520" w:lineRule="exact"/>
        <w:ind w:leftChars="233"/>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供应商需完成以下工作：</w:t>
      </w:r>
    </w:p>
    <w:p w14:paraId="7A5FA93B">
      <w:pPr>
        <w:keepNext w:val="0"/>
        <w:keepLines w:val="0"/>
        <w:pageBreakBefore w:val="0"/>
        <w:kinsoku/>
        <w:wordWrap/>
        <w:overflowPunct/>
        <w:topLinePunct w:val="0"/>
        <w:bidi w:val="0"/>
        <w:adjustRightInd/>
        <w:snapToGrid/>
        <w:spacing w:line="520" w:lineRule="exact"/>
        <w:ind w:firstLine="480" w:firstLineChars="200"/>
        <w:textAlignment w:val="auto"/>
        <w:rPr>
          <w:rFonts w:hint="eastAsia" w:ascii="宋体" w:hAnsi="宋体" w:eastAsia="宋体" w:cs="宋体"/>
          <w:kern w:val="2"/>
          <w:sz w:val="24"/>
          <w:szCs w:val="24"/>
          <w:u w:val="single"/>
          <w:lang w:val="en-US" w:eastAsia="zh-CN" w:bidi="ar-SA"/>
        </w:rPr>
      </w:pPr>
      <w:r>
        <w:rPr>
          <w:rFonts w:hint="eastAsia" w:ascii="宋体" w:hAnsi="宋体" w:eastAsia="宋体" w:cs="宋体"/>
          <w:kern w:val="2"/>
          <w:sz w:val="24"/>
          <w:szCs w:val="24"/>
          <w:u w:val="single"/>
          <w:lang w:val="en-US" w:eastAsia="zh-CN" w:bidi="ar-SA"/>
        </w:rPr>
        <w:t>阶段：可研、初步设计、施工图设计</w:t>
      </w:r>
    </w:p>
    <w:p w14:paraId="002AB4B2">
      <w:pPr>
        <w:keepNext w:val="0"/>
        <w:keepLines w:val="0"/>
        <w:pageBreakBefore w:val="0"/>
        <w:kinsoku/>
        <w:wordWrap/>
        <w:overflowPunct/>
        <w:topLinePunct w:val="0"/>
        <w:bidi w:val="0"/>
        <w:adjustRightInd/>
        <w:snapToGrid/>
        <w:spacing w:line="520" w:lineRule="exact"/>
        <w:ind w:firstLine="480" w:firstLineChars="200"/>
        <w:textAlignment w:val="auto"/>
        <w:rPr>
          <w:rFonts w:hint="eastAsia" w:ascii="宋体" w:hAnsi="宋体" w:eastAsia="宋体" w:cs="宋体"/>
          <w:kern w:val="2"/>
          <w:sz w:val="24"/>
          <w:szCs w:val="24"/>
          <w:u w:val="single"/>
          <w:lang w:val="en-US" w:eastAsia="zh-CN" w:bidi="ar-SA"/>
        </w:rPr>
      </w:pPr>
      <w:r>
        <w:rPr>
          <w:rFonts w:hint="eastAsia" w:ascii="宋体" w:hAnsi="宋体" w:eastAsia="宋体" w:cs="宋体"/>
          <w:kern w:val="2"/>
          <w:sz w:val="24"/>
          <w:szCs w:val="24"/>
          <w:u w:val="single"/>
          <w:lang w:val="en-US" w:eastAsia="zh-CN" w:bidi="ar-SA"/>
        </w:rPr>
        <w:t>投资：根据实际设计概算投资确定</w:t>
      </w:r>
    </w:p>
    <w:p w14:paraId="43D185CE">
      <w:pPr>
        <w:keepNext w:val="0"/>
        <w:keepLines w:val="0"/>
        <w:pageBreakBefore w:val="0"/>
        <w:kinsoku/>
        <w:wordWrap/>
        <w:overflowPunct/>
        <w:topLinePunct w:val="0"/>
        <w:bidi w:val="0"/>
        <w:adjustRightInd/>
        <w:snapToGrid/>
        <w:spacing w:line="520" w:lineRule="exact"/>
        <w:ind w:firstLine="480" w:firstLineChars="200"/>
        <w:textAlignment w:val="auto"/>
        <w:rPr>
          <w:rFonts w:hint="eastAsia" w:ascii="宋体" w:hAnsi="宋体" w:eastAsia="宋体" w:cs="宋体"/>
          <w:kern w:val="2"/>
          <w:sz w:val="24"/>
          <w:szCs w:val="24"/>
          <w:u w:val="single"/>
          <w:lang w:val="en-US" w:eastAsia="zh-CN" w:bidi="ar-SA"/>
        </w:rPr>
      </w:pPr>
      <w:r>
        <w:rPr>
          <w:rFonts w:hint="eastAsia" w:ascii="宋体" w:hAnsi="宋体" w:eastAsia="宋体" w:cs="宋体"/>
          <w:kern w:val="2"/>
          <w:sz w:val="24"/>
          <w:szCs w:val="24"/>
          <w:u w:val="single"/>
          <w:lang w:val="en-US" w:eastAsia="zh-CN" w:bidi="ar-SA"/>
        </w:rPr>
        <w:t>设计内容：2025年向阳片区老旧小区改造项目可研、初设、施工图纸设计项目工作。</w:t>
      </w:r>
    </w:p>
    <w:p w14:paraId="34BDE8FE">
      <w:pPr>
        <w:keepNext w:val="0"/>
        <w:keepLines w:val="0"/>
        <w:pageBreakBefore w:val="0"/>
        <w:kinsoku/>
        <w:wordWrap/>
        <w:overflowPunct/>
        <w:topLinePunct w:val="0"/>
        <w:bidi w:val="0"/>
        <w:adjustRightInd/>
        <w:snapToGrid/>
        <w:spacing w:line="520" w:lineRule="exact"/>
        <w:ind w:firstLine="480" w:firstLineChars="200"/>
        <w:textAlignment w:val="auto"/>
        <w:rPr>
          <w:rFonts w:hint="eastAsia" w:ascii="宋体" w:hAnsi="宋体" w:eastAsia="宋体" w:cs="宋体"/>
          <w:kern w:val="2"/>
          <w:sz w:val="24"/>
          <w:szCs w:val="24"/>
          <w:u w:val="single"/>
          <w:lang w:val="en-US" w:eastAsia="zh-CN" w:bidi="ar-SA"/>
        </w:rPr>
      </w:pPr>
      <w:r>
        <w:rPr>
          <w:rFonts w:hint="eastAsia" w:ascii="宋体" w:hAnsi="宋体" w:eastAsia="宋体" w:cs="宋体"/>
          <w:kern w:val="2"/>
          <w:sz w:val="24"/>
          <w:szCs w:val="24"/>
          <w:u w:val="single"/>
          <w:lang w:val="en-US" w:eastAsia="zh-CN" w:bidi="ar-SA"/>
        </w:rPr>
        <w:t>设计主要技术标准是：国家现行建筑工程设计规范。</w:t>
      </w:r>
    </w:p>
    <w:p w14:paraId="6A05096C">
      <w:pPr>
        <w:keepNext w:val="0"/>
        <w:keepLines w:val="0"/>
        <w:pageBreakBefore w:val="0"/>
        <w:kinsoku/>
        <w:wordWrap/>
        <w:overflowPunct/>
        <w:topLinePunct w:val="0"/>
        <w:bidi w:val="0"/>
        <w:adjustRightInd/>
        <w:snapToGrid/>
        <w:spacing w:line="520" w:lineRule="exact"/>
        <w:ind w:firstLine="482" w:firstLineChars="200"/>
        <w:textAlignment w:val="auto"/>
        <w:rPr>
          <w:rFonts w:hint="default" w:ascii="宋体" w:hAnsi="宋体" w:eastAsia="宋体" w:cs="宋体"/>
          <w:sz w:val="24"/>
          <w:szCs w:val="24"/>
          <w:highlight w:val="none"/>
          <w:u w:val="none"/>
          <w:lang w:val="en-US" w:eastAsia="zh-CN"/>
        </w:rPr>
      </w:pPr>
      <w:r>
        <w:rPr>
          <w:rFonts w:hint="eastAsia" w:ascii="宋体" w:hAnsi="宋体" w:eastAsia="宋体" w:cs="宋体"/>
          <w:b/>
          <w:bCs/>
          <w:kern w:val="2"/>
          <w:sz w:val="24"/>
          <w:szCs w:val="24"/>
          <w:u w:val="none"/>
          <w:lang w:val="en-US" w:eastAsia="zh-CN" w:bidi="ar-SA"/>
        </w:rPr>
        <w:t>二、服务期：</w:t>
      </w:r>
      <w:r>
        <w:rPr>
          <w:rFonts w:hint="eastAsia" w:cs="宋体"/>
          <w:b/>
          <w:bCs/>
          <w:kern w:val="2"/>
          <w:sz w:val="24"/>
          <w:szCs w:val="24"/>
          <w:highlight w:val="none"/>
          <w:u w:val="none"/>
          <w:lang w:val="en-US" w:eastAsia="zh-CN" w:bidi="ar-SA"/>
        </w:rPr>
        <w:t>30日历天</w:t>
      </w:r>
    </w:p>
    <w:p w14:paraId="376F7497">
      <w:pPr>
        <w:pStyle w:val="11"/>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三、质量保证</w:t>
      </w:r>
    </w:p>
    <w:p w14:paraId="2387C0FA">
      <w:pPr>
        <w:pStyle w:val="11"/>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本次项目成交单位需有专业团队，根据项目所需进行服务，所提交的成果应符合国家现行有关标准、规范的规定，并对所提交成果承担相应的法津责任。</w:t>
      </w:r>
    </w:p>
    <w:p w14:paraId="0F0F10AD">
      <w:pPr>
        <w:pStyle w:val="11"/>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四、技术支持</w:t>
      </w:r>
    </w:p>
    <w:p w14:paraId="1F13183D">
      <w:pPr>
        <w:keepNext w:val="0"/>
        <w:keepLines w:val="0"/>
        <w:pageBreakBefore w:val="0"/>
        <w:widowControl w:val="0"/>
        <w:tabs>
          <w:tab w:val="left" w:pos="152"/>
        </w:tabs>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提供服务期内技术咨询服务。供应商怠于或无法提供服务支持的，采购人有权委托第三方处理，由此产生的费用和后果由供应商负责，费用直接从应付款或质保金中扣除。供应商指定的项目总协调人必须是供应商公司管理层人员。项目实施过程中一旦出现重大问题，项目总协调人应能及时赶到现场。供应商更换项目负责人和主要技术人员，须将变更人及其工作影响、替换人资历等情况以书面材料报告项目采购人审核，经同意后方可更换。因供应商的人员变更原因所造成的任何项目质量、进度滞后的后果，由供应商承担。</w:t>
      </w:r>
    </w:p>
    <w:p w14:paraId="677EF16E">
      <w:pPr>
        <w:keepNext w:val="0"/>
        <w:keepLines w:val="0"/>
        <w:pageBreakBefore w:val="0"/>
        <w:widowControl w:val="0"/>
        <w:tabs>
          <w:tab w:val="left" w:pos="152"/>
        </w:tabs>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2.供应商在项目实施过程中，质量保障人员、资源不足或者执行不力，给项目质量带来的风险超出采购人认定的允许范围时，采购人可终止本项目的合作并进行索赔。</w:t>
      </w:r>
    </w:p>
    <w:p w14:paraId="24C8EE43">
      <w:pPr>
        <w:pStyle w:val="11"/>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五、服务保证</w:t>
      </w:r>
    </w:p>
    <w:p w14:paraId="7E83610C">
      <w:pPr>
        <w:keepNext w:val="0"/>
        <w:keepLines w:val="0"/>
        <w:pageBreakBefore w:val="0"/>
        <w:widowControl w:val="0"/>
        <w:tabs>
          <w:tab w:val="left" w:pos="152"/>
        </w:tabs>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供应商交付的成果及材料必须保证质量可靠，应全面满足</w:t>
      </w:r>
      <w:r>
        <w:rPr>
          <w:rFonts w:hint="eastAsia" w:ascii="宋体" w:hAnsi="宋体" w:eastAsia="宋体" w:cs="宋体"/>
          <w:sz w:val="24"/>
          <w:szCs w:val="24"/>
          <w:lang w:eastAsia="zh-CN"/>
        </w:rPr>
        <w:t>磋商</w:t>
      </w:r>
      <w:r>
        <w:rPr>
          <w:rFonts w:hint="eastAsia" w:ascii="宋体" w:hAnsi="宋体" w:eastAsia="宋体" w:cs="宋体"/>
          <w:sz w:val="24"/>
          <w:szCs w:val="24"/>
        </w:rPr>
        <w:t>文件的要求，</w:t>
      </w:r>
      <w:r>
        <w:rPr>
          <w:rFonts w:hint="eastAsia" w:ascii="宋体" w:hAnsi="宋体" w:eastAsia="宋体" w:cs="宋体"/>
          <w:sz w:val="24"/>
          <w:szCs w:val="24"/>
          <w:lang w:eastAsia="zh-CN"/>
        </w:rPr>
        <w:t>磋商</w:t>
      </w:r>
      <w:r>
        <w:rPr>
          <w:rFonts w:hint="eastAsia" w:ascii="宋体" w:hAnsi="宋体" w:eastAsia="宋体" w:cs="宋体"/>
          <w:sz w:val="24"/>
          <w:szCs w:val="24"/>
        </w:rPr>
        <w:t>文件未明确要求的内容，供应商按</w:t>
      </w:r>
      <w:r>
        <w:rPr>
          <w:rFonts w:hint="eastAsia" w:ascii="宋体" w:hAnsi="宋体" w:eastAsia="宋体" w:cs="宋体"/>
          <w:sz w:val="24"/>
          <w:szCs w:val="24"/>
          <w:lang w:eastAsia="zh-CN"/>
        </w:rPr>
        <w:t>磋商</w:t>
      </w:r>
      <w:r>
        <w:rPr>
          <w:rFonts w:hint="eastAsia" w:ascii="宋体" w:hAnsi="宋体" w:eastAsia="宋体" w:cs="宋体"/>
          <w:sz w:val="24"/>
          <w:szCs w:val="24"/>
        </w:rPr>
        <w:t>服务要求或以采购人的补充要求为准。所供服务应严格按照国家最新发布的规范标准执行，如发生问题由供应商承担全部责任。</w:t>
      </w:r>
    </w:p>
    <w:p w14:paraId="5992CF70">
      <w:pPr>
        <w:rPr>
          <w:rFonts w:hint="eastAsia" w:ascii="宋体" w:hAnsi="宋体" w:eastAsia="宋体" w:cs="宋体"/>
          <w:b/>
          <w:bCs/>
          <w:sz w:val="24"/>
          <w:szCs w:val="24"/>
          <w:lang w:val="en-US" w:eastAsia="zh-CN"/>
        </w:rPr>
      </w:pPr>
    </w:p>
    <w:p w14:paraId="2492FB55">
      <w:pPr>
        <w:pStyle w:val="36"/>
        <w:spacing w:before="240" w:after="240"/>
        <w:outlineLvl w:val="0"/>
        <w:rPr>
          <w:rFonts w:hint="eastAsia" w:ascii="宋体" w:hAnsi="宋体" w:eastAsia="宋体" w:cs="宋体"/>
          <w:sz w:val="24"/>
          <w:szCs w:val="24"/>
        </w:rPr>
      </w:pPr>
      <w:bookmarkStart w:id="8" w:name="_Toc18321"/>
      <w:r>
        <w:rPr>
          <w:rFonts w:hint="eastAsia" w:ascii="宋体" w:hAnsi="宋体" w:eastAsia="宋体" w:cs="宋体"/>
        </w:rPr>
        <w:t>第五章  合同草案条款</w:t>
      </w:r>
      <w:bookmarkEnd w:id="8"/>
    </w:p>
    <w:p w14:paraId="20B9A867">
      <w:pPr>
        <w:keepNext w:val="0"/>
        <w:keepLines w:val="0"/>
        <w:pageBreakBefore w:val="0"/>
        <w:widowControl w:val="0"/>
        <w:wordWrap/>
        <w:overflowPunct/>
        <w:topLinePunct w:val="0"/>
        <w:autoSpaceDE/>
        <w:autoSpaceDN/>
        <w:bidi w:val="0"/>
        <w:spacing w:before="156" w:beforeLines="50" w:line="56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第一部分  协议</w:t>
      </w:r>
    </w:p>
    <w:p w14:paraId="3BD613E1">
      <w:pPr>
        <w:keepNext w:val="0"/>
        <w:keepLines w:val="0"/>
        <w:pageBreakBefore w:val="0"/>
        <w:widowControl w:val="0"/>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采购人（全称）：</w:t>
      </w:r>
      <w:r>
        <w:rPr>
          <w:rFonts w:hint="eastAsia" w:ascii="宋体" w:hAnsi="宋体" w:eastAsia="宋体" w:cs="宋体"/>
          <w:b/>
          <w:sz w:val="24"/>
          <w:szCs w:val="24"/>
          <w:u w:val="single"/>
        </w:rPr>
        <w:t xml:space="preserve">  </w:t>
      </w:r>
      <w:r>
        <w:rPr>
          <w:rFonts w:hint="eastAsia" w:cs="宋体"/>
          <w:b/>
          <w:sz w:val="24"/>
          <w:szCs w:val="24"/>
          <w:u w:val="single"/>
          <w:lang w:eastAsia="zh-CN"/>
        </w:rPr>
        <w:t>石泉县物业管理与房产交易所</w:t>
      </w:r>
      <w:r>
        <w:rPr>
          <w:rFonts w:hint="eastAsia" w:ascii="宋体" w:hAnsi="宋体" w:eastAsia="宋体" w:cs="宋体"/>
          <w:b/>
          <w:sz w:val="24"/>
          <w:szCs w:val="24"/>
          <w:u w:val="single"/>
        </w:rPr>
        <w:t xml:space="preserve">                     </w:t>
      </w:r>
    </w:p>
    <w:p w14:paraId="0AB643F4">
      <w:pPr>
        <w:keepNext w:val="0"/>
        <w:keepLines w:val="0"/>
        <w:pageBreakBefore w:val="0"/>
        <w:widowControl w:val="0"/>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sz w:val="24"/>
          <w:szCs w:val="24"/>
          <w:u w:val="single"/>
        </w:rPr>
      </w:pPr>
      <w:r>
        <w:rPr>
          <w:rFonts w:hint="eastAsia" w:ascii="宋体" w:hAnsi="宋体" w:eastAsia="宋体" w:cs="宋体"/>
          <w:b/>
          <w:sz w:val="24"/>
          <w:szCs w:val="24"/>
        </w:rPr>
        <w:t>供应商（全称）：</w:t>
      </w:r>
      <w:r>
        <w:rPr>
          <w:rFonts w:hint="eastAsia" w:ascii="宋体" w:hAnsi="宋体" w:eastAsia="宋体" w:cs="宋体"/>
          <w:b/>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1ADA6C5E">
      <w:pPr>
        <w:keepNext w:val="0"/>
        <w:keepLines w:val="0"/>
        <w:pageBreakBefore w:val="0"/>
        <w:widowControl w:val="0"/>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根据《中华人民共和国</w:t>
      </w:r>
      <w:r>
        <w:rPr>
          <w:rFonts w:hint="eastAsia" w:ascii="宋体" w:hAnsi="宋体" w:eastAsia="宋体" w:cs="宋体"/>
          <w:sz w:val="24"/>
          <w:szCs w:val="24"/>
          <w:lang w:eastAsia="zh-CN"/>
        </w:rPr>
        <w:t>民法典</w:t>
      </w:r>
      <w:r>
        <w:rPr>
          <w:rFonts w:hint="eastAsia" w:ascii="宋体" w:hAnsi="宋体" w:eastAsia="宋体" w:cs="宋体"/>
          <w:sz w:val="24"/>
          <w:szCs w:val="24"/>
        </w:rPr>
        <w:t>》及其他有关法律、法规，遵循平等、自愿、公平和诚信的原则，双方就下述项目范围与相关服务事项协商一致，订立本合同。</w:t>
      </w:r>
    </w:p>
    <w:p w14:paraId="2EF226E0">
      <w:pPr>
        <w:keepNext w:val="0"/>
        <w:keepLines w:val="0"/>
        <w:pageBreakBefore w:val="0"/>
        <w:widowControl w:val="0"/>
        <w:wordWrap/>
        <w:overflowPunct/>
        <w:topLinePunct w:val="0"/>
        <w:autoSpaceDE/>
        <w:autoSpaceDN/>
        <w:bidi w:val="0"/>
        <w:spacing w:line="440" w:lineRule="exact"/>
        <w:textAlignment w:val="auto"/>
        <w:rPr>
          <w:rFonts w:hint="eastAsia" w:ascii="宋体" w:hAnsi="宋体" w:eastAsia="宋体" w:cs="宋体"/>
          <w:b/>
          <w:sz w:val="24"/>
          <w:szCs w:val="24"/>
        </w:rPr>
      </w:pPr>
      <w:r>
        <w:rPr>
          <w:rFonts w:hint="eastAsia" w:ascii="宋体" w:hAnsi="宋体" w:eastAsia="宋体" w:cs="宋体"/>
          <w:b/>
          <w:sz w:val="24"/>
          <w:szCs w:val="24"/>
        </w:rPr>
        <w:t>一、项目概况</w:t>
      </w:r>
    </w:p>
    <w:p w14:paraId="18D7AEF6">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rPr>
        <w:t>1项目名称：</w:t>
      </w:r>
      <w:r>
        <w:rPr>
          <w:rFonts w:hint="eastAsia" w:ascii="宋体" w:hAnsi="宋体" w:eastAsia="宋体" w:cs="宋体"/>
          <w:sz w:val="24"/>
          <w:szCs w:val="24"/>
          <w:u w:val="single"/>
          <w:lang w:eastAsia="zh-CN"/>
        </w:rPr>
        <w:t>石泉县 2024 年城市燃气管道老化更新改造项目</w:t>
      </w:r>
    </w:p>
    <w:p w14:paraId="4210BE85">
      <w:pPr>
        <w:keepNext w:val="0"/>
        <w:keepLines w:val="0"/>
        <w:pageBreakBefore w:val="0"/>
        <w:widowControl w:val="0"/>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2.项目地点：</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石泉县境内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4908B03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kern w:val="2"/>
          <w:sz w:val="24"/>
          <w:szCs w:val="24"/>
          <w:u w:val="single"/>
          <w:lang w:val="en-US" w:eastAsia="zh-CN" w:bidi="ar-SA"/>
        </w:rPr>
      </w:pPr>
      <w:r>
        <w:rPr>
          <w:rFonts w:hint="eastAsia" w:ascii="宋体" w:hAnsi="宋体" w:eastAsia="宋体" w:cs="宋体"/>
          <w:sz w:val="24"/>
          <w:szCs w:val="24"/>
        </w:rPr>
        <w:t>3.项目内容：</w:t>
      </w:r>
      <w:r>
        <w:rPr>
          <w:rFonts w:hint="eastAsia" w:ascii="宋体" w:hAnsi="宋体" w:eastAsia="宋体" w:cs="宋体"/>
          <w:kern w:val="2"/>
          <w:sz w:val="24"/>
          <w:szCs w:val="24"/>
          <w:u w:val="single"/>
          <w:lang w:val="en-US" w:eastAsia="zh-CN" w:bidi="ar-SA"/>
        </w:rPr>
        <w:t>供应商需完成以下工作：</w:t>
      </w:r>
    </w:p>
    <w:p w14:paraId="1E7DE038">
      <w:pPr>
        <w:keepNext w:val="0"/>
        <w:keepLines w:val="0"/>
        <w:pageBreakBefore w:val="0"/>
        <w:kinsoku/>
        <w:wordWrap/>
        <w:overflowPunct/>
        <w:topLinePunct w:val="0"/>
        <w:bidi w:val="0"/>
        <w:adjustRightInd/>
        <w:snapToGrid/>
        <w:spacing w:line="520" w:lineRule="exact"/>
        <w:ind w:firstLine="480" w:firstLineChars="200"/>
        <w:textAlignment w:val="auto"/>
        <w:rPr>
          <w:rFonts w:hint="eastAsia" w:ascii="宋体" w:hAnsi="宋体" w:eastAsia="宋体" w:cs="宋体"/>
          <w:color w:val="000000" w:themeColor="text1"/>
          <w:kern w:val="2"/>
          <w:sz w:val="24"/>
          <w:szCs w:val="24"/>
          <w:u w:val="single"/>
          <w:lang w:val="en-US" w:eastAsia="zh-CN" w:bidi="ar-SA"/>
          <w14:textFill>
            <w14:solidFill>
              <w14:schemeClr w14:val="tx1"/>
            </w14:solidFill>
          </w14:textFill>
        </w:rPr>
      </w:pPr>
      <w:r>
        <w:rPr>
          <w:rFonts w:hint="eastAsia" w:ascii="宋体" w:hAnsi="宋体" w:eastAsia="宋体" w:cs="宋体"/>
          <w:color w:val="000000" w:themeColor="text1"/>
          <w:kern w:val="2"/>
          <w:sz w:val="24"/>
          <w:szCs w:val="24"/>
          <w:u w:val="single"/>
          <w:lang w:val="en-US" w:eastAsia="zh-CN" w:bidi="ar-SA"/>
          <w14:textFill>
            <w14:solidFill>
              <w14:schemeClr w14:val="tx1"/>
            </w14:solidFill>
          </w14:textFill>
        </w:rPr>
        <w:t>阶段：可研、初步设计、施工图设计</w:t>
      </w:r>
    </w:p>
    <w:p w14:paraId="46909187">
      <w:pPr>
        <w:keepNext w:val="0"/>
        <w:keepLines w:val="0"/>
        <w:pageBreakBefore w:val="0"/>
        <w:kinsoku/>
        <w:wordWrap/>
        <w:overflowPunct/>
        <w:topLinePunct w:val="0"/>
        <w:bidi w:val="0"/>
        <w:adjustRightInd/>
        <w:snapToGrid/>
        <w:spacing w:line="520" w:lineRule="exact"/>
        <w:ind w:firstLine="480" w:firstLineChars="200"/>
        <w:textAlignment w:val="auto"/>
        <w:rPr>
          <w:rFonts w:hint="eastAsia" w:ascii="宋体" w:hAnsi="宋体" w:eastAsia="宋体" w:cs="宋体"/>
          <w:color w:val="000000" w:themeColor="text1"/>
          <w:kern w:val="2"/>
          <w:sz w:val="24"/>
          <w:szCs w:val="24"/>
          <w:u w:val="single"/>
          <w:lang w:val="en-US" w:eastAsia="zh-CN" w:bidi="ar-SA"/>
          <w14:textFill>
            <w14:solidFill>
              <w14:schemeClr w14:val="tx1"/>
            </w14:solidFill>
          </w14:textFill>
        </w:rPr>
      </w:pPr>
      <w:r>
        <w:rPr>
          <w:rFonts w:hint="eastAsia" w:ascii="宋体" w:hAnsi="宋体" w:eastAsia="宋体" w:cs="宋体"/>
          <w:color w:val="000000" w:themeColor="text1"/>
          <w:kern w:val="2"/>
          <w:sz w:val="24"/>
          <w:szCs w:val="24"/>
          <w:u w:val="single"/>
          <w:lang w:val="en-US" w:eastAsia="zh-CN" w:bidi="ar-SA"/>
          <w14:textFill>
            <w14:solidFill>
              <w14:schemeClr w14:val="tx1"/>
            </w14:solidFill>
          </w14:textFill>
        </w:rPr>
        <w:t>投资：根据实际设计概算投资确定</w:t>
      </w:r>
    </w:p>
    <w:p w14:paraId="3165094E">
      <w:pPr>
        <w:keepNext w:val="0"/>
        <w:keepLines w:val="0"/>
        <w:pageBreakBefore w:val="0"/>
        <w:kinsoku/>
        <w:wordWrap/>
        <w:overflowPunct/>
        <w:topLinePunct w:val="0"/>
        <w:bidi w:val="0"/>
        <w:adjustRightInd/>
        <w:snapToGrid/>
        <w:spacing w:line="520" w:lineRule="exact"/>
        <w:ind w:firstLine="480" w:firstLineChars="200"/>
        <w:textAlignment w:val="auto"/>
        <w:rPr>
          <w:rFonts w:hint="eastAsia" w:ascii="宋体" w:hAnsi="宋体" w:eastAsia="宋体" w:cs="宋体"/>
          <w:color w:val="000000" w:themeColor="text1"/>
          <w:kern w:val="2"/>
          <w:sz w:val="24"/>
          <w:szCs w:val="24"/>
          <w:u w:val="single"/>
          <w:lang w:val="en-US" w:eastAsia="zh-CN" w:bidi="ar-SA"/>
          <w14:textFill>
            <w14:solidFill>
              <w14:schemeClr w14:val="tx1"/>
            </w14:solidFill>
          </w14:textFill>
        </w:rPr>
      </w:pPr>
      <w:r>
        <w:rPr>
          <w:rFonts w:hint="eastAsia" w:ascii="宋体" w:hAnsi="宋体" w:eastAsia="宋体" w:cs="宋体"/>
          <w:color w:val="000000" w:themeColor="text1"/>
          <w:kern w:val="2"/>
          <w:sz w:val="24"/>
          <w:szCs w:val="24"/>
          <w:u w:val="single"/>
          <w:lang w:val="en-US" w:eastAsia="zh-CN" w:bidi="ar-SA"/>
          <w14:textFill>
            <w14:solidFill>
              <w14:schemeClr w14:val="tx1"/>
            </w14:solidFill>
          </w14:textFill>
        </w:rPr>
        <w:t>设计内容：2025年向阳片区老旧小区改造项目可研、初设、施工图纸设计项目工作。</w:t>
      </w:r>
    </w:p>
    <w:p w14:paraId="75F15C96">
      <w:pPr>
        <w:keepNext w:val="0"/>
        <w:keepLines w:val="0"/>
        <w:pageBreakBefore w:val="0"/>
        <w:kinsoku/>
        <w:wordWrap/>
        <w:overflowPunct/>
        <w:topLinePunct w:val="0"/>
        <w:bidi w:val="0"/>
        <w:adjustRightInd/>
        <w:snapToGrid/>
        <w:spacing w:line="520" w:lineRule="exact"/>
        <w:ind w:firstLine="480" w:firstLineChars="200"/>
        <w:textAlignment w:val="auto"/>
        <w:rPr>
          <w:rFonts w:hint="eastAsia" w:ascii="宋体" w:hAnsi="宋体" w:eastAsia="宋体" w:cs="宋体"/>
          <w:color w:val="000000" w:themeColor="text1"/>
          <w:kern w:val="2"/>
          <w:sz w:val="24"/>
          <w:szCs w:val="24"/>
          <w:u w:val="single"/>
          <w:lang w:val="en-US" w:eastAsia="zh-CN" w:bidi="ar-SA"/>
          <w14:textFill>
            <w14:solidFill>
              <w14:schemeClr w14:val="tx1"/>
            </w14:solidFill>
          </w14:textFill>
        </w:rPr>
      </w:pPr>
      <w:r>
        <w:rPr>
          <w:rFonts w:hint="eastAsia" w:ascii="宋体" w:hAnsi="宋体" w:eastAsia="宋体" w:cs="宋体"/>
          <w:color w:val="000000" w:themeColor="text1"/>
          <w:kern w:val="2"/>
          <w:sz w:val="24"/>
          <w:szCs w:val="24"/>
          <w:u w:val="single"/>
          <w:lang w:val="en-US" w:eastAsia="zh-CN" w:bidi="ar-SA"/>
          <w14:textFill>
            <w14:solidFill>
              <w14:schemeClr w14:val="tx1"/>
            </w14:solidFill>
          </w14:textFill>
        </w:rPr>
        <w:t>设计主要技术标准是：国家现行建筑工程设计规范。</w:t>
      </w:r>
    </w:p>
    <w:p w14:paraId="38F1EB83">
      <w:pPr>
        <w:keepNext w:val="0"/>
        <w:keepLines w:val="0"/>
        <w:pageBreakBefore w:val="0"/>
        <w:widowControl w:val="0"/>
        <w:wordWrap/>
        <w:overflowPunct/>
        <w:topLinePunct w:val="0"/>
        <w:autoSpaceDE/>
        <w:autoSpaceDN/>
        <w:bidi w:val="0"/>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二、组成本合同的文件</w:t>
      </w:r>
    </w:p>
    <w:p w14:paraId="64F8D409">
      <w:pPr>
        <w:keepNext w:val="0"/>
        <w:keepLines w:val="0"/>
        <w:pageBreakBefore w:val="0"/>
        <w:widowControl w:val="0"/>
        <w:wordWrap/>
        <w:overflowPunct/>
        <w:topLinePunct w:val="0"/>
        <w:autoSpaceDE/>
        <w:autoSpaceDN/>
        <w:bidi w:val="0"/>
        <w:adjustRightInd w:val="0"/>
        <w:snapToGrid w:val="0"/>
        <w:spacing w:line="440" w:lineRule="exact"/>
        <w:ind w:firstLine="475" w:firstLineChars="198"/>
        <w:textAlignment w:val="auto"/>
        <w:rPr>
          <w:rFonts w:hint="eastAsia" w:ascii="宋体" w:hAnsi="宋体" w:eastAsia="宋体" w:cs="宋体"/>
          <w:sz w:val="24"/>
          <w:szCs w:val="24"/>
        </w:rPr>
      </w:pPr>
      <w:r>
        <w:rPr>
          <w:rFonts w:hint="eastAsia" w:ascii="宋体" w:hAnsi="宋体" w:eastAsia="宋体" w:cs="宋体"/>
          <w:sz w:val="24"/>
          <w:szCs w:val="24"/>
        </w:rPr>
        <w:t>1. 协议书；</w:t>
      </w:r>
    </w:p>
    <w:p w14:paraId="78991EB1">
      <w:pPr>
        <w:keepNext w:val="0"/>
        <w:keepLines w:val="0"/>
        <w:pageBreakBefore w:val="0"/>
        <w:widowControl w:val="0"/>
        <w:wordWrap/>
        <w:overflowPunct/>
        <w:topLinePunct w:val="0"/>
        <w:autoSpaceDE/>
        <w:autoSpaceDN/>
        <w:bidi w:val="0"/>
        <w:adjustRightInd w:val="0"/>
        <w:snapToGrid w:val="0"/>
        <w:spacing w:line="440" w:lineRule="exact"/>
        <w:ind w:firstLine="475" w:firstLineChars="198"/>
        <w:textAlignment w:val="auto"/>
        <w:rPr>
          <w:rFonts w:hint="eastAsia" w:ascii="宋体" w:hAnsi="宋体" w:eastAsia="宋体" w:cs="宋体"/>
          <w:sz w:val="24"/>
          <w:szCs w:val="24"/>
        </w:rPr>
      </w:pPr>
      <w:r>
        <w:rPr>
          <w:rFonts w:hint="eastAsia" w:ascii="宋体" w:hAnsi="宋体" w:eastAsia="宋体" w:cs="宋体"/>
          <w:sz w:val="24"/>
          <w:szCs w:val="24"/>
        </w:rPr>
        <w:t>2. 成交通知书、</w:t>
      </w:r>
      <w:r>
        <w:rPr>
          <w:rFonts w:hint="eastAsia" w:ascii="宋体" w:hAnsi="宋体" w:eastAsia="宋体" w:cs="宋体"/>
          <w:sz w:val="24"/>
          <w:szCs w:val="24"/>
          <w:lang w:eastAsia="zh-CN"/>
        </w:rPr>
        <w:t>磋商</w:t>
      </w:r>
      <w:r>
        <w:rPr>
          <w:rFonts w:hint="eastAsia" w:ascii="宋体" w:hAnsi="宋体" w:eastAsia="宋体" w:cs="宋体"/>
          <w:sz w:val="24"/>
          <w:szCs w:val="24"/>
        </w:rPr>
        <w:t>文件、补遗、澄清、</w:t>
      </w:r>
      <w:r>
        <w:rPr>
          <w:rFonts w:hint="eastAsia" w:ascii="宋体" w:hAnsi="宋体" w:eastAsia="宋体" w:cs="宋体"/>
          <w:sz w:val="24"/>
          <w:szCs w:val="24"/>
          <w:lang w:eastAsia="zh-CN"/>
        </w:rPr>
        <w:t>磋商</w:t>
      </w:r>
      <w:r>
        <w:rPr>
          <w:rFonts w:hint="eastAsia" w:ascii="宋体" w:hAnsi="宋体" w:eastAsia="宋体" w:cs="宋体"/>
          <w:sz w:val="24"/>
          <w:szCs w:val="24"/>
        </w:rPr>
        <w:t>补充文件（或委托书）；</w:t>
      </w:r>
    </w:p>
    <w:p w14:paraId="42C42194">
      <w:pPr>
        <w:keepNext w:val="0"/>
        <w:keepLines w:val="0"/>
        <w:pageBreakBefore w:val="0"/>
        <w:widowControl w:val="0"/>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3.相关服务建议书；</w:t>
      </w:r>
    </w:p>
    <w:p w14:paraId="455B99F7">
      <w:pPr>
        <w:keepNext w:val="0"/>
        <w:keepLines w:val="0"/>
        <w:pageBreakBefore w:val="0"/>
        <w:widowControl w:val="0"/>
        <w:wordWrap/>
        <w:overflowPunct/>
        <w:topLinePunct w:val="0"/>
        <w:autoSpaceDE/>
        <w:autoSpaceDN/>
        <w:bidi w:val="0"/>
        <w:adjustRightInd w:val="0"/>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4. 附录，即：附表内相关服务的范围和内容；</w:t>
      </w:r>
    </w:p>
    <w:p w14:paraId="75618499">
      <w:pPr>
        <w:keepNext w:val="0"/>
        <w:keepLines w:val="0"/>
        <w:pageBreakBefore w:val="0"/>
        <w:widowControl w:val="0"/>
        <w:wordWrap/>
        <w:overflowPunct/>
        <w:topLinePunct w:val="0"/>
        <w:autoSpaceDE/>
        <w:autoSpaceDN/>
        <w:bidi w:val="0"/>
        <w:adjustRightInd w:val="0"/>
        <w:snapToGrid w:val="0"/>
        <w:spacing w:line="440" w:lineRule="exact"/>
        <w:ind w:firstLine="475" w:firstLineChars="198"/>
        <w:textAlignment w:val="auto"/>
        <w:rPr>
          <w:rFonts w:hint="eastAsia" w:ascii="宋体" w:hAnsi="宋体" w:eastAsia="宋体" w:cs="宋体"/>
          <w:sz w:val="24"/>
          <w:szCs w:val="24"/>
        </w:rPr>
      </w:pPr>
      <w:r>
        <w:rPr>
          <w:rFonts w:hint="eastAsia" w:ascii="宋体" w:hAnsi="宋体" w:eastAsia="宋体" w:cs="宋体"/>
          <w:sz w:val="24"/>
          <w:szCs w:val="24"/>
        </w:rPr>
        <w:t>本合同签订后，双方依法签订的补充协议也是本合同文件的组成部分。</w:t>
      </w:r>
    </w:p>
    <w:p w14:paraId="138C967C">
      <w:pPr>
        <w:keepNext w:val="0"/>
        <w:keepLines w:val="0"/>
        <w:pageBreakBefore w:val="0"/>
        <w:widowControl w:val="0"/>
        <w:wordWrap/>
        <w:overflowPunct/>
        <w:topLinePunct w:val="0"/>
        <w:autoSpaceDE/>
        <w:autoSpaceDN/>
        <w:bidi w:val="0"/>
        <w:spacing w:line="440" w:lineRule="exact"/>
        <w:textAlignment w:val="auto"/>
        <w:rPr>
          <w:rFonts w:hint="eastAsia" w:ascii="宋体" w:hAnsi="宋体" w:eastAsia="宋体" w:cs="宋体"/>
          <w:b/>
          <w:sz w:val="24"/>
          <w:szCs w:val="24"/>
        </w:rPr>
      </w:pPr>
      <w:r>
        <w:rPr>
          <w:rFonts w:hint="eastAsia" w:ascii="宋体" w:hAnsi="宋体" w:eastAsia="宋体" w:cs="宋体"/>
          <w:b/>
          <w:sz w:val="24"/>
          <w:szCs w:val="24"/>
        </w:rPr>
        <w:t>三、合同价款</w:t>
      </w:r>
    </w:p>
    <w:p w14:paraId="665038CE">
      <w:pPr>
        <w:keepNext w:val="0"/>
        <w:keepLines w:val="0"/>
        <w:pageBreakBefore w:val="0"/>
        <w:widowControl w:val="0"/>
        <w:wordWrap/>
        <w:overflowPunct/>
        <w:topLinePunct w:val="0"/>
        <w:autoSpaceDE/>
        <w:autoSpaceDN/>
        <w:bidi w:val="0"/>
        <w:adjustRightInd w:val="0"/>
        <w:snapToGrid w:val="0"/>
        <w:spacing w:line="440" w:lineRule="exact"/>
        <w:ind w:firstLine="475" w:firstLineChars="198"/>
        <w:textAlignment w:val="auto"/>
        <w:rPr>
          <w:rFonts w:hint="eastAsia" w:ascii="宋体" w:hAnsi="宋体" w:eastAsia="宋体" w:cs="宋体"/>
          <w:sz w:val="24"/>
          <w:szCs w:val="24"/>
        </w:rPr>
      </w:pPr>
      <w:r>
        <w:rPr>
          <w:rFonts w:hint="eastAsia" w:ascii="宋体" w:hAnsi="宋体" w:eastAsia="宋体" w:cs="宋体"/>
          <w:sz w:val="24"/>
          <w:szCs w:val="24"/>
        </w:rPr>
        <w:t>合同金额（大写）：</w:t>
      </w:r>
      <w:r>
        <w:rPr>
          <w:rFonts w:hint="eastAsia" w:ascii="宋体" w:hAnsi="宋体" w:eastAsia="宋体" w:cs="宋体"/>
          <w:sz w:val="24"/>
          <w:szCs w:val="24"/>
          <w:u w:val="single"/>
        </w:rPr>
        <w:t xml:space="preserve">                            </w:t>
      </w:r>
      <w:r>
        <w:rPr>
          <w:rFonts w:hint="eastAsia" w:ascii="宋体" w:hAnsi="宋体" w:eastAsia="宋体" w:cs="宋体"/>
          <w:sz w:val="24"/>
          <w:szCs w:val="24"/>
        </w:rPr>
        <w:t>（¥        ）。</w:t>
      </w:r>
    </w:p>
    <w:p w14:paraId="5960B072">
      <w:pPr>
        <w:keepNext w:val="0"/>
        <w:keepLines w:val="0"/>
        <w:pageBreakBefore w:val="0"/>
        <w:widowControl w:val="0"/>
        <w:wordWrap/>
        <w:overflowPunct/>
        <w:topLinePunct w:val="0"/>
        <w:autoSpaceDE/>
        <w:autoSpaceDN/>
        <w:bidi w:val="0"/>
        <w:adjustRightInd w:val="0"/>
        <w:snapToGrid w:val="0"/>
        <w:spacing w:line="440" w:lineRule="exact"/>
        <w:textAlignment w:val="auto"/>
        <w:rPr>
          <w:rFonts w:hint="eastAsia" w:ascii="宋体" w:hAnsi="宋体" w:eastAsia="宋体" w:cs="宋体"/>
          <w:b/>
          <w:sz w:val="24"/>
          <w:szCs w:val="24"/>
        </w:rPr>
      </w:pPr>
      <w:r>
        <w:rPr>
          <w:rFonts w:hint="eastAsia" w:ascii="宋体" w:hAnsi="宋体" w:eastAsia="宋体" w:cs="宋体"/>
          <w:b/>
          <w:sz w:val="24"/>
          <w:szCs w:val="24"/>
        </w:rPr>
        <w:t>四、服务期、服务地点：</w:t>
      </w:r>
      <w:r>
        <w:rPr>
          <w:rFonts w:hint="eastAsia" w:ascii="宋体" w:hAnsi="宋体" w:eastAsia="宋体" w:cs="宋体"/>
          <w:sz w:val="24"/>
          <w:szCs w:val="24"/>
        </w:rPr>
        <w:t>详见“第三章合同条款及格式前附表”</w:t>
      </w:r>
    </w:p>
    <w:p w14:paraId="7EE2E3BE">
      <w:pPr>
        <w:keepNext w:val="0"/>
        <w:keepLines w:val="0"/>
        <w:pageBreakBefore w:val="0"/>
        <w:widowControl w:val="0"/>
        <w:wordWrap/>
        <w:overflowPunct/>
        <w:topLinePunct w:val="0"/>
        <w:autoSpaceDE/>
        <w:autoSpaceDN/>
        <w:bidi w:val="0"/>
        <w:adjustRightInd w:val="0"/>
        <w:snapToGrid w:val="0"/>
        <w:spacing w:line="440" w:lineRule="exact"/>
        <w:textAlignment w:val="auto"/>
        <w:rPr>
          <w:rFonts w:hint="eastAsia" w:ascii="宋体" w:hAnsi="宋体" w:eastAsia="宋体" w:cs="宋体"/>
          <w:b/>
          <w:sz w:val="24"/>
          <w:szCs w:val="24"/>
        </w:rPr>
      </w:pPr>
      <w:r>
        <w:rPr>
          <w:rFonts w:hint="eastAsia" w:ascii="宋体" w:hAnsi="宋体" w:eastAsia="宋体" w:cs="宋体"/>
          <w:b/>
          <w:sz w:val="24"/>
          <w:szCs w:val="24"/>
        </w:rPr>
        <w:t>五、付款方式：</w:t>
      </w:r>
      <w:r>
        <w:rPr>
          <w:rFonts w:hint="eastAsia" w:ascii="宋体" w:hAnsi="宋体" w:eastAsia="宋体" w:cs="宋体"/>
          <w:sz w:val="24"/>
          <w:szCs w:val="24"/>
        </w:rPr>
        <w:t>详见“第三章合同条款及格式前附表”</w:t>
      </w:r>
    </w:p>
    <w:p w14:paraId="2C572C6B">
      <w:pPr>
        <w:keepNext w:val="0"/>
        <w:keepLines w:val="0"/>
        <w:pageBreakBefore w:val="0"/>
        <w:widowControl w:val="0"/>
        <w:wordWrap/>
        <w:overflowPunct/>
        <w:topLinePunct w:val="0"/>
        <w:autoSpaceDE/>
        <w:autoSpaceDN/>
        <w:bidi w:val="0"/>
        <w:adjustRightInd w:val="0"/>
        <w:snapToGrid w:val="0"/>
        <w:spacing w:line="440" w:lineRule="exact"/>
        <w:textAlignment w:val="auto"/>
        <w:rPr>
          <w:rFonts w:hint="eastAsia" w:ascii="宋体" w:hAnsi="宋体" w:eastAsia="宋体" w:cs="宋体"/>
          <w:b/>
          <w:sz w:val="24"/>
          <w:szCs w:val="24"/>
        </w:rPr>
      </w:pPr>
      <w:r>
        <w:rPr>
          <w:rFonts w:hint="eastAsia" w:ascii="宋体" w:hAnsi="宋体" w:eastAsia="宋体" w:cs="宋体"/>
          <w:b/>
          <w:sz w:val="24"/>
          <w:szCs w:val="24"/>
        </w:rPr>
        <w:t>六、技术支持：</w:t>
      </w:r>
      <w:r>
        <w:rPr>
          <w:rFonts w:hint="eastAsia" w:ascii="宋体" w:hAnsi="宋体" w:eastAsia="宋体" w:cs="宋体"/>
          <w:sz w:val="24"/>
          <w:szCs w:val="24"/>
        </w:rPr>
        <w:t>详见“第三章合同条款及格式前附表”</w:t>
      </w:r>
    </w:p>
    <w:p w14:paraId="6A7DF138">
      <w:pPr>
        <w:keepNext w:val="0"/>
        <w:keepLines w:val="0"/>
        <w:pageBreakBefore w:val="0"/>
        <w:widowControl w:val="0"/>
        <w:wordWrap/>
        <w:overflowPunct/>
        <w:topLinePunct w:val="0"/>
        <w:autoSpaceDE/>
        <w:autoSpaceDN/>
        <w:bidi w:val="0"/>
        <w:spacing w:line="440" w:lineRule="exact"/>
        <w:textAlignment w:val="auto"/>
        <w:rPr>
          <w:rFonts w:hint="eastAsia" w:ascii="宋体" w:hAnsi="宋体" w:eastAsia="宋体" w:cs="宋体"/>
          <w:b/>
          <w:sz w:val="24"/>
          <w:szCs w:val="24"/>
        </w:rPr>
      </w:pPr>
      <w:r>
        <w:rPr>
          <w:rFonts w:hint="eastAsia" w:ascii="宋体" w:hAnsi="宋体" w:eastAsia="宋体" w:cs="宋体"/>
          <w:b/>
          <w:sz w:val="24"/>
          <w:szCs w:val="24"/>
        </w:rPr>
        <w:t>八、知识产权：</w:t>
      </w:r>
      <w:r>
        <w:rPr>
          <w:rFonts w:hint="eastAsia" w:ascii="宋体" w:hAnsi="宋体" w:eastAsia="宋体" w:cs="宋体"/>
          <w:sz w:val="24"/>
          <w:szCs w:val="24"/>
        </w:rPr>
        <w:t>详见“第三章合同条款及格式前附表”</w:t>
      </w:r>
    </w:p>
    <w:p w14:paraId="1C4315C1">
      <w:pPr>
        <w:keepNext w:val="0"/>
        <w:keepLines w:val="0"/>
        <w:pageBreakBefore w:val="0"/>
        <w:widowControl w:val="0"/>
        <w:wordWrap/>
        <w:overflowPunct/>
        <w:topLinePunct w:val="0"/>
        <w:autoSpaceDE/>
        <w:autoSpaceDN/>
        <w:bidi w:val="0"/>
        <w:spacing w:line="440" w:lineRule="exact"/>
        <w:textAlignment w:val="auto"/>
        <w:rPr>
          <w:rFonts w:hint="eastAsia" w:ascii="宋体" w:hAnsi="宋体" w:eastAsia="宋体" w:cs="宋体"/>
          <w:b/>
          <w:sz w:val="24"/>
          <w:szCs w:val="24"/>
        </w:rPr>
      </w:pPr>
      <w:r>
        <w:rPr>
          <w:rFonts w:hint="eastAsia" w:ascii="宋体" w:hAnsi="宋体" w:eastAsia="宋体" w:cs="宋体"/>
          <w:b/>
          <w:sz w:val="24"/>
          <w:szCs w:val="24"/>
        </w:rPr>
        <w:t>九、合同争议的解决</w:t>
      </w:r>
    </w:p>
    <w:p w14:paraId="34BDB741">
      <w:pPr>
        <w:keepNext w:val="0"/>
        <w:keepLines w:val="0"/>
        <w:pageBreakBefore w:val="0"/>
        <w:widowControl w:val="0"/>
        <w:wordWrap/>
        <w:overflowPunct/>
        <w:topLinePunct w:val="0"/>
        <w:autoSpaceDE/>
        <w:autoSpaceDN/>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合同执行中发生争议的，当事人双方应协商解决，协商达不成一致时，可向采购人所在地人民法院提请诉讼。</w:t>
      </w:r>
    </w:p>
    <w:p w14:paraId="2C146E7E">
      <w:pPr>
        <w:keepNext w:val="0"/>
        <w:keepLines w:val="0"/>
        <w:pageBreakBefore w:val="0"/>
        <w:widowControl w:val="0"/>
        <w:wordWrap/>
        <w:overflowPunct/>
        <w:topLinePunct w:val="0"/>
        <w:autoSpaceDE/>
        <w:autoSpaceDN/>
        <w:bidi w:val="0"/>
        <w:spacing w:line="440" w:lineRule="exact"/>
        <w:textAlignment w:val="auto"/>
        <w:rPr>
          <w:rFonts w:hint="eastAsia" w:ascii="宋体" w:hAnsi="宋体" w:eastAsia="宋体" w:cs="宋体"/>
          <w:b/>
          <w:sz w:val="24"/>
          <w:szCs w:val="24"/>
        </w:rPr>
      </w:pPr>
      <w:r>
        <w:rPr>
          <w:rFonts w:hint="eastAsia" w:ascii="宋体" w:hAnsi="宋体" w:eastAsia="宋体" w:cs="宋体"/>
          <w:b/>
          <w:sz w:val="24"/>
          <w:szCs w:val="24"/>
        </w:rPr>
        <w:t>十、违约责任：</w:t>
      </w:r>
      <w:r>
        <w:rPr>
          <w:rFonts w:hint="eastAsia" w:ascii="宋体" w:hAnsi="宋体" w:eastAsia="宋体" w:cs="宋体"/>
          <w:sz w:val="24"/>
          <w:szCs w:val="24"/>
        </w:rPr>
        <w:t>详见“第三章合同条款及格式前附表”</w:t>
      </w:r>
    </w:p>
    <w:p w14:paraId="6CD9D634">
      <w:pPr>
        <w:keepNext w:val="0"/>
        <w:keepLines w:val="0"/>
        <w:pageBreakBefore w:val="0"/>
        <w:widowControl w:val="0"/>
        <w:wordWrap/>
        <w:overflowPunct/>
        <w:topLinePunct w:val="0"/>
        <w:autoSpaceDE/>
        <w:autoSpaceDN/>
        <w:bidi w:val="0"/>
        <w:spacing w:line="440" w:lineRule="exact"/>
        <w:textAlignment w:val="auto"/>
        <w:rPr>
          <w:rFonts w:hint="eastAsia" w:ascii="宋体" w:hAnsi="宋体" w:eastAsia="宋体" w:cs="宋体"/>
          <w:sz w:val="24"/>
          <w:szCs w:val="24"/>
        </w:rPr>
      </w:pPr>
      <w:r>
        <w:rPr>
          <w:rFonts w:hint="eastAsia" w:ascii="宋体" w:hAnsi="宋体" w:eastAsia="宋体" w:cs="宋体"/>
          <w:b/>
          <w:sz w:val="24"/>
          <w:szCs w:val="24"/>
        </w:rPr>
        <w:t>十一、其他（</w:t>
      </w:r>
      <w:r>
        <w:rPr>
          <w:rFonts w:hint="eastAsia" w:ascii="宋体" w:hAnsi="宋体" w:eastAsia="宋体" w:cs="宋体"/>
          <w:sz w:val="24"/>
          <w:szCs w:val="24"/>
        </w:rPr>
        <w:t>在合同中具体明确）</w:t>
      </w:r>
    </w:p>
    <w:p w14:paraId="6D3379C7">
      <w:pPr>
        <w:keepNext w:val="0"/>
        <w:keepLines w:val="0"/>
        <w:pageBreakBefore w:val="0"/>
        <w:widowControl w:val="0"/>
        <w:wordWrap/>
        <w:overflowPunct/>
        <w:topLinePunct w:val="0"/>
        <w:autoSpaceDE/>
        <w:autoSpaceDN/>
        <w:bidi w:val="0"/>
        <w:spacing w:line="440" w:lineRule="exact"/>
        <w:textAlignment w:val="auto"/>
        <w:rPr>
          <w:rFonts w:hint="eastAsia" w:ascii="宋体" w:hAnsi="宋体" w:eastAsia="宋体" w:cs="宋体"/>
          <w:b/>
          <w:sz w:val="24"/>
          <w:szCs w:val="24"/>
        </w:rPr>
      </w:pPr>
      <w:r>
        <w:rPr>
          <w:rFonts w:hint="eastAsia" w:ascii="宋体" w:hAnsi="宋体" w:eastAsia="宋体" w:cs="宋体"/>
          <w:b/>
          <w:sz w:val="24"/>
          <w:szCs w:val="24"/>
        </w:rPr>
        <w:t>十二、合同订立</w:t>
      </w:r>
    </w:p>
    <w:p w14:paraId="6332195D">
      <w:pPr>
        <w:keepNext w:val="0"/>
        <w:keepLines w:val="0"/>
        <w:pageBreakBefore w:val="0"/>
        <w:widowControl w:val="0"/>
        <w:wordWrap/>
        <w:overflowPunct/>
        <w:topLinePunct w:val="0"/>
        <w:autoSpaceDE/>
        <w:autoSpaceDN/>
        <w:bidi w:val="0"/>
        <w:adjustRightInd w:val="0"/>
        <w:snapToGrid w:val="0"/>
        <w:spacing w:line="440" w:lineRule="exact"/>
        <w:ind w:firstLine="475" w:firstLineChars="198"/>
        <w:textAlignment w:val="auto"/>
        <w:rPr>
          <w:rFonts w:hint="eastAsia" w:ascii="宋体" w:hAnsi="宋体" w:eastAsia="宋体" w:cs="宋体"/>
          <w:sz w:val="24"/>
          <w:szCs w:val="24"/>
        </w:rPr>
      </w:pPr>
      <w:r>
        <w:rPr>
          <w:rFonts w:hint="eastAsia" w:ascii="宋体" w:hAnsi="宋体" w:eastAsia="宋体" w:cs="宋体"/>
          <w:sz w:val="24"/>
          <w:szCs w:val="24"/>
        </w:rPr>
        <w:t>1. 订立时间：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6BFE5901">
      <w:pPr>
        <w:keepNext w:val="0"/>
        <w:keepLines w:val="0"/>
        <w:pageBreakBefore w:val="0"/>
        <w:widowControl w:val="0"/>
        <w:wordWrap/>
        <w:overflowPunct/>
        <w:topLinePunct w:val="0"/>
        <w:autoSpaceDE/>
        <w:autoSpaceDN/>
        <w:bidi w:val="0"/>
        <w:adjustRightInd w:val="0"/>
        <w:snapToGrid w:val="0"/>
        <w:spacing w:line="440" w:lineRule="exact"/>
        <w:ind w:firstLine="475" w:firstLineChars="198"/>
        <w:textAlignment w:val="auto"/>
        <w:rPr>
          <w:rFonts w:hint="eastAsia" w:ascii="宋体" w:hAnsi="宋体" w:eastAsia="宋体" w:cs="宋体"/>
          <w:sz w:val="24"/>
          <w:szCs w:val="24"/>
        </w:rPr>
      </w:pPr>
      <w:r>
        <w:rPr>
          <w:rFonts w:hint="eastAsia" w:ascii="宋体" w:hAnsi="宋体" w:eastAsia="宋体" w:cs="宋体"/>
          <w:sz w:val="24"/>
          <w:szCs w:val="24"/>
        </w:rPr>
        <w:t>2. 订立地点：</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6E9439A">
      <w:pPr>
        <w:keepNext w:val="0"/>
        <w:keepLines w:val="0"/>
        <w:pageBreakBefore w:val="0"/>
        <w:widowControl w:val="0"/>
        <w:tabs>
          <w:tab w:val="left" w:pos="980"/>
        </w:tabs>
        <w:kinsoku w:val="0"/>
        <w:wordWrap/>
        <w:overflowPunct/>
        <w:topLinePunct w:val="0"/>
        <w:autoSpaceDE/>
        <w:autoSpaceDN/>
        <w:bidi w:val="0"/>
        <w:spacing w:line="440" w:lineRule="exact"/>
        <w:ind w:firstLine="480" w:firstLineChars="200"/>
        <w:textAlignment w:val="auto"/>
        <w:rPr>
          <w:rFonts w:hint="eastAsia" w:ascii="宋体" w:hAnsi="宋体" w:eastAsia="宋体" w:cs="宋体"/>
          <w:sz w:val="28"/>
          <w:szCs w:val="28"/>
        </w:rPr>
      </w:pPr>
      <w:r>
        <w:rPr>
          <w:rFonts w:hint="eastAsia" w:ascii="宋体" w:hAnsi="宋体" w:eastAsia="宋体" w:cs="宋体"/>
          <w:sz w:val="24"/>
          <w:szCs w:val="24"/>
        </w:rPr>
        <w:t>3. 本合同一式</w:t>
      </w:r>
      <w:r>
        <w:rPr>
          <w:rFonts w:hint="eastAsia" w:ascii="宋体" w:hAnsi="宋体" w:eastAsia="宋体" w:cs="宋体"/>
          <w:sz w:val="24"/>
          <w:szCs w:val="24"/>
          <w:u w:val="single"/>
        </w:rPr>
        <w:t xml:space="preserve"> 陆 </w:t>
      </w:r>
      <w:r>
        <w:rPr>
          <w:rFonts w:hint="eastAsia" w:ascii="宋体" w:hAnsi="宋体" w:eastAsia="宋体" w:cs="宋体"/>
          <w:sz w:val="24"/>
          <w:szCs w:val="24"/>
        </w:rPr>
        <w:t>份，具有同等法律效力，双方各执</w:t>
      </w:r>
      <w:r>
        <w:rPr>
          <w:rFonts w:hint="eastAsia" w:ascii="宋体" w:hAnsi="宋体" w:eastAsia="宋体" w:cs="宋体"/>
          <w:sz w:val="24"/>
          <w:szCs w:val="24"/>
          <w:u w:val="single"/>
        </w:rPr>
        <w:t xml:space="preserve"> 贰 </w:t>
      </w:r>
      <w:r>
        <w:rPr>
          <w:rFonts w:hint="eastAsia" w:ascii="宋体" w:hAnsi="宋体" w:eastAsia="宋体" w:cs="宋体"/>
          <w:sz w:val="24"/>
          <w:szCs w:val="24"/>
        </w:rPr>
        <w:t>份，监管部门备案</w:t>
      </w:r>
      <w:r>
        <w:rPr>
          <w:rFonts w:hint="eastAsia" w:ascii="宋体" w:hAnsi="宋体" w:eastAsia="宋体" w:cs="宋体"/>
          <w:sz w:val="24"/>
          <w:szCs w:val="24"/>
          <w:u w:val="single"/>
        </w:rPr>
        <w:t xml:space="preserve"> 壹 </w:t>
      </w:r>
      <w:r>
        <w:rPr>
          <w:rFonts w:hint="eastAsia" w:ascii="宋体" w:hAnsi="宋体" w:eastAsia="宋体" w:cs="宋体"/>
          <w:sz w:val="24"/>
          <w:szCs w:val="24"/>
        </w:rPr>
        <w:t>份、招标代理机构存档</w:t>
      </w:r>
      <w:r>
        <w:rPr>
          <w:rFonts w:hint="eastAsia" w:ascii="宋体" w:hAnsi="宋体" w:eastAsia="宋体" w:cs="宋体"/>
          <w:sz w:val="24"/>
          <w:szCs w:val="24"/>
          <w:u w:val="single"/>
        </w:rPr>
        <w:t xml:space="preserve"> 壹 </w:t>
      </w:r>
      <w:r>
        <w:rPr>
          <w:rFonts w:hint="eastAsia" w:ascii="宋体" w:hAnsi="宋体" w:eastAsia="宋体" w:cs="宋体"/>
          <w:sz w:val="24"/>
          <w:szCs w:val="24"/>
        </w:rPr>
        <w:t>份。各方签字盖章后生效，合同执行完毕自动失效。（合同的服务承诺则长期有</w:t>
      </w:r>
      <w:r>
        <w:rPr>
          <w:rFonts w:hint="eastAsia" w:ascii="宋体" w:hAnsi="宋体" w:eastAsia="宋体" w:cs="宋体"/>
          <w:sz w:val="28"/>
          <w:szCs w:val="28"/>
        </w:rPr>
        <w:t>效）。</w:t>
      </w:r>
    </w:p>
    <w:p w14:paraId="59F7454E">
      <w:pPr>
        <w:pStyle w:val="11"/>
        <w:rPr>
          <w:rFonts w:hint="eastAsia" w:ascii="宋体" w:hAnsi="宋体" w:eastAsia="宋体" w:cs="宋体"/>
          <w:sz w:val="22"/>
          <w:szCs w:val="21"/>
        </w:rPr>
      </w:pPr>
    </w:p>
    <w:p w14:paraId="0ED411EA">
      <w:pPr>
        <w:keepNext w:val="0"/>
        <w:keepLines w:val="0"/>
        <w:pageBreakBefore w:val="0"/>
        <w:widowControl w:val="0"/>
        <w:tabs>
          <w:tab w:val="left" w:pos="480"/>
        </w:tabs>
        <w:wordWrap/>
        <w:overflowPunct/>
        <w:topLinePunct w:val="0"/>
        <w:autoSpaceDE/>
        <w:autoSpaceDN/>
        <w:bidi w:val="0"/>
        <w:spacing w:line="440" w:lineRule="exact"/>
        <w:textAlignment w:val="auto"/>
        <w:rPr>
          <w:rFonts w:hint="eastAsia" w:ascii="宋体" w:hAnsi="宋体" w:eastAsia="宋体" w:cs="宋体"/>
          <w:b/>
          <w:sz w:val="24"/>
          <w:szCs w:val="24"/>
        </w:rPr>
      </w:pPr>
      <w:r>
        <w:rPr>
          <w:rFonts w:hint="eastAsia" w:ascii="宋体" w:hAnsi="宋体" w:eastAsia="宋体" w:cs="宋体"/>
          <w:b/>
          <w:sz w:val="24"/>
          <w:szCs w:val="24"/>
        </w:rPr>
        <w:t>甲  方（公章）</w:t>
      </w:r>
      <w:r>
        <w:rPr>
          <w:rFonts w:hint="eastAsia" w:ascii="宋体" w:hAnsi="宋体" w:eastAsia="宋体" w:cs="宋体"/>
          <w:sz w:val="24"/>
          <w:szCs w:val="24"/>
        </w:rPr>
        <w:t xml:space="preserve">           </w:t>
      </w:r>
      <w:r>
        <w:rPr>
          <w:rFonts w:hint="eastAsia" w:ascii="宋体" w:hAnsi="宋体" w:eastAsia="宋体" w:cs="宋体"/>
          <w:b/>
          <w:sz w:val="24"/>
          <w:szCs w:val="24"/>
        </w:rPr>
        <w:t>乙  方（公章）          鉴 证 方（公章）</w:t>
      </w:r>
    </w:p>
    <w:p w14:paraId="65C0CF18">
      <w:pPr>
        <w:keepNext w:val="0"/>
        <w:keepLines w:val="0"/>
        <w:pageBreakBefore w:val="0"/>
        <w:widowControl w:val="0"/>
        <w:tabs>
          <w:tab w:val="left" w:pos="480"/>
        </w:tabs>
        <w:wordWrap/>
        <w:overflowPunct/>
        <w:topLinePunct w:val="0"/>
        <w:autoSpaceDE/>
        <w:autoSpaceDN/>
        <w:bidi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单位名称：               单位名称：                单位名称：</w:t>
      </w:r>
    </w:p>
    <w:p w14:paraId="7334A5E9">
      <w:pPr>
        <w:keepNext w:val="0"/>
        <w:keepLines w:val="0"/>
        <w:pageBreakBefore w:val="0"/>
        <w:widowControl w:val="0"/>
        <w:tabs>
          <w:tab w:val="left" w:pos="480"/>
        </w:tabs>
        <w:wordWrap/>
        <w:overflowPunct/>
        <w:topLinePunct w:val="0"/>
        <w:autoSpaceDE/>
        <w:autoSpaceDN/>
        <w:bidi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地    址：               地    址：                地    址：</w:t>
      </w:r>
    </w:p>
    <w:p w14:paraId="7CA087BE">
      <w:pPr>
        <w:keepNext w:val="0"/>
        <w:keepLines w:val="0"/>
        <w:pageBreakBefore w:val="0"/>
        <w:widowControl w:val="0"/>
        <w:tabs>
          <w:tab w:val="left" w:pos="480"/>
        </w:tabs>
        <w:wordWrap/>
        <w:overflowPunct/>
        <w:topLinePunct w:val="0"/>
        <w:autoSpaceDE/>
        <w:autoSpaceDN/>
        <w:bidi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代 理 人：               代 理 人：                代 理 人：</w:t>
      </w:r>
    </w:p>
    <w:p w14:paraId="4064F774">
      <w:pPr>
        <w:keepNext w:val="0"/>
        <w:keepLines w:val="0"/>
        <w:pageBreakBefore w:val="0"/>
        <w:widowControl w:val="0"/>
        <w:tabs>
          <w:tab w:val="left" w:pos="480"/>
        </w:tabs>
        <w:wordWrap/>
        <w:overflowPunct/>
        <w:topLinePunct w:val="0"/>
        <w:autoSpaceDE/>
        <w:autoSpaceDN/>
        <w:bidi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联系电话：               联系电话：                联系电话：</w:t>
      </w:r>
    </w:p>
    <w:p w14:paraId="7481067C">
      <w:pPr>
        <w:keepNext w:val="0"/>
        <w:keepLines w:val="0"/>
        <w:pageBreakBefore w:val="0"/>
        <w:widowControl w:val="0"/>
        <w:tabs>
          <w:tab w:val="left" w:pos="480"/>
        </w:tabs>
        <w:wordWrap/>
        <w:overflowPunct/>
        <w:topLinePunct w:val="0"/>
        <w:autoSpaceDE/>
        <w:autoSpaceDN/>
        <w:bidi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帐    号：</w:t>
      </w:r>
    </w:p>
    <w:p w14:paraId="039792F9">
      <w:pPr>
        <w:keepNext w:val="0"/>
        <w:keepLines w:val="0"/>
        <w:pageBreakBefore w:val="0"/>
        <w:widowControl w:val="0"/>
        <w:tabs>
          <w:tab w:val="left" w:pos="480"/>
        </w:tabs>
        <w:wordWrap/>
        <w:overflowPunct/>
        <w:topLinePunct w:val="0"/>
        <w:autoSpaceDE/>
        <w:autoSpaceDN/>
        <w:bidi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开户银行： </w:t>
      </w:r>
    </w:p>
    <w:p w14:paraId="266097C2">
      <w:pPr>
        <w:pStyle w:val="4"/>
        <w:spacing w:before="42"/>
        <w:ind w:left="0" w:leftChars="0" w:right="875" w:firstLine="0" w:firstLineChars="0"/>
        <w:jc w:val="both"/>
        <w:rPr>
          <w:rFonts w:hint="eastAsia" w:ascii="宋体" w:hAnsi="宋体" w:eastAsia="宋体" w:cs="宋体"/>
          <w:sz w:val="24"/>
          <w:szCs w:val="24"/>
          <w:lang w:val="zh-CN" w:eastAsia="zh-CN"/>
        </w:rPr>
      </w:pPr>
      <w:r>
        <w:rPr>
          <w:rFonts w:hint="eastAsia" w:ascii="宋体" w:hAnsi="宋体" w:eastAsia="宋体" w:cs="宋体"/>
          <w:sz w:val="24"/>
          <w:szCs w:val="24"/>
        </w:rPr>
        <w:t>签订日期：               签订日期：                签订日期：</w:t>
      </w:r>
    </w:p>
    <w:p w14:paraId="09849ED0">
      <w:pPr>
        <w:rPr>
          <w:rFonts w:hint="eastAsia" w:ascii="宋体" w:hAnsi="宋体" w:eastAsia="宋体" w:cs="宋体"/>
        </w:rPr>
      </w:pPr>
    </w:p>
    <w:p w14:paraId="37690A4A">
      <w:pPr>
        <w:pStyle w:val="11"/>
        <w:rPr>
          <w:rFonts w:hint="eastAsia" w:ascii="宋体" w:hAnsi="宋体" w:eastAsia="宋体" w:cs="宋体"/>
        </w:rPr>
      </w:pPr>
    </w:p>
    <w:p w14:paraId="00DF32C8">
      <w:pPr>
        <w:rPr>
          <w:rFonts w:hint="eastAsia" w:ascii="宋体" w:hAnsi="宋体" w:eastAsia="宋体" w:cs="宋体"/>
        </w:rPr>
      </w:pPr>
    </w:p>
    <w:p w14:paraId="64C75260">
      <w:pPr>
        <w:pStyle w:val="11"/>
        <w:rPr>
          <w:rFonts w:hint="eastAsia" w:ascii="宋体" w:hAnsi="宋体" w:eastAsia="宋体" w:cs="宋体"/>
        </w:rPr>
      </w:pPr>
    </w:p>
    <w:p w14:paraId="13ACDF7E">
      <w:pPr>
        <w:rPr>
          <w:rFonts w:hint="eastAsia" w:ascii="宋体" w:hAnsi="宋体" w:eastAsia="宋体" w:cs="宋体"/>
        </w:rPr>
      </w:pPr>
    </w:p>
    <w:p w14:paraId="7471BDCF">
      <w:pPr>
        <w:pStyle w:val="11"/>
        <w:rPr>
          <w:rFonts w:hint="eastAsia" w:ascii="宋体" w:hAnsi="宋体" w:eastAsia="宋体" w:cs="宋体"/>
        </w:rPr>
      </w:pPr>
    </w:p>
    <w:p w14:paraId="44FCC4D0">
      <w:pPr>
        <w:rPr>
          <w:rFonts w:hint="eastAsia" w:ascii="宋体" w:hAnsi="宋体" w:eastAsia="宋体" w:cs="宋体"/>
        </w:rPr>
      </w:pPr>
    </w:p>
    <w:p w14:paraId="3D4A27EF">
      <w:pPr>
        <w:pStyle w:val="11"/>
        <w:rPr>
          <w:rFonts w:hint="eastAsia" w:ascii="宋体" w:hAnsi="宋体" w:eastAsia="宋体" w:cs="宋体"/>
        </w:rPr>
      </w:pPr>
    </w:p>
    <w:p w14:paraId="148055AF">
      <w:pPr>
        <w:rPr>
          <w:rFonts w:hint="eastAsia" w:ascii="宋体" w:hAnsi="宋体" w:eastAsia="宋体" w:cs="宋体"/>
        </w:rPr>
      </w:pPr>
    </w:p>
    <w:p w14:paraId="654972FA">
      <w:pPr>
        <w:pStyle w:val="11"/>
        <w:rPr>
          <w:rFonts w:hint="eastAsia" w:ascii="宋体" w:hAnsi="宋体" w:eastAsia="宋体" w:cs="宋体"/>
        </w:rPr>
      </w:pPr>
    </w:p>
    <w:p w14:paraId="7F9293C9">
      <w:pPr>
        <w:rPr>
          <w:rFonts w:hint="eastAsia" w:ascii="宋体" w:hAnsi="宋体" w:eastAsia="宋体" w:cs="宋体"/>
        </w:rPr>
      </w:pPr>
    </w:p>
    <w:p w14:paraId="5A4D15D4">
      <w:pPr>
        <w:pStyle w:val="11"/>
        <w:rPr>
          <w:rFonts w:hint="eastAsia" w:ascii="宋体" w:hAnsi="宋体" w:eastAsia="宋体" w:cs="宋体"/>
        </w:rPr>
      </w:pPr>
    </w:p>
    <w:p w14:paraId="024653A8">
      <w:pPr>
        <w:rPr>
          <w:rFonts w:hint="eastAsia" w:ascii="宋体" w:hAnsi="宋体" w:eastAsia="宋体" w:cs="宋体"/>
        </w:rPr>
      </w:pPr>
    </w:p>
    <w:p w14:paraId="2FD9B032">
      <w:pPr>
        <w:pStyle w:val="11"/>
        <w:rPr>
          <w:rFonts w:hint="eastAsia" w:ascii="宋体" w:hAnsi="宋体" w:eastAsia="宋体" w:cs="宋体"/>
        </w:rPr>
      </w:pPr>
    </w:p>
    <w:p w14:paraId="3FAA76E7">
      <w:pPr>
        <w:rPr>
          <w:rFonts w:hint="eastAsia" w:ascii="宋体" w:hAnsi="宋体" w:eastAsia="宋体" w:cs="宋体"/>
        </w:rPr>
      </w:pPr>
    </w:p>
    <w:p w14:paraId="5889D342">
      <w:pPr>
        <w:pStyle w:val="11"/>
        <w:rPr>
          <w:rFonts w:hint="eastAsia" w:ascii="宋体" w:hAnsi="宋体" w:eastAsia="宋体" w:cs="宋体"/>
        </w:rPr>
      </w:pPr>
    </w:p>
    <w:p w14:paraId="0E260E87">
      <w:pPr>
        <w:rPr>
          <w:rFonts w:hint="eastAsia" w:ascii="宋体" w:hAnsi="宋体" w:eastAsia="宋体" w:cs="宋体"/>
        </w:rPr>
      </w:pPr>
    </w:p>
    <w:p w14:paraId="3FBC6742">
      <w:pPr>
        <w:pStyle w:val="11"/>
        <w:rPr>
          <w:rFonts w:hint="eastAsia" w:ascii="宋体" w:hAnsi="宋体" w:eastAsia="宋体" w:cs="宋体"/>
        </w:rPr>
      </w:pPr>
    </w:p>
    <w:p w14:paraId="4314CC1C">
      <w:pPr>
        <w:pStyle w:val="11"/>
        <w:rPr>
          <w:rFonts w:hint="eastAsia" w:ascii="宋体" w:hAnsi="宋体" w:eastAsia="宋体" w:cs="宋体"/>
        </w:rPr>
      </w:pPr>
    </w:p>
    <w:p w14:paraId="5856CBB2">
      <w:pPr>
        <w:rPr>
          <w:rFonts w:hint="eastAsia" w:ascii="宋体" w:hAnsi="宋体" w:eastAsia="宋体" w:cs="宋体"/>
        </w:rPr>
      </w:pPr>
    </w:p>
    <w:p w14:paraId="78DB4505">
      <w:pPr>
        <w:spacing w:line="500" w:lineRule="exact"/>
        <w:jc w:val="center"/>
        <w:rPr>
          <w:rFonts w:hint="eastAsia" w:ascii="宋体" w:hAnsi="宋体" w:eastAsia="宋体" w:cs="宋体"/>
          <w:b/>
          <w:sz w:val="32"/>
        </w:rPr>
      </w:pPr>
      <w:r>
        <w:rPr>
          <w:rFonts w:hint="eastAsia" w:ascii="宋体" w:hAnsi="宋体" w:eastAsia="宋体" w:cs="宋体"/>
          <w:b/>
          <w:sz w:val="32"/>
        </w:rPr>
        <w:t>第六章　磋商响应文件构成及基本格式</w:t>
      </w:r>
    </w:p>
    <w:p w14:paraId="04755AEE">
      <w:pPr>
        <w:spacing w:line="500" w:lineRule="exact"/>
        <w:rPr>
          <w:rFonts w:hint="eastAsia" w:ascii="宋体" w:hAnsi="宋体" w:eastAsia="宋体" w:cs="宋体"/>
          <w:sz w:val="28"/>
          <w:szCs w:val="28"/>
        </w:rPr>
      </w:pPr>
    </w:p>
    <w:p w14:paraId="1BE1F91D">
      <w:pPr>
        <w:spacing w:line="500" w:lineRule="exact"/>
        <w:rPr>
          <w:rFonts w:hint="eastAsia" w:ascii="宋体" w:hAnsi="宋体" w:eastAsia="宋体" w:cs="宋体"/>
          <w:sz w:val="32"/>
          <w:szCs w:val="32"/>
          <w:u w:val="single"/>
          <w:lang w:val="en-US" w:eastAsia="zh-CN"/>
        </w:rPr>
      </w:pPr>
      <w:r>
        <w:rPr>
          <w:rFonts w:hint="eastAsia" w:ascii="宋体" w:hAnsi="宋体" w:eastAsia="宋体" w:cs="宋体"/>
          <w:sz w:val="28"/>
          <w:szCs w:val="28"/>
        </w:rPr>
        <w:t>项目编号：</w:t>
      </w:r>
      <w:r>
        <w:rPr>
          <w:rFonts w:hint="eastAsia" w:ascii="宋体" w:hAnsi="宋体" w:eastAsia="宋体" w:cs="宋体"/>
          <w:sz w:val="28"/>
          <w:szCs w:val="28"/>
          <w:u w:val="single"/>
          <w:lang w:val="en-US" w:eastAsia="zh-CN"/>
        </w:rPr>
        <w:t xml:space="preserve">           </w:t>
      </w:r>
    </w:p>
    <w:p w14:paraId="215CC660">
      <w:pPr>
        <w:spacing w:line="500" w:lineRule="exact"/>
        <w:ind w:firstLine="211"/>
        <w:jc w:val="right"/>
        <w:rPr>
          <w:rFonts w:hint="eastAsia" w:ascii="宋体" w:hAnsi="宋体" w:eastAsia="宋体" w:cs="宋体"/>
          <w:b/>
          <w:sz w:val="32"/>
          <w:szCs w:val="32"/>
        </w:rPr>
      </w:pPr>
      <w:r>
        <w:rPr>
          <w:rFonts w:hint="eastAsia" w:ascii="宋体" w:hAnsi="宋体" w:eastAsia="宋体" w:cs="宋体"/>
          <w:b/>
          <w:sz w:val="32"/>
          <w:szCs w:val="32"/>
          <w:lang w:val="en-US" w:eastAsia="zh-CN"/>
        </w:rPr>
        <w:t xml:space="preserve"> </w:t>
      </w:r>
      <w:r>
        <w:rPr>
          <w:rFonts w:hint="eastAsia" w:ascii="宋体" w:hAnsi="宋体" w:eastAsia="宋体" w:cs="宋体"/>
          <w:b/>
          <w:sz w:val="32"/>
          <w:szCs w:val="32"/>
        </w:rPr>
        <w:t>正/副本</w:t>
      </w:r>
    </w:p>
    <w:p w14:paraId="4B4EB2CE">
      <w:pPr>
        <w:spacing w:line="500" w:lineRule="exact"/>
        <w:ind w:firstLine="211"/>
        <w:jc w:val="center"/>
        <w:rPr>
          <w:rFonts w:hint="eastAsia" w:ascii="宋体" w:hAnsi="宋体" w:eastAsia="宋体" w:cs="宋体"/>
          <w:b/>
          <w:sz w:val="44"/>
          <w:szCs w:val="44"/>
        </w:rPr>
      </w:pPr>
    </w:p>
    <w:p w14:paraId="318F1745">
      <w:pPr>
        <w:jc w:val="center"/>
        <w:rPr>
          <w:rFonts w:hint="eastAsia" w:ascii="宋体" w:hAnsi="宋体" w:eastAsia="宋体" w:cs="宋体"/>
          <w:b/>
          <w:sz w:val="44"/>
          <w:u w:val="single"/>
          <w:lang w:eastAsia="zh-CN"/>
        </w:rPr>
      </w:pPr>
    </w:p>
    <w:p w14:paraId="63A4CC4F">
      <w:pPr>
        <w:spacing w:line="500" w:lineRule="exact"/>
        <w:jc w:val="center"/>
        <w:rPr>
          <w:rFonts w:hint="eastAsia" w:ascii="宋体" w:hAnsi="宋体" w:eastAsia="宋体" w:cs="宋体"/>
          <w:b/>
          <w:sz w:val="44"/>
          <w:u w:val="none"/>
          <w:lang w:eastAsia="zh-CN"/>
        </w:rPr>
      </w:pPr>
      <w:r>
        <w:rPr>
          <w:rFonts w:hint="eastAsia" w:ascii="宋体" w:hAnsi="宋体" w:eastAsia="宋体" w:cs="宋体"/>
          <w:b/>
          <w:sz w:val="44"/>
          <w:u w:val="none"/>
          <w:lang w:eastAsia="zh-CN"/>
        </w:rPr>
        <w:t>2025年向阳片区老旧小区改造项目可研、初设、</w:t>
      </w:r>
    </w:p>
    <w:p w14:paraId="2DDC7DAD">
      <w:pPr>
        <w:spacing w:line="500" w:lineRule="exact"/>
        <w:jc w:val="center"/>
        <w:rPr>
          <w:rFonts w:hint="eastAsia" w:ascii="宋体" w:hAnsi="宋体" w:eastAsia="宋体" w:cs="宋体"/>
          <w:sz w:val="32"/>
          <w:szCs w:val="32"/>
        </w:rPr>
      </w:pPr>
      <w:r>
        <w:rPr>
          <w:rFonts w:hint="eastAsia" w:ascii="宋体" w:hAnsi="宋体" w:eastAsia="宋体" w:cs="宋体"/>
          <w:b/>
          <w:sz w:val="44"/>
          <w:u w:val="none"/>
          <w:lang w:eastAsia="zh-CN"/>
        </w:rPr>
        <w:t>施工图纸设计项目</w:t>
      </w:r>
    </w:p>
    <w:p w14:paraId="1E68C3D4">
      <w:pPr>
        <w:pStyle w:val="11"/>
        <w:rPr>
          <w:rFonts w:hint="eastAsia" w:ascii="宋体" w:hAnsi="宋体" w:eastAsia="宋体" w:cs="宋体"/>
          <w:b/>
          <w:sz w:val="44"/>
          <w:szCs w:val="44"/>
        </w:rPr>
      </w:pPr>
    </w:p>
    <w:p w14:paraId="1E470002">
      <w:pPr>
        <w:rPr>
          <w:rFonts w:hint="eastAsia" w:ascii="宋体" w:hAnsi="宋体" w:eastAsia="宋体" w:cs="宋体"/>
        </w:rPr>
      </w:pPr>
    </w:p>
    <w:p w14:paraId="7DE40881">
      <w:pPr>
        <w:jc w:val="center"/>
        <w:rPr>
          <w:rFonts w:hint="eastAsia" w:ascii="宋体" w:hAnsi="宋体" w:eastAsia="宋体" w:cs="宋体"/>
          <w:b/>
          <w:sz w:val="56"/>
          <w:szCs w:val="32"/>
          <w:u w:val="none"/>
          <w:lang w:eastAsia="zh-CN"/>
        </w:rPr>
      </w:pPr>
      <w:r>
        <w:rPr>
          <w:rFonts w:hint="eastAsia" w:ascii="宋体" w:hAnsi="宋体" w:eastAsia="宋体" w:cs="宋体"/>
          <w:b/>
          <w:sz w:val="56"/>
          <w:szCs w:val="32"/>
          <w:u w:val="none"/>
          <w:lang w:eastAsia="zh-CN"/>
        </w:rPr>
        <w:t>磋商响应文件</w:t>
      </w:r>
    </w:p>
    <w:p w14:paraId="1852F3BA">
      <w:pPr>
        <w:jc w:val="center"/>
        <w:rPr>
          <w:rFonts w:hint="eastAsia" w:ascii="宋体" w:hAnsi="宋体" w:eastAsia="宋体" w:cs="宋体"/>
          <w:b/>
          <w:sz w:val="56"/>
          <w:szCs w:val="32"/>
          <w:u w:val="none"/>
          <w:lang w:eastAsia="zh-CN"/>
        </w:rPr>
      </w:pPr>
      <w:r>
        <w:rPr>
          <w:rFonts w:hint="eastAsia" w:ascii="宋体" w:hAnsi="宋体" w:eastAsia="宋体" w:cs="宋体"/>
          <w:b/>
          <w:sz w:val="56"/>
          <w:szCs w:val="32"/>
          <w:u w:val="none"/>
          <w:lang w:eastAsia="zh-CN"/>
        </w:rPr>
        <w:t xml:space="preserve">  </w:t>
      </w:r>
    </w:p>
    <w:p w14:paraId="408EE11D">
      <w:pPr>
        <w:rPr>
          <w:rFonts w:hint="eastAsia" w:ascii="宋体" w:hAnsi="宋体" w:eastAsia="宋体" w:cs="宋体"/>
          <w:sz w:val="32"/>
          <w:szCs w:val="32"/>
        </w:rPr>
      </w:pPr>
    </w:p>
    <w:p w14:paraId="7F115153">
      <w:pPr>
        <w:pStyle w:val="11"/>
        <w:rPr>
          <w:rFonts w:hint="eastAsia" w:ascii="宋体" w:hAnsi="宋体" w:eastAsia="宋体" w:cs="宋体"/>
          <w:sz w:val="32"/>
          <w:szCs w:val="32"/>
        </w:rPr>
      </w:pPr>
    </w:p>
    <w:p w14:paraId="4360EAEE">
      <w:pPr>
        <w:pStyle w:val="11"/>
        <w:rPr>
          <w:rFonts w:hint="eastAsia" w:ascii="宋体" w:hAnsi="宋体" w:eastAsia="宋体" w:cs="宋体"/>
          <w:sz w:val="32"/>
          <w:szCs w:val="32"/>
        </w:rPr>
      </w:pPr>
    </w:p>
    <w:p w14:paraId="3B4ADE56">
      <w:pPr>
        <w:rPr>
          <w:rFonts w:hint="eastAsia" w:ascii="宋体" w:hAnsi="宋体" w:eastAsia="宋体" w:cs="宋体"/>
          <w:sz w:val="32"/>
          <w:szCs w:val="32"/>
        </w:rPr>
      </w:pPr>
    </w:p>
    <w:p w14:paraId="333900FB">
      <w:pPr>
        <w:pStyle w:val="11"/>
        <w:rPr>
          <w:rFonts w:hint="eastAsia" w:ascii="宋体" w:hAnsi="宋体" w:eastAsia="宋体" w:cs="宋体"/>
        </w:rPr>
      </w:pPr>
    </w:p>
    <w:p w14:paraId="5F86C3F4">
      <w:pPr>
        <w:rPr>
          <w:rFonts w:hint="eastAsia" w:ascii="宋体" w:hAnsi="宋体" w:eastAsia="宋体" w:cs="宋体"/>
        </w:rPr>
      </w:pPr>
    </w:p>
    <w:p w14:paraId="0F86EE4A">
      <w:pPr>
        <w:spacing w:line="500" w:lineRule="exact"/>
        <w:ind w:firstLine="2240" w:firstLineChars="700"/>
        <w:rPr>
          <w:rFonts w:hint="eastAsia" w:ascii="宋体" w:hAnsi="宋体" w:eastAsia="宋体" w:cs="宋体"/>
          <w:sz w:val="32"/>
          <w:szCs w:val="32"/>
        </w:rPr>
      </w:pPr>
    </w:p>
    <w:p w14:paraId="403455AB">
      <w:pPr>
        <w:adjustRightInd w:val="0"/>
        <w:snapToGrid w:val="0"/>
        <w:spacing w:line="1000" w:lineRule="exact"/>
        <w:ind w:firstLine="1576"/>
        <w:outlineLvl w:val="0"/>
        <w:rPr>
          <w:rFonts w:hint="eastAsia" w:ascii="宋体" w:hAnsi="宋体" w:eastAsia="宋体" w:cs="宋体"/>
          <w:b/>
          <w:sz w:val="32"/>
          <w:szCs w:val="32"/>
          <w:u w:val="thick"/>
        </w:rPr>
      </w:pPr>
      <w:bookmarkStart w:id="9" w:name="_Toc9708"/>
      <w:bookmarkStart w:id="10" w:name="_Toc24344"/>
      <w:r>
        <w:rPr>
          <w:rFonts w:hint="eastAsia" w:ascii="宋体" w:hAnsi="宋体" w:eastAsia="宋体" w:cs="宋体"/>
          <w:b/>
          <w:bCs/>
          <w:sz w:val="32"/>
          <w:szCs w:val="32"/>
        </w:rPr>
        <w:t>供 应 商（盖章）</w:t>
      </w:r>
      <w:r>
        <w:rPr>
          <w:rFonts w:hint="eastAsia" w:ascii="宋体" w:hAnsi="宋体" w:eastAsia="宋体" w:cs="宋体"/>
          <w:b/>
          <w:sz w:val="32"/>
          <w:szCs w:val="32"/>
        </w:rPr>
        <w:t>：</w:t>
      </w:r>
      <w:bookmarkEnd w:id="9"/>
      <w:bookmarkEnd w:id="10"/>
    </w:p>
    <w:p w14:paraId="52174785">
      <w:pPr>
        <w:adjustRightInd w:val="0"/>
        <w:snapToGrid w:val="0"/>
        <w:spacing w:line="1000" w:lineRule="exact"/>
        <w:ind w:firstLine="1576"/>
        <w:outlineLvl w:val="0"/>
        <w:rPr>
          <w:rFonts w:hint="eastAsia" w:ascii="宋体" w:hAnsi="宋体" w:eastAsia="宋体" w:cs="宋体"/>
          <w:b/>
          <w:bCs/>
          <w:sz w:val="32"/>
          <w:szCs w:val="32"/>
          <w:u w:val="thick"/>
        </w:rPr>
      </w:pPr>
      <w:bookmarkStart w:id="11" w:name="_Toc32146"/>
      <w:bookmarkStart w:id="12" w:name="_Toc26102"/>
      <w:r>
        <w:rPr>
          <w:rFonts w:hint="eastAsia" w:ascii="宋体" w:hAnsi="宋体" w:eastAsia="宋体" w:cs="宋体"/>
          <w:b/>
          <w:bCs/>
          <w:sz w:val="32"/>
          <w:szCs w:val="32"/>
        </w:rPr>
        <w:t>法定代表人或授权委托人（签字</w:t>
      </w:r>
      <w:r>
        <w:rPr>
          <w:rFonts w:hint="eastAsia" w:ascii="宋体" w:hAnsi="宋体" w:eastAsia="宋体" w:cs="宋体"/>
          <w:b/>
          <w:bCs/>
          <w:sz w:val="32"/>
          <w:szCs w:val="32"/>
          <w:lang w:eastAsia="zh-CN"/>
        </w:rPr>
        <w:t>或</w:t>
      </w:r>
      <w:r>
        <w:rPr>
          <w:rFonts w:hint="eastAsia" w:ascii="宋体" w:hAnsi="宋体" w:eastAsia="宋体" w:cs="宋体"/>
          <w:b/>
          <w:bCs/>
          <w:sz w:val="32"/>
          <w:szCs w:val="32"/>
        </w:rPr>
        <w:t>盖章）：</w:t>
      </w:r>
      <w:bookmarkEnd w:id="11"/>
      <w:bookmarkEnd w:id="12"/>
    </w:p>
    <w:p w14:paraId="0BC912D3">
      <w:pPr>
        <w:adjustRightInd w:val="0"/>
        <w:snapToGrid w:val="0"/>
        <w:spacing w:line="1000" w:lineRule="exact"/>
        <w:ind w:firstLine="1576"/>
        <w:outlineLvl w:val="0"/>
        <w:rPr>
          <w:rFonts w:hint="eastAsia" w:ascii="宋体" w:hAnsi="宋体" w:eastAsia="宋体" w:cs="宋体"/>
          <w:sz w:val="32"/>
          <w:szCs w:val="32"/>
          <w:u w:val="thick"/>
        </w:rPr>
      </w:pPr>
      <w:bookmarkStart w:id="13" w:name="_Toc1143"/>
      <w:bookmarkStart w:id="14" w:name="_Toc6355"/>
      <w:r>
        <w:rPr>
          <w:rFonts w:hint="eastAsia" w:ascii="宋体" w:hAnsi="宋体" w:eastAsia="宋体" w:cs="宋体"/>
          <w:b/>
          <w:sz w:val="32"/>
          <w:szCs w:val="32"/>
        </w:rPr>
        <w:t>时    间</w:t>
      </w:r>
      <w:r>
        <w:rPr>
          <w:rFonts w:hint="eastAsia" w:ascii="宋体" w:hAnsi="宋体" w:eastAsia="宋体" w:cs="宋体"/>
          <w:sz w:val="32"/>
          <w:szCs w:val="32"/>
        </w:rPr>
        <w:t>：</w:t>
      </w:r>
      <w:bookmarkEnd w:id="13"/>
      <w:bookmarkEnd w:id="14"/>
    </w:p>
    <w:p w14:paraId="69C88C70">
      <w:pPr>
        <w:pageBreakBefore/>
        <w:spacing w:line="500" w:lineRule="exact"/>
        <w:jc w:val="center"/>
        <w:rPr>
          <w:rFonts w:hint="eastAsia" w:ascii="宋体" w:hAnsi="宋体" w:eastAsia="宋体" w:cs="宋体"/>
          <w:b/>
          <w:sz w:val="50"/>
        </w:rPr>
      </w:pPr>
      <w:r>
        <w:rPr>
          <w:rFonts w:hint="eastAsia" w:ascii="宋体" w:hAnsi="宋体" w:eastAsia="宋体" w:cs="宋体"/>
          <w:b/>
          <w:sz w:val="50"/>
        </w:rPr>
        <w:t>目　　录</w:t>
      </w:r>
    </w:p>
    <w:p w14:paraId="6B59A56E">
      <w:pPr>
        <w:spacing w:line="600" w:lineRule="auto"/>
        <w:outlineLvl w:val="0"/>
        <w:rPr>
          <w:rFonts w:hint="eastAsia" w:ascii="宋体" w:hAnsi="宋体" w:eastAsia="宋体" w:cs="宋体"/>
          <w:b/>
          <w:bCs/>
          <w:sz w:val="28"/>
          <w:szCs w:val="28"/>
        </w:rPr>
      </w:pPr>
      <w:bookmarkStart w:id="15" w:name="_Toc276"/>
      <w:bookmarkStart w:id="16" w:name="_Toc32072"/>
      <w:r>
        <w:rPr>
          <w:rFonts w:hint="eastAsia" w:ascii="宋体" w:hAnsi="宋体" w:eastAsia="宋体" w:cs="宋体"/>
          <w:b/>
          <w:bCs/>
          <w:sz w:val="28"/>
          <w:szCs w:val="28"/>
        </w:rPr>
        <w:t>一、投标函</w:t>
      </w:r>
      <w:bookmarkEnd w:id="15"/>
      <w:bookmarkEnd w:id="16"/>
    </w:p>
    <w:p w14:paraId="3CB4A832">
      <w:pPr>
        <w:spacing w:line="600" w:lineRule="auto"/>
        <w:outlineLvl w:val="0"/>
        <w:rPr>
          <w:rFonts w:hint="eastAsia" w:ascii="宋体" w:hAnsi="宋体" w:eastAsia="宋体" w:cs="宋体"/>
          <w:b/>
          <w:bCs/>
          <w:sz w:val="28"/>
          <w:szCs w:val="28"/>
        </w:rPr>
      </w:pPr>
      <w:bookmarkStart w:id="17" w:name="_Toc1351"/>
      <w:bookmarkStart w:id="18" w:name="_Toc25752"/>
      <w:r>
        <w:rPr>
          <w:rFonts w:hint="eastAsia" w:ascii="宋体" w:hAnsi="宋体" w:eastAsia="宋体" w:cs="宋体"/>
          <w:b/>
          <w:bCs/>
          <w:sz w:val="28"/>
          <w:szCs w:val="28"/>
        </w:rPr>
        <w:t>二、</w:t>
      </w:r>
      <w:bookmarkEnd w:id="17"/>
      <w:bookmarkEnd w:id="18"/>
      <w:r>
        <w:rPr>
          <w:rFonts w:hint="eastAsia" w:ascii="宋体" w:hAnsi="宋体" w:eastAsia="宋体" w:cs="宋体"/>
          <w:b/>
          <w:bCs/>
          <w:sz w:val="28"/>
          <w:szCs w:val="28"/>
        </w:rPr>
        <w:t>磋商报价表</w:t>
      </w:r>
    </w:p>
    <w:p w14:paraId="2C845DFC">
      <w:pPr>
        <w:spacing w:line="600" w:lineRule="auto"/>
        <w:outlineLvl w:val="0"/>
        <w:rPr>
          <w:rFonts w:hint="eastAsia" w:ascii="宋体" w:hAnsi="宋体" w:eastAsia="宋体" w:cs="宋体"/>
          <w:b/>
          <w:bCs/>
          <w:sz w:val="28"/>
          <w:szCs w:val="28"/>
        </w:rPr>
      </w:pPr>
      <w:bookmarkStart w:id="19" w:name="_Toc5745"/>
      <w:bookmarkStart w:id="20" w:name="_Toc1961"/>
      <w:r>
        <w:rPr>
          <w:rFonts w:hint="eastAsia" w:ascii="宋体" w:hAnsi="宋体" w:eastAsia="宋体" w:cs="宋体"/>
          <w:b/>
          <w:bCs/>
          <w:sz w:val="28"/>
          <w:szCs w:val="28"/>
        </w:rPr>
        <w:t>三、</w:t>
      </w:r>
      <w:bookmarkEnd w:id="19"/>
      <w:r>
        <w:rPr>
          <w:rFonts w:hint="eastAsia" w:ascii="宋体" w:hAnsi="宋体" w:eastAsia="宋体" w:cs="宋体"/>
          <w:b/>
          <w:bCs/>
          <w:sz w:val="28"/>
          <w:szCs w:val="28"/>
        </w:rPr>
        <w:t>资格证明文件</w:t>
      </w:r>
      <w:bookmarkEnd w:id="20"/>
    </w:p>
    <w:p w14:paraId="3D8FC12F">
      <w:pPr>
        <w:spacing w:line="600" w:lineRule="auto"/>
        <w:outlineLvl w:val="0"/>
        <w:rPr>
          <w:rFonts w:hint="eastAsia" w:ascii="宋体" w:hAnsi="宋体" w:eastAsia="宋体" w:cs="宋体"/>
          <w:b/>
          <w:bCs/>
          <w:sz w:val="28"/>
          <w:szCs w:val="28"/>
        </w:rPr>
      </w:pPr>
      <w:bookmarkStart w:id="21" w:name="_Toc31762"/>
      <w:bookmarkStart w:id="22" w:name="_Toc7257"/>
      <w:r>
        <w:rPr>
          <w:rFonts w:hint="eastAsia" w:ascii="宋体" w:hAnsi="宋体" w:eastAsia="宋体" w:cs="宋体"/>
          <w:b/>
          <w:bCs/>
          <w:sz w:val="28"/>
          <w:szCs w:val="28"/>
        </w:rPr>
        <w:t xml:space="preserve">四、 </w:t>
      </w:r>
      <w:bookmarkEnd w:id="21"/>
      <w:r>
        <w:rPr>
          <w:rFonts w:hint="eastAsia" w:ascii="宋体" w:hAnsi="宋体" w:eastAsia="宋体" w:cs="宋体"/>
          <w:b/>
          <w:bCs/>
          <w:sz w:val="28"/>
          <w:szCs w:val="28"/>
        </w:rPr>
        <w:t>投标方案</w:t>
      </w:r>
      <w:bookmarkEnd w:id="22"/>
      <w:bookmarkStart w:id="23" w:name="_Toc26495"/>
    </w:p>
    <w:p w14:paraId="4F3C14FC">
      <w:pPr>
        <w:spacing w:line="600" w:lineRule="auto"/>
        <w:outlineLvl w:val="0"/>
        <w:rPr>
          <w:rFonts w:hint="eastAsia" w:ascii="宋体" w:hAnsi="宋体" w:eastAsia="宋体" w:cs="宋体"/>
          <w:b/>
          <w:bCs/>
          <w:sz w:val="28"/>
          <w:szCs w:val="28"/>
        </w:rPr>
      </w:pPr>
      <w:bookmarkStart w:id="24" w:name="_Toc2551"/>
      <w:r>
        <w:rPr>
          <w:rFonts w:hint="eastAsia" w:ascii="宋体" w:hAnsi="宋体" w:eastAsia="宋体" w:cs="宋体"/>
          <w:b/>
          <w:bCs/>
          <w:sz w:val="28"/>
          <w:szCs w:val="28"/>
        </w:rPr>
        <w:t>五、投标人近三年类似项目业绩</w:t>
      </w:r>
      <w:bookmarkEnd w:id="24"/>
    </w:p>
    <w:p w14:paraId="2B722E68">
      <w:pPr>
        <w:spacing w:line="600" w:lineRule="auto"/>
        <w:outlineLvl w:val="0"/>
        <w:rPr>
          <w:rFonts w:hint="eastAsia" w:ascii="宋体" w:hAnsi="宋体" w:eastAsia="宋体" w:cs="宋体"/>
          <w:b/>
          <w:bCs/>
          <w:sz w:val="28"/>
          <w:szCs w:val="28"/>
        </w:rPr>
      </w:pPr>
      <w:bookmarkStart w:id="25" w:name="_Toc131"/>
      <w:r>
        <w:rPr>
          <w:rFonts w:hint="eastAsia" w:ascii="宋体" w:hAnsi="宋体" w:eastAsia="宋体" w:cs="宋体"/>
          <w:b/>
          <w:bCs/>
          <w:sz w:val="28"/>
          <w:szCs w:val="28"/>
        </w:rPr>
        <w:t>六、政府采购投标人拒绝政府采购领域商业贿赂承诺书</w:t>
      </w:r>
      <w:bookmarkEnd w:id="25"/>
    </w:p>
    <w:bookmarkEnd w:id="23"/>
    <w:p w14:paraId="290BE8D4">
      <w:pPr>
        <w:spacing w:line="600" w:lineRule="auto"/>
        <w:outlineLvl w:val="0"/>
        <w:rPr>
          <w:rFonts w:hint="eastAsia" w:ascii="宋体" w:hAnsi="宋体" w:eastAsia="宋体" w:cs="宋体"/>
          <w:b/>
          <w:bCs/>
          <w:sz w:val="28"/>
          <w:szCs w:val="28"/>
        </w:rPr>
      </w:pPr>
      <w:bookmarkStart w:id="26" w:name="_Toc20217"/>
      <w:bookmarkStart w:id="27" w:name="_Toc22362"/>
      <w:r>
        <w:rPr>
          <w:rFonts w:hint="eastAsia" w:ascii="宋体" w:hAnsi="宋体" w:eastAsia="宋体" w:cs="宋体"/>
          <w:b/>
          <w:bCs/>
          <w:sz w:val="28"/>
          <w:szCs w:val="28"/>
        </w:rPr>
        <w:t>七、其他材料</w:t>
      </w:r>
      <w:bookmarkEnd w:id="26"/>
      <w:bookmarkEnd w:id="27"/>
    </w:p>
    <w:p w14:paraId="1CEF4A84">
      <w:pPr>
        <w:pStyle w:val="25"/>
        <w:autoSpaceDE w:val="0"/>
        <w:autoSpaceDN w:val="0"/>
        <w:spacing w:line="600" w:lineRule="auto"/>
        <w:ind w:firstLine="560" w:firstLineChars="200"/>
        <w:jc w:val="left"/>
        <w:rPr>
          <w:rFonts w:hint="eastAsia" w:ascii="宋体" w:hAnsi="宋体" w:eastAsia="宋体" w:cs="宋体"/>
          <w:b w:val="0"/>
          <w:kern w:val="2"/>
          <w:sz w:val="28"/>
          <w:szCs w:val="28"/>
        </w:rPr>
      </w:pPr>
    </w:p>
    <w:p w14:paraId="26149EC0">
      <w:pPr>
        <w:pStyle w:val="25"/>
        <w:autoSpaceDE w:val="0"/>
        <w:autoSpaceDN w:val="0"/>
        <w:spacing w:line="600" w:lineRule="auto"/>
        <w:ind w:firstLine="560" w:firstLineChars="200"/>
        <w:jc w:val="left"/>
        <w:rPr>
          <w:rFonts w:hint="eastAsia" w:ascii="宋体" w:hAnsi="宋体" w:eastAsia="宋体" w:cs="宋体"/>
          <w:b w:val="0"/>
          <w:kern w:val="2"/>
          <w:sz w:val="28"/>
          <w:szCs w:val="28"/>
        </w:rPr>
      </w:pPr>
    </w:p>
    <w:p w14:paraId="0BCEA824">
      <w:pPr>
        <w:pStyle w:val="25"/>
        <w:autoSpaceDE w:val="0"/>
        <w:autoSpaceDN w:val="0"/>
        <w:spacing w:line="600" w:lineRule="auto"/>
        <w:ind w:firstLine="560" w:firstLineChars="200"/>
        <w:jc w:val="left"/>
        <w:rPr>
          <w:rFonts w:hint="eastAsia" w:ascii="宋体" w:hAnsi="宋体" w:eastAsia="宋体" w:cs="宋体"/>
          <w:b w:val="0"/>
          <w:sz w:val="28"/>
          <w:szCs w:val="28"/>
        </w:rPr>
      </w:pPr>
    </w:p>
    <w:p w14:paraId="7B3B6050">
      <w:pPr>
        <w:pStyle w:val="25"/>
        <w:spacing w:line="500" w:lineRule="exact"/>
        <w:jc w:val="left"/>
        <w:rPr>
          <w:rFonts w:hint="eastAsia" w:ascii="宋体" w:hAnsi="宋体" w:eastAsia="宋体" w:cs="宋体"/>
          <w:bCs/>
          <w:sz w:val="28"/>
          <w:szCs w:val="28"/>
        </w:rPr>
      </w:pPr>
    </w:p>
    <w:p w14:paraId="1918A54A">
      <w:pPr>
        <w:pStyle w:val="25"/>
        <w:spacing w:line="500" w:lineRule="exact"/>
        <w:jc w:val="left"/>
        <w:rPr>
          <w:rFonts w:hint="eastAsia" w:ascii="宋体" w:hAnsi="宋体" w:eastAsia="宋体" w:cs="宋体"/>
          <w:bCs/>
          <w:sz w:val="28"/>
          <w:szCs w:val="28"/>
        </w:rPr>
      </w:pPr>
    </w:p>
    <w:p w14:paraId="72260B94">
      <w:pPr>
        <w:pStyle w:val="25"/>
        <w:spacing w:line="500" w:lineRule="exact"/>
        <w:jc w:val="left"/>
        <w:rPr>
          <w:rFonts w:hint="eastAsia" w:ascii="宋体" w:hAnsi="宋体" w:eastAsia="宋体" w:cs="宋体"/>
          <w:bCs/>
          <w:sz w:val="28"/>
          <w:szCs w:val="28"/>
        </w:rPr>
      </w:pPr>
    </w:p>
    <w:p w14:paraId="78F6EF0E">
      <w:pPr>
        <w:pStyle w:val="25"/>
        <w:spacing w:line="500" w:lineRule="exact"/>
        <w:jc w:val="left"/>
        <w:rPr>
          <w:rFonts w:hint="eastAsia" w:ascii="宋体" w:hAnsi="宋体" w:eastAsia="宋体" w:cs="宋体"/>
          <w:bCs/>
          <w:sz w:val="28"/>
          <w:szCs w:val="28"/>
        </w:rPr>
      </w:pPr>
    </w:p>
    <w:p w14:paraId="66059138">
      <w:pPr>
        <w:pStyle w:val="25"/>
        <w:spacing w:line="500" w:lineRule="exact"/>
        <w:jc w:val="left"/>
        <w:rPr>
          <w:rFonts w:hint="eastAsia" w:ascii="宋体" w:hAnsi="宋体" w:eastAsia="宋体" w:cs="宋体"/>
          <w:bCs/>
          <w:sz w:val="28"/>
          <w:szCs w:val="28"/>
        </w:rPr>
      </w:pPr>
    </w:p>
    <w:p w14:paraId="5C0A2FFD">
      <w:pPr>
        <w:pStyle w:val="25"/>
        <w:spacing w:line="500" w:lineRule="exact"/>
        <w:jc w:val="left"/>
        <w:rPr>
          <w:rFonts w:hint="eastAsia" w:ascii="宋体" w:hAnsi="宋体" w:eastAsia="宋体" w:cs="宋体"/>
          <w:bCs/>
          <w:sz w:val="28"/>
          <w:szCs w:val="28"/>
        </w:rPr>
      </w:pPr>
    </w:p>
    <w:p w14:paraId="7BEBE92F">
      <w:pPr>
        <w:pStyle w:val="25"/>
        <w:spacing w:line="500" w:lineRule="exact"/>
        <w:jc w:val="left"/>
        <w:rPr>
          <w:rFonts w:hint="eastAsia" w:ascii="宋体" w:hAnsi="宋体" w:eastAsia="宋体" w:cs="宋体"/>
          <w:bCs/>
          <w:sz w:val="28"/>
          <w:szCs w:val="28"/>
        </w:rPr>
      </w:pPr>
    </w:p>
    <w:p w14:paraId="0FE29CC9">
      <w:pPr>
        <w:pStyle w:val="25"/>
        <w:spacing w:line="500" w:lineRule="exact"/>
        <w:jc w:val="left"/>
        <w:rPr>
          <w:rFonts w:hint="eastAsia" w:ascii="宋体" w:hAnsi="宋体" w:eastAsia="宋体" w:cs="宋体"/>
          <w:bCs/>
          <w:sz w:val="28"/>
          <w:szCs w:val="28"/>
        </w:rPr>
      </w:pPr>
    </w:p>
    <w:p w14:paraId="32BFBF4C">
      <w:pPr>
        <w:pStyle w:val="25"/>
        <w:autoSpaceDE w:val="0"/>
        <w:autoSpaceDN w:val="0"/>
        <w:spacing w:line="500" w:lineRule="exact"/>
        <w:rPr>
          <w:rFonts w:hint="eastAsia" w:ascii="宋体" w:hAnsi="宋体" w:eastAsia="宋体" w:cs="宋体"/>
          <w:kern w:val="2"/>
          <w:sz w:val="32"/>
        </w:rPr>
      </w:pPr>
      <w:r>
        <w:rPr>
          <w:rFonts w:hint="eastAsia" w:ascii="宋体" w:hAnsi="宋体" w:eastAsia="宋体" w:cs="宋体"/>
          <w:kern w:val="2"/>
          <w:sz w:val="32"/>
        </w:rPr>
        <w:t>一、投标函</w:t>
      </w:r>
    </w:p>
    <w:p w14:paraId="0DD4E552">
      <w:pPr>
        <w:pStyle w:val="12"/>
        <w:ind w:firstLine="420" w:firstLineChars="200"/>
        <w:rPr>
          <w:rFonts w:hint="eastAsia" w:ascii="宋体" w:hAnsi="宋体" w:eastAsia="宋体" w:cs="宋体"/>
        </w:rPr>
      </w:pPr>
    </w:p>
    <w:p w14:paraId="050D9CBC">
      <w:pPr>
        <w:pStyle w:val="12"/>
        <w:ind w:firstLine="480" w:firstLineChars="200"/>
        <w:rPr>
          <w:rFonts w:hint="eastAsia" w:ascii="宋体" w:hAnsi="宋体" w:eastAsia="宋体" w:cs="宋体"/>
          <w:sz w:val="24"/>
          <w:szCs w:val="32"/>
        </w:rPr>
      </w:pPr>
      <w:r>
        <w:rPr>
          <w:rFonts w:hint="eastAsia" w:ascii="宋体" w:hAnsi="宋体" w:eastAsia="宋体" w:cs="宋体"/>
          <w:sz w:val="24"/>
          <w:szCs w:val="32"/>
        </w:rPr>
        <w:t>亿诚建设项目管理有限公司：</w:t>
      </w:r>
    </w:p>
    <w:p w14:paraId="3DB6A2FF">
      <w:pPr>
        <w:pStyle w:val="12"/>
        <w:tabs>
          <w:tab w:val="left" w:pos="4167"/>
          <w:tab w:val="left" w:pos="8140"/>
          <w:tab w:val="left" w:pos="9288"/>
          <w:tab w:val="left" w:pos="9680"/>
        </w:tabs>
        <w:spacing w:before="93" w:line="312" w:lineRule="auto"/>
        <w:ind w:left="1396" w:leftChars="436" w:right="70" w:hanging="480" w:hangingChars="200"/>
        <w:rPr>
          <w:rFonts w:hint="eastAsia" w:ascii="宋体" w:hAnsi="宋体" w:eastAsia="宋体" w:cs="宋体"/>
          <w:sz w:val="24"/>
          <w:szCs w:val="32"/>
        </w:rPr>
      </w:pPr>
      <w:r>
        <w:rPr>
          <w:rFonts w:hint="eastAsia" w:ascii="宋体" w:hAnsi="宋体" w:eastAsia="宋体" w:cs="宋体"/>
          <w:sz w:val="24"/>
          <w:szCs w:val="32"/>
        </w:rPr>
        <w:t>根据贵单位</w:t>
      </w:r>
      <w:r>
        <w:rPr>
          <w:rFonts w:hint="eastAsia" w:ascii="宋体" w:hAnsi="宋体" w:eastAsia="宋体" w:cs="宋体"/>
          <w:sz w:val="24"/>
          <w:szCs w:val="32"/>
          <w:u w:val="single"/>
        </w:rPr>
        <w:tab/>
      </w:r>
      <w:r>
        <w:rPr>
          <w:rFonts w:hint="eastAsia" w:ascii="宋体" w:hAnsi="宋体" w:eastAsia="宋体" w:cs="宋体"/>
          <w:sz w:val="24"/>
          <w:szCs w:val="32"/>
          <w:u w:val="single"/>
        </w:rPr>
        <w:t xml:space="preserve">（项目名称）    </w:t>
      </w:r>
      <w:r>
        <w:rPr>
          <w:rFonts w:hint="eastAsia" w:ascii="宋体" w:hAnsi="宋体" w:eastAsia="宋体" w:cs="宋体"/>
          <w:spacing w:val="-56"/>
          <w:sz w:val="24"/>
          <w:szCs w:val="32"/>
          <w:u w:val="single"/>
        </w:rPr>
        <w:t>，</w:t>
      </w:r>
      <w:r>
        <w:rPr>
          <w:rFonts w:hint="eastAsia" w:ascii="宋体" w:hAnsi="宋体" w:eastAsia="宋体" w:cs="宋体"/>
          <w:sz w:val="24"/>
          <w:szCs w:val="32"/>
          <w:u w:val="single"/>
        </w:rPr>
        <w:t>项目编号：</w:t>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rPr>
        <w:t>的</w:t>
      </w:r>
      <w:r>
        <w:rPr>
          <w:rFonts w:hint="eastAsia" w:ascii="宋体" w:hAnsi="宋体" w:eastAsia="宋体" w:cs="宋体"/>
          <w:sz w:val="24"/>
          <w:szCs w:val="32"/>
          <w:lang w:eastAsia="zh-CN"/>
        </w:rPr>
        <w:t>磋商</w:t>
      </w:r>
      <w:r>
        <w:rPr>
          <w:rFonts w:hint="eastAsia" w:ascii="宋体" w:hAnsi="宋体" w:eastAsia="宋体" w:cs="宋体"/>
          <w:sz w:val="24"/>
          <w:szCs w:val="32"/>
        </w:rPr>
        <w:t>公告，</w:t>
      </w:r>
    </w:p>
    <w:p w14:paraId="5514C32B">
      <w:pPr>
        <w:pStyle w:val="12"/>
        <w:tabs>
          <w:tab w:val="left" w:pos="4167"/>
          <w:tab w:val="left" w:pos="8140"/>
          <w:tab w:val="left" w:pos="9288"/>
          <w:tab w:val="left" w:pos="9680"/>
        </w:tabs>
        <w:spacing w:before="93" w:line="312" w:lineRule="auto"/>
        <w:ind w:right="70"/>
        <w:rPr>
          <w:rFonts w:hint="eastAsia" w:ascii="宋体" w:hAnsi="宋体" w:eastAsia="宋体" w:cs="宋体"/>
          <w:sz w:val="24"/>
          <w:szCs w:val="32"/>
        </w:rPr>
      </w:pPr>
      <w:r>
        <w:rPr>
          <w:rFonts w:hint="eastAsia" w:ascii="宋体" w:hAnsi="宋体" w:eastAsia="宋体" w:cs="宋体"/>
          <w:sz w:val="24"/>
          <w:szCs w:val="32"/>
        </w:rPr>
        <w:t>我方代表</w:t>
      </w:r>
      <w:r>
        <w:rPr>
          <w:rFonts w:hint="eastAsia" w:ascii="宋体" w:hAnsi="宋体" w:eastAsia="宋体" w:cs="宋体"/>
          <w:sz w:val="24"/>
          <w:szCs w:val="32"/>
          <w:u w:val="single"/>
        </w:rPr>
        <w:t xml:space="preserve">（姓名、职务） </w:t>
      </w:r>
      <w:r>
        <w:rPr>
          <w:rFonts w:hint="eastAsia" w:ascii="宋体" w:hAnsi="宋体" w:eastAsia="宋体" w:cs="宋体"/>
          <w:sz w:val="24"/>
          <w:szCs w:val="32"/>
        </w:rPr>
        <w:t>经正式授权并代表</w:t>
      </w:r>
      <w:r>
        <w:rPr>
          <w:rFonts w:hint="eastAsia" w:ascii="宋体" w:hAnsi="宋体" w:eastAsia="宋体" w:cs="宋体"/>
          <w:sz w:val="24"/>
          <w:szCs w:val="32"/>
          <w:u w:val="single"/>
        </w:rPr>
        <w:t xml:space="preserve">（投标人名称） </w:t>
      </w:r>
      <w:r>
        <w:rPr>
          <w:rFonts w:hint="eastAsia" w:ascii="宋体" w:hAnsi="宋体" w:eastAsia="宋体" w:cs="宋体"/>
          <w:spacing w:val="-14"/>
          <w:sz w:val="24"/>
          <w:szCs w:val="32"/>
        </w:rPr>
        <w:t>就</w:t>
      </w:r>
      <w:r>
        <w:rPr>
          <w:rFonts w:hint="eastAsia" w:ascii="宋体" w:hAnsi="宋体" w:eastAsia="宋体" w:cs="宋体"/>
          <w:sz w:val="24"/>
          <w:szCs w:val="32"/>
        </w:rPr>
        <w:t>该项目进行投标。</w:t>
      </w:r>
    </w:p>
    <w:p w14:paraId="5C88325C">
      <w:pPr>
        <w:pStyle w:val="5"/>
        <w:spacing w:before="1"/>
        <w:ind w:firstLine="480" w:firstLineChars="200"/>
        <w:rPr>
          <w:rFonts w:hint="eastAsia" w:ascii="宋体" w:hAnsi="宋体" w:eastAsia="宋体" w:cs="宋体"/>
          <w:sz w:val="24"/>
          <w:lang w:val="zh-CN" w:bidi="zh-CN"/>
        </w:rPr>
      </w:pPr>
      <w:bookmarkStart w:id="28" w:name="_Toc31055"/>
      <w:r>
        <w:rPr>
          <w:rFonts w:hint="eastAsia" w:ascii="宋体" w:hAnsi="宋体" w:eastAsia="宋体" w:cs="宋体"/>
          <w:sz w:val="24"/>
          <w:lang w:val="zh-CN" w:bidi="zh-CN"/>
        </w:rPr>
        <w:t>在此，签字代表宣布同意如下：</w:t>
      </w:r>
      <w:bookmarkEnd w:id="28"/>
    </w:p>
    <w:p w14:paraId="12E324D0">
      <w:pPr>
        <w:pStyle w:val="71"/>
        <w:numPr>
          <w:ilvl w:val="0"/>
          <w:numId w:val="5"/>
        </w:numPr>
        <w:tabs>
          <w:tab w:val="left" w:pos="2301"/>
        </w:tabs>
        <w:spacing w:before="156" w:line="374" w:lineRule="auto"/>
        <w:ind w:right="290" w:firstLineChars="200"/>
        <w:jc w:val="left"/>
        <w:rPr>
          <w:rFonts w:hint="eastAsia" w:ascii="宋体" w:hAnsi="宋体" w:eastAsia="宋体" w:cs="宋体"/>
          <w:sz w:val="24"/>
          <w:u w:val="single"/>
        </w:rPr>
      </w:pPr>
      <w:r>
        <w:rPr>
          <w:rFonts w:hint="eastAsia" w:ascii="宋体" w:hAnsi="宋体" w:eastAsia="宋体" w:cs="宋体"/>
          <w:sz w:val="24"/>
        </w:rPr>
        <w:t>所附投标报价表中规定的应提交和交付的服务投标报价为</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rPr>
        <w:t>元</w:t>
      </w:r>
      <w:r>
        <w:rPr>
          <w:rFonts w:hint="eastAsia" w:ascii="宋体" w:hAnsi="宋体" w:eastAsia="宋体" w:cs="宋体"/>
          <w:sz w:val="24"/>
          <w:lang w:val="en-US" w:eastAsia="zh-CN"/>
        </w:rPr>
        <w:t>。</w:t>
      </w:r>
    </w:p>
    <w:p w14:paraId="27D7ABF7">
      <w:pPr>
        <w:pStyle w:val="71"/>
        <w:numPr>
          <w:ilvl w:val="0"/>
          <w:numId w:val="5"/>
        </w:numPr>
        <w:tabs>
          <w:tab w:val="left" w:pos="2301"/>
        </w:tabs>
        <w:spacing w:before="156" w:line="374" w:lineRule="auto"/>
        <w:ind w:right="1500" w:firstLineChars="200"/>
        <w:jc w:val="left"/>
        <w:rPr>
          <w:rFonts w:hint="eastAsia" w:ascii="宋体" w:hAnsi="宋体" w:eastAsia="宋体" w:cs="宋体"/>
          <w:sz w:val="24"/>
        </w:rPr>
      </w:pPr>
      <w:r>
        <w:rPr>
          <w:rFonts w:hint="eastAsia" w:ascii="宋体" w:hAnsi="宋体" w:eastAsia="宋体" w:cs="宋体"/>
          <w:sz w:val="24"/>
        </w:rPr>
        <w:t>投标人将按磋商文件的规定履行合同责任和义务。</w:t>
      </w:r>
    </w:p>
    <w:p w14:paraId="49A2F694">
      <w:pPr>
        <w:pStyle w:val="71"/>
        <w:numPr>
          <w:ilvl w:val="0"/>
          <w:numId w:val="5"/>
        </w:numPr>
        <w:tabs>
          <w:tab w:val="left" w:pos="2301"/>
        </w:tabs>
        <w:spacing w:before="156" w:line="374" w:lineRule="auto"/>
        <w:ind w:right="290" w:firstLine="476" w:firstLineChars="200"/>
        <w:jc w:val="left"/>
        <w:rPr>
          <w:rFonts w:hint="eastAsia" w:ascii="宋体" w:hAnsi="宋体" w:eastAsia="宋体" w:cs="宋体"/>
          <w:sz w:val="24"/>
        </w:rPr>
      </w:pPr>
      <w:r>
        <w:rPr>
          <w:rFonts w:hint="eastAsia" w:ascii="宋体" w:hAnsi="宋体" w:eastAsia="宋体" w:cs="宋体"/>
          <w:spacing w:val="-1"/>
          <w:sz w:val="24"/>
        </w:rPr>
        <w:t>投标人已详细审查全部磋商文件。我们完全理解并同意放弃对这方面</w:t>
      </w:r>
      <w:r>
        <w:rPr>
          <w:rFonts w:hint="eastAsia" w:ascii="宋体" w:hAnsi="宋体" w:eastAsia="宋体" w:cs="宋体"/>
          <w:sz w:val="24"/>
        </w:rPr>
        <w:t>有不明及误解的权力。</w:t>
      </w:r>
    </w:p>
    <w:p w14:paraId="69016A92">
      <w:pPr>
        <w:pStyle w:val="71"/>
        <w:numPr>
          <w:ilvl w:val="0"/>
          <w:numId w:val="5"/>
        </w:numPr>
        <w:tabs>
          <w:tab w:val="left" w:pos="2301"/>
        </w:tabs>
        <w:spacing w:before="156" w:line="374" w:lineRule="auto"/>
        <w:ind w:right="86" w:rightChars="0" w:firstLineChars="200"/>
        <w:jc w:val="left"/>
        <w:rPr>
          <w:rFonts w:hint="eastAsia" w:ascii="宋体" w:hAnsi="宋体" w:eastAsia="宋体" w:cs="宋体"/>
          <w:sz w:val="24"/>
        </w:rPr>
      </w:pPr>
      <w:r>
        <w:rPr>
          <w:rFonts w:hint="eastAsia" w:ascii="宋体" w:hAnsi="宋体" w:eastAsia="宋体" w:cs="宋体"/>
          <w:sz w:val="24"/>
        </w:rPr>
        <w:t>本投标有效期为自开标日起</w:t>
      </w:r>
      <w:r>
        <w:rPr>
          <w:rFonts w:hint="eastAsia" w:ascii="宋体" w:hAnsi="宋体" w:eastAsia="宋体" w:cs="宋体"/>
          <w:sz w:val="24"/>
          <w:u w:val="single"/>
          <w:lang w:val="en-US" w:eastAsia="zh-CN"/>
        </w:rPr>
        <w:t xml:space="preserve">    </w:t>
      </w:r>
      <w:r>
        <w:rPr>
          <w:rFonts w:hint="eastAsia" w:ascii="宋体" w:hAnsi="宋体" w:eastAsia="宋体" w:cs="宋体"/>
          <w:sz w:val="24"/>
        </w:rPr>
        <w:t>日历日（</w:t>
      </w:r>
      <w:r>
        <w:rPr>
          <w:rFonts w:hint="eastAsia" w:ascii="宋体" w:hAnsi="宋体" w:eastAsia="宋体" w:cs="宋体"/>
          <w:spacing w:val="-2"/>
          <w:sz w:val="24"/>
        </w:rPr>
        <w:t>中标人的投标文件有效期延</w:t>
      </w:r>
      <w:r>
        <w:rPr>
          <w:rFonts w:hint="eastAsia" w:ascii="宋体" w:hAnsi="宋体" w:eastAsia="宋体" w:cs="宋体"/>
          <w:sz w:val="24"/>
        </w:rPr>
        <w:t>长为与合同有效期一致）。</w:t>
      </w:r>
    </w:p>
    <w:p w14:paraId="391BE556">
      <w:pPr>
        <w:pStyle w:val="71"/>
        <w:numPr>
          <w:ilvl w:val="0"/>
          <w:numId w:val="5"/>
        </w:numPr>
        <w:tabs>
          <w:tab w:val="left" w:pos="2301"/>
        </w:tabs>
        <w:spacing w:before="156" w:line="374" w:lineRule="auto"/>
        <w:ind w:right="86" w:rightChars="0" w:firstLineChars="200"/>
        <w:jc w:val="left"/>
        <w:rPr>
          <w:rFonts w:hint="eastAsia" w:ascii="宋体" w:hAnsi="宋体" w:eastAsia="宋体" w:cs="宋体"/>
          <w:sz w:val="24"/>
        </w:rPr>
      </w:pPr>
      <w:r>
        <w:rPr>
          <w:rFonts w:hint="eastAsia" w:ascii="宋体" w:hAnsi="宋体" w:eastAsia="宋体" w:cs="宋体"/>
          <w:sz w:val="24"/>
        </w:rPr>
        <w:t>投标人同意提供按照贵方可能要求的与其投标有关的一切数据或资料</w:t>
      </w:r>
      <w:r>
        <w:rPr>
          <w:rFonts w:hint="eastAsia" w:ascii="宋体" w:hAnsi="宋体" w:eastAsia="宋体" w:cs="宋体"/>
          <w:spacing w:val="-4"/>
          <w:sz w:val="24"/>
        </w:rPr>
        <w:t>，完全理解贵方不一定接受最低投标报价的投标或收到的任何投标。</w:t>
      </w:r>
    </w:p>
    <w:p w14:paraId="22DD49AA">
      <w:pPr>
        <w:pStyle w:val="71"/>
        <w:numPr>
          <w:ilvl w:val="0"/>
          <w:numId w:val="5"/>
        </w:numPr>
        <w:tabs>
          <w:tab w:val="left" w:pos="2301"/>
        </w:tabs>
        <w:spacing w:before="156" w:line="374" w:lineRule="auto"/>
        <w:ind w:right="1500" w:firstLineChars="200"/>
        <w:jc w:val="left"/>
        <w:rPr>
          <w:rFonts w:hint="eastAsia" w:ascii="宋体" w:hAnsi="宋体" w:eastAsia="宋体" w:cs="宋体"/>
          <w:sz w:val="24"/>
        </w:rPr>
      </w:pPr>
      <w:r>
        <w:rPr>
          <w:rFonts w:hint="eastAsia" w:ascii="宋体" w:hAnsi="宋体" w:eastAsia="宋体" w:cs="宋体"/>
          <w:sz w:val="24"/>
        </w:rPr>
        <w:t>我方若中标对测量所有成果按照国家保密法相关规定进行保密</w:t>
      </w:r>
    </w:p>
    <w:p w14:paraId="5EF7672C">
      <w:pPr>
        <w:pStyle w:val="71"/>
        <w:numPr>
          <w:ilvl w:val="0"/>
          <w:numId w:val="5"/>
        </w:numPr>
        <w:tabs>
          <w:tab w:val="left" w:pos="2301"/>
        </w:tabs>
        <w:spacing w:before="156" w:line="374" w:lineRule="auto"/>
        <w:ind w:right="1500" w:firstLine="472" w:firstLineChars="200"/>
        <w:jc w:val="left"/>
        <w:rPr>
          <w:rFonts w:hint="eastAsia" w:ascii="宋体" w:hAnsi="宋体" w:eastAsia="宋体" w:cs="宋体"/>
          <w:sz w:val="24"/>
        </w:rPr>
      </w:pPr>
      <w:r>
        <w:rPr>
          <w:rFonts w:hint="eastAsia" w:ascii="宋体" w:hAnsi="宋体" w:eastAsia="宋体" w:cs="宋体"/>
          <w:spacing w:val="-2"/>
          <w:sz w:val="24"/>
        </w:rPr>
        <w:t xml:space="preserve">与本投标有关的一切正式往来信函请寄： </w:t>
      </w:r>
    </w:p>
    <w:p w14:paraId="6DB31BC7">
      <w:pPr>
        <w:pStyle w:val="71"/>
        <w:tabs>
          <w:tab w:val="left" w:pos="2301"/>
        </w:tabs>
        <w:spacing w:before="156" w:line="374" w:lineRule="auto"/>
        <w:ind w:right="1500" w:firstLine="787" w:firstLineChars="328"/>
        <w:jc w:val="left"/>
        <w:rPr>
          <w:rFonts w:hint="eastAsia" w:ascii="宋体" w:hAnsi="宋体" w:eastAsia="宋体" w:cs="宋体"/>
          <w:sz w:val="24"/>
          <w:u w:val="single"/>
          <w:lang w:val="en-US"/>
        </w:rPr>
      </w:pPr>
      <w:r>
        <w:rPr>
          <w:rFonts w:hint="eastAsia" w:ascii="宋体" w:hAnsi="宋体" w:eastAsia="宋体" w:cs="宋体"/>
          <w:sz w:val="24"/>
        </w:rPr>
        <w:t>投标单位名称（公</w:t>
      </w:r>
      <w:r>
        <w:rPr>
          <w:rFonts w:hint="eastAsia" w:ascii="宋体" w:hAnsi="宋体" w:eastAsia="宋体" w:cs="宋体"/>
          <w:spacing w:val="-2"/>
          <w:sz w:val="24"/>
        </w:rPr>
        <w:t>章）：</w:t>
      </w:r>
    </w:p>
    <w:p w14:paraId="2AC5265A">
      <w:pPr>
        <w:pStyle w:val="12"/>
        <w:tabs>
          <w:tab w:val="left" w:pos="2539"/>
          <w:tab w:val="left" w:pos="3139"/>
          <w:tab w:val="left" w:pos="3739"/>
          <w:tab w:val="left" w:pos="4840"/>
        </w:tabs>
        <w:spacing w:line="374" w:lineRule="auto"/>
        <w:ind w:right="2266" w:firstLine="960" w:firstLineChars="400"/>
        <w:rPr>
          <w:rFonts w:hint="eastAsia" w:ascii="宋体" w:hAnsi="宋体" w:eastAsia="宋体" w:cs="宋体"/>
          <w:spacing w:val="-19"/>
          <w:sz w:val="24"/>
          <w:szCs w:val="32"/>
          <w:u w:val="single"/>
        </w:rPr>
      </w:pPr>
      <w:r>
        <w:rPr>
          <w:rFonts w:hint="eastAsia" w:ascii="宋体" w:hAnsi="宋体" w:eastAsia="宋体" w:cs="宋体"/>
          <w:sz w:val="24"/>
          <w:szCs w:val="32"/>
        </w:rPr>
        <w:t>法定代表人或授权代理人签字</w:t>
      </w:r>
      <w:r>
        <w:rPr>
          <w:rFonts w:hint="eastAsia" w:ascii="宋体" w:hAnsi="宋体" w:eastAsia="宋体" w:cs="宋体"/>
          <w:spacing w:val="-19"/>
          <w:sz w:val="24"/>
          <w:szCs w:val="32"/>
        </w:rPr>
        <w:t>：</w:t>
      </w:r>
    </w:p>
    <w:p w14:paraId="7F4C9F6D">
      <w:pPr>
        <w:pStyle w:val="12"/>
        <w:tabs>
          <w:tab w:val="left" w:pos="2539"/>
          <w:tab w:val="left" w:pos="3139"/>
          <w:tab w:val="left" w:pos="3739"/>
          <w:tab w:val="left" w:pos="4840"/>
        </w:tabs>
        <w:spacing w:line="374" w:lineRule="auto"/>
        <w:ind w:right="2486" w:firstLine="960" w:firstLineChars="400"/>
        <w:rPr>
          <w:rFonts w:hint="eastAsia" w:ascii="宋体" w:hAnsi="宋体" w:eastAsia="宋体" w:cs="宋体"/>
          <w:sz w:val="24"/>
          <w:szCs w:val="32"/>
          <w:u w:val="single"/>
        </w:rPr>
      </w:pPr>
      <w:r>
        <w:rPr>
          <w:rFonts w:hint="eastAsia" w:ascii="宋体" w:hAnsi="宋体" w:eastAsia="宋体" w:cs="宋体"/>
          <w:sz w:val="24"/>
          <w:szCs w:val="32"/>
        </w:rPr>
        <w:t>详细地址：</w:t>
      </w:r>
    </w:p>
    <w:p w14:paraId="3A4EA0A9">
      <w:pPr>
        <w:pStyle w:val="12"/>
        <w:tabs>
          <w:tab w:val="left" w:pos="2539"/>
          <w:tab w:val="left" w:pos="3139"/>
          <w:tab w:val="left" w:pos="3739"/>
        </w:tabs>
        <w:spacing w:before="1" w:line="374" w:lineRule="auto"/>
        <w:ind w:right="2046" w:firstLine="960" w:firstLineChars="400"/>
        <w:rPr>
          <w:rFonts w:hint="eastAsia" w:ascii="宋体" w:hAnsi="宋体" w:eastAsia="宋体" w:cs="宋体"/>
          <w:spacing w:val="-18"/>
          <w:sz w:val="24"/>
          <w:szCs w:val="32"/>
          <w:u w:val="single"/>
        </w:rPr>
      </w:pPr>
      <w:r>
        <w:rPr>
          <w:rFonts w:hint="eastAsia" w:ascii="宋体" w:hAnsi="宋体" w:eastAsia="宋体" w:cs="宋体"/>
          <w:sz w:val="24"/>
          <w:szCs w:val="32"/>
        </w:rPr>
        <w:t>邮政编码</w:t>
      </w:r>
      <w:r>
        <w:rPr>
          <w:rFonts w:hint="eastAsia" w:ascii="宋体" w:hAnsi="宋体" w:eastAsia="宋体" w:cs="宋体"/>
          <w:spacing w:val="-18"/>
          <w:sz w:val="24"/>
          <w:szCs w:val="32"/>
        </w:rPr>
        <w:t>：</w:t>
      </w:r>
    </w:p>
    <w:p w14:paraId="31CDCDD2">
      <w:pPr>
        <w:pStyle w:val="12"/>
        <w:tabs>
          <w:tab w:val="left" w:pos="2539"/>
          <w:tab w:val="left" w:pos="3139"/>
          <w:tab w:val="left" w:pos="3739"/>
        </w:tabs>
        <w:spacing w:before="1" w:line="374" w:lineRule="auto"/>
        <w:ind w:right="2266" w:firstLine="960" w:firstLineChars="400"/>
        <w:rPr>
          <w:rFonts w:hint="eastAsia" w:ascii="宋体" w:hAnsi="宋体" w:eastAsia="宋体" w:cs="宋体"/>
          <w:sz w:val="24"/>
          <w:szCs w:val="32"/>
          <w:u w:val="single"/>
        </w:rPr>
      </w:pPr>
      <w:r>
        <w:rPr>
          <w:rFonts w:hint="eastAsia" w:ascii="宋体" w:hAnsi="宋体" w:eastAsia="宋体" w:cs="宋体"/>
          <w:sz w:val="24"/>
          <w:szCs w:val="32"/>
        </w:rPr>
        <w:t>电</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话</w:t>
      </w:r>
      <w:r>
        <w:rPr>
          <w:rFonts w:hint="eastAsia" w:ascii="宋体" w:hAnsi="宋体" w:eastAsia="宋体" w:cs="宋体"/>
          <w:spacing w:val="-18"/>
          <w:sz w:val="24"/>
          <w:szCs w:val="32"/>
        </w:rPr>
        <w:t>：</w:t>
      </w:r>
    </w:p>
    <w:p w14:paraId="519FB283">
      <w:pPr>
        <w:autoSpaceDE w:val="0"/>
        <w:autoSpaceDN w:val="0"/>
        <w:spacing w:line="500" w:lineRule="exact"/>
        <w:ind w:firstLine="420" w:firstLineChars="200"/>
        <w:jc w:val="right"/>
        <w:rPr>
          <w:rFonts w:hint="eastAsia" w:ascii="宋体" w:hAnsi="宋体" w:eastAsia="宋体" w:cs="宋体"/>
        </w:rPr>
      </w:pPr>
    </w:p>
    <w:p w14:paraId="1A26EC71">
      <w:pPr>
        <w:autoSpaceDE w:val="0"/>
        <w:autoSpaceDN w:val="0"/>
        <w:spacing w:line="500" w:lineRule="exact"/>
        <w:ind w:firstLine="480" w:firstLineChars="200"/>
        <w:jc w:val="right"/>
        <w:rPr>
          <w:rFonts w:hint="eastAsia" w:ascii="宋体" w:hAnsi="宋体" w:eastAsia="宋体" w:cs="宋体"/>
          <w:kern w:val="2"/>
          <w:sz w:val="24"/>
          <w:szCs w:val="22"/>
          <w:lang w:val="zh-CN" w:eastAsia="zh-CN" w:bidi="zh-CN"/>
        </w:rPr>
        <w:sectPr>
          <w:headerReference r:id="rId4" w:type="default"/>
          <w:footerReference r:id="rId5" w:type="default"/>
          <w:pgSz w:w="11906" w:h="16838"/>
          <w:pgMar w:top="1440" w:right="1080" w:bottom="1440" w:left="1080" w:header="851" w:footer="992" w:gutter="0"/>
          <w:cols w:space="720" w:num="1"/>
          <w:docGrid w:linePitch="286" w:charSpace="0"/>
        </w:sectPr>
      </w:pPr>
      <w:r>
        <w:rPr>
          <w:rFonts w:hint="eastAsia" w:ascii="宋体" w:hAnsi="宋体" w:eastAsia="宋体" w:cs="宋体"/>
          <w:kern w:val="2"/>
          <w:sz w:val="24"/>
          <w:szCs w:val="22"/>
          <w:lang w:val="zh-CN" w:eastAsia="zh-CN" w:bidi="zh-CN"/>
        </w:rPr>
        <w:t>日</w:t>
      </w:r>
      <w:r>
        <w:rPr>
          <w:rFonts w:hint="eastAsia" w:ascii="宋体" w:hAnsi="宋体" w:eastAsia="宋体" w:cs="宋体"/>
          <w:kern w:val="2"/>
          <w:sz w:val="24"/>
          <w:szCs w:val="22"/>
          <w:lang w:val="en-US" w:eastAsia="zh-CN" w:bidi="zh-CN"/>
        </w:rPr>
        <w:t xml:space="preserve">  </w:t>
      </w:r>
      <w:r>
        <w:rPr>
          <w:rFonts w:hint="eastAsia" w:ascii="宋体" w:hAnsi="宋体" w:eastAsia="宋体" w:cs="宋体"/>
          <w:kern w:val="2"/>
          <w:sz w:val="24"/>
          <w:szCs w:val="22"/>
          <w:lang w:val="zh-CN" w:eastAsia="zh-CN" w:bidi="zh-CN"/>
        </w:rPr>
        <w:t>期：</w:t>
      </w:r>
      <w:r>
        <w:rPr>
          <w:rFonts w:hint="eastAsia" w:ascii="宋体" w:hAnsi="宋体" w:eastAsia="宋体" w:cs="宋体"/>
          <w:kern w:val="2"/>
          <w:sz w:val="24"/>
          <w:szCs w:val="22"/>
          <w:lang w:val="zh-CN" w:eastAsia="zh-CN" w:bidi="zh-CN"/>
        </w:rPr>
        <w:tab/>
      </w:r>
      <w:r>
        <w:rPr>
          <w:rFonts w:hint="eastAsia" w:ascii="宋体" w:hAnsi="宋体" w:eastAsia="宋体" w:cs="宋体"/>
          <w:kern w:val="2"/>
          <w:sz w:val="24"/>
          <w:szCs w:val="22"/>
          <w:lang w:val="zh-CN" w:eastAsia="zh-CN" w:bidi="zh-CN"/>
        </w:rPr>
        <w:t>年</w:t>
      </w:r>
      <w:r>
        <w:rPr>
          <w:rFonts w:hint="eastAsia" w:ascii="宋体" w:hAnsi="宋体" w:eastAsia="宋体" w:cs="宋体"/>
          <w:kern w:val="2"/>
          <w:sz w:val="24"/>
          <w:szCs w:val="22"/>
          <w:lang w:val="zh-CN" w:eastAsia="zh-CN" w:bidi="zh-CN"/>
        </w:rPr>
        <w:tab/>
      </w:r>
      <w:r>
        <w:rPr>
          <w:rFonts w:hint="eastAsia" w:ascii="宋体" w:hAnsi="宋体" w:eastAsia="宋体" w:cs="宋体"/>
          <w:kern w:val="2"/>
          <w:sz w:val="24"/>
          <w:szCs w:val="22"/>
          <w:lang w:val="zh-CN" w:eastAsia="zh-CN" w:bidi="zh-CN"/>
        </w:rPr>
        <w:t>月</w:t>
      </w:r>
      <w:r>
        <w:rPr>
          <w:rFonts w:hint="eastAsia" w:ascii="宋体" w:hAnsi="宋体" w:eastAsia="宋体" w:cs="宋体"/>
          <w:kern w:val="2"/>
          <w:sz w:val="24"/>
          <w:szCs w:val="22"/>
          <w:lang w:val="zh-CN" w:eastAsia="zh-CN" w:bidi="zh-CN"/>
        </w:rPr>
        <w:tab/>
      </w:r>
      <w:r>
        <w:rPr>
          <w:rFonts w:hint="eastAsia" w:ascii="宋体" w:hAnsi="宋体" w:eastAsia="宋体" w:cs="宋体"/>
          <w:kern w:val="2"/>
          <w:sz w:val="24"/>
          <w:szCs w:val="22"/>
          <w:lang w:val="zh-CN" w:eastAsia="zh-CN" w:bidi="zh-CN"/>
        </w:rPr>
        <w:t>日</w:t>
      </w:r>
    </w:p>
    <w:p w14:paraId="72EBD793">
      <w:pPr>
        <w:pStyle w:val="4"/>
        <w:numPr>
          <w:ilvl w:val="0"/>
          <w:numId w:val="4"/>
        </w:numPr>
        <w:ind w:left="0" w:leftChars="0" w:firstLine="643" w:firstLineChars="200"/>
        <w:jc w:val="center"/>
        <w:rPr>
          <w:rFonts w:hint="eastAsia" w:ascii="宋体" w:hAnsi="宋体" w:eastAsia="宋体" w:cs="宋体"/>
          <w:b/>
          <w:bCs w:val="0"/>
          <w:kern w:val="2"/>
          <w:sz w:val="32"/>
          <w:szCs w:val="22"/>
          <w:lang w:val="en-US" w:eastAsia="zh-CN" w:bidi="ar-SA"/>
        </w:rPr>
      </w:pPr>
      <w:bookmarkStart w:id="29" w:name="_Toc24114"/>
      <w:r>
        <w:rPr>
          <w:rFonts w:hint="eastAsia" w:ascii="宋体" w:hAnsi="宋体" w:eastAsia="宋体" w:cs="宋体"/>
          <w:b/>
          <w:bCs w:val="0"/>
          <w:kern w:val="2"/>
          <w:sz w:val="32"/>
          <w:szCs w:val="22"/>
          <w:lang w:val="en-US" w:eastAsia="zh-CN" w:bidi="ar-SA"/>
        </w:rPr>
        <w:t>磋商</w:t>
      </w:r>
      <w:bookmarkEnd w:id="29"/>
      <w:r>
        <w:rPr>
          <w:rFonts w:hint="eastAsia" w:ascii="宋体" w:hAnsi="宋体" w:eastAsia="宋体" w:cs="宋体"/>
          <w:b/>
          <w:bCs w:val="0"/>
          <w:kern w:val="2"/>
          <w:sz w:val="32"/>
          <w:szCs w:val="22"/>
          <w:lang w:val="en-US" w:eastAsia="zh-CN" w:bidi="ar-SA"/>
        </w:rPr>
        <w:t>报价表</w:t>
      </w:r>
    </w:p>
    <w:p w14:paraId="281934BD">
      <w:pPr>
        <w:numPr>
          <w:ilvl w:val="0"/>
          <w:numId w:val="0"/>
        </w:numPr>
        <w:ind w:leftChars="200"/>
        <w:jc w:val="center"/>
        <w:rPr>
          <w:rFonts w:hint="default"/>
          <w:b/>
          <w:bCs/>
          <w:sz w:val="28"/>
          <w:szCs w:val="32"/>
          <w:lang w:val="en-US" w:eastAsia="zh-CN"/>
        </w:rPr>
      </w:pPr>
      <w:r>
        <w:rPr>
          <w:rFonts w:hint="eastAsia"/>
          <w:b/>
          <w:bCs/>
          <w:sz w:val="28"/>
          <w:szCs w:val="32"/>
          <w:lang w:val="en-US" w:eastAsia="zh-CN"/>
        </w:rPr>
        <w:t>2.1  磋商一览表</w:t>
      </w:r>
    </w:p>
    <w:p w14:paraId="11A57784">
      <w:pPr>
        <w:pStyle w:val="12"/>
        <w:rPr>
          <w:rFonts w:hint="eastAsia" w:ascii="宋体" w:hAnsi="宋体" w:eastAsia="宋体" w:cs="宋体"/>
          <w:b/>
          <w:sz w:val="14"/>
        </w:rPr>
      </w:pPr>
    </w:p>
    <w:p w14:paraId="3A75462C">
      <w:pPr>
        <w:pStyle w:val="12"/>
        <w:spacing w:before="67"/>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项目编号：</w:t>
      </w:r>
    </w:p>
    <w:tbl>
      <w:tblPr>
        <w:tblStyle w:val="28"/>
        <w:tblW w:w="9915" w:type="dxa"/>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51"/>
        <w:gridCol w:w="2914"/>
        <w:gridCol w:w="1620"/>
        <w:gridCol w:w="1830"/>
      </w:tblGrid>
      <w:tr w14:paraId="4278E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3551" w:type="dxa"/>
          </w:tcPr>
          <w:p w14:paraId="1A8D156B">
            <w:pPr>
              <w:pStyle w:val="70"/>
              <w:jc w:val="center"/>
              <w:rPr>
                <w:sz w:val="24"/>
              </w:rPr>
            </w:pPr>
          </w:p>
          <w:p w14:paraId="19673AF8">
            <w:pPr>
              <w:pStyle w:val="70"/>
              <w:spacing w:before="170"/>
              <w:ind w:left="166" w:right="156"/>
              <w:jc w:val="center"/>
              <w:rPr>
                <w:sz w:val="24"/>
              </w:rPr>
            </w:pPr>
            <w:r>
              <w:rPr>
                <w:sz w:val="24"/>
              </w:rPr>
              <w:t>项目名称</w:t>
            </w:r>
          </w:p>
        </w:tc>
        <w:tc>
          <w:tcPr>
            <w:tcW w:w="2914" w:type="dxa"/>
          </w:tcPr>
          <w:p w14:paraId="745C1FCA">
            <w:pPr>
              <w:pStyle w:val="70"/>
              <w:jc w:val="center"/>
              <w:rPr>
                <w:sz w:val="24"/>
              </w:rPr>
            </w:pPr>
          </w:p>
          <w:p w14:paraId="53BB4DC0">
            <w:pPr>
              <w:pStyle w:val="70"/>
              <w:spacing w:before="170"/>
              <w:ind w:left="174"/>
              <w:jc w:val="center"/>
              <w:rPr>
                <w:sz w:val="24"/>
              </w:rPr>
            </w:pPr>
            <w:r>
              <w:rPr>
                <w:rFonts w:hint="eastAsia"/>
                <w:sz w:val="24"/>
                <w:lang w:eastAsia="zh-CN"/>
              </w:rPr>
              <w:t>磋商</w:t>
            </w:r>
            <w:r>
              <w:rPr>
                <w:sz w:val="24"/>
              </w:rPr>
              <w:t>总报价（元）</w:t>
            </w:r>
          </w:p>
        </w:tc>
        <w:tc>
          <w:tcPr>
            <w:tcW w:w="1620" w:type="dxa"/>
          </w:tcPr>
          <w:p w14:paraId="2FA68362">
            <w:pPr>
              <w:pStyle w:val="70"/>
              <w:jc w:val="center"/>
              <w:rPr>
                <w:sz w:val="24"/>
              </w:rPr>
            </w:pPr>
          </w:p>
          <w:p w14:paraId="2142B67F">
            <w:pPr>
              <w:pStyle w:val="70"/>
              <w:spacing w:before="170"/>
              <w:ind w:left="174"/>
              <w:jc w:val="center"/>
              <w:rPr>
                <w:sz w:val="24"/>
              </w:rPr>
            </w:pPr>
            <w:r>
              <w:rPr>
                <w:sz w:val="24"/>
              </w:rPr>
              <w:t>服务期限</w:t>
            </w:r>
          </w:p>
        </w:tc>
        <w:tc>
          <w:tcPr>
            <w:tcW w:w="1830" w:type="dxa"/>
          </w:tcPr>
          <w:p w14:paraId="51227F27">
            <w:pPr>
              <w:pStyle w:val="70"/>
              <w:jc w:val="center"/>
              <w:rPr>
                <w:sz w:val="24"/>
              </w:rPr>
            </w:pPr>
          </w:p>
          <w:p w14:paraId="58206AF1">
            <w:pPr>
              <w:pStyle w:val="70"/>
              <w:tabs>
                <w:tab w:val="left" w:pos="952"/>
              </w:tabs>
              <w:spacing w:before="170"/>
              <w:ind w:left="472"/>
              <w:jc w:val="both"/>
              <w:rPr>
                <w:rFonts w:hint="eastAsia" w:eastAsia="宋体"/>
                <w:sz w:val="24"/>
                <w:lang w:eastAsia="zh-CN"/>
              </w:rPr>
            </w:pPr>
            <w:r>
              <w:rPr>
                <w:rFonts w:hint="eastAsia"/>
                <w:sz w:val="24"/>
                <w:lang w:eastAsia="zh-CN"/>
              </w:rPr>
              <w:t>服务要求</w:t>
            </w:r>
          </w:p>
        </w:tc>
      </w:tr>
      <w:tr w14:paraId="10CE3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atLeast"/>
        </w:trPr>
        <w:tc>
          <w:tcPr>
            <w:tcW w:w="3551" w:type="dxa"/>
            <w:vAlign w:val="center"/>
          </w:tcPr>
          <w:p w14:paraId="264097D1">
            <w:pPr>
              <w:pStyle w:val="70"/>
              <w:jc w:val="center"/>
              <w:rPr>
                <w:rFonts w:hint="eastAsia" w:eastAsia="宋体"/>
                <w:sz w:val="24"/>
                <w:lang w:eastAsia="zh-CN"/>
              </w:rPr>
            </w:pPr>
            <w:r>
              <w:rPr>
                <w:rFonts w:hint="eastAsia" w:cs="宋体"/>
                <w:color w:val="000000" w:themeColor="text1"/>
                <w:kern w:val="2"/>
                <w:sz w:val="24"/>
                <w:szCs w:val="24"/>
                <w:u w:val="none"/>
                <w:lang w:val="en-US" w:eastAsia="zh-CN" w:bidi="ar-SA"/>
                <w14:textFill>
                  <w14:solidFill>
                    <w14:schemeClr w14:val="tx1"/>
                  </w14:solidFill>
                </w14:textFill>
              </w:rPr>
              <w:t>2025年向阳片区老旧小区改造项目可研、初设、施工图纸设计项目</w:t>
            </w:r>
          </w:p>
        </w:tc>
        <w:tc>
          <w:tcPr>
            <w:tcW w:w="2914" w:type="dxa"/>
            <w:vAlign w:val="center"/>
          </w:tcPr>
          <w:p w14:paraId="595D94AC">
            <w:pPr>
              <w:pStyle w:val="70"/>
              <w:jc w:val="center"/>
              <w:rPr>
                <w:rFonts w:ascii="Times New Roman"/>
                <w:sz w:val="24"/>
              </w:rPr>
            </w:pPr>
          </w:p>
        </w:tc>
        <w:tc>
          <w:tcPr>
            <w:tcW w:w="1620" w:type="dxa"/>
            <w:vAlign w:val="center"/>
          </w:tcPr>
          <w:p w14:paraId="4D36AF14">
            <w:pPr>
              <w:pStyle w:val="70"/>
              <w:jc w:val="center"/>
              <w:rPr>
                <w:rFonts w:ascii="Times New Roman"/>
                <w:sz w:val="24"/>
              </w:rPr>
            </w:pPr>
          </w:p>
        </w:tc>
        <w:tc>
          <w:tcPr>
            <w:tcW w:w="1830" w:type="dxa"/>
            <w:vAlign w:val="center"/>
          </w:tcPr>
          <w:p w14:paraId="2FC47B9A">
            <w:pPr>
              <w:pStyle w:val="70"/>
              <w:jc w:val="center"/>
              <w:rPr>
                <w:rFonts w:ascii="Times New Roman"/>
                <w:sz w:val="24"/>
              </w:rPr>
            </w:pPr>
          </w:p>
        </w:tc>
      </w:tr>
      <w:tr w14:paraId="2C991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3551" w:type="dxa"/>
          </w:tcPr>
          <w:p w14:paraId="22DC324D">
            <w:pPr>
              <w:pStyle w:val="70"/>
              <w:rPr>
                <w:sz w:val="24"/>
              </w:rPr>
            </w:pPr>
          </w:p>
          <w:p w14:paraId="5D8D9B32">
            <w:pPr>
              <w:pStyle w:val="70"/>
              <w:spacing w:before="169"/>
              <w:ind w:left="166" w:right="156"/>
              <w:jc w:val="center"/>
              <w:rPr>
                <w:sz w:val="24"/>
              </w:rPr>
            </w:pPr>
            <w:r>
              <w:rPr>
                <w:rFonts w:hint="eastAsia"/>
                <w:sz w:val="24"/>
                <w:lang w:eastAsia="zh-CN"/>
              </w:rPr>
              <w:t>磋商</w:t>
            </w:r>
            <w:r>
              <w:rPr>
                <w:sz w:val="24"/>
              </w:rPr>
              <w:t>总报价（大写）</w:t>
            </w:r>
          </w:p>
        </w:tc>
        <w:tc>
          <w:tcPr>
            <w:tcW w:w="6364" w:type="dxa"/>
            <w:gridSpan w:val="3"/>
          </w:tcPr>
          <w:p w14:paraId="40D92DDA">
            <w:pPr>
              <w:pStyle w:val="70"/>
              <w:rPr>
                <w:rFonts w:ascii="Times New Roman"/>
                <w:sz w:val="24"/>
              </w:rPr>
            </w:pPr>
          </w:p>
        </w:tc>
      </w:tr>
    </w:tbl>
    <w:p w14:paraId="329C0F2B">
      <w:pPr>
        <w:pStyle w:val="22"/>
        <w:rPr>
          <w:rFonts w:hint="eastAsia" w:ascii="宋体" w:hAnsi="宋体" w:eastAsia="宋体" w:cs="宋体"/>
        </w:rPr>
      </w:pPr>
    </w:p>
    <w:p w14:paraId="08A43F2F">
      <w:pPr>
        <w:pStyle w:val="12"/>
        <w:rPr>
          <w:rFonts w:hint="eastAsia" w:ascii="宋体" w:hAnsi="宋体" w:eastAsia="宋体" w:cs="宋体"/>
        </w:rPr>
      </w:pPr>
    </w:p>
    <w:p w14:paraId="00CB3915">
      <w:pPr>
        <w:pStyle w:val="12"/>
        <w:autoSpaceDE w:val="0"/>
        <w:autoSpaceDN w:val="0"/>
        <w:spacing w:line="360" w:lineRule="auto"/>
        <w:ind w:right="-143" w:rightChars="-68" w:firstLine="496" w:firstLineChars="200"/>
        <w:rPr>
          <w:rFonts w:hint="eastAsia" w:ascii="宋体" w:hAnsi="宋体" w:eastAsia="宋体" w:cs="宋体"/>
        </w:rPr>
      </w:pPr>
      <w:r>
        <w:rPr>
          <w:rFonts w:hint="eastAsia" w:ascii="宋体" w:hAnsi="宋体" w:eastAsia="宋体" w:cs="宋体"/>
          <w:spacing w:val="4"/>
          <w:sz w:val="24"/>
        </w:rPr>
        <w:t>注：开标</w:t>
      </w:r>
      <w:r>
        <w:rPr>
          <w:rFonts w:hint="eastAsia" w:ascii="宋体" w:hAnsi="宋体" w:eastAsia="宋体" w:cs="宋体"/>
          <w:spacing w:val="2"/>
          <w:sz w:val="24"/>
        </w:rPr>
        <w:t>一览表中的“投标报价”应是本项目的全部费用的报价，包</w:t>
      </w:r>
      <w:r>
        <w:rPr>
          <w:rFonts w:hint="eastAsia" w:ascii="宋体" w:hAnsi="宋体" w:eastAsia="宋体" w:cs="宋体"/>
          <w:spacing w:val="-4"/>
          <w:sz w:val="24"/>
        </w:rPr>
        <w:t>括但不限于以下费用</w:t>
      </w:r>
      <w:r>
        <w:rPr>
          <w:rFonts w:hint="eastAsia" w:ascii="宋体" w:hAnsi="宋体" w:eastAsia="宋体" w:cs="宋体"/>
          <w:spacing w:val="-2"/>
          <w:sz w:val="24"/>
        </w:rPr>
        <w:t>： 人工费用、设备使用费用、材料费</w:t>
      </w:r>
      <w:r>
        <w:rPr>
          <w:rFonts w:hint="eastAsia" w:ascii="宋体" w:hAnsi="宋体" w:eastAsia="宋体" w:cs="宋体"/>
          <w:spacing w:val="2"/>
          <w:sz w:val="24"/>
        </w:rPr>
        <w:t>、劳务费、税金及其他所有相关费用的总</w:t>
      </w:r>
      <w:r>
        <w:rPr>
          <w:rFonts w:hint="eastAsia" w:ascii="宋体" w:hAnsi="宋体" w:eastAsia="宋体" w:cs="宋体"/>
          <w:spacing w:val="-11"/>
          <w:sz w:val="24"/>
        </w:rPr>
        <w:t>和。</w:t>
      </w:r>
    </w:p>
    <w:p w14:paraId="68763EFD">
      <w:pPr>
        <w:pStyle w:val="12"/>
        <w:tabs>
          <w:tab w:val="left" w:pos="3379"/>
        </w:tabs>
        <w:spacing w:before="214"/>
        <w:ind w:left="1220"/>
        <w:rPr>
          <w:rFonts w:hint="eastAsia" w:ascii="宋体" w:hAnsi="宋体" w:eastAsia="宋体" w:cs="宋体"/>
          <w:sz w:val="24"/>
          <w:szCs w:val="32"/>
        </w:rPr>
      </w:pPr>
      <w:r>
        <w:rPr>
          <w:rFonts w:hint="eastAsia" w:ascii="宋体" w:hAnsi="宋体" w:eastAsia="宋体" w:cs="宋体"/>
          <w:sz w:val="24"/>
          <w:szCs w:val="32"/>
        </w:rPr>
        <w:t>供应商</w:t>
      </w:r>
      <w:r>
        <w:rPr>
          <w:rFonts w:hint="eastAsia" w:ascii="宋体" w:hAnsi="宋体" w:eastAsia="宋体" w:cs="宋体"/>
          <w:spacing w:val="-120"/>
          <w:sz w:val="24"/>
          <w:szCs w:val="32"/>
        </w:rPr>
        <w:t>：</w:t>
      </w:r>
      <w:r>
        <w:rPr>
          <w:rFonts w:hint="eastAsia" w:ascii="宋体" w:hAnsi="宋体" w:eastAsia="宋体" w:cs="宋体"/>
          <w:sz w:val="24"/>
          <w:szCs w:val="32"/>
        </w:rPr>
        <w:t>（盖章）</w:t>
      </w:r>
    </w:p>
    <w:p w14:paraId="4DF0F334">
      <w:pPr>
        <w:pStyle w:val="22"/>
        <w:rPr>
          <w:rFonts w:hint="eastAsia" w:ascii="宋体" w:hAnsi="宋体" w:eastAsia="宋体" w:cs="宋体"/>
          <w:sz w:val="24"/>
          <w:szCs w:val="21"/>
        </w:rPr>
      </w:pPr>
    </w:p>
    <w:p w14:paraId="2271E9D9">
      <w:pPr>
        <w:pStyle w:val="12"/>
        <w:ind w:left="1220"/>
        <w:rPr>
          <w:rFonts w:hint="eastAsia" w:ascii="宋体" w:hAnsi="宋体" w:eastAsia="宋体" w:cs="宋体"/>
          <w:sz w:val="24"/>
          <w:szCs w:val="32"/>
        </w:rPr>
      </w:pPr>
      <w:r>
        <w:rPr>
          <w:rFonts w:hint="eastAsia" w:ascii="宋体" w:hAnsi="宋体" w:eastAsia="宋体" w:cs="宋体"/>
          <w:sz w:val="24"/>
          <w:szCs w:val="32"/>
        </w:rPr>
        <w:t>法定代表人:（签字或盖章）</w:t>
      </w:r>
    </w:p>
    <w:p w14:paraId="4D8E9067">
      <w:pPr>
        <w:pStyle w:val="12"/>
        <w:rPr>
          <w:rFonts w:hint="eastAsia" w:ascii="宋体" w:hAnsi="宋体" w:eastAsia="宋体" w:cs="宋体"/>
          <w:sz w:val="26"/>
        </w:rPr>
      </w:pPr>
    </w:p>
    <w:p w14:paraId="7F5B23BF">
      <w:pPr>
        <w:pStyle w:val="12"/>
        <w:spacing w:before="2"/>
        <w:rPr>
          <w:rFonts w:hint="eastAsia" w:ascii="宋体" w:hAnsi="宋体" w:eastAsia="宋体" w:cs="宋体"/>
          <w:sz w:val="25"/>
        </w:rPr>
      </w:pPr>
    </w:p>
    <w:p w14:paraId="56AC865A">
      <w:pPr>
        <w:pStyle w:val="12"/>
        <w:tabs>
          <w:tab w:val="left" w:pos="7366"/>
          <w:tab w:val="left" w:pos="8326"/>
          <w:tab w:val="left" w:pos="9286"/>
        </w:tabs>
        <w:ind w:left="5806"/>
        <w:rPr>
          <w:rFonts w:hint="eastAsia" w:ascii="宋体" w:hAnsi="宋体" w:eastAsia="宋体" w:cs="宋体"/>
          <w:sz w:val="28"/>
          <w:szCs w:val="36"/>
        </w:rPr>
      </w:pPr>
      <w:r>
        <w:rPr>
          <w:rFonts w:hint="eastAsia" w:ascii="宋体" w:hAnsi="宋体" w:eastAsia="宋体" w:cs="宋体"/>
          <w:sz w:val="28"/>
          <w:szCs w:val="36"/>
        </w:rPr>
        <w:t>日期：</w:t>
      </w:r>
      <w:r>
        <w:rPr>
          <w:rFonts w:hint="eastAsia" w:ascii="宋体" w:hAnsi="宋体" w:eastAsia="宋体" w:cs="宋体"/>
          <w:sz w:val="28"/>
          <w:szCs w:val="36"/>
          <w:u w:val="single"/>
        </w:rPr>
        <w:tab/>
      </w:r>
      <w:r>
        <w:rPr>
          <w:rFonts w:hint="eastAsia" w:ascii="宋体" w:hAnsi="宋体" w:eastAsia="宋体" w:cs="宋体"/>
          <w:sz w:val="28"/>
          <w:szCs w:val="36"/>
        </w:rPr>
        <w:t>年</w:t>
      </w:r>
      <w:r>
        <w:rPr>
          <w:rFonts w:hint="eastAsia" w:ascii="宋体" w:hAnsi="宋体" w:eastAsia="宋体" w:cs="宋体"/>
          <w:sz w:val="28"/>
          <w:szCs w:val="36"/>
          <w:u w:val="single"/>
        </w:rPr>
        <w:tab/>
      </w:r>
      <w:r>
        <w:rPr>
          <w:rFonts w:hint="eastAsia" w:ascii="宋体" w:hAnsi="宋体" w:eastAsia="宋体" w:cs="宋体"/>
          <w:sz w:val="28"/>
          <w:szCs w:val="36"/>
        </w:rPr>
        <w:t>月</w:t>
      </w:r>
      <w:r>
        <w:rPr>
          <w:rFonts w:hint="eastAsia" w:ascii="宋体" w:hAnsi="宋体" w:eastAsia="宋体" w:cs="宋体"/>
          <w:sz w:val="28"/>
          <w:szCs w:val="36"/>
          <w:u w:val="single"/>
        </w:rPr>
        <w:tab/>
      </w:r>
      <w:r>
        <w:rPr>
          <w:rFonts w:hint="eastAsia" w:ascii="宋体" w:hAnsi="宋体" w:eastAsia="宋体" w:cs="宋体"/>
          <w:sz w:val="28"/>
          <w:szCs w:val="36"/>
        </w:rPr>
        <w:t>日</w:t>
      </w:r>
    </w:p>
    <w:p w14:paraId="7125898B">
      <w:pPr>
        <w:rPr>
          <w:rFonts w:hint="eastAsia" w:ascii="宋体" w:hAnsi="宋体" w:eastAsia="宋体" w:cs="宋体"/>
          <w:sz w:val="28"/>
          <w:szCs w:val="32"/>
        </w:rPr>
      </w:pPr>
    </w:p>
    <w:p w14:paraId="413ECE99">
      <w:pPr>
        <w:pStyle w:val="2"/>
        <w:rPr>
          <w:rFonts w:hint="eastAsia" w:ascii="宋体" w:hAnsi="宋体" w:eastAsia="宋体" w:cs="宋体"/>
          <w:sz w:val="28"/>
          <w:szCs w:val="32"/>
        </w:rPr>
      </w:pPr>
    </w:p>
    <w:p w14:paraId="51BB503C">
      <w:pPr>
        <w:pStyle w:val="2"/>
        <w:rPr>
          <w:rFonts w:hint="eastAsia" w:ascii="宋体" w:hAnsi="宋体" w:eastAsia="宋体" w:cs="宋体"/>
          <w:sz w:val="28"/>
          <w:szCs w:val="32"/>
        </w:rPr>
      </w:pPr>
    </w:p>
    <w:p w14:paraId="081A43E8">
      <w:pPr>
        <w:pStyle w:val="2"/>
        <w:rPr>
          <w:rFonts w:hint="eastAsia" w:ascii="宋体" w:hAnsi="宋体" w:eastAsia="宋体" w:cs="宋体"/>
          <w:sz w:val="28"/>
          <w:szCs w:val="32"/>
        </w:rPr>
      </w:pPr>
    </w:p>
    <w:p w14:paraId="49F5E78F">
      <w:pPr>
        <w:pStyle w:val="2"/>
        <w:rPr>
          <w:rFonts w:hint="eastAsia" w:ascii="宋体" w:hAnsi="宋体" w:eastAsia="宋体" w:cs="宋体"/>
          <w:sz w:val="28"/>
          <w:szCs w:val="32"/>
        </w:rPr>
      </w:pPr>
    </w:p>
    <w:p w14:paraId="4BF8938F">
      <w:pPr>
        <w:pStyle w:val="2"/>
        <w:rPr>
          <w:rFonts w:hint="eastAsia" w:ascii="宋体" w:hAnsi="宋体" w:eastAsia="宋体" w:cs="宋体"/>
          <w:sz w:val="28"/>
          <w:szCs w:val="32"/>
        </w:rPr>
      </w:pPr>
    </w:p>
    <w:p w14:paraId="299CB503">
      <w:pPr>
        <w:pStyle w:val="2"/>
        <w:rPr>
          <w:rFonts w:hint="eastAsia" w:ascii="宋体" w:hAnsi="宋体" w:eastAsia="宋体" w:cs="宋体"/>
          <w:sz w:val="28"/>
          <w:szCs w:val="32"/>
        </w:rPr>
      </w:pPr>
    </w:p>
    <w:p w14:paraId="502416DC">
      <w:pPr>
        <w:pStyle w:val="2"/>
        <w:rPr>
          <w:rFonts w:hint="eastAsia" w:ascii="宋体" w:hAnsi="宋体" w:eastAsia="宋体" w:cs="宋体"/>
          <w:sz w:val="28"/>
          <w:szCs w:val="32"/>
        </w:rPr>
      </w:pPr>
    </w:p>
    <w:p w14:paraId="515A9C9B">
      <w:pPr>
        <w:pStyle w:val="2"/>
        <w:rPr>
          <w:rFonts w:hint="eastAsia" w:ascii="宋体" w:hAnsi="宋体" w:eastAsia="宋体" w:cs="宋体"/>
          <w:sz w:val="28"/>
          <w:szCs w:val="32"/>
        </w:rPr>
      </w:pPr>
    </w:p>
    <w:p w14:paraId="51743ADD">
      <w:pPr>
        <w:pStyle w:val="2"/>
        <w:rPr>
          <w:rFonts w:hint="eastAsia" w:ascii="宋体" w:hAnsi="宋体" w:eastAsia="宋体" w:cs="宋体"/>
          <w:sz w:val="28"/>
          <w:szCs w:val="32"/>
        </w:rPr>
      </w:pPr>
    </w:p>
    <w:p w14:paraId="033303E7">
      <w:pPr>
        <w:pStyle w:val="2"/>
        <w:rPr>
          <w:rFonts w:hint="eastAsia" w:ascii="宋体" w:hAnsi="宋体" w:eastAsia="宋体" w:cs="宋体"/>
          <w:sz w:val="28"/>
          <w:szCs w:val="32"/>
        </w:rPr>
      </w:pPr>
    </w:p>
    <w:p w14:paraId="11DF3D0F">
      <w:pPr>
        <w:pStyle w:val="2"/>
        <w:rPr>
          <w:rFonts w:hint="eastAsia" w:ascii="宋体" w:hAnsi="宋体" w:eastAsia="宋体" w:cs="宋体"/>
          <w:sz w:val="28"/>
          <w:szCs w:val="32"/>
        </w:rPr>
      </w:pPr>
    </w:p>
    <w:p w14:paraId="64F2257D">
      <w:pPr>
        <w:spacing w:before="163" w:line="223" w:lineRule="auto"/>
        <w:ind w:left="3334"/>
        <w:rPr>
          <w:rFonts w:ascii="宋体" w:hAnsi="宋体" w:eastAsia="宋体" w:cs="宋体"/>
          <w:sz w:val="31"/>
          <w:szCs w:val="31"/>
        </w:rPr>
      </w:pPr>
      <w:r>
        <w:rPr>
          <w:rFonts w:hint="eastAsia" w:ascii="宋体" w:hAnsi="宋体" w:eastAsia="宋体" w:cs="宋体"/>
          <w:spacing w:val="6"/>
          <w:sz w:val="31"/>
          <w:szCs w:val="31"/>
          <w:lang w:val="en-US" w:eastAsia="zh-CN"/>
          <w14:textOutline w14:w="5793" w14:cap="sq" w14:cmpd="sng">
            <w14:solidFill>
              <w14:srgbClr w14:val="000000"/>
            </w14:solidFill>
            <w14:prstDash w14:val="solid"/>
            <w14:bevel/>
          </w14:textOutline>
        </w:rPr>
        <w:t>2.2</w:t>
      </w:r>
      <w:r>
        <w:rPr>
          <w:rFonts w:ascii="宋体" w:hAnsi="宋体" w:eastAsia="宋体" w:cs="宋体"/>
          <w:spacing w:val="6"/>
          <w:sz w:val="31"/>
          <w:szCs w:val="31"/>
        </w:rPr>
        <w:t xml:space="preserve"> </w:t>
      </w:r>
      <w:r>
        <w:rPr>
          <w:rFonts w:ascii="宋体" w:hAnsi="宋体" w:eastAsia="宋体" w:cs="宋体"/>
          <w:spacing w:val="6"/>
          <w:sz w:val="31"/>
          <w:szCs w:val="31"/>
          <w14:textOutline w14:w="5793" w14:cap="sq" w14:cmpd="sng">
            <w14:solidFill>
              <w14:srgbClr w14:val="000000"/>
            </w14:solidFill>
            <w14:prstDash w14:val="solid"/>
            <w14:bevel/>
          </w14:textOutline>
        </w:rPr>
        <w:t>分项报价</w:t>
      </w:r>
      <w:r>
        <w:rPr>
          <w:rFonts w:ascii="宋体" w:hAnsi="宋体" w:eastAsia="宋体" w:cs="宋体"/>
          <w:spacing w:val="5"/>
          <w:sz w:val="31"/>
          <w:szCs w:val="31"/>
          <w14:textOutline w14:w="5793" w14:cap="sq" w14:cmpd="sng">
            <w14:solidFill>
              <w14:srgbClr w14:val="000000"/>
            </w14:solidFill>
            <w14:prstDash w14:val="solid"/>
            <w14:bevel/>
          </w14:textOutline>
        </w:rPr>
        <w:t>表</w:t>
      </w:r>
    </w:p>
    <w:p w14:paraId="3423660A"/>
    <w:p w14:paraId="67967033">
      <w:pPr>
        <w:spacing w:line="99" w:lineRule="auto"/>
        <w:rPr>
          <w:rFonts w:ascii="Arial"/>
          <w:sz w:val="2"/>
        </w:rPr>
      </w:pPr>
    </w:p>
    <w:tbl>
      <w:tblPr>
        <w:tblStyle w:val="54"/>
        <w:tblW w:w="89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4"/>
        <w:gridCol w:w="3043"/>
        <w:gridCol w:w="1204"/>
        <w:gridCol w:w="1303"/>
        <w:gridCol w:w="1487"/>
        <w:gridCol w:w="1171"/>
      </w:tblGrid>
      <w:tr w14:paraId="05D60C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764" w:type="dxa"/>
            <w:vAlign w:val="top"/>
          </w:tcPr>
          <w:p w14:paraId="155E3229">
            <w:pPr>
              <w:spacing w:before="77" w:line="229" w:lineRule="auto"/>
              <w:ind w:left="147"/>
              <w:rPr>
                <w:rFonts w:ascii="宋体" w:hAnsi="宋体" w:eastAsia="宋体" w:cs="宋体"/>
                <w:sz w:val="23"/>
                <w:szCs w:val="23"/>
              </w:rPr>
            </w:pPr>
            <w:r>
              <w:rPr>
                <w:rFonts w:ascii="宋体" w:hAnsi="宋体" w:eastAsia="宋体" w:cs="宋体"/>
                <w:spacing w:val="6"/>
                <w:sz w:val="23"/>
                <w:szCs w:val="23"/>
              </w:rPr>
              <w:t>序</w:t>
            </w:r>
            <w:r>
              <w:rPr>
                <w:rFonts w:ascii="宋体" w:hAnsi="宋体" w:eastAsia="宋体" w:cs="宋体"/>
                <w:spacing w:val="5"/>
                <w:sz w:val="23"/>
                <w:szCs w:val="23"/>
              </w:rPr>
              <w:t>号</w:t>
            </w:r>
          </w:p>
        </w:tc>
        <w:tc>
          <w:tcPr>
            <w:tcW w:w="3043" w:type="dxa"/>
            <w:vAlign w:val="top"/>
          </w:tcPr>
          <w:p w14:paraId="1CD6A75E">
            <w:pPr>
              <w:spacing w:before="77" w:line="230" w:lineRule="auto"/>
              <w:ind w:left="1287"/>
              <w:rPr>
                <w:rFonts w:ascii="宋体" w:hAnsi="宋体" w:eastAsia="宋体" w:cs="宋体"/>
                <w:sz w:val="23"/>
                <w:szCs w:val="23"/>
              </w:rPr>
            </w:pPr>
            <w:r>
              <w:rPr>
                <w:rFonts w:ascii="宋体" w:hAnsi="宋体" w:eastAsia="宋体" w:cs="宋体"/>
                <w:spacing w:val="4"/>
                <w:sz w:val="23"/>
                <w:szCs w:val="23"/>
              </w:rPr>
              <w:t>名</w:t>
            </w:r>
            <w:r>
              <w:rPr>
                <w:rFonts w:ascii="宋体" w:hAnsi="宋体" w:eastAsia="宋体" w:cs="宋体"/>
                <w:spacing w:val="3"/>
                <w:sz w:val="23"/>
                <w:szCs w:val="23"/>
              </w:rPr>
              <w:t>称</w:t>
            </w:r>
          </w:p>
        </w:tc>
        <w:tc>
          <w:tcPr>
            <w:tcW w:w="1204" w:type="dxa"/>
            <w:vAlign w:val="top"/>
          </w:tcPr>
          <w:p w14:paraId="478EBB03">
            <w:pPr>
              <w:spacing w:before="78" w:line="227" w:lineRule="auto"/>
              <w:ind w:left="310"/>
              <w:rPr>
                <w:rFonts w:ascii="宋体" w:hAnsi="宋体" w:eastAsia="宋体" w:cs="宋体"/>
                <w:sz w:val="23"/>
                <w:szCs w:val="23"/>
              </w:rPr>
            </w:pPr>
            <w:r>
              <w:rPr>
                <w:rFonts w:ascii="宋体" w:hAnsi="宋体" w:eastAsia="宋体" w:cs="宋体"/>
                <w:spacing w:val="5"/>
                <w:sz w:val="23"/>
                <w:szCs w:val="23"/>
              </w:rPr>
              <w:t>数</w:t>
            </w:r>
            <w:r>
              <w:rPr>
                <w:rFonts w:ascii="宋体" w:hAnsi="宋体" w:eastAsia="宋体" w:cs="宋体"/>
                <w:spacing w:val="4"/>
                <w:sz w:val="23"/>
                <w:szCs w:val="23"/>
              </w:rPr>
              <w:t xml:space="preserve"> 量</w:t>
            </w:r>
          </w:p>
        </w:tc>
        <w:tc>
          <w:tcPr>
            <w:tcW w:w="1303" w:type="dxa"/>
            <w:vAlign w:val="top"/>
          </w:tcPr>
          <w:p w14:paraId="6488B196">
            <w:pPr>
              <w:spacing w:before="77" w:line="228" w:lineRule="auto"/>
              <w:ind w:left="546"/>
              <w:rPr>
                <w:rFonts w:ascii="宋体" w:hAnsi="宋体" w:eastAsia="宋体" w:cs="宋体"/>
                <w:sz w:val="23"/>
                <w:szCs w:val="23"/>
              </w:rPr>
            </w:pPr>
            <w:r>
              <w:rPr>
                <w:rFonts w:ascii="宋体" w:hAnsi="宋体" w:eastAsia="宋体" w:cs="宋体"/>
                <w:spacing w:val="4"/>
                <w:sz w:val="23"/>
                <w:szCs w:val="23"/>
              </w:rPr>
              <w:t>单位</w:t>
            </w:r>
          </w:p>
        </w:tc>
        <w:tc>
          <w:tcPr>
            <w:tcW w:w="1487" w:type="dxa"/>
            <w:vAlign w:val="top"/>
          </w:tcPr>
          <w:p w14:paraId="1A472DFE">
            <w:pPr>
              <w:spacing w:before="77" w:line="226" w:lineRule="auto"/>
              <w:ind w:left="152"/>
              <w:rPr>
                <w:rFonts w:ascii="宋体" w:hAnsi="宋体" w:eastAsia="宋体" w:cs="宋体"/>
                <w:sz w:val="23"/>
                <w:szCs w:val="23"/>
              </w:rPr>
            </w:pPr>
            <w:r>
              <w:rPr>
                <w:rFonts w:ascii="宋体" w:hAnsi="宋体" w:eastAsia="宋体" w:cs="宋体"/>
                <w:spacing w:val="8"/>
                <w:sz w:val="23"/>
                <w:szCs w:val="23"/>
              </w:rPr>
              <w:t>单</w:t>
            </w:r>
            <w:r>
              <w:rPr>
                <w:rFonts w:ascii="宋体" w:hAnsi="宋体" w:eastAsia="宋体" w:cs="宋体"/>
                <w:spacing w:val="4"/>
                <w:sz w:val="23"/>
                <w:szCs w:val="23"/>
              </w:rPr>
              <w:t>价 (元)</w:t>
            </w:r>
          </w:p>
        </w:tc>
        <w:tc>
          <w:tcPr>
            <w:tcW w:w="1171" w:type="dxa"/>
            <w:vAlign w:val="top"/>
          </w:tcPr>
          <w:p w14:paraId="7263506C">
            <w:pPr>
              <w:spacing w:before="77" w:line="226" w:lineRule="auto"/>
              <w:ind w:left="72"/>
              <w:rPr>
                <w:rFonts w:ascii="宋体" w:hAnsi="宋体" w:eastAsia="宋体" w:cs="宋体"/>
                <w:sz w:val="23"/>
                <w:szCs w:val="23"/>
              </w:rPr>
            </w:pPr>
            <w:r>
              <w:rPr>
                <w:rFonts w:ascii="宋体" w:hAnsi="宋体" w:eastAsia="宋体" w:cs="宋体"/>
                <w:spacing w:val="-12"/>
                <w:sz w:val="23"/>
                <w:szCs w:val="23"/>
              </w:rPr>
              <w:t>总</w:t>
            </w:r>
            <w:r>
              <w:rPr>
                <w:rFonts w:ascii="宋体" w:hAnsi="宋体" w:eastAsia="宋体" w:cs="宋体"/>
                <w:spacing w:val="-8"/>
                <w:sz w:val="23"/>
                <w:szCs w:val="23"/>
              </w:rPr>
              <w:t>价 (元)</w:t>
            </w:r>
          </w:p>
        </w:tc>
      </w:tr>
      <w:tr w14:paraId="4292D5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764" w:type="dxa"/>
            <w:vAlign w:val="top"/>
          </w:tcPr>
          <w:p w14:paraId="2027DF2B">
            <w:pPr>
              <w:spacing w:before="118" w:line="192" w:lineRule="auto"/>
              <w:ind w:left="345"/>
              <w:rPr>
                <w:rFonts w:ascii="宋体" w:hAnsi="宋体" w:eastAsia="宋体" w:cs="宋体"/>
                <w:sz w:val="23"/>
                <w:szCs w:val="23"/>
              </w:rPr>
            </w:pPr>
            <w:r>
              <w:rPr>
                <w:rFonts w:ascii="宋体" w:hAnsi="宋体" w:eastAsia="宋体" w:cs="宋体"/>
                <w:sz w:val="23"/>
                <w:szCs w:val="23"/>
              </w:rPr>
              <w:t>1</w:t>
            </w:r>
          </w:p>
        </w:tc>
        <w:tc>
          <w:tcPr>
            <w:tcW w:w="3043" w:type="dxa"/>
            <w:vAlign w:val="top"/>
          </w:tcPr>
          <w:p w14:paraId="46FFE2B5">
            <w:pPr>
              <w:rPr>
                <w:rFonts w:ascii="Arial"/>
                <w:sz w:val="21"/>
              </w:rPr>
            </w:pPr>
          </w:p>
        </w:tc>
        <w:tc>
          <w:tcPr>
            <w:tcW w:w="1204" w:type="dxa"/>
            <w:vAlign w:val="top"/>
          </w:tcPr>
          <w:p w14:paraId="56976FA2">
            <w:pPr>
              <w:rPr>
                <w:rFonts w:ascii="Arial"/>
                <w:sz w:val="21"/>
              </w:rPr>
            </w:pPr>
          </w:p>
        </w:tc>
        <w:tc>
          <w:tcPr>
            <w:tcW w:w="1303" w:type="dxa"/>
            <w:vAlign w:val="top"/>
          </w:tcPr>
          <w:p w14:paraId="448394D4">
            <w:pPr>
              <w:rPr>
                <w:rFonts w:ascii="Arial"/>
                <w:sz w:val="21"/>
              </w:rPr>
            </w:pPr>
          </w:p>
        </w:tc>
        <w:tc>
          <w:tcPr>
            <w:tcW w:w="1487" w:type="dxa"/>
            <w:vAlign w:val="top"/>
          </w:tcPr>
          <w:p w14:paraId="25F47D74">
            <w:pPr>
              <w:rPr>
                <w:rFonts w:ascii="Arial"/>
                <w:sz w:val="21"/>
              </w:rPr>
            </w:pPr>
          </w:p>
        </w:tc>
        <w:tc>
          <w:tcPr>
            <w:tcW w:w="1171" w:type="dxa"/>
            <w:vAlign w:val="top"/>
          </w:tcPr>
          <w:p w14:paraId="3560B945">
            <w:pPr>
              <w:rPr>
                <w:rFonts w:ascii="Arial"/>
                <w:sz w:val="21"/>
              </w:rPr>
            </w:pPr>
          </w:p>
        </w:tc>
      </w:tr>
      <w:tr w14:paraId="73619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764" w:type="dxa"/>
            <w:vAlign w:val="top"/>
          </w:tcPr>
          <w:p w14:paraId="39F63C8E">
            <w:pPr>
              <w:spacing w:before="120" w:line="192" w:lineRule="auto"/>
              <w:ind w:left="331"/>
              <w:rPr>
                <w:rFonts w:ascii="宋体" w:hAnsi="宋体" w:eastAsia="宋体" w:cs="宋体"/>
                <w:sz w:val="23"/>
                <w:szCs w:val="23"/>
              </w:rPr>
            </w:pPr>
            <w:r>
              <w:rPr>
                <w:rFonts w:ascii="宋体" w:hAnsi="宋体" w:eastAsia="宋体" w:cs="宋体"/>
                <w:sz w:val="23"/>
                <w:szCs w:val="23"/>
              </w:rPr>
              <w:t>2</w:t>
            </w:r>
          </w:p>
        </w:tc>
        <w:tc>
          <w:tcPr>
            <w:tcW w:w="3043" w:type="dxa"/>
            <w:vAlign w:val="top"/>
          </w:tcPr>
          <w:p w14:paraId="1E6A3DAD">
            <w:pPr>
              <w:rPr>
                <w:rFonts w:ascii="Arial"/>
                <w:sz w:val="21"/>
              </w:rPr>
            </w:pPr>
          </w:p>
        </w:tc>
        <w:tc>
          <w:tcPr>
            <w:tcW w:w="1204" w:type="dxa"/>
            <w:vAlign w:val="top"/>
          </w:tcPr>
          <w:p w14:paraId="2457E702">
            <w:pPr>
              <w:rPr>
                <w:rFonts w:ascii="Arial"/>
                <w:sz w:val="21"/>
              </w:rPr>
            </w:pPr>
          </w:p>
        </w:tc>
        <w:tc>
          <w:tcPr>
            <w:tcW w:w="1303" w:type="dxa"/>
            <w:vAlign w:val="top"/>
          </w:tcPr>
          <w:p w14:paraId="747294B6">
            <w:pPr>
              <w:rPr>
                <w:rFonts w:ascii="Arial"/>
                <w:sz w:val="21"/>
              </w:rPr>
            </w:pPr>
          </w:p>
        </w:tc>
        <w:tc>
          <w:tcPr>
            <w:tcW w:w="1487" w:type="dxa"/>
            <w:vAlign w:val="top"/>
          </w:tcPr>
          <w:p w14:paraId="0B80A53C">
            <w:pPr>
              <w:rPr>
                <w:rFonts w:ascii="Arial"/>
                <w:sz w:val="21"/>
              </w:rPr>
            </w:pPr>
          </w:p>
        </w:tc>
        <w:tc>
          <w:tcPr>
            <w:tcW w:w="1171" w:type="dxa"/>
            <w:vAlign w:val="top"/>
          </w:tcPr>
          <w:p w14:paraId="44FB64E6">
            <w:pPr>
              <w:rPr>
                <w:rFonts w:ascii="Arial"/>
                <w:sz w:val="21"/>
              </w:rPr>
            </w:pPr>
          </w:p>
        </w:tc>
      </w:tr>
      <w:tr w14:paraId="4D48D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764" w:type="dxa"/>
            <w:vAlign w:val="top"/>
          </w:tcPr>
          <w:p w14:paraId="6E83FB21">
            <w:pPr>
              <w:spacing w:before="119" w:line="190" w:lineRule="auto"/>
              <w:ind w:left="332"/>
              <w:rPr>
                <w:rFonts w:ascii="宋体" w:hAnsi="宋体" w:eastAsia="宋体" w:cs="宋体"/>
                <w:sz w:val="23"/>
                <w:szCs w:val="23"/>
              </w:rPr>
            </w:pPr>
            <w:r>
              <w:rPr>
                <w:rFonts w:ascii="宋体" w:hAnsi="宋体" w:eastAsia="宋体" w:cs="宋体"/>
                <w:sz w:val="23"/>
                <w:szCs w:val="23"/>
              </w:rPr>
              <w:t>3</w:t>
            </w:r>
          </w:p>
        </w:tc>
        <w:tc>
          <w:tcPr>
            <w:tcW w:w="3043" w:type="dxa"/>
            <w:vAlign w:val="top"/>
          </w:tcPr>
          <w:p w14:paraId="0D17F7DF">
            <w:pPr>
              <w:rPr>
                <w:rFonts w:ascii="Arial"/>
                <w:sz w:val="21"/>
              </w:rPr>
            </w:pPr>
          </w:p>
        </w:tc>
        <w:tc>
          <w:tcPr>
            <w:tcW w:w="1204" w:type="dxa"/>
            <w:vAlign w:val="top"/>
          </w:tcPr>
          <w:p w14:paraId="3EE968B7">
            <w:pPr>
              <w:rPr>
                <w:rFonts w:ascii="Arial"/>
                <w:sz w:val="21"/>
              </w:rPr>
            </w:pPr>
          </w:p>
        </w:tc>
        <w:tc>
          <w:tcPr>
            <w:tcW w:w="1303" w:type="dxa"/>
            <w:vAlign w:val="top"/>
          </w:tcPr>
          <w:p w14:paraId="00E4D180">
            <w:pPr>
              <w:rPr>
                <w:rFonts w:ascii="Arial"/>
                <w:sz w:val="21"/>
              </w:rPr>
            </w:pPr>
          </w:p>
        </w:tc>
        <w:tc>
          <w:tcPr>
            <w:tcW w:w="1487" w:type="dxa"/>
            <w:vAlign w:val="top"/>
          </w:tcPr>
          <w:p w14:paraId="4241A51A">
            <w:pPr>
              <w:rPr>
                <w:rFonts w:ascii="Arial"/>
                <w:sz w:val="21"/>
              </w:rPr>
            </w:pPr>
          </w:p>
        </w:tc>
        <w:tc>
          <w:tcPr>
            <w:tcW w:w="1171" w:type="dxa"/>
            <w:vAlign w:val="top"/>
          </w:tcPr>
          <w:p w14:paraId="5F14309C">
            <w:pPr>
              <w:rPr>
                <w:rFonts w:ascii="Arial"/>
                <w:sz w:val="21"/>
              </w:rPr>
            </w:pPr>
          </w:p>
        </w:tc>
      </w:tr>
      <w:tr w14:paraId="40B30C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764" w:type="dxa"/>
            <w:vAlign w:val="top"/>
          </w:tcPr>
          <w:p w14:paraId="4E044B66">
            <w:pPr>
              <w:spacing w:before="120" w:line="192" w:lineRule="auto"/>
              <w:ind w:left="327"/>
              <w:rPr>
                <w:rFonts w:ascii="宋体" w:hAnsi="宋体" w:eastAsia="宋体" w:cs="宋体"/>
                <w:sz w:val="23"/>
                <w:szCs w:val="23"/>
              </w:rPr>
            </w:pPr>
            <w:r>
              <w:rPr>
                <w:rFonts w:ascii="宋体" w:hAnsi="宋体" w:eastAsia="宋体" w:cs="宋体"/>
                <w:sz w:val="23"/>
                <w:szCs w:val="23"/>
              </w:rPr>
              <w:t>4</w:t>
            </w:r>
          </w:p>
        </w:tc>
        <w:tc>
          <w:tcPr>
            <w:tcW w:w="3043" w:type="dxa"/>
            <w:vAlign w:val="top"/>
          </w:tcPr>
          <w:p w14:paraId="64AD1F7F">
            <w:pPr>
              <w:rPr>
                <w:rFonts w:ascii="Arial"/>
                <w:sz w:val="21"/>
              </w:rPr>
            </w:pPr>
          </w:p>
        </w:tc>
        <w:tc>
          <w:tcPr>
            <w:tcW w:w="1204" w:type="dxa"/>
            <w:vAlign w:val="top"/>
          </w:tcPr>
          <w:p w14:paraId="10DEF649">
            <w:pPr>
              <w:rPr>
                <w:rFonts w:ascii="Arial"/>
                <w:sz w:val="21"/>
              </w:rPr>
            </w:pPr>
          </w:p>
        </w:tc>
        <w:tc>
          <w:tcPr>
            <w:tcW w:w="1303" w:type="dxa"/>
            <w:vAlign w:val="top"/>
          </w:tcPr>
          <w:p w14:paraId="039522DA">
            <w:pPr>
              <w:rPr>
                <w:rFonts w:ascii="Arial"/>
                <w:sz w:val="21"/>
              </w:rPr>
            </w:pPr>
          </w:p>
        </w:tc>
        <w:tc>
          <w:tcPr>
            <w:tcW w:w="1487" w:type="dxa"/>
            <w:vAlign w:val="top"/>
          </w:tcPr>
          <w:p w14:paraId="6525B346">
            <w:pPr>
              <w:rPr>
                <w:rFonts w:ascii="Arial"/>
                <w:sz w:val="21"/>
              </w:rPr>
            </w:pPr>
          </w:p>
        </w:tc>
        <w:tc>
          <w:tcPr>
            <w:tcW w:w="1171" w:type="dxa"/>
            <w:vAlign w:val="top"/>
          </w:tcPr>
          <w:p w14:paraId="52AB231E">
            <w:pPr>
              <w:rPr>
                <w:rFonts w:ascii="Arial"/>
                <w:sz w:val="21"/>
              </w:rPr>
            </w:pPr>
          </w:p>
        </w:tc>
      </w:tr>
      <w:tr w14:paraId="721049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764" w:type="dxa"/>
            <w:vAlign w:val="top"/>
          </w:tcPr>
          <w:p w14:paraId="74B8CF3E">
            <w:pPr>
              <w:rPr>
                <w:rFonts w:ascii="Arial"/>
                <w:sz w:val="21"/>
              </w:rPr>
            </w:pPr>
          </w:p>
        </w:tc>
        <w:tc>
          <w:tcPr>
            <w:tcW w:w="3043" w:type="dxa"/>
            <w:vAlign w:val="top"/>
          </w:tcPr>
          <w:p w14:paraId="0E5780BF">
            <w:pPr>
              <w:spacing w:before="82" w:line="338" w:lineRule="exact"/>
              <w:ind w:left="1300"/>
              <w:rPr>
                <w:rFonts w:ascii="宋体" w:hAnsi="宋体" w:eastAsia="宋体" w:cs="宋体"/>
                <w:sz w:val="23"/>
                <w:szCs w:val="23"/>
              </w:rPr>
            </w:pPr>
            <w:r>
              <w:rPr>
                <w:rFonts w:ascii="宋体" w:hAnsi="宋体" w:eastAsia="宋体" w:cs="宋体"/>
                <w:spacing w:val="5"/>
                <w:position w:val="2"/>
                <w:sz w:val="23"/>
                <w:szCs w:val="23"/>
              </w:rPr>
              <w:t>……</w:t>
            </w:r>
          </w:p>
        </w:tc>
        <w:tc>
          <w:tcPr>
            <w:tcW w:w="1204" w:type="dxa"/>
            <w:vAlign w:val="top"/>
          </w:tcPr>
          <w:p w14:paraId="454B5923">
            <w:pPr>
              <w:rPr>
                <w:rFonts w:ascii="Arial"/>
                <w:sz w:val="21"/>
              </w:rPr>
            </w:pPr>
          </w:p>
        </w:tc>
        <w:tc>
          <w:tcPr>
            <w:tcW w:w="1303" w:type="dxa"/>
            <w:vAlign w:val="top"/>
          </w:tcPr>
          <w:p w14:paraId="4936AB49">
            <w:pPr>
              <w:rPr>
                <w:rFonts w:ascii="Arial"/>
                <w:sz w:val="21"/>
              </w:rPr>
            </w:pPr>
          </w:p>
        </w:tc>
        <w:tc>
          <w:tcPr>
            <w:tcW w:w="1487" w:type="dxa"/>
            <w:vAlign w:val="top"/>
          </w:tcPr>
          <w:p w14:paraId="38FC7BE0">
            <w:pPr>
              <w:rPr>
                <w:rFonts w:ascii="Arial"/>
                <w:sz w:val="21"/>
              </w:rPr>
            </w:pPr>
          </w:p>
        </w:tc>
        <w:tc>
          <w:tcPr>
            <w:tcW w:w="1171" w:type="dxa"/>
            <w:vAlign w:val="top"/>
          </w:tcPr>
          <w:p w14:paraId="6C66B7FD">
            <w:pPr>
              <w:rPr>
                <w:rFonts w:ascii="Arial"/>
                <w:sz w:val="21"/>
              </w:rPr>
            </w:pPr>
          </w:p>
        </w:tc>
      </w:tr>
      <w:tr w14:paraId="63162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764" w:type="dxa"/>
            <w:vAlign w:val="top"/>
          </w:tcPr>
          <w:p w14:paraId="5D83D0B8">
            <w:pPr>
              <w:rPr>
                <w:rFonts w:ascii="Arial"/>
                <w:sz w:val="21"/>
              </w:rPr>
            </w:pPr>
          </w:p>
        </w:tc>
        <w:tc>
          <w:tcPr>
            <w:tcW w:w="3043" w:type="dxa"/>
            <w:vAlign w:val="top"/>
          </w:tcPr>
          <w:p w14:paraId="15A48DB0">
            <w:pPr>
              <w:rPr>
                <w:rFonts w:ascii="Arial"/>
                <w:sz w:val="21"/>
              </w:rPr>
            </w:pPr>
          </w:p>
        </w:tc>
        <w:tc>
          <w:tcPr>
            <w:tcW w:w="1204" w:type="dxa"/>
            <w:vAlign w:val="top"/>
          </w:tcPr>
          <w:p w14:paraId="50E92998">
            <w:pPr>
              <w:rPr>
                <w:rFonts w:ascii="Arial"/>
                <w:sz w:val="21"/>
              </w:rPr>
            </w:pPr>
          </w:p>
        </w:tc>
        <w:tc>
          <w:tcPr>
            <w:tcW w:w="1303" w:type="dxa"/>
            <w:vAlign w:val="top"/>
          </w:tcPr>
          <w:p w14:paraId="5D3BDF27">
            <w:pPr>
              <w:rPr>
                <w:rFonts w:ascii="Arial"/>
                <w:sz w:val="21"/>
              </w:rPr>
            </w:pPr>
          </w:p>
        </w:tc>
        <w:tc>
          <w:tcPr>
            <w:tcW w:w="1487" w:type="dxa"/>
            <w:vAlign w:val="top"/>
          </w:tcPr>
          <w:p w14:paraId="40D3F12E">
            <w:pPr>
              <w:rPr>
                <w:rFonts w:ascii="Arial"/>
                <w:sz w:val="21"/>
              </w:rPr>
            </w:pPr>
          </w:p>
        </w:tc>
        <w:tc>
          <w:tcPr>
            <w:tcW w:w="1171" w:type="dxa"/>
            <w:vAlign w:val="top"/>
          </w:tcPr>
          <w:p w14:paraId="20D92660">
            <w:pPr>
              <w:rPr>
                <w:rFonts w:ascii="Arial"/>
                <w:sz w:val="21"/>
              </w:rPr>
            </w:pPr>
          </w:p>
        </w:tc>
      </w:tr>
      <w:tr w14:paraId="72534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764" w:type="dxa"/>
            <w:vAlign w:val="top"/>
          </w:tcPr>
          <w:p w14:paraId="64D7DB5C">
            <w:pPr>
              <w:rPr>
                <w:rFonts w:ascii="Arial"/>
                <w:sz w:val="21"/>
              </w:rPr>
            </w:pPr>
          </w:p>
        </w:tc>
        <w:tc>
          <w:tcPr>
            <w:tcW w:w="3043" w:type="dxa"/>
            <w:vAlign w:val="top"/>
          </w:tcPr>
          <w:p w14:paraId="3FC29E9D">
            <w:pPr>
              <w:rPr>
                <w:rFonts w:ascii="Arial"/>
                <w:sz w:val="21"/>
              </w:rPr>
            </w:pPr>
          </w:p>
        </w:tc>
        <w:tc>
          <w:tcPr>
            <w:tcW w:w="1204" w:type="dxa"/>
            <w:vAlign w:val="top"/>
          </w:tcPr>
          <w:p w14:paraId="6CB08E2D">
            <w:pPr>
              <w:rPr>
                <w:rFonts w:ascii="Arial"/>
                <w:sz w:val="21"/>
              </w:rPr>
            </w:pPr>
          </w:p>
        </w:tc>
        <w:tc>
          <w:tcPr>
            <w:tcW w:w="1303" w:type="dxa"/>
            <w:vAlign w:val="top"/>
          </w:tcPr>
          <w:p w14:paraId="7489DEB2">
            <w:pPr>
              <w:rPr>
                <w:rFonts w:ascii="Arial"/>
                <w:sz w:val="21"/>
              </w:rPr>
            </w:pPr>
          </w:p>
        </w:tc>
        <w:tc>
          <w:tcPr>
            <w:tcW w:w="1487" w:type="dxa"/>
            <w:vAlign w:val="top"/>
          </w:tcPr>
          <w:p w14:paraId="1D12F1D8">
            <w:pPr>
              <w:rPr>
                <w:rFonts w:ascii="Arial"/>
                <w:sz w:val="21"/>
              </w:rPr>
            </w:pPr>
          </w:p>
        </w:tc>
        <w:tc>
          <w:tcPr>
            <w:tcW w:w="1171" w:type="dxa"/>
            <w:vAlign w:val="top"/>
          </w:tcPr>
          <w:p w14:paraId="6B33AACA">
            <w:pPr>
              <w:rPr>
                <w:rFonts w:ascii="Arial"/>
                <w:sz w:val="21"/>
              </w:rPr>
            </w:pPr>
          </w:p>
        </w:tc>
      </w:tr>
      <w:tr w14:paraId="3F8AD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764" w:type="dxa"/>
            <w:vAlign w:val="top"/>
          </w:tcPr>
          <w:p w14:paraId="53CB592F">
            <w:pPr>
              <w:rPr>
                <w:rFonts w:ascii="Arial"/>
                <w:sz w:val="21"/>
              </w:rPr>
            </w:pPr>
          </w:p>
        </w:tc>
        <w:tc>
          <w:tcPr>
            <w:tcW w:w="3043" w:type="dxa"/>
            <w:vAlign w:val="top"/>
          </w:tcPr>
          <w:p w14:paraId="2AD3D9D0">
            <w:pPr>
              <w:rPr>
                <w:rFonts w:ascii="Arial"/>
                <w:sz w:val="21"/>
              </w:rPr>
            </w:pPr>
          </w:p>
        </w:tc>
        <w:tc>
          <w:tcPr>
            <w:tcW w:w="1204" w:type="dxa"/>
            <w:vAlign w:val="top"/>
          </w:tcPr>
          <w:p w14:paraId="358C6EBC">
            <w:pPr>
              <w:rPr>
                <w:rFonts w:ascii="Arial"/>
                <w:sz w:val="21"/>
              </w:rPr>
            </w:pPr>
          </w:p>
        </w:tc>
        <w:tc>
          <w:tcPr>
            <w:tcW w:w="1303" w:type="dxa"/>
            <w:vAlign w:val="top"/>
          </w:tcPr>
          <w:p w14:paraId="5EFCE139">
            <w:pPr>
              <w:rPr>
                <w:rFonts w:ascii="Arial"/>
                <w:sz w:val="21"/>
              </w:rPr>
            </w:pPr>
          </w:p>
        </w:tc>
        <w:tc>
          <w:tcPr>
            <w:tcW w:w="1487" w:type="dxa"/>
            <w:vAlign w:val="top"/>
          </w:tcPr>
          <w:p w14:paraId="370E8D0C">
            <w:pPr>
              <w:rPr>
                <w:rFonts w:ascii="Arial"/>
                <w:sz w:val="21"/>
              </w:rPr>
            </w:pPr>
          </w:p>
        </w:tc>
        <w:tc>
          <w:tcPr>
            <w:tcW w:w="1171" w:type="dxa"/>
            <w:vAlign w:val="top"/>
          </w:tcPr>
          <w:p w14:paraId="125D4EF3">
            <w:pPr>
              <w:rPr>
                <w:rFonts w:ascii="Arial"/>
                <w:sz w:val="21"/>
              </w:rPr>
            </w:pPr>
          </w:p>
        </w:tc>
      </w:tr>
      <w:tr w14:paraId="6D7A04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764" w:type="dxa"/>
            <w:vAlign w:val="top"/>
          </w:tcPr>
          <w:p w14:paraId="0AE53062">
            <w:pPr>
              <w:rPr>
                <w:rFonts w:ascii="Arial"/>
                <w:sz w:val="21"/>
              </w:rPr>
            </w:pPr>
          </w:p>
        </w:tc>
        <w:tc>
          <w:tcPr>
            <w:tcW w:w="3043" w:type="dxa"/>
            <w:vAlign w:val="top"/>
          </w:tcPr>
          <w:p w14:paraId="34F15308">
            <w:pPr>
              <w:rPr>
                <w:rFonts w:ascii="Arial"/>
                <w:sz w:val="21"/>
              </w:rPr>
            </w:pPr>
          </w:p>
        </w:tc>
        <w:tc>
          <w:tcPr>
            <w:tcW w:w="1204" w:type="dxa"/>
            <w:vAlign w:val="top"/>
          </w:tcPr>
          <w:p w14:paraId="40445FD8">
            <w:pPr>
              <w:rPr>
                <w:rFonts w:ascii="Arial"/>
                <w:sz w:val="21"/>
              </w:rPr>
            </w:pPr>
          </w:p>
        </w:tc>
        <w:tc>
          <w:tcPr>
            <w:tcW w:w="1303" w:type="dxa"/>
            <w:vAlign w:val="top"/>
          </w:tcPr>
          <w:p w14:paraId="2E4953DF">
            <w:pPr>
              <w:rPr>
                <w:rFonts w:ascii="Arial"/>
                <w:sz w:val="21"/>
              </w:rPr>
            </w:pPr>
          </w:p>
        </w:tc>
        <w:tc>
          <w:tcPr>
            <w:tcW w:w="1487" w:type="dxa"/>
            <w:vAlign w:val="top"/>
          </w:tcPr>
          <w:p w14:paraId="779A8798">
            <w:pPr>
              <w:rPr>
                <w:rFonts w:ascii="Arial"/>
                <w:sz w:val="21"/>
              </w:rPr>
            </w:pPr>
          </w:p>
        </w:tc>
        <w:tc>
          <w:tcPr>
            <w:tcW w:w="1171" w:type="dxa"/>
            <w:vAlign w:val="top"/>
          </w:tcPr>
          <w:p w14:paraId="0A8256B8">
            <w:pPr>
              <w:rPr>
                <w:rFonts w:ascii="Arial"/>
                <w:sz w:val="21"/>
              </w:rPr>
            </w:pPr>
          </w:p>
        </w:tc>
      </w:tr>
      <w:tr w14:paraId="533C94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764" w:type="dxa"/>
            <w:vAlign w:val="top"/>
          </w:tcPr>
          <w:p w14:paraId="4F49822D">
            <w:pPr>
              <w:rPr>
                <w:rFonts w:ascii="Arial"/>
                <w:sz w:val="21"/>
              </w:rPr>
            </w:pPr>
          </w:p>
        </w:tc>
        <w:tc>
          <w:tcPr>
            <w:tcW w:w="3043" w:type="dxa"/>
            <w:vAlign w:val="top"/>
          </w:tcPr>
          <w:p w14:paraId="3E7645C1">
            <w:pPr>
              <w:rPr>
                <w:rFonts w:ascii="Arial"/>
                <w:sz w:val="21"/>
              </w:rPr>
            </w:pPr>
          </w:p>
        </w:tc>
        <w:tc>
          <w:tcPr>
            <w:tcW w:w="1204" w:type="dxa"/>
            <w:vAlign w:val="top"/>
          </w:tcPr>
          <w:p w14:paraId="493E2DEC">
            <w:pPr>
              <w:rPr>
                <w:rFonts w:ascii="Arial"/>
                <w:sz w:val="21"/>
              </w:rPr>
            </w:pPr>
          </w:p>
        </w:tc>
        <w:tc>
          <w:tcPr>
            <w:tcW w:w="1303" w:type="dxa"/>
            <w:vAlign w:val="top"/>
          </w:tcPr>
          <w:p w14:paraId="65930910">
            <w:pPr>
              <w:rPr>
                <w:rFonts w:ascii="Arial"/>
                <w:sz w:val="21"/>
              </w:rPr>
            </w:pPr>
          </w:p>
        </w:tc>
        <w:tc>
          <w:tcPr>
            <w:tcW w:w="1487" w:type="dxa"/>
            <w:vAlign w:val="top"/>
          </w:tcPr>
          <w:p w14:paraId="64151029">
            <w:pPr>
              <w:rPr>
                <w:rFonts w:ascii="Arial"/>
                <w:sz w:val="21"/>
              </w:rPr>
            </w:pPr>
          </w:p>
        </w:tc>
        <w:tc>
          <w:tcPr>
            <w:tcW w:w="1171" w:type="dxa"/>
            <w:vAlign w:val="top"/>
          </w:tcPr>
          <w:p w14:paraId="6E30070B">
            <w:pPr>
              <w:rPr>
                <w:rFonts w:ascii="Arial"/>
                <w:sz w:val="21"/>
              </w:rPr>
            </w:pPr>
          </w:p>
        </w:tc>
      </w:tr>
      <w:tr w14:paraId="7959E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764" w:type="dxa"/>
            <w:vAlign w:val="top"/>
          </w:tcPr>
          <w:p w14:paraId="4BBA0075">
            <w:pPr>
              <w:rPr>
                <w:rFonts w:ascii="Arial"/>
                <w:sz w:val="21"/>
              </w:rPr>
            </w:pPr>
          </w:p>
        </w:tc>
        <w:tc>
          <w:tcPr>
            <w:tcW w:w="3043" w:type="dxa"/>
            <w:vAlign w:val="top"/>
          </w:tcPr>
          <w:p w14:paraId="029E9460">
            <w:pPr>
              <w:rPr>
                <w:rFonts w:ascii="Arial"/>
                <w:sz w:val="21"/>
              </w:rPr>
            </w:pPr>
          </w:p>
        </w:tc>
        <w:tc>
          <w:tcPr>
            <w:tcW w:w="1204" w:type="dxa"/>
            <w:vAlign w:val="top"/>
          </w:tcPr>
          <w:p w14:paraId="6B5D09E1">
            <w:pPr>
              <w:rPr>
                <w:rFonts w:ascii="Arial"/>
                <w:sz w:val="21"/>
              </w:rPr>
            </w:pPr>
          </w:p>
        </w:tc>
        <w:tc>
          <w:tcPr>
            <w:tcW w:w="1303" w:type="dxa"/>
            <w:vAlign w:val="top"/>
          </w:tcPr>
          <w:p w14:paraId="0F66951A">
            <w:pPr>
              <w:rPr>
                <w:rFonts w:ascii="Arial"/>
                <w:sz w:val="21"/>
              </w:rPr>
            </w:pPr>
          </w:p>
        </w:tc>
        <w:tc>
          <w:tcPr>
            <w:tcW w:w="1487" w:type="dxa"/>
            <w:vAlign w:val="top"/>
          </w:tcPr>
          <w:p w14:paraId="1191AC94">
            <w:pPr>
              <w:rPr>
                <w:rFonts w:ascii="Arial"/>
                <w:sz w:val="21"/>
              </w:rPr>
            </w:pPr>
          </w:p>
        </w:tc>
        <w:tc>
          <w:tcPr>
            <w:tcW w:w="1171" w:type="dxa"/>
            <w:vAlign w:val="top"/>
          </w:tcPr>
          <w:p w14:paraId="5F7A8E91">
            <w:pPr>
              <w:rPr>
                <w:rFonts w:ascii="Arial"/>
                <w:sz w:val="21"/>
              </w:rPr>
            </w:pPr>
          </w:p>
        </w:tc>
      </w:tr>
      <w:tr w14:paraId="4951D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764" w:type="dxa"/>
            <w:vAlign w:val="top"/>
          </w:tcPr>
          <w:p w14:paraId="5FD9288D">
            <w:pPr>
              <w:rPr>
                <w:rFonts w:ascii="Arial"/>
                <w:sz w:val="21"/>
              </w:rPr>
            </w:pPr>
          </w:p>
        </w:tc>
        <w:tc>
          <w:tcPr>
            <w:tcW w:w="3043" w:type="dxa"/>
            <w:vAlign w:val="top"/>
          </w:tcPr>
          <w:p w14:paraId="4FF72F67">
            <w:pPr>
              <w:rPr>
                <w:rFonts w:ascii="Arial"/>
                <w:sz w:val="21"/>
              </w:rPr>
            </w:pPr>
          </w:p>
        </w:tc>
        <w:tc>
          <w:tcPr>
            <w:tcW w:w="1204" w:type="dxa"/>
            <w:vAlign w:val="top"/>
          </w:tcPr>
          <w:p w14:paraId="64C83A14">
            <w:pPr>
              <w:rPr>
                <w:rFonts w:ascii="Arial"/>
                <w:sz w:val="21"/>
              </w:rPr>
            </w:pPr>
          </w:p>
        </w:tc>
        <w:tc>
          <w:tcPr>
            <w:tcW w:w="1303" w:type="dxa"/>
            <w:vAlign w:val="top"/>
          </w:tcPr>
          <w:p w14:paraId="2386ADB3">
            <w:pPr>
              <w:rPr>
                <w:rFonts w:ascii="Arial"/>
                <w:sz w:val="21"/>
              </w:rPr>
            </w:pPr>
          </w:p>
        </w:tc>
        <w:tc>
          <w:tcPr>
            <w:tcW w:w="1487" w:type="dxa"/>
            <w:vAlign w:val="top"/>
          </w:tcPr>
          <w:p w14:paraId="79C2AAA1">
            <w:pPr>
              <w:rPr>
                <w:rFonts w:ascii="Arial"/>
                <w:sz w:val="21"/>
              </w:rPr>
            </w:pPr>
          </w:p>
        </w:tc>
        <w:tc>
          <w:tcPr>
            <w:tcW w:w="1171" w:type="dxa"/>
            <w:vAlign w:val="top"/>
          </w:tcPr>
          <w:p w14:paraId="2A7C7023">
            <w:pPr>
              <w:rPr>
                <w:rFonts w:ascii="Arial"/>
                <w:sz w:val="21"/>
              </w:rPr>
            </w:pPr>
          </w:p>
        </w:tc>
      </w:tr>
      <w:tr w14:paraId="269193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764" w:type="dxa"/>
            <w:vAlign w:val="top"/>
          </w:tcPr>
          <w:p w14:paraId="431EB120">
            <w:pPr>
              <w:rPr>
                <w:rFonts w:ascii="Arial"/>
                <w:sz w:val="21"/>
              </w:rPr>
            </w:pPr>
          </w:p>
        </w:tc>
        <w:tc>
          <w:tcPr>
            <w:tcW w:w="3043" w:type="dxa"/>
            <w:vAlign w:val="top"/>
          </w:tcPr>
          <w:p w14:paraId="18EB172E">
            <w:pPr>
              <w:rPr>
                <w:rFonts w:ascii="Arial"/>
                <w:sz w:val="21"/>
              </w:rPr>
            </w:pPr>
          </w:p>
        </w:tc>
        <w:tc>
          <w:tcPr>
            <w:tcW w:w="1204" w:type="dxa"/>
            <w:vAlign w:val="top"/>
          </w:tcPr>
          <w:p w14:paraId="05178ABE">
            <w:pPr>
              <w:rPr>
                <w:rFonts w:ascii="Arial"/>
                <w:sz w:val="21"/>
              </w:rPr>
            </w:pPr>
          </w:p>
        </w:tc>
        <w:tc>
          <w:tcPr>
            <w:tcW w:w="1303" w:type="dxa"/>
            <w:vAlign w:val="top"/>
          </w:tcPr>
          <w:p w14:paraId="7D7A7ABB">
            <w:pPr>
              <w:rPr>
                <w:rFonts w:ascii="Arial"/>
                <w:sz w:val="21"/>
              </w:rPr>
            </w:pPr>
          </w:p>
        </w:tc>
        <w:tc>
          <w:tcPr>
            <w:tcW w:w="1487" w:type="dxa"/>
            <w:vAlign w:val="top"/>
          </w:tcPr>
          <w:p w14:paraId="7A83A2E4">
            <w:pPr>
              <w:rPr>
                <w:rFonts w:ascii="Arial"/>
                <w:sz w:val="21"/>
              </w:rPr>
            </w:pPr>
          </w:p>
        </w:tc>
        <w:tc>
          <w:tcPr>
            <w:tcW w:w="1171" w:type="dxa"/>
            <w:vAlign w:val="top"/>
          </w:tcPr>
          <w:p w14:paraId="45757644">
            <w:pPr>
              <w:rPr>
                <w:rFonts w:ascii="Arial"/>
                <w:sz w:val="21"/>
              </w:rPr>
            </w:pPr>
          </w:p>
        </w:tc>
      </w:tr>
      <w:tr w14:paraId="10D73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764" w:type="dxa"/>
            <w:vAlign w:val="top"/>
          </w:tcPr>
          <w:p w14:paraId="00C2CCFF">
            <w:pPr>
              <w:rPr>
                <w:rFonts w:ascii="Arial"/>
                <w:sz w:val="21"/>
              </w:rPr>
            </w:pPr>
          </w:p>
        </w:tc>
        <w:tc>
          <w:tcPr>
            <w:tcW w:w="3043" w:type="dxa"/>
            <w:vAlign w:val="top"/>
          </w:tcPr>
          <w:p w14:paraId="59EB1EB9">
            <w:pPr>
              <w:rPr>
                <w:rFonts w:ascii="Arial"/>
                <w:sz w:val="21"/>
              </w:rPr>
            </w:pPr>
          </w:p>
        </w:tc>
        <w:tc>
          <w:tcPr>
            <w:tcW w:w="1204" w:type="dxa"/>
            <w:vAlign w:val="top"/>
          </w:tcPr>
          <w:p w14:paraId="6F884995">
            <w:pPr>
              <w:rPr>
                <w:rFonts w:ascii="Arial"/>
                <w:sz w:val="21"/>
              </w:rPr>
            </w:pPr>
          </w:p>
        </w:tc>
        <w:tc>
          <w:tcPr>
            <w:tcW w:w="1303" w:type="dxa"/>
            <w:vAlign w:val="top"/>
          </w:tcPr>
          <w:p w14:paraId="59B52322">
            <w:pPr>
              <w:rPr>
                <w:rFonts w:ascii="Arial"/>
                <w:sz w:val="21"/>
              </w:rPr>
            </w:pPr>
          </w:p>
        </w:tc>
        <w:tc>
          <w:tcPr>
            <w:tcW w:w="1487" w:type="dxa"/>
            <w:vAlign w:val="top"/>
          </w:tcPr>
          <w:p w14:paraId="1DD80E03">
            <w:pPr>
              <w:rPr>
                <w:rFonts w:ascii="Arial"/>
                <w:sz w:val="21"/>
              </w:rPr>
            </w:pPr>
          </w:p>
        </w:tc>
        <w:tc>
          <w:tcPr>
            <w:tcW w:w="1171" w:type="dxa"/>
            <w:vAlign w:val="top"/>
          </w:tcPr>
          <w:p w14:paraId="00A45BED">
            <w:pPr>
              <w:rPr>
                <w:rFonts w:ascii="Arial"/>
                <w:sz w:val="21"/>
              </w:rPr>
            </w:pPr>
          </w:p>
        </w:tc>
      </w:tr>
      <w:tr w14:paraId="79F69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3807" w:type="dxa"/>
            <w:gridSpan w:val="2"/>
            <w:vAlign w:val="top"/>
          </w:tcPr>
          <w:p w14:paraId="28DA2054">
            <w:pPr>
              <w:spacing w:before="156" w:line="228" w:lineRule="auto"/>
              <w:ind w:left="1258"/>
              <w:rPr>
                <w:rFonts w:ascii="宋体" w:hAnsi="宋体" w:eastAsia="宋体" w:cs="宋体"/>
                <w:sz w:val="23"/>
                <w:szCs w:val="23"/>
              </w:rPr>
            </w:pPr>
            <w:r>
              <w:rPr>
                <w:rFonts w:ascii="宋体" w:hAnsi="宋体" w:eastAsia="宋体" w:cs="宋体"/>
                <w:spacing w:val="5"/>
                <w:sz w:val="23"/>
                <w:szCs w:val="23"/>
              </w:rPr>
              <w:t>总</w:t>
            </w:r>
            <w:r>
              <w:rPr>
                <w:rFonts w:ascii="宋体" w:hAnsi="宋体" w:eastAsia="宋体" w:cs="宋体"/>
                <w:spacing w:val="4"/>
                <w:sz w:val="23"/>
                <w:szCs w:val="23"/>
              </w:rPr>
              <w:t xml:space="preserve"> 计 (元)</w:t>
            </w:r>
          </w:p>
        </w:tc>
        <w:tc>
          <w:tcPr>
            <w:tcW w:w="1204" w:type="dxa"/>
            <w:tcBorders>
              <w:right w:val="nil"/>
            </w:tcBorders>
            <w:vAlign w:val="top"/>
          </w:tcPr>
          <w:p w14:paraId="5C6836E8">
            <w:pPr>
              <w:spacing w:before="156" w:line="242" w:lineRule="auto"/>
              <w:ind w:left="77"/>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90"/>
                <w:sz w:val="23"/>
                <w:szCs w:val="23"/>
              </w:rPr>
              <w:t xml:space="preserve"> </w:t>
            </w:r>
            <w:r>
              <w:rPr>
                <w:rFonts w:ascii="宋体" w:hAnsi="宋体" w:eastAsia="宋体" w:cs="宋体"/>
                <w:spacing w:val="-19"/>
                <w:sz w:val="23"/>
                <w:szCs w:val="23"/>
              </w:rPr>
              <w:t>：</w:t>
            </w:r>
          </w:p>
        </w:tc>
        <w:tc>
          <w:tcPr>
            <w:tcW w:w="3961" w:type="dxa"/>
            <w:gridSpan w:val="3"/>
            <w:tcBorders>
              <w:left w:val="nil"/>
            </w:tcBorders>
            <w:vAlign w:val="top"/>
          </w:tcPr>
          <w:p w14:paraId="770AFFF2">
            <w:pPr>
              <w:spacing w:before="156" w:line="228" w:lineRule="auto"/>
              <w:ind w:left="553"/>
              <w:rPr>
                <w:rFonts w:ascii="宋体" w:hAnsi="宋体" w:eastAsia="宋体" w:cs="宋体"/>
                <w:sz w:val="23"/>
                <w:szCs w:val="23"/>
              </w:rPr>
            </w:pPr>
            <w:r>
              <w:rPr>
                <w:rFonts w:ascii="宋体" w:hAnsi="宋体" w:eastAsia="宋体" w:cs="宋体"/>
                <w:spacing w:val="31"/>
                <w:sz w:val="23"/>
                <w:szCs w:val="23"/>
              </w:rPr>
              <w:t>(大写)</w:t>
            </w:r>
          </w:p>
        </w:tc>
      </w:tr>
    </w:tbl>
    <w:p w14:paraId="4BEE9FEF">
      <w:pPr>
        <w:spacing w:before="303" w:line="226" w:lineRule="auto"/>
        <w:ind w:left="885"/>
        <w:rPr>
          <w:rFonts w:ascii="宋体" w:hAnsi="宋体" w:eastAsia="宋体" w:cs="宋体"/>
          <w:sz w:val="23"/>
          <w:szCs w:val="23"/>
        </w:rPr>
      </w:pPr>
      <w:r>
        <w:rPr>
          <w:rFonts w:ascii="宋体" w:hAnsi="宋体" w:eastAsia="宋体" w:cs="宋体"/>
          <w:spacing w:val="15"/>
          <w:sz w:val="23"/>
          <w:szCs w:val="23"/>
        </w:rPr>
        <w:t>注</w:t>
      </w:r>
      <w:r>
        <w:rPr>
          <w:rFonts w:ascii="宋体" w:hAnsi="宋体" w:eastAsia="宋体" w:cs="宋体"/>
          <w:spacing w:val="9"/>
          <w:sz w:val="23"/>
          <w:szCs w:val="23"/>
        </w:rPr>
        <w:t>：① 如果按单价计算的结果与总价不一致，以单价为准修正总价。</w:t>
      </w:r>
    </w:p>
    <w:p w14:paraId="0AE3BA1E">
      <w:pPr>
        <w:spacing w:before="157" w:line="224" w:lineRule="auto"/>
        <w:ind w:left="1360"/>
        <w:rPr>
          <w:rFonts w:ascii="宋体" w:hAnsi="宋体" w:eastAsia="宋体" w:cs="宋体"/>
          <w:sz w:val="23"/>
          <w:szCs w:val="23"/>
        </w:rPr>
      </w:pPr>
      <w:r>
        <w:rPr>
          <w:rFonts w:ascii="宋体" w:hAnsi="宋体" w:eastAsia="宋体" w:cs="宋体"/>
          <w:spacing w:val="14"/>
          <w:sz w:val="23"/>
          <w:szCs w:val="23"/>
        </w:rPr>
        <w:t>②</w:t>
      </w:r>
      <w:r>
        <w:rPr>
          <w:rFonts w:ascii="宋体" w:hAnsi="宋体" w:eastAsia="宋体" w:cs="宋体"/>
          <w:spacing w:val="9"/>
          <w:sz w:val="23"/>
          <w:szCs w:val="23"/>
        </w:rPr>
        <w:t xml:space="preserve"> 如果不提供详细分项报价将视为没有实质性响应</w:t>
      </w:r>
      <w:r>
        <w:rPr>
          <w:rFonts w:hint="eastAsia" w:cs="宋体"/>
          <w:spacing w:val="9"/>
          <w:sz w:val="23"/>
          <w:szCs w:val="23"/>
          <w:lang w:eastAsia="zh-CN"/>
        </w:rPr>
        <w:t>磋商</w:t>
      </w:r>
      <w:r>
        <w:rPr>
          <w:rFonts w:ascii="宋体" w:hAnsi="宋体" w:eastAsia="宋体" w:cs="宋体"/>
          <w:spacing w:val="9"/>
          <w:sz w:val="23"/>
          <w:szCs w:val="23"/>
        </w:rPr>
        <w:t>文件。</w:t>
      </w:r>
    </w:p>
    <w:p w14:paraId="6B496E00">
      <w:pPr>
        <w:spacing w:before="163" w:line="225" w:lineRule="auto"/>
        <w:ind w:left="1303"/>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③</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分项内容根据需求自行拟定。</w:t>
      </w:r>
    </w:p>
    <w:p w14:paraId="5BFD55D4">
      <w:pPr>
        <w:spacing w:line="319" w:lineRule="auto"/>
        <w:rPr>
          <w:rFonts w:ascii="Arial"/>
          <w:sz w:val="21"/>
        </w:rPr>
      </w:pPr>
    </w:p>
    <w:p w14:paraId="4678EDC7">
      <w:pPr>
        <w:spacing w:line="319" w:lineRule="auto"/>
        <w:rPr>
          <w:rFonts w:ascii="Arial"/>
          <w:sz w:val="21"/>
        </w:rPr>
      </w:pPr>
    </w:p>
    <w:p w14:paraId="390EDCFF">
      <w:pPr>
        <w:spacing w:line="320" w:lineRule="auto"/>
        <w:rPr>
          <w:rFonts w:ascii="Arial"/>
          <w:sz w:val="21"/>
        </w:rPr>
      </w:pPr>
    </w:p>
    <w:p w14:paraId="7F303BA4">
      <w:pPr>
        <w:spacing w:before="75" w:line="227" w:lineRule="auto"/>
        <w:ind w:left="585"/>
        <w:rPr>
          <w:rFonts w:ascii="宋体" w:hAnsi="宋体" w:eastAsia="宋体" w:cs="宋体"/>
          <w:sz w:val="23"/>
          <w:szCs w:val="23"/>
        </w:rPr>
      </w:pPr>
      <w:r>
        <w:rPr>
          <w:rFonts w:ascii="宋体" w:hAnsi="宋体" w:eastAsia="宋体" w:cs="宋体"/>
          <w:spacing w:val="-10"/>
          <w:sz w:val="23"/>
          <w:szCs w:val="23"/>
        </w:rPr>
        <w:t>供</w:t>
      </w:r>
      <w:r>
        <w:rPr>
          <w:rFonts w:ascii="宋体" w:hAnsi="宋体" w:eastAsia="宋体" w:cs="宋体"/>
          <w:spacing w:val="-6"/>
          <w:sz w:val="23"/>
          <w:szCs w:val="23"/>
        </w:rPr>
        <w:t>应</w:t>
      </w:r>
      <w:r>
        <w:rPr>
          <w:rFonts w:ascii="宋体" w:hAnsi="宋体" w:eastAsia="宋体" w:cs="宋体"/>
          <w:spacing w:val="-5"/>
          <w:sz w:val="23"/>
          <w:szCs w:val="23"/>
        </w:rPr>
        <w:t>商 ：  (盖章)</w:t>
      </w:r>
      <w:r>
        <w:rPr>
          <w:rFonts w:ascii="宋体" w:hAnsi="宋体" w:eastAsia="宋体" w:cs="宋体"/>
          <w:sz w:val="23"/>
          <w:szCs w:val="23"/>
          <w:u w:val="single" w:color="auto"/>
        </w:rPr>
        <w:t xml:space="preserve">                          </w:t>
      </w:r>
    </w:p>
    <w:p w14:paraId="1D26ECF2">
      <w:pPr>
        <w:spacing w:line="258" w:lineRule="auto"/>
        <w:rPr>
          <w:rFonts w:ascii="Arial"/>
          <w:sz w:val="21"/>
        </w:rPr>
      </w:pPr>
    </w:p>
    <w:p w14:paraId="2952B9F5">
      <w:pPr>
        <w:spacing w:line="259" w:lineRule="auto"/>
        <w:rPr>
          <w:rFonts w:ascii="Arial"/>
          <w:sz w:val="21"/>
        </w:rPr>
      </w:pPr>
    </w:p>
    <w:p w14:paraId="059DFB3B">
      <w:pPr>
        <w:spacing w:before="75" w:line="224" w:lineRule="auto"/>
        <w:ind w:left="586"/>
        <w:rPr>
          <w:rFonts w:ascii="宋体" w:hAnsi="宋体" w:eastAsia="宋体" w:cs="宋体"/>
          <w:sz w:val="23"/>
          <w:szCs w:val="23"/>
        </w:rPr>
      </w:pPr>
      <w:r>
        <w:rPr>
          <w:rFonts w:ascii="宋体" w:hAnsi="宋体" w:eastAsia="宋体" w:cs="宋体"/>
          <w:spacing w:val="12"/>
          <w:sz w:val="23"/>
          <w:szCs w:val="23"/>
        </w:rPr>
        <w:t>法</w:t>
      </w:r>
      <w:r>
        <w:rPr>
          <w:rFonts w:ascii="宋体" w:hAnsi="宋体" w:eastAsia="宋体" w:cs="宋体"/>
          <w:spacing w:val="8"/>
          <w:sz w:val="23"/>
          <w:szCs w:val="23"/>
        </w:rPr>
        <w:t>定代表人或委托代理人 (签字或盖章) ：</w:t>
      </w:r>
      <w:r>
        <w:rPr>
          <w:rFonts w:ascii="宋体" w:hAnsi="宋体" w:eastAsia="宋体" w:cs="宋体"/>
          <w:sz w:val="23"/>
          <w:szCs w:val="23"/>
          <w:u w:val="single" w:color="auto"/>
        </w:rPr>
        <w:t xml:space="preserve">                </w:t>
      </w:r>
    </w:p>
    <w:p w14:paraId="156E9948">
      <w:pPr>
        <w:spacing w:line="262" w:lineRule="auto"/>
        <w:rPr>
          <w:rFonts w:ascii="Arial"/>
          <w:sz w:val="21"/>
        </w:rPr>
      </w:pPr>
    </w:p>
    <w:p w14:paraId="5ED38F01">
      <w:pPr>
        <w:spacing w:line="262" w:lineRule="auto"/>
        <w:rPr>
          <w:rFonts w:ascii="Arial"/>
          <w:sz w:val="21"/>
        </w:rPr>
      </w:pPr>
    </w:p>
    <w:p w14:paraId="18113606">
      <w:pPr>
        <w:spacing w:before="75" w:line="227" w:lineRule="auto"/>
        <w:ind w:right="294"/>
        <w:jc w:val="right"/>
        <w:rPr>
          <w:rFonts w:ascii="宋体" w:hAnsi="宋体" w:eastAsia="宋体" w:cs="宋体"/>
          <w:sz w:val="23"/>
          <w:szCs w:val="23"/>
        </w:rPr>
      </w:pPr>
      <w:r>
        <w:rPr>
          <w:rFonts w:ascii="宋体" w:hAnsi="宋体" w:eastAsia="宋体" w:cs="宋体"/>
          <w:spacing w:val="-1"/>
          <w:sz w:val="23"/>
          <w:szCs w:val="23"/>
        </w:rPr>
        <w:t>日</w:t>
      </w:r>
      <w:r>
        <w:rPr>
          <w:rFonts w:ascii="宋体" w:hAnsi="宋体" w:eastAsia="宋体" w:cs="宋体"/>
          <w:sz w:val="23"/>
          <w:szCs w:val="23"/>
        </w:rPr>
        <w:t>期：      年    月    日</w:t>
      </w:r>
    </w:p>
    <w:p w14:paraId="7789978E">
      <w:pPr>
        <w:sectPr>
          <w:footerReference r:id="rId6" w:type="default"/>
          <w:pgSz w:w="11906" w:h="16839"/>
          <w:pgMar w:top="1440" w:right="1080" w:bottom="1440" w:left="1080" w:header="0" w:footer="958" w:gutter="0"/>
          <w:pgNumType w:fmt="decimal"/>
          <w:cols w:space="720" w:num="1"/>
        </w:sectPr>
      </w:pPr>
    </w:p>
    <w:p w14:paraId="5B67CD6A">
      <w:pPr>
        <w:pStyle w:val="4"/>
        <w:jc w:val="center"/>
        <w:rPr>
          <w:rFonts w:hint="eastAsia" w:ascii="宋体" w:hAnsi="宋体" w:eastAsia="宋体" w:cs="宋体"/>
          <w:b/>
          <w:bCs w:val="0"/>
          <w:kern w:val="2"/>
          <w:sz w:val="32"/>
          <w:szCs w:val="22"/>
          <w:lang w:val="en-US" w:eastAsia="zh-CN" w:bidi="ar-SA"/>
        </w:rPr>
      </w:pPr>
      <w:bookmarkStart w:id="30" w:name="三、资质证明文件"/>
      <w:bookmarkEnd w:id="30"/>
      <w:bookmarkStart w:id="31" w:name="_Toc21681"/>
      <w:r>
        <w:rPr>
          <w:rFonts w:hint="eastAsia" w:ascii="宋体" w:hAnsi="宋体" w:eastAsia="宋体" w:cs="宋体"/>
          <w:b/>
          <w:bCs w:val="0"/>
          <w:kern w:val="2"/>
          <w:sz w:val="32"/>
          <w:szCs w:val="22"/>
          <w:lang w:val="en-US" w:eastAsia="zh-CN" w:bidi="ar-SA"/>
        </w:rPr>
        <w:t>三、资格证明文件</w:t>
      </w:r>
      <w:bookmarkEnd w:id="31"/>
    </w:p>
    <w:p w14:paraId="12564BE9">
      <w:pPr>
        <w:keepNext w:val="0"/>
        <w:keepLines w:val="0"/>
        <w:pageBreakBefore w:val="0"/>
        <w:shd w:val="clear" w:color="auto" w:fill="auto"/>
        <w:kinsoku/>
        <w:wordWrap/>
        <w:overflowPunct/>
        <w:topLinePunct w:val="0"/>
        <w:autoSpaceDE/>
        <w:autoSpaceDN/>
        <w:bidi w:val="0"/>
        <w:adjustRightInd/>
        <w:snapToGrid/>
        <w:spacing w:before="3" w:line="510" w:lineRule="exact"/>
        <w:ind w:right="1" w:firstLine="480" w:firstLineChars="200"/>
        <w:textAlignment w:val="auto"/>
        <w:rPr>
          <w:rFonts w:hint="eastAsia" w:ascii="宋体" w:hAnsi="宋体" w:eastAsia="宋体" w:cs="宋体"/>
          <w:color w:val="000000"/>
          <w:kern w:val="0"/>
          <w:sz w:val="24"/>
          <w:szCs w:val="24"/>
          <w:lang w:val="en-US" w:eastAsia="zh-CN" w:bidi="ar-SA"/>
        </w:rPr>
      </w:pPr>
      <w:bookmarkStart w:id="32" w:name="（1）具有独立承担民事责任的能力：提供营业执照、税务登记证、组织机构代码证或登载"/>
      <w:bookmarkEnd w:id="32"/>
      <w:bookmarkStart w:id="33" w:name="注：投标单位未按磋商采购文件要求附相关资质证件的，按废标处理。"/>
      <w:bookmarkEnd w:id="33"/>
      <w:r>
        <w:rPr>
          <w:rFonts w:hint="eastAsia" w:ascii="宋体" w:hAnsi="宋体" w:eastAsia="宋体" w:cs="宋体"/>
          <w:color w:val="000000"/>
          <w:kern w:val="0"/>
          <w:sz w:val="24"/>
          <w:szCs w:val="24"/>
          <w:lang w:val="en-US" w:eastAsia="zh-CN" w:bidi="ar-SA"/>
        </w:rPr>
        <w:t>（1）提供有效合格的统一社会信用代码的营业执照，其他组织经营的须提供合法凭证，自然人的提供身份证明文件；</w:t>
      </w:r>
    </w:p>
    <w:p w14:paraId="633C5D95">
      <w:pPr>
        <w:keepNext w:val="0"/>
        <w:keepLines w:val="0"/>
        <w:pageBreakBefore w:val="0"/>
        <w:shd w:val="clear" w:color="auto" w:fill="auto"/>
        <w:kinsoku/>
        <w:wordWrap/>
        <w:overflowPunct/>
        <w:topLinePunct w:val="0"/>
        <w:autoSpaceDE/>
        <w:autoSpaceDN/>
        <w:bidi w:val="0"/>
        <w:adjustRightInd/>
        <w:snapToGrid/>
        <w:spacing w:before="3" w:line="510" w:lineRule="exact"/>
        <w:ind w:right="1"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（2）法定代表人直接参加投标的，须出具法定代表人身份证；法定代表人授权代表参加投标的，须出具法定代表人授权委托书、法定代表人身份证复印件以及被授权代表身份证复印件；</w:t>
      </w:r>
    </w:p>
    <w:p w14:paraId="11A146A1">
      <w:pPr>
        <w:keepNext w:val="0"/>
        <w:keepLines w:val="0"/>
        <w:pageBreakBefore w:val="0"/>
        <w:shd w:val="clear" w:color="auto" w:fill="auto"/>
        <w:kinsoku/>
        <w:wordWrap/>
        <w:overflowPunct/>
        <w:topLinePunct w:val="0"/>
        <w:autoSpaceDE/>
        <w:autoSpaceDN/>
        <w:bidi w:val="0"/>
        <w:adjustRightInd/>
        <w:snapToGrid/>
        <w:spacing w:before="3" w:line="510" w:lineRule="exact"/>
        <w:ind w:right="1" w:firstLine="480" w:firstLineChars="200"/>
        <w:textAlignment w:val="auto"/>
        <w:rPr>
          <w:rFonts w:hint="eastAsia" w:ascii="宋体" w:hAnsi="宋体" w:eastAsia="宋体" w:cs="宋体"/>
          <w:color w:val="1F69E0"/>
          <w:kern w:val="0"/>
          <w:sz w:val="24"/>
          <w:szCs w:val="24"/>
          <w:lang w:val="en-US" w:eastAsia="zh-CN" w:bidi="ar-SA"/>
        </w:rPr>
      </w:pPr>
      <w:r>
        <w:rPr>
          <w:rFonts w:hint="eastAsia" w:ascii="宋体" w:hAnsi="宋体" w:eastAsia="宋体" w:cs="宋体"/>
          <w:color w:val="000000"/>
          <w:kern w:val="0"/>
          <w:sz w:val="24"/>
          <w:szCs w:val="24"/>
          <w:lang w:val="en-US" w:eastAsia="zh-CN" w:bidi="ar-SA"/>
        </w:rPr>
        <w:t>（3）</w:t>
      </w:r>
      <w:r>
        <w:rPr>
          <w:rFonts w:hint="eastAsia" w:ascii="宋体" w:hAnsi="宋体" w:eastAsia="宋体" w:cs="宋体"/>
          <w:color w:val="000000" w:themeColor="text1"/>
          <w:kern w:val="0"/>
          <w:sz w:val="24"/>
          <w:szCs w:val="24"/>
          <w:lang w:val="en-US" w:eastAsia="zh-CN" w:bidi="ar-SA"/>
          <w14:textFill>
            <w14:solidFill>
              <w14:schemeClr w14:val="tx1"/>
            </w14:solidFill>
          </w14:textFill>
        </w:rPr>
        <w:t>供应商应具备工程设计综合甲级资质或建筑设计乙级及以上资质；同时项目负责人须具备相应专业中级（含中级）及以上工程师职称；</w:t>
      </w:r>
    </w:p>
    <w:p w14:paraId="1903672D">
      <w:pPr>
        <w:keepNext w:val="0"/>
        <w:keepLines w:val="0"/>
        <w:pageBreakBefore w:val="0"/>
        <w:shd w:val="clear" w:color="auto" w:fill="auto"/>
        <w:kinsoku/>
        <w:wordWrap/>
        <w:overflowPunct/>
        <w:topLinePunct w:val="0"/>
        <w:autoSpaceDE/>
        <w:autoSpaceDN/>
        <w:bidi w:val="0"/>
        <w:adjustRightInd/>
        <w:snapToGrid/>
        <w:spacing w:before="3" w:line="510" w:lineRule="exact"/>
        <w:ind w:right="1"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4）财务状况报告:提供2023或2024年度经会计师事务所出具的财务报告（至少应包括资产负债表和利润表，成立时间至提交投标文件截止时间不足一年的可提供成立后任意时间段的财务报表）或提交投标文件截止时间前六个月内其基本账户开户银行出具的资信证明；     </w:t>
      </w:r>
    </w:p>
    <w:p w14:paraId="463C5D4D">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社会保障资金缴纳证明:自2025年1月1日以来已缴存的至少一个月的社会保障资金缴存单据或社保机构开具的社会保险参保缴费情况证明，单据或证明上应有社保机构或代收机构的公章或业务专用章。依法不需要缴纳社会保障资金的供应商应提供相关文件证明；</w:t>
      </w:r>
    </w:p>
    <w:p w14:paraId="38B30E1D">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（6）税收缴纳证明:自2025年1月1日以来已缴纳的至少一个月的纳税证明或完税证明，纳税证明或完税证明上应有代收机构或税务机关的公章或业务专用章。依法免税的供应商应提供相关文件证明；</w:t>
      </w:r>
    </w:p>
    <w:p w14:paraId="60295688">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7）通过中国政府采购网（www.ccgp.gov.cn）和“信用中国”网站(www.creditchina.gov.cn)查询相关主体无失信记录（网站查询的截图，加盖企业公章）以及参加政府采购活动前3年内在经营活动中没有重大违法记录的书面声明；</w:t>
      </w:r>
    </w:p>
    <w:p w14:paraId="7187B7B1">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（8）供应商应提供中小企业声明函或残疾人福利性单位声明函或监狱企业证明文件；</w:t>
      </w:r>
    </w:p>
    <w:p w14:paraId="628CC1FF">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（9）本项目不接受联合体投标。</w:t>
      </w:r>
    </w:p>
    <w:p w14:paraId="66595B56">
      <w:pPr>
        <w:spacing w:before="212"/>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注：供应商未按磋商文件要求附相关资质证件的，按无效投标文件处理。</w:t>
      </w:r>
    </w:p>
    <w:p w14:paraId="7F00D3B9">
      <w:pPr>
        <w:jc w:val="left"/>
        <w:rPr>
          <w:rFonts w:hint="eastAsia" w:ascii="宋体" w:hAnsi="宋体" w:eastAsia="宋体" w:cs="宋体"/>
          <w:sz w:val="24"/>
          <w:szCs w:val="24"/>
        </w:rPr>
        <w:sectPr>
          <w:pgSz w:w="11910" w:h="16840"/>
          <w:pgMar w:top="1440" w:right="1080" w:bottom="1440" w:left="1080" w:header="720" w:footer="720" w:gutter="0"/>
          <w:cols w:space="720" w:num="1"/>
        </w:sectPr>
      </w:pPr>
    </w:p>
    <w:p w14:paraId="090DB50F">
      <w:pPr>
        <w:pStyle w:val="4"/>
        <w:jc w:val="center"/>
        <w:rPr>
          <w:rFonts w:hint="eastAsia" w:ascii="宋体" w:hAnsi="宋体" w:eastAsia="宋体" w:cs="宋体"/>
          <w:b/>
          <w:bCs w:val="0"/>
          <w:kern w:val="2"/>
          <w:sz w:val="32"/>
          <w:szCs w:val="22"/>
          <w:lang w:val="en-US" w:eastAsia="zh-CN" w:bidi="ar-SA"/>
        </w:rPr>
      </w:pPr>
      <w:bookmarkStart w:id="34" w:name="_Toc12651"/>
      <w:r>
        <w:rPr>
          <w:rFonts w:hint="eastAsia" w:ascii="宋体" w:hAnsi="宋体" w:eastAsia="宋体" w:cs="宋体"/>
          <w:b/>
          <w:bCs w:val="0"/>
          <w:kern w:val="2"/>
          <w:sz w:val="32"/>
          <w:szCs w:val="22"/>
          <w:lang w:val="en-US" w:eastAsia="zh-CN" w:bidi="ar-SA"/>
        </w:rPr>
        <w:t>四、服务方案</w:t>
      </w:r>
      <w:bookmarkEnd w:id="34"/>
    </w:p>
    <w:p w14:paraId="0596724C">
      <w:pPr>
        <w:pStyle w:val="12"/>
        <w:spacing w:before="185"/>
        <w:ind w:firstLine="480" w:firstLineChars="200"/>
        <w:rPr>
          <w:rFonts w:hint="eastAsia" w:ascii="宋体" w:hAnsi="宋体" w:eastAsia="宋体" w:cs="宋体"/>
          <w:sz w:val="24"/>
          <w:szCs w:val="32"/>
        </w:rPr>
      </w:pPr>
      <w:r>
        <w:rPr>
          <w:rFonts w:hint="eastAsia" w:ascii="宋体" w:hAnsi="宋体" w:eastAsia="宋体" w:cs="宋体"/>
          <w:sz w:val="24"/>
          <w:szCs w:val="32"/>
          <w:lang w:eastAsia="zh-CN"/>
        </w:rPr>
        <w:t>服务</w:t>
      </w:r>
      <w:r>
        <w:rPr>
          <w:rFonts w:hint="eastAsia" w:ascii="宋体" w:hAnsi="宋体" w:eastAsia="宋体" w:cs="宋体"/>
          <w:sz w:val="24"/>
          <w:szCs w:val="32"/>
        </w:rPr>
        <w:t>方案编制（结合本项目磋商文件中评审办法的要求格式自拟。）</w:t>
      </w:r>
    </w:p>
    <w:p w14:paraId="1A134CF0">
      <w:pPr>
        <w:pStyle w:val="71"/>
        <w:tabs>
          <w:tab w:val="left" w:pos="2301"/>
        </w:tabs>
        <w:autoSpaceDE w:val="0"/>
        <w:autoSpaceDN w:val="0"/>
        <w:spacing w:before="214"/>
        <w:ind w:left="0" w:firstLine="0"/>
        <w:jc w:val="left"/>
        <w:rPr>
          <w:rFonts w:hint="eastAsia" w:ascii="宋体" w:hAnsi="宋体" w:eastAsia="宋体" w:cs="宋体"/>
          <w:sz w:val="24"/>
        </w:rPr>
      </w:pPr>
    </w:p>
    <w:p w14:paraId="012792CC">
      <w:pPr>
        <w:pStyle w:val="71"/>
        <w:tabs>
          <w:tab w:val="left" w:pos="2301"/>
        </w:tabs>
        <w:autoSpaceDE w:val="0"/>
        <w:autoSpaceDN w:val="0"/>
        <w:spacing w:before="214"/>
        <w:ind w:left="0" w:firstLine="0"/>
        <w:jc w:val="left"/>
        <w:rPr>
          <w:rFonts w:hint="eastAsia" w:ascii="宋体" w:hAnsi="宋体" w:eastAsia="宋体" w:cs="宋体"/>
          <w:sz w:val="24"/>
        </w:rPr>
      </w:pPr>
    </w:p>
    <w:p w14:paraId="591C7DE6">
      <w:pPr>
        <w:pStyle w:val="71"/>
        <w:tabs>
          <w:tab w:val="left" w:pos="2301"/>
        </w:tabs>
        <w:autoSpaceDE w:val="0"/>
        <w:autoSpaceDN w:val="0"/>
        <w:spacing w:before="214"/>
        <w:ind w:left="0" w:firstLine="0"/>
        <w:jc w:val="left"/>
        <w:rPr>
          <w:rFonts w:hint="eastAsia" w:ascii="宋体" w:hAnsi="宋体" w:eastAsia="宋体" w:cs="宋体"/>
          <w:sz w:val="24"/>
        </w:rPr>
      </w:pPr>
    </w:p>
    <w:p w14:paraId="2B7773D1">
      <w:pPr>
        <w:pStyle w:val="71"/>
        <w:tabs>
          <w:tab w:val="left" w:pos="2301"/>
        </w:tabs>
        <w:autoSpaceDE w:val="0"/>
        <w:autoSpaceDN w:val="0"/>
        <w:spacing w:before="214"/>
        <w:ind w:left="0" w:firstLine="0"/>
        <w:jc w:val="left"/>
        <w:rPr>
          <w:rFonts w:hint="eastAsia" w:ascii="宋体" w:hAnsi="宋体" w:eastAsia="宋体" w:cs="宋体"/>
          <w:sz w:val="24"/>
        </w:rPr>
      </w:pPr>
    </w:p>
    <w:p w14:paraId="7EDB2A23">
      <w:pPr>
        <w:pStyle w:val="71"/>
        <w:tabs>
          <w:tab w:val="left" w:pos="2301"/>
        </w:tabs>
        <w:autoSpaceDE w:val="0"/>
        <w:autoSpaceDN w:val="0"/>
        <w:spacing w:before="214"/>
        <w:ind w:left="0" w:firstLine="0"/>
        <w:jc w:val="left"/>
        <w:rPr>
          <w:rFonts w:hint="eastAsia" w:ascii="宋体" w:hAnsi="宋体" w:eastAsia="宋体" w:cs="宋体"/>
          <w:sz w:val="24"/>
        </w:rPr>
      </w:pPr>
    </w:p>
    <w:p w14:paraId="3E14B8F6">
      <w:pPr>
        <w:pStyle w:val="71"/>
        <w:tabs>
          <w:tab w:val="left" w:pos="2301"/>
        </w:tabs>
        <w:autoSpaceDE w:val="0"/>
        <w:autoSpaceDN w:val="0"/>
        <w:spacing w:before="214"/>
        <w:ind w:left="0" w:firstLine="0"/>
        <w:jc w:val="left"/>
        <w:rPr>
          <w:rFonts w:hint="eastAsia" w:ascii="宋体" w:hAnsi="宋体" w:eastAsia="宋体" w:cs="宋体"/>
          <w:sz w:val="24"/>
        </w:rPr>
      </w:pPr>
    </w:p>
    <w:p w14:paraId="25973613">
      <w:pPr>
        <w:pStyle w:val="71"/>
        <w:tabs>
          <w:tab w:val="left" w:pos="2301"/>
        </w:tabs>
        <w:autoSpaceDE w:val="0"/>
        <w:autoSpaceDN w:val="0"/>
        <w:spacing w:before="214"/>
        <w:ind w:left="0" w:firstLine="0"/>
        <w:jc w:val="left"/>
        <w:rPr>
          <w:rFonts w:hint="eastAsia" w:ascii="宋体" w:hAnsi="宋体" w:eastAsia="宋体" w:cs="宋体"/>
          <w:sz w:val="24"/>
        </w:rPr>
      </w:pPr>
    </w:p>
    <w:p w14:paraId="1AB542AE">
      <w:pPr>
        <w:pStyle w:val="71"/>
        <w:tabs>
          <w:tab w:val="left" w:pos="2301"/>
        </w:tabs>
        <w:autoSpaceDE w:val="0"/>
        <w:autoSpaceDN w:val="0"/>
        <w:spacing w:before="214"/>
        <w:ind w:left="0" w:firstLine="0"/>
        <w:jc w:val="left"/>
        <w:rPr>
          <w:rFonts w:hint="eastAsia" w:ascii="宋体" w:hAnsi="宋体" w:eastAsia="宋体" w:cs="宋体"/>
          <w:sz w:val="24"/>
        </w:rPr>
      </w:pPr>
    </w:p>
    <w:p w14:paraId="43F697F8">
      <w:pPr>
        <w:pStyle w:val="71"/>
        <w:tabs>
          <w:tab w:val="left" w:pos="2301"/>
        </w:tabs>
        <w:autoSpaceDE w:val="0"/>
        <w:autoSpaceDN w:val="0"/>
        <w:spacing w:before="214"/>
        <w:ind w:left="0" w:firstLine="0"/>
        <w:jc w:val="left"/>
        <w:rPr>
          <w:rFonts w:hint="eastAsia" w:ascii="宋体" w:hAnsi="宋体" w:eastAsia="宋体" w:cs="宋体"/>
          <w:sz w:val="24"/>
        </w:rPr>
      </w:pPr>
    </w:p>
    <w:p w14:paraId="42694019">
      <w:pPr>
        <w:pStyle w:val="71"/>
        <w:tabs>
          <w:tab w:val="left" w:pos="2301"/>
        </w:tabs>
        <w:autoSpaceDE w:val="0"/>
        <w:autoSpaceDN w:val="0"/>
        <w:spacing w:before="214"/>
        <w:ind w:left="0" w:firstLine="0"/>
        <w:jc w:val="left"/>
        <w:rPr>
          <w:rFonts w:hint="eastAsia" w:ascii="宋体" w:hAnsi="宋体" w:eastAsia="宋体" w:cs="宋体"/>
          <w:sz w:val="24"/>
        </w:rPr>
      </w:pPr>
    </w:p>
    <w:p w14:paraId="74D2F152">
      <w:pPr>
        <w:pStyle w:val="71"/>
        <w:tabs>
          <w:tab w:val="left" w:pos="2301"/>
        </w:tabs>
        <w:autoSpaceDE w:val="0"/>
        <w:autoSpaceDN w:val="0"/>
        <w:spacing w:before="214"/>
        <w:ind w:left="0" w:firstLine="0"/>
        <w:jc w:val="left"/>
        <w:rPr>
          <w:rFonts w:hint="eastAsia" w:ascii="宋体" w:hAnsi="宋体" w:eastAsia="宋体" w:cs="宋体"/>
          <w:sz w:val="24"/>
        </w:rPr>
      </w:pPr>
    </w:p>
    <w:p w14:paraId="33D913C7">
      <w:pPr>
        <w:pStyle w:val="71"/>
        <w:tabs>
          <w:tab w:val="left" w:pos="2301"/>
        </w:tabs>
        <w:autoSpaceDE w:val="0"/>
        <w:autoSpaceDN w:val="0"/>
        <w:spacing w:before="214"/>
        <w:ind w:left="0" w:firstLine="0"/>
        <w:jc w:val="left"/>
        <w:rPr>
          <w:rFonts w:hint="eastAsia" w:ascii="宋体" w:hAnsi="宋体" w:eastAsia="宋体" w:cs="宋体"/>
          <w:sz w:val="24"/>
        </w:rPr>
      </w:pPr>
    </w:p>
    <w:p w14:paraId="50FF2246">
      <w:pPr>
        <w:pStyle w:val="71"/>
        <w:tabs>
          <w:tab w:val="left" w:pos="2301"/>
        </w:tabs>
        <w:autoSpaceDE w:val="0"/>
        <w:autoSpaceDN w:val="0"/>
        <w:spacing w:before="214"/>
        <w:ind w:left="0" w:firstLine="0"/>
        <w:jc w:val="left"/>
        <w:rPr>
          <w:rFonts w:hint="eastAsia" w:ascii="宋体" w:hAnsi="宋体" w:eastAsia="宋体" w:cs="宋体"/>
          <w:sz w:val="24"/>
        </w:rPr>
      </w:pPr>
    </w:p>
    <w:p w14:paraId="28141206">
      <w:pPr>
        <w:pStyle w:val="71"/>
        <w:tabs>
          <w:tab w:val="left" w:pos="2301"/>
        </w:tabs>
        <w:autoSpaceDE w:val="0"/>
        <w:autoSpaceDN w:val="0"/>
        <w:spacing w:before="214"/>
        <w:ind w:left="0" w:firstLine="0"/>
        <w:jc w:val="left"/>
        <w:rPr>
          <w:rFonts w:hint="eastAsia" w:ascii="宋体" w:hAnsi="宋体" w:eastAsia="宋体" w:cs="宋体"/>
          <w:sz w:val="24"/>
        </w:rPr>
      </w:pPr>
    </w:p>
    <w:p w14:paraId="5039EA72">
      <w:pPr>
        <w:pStyle w:val="71"/>
        <w:tabs>
          <w:tab w:val="left" w:pos="2301"/>
        </w:tabs>
        <w:autoSpaceDE w:val="0"/>
        <w:autoSpaceDN w:val="0"/>
        <w:spacing w:before="214"/>
        <w:ind w:left="0" w:firstLine="0"/>
        <w:jc w:val="left"/>
        <w:rPr>
          <w:rFonts w:hint="eastAsia" w:ascii="宋体" w:hAnsi="宋体" w:eastAsia="宋体" w:cs="宋体"/>
          <w:sz w:val="24"/>
        </w:rPr>
      </w:pPr>
    </w:p>
    <w:p w14:paraId="7B4E724E">
      <w:pPr>
        <w:pStyle w:val="12"/>
        <w:spacing w:before="3"/>
        <w:rPr>
          <w:rFonts w:hint="eastAsia" w:ascii="宋体" w:hAnsi="宋体" w:eastAsia="宋体" w:cs="宋体"/>
          <w:sz w:val="16"/>
        </w:rPr>
      </w:pPr>
    </w:p>
    <w:p w14:paraId="37E85768">
      <w:pPr>
        <w:pStyle w:val="22"/>
        <w:rPr>
          <w:rFonts w:hint="eastAsia" w:ascii="宋体" w:hAnsi="宋体" w:eastAsia="宋体" w:cs="宋体"/>
          <w:sz w:val="16"/>
        </w:rPr>
      </w:pPr>
    </w:p>
    <w:p w14:paraId="5C6AA20F">
      <w:pPr>
        <w:pStyle w:val="22"/>
        <w:rPr>
          <w:rFonts w:hint="eastAsia" w:ascii="宋体" w:hAnsi="宋体" w:eastAsia="宋体" w:cs="宋体"/>
          <w:sz w:val="16"/>
        </w:rPr>
      </w:pPr>
    </w:p>
    <w:p w14:paraId="5EA6632F">
      <w:pPr>
        <w:pStyle w:val="22"/>
        <w:rPr>
          <w:rFonts w:hint="eastAsia" w:ascii="宋体" w:hAnsi="宋体" w:eastAsia="宋体" w:cs="宋体"/>
          <w:sz w:val="16"/>
        </w:rPr>
      </w:pPr>
    </w:p>
    <w:p w14:paraId="115F5F90">
      <w:pPr>
        <w:pStyle w:val="22"/>
        <w:rPr>
          <w:rFonts w:hint="eastAsia" w:ascii="宋体" w:hAnsi="宋体" w:eastAsia="宋体" w:cs="宋体"/>
          <w:sz w:val="16"/>
        </w:rPr>
      </w:pPr>
    </w:p>
    <w:p w14:paraId="7D2E26BC">
      <w:pPr>
        <w:pStyle w:val="22"/>
        <w:rPr>
          <w:rFonts w:hint="eastAsia" w:ascii="宋体" w:hAnsi="宋体" w:eastAsia="宋体" w:cs="宋体"/>
          <w:sz w:val="16"/>
        </w:rPr>
      </w:pPr>
    </w:p>
    <w:p w14:paraId="0776E2D2">
      <w:pPr>
        <w:pStyle w:val="22"/>
        <w:rPr>
          <w:rFonts w:hint="eastAsia" w:ascii="宋体" w:hAnsi="宋体" w:eastAsia="宋体" w:cs="宋体"/>
          <w:sz w:val="16"/>
        </w:rPr>
      </w:pPr>
    </w:p>
    <w:p w14:paraId="67A20D50">
      <w:pPr>
        <w:pStyle w:val="22"/>
        <w:rPr>
          <w:rFonts w:hint="eastAsia" w:ascii="宋体" w:hAnsi="宋体" w:eastAsia="宋体" w:cs="宋体"/>
          <w:sz w:val="16"/>
        </w:rPr>
      </w:pPr>
    </w:p>
    <w:p w14:paraId="559094B3">
      <w:pPr>
        <w:pStyle w:val="22"/>
        <w:rPr>
          <w:rFonts w:hint="eastAsia" w:ascii="宋体" w:hAnsi="宋体" w:eastAsia="宋体" w:cs="宋体"/>
          <w:sz w:val="16"/>
        </w:rPr>
      </w:pPr>
    </w:p>
    <w:p w14:paraId="683A172E">
      <w:pPr>
        <w:pStyle w:val="22"/>
        <w:rPr>
          <w:rFonts w:hint="eastAsia" w:ascii="宋体" w:hAnsi="宋体" w:eastAsia="宋体" w:cs="宋体"/>
          <w:sz w:val="16"/>
        </w:rPr>
      </w:pPr>
    </w:p>
    <w:p w14:paraId="265481CD">
      <w:pPr>
        <w:pStyle w:val="22"/>
        <w:rPr>
          <w:rFonts w:hint="eastAsia" w:ascii="宋体" w:hAnsi="宋体" w:eastAsia="宋体" w:cs="宋体"/>
          <w:sz w:val="16"/>
        </w:rPr>
      </w:pPr>
    </w:p>
    <w:p w14:paraId="37E1E382">
      <w:pPr>
        <w:pStyle w:val="22"/>
        <w:rPr>
          <w:rFonts w:hint="eastAsia" w:ascii="宋体" w:hAnsi="宋体" w:eastAsia="宋体" w:cs="宋体"/>
          <w:sz w:val="16"/>
        </w:rPr>
      </w:pPr>
    </w:p>
    <w:p w14:paraId="1F6E94D1">
      <w:pPr>
        <w:pStyle w:val="22"/>
        <w:rPr>
          <w:rFonts w:hint="eastAsia" w:ascii="宋体" w:hAnsi="宋体" w:eastAsia="宋体" w:cs="宋体"/>
          <w:sz w:val="16"/>
        </w:rPr>
      </w:pPr>
    </w:p>
    <w:p w14:paraId="60E24223">
      <w:pPr>
        <w:pStyle w:val="22"/>
        <w:rPr>
          <w:rFonts w:hint="eastAsia" w:ascii="宋体" w:hAnsi="宋体" w:eastAsia="宋体" w:cs="宋体"/>
          <w:sz w:val="16"/>
        </w:rPr>
      </w:pPr>
    </w:p>
    <w:p w14:paraId="6075882C">
      <w:pPr>
        <w:pStyle w:val="22"/>
        <w:rPr>
          <w:rFonts w:hint="eastAsia" w:ascii="宋体" w:hAnsi="宋体" w:eastAsia="宋体" w:cs="宋体"/>
          <w:sz w:val="16"/>
        </w:rPr>
      </w:pPr>
    </w:p>
    <w:p w14:paraId="1C58514F">
      <w:pPr>
        <w:pStyle w:val="3"/>
        <w:numPr>
          <w:ilvl w:val="0"/>
          <w:numId w:val="6"/>
        </w:numPr>
        <w:spacing w:before="54"/>
        <w:ind w:left="668" w:right="945"/>
        <w:jc w:val="center"/>
        <w:rPr>
          <w:rFonts w:hint="eastAsia" w:ascii="宋体" w:hAnsi="宋体" w:eastAsia="宋体" w:cs="宋体"/>
          <w:sz w:val="32"/>
          <w:szCs w:val="32"/>
        </w:rPr>
      </w:pPr>
      <w:bookmarkStart w:id="35" w:name="_Toc2952"/>
      <w:r>
        <w:rPr>
          <w:rFonts w:hint="eastAsia" w:ascii="宋体" w:hAnsi="宋体" w:eastAsia="宋体" w:cs="宋体"/>
          <w:sz w:val="32"/>
          <w:szCs w:val="32"/>
        </w:rPr>
        <w:t>投标人近三年</w:t>
      </w:r>
      <w:r>
        <w:rPr>
          <w:rFonts w:hint="eastAsia" w:ascii="宋体" w:hAnsi="宋体" w:eastAsia="宋体" w:cs="宋体"/>
          <w:sz w:val="32"/>
          <w:szCs w:val="32"/>
          <w:lang w:eastAsia="zh-CN"/>
        </w:rPr>
        <w:t>类似</w:t>
      </w:r>
      <w:r>
        <w:rPr>
          <w:rFonts w:hint="eastAsia" w:ascii="宋体" w:hAnsi="宋体" w:eastAsia="宋体" w:cs="宋体"/>
          <w:sz w:val="32"/>
          <w:szCs w:val="32"/>
        </w:rPr>
        <w:t>项目业绩</w:t>
      </w:r>
      <w:bookmarkEnd w:id="35"/>
    </w:p>
    <w:p w14:paraId="0A03DEA3">
      <w:pPr>
        <w:rPr>
          <w:rFonts w:hint="eastAsia" w:ascii="宋体" w:hAnsi="宋体" w:eastAsia="宋体" w:cs="宋体"/>
        </w:rPr>
      </w:pPr>
    </w:p>
    <w:p w14:paraId="6FD335CB">
      <w:pPr>
        <w:jc w:val="center"/>
        <w:rPr>
          <w:rFonts w:hint="eastAsia" w:ascii="宋体" w:hAnsi="宋体" w:eastAsia="宋体" w:cs="宋体"/>
          <w:sz w:val="24"/>
          <w:szCs w:val="28"/>
        </w:rPr>
      </w:pPr>
      <w:r>
        <w:rPr>
          <w:rFonts w:hint="eastAsia" w:ascii="宋体" w:hAnsi="宋体" w:eastAsia="宋体" w:cs="宋体"/>
          <w:sz w:val="24"/>
          <w:szCs w:val="28"/>
        </w:rPr>
        <w:t>注：附合同书或中标通知书加盖公章</w:t>
      </w:r>
    </w:p>
    <w:p w14:paraId="242DBDF6">
      <w:pPr>
        <w:pStyle w:val="3"/>
        <w:spacing w:before="54"/>
        <w:ind w:left="668" w:right="945"/>
        <w:jc w:val="center"/>
        <w:rPr>
          <w:rFonts w:hint="eastAsia" w:ascii="宋体" w:hAnsi="宋体" w:eastAsia="宋体" w:cs="宋体"/>
        </w:rPr>
      </w:pPr>
    </w:p>
    <w:p w14:paraId="7091517E">
      <w:pPr>
        <w:pStyle w:val="3"/>
        <w:spacing w:before="54"/>
        <w:ind w:left="668" w:right="945"/>
        <w:jc w:val="center"/>
        <w:rPr>
          <w:rFonts w:hint="eastAsia" w:ascii="宋体" w:hAnsi="宋体" w:eastAsia="宋体" w:cs="宋体"/>
        </w:rPr>
      </w:pPr>
    </w:p>
    <w:p w14:paraId="5E78AE5E">
      <w:pPr>
        <w:pStyle w:val="3"/>
        <w:spacing w:before="54"/>
        <w:ind w:left="668" w:right="945"/>
        <w:jc w:val="center"/>
        <w:rPr>
          <w:rFonts w:hint="eastAsia" w:ascii="宋体" w:hAnsi="宋体" w:eastAsia="宋体" w:cs="宋体"/>
        </w:rPr>
      </w:pPr>
    </w:p>
    <w:p w14:paraId="227CA143">
      <w:pPr>
        <w:pStyle w:val="3"/>
        <w:spacing w:before="54"/>
        <w:ind w:left="668" w:right="945"/>
        <w:jc w:val="center"/>
        <w:rPr>
          <w:rFonts w:hint="eastAsia" w:ascii="宋体" w:hAnsi="宋体" w:eastAsia="宋体" w:cs="宋体"/>
        </w:rPr>
      </w:pPr>
    </w:p>
    <w:p w14:paraId="05FE6BAB">
      <w:pPr>
        <w:pStyle w:val="3"/>
        <w:spacing w:before="54"/>
        <w:ind w:left="668" w:right="945"/>
        <w:jc w:val="center"/>
        <w:rPr>
          <w:rFonts w:hint="eastAsia" w:ascii="宋体" w:hAnsi="宋体" w:eastAsia="宋体" w:cs="宋体"/>
        </w:rPr>
      </w:pPr>
    </w:p>
    <w:p w14:paraId="1FAF4B54">
      <w:pPr>
        <w:pStyle w:val="3"/>
        <w:spacing w:before="54"/>
        <w:ind w:left="668" w:right="945"/>
        <w:jc w:val="center"/>
        <w:rPr>
          <w:rFonts w:hint="eastAsia" w:ascii="宋体" w:hAnsi="宋体" w:eastAsia="宋体" w:cs="宋体"/>
        </w:rPr>
      </w:pPr>
    </w:p>
    <w:p w14:paraId="39404D2B">
      <w:pPr>
        <w:pStyle w:val="3"/>
        <w:spacing w:before="54"/>
        <w:ind w:left="668" w:right="945"/>
        <w:jc w:val="center"/>
        <w:rPr>
          <w:rFonts w:hint="eastAsia" w:ascii="宋体" w:hAnsi="宋体" w:eastAsia="宋体" w:cs="宋体"/>
        </w:rPr>
      </w:pPr>
    </w:p>
    <w:p w14:paraId="05D8FB26">
      <w:pPr>
        <w:pStyle w:val="3"/>
        <w:spacing w:before="54"/>
        <w:ind w:left="668" w:right="945"/>
        <w:jc w:val="center"/>
        <w:rPr>
          <w:rFonts w:hint="eastAsia" w:ascii="宋体" w:hAnsi="宋体" w:eastAsia="宋体" w:cs="宋体"/>
        </w:rPr>
      </w:pPr>
    </w:p>
    <w:p w14:paraId="1AA7F277">
      <w:pPr>
        <w:pStyle w:val="3"/>
        <w:spacing w:before="54"/>
        <w:ind w:left="668" w:right="945"/>
        <w:jc w:val="center"/>
        <w:rPr>
          <w:rFonts w:hint="eastAsia" w:ascii="宋体" w:hAnsi="宋体" w:eastAsia="宋体" w:cs="宋体"/>
        </w:rPr>
      </w:pPr>
    </w:p>
    <w:p w14:paraId="58D59770">
      <w:pPr>
        <w:pStyle w:val="3"/>
        <w:spacing w:before="54"/>
        <w:ind w:left="668" w:right="945"/>
        <w:jc w:val="center"/>
        <w:rPr>
          <w:rFonts w:hint="eastAsia" w:ascii="宋体" w:hAnsi="宋体" w:eastAsia="宋体" w:cs="宋体"/>
        </w:rPr>
      </w:pPr>
    </w:p>
    <w:p w14:paraId="2F1BF572">
      <w:pPr>
        <w:pStyle w:val="3"/>
        <w:spacing w:before="54"/>
        <w:ind w:left="668" w:right="945"/>
        <w:jc w:val="center"/>
        <w:rPr>
          <w:rFonts w:hint="eastAsia" w:ascii="宋体" w:hAnsi="宋体" w:eastAsia="宋体" w:cs="宋体"/>
        </w:rPr>
      </w:pPr>
    </w:p>
    <w:p w14:paraId="3823660F">
      <w:pPr>
        <w:rPr>
          <w:rFonts w:hint="eastAsia" w:ascii="宋体" w:hAnsi="宋体" w:eastAsia="宋体" w:cs="宋体"/>
        </w:rPr>
      </w:pPr>
    </w:p>
    <w:p w14:paraId="42F0A9BC">
      <w:pPr>
        <w:pStyle w:val="9"/>
        <w:ind w:firstLine="480"/>
        <w:rPr>
          <w:rFonts w:hint="eastAsia" w:ascii="宋体" w:hAnsi="宋体" w:eastAsia="宋体" w:cs="宋体"/>
        </w:rPr>
      </w:pPr>
    </w:p>
    <w:p w14:paraId="191C7C6D">
      <w:pPr>
        <w:pStyle w:val="3"/>
        <w:spacing w:before="54"/>
        <w:ind w:left="668" w:right="945"/>
        <w:jc w:val="center"/>
        <w:rPr>
          <w:rFonts w:hint="eastAsia" w:ascii="宋体" w:hAnsi="宋体" w:eastAsia="宋体" w:cs="宋体"/>
        </w:rPr>
      </w:pPr>
    </w:p>
    <w:p w14:paraId="333718EF">
      <w:pPr>
        <w:widowControl/>
        <w:numPr>
          <w:ilvl w:val="0"/>
          <w:numId w:val="6"/>
        </w:numPr>
        <w:ind w:left="668"/>
        <w:jc w:val="center"/>
        <w:outlineLvl w:val="0"/>
        <w:rPr>
          <w:rFonts w:hint="eastAsia" w:ascii="宋体" w:hAnsi="宋体" w:eastAsia="宋体" w:cs="宋体"/>
          <w:b/>
          <w:bCs/>
          <w:kern w:val="0"/>
          <w:sz w:val="32"/>
          <w:szCs w:val="32"/>
        </w:rPr>
      </w:pPr>
      <w:bookmarkStart w:id="36" w:name="_Toc22917"/>
      <w:r>
        <w:rPr>
          <w:rFonts w:hint="eastAsia" w:ascii="宋体" w:hAnsi="宋体" w:eastAsia="宋体" w:cs="宋体"/>
          <w:b/>
          <w:bCs/>
          <w:kern w:val="0"/>
          <w:sz w:val="32"/>
          <w:szCs w:val="32"/>
        </w:rPr>
        <w:t>政府采购投标人拒绝政府采购领域商业贿赂承诺书</w:t>
      </w:r>
      <w:bookmarkEnd w:id="36"/>
    </w:p>
    <w:p w14:paraId="30E90EBC">
      <w:pPr>
        <w:widowControl/>
        <w:spacing w:line="4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 xml:space="preserve">为响应党中央、国务院关于治理政府采购领域商业贿赂行为的号召，我单位在此庄严承诺： </w:t>
      </w:r>
    </w:p>
    <w:p w14:paraId="5B7A4C38">
      <w:pPr>
        <w:widowControl/>
        <w:spacing w:line="4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 xml:space="preserve">1、在参与政府采购活动中遵纪守法、诚信经营、公平竞标。 </w:t>
      </w:r>
    </w:p>
    <w:p w14:paraId="08A8E434">
      <w:pPr>
        <w:widowControl/>
        <w:spacing w:line="4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 xml:space="preserve">2、不向政府采购人、采购代理机构和政府采购评审专家进行任何形式的商业贿赂以谋取交易机会。 </w:t>
      </w:r>
    </w:p>
    <w:p w14:paraId="35CCE076">
      <w:pPr>
        <w:widowControl/>
        <w:spacing w:line="4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 xml:space="preserve">3、不向政府采购代理机构和采购人提供虚假资质文件或采用虚假应标方式参与政府采购市场竞争并谋取中标、成交。 </w:t>
      </w:r>
    </w:p>
    <w:p w14:paraId="04367120">
      <w:pPr>
        <w:widowControl/>
        <w:spacing w:line="4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 xml:space="preserve">4、不采取“围标、陪标”等商业欺诈手段获得政府采购定单。 </w:t>
      </w:r>
    </w:p>
    <w:p w14:paraId="262FCA21">
      <w:pPr>
        <w:widowControl/>
        <w:spacing w:line="4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5、不采取不正当手段诋毁、排挤其他</w:t>
      </w:r>
      <w:r>
        <w:rPr>
          <w:rFonts w:hint="eastAsia" w:ascii="宋体" w:hAnsi="宋体" w:eastAsia="宋体" w:cs="宋体"/>
          <w:color w:val="000000"/>
          <w:sz w:val="24"/>
        </w:rPr>
        <w:t>投标人</w:t>
      </w:r>
      <w:r>
        <w:rPr>
          <w:rFonts w:hint="eastAsia" w:ascii="宋体" w:hAnsi="宋体" w:eastAsia="宋体" w:cs="宋体"/>
          <w:kern w:val="0"/>
          <w:sz w:val="24"/>
        </w:rPr>
        <w:t xml:space="preserve">。 </w:t>
      </w:r>
    </w:p>
    <w:p w14:paraId="04CF3A09">
      <w:pPr>
        <w:widowControl/>
        <w:spacing w:line="4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 xml:space="preserve">6、不在提供商品和服务时“偷梁换柱、以次充好”损害采购人的合法权益。 </w:t>
      </w:r>
    </w:p>
    <w:p w14:paraId="605DE527">
      <w:pPr>
        <w:widowControl/>
        <w:spacing w:line="4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7、不与采购人、采购代理机构政府采购评审专家或其它</w:t>
      </w:r>
      <w:r>
        <w:rPr>
          <w:rFonts w:hint="eastAsia" w:ascii="宋体" w:hAnsi="宋体" w:eastAsia="宋体" w:cs="宋体"/>
          <w:color w:val="000000"/>
          <w:sz w:val="24"/>
        </w:rPr>
        <w:t>投标人</w:t>
      </w:r>
      <w:r>
        <w:rPr>
          <w:rFonts w:hint="eastAsia" w:ascii="宋体" w:hAnsi="宋体" w:eastAsia="宋体" w:cs="宋体"/>
          <w:kern w:val="0"/>
          <w:sz w:val="24"/>
        </w:rPr>
        <w:t xml:space="preserve">恶意串通，进行质疑和投诉，维护政府采购市场秩序。 </w:t>
      </w:r>
    </w:p>
    <w:p w14:paraId="7D380DF2">
      <w:pPr>
        <w:widowControl/>
        <w:spacing w:line="4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 xml:space="preserve">8、尊重和接受政府采购监督管理部门的监督和政府采购代理机构招标采购要求，承担因违约行为给采购人造成的损失。 </w:t>
      </w:r>
    </w:p>
    <w:p w14:paraId="13E317DB">
      <w:pPr>
        <w:widowControl/>
        <w:spacing w:line="4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 xml:space="preserve">9、不发生其他有悖于政府采购公开、公平、公正和诚信原则的行为。 </w:t>
      </w:r>
    </w:p>
    <w:p w14:paraId="29C45ADD">
      <w:pPr>
        <w:pStyle w:val="12"/>
        <w:rPr>
          <w:rFonts w:hint="eastAsia" w:ascii="宋体" w:hAnsi="宋体" w:eastAsia="宋体" w:cs="宋体"/>
        </w:rPr>
      </w:pPr>
    </w:p>
    <w:p w14:paraId="2C2D7C1A">
      <w:pPr>
        <w:widowControl/>
        <w:spacing w:line="440" w:lineRule="exact"/>
        <w:ind w:firstLine="560" w:firstLineChars="200"/>
        <w:jc w:val="left"/>
        <w:rPr>
          <w:rFonts w:hint="eastAsia" w:ascii="宋体" w:hAnsi="宋体" w:eastAsia="宋体" w:cs="宋体"/>
          <w:kern w:val="0"/>
          <w:sz w:val="24"/>
          <w:szCs w:val="24"/>
        </w:rPr>
      </w:pPr>
      <w:r>
        <w:rPr>
          <w:rFonts w:hint="eastAsia" w:ascii="宋体" w:hAnsi="宋体" w:eastAsia="宋体" w:cs="宋体"/>
          <w:kern w:val="0"/>
          <w:sz w:val="28"/>
          <w:szCs w:val="24"/>
        </w:rPr>
        <w:t>  </w:t>
      </w:r>
      <w:r>
        <w:rPr>
          <w:rFonts w:hint="eastAsia" w:ascii="宋体" w:hAnsi="宋体" w:eastAsia="宋体" w:cs="宋体"/>
          <w:kern w:val="0"/>
          <w:sz w:val="28"/>
          <w:szCs w:val="24"/>
          <w:lang w:val="en-US" w:eastAsia="zh-CN"/>
        </w:rPr>
        <w:t xml:space="preserve"> </w:t>
      </w:r>
      <w:r>
        <w:rPr>
          <w:rFonts w:hint="eastAsia" w:ascii="宋体" w:hAnsi="宋体" w:eastAsia="宋体" w:cs="宋体"/>
          <w:kern w:val="0"/>
          <w:sz w:val="24"/>
          <w:szCs w:val="24"/>
        </w:rPr>
        <w:t>承诺单位：</w:t>
      </w:r>
      <w:r>
        <w:rPr>
          <w:rFonts w:hint="eastAsia" w:ascii="宋体" w:hAnsi="宋体" w:eastAsia="宋体" w:cs="宋体"/>
          <w:kern w:val="0"/>
          <w:sz w:val="24"/>
          <w:szCs w:val="24"/>
          <w:u w:val="single"/>
        </w:rPr>
        <w:t>　　                            　</w:t>
      </w:r>
      <w:r>
        <w:rPr>
          <w:rFonts w:hint="eastAsia" w:ascii="宋体" w:hAnsi="宋体" w:eastAsia="宋体" w:cs="宋体"/>
          <w:kern w:val="0"/>
          <w:sz w:val="24"/>
          <w:szCs w:val="24"/>
        </w:rPr>
        <w:t xml:space="preserve">（盖章） </w:t>
      </w:r>
    </w:p>
    <w:p w14:paraId="751D7CB8">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全权代表：</w:t>
      </w:r>
      <w:r>
        <w:rPr>
          <w:rFonts w:hint="eastAsia" w:ascii="宋体" w:hAnsi="宋体" w:eastAsia="宋体" w:cs="宋体"/>
          <w:kern w:val="0"/>
          <w:sz w:val="24"/>
          <w:szCs w:val="24"/>
          <w:u w:val="single"/>
        </w:rPr>
        <w:t>　　　　　     　　　           　</w:t>
      </w:r>
      <w:r>
        <w:rPr>
          <w:rFonts w:hint="eastAsia" w:ascii="宋体" w:hAnsi="宋体" w:eastAsia="宋体" w:cs="宋体"/>
          <w:kern w:val="0"/>
          <w:sz w:val="24"/>
          <w:szCs w:val="24"/>
        </w:rPr>
        <w:t xml:space="preserve">（签字） </w:t>
      </w:r>
    </w:p>
    <w:p w14:paraId="0E7C86C7">
      <w:pPr>
        <w:widowControl/>
        <w:spacing w:line="440" w:lineRule="exact"/>
        <w:ind w:firstLine="480" w:firstLineChars="200"/>
        <w:jc w:val="left"/>
        <w:rPr>
          <w:rFonts w:hint="eastAsia" w:ascii="宋体" w:hAnsi="宋体" w:eastAsia="宋体" w:cs="宋体"/>
          <w:kern w:val="0"/>
          <w:sz w:val="24"/>
          <w:szCs w:val="24"/>
          <w:u w:val="single"/>
          <w:lang w:val="en-US" w:eastAsia="zh-CN"/>
        </w:rPr>
      </w:pPr>
      <w:r>
        <w:rPr>
          <w:rFonts w:hint="eastAsia" w:ascii="宋体" w:hAnsi="宋体" w:eastAsia="宋体" w:cs="宋体"/>
          <w:kern w:val="0"/>
          <w:sz w:val="24"/>
          <w:szCs w:val="24"/>
        </w:rPr>
        <w:t>    地　　址：</w:t>
      </w:r>
      <w:r>
        <w:rPr>
          <w:rFonts w:hint="eastAsia" w:ascii="宋体" w:hAnsi="宋体" w:eastAsia="宋体" w:cs="宋体"/>
          <w:kern w:val="0"/>
          <w:sz w:val="24"/>
          <w:szCs w:val="24"/>
          <w:u w:val="single"/>
          <w:lang w:val="en-US" w:eastAsia="zh-CN"/>
        </w:rPr>
        <w:t xml:space="preserve">                                  </w:t>
      </w:r>
    </w:p>
    <w:p w14:paraId="4DC44DD3">
      <w:pPr>
        <w:widowControl/>
        <w:spacing w:line="440" w:lineRule="exact"/>
        <w:ind w:firstLine="1200" w:firstLineChars="500"/>
        <w:jc w:val="left"/>
        <w:rPr>
          <w:rFonts w:hint="eastAsia" w:ascii="宋体" w:hAnsi="宋体" w:eastAsia="宋体" w:cs="宋体"/>
          <w:kern w:val="0"/>
          <w:sz w:val="24"/>
          <w:szCs w:val="24"/>
          <w:u w:val="single"/>
        </w:rPr>
      </w:pPr>
      <w:r>
        <w:rPr>
          <w:rFonts w:hint="eastAsia" w:ascii="宋体" w:hAnsi="宋体" w:eastAsia="宋体" w:cs="宋体"/>
          <w:kern w:val="0"/>
          <w:sz w:val="24"/>
          <w:szCs w:val="24"/>
        </w:rPr>
        <w:t>邮    编：</w:t>
      </w:r>
      <w:r>
        <w:rPr>
          <w:rFonts w:hint="eastAsia" w:ascii="宋体" w:hAnsi="宋体" w:eastAsia="宋体" w:cs="宋体"/>
          <w:kern w:val="0"/>
          <w:sz w:val="24"/>
          <w:szCs w:val="24"/>
          <w:u w:val="single"/>
        </w:rPr>
        <w:t xml:space="preserve">　　                         　　 </w:t>
      </w:r>
    </w:p>
    <w:p w14:paraId="507F0F68">
      <w:pPr>
        <w:widowControl/>
        <w:spacing w:line="440" w:lineRule="exact"/>
        <w:ind w:firstLine="720" w:firstLineChars="300"/>
        <w:jc w:val="left"/>
        <w:rPr>
          <w:rFonts w:hint="eastAsia" w:ascii="宋体" w:hAnsi="宋体" w:eastAsia="宋体" w:cs="宋体"/>
          <w:kern w:val="0"/>
          <w:sz w:val="24"/>
          <w:szCs w:val="24"/>
          <w:u w:val="single"/>
        </w:rPr>
      </w:pPr>
      <w:r>
        <w:rPr>
          <w:rFonts w:hint="eastAsia" w:ascii="宋体" w:hAnsi="宋体" w:eastAsia="宋体" w:cs="宋体"/>
          <w:kern w:val="0"/>
          <w:sz w:val="24"/>
          <w:szCs w:val="24"/>
        </w:rPr>
        <w:t>  电　　话：</w:t>
      </w:r>
      <w:r>
        <w:rPr>
          <w:rFonts w:hint="eastAsia" w:ascii="宋体" w:hAnsi="宋体" w:eastAsia="宋体" w:cs="宋体"/>
          <w:kern w:val="0"/>
          <w:sz w:val="24"/>
          <w:szCs w:val="24"/>
          <w:u w:val="single"/>
        </w:rPr>
        <w:t>　　　                　    　　　</w:t>
      </w:r>
    </w:p>
    <w:p w14:paraId="40F5407C">
      <w:pPr>
        <w:widowControl/>
        <w:spacing w:line="440" w:lineRule="exact"/>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6842101F">
      <w:pPr>
        <w:spacing w:afterLines="100" w:line="440" w:lineRule="exact"/>
        <w:jc w:val="right"/>
        <w:rPr>
          <w:rFonts w:hint="eastAsia" w:ascii="宋体" w:hAnsi="宋体" w:eastAsia="宋体" w:cs="宋体"/>
          <w:kern w:val="0"/>
          <w:sz w:val="24"/>
          <w:szCs w:val="24"/>
        </w:rPr>
      </w:pPr>
      <w:r>
        <w:rPr>
          <w:rFonts w:hint="eastAsia" w:ascii="宋体" w:hAnsi="宋体" w:eastAsia="宋体" w:cs="宋体"/>
          <w:kern w:val="0"/>
          <w:sz w:val="24"/>
          <w:szCs w:val="24"/>
        </w:rPr>
        <w:t xml:space="preserve">  年 　 　月 　　 日</w:t>
      </w:r>
    </w:p>
    <w:p w14:paraId="5F23C683">
      <w:pPr>
        <w:pStyle w:val="12"/>
        <w:rPr>
          <w:rFonts w:hint="eastAsia" w:ascii="宋体" w:hAnsi="宋体" w:eastAsia="宋体" w:cs="宋体"/>
        </w:rPr>
      </w:pPr>
    </w:p>
    <w:p w14:paraId="56CA10F6">
      <w:pPr>
        <w:pStyle w:val="3"/>
        <w:spacing w:before="54"/>
        <w:ind w:left="668" w:right="945"/>
        <w:jc w:val="center"/>
        <w:rPr>
          <w:rFonts w:hint="eastAsia" w:ascii="宋体" w:hAnsi="宋体" w:eastAsia="宋体" w:cs="宋体"/>
        </w:rPr>
      </w:pPr>
    </w:p>
    <w:p w14:paraId="48DA8107">
      <w:pPr>
        <w:rPr>
          <w:rFonts w:hint="eastAsia" w:ascii="宋体" w:hAnsi="宋体" w:eastAsia="宋体" w:cs="宋体"/>
        </w:rPr>
      </w:pPr>
    </w:p>
    <w:p w14:paraId="53189183">
      <w:pPr>
        <w:pStyle w:val="12"/>
        <w:rPr>
          <w:rFonts w:hint="eastAsia" w:ascii="宋体" w:hAnsi="宋体" w:eastAsia="宋体" w:cs="宋体"/>
        </w:rPr>
      </w:pPr>
    </w:p>
    <w:p w14:paraId="7312B70E">
      <w:pPr>
        <w:pStyle w:val="22"/>
        <w:rPr>
          <w:rFonts w:hint="eastAsia" w:ascii="宋体" w:hAnsi="宋体" w:eastAsia="宋体" w:cs="宋体"/>
        </w:rPr>
      </w:pPr>
    </w:p>
    <w:p w14:paraId="3EAEAC2A">
      <w:pPr>
        <w:pStyle w:val="3"/>
        <w:spacing w:before="54"/>
        <w:ind w:left="668" w:right="945"/>
        <w:jc w:val="center"/>
        <w:rPr>
          <w:rFonts w:hint="eastAsia" w:ascii="宋体" w:hAnsi="宋体" w:eastAsia="宋体" w:cs="宋体"/>
          <w:kern w:val="0"/>
          <w:sz w:val="32"/>
          <w:szCs w:val="32"/>
          <w:lang w:bidi="zh-CN"/>
        </w:rPr>
      </w:pPr>
      <w:bookmarkStart w:id="37" w:name="_Toc4868"/>
      <w:r>
        <w:rPr>
          <w:rFonts w:hint="eastAsia" w:ascii="宋体" w:hAnsi="宋体" w:eastAsia="宋体" w:cs="宋体"/>
          <w:kern w:val="0"/>
          <w:sz w:val="32"/>
          <w:szCs w:val="32"/>
          <w:lang w:val="zh-CN" w:bidi="zh-CN"/>
        </w:rPr>
        <w:t>七、附件</w:t>
      </w:r>
      <w:bookmarkEnd w:id="37"/>
    </w:p>
    <w:p w14:paraId="79AC0014">
      <w:pPr>
        <w:pStyle w:val="9"/>
        <w:ind w:firstLine="0" w:firstLineChars="0"/>
        <w:jc w:val="center"/>
        <w:outlineLvl w:val="0"/>
        <w:rPr>
          <w:rFonts w:hint="eastAsia" w:ascii="宋体" w:hAnsi="宋体" w:eastAsia="宋体" w:cs="宋体"/>
          <w:b/>
          <w:color w:val="000000"/>
          <w:sz w:val="28"/>
          <w:szCs w:val="28"/>
          <w:lang w:val="zh-CN"/>
        </w:rPr>
      </w:pPr>
      <w:bookmarkStart w:id="38" w:name="_Toc29097"/>
      <w:bookmarkStart w:id="39" w:name="_Toc4819"/>
      <w:r>
        <w:rPr>
          <w:rFonts w:hint="eastAsia" w:ascii="宋体" w:hAnsi="宋体" w:eastAsia="宋体" w:cs="宋体"/>
          <w:b/>
          <w:color w:val="000000"/>
          <w:sz w:val="28"/>
          <w:szCs w:val="28"/>
          <w:lang w:val="zh-CN"/>
        </w:rPr>
        <w:t>中小企业声明函</w:t>
      </w:r>
      <w:bookmarkEnd w:id="38"/>
      <w:bookmarkEnd w:id="39"/>
    </w:p>
    <w:p w14:paraId="32EE1D8E">
      <w:pPr>
        <w:widowControl/>
        <w:spacing w:line="480" w:lineRule="auto"/>
        <w:ind w:firstLine="480" w:firstLineChars="200"/>
        <w:rPr>
          <w:rFonts w:hint="eastAsia" w:ascii="宋体" w:hAnsi="宋体" w:eastAsia="宋体" w:cs="宋体"/>
          <w:sz w:val="24"/>
          <w:szCs w:val="24"/>
        </w:rPr>
      </w:pPr>
      <w:r>
        <w:rPr>
          <w:rFonts w:hint="eastAsia" w:ascii="宋体" w:hAnsi="宋体" w:eastAsia="宋体" w:cs="宋体"/>
          <w:color w:val="000000"/>
          <w:kern w:val="0"/>
          <w:sz w:val="24"/>
          <w:szCs w:val="24"/>
        </w:rPr>
        <w:t>本公司郑重声明，根据《政府采购促进中小企业发展管理办法》（财库﹝2020﹞46 号）的规定，本公司参加</w:t>
      </w:r>
      <w:r>
        <w:rPr>
          <w:rFonts w:hint="eastAsia" w:ascii="宋体" w:hAnsi="宋体" w:eastAsia="宋体" w:cs="宋体"/>
          <w:color w:val="000000"/>
          <w:kern w:val="0"/>
          <w:sz w:val="24"/>
          <w:szCs w:val="24"/>
          <w:u w:val="single"/>
        </w:rPr>
        <w:t>（单位名称）</w:t>
      </w:r>
      <w:r>
        <w:rPr>
          <w:rFonts w:hint="eastAsia" w:ascii="宋体" w:hAnsi="宋体" w:eastAsia="宋体" w:cs="宋体"/>
          <w:color w:val="000000"/>
          <w:kern w:val="0"/>
          <w:sz w:val="24"/>
          <w:szCs w:val="24"/>
        </w:rPr>
        <w:t>的</w:t>
      </w:r>
      <w:r>
        <w:rPr>
          <w:rFonts w:hint="eastAsia" w:ascii="宋体" w:hAnsi="宋体" w:eastAsia="宋体" w:cs="宋体"/>
          <w:color w:val="000000"/>
          <w:kern w:val="0"/>
          <w:sz w:val="24"/>
          <w:szCs w:val="24"/>
          <w:u w:val="single"/>
        </w:rPr>
        <w:t>（项目名称）</w:t>
      </w:r>
      <w:r>
        <w:rPr>
          <w:rFonts w:hint="eastAsia" w:ascii="宋体" w:hAnsi="宋体" w:eastAsia="宋体" w:cs="宋体"/>
          <w:color w:val="000000"/>
          <w:kern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402216E9">
      <w:pPr>
        <w:widowControl/>
        <w:spacing w:line="48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u w:val="single"/>
        </w:rPr>
        <w:t xml:space="preserve">（标的名称） </w:t>
      </w:r>
      <w:r>
        <w:rPr>
          <w:rFonts w:hint="eastAsia" w:ascii="宋体" w:hAnsi="宋体" w:eastAsia="宋体" w:cs="宋体"/>
          <w:color w:val="000000"/>
          <w:kern w:val="0"/>
          <w:sz w:val="24"/>
          <w:szCs w:val="24"/>
        </w:rPr>
        <w:t>，属于（采购文件中明确的所属行业）；承建（承接）企业为</w:t>
      </w:r>
      <w:r>
        <w:rPr>
          <w:rFonts w:hint="eastAsia" w:ascii="宋体" w:hAnsi="宋体" w:eastAsia="宋体" w:cs="宋体"/>
          <w:color w:val="000000"/>
          <w:kern w:val="0"/>
          <w:sz w:val="24"/>
          <w:szCs w:val="24"/>
          <w:u w:val="single"/>
        </w:rPr>
        <w:t>（企业名称）</w:t>
      </w:r>
      <w:r>
        <w:rPr>
          <w:rFonts w:hint="eastAsia" w:ascii="宋体" w:hAnsi="宋体" w:eastAsia="宋体" w:cs="宋体"/>
          <w:color w:val="000000"/>
          <w:kern w:val="0"/>
          <w:sz w:val="24"/>
          <w:szCs w:val="24"/>
        </w:rPr>
        <w:t>，从业人员人，营业收入为万元，资产总额为万元，属于</w:t>
      </w:r>
      <w:r>
        <w:rPr>
          <w:rFonts w:hint="eastAsia" w:ascii="宋体" w:hAnsi="宋体" w:eastAsia="宋体" w:cs="宋体"/>
          <w:color w:val="000000"/>
          <w:kern w:val="0"/>
          <w:sz w:val="24"/>
          <w:szCs w:val="24"/>
          <w:u w:val="single"/>
        </w:rPr>
        <w:t>（中型企业、小型企业、微型企业）</w:t>
      </w:r>
      <w:r>
        <w:rPr>
          <w:rFonts w:hint="eastAsia" w:ascii="宋体" w:hAnsi="宋体" w:eastAsia="宋体" w:cs="宋体"/>
          <w:color w:val="000000"/>
          <w:kern w:val="0"/>
          <w:sz w:val="24"/>
          <w:szCs w:val="24"/>
        </w:rPr>
        <w:t xml:space="preserve">； </w:t>
      </w:r>
    </w:p>
    <w:p w14:paraId="17D7489C">
      <w:pPr>
        <w:widowControl/>
        <w:spacing w:line="48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2. </w:t>
      </w:r>
      <w:r>
        <w:rPr>
          <w:rFonts w:hint="eastAsia" w:ascii="宋体" w:hAnsi="宋体" w:eastAsia="宋体" w:cs="宋体"/>
          <w:color w:val="000000"/>
          <w:kern w:val="0"/>
          <w:sz w:val="24"/>
          <w:szCs w:val="24"/>
          <w:u w:val="single"/>
        </w:rPr>
        <w:t xml:space="preserve">（标的名称） </w:t>
      </w:r>
      <w:r>
        <w:rPr>
          <w:rFonts w:hint="eastAsia" w:ascii="宋体" w:hAnsi="宋体" w:eastAsia="宋体" w:cs="宋体"/>
          <w:color w:val="000000"/>
          <w:kern w:val="0"/>
          <w:sz w:val="24"/>
          <w:szCs w:val="24"/>
        </w:rPr>
        <w:t>，属于</w:t>
      </w:r>
      <w:r>
        <w:rPr>
          <w:rFonts w:hint="eastAsia" w:ascii="宋体" w:hAnsi="宋体" w:eastAsia="宋体" w:cs="宋体"/>
          <w:color w:val="000000"/>
          <w:kern w:val="0"/>
          <w:sz w:val="24"/>
          <w:szCs w:val="24"/>
          <w:u w:val="single"/>
        </w:rPr>
        <w:t>（采购文件中明确的所属行业）</w:t>
      </w:r>
      <w:r>
        <w:rPr>
          <w:rFonts w:hint="eastAsia" w:ascii="宋体" w:hAnsi="宋体" w:eastAsia="宋体" w:cs="宋体"/>
          <w:color w:val="000000"/>
          <w:kern w:val="0"/>
          <w:sz w:val="24"/>
          <w:szCs w:val="24"/>
        </w:rPr>
        <w:t>； 承建（承接）企业为</w:t>
      </w:r>
      <w:r>
        <w:rPr>
          <w:rFonts w:hint="eastAsia" w:ascii="宋体" w:hAnsi="宋体" w:eastAsia="宋体" w:cs="宋体"/>
          <w:color w:val="000000"/>
          <w:kern w:val="0"/>
          <w:sz w:val="24"/>
          <w:szCs w:val="24"/>
          <w:u w:val="single"/>
        </w:rPr>
        <w:t>（企业名称）</w:t>
      </w:r>
      <w:r>
        <w:rPr>
          <w:rFonts w:hint="eastAsia" w:ascii="宋体" w:hAnsi="宋体" w:eastAsia="宋体" w:cs="宋体"/>
          <w:color w:val="000000"/>
          <w:kern w:val="0"/>
          <w:sz w:val="24"/>
          <w:szCs w:val="24"/>
        </w:rPr>
        <w:t>，从业人员人，营业收入为万元，资产总额为万元，属于</w:t>
      </w:r>
      <w:r>
        <w:rPr>
          <w:rFonts w:hint="eastAsia" w:ascii="宋体" w:hAnsi="宋体" w:eastAsia="宋体" w:cs="宋体"/>
          <w:color w:val="000000"/>
          <w:kern w:val="0"/>
          <w:sz w:val="24"/>
          <w:szCs w:val="24"/>
          <w:u w:val="single"/>
        </w:rPr>
        <w:t>（中型企业、 小型企业、微型企业）</w:t>
      </w:r>
      <w:r>
        <w:rPr>
          <w:rFonts w:hint="eastAsia" w:ascii="宋体" w:hAnsi="宋体" w:eastAsia="宋体" w:cs="宋体"/>
          <w:color w:val="000000"/>
          <w:kern w:val="0"/>
          <w:sz w:val="24"/>
          <w:szCs w:val="24"/>
        </w:rPr>
        <w:t xml:space="preserve">； </w:t>
      </w:r>
    </w:p>
    <w:p w14:paraId="542A279F">
      <w:pPr>
        <w:widowControl/>
        <w:spacing w:line="48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以上企业，不属于大企业的分支机构，不存在控股股东为大企业的情形，也不存在与大企业的负责人为同一人的情形。本企业对上述声明内容的真实性负责。如有虚假，将依法承担相应责任。 </w:t>
      </w:r>
    </w:p>
    <w:p w14:paraId="62D871D9">
      <w:pPr>
        <w:widowControl/>
        <w:spacing w:line="480" w:lineRule="auto"/>
        <w:ind w:firstLine="4080" w:firstLineChars="1700"/>
        <w:rPr>
          <w:rFonts w:hint="eastAsia" w:ascii="宋体" w:hAnsi="宋体" w:eastAsia="宋体" w:cs="宋体"/>
          <w:color w:val="000000"/>
          <w:kern w:val="0"/>
          <w:sz w:val="24"/>
          <w:szCs w:val="24"/>
        </w:rPr>
      </w:pPr>
    </w:p>
    <w:p w14:paraId="628456D9">
      <w:pPr>
        <w:widowControl/>
        <w:spacing w:line="480" w:lineRule="auto"/>
        <w:ind w:firstLine="4080" w:firstLineChars="17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企业名称（盖章）： </w:t>
      </w:r>
    </w:p>
    <w:p w14:paraId="62B9DD4A">
      <w:pPr>
        <w:spacing w:line="480" w:lineRule="auto"/>
        <w:ind w:firstLine="4320" w:firstLineChars="1800"/>
        <w:rPr>
          <w:rFonts w:hint="eastAsia" w:ascii="宋体" w:hAnsi="宋体" w:eastAsia="宋体" w:cs="宋体"/>
          <w:sz w:val="24"/>
          <w:szCs w:val="24"/>
        </w:rPr>
      </w:pPr>
      <w:r>
        <w:rPr>
          <w:rFonts w:hint="eastAsia" w:ascii="宋体" w:hAnsi="宋体" w:eastAsia="宋体" w:cs="宋体"/>
          <w:color w:val="000000"/>
          <w:kern w:val="0"/>
          <w:sz w:val="24"/>
          <w:szCs w:val="24"/>
        </w:rPr>
        <w:t>日    期：</w:t>
      </w:r>
    </w:p>
    <w:p w14:paraId="0BE9BAC9">
      <w:pPr>
        <w:widowControl/>
        <w:spacing w:line="48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从业人员、营业收入、资产总额填报上一年度数据，无上一年度数据的新成立企业可不填报。</w:t>
      </w:r>
    </w:p>
    <w:p w14:paraId="5F9BF2C2">
      <w:pPr>
        <w:pStyle w:val="4"/>
        <w:rPr>
          <w:rFonts w:hint="eastAsia" w:ascii="宋体" w:hAnsi="宋体" w:eastAsia="宋体" w:cs="宋体"/>
        </w:rPr>
      </w:pPr>
    </w:p>
    <w:p w14:paraId="2A03EF40">
      <w:pPr>
        <w:rPr>
          <w:rFonts w:hint="eastAsia" w:ascii="宋体" w:hAnsi="宋体" w:eastAsia="宋体" w:cs="宋体"/>
        </w:rPr>
      </w:pPr>
    </w:p>
    <w:p w14:paraId="11B0BBC0">
      <w:pPr>
        <w:rPr>
          <w:rFonts w:hint="eastAsia" w:ascii="宋体" w:hAnsi="宋体" w:eastAsia="宋体" w:cs="宋体"/>
          <w:szCs w:val="21"/>
        </w:rPr>
      </w:pPr>
    </w:p>
    <w:p w14:paraId="7E50792D">
      <w:pPr>
        <w:autoSpaceDE w:val="0"/>
        <w:autoSpaceDN w:val="0"/>
        <w:adjustRightInd w:val="0"/>
        <w:spacing w:line="360" w:lineRule="auto"/>
        <w:jc w:val="center"/>
        <w:rPr>
          <w:rFonts w:hint="eastAsia" w:ascii="宋体" w:hAnsi="宋体" w:eastAsia="宋体" w:cs="宋体"/>
          <w:b/>
          <w:color w:val="000000"/>
          <w:sz w:val="24"/>
          <w:szCs w:val="24"/>
          <w:lang w:val="zh-CN"/>
        </w:rPr>
      </w:pPr>
      <w:r>
        <w:rPr>
          <w:rFonts w:hint="eastAsia" w:ascii="宋体" w:hAnsi="宋体" w:eastAsia="宋体" w:cs="宋体"/>
          <w:b/>
          <w:color w:val="000000"/>
          <w:sz w:val="24"/>
          <w:szCs w:val="24"/>
          <w:lang w:val="zh-CN"/>
        </w:rPr>
        <w:t>残疾人福利性单位声明函</w:t>
      </w:r>
    </w:p>
    <w:p w14:paraId="11BE8881">
      <w:pPr>
        <w:autoSpaceDE w:val="0"/>
        <w:autoSpaceDN w:val="0"/>
        <w:adjustRightInd w:val="0"/>
        <w:spacing w:line="360" w:lineRule="auto"/>
        <w:ind w:firstLine="420" w:firstLineChars="200"/>
        <w:jc w:val="left"/>
        <w:rPr>
          <w:rFonts w:hint="eastAsia" w:ascii="宋体" w:hAnsi="宋体" w:eastAsia="宋体" w:cs="宋体"/>
          <w:bCs/>
          <w:color w:val="000000"/>
          <w:szCs w:val="21"/>
          <w:lang w:val="zh-CN"/>
        </w:rPr>
      </w:pPr>
    </w:p>
    <w:p w14:paraId="1C84364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zh-CN"/>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F0F21F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zh-CN"/>
        </w:rPr>
        <w:t>本单位对上述声明的真实性负责。如有虚假，将依法承担相应责任。</w:t>
      </w:r>
    </w:p>
    <w:p w14:paraId="4D479DC4">
      <w:pPr>
        <w:autoSpaceDE w:val="0"/>
        <w:autoSpaceDN w:val="0"/>
        <w:adjustRightInd w:val="0"/>
        <w:spacing w:line="360" w:lineRule="auto"/>
        <w:ind w:firstLine="400" w:firstLineChars="200"/>
        <w:jc w:val="left"/>
        <w:rPr>
          <w:rFonts w:hint="eastAsia" w:ascii="宋体" w:hAnsi="宋体" w:eastAsia="宋体" w:cs="宋体"/>
          <w:bCs/>
          <w:color w:val="000000"/>
          <w:sz w:val="20"/>
          <w:szCs w:val="20"/>
          <w:lang w:val="zh-CN"/>
        </w:rPr>
      </w:pPr>
    </w:p>
    <w:p w14:paraId="7E8A1A21">
      <w:pPr>
        <w:autoSpaceDE w:val="0"/>
        <w:autoSpaceDN w:val="0"/>
        <w:adjustRightInd w:val="0"/>
        <w:spacing w:line="360" w:lineRule="auto"/>
        <w:ind w:firstLine="400" w:firstLineChars="200"/>
        <w:jc w:val="left"/>
        <w:rPr>
          <w:rFonts w:hint="eastAsia" w:ascii="宋体" w:hAnsi="宋体" w:eastAsia="宋体" w:cs="宋体"/>
          <w:bCs/>
          <w:color w:val="000000"/>
          <w:sz w:val="20"/>
          <w:szCs w:val="20"/>
          <w:lang w:val="zh-CN"/>
        </w:rPr>
      </w:pPr>
    </w:p>
    <w:p w14:paraId="0716DD9F">
      <w:pPr>
        <w:autoSpaceDE w:val="0"/>
        <w:autoSpaceDN w:val="0"/>
        <w:adjustRightInd w:val="0"/>
        <w:spacing w:line="360" w:lineRule="auto"/>
        <w:ind w:firstLine="3840" w:firstLineChars="1600"/>
        <w:jc w:val="left"/>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zh-CN"/>
        </w:rPr>
        <w:t>单位名称（盖章）：</w:t>
      </w:r>
    </w:p>
    <w:p w14:paraId="7C1627F1">
      <w:pPr>
        <w:autoSpaceDE w:val="0"/>
        <w:autoSpaceDN w:val="0"/>
        <w:adjustRightInd w:val="0"/>
        <w:spacing w:line="360" w:lineRule="auto"/>
        <w:ind w:firstLine="3840" w:firstLineChars="1600"/>
        <w:jc w:val="left"/>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zh-CN"/>
        </w:rPr>
        <w:t>日  期：</w:t>
      </w:r>
    </w:p>
    <w:p w14:paraId="4218B5EB">
      <w:pPr>
        <w:adjustRightInd w:val="0"/>
        <w:snapToGrid w:val="0"/>
        <w:spacing w:line="360" w:lineRule="auto"/>
        <w:jc w:val="left"/>
        <w:rPr>
          <w:rFonts w:hint="eastAsia" w:ascii="宋体" w:hAnsi="宋体" w:eastAsia="宋体" w:cs="宋体"/>
          <w:color w:val="000000"/>
          <w:sz w:val="24"/>
          <w:szCs w:val="24"/>
        </w:rPr>
      </w:pPr>
    </w:p>
    <w:p w14:paraId="202450AB">
      <w:pPr>
        <w:tabs>
          <w:tab w:val="left" w:pos="1620"/>
          <w:tab w:val="left" w:pos="1800"/>
        </w:tabs>
        <w:spacing w:line="360" w:lineRule="auto"/>
        <w:ind w:right="540" w:rightChars="257"/>
        <w:jc w:val="left"/>
        <w:rPr>
          <w:rFonts w:hint="eastAsia" w:ascii="宋体" w:hAnsi="宋体" w:eastAsia="宋体" w:cs="宋体"/>
          <w:color w:val="000000"/>
          <w:sz w:val="24"/>
          <w:szCs w:val="24"/>
        </w:rPr>
      </w:pPr>
    </w:p>
    <w:p w14:paraId="734DC625">
      <w:pPr>
        <w:pStyle w:val="72"/>
        <w:ind w:firstLine="480"/>
        <w:rPr>
          <w:rFonts w:hint="eastAsia" w:ascii="宋体" w:hAnsi="宋体" w:eastAsia="宋体" w:cs="宋体"/>
          <w:color w:val="000000"/>
          <w:sz w:val="24"/>
          <w:szCs w:val="24"/>
        </w:rPr>
      </w:pPr>
    </w:p>
    <w:p w14:paraId="170CED09">
      <w:pPr>
        <w:pStyle w:val="72"/>
        <w:ind w:firstLine="480"/>
        <w:rPr>
          <w:rFonts w:hint="eastAsia" w:ascii="宋体" w:hAnsi="宋体" w:eastAsia="宋体" w:cs="宋体"/>
          <w:color w:val="000000"/>
          <w:sz w:val="24"/>
          <w:szCs w:val="24"/>
        </w:rPr>
      </w:pPr>
    </w:p>
    <w:p w14:paraId="630A5069">
      <w:pPr>
        <w:pStyle w:val="72"/>
        <w:ind w:firstLine="0" w:firstLineChars="0"/>
        <w:rPr>
          <w:rFonts w:hint="eastAsia" w:ascii="宋体" w:hAnsi="宋体" w:eastAsia="宋体" w:cs="宋体"/>
          <w:color w:val="000000"/>
          <w:sz w:val="24"/>
          <w:szCs w:val="24"/>
        </w:rPr>
      </w:pPr>
    </w:p>
    <w:p w14:paraId="5CC3A721">
      <w:pPr>
        <w:pStyle w:val="72"/>
        <w:ind w:firstLine="480"/>
        <w:rPr>
          <w:rFonts w:hint="eastAsia" w:ascii="宋体" w:hAnsi="宋体" w:eastAsia="宋体" w:cs="宋体"/>
          <w:color w:val="000000"/>
          <w:sz w:val="24"/>
          <w:szCs w:val="24"/>
        </w:rPr>
      </w:pPr>
    </w:p>
    <w:p w14:paraId="2F318B12">
      <w:pPr>
        <w:pStyle w:val="72"/>
        <w:ind w:firstLine="480"/>
        <w:rPr>
          <w:rFonts w:hint="eastAsia" w:ascii="宋体" w:hAnsi="宋体" w:eastAsia="宋体" w:cs="宋体"/>
          <w:color w:val="000000"/>
          <w:sz w:val="24"/>
          <w:szCs w:val="24"/>
        </w:rPr>
      </w:pPr>
    </w:p>
    <w:p w14:paraId="1890543A">
      <w:pPr>
        <w:autoSpaceDE w:val="0"/>
        <w:autoSpaceDN w:val="0"/>
        <w:adjustRightInd w:val="0"/>
        <w:spacing w:line="360" w:lineRule="auto"/>
        <w:ind w:firstLine="480" w:firstLineChars="200"/>
        <w:jc w:val="left"/>
        <w:rPr>
          <w:rFonts w:hint="eastAsia" w:ascii="宋体" w:hAnsi="宋体" w:eastAsia="宋体" w:cs="宋体"/>
          <w:bCs/>
          <w:color w:val="000000"/>
          <w:sz w:val="24"/>
          <w:szCs w:val="24"/>
          <w:lang w:val="zh-CN"/>
        </w:rPr>
      </w:pPr>
    </w:p>
    <w:p w14:paraId="418476EF">
      <w:pPr>
        <w:autoSpaceDE w:val="0"/>
        <w:autoSpaceDN w:val="0"/>
        <w:adjustRightInd w:val="0"/>
        <w:spacing w:line="360" w:lineRule="auto"/>
        <w:jc w:val="left"/>
        <w:rPr>
          <w:rFonts w:hint="eastAsia" w:ascii="宋体" w:hAnsi="宋体" w:eastAsia="宋体" w:cs="宋体"/>
          <w:b/>
          <w:color w:val="000000"/>
          <w:sz w:val="24"/>
          <w:szCs w:val="24"/>
          <w:lang w:val="zh-CN"/>
        </w:rPr>
      </w:pPr>
      <w:r>
        <w:rPr>
          <w:rFonts w:hint="eastAsia" w:ascii="宋体" w:hAnsi="宋体" w:eastAsia="宋体" w:cs="宋体"/>
          <w:bCs/>
          <w:color w:val="000000"/>
          <w:sz w:val="24"/>
          <w:szCs w:val="24"/>
          <w:lang w:val="zh-CN"/>
        </w:rPr>
        <w:t>注：投标人应仔细阅读《财政部 民政部 中国残疾人联合会关于促进残疾人就业政府采购政策的通知》，并如实填写本表，符合条件的投标人未按上述要求提供、填写的，评审时不予以考虑。</w:t>
      </w:r>
      <w:r>
        <w:rPr>
          <w:rFonts w:hint="eastAsia" w:ascii="宋体" w:hAnsi="宋体" w:eastAsia="宋体" w:cs="宋体"/>
          <w:b/>
          <w:color w:val="000000"/>
          <w:sz w:val="24"/>
          <w:szCs w:val="24"/>
          <w:lang w:val="zh-CN"/>
        </w:rPr>
        <w:t>不符合条件的投标人无需填写，如果出现虚假应标，由此产生的后果由投标人自行负责。</w:t>
      </w:r>
    </w:p>
    <w:p w14:paraId="5F915463">
      <w:pPr>
        <w:pStyle w:val="12"/>
        <w:spacing w:line="360" w:lineRule="auto"/>
        <w:jc w:val="left"/>
        <w:rPr>
          <w:rFonts w:hint="eastAsia" w:ascii="宋体" w:hAnsi="宋体" w:eastAsia="宋体" w:cs="宋体"/>
          <w:color w:val="000000"/>
          <w:szCs w:val="21"/>
        </w:rPr>
      </w:pPr>
    </w:p>
    <w:p w14:paraId="56EF1E9B">
      <w:pPr>
        <w:rPr>
          <w:rFonts w:hint="eastAsia" w:ascii="宋体" w:hAnsi="宋体" w:eastAsia="宋体" w:cs="宋体"/>
          <w:color w:val="000000"/>
          <w:szCs w:val="21"/>
        </w:rPr>
      </w:pPr>
    </w:p>
    <w:p w14:paraId="51ECC4C6">
      <w:pPr>
        <w:pStyle w:val="72"/>
        <w:rPr>
          <w:rFonts w:hint="eastAsia" w:ascii="宋体" w:hAnsi="宋体" w:eastAsia="宋体" w:cs="宋体"/>
          <w:color w:val="000000"/>
          <w:szCs w:val="21"/>
        </w:rPr>
      </w:pPr>
    </w:p>
    <w:p w14:paraId="428568B9">
      <w:pPr>
        <w:pStyle w:val="72"/>
        <w:rPr>
          <w:rFonts w:hint="eastAsia" w:ascii="宋体" w:hAnsi="宋体" w:eastAsia="宋体" w:cs="宋体"/>
          <w:color w:val="000000"/>
          <w:szCs w:val="21"/>
        </w:rPr>
      </w:pPr>
    </w:p>
    <w:p w14:paraId="2BB8B925">
      <w:pPr>
        <w:pStyle w:val="72"/>
        <w:rPr>
          <w:rFonts w:hint="eastAsia" w:ascii="宋体" w:hAnsi="宋体" w:eastAsia="宋体" w:cs="宋体"/>
          <w:color w:val="000000"/>
          <w:szCs w:val="21"/>
        </w:rPr>
      </w:pPr>
    </w:p>
    <w:p w14:paraId="5F42597D">
      <w:pPr>
        <w:pStyle w:val="72"/>
        <w:rPr>
          <w:rFonts w:hint="eastAsia" w:ascii="宋体" w:hAnsi="宋体" w:eastAsia="宋体" w:cs="宋体"/>
          <w:color w:val="000000"/>
          <w:szCs w:val="21"/>
        </w:rPr>
      </w:pPr>
    </w:p>
    <w:p w14:paraId="1E09953B">
      <w:pPr>
        <w:pStyle w:val="72"/>
        <w:rPr>
          <w:rFonts w:hint="eastAsia" w:ascii="宋体" w:hAnsi="宋体" w:eastAsia="宋体" w:cs="宋体"/>
          <w:color w:val="000000"/>
          <w:szCs w:val="21"/>
        </w:rPr>
      </w:pPr>
    </w:p>
    <w:p w14:paraId="0B9E58BE">
      <w:pPr>
        <w:pStyle w:val="72"/>
        <w:rPr>
          <w:rFonts w:hint="eastAsia" w:ascii="宋体" w:hAnsi="宋体" w:eastAsia="宋体" w:cs="宋体"/>
          <w:color w:val="000000"/>
          <w:szCs w:val="21"/>
        </w:rPr>
      </w:pPr>
    </w:p>
    <w:p w14:paraId="0AD586FF">
      <w:pPr>
        <w:pStyle w:val="72"/>
        <w:rPr>
          <w:rFonts w:hint="eastAsia" w:ascii="宋体" w:hAnsi="宋体" w:eastAsia="宋体" w:cs="宋体"/>
          <w:color w:val="000000"/>
          <w:szCs w:val="21"/>
        </w:rPr>
      </w:pPr>
    </w:p>
    <w:p w14:paraId="3169EF4D">
      <w:pPr>
        <w:pStyle w:val="72"/>
        <w:rPr>
          <w:rFonts w:hint="eastAsia" w:ascii="宋体" w:hAnsi="宋体" w:eastAsia="宋体" w:cs="宋体"/>
          <w:color w:val="000000"/>
          <w:szCs w:val="21"/>
        </w:rPr>
      </w:pPr>
    </w:p>
    <w:p w14:paraId="3F60A688">
      <w:pPr>
        <w:pStyle w:val="12"/>
        <w:spacing w:line="360" w:lineRule="auto"/>
        <w:jc w:val="center"/>
        <w:rPr>
          <w:rFonts w:hint="eastAsia" w:ascii="宋体" w:hAnsi="宋体" w:eastAsia="宋体" w:cs="宋体"/>
          <w:b/>
          <w:bCs/>
          <w:color w:val="000000"/>
          <w:sz w:val="24"/>
        </w:rPr>
      </w:pPr>
      <w:r>
        <w:rPr>
          <w:rFonts w:hint="eastAsia" w:ascii="宋体" w:hAnsi="宋体" w:eastAsia="宋体" w:cs="宋体"/>
          <w:b/>
          <w:bCs/>
          <w:color w:val="000000"/>
          <w:sz w:val="24"/>
        </w:rPr>
        <w:t>监狱企业证明文件</w:t>
      </w:r>
    </w:p>
    <w:p w14:paraId="76B2BDC4">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599947F">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监狱企业参加政府采购活动时，应当提供由省级以上监狱管理局、戒毒管理局（含新疆生产建设兵团）出具的属于监狱企业的证明文件。</w:t>
      </w:r>
    </w:p>
    <w:p w14:paraId="1789CA30">
      <w:pPr>
        <w:spacing w:line="360" w:lineRule="auto"/>
        <w:rPr>
          <w:rFonts w:hint="eastAsia" w:ascii="宋体" w:hAnsi="宋体" w:eastAsia="宋体" w:cs="宋体"/>
          <w:b/>
          <w:color w:val="000000"/>
          <w:sz w:val="24"/>
          <w:szCs w:val="24"/>
        </w:rPr>
      </w:pPr>
    </w:p>
    <w:p w14:paraId="1B7EFC06">
      <w:pPr>
        <w:rPr>
          <w:rFonts w:hint="eastAsia" w:ascii="宋体" w:hAnsi="宋体" w:eastAsia="宋体" w:cs="宋体"/>
          <w:b/>
          <w:color w:val="000000"/>
          <w:sz w:val="24"/>
          <w:szCs w:val="24"/>
        </w:rPr>
      </w:pPr>
    </w:p>
    <w:p w14:paraId="260447BB">
      <w:pPr>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说明：</w:t>
      </w:r>
    </w:p>
    <w:p w14:paraId="63F6D721">
      <w:pPr>
        <w:adjustRightInd w:val="0"/>
        <w:snapToGrid w:val="0"/>
        <w:spacing w:line="360" w:lineRule="auto"/>
        <w:ind w:firstLine="525"/>
        <w:rPr>
          <w:rFonts w:hint="eastAsia" w:ascii="宋体" w:hAnsi="宋体" w:eastAsia="宋体" w:cs="宋体"/>
          <w:bCs/>
          <w:color w:val="000000"/>
          <w:sz w:val="24"/>
          <w:szCs w:val="24"/>
        </w:rPr>
      </w:pPr>
      <w:r>
        <w:rPr>
          <w:rFonts w:hint="eastAsia" w:ascii="宋体" w:hAnsi="宋体" w:eastAsia="宋体" w:cs="宋体"/>
          <w:bCs/>
          <w:color w:val="000000"/>
          <w:sz w:val="24"/>
          <w:szCs w:val="24"/>
        </w:rPr>
        <w:t>1.无格式要求，由出具监狱企业证明的单位自行拟定；</w:t>
      </w:r>
    </w:p>
    <w:p w14:paraId="3DEF3071">
      <w:pPr>
        <w:adjustRightInd w:val="0"/>
        <w:snapToGrid w:val="0"/>
        <w:spacing w:line="360" w:lineRule="auto"/>
        <w:ind w:firstLine="525"/>
        <w:rPr>
          <w:rFonts w:hint="eastAsia" w:ascii="宋体" w:hAnsi="宋体" w:eastAsia="宋体" w:cs="宋体"/>
          <w:color w:val="000000"/>
          <w:sz w:val="24"/>
          <w:szCs w:val="24"/>
        </w:rPr>
      </w:pPr>
      <w:r>
        <w:rPr>
          <w:rFonts w:hint="eastAsia" w:ascii="宋体" w:hAnsi="宋体" w:eastAsia="宋体" w:cs="宋体"/>
          <w:color w:val="000000"/>
          <w:sz w:val="24"/>
          <w:szCs w:val="24"/>
        </w:rPr>
        <w:t>2.投标人未提供的，评审时不视为中小企业。</w:t>
      </w:r>
    </w:p>
    <w:p w14:paraId="4A9946DB">
      <w:pPr>
        <w:adjustRightInd w:val="0"/>
        <w:snapToGrid w:val="0"/>
        <w:spacing w:line="360" w:lineRule="auto"/>
        <w:ind w:firstLine="525"/>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b/>
          <w:bCs/>
          <w:color w:val="000000"/>
          <w:sz w:val="24"/>
          <w:szCs w:val="24"/>
        </w:rPr>
        <w:t>如实填写，不符合条件的投标人无需填写。如果出现虚假应标，由此产生的后果由投标人自行负责。</w:t>
      </w:r>
    </w:p>
    <w:p w14:paraId="20333825">
      <w:pPr>
        <w:pStyle w:val="26"/>
        <w:ind w:firstLine="240"/>
        <w:rPr>
          <w:rFonts w:hint="eastAsia" w:ascii="宋体" w:hAnsi="宋体" w:eastAsia="宋体" w:cs="宋体"/>
          <w:sz w:val="24"/>
        </w:rPr>
      </w:pPr>
    </w:p>
    <w:p w14:paraId="4DDFC50C">
      <w:pPr>
        <w:spacing w:line="360" w:lineRule="auto"/>
        <w:rPr>
          <w:rFonts w:hint="eastAsia" w:ascii="宋体" w:hAnsi="宋体" w:eastAsia="宋体" w:cs="宋体"/>
          <w:sz w:val="24"/>
          <w:szCs w:val="24"/>
        </w:rPr>
      </w:pPr>
    </w:p>
    <w:p w14:paraId="0FCCD79D">
      <w:pPr>
        <w:pStyle w:val="27"/>
        <w:tabs>
          <w:tab w:val="left" w:pos="4900"/>
        </w:tabs>
        <w:spacing w:before="156" w:after="156"/>
        <w:ind w:firstLine="0" w:firstLineChars="0"/>
        <w:rPr>
          <w:rFonts w:hint="eastAsia" w:ascii="宋体" w:hAnsi="宋体" w:eastAsia="宋体" w:cs="宋体"/>
          <w:sz w:val="24"/>
        </w:rPr>
      </w:pPr>
    </w:p>
    <w:p w14:paraId="728D5441">
      <w:pPr>
        <w:pStyle w:val="27"/>
        <w:tabs>
          <w:tab w:val="left" w:pos="4900"/>
        </w:tabs>
        <w:spacing w:before="156" w:after="156"/>
        <w:ind w:firstLine="0" w:firstLineChars="0"/>
        <w:rPr>
          <w:rFonts w:hint="eastAsia" w:ascii="宋体" w:hAnsi="宋体" w:eastAsia="宋体" w:cs="宋体"/>
          <w:sz w:val="24"/>
        </w:rPr>
      </w:pPr>
    </w:p>
    <w:p w14:paraId="5BBD05CD">
      <w:pPr>
        <w:pStyle w:val="27"/>
        <w:tabs>
          <w:tab w:val="left" w:pos="4900"/>
        </w:tabs>
        <w:spacing w:before="156" w:after="156"/>
        <w:ind w:firstLine="0" w:firstLineChars="0"/>
        <w:rPr>
          <w:rFonts w:hint="eastAsia" w:ascii="宋体" w:hAnsi="宋体" w:eastAsia="宋体" w:cs="宋体"/>
          <w:sz w:val="24"/>
        </w:rPr>
      </w:pPr>
    </w:p>
    <w:p w14:paraId="05B0A2BE">
      <w:pPr>
        <w:pStyle w:val="27"/>
        <w:tabs>
          <w:tab w:val="left" w:pos="4900"/>
        </w:tabs>
        <w:spacing w:before="156" w:after="156"/>
        <w:ind w:firstLine="0" w:firstLineChars="0"/>
        <w:rPr>
          <w:rFonts w:hint="eastAsia" w:ascii="宋体" w:hAnsi="宋体" w:eastAsia="宋体" w:cs="宋体"/>
          <w:sz w:val="24"/>
        </w:rPr>
      </w:pPr>
    </w:p>
    <w:p w14:paraId="25BBABF5">
      <w:pPr>
        <w:pStyle w:val="27"/>
        <w:tabs>
          <w:tab w:val="left" w:pos="4900"/>
        </w:tabs>
        <w:spacing w:before="156" w:after="156"/>
        <w:ind w:firstLine="0" w:firstLineChars="0"/>
        <w:rPr>
          <w:rFonts w:hint="eastAsia" w:ascii="宋体" w:hAnsi="宋体" w:eastAsia="宋体" w:cs="宋体"/>
          <w:sz w:val="24"/>
        </w:rPr>
      </w:pPr>
    </w:p>
    <w:p w14:paraId="672C2933">
      <w:pPr>
        <w:pStyle w:val="27"/>
        <w:tabs>
          <w:tab w:val="left" w:pos="4900"/>
        </w:tabs>
        <w:spacing w:before="156" w:after="156"/>
        <w:ind w:firstLine="0" w:firstLineChars="0"/>
        <w:rPr>
          <w:rFonts w:hint="eastAsia" w:ascii="宋体" w:hAnsi="宋体" w:eastAsia="宋体" w:cs="宋体"/>
          <w:sz w:val="24"/>
        </w:rPr>
      </w:pPr>
    </w:p>
    <w:p w14:paraId="305810FA">
      <w:pPr>
        <w:pStyle w:val="27"/>
        <w:tabs>
          <w:tab w:val="left" w:pos="4900"/>
        </w:tabs>
        <w:spacing w:before="156" w:after="156"/>
        <w:ind w:firstLine="0" w:firstLineChars="0"/>
        <w:rPr>
          <w:rFonts w:hint="eastAsia" w:ascii="宋体" w:hAnsi="宋体" w:eastAsia="宋体" w:cs="宋体"/>
          <w:sz w:val="24"/>
        </w:rPr>
      </w:pPr>
    </w:p>
    <w:p w14:paraId="1DB1A8C5">
      <w:pPr>
        <w:pStyle w:val="27"/>
        <w:tabs>
          <w:tab w:val="left" w:pos="4900"/>
        </w:tabs>
        <w:spacing w:before="156" w:after="156"/>
        <w:ind w:firstLine="0" w:firstLineChars="0"/>
        <w:rPr>
          <w:rFonts w:hint="eastAsia" w:ascii="宋体" w:hAnsi="宋体" w:eastAsia="宋体" w:cs="宋体"/>
          <w:sz w:val="24"/>
        </w:rPr>
      </w:pPr>
    </w:p>
    <w:p w14:paraId="047624FF">
      <w:pPr>
        <w:pStyle w:val="27"/>
        <w:tabs>
          <w:tab w:val="left" w:pos="4900"/>
        </w:tabs>
        <w:spacing w:before="156" w:after="156"/>
        <w:ind w:firstLine="0" w:firstLineChars="0"/>
        <w:rPr>
          <w:rFonts w:hint="eastAsia" w:ascii="宋体" w:hAnsi="宋体" w:eastAsia="宋体" w:cs="宋体"/>
          <w:sz w:val="24"/>
        </w:rPr>
      </w:pPr>
    </w:p>
    <w:p w14:paraId="1DA63B6A">
      <w:pPr>
        <w:pStyle w:val="27"/>
        <w:tabs>
          <w:tab w:val="left" w:pos="4900"/>
        </w:tabs>
        <w:spacing w:before="156" w:after="156"/>
        <w:ind w:firstLine="0" w:firstLineChars="0"/>
        <w:rPr>
          <w:rFonts w:hint="eastAsia" w:ascii="宋体" w:hAnsi="宋体" w:eastAsia="宋体" w:cs="宋体"/>
          <w:sz w:val="24"/>
        </w:rPr>
      </w:pPr>
    </w:p>
    <w:p w14:paraId="411CB1B6">
      <w:pPr>
        <w:pStyle w:val="27"/>
        <w:tabs>
          <w:tab w:val="left" w:pos="4900"/>
        </w:tabs>
        <w:spacing w:before="156" w:after="156"/>
        <w:ind w:firstLine="0" w:firstLineChars="0"/>
        <w:rPr>
          <w:rFonts w:hint="eastAsia" w:ascii="宋体" w:hAnsi="宋体" w:eastAsia="宋体" w:cs="宋体"/>
          <w:sz w:val="24"/>
        </w:rPr>
      </w:pPr>
    </w:p>
    <w:p w14:paraId="229682CD">
      <w:pPr>
        <w:rPr>
          <w:rFonts w:hint="eastAsia" w:ascii="宋体" w:hAnsi="宋体" w:eastAsia="宋体" w:cs="宋体"/>
        </w:rPr>
      </w:pPr>
    </w:p>
    <w:p w14:paraId="20534A18">
      <w:pPr>
        <w:pStyle w:val="27"/>
        <w:tabs>
          <w:tab w:val="left" w:pos="4900"/>
        </w:tabs>
        <w:spacing w:before="156" w:after="156"/>
        <w:ind w:firstLine="0" w:firstLineChars="0"/>
        <w:rPr>
          <w:rFonts w:hint="eastAsia" w:ascii="宋体" w:hAnsi="宋体" w:eastAsia="宋体" w:cs="宋体"/>
          <w:sz w:val="24"/>
        </w:rPr>
      </w:pPr>
    </w:p>
    <w:p w14:paraId="5CEEF474">
      <w:pPr>
        <w:pStyle w:val="4"/>
        <w:jc w:val="center"/>
        <w:rPr>
          <w:rFonts w:hint="eastAsia" w:ascii="宋体" w:hAnsi="宋体" w:eastAsia="宋体" w:cs="宋体"/>
        </w:rPr>
      </w:pPr>
      <w:bookmarkStart w:id="40" w:name="_Toc2669"/>
      <w:r>
        <w:rPr>
          <w:rFonts w:hint="eastAsia" w:ascii="宋体" w:hAnsi="宋体" w:eastAsia="宋体" w:cs="宋体"/>
        </w:rPr>
        <w:t>“节能产品”，“环境标志产品”证明材料（若有）</w:t>
      </w:r>
      <w:bookmarkEnd w:id="40"/>
    </w:p>
    <w:p w14:paraId="4C523084">
      <w:pPr>
        <w:widowControl/>
        <w:spacing w:before="156" w:after="156"/>
        <w:ind w:left="6" w:firstLine="504"/>
        <w:rPr>
          <w:rFonts w:hint="eastAsia" w:ascii="宋体" w:hAnsi="宋体" w:eastAsia="宋体" w:cs="宋体"/>
          <w:spacing w:val="6"/>
          <w:sz w:val="24"/>
          <w:szCs w:val="24"/>
        </w:rPr>
      </w:pPr>
      <w:r>
        <w:rPr>
          <w:rFonts w:hint="eastAsia" w:ascii="宋体" w:hAnsi="宋体" w:eastAsia="宋体" w:cs="宋体"/>
          <w:spacing w:val="6"/>
          <w:sz w:val="24"/>
          <w:szCs w:val="24"/>
        </w:rPr>
        <w:t>说明：</w:t>
      </w:r>
    </w:p>
    <w:p w14:paraId="40419698">
      <w:pPr>
        <w:widowControl/>
        <w:spacing w:before="156" w:after="156"/>
        <w:ind w:left="6" w:firstLine="504"/>
        <w:rPr>
          <w:rFonts w:hint="eastAsia" w:ascii="宋体" w:hAnsi="宋体" w:eastAsia="宋体" w:cs="宋体"/>
          <w:spacing w:val="6"/>
          <w:sz w:val="24"/>
          <w:szCs w:val="24"/>
        </w:rPr>
      </w:pPr>
      <w:r>
        <w:rPr>
          <w:rFonts w:hint="eastAsia" w:ascii="宋体" w:hAnsi="宋体" w:eastAsia="宋体" w:cs="宋体"/>
          <w:spacing w:val="6"/>
          <w:sz w:val="24"/>
          <w:szCs w:val="24"/>
        </w:rPr>
        <w:t>1、供应商提供的产品属于下列情形，应按照磋商文件规定提供产品列入“节能产品”，“环境标志产品”所在页的复印件（该页包含制造商或企业名称或申请单位名称、规格型号、有效期截止日期等内容），并加盖供应商单位章。</w:t>
      </w:r>
    </w:p>
    <w:p w14:paraId="5D71FEEC">
      <w:pPr>
        <w:widowControl/>
        <w:numPr>
          <w:ilvl w:val="0"/>
          <w:numId w:val="7"/>
        </w:numPr>
        <w:spacing w:before="156" w:after="156"/>
        <w:ind w:left="6" w:firstLine="504"/>
        <w:rPr>
          <w:rFonts w:hint="eastAsia" w:ascii="宋体" w:hAnsi="宋体" w:eastAsia="宋体" w:cs="宋体"/>
          <w:sz w:val="24"/>
          <w:szCs w:val="24"/>
        </w:rPr>
      </w:pPr>
      <w:r>
        <w:rPr>
          <w:rFonts w:hint="eastAsia" w:ascii="宋体" w:hAnsi="宋体" w:eastAsia="宋体" w:cs="宋体"/>
          <w:spacing w:val="6"/>
          <w:sz w:val="24"/>
          <w:szCs w:val="24"/>
        </w:rPr>
        <w:t>符合政府采购强制采购政策的</w:t>
      </w:r>
      <w:r>
        <w:rPr>
          <w:rFonts w:hint="eastAsia" w:ascii="宋体" w:hAnsi="宋体" w:eastAsia="宋体" w:cs="宋体"/>
          <w:sz w:val="24"/>
          <w:szCs w:val="24"/>
        </w:rPr>
        <w:t>财政部、环境保护部发布的《节能产品政府采购品目清单》中标记的“强制采购节能产品”。</w:t>
      </w:r>
    </w:p>
    <w:p w14:paraId="30E20E59">
      <w:pPr>
        <w:widowControl/>
        <w:numPr>
          <w:ilvl w:val="0"/>
          <w:numId w:val="7"/>
        </w:numPr>
        <w:spacing w:before="156" w:after="156"/>
        <w:ind w:left="6" w:firstLine="504"/>
        <w:rPr>
          <w:rFonts w:hint="eastAsia" w:ascii="宋体" w:hAnsi="宋体" w:eastAsia="宋体" w:cs="宋体"/>
          <w:sz w:val="24"/>
          <w:szCs w:val="24"/>
        </w:rPr>
      </w:pPr>
      <w:r>
        <w:rPr>
          <w:rFonts w:hint="eastAsia" w:ascii="宋体" w:hAnsi="宋体" w:eastAsia="宋体" w:cs="宋体"/>
          <w:spacing w:val="6"/>
          <w:sz w:val="24"/>
          <w:szCs w:val="24"/>
        </w:rPr>
        <w:t>符合政府采购强制采购政策的</w:t>
      </w:r>
      <w:r>
        <w:rPr>
          <w:rFonts w:hint="eastAsia" w:ascii="宋体" w:hAnsi="宋体" w:eastAsia="宋体" w:cs="宋体"/>
          <w:sz w:val="24"/>
          <w:szCs w:val="24"/>
        </w:rPr>
        <w:t>财政部、环境保护部发布的《环境标志产品政府采购品目清单》中标记的的“环境标志产品”。</w:t>
      </w:r>
    </w:p>
    <w:p w14:paraId="619F5642">
      <w:pPr>
        <w:widowControl/>
        <w:spacing w:before="156" w:after="156"/>
        <w:ind w:left="6" w:firstLine="480"/>
        <w:rPr>
          <w:rFonts w:hint="eastAsia" w:ascii="宋体" w:hAnsi="宋体" w:eastAsia="宋体" w:cs="宋体"/>
          <w:sz w:val="24"/>
          <w:szCs w:val="24"/>
        </w:rPr>
      </w:pPr>
      <w:r>
        <w:rPr>
          <w:rFonts w:hint="eastAsia" w:ascii="宋体" w:hAnsi="宋体" w:eastAsia="宋体" w:cs="宋体"/>
          <w:sz w:val="24"/>
          <w:szCs w:val="24"/>
        </w:rPr>
        <w:t>2、未按照上述要求提供的，评审时不予以考虑。</w:t>
      </w:r>
    </w:p>
    <w:p w14:paraId="43D4B76E">
      <w:pPr>
        <w:pStyle w:val="27"/>
        <w:tabs>
          <w:tab w:val="left" w:pos="4900"/>
        </w:tabs>
        <w:spacing w:before="156" w:after="156"/>
        <w:ind w:firstLine="0" w:firstLineChars="0"/>
        <w:rPr>
          <w:rFonts w:hint="eastAsia" w:ascii="宋体" w:hAnsi="宋体" w:eastAsia="宋体" w:cs="宋体"/>
          <w:sz w:val="24"/>
        </w:rPr>
      </w:pPr>
    </w:p>
    <w:p w14:paraId="1C2E4716">
      <w:pPr>
        <w:pStyle w:val="12"/>
        <w:rPr>
          <w:rFonts w:hint="eastAsia" w:ascii="宋体" w:hAnsi="宋体" w:eastAsia="宋体" w:cs="宋体"/>
        </w:rPr>
      </w:pPr>
    </w:p>
    <w:p w14:paraId="3CD6AF13">
      <w:pPr>
        <w:pStyle w:val="12"/>
        <w:spacing w:before="1"/>
        <w:rPr>
          <w:rFonts w:hint="eastAsia" w:ascii="宋体" w:hAnsi="宋体" w:eastAsia="宋体" w:cs="宋体"/>
          <w:sz w:val="32"/>
        </w:rPr>
      </w:pPr>
    </w:p>
    <w:p w14:paraId="27E0390E">
      <w:pPr>
        <w:ind w:left="1220"/>
        <w:jc w:val="left"/>
        <w:rPr>
          <w:rFonts w:hint="eastAsia" w:ascii="宋体" w:hAnsi="宋体" w:eastAsia="宋体" w:cs="宋体"/>
          <w:b/>
        </w:rPr>
      </w:pPr>
      <w:r>
        <w:rPr>
          <w:rFonts w:hint="eastAsia" w:ascii="宋体" w:hAnsi="宋体" w:eastAsia="宋体" w:cs="宋体"/>
          <w:b/>
        </w:rPr>
        <w:t>说明：</w:t>
      </w:r>
    </w:p>
    <w:p w14:paraId="04DC0ACC">
      <w:pPr>
        <w:pStyle w:val="12"/>
        <w:spacing w:before="6"/>
        <w:rPr>
          <w:rFonts w:hint="eastAsia" w:ascii="宋体" w:hAnsi="宋体" w:eastAsia="宋体" w:cs="宋体"/>
          <w:b/>
          <w:sz w:val="18"/>
        </w:rPr>
      </w:pPr>
    </w:p>
    <w:p w14:paraId="6E575EAE">
      <w:pPr>
        <w:spacing w:before="1"/>
        <w:ind w:left="1640"/>
        <w:jc w:val="left"/>
        <w:rPr>
          <w:rFonts w:hint="eastAsia" w:ascii="宋体" w:hAnsi="宋体" w:eastAsia="宋体" w:cs="宋体"/>
          <w:b/>
        </w:rPr>
      </w:pPr>
      <w:r>
        <w:rPr>
          <w:rFonts w:hint="eastAsia" w:ascii="宋体" w:hAnsi="宋体" w:eastAsia="宋体" w:cs="宋体"/>
          <w:b/>
        </w:rPr>
        <w:t>1.如不是该类企业则不需提供证明文件（可删除此页）。</w:t>
      </w:r>
    </w:p>
    <w:p w14:paraId="3562C2FE">
      <w:pPr>
        <w:pStyle w:val="5"/>
        <w:spacing w:before="139" w:line="500" w:lineRule="exact"/>
        <w:ind w:left="80"/>
        <w:rPr>
          <w:rFonts w:hint="eastAsia" w:ascii="宋体" w:hAnsi="宋体" w:eastAsia="宋体" w:cs="宋体"/>
        </w:rPr>
      </w:pPr>
    </w:p>
    <w:p w14:paraId="0B175054">
      <w:pPr>
        <w:pStyle w:val="39"/>
        <w:ind w:firstLine="480"/>
        <w:rPr>
          <w:rFonts w:hint="eastAsia" w:ascii="宋体" w:hAnsi="宋体" w:eastAsia="宋体" w:cs="宋体"/>
        </w:rPr>
      </w:pPr>
    </w:p>
    <w:sectPr>
      <w:headerReference r:id="rId7" w:type="default"/>
      <w:footerReference r:id="rId8" w:type="default"/>
      <w:pgSz w:w="11906" w:h="16838"/>
      <w:pgMar w:top="1361" w:right="1361" w:bottom="1361"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8CABD966-7F67-48AB-9799-913707BF505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2" w:fontKey="{8B1CBD47-022A-4699-AA9C-E959ACFA9988}"/>
  </w:font>
  <w:font w:name="Copperplate Gothic Bold">
    <w:altName w:val="Segoe Print"/>
    <w:panose1 w:val="020E07050202060204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方正小标宋_GBK">
    <w:panose1 w:val="02000000000000000000"/>
    <w:charset w:val="86"/>
    <w:family w:val="script"/>
    <w:pitch w:val="default"/>
    <w:sig w:usb0="A00002BF" w:usb1="38CF7CFA" w:usb2="00082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3D902">
    <w:pPr>
      <w:pStyle w:val="18"/>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D605053">
                          <w:pPr>
                            <w:pStyle w:val="18"/>
                          </w:pPr>
                          <w:r>
                            <w:fldChar w:fldCharType="begin"/>
                          </w:r>
                          <w:r>
                            <w:instrText xml:space="preserve"> PAGE  \* MERGEFORMAT </w:instrText>
                          </w:r>
                          <w:r>
                            <w:fldChar w:fldCharType="separate"/>
                          </w:r>
                          <w:r>
                            <w:t>39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7D605053">
                    <w:pPr>
                      <w:pStyle w:val="18"/>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4AEAC">
    <w:pPr>
      <w:spacing w:line="230" w:lineRule="auto"/>
      <w:ind w:left="3731"/>
      <w:rPr>
        <w:rFonts w:ascii="宋体" w:hAnsi="宋体" w:eastAsia="宋体" w:cs="宋体"/>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1FE92">
    <w:pPr>
      <w:pStyle w:val="18"/>
    </w:pPr>
    <w:r>
      <w:fldChar w:fldCharType="begin"/>
    </w:r>
    <w:r>
      <w:instrText xml:space="preserve">PAGE   \* MERGEFORMAT</w:instrText>
    </w:r>
    <w:r>
      <w:fldChar w:fldCharType="separate"/>
    </w:r>
    <w:r>
      <w:rPr>
        <w:lang w:val="zh-CN"/>
      </w:rPr>
      <w:t>61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2D90B">
    <w:pPr>
      <w:pStyle w:val="19"/>
    </w:pPr>
    <w:r>
      <w:drawing>
        <wp:inline distT="0" distB="0" distL="0" distR="0">
          <wp:extent cx="2305050" cy="295275"/>
          <wp:effectExtent l="0" t="0" r="0" b="0"/>
          <wp:docPr id="8" name="图片 2" descr="logo+中英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logo+中英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305050" cy="2952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6FD8F">
    <w:pPr>
      <w:pStyle w:val="19"/>
      <w:pBdr>
        <w:bottom w:val="none" w:color="auto" w:sz="0" w:space="1"/>
      </w:pBdr>
      <w:jc w:val="center"/>
      <w:rPr>
        <w:rFonts w:hint="eastAsia" w:eastAsia="宋体"/>
        <w:lang w:val="en-US" w:eastAsia="zh-CN"/>
      </w:rPr>
    </w:pPr>
    <w:r>
      <w:rPr>
        <w:rFonts w:hint="eastAsia"/>
        <w:lang w:val="en-US"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9336E">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F3C83"/>
    <w:multiLevelType w:val="singleLevel"/>
    <w:tmpl w:val="F8FF3C83"/>
    <w:lvl w:ilvl="0" w:tentative="0">
      <w:start w:val="1"/>
      <w:numFmt w:val="decimal"/>
      <w:suff w:val="nothing"/>
      <w:lvlText w:val="（%1）"/>
      <w:lvlJc w:val="left"/>
    </w:lvl>
  </w:abstractNum>
  <w:abstractNum w:abstractNumId="1">
    <w:nsid w:val="1BD51BCC"/>
    <w:multiLevelType w:val="singleLevel"/>
    <w:tmpl w:val="1BD51BCC"/>
    <w:lvl w:ilvl="0" w:tentative="0">
      <w:start w:val="1"/>
      <w:numFmt w:val="decimal"/>
      <w:suff w:val="nothing"/>
      <w:lvlText w:val="%1、"/>
      <w:lvlJc w:val="left"/>
    </w:lvl>
  </w:abstractNum>
  <w:abstractNum w:abstractNumId="2">
    <w:nsid w:val="32CE65D3"/>
    <w:multiLevelType w:val="singleLevel"/>
    <w:tmpl w:val="32CE65D3"/>
    <w:lvl w:ilvl="0" w:tentative="0">
      <w:start w:val="5"/>
      <w:numFmt w:val="chineseCounting"/>
      <w:suff w:val="nothing"/>
      <w:lvlText w:val="%1、"/>
      <w:lvlJc w:val="left"/>
      <w:rPr>
        <w:rFonts w:hint="eastAsia"/>
      </w:rPr>
    </w:lvl>
  </w:abstractNum>
  <w:abstractNum w:abstractNumId="3">
    <w:nsid w:val="4988D9A5"/>
    <w:multiLevelType w:val="singleLevel"/>
    <w:tmpl w:val="4988D9A5"/>
    <w:lvl w:ilvl="0" w:tentative="0">
      <w:start w:val="1"/>
      <w:numFmt w:val="decimal"/>
      <w:suff w:val="nothing"/>
      <w:lvlText w:val="（%1）"/>
      <w:lvlJc w:val="left"/>
    </w:lvl>
  </w:abstractNum>
  <w:abstractNum w:abstractNumId="4">
    <w:nsid w:val="58E5EC48"/>
    <w:multiLevelType w:val="singleLevel"/>
    <w:tmpl w:val="58E5EC48"/>
    <w:lvl w:ilvl="0" w:tentative="0">
      <w:start w:val="1"/>
      <w:numFmt w:val="decimal"/>
      <w:suff w:val="nothing"/>
      <w:lvlText w:val="（%1）"/>
      <w:lvlJc w:val="left"/>
    </w:lvl>
  </w:abstractNum>
  <w:abstractNum w:abstractNumId="5">
    <w:nsid w:val="65746407"/>
    <w:multiLevelType w:val="singleLevel"/>
    <w:tmpl w:val="65746407"/>
    <w:lvl w:ilvl="0" w:tentative="0">
      <w:start w:val="7"/>
      <w:numFmt w:val="chineseCounting"/>
      <w:suff w:val="nothing"/>
      <w:lvlText w:val="%1、"/>
      <w:lvlJc w:val="left"/>
      <w:rPr>
        <w:rFonts w:hint="eastAsia"/>
      </w:rPr>
    </w:lvl>
  </w:abstractNum>
  <w:abstractNum w:abstractNumId="6">
    <w:nsid w:val="74283EFE"/>
    <w:multiLevelType w:val="singleLevel"/>
    <w:tmpl w:val="74283EFE"/>
    <w:lvl w:ilvl="0" w:tentative="0">
      <w:start w:val="1"/>
      <w:numFmt w:val="chineseCounting"/>
      <w:suff w:val="nothing"/>
      <w:lvlText w:val="%1、"/>
      <w:lvlJc w:val="left"/>
      <w:rPr>
        <w:rFonts w:hint="eastAsia"/>
      </w:rPr>
    </w:lvl>
  </w:abstractNum>
  <w:num w:numId="1">
    <w:abstractNumId w:val="5"/>
  </w:num>
  <w:num w:numId="2">
    <w:abstractNumId w:val="3"/>
  </w:num>
  <w:num w:numId="3">
    <w:abstractNumId w:val="0"/>
  </w:num>
  <w:num w:numId="4">
    <w:abstractNumId w:val="6"/>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213"/>
  <w:drawingGridVerticalSpacing w:val="381"/>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YjY5NjliZjg1MDVlN2RmNGZmODFjYjU5M2ViNmQifQ=="/>
  </w:docVars>
  <w:rsids>
    <w:rsidRoot w:val="0047139F"/>
    <w:rsid w:val="00016068"/>
    <w:rsid w:val="000E38CA"/>
    <w:rsid w:val="002B52DA"/>
    <w:rsid w:val="003B1EAD"/>
    <w:rsid w:val="003E6A07"/>
    <w:rsid w:val="0047139F"/>
    <w:rsid w:val="004A10FD"/>
    <w:rsid w:val="00503777"/>
    <w:rsid w:val="005C4D2F"/>
    <w:rsid w:val="006066AC"/>
    <w:rsid w:val="006B7733"/>
    <w:rsid w:val="0073319C"/>
    <w:rsid w:val="00744D99"/>
    <w:rsid w:val="0079679C"/>
    <w:rsid w:val="007B0AAF"/>
    <w:rsid w:val="007C0DBE"/>
    <w:rsid w:val="008C061F"/>
    <w:rsid w:val="00904255"/>
    <w:rsid w:val="00BD0A4C"/>
    <w:rsid w:val="00C513E0"/>
    <w:rsid w:val="00D0591D"/>
    <w:rsid w:val="00D1336F"/>
    <w:rsid w:val="00DE219A"/>
    <w:rsid w:val="00F0025B"/>
    <w:rsid w:val="00F37A60"/>
    <w:rsid w:val="00F74379"/>
    <w:rsid w:val="00F90118"/>
    <w:rsid w:val="00FD0915"/>
    <w:rsid w:val="00FF2F22"/>
    <w:rsid w:val="0168700A"/>
    <w:rsid w:val="038E69B0"/>
    <w:rsid w:val="0430665F"/>
    <w:rsid w:val="061D3ABF"/>
    <w:rsid w:val="06BC075E"/>
    <w:rsid w:val="0A8E13AC"/>
    <w:rsid w:val="0DEE3746"/>
    <w:rsid w:val="0F3B29CB"/>
    <w:rsid w:val="0FDD270D"/>
    <w:rsid w:val="102F546A"/>
    <w:rsid w:val="10E548CC"/>
    <w:rsid w:val="18F227E1"/>
    <w:rsid w:val="19684765"/>
    <w:rsid w:val="19707FF0"/>
    <w:rsid w:val="1B10685E"/>
    <w:rsid w:val="1C951971"/>
    <w:rsid w:val="207277FE"/>
    <w:rsid w:val="22BD6367"/>
    <w:rsid w:val="234748C0"/>
    <w:rsid w:val="23510E84"/>
    <w:rsid w:val="24D334FA"/>
    <w:rsid w:val="277A4FC7"/>
    <w:rsid w:val="286751A4"/>
    <w:rsid w:val="33BD118A"/>
    <w:rsid w:val="3810197F"/>
    <w:rsid w:val="3D360816"/>
    <w:rsid w:val="3E732CB5"/>
    <w:rsid w:val="41856926"/>
    <w:rsid w:val="43F55088"/>
    <w:rsid w:val="442E5C38"/>
    <w:rsid w:val="460A5119"/>
    <w:rsid w:val="49AD7F11"/>
    <w:rsid w:val="4B273941"/>
    <w:rsid w:val="4B904FE8"/>
    <w:rsid w:val="4C1F5AA4"/>
    <w:rsid w:val="4EE760DA"/>
    <w:rsid w:val="509146D2"/>
    <w:rsid w:val="50BB64D4"/>
    <w:rsid w:val="50F17C87"/>
    <w:rsid w:val="51985C29"/>
    <w:rsid w:val="58873F8A"/>
    <w:rsid w:val="590D39B1"/>
    <w:rsid w:val="5C5A2111"/>
    <w:rsid w:val="5DED4AC4"/>
    <w:rsid w:val="5F0B4ACB"/>
    <w:rsid w:val="62886AAD"/>
    <w:rsid w:val="639F3BDC"/>
    <w:rsid w:val="645323E8"/>
    <w:rsid w:val="69D97BBF"/>
    <w:rsid w:val="6B2C7864"/>
    <w:rsid w:val="FBAB787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uiPriority="9" w:name="heading 5"/>
    <w:lsdException w:qFormat="1" w:unhideWhenUsed="0" w:uiPriority="99"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unhideWhenUsed="0" w:uiPriority="11" w:semiHidden="0" w:name="Subtitle"/>
    <w:lsdException w:uiPriority="99" w:name="Salutation"/>
    <w:lsdException w:uiPriority="99"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link w:val="43"/>
    <w:autoRedefine/>
    <w:qFormat/>
    <w:uiPriority w:val="0"/>
    <w:pPr>
      <w:spacing w:beforeAutospacing="1" w:afterAutospacing="1"/>
      <w:jc w:val="left"/>
      <w:outlineLvl w:val="0"/>
    </w:pPr>
    <w:rPr>
      <w:rFonts w:hint="eastAsia" w:ascii="宋体" w:hAnsi="宋体" w:eastAsia="宋体"/>
      <w:b/>
      <w:bCs/>
      <w:kern w:val="44"/>
      <w:sz w:val="48"/>
      <w:szCs w:val="48"/>
    </w:rPr>
  </w:style>
  <w:style w:type="paragraph" w:styleId="4">
    <w:name w:val="heading 2"/>
    <w:basedOn w:val="1"/>
    <w:next w:val="1"/>
    <w:link w:val="44"/>
    <w:autoRedefine/>
    <w:qFormat/>
    <w:uiPriority w:val="0"/>
    <w:pPr>
      <w:keepNext/>
      <w:keepLines/>
      <w:spacing w:line="360" w:lineRule="auto"/>
      <w:ind w:right="616"/>
      <w:outlineLvl w:val="1"/>
    </w:pPr>
    <w:rPr>
      <w:rFonts w:ascii="Arial" w:hAnsi="Arial" w:eastAsia="宋体"/>
      <w:b/>
      <w:bCs/>
      <w:sz w:val="24"/>
      <w:szCs w:val="24"/>
    </w:rPr>
  </w:style>
  <w:style w:type="paragraph" w:styleId="5">
    <w:name w:val="heading 3"/>
    <w:basedOn w:val="1"/>
    <w:next w:val="1"/>
    <w:link w:val="45"/>
    <w:autoRedefine/>
    <w:qFormat/>
    <w:uiPriority w:val="99"/>
    <w:pPr>
      <w:tabs>
        <w:tab w:val="left" w:pos="588"/>
      </w:tabs>
      <w:spacing w:line="360" w:lineRule="auto"/>
      <w:outlineLvl w:val="2"/>
    </w:pPr>
    <w:rPr>
      <w:rFonts w:ascii="Tahoma" w:hAnsi="Tahoma" w:eastAsia="宋体"/>
      <w:szCs w:val="24"/>
    </w:rPr>
  </w:style>
  <w:style w:type="paragraph" w:styleId="6">
    <w:name w:val="heading 4"/>
    <w:basedOn w:val="1"/>
    <w:next w:val="1"/>
    <w:link w:val="46"/>
    <w:autoRedefine/>
    <w:qFormat/>
    <w:uiPriority w:val="99"/>
    <w:pPr>
      <w:keepNext/>
      <w:keepLines/>
      <w:adjustRightInd w:val="0"/>
      <w:spacing w:before="280" w:after="290" w:line="376" w:lineRule="atLeast"/>
      <w:textAlignment w:val="baseline"/>
      <w:outlineLvl w:val="3"/>
    </w:pPr>
    <w:rPr>
      <w:rFonts w:ascii="Arial" w:hAnsi="Times New Roman" w:eastAsia="宋体"/>
      <w:b/>
      <w:spacing w:val="20"/>
      <w:kern w:val="0"/>
      <w:sz w:val="20"/>
      <w:szCs w:val="24"/>
    </w:rPr>
  </w:style>
  <w:style w:type="paragraph" w:styleId="7">
    <w:name w:val="heading 6"/>
    <w:basedOn w:val="1"/>
    <w:next w:val="1"/>
    <w:link w:val="47"/>
    <w:autoRedefine/>
    <w:qFormat/>
    <w:uiPriority w:val="99"/>
    <w:pPr>
      <w:keepNext/>
      <w:keepLines/>
      <w:spacing w:before="240" w:after="64" w:line="320" w:lineRule="auto"/>
      <w:outlineLvl w:val="5"/>
    </w:pPr>
    <w:rPr>
      <w:rFonts w:ascii="Calibri Light" w:hAnsi="Calibri Light" w:eastAsia="宋体"/>
      <w:b/>
      <w:bCs/>
      <w:sz w:val="24"/>
      <w:szCs w:val="24"/>
    </w:rPr>
  </w:style>
  <w:style w:type="paragraph" w:styleId="8">
    <w:name w:val="heading 7"/>
    <w:basedOn w:val="1"/>
    <w:next w:val="1"/>
    <w:qFormat/>
    <w:uiPriority w:val="0"/>
    <w:pPr>
      <w:spacing w:before="240" w:after="60"/>
      <w:outlineLvl w:val="6"/>
    </w:pPr>
    <w:rPr>
      <w:sz w:val="24"/>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rPr>
      <w:kern w:val="0"/>
      <w:sz w:val="18"/>
      <w:szCs w:val="20"/>
    </w:rPr>
  </w:style>
  <w:style w:type="paragraph" w:styleId="9">
    <w:name w:val="Normal Indent"/>
    <w:basedOn w:val="1"/>
    <w:next w:val="10"/>
    <w:autoRedefine/>
    <w:qFormat/>
    <w:uiPriority w:val="0"/>
    <w:pPr>
      <w:spacing w:line="360" w:lineRule="auto"/>
      <w:ind w:firstLine="200" w:firstLineChars="200"/>
    </w:pPr>
    <w:rPr>
      <w:rFonts w:ascii="Times New Roman" w:hAnsi="Times New Roman" w:eastAsia="宋体"/>
      <w:sz w:val="24"/>
      <w:szCs w:val="20"/>
    </w:rPr>
  </w:style>
  <w:style w:type="paragraph" w:styleId="10">
    <w:name w:val="toc 4"/>
    <w:basedOn w:val="1"/>
    <w:next w:val="1"/>
    <w:autoRedefine/>
    <w:unhideWhenUsed/>
    <w:qFormat/>
    <w:uiPriority w:val="39"/>
    <w:pPr>
      <w:ind w:left="1260" w:leftChars="600"/>
    </w:pPr>
  </w:style>
  <w:style w:type="paragraph" w:styleId="11">
    <w:name w:val="toa heading"/>
    <w:basedOn w:val="1"/>
    <w:next w:val="1"/>
    <w:autoRedefine/>
    <w:qFormat/>
    <w:uiPriority w:val="0"/>
    <w:pPr>
      <w:spacing w:before="120"/>
    </w:pPr>
    <w:rPr>
      <w:rFonts w:ascii="Arial" w:hAnsi="Arial" w:eastAsia="宋体"/>
      <w:sz w:val="24"/>
      <w:szCs w:val="24"/>
    </w:rPr>
  </w:style>
  <w:style w:type="paragraph" w:styleId="12">
    <w:name w:val="Body Text"/>
    <w:basedOn w:val="1"/>
    <w:next w:val="1"/>
    <w:link w:val="48"/>
    <w:autoRedefine/>
    <w:qFormat/>
    <w:uiPriority w:val="0"/>
    <w:pPr>
      <w:spacing w:after="120"/>
    </w:pPr>
    <w:rPr>
      <w:rFonts w:ascii="Times New Roman" w:hAnsi="Times New Roman" w:eastAsia="宋体"/>
      <w:szCs w:val="24"/>
    </w:rPr>
  </w:style>
  <w:style w:type="paragraph" w:styleId="13">
    <w:name w:val="Body Text Indent"/>
    <w:basedOn w:val="1"/>
    <w:link w:val="33"/>
    <w:autoRedefine/>
    <w:unhideWhenUsed/>
    <w:qFormat/>
    <w:uiPriority w:val="0"/>
    <w:pPr>
      <w:spacing w:after="120"/>
      <w:ind w:left="420" w:leftChars="200"/>
    </w:pPr>
  </w:style>
  <w:style w:type="paragraph" w:styleId="14">
    <w:name w:val="toc 3"/>
    <w:basedOn w:val="1"/>
    <w:next w:val="1"/>
    <w:autoRedefine/>
    <w:semiHidden/>
    <w:unhideWhenUsed/>
    <w:qFormat/>
    <w:uiPriority w:val="39"/>
    <w:pPr>
      <w:ind w:left="840" w:leftChars="400"/>
    </w:pPr>
  </w:style>
  <w:style w:type="paragraph" w:styleId="15">
    <w:name w:val="Plain Text"/>
    <w:basedOn w:val="1"/>
    <w:link w:val="49"/>
    <w:autoRedefine/>
    <w:qFormat/>
    <w:uiPriority w:val="0"/>
    <w:pPr>
      <w:spacing w:line="360" w:lineRule="auto"/>
    </w:pPr>
    <w:rPr>
      <w:rFonts w:ascii="宋体" w:hAnsi="Courier New" w:eastAsia="宋体"/>
      <w:szCs w:val="21"/>
    </w:rPr>
  </w:style>
  <w:style w:type="paragraph" w:styleId="16">
    <w:name w:val="Body Text Indent 2"/>
    <w:basedOn w:val="1"/>
    <w:link w:val="50"/>
    <w:autoRedefine/>
    <w:qFormat/>
    <w:uiPriority w:val="0"/>
    <w:pPr>
      <w:ind w:firstLine="630"/>
    </w:pPr>
    <w:rPr>
      <w:rFonts w:ascii="Times New Roman" w:hAnsi="Times New Roman" w:eastAsia="宋体"/>
      <w:sz w:val="32"/>
      <w:szCs w:val="20"/>
    </w:rPr>
  </w:style>
  <w:style w:type="paragraph" w:styleId="17">
    <w:name w:val="Balloon Text"/>
    <w:basedOn w:val="1"/>
    <w:link w:val="74"/>
    <w:autoRedefine/>
    <w:semiHidden/>
    <w:unhideWhenUsed/>
    <w:qFormat/>
    <w:uiPriority w:val="99"/>
    <w:rPr>
      <w:sz w:val="18"/>
      <w:szCs w:val="18"/>
    </w:rPr>
  </w:style>
  <w:style w:type="paragraph" w:styleId="18">
    <w:name w:val="footer"/>
    <w:basedOn w:val="1"/>
    <w:link w:val="51"/>
    <w:autoRedefine/>
    <w:unhideWhenUsed/>
    <w:qFormat/>
    <w:uiPriority w:val="99"/>
    <w:pPr>
      <w:tabs>
        <w:tab w:val="center" w:pos="4153"/>
        <w:tab w:val="right" w:pos="8306"/>
      </w:tabs>
      <w:snapToGrid w:val="0"/>
      <w:jc w:val="center"/>
    </w:pPr>
    <w:rPr>
      <w:rFonts w:ascii="Times New Roman" w:hAnsi="Times New Roman" w:eastAsia="宋体"/>
      <w:b/>
      <w:sz w:val="18"/>
      <w:szCs w:val="24"/>
    </w:rPr>
  </w:style>
  <w:style w:type="paragraph" w:styleId="19">
    <w:name w:val="header"/>
    <w:basedOn w:val="1"/>
    <w:link w:val="52"/>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right"/>
    </w:pPr>
    <w:rPr>
      <w:rFonts w:ascii="Times New Roman" w:hAnsi="Times New Roman" w:eastAsia="宋体"/>
      <w:sz w:val="18"/>
      <w:szCs w:val="24"/>
    </w:rPr>
  </w:style>
  <w:style w:type="paragraph" w:styleId="20">
    <w:name w:val="toc 1"/>
    <w:basedOn w:val="1"/>
    <w:next w:val="1"/>
    <w:autoRedefine/>
    <w:unhideWhenUsed/>
    <w:qFormat/>
    <w:uiPriority w:val="39"/>
  </w:style>
  <w:style w:type="paragraph" w:styleId="21">
    <w:name w:val="toc 2"/>
    <w:basedOn w:val="1"/>
    <w:next w:val="1"/>
    <w:autoRedefine/>
    <w:unhideWhenUsed/>
    <w:qFormat/>
    <w:uiPriority w:val="39"/>
    <w:pPr>
      <w:ind w:left="420" w:leftChars="200"/>
    </w:pPr>
  </w:style>
  <w:style w:type="paragraph" w:styleId="22">
    <w:name w:val="Body Text 2"/>
    <w:basedOn w:val="1"/>
    <w:autoRedefine/>
    <w:qFormat/>
    <w:uiPriority w:val="0"/>
    <w:rPr>
      <w:rFonts w:ascii="楷体_GB2312" w:hAnsi="Copperplate Gothic Bold" w:eastAsia="楷体_GB2312"/>
      <w:sz w:val="28"/>
    </w:rPr>
  </w:style>
  <w:style w:type="paragraph" w:styleId="23">
    <w:name w:val="Message Header"/>
    <w:basedOn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Cambria" w:hAnsi="Cambria"/>
    </w:rPr>
  </w:style>
  <w:style w:type="paragraph" w:styleId="24">
    <w:name w:val="Normal (Web)"/>
    <w:basedOn w:val="1"/>
    <w:autoRedefine/>
    <w:qFormat/>
    <w:uiPriority w:val="0"/>
    <w:pPr>
      <w:widowControl/>
      <w:spacing w:beforeAutospacing="1" w:afterAutospacing="1"/>
      <w:jc w:val="left"/>
    </w:pPr>
    <w:rPr>
      <w:rFonts w:ascii="宋体" w:hAnsi="宋体" w:eastAsia="宋体" w:cs="宋体"/>
      <w:kern w:val="0"/>
      <w:sz w:val="24"/>
      <w:szCs w:val="24"/>
    </w:rPr>
  </w:style>
  <w:style w:type="paragraph" w:styleId="25">
    <w:name w:val="Title"/>
    <w:basedOn w:val="1"/>
    <w:autoRedefine/>
    <w:qFormat/>
    <w:uiPriority w:val="0"/>
    <w:pPr>
      <w:widowControl/>
      <w:jc w:val="center"/>
    </w:pPr>
    <w:rPr>
      <w:rFonts w:ascii="Tahoma" w:hAnsi="Tahoma"/>
      <w:b/>
      <w:kern w:val="0"/>
      <w:sz w:val="24"/>
    </w:rPr>
  </w:style>
  <w:style w:type="paragraph" w:styleId="26">
    <w:name w:val="Body Text First Indent"/>
    <w:basedOn w:val="12"/>
    <w:autoRedefine/>
    <w:qFormat/>
    <w:uiPriority w:val="0"/>
    <w:pPr>
      <w:ind w:firstLine="420" w:firstLineChars="100"/>
    </w:pPr>
  </w:style>
  <w:style w:type="paragraph" w:styleId="27">
    <w:name w:val="Body Text First Indent 2"/>
    <w:basedOn w:val="13"/>
    <w:link w:val="34"/>
    <w:autoRedefine/>
    <w:unhideWhenUsed/>
    <w:qFormat/>
    <w:uiPriority w:val="0"/>
    <w:pPr>
      <w:spacing w:after="0"/>
      <w:ind w:left="0" w:leftChars="0" w:firstLine="420" w:firstLineChars="200"/>
    </w:pPr>
    <w:rPr>
      <w:rFonts w:ascii="Times New Roman" w:hAnsi="Times New Roman" w:eastAsia="宋体"/>
      <w:sz w:val="32"/>
      <w:szCs w:val="20"/>
    </w:r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autoRedefine/>
    <w:qFormat/>
    <w:uiPriority w:val="0"/>
    <w:rPr>
      <w:b/>
      <w:bCs/>
    </w:rPr>
  </w:style>
  <w:style w:type="character" w:styleId="32">
    <w:name w:val="Hyperlink"/>
    <w:autoRedefine/>
    <w:unhideWhenUsed/>
    <w:qFormat/>
    <w:uiPriority w:val="99"/>
    <w:rPr>
      <w:color w:val="0563C1"/>
      <w:u w:val="single"/>
    </w:rPr>
  </w:style>
  <w:style w:type="character" w:customStyle="1" w:styleId="33">
    <w:name w:val="正文文本缩进 Char"/>
    <w:basedOn w:val="30"/>
    <w:link w:val="13"/>
    <w:autoRedefine/>
    <w:semiHidden/>
    <w:qFormat/>
    <w:uiPriority w:val="99"/>
  </w:style>
  <w:style w:type="character" w:customStyle="1" w:styleId="34">
    <w:name w:val="正文首行缩进 2 Char"/>
    <w:link w:val="27"/>
    <w:autoRedefine/>
    <w:qFormat/>
    <w:uiPriority w:val="0"/>
    <w:rPr>
      <w:rFonts w:ascii="Times New Roman" w:hAnsi="Times New Roman" w:eastAsia="宋体" w:cs="Times New Roman"/>
      <w:sz w:val="32"/>
      <w:szCs w:val="20"/>
    </w:rPr>
  </w:style>
  <w:style w:type="paragraph" w:customStyle="1" w:styleId="35">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6">
    <w:name w:val="章 标题"/>
    <w:basedOn w:val="1"/>
    <w:link w:val="38"/>
    <w:autoRedefine/>
    <w:qFormat/>
    <w:uiPriority w:val="0"/>
    <w:pPr>
      <w:spacing w:beforeLines="100" w:afterLines="100"/>
      <w:jc w:val="center"/>
    </w:pPr>
    <w:rPr>
      <w:rFonts w:ascii="Times New Roman" w:hAnsi="Times New Roman" w:eastAsia="华文中宋"/>
      <w:b/>
      <w:sz w:val="32"/>
    </w:rPr>
  </w:style>
  <w:style w:type="paragraph" w:customStyle="1" w:styleId="37">
    <w:name w:val="一级标题"/>
    <w:basedOn w:val="1"/>
    <w:link w:val="40"/>
    <w:autoRedefine/>
    <w:qFormat/>
    <w:uiPriority w:val="0"/>
    <w:pPr>
      <w:spacing w:beforeLines="50" w:afterLines="50"/>
      <w:jc w:val="left"/>
    </w:pPr>
    <w:rPr>
      <w:rFonts w:ascii="Times New Roman" w:hAnsi="Times New Roman" w:eastAsia="宋体"/>
      <w:b/>
      <w:sz w:val="28"/>
    </w:rPr>
  </w:style>
  <w:style w:type="character" w:customStyle="1" w:styleId="38">
    <w:name w:val="章 标题 字符"/>
    <w:link w:val="36"/>
    <w:autoRedefine/>
    <w:qFormat/>
    <w:uiPriority w:val="0"/>
    <w:rPr>
      <w:rFonts w:ascii="Times New Roman" w:hAnsi="Times New Roman" w:eastAsia="华文中宋"/>
      <w:b/>
      <w:sz w:val="32"/>
    </w:rPr>
  </w:style>
  <w:style w:type="paragraph" w:customStyle="1" w:styleId="39">
    <w:name w:val="正文 样式"/>
    <w:basedOn w:val="1"/>
    <w:link w:val="42"/>
    <w:autoRedefine/>
    <w:qFormat/>
    <w:uiPriority w:val="0"/>
    <w:pPr>
      <w:spacing w:line="360" w:lineRule="auto"/>
      <w:ind w:firstLine="200" w:firstLineChars="200"/>
      <w:jc w:val="left"/>
    </w:pPr>
    <w:rPr>
      <w:rFonts w:ascii="Times New Roman" w:hAnsi="Times New Roman" w:eastAsia="宋体"/>
      <w:sz w:val="24"/>
    </w:rPr>
  </w:style>
  <w:style w:type="character" w:customStyle="1" w:styleId="40">
    <w:name w:val="一级标题 字符"/>
    <w:link w:val="37"/>
    <w:autoRedefine/>
    <w:qFormat/>
    <w:uiPriority w:val="0"/>
    <w:rPr>
      <w:rFonts w:ascii="Times New Roman" w:hAnsi="Times New Roman" w:eastAsia="宋体"/>
      <w:b/>
      <w:sz w:val="28"/>
    </w:rPr>
  </w:style>
  <w:style w:type="paragraph" w:customStyle="1" w:styleId="41">
    <w:name w:val="Table Text"/>
    <w:basedOn w:val="1"/>
    <w:autoRedefine/>
    <w:semiHidden/>
    <w:qFormat/>
    <w:uiPriority w:val="0"/>
    <w:rPr>
      <w:rFonts w:ascii="宋体" w:hAnsi="宋体" w:eastAsia="宋体" w:cs="宋体"/>
      <w:sz w:val="20"/>
      <w:szCs w:val="20"/>
      <w:lang w:eastAsia="en-US"/>
    </w:rPr>
  </w:style>
  <w:style w:type="character" w:customStyle="1" w:styleId="42">
    <w:name w:val="正文 样式 字符"/>
    <w:link w:val="39"/>
    <w:autoRedefine/>
    <w:qFormat/>
    <w:uiPriority w:val="0"/>
    <w:rPr>
      <w:rFonts w:ascii="Times New Roman" w:hAnsi="Times New Roman" w:eastAsia="宋体"/>
      <w:sz w:val="24"/>
    </w:rPr>
  </w:style>
  <w:style w:type="character" w:customStyle="1" w:styleId="43">
    <w:name w:val="标题 1 Char"/>
    <w:link w:val="3"/>
    <w:autoRedefine/>
    <w:qFormat/>
    <w:uiPriority w:val="0"/>
    <w:rPr>
      <w:rFonts w:ascii="宋体" w:hAnsi="宋体" w:eastAsia="宋体" w:cs="Times New Roman"/>
      <w:b/>
      <w:bCs/>
      <w:kern w:val="44"/>
      <w:sz w:val="48"/>
      <w:szCs w:val="48"/>
    </w:rPr>
  </w:style>
  <w:style w:type="character" w:customStyle="1" w:styleId="44">
    <w:name w:val="标题 2 Char"/>
    <w:link w:val="4"/>
    <w:autoRedefine/>
    <w:qFormat/>
    <w:uiPriority w:val="0"/>
    <w:rPr>
      <w:rFonts w:ascii="Arial" w:hAnsi="Arial"/>
      <w:b/>
      <w:bCs/>
      <w:kern w:val="2"/>
      <w:sz w:val="24"/>
      <w:szCs w:val="24"/>
    </w:rPr>
  </w:style>
  <w:style w:type="character" w:customStyle="1" w:styleId="45">
    <w:name w:val="标题 3 Char"/>
    <w:link w:val="5"/>
    <w:autoRedefine/>
    <w:qFormat/>
    <w:uiPriority w:val="99"/>
    <w:rPr>
      <w:rFonts w:ascii="Tahoma" w:hAnsi="Tahoma" w:eastAsia="宋体" w:cs="Times New Roman"/>
      <w:szCs w:val="24"/>
    </w:rPr>
  </w:style>
  <w:style w:type="character" w:customStyle="1" w:styleId="46">
    <w:name w:val="标题 4 Char"/>
    <w:link w:val="6"/>
    <w:autoRedefine/>
    <w:qFormat/>
    <w:uiPriority w:val="99"/>
    <w:rPr>
      <w:rFonts w:ascii="Arial" w:hAnsi="Times New Roman" w:eastAsia="宋体" w:cs="Times New Roman"/>
      <w:b/>
      <w:spacing w:val="20"/>
      <w:kern w:val="0"/>
      <w:sz w:val="20"/>
      <w:szCs w:val="24"/>
    </w:rPr>
  </w:style>
  <w:style w:type="character" w:customStyle="1" w:styleId="47">
    <w:name w:val="标题 6 Char"/>
    <w:link w:val="7"/>
    <w:autoRedefine/>
    <w:qFormat/>
    <w:uiPriority w:val="99"/>
    <w:rPr>
      <w:rFonts w:ascii="Calibri Light" w:hAnsi="Calibri Light" w:eastAsia="宋体" w:cs="Times New Roman"/>
      <w:b/>
      <w:bCs/>
      <w:sz w:val="24"/>
      <w:szCs w:val="24"/>
    </w:rPr>
  </w:style>
  <w:style w:type="character" w:customStyle="1" w:styleId="48">
    <w:name w:val="正文文本 Char"/>
    <w:link w:val="12"/>
    <w:autoRedefine/>
    <w:qFormat/>
    <w:uiPriority w:val="0"/>
    <w:rPr>
      <w:rFonts w:ascii="Times New Roman" w:hAnsi="Times New Roman" w:eastAsia="宋体" w:cs="Times New Roman"/>
      <w:szCs w:val="24"/>
    </w:rPr>
  </w:style>
  <w:style w:type="character" w:customStyle="1" w:styleId="49">
    <w:name w:val="纯文本 Char"/>
    <w:link w:val="15"/>
    <w:autoRedefine/>
    <w:qFormat/>
    <w:uiPriority w:val="0"/>
    <w:rPr>
      <w:rFonts w:ascii="宋体" w:hAnsi="Courier New" w:eastAsia="宋体" w:cs="Times New Roman"/>
      <w:szCs w:val="21"/>
    </w:rPr>
  </w:style>
  <w:style w:type="character" w:customStyle="1" w:styleId="50">
    <w:name w:val="正文文本缩进 2 Char"/>
    <w:link w:val="16"/>
    <w:autoRedefine/>
    <w:qFormat/>
    <w:uiPriority w:val="0"/>
    <w:rPr>
      <w:rFonts w:ascii="Times New Roman" w:hAnsi="Times New Roman" w:eastAsia="宋体" w:cs="Times New Roman"/>
      <w:sz w:val="32"/>
      <w:szCs w:val="20"/>
    </w:rPr>
  </w:style>
  <w:style w:type="character" w:customStyle="1" w:styleId="51">
    <w:name w:val="页脚 Char"/>
    <w:link w:val="18"/>
    <w:autoRedefine/>
    <w:qFormat/>
    <w:uiPriority w:val="99"/>
    <w:rPr>
      <w:rFonts w:ascii="Times New Roman" w:hAnsi="Times New Roman" w:eastAsia="宋体" w:cs="Times New Roman"/>
      <w:b/>
      <w:sz w:val="18"/>
      <w:szCs w:val="24"/>
    </w:rPr>
  </w:style>
  <w:style w:type="character" w:customStyle="1" w:styleId="52">
    <w:name w:val="页眉 Char"/>
    <w:link w:val="19"/>
    <w:autoRedefine/>
    <w:qFormat/>
    <w:uiPriority w:val="0"/>
    <w:rPr>
      <w:rFonts w:ascii="Times New Roman" w:hAnsi="Times New Roman" w:eastAsia="宋体"/>
      <w:kern w:val="2"/>
      <w:sz w:val="18"/>
      <w:szCs w:val="24"/>
    </w:rPr>
  </w:style>
  <w:style w:type="paragraph" w:customStyle="1" w:styleId="53">
    <w:name w:val="列出段落1"/>
    <w:basedOn w:val="1"/>
    <w:autoRedefine/>
    <w:qFormat/>
    <w:uiPriority w:val="0"/>
    <w:pPr>
      <w:ind w:firstLine="420" w:firstLineChars="200"/>
    </w:pPr>
    <w:rPr>
      <w:rFonts w:ascii="Times New Roman" w:hAnsi="Times New Roman" w:eastAsia="宋体"/>
      <w:szCs w:val="21"/>
    </w:rPr>
  </w:style>
  <w:style w:type="table" w:customStyle="1" w:styleId="54">
    <w:name w:val="Table Normal"/>
    <w:autoRedefine/>
    <w:semiHidden/>
    <w:unhideWhenUsed/>
    <w:qFormat/>
    <w:uiPriority w:val="0"/>
    <w:tblPr>
      <w:tblCellMar>
        <w:top w:w="0" w:type="dxa"/>
        <w:left w:w="0" w:type="dxa"/>
        <w:bottom w:w="0" w:type="dxa"/>
        <w:right w:w="0" w:type="dxa"/>
      </w:tblCellMar>
    </w:tblPr>
  </w:style>
  <w:style w:type="paragraph" w:customStyle="1" w:styleId="55">
    <w:name w:val="p0"/>
    <w:basedOn w:val="1"/>
    <w:autoRedefine/>
    <w:qFormat/>
    <w:uiPriority w:val="0"/>
    <w:pPr>
      <w:widowControl/>
    </w:pPr>
    <w:rPr>
      <w:rFonts w:ascii="Times New Roman" w:hAnsi="Times New Roman" w:eastAsia="宋体"/>
      <w:kern w:val="0"/>
      <w:szCs w:val="21"/>
    </w:rPr>
  </w:style>
  <w:style w:type="paragraph" w:customStyle="1" w:styleId="56">
    <w:name w:val="样式2"/>
    <w:basedOn w:val="57"/>
    <w:autoRedefine/>
    <w:qFormat/>
    <w:uiPriority w:val="0"/>
    <w:pPr>
      <w:spacing w:line="560" w:lineRule="exact"/>
      <w:ind w:firstLine="643" w:firstLineChars="200"/>
      <w:jc w:val="both"/>
    </w:pPr>
    <w:rPr>
      <w:rFonts w:ascii="仿宋_GB2312" w:hAnsi="仿宋" w:eastAsia="仿宋_GB2312"/>
      <w:b/>
      <w:bCs/>
      <w:szCs w:val="32"/>
    </w:rPr>
  </w:style>
  <w:style w:type="paragraph" w:customStyle="1" w:styleId="57">
    <w:name w:val="@标题"/>
    <w:basedOn w:val="1"/>
    <w:next w:val="58"/>
    <w:autoRedefine/>
    <w:qFormat/>
    <w:uiPriority w:val="0"/>
    <w:pPr>
      <w:keepNext/>
      <w:spacing w:beforeLines="50" w:afterLines="50"/>
      <w:jc w:val="center"/>
      <w:outlineLvl w:val="1"/>
    </w:pPr>
    <w:rPr>
      <w:rFonts w:ascii="Calibri" w:hAnsi="Calibri" w:eastAsia="黑体"/>
      <w:kern w:val="32"/>
      <w:sz w:val="32"/>
      <w:szCs w:val="24"/>
    </w:rPr>
  </w:style>
  <w:style w:type="paragraph" w:customStyle="1" w:styleId="58">
    <w:name w:val="@正文"/>
    <w:basedOn w:val="59"/>
    <w:autoRedefine/>
    <w:qFormat/>
    <w:uiPriority w:val="0"/>
    <w:pPr>
      <w:wordWrap/>
      <w:spacing w:line="240" w:lineRule="auto"/>
      <w:ind w:firstLine="200" w:firstLineChars="200"/>
    </w:pPr>
    <w:rPr>
      <w:rFonts w:ascii="Calibri" w:hAnsi="Calibri" w:eastAsia="宋体" w:cs="等线"/>
      <w:color w:val="000000"/>
      <w:kern w:val="24"/>
      <w:sz w:val="24"/>
      <w:szCs w:val="24"/>
    </w:rPr>
  </w:style>
  <w:style w:type="paragraph" w:customStyle="1" w:styleId="59">
    <w:name w:val="※正文"/>
    <w:basedOn w:val="1"/>
    <w:next w:val="1"/>
    <w:autoRedefine/>
    <w:qFormat/>
    <w:uiPriority w:val="0"/>
    <w:pPr>
      <w:wordWrap w:val="0"/>
      <w:spacing w:line="400" w:lineRule="exact"/>
    </w:pPr>
    <w:rPr>
      <w:rFonts w:ascii="Calibri Light" w:hAnsi="Calibri Light" w:eastAsia="华文仿宋"/>
      <w:sz w:val="28"/>
      <w:szCs w:val="28"/>
    </w:rPr>
  </w:style>
  <w:style w:type="paragraph" w:customStyle="1" w:styleId="60">
    <w:name w:val="页眉1"/>
    <w:basedOn w:val="1"/>
    <w:next w:val="19"/>
    <w:autoRedefine/>
    <w:qFormat/>
    <w:uiPriority w:val="0"/>
    <w:pPr>
      <w:pBdr>
        <w:bottom w:val="single" w:color="auto" w:sz="6" w:space="1"/>
      </w:pBdr>
      <w:tabs>
        <w:tab w:val="center" w:pos="4153"/>
        <w:tab w:val="right" w:pos="8306"/>
      </w:tabs>
      <w:snapToGrid w:val="0"/>
      <w:jc w:val="center"/>
    </w:pPr>
    <w:rPr>
      <w:rFonts w:ascii="Calibri Light" w:hAnsi="Calibri Light" w:eastAsia="华文仿宋"/>
      <w:sz w:val="18"/>
      <w:szCs w:val="28"/>
    </w:rPr>
  </w:style>
  <w:style w:type="paragraph" w:customStyle="1" w:styleId="61">
    <w:name w:val="页脚1"/>
    <w:basedOn w:val="1"/>
    <w:next w:val="18"/>
    <w:autoRedefine/>
    <w:qFormat/>
    <w:uiPriority w:val="99"/>
    <w:pPr>
      <w:tabs>
        <w:tab w:val="center" w:pos="4153"/>
        <w:tab w:val="right" w:pos="8306"/>
      </w:tabs>
      <w:snapToGrid w:val="0"/>
      <w:jc w:val="left"/>
    </w:pPr>
    <w:rPr>
      <w:rFonts w:ascii="Calibri Light" w:hAnsi="Calibri Light" w:eastAsia="华文仿宋"/>
      <w:sz w:val="18"/>
      <w:szCs w:val="28"/>
    </w:rPr>
  </w:style>
  <w:style w:type="paragraph" w:customStyle="1" w:styleId="62">
    <w:name w:val="样式3"/>
    <w:basedOn w:val="1"/>
    <w:autoRedefine/>
    <w:qFormat/>
    <w:uiPriority w:val="0"/>
    <w:pPr>
      <w:spacing w:line="560" w:lineRule="exact"/>
      <w:jc w:val="center"/>
    </w:pPr>
    <w:rPr>
      <w:rFonts w:ascii="方正小标宋_GBK" w:hAnsi="仿宋" w:eastAsia="方正小标宋_GBK"/>
      <w:sz w:val="36"/>
      <w:szCs w:val="36"/>
    </w:rPr>
  </w:style>
  <w:style w:type="paragraph" w:customStyle="1" w:styleId="63">
    <w:name w:val="样式1"/>
    <w:basedOn w:val="5"/>
    <w:autoRedefine/>
    <w:qFormat/>
    <w:uiPriority w:val="0"/>
    <w:pPr>
      <w:jc w:val="left"/>
    </w:pPr>
    <w:rPr>
      <w:rFonts w:eastAsia="楷体"/>
      <w:sz w:val="32"/>
    </w:rPr>
  </w:style>
  <w:style w:type="paragraph" w:customStyle="1" w:styleId="64">
    <w:name w:val="副文 样式"/>
    <w:basedOn w:val="1"/>
    <w:link w:val="66"/>
    <w:autoRedefine/>
    <w:qFormat/>
    <w:uiPriority w:val="0"/>
    <w:pPr>
      <w:ind w:firstLine="200" w:firstLineChars="200"/>
      <w:jc w:val="left"/>
    </w:pPr>
    <w:rPr>
      <w:rFonts w:ascii="Times New Roman" w:hAnsi="Times New Roman" w:eastAsia="宋体"/>
      <w:sz w:val="24"/>
    </w:rPr>
  </w:style>
  <w:style w:type="paragraph" w:customStyle="1" w:styleId="65">
    <w:name w:val="副本 标题"/>
    <w:basedOn w:val="1"/>
    <w:link w:val="68"/>
    <w:autoRedefine/>
    <w:qFormat/>
    <w:uiPriority w:val="0"/>
    <w:pPr>
      <w:spacing w:beforeLines="100" w:afterLines="100"/>
      <w:jc w:val="center"/>
    </w:pPr>
    <w:rPr>
      <w:rFonts w:ascii="Times New Roman" w:hAnsi="Times New Roman" w:eastAsia="宋体"/>
      <w:b/>
      <w:sz w:val="28"/>
    </w:rPr>
  </w:style>
  <w:style w:type="character" w:customStyle="1" w:styleId="66">
    <w:name w:val="副文 样式 字符"/>
    <w:link w:val="64"/>
    <w:autoRedefine/>
    <w:qFormat/>
    <w:uiPriority w:val="0"/>
    <w:rPr>
      <w:rFonts w:ascii="Times New Roman" w:hAnsi="Times New Roman" w:eastAsia="宋体"/>
      <w:sz w:val="24"/>
    </w:rPr>
  </w:style>
  <w:style w:type="paragraph" w:customStyle="1" w:styleId="67">
    <w:name w:val="TOC 标题1"/>
    <w:basedOn w:val="3"/>
    <w:next w:val="1"/>
    <w:autoRedefine/>
    <w:unhideWhenUsed/>
    <w:qFormat/>
    <w:uiPriority w:val="39"/>
    <w:pPr>
      <w:keepNext/>
      <w:keepLines/>
      <w:widowControl/>
      <w:spacing w:before="240" w:beforeAutospacing="0" w:afterAutospacing="0" w:line="259" w:lineRule="auto"/>
      <w:outlineLvl w:val="9"/>
    </w:pPr>
    <w:rPr>
      <w:rFonts w:hint="default" w:ascii="等线 Light" w:hAnsi="等线 Light" w:eastAsia="等线 Light"/>
      <w:b w:val="0"/>
      <w:bCs w:val="0"/>
      <w:color w:val="2E74B5"/>
      <w:kern w:val="0"/>
      <w:sz w:val="32"/>
      <w:szCs w:val="32"/>
    </w:rPr>
  </w:style>
  <w:style w:type="character" w:customStyle="1" w:styleId="68">
    <w:name w:val="副本 标题 字符"/>
    <w:link w:val="65"/>
    <w:autoRedefine/>
    <w:qFormat/>
    <w:uiPriority w:val="0"/>
    <w:rPr>
      <w:rFonts w:ascii="Times New Roman" w:hAnsi="Times New Roman" w:eastAsia="宋体"/>
      <w:b/>
      <w:sz w:val="28"/>
    </w:rPr>
  </w:style>
  <w:style w:type="paragraph" w:customStyle="1" w:styleId="69">
    <w:name w:val="列出段落2"/>
    <w:basedOn w:val="1"/>
    <w:autoRedefine/>
    <w:qFormat/>
    <w:uiPriority w:val="0"/>
    <w:pPr>
      <w:ind w:firstLine="420" w:firstLineChars="200"/>
    </w:pPr>
    <w:rPr>
      <w:rFonts w:ascii="Times New Roman" w:hAnsi="Times New Roman"/>
      <w:szCs w:val="21"/>
    </w:rPr>
  </w:style>
  <w:style w:type="paragraph" w:customStyle="1" w:styleId="70">
    <w:name w:val="Table Paragraph"/>
    <w:basedOn w:val="1"/>
    <w:autoRedefine/>
    <w:qFormat/>
    <w:uiPriority w:val="1"/>
    <w:rPr>
      <w:rFonts w:ascii="宋体" w:hAnsi="宋体" w:eastAsia="宋体" w:cs="宋体"/>
      <w:lang w:val="zh-CN" w:bidi="zh-CN"/>
    </w:rPr>
  </w:style>
  <w:style w:type="paragraph" w:styleId="71">
    <w:name w:val="List Paragraph"/>
    <w:basedOn w:val="1"/>
    <w:autoRedefine/>
    <w:qFormat/>
    <w:uiPriority w:val="1"/>
    <w:pPr>
      <w:ind w:left="240" w:firstLine="480"/>
    </w:pPr>
    <w:rPr>
      <w:rFonts w:ascii="宋体" w:hAnsi="宋体" w:eastAsia="宋体" w:cs="宋体"/>
      <w:lang w:val="zh-CN" w:bidi="zh-CN"/>
    </w:rPr>
  </w:style>
  <w:style w:type="paragraph" w:customStyle="1" w:styleId="72">
    <w:name w:val="正文缩进1"/>
    <w:basedOn w:val="1"/>
    <w:autoRedefine/>
    <w:qFormat/>
    <w:uiPriority w:val="0"/>
    <w:pPr>
      <w:ind w:firstLine="420" w:firstLineChars="200"/>
    </w:pPr>
  </w:style>
  <w:style w:type="paragraph" w:customStyle="1" w:styleId="73">
    <w:name w:val="纯文本11"/>
    <w:basedOn w:val="1"/>
    <w:autoRedefine/>
    <w:qFormat/>
    <w:uiPriority w:val="99"/>
    <w:pPr>
      <w:adjustRightInd w:val="0"/>
      <w:textAlignment w:val="baseline"/>
    </w:pPr>
    <w:rPr>
      <w:rFonts w:ascii="宋体" w:hAnsi="Calibri" w:eastAsia="宋体"/>
    </w:rPr>
  </w:style>
  <w:style w:type="character" w:customStyle="1" w:styleId="74">
    <w:name w:val="批注框文本 Char"/>
    <w:basedOn w:val="30"/>
    <w:link w:val="17"/>
    <w:autoRedefine/>
    <w:semiHidden/>
    <w:qFormat/>
    <w:uiPriority w:val="99"/>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Version="0"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EFCF00-9AE4-4326-8662-707C4AAC493C}">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55</Pages>
  <Words>20526</Words>
  <Characters>21884</Characters>
  <Lines>295</Lines>
  <Paragraphs>83</Paragraphs>
  <TotalTime>21</TotalTime>
  <ScaleCrop>false</ScaleCrop>
  <LinksUpToDate>false</LinksUpToDate>
  <CharactersWithSpaces>22232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2024-04-02T02:23:00Z</dcterms:created>
  <dc:creator>Administrator</dc:creator>
  <cp:lastModifiedBy>蒋零壹</cp:lastModifiedBy>
  <cp:lastPrinted>2024-09-13T01:24:00Z</cp:lastPrinted>
  <dcterms:modified xsi:type="dcterms:W3CDTF">2025-04-22T09:07:47Z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D17E9BFC5F7148B1ADD023D885F66F1D_13</vt:lpwstr>
  </property>
  <property fmtid="{D5CDD505-2E9C-101B-9397-08002B2CF9AE}" pid="4" name="KSOTemplateDocerSaveRecord">
    <vt:lpwstr>eyJoZGlkIjoiM2FiYjY5NjliZjg1MDVlN2RmNGZmODFjYjU5M2ViNmQiLCJ1c2VySWQiOiIxNDQ1NjI5MzAyIn0=</vt:lpwstr>
  </property>
</Properties>
</file>