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FC018F">
      <w:pPr>
        <w:spacing w:line="48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按照防汛减灾“四项机制”有关要求，坚持分级分类管理原则，突出到底到边整治方式，扎实开展隐患排查整改工作。</w:t>
      </w:r>
      <w:r>
        <w:rPr>
          <w:rFonts w:hint="eastAsia" w:ascii="仿宋" w:hAnsi="仿宋" w:eastAsia="仿宋" w:cs="仿宋"/>
          <w:sz w:val="24"/>
          <w:szCs w:val="24"/>
          <w:lang w:val="en-US" w:eastAsia="zh-CN"/>
        </w:rPr>
        <w:t>为</w:t>
      </w:r>
      <w:r>
        <w:rPr>
          <w:rFonts w:hint="eastAsia" w:ascii="仿宋" w:hAnsi="仿宋" w:eastAsia="仿宋" w:cs="仿宋"/>
          <w:sz w:val="24"/>
          <w:szCs w:val="24"/>
        </w:rPr>
        <w:t>防汛风险隐患排查整治工作按照政府统一领导、行业部门监管落实、属地管理配合的原则，采取“检查+专家+整改”模式，为风险隐患排查整改提供技术支持，同时，组织防汛相关专家协助防灾减灾救灾工作委员会办公室开展各重点行业领域防汛抗旱督导检查工作，做好上级部门迎检专业技术支撑，并协助做好各相关资料档案整理等日常工作</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现聘用防汛抗旱服务机构。</w:t>
      </w:r>
      <w:bookmarkStart w:id="0" w:name="_GoBack"/>
      <w:bookmarkEnd w:id="0"/>
    </w:p>
    <w:p w14:paraId="2E671A46">
      <w:pPr>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91237A"/>
    <w:rsid w:val="29295D4D"/>
    <w:rsid w:val="49E30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2025-05-09T02:25:35Z</dcterms:created>
  <dc:creator>pc</dc:creator>
  <cp:lastModifiedBy>QQQQ</cp:lastModifiedBy>
  <dcterms:modified xsi:type="dcterms:W3CDTF">2025-05-09T02:28:31Z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eyJoZGlkIjoiMGRmNzgyYzg4MDFhMDM5Y2U1YjQ5OTcwYmIwYjNmNzkiLCJ1c2VySWQiOiIzODkzMjE1NzcifQ==</vt:lpwstr>
  </property>
  <property fmtid="{D5CDD505-2E9C-101B-9397-08002B2CF9AE}" pid="4" name="ICV">
    <vt:lpwstr>0E9E3ACDBF4548A1AB89E432449A8A33_12</vt:lpwstr>
  </property>
</Properties>
</file>