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0C5D8">
      <w:pPr>
        <w:pStyle w:val="8"/>
        <w:keepNext w:val="0"/>
        <w:keepLines w:val="0"/>
        <w:pageBreakBefore w:val="0"/>
        <w:widowControl/>
        <w:kinsoku/>
        <w:wordWrap/>
        <w:overflowPunct/>
        <w:topLinePunct w:val="0"/>
        <w:autoSpaceDE/>
        <w:autoSpaceDN/>
        <w:bidi w:val="0"/>
        <w:adjustRightInd/>
        <w:snapToGrid/>
        <w:spacing w:line="324" w:lineRule="auto"/>
        <w:jc w:val="center"/>
        <w:textAlignment w:val="auto"/>
        <w:outlineLvl w:val="1"/>
        <w:rPr>
          <w:rFonts w:hint="eastAsia" w:ascii="宋体" w:hAnsi="宋体" w:eastAsia="宋体" w:cs="宋体"/>
          <w:b/>
          <w:color w:val="000000" w:themeColor="text1"/>
          <w:sz w:val="32"/>
          <w:szCs w:val="32"/>
          <w:highlight w:val="none"/>
          <w14:textFill>
            <w14:solidFill>
              <w14:schemeClr w14:val="tx1"/>
            </w14:solidFill>
          </w14:textFill>
        </w:rPr>
      </w:pPr>
      <w:bookmarkStart w:id="0" w:name="_GoBack"/>
      <w:r>
        <w:rPr>
          <w:rFonts w:hint="eastAsia" w:ascii="宋体" w:hAnsi="宋体" w:eastAsia="宋体" w:cs="宋体"/>
          <w:b/>
          <w:color w:val="000000" w:themeColor="text1"/>
          <w:sz w:val="32"/>
          <w:szCs w:val="32"/>
          <w:highlight w:val="none"/>
          <w14:textFill>
            <w14:solidFill>
              <w14:schemeClr w14:val="tx1"/>
            </w14:solidFill>
          </w14:textFill>
        </w:rPr>
        <w:t>拟签订采购合同文本</w:t>
      </w:r>
    </w:p>
    <w:p w14:paraId="4C2C89A1">
      <w:pPr>
        <w:pStyle w:val="2"/>
        <w:spacing w:line="360" w:lineRule="auto"/>
        <w:ind w:firstLine="880"/>
        <w:jc w:val="center"/>
        <w:rPr>
          <w:rFonts w:ascii="黑体" w:eastAsia="黑体"/>
          <w:color w:val="000000" w:themeColor="text1"/>
          <w:sz w:val="44"/>
          <w:szCs w:val="44"/>
          <w:highlight w:val="none"/>
          <w14:textFill>
            <w14:solidFill>
              <w14:schemeClr w14:val="tx1"/>
            </w14:solidFill>
          </w14:textFill>
        </w:rPr>
      </w:pPr>
    </w:p>
    <w:p w14:paraId="03CF5EE4">
      <w:pPr>
        <w:pStyle w:val="2"/>
        <w:spacing w:line="360" w:lineRule="auto"/>
        <w:ind w:firstLine="880"/>
        <w:jc w:val="center"/>
        <w:rPr>
          <w:rFonts w:ascii="黑体" w:eastAsia="黑体"/>
          <w:color w:val="000000" w:themeColor="text1"/>
          <w:sz w:val="44"/>
          <w:szCs w:val="44"/>
          <w:highlight w:val="none"/>
          <w14:textFill>
            <w14:solidFill>
              <w14:schemeClr w14:val="tx1"/>
            </w14:solidFill>
          </w14:textFill>
        </w:rPr>
      </w:pPr>
    </w:p>
    <w:p w14:paraId="1B0F911A">
      <w:pPr>
        <w:rPr>
          <w:rFonts w:ascii="黑体" w:eastAsia="黑体"/>
          <w:color w:val="000000" w:themeColor="text1"/>
          <w:sz w:val="44"/>
          <w:szCs w:val="44"/>
          <w:highlight w:val="none"/>
          <w14:textFill>
            <w14:solidFill>
              <w14:schemeClr w14:val="tx1"/>
            </w14:solidFill>
          </w14:textFill>
        </w:rPr>
      </w:pPr>
    </w:p>
    <w:p w14:paraId="40C3748F">
      <w:pPr>
        <w:pStyle w:val="5"/>
        <w:rPr>
          <w:rFonts w:ascii="黑体" w:eastAsia="黑体"/>
          <w:color w:val="000000" w:themeColor="text1"/>
          <w:sz w:val="44"/>
          <w:szCs w:val="44"/>
          <w:highlight w:val="none"/>
          <w14:textFill>
            <w14:solidFill>
              <w14:schemeClr w14:val="tx1"/>
            </w14:solidFill>
          </w14:textFill>
        </w:rPr>
      </w:pPr>
    </w:p>
    <w:p w14:paraId="05BF1C7F">
      <w:pPr>
        <w:pStyle w:val="5"/>
        <w:rPr>
          <w:rFonts w:ascii="黑体" w:eastAsia="黑体"/>
          <w:color w:val="000000" w:themeColor="text1"/>
          <w:sz w:val="44"/>
          <w:szCs w:val="44"/>
          <w:highlight w:val="none"/>
          <w14:textFill>
            <w14:solidFill>
              <w14:schemeClr w14:val="tx1"/>
            </w14:solidFill>
          </w14:textFill>
        </w:rPr>
      </w:pPr>
    </w:p>
    <w:p w14:paraId="191F10D6">
      <w:pPr>
        <w:pStyle w:val="5"/>
        <w:rPr>
          <w:rFonts w:ascii="黑体" w:eastAsia="黑体"/>
          <w:color w:val="000000" w:themeColor="text1"/>
          <w:sz w:val="44"/>
          <w:szCs w:val="44"/>
          <w:highlight w:val="none"/>
          <w14:textFill>
            <w14:solidFill>
              <w14:schemeClr w14:val="tx1"/>
            </w14:solidFill>
          </w14:textFill>
        </w:rPr>
      </w:pPr>
    </w:p>
    <w:p w14:paraId="01ECF8F9">
      <w:pPr>
        <w:pStyle w:val="3"/>
        <w:ind w:firstLine="640"/>
        <w:jc w:val="center"/>
        <w:rPr>
          <w:rFonts w:ascii="宋体" w:hAnsi="宋体" w:cs="宋体"/>
          <w:b/>
          <w:bCs/>
          <w:color w:val="000000" w:themeColor="text1"/>
          <w:spacing w:val="-20"/>
          <w:kern w:val="44"/>
          <w:sz w:val="36"/>
          <w:szCs w:val="36"/>
          <w:highlight w:val="none"/>
          <w14:textFill>
            <w14:solidFill>
              <w14:schemeClr w14:val="tx1"/>
            </w14:solidFill>
          </w14:textFill>
        </w:rPr>
      </w:pPr>
      <w:r>
        <w:rPr>
          <w:rFonts w:hint="eastAsia" w:ascii="宋体" w:hAnsi="宋体" w:cs="宋体"/>
          <w:bCs/>
          <w:color w:val="000000" w:themeColor="text1"/>
          <w:spacing w:val="-20"/>
          <w:kern w:val="44"/>
          <w:sz w:val="36"/>
          <w:szCs w:val="36"/>
          <w:highlight w:val="none"/>
          <w14:textFill>
            <w14:solidFill>
              <w14:schemeClr w14:val="tx1"/>
            </w14:solidFill>
          </w14:textFill>
        </w:rPr>
        <w:t>政府采购货物买卖合同</w:t>
      </w:r>
    </w:p>
    <w:p w14:paraId="403B1410">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59B0998A">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434E165E">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5F3F1837">
      <w:pPr>
        <w:spacing w:line="360" w:lineRule="auto"/>
        <w:ind w:left="420" w:leftChars="200"/>
        <w:rPr>
          <w:rFonts w:ascii="宋体" w:hAnsi="宋体" w:cs="宋体"/>
          <w:color w:val="000000" w:themeColor="text1"/>
          <w:kern w:val="0"/>
          <w:sz w:val="24"/>
          <w:highlight w:val="none"/>
          <w14:textFill>
            <w14:solidFill>
              <w14:schemeClr w14:val="tx1"/>
            </w14:solidFill>
          </w14:textFill>
        </w:rPr>
      </w:pPr>
    </w:p>
    <w:p w14:paraId="7C101F34">
      <w:pPr>
        <w:spacing w:line="360" w:lineRule="auto"/>
        <w:ind w:firstLine="1205" w:firstLineChars="500"/>
        <w:rPr>
          <w:b/>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项目名称：</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1EB76C68">
      <w:pPr>
        <w:spacing w:line="360" w:lineRule="auto"/>
        <w:ind w:firstLine="1205" w:firstLineChars="500"/>
        <w:rPr>
          <w:b/>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合同编号：</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r>
        <w:rPr>
          <w:rFonts w:hint="eastAsia"/>
          <w:color w:val="000000" w:themeColor="text1"/>
          <w:sz w:val="24"/>
          <w:highlight w:val="none"/>
          <w:u w:val="single"/>
          <w14:textFill>
            <w14:solidFill>
              <w14:schemeClr w14:val="tx1"/>
            </w14:solidFill>
          </w14:textFill>
        </w:rPr>
        <w:t xml:space="preserve"> </w:t>
      </w:r>
    </w:p>
    <w:p w14:paraId="6E8F4708">
      <w:pPr>
        <w:spacing w:line="360" w:lineRule="auto"/>
        <w:ind w:firstLine="1205" w:firstLineChars="500"/>
        <w:rPr>
          <w:rFonts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甲    方：</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6050B2FC">
      <w:pPr>
        <w:spacing w:line="360" w:lineRule="auto"/>
        <w:ind w:firstLine="1205" w:firstLineChars="500"/>
        <w:rPr>
          <w:color w:val="000000" w:themeColor="text1"/>
          <w:sz w:val="24"/>
          <w:highlight w:val="none"/>
          <w:u w:val="singl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乙    方：</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p>
    <w:p w14:paraId="028FF731">
      <w:pPr>
        <w:spacing w:line="360" w:lineRule="auto"/>
        <w:ind w:firstLine="1205" w:firstLineChars="500"/>
        <w:rPr>
          <w:color w:val="000000" w:themeColor="text1"/>
          <w:sz w:val="24"/>
          <w:highlight w:val="none"/>
          <w:u w:val="singl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签订时间：</w:t>
      </w:r>
      <w:r>
        <w:rPr>
          <w:rFonts w:hint="eastAsia" w:ascii="宋体" w:hAnsi="宋体" w:cs="宋体"/>
          <w:color w:val="000000" w:themeColor="text1"/>
          <w:kern w:val="0"/>
          <w:sz w:val="24"/>
          <w:highlight w:val="none"/>
          <w:u w:val="single"/>
          <w14:textFill>
            <w14:solidFill>
              <w14:schemeClr w14:val="tx1"/>
            </w14:solidFill>
          </w14:textFill>
        </w:rPr>
        <w:t>.</w:t>
      </w:r>
      <w:r>
        <w:rPr>
          <w:rFonts w:ascii="宋体" w:hAnsi="宋体" w:cs="宋体"/>
          <w:color w:val="000000" w:themeColor="text1"/>
          <w:kern w:val="0"/>
          <w:sz w:val="24"/>
          <w:highlight w:val="none"/>
          <w:u w:val="single"/>
          <w14:textFill>
            <w14:solidFill>
              <w14:schemeClr w14:val="tx1"/>
            </w14:solidFill>
          </w14:textFill>
        </w:rPr>
        <w:t xml:space="preserve">                                .</w:t>
      </w:r>
      <w:r>
        <w:rPr>
          <w:rFonts w:hint="eastAsia"/>
          <w:color w:val="000000" w:themeColor="text1"/>
          <w:sz w:val="24"/>
          <w:highlight w:val="none"/>
          <w:u w:val="single"/>
          <w14:textFill>
            <w14:solidFill>
              <w14:schemeClr w14:val="tx1"/>
            </w14:solidFill>
          </w14:textFill>
        </w:rPr>
        <w:t xml:space="preserve"> </w:t>
      </w:r>
      <w:r>
        <w:rPr>
          <w:rFonts w:hint="eastAsia" w:ascii="宋体" w:hAnsi="宋体" w:cs="宋体"/>
          <w:b/>
          <w:color w:val="000000" w:themeColor="text1"/>
          <w:kern w:val="0"/>
          <w:sz w:val="24"/>
          <w:highlight w:val="none"/>
          <w14:textFill>
            <w14:solidFill>
              <w14:schemeClr w14:val="tx1"/>
            </w14:solidFill>
          </w14:textFill>
        </w:rPr>
        <w:t xml:space="preserve"> </w:t>
      </w:r>
    </w:p>
    <w:p w14:paraId="4D4F1F37">
      <w:pPr>
        <w:spacing w:line="360" w:lineRule="auto"/>
        <w:jc w:val="center"/>
        <w:rPr>
          <w:b/>
          <w:color w:val="000000" w:themeColor="text1"/>
          <w:sz w:val="32"/>
          <w:szCs w:val="32"/>
          <w:highlight w:val="none"/>
          <w14:textFill>
            <w14:solidFill>
              <w14:schemeClr w14:val="tx1"/>
            </w14:solidFill>
          </w14:textFill>
        </w:rPr>
      </w:pPr>
      <w:r>
        <w:rPr>
          <w:color w:val="000000" w:themeColor="text1"/>
          <w:sz w:val="32"/>
          <w:szCs w:val="32"/>
          <w:highlight w:val="none"/>
          <w:u w:val="single"/>
          <w14:textFill>
            <w14:solidFill>
              <w14:schemeClr w14:val="tx1"/>
            </w14:solidFill>
          </w14:textFill>
        </w:rPr>
        <w:br w:type="page"/>
      </w:r>
      <w:r>
        <w:rPr>
          <w:rFonts w:hint="eastAsia"/>
          <w:b/>
          <w:color w:val="000000" w:themeColor="text1"/>
          <w:sz w:val="28"/>
          <w:szCs w:val="28"/>
          <w:highlight w:val="none"/>
          <w14:textFill>
            <w14:solidFill>
              <w14:schemeClr w14:val="tx1"/>
            </w14:solidFill>
          </w14:textFill>
        </w:rPr>
        <w:t>使 用 说 明</w:t>
      </w:r>
    </w:p>
    <w:p w14:paraId="17E8A345">
      <w:pPr>
        <w:pStyle w:val="3"/>
        <w:rPr>
          <w:color w:val="000000" w:themeColor="text1"/>
          <w:highlight w:val="none"/>
          <w14:textFill>
            <w14:solidFill>
              <w14:schemeClr w14:val="tx1"/>
            </w14:solidFill>
          </w14:textFill>
        </w:rPr>
      </w:pPr>
    </w:p>
    <w:p w14:paraId="23B30B85">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1.本合同标准文本适用于购买现成货物的采购项目，不包括需要供应商定制开发、创新研发的货物采购项目。</w:t>
      </w:r>
    </w:p>
    <w:p w14:paraId="223BB728">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2.本合同标准文本为政府采购货物买卖合同编制提供参考，可以结合采购项目具体情况，对文本作必要的调整修订后使用。</w:t>
      </w:r>
    </w:p>
    <w:p w14:paraId="44C1E3A0">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ascii="仿宋" w:hAnsi="仿宋" w:eastAsia="仿宋"/>
          <w:color w:val="000000" w:themeColor="text1"/>
          <w:sz w:val="24"/>
          <w:highlight w:val="none"/>
          <w14:textFill>
            <w14:solidFill>
              <w14:schemeClr w14:val="tx1"/>
            </w14:solidFill>
          </w14:textFill>
        </w:rPr>
      </w:pPr>
      <w:r>
        <w:rPr>
          <w:rFonts w:hint="eastAsia" w:ascii="仿宋" w:hAnsi="仿宋" w:eastAsia="仿宋"/>
          <w:color w:val="000000" w:themeColor="text1"/>
          <w:sz w:val="24"/>
          <w:highlight w:val="none"/>
          <w14:textFill>
            <w14:solidFill>
              <w14:schemeClr w14:val="tx1"/>
            </w14:solidFill>
          </w14:textFill>
        </w:rPr>
        <w:t>3.本合同标准文本各条款中，如涉及填写多家供应商、制造商，多种采购标的、分包主要内容等信息的，可根据采购项目具体情况添加信息项。</w:t>
      </w:r>
    </w:p>
    <w:p w14:paraId="33FB2C36">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b/>
          <w:color w:val="000000" w:themeColor="text1"/>
          <w:sz w:val="28"/>
          <w:szCs w:val="28"/>
          <w:highlight w:val="none"/>
          <w14:textFill>
            <w14:solidFill>
              <w14:schemeClr w14:val="tx1"/>
            </w14:solidFill>
          </w14:textFill>
        </w:rPr>
        <w:t>第一节 政府采购合同协议书</w:t>
      </w:r>
    </w:p>
    <w:p w14:paraId="4875ECBB">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（采购人、受采购人委托签订合同的单位或采购文件约定的合同甲方）</w:t>
      </w:r>
    </w:p>
    <w:p w14:paraId="772DDEA4">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w:t>
      </w:r>
    </w:p>
    <w:p w14:paraId="0BFAAFB8">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依据《中华人民共和国民法典》、《中华人民共和国政府采购法》等有关的法律法规，以及本采购项目的招标文件、乙方的投标文件及中标通知书等有关文件，甲乙双方同意签订本合同。具体情况及要求如下：    </w:t>
      </w:r>
    </w:p>
    <w:p w14:paraId="486DD3DC">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1</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项目信息</w:t>
      </w:r>
    </w:p>
    <w:p w14:paraId="3C3260EC">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568267CB">
      <w:pPr>
        <w:pStyle w:val="4"/>
        <w:keepNext w:val="0"/>
        <w:keepLines w:val="0"/>
        <w:pageBreakBefore w:val="0"/>
        <w:tabs>
          <w:tab w:val="left" w:pos="999"/>
        </w:tabs>
        <w:kinsoku/>
        <w:wordWrap/>
        <w:overflowPunct/>
        <w:topLinePunct w:val="0"/>
        <w:bidi w:val="0"/>
        <w:adjustRightInd w:val="0"/>
        <w:snapToGrid w:val="0"/>
        <w:spacing w:after="0" w:line="312" w:lineRule="auto"/>
        <w:ind w:firstLine="21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项目编号：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1470DBAE">
      <w:pPr>
        <w:pStyle w:val="4"/>
        <w:keepNext w:val="0"/>
        <w:keepLines w:val="0"/>
        <w:pageBreakBefore w:val="0"/>
        <w:kinsoku/>
        <w:wordWrap/>
        <w:overflowPunct/>
        <w:topLinePunct w:val="0"/>
        <w:bidi w:val="0"/>
        <w:adjustRightInd w:val="0"/>
        <w:snapToGrid w:val="0"/>
        <w:spacing w:after="0"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（2）计划编号：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p>
    <w:p w14:paraId="092E47D4">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（3）项目内容：</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ADF64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采购标的及数量（台/套</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个</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架</w:t>
      </w:r>
      <w:r>
        <w:rPr>
          <w:rFonts w:ascii="宋体" w:hAnsi="宋体"/>
          <w:color w:val="000000" w:themeColor="text1"/>
          <w:szCs w:val="21"/>
          <w:highlight w:val="none"/>
          <w:lang w:val="en"/>
          <w14:textFill>
            <w14:solidFill>
              <w14:schemeClr w14:val="tx1"/>
            </w14:solidFill>
          </w14:textFill>
        </w:rPr>
        <w:t>/</w:t>
      </w:r>
      <w:r>
        <w:rPr>
          <w:rFonts w:hint="eastAsia" w:ascii="宋体" w:hAnsi="宋体"/>
          <w:color w:val="000000" w:themeColor="text1"/>
          <w:szCs w:val="21"/>
          <w:highlight w:val="none"/>
          <w:lang w:val="en"/>
          <w14:textFill>
            <w14:solidFill>
              <w14:schemeClr w14:val="tx1"/>
            </w14:solidFill>
          </w14:textFill>
        </w:rPr>
        <w:t>组等</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p>
    <w:p w14:paraId="2C2461D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lang w:val="e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品牌：</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lang w:val="en"/>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规格型号：</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lang w:val="en"/>
          <w14:textFill>
            <w14:solidFill>
              <w14:schemeClr w14:val="tx1"/>
            </w14:solidFill>
          </w14:textFill>
        </w:rPr>
        <w:t xml:space="preserve"> </w:t>
      </w:r>
    </w:p>
    <w:p w14:paraId="3ABAA6E9">
      <w:pPr>
        <w:keepNext w:val="0"/>
        <w:keepLines w:val="0"/>
        <w:pageBreakBefore w:val="0"/>
        <w:kinsoku/>
        <w:wordWrap/>
        <w:overflowPunct/>
        <w:topLinePunct w:val="0"/>
        <w:bidi w:val="0"/>
        <w:adjustRightInd w:val="0"/>
        <w:snapToGrid w:val="0"/>
        <w:spacing w:line="312" w:lineRule="auto"/>
        <w:ind w:firstLine="945" w:firstLineChars="45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采购标的的技术要求、商务要求具体见附件。</w:t>
      </w:r>
    </w:p>
    <w:p w14:paraId="59C8C0F3">
      <w:pPr>
        <w:pStyle w:val="9"/>
        <w:keepNext w:val="0"/>
        <w:keepLines w:val="0"/>
        <w:pageBreakBefore w:val="0"/>
        <w:kinsoku/>
        <w:wordWrap/>
        <w:overflowPunct/>
        <w:topLinePunct w:val="0"/>
        <w:bidi w:val="0"/>
        <w:snapToGrid w:val="0"/>
        <w:spacing w:line="312" w:lineRule="auto"/>
        <w:ind w:firstLine="0" w:firstLineChars="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w:t>
      </w:r>
      <w:r>
        <w:rPr>
          <w:rFonts w:ascii="宋体" w:hAnsi="宋体" w:eastAsia="宋体" w:cs="宋体"/>
          <w:color w:val="000000" w:themeColor="text1"/>
          <w:sz w:val="21"/>
          <w:highlight w:val="none"/>
          <w:lang w:val="en"/>
          <w14:textFill>
            <w14:solidFill>
              <w14:schemeClr w14:val="tx1"/>
            </w14:solidFill>
          </w14:textFill>
        </w:rPr>
        <w:t>4</w:t>
      </w:r>
      <w:r>
        <w:rPr>
          <w:rFonts w:hint="eastAsia" w:ascii="宋体" w:hAnsi="宋体" w:eastAsia="宋体" w:cs="宋体"/>
          <w:color w:val="000000" w:themeColor="text1"/>
          <w:sz w:val="21"/>
          <w:highlight w:val="none"/>
          <w14:textFill>
            <w14:solidFill>
              <w14:schemeClr w14:val="tx1"/>
            </w14:solidFill>
          </w14:textFill>
        </w:rPr>
        <w:t>）政府采购组织形式：</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政府集中采购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部门集中采购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分散采购</w:t>
      </w:r>
    </w:p>
    <w:p w14:paraId="5DC31BE6">
      <w:pPr>
        <w:pStyle w:val="9"/>
        <w:keepNext w:val="0"/>
        <w:keepLines w:val="0"/>
        <w:pageBreakBefore w:val="0"/>
        <w:kinsoku/>
        <w:wordWrap/>
        <w:overflowPunct/>
        <w:topLinePunct w:val="0"/>
        <w:bidi w:val="0"/>
        <w:snapToGrid w:val="0"/>
        <w:spacing w:line="312" w:lineRule="auto"/>
        <w:ind w:firstLine="420" w:firstLineChars="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w:t>
      </w:r>
      <w:r>
        <w:rPr>
          <w:rFonts w:ascii="宋体" w:hAnsi="宋体" w:eastAsia="宋体" w:cs="宋体"/>
          <w:color w:val="000000" w:themeColor="text1"/>
          <w:sz w:val="21"/>
          <w:highlight w:val="none"/>
          <w:lang w:val="en"/>
          <w14:textFill>
            <w14:solidFill>
              <w14:schemeClr w14:val="tx1"/>
            </w14:solidFill>
          </w14:textFill>
        </w:rPr>
        <w:t>5</w:t>
      </w:r>
      <w:r>
        <w:rPr>
          <w:rFonts w:hint="eastAsia" w:ascii="宋体" w:hAnsi="宋体" w:eastAsia="宋体" w:cs="宋体"/>
          <w:color w:val="000000" w:themeColor="text1"/>
          <w:sz w:val="21"/>
          <w:highlight w:val="none"/>
          <w14:textFill>
            <w14:solidFill>
              <w14:schemeClr w14:val="tx1"/>
            </w14:solidFill>
          </w14:textFill>
        </w:rPr>
        <w:t>）政府采购方式：</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公开招标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邀请招标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竞争性谈判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竞争性磋商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hint="eastAsia" w:ascii="宋体" w:hAnsi="宋体" w:eastAsia="宋体" w:cs="宋体"/>
          <w:color w:val="000000" w:themeColor="text1"/>
          <w:sz w:val="21"/>
          <w:highlight w:val="none"/>
          <w14:textFill>
            <w14:solidFill>
              <w14:schemeClr w14:val="tx1"/>
            </w14:solidFill>
          </w14:textFill>
        </w:rPr>
        <w:t xml:space="preserve">询价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单一来源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框架协议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其他：</w:t>
      </w:r>
      <w:r>
        <w:rPr>
          <w:rFonts w:hint="eastAsia" w:ascii="宋体" w:hAnsi="宋体" w:eastAsia="宋体" w:cs="宋体"/>
          <w:color w:val="000000" w:themeColor="text1"/>
          <w:sz w:val="21"/>
          <w:highlight w:val="none"/>
          <w:u w:val="single"/>
          <w14:textFill>
            <w14:solidFill>
              <w14:schemeClr w14:val="tx1"/>
            </w14:solidFill>
          </w14:textFill>
        </w:rPr>
        <w:t xml:space="preserve">          </w:t>
      </w:r>
    </w:p>
    <w:p w14:paraId="6D1AFA1D">
      <w:pPr>
        <w:pStyle w:val="9"/>
        <w:keepNext w:val="0"/>
        <w:keepLines w:val="0"/>
        <w:pageBreakBefore w:val="0"/>
        <w:kinsoku/>
        <w:wordWrap/>
        <w:overflowPunct/>
        <w:topLinePunct w:val="0"/>
        <w:bidi w:val="0"/>
        <w:snapToGrid w:val="0"/>
        <w:spacing w:line="312" w:lineRule="auto"/>
        <w:ind w:firstLine="210" w:firstLineChars="10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w:t>
      </w:r>
      <w:r>
        <w:rPr>
          <w:rFonts w:ascii="宋体" w:hAnsi="宋体" w:eastAsia="宋体"/>
          <w:color w:val="000000" w:themeColor="text1"/>
          <w:sz w:val="21"/>
          <w:highlight w:val="none"/>
          <w:lang w:val="en"/>
          <w14:textFill>
            <w14:solidFill>
              <w14:schemeClr w14:val="tx1"/>
            </w14:solidFill>
          </w14:textFill>
        </w:rPr>
        <w:t>6</w:t>
      </w:r>
      <w:r>
        <w:rPr>
          <w:rFonts w:hint="eastAsia" w:ascii="宋体" w:hAnsi="宋体" w:eastAsia="宋体" w:cs="宋体"/>
          <w:color w:val="000000" w:themeColor="text1"/>
          <w:sz w:val="21"/>
          <w:highlight w:val="none"/>
          <w14:textFill>
            <w14:solidFill>
              <w14:schemeClr w14:val="tx1"/>
            </w14:solidFill>
          </w14:textFill>
        </w:rPr>
        <w:t>）</w:t>
      </w:r>
      <w:r>
        <w:rPr>
          <w:rFonts w:hint="eastAsia" w:ascii="宋体" w:hAnsi="宋体" w:eastAsia="宋体" w:cs="Times New Roman"/>
          <w:color w:val="000000" w:themeColor="text1"/>
          <w:kern w:val="2"/>
          <w:sz w:val="21"/>
          <w:highlight w:val="none"/>
          <w14:textFill>
            <w14:solidFill>
              <w14:schemeClr w14:val="tx1"/>
            </w14:solidFill>
          </w14:textFill>
        </w:rPr>
        <w:t>中标（成交）采购标的制造商是否为中小企业：</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 xml:space="preserve">是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否</w:t>
      </w:r>
    </w:p>
    <w:p w14:paraId="6A1CEF45">
      <w:pPr>
        <w:pStyle w:val="9"/>
        <w:keepNext w:val="0"/>
        <w:keepLines w:val="0"/>
        <w:pageBreakBefore w:val="0"/>
        <w:kinsoku/>
        <w:wordWrap/>
        <w:overflowPunct/>
        <w:topLinePunct w:val="0"/>
        <w:bidi w:val="0"/>
        <w:snapToGrid w:val="0"/>
        <w:spacing w:line="312" w:lineRule="auto"/>
        <w:ind w:firstLine="42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本合同是否为专门面向中小企业的采购合同（中小企业预留合同）：</w:t>
      </w:r>
      <w:r>
        <w:rPr>
          <w:rFonts w:hint="eastAsia" w:ascii="宋体" w:hAnsi="宋体" w:eastAsia="宋体"/>
          <w:iCs/>
          <w:color w:val="000000" w:themeColor="text1"/>
          <w:sz w:val="21"/>
          <w:highlight w:val="none"/>
          <w14:textFill>
            <w14:solidFill>
              <w14:schemeClr w14:val="tx1"/>
            </w14:solidFill>
          </w14:textFill>
        </w:rPr>
        <w:sym w:font="Wingdings" w:char="00A8"/>
      </w:r>
      <w:r>
        <w:rPr>
          <w:rFonts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是</w:t>
      </w:r>
      <w:r>
        <w:rPr>
          <w:rFonts w:hint="eastAsia"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iCs/>
          <w:color w:val="000000" w:themeColor="text1"/>
          <w:sz w:val="21"/>
          <w:highlight w:val="none"/>
          <w14:textFill>
            <w14:solidFill>
              <w14:schemeClr w14:val="tx1"/>
            </w14:solidFill>
          </w14:textFill>
        </w:rPr>
        <w:sym w:font="Wingdings" w:char="00A8"/>
      </w:r>
      <w:r>
        <w:rPr>
          <w:rFonts w:ascii="宋体" w:hAnsi="宋体" w:eastAsia="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否</w:t>
      </w:r>
    </w:p>
    <w:p w14:paraId="4F17C603">
      <w:pPr>
        <w:keepNext w:val="0"/>
        <w:keepLines w:val="0"/>
        <w:pageBreakBefore w:val="0"/>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若本项目不专门面向中小企业采购，是否给予小微企业评审优惠：</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否</w:t>
      </w:r>
    </w:p>
    <w:p w14:paraId="53FCDA9E">
      <w:pPr>
        <w:keepNext w:val="0"/>
        <w:keepLines w:val="0"/>
        <w:pageBreakBefore w:val="0"/>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中标（成交）采购标的制造商是否为残疾人福利性单位：</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否</w:t>
      </w:r>
    </w:p>
    <w:p w14:paraId="6730E7B6">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中标（成交）采购标的制造商是否为监狱企业：</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055E40B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lang w:val="e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）合同是否分包：</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1D9B3B1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分包主要内容：</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A759B6">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分包供应商/制造商名称（如供应商和制造商不同，请分别填写）：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1FDFEBD7">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分包供应商/制造商类型（如果供应商和制造商不同，只填写制造商类型）：</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大型企业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中型企业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小微型企业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残疾人福利性单位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监狱企业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26619BF1">
      <w:pPr>
        <w:keepNext w:val="0"/>
        <w:keepLines w:val="0"/>
        <w:pageBreakBefore w:val="0"/>
        <w:kinsoku/>
        <w:wordWrap/>
        <w:overflowPunct/>
        <w:topLinePunct w:val="0"/>
        <w:bidi w:val="0"/>
        <w:adjustRightInd w:val="0"/>
        <w:snapToGrid w:val="0"/>
        <w:spacing w:line="312" w:lineRule="auto"/>
        <w:textAlignment w:val="auto"/>
        <w:rPr>
          <w:rFonts w:ascii="宋体" w:hAnsi="宋体" w:cs="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lang w:val="en"/>
          <w14:textFill>
            <w14:solidFill>
              <w14:schemeClr w14:val="tx1"/>
            </w14:solidFill>
          </w14:textFill>
        </w:rPr>
        <w:t>8</w:t>
      </w:r>
      <w:r>
        <w:rPr>
          <w:rFonts w:hint="eastAsia" w:ascii="宋体" w:hAnsi="宋体" w:cs="宋体"/>
          <w:color w:val="000000" w:themeColor="text1"/>
          <w:szCs w:val="21"/>
          <w:highlight w:val="none"/>
          <w14:textFill>
            <w14:solidFill>
              <w14:schemeClr w14:val="tx1"/>
            </w14:solidFill>
          </w14:textFill>
        </w:rPr>
        <w:t>）中标（成交）供应商是否为外商投资企业：</w:t>
      </w:r>
      <w:r>
        <w:rPr>
          <w:rFonts w:hint="eastAsia" w:ascii="宋体" w:hAnsi="宋体" w:cs="宋体"/>
          <w:iCs/>
          <w:color w:val="000000" w:themeColor="text1"/>
          <w:szCs w:val="21"/>
          <w:highlight w:val="none"/>
          <w14:textFill>
            <w14:solidFill>
              <w14:schemeClr w14:val="tx1"/>
            </w14:solidFill>
          </w14:textFill>
        </w:rPr>
        <w:sym w:font="Wingdings" w:char="00A8"/>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t>是</w:t>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sym w:font="Wingdings" w:char="00A8"/>
      </w:r>
      <w:r>
        <w:rPr>
          <w:rFonts w:ascii="宋体" w:hAnsi="宋体" w:cs="宋体"/>
          <w:iCs/>
          <w:color w:val="000000" w:themeColor="text1"/>
          <w:szCs w:val="21"/>
          <w:highlight w:val="none"/>
          <w14:textFill>
            <w14:solidFill>
              <w14:schemeClr w14:val="tx1"/>
            </w14:solidFill>
          </w14:textFill>
        </w:rPr>
        <w:t xml:space="preserve"> </w:t>
      </w:r>
      <w:r>
        <w:rPr>
          <w:rFonts w:hint="eastAsia" w:ascii="宋体" w:hAnsi="宋体" w:cs="宋体"/>
          <w:iCs/>
          <w:color w:val="000000" w:themeColor="text1"/>
          <w:szCs w:val="21"/>
          <w:highlight w:val="none"/>
          <w14:textFill>
            <w14:solidFill>
              <w14:schemeClr w14:val="tx1"/>
            </w14:solidFill>
          </w14:textFill>
        </w:rPr>
        <w:t>否</w:t>
      </w:r>
    </w:p>
    <w:p w14:paraId="12590567">
      <w:pPr>
        <w:pStyle w:val="9"/>
        <w:keepNext w:val="0"/>
        <w:keepLines w:val="0"/>
        <w:pageBreakBefore w:val="0"/>
        <w:tabs>
          <w:tab w:val="left" w:pos="1340"/>
        </w:tabs>
        <w:kinsoku/>
        <w:wordWrap/>
        <w:overflowPunct/>
        <w:topLinePunct w:val="0"/>
        <w:bidi w:val="0"/>
        <w:spacing w:line="312" w:lineRule="auto"/>
        <w:ind w:firstLine="0" w:firstLineChars="0"/>
        <w:textAlignment w:val="auto"/>
        <w:rPr>
          <w:rFonts w:ascii="宋体" w:hAnsi="宋体" w:eastAsia="宋体" w:cs="宋体"/>
          <w:color w:val="000000" w:themeColor="text1"/>
          <w:sz w:val="21"/>
          <w:highlight w:val="none"/>
          <w:u w:val="singl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w:t>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外商投资企业类型：</w:t>
      </w:r>
      <w:r>
        <w:rPr>
          <w:rFonts w:hint="eastAsia" w:ascii="宋体" w:hAnsi="宋体" w:eastAsia="宋体" w:cs="宋体"/>
          <w:iCs/>
          <w:color w:val="000000" w:themeColor="text1"/>
          <w:sz w:val="21"/>
          <w:highlight w:val="none"/>
          <w14:textFill>
            <w14:solidFill>
              <w14:schemeClr w14:val="tx1"/>
            </w14:solidFill>
          </w14:textFill>
        </w:rPr>
        <w:sym w:font="Wingdings" w:char="00A8"/>
      </w:r>
      <w:r>
        <w:rPr>
          <w:rFonts w:ascii="宋体" w:hAnsi="宋体" w:eastAsia="宋体" w:cs="宋体"/>
          <w:iCs/>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全部由外国投资者投资  </w:t>
      </w:r>
      <w:r>
        <w:rPr>
          <w:rFonts w:hint="eastAsia" w:ascii="宋体" w:hAnsi="宋体" w:eastAsia="宋体" w:cs="宋体"/>
          <w:iCs/>
          <w:color w:val="000000" w:themeColor="text1"/>
          <w:sz w:val="21"/>
          <w:highlight w:val="none"/>
          <w14:textFill>
            <w14:solidFill>
              <w14:schemeClr w14:val="tx1"/>
            </w14:solidFill>
          </w14:textFill>
        </w:rPr>
        <w:sym w:font="Wingdings" w:char="00A8"/>
      </w:r>
      <w:r>
        <w:rPr>
          <w:rFonts w:ascii="宋体" w:hAnsi="宋体" w:eastAsia="宋体" w:cs="宋体"/>
          <w:iCs/>
          <w:color w:val="000000" w:themeColor="text1"/>
          <w:sz w:val="21"/>
          <w:highlight w:val="none"/>
          <w14:textFill>
            <w14:solidFill>
              <w14:schemeClr w14:val="tx1"/>
            </w14:solidFill>
          </w14:textFill>
        </w:rPr>
        <w:t xml:space="preserve"> </w:t>
      </w:r>
      <w:r>
        <w:rPr>
          <w:rFonts w:hint="eastAsia" w:ascii="宋体" w:hAnsi="宋体" w:eastAsia="宋体" w:cs="宋体"/>
          <w:iCs/>
          <w:color w:val="000000" w:themeColor="text1"/>
          <w:sz w:val="21"/>
          <w:highlight w:val="none"/>
          <w14:textFill>
            <w14:solidFill>
              <w14:schemeClr w14:val="tx1"/>
            </w14:solidFill>
          </w14:textFill>
        </w:rPr>
        <w:t>部分由外国投资者投资</w:t>
      </w:r>
    </w:p>
    <w:p w14:paraId="2974068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lang w:val="en"/>
          <w14:textFill>
            <w14:solidFill>
              <w14:schemeClr w14:val="tx1"/>
            </w14:solidFill>
          </w14:textFill>
        </w:rPr>
        <w:t>9</w:t>
      </w:r>
      <w:r>
        <w:rPr>
          <w:rFonts w:hint="eastAsia" w:ascii="宋体" w:hAnsi="宋体" w:cs="宋体"/>
          <w:color w:val="000000" w:themeColor="text1"/>
          <w:szCs w:val="21"/>
          <w:highlight w:val="none"/>
          <w14:textFill>
            <w14:solidFill>
              <w14:schemeClr w14:val="tx1"/>
            </w14:solidFill>
          </w14:textFill>
        </w:rPr>
        <w:t xml:space="preserve">）是否涉及进口产品：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是，《政府采购品目分类目录》底级品目名称：</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金额：</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国别：</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品牌：</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规格型号：</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w:p>
    <w:p w14:paraId="001DD0CC">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7F29D44F">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w:t>
      </w:r>
      <w:r>
        <w:rPr>
          <w:rFonts w:ascii="宋体" w:hAnsi="宋体"/>
          <w:color w:val="000000" w:themeColor="text1"/>
          <w:szCs w:val="21"/>
          <w:highlight w:val="none"/>
          <w:lang w:val="e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）是否涉及节能产品：</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是，《节能产品政府采购品目清单》的底级品目名称：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     </w:t>
      </w:r>
    </w:p>
    <w:p w14:paraId="1CF61B20">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5C2235E8">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09E9E8DF">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是否涉及环境标志产品：</w:t>
      </w:r>
    </w:p>
    <w:p w14:paraId="48842185">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是，《环境标志产品政府采购品目清单》的底级品目名称：</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p>
    <w:p w14:paraId="52EE3CD6">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0D192E3E">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否</w:t>
      </w:r>
    </w:p>
    <w:p w14:paraId="681512DC">
      <w:pPr>
        <w:pStyle w:val="9"/>
        <w:keepNext w:val="0"/>
        <w:keepLines w:val="0"/>
        <w:pageBreakBefore w:val="0"/>
        <w:kinsoku/>
        <w:wordWrap/>
        <w:overflowPunct/>
        <w:topLinePunct w:val="0"/>
        <w:bidi w:val="0"/>
        <w:snapToGrid w:val="0"/>
        <w:spacing w:line="312" w:lineRule="auto"/>
        <w:ind w:firstLine="0" w:firstLineChars="0"/>
        <w:textAlignment w:val="auto"/>
        <w:rPr>
          <w:rFonts w:ascii="宋体" w:hAnsi="宋体" w:eastAsia="宋体" w:cs="Times New Roman"/>
          <w:color w:val="000000" w:themeColor="text1"/>
          <w:kern w:val="2"/>
          <w:sz w:val="21"/>
          <w:highlight w:val="none"/>
          <w14:textFill>
            <w14:solidFill>
              <w14:schemeClr w14:val="tx1"/>
            </w14:solidFill>
          </w14:textFill>
        </w:rPr>
      </w:pPr>
      <w:r>
        <w:rPr>
          <w:rFonts w:hint="eastAsia" w:ascii="宋体" w:hAnsi="宋体" w:eastAsia="宋体"/>
          <w:color w:val="000000" w:themeColor="text1"/>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 xml:space="preserve">是否涉及绿色产品： </w:t>
      </w:r>
    </w:p>
    <w:p w14:paraId="36939530">
      <w:pPr>
        <w:pStyle w:val="9"/>
        <w:keepNext w:val="0"/>
        <w:keepLines w:val="0"/>
        <w:pageBreakBefore w:val="0"/>
        <w:kinsoku/>
        <w:wordWrap/>
        <w:overflowPunct/>
        <w:topLinePunct w:val="0"/>
        <w:bidi w:val="0"/>
        <w:spacing w:line="312" w:lineRule="auto"/>
        <w:ind w:firstLine="420" w:firstLineChars="0"/>
        <w:textAlignment w:val="auto"/>
        <w:rPr>
          <w:rFonts w:ascii="宋体" w:hAnsi="宋体" w:eastAsia="宋体"/>
          <w:color w:val="000000" w:themeColor="text1"/>
          <w:sz w:val="21"/>
          <w:highlight w:val="none"/>
          <w:u w:val="single"/>
          <w14:textFill>
            <w14:solidFill>
              <w14:schemeClr w14:val="tx1"/>
            </w14:solidFill>
          </w14:textFill>
        </w:rPr>
      </w:pPr>
      <w:r>
        <w:rPr>
          <w:rFonts w:hint="eastAsia"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是，绿色产品政府采购相关政策确定的底级品目名称：</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p>
    <w:p w14:paraId="29121B31">
      <w:pPr>
        <w:keepNext w:val="0"/>
        <w:keepLines w:val="0"/>
        <w:pageBreakBefore w:val="0"/>
        <w:tabs>
          <w:tab w:val="left" w:pos="740"/>
        </w:tabs>
        <w:kinsoku/>
        <w:wordWrap/>
        <w:overflowPunct/>
        <w:topLinePunct w:val="0"/>
        <w:bidi w:val="0"/>
        <w:adjustRightInd w:val="0"/>
        <w:snapToGrid w:val="0"/>
        <w:spacing w:line="312" w:lineRule="auto"/>
        <w:textAlignment w:val="auto"/>
        <w:rPr>
          <w:rFonts w:ascii="宋体" w:hAnsi="宋体"/>
          <w:iCs/>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强制采购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优先采购    </w:t>
      </w:r>
    </w:p>
    <w:p w14:paraId="3E134896">
      <w:pPr>
        <w:pStyle w:val="9"/>
        <w:keepNext w:val="0"/>
        <w:keepLines w:val="0"/>
        <w:pageBreakBefore w:val="0"/>
        <w:kinsoku/>
        <w:wordWrap/>
        <w:overflowPunct/>
        <w:topLinePunct w:val="0"/>
        <w:bidi w:val="0"/>
        <w:spacing w:line="312" w:lineRule="auto"/>
        <w:ind w:firstLine="420" w:firstLineChars="0"/>
        <w:textAlignment w:val="auto"/>
        <w:rPr>
          <w:rFonts w:ascii="宋体" w:hAnsi="宋体" w:eastAsia="宋体"/>
          <w:color w:val="000000" w:themeColor="text1"/>
          <w:sz w:val="21"/>
          <w:highlight w:val="none"/>
          <w14:textFill>
            <w14:solidFill>
              <w14:schemeClr w14:val="tx1"/>
            </w14:solidFill>
          </w14:textFill>
        </w:rPr>
      </w:pPr>
      <w:r>
        <w:rPr>
          <w:rFonts w:hint="eastAsia"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sym w:font="Wingdings" w:char="00A8"/>
      </w:r>
      <w:r>
        <w:rPr>
          <w:rFonts w:ascii="宋体" w:hAnsi="宋体" w:eastAsia="宋体" w:cs="Times New Roman"/>
          <w:color w:val="000000" w:themeColor="text1"/>
          <w:kern w:val="2"/>
          <w:sz w:val="21"/>
          <w:highlight w:val="none"/>
          <w14:textFill>
            <w14:solidFill>
              <w14:schemeClr w14:val="tx1"/>
            </w14:solidFill>
          </w14:textFill>
        </w:rPr>
        <w:t xml:space="preserve"> </w:t>
      </w:r>
      <w:r>
        <w:rPr>
          <w:rFonts w:hint="eastAsia" w:ascii="宋体" w:hAnsi="宋体" w:eastAsia="宋体" w:cs="Times New Roman"/>
          <w:color w:val="000000" w:themeColor="text1"/>
          <w:kern w:val="2"/>
          <w:sz w:val="21"/>
          <w:highlight w:val="none"/>
          <w14:textFill>
            <w14:solidFill>
              <w14:schemeClr w14:val="tx1"/>
            </w14:solidFill>
          </w14:textFill>
        </w:rPr>
        <w:t>否</w:t>
      </w:r>
    </w:p>
    <w:p w14:paraId="18673C19">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（1</w:t>
      </w:r>
      <w:r>
        <w:rPr>
          <w:rFonts w:ascii="宋体" w:hAnsi="宋体"/>
          <w:color w:val="000000" w:themeColor="text1"/>
          <w:szCs w:val="21"/>
          <w:highlight w:val="none"/>
          <w:lang w:val="e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）涉及商品包装和快递包装的，是否参考《商品包装政府采购需求标准（试行）》、《快递包装政府采购需求标准（试行）》明确产品及相关快递服务的具体包装要求：</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是</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否 </w:t>
      </w: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不涉及</w:t>
      </w:r>
    </w:p>
    <w:p w14:paraId="0EBF5AAD">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2</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合同金额</w:t>
      </w:r>
    </w:p>
    <w:p w14:paraId="49279A13">
      <w:pPr>
        <w:keepNext w:val="0"/>
        <w:keepLines w:val="0"/>
        <w:pageBreakBefore w:val="0"/>
        <w:kinsoku/>
        <w:wordWrap/>
        <w:overflowPunct/>
        <w:topLinePunct w:val="0"/>
        <w:bidi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s="宋体"/>
          <w:color w:val="000000" w:themeColor="text1"/>
          <w:szCs w:val="21"/>
          <w:highlight w:val="none"/>
          <w14:textFill>
            <w14:solidFill>
              <w14:schemeClr w14:val="tx1"/>
            </w14:solidFill>
          </w14:textFill>
        </w:rPr>
        <w:t>合同总价：人民币（大写）</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元，（￥</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p>
    <w:p w14:paraId="16A3B9A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本合同总价是货物（产品）设计、材料、制造、包装、运输、安装、调试、检测、验收合格交付使用之前及保修期内保修服务与备用物件等其他有关各项的含税费用。</w:t>
      </w:r>
      <w:r>
        <w:rPr>
          <w:rFonts w:hint="eastAsia" w:ascii="宋体" w:hAnsi="宋体"/>
          <w:color w:val="000000" w:themeColor="text1"/>
          <w:szCs w:val="21"/>
          <w:highlight w:val="none"/>
          <w14:textFill>
            <w14:solidFill>
              <w14:schemeClr w14:val="tx1"/>
            </w14:solidFill>
          </w14:textFill>
        </w:rPr>
        <w:t xml:space="preserve">  </w:t>
      </w:r>
    </w:p>
    <w:p w14:paraId="2FDA6656">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分包金额（如有）小写：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4A8D929">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大写：</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121A8D97">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（注：固定单价合同应填写单价和最高限价）</w:t>
      </w:r>
    </w:p>
    <w:p w14:paraId="005460CB">
      <w:pPr>
        <w:keepNext w:val="0"/>
        <w:keepLines w:val="0"/>
        <w:pageBreakBefore w:val="0"/>
        <w:kinsoku/>
        <w:wordWrap/>
        <w:overflowPunct/>
        <w:topLinePunct w:val="0"/>
        <w:bidi w:val="0"/>
        <w:adjustRightInd w:val="0"/>
        <w:snapToGrid w:val="0"/>
        <w:spacing w:line="312" w:lineRule="auto"/>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（2）合同定价方式（采用组合定价方式的，可以勾选多项）：</w:t>
      </w:r>
    </w:p>
    <w:p w14:paraId="08DF483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固定总价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固定单价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固定费率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成本补偿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绩效激励 </w:t>
      </w:r>
      <w:r>
        <w:rPr>
          <w:rFonts w:hint="eastAsia" w:ascii="宋体" w:hAnsi="宋体"/>
          <w:iCs/>
          <w:color w:val="000000" w:themeColor="text1"/>
          <w:szCs w:val="21"/>
          <w:highlight w:val="none"/>
          <w14:textFill>
            <w14:solidFill>
              <w14:schemeClr w14:val="tx1"/>
            </w14:solidFill>
          </w14:textFill>
        </w:rPr>
        <w:sym w:font="Wingdings" w:char="00A8"/>
      </w:r>
      <w:r>
        <w:rPr>
          <w:rFonts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 xml:space="preserve">       </w:t>
      </w:r>
    </w:p>
    <w:p w14:paraId="239041EE">
      <w:pPr>
        <w:pStyle w:val="10"/>
        <w:keepNext w:val="0"/>
        <w:keepLines w:val="0"/>
        <w:pageBreakBefore w:val="0"/>
        <w:kinsoku/>
        <w:wordWrap/>
        <w:overflowPunct/>
        <w:topLinePunct w:val="0"/>
        <w:bidi w:val="0"/>
        <w:spacing w:line="312" w:lineRule="auto"/>
        <w:textAlignment w:val="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（3）付款方式（按项目实际勾选填写）：</w:t>
      </w:r>
    </w:p>
    <w:p w14:paraId="4339AD8A">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全额付款：</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合同签订生效后，所有货物（产品）供货完成，经验收合格，达到付款条件起</w:t>
      </w:r>
      <w:r>
        <w:rPr>
          <w:rFonts w:hint="eastAsia" w:ascii="宋体" w:hAnsi="宋体"/>
          <w:color w:val="000000" w:themeColor="text1"/>
          <w:szCs w:val="21"/>
          <w:highlight w:val="none"/>
          <w:u w:val="single"/>
          <w:lang w:val="en-US" w:eastAsia="zh-CN"/>
          <w14:textFill>
            <w14:solidFill>
              <w14:schemeClr w14:val="tx1"/>
            </w14:solidFill>
          </w14:textFill>
        </w:rPr>
        <w:t>3</w:t>
      </w:r>
      <w:r>
        <w:rPr>
          <w:rFonts w:ascii="宋体" w:hAnsi="宋体"/>
          <w:color w:val="000000" w:themeColor="text1"/>
          <w:szCs w:val="21"/>
          <w:highlight w:val="none"/>
          <w:u w:val="single"/>
          <w14:textFill>
            <w14:solidFill>
              <w14:schemeClr w14:val="tx1"/>
            </w14:solidFill>
          </w14:textFill>
        </w:rPr>
        <w:t>0</w:t>
      </w:r>
      <w:r>
        <w:rPr>
          <w:rFonts w:hint="eastAsia" w:ascii="宋体" w:hAnsi="宋体"/>
          <w:color w:val="000000" w:themeColor="text1"/>
          <w:szCs w:val="21"/>
          <w:highlight w:val="none"/>
          <w:u w:val="single"/>
          <w14:textFill>
            <w14:solidFill>
              <w14:schemeClr w14:val="tx1"/>
            </w14:solidFill>
          </w14:textFill>
        </w:rPr>
        <w:t>日内甲方一次性支付所有合同款项</w:t>
      </w:r>
      <w:r>
        <w:rPr>
          <w:rFonts w:hint="eastAsia" w:ascii="宋体" w:hAnsi="宋体"/>
          <w:color w:val="000000" w:themeColor="text1"/>
          <w:szCs w:val="21"/>
          <w:highlight w:val="none"/>
          <w:u w:val="single"/>
          <w14:textFill>
            <w14:solidFill>
              <w14:schemeClr w14:val="tx1"/>
            </w14:solidFill>
          </w14:textFill>
        </w:rPr>
        <w:t xml:space="preserve">）   </w:t>
      </w:r>
    </w:p>
    <w:p w14:paraId="6A84DEC3">
      <w:pPr>
        <w:keepNext w:val="0"/>
        <w:keepLines w:val="0"/>
        <w:pageBreakBefore w:val="0"/>
        <w:kinsoku/>
        <w:wordWrap/>
        <w:overflowPunct/>
        <w:topLinePunct w:val="0"/>
        <w:bidi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分期付款：</w:t>
      </w:r>
      <w:r>
        <w:rPr>
          <w:rFonts w:hint="eastAsia" w:ascii="宋体" w:hAnsi="宋体"/>
          <w:color w:val="000000" w:themeColor="text1"/>
          <w:szCs w:val="21"/>
          <w:highlight w:val="none"/>
          <w:u w:val="single"/>
          <w14:textFill>
            <w14:solidFill>
              <w14:schemeClr w14:val="tx1"/>
            </w14:solidFill>
          </w14:textFill>
        </w:rPr>
        <w:t xml:space="preserve">  （应明确分期支付合同款项的各期比例和支付条件，各期支付条件应与分期履约验收情况挂钩） </w:t>
      </w:r>
      <w:r>
        <w:rPr>
          <w:rFonts w:hint="eastAsia" w:ascii="宋体" w:hAnsi="宋体"/>
          <w:color w:val="000000" w:themeColor="text1"/>
          <w:szCs w:val="21"/>
          <w:highlight w:val="none"/>
          <w14:textFill>
            <w14:solidFill>
              <w14:schemeClr w14:val="tx1"/>
            </w14:solidFill>
          </w14:textFill>
        </w:rPr>
        <w:t>，其中涉及预付款的：</w:t>
      </w:r>
      <w:r>
        <w:rPr>
          <w:rFonts w:hint="eastAsia" w:ascii="宋体" w:hAnsi="宋体"/>
          <w:color w:val="000000" w:themeColor="text1"/>
          <w:szCs w:val="21"/>
          <w:highlight w:val="none"/>
          <w:u w:val="single"/>
          <w14:textFill>
            <w14:solidFill>
              <w14:schemeClr w14:val="tx1"/>
            </w14:solidFill>
          </w14:textFill>
        </w:rPr>
        <w:t xml:space="preserve"> （应明确预付款的支付比例和支付条件） </w:t>
      </w:r>
    </w:p>
    <w:p w14:paraId="6459DF96">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成本补偿：</w:t>
      </w:r>
      <w:r>
        <w:rPr>
          <w:rFonts w:hint="eastAsia" w:ascii="宋体" w:hAnsi="宋体"/>
          <w:color w:val="000000" w:themeColor="text1"/>
          <w:szCs w:val="21"/>
          <w:highlight w:val="none"/>
          <w:u w:val="single"/>
          <w14:textFill>
            <w14:solidFill>
              <w14:schemeClr w14:val="tx1"/>
            </w14:solidFill>
          </w14:textFill>
        </w:rPr>
        <w:t xml:space="preserve"> （应明确按照成本补偿方式的支付方式和支付条件）   </w:t>
      </w:r>
    </w:p>
    <w:p w14:paraId="3B1120FF">
      <w:pPr>
        <w:keepNext w:val="0"/>
        <w:keepLines w:val="0"/>
        <w:pageBreakBefore w:val="0"/>
        <w:kinsoku/>
        <w:wordWrap/>
        <w:overflowPunct/>
        <w:topLinePunct w:val="0"/>
        <w:bidi w:val="0"/>
        <w:adjustRightInd w:val="0"/>
        <w:snapToGrid w:val="0"/>
        <w:spacing w:line="312" w:lineRule="auto"/>
        <w:ind w:firstLine="630" w:firstLineChars="3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绩效激励：</w:t>
      </w:r>
      <w:r>
        <w:rPr>
          <w:rFonts w:hint="eastAsia" w:ascii="宋体" w:hAnsi="宋体"/>
          <w:color w:val="000000" w:themeColor="text1"/>
          <w:szCs w:val="21"/>
          <w:highlight w:val="none"/>
          <w:u w:val="single"/>
          <w14:textFill>
            <w14:solidFill>
              <w14:schemeClr w14:val="tx1"/>
            </w14:solidFill>
          </w14:textFill>
        </w:rPr>
        <w:t xml:space="preserve"> （应明确按照绩效激励方式的支付方式和支付条件）   </w:t>
      </w:r>
    </w:p>
    <w:p w14:paraId="362DC19C">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u w:val="singl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3</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合同履行</w:t>
      </w:r>
    </w:p>
    <w:p w14:paraId="16C918A9">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（1）起始日期：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日，完成日期：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CD98B58">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（2）履约地点</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p>
    <w:p w14:paraId="6C768A8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（3）履约担保：</w:t>
      </w:r>
      <w:r>
        <w:rPr>
          <w:rFonts w:hint="eastAsia" w:ascii="宋体" w:hAnsi="宋体" w:cs="宋体"/>
          <w:color w:val="000000" w:themeColor="text1"/>
          <w:szCs w:val="21"/>
          <w:highlight w:val="none"/>
          <w14:textFill>
            <w14:solidFill>
              <w14:schemeClr w14:val="tx1"/>
            </w14:solidFill>
          </w14:textFill>
        </w:rPr>
        <w:t>是否收取履约保证金：</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否</w:t>
      </w:r>
    </w:p>
    <w:p w14:paraId="63F34894">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bCs/>
          <w:color w:val="000000" w:themeColor="text1"/>
          <w:sz w:val="21"/>
          <w:highlight w:val="none"/>
          <w:u w:val="single"/>
          <w14:textFill>
            <w14:solidFill>
              <w14:schemeClr w14:val="tx1"/>
            </w14:solidFill>
          </w14:textFill>
        </w:rPr>
      </w:pPr>
      <w:r>
        <w:rPr>
          <w:rFonts w:hint="eastAsia" w:ascii="宋体" w:hAnsi="宋体" w:eastAsia="宋体" w:cs="宋体"/>
          <w:bCs/>
          <w:color w:val="000000" w:themeColor="text1"/>
          <w:sz w:val="21"/>
          <w:highlight w:val="none"/>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 xml:space="preserve">  收取履约保证金形式：</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r>
        <w:rPr>
          <w:rFonts w:hint="eastAsia" w:ascii="宋体" w:hAnsi="宋体" w:eastAsia="宋体" w:cs="宋体"/>
          <w:bCs/>
          <w:color w:val="000000" w:themeColor="text1"/>
          <w:sz w:val="21"/>
          <w:highlight w:val="none"/>
          <w:u w:val="single"/>
          <w14:textFill>
            <w14:solidFill>
              <w14:schemeClr w14:val="tx1"/>
            </w14:solidFill>
          </w14:textFill>
        </w:rPr>
        <w:t xml:space="preserve"> </w:t>
      </w:r>
    </w:p>
    <w:p w14:paraId="2080F6C4">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 xml:space="preserve">    收取履约保证金金额：</w:t>
      </w:r>
      <w:r>
        <w:rPr>
          <w:rFonts w:hint="eastAsia" w:ascii="宋体" w:hAnsi="宋体" w:eastAsia="宋体" w:cs="宋体"/>
          <w:bCs/>
          <w:color w:val="000000" w:themeColor="text1"/>
          <w:sz w:val="21"/>
          <w:highlight w:val="none"/>
          <w:u w:val="single"/>
          <w14:textFill>
            <w14:solidFill>
              <w14:schemeClr w14:val="tx1"/>
            </w14:solidFill>
          </w14:textFill>
        </w:rPr>
        <w:t xml:space="preserve">  </w:t>
      </w:r>
      <w:r>
        <w:rPr>
          <w:rFonts w:hint="eastAsia" w:ascii="宋体" w:hAnsi="宋体"/>
          <w:color w:val="000000" w:themeColor="text1"/>
          <w:sz w:val="21"/>
          <w:highlight w:val="none"/>
          <w:u w:val="single"/>
          <w14:textFill>
            <w14:solidFill>
              <w14:schemeClr w14:val="tx1"/>
            </w14:solidFill>
          </w14:textFill>
        </w:rPr>
        <w:t>.</w:t>
      </w:r>
      <w:r>
        <w:rPr>
          <w:rFonts w:ascii="宋体" w:hAnsi="宋体"/>
          <w:color w:val="000000" w:themeColor="text1"/>
          <w:sz w:val="21"/>
          <w:highlight w:val="none"/>
          <w:u w:val="single"/>
          <w14:textFill>
            <w14:solidFill>
              <w14:schemeClr w14:val="tx1"/>
            </w14:solidFill>
          </w14:textFill>
        </w:rPr>
        <w:t xml:space="preserve">                      .</w:t>
      </w:r>
      <w:r>
        <w:rPr>
          <w:rFonts w:hint="eastAsia" w:ascii="宋体" w:hAnsi="宋体" w:eastAsia="宋体"/>
          <w:color w:val="000000" w:themeColor="text1"/>
          <w:sz w:val="21"/>
          <w:highlight w:val="none"/>
          <w:u w:val="single"/>
          <w14:textFill>
            <w14:solidFill>
              <w14:schemeClr w14:val="tx1"/>
            </w14:solidFill>
          </w14:textFill>
        </w:rPr>
        <w:t xml:space="preserve"> </w:t>
      </w:r>
    </w:p>
    <w:p w14:paraId="23A3A6FC">
      <w:pPr>
        <w:keepNext w:val="0"/>
        <w:keepLines w:val="0"/>
        <w:pageBreakBefore w:val="0"/>
        <w:kinsoku/>
        <w:wordWrap/>
        <w:overflowPunct/>
        <w:topLinePunct w:val="0"/>
        <w:bidi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    履约担保期限：</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5C27BB95">
      <w:pPr>
        <w:keepNext w:val="0"/>
        <w:keepLines w:val="0"/>
        <w:pageBreakBefore w:val="0"/>
        <w:kinsoku/>
        <w:wordWrap/>
        <w:overflowPunct/>
        <w:topLinePunct w:val="0"/>
        <w:bidi w:val="0"/>
        <w:snapToGrid w:val="0"/>
        <w:spacing w:line="312" w:lineRule="auto"/>
        <w:ind w:firstLine="420" w:firstLineChars="200"/>
        <w:textAlignment w:val="auto"/>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4</w:t>
      </w:r>
      <w:r>
        <w:rPr>
          <w:rFonts w:ascii="宋体" w:hAnsi="宋体" w:cs="宋体"/>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分期履行要求：</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1333B367">
      <w:pPr>
        <w:keepNext w:val="0"/>
        <w:keepLines w:val="0"/>
        <w:pageBreakBefore w:val="0"/>
        <w:kinsoku/>
        <w:wordWrap/>
        <w:overflowPunct/>
        <w:topLinePunct w:val="0"/>
        <w:bidi w:val="0"/>
        <w:adjustRightInd w:val="0"/>
        <w:snapToGrid w:val="0"/>
        <w:spacing w:line="312" w:lineRule="auto"/>
        <w:ind w:left="420"/>
        <w:textAlignment w:val="auto"/>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（5）风险处置措施和替代方案：</w:t>
      </w:r>
      <w:r>
        <w:rPr>
          <w:rFonts w:hint="eastAsia" w:ascii="宋体" w:hAnsi="宋体"/>
          <w:color w:val="000000" w:themeColor="text1"/>
          <w:highlight w:val="none"/>
          <w:u w:val="single"/>
          <w14:textFill>
            <w14:solidFill>
              <w14:schemeClr w14:val="tx1"/>
            </w14:solidFill>
          </w14:textFill>
        </w:rPr>
        <w:t>.</w:t>
      </w:r>
      <w:r>
        <w:rPr>
          <w:rFonts w:ascii="宋体" w:hAnsi="宋体"/>
          <w:color w:val="000000" w:themeColor="text1"/>
          <w:highlight w:val="none"/>
          <w:u w:val="single"/>
          <w14:textFill>
            <w14:solidFill>
              <w14:schemeClr w14:val="tx1"/>
            </w14:solidFill>
          </w14:textFill>
        </w:rPr>
        <w:t xml:space="preserve">                      .</w:t>
      </w:r>
      <w:r>
        <w:rPr>
          <w:rFonts w:hint="eastAsia" w:ascii="宋体" w:hAnsi="宋体"/>
          <w:color w:val="000000" w:themeColor="text1"/>
          <w:highlight w:val="none"/>
          <w:u w:val="single"/>
          <w14:textFill>
            <w14:solidFill>
              <w14:schemeClr w14:val="tx1"/>
            </w14:solidFill>
          </w14:textFill>
        </w:rPr>
        <w:t xml:space="preserve"> </w:t>
      </w:r>
    </w:p>
    <w:p w14:paraId="3430DA33">
      <w:pPr>
        <w:keepNext w:val="0"/>
        <w:keepLines w:val="0"/>
        <w:pageBreakBefore w:val="0"/>
        <w:kinsoku/>
        <w:wordWrap/>
        <w:overflowPunct/>
        <w:topLinePunct w:val="0"/>
        <w:bidi w:val="0"/>
        <w:adjustRightInd w:val="0"/>
        <w:snapToGrid w:val="0"/>
        <w:spacing w:line="312" w:lineRule="auto"/>
        <w:ind w:left="420"/>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4</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合同验收</w:t>
      </w:r>
    </w:p>
    <w:p w14:paraId="027C9C38">
      <w:pPr>
        <w:keepNext w:val="0"/>
        <w:keepLines w:val="0"/>
        <w:pageBreakBefore w:val="0"/>
        <w:numPr>
          <w:ilvl w:val="0"/>
          <w:numId w:val="1"/>
        </w:numPr>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验收组织方式：</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自行组织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委托第三方组织</w:t>
      </w:r>
    </w:p>
    <w:p w14:paraId="317C2FC8">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验收主体：</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0D003796">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是否邀请本项目的其他供应商参加验收：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3FC418F">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是否邀请专家参加验收：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DBC2ACE">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是否邀请服务对象参加验收：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1F5DC61C">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是否邀请第三方检测机构参加验收：</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4E70703B">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是否进行抽查检测：</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是，抽查比例：</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09E1911">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是否存在破坏性检测：</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w:t>
      </w:r>
      <w:r>
        <w:rPr>
          <w:rFonts w:hint="eastAsia" w:ascii="宋体" w:hAnsi="宋体"/>
          <w:bCs/>
          <w:color w:val="000000" w:themeColor="text1"/>
          <w:szCs w:val="21"/>
          <w:highlight w:val="none"/>
          <w:u w:val="single"/>
          <w14:textFill>
            <w14:solidFill>
              <w14:schemeClr w14:val="tx1"/>
            </w14:solidFill>
          </w14:textFill>
        </w:rPr>
        <w:t>（应明确对被破坏的检测产品的处理方式）</w:t>
      </w:r>
    </w:p>
    <w:p w14:paraId="1D7A7C3E">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否</w:t>
      </w:r>
    </w:p>
    <w:p w14:paraId="500A7250">
      <w:pPr>
        <w:keepNext w:val="0"/>
        <w:keepLines w:val="0"/>
        <w:pageBreakBefore w:val="0"/>
        <w:kinsoku/>
        <w:wordWrap/>
        <w:overflowPunct/>
        <w:topLinePunct w:val="0"/>
        <w:bidi w:val="0"/>
        <w:adjustRightInd w:val="0"/>
        <w:snapToGrid w:val="0"/>
        <w:spacing w:line="312" w:lineRule="auto"/>
        <w:ind w:firstLine="840" w:firstLineChars="4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验收组织的其他事项：</w:t>
      </w:r>
      <w:r>
        <w:rPr>
          <w:rFonts w:hint="eastAsia" w:ascii="宋体" w:hAnsi="宋体"/>
          <w:bCs/>
          <w:color w:val="000000" w:themeColor="text1"/>
          <w:szCs w:val="21"/>
          <w:highlight w:val="none"/>
          <w:u w:val="single"/>
          <w14:textFill>
            <w14:solidFill>
              <w14:schemeClr w14:val="tx1"/>
            </w14:solidFill>
          </w14:textFill>
        </w:rPr>
        <w:t xml:space="preserve">                </w:t>
      </w:r>
    </w:p>
    <w:p w14:paraId="627F2441">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（2）履约验收时间：</w:t>
      </w:r>
      <w:r>
        <w:rPr>
          <w:rFonts w:hint="eastAsia" w:ascii="宋体" w:hAnsi="宋体"/>
          <w:bCs/>
          <w:color w:val="000000" w:themeColor="text1"/>
          <w:szCs w:val="21"/>
          <w:highlight w:val="none"/>
          <w:u w:val="single"/>
          <w14:textFill>
            <w14:solidFill>
              <w14:schemeClr w14:val="tx1"/>
            </w14:solidFill>
          </w14:textFill>
        </w:rPr>
        <w:t xml:space="preserve">（计划于何时验收/供应商提出验收申请之日起   日内组织验收） </w:t>
      </w:r>
    </w:p>
    <w:p w14:paraId="7E49234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（3）履约验收方式：</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一次性验收         </w:t>
      </w:r>
    </w:p>
    <w:p w14:paraId="2AB3352F">
      <w:pPr>
        <w:keepNext w:val="0"/>
        <w:keepLines w:val="0"/>
        <w:pageBreakBefore w:val="0"/>
        <w:kinsoku/>
        <w:wordWrap/>
        <w:overflowPunct/>
        <w:topLinePunct w:val="0"/>
        <w:bidi w:val="0"/>
        <w:adjustRightInd w:val="0"/>
        <w:snapToGrid w:val="0"/>
        <w:spacing w:line="312" w:lineRule="auto"/>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sym w:font="Wingdings" w:char="00A8"/>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分期/分项验收：</w:t>
      </w:r>
      <w:r>
        <w:rPr>
          <w:rFonts w:hint="eastAsia" w:ascii="宋体" w:hAnsi="宋体"/>
          <w:bCs/>
          <w:color w:val="000000" w:themeColor="text1"/>
          <w:szCs w:val="21"/>
          <w:highlight w:val="none"/>
          <w:u w:val="single"/>
          <w14:textFill>
            <w14:solidFill>
              <w14:schemeClr w14:val="tx1"/>
            </w14:solidFill>
          </w14:textFill>
        </w:rPr>
        <w:t xml:space="preserve"> （应明确分期</w:t>
      </w:r>
      <w:r>
        <w:rPr>
          <w:rFonts w:ascii="宋体" w:hAnsi="宋体"/>
          <w:bCs/>
          <w:color w:val="000000" w:themeColor="text1"/>
          <w:szCs w:val="21"/>
          <w:highlight w:val="none"/>
          <w:u w:val="single"/>
          <w:lang w:val="en"/>
          <w14:textFill>
            <w14:solidFill>
              <w14:schemeClr w14:val="tx1"/>
            </w14:solidFill>
          </w14:textFill>
        </w:rPr>
        <w:t>/</w:t>
      </w:r>
      <w:r>
        <w:rPr>
          <w:rFonts w:hint="eastAsia" w:ascii="宋体" w:hAnsi="宋体"/>
          <w:bCs/>
          <w:color w:val="000000" w:themeColor="text1"/>
          <w:szCs w:val="21"/>
          <w:highlight w:val="none"/>
          <w:u w:val="single"/>
          <w:lang w:val="en"/>
          <w14:textFill>
            <w14:solidFill>
              <w14:schemeClr w14:val="tx1"/>
            </w14:solidFill>
          </w14:textFill>
        </w:rPr>
        <w:t>分项验收的工作安排</w:t>
      </w:r>
      <w:r>
        <w:rPr>
          <w:rFonts w:hint="eastAsia" w:ascii="宋体" w:hAnsi="宋体"/>
          <w:bCs/>
          <w:color w:val="000000" w:themeColor="text1"/>
          <w:szCs w:val="21"/>
          <w:highlight w:val="none"/>
          <w:u w:val="single"/>
          <w14:textFill>
            <w14:solidFill>
              <w14:schemeClr w14:val="tx1"/>
            </w14:solidFill>
          </w14:textFill>
        </w:rPr>
        <w:t xml:space="preserve">）  </w:t>
      </w:r>
    </w:p>
    <w:p w14:paraId="2A6743B6">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（4）履约验收程序：</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75A5B66D">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（5）履约验收的内容：</w:t>
      </w:r>
      <w:r>
        <w:rPr>
          <w:rFonts w:hint="eastAsia" w:ascii="宋体" w:hAnsi="宋体"/>
          <w:bCs/>
          <w:color w:val="000000" w:themeColor="text1"/>
          <w:szCs w:val="21"/>
          <w:highlight w:val="none"/>
          <w:u w:val="single"/>
          <w14:textFill>
            <w14:solidFill>
              <w14:schemeClr w14:val="tx1"/>
            </w14:solidFill>
          </w14:textFill>
        </w:rPr>
        <w:t xml:space="preserve"> （应当包括每一项技术和商务要求的履约情况，特别是落实政府采购扶持中小企业，支持绿色发展和乡村振兴等政策情况）</w:t>
      </w:r>
    </w:p>
    <w:p w14:paraId="6651B7D7">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（6）履约验收标准：</w:t>
      </w:r>
      <w:r>
        <w:rPr>
          <w:rFonts w:hint="eastAsia" w:ascii="宋体" w:hAnsi="宋体"/>
          <w:color w:val="000000" w:themeColor="text1"/>
          <w:szCs w:val="21"/>
          <w:highlight w:val="none"/>
          <w:u w:val="singl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p>
    <w:p w14:paraId="34AF258E">
      <w:pPr>
        <w:pStyle w:val="9"/>
        <w:keepNext w:val="0"/>
        <w:keepLines w:val="0"/>
        <w:pageBreakBefore w:val="0"/>
        <w:kinsoku/>
        <w:wordWrap/>
        <w:overflowPunct/>
        <w:topLinePunct w:val="0"/>
        <w:bidi w:val="0"/>
        <w:spacing w:line="312" w:lineRule="auto"/>
        <w:ind w:firstLine="420"/>
        <w:textAlignment w:val="auto"/>
        <w:rPr>
          <w:rFonts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bCs/>
          <w:color w:val="000000" w:themeColor="text1"/>
          <w:sz w:val="21"/>
          <w:highlight w:val="none"/>
          <w14:textFill>
            <w14:solidFill>
              <w14:schemeClr w14:val="tx1"/>
            </w14:solidFill>
          </w14:textFill>
        </w:rPr>
        <w:t>（7）是否以采购活动中供应商提供的样品作为参考：</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bCs/>
          <w:color w:val="000000" w:themeColor="text1"/>
          <w:sz w:val="21"/>
          <w:highlight w:val="none"/>
          <w14:textFill>
            <w14:solidFill>
              <w14:schemeClr w14:val="tx1"/>
            </w14:solidFill>
          </w14:textFill>
        </w:rPr>
        <w:t xml:space="preserve">是  </w:t>
      </w:r>
      <w:r>
        <w:rPr>
          <w:rFonts w:hint="eastAsia" w:ascii="宋体" w:hAnsi="宋体" w:eastAsia="宋体" w:cs="宋体"/>
          <w:color w:val="000000" w:themeColor="text1"/>
          <w:sz w:val="21"/>
          <w:highlight w:val="none"/>
          <w14:textFill>
            <w14:solidFill>
              <w14:schemeClr w14:val="tx1"/>
            </w14:solidFill>
          </w14:textFill>
        </w:rPr>
        <w:sym w:font="Wingdings" w:char="00A8"/>
      </w:r>
      <w:r>
        <w:rPr>
          <w:rFonts w:ascii="宋体" w:hAnsi="宋体" w:eastAsia="宋体" w:cs="宋体"/>
          <w:color w:val="000000" w:themeColor="text1"/>
          <w:sz w:val="21"/>
          <w:highlight w:val="none"/>
          <w14:textFill>
            <w14:solidFill>
              <w14:schemeClr w14:val="tx1"/>
            </w14:solidFill>
          </w14:textFill>
        </w:rPr>
        <w:t xml:space="preserve"> </w:t>
      </w:r>
      <w:r>
        <w:rPr>
          <w:rFonts w:hint="eastAsia" w:ascii="宋体" w:hAnsi="宋体" w:eastAsia="宋体" w:cs="宋体"/>
          <w:bCs/>
          <w:color w:val="000000" w:themeColor="text1"/>
          <w:sz w:val="21"/>
          <w:highlight w:val="none"/>
          <w14:textFill>
            <w14:solidFill>
              <w14:schemeClr w14:val="tx1"/>
            </w14:solidFill>
          </w14:textFill>
        </w:rPr>
        <w:t>否</w:t>
      </w:r>
    </w:p>
    <w:p w14:paraId="67B6E190">
      <w:pPr>
        <w:pStyle w:val="11"/>
        <w:keepNext w:val="0"/>
        <w:keepLines w:val="0"/>
        <w:pageBreakBefore w:val="0"/>
        <w:numPr>
          <w:ilvl w:val="0"/>
          <w:numId w:val="2"/>
        </w:numPr>
        <w:kinsoku/>
        <w:wordWrap/>
        <w:overflowPunct/>
        <w:topLinePunct w:val="0"/>
        <w:bidi w:val="0"/>
        <w:adjustRightInd w:val="0"/>
        <w:snapToGrid w:val="0"/>
        <w:spacing w:line="312" w:lineRule="auto"/>
        <w:ind w:firstLineChars="0"/>
        <w:textAlignment w:val="auto"/>
        <w:rPr>
          <w:rFonts w:ascii="宋体" w:hAnsi="宋体" w:cs="宋体"/>
          <w:bCs/>
          <w:color w:val="000000" w:themeColor="text1"/>
          <w:highlight w:val="none"/>
          <w:u w:val="single"/>
          <w14:textFill>
            <w14:solidFill>
              <w14:schemeClr w14:val="tx1"/>
            </w14:solidFill>
          </w14:textFill>
        </w:rPr>
      </w:pPr>
      <w:r>
        <w:rPr>
          <w:rFonts w:hint="eastAsia" w:ascii="宋体" w:hAnsi="宋体" w:cs="宋体"/>
          <w:bCs/>
          <w:color w:val="000000" w:themeColor="text1"/>
          <w:highlight w:val="none"/>
          <w14:textFill>
            <w14:solidFill>
              <w14:schemeClr w14:val="tx1"/>
            </w14:solidFill>
          </w14:textFill>
        </w:rPr>
        <w:t>履约验收其他事项：</w:t>
      </w:r>
      <w:r>
        <w:rPr>
          <w:rFonts w:hint="eastAsia" w:ascii="宋体" w:hAnsi="宋体" w:cs="宋体"/>
          <w:bCs/>
          <w:color w:val="000000" w:themeColor="text1"/>
          <w:highlight w:val="none"/>
          <w:u w:val="single"/>
          <w14:textFill>
            <w14:solidFill>
              <w14:schemeClr w14:val="tx1"/>
            </w14:solidFill>
          </w14:textFill>
        </w:rPr>
        <w:t xml:space="preserve">      （产权过户登记等）          </w:t>
      </w:r>
    </w:p>
    <w:p w14:paraId="78E25778">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5</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组成合同的文件</w:t>
      </w:r>
    </w:p>
    <w:p w14:paraId="41FE621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本协议书与下列文件一起构成合同文件，如下述文件之间有任何抵触、矛盾或歧义，应按以下顺序解释：</w:t>
      </w:r>
    </w:p>
    <w:p w14:paraId="348960F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（1）政府采购合同协议书及其变更、补充协议</w:t>
      </w:r>
    </w:p>
    <w:p w14:paraId="4740BF39">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（2）政府采购合同专用条款</w:t>
      </w:r>
    </w:p>
    <w:p w14:paraId="1D42191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（3）政府采购合同通用条款</w:t>
      </w:r>
    </w:p>
    <w:p w14:paraId="0820C893">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（4）中标（成交）通知书</w:t>
      </w:r>
    </w:p>
    <w:p w14:paraId="11A7D22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（5）投标（响应）文件</w:t>
      </w:r>
    </w:p>
    <w:p w14:paraId="01070FA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（6）采购文件</w:t>
      </w:r>
    </w:p>
    <w:p w14:paraId="26F34D8F">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（7）有关技术文件，图纸</w:t>
      </w:r>
    </w:p>
    <w:p w14:paraId="5A811CAF">
      <w:pPr>
        <w:pStyle w:val="9"/>
        <w:keepNext w:val="0"/>
        <w:keepLines w:val="0"/>
        <w:pageBreakBefore w:val="0"/>
        <w:kinsoku/>
        <w:wordWrap/>
        <w:overflowPunct/>
        <w:topLinePunct w:val="0"/>
        <w:bidi w:val="0"/>
        <w:spacing w:line="312" w:lineRule="auto"/>
        <w:ind w:firstLineChars="0"/>
        <w:textAlignment w:val="auto"/>
        <w:rPr>
          <w:rFonts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highlight w:val="none"/>
          <w14:textFill>
            <w14:solidFill>
              <w14:schemeClr w14:val="tx1"/>
            </w14:solidFill>
          </w14:textFill>
        </w:rPr>
        <w:t>（8）国家法律、行政法规和规章制度规定或合同约定的作为合同组成部分的其他文件</w:t>
      </w:r>
    </w:p>
    <w:p w14:paraId="2B9EA252">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6</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合同生效</w:t>
      </w:r>
    </w:p>
    <w:p w14:paraId="33CC7452">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本合同自</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生效。</w:t>
      </w:r>
    </w:p>
    <w:p w14:paraId="5CEF5774">
      <w:pPr>
        <w:keepNext w:val="0"/>
        <w:keepLines w:val="0"/>
        <w:pageBreakBefore w:val="0"/>
        <w:kinsoku/>
        <w:wordWrap/>
        <w:overflowPunct/>
        <w:topLinePunct w:val="0"/>
        <w:bidi w:val="0"/>
        <w:adjustRightInd w:val="0"/>
        <w:snapToGrid w:val="0"/>
        <w:spacing w:line="312" w:lineRule="auto"/>
        <w:textAlignment w:val="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7</w:t>
      </w:r>
      <w:r>
        <w:rPr>
          <w:rFonts w:ascii="宋体" w:hAnsi="宋体"/>
          <w:b/>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合同份数</w:t>
      </w:r>
    </w:p>
    <w:p w14:paraId="30E9B5C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本合同一式</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份，甲方执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份，乙方执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份，均具有同等法律效力。</w:t>
      </w:r>
    </w:p>
    <w:p w14:paraId="14A3B005">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合同订立时间：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76218A0">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合同订立地点：</w:t>
      </w:r>
      <w:r>
        <w:rPr>
          <w:rFonts w:hint="eastAsia" w:ascii="宋体" w:hAnsi="宋体"/>
          <w:color w:val="000000" w:themeColor="text1"/>
          <w:szCs w:val="21"/>
          <w:highlight w:val="none"/>
          <w:u w:val="single"/>
          <w14:textFill>
            <w14:solidFill>
              <w14:schemeClr w14:val="tx1"/>
            </w14:solidFill>
          </w14:textFill>
        </w:rPr>
        <w:t xml:space="preserve">                           </w:t>
      </w:r>
    </w:p>
    <w:p w14:paraId="22E2EB3B">
      <w:pPr>
        <w:keepNext w:val="0"/>
        <w:keepLines w:val="0"/>
        <w:pageBreakBefore w:val="0"/>
        <w:kinsoku/>
        <w:wordWrap/>
        <w:overflowPunct/>
        <w:topLinePunct w:val="0"/>
        <w:bidi w:val="0"/>
        <w:adjustRightInd w:val="0"/>
        <w:snapToGrid w:val="0"/>
        <w:spacing w:line="312" w:lineRule="auto"/>
        <w:ind w:firstLine="420" w:firstLineChars="200"/>
        <w:textAlignment w:val="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附件：具体标的及其技术要求和商务要求、联合协议、分包意向协议等。</w:t>
      </w:r>
    </w:p>
    <w:p w14:paraId="56265D76">
      <w:pPr>
        <w:pStyle w:val="3"/>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tbl>
      <w:tblPr>
        <w:tblStyle w:val="6"/>
        <w:tblW w:w="5508" w:type="pct"/>
        <w:tblInd w:w="-472"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475"/>
        <w:gridCol w:w="2411"/>
        <w:gridCol w:w="1977"/>
        <w:gridCol w:w="2525"/>
      </w:tblGrid>
      <w:tr w14:paraId="62C780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05" w:hRule="atLeast"/>
        </w:trPr>
        <w:tc>
          <w:tcPr>
            <w:tcW w:w="2602" w:type="pct"/>
            <w:gridSpan w:val="2"/>
            <w:tcBorders>
              <w:bottom w:val="single" w:color="auto" w:sz="2" w:space="0"/>
              <w:right w:val="single" w:color="auto" w:sz="2" w:space="0"/>
            </w:tcBorders>
            <w:vAlign w:val="center"/>
          </w:tcPr>
          <w:p w14:paraId="3BDBF85B">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甲方（采购人、受采购人委托签订合同的单位或采购文件约定的合同甲方）</w:t>
            </w:r>
          </w:p>
        </w:tc>
        <w:tc>
          <w:tcPr>
            <w:tcW w:w="2397" w:type="pct"/>
            <w:gridSpan w:val="2"/>
            <w:tcBorders>
              <w:left w:val="single" w:color="auto" w:sz="2" w:space="0"/>
              <w:bottom w:val="single" w:color="auto" w:sz="2" w:space="0"/>
            </w:tcBorders>
            <w:vAlign w:val="center"/>
          </w:tcPr>
          <w:p w14:paraId="400D2C2E">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乙方（供应商）</w:t>
            </w:r>
          </w:p>
        </w:tc>
      </w:tr>
      <w:tr w14:paraId="7DF8400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318" w:type="pct"/>
            <w:tcBorders>
              <w:top w:val="single" w:color="auto" w:sz="2" w:space="0"/>
              <w:bottom w:val="single" w:color="auto" w:sz="2" w:space="0"/>
              <w:right w:val="single" w:color="auto" w:sz="2" w:space="0"/>
            </w:tcBorders>
            <w:vAlign w:val="center"/>
          </w:tcPr>
          <w:p w14:paraId="0186B64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单位名称（公章或合同章）</w:t>
            </w:r>
          </w:p>
        </w:tc>
        <w:tc>
          <w:tcPr>
            <w:tcW w:w="1284" w:type="pct"/>
            <w:tcBorders>
              <w:top w:val="single" w:color="auto" w:sz="2" w:space="0"/>
              <w:left w:val="single" w:color="auto" w:sz="2" w:space="0"/>
              <w:bottom w:val="single" w:color="auto" w:sz="2" w:space="0"/>
              <w:right w:val="single" w:color="auto" w:sz="2" w:space="0"/>
            </w:tcBorders>
            <w:vAlign w:val="center"/>
          </w:tcPr>
          <w:p w14:paraId="187ECE4B">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A2D13F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单位名称（公章或合同章）</w:t>
            </w:r>
          </w:p>
        </w:tc>
        <w:tc>
          <w:tcPr>
            <w:tcW w:w="1344" w:type="pct"/>
            <w:tcBorders>
              <w:top w:val="single" w:color="auto" w:sz="2" w:space="0"/>
              <w:left w:val="single" w:color="auto" w:sz="2" w:space="0"/>
              <w:bottom w:val="single" w:color="auto" w:sz="2" w:space="0"/>
            </w:tcBorders>
            <w:vAlign w:val="center"/>
          </w:tcPr>
          <w:p w14:paraId="2705684D">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8B82E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318" w:type="pct"/>
            <w:vMerge w:val="restart"/>
            <w:tcBorders>
              <w:top w:val="single" w:color="auto" w:sz="2" w:space="0"/>
              <w:right w:val="single" w:color="auto" w:sz="2" w:space="0"/>
            </w:tcBorders>
            <w:vAlign w:val="center"/>
          </w:tcPr>
          <w:p w14:paraId="2358496D">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法定代表人</w:t>
            </w:r>
          </w:p>
          <w:p w14:paraId="005C94F9">
            <w:pPr>
              <w:adjustRightInd w:val="0"/>
              <w:snapToGrid w:val="0"/>
              <w:spacing w:line="300" w:lineRule="exact"/>
              <w:ind w:firstLine="86" w:firstLineChars="48"/>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或其委托代理人（签章）</w:t>
            </w:r>
          </w:p>
        </w:tc>
        <w:tc>
          <w:tcPr>
            <w:tcW w:w="1284" w:type="pct"/>
            <w:vMerge w:val="restart"/>
            <w:tcBorders>
              <w:top w:val="single" w:color="auto" w:sz="2" w:space="0"/>
              <w:left w:val="single" w:color="auto" w:sz="2" w:space="0"/>
              <w:right w:val="single" w:color="auto" w:sz="2" w:space="0"/>
            </w:tcBorders>
            <w:vAlign w:val="center"/>
          </w:tcPr>
          <w:p w14:paraId="4218A6E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right w:val="single" w:color="auto" w:sz="2" w:space="0"/>
            </w:tcBorders>
            <w:vAlign w:val="center"/>
          </w:tcPr>
          <w:p w14:paraId="7F003EF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法定代表人</w:t>
            </w:r>
          </w:p>
          <w:p w14:paraId="7C4ADB5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或其委托代理人（签章）</w:t>
            </w:r>
          </w:p>
        </w:tc>
        <w:tc>
          <w:tcPr>
            <w:tcW w:w="1344" w:type="pct"/>
            <w:tcBorders>
              <w:top w:val="single" w:color="auto" w:sz="2" w:space="0"/>
              <w:left w:val="single" w:color="auto" w:sz="2" w:space="0"/>
              <w:bottom w:val="single" w:color="auto" w:sz="2" w:space="0"/>
            </w:tcBorders>
            <w:vAlign w:val="center"/>
          </w:tcPr>
          <w:p w14:paraId="36143EF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r>
      <w:tr w14:paraId="0AF69C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vMerge w:val="continue"/>
            <w:tcBorders>
              <w:bottom w:val="single" w:color="auto" w:sz="2" w:space="0"/>
              <w:right w:val="single" w:color="auto" w:sz="2" w:space="0"/>
            </w:tcBorders>
            <w:vAlign w:val="center"/>
          </w:tcPr>
          <w:p w14:paraId="57F0524D">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vMerge w:val="continue"/>
            <w:tcBorders>
              <w:left w:val="single" w:color="auto" w:sz="2" w:space="0"/>
              <w:bottom w:val="single" w:color="auto" w:sz="2" w:space="0"/>
              <w:right w:val="single" w:color="auto" w:sz="2" w:space="0"/>
            </w:tcBorders>
            <w:vAlign w:val="center"/>
          </w:tcPr>
          <w:p w14:paraId="5D2CED8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657CF2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拥有者性别</w:t>
            </w:r>
          </w:p>
        </w:tc>
        <w:tc>
          <w:tcPr>
            <w:tcW w:w="1344" w:type="pct"/>
            <w:tcBorders>
              <w:top w:val="single" w:color="auto" w:sz="2" w:space="0"/>
              <w:left w:val="single" w:color="auto" w:sz="2" w:space="0"/>
              <w:bottom w:val="single" w:color="auto" w:sz="2" w:space="0"/>
            </w:tcBorders>
            <w:vAlign w:val="center"/>
          </w:tcPr>
          <w:p w14:paraId="2E32BE73">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8549A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671937F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住  所</w:t>
            </w:r>
          </w:p>
        </w:tc>
        <w:tc>
          <w:tcPr>
            <w:tcW w:w="1284" w:type="pct"/>
            <w:tcBorders>
              <w:top w:val="single" w:color="auto" w:sz="2" w:space="0"/>
              <w:left w:val="single" w:color="auto" w:sz="2" w:space="0"/>
              <w:bottom w:val="single" w:color="auto" w:sz="2" w:space="0"/>
              <w:right w:val="single" w:color="auto" w:sz="2" w:space="0"/>
            </w:tcBorders>
            <w:vAlign w:val="center"/>
          </w:tcPr>
          <w:p w14:paraId="5227C10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8584C9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住  所</w:t>
            </w:r>
          </w:p>
        </w:tc>
        <w:tc>
          <w:tcPr>
            <w:tcW w:w="1344" w:type="pct"/>
            <w:tcBorders>
              <w:top w:val="single" w:color="auto" w:sz="2" w:space="0"/>
              <w:left w:val="single" w:color="auto" w:sz="2" w:space="0"/>
              <w:bottom w:val="single" w:color="auto" w:sz="2" w:space="0"/>
            </w:tcBorders>
            <w:vAlign w:val="center"/>
          </w:tcPr>
          <w:p w14:paraId="5BA03CFF">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331837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E44577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 系 人</w:t>
            </w:r>
          </w:p>
        </w:tc>
        <w:tc>
          <w:tcPr>
            <w:tcW w:w="1284" w:type="pct"/>
            <w:tcBorders>
              <w:top w:val="single" w:color="auto" w:sz="2" w:space="0"/>
              <w:left w:val="single" w:color="auto" w:sz="2" w:space="0"/>
              <w:bottom w:val="single" w:color="auto" w:sz="2" w:space="0"/>
              <w:right w:val="single" w:color="auto" w:sz="2" w:space="0"/>
            </w:tcBorders>
            <w:vAlign w:val="center"/>
          </w:tcPr>
          <w:p w14:paraId="168DFE62">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7B469A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 系 人</w:t>
            </w:r>
          </w:p>
        </w:tc>
        <w:tc>
          <w:tcPr>
            <w:tcW w:w="1344" w:type="pct"/>
            <w:tcBorders>
              <w:top w:val="single" w:color="auto" w:sz="2" w:space="0"/>
              <w:left w:val="single" w:color="auto" w:sz="2" w:space="0"/>
              <w:bottom w:val="single" w:color="auto" w:sz="2" w:space="0"/>
            </w:tcBorders>
            <w:vAlign w:val="center"/>
          </w:tcPr>
          <w:p w14:paraId="425DE848">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1A1191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5668CA15">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联系电话</w:t>
            </w:r>
          </w:p>
        </w:tc>
        <w:tc>
          <w:tcPr>
            <w:tcW w:w="1284" w:type="pct"/>
            <w:tcBorders>
              <w:top w:val="single" w:color="auto" w:sz="2" w:space="0"/>
              <w:left w:val="single" w:color="auto" w:sz="2" w:space="0"/>
              <w:bottom w:val="single" w:color="auto" w:sz="2" w:space="0"/>
              <w:right w:val="single" w:color="auto" w:sz="2" w:space="0"/>
            </w:tcBorders>
            <w:vAlign w:val="center"/>
          </w:tcPr>
          <w:p w14:paraId="58C0ABB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1599544">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联系电话</w:t>
            </w:r>
          </w:p>
        </w:tc>
        <w:tc>
          <w:tcPr>
            <w:tcW w:w="1344" w:type="pct"/>
            <w:tcBorders>
              <w:top w:val="single" w:color="auto" w:sz="2" w:space="0"/>
              <w:left w:val="single" w:color="auto" w:sz="2" w:space="0"/>
              <w:bottom w:val="single" w:color="auto" w:sz="2" w:space="0"/>
            </w:tcBorders>
            <w:vAlign w:val="center"/>
          </w:tcPr>
          <w:p w14:paraId="4EB03FCE">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6FD609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1F7C7219">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通信地址</w:t>
            </w:r>
          </w:p>
        </w:tc>
        <w:tc>
          <w:tcPr>
            <w:tcW w:w="1284" w:type="pct"/>
            <w:tcBorders>
              <w:top w:val="single" w:color="auto" w:sz="2" w:space="0"/>
              <w:left w:val="single" w:color="auto" w:sz="2" w:space="0"/>
              <w:bottom w:val="single" w:color="auto" w:sz="2" w:space="0"/>
              <w:right w:val="single" w:color="auto" w:sz="2" w:space="0"/>
            </w:tcBorders>
            <w:vAlign w:val="center"/>
          </w:tcPr>
          <w:p w14:paraId="733F5BF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FADB0E1">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通信地址</w:t>
            </w:r>
          </w:p>
        </w:tc>
        <w:tc>
          <w:tcPr>
            <w:tcW w:w="1344" w:type="pct"/>
            <w:tcBorders>
              <w:top w:val="single" w:color="auto" w:sz="2" w:space="0"/>
              <w:left w:val="single" w:color="auto" w:sz="2" w:space="0"/>
              <w:bottom w:val="single" w:color="auto" w:sz="2" w:space="0"/>
            </w:tcBorders>
            <w:vAlign w:val="center"/>
          </w:tcPr>
          <w:p w14:paraId="1251F970">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E2CC25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1FD75303">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邮政编码</w:t>
            </w:r>
          </w:p>
        </w:tc>
        <w:tc>
          <w:tcPr>
            <w:tcW w:w="1284" w:type="pct"/>
            <w:tcBorders>
              <w:top w:val="single" w:color="auto" w:sz="2" w:space="0"/>
              <w:left w:val="single" w:color="auto" w:sz="2" w:space="0"/>
              <w:bottom w:val="single" w:color="auto" w:sz="2" w:space="0"/>
              <w:right w:val="single" w:color="auto" w:sz="2" w:space="0"/>
            </w:tcBorders>
            <w:vAlign w:val="center"/>
          </w:tcPr>
          <w:p w14:paraId="39952E17">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5A42F3C">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邮政编码</w:t>
            </w:r>
          </w:p>
        </w:tc>
        <w:tc>
          <w:tcPr>
            <w:tcW w:w="1344" w:type="pct"/>
            <w:tcBorders>
              <w:top w:val="single" w:color="auto" w:sz="2" w:space="0"/>
              <w:left w:val="single" w:color="auto" w:sz="2" w:space="0"/>
              <w:bottom w:val="single" w:color="auto" w:sz="2" w:space="0"/>
            </w:tcBorders>
            <w:vAlign w:val="center"/>
          </w:tcPr>
          <w:p w14:paraId="41D0D406">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10153F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581203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电子邮箱</w:t>
            </w:r>
          </w:p>
        </w:tc>
        <w:tc>
          <w:tcPr>
            <w:tcW w:w="1284" w:type="pct"/>
            <w:tcBorders>
              <w:top w:val="single" w:color="auto" w:sz="2" w:space="0"/>
              <w:left w:val="single" w:color="auto" w:sz="2" w:space="0"/>
              <w:bottom w:val="single" w:color="auto" w:sz="2" w:space="0"/>
              <w:right w:val="single" w:color="auto" w:sz="2" w:space="0"/>
            </w:tcBorders>
            <w:vAlign w:val="center"/>
          </w:tcPr>
          <w:p w14:paraId="5C049229">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C5CFE9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电子邮箱</w:t>
            </w:r>
          </w:p>
        </w:tc>
        <w:tc>
          <w:tcPr>
            <w:tcW w:w="1344" w:type="pct"/>
            <w:tcBorders>
              <w:top w:val="single" w:color="auto" w:sz="2" w:space="0"/>
              <w:left w:val="single" w:color="auto" w:sz="2" w:space="0"/>
              <w:bottom w:val="single" w:color="auto" w:sz="2" w:space="0"/>
            </w:tcBorders>
            <w:vAlign w:val="center"/>
          </w:tcPr>
          <w:p w14:paraId="7E923A97">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50C3D58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4DD1D332">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统一社会信用代码</w:t>
            </w:r>
          </w:p>
        </w:tc>
        <w:tc>
          <w:tcPr>
            <w:tcW w:w="1284" w:type="pct"/>
            <w:tcBorders>
              <w:top w:val="single" w:color="auto" w:sz="2" w:space="0"/>
              <w:left w:val="single" w:color="auto" w:sz="2" w:space="0"/>
              <w:bottom w:val="single" w:color="auto" w:sz="2" w:space="0"/>
              <w:right w:val="single" w:color="auto" w:sz="2" w:space="0"/>
            </w:tcBorders>
            <w:vAlign w:val="center"/>
          </w:tcPr>
          <w:p w14:paraId="5090243E">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004C734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统一社会信用代码</w:t>
            </w:r>
          </w:p>
        </w:tc>
        <w:tc>
          <w:tcPr>
            <w:tcW w:w="1344" w:type="pct"/>
            <w:tcBorders>
              <w:top w:val="single" w:color="auto" w:sz="2" w:space="0"/>
              <w:left w:val="single" w:color="auto" w:sz="2" w:space="0"/>
              <w:bottom w:val="single" w:color="auto" w:sz="2" w:space="0"/>
            </w:tcBorders>
            <w:vAlign w:val="center"/>
          </w:tcPr>
          <w:p w14:paraId="507FF1EA">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7A8CEB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20CEBCF0">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5C19F92C">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15DD1AC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开户名称</w:t>
            </w:r>
          </w:p>
        </w:tc>
        <w:tc>
          <w:tcPr>
            <w:tcW w:w="1344" w:type="pct"/>
            <w:tcBorders>
              <w:top w:val="single" w:color="auto" w:sz="2" w:space="0"/>
              <w:left w:val="single" w:color="auto" w:sz="2" w:space="0"/>
              <w:bottom w:val="single" w:color="auto" w:sz="2" w:space="0"/>
            </w:tcBorders>
            <w:vAlign w:val="center"/>
          </w:tcPr>
          <w:p w14:paraId="517940FE">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7568F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0195BA9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73DFF588">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447BFE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开户银行</w:t>
            </w:r>
          </w:p>
        </w:tc>
        <w:tc>
          <w:tcPr>
            <w:tcW w:w="1344" w:type="pct"/>
            <w:tcBorders>
              <w:top w:val="single" w:color="auto" w:sz="2" w:space="0"/>
              <w:left w:val="single" w:color="auto" w:sz="2" w:space="0"/>
              <w:bottom w:val="single" w:color="auto" w:sz="2" w:space="0"/>
            </w:tcBorders>
            <w:vAlign w:val="center"/>
          </w:tcPr>
          <w:p w14:paraId="2C3224FC">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02D683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318" w:type="pct"/>
            <w:tcBorders>
              <w:top w:val="single" w:color="auto" w:sz="2" w:space="0"/>
              <w:bottom w:val="single" w:color="auto" w:sz="2" w:space="0"/>
              <w:right w:val="single" w:color="auto" w:sz="2" w:space="0"/>
            </w:tcBorders>
            <w:vAlign w:val="center"/>
          </w:tcPr>
          <w:p w14:paraId="238316F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284" w:type="pct"/>
            <w:tcBorders>
              <w:top w:val="single" w:color="auto" w:sz="2" w:space="0"/>
              <w:left w:val="single" w:color="auto" w:sz="2" w:space="0"/>
              <w:bottom w:val="single" w:color="auto" w:sz="2" w:space="0"/>
              <w:right w:val="single" w:color="auto" w:sz="2" w:space="0"/>
            </w:tcBorders>
            <w:vAlign w:val="center"/>
          </w:tcPr>
          <w:p w14:paraId="7AAC9706">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p>
        </w:tc>
        <w:tc>
          <w:tcPr>
            <w:tcW w:w="1053" w:type="pct"/>
            <w:tcBorders>
              <w:top w:val="single" w:color="auto" w:sz="2" w:space="0"/>
              <w:left w:val="single" w:color="auto" w:sz="2" w:space="0"/>
              <w:bottom w:val="single" w:color="auto" w:sz="2" w:space="0"/>
              <w:right w:val="single" w:color="auto" w:sz="2" w:space="0"/>
            </w:tcBorders>
            <w:vAlign w:val="center"/>
          </w:tcPr>
          <w:p w14:paraId="61F140AA">
            <w:pPr>
              <w:adjustRightInd w:val="0"/>
              <w:snapToGrid w:val="0"/>
              <w:spacing w:line="300" w:lineRule="exact"/>
              <w:jc w:val="center"/>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银行账号</w:t>
            </w:r>
          </w:p>
        </w:tc>
        <w:tc>
          <w:tcPr>
            <w:tcW w:w="1344" w:type="pct"/>
            <w:tcBorders>
              <w:top w:val="single" w:color="auto" w:sz="2" w:space="0"/>
              <w:left w:val="single" w:color="auto" w:sz="2" w:space="0"/>
              <w:bottom w:val="single" w:color="auto" w:sz="2" w:space="0"/>
            </w:tcBorders>
            <w:vAlign w:val="center"/>
          </w:tcPr>
          <w:p w14:paraId="1B4500C1">
            <w:pPr>
              <w:adjustRightInd w:val="0"/>
              <w:snapToGrid w:val="0"/>
              <w:spacing w:line="300" w:lineRule="exact"/>
              <w:jc w:val="center"/>
              <w:rPr>
                <w:rFonts w:hint="eastAsia" w:ascii="宋体" w:hAnsi="宋体" w:eastAsia="宋体" w:cs="宋体"/>
                <w:color w:val="000000" w:themeColor="text1"/>
                <w:spacing w:val="20"/>
                <w:sz w:val="18"/>
                <w:szCs w:val="18"/>
                <w:highlight w:val="none"/>
                <w14:textFill>
                  <w14:solidFill>
                    <w14:schemeClr w14:val="tx1"/>
                  </w14:solidFill>
                </w14:textFill>
              </w:rPr>
            </w:pPr>
          </w:p>
        </w:tc>
      </w:tr>
      <w:tr w14:paraId="28AE5C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E5D7160">
            <w:pPr>
              <w:pStyle w:val="4"/>
              <w:adjustRightInd w:val="0"/>
              <w:snapToGrid w:val="0"/>
              <w:spacing w:before="156" w:beforeLines="50" w:line="360" w:lineRule="auto"/>
              <w:ind w:firstLine="210"/>
              <w:jc w:val="left"/>
              <w:rPr>
                <w:rFonts w:hint="eastAsia" w:ascii="宋体" w:hAnsi="宋体" w:eastAsia="宋体" w:cs="宋体"/>
                <w:color w:val="000000" w:themeColor="text1"/>
                <w:spacing w:val="20"/>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注：涉及联合体或其他合同主体的信息应按上表格式加列。</w:t>
            </w:r>
          </w:p>
        </w:tc>
      </w:tr>
    </w:tbl>
    <w:p w14:paraId="2161BB2A">
      <w:pPr>
        <w:pStyle w:val="5"/>
        <w:ind w:firstLine="210"/>
        <w:rPr>
          <w:color w:val="000000" w:themeColor="text1"/>
          <w:highlight w:val="none"/>
          <w14:textFill>
            <w14:solidFill>
              <w14:schemeClr w14:val="tx1"/>
            </w14:solidFill>
          </w14:textFill>
        </w:rPr>
      </w:pPr>
    </w:p>
    <w:p w14:paraId="2D6B71EE">
      <w:pPr>
        <w:pStyle w:val="5"/>
        <w:ind w:firstLine="210"/>
        <w:rPr>
          <w:color w:val="000000" w:themeColor="text1"/>
          <w:highlight w:val="none"/>
          <w14:textFill>
            <w14:solidFill>
              <w14:schemeClr w14:val="tx1"/>
            </w14:solidFill>
          </w14:textFill>
        </w:rPr>
      </w:pPr>
    </w:p>
    <w:p w14:paraId="28349D08">
      <w:pPr>
        <w:pStyle w:val="5"/>
        <w:ind w:firstLine="210"/>
        <w:rPr>
          <w:color w:val="000000" w:themeColor="text1"/>
          <w:highlight w:val="none"/>
          <w14:textFill>
            <w14:solidFill>
              <w14:schemeClr w14:val="tx1"/>
            </w14:solidFill>
          </w14:textFill>
        </w:rPr>
      </w:pPr>
    </w:p>
    <w:p w14:paraId="18C1F1FC">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eastAsia="宋体" w:cs="Times New Roman"/>
          <w:b/>
          <w:color w:val="000000" w:themeColor="text1"/>
          <w:sz w:val="28"/>
          <w:szCs w:val="28"/>
          <w:highlight w:val="none"/>
          <w14:textFill>
            <w14:solidFill>
              <w14:schemeClr w14:val="tx1"/>
            </w14:solidFill>
          </w14:textFill>
        </w:rPr>
        <w:t>第二节 政府采购合同通用条款</w:t>
      </w:r>
    </w:p>
    <w:p w14:paraId="765BD1E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 定义</w:t>
      </w:r>
    </w:p>
    <w:p w14:paraId="6A4A0EB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1.1合同当事人</w:t>
      </w:r>
    </w:p>
    <w:p w14:paraId="57B499D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（1）采购人（以下称甲方）是指使用财政性资金，通过政府采购方式向供应商购买货物及其相关服务的国家机关、事业单位、团体组织。</w:t>
      </w:r>
    </w:p>
    <w:p w14:paraId="5A85087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（2）供应商（以下称乙方）是指参加政府采购活动并且中标（成交），向采购人提供合同约定的货物及其相关服务的法人、非法人组织或者自然人。</w:t>
      </w:r>
    </w:p>
    <w:p w14:paraId="537371A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（3）其他合同主体是指除采购人和供应商以外，依法参与合同缔结或履行，享有权利、承担义务的合同当事人。</w:t>
      </w:r>
    </w:p>
    <w:p w14:paraId="57CA99A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1.2本合同下列术语应解释为：</w:t>
      </w:r>
    </w:p>
    <w:p w14:paraId="2FFA49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68F6C7D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（2）“合同价款”系指根据本合同规定乙方在全面履行合同义务后甲方应支付给乙方的价款。</w:t>
      </w:r>
    </w:p>
    <w:p w14:paraId="38150BF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（3）“货物”系指乙方根据本合同规定须向甲方提供的各种形态和种类的物品，包括原材料、设备、产品（包括软件）及相关的其备品备件、工具、手册及其他技术资料和材料等。</w:t>
      </w:r>
    </w:p>
    <w:p w14:paraId="19E344D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77FB2D2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1F7796B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14:paraId="46ED67E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（7）其他术语解释，见【政府采购合同专用条款】。</w:t>
      </w:r>
    </w:p>
    <w:p w14:paraId="0073825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 合同标的及金额</w:t>
      </w:r>
    </w:p>
    <w:p w14:paraId="3844CAA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 合同标的及金额应与中标（成交）结果一致。乙方为履行本合同而发生的所有费用均应包含在合同价款中，甲方不再另行支付其他任何费用。</w:t>
      </w:r>
    </w:p>
    <w:p w14:paraId="5DB32E5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3. 履行合同的时间、地点和方式</w:t>
      </w:r>
    </w:p>
    <w:p w14:paraId="54D40B6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3.1 乙方应当在约定的时间、地点，按照约定方式履行合同。</w:t>
      </w:r>
    </w:p>
    <w:p w14:paraId="77B7C943">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4. 甲方的权利和义务</w:t>
      </w:r>
    </w:p>
    <w:p w14:paraId="1230E3B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2AA4781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279B83B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4.3 甲方有权要求乙方对缺陷部分予以修复，并按合同约定享有货物保修及其他合同约定的权利。</w:t>
      </w:r>
    </w:p>
    <w:p w14:paraId="49DBA45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4.4 甲方应当按照合同约定及时对交付的货物进行验收，未在【政府采购合同专用条款】约定的期限内对乙方履约提出任何异议或者向乙方作出任何说明的，视为验收通过。</w:t>
      </w:r>
    </w:p>
    <w:p w14:paraId="5C8C52F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4.5 甲方应当根据合同约定及时向乙方支付合同价款，不得以内部人员变更、履行内部付款流程等为由，拒绝或迟延支付。</w:t>
      </w:r>
    </w:p>
    <w:p w14:paraId="294FF88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4.6 国家法律法规规定及【政府采购合同专用条款】约定应由甲方承担的其他义务和责任。</w:t>
      </w:r>
    </w:p>
    <w:p w14:paraId="290BB95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5. 乙方的权利和义务</w:t>
      </w:r>
    </w:p>
    <w:p w14:paraId="170813D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5.1 签署合同后，乙方应确定项目负责人（或项目联系人），负责与本合同有关的事务。</w:t>
      </w:r>
    </w:p>
    <w:p w14:paraId="295A784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676194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5.3乙方有权根据合同约定向甲方收取合同价款。</w:t>
      </w:r>
    </w:p>
    <w:p w14:paraId="312096D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5.4国家法律法规规定及【政府采购合同专用条款】约定应由乙方承担的其他义务和责任。</w:t>
      </w:r>
    </w:p>
    <w:p w14:paraId="0206F52E">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6. 合同履行</w:t>
      </w:r>
    </w:p>
    <w:p w14:paraId="4762E9A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6.1 甲乙双方应当按照【政府采购合同专用条款】约定顺序履行合同义务；如果没有先后顺序的，应当同时履行。</w:t>
      </w:r>
    </w:p>
    <w:p w14:paraId="38350F2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4F1129D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7. 货物包装、运输、保险和交付要求</w:t>
      </w:r>
    </w:p>
    <w:p w14:paraId="290157D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7.1 本合同涉及商品包装、快递包装的，除【政府采购合同专用条款】另有约定外，包装应适应远距离运输、防潮、防震、防锈和防野蛮装卸等要求，确保货物安全无损地运抵【政府采购合同专用条款】约定的指定现场。</w:t>
      </w:r>
    </w:p>
    <w:p w14:paraId="1098313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7.2 除【政府采购合同专用条款】另有约定外，乙方负责办理将货物运抵本合同规定的交货地点，并装卸、交付至甲方的一切运输事项，相关费用应包含在合同价款中。</w:t>
      </w:r>
    </w:p>
    <w:p w14:paraId="302FC2C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7.3 货物保险要求按【政府采购合同专用条款】规定执行。</w:t>
      </w:r>
    </w:p>
    <w:p w14:paraId="46BFBCE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640AB53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7.5 乙方在运输到达之前应提前通知甲方，并提示货物运输装卸的注意事项，甲方配合乙方做好货物的接收工作。</w:t>
      </w:r>
    </w:p>
    <w:p w14:paraId="2618A98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7.6 如因包装、运输问题导致货物损毁、丢失或者品质下降，甲方有权要求降价、换货、拒收部分或整批货物，由此产生的费用和损失，均由乙方承担。</w:t>
      </w:r>
    </w:p>
    <w:p w14:paraId="54B6F6FD">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8. 质量标准和保证</w:t>
      </w:r>
    </w:p>
    <w:p w14:paraId="380E010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8.1 质量标准</w:t>
      </w:r>
    </w:p>
    <w:p w14:paraId="6001F49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8C3BC85">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（2）采用中华人民共和国法定计量单位。</w:t>
      </w:r>
    </w:p>
    <w:p w14:paraId="7037BCF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（3）乙方所提供的货物应符合国家有关安全、环保、卫生的规定。</w:t>
      </w:r>
    </w:p>
    <w:p w14:paraId="140B3ED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（4）乙方应向甲方提交所提供货物的技术文件，包括相应的中文技术文件，如：产品目录、图纸、操作手册、使用说明、维护手册或服务指南等。上述文件应包装好随货物一同发运。</w:t>
      </w:r>
    </w:p>
    <w:p w14:paraId="5D1F974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8.2 保证</w:t>
      </w:r>
    </w:p>
    <w:p w14:paraId="2C9EF88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75C9B56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（2）在质量保证期内所发现的缺陷，甲方应尽快以书面形式通知乙方。</w:t>
      </w:r>
    </w:p>
    <w:p w14:paraId="25784CC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（3）乙方收到通知后，应在【政府采购合同专用条款】规定的响应时间内以合理的速度免费维修或更换有缺陷的货物或部件。</w:t>
      </w:r>
    </w:p>
    <w:p w14:paraId="21AACDE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（4）在质量保证期内，如果货物的质量或规格与合同不符，或证实货物是有缺陷的，包括潜在的缺陷或使用不符合要求的材料等，甲方可以根据本合同第15.1条规定以书面形式追究乙方的违约责任。</w:t>
      </w:r>
    </w:p>
    <w:p w14:paraId="669191C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（5）乙方在约定的时间内未能弥补缺陷，甲方可采取必要的补救措施，但其风险和费用将由乙方承担，甲方根据合同约定对乙方行使的其他权利不受影响。</w:t>
      </w:r>
    </w:p>
    <w:p w14:paraId="15B255E7">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9. 权利瑕疵担保</w:t>
      </w:r>
    </w:p>
    <w:p w14:paraId="337A57B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9.1 乙方保证对其出售的货物享有合法的权利。</w:t>
      </w:r>
    </w:p>
    <w:p w14:paraId="62A39A7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9.2 乙方保证在交付的货物上不存在抵押权等担保物权。</w:t>
      </w:r>
    </w:p>
    <w:p w14:paraId="40022D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9.3 如甲方使用上述货物构成对第三人侵权的，则由乙方承担全部责任。</w:t>
      </w:r>
    </w:p>
    <w:p w14:paraId="44D0F93F">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10. 知识产权保护</w:t>
      </w:r>
    </w:p>
    <w:p w14:paraId="3DDD748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1C026F96">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11. 保密义务</w:t>
      </w:r>
    </w:p>
    <w:p w14:paraId="75DF5F92">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14:paraId="5E64D02E">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12. 合同价款支付</w:t>
      </w:r>
    </w:p>
    <w:p w14:paraId="372606D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12.1 合同价款支付按照国库集中支付制度及财政管理相关规定执行。</w:t>
      </w:r>
    </w:p>
    <w:p w14:paraId="0B3447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0A891013">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13. 履约保证金</w:t>
      </w:r>
    </w:p>
    <w:p w14:paraId="0520208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13.1 乙方应当以支票、汇票、本票或者金融机构、担保机构出具的保函等非现金形式提交。</w:t>
      </w:r>
    </w:p>
    <w:p w14:paraId="3FC9273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13.2 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14:paraId="18E3FC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13.3 甲方在项目通过验收后按照【政府采购合同专用条款】规定的时间内将履约保证金退还乙方；逾期退还的，乙方可要求甲方支付违约金，违约金按照【政府采购合同专用条款】规定支付。</w:t>
      </w:r>
    </w:p>
    <w:p w14:paraId="1C874EDC">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14. 售后服务</w:t>
      </w:r>
    </w:p>
    <w:p w14:paraId="6593E0E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14.1 除项目不涉及或采购活动中明确约定无须承担外，乙方还应提供下列服务：</w:t>
      </w:r>
    </w:p>
    <w:p w14:paraId="6EBC8D0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（1）货物的现场移动、安装、调试、启动监督及技术支持；</w:t>
      </w:r>
    </w:p>
    <w:p w14:paraId="3CE981F4">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（2）提供货物组装和维修所需的专用工具和辅助材料；</w:t>
      </w:r>
    </w:p>
    <w:p w14:paraId="08C8F36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（3）在【政府采购合同专用条款】约定的期限内对所有的货物实施运行监督、维修，但前提条件是该服务并不能免除乙方在质量保证期内所承担的义务；</w:t>
      </w:r>
    </w:p>
    <w:p w14:paraId="39AFA4F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（4）在制造商所在地或指定现场就货物的安装、启动、运营、维护、废弃处置等对甲方操作人员进行培训；</w:t>
      </w:r>
    </w:p>
    <w:p w14:paraId="0CC339E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（5）依照法律、行政法规的规定或者按照【政府采购合同专用条款】约定，货物在有效使用年限届满后应予回收的，乙方负有自行或者委托第三人对货物予以回收的义务；</w:t>
      </w:r>
    </w:p>
    <w:p w14:paraId="63CB42C6">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（6）【政府采购合同专用条款】规定由乙方提供的其他服务。</w:t>
      </w:r>
    </w:p>
    <w:p w14:paraId="327D77F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14.2 乙方提供的售后服务的费用已包含在合同价款中，甲方不再另行支付。</w:t>
      </w:r>
    </w:p>
    <w:p w14:paraId="519C242D">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15. 违约责任</w:t>
      </w:r>
    </w:p>
    <w:p w14:paraId="6DA01A7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15.1质量瑕疵的违约责任</w:t>
      </w:r>
    </w:p>
    <w:p w14:paraId="07E7FD2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乙方提供的产品不符合合同约定的质量标准或存在产品质量缺陷，甲方有权要求乙方根据【政府采购合同专用条款】要求及时修理、重作、更换，并承担由此给甲方造成的损失。</w:t>
      </w:r>
    </w:p>
    <w:p w14:paraId="7557F2C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15.2 迟延交货的违约责任</w:t>
      </w:r>
    </w:p>
    <w:p w14:paraId="11AC285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7038BE4">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14:paraId="48835555">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15.3 迟延支付的违约责任</w:t>
      </w:r>
    </w:p>
    <w:p w14:paraId="2C1314C9">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甲方存在迟延支付乙方合同款项的，应当承担【政府采购合同专用条款】规定的逾期付款利息。</w:t>
      </w:r>
    </w:p>
    <w:p w14:paraId="1AE26C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15.4其他违约责任根据项目实际需要按【政府采购合同专用条款】规定执行。</w:t>
      </w:r>
    </w:p>
    <w:p w14:paraId="74D73FCA">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16. 合同变更、中止与终止</w:t>
      </w:r>
    </w:p>
    <w:p w14:paraId="04A61BE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16.1合同的变更</w:t>
      </w:r>
    </w:p>
    <w:p w14:paraId="5174D06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政府采购合同履行中，在不改变合同其他条款的前提下，甲方可以在合同价款10%的范围内追加与合同标的相同的货物，并就此与乙方协商一致后签订补充协议。</w:t>
      </w:r>
    </w:p>
    <w:p w14:paraId="4649117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16.2合同的中止</w:t>
      </w:r>
    </w:p>
    <w:p w14:paraId="0F70C0E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（1）合同履行过程中因供应商就采购文件、采购过程或结果提起投诉的，甲方认为有必要的，可以中止合同的履行。</w:t>
      </w:r>
    </w:p>
    <w:p w14:paraId="5EFC38D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984BF5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09C047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（4）甲方不得以行政区划调整、政府换届、机构或者职能调整以及相关责任人更替为由中止合同。</w:t>
      </w:r>
    </w:p>
    <w:p w14:paraId="6EFF01D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16.3合同的终止</w:t>
      </w:r>
    </w:p>
    <w:p w14:paraId="13154B1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（1）合同因有效期限届满而终止；</w:t>
      </w:r>
    </w:p>
    <w:p w14:paraId="1F02694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（2）乙方未按合同约定履行，构成根本性违约的，甲方有权终止合同，并追究乙方的违约责任。</w:t>
      </w:r>
    </w:p>
    <w:p w14:paraId="12841EBF">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16.4 涉及国家利益、社会公共利益的情形</w:t>
      </w:r>
    </w:p>
    <w:p w14:paraId="20022F2B">
      <w:pPr>
        <w:keepNext w:val="0"/>
        <w:keepLines w:val="0"/>
        <w:pageBreakBefore w:val="0"/>
        <w:widowControl w:val="0"/>
        <w:kinsoku/>
        <w:wordWrap/>
        <w:overflowPunct/>
        <w:topLinePunct w:val="0"/>
        <w:autoSpaceDE/>
        <w:autoSpaceDN/>
        <w:bidi w:val="0"/>
        <w:adjustRightInd/>
        <w:snapToGrid/>
        <w:spacing w:line="312" w:lineRule="auto"/>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4DD53ED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17. 合同分包</w:t>
      </w:r>
    </w:p>
    <w:p w14:paraId="3DD316A1">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17.1 乙方不得将合同转包给其他供应商。涉及合同分包的，乙方应根据采购文件和投标（响应）文件规定进行合同分包。</w:t>
      </w:r>
    </w:p>
    <w:p w14:paraId="4A9B384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17.2 乙方执行政府采购政策向中小企业依法分包的，乙方应当按采购文件和投标（响应）文件签订分包意向协议，分包意向协议属于本合同组成部分。</w:t>
      </w:r>
    </w:p>
    <w:p w14:paraId="01450977">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18. 不可抗力</w:t>
      </w:r>
    </w:p>
    <w:p w14:paraId="78D6D01A">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18.1 不可抗力是指合同双方不能预见、不能避免且不能克服的客观情况。</w:t>
      </w:r>
    </w:p>
    <w:p w14:paraId="4DCB148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18.2 任何一方对由于不可抗力造成的部分或全部不能履行合同不承担违约责任。但迟延履行后发生不可抗力的，不能免除责任。</w:t>
      </w:r>
    </w:p>
    <w:p w14:paraId="105EC728">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80593F2">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19. 解决争议的方法</w:t>
      </w:r>
    </w:p>
    <w:p w14:paraId="794D3BB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19.1 因本合同及合同有关事项发生的争议，由甲乙双方友好协商解决。协商不成时，可以向有关组织申请调解。合同一方或双方不愿调解或调解不成的，可以通过仲裁或诉讼的方式解决争议。</w:t>
      </w:r>
    </w:p>
    <w:p w14:paraId="0FF5B26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19.2 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14:paraId="5A2C593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19.3 如甲乙双方有争议的事项不影响合同其他部分的履行，在争议解决期间，合同其他部分应当继续履行。</w:t>
      </w:r>
    </w:p>
    <w:p w14:paraId="22E73F88">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20. 政府采购政策</w:t>
      </w:r>
    </w:p>
    <w:p w14:paraId="607E706B">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20.1 本合同应当按照规定执行政府采购政策。</w:t>
      </w:r>
    </w:p>
    <w:p w14:paraId="7D873E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71E727ED">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3B2FE24">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21. 法律适用</w:t>
      </w:r>
    </w:p>
    <w:p w14:paraId="14939053">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21.1 本合同的订立、生效、解释、履行及与本合同有关的争议解决，均适用法律、行政法规。</w:t>
      </w:r>
    </w:p>
    <w:p w14:paraId="554878C0">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21.2 本合同条款与法律、行政法规的强制性规定不一致的，双方当事人应按照法律、行政法规的强制性规定修改本合同的相关条款。</w:t>
      </w:r>
    </w:p>
    <w:p w14:paraId="142BDB21">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22. 通知</w:t>
      </w:r>
    </w:p>
    <w:p w14:paraId="31D4702C">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22.1 本合同任何一方向对方发出的通知、信件、数据电文等，应当发送至本合同第一部分《政府采购合同协议书》所约定的通讯地址、联系人、联系电话或电子邮箱。</w:t>
      </w:r>
    </w:p>
    <w:p w14:paraId="601B0569">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22.2 一方当事人变更名称、住所、联系人、联系电话或电子邮箱等信息的，应当在变更后3日内及时书面通知对方，对方实际收到变更通知前的送达仍为有效送达。</w:t>
      </w:r>
    </w:p>
    <w:p w14:paraId="3576E0B5">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22.3本合同一方给另一方的通知均应采用书面形式，传真或快递送到本合同中规定的对方的地址和办理签收手续。</w:t>
      </w:r>
    </w:p>
    <w:p w14:paraId="6B422CFD">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22.4通知以送达之日或通知书中规定的生效之日起生效，两者中以较迟之日为准。</w:t>
      </w:r>
    </w:p>
    <w:p w14:paraId="76A18101">
      <w:pPr>
        <w:keepNext w:val="0"/>
        <w:keepLines w:val="0"/>
        <w:pageBreakBefore w:val="0"/>
        <w:widowControl w:val="0"/>
        <w:kinsoku/>
        <w:wordWrap/>
        <w:overflowPunct/>
        <w:topLinePunct w:val="0"/>
        <w:autoSpaceDE/>
        <w:autoSpaceDN/>
        <w:bidi w:val="0"/>
        <w:adjustRightInd/>
        <w:snapToGrid/>
        <w:spacing w:line="312" w:lineRule="auto"/>
        <w:textAlignment w:val="auto"/>
        <w:rPr>
          <w:b/>
          <w:color w:val="000000" w:themeColor="text1"/>
          <w:sz w:val="21"/>
          <w:szCs w:val="21"/>
          <w:highlight w:val="none"/>
          <w14:textFill>
            <w14:solidFill>
              <w14:schemeClr w14:val="tx1"/>
            </w14:solidFill>
          </w14:textFill>
        </w:rPr>
      </w:pPr>
      <w:r>
        <w:rPr>
          <w:rFonts w:hint="eastAsia"/>
          <w:b/>
          <w:color w:val="000000" w:themeColor="text1"/>
          <w:sz w:val="21"/>
          <w:szCs w:val="21"/>
          <w:highlight w:val="none"/>
          <w14:textFill>
            <w14:solidFill>
              <w14:schemeClr w14:val="tx1"/>
            </w14:solidFill>
          </w14:textFill>
        </w:rPr>
        <w:t>23. 合同未尽事项</w:t>
      </w:r>
    </w:p>
    <w:p w14:paraId="63FA4C57">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23.1合同未尽事项见【政府采购合同专用条款】。</w:t>
      </w:r>
    </w:p>
    <w:p w14:paraId="6EB6723E">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23.2 合同附件与合同正文具有同等的法律效力。</w:t>
      </w:r>
    </w:p>
    <w:p w14:paraId="2DCA2F34">
      <w:pPr>
        <w:spacing w:line="360" w:lineRule="auto"/>
        <w:jc w:val="center"/>
        <w:rPr>
          <w:rFonts w:ascii="宋体" w:hAnsi="宋体"/>
          <w:b/>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br w:type="page"/>
      </w:r>
      <w:r>
        <w:rPr>
          <w:rFonts w:hint="eastAsia" w:ascii="宋体" w:hAnsi="宋体" w:eastAsia="宋体" w:cs="Times New Roman"/>
          <w:b/>
          <w:color w:val="000000" w:themeColor="text1"/>
          <w:sz w:val="28"/>
          <w:szCs w:val="28"/>
          <w:highlight w:val="none"/>
          <w14:textFill>
            <w14:solidFill>
              <w14:schemeClr w14:val="tx1"/>
            </w14:solidFill>
          </w14:textFill>
        </w:rPr>
        <w:t>第三节 政府采购</w:t>
      </w:r>
      <w:r>
        <w:rPr>
          <w:rFonts w:hint="eastAsia" w:ascii="宋体" w:hAnsi="宋体" w:cs="Times New Roman"/>
          <w:b/>
          <w:color w:val="000000" w:themeColor="text1"/>
          <w:sz w:val="28"/>
          <w:szCs w:val="28"/>
          <w:highlight w:val="none"/>
          <w:lang w:val="en-US" w:eastAsia="zh-CN"/>
          <w14:textFill>
            <w14:solidFill>
              <w14:schemeClr w14:val="tx1"/>
            </w14:solidFill>
          </w14:textFill>
        </w:rPr>
        <w:t>合同</w:t>
      </w:r>
      <w:r>
        <w:rPr>
          <w:rFonts w:hint="eastAsia" w:ascii="宋体" w:hAnsi="宋体" w:eastAsia="宋体" w:cs="Times New Roman"/>
          <w:b/>
          <w:color w:val="000000" w:themeColor="text1"/>
          <w:sz w:val="28"/>
          <w:szCs w:val="28"/>
          <w:highlight w:val="none"/>
          <w14:textFill>
            <w14:solidFill>
              <w14:schemeClr w14:val="tx1"/>
            </w14:solidFill>
          </w14:textFill>
        </w:rPr>
        <w:t>专用条款</w:t>
      </w:r>
    </w:p>
    <w:tbl>
      <w:tblPr>
        <w:tblStyle w:val="6"/>
        <w:tblW w:w="920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8"/>
        <w:gridCol w:w="2220"/>
        <w:gridCol w:w="5379"/>
      </w:tblGrid>
      <w:tr w14:paraId="7B8ACE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1B8B02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105561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第1.2（6）项</w:t>
            </w:r>
          </w:p>
        </w:tc>
        <w:tc>
          <w:tcPr>
            <w:tcW w:w="2220" w:type="dxa"/>
            <w:vAlign w:val="center"/>
          </w:tcPr>
          <w:p w14:paraId="2B31CEB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联合体具体要求</w:t>
            </w:r>
          </w:p>
        </w:tc>
        <w:tc>
          <w:tcPr>
            <w:tcW w:w="5379" w:type="dxa"/>
            <w:vAlign w:val="center"/>
          </w:tcPr>
          <w:p w14:paraId="057867F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791BB5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8" w:type="dxa"/>
            <w:vAlign w:val="center"/>
          </w:tcPr>
          <w:p w14:paraId="167B94C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F32AB6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第1.2（7）项</w:t>
            </w:r>
          </w:p>
        </w:tc>
        <w:tc>
          <w:tcPr>
            <w:tcW w:w="2220" w:type="dxa"/>
            <w:vAlign w:val="center"/>
          </w:tcPr>
          <w:p w14:paraId="4157F6E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其他术语解释</w:t>
            </w:r>
          </w:p>
        </w:tc>
        <w:tc>
          <w:tcPr>
            <w:tcW w:w="5379" w:type="dxa"/>
            <w:vAlign w:val="center"/>
          </w:tcPr>
          <w:p w14:paraId="549CCFB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752AD1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27EC49F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9E6F9D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第4.4款</w:t>
            </w:r>
          </w:p>
        </w:tc>
        <w:tc>
          <w:tcPr>
            <w:tcW w:w="2220" w:type="dxa"/>
            <w:vAlign w:val="center"/>
          </w:tcPr>
          <w:p w14:paraId="702570E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履约验收中甲方提出异议或作出说明的期限</w:t>
            </w:r>
          </w:p>
        </w:tc>
        <w:tc>
          <w:tcPr>
            <w:tcW w:w="5379" w:type="dxa"/>
            <w:vAlign w:val="center"/>
          </w:tcPr>
          <w:p w14:paraId="5A8E202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验收后</w:t>
            </w:r>
            <w:r>
              <w:rPr>
                <w:rFonts w:hint="eastAsia" w:ascii="宋体" w:hAnsi="宋体" w:cs="宋体"/>
                <w:color w:val="000000" w:themeColor="text1"/>
                <w:sz w:val="20"/>
                <w:szCs w:val="20"/>
                <w:highlight w:val="none"/>
                <w:lang w:val="en-US" w:eastAsia="zh-CN"/>
                <w14:textFill>
                  <w14:solidFill>
                    <w14:schemeClr w14:val="tx1"/>
                  </w14:solidFill>
                </w14:textFill>
              </w:rPr>
              <w:t>7</w:t>
            </w:r>
            <w:r>
              <w:rPr>
                <w:rFonts w:hint="eastAsia" w:ascii="宋体" w:hAnsi="宋体" w:eastAsia="宋体" w:cs="宋体"/>
                <w:color w:val="000000" w:themeColor="text1"/>
                <w:sz w:val="20"/>
                <w:szCs w:val="20"/>
                <w:highlight w:val="none"/>
                <w14:textFill>
                  <w14:solidFill>
                    <w14:schemeClr w14:val="tx1"/>
                  </w14:solidFill>
                </w14:textFill>
              </w:rPr>
              <w:t>日内</w:t>
            </w:r>
          </w:p>
        </w:tc>
      </w:tr>
      <w:tr w14:paraId="5051BB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6F7C32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C3166E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第4.6款</w:t>
            </w:r>
          </w:p>
        </w:tc>
        <w:tc>
          <w:tcPr>
            <w:tcW w:w="2220" w:type="dxa"/>
            <w:vAlign w:val="center"/>
          </w:tcPr>
          <w:p w14:paraId="3FAE0C8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约定甲方承担的其他义务和责任</w:t>
            </w:r>
          </w:p>
        </w:tc>
        <w:tc>
          <w:tcPr>
            <w:tcW w:w="5379" w:type="dxa"/>
            <w:vAlign w:val="center"/>
          </w:tcPr>
          <w:p w14:paraId="7F6A2370">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229657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1F8B6A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2CF2DD5">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第5.4款</w:t>
            </w:r>
          </w:p>
        </w:tc>
        <w:tc>
          <w:tcPr>
            <w:tcW w:w="2220" w:type="dxa"/>
            <w:vAlign w:val="center"/>
          </w:tcPr>
          <w:p w14:paraId="03CB006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约定乙方承担的其他义务和责任</w:t>
            </w:r>
          </w:p>
        </w:tc>
        <w:tc>
          <w:tcPr>
            <w:tcW w:w="5379" w:type="dxa"/>
            <w:vAlign w:val="center"/>
          </w:tcPr>
          <w:p w14:paraId="1C2A373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177CC0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AF3294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EDF136B">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第6.1款</w:t>
            </w:r>
          </w:p>
        </w:tc>
        <w:tc>
          <w:tcPr>
            <w:tcW w:w="2220" w:type="dxa"/>
            <w:vAlign w:val="center"/>
          </w:tcPr>
          <w:p w14:paraId="2A927B4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履行合同义务的顺序</w:t>
            </w:r>
          </w:p>
        </w:tc>
        <w:tc>
          <w:tcPr>
            <w:tcW w:w="5379" w:type="dxa"/>
            <w:vAlign w:val="center"/>
          </w:tcPr>
          <w:p w14:paraId="5DF5C48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1FED64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restart"/>
            <w:vAlign w:val="center"/>
          </w:tcPr>
          <w:p w14:paraId="5A3D4E9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66C3EF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第7.1款</w:t>
            </w:r>
          </w:p>
        </w:tc>
        <w:tc>
          <w:tcPr>
            <w:tcW w:w="2220" w:type="dxa"/>
            <w:vAlign w:val="center"/>
          </w:tcPr>
          <w:p w14:paraId="759C4F65">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包装特殊要求</w:t>
            </w:r>
          </w:p>
        </w:tc>
        <w:tc>
          <w:tcPr>
            <w:tcW w:w="5379" w:type="dxa"/>
            <w:vAlign w:val="center"/>
          </w:tcPr>
          <w:p w14:paraId="654E1C4B">
            <w:pP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 xml:space="preserve"> </w:t>
            </w:r>
          </w:p>
        </w:tc>
      </w:tr>
      <w:tr w14:paraId="2566F2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continue"/>
            <w:vAlign w:val="center"/>
          </w:tcPr>
          <w:p w14:paraId="25D97D4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p>
        </w:tc>
        <w:tc>
          <w:tcPr>
            <w:tcW w:w="2220" w:type="dxa"/>
            <w:vAlign w:val="center"/>
          </w:tcPr>
          <w:p w14:paraId="76C443B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指定现场</w:t>
            </w:r>
          </w:p>
        </w:tc>
        <w:tc>
          <w:tcPr>
            <w:tcW w:w="5379" w:type="dxa"/>
            <w:vAlign w:val="center"/>
          </w:tcPr>
          <w:p w14:paraId="5BE11A8A">
            <w:pP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采购人指定地点</w:t>
            </w:r>
          </w:p>
        </w:tc>
      </w:tr>
      <w:tr w14:paraId="690951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8" w:type="dxa"/>
            <w:vAlign w:val="center"/>
          </w:tcPr>
          <w:p w14:paraId="49AE924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2AACAF9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第7.2款</w:t>
            </w:r>
          </w:p>
        </w:tc>
        <w:tc>
          <w:tcPr>
            <w:tcW w:w="2220" w:type="dxa"/>
            <w:vAlign w:val="center"/>
          </w:tcPr>
          <w:p w14:paraId="484BD07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运输特殊要求</w:t>
            </w:r>
          </w:p>
        </w:tc>
        <w:tc>
          <w:tcPr>
            <w:tcW w:w="5379" w:type="dxa"/>
            <w:vAlign w:val="center"/>
          </w:tcPr>
          <w:p w14:paraId="5EB27F3D">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1.乙方负责所有产品的运输，确保采购产品安全、完整到达甲方指定地点。运杂费用包含在合同总价内，包括从产品供应地点所含的运输费、装卸费、仓储费、保险费等。</w:t>
            </w:r>
          </w:p>
          <w:p w14:paraId="53AE94CC">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2.运输方式由乙方自行选择，但必须保证按期交货</w:t>
            </w:r>
            <w:r>
              <w:rPr>
                <w:rFonts w:hint="eastAsia" w:ascii="宋体" w:hAnsi="宋体" w:cs="宋体"/>
                <w:color w:val="000000" w:themeColor="text1"/>
                <w:sz w:val="20"/>
                <w:szCs w:val="20"/>
                <w:highlight w:val="none"/>
                <w:lang w:eastAsia="zh-CN"/>
                <w14:textFill>
                  <w14:solidFill>
                    <w14:schemeClr w14:val="tx1"/>
                  </w14:solidFill>
                </w14:textFill>
              </w:rPr>
              <w:t>。</w:t>
            </w:r>
            <w:r>
              <w:rPr>
                <w:rFonts w:hint="eastAsia" w:ascii="宋体" w:hAnsi="宋体" w:eastAsia="宋体" w:cs="宋体"/>
                <w:color w:val="000000" w:themeColor="text1"/>
                <w:sz w:val="20"/>
                <w:szCs w:val="20"/>
                <w:highlight w:val="none"/>
                <w14:textFill>
                  <w14:solidFill>
                    <w14:schemeClr w14:val="tx1"/>
                  </w14:solidFill>
                </w14:textFill>
              </w:rPr>
              <w:t>所</w:t>
            </w:r>
            <w:r>
              <w:rPr>
                <w:rFonts w:hint="eastAsia" w:ascii="宋体" w:hAnsi="宋体" w:cs="宋体"/>
                <w:color w:val="000000" w:themeColor="text1"/>
                <w:sz w:val="20"/>
                <w:szCs w:val="20"/>
                <w:highlight w:val="none"/>
                <w:lang w:val="en-US" w:eastAsia="zh-CN"/>
                <w14:textFill>
                  <w14:solidFill>
                    <w14:schemeClr w14:val="tx1"/>
                  </w14:solidFill>
                </w14:textFill>
              </w:rPr>
              <w:t>有</w:t>
            </w:r>
            <w:r>
              <w:rPr>
                <w:rFonts w:hint="eastAsia" w:ascii="宋体" w:hAnsi="宋体" w:eastAsia="宋体" w:cs="宋体"/>
                <w:color w:val="000000" w:themeColor="text1"/>
                <w:sz w:val="20"/>
                <w:szCs w:val="20"/>
                <w:highlight w:val="none"/>
                <w14:textFill>
                  <w14:solidFill>
                    <w14:schemeClr w14:val="tx1"/>
                  </w14:solidFill>
                </w14:textFill>
              </w:rPr>
              <w:t>采购货物在运输、搬运的过程中，造成甲方损失的，由乙方为甲方免费更换。</w:t>
            </w:r>
          </w:p>
        </w:tc>
      </w:tr>
      <w:tr w14:paraId="666EDC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Align w:val="center"/>
          </w:tcPr>
          <w:p w14:paraId="5129125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F88C8D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第7.3款</w:t>
            </w:r>
          </w:p>
        </w:tc>
        <w:tc>
          <w:tcPr>
            <w:tcW w:w="2220" w:type="dxa"/>
            <w:vAlign w:val="center"/>
          </w:tcPr>
          <w:p w14:paraId="49FB82F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保险要求</w:t>
            </w:r>
          </w:p>
        </w:tc>
        <w:tc>
          <w:tcPr>
            <w:tcW w:w="5379" w:type="dxa"/>
            <w:vAlign w:val="center"/>
          </w:tcPr>
          <w:p w14:paraId="1E0C933B">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有关运输和保险的一切费用由乙方承担</w:t>
            </w:r>
          </w:p>
        </w:tc>
      </w:tr>
      <w:tr w14:paraId="00A13B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29E54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8466F0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第8.2（1）项</w:t>
            </w:r>
          </w:p>
        </w:tc>
        <w:tc>
          <w:tcPr>
            <w:tcW w:w="2220" w:type="dxa"/>
            <w:vAlign w:val="center"/>
          </w:tcPr>
          <w:p w14:paraId="2B12A4E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质量保证期</w:t>
            </w:r>
          </w:p>
        </w:tc>
        <w:tc>
          <w:tcPr>
            <w:tcW w:w="5379" w:type="dxa"/>
            <w:vAlign w:val="center"/>
          </w:tcPr>
          <w:p w14:paraId="1D0478CB">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1.乙方须提供全新的、未使用过的合格正品货物（含零部件、配件等），完全符合合同规定的质量、规格和性能的要求。</w:t>
            </w:r>
          </w:p>
          <w:p w14:paraId="4C7C0F93">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2.乙方提供的节能和环保产品必须是列入节能、环保标志产品品目清单中的产品。</w:t>
            </w:r>
          </w:p>
          <w:p w14:paraId="6C5DA064">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3.质量标准按照最新颁布的国家标准、行业标准或制造商企业标准确定，上述标准不一致的，以严格标准为准。</w:t>
            </w:r>
          </w:p>
          <w:p w14:paraId="67EA8C0F">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4.乙方所提供货物还应符合国家和陕西省有关安全、环保、节能之规定，“3C”认证的货物（产品）应加贴“3C”认证标志。</w:t>
            </w:r>
          </w:p>
          <w:p w14:paraId="3252CA70">
            <w:pPr>
              <w:tabs>
                <w:tab w:val="left" w:pos="312"/>
              </w:tabs>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5.货物制造质量出现问题，乙方应负责三包（包修、包换、包退），费用由乙方负担，甲方有权到乙方生产场地检查货物质量和生产进度。</w:t>
            </w:r>
          </w:p>
          <w:p w14:paraId="15F3E6FF">
            <w:pPr>
              <w:autoSpaceDE w:val="0"/>
              <w:autoSpaceDN w:val="0"/>
              <w:adjustRightInd w:val="0"/>
              <w:snapToGrid w:val="0"/>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6.产品质量保证期和售后服务期：从验收合格之日</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个月。</w:t>
            </w:r>
          </w:p>
        </w:tc>
      </w:tr>
      <w:tr w14:paraId="3286DF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CAD431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EC7B7C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第8.2（3）项</w:t>
            </w:r>
          </w:p>
        </w:tc>
        <w:tc>
          <w:tcPr>
            <w:tcW w:w="2220" w:type="dxa"/>
            <w:vAlign w:val="center"/>
          </w:tcPr>
          <w:p w14:paraId="61E2F2E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货物质量缺陷</w:t>
            </w:r>
          </w:p>
          <w:p w14:paraId="09E3F23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响应时间</w:t>
            </w:r>
          </w:p>
        </w:tc>
        <w:tc>
          <w:tcPr>
            <w:tcW w:w="5379" w:type="dxa"/>
            <w:vAlign w:val="center"/>
          </w:tcPr>
          <w:p w14:paraId="4427615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发现质量缺陷24小时内做出响应并提供解决方案</w:t>
            </w:r>
          </w:p>
        </w:tc>
      </w:tr>
      <w:tr w14:paraId="68FD1B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7859A7A">
            <w:pPr>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E4335E5">
            <w:pPr>
              <w:pStyle w:val="9"/>
              <w:ind w:firstLine="0" w:firstLineChars="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第11.1款</w:t>
            </w:r>
          </w:p>
        </w:tc>
        <w:tc>
          <w:tcPr>
            <w:tcW w:w="2220" w:type="dxa"/>
            <w:vAlign w:val="center"/>
          </w:tcPr>
          <w:p w14:paraId="5E69556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其他应当保密的信息</w:t>
            </w:r>
          </w:p>
        </w:tc>
        <w:tc>
          <w:tcPr>
            <w:tcW w:w="5379" w:type="dxa"/>
            <w:vAlign w:val="center"/>
          </w:tcPr>
          <w:p w14:paraId="40CDA73D">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1E3A65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8" w:type="dxa"/>
            <w:vAlign w:val="center"/>
          </w:tcPr>
          <w:p w14:paraId="3EDC71D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679162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第12.2款</w:t>
            </w:r>
          </w:p>
        </w:tc>
        <w:tc>
          <w:tcPr>
            <w:tcW w:w="2220" w:type="dxa"/>
            <w:vAlign w:val="center"/>
          </w:tcPr>
          <w:p w14:paraId="0BEF8DB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合同价款支付时间</w:t>
            </w:r>
          </w:p>
        </w:tc>
        <w:tc>
          <w:tcPr>
            <w:tcW w:w="5379" w:type="dxa"/>
            <w:vAlign w:val="center"/>
          </w:tcPr>
          <w:p w14:paraId="7B7E725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（1）合同签订生效后，所有货物（产品）供货完成，经验收合格，达到付款条件起</w:t>
            </w:r>
            <w:r>
              <w:rPr>
                <w:rFonts w:hint="eastAsia" w:ascii="宋体" w:hAnsi="宋体" w:eastAsia="宋体" w:cs="宋体"/>
                <w:color w:val="000000" w:themeColor="text1"/>
                <w:sz w:val="20"/>
                <w:szCs w:val="20"/>
                <w:highlight w:val="none"/>
                <w:lang w:val="en-US" w:eastAsia="zh-CN"/>
                <w14:textFill>
                  <w14:solidFill>
                    <w14:schemeClr w14:val="tx1"/>
                  </w14:solidFill>
                </w14:textFill>
              </w:rPr>
              <w:t>3</w:t>
            </w:r>
            <w:r>
              <w:rPr>
                <w:rFonts w:hint="eastAsia" w:ascii="宋体" w:hAnsi="宋体" w:eastAsia="宋体" w:cs="宋体"/>
                <w:color w:val="000000" w:themeColor="text1"/>
                <w:sz w:val="20"/>
                <w:szCs w:val="20"/>
                <w:highlight w:val="none"/>
                <w14:textFill>
                  <w14:solidFill>
                    <w14:schemeClr w14:val="tx1"/>
                  </w14:solidFill>
                </w14:textFill>
              </w:rPr>
              <w:t>0日</w:t>
            </w:r>
            <w:r>
              <w:rPr>
                <w:rFonts w:hint="eastAsia" w:ascii="宋体" w:hAnsi="宋体" w:eastAsia="宋体" w:cs="宋体"/>
                <w:color w:val="000000" w:themeColor="text1"/>
                <w:sz w:val="20"/>
                <w:szCs w:val="20"/>
                <w:highlight w:val="none"/>
                <w14:textFill>
                  <w14:solidFill>
                    <w14:schemeClr w14:val="tx1"/>
                  </w14:solidFill>
                </w14:textFill>
              </w:rPr>
              <w:t>内甲方一次性支付所有合同款项.</w:t>
            </w:r>
          </w:p>
          <w:p w14:paraId="0455B8D7">
            <w:pPr>
              <w:pStyle w:val="3"/>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（2）付款前乙方应开具与付款金额一致的正式发票给甲方，甲方收到发票后以转账形式支付乙方费用，否则，甲方有权拒绝付款且不承担任何违约责任，且乙方不得以此为由停止履行本合同项下的任意义务；</w:t>
            </w:r>
          </w:p>
        </w:tc>
      </w:tr>
      <w:tr w14:paraId="6C58E0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jc w:val="center"/>
        </w:trPr>
        <w:tc>
          <w:tcPr>
            <w:tcW w:w="1608" w:type="dxa"/>
            <w:vAlign w:val="center"/>
          </w:tcPr>
          <w:p w14:paraId="1AD3928A">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E8D378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第13.2款</w:t>
            </w:r>
          </w:p>
        </w:tc>
        <w:tc>
          <w:tcPr>
            <w:tcW w:w="2220" w:type="dxa"/>
            <w:vAlign w:val="center"/>
          </w:tcPr>
          <w:p w14:paraId="36C1AAB9">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履约保证金不予退还的情形</w:t>
            </w:r>
          </w:p>
        </w:tc>
        <w:tc>
          <w:tcPr>
            <w:tcW w:w="5379" w:type="dxa"/>
            <w:vAlign w:val="center"/>
          </w:tcPr>
          <w:p w14:paraId="71F11EE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p>
        </w:tc>
      </w:tr>
      <w:tr w14:paraId="00CD57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95B594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B8B47F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第13.3款</w:t>
            </w:r>
          </w:p>
        </w:tc>
        <w:tc>
          <w:tcPr>
            <w:tcW w:w="2220" w:type="dxa"/>
            <w:vAlign w:val="center"/>
          </w:tcPr>
          <w:p w14:paraId="2F3790E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履约保证金退还时间及逾期退还的违约金</w:t>
            </w:r>
          </w:p>
        </w:tc>
        <w:tc>
          <w:tcPr>
            <w:tcW w:w="5379" w:type="dxa"/>
            <w:vAlign w:val="center"/>
          </w:tcPr>
          <w:p w14:paraId="5E55354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p>
        </w:tc>
      </w:tr>
      <w:tr w14:paraId="65AF51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608" w:type="dxa"/>
            <w:vAlign w:val="center"/>
          </w:tcPr>
          <w:p w14:paraId="4DDAB84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C0E858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第14.1（3）项</w:t>
            </w:r>
          </w:p>
        </w:tc>
        <w:tc>
          <w:tcPr>
            <w:tcW w:w="2220" w:type="dxa"/>
            <w:vAlign w:val="center"/>
          </w:tcPr>
          <w:p w14:paraId="21B0F998">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运行监督、维修期限</w:t>
            </w:r>
          </w:p>
        </w:tc>
        <w:tc>
          <w:tcPr>
            <w:tcW w:w="5379" w:type="dxa"/>
            <w:vAlign w:val="center"/>
          </w:tcPr>
          <w:p w14:paraId="23142578">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77AD67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608" w:type="dxa"/>
            <w:vAlign w:val="center"/>
          </w:tcPr>
          <w:p w14:paraId="60E151F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0467CB5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第14.1（5）项</w:t>
            </w:r>
          </w:p>
        </w:tc>
        <w:tc>
          <w:tcPr>
            <w:tcW w:w="2220" w:type="dxa"/>
            <w:vAlign w:val="center"/>
          </w:tcPr>
          <w:p w14:paraId="4999950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货物回收的约定</w:t>
            </w:r>
          </w:p>
        </w:tc>
        <w:tc>
          <w:tcPr>
            <w:tcW w:w="5379" w:type="dxa"/>
            <w:vAlign w:val="center"/>
          </w:tcPr>
          <w:p w14:paraId="6438199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发现质量缺陷对应货物回收并重新发货</w:t>
            </w:r>
          </w:p>
        </w:tc>
      </w:tr>
      <w:tr w14:paraId="67BEBD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08" w:type="dxa"/>
            <w:vAlign w:val="center"/>
          </w:tcPr>
          <w:p w14:paraId="5841830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39AC62BC">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第14.1（6）项</w:t>
            </w:r>
          </w:p>
        </w:tc>
        <w:tc>
          <w:tcPr>
            <w:tcW w:w="2220" w:type="dxa"/>
            <w:vAlign w:val="center"/>
          </w:tcPr>
          <w:p w14:paraId="22B0E9F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乙方提供的其他服务</w:t>
            </w:r>
          </w:p>
        </w:tc>
        <w:tc>
          <w:tcPr>
            <w:tcW w:w="5379" w:type="dxa"/>
            <w:vAlign w:val="center"/>
          </w:tcPr>
          <w:p w14:paraId="7C5708A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3F254E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608" w:type="dxa"/>
            <w:vAlign w:val="center"/>
          </w:tcPr>
          <w:p w14:paraId="78E0D09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7E95D113">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第15.1款</w:t>
            </w:r>
          </w:p>
        </w:tc>
        <w:tc>
          <w:tcPr>
            <w:tcW w:w="2220" w:type="dxa"/>
            <w:vAlign w:val="center"/>
          </w:tcPr>
          <w:p w14:paraId="5CB15F34">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修理、重作、更换相关具体规定</w:t>
            </w:r>
          </w:p>
        </w:tc>
        <w:tc>
          <w:tcPr>
            <w:tcW w:w="5379" w:type="dxa"/>
            <w:vAlign w:val="center"/>
          </w:tcPr>
          <w:p w14:paraId="564A5E1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p>
        </w:tc>
      </w:tr>
      <w:tr w14:paraId="620479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7BCDE8B">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6492C73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第15.2（2）项</w:t>
            </w:r>
          </w:p>
        </w:tc>
        <w:tc>
          <w:tcPr>
            <w:tcW w:w="2220" w:type="dxa"/>
            <w:vAlign w:val="center"/>
          </w:tcPr>
          <w:p w14:paraId="175FDE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迟延交货赔偿费</w:t>
            </w:r>
          </w:p>
        </w:tc>
        <w:tc>
          <w:tcPr>
            <w:tcW w:w="5379" w:type="dxa"/>
            <w:vAlign w:val="center"/>
          </w:tcPr>
          <w:p w14:paraId="53622C3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乙方逾期交货的，每逾期一日按合同价款的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3 </w:t>
            </w:r>
            <w:r>
              <w:rPr>
                <w:rFonts w:hint="eastAsia" w:ascii="宋体" w:hAnsi="宋体" w:eastAsia="宋体" w:cs="宋体"/>
                <w:color w:val="000000" w:themeColor="text1"/>
                <w:sz w:val="20"/>
                <w:szCs w:val="20"/>
                <w:highlight w:val="none"/>
                <w14:textFill>
                  <w14:solidFill>
                    <w14:schemeClr w14:val="tx1"/>
                  </w14:solidFill>
                </w14:textFill>
              </w:rPr>
              <w:t>‰向甲方支付违约金。逾期达</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 </w:t>
            </w:r>
            <w:r>
              <w:rPr>
                <w:rFonts w:hint="eastAsia" w:ascii="宋体" w:hAnsi="宋体" w:eastAsia="宋体" w:cs="宋体"/>
                <w:color w:val="000000" w:themeColor="text1"/>
                <w:sz w:val="20"/>
                <w:szCs w:val="20"/>
                <w:highlight w:val="none"/>
                <w14:textFill>
                  <w14:solidFill>
                    <w14:schemeClr w14:val="tx1"/>
                  </w14:solidFill>
                </w14:textFill>
              </w:rPr>
              <w:t>日，甲方有权解除合同，乙方应按合同的价款的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10 </w:t>
            </w:r>
            <w:r>
              <w:rPr>
                <w:rFonts w:hint="eastAsia" w:ascii="宋体" w:hAnsi="宋体" w:eastAsia="宋体" w:cs="宋体"/>
                <w:color w:val="000000" w:themeColor="text1"/>
                <w:sz w:val="20"/>
                <w:szCs w:val="20"/>
                <w:highlight w:val="none"/>
                <w14:textFill>
                  <w14:solidFill>
                    <w14:schemeClr w14:val="tx1"/>
                  </w14:solidFill>
                </w14:textFill>
              </w:rPr>
              <w:t>%向甲方支付违约金，并赔偿由此给甲方造成的相关经济损失。</w:t>
            </w:r>
          </w:p>
        </w:tc>
      </w:tr>
      <w:tr w14:paraId="630048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7" w:hRule="atLeast"/>
          <w:jc w:val="center"/>
        </w:trPr>
        <w:tc>
          <w:tcPr>
            <w:tcW w:w="1608" w:type="dxa"/>
            <w:vAlign w:val="center"/>
          </w:tcPr>
          <w:p w14:paraId="2A420CC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1155E4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第15.3款</w:t>
            </w:r>
          </w:p>
        </w:tc>
        <w:tc>
          <w:tcPr>
            <w:tcW w:w="2220" w:type="dxa"/>
            <w:vAlign w:val="center"/>
          </w:tcPr>
          <w:p w14:paraId="32E2988F">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逾期付款利息</w:t>
            </w:r>
          </w:p>
        </w:tc>
        <w:tc>
          <w:tcPr>
            <w:tcW w:w="5379" w:type="dxa"/>
            <w:vAlign w:val="center"/>
          </w:tcPr>
          <w:p w14:paraId="45F692A9">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因甲方所有的付款均需财政部门审批，本合同履行期间，非因甲方故意拖延付款申请流程造成的逾期付款的，乙方对此予以谅解不得追究甲方的逾期付款责任。</w:t>
            </w:r>
          </w:p>
        </w:tc>
      </w:tr>
      <w:tr w14:paraId="35F31F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44" w:hRule="atLeast"/>
          <w:jc w:val="center"/>
        </w:trPr>
        <w:tc>
          <w:tcPr>
            <w:tcW w:w="1608" w:type="dxa"/>
            <w:tcBorders>
              <w:bottom w:val="single" w:color="auto" w:sz="2" w:space="0"/>
              <w:right w:val="single" w:color="auto" w:sz="2" w:space="0"/>
            </w:tcBorders>
            <w:vAlign w:val="center"/>
          </w:tcPr>
          <w:p w14:paraId="1C70C72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1146FA0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第15.4款</w:t>
            </w:r>
          </w:p>
        </w:tc>
        <w:tc>
          <w:tcPr>
            <w:tcW w:w="2220" w:type="dxa"/>
            <w:tcBorders>
              <w:left w:val="single" w:color="auto" w:sz="2" w:space="0"/>
              <w:bottom w:val="single" w:color="auto" w:sz="2" w:space="0"/>
              <w:right w:val="single" w:color="auto" w:sz="2" w:space="0"/>
            </w:tcBorders>
            <w:vAlign w:val="center"/>
          </w:tcPr>
          <w:p w14:paraId="78BA98D1">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其他违约责任</w:t>
            </w:r>
          </w:p>
        </w:tc>
        <w:tc>
          <w:tcPr>
            <w:tcW w:w="5379" w:type="dxa"/>
            <w:tcBorders>
              <w:left w:val="single" w:color="auto" w:sz="2" w:space="0"/>
              <w:bottom w:val="single" w:color="auto" w:sz="2" w:space="0"/>
            </w:tcBorders>
            <w:vAlign w:val="center"/>
          </w:tcPr>
          <w:p w14:paraId="00928FC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1.乙方违约责任</w:t>
            </w:r>
          </w:p>
          <w:p w14:paraId="23A328B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（1）如乙方不能交付货物，同时乙方应向甲方支付合同总价</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 </w:t>
            </w:r>
            <w:r>
              <w:rPr>
                <w:rFonts w:hint="eastAsia" w:ascii="宋体" w:hAnsi="宋体" w:eastAsia="宋体" w:cs="宋体"/>
                <w:color w:val="000000" w:themeColor="text1"/>
                <w:sz w:val="20"/>
                <w:szCs w:val="20"/>
                <w:highlight w:val="none"/>
                <w14:textFill>
                  <w14:solidFill>
                    <w14:schemeClr w14:val="tx1"/>
                  </w14:solidFill>
                </w14:textFill>
              </w:rPr>
              <w:t>％的违约金；</w:t>
            </w:r>
          </w:p>
          <w:p w14:paraId="11ACD68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（2）乙方逾期交付货物的，每逾期1天，乙方向甲方偿付逾期交货部分货款总额的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2 </w:t>
            </w:r>
            <w:r>
              <w:rPr>
                <w:rFonts w:hint="eastAsia" w:ascii="宋体" w:hAnsi="宋体" w:eastAsia="宋体" w:cs="宋体"/>
                <w:color w:val="000000" w:themeColor="text1"/>
                <w:sz w:val="20"/>
                <w:szCs w:val="20"/>
                <w:highlight w:val="none"/>
                <w14:textFill>
                  <w14:solidFill>
                    <w14:schemeClr w14:val="tx1"/>
                  </w14:solidFill>
                </w14:textFill>
              </w:rPr>
              <w:t>‰的滞纳金。如乙方逾期交货达_7__天，甲方有权解除合同，解除合同的通知自到达乙方时生效；</w:t>
            </w:r>
          </w:p>
          <w:p w14:paraId="47439BA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（3）乙方所交付的货物品种、型号、规格不符合合同规定的，甲方有权拒收。甲方拒收的，乙方应向甲方支付货款总额</w:t>
            </w:r>
            <w:r>
              <w:rPr>
                <w:rFonts w:hint="eastAsia" w:ascii="宋体" w:hAnsi="宋体" w:eastAsia="宋体" w:cs="宋体"/>
                <w:color w:val="000000" w:themeColor="text1"/>
                <w:sz w:val="20"/>
                <w:szCs w:val="20"/>
                <w:highlight w:val="none"/>
                <w:u w:val="single"/>
                <w14:textFill>
                  <w14:solidFill>
                    <w14:schemeClr w14:val="tx1"/>
                  </w14:solidFill>
                </w14:textFill>
              </w:rPr>
              <w:t xml:space="preserve"> 2 </w:t>
            </w:r>
            <w:r>
              <w:rPr>
                <w:rFonts w:hint="eastAsia" w:ascii="宋体" w:hAnsi="宋体" w:eastAsia="宋体" w:cs="宋体"/>
                <w:color w:val="000000" w:themeColor="text1"/>
                <w:sz w:val="20"/>
                <w:szCs w:val="20"/>
                <w:highlight w:val="none"/>
                <w14:textFill>
                  <w14:solidFill>
                    <w14:schemeClr w14:val="tx1"/>
                  </w14:solidFill>
                </w14:textFill>
              </w:rPr>
              <w:t>%的违约金；</w:t>
            </w:r>
          </w:p>
          <w:p w14:paraId="70522C9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 </w:t>
            </w:r>
            <w:r>
              <w:rPr>
                <w:rFonts w:hint="eastAsia" w:ascii="宋体" w:hAnsi="宋体" w:eastAsia="宋体" w:cs="宋体"/>
                <w:color w:val="000000" w:themeColor="text1"/>
                <w:sz w:val="20"/>
                <w:szCs w:val="20"/>
                <w:highlight w:val="none"/>
                <w14:textFill>
                  <w14:solidFill>
                    <w14:schemeClr w14:val="tx1"/>
                  </w14:solidFill>
                </w14:textFill>
              </w:rPr>
              <w:t>天内无条件更换合格的货物，如逾期不能更换合格的货物，甲方有权终止本合同，乙方应另向甲方支付货款总额的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2</w:t>
            </w:r>
            <w:r>
              <w:rPr>
                <w:rFonts w:hint="eastAsia" w:ascii="宋体" w:hAnsi="宋体" w:eastAsia="宋体" w:cs="宋体"/>
                <w:color w:val="000000" w:themeColor="text1"/>
                <w:sz w:val="20"/>
                <w:szCs w:val="20"/>
                <w:highlight w:val="none"/>
                <w14:textFill>
                  <w14:solidFill>
                    <w14:schemeClr w14:val="tx1"/>
                  </w14:solidFill>
                </w14:textFill>
              </w:rPr>
              <w:t xml:space="preserve"> %的违约金；</w:t>
            </w:r>
          </w:p>
          <w:p w14:paraId="6B74A168">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BD53A2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（6）乙方未按本合同的规定和“服务承诺”提供伴随服务/售后服务的，应按合同总价款的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5</w:t>
            </w:r>
            <w:r>
              <w:rPr>
                <w:rFonts w:hint="eastAsia" w:ascii="宋体" w:hAnsi="宋体" w:eastAsia="宋体" w:cs="宋体"/>
                <w:color w:val="000000" w:themeColor="text1"/>
                <w:sz w:val="20"/>
                <w:szCs w:val="20"/>
                <w:highlight w:val="none"/>
                <w14:textFill>
                  <w14:solidFill>
                    <w14:schemeClr w14:val="tx1"/>
                  </w14:solidFill>
                </w14:textFill>
              </w:rPr>
              <w:t xml:space="preserve"> %向甲方承担违约责任；</w:t>
            </w:r>
          </w:p>
          <w:p w14:paraId="6C10AAD5">
            <w:pPr>
              <w:rPr>
                <w:rFonts w:hint="eastAsia" w:ascii="宋体" w:hAnsi="宋体" w:eastAsia="宋体" w:cs="宋体"/>
                <w:color w:val="000000" w:themeColor="text1"/>
                <w:kern w:val="2"/>
                <w:sz w:val="20"/>
                <w:szCs w:val="20"/>
                <w:highlight w:val="none"/>
                <w:lang w:eastAsia="zh-CN"/>
                <w14:textFill>
                  <w14:solidFill>
                    <w14:schemeClr w14:val="tx1"/>
                  </w14:solidFill>
                </w14:textFill>
              </w:rPr>
            </w:pPr>
            <w:r>
              <w:rPr>
                <w:rFonts w:hint="eastAsia" w:ascii="宋体" w:hAnsi="宋体" w:eastAsia="宋体" w:cs="宋体"/>
                <w:color w:val="000000" w:themeColor="text1"/>
                <w:kern w:val="2"/>
                <w:sz w:val="20"/>
                <w:szCs w:val="20"/>
                <w:highlight w:val="none"/>
                <w:lang w:eastAsia="zh-CN"/>
                <w14:textFill>
                  <w14:solidFill>
                    <w14:schemeClr w14:val="tx1"/>
                  </w14:solidFill>
                </w14:textFill>
              </w:rPr>
              <w:t>（</w:t>
            </w:r>
            <w:r>
              <w:rPr>
                <w:rFonts w:hint="eastAsia" w:ascii="宋体" w:hAnsi="宋体" w:eastAsia="宋体" w:cs="宋体"/>
                <w:color w:val="000000" w:themeColor="text1"/>
                <w:kern w:val="2"/>
                <w:sz w:val="20"/>
                <w:szCs w:val="20"/>
                <w:highlight w:val="none"/>
                <w:lang w:val="en-US" w:eastAsia="zh-CN"/>
                <w14:textFill>
                  <w14:solidFill>
                    <w14:schemeClr w14:val="tx1"/>
                  </w14:solidFill>
                </w14:textFill>
              </w:rPr>
              <w:t>7</w:t>
            </w:r>
            <w:r>
              <w:rPr>
                <w:rFonts w:hint="eastAsia" w:ascii="宋体" w:hAnsi="宋体" w:eastAsia="宋体" w:cs="宋体"/>
                <w:color w:val="000000" w:themeColor="text1"/>
                <w:kern w:val="2"/>
                <w:sz w:val="20"/>
                <w:szCs w:val="20"/>
                <w:highlight w:val="none"/>
                <w:lang w:eastAsia="zh-CN"/>
                <w14:textFill>
                  <w14:solidFill>
                    <w14:schemeClr w14:val="tx1"/>
                  </w14:solidFill>
                </w14:textFill>
              </w:rPr>
              <w:t>）</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合同履约过程中，乙方提供的货物无法满足使用需求，视为虚假响应；</w:t>
            </w:r>
            <w:r>
              <w:rPr>
                <w:rFonts w:hint="eastAsia" w:ascii="宋体" w:hAnsi="宋体" w:cs="Calibri"/>
                <w:color w:val="000000" w:themeColor="text1"/>
                <w:kern w:val="0"/>
                <w:sz w:val="18"/>
                <w:szCs w:val="18"/>
                <w:highlight w:val="none"/>
                <w:u w:val="none"/>
                <w14:textFill>
                  <w14:solidFill>
                    <w14:schemeClr w14:val="tx1"/>
                  </w14:solidFill>
                </w14:textFill>
              </w:rPr>
              <w:t>为保证货物（软件和硬件）质量功能的严谨性，成交后</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甲方有权</w:t>
            </w:r>
            <w:r>
              <w:rPr>
                <w:rFonts w:hint="eastAsia" w:ascii="宋体" w:hAnsi="宋体" w:cs="Calibri"/>
                <w:color w:val="000000" w:themeColor="text1"/>
                <w:kern w:val="0"/>
                <w:sz w:val="18"/>
                <w:szCs w:val="18"/>
                <w:highlight w:val="none"/>
                <w:u w:val="none"/>
                <w14:textFill>
                  <w14:solidFill>
                    <w14:schemeClr w14:val="tx1"/>
                  </w14:solidFill>
                </w14:textFill>
              </w:rPr>
              <w:t>要求</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乙方</w:t>
            </w:r>
            <w:r>
              <w:rPr>
                <w:rFonts w:hint="eastAsia" w:ascii="宋体" w:hAnsi="宋体" w:cs="Calibri"/>
                <w:color w:val="000000" w:themeColor="text1"/>
                <w:kern w:val="0"/>
                <w:sz w:val="18"/>
                <w:szCs w:val="18"/>
                <w:highlight w:val="none"/>
                <w:u w:val="none"/>
                <w14:textFill>
                  <w14:solidFill>
                    <w14:schemeClr w14:val="tx1"/>
                  </w14:solidFill>
                </w14:textFill>
              </w:rPr>
              <w:t>对其所供的设备（产品）（</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包含</w:t>
            </w:r>
            <w:r>
              <w:rPr>
                <w:rFonts w:hint="eastAsia" w:ascii="宋体" w:hAnsi="宋体" w:cs="Calibri"/>
                <w:color w:val="000000" w:themeColor="text1"/>
                <w:kern w:val="0"/>
                <w:sz w:val="18"/>
                <w:szCs w:val="18"/>
                <w:highlight w:val="none"/>
                <w:u w:val="none"/>
                <w14:textFill>
                  <w14:solidFill>
                    <w14:schemeClr w14:val="tx1"/>
                  </w14:solidFill>
                </w14:textFill>
              </w:rPr>
              <w:t>软件和硬件）的功能进行逐一演示，如有功能</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与实际不相符，一律</w:t>
            </w:r>
            <w:r>
              <w:rPr>
                <w:rFonts w:hint="eastAsia" w:ascii="宋体" w:hAnsi="宋体" w:cs="Calibri"/>
                <w:color w:val="000000" w:themeColor="text1"/>
                <w:kern w:val="0"/>
                <w:sz w:val="18"/>
                <w:szCs w:val="18"/>
                <w:highlight w:val="none"/>
                <w:u w:val="none"/>
                <w14:textFill>
                  <w14:solidFill>
                    <w14:schemeClr w14:val="tx1"/>
                  </w14:solidFill>
                </w14:textFill>
              </w:rPr>
              <w:t>按虚假应标处理，由</w:t>
            </w:r>
            <w:r>
              <w:rPr>
                <w:rFonts w:hint="eastAsia" w:ascii="宋体" w:hAnsi="宋体" w:cs="Calibri"/>
                <w:color w:val="000000" w:themeColor="text1"/>
                <w:kern w:val="0"/>
                <w:sz w:val="18"/>
                <w:szCs w:val="18"/>
                <w:highlight w:val="none"/>
                <w:u w:val="none"/>
                <w:lang w:val="en-US" w:eastAsia="zh-CN"/>
                <w14:textFill>
                  <w14:solidFill>
                    <w14:schemeClr w14:val="tx1"/>
                  </w14:solidFill>
                </w14:textFill>
              </w:rPr>
              <w:t>乙方</w:t>
            </w:r>
            <w:r>
              <w:rPr>
                <w:rFonts w:hint="eastAsia" w:ascii="宋体" w:hAnsi="宋体" w:cs="Calibri"/>
                <w:color w:val="000000" w:themeColor="text1"/>
                <w:kern w:val="0"/>
                <w:sz w:val="18"/>
                <w:szCs w:val="18"/>
                <w:highlight w:val="none"/>
                <w:u w:val="none"/>
                <w14:textFill>
                  <w14:solidFill>
                    <w14:schemeClr w14:val="tx1"/>
                  </w14:solidFill>
                </w14:textFill>
              </w:rPr>
              <w:t>承担</w:t>
            </w:r>
            <w:r>
              <w:rPr>
                <w:rFonts w:hint="eastAsia" w:ascii="宋体" w:hAnsi="宋体" w:cs="Calibri"/>
                <w:color w:val="000000" w:themeColor="text1"/>
                <w:kern w:val="0"/>
                <w:sz w:val="18"/>
                <w:szCs w:val="18"/>
                <w:highlight w:val="none"/>
                <w:u w:val="none"/>
                <w:lang w:eastAsia="zh-CN"/>
                <w14:textFill>
                  <w14:solidFill>
                    <w14:schemeClr w14:val="tx1"/>
                  </w14:solidFill>
                </w14:textFill>
              </w:rPr>
              <w:t>因此</w:t>
            </w:r>
            <w:r>
              <w:rPr>
                <w:rFonts w:hint="eastAsia" w:ascii="宋体" w:hAnsi="宋体" w:cs="Calibri"/>
                <w:color w:val="000000" w:themeColor="text1"/>
                <w:kern w:val="0"/>
                <w:sz w:val="18"/>
                <w:szCs w:val="18"/>
                <w:highlight w:val="none"/>
                <w:u w:val="none"/>
                <w14:textFill>
                  <w14:solidFill>
                    <w14:schemeClr w14:val="tx1"/>
                  </w14:solidFill>
                </w14:textFill>
              </w:rPr>
              <w:t>产生的</w:t>
            </w:r>
            <w:r>
              <w:rPr>
                <w:rFonts w:hint="eastAsia" w:ascii="宋体" w:hAnsi="宋体" w:cs="Calibri"/>
                <w:color w:val="000000" w:themeColor="text1"/>
                <w:kern w:val="0"/>
                <w:sz w:val="18"/>
                <w:szCs w:val="18"/>
                <w:highlight w:val="none"/>
                <w:u w:val="none"/>
                <w:lang w:eastAsia="zh-CN"/>
                <w14:textFill>
                  <w14:solidFill>
                    <w14:schemeClr w14:val="tx1"/>
                  </w14:solidFill>
                </w14:textFill>
              </w:rPr>
              <w:t>违约</w:t>
            </w:r>
            <w:r>
              <w:rPr>
                <w:rFonts w:hint="eastAsia" w:ascii="宋体" w:hAnsi="宋体" w:cs="Calibri"/>
                <w:color w:val="000000" w:themeColor="text1"/>
                <w:kern w:val="0"/>
                <w:sz w:val="18"/>
                <w:szCs w:val="18"/>
                <w:highlight w:val="none"/>
                <w:u w:val="none"/>
                <w14:textFill>
                  <w14:solidFill>
                    <w14:schemeClr w14:val="tx1"/>
                  </w14:solidFill>
                </w14:textFill>
              </w:rPr>
              <w:t>责任</w:t>
            </w:r>
            <w:r>
              <w:rPr>
                <w:rFonts w:hint="eastAsia" w:ascii="宋体" w:hAnsi="宋体" w:cs="Calibri"/>
                <w:color w:val="000000" w:themeColor="text1"/>
                <w:kern w:val="0"/>
                <w:sz w:val="18"/>
                <w:szCs w:val="18"/>
                <w:highlight w:val="none"/>
                <w:u w:val="none"/>
                <w:lang w:eastAsia="zh-CN"/>
                <w14:textFill>
                  <w14:solidFill>
                    <w14:schemeClr w14:val="tx1"/>
                  </w14:solidFill>
                </w14:textFill>
              </w:rPr>
              <w:t>。</w:t>
            </w:r>
          </w:p>
          <w:p w14:paraId="0CB7837C">
            <w:pPr>
              <w:pStyle w:val="8"/>
              <w:jc w:val="both"/>
              <w:rPr>
                <w:rFonts w:hint="eastAsia" w:ascii="宋体" w:hAnsi="宋体" w:eastAsia="宋体" w:cs="宋体"/>
                <w:color w:val="000000" w:themeColor="text1"/>
                <w:kern w:val="2"/>
                <w:sz w:val="20"/>
                <w:szCs w:val="20"/>
                <w:highlight w:val="none"/>
                <w:lang w:eastAsia="zh-CN"/>
                <w14:textFill>
                  <w14:solidFill>
                    <w14:schemeClr w14:val="tx1"/>
                  </w14:solidFill>
                </w14:textFill>
              </w:rPr>
            </w:pPr>
            <w:r>
              <w:rPr>
                <w:rFonts w:hint="eastAsia" w:ascii="宋体" w:hAnsi="宋体" w:eastAsia="宋体" w:cs="宋体"/>
                <w:color w:val="000000" w:themeColor="text1"/>
                <w:kern w:val="2"/>
                <w:sz w:val="20"/>
                <w:szCs w:val="20"/>
                <w:highlight w:val="none"/>
                <w:lang w:eastAsia="zh-CN"/>
                <w14:textFill>
                  <w14:solidFill>
                    <w14:schemeClr w14:val="tx1"/>
                  </w14:solidFill>
                </w14:textFill>
              </w:rPr>
              <w:t>（</w:t>
            </w:r>
            <w:r>
              <w:rPr>
                <w:rFonts w:hint="eastAsia" w:ascii="宋体" w:hAnsi="宋体" w:eastAsia="宋体" w:cs="宋体"/>
                <w:color w:val="000000" w:themeColor="text1"/>
                <w:kern w:val="2"/>
                <w:sz w:val="20"/>
                <w:szCs w:val="20"/>
                <w:highlight w:val="none"/>
                <w:lang w:val="en-US" w:eastAsia="zh-CN"/>
                <w14:textFill>
                  <w14:solidFill>
                    <w14:schemeClr w14:val="tx1"/>
                  </w14:solidFill>
                </w14:textFill>
              </w:rPr>
              <w:t>8</w:t>
            </w:r>
            <w:r>
              <w:rPr>
                <w:rFonts w:hint="eastAsia" w:ascii="宋体" w:hAnsi="宋体" w:eastAsia="宋体" w:cs="宋体"/>
                <w:color w:val="000000" w:themeColor="text1"/>
                <w:kern w:val="2"/>
                <w:sz w:val="20"/>
                <w:szCs w:val="20"/>
                <w:highlight w:val="none"/>
                <w:lang w:eastAsia="zh-CN"/>
                <w14:textFill>
                  <w14:solidFill>
                    <w14:schemeClr w14:val="tx1"/>
                  </w14:solidFill>
                </w14:textFill>
              </w:rPr>
              <w:t>）质保期结束，甲方根据售后服务要求对乙方进行整体评价，如评价为不合格，视为未按约定履行合同约定，上报上级财政部门。质保期结束后的维修、维护等由双方协商再定；</w:t>
            </w:r>
          </w:p>
          <w:p w14:paraId="58BD3E7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cs="宋体"/>
                <w:color w:val="000000" w:themeColor="text1"/>
                <w:sz w:val="20"/>
                <w:szCs w:val="20"/>
                <w:highlight w:val="none"/>
                <w:lang w:val="en-US" w:eastAsia="zh-CN"/>
                <w14:textFill>
                  <w14:solidFill>
                    <w14:schemeClr w14:val="tx1"/>
                  </w14:solidFill>
                </w14:textFill>
              </w:rPr>
              <w:t>9</w:t>
            </w:r>
            <w:r>
              <w:rPr>
                <w:rFonts w:hint="eastAsia" w:ascii="宋体" w:hAnsi="宋体" w:eastAsia="宋体" w:cs="宋体"/>
                <w:color w:val="000000" w:themeColor="text1"/>
                <w:sz w:val="20"/>
                <w:szCs w:val="20"/>
                <w:highlight w:val="none"/>
                <w14:textFill>
                  <w14:solidFill>
                    <w14:schemeClr w14:val="tx1"/>
                  </w14:solidFill>
                </w14:textFill>
              </w:rPr>
              <w:t>）乙方在承担上述1-7款一项或多项违约责任后，仍应继续履行合同规定的义务（甲方解除合同的除外）。甲方未能及时追究乙方的任何一项违约责任并不表明甲方放弃追究乙方该项或其他违约责任；</w:t>
            </w:r>
          </w:p>
          <w:p w14:paraId="281BC81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w:t>
            </w:r>
            <w:r>
              <w:rPr>
                <w:rFonts w:hint="eastAsia" w:ascii="宋体" w:hAnsi="宋体" w:cs="宋体"/>
                <w:color w:val="000000" w:themeColor="text1"/>
                <w:sz w:val="20"/>
                <w:szCs w:val="20"/>
                <w:highlight w:val="none"/>
                <w:lang w:val="en-US" w:eastAsia="zh-CN"/>
                <w14:textFill>
                  <w14:solidFill>
                    <w14:schemeClr w14:val="tx1"/>
                  </w14:solidFill>
                </w14:textFill>
              </w:rPr>
              <w:t>10</w:t>
            </w:r>
            <w:r>
              <w:rPr>
                <w:rFonts w:hint="eastAsia" w:ascii="宋体" w:hAnsi="宋体" w:eastAsia="宋体" w:cs="宋体"/>
                <w:color w:val="000000" w:themeColor="text1"/>
                <w:sz w:val="20"/>
                <w:szCs w:val="20"/>
                <w:highlight w:val="none"/>
                <w14:textFill>
                  <w14:solidFill>
                    <w14:schemeClr w14:val="tx1"/>
                  </w14:solidFill>
                </w14:textFill>
              </w:rPr>
              <w:t>）乙方偿付的违约金不足以弥补甲方损失的，还应按甲方损失尚未弥补的部分，支付赔偿金给甲方。</w:t>
            </w:r>
          </w:p>
          <w:p w14:paraId="19C11BEA">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w:t>
            </w:r>
            <w:r>
              <w:rPr>
                <w:rFonts w:hint="eastAsia" w:ascii="宋体" w:hAnsi="宋体" w:cs="宋体"/>
                <w:color w:val="000000" w:themeColor="text1"/>
                <w:sz w:val="20"/>
                <w:szCs w:val="20"/>
                <w:highlight w:val="none"/>
                <w:lang w:val="en-US" w:eastAsia="zh-CN"/>
                <w14:textFill>
                  <w14:solidFill>
                    <w14:schemeClr w14:val="tx1"/>
                  </w14:solidFill>
                </w14:textFill>
              </w:rPr>
              <w:t>1</w:t>
            </w:r>
            <w:r>
              <w:rPr>
                <w:rFonts w:hint="eastAsia" w:ascii="宋体" w:hAnsi="宋体" w:eastAsia="宋体" w:cs="宋体"/>
                <w:color w:val="000000" w:themeColor="text1"/>
                <w:sz w:val="20"/>
                <w:szCs w:val="20"/>
                <w:highlight w:val="none"/>
                <w14:textFill>
                  <w14:solidFill>
                    <w14:schemeClr w14:val="tx1"/>
                  </w14:solidFill>
                </w14:textFill>
              </w:rPr>
              <w:t>）依据《中华人民共和国民法典》、《中华人民共和国政府采购法》的相关条款和所签署的合同约定，乙方未全面履行合同义务或者发生违约，甲方会依法向乙方进行经济索赔，并报请政府采购监督管理机关进行相应的行政处罚。</w:t>
            </w:r>
          </w:p>
        </w:tc>
      </w:tr>
      <w:tr w14:paraId="010782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14" w:hRule="atLeast"/>
          <w:jc w:val="center"/>
        </w:trPr>
        <w:tc>
          <w:tcPr>
            <w:tcW w:w="1608" w:type="dxa"/>
            <w:tcBorders>
              <w:top w:val="single" w:color="auto" w:sz="2" w:space="0"/>
              <w:right w:val="single" w:color="auto" w:sz="2" w:space="0"/>
            </w:tcBorders>
            <w:vAlign w:val="center"/>
          </w:tcPr>
          <w:p w14:paraId="3E45C68D">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67E33652">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第19.2款</w:t>
            </w:r>
          </w:p>
        </w:tc>
        <w:tc>
          <w:tcPr>
            <w:tcW w:w="2220" w:type="dxa"/>
            <w:tcBorders>
              <w:top w:val="single" w:color="auto" w:sz="2" w:space="0"/>
              <w:left w:val="single" w:color="auto" w:sz="2" w:space="0"/>
              <w:right w:val="single" w:color="auto" w:sz="2" w:space="0"/>
            </w:tcBorders>
            <w:vAlign w:val="center"/>
          </w:tcPr>
          <w:p w14:paraId="0853359E">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解决争议的方法</w:t>
            </w:r>
          </w:p>
        </w:tc>
        <w:tc>
          <w:tcPr>
            <w:tcW w:w="5379" w:type="dxa"/>
            <w:tcBorders>
              <w:top w:val="single" w:color="auto" w:sz="2" w:space="0"/>
              <w:left w:val="single" w:color="auto" w:sz="2" w:space="0"/>
            </w:tcBorders>
            <w:vAlign w:val="center"/>
          </w:tcPr>
          <w:p w14:paraId="0D4E10D4">
            <w:pPr>
              <w:autoSpaceDE w:val="0"/>
              <w:autoSpaceDN w:val="0"/>
              <w:adjustRightInd w:val="0"/>
              <w:snapToGrid w:val="0"/>
              <w:spacing w:line="400" w:lineRule="exact"/>
              <w:jc w:val="left"/>
              <w:rPr>
                <w:rFonts w:hint="eastAsia" w:ascii="宋体" w:hAnsi="宋体" w:eastAsia="宋体" w:cs="宋体"/>
                <w:iCs/>
                <w:color w:val="000000" w:themeColor="text1"/>
                <w:sz w:val="20"/>
                <w:szCs w:val="20"/>
                <w:highlight w:val="none"/>
                <w14:textFill>
                  <w14:solidFill>
                    <w14:schemeClr w14:val="tx1"/>
                  </w14:solidFill>
                </w14:textFill>
              </w:rPr>
            </w:pPr>
            <w:r>
              <w:rPr>
                <w:rFonts w:hint="eastAsia" w:ascii="宋体" w:hAnsi="宋体" w:eastAsia="宋体" w:cs="宋体"/>
                <w:iCs/>
                <w:color w:val="000000" w:themeColor="text1"/>
                <w:sz w:val="20"/>
                <w:szCs w:val="20"/>
                <w:highlight w:val="none"/>
                <w14:textFill>
                  <w14:solidFill>
                    <w14:schemeClr w14:val="tx1"/>
                  </w14:solidFill>
                </w14:textFill>
              </w:rPr>
              <w:t>因本合同及合同有关事项发生的争议，按下列第</w:t>
            </w:r>
            <w:r>
              <w:rPr>
                <w:rFonts w:hint="eastAsia" w:ascii="宋体" w:hAnsi="宋体" w:eastAsia="宋体" w:cs="宋体"/>
                <w:iCs/>
                <w:color w:val="000000" w:themeColor="text1"/>
                <w:sz w:val="20"/>
                <w:szCs w:val="20"/>
                <w:highlight w:val="none"/>
                <w:u w:val="single"/>
                <w14:textFill>
                  <w14:solidFill>
                    <w14:schemeClr w14:val="tx1"/>
                  </w14:solidFill>
                </w14:textFill>
              </w:rPr>
              <w:t>（2）</w:t>
            </w:r>
            <w:r>
              <w:rPr>
                <w:rFonts w:hint="eastAsia" w:ascii="宋体" w:hAnsi="宋体" w:eastAsia="宋体" w:cs="宋体"/>
                <w:iCs/>
                <w:color w:val="000000" w:themeColor="text1"/>
                <w:sz w:val="20"/>
                <w:szCs w:val="20"/>
                <w:highlight w:val="none"/>
                <w14:textFill>
                  <w14:solidFill>
                    <w14:schemeClr w14:val="tx1"/>
                  </w14:solidFill>
                </w14:textFill>
              </w:rPr>
              <w:t>种方式解决：（1）向</w:t>
            </w:r>
            <w:r>
              <w:rPr>
                <w:rFonts w:hint="eastAsia" w:ascii="宋体" w:hAnsi="宋体" w:eastAsia="宋体" w:cs="宋体"/>
                <w:iCs/>
                <w:color w:val="000000" w:themeColor="text1"/>
                <w:sz w:val="20"/>
                <w:szCs w:val="20"/>
                <w:highlight w:val="none"/>
                <w:u w:val="single"/>
                <w14:textFill>
                  <w14:solidFill>
                    <w14:schemeClr w14:val="tx1"/>
                  </w14:solidFill>
                </w14:textFill>
              </w:rPr>
              <w:t xml:space="preserve"> 西安 </w:t>
            </w:r>
            <w:r>
              <w:rPr>
                <w:rFonts w:hint="eastAsia" w:ascii="宋体" w:hAnsi="宋体" w:eastAsia="宋体" w:cs="宋体"/>
                <w:iCs/>
                <w:color w:val="000000" w:themeColor="text1"/>
                <w:sz w:val="20"/>
                <w:szCs w:val="20"/>
                <w:highlight w:val="none"/>
                <w14:textFill>
                  <w14:solidFill>
                    <w14:schemeClr w14:val="tx1"/>
                  </w14:solidFill>
                </w14:textFill>
              </w:rPr>
              <w:t>仲裁委员会申请仲裁；（2）向</w:t>
            </w:r>
            <w:r>
              <w:rPr>
                <w:rFonts w:hint="eastAsia" w:ascii="宋体" w:hAnsi="宋体" w:eastAsia="宋体" w:cs="宋体"/>
                <w:iCs/>
                <w:color w:val="000000" w:themeColor="text1"/>
                <w:sz w:val="20"/>
                <w:szCs w:val="20"/>
                <w:highlight w:val="none"/>
                <w:u w:val="single"/>
                <w14:textFill>
                  <w14:solidFill>
                    <w14:schemeClr w14:val="tx1"/>
                  </w14:solidFill>
                </w14:textFill>
              </w:rPr>
              <w:t xml:space="preserve"> 甲方所在地 </w:t>
            </w:r>
            <w:r>
              <w:rPr>
                <w:rFonts w:hint="eastAsia" w:ascii="宋体" w:hAnsi="宋体" w:eastAsia="宋体" w:cs="宋体"/>
                <w:iCs/>
                <w:color w:val="000000" w:themeColor="text1"/>
                <w:sz w:val="20"/>
                <w:szCs w:val="20"/>
                <w:highlight w:val="none"/>
                <w14:textFill>
                  <w14:solidFill>
                    <w14:schemeClr w14:val="tx1"/>
                  </w14:solidFill>
                </w14:textFill>
              </w:rPr>
              <w:t>人民法院起诉。</w:t>
            </w:r>
          </w:p>
        </w:tc>
      </w:tr>
      <w:tr w14:paraId="363186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74" w:hRule="atLeast"/>
          <w:jc w:val="center"/>
        </w:trPr>
        <w:tc>
          <w:tcPr>
            <w:tcW w:w="1608" w:type="dxa"/>
            <w:vAlign w:val="center"/>
          </w:tcPr>
          <w:p w14:paraId="4016F266">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第二节</w:t>
            </w:r>
          </w:p>
          <w:p w14:paraId="41E8A320">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第23.1款</w:t>
            </w:r>
          </w:p>
        </w:tc>
        <w:tc>
          <w:tcPr>
            <w:tcW w:w="2220" w:type="dxa"/>
            <w:vAlign w:val="center"/>
          </w:tcPr>
          <w:p w14:paraId="4DA2CFD7">
            <w:pPr>
              <w:adjustRightInd w:val="0"/>
              <w:snapToGrid w:val="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bCs/>
                <w:color w:val="000000" w:themeColor="text1"/>
                <w:sz w:val="20"/>
                <w:szCs w:val="20"/>
                <w:highlight w:val="none"/>
                <w14:textFill>
                  <w14:solidFill>
                    <w14:schemeClr w14:val="tx1"/>
                  </w14:solidFill>
                </w14:textFill>
              </w:rPr>
              <w:t>其他专用条款</w:t>
            </w:r>
          </w:p>
        </w:tc>
        <w:tc>
          <w:tcPr>
            <w:tcW w:w="5379" w:type="dxa"/>
            <w:vAlign w:val="center"/>
          </w:tcPr>
          <w:p w14:paraId="202B0E56">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1.货物验收由甲方组织，乙方配合，并按下列程序进行：</w:t>
            </w:r>
          </w:p>
          <w:p w14:paraId="07FDAE0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001B98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（2）到货验收 ：货物到达后，按合同第一条款的货物清单和装箱单逐一核对，同时检查货物外观，是否有划痕或破损的，并做好相应记录；</w:t>
            </w:r>
          </w:p>
          <w:p w14:paraId="44A3B814">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按乙方承诺的产品包装环保材料进行验收，必要时乙方需提供检测报告，甲方发现虚假承诺时，将扣除总货款的</w:t>
            </w:r>
            <w:r>
              <w:rPr>
                <w:rFonts w:hint="eastAsia" w:ascii="宋体" w:hAnsi="宋体" w:eastAsia="宋体" w:cs="宋体"/>
                <w:color w:val="000000" w:themeColor="text1"/>
                <w:sz w:val="20"/>
                <w:szCs w:val="20"/>
                <w:highlight w:val="none"/>
                <w:u w:val="single"/>
                <w14:textFill>
                  <w14:solidFill>
                    <w14:schemeClr w14:val="tx1"/>
                  </w14:solidFill>
                </w14:textFill>
              </w:rPr>
              <w:t xml:space="preserve"> 3 </w:t>
            </w:r>
            <w:r>
              <w:rPr>
                <w:rFonts w:hint="eastAsia" w:ascii="宋体" w:hAnsi="宋体" w:eastAsia="宋体" w:cs="宋体"/>
                <w:color w:val="000000" w:themeColor="text1"/>
                <w:sz w:val="20"/>
                <w:szCs w:val="20"/>
                <w:highlight w:val="none"/>
                <w14:textFill>
                  <w14:solidFill>
                    <w14:schemeClr w14:val="tx1"/>
                  </w14:solidFill>
                </w14:textFill>
              </w:rPr>
              <w:t>%作为处罚。</w:t>
            </w:r>
          </w:p>
          <w:p w14:paraId="1A917BD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（3）货物初验：乙方应在货物到货之日起，</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日内全部完成安装调试完毕；乙方安装调试完毕后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日内完成初步验收；初步验收合格后，进入</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日试用期；试用期间发生重大质量问题，修复后试用期相应顺延；</w:t>
            </w:r>
          </w:p>
          <w:p w14:paraId="3DA4704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（4）货物终验：试用期结束后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日内完成最终验收；</w:t>
            </w:r>
          </w:p>
          <w:p w14:paraId="2D285B07">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（5）质量验收合格，双方签署质量验收报告。</w:t>
            </w:r>
          </w:p>
          <w:p w14:paraId="6E8F30F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2.货物验收依据：</w:t>
            </w:r>
          </w:p>
          <w:p w14:paraId="5D6D15F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（1）谈判文件；</w:t>
            </w:r>
          </w:p>
          <w:p w14:paraId="18FC9D36">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（2）响应文件；</w:t>
            </w:r>
          </w:p>
          <w:p w14:paraId="30F389D5">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（3）采购合同及补充协议；</w:t>
            </w:r>
          </w:p>
          <w:p w14:paraId="16E48303">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（4）质检部门抽样检查货物（产品）合格的检测报告。</w:t>
            </w:r>
          </w:p>
          <w:p w14:paraId="68FBFC1F">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3.货物验收时发现问题的处理办法：</w:t>
            </w:r>
          </w:p>
          <w:p w14:paraId="5631290D">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（1）乙方提供不符合谈判文件和本合同规定的货物（产品），甲方有权拒绝接受；</w:t>
            </w:r>
          </w:p>
          <w:p w14:paraId="5BB11822">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3316A93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（3）如货物经乙方</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259F56AB">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（4）货物安装完成后</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日内，甲方无故不进行验收工作并已使用货物的，视同已安装调试完成并验收合格；</w:t>
            </w:r>
          </w:p>
          <w:p w14:paraId="1B57F481">
            <w:pPr>
              <w:adjustRightInd w:val="0"/>
              <w:snapToGrid w:val="0"/>
              <w:jc w:val="left"/>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（5）乙方不能完整交付货物及本条第一款规定的单证和工具的，必须负责补齐，否则视为未按合同约定交货；</w:t>
            </w:r>
          </w:p>
          <w:p w14:paraId="24018A00">
            <w:pPr>
              <w:adjustRightInd w:val="0"/>
              <w:snapToGrid w:val="0"/>
              <w:jc w:val="left"/>
              <w:rPr>
                <w:rFonts w:hint="default" w:eastAsia="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（6）超出合理磅差的处理方法：</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color w:val="000000" w:themeColor="text1"/>
                <w:sz w:val="20"/>
                <w:szCs w:val="20"/>
                <w:highlight w:val="none"/>
                <w14:textFill>
                  <w14:solidFill>
                    <w14:schemeClr w14:val="tx1"/>
                  </w14:solidFill>
                </w14:textFill>
              </w:rPr>
              <w:t xml:space="preserve"> 。</w:t>
            </w:r>
          </w:p>
        </w:tc>
      </w:tr>
    </w:tbl>
    <w:p w14:paraId="6D94F588">
      <w:pPr>
        <w:rPr>
          <w:color w:val="000000" w:themeColor="text1"/>
          <w:highlight w:val="none"/>
          <w14:textFill>
            <w14:solidFill>
              <w14:schemeClr w14:val="tx1"/>
            </w14:solidFill>
          </w14:textFill>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FC674"/>
    <w:multiLevelType w:val="singleLevel"/>
    <w:tmpl w:val="FFEFC674"/>
    <w:lvl w:ilvl="0" w:tentative="0">
      <w:start w:val="1"/>
      <w:numFmt w:val="decimal"/>
      <w:suff w:val="nothing"/>
      <w:lvlText w:val="（%1）"/>
      <w:lvlJc w:val="left"/>
    </w:lvl>
  </w:abstractNum>
  <w:abstractNum w:abstractNumId="1">
    <w:nsid w:val="010C5A66"/>
    <w:multiLevelType w:val="multilevel"/>
    <w:tmpl w:val="010C5A66"/>
    <w:lvl w:ilvl="0" w:tentative="0">
      <w:start w:val="8"/>
      <w:numFmt w:val="decimal"/>
      <w:lvlText w:val="（%1）"/>
      <w:lvlJc w:val="left"/>
      <w:pPr>
        <w:ind w:left="1140" w:hanging="720"/>
      </w:pPr>
      <w:rPr>
        <w:rFonts w:hint="default"/>
        <w:u w:val="no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3F3CDA"/>
    <w:rsid w:val="713F3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rPr>
      <w:rFonts w:ascii="Times New Roman" w:hAnsi="Times New Roman" w:eastAsia="宋体" w:cs="Times New Roman"/>
    </w:rPr>
  </w:style>
  <w:style w:type="paragraph" w:styleId="3">
    <w:name w:val="Body Text"/>
    <w:basedOn w:val="1"/>
    <w:unhideWhenUsed/>
    <w:qFormat/>
    <w:uiPriority w:val="99"/>
    <w:pPr>
      <w:spacing w:after="120"/>
    </w:pPr>
  </w:style>
  <w:style w:type="paragraph" w:styleId="4">
    <w:name w:val="Body Text Indent"/>
    <w:basedOn w:val="1"/>
    <w:unhideWhenUsed/>
    <w:qFormat/>
    <w:uiPriority w:val="0"/>
    <w:pPr>
      <w:spacing w:after="120"/>
      <w:ind w:left="420" w:leftChars="200"/>
    </w:pPr>
    <w:rPr>
      <w:rFonts w:asciiTheme="minorHAnsi" w:hAnsiTheme="minorHAnsi" w:eastAsiaTheme="minorEastAsia" w:cstheme="minorBidi"/>
      <w:szCs w:val="24"/>
    </w:rPr>
  </w:style>
  <w:style w:type="paragraph" w:styleId="5">
    <w:name w:val="Body Text First Indent"/>
    <w:basedOn w:val="3"/>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10">
    <w:name w:val="列出段落1"/>
    <w:basedOn w:val="1"/>
    <w:qFormat/>
    <w:uiPriority w:val="0"/>
    <w:pPr>
      <w:ind w:firstLine="420" w:firstLineChars="200"/>
    </w:pPr>
    <w:rPr>
      <w:rFonts w:ascii="Times New Roman" w:hAnsi="Times New Roman"/>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2025-05-09T06:28:00Z</dcterms:created>
  <dc:creator>mo·xuan</dc:creator>
  <cp:lastModifiedBy>mo·xuan</cp:lastModifiedBy>
  <dcterms:modified xsi:type="dcterms:W3CDTF">2025-05-09T06:28:31Z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FCB2B0A3E03340F1943E131125309E6E_11</vt:lpwstr>
  </property>
  <property fmtid="{D5CDD505-2E9C-101B-9397-08002B2CF9AE}" pid="4" name="KSOTemplateDocerSaveRecord">
    <vt:lpwstr>eyJoZGlkIjoiYTYwNWE2MmNhNzRiMDNhMjMzYTJhNjIzZjY2YmY0MGMiLCJ1c2VySWQiOiI3OTY2NTg3ODQifQ==</vt:lpwstr>
  </property>
</Properties>
</file>