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4FF7">
      <w:pPr>
        <w:spacing w:line="500" w:lineRule="exact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采购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需求</w:t>
      </w:r>
      <w:bookmarkStart w:id="0" w:name="_GoBack"/>
      <w:bookmarkEnd w:id="0"/>
    </w:p>
    <w:p w14:paraId="5CB0CD3C">
      <w:pPr>
        <w:snapToGrid w:val="0"/>
        <w:spacing w:line="360" w:lineRule="auto"/>
        <w:jc w:val="left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一、采购内容</w:t>
      </w:r>
    </w:p>
    <w:p w14:paraId="3D85EA5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延安高新技术产业开发区拟将延安高新区、新材料高新技术产业园、方塔新城“三区协同”发展，联合创建国家级高新技术产业开发区。</w:t>
      </w:r>
    </w:p>
    <w:p w14:paraId="2275C0C6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根据《规划环境影响评价条例》、</w:t>
      </w:r>
      <w:r>
        <w:rPr>
          <w:rFonts w:hint="eastAsia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规划环境影响评价技术导则 总纲</w:t>
      </w:r>
      <w:r>
        <w:rPr>
          <w:rFonts w:hint="eastAsia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(HJ 130-2019)、《规划环境影响评价技术导则 产业园区》（HJ 131-2021）等法律法规、政策规范要求，编制《延安高新技术产业开发区总体发展规划环境影响报告书》</w:t>
      </w:r>
      <w:r>
        <w:rPr>
          <w:rFonts w:hint="eastAsia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具体包括现场踏勘、资料收集、环境质量监测、污染源调查、各环境要素调查、报告编制、报告评审、信息公示等工作内容，报告编制完成后经甲方审核上报，并通过省级生态环境主管部门的审查。</w:t>
      </w:r>
    </w:p>
    <w:p w14:paraId="3C2D6262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《延安高新技术产业开发区总体发展规划环境影响报告书》文件包括以下内容：</w:t>
      </w:r>
    </w:p>
    <w:p w14:paraId="0BD7EB35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（1）总则。</w:t>
      </w:r>
    </w:p>
    <w:p w14:paraId="3AFF883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（2）规划分析。</w:t>
      </w:r>
    </w:p>
    <w:p w14:paraId="36BA1F7B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（3）现状调查与评价。</w:t>
      </w:r>
    </w:p>
    <w:p w14:paraId="296033D2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环境影响识别与评价指标体系构建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443DC1C9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（5）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规划实施环境影响预测与评价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510DF2D2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（6）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规划实施资源与环境承载力评估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4AAF32E7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（7）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规划方案综合论证与优化调整建议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65BC8E20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（8）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不良环境影响减缓对策措施与协同降碳建议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29AE4F6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（9）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环境影响跟踪评价与规划所含建设项目环境影响评价要求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1B478DFD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（10）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环境管理与环境准入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70BC8FBE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（11）公众参与。</w:t>
      </w:r>
    </w:p>
    <w:p w14:paraId="0916920F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（12）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评价结论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。</w:t>
      </w:r>
    </w:p>
    <w:p w14:paraId="6E159AA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注：具体以实际出具的报告为准。</w:t>
      </w:r>
    </w:p>
    <w:p w14:paraId="0CB9F2E7">
      <w:pPr>
        <w:snapToGrid w:val="0"/>
        <w:spacing w:line="360" w:lineRule="auto"/>
        <w:jc w:val="left"/>
        <w:rPr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二、服务期限：</w:t>
      </w:r>
      <w:r>
        <w:rPr>
          <w:rFonts w:hint="eastAsia"/>
          <w:color w:val="auto"/>
          <w:sz w:val="24"/>
          <w:highlight w:val="none"/>
        </w:rPr>
        <w:t>自合同签订之日起</w:t>
      </w:r>
      <w:r>
        <w:rPr>
          <w:rFonts w:hint="eastAsia"/>
          <w:color w:val="auto"/>
          <w:sz w:val="24"/>
          <w:highlight w:val="none"/>
          <w:lang w:val="en-US" w:eastAsia="zh-CN"/>
        </w:rPr>
        <w:t>90</w:t>
      </w:r>
      <w:r>
        <w:rPr>
          <w:rFonts w:hint="eastAsia"/>
          <w:color w:val="auto"/>
          <w:sz w:val="24"/>
          <w:highlight w:val="none"/>
        </w:rPr>
        <w:t>日历天</w:t>
      </w:r>
    </w:p>
    <w:p w14:paraId="04A32169">
      <w:pPr>
        <w:spacing w:line="360" w:lineRule="auto"/>
        <w:jc w:val="left"/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4"/>
          <w:szCs w:val="20"/>
          <w:highlight w:val="none"/>
          <w:lang w:val="en-US" w:eastAsia="zh-CN" w:bidi="ar-SA"/>
        </w:rPr>
        <w:t>三、质量标准：</w:t>
      </w:r>
      <w:r>
        <w:rPr>
          <w:rFonts w:hint="eastAsia" w:ascii="Times New Roman" w:hAnsi="Times New Roman" w:eastAsia="宋体" w:cs="Times New Roman"/>
          <w:bCs/>
          <w:color w:val="auto"/>
          <w:kern w:val="2"/>
          <w:sz w:val="24"/>
          <w:szCs w:val="20"/>
          <w:highlight w:val="none"/>
          <w:lang w:val="en-US" w:eastAsia="zh-CN" w:bidi="ar-SA"/>
        </w:rPr>
        <w:t>符合国家及行业相关标准。</w:t>
      </w:r>
    </w:p>
    <w:p w14:paraId="5887CC7B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2DD4"/>
    <w:rsid w:val="5D3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2025-05-25T23:43:00Z</dcterms:created>
  <dc:creator>Administrator</dc:creator>
  <cp:lastModifiedBy>Administrator</cp:lastModifiedBy>
  <dcterms:modified xsi:type="dcterms:W3CDTF">2025-05-25T23:44:13Z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3784F76F37694F53B48EEFAC0478664C_11</vt:lpwstr>
  </property>
  <property fmtid="{D5CDD505-2E9C-101B-9397-08002B2CF9AE}" pid="4" name="KSOTemplateDocerSaveRecord">
    <vt:lpwstr>eyJoZGlkIjoiZTQ4MTgxNzg3ZTg3NGQxYmRhNmIzNWI0NTUxYjBlYzYiLCJ1c2VySWQiOiIyNDgzOTAxODgifQ==</vt:lpwstr>
  </property>
</Properties>
</file>